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3CF242" w14:textId="481C46B0" w:rsidR="00771742" w:rsidRPr="007B183D" w:rsidRDefault="00771742" w:rsidP="00C4318E">
      <w:pPr>
        <w:spacing w:before="120" w:after="120"/>
        <w:jc w:val="both"/>
        <w:rPr>
          <w:rFonts w:ascii="Arial" w:eastAsia="Calibri" w:hAnsi="Arial" w:cs="Arial"/>
          <w:color w:val="000000" w:themeColor="text1"/>
          <w:sz w:val="22"/>
          <w:szCs w:val="22"/>
          <w:lang w:val="es-MX" w:eastAsia="en-US"/>
        </w:rPr>
      </w:pPr>
    </w:p>
    <w:p w14:paraId="2F821771" w14:textId="77777777" w:rsidR="00D63A05" w:rsidRPr="00D63A05" w:rsidRDefault="00D63A05" w:rsidP="00D63A05">
      <w:pPr>
        <w:jc w:val="both"/>
        <w:rPr>
          <w:rFonts w:ascii="Arial" w:eastAsia="Calibri" w:hAnsi="Arial" w:cs="Arial"/>
          <w:sz w:val="22"/>
          <w:szCs w:val="22"/>
          <w:lang w:val="es-ES_tradnl" w:eastAsia="en-US"/>
        </w:rPr>
      </w:pPr>
      <w:r w:rsidRPr="00D63A05">
        <w:rPr>
          <w:rFonts w:ascii="Arial" w:eastAsia="Calibri" w:hAnsi="Arial" w:cs="Arial"/>
          <w:b/>
          <w:sz w:val="22"/>
          <w:szCs w:val="22"/>
          <w:lang w:val="es-ES_tradnl" w:eastAsia="en-US"/>
        </w:rPr>
        <w:t xml:space="preserve">PRINCIPIO DE SELECCIÓN OBJETIVA </w:t>
      </w:r>
      <w:bookmarkStart w:id="0" w:name="_Hlk39676694"/>
      <w:r w:rsidRPr="00D63A05">
        <w:rPr>
          <w:rFonts w:ascii="Arial" w:eastAsia="Calibri" w:hAnsi="Arial" w:cs="Arial"/>
          <w:b/>
          <w:sz w:val="22"/>
          <w:szCs w:val="22"/>
          <w:lang w:val="es-MX" w:eastAsia="en-US"/>
        </w:rPr>
        <w:t>–</w:t>
      </w:r>
      <w:bookmarkEnd w:id="0"/>
      <w:r w:rsidRPr="00D63A05">
        <w:rPr>
          <w:rFonts w:ascii="Arial" w:eastAsia="Calibri" w:hAnsi="Arial" w:cs="Arial"/>
          <w:b/>
          <w:sz w:val="22"/>
          <w:szCs w:val="22"/>
          <w:lang w:val="es-ES_tradnl" w:eastAsia="en-US"/>
        </w:rPr>
        <w:t xml:space="preserve"> Rechazo de ofertas </w:t>
      </w:r>
      <w:r w:rsidRPr="00D63A05">
        <w:rPr>
          <w:rFonts w:ascii="Arial" w:eastAsia="Calibri" w:hAnsi="Arial" w:cs="Arial"/>
          <w:b/>
          <w:sz w:val="22"/>
          <w:szCs w:val="22"/>
          <w:lang w:val="es-MX" w:eastAsia="en-US"/>
        </w:rPr>
        <w:t>–</w:t>
      </w:r>
      <w:r w:rsidRPr="00D63A05">
        <w:rPr>
          <w:rFonts w:ascii="Arial" w:eastAsia="Calibri" w:hAnsi="Arial" w:cs="Arial"/>
          <w:b/>
          <w:sz w:val="22"/>
          <w:szCs w:val="22"/>
          <w:lang w:val="es-ES_tradnl" w:eastAsia="en-US"/>
        </w:rPr>
        <w:t xml:space="preserve"> </w:t>
      </w:r>
      <w:proofErr w:type="spellStart"/>
      <w:r w:rsidRPr="00D63A05">
        <w:rPr>
          <w:rFonts w:ascii="Arial" w:eastAsia="Calibri" w:hAnsi="Arial" w:cs="Arial"/>
          <w:b/>
          <w:sz w:val="22"/>
          <w:szCs w:val="22"/>
          <w:lang w:val="es-ES_tradnl" w:eastAsia="en-US"/>
        </w:rPr>
        <w:t>Subsanabilidad</w:t>
      </w:r>
      <w:proofErr w:type="spellEnd"/>
    </w:p>
    <w:p w14:paraId="2CCA1F8C" w14:textId="77777777" w:rsidR="00D63A05" w:rsidRPr="00D63A05" w:rsidRDefault="00D63A05" w:rsidP="00D63A05">
      <w:pPr>
        <w:jc w:val="both"/>
        <w:rPr>
          <w:rFonts w:ascii="Arial" w:eastAsia="Calibri" w:hAnsi="Arial" w:cs="Arial"/>
          <w:sz w:val="20"/>
          <w:szCs w:val="20"/>
          <w:lang w:val="es-ES_tradnl" w:eastAsia="en-US"/>
        </w:rPr>
      </w:pPr>
    </w:p>
    <w:p w14:paraId="6128FB00" w14:textId="77777777" w:rsidR="00D63A05" w:rsidRPr="00D63A05" w:rsidRDefault="00D63A05" w:rsidP="00D63A05">
      <w:pPr>
        <w:jc w:val="both"/>
        <w:rPr>
          <w:rFonts w:ascii="Arial" w:eastAsia="Calibri" w:hAnsi="Arial" w:cs="Arial"/>
          <w:sz w:val="20"/>
          <w:szCs w:val="20"/>
          <w:lang w:val="es-ES" w:eastAsia="en-US"/>
        </w:rPr>
      </w:pPr>
      <w:r w:rsidRPr="00D63A05">
        <w:rPr>
          <w:rFonts w:ascii="Arial" w:eastAsia="Calibri" w:hAnsi="Arial" w:cs="Arial"/>
          <w:sz w:val="20"/>
          <w:szCs w:val="20"/>
          <w:lang w:val="es-ES" w:eastAsia="en-US"/>
        </w:rPr>
        <w:t>[…]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7C32113A" w14:textId="77777777" w:rsidR="00D63A05" w:rsidRPr="00D63A05" w:rsidRDefault="00D63A05" w:rsidP="00D63A05">
      <w:pPr>
        <w:jc w:val="both"/>
        <w:rPr>
          <w:rFonts w:ascii="Arial" w:eastAsia="Calibri" w:hAnsi="Arial" w:cs="Arial"/>
          <w:sz w:val="20"/>
          <w:szCs w:val="20"/>
          <w:lang w:val="es-ES_tradnl" w:eastAsia="en-US"/>
        </w:rPr>
      </w:pPr>
    </w:p>
    <w:p w14:paraId="5D0B359F" w14:textId="2A93A6BB" w:rsidR="00BB0E2F" w:rsidRDefault="001022AE" w:rsidP="00DA7C99">
      <w:pPr>
        <w:jc w:val="both"/>
        <w:rPr>
          <w:rFonts w:ascii="Arial" w:eastAsia="Calibri" w:hAnsi="Arial" w:cs="Arial"/>
          <w:b/>
          <w:sz w:val="22"/>
          <w:szCs w:val="22"/>
          <w:lang w:val="es-MX" w:eastAsia="en-US"/>
        </w:rPr>
      </w:pPr>
      <w:r>
        <w:rPr>
          <w:rFonts w:ascii="Arial" w:eastAsia="Calibri" w:hAnsi="Arial" w:cs="Arial"/>
          <w:b/>
          <w:color w:val="000000" w:themeColor="text1"/>
          <w:sz w:val="22"/>
          <w:szCs w:val="22"/>
          <w:lang w:val="es-ES_tradnl" w:eastAsia="en-US"/>
        </w:rPr>
        <w:t xml:space="preserve">SUBSANABILIDAD DE LAS OFERTAS </w:t>
      </w:r>
      <w:r w:rsidRPr="00D63A05">
        <w:rPr>
          <w:rFonts w:ascii="Arial" w:eastAsia="Calibri" w:hAnsi="Arial" w:cs="Arial"/>
          <w:b/>
          <w:sz w:val="22"/>
          <w:szCs w:val="22"/>
          <w:lang w:val="es-MX" w:eastAsia="en-US"/>
        </w:rPr>
        <w:t>–</w:t>
      </w:r>
      <w:r>
        <w:rPr>
          <w:rFonts w:ascii="Arial" w:eastAsia="Calibri" w:hAnsi="Arial" w:cs="Arial"/>
          <w:b/>
          <w:sz w:val="22"/>
          <w:szCs w:val="22"/>
          <w:lang w:val="es-MX" w:eastAsia="en-US"/>
        </w:rPr>
        <w:t xml:space="preserve"> Alcance de la regla </w:t>
      </w:r>
      <w:r w:rsidRPr="00D63A05">
        <w:rPr>
          <w:rFonts w:ascii="Arial" w:eastAsia="Calibri" w:hAnsi="Arial" w:cs="Arial"/>
          <w:b/>
          <w:sz w:val="22"/>
          <w:szCs w:val="22"/>
          <w:lang w:val="es-MX" w:eastAsia="en-US"/>
        </w:rPr>
        <w:t>–</w:t>
      </w:r>
      <w:r>
        <w:rPr>
          <w:rFonts w:ascii="Arial" w:eastAsia="Calibri" w:hAnsi="Arial" w:cs="Arial"/>
          <w:b/>
          <w:sz w:val="22"/>
          <w:szCs w:val="22"/>
          <w:lang w:val="es-MX" w:eastAsia="en-US"/>
        </w:rPr>
        <w:t xml:space="preserve"> Ley 1882 de 2018</w:t>
      </w:r>
      <w:r w:rsidR="000E73E1">
        <w:rPr>
          <w:rFonts w:ascii="Arial" w:eastAsia="Calibri" w:hAnsi="Arial" w:cs="Arial"/>
          <w:b/>
          <w:sz w:val="22"/>
          <w:szCs w:val="22"/>
          <w:lang w:val="es-MX" w:eastAsia="en-US"/>
        </w:rPr>
        <w:t xml:space="preserve"> – </w:t>
      </w:r>
      <w:r w:rsidR="002C615C">
        <w:rPr>
          <w:rFonts w:ascii="Arial" w:eastAsia="Calibri" w:hAnsi="Arial" w:cs="Arial"/>
          <w:b/>
          <w:sz w:val="22"/>
          <w:szCs w:val="22"/>
          <w:lang w:val="es-MX" w:eastAsia="en-US"/>
        </w:rPr>
        <w:t>Á</w:t>
      </w:r>
      <w:r w:rsidR="000E73E1">
        <w:rPr>
          <w:rFonts w:ascii="Arial" w:eastAsia="Calibri" w:hAnsi="Arial" w:cs="Arial"/>
          <w:b/>
          <w:sz w:val="22"/>
          <w:szCs w:val="22"/>
          <w:lang w:val="es-MX" w:eastAsia="en-US"/>
        </w:rPr>
        <w:t>mbito temporal –</w:t>
      </w:r>
      <w:r w:rsidR="002C615C">
        <w:rPr>
          <w:rFonts w:ascii="Arial" w:eastAsia="Calibri" w:hAnsi="Arial" w:cs="Arial"/>
          <w:b/>
          <w:sz w:val="22"/>
          <w:szCs w:val="22"/>
          <w:lang w:val="es-MX" w:eastAsia="en-US"/>
        </w:rPr>
        <w:t xml:space="preserve"> C</w:t>
      </w:r>
      <w:r w:rsidR="000E73E1">
        <w:rPr>
          <w:rFonts w:ascii="Arial" w:eastAsia="Calibri" w:hAnsi="Arial" w:cs="Arial"/>
          <w:b/>
          <w:sz w:val="22"/>
          <w:szCs w:val="22"/>
          <w:lang w:val="es-MX" w:eastAsia="en-US"/>
        </w:rPr>
        <w:t>riterio material</w:t>
      </w:r>
    </w:p>
    <w:p w14:paraId="4433999E" w14:textId="55613909" w:rsidR="001022AE" w:rsidRDefault="001022AE" w:rsidP="00DA7C99">
      <w:pPr>
        <w:jc w:val="both"/>
        <w:rPr>
          <w:rFonts w:ascii="Arial" w:eastAsia="Calibri" w:hAnsi="Arial" w:cs="Arial"/>
          <w:b/>
          <w:sz w:val="22"/>
          <w:szCs w:val="22"/>
          <w:lang w:val="es-MX" w:eastAsia="en-US"/>
        </w:rPr>
      </w:pPr>
    </w:p>
    <w:p w14:paraId="54865863" w14:textId="4182CFA7" w:rsidR="00F74ECA" w:rsidRDefault="00F74ECA" w:rsidP="002C615C">
      <w:pPr>
        <w:jc w:val="both"/>
        <w:rPr>
          <w:rFonts w:ascii="Arial" w:eastAsiaTheme="minorHAnsi" w:hAnsi="Arial" w:cs="Arial"/>
          <w:sz w:val="20"/>
          <w:szCs w:val="20"/>
          <w:lang w:val="es-ES_tradnl" w:eastAsia="en-US"/>
        </w:rPr>
      </w:pPr>
      <w:r w:rsidRPr="002C615C">
        <w:rPr>
          <w:rFonts w:ascii="Arial" w:eastAsiaTheme="minorHAnsi" w:hAnsi="Arial" w:cs="Arial"/>
          <w:sz w:val="20"/>
          <w:szCs w:val="20"/>
          <w:lang w:val="es-ES_tradnl" w:eastAsia="en-U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0473A2E3" w14:textId="77777777" w:rsidR="000E73E1" w:rsidRPr="002C615C" w:rsidRDefault="000E73E1" w:rsidP="002C615C">
      <w:pPr>
        <w:jc w:val="both"/>
        <w:rPr>
          <w:rFonts w:ascii="Arial" w:eastAsiaTheme="minorHAnsi" w:hAnsi="Arial" w:cs="Arial"/>
          <w:sz w:val="20"/>
          <w:szCs w:val="20"/>
          <w:lang w:val="es-ES_tradnl" w:eastAsia="en-US"/>
        </w:rPr>
      </w:pPr>
    </w:p>
    <w:p w14:paraId="40F9AABA" w14:textId="6B33CF8E" w:rsidR="00F74ECA" w:rsidRDefault="00F74ECA" w:rsidP="002C615C">
      <w:pPr>
        <w:jc w:val="both"/>
        <w:rPr>
          <w:rFonts w:ascii="Arial" w:eastAsia="Calibri" w:hAnsi="Arial" w:cs="Arial"/>
          <w:sz w:val="20"/>
          <w:szCs w:val="20"/>
          <w:lang w:val="es-ES_tradnl" w:eastAsia="en-US"/>
        </w:rPr>
      </w:pPr>
      <w:r w:rsidRPr="002C615C">
        <w:rPr>
          <w:rFonts w:ascii="Arial" w:eastAsiaTheme="minorHAnsi" w:hAnsi="Arial" w:cs="Arial"/>
          <w:i/>
          <w:iCs/>
          <w:sz w:val="20"/>
          <w:szCs w:val="20"/>
          <w:lang w:val="es-ES_tradnl" w:eastAsia="en-US"/>
        </w:rPr>
        <w:t>El primero</w:t>
      </w:r>
      <w:r w:rsidRPr="002C615C">
        <w:rPr>
          <w:rFonts w:ascii="Arial" w:eastAsiaTheme="minorHAnsi" w:hAnsi="Arial" w:cs="Arial"/>
          <w:sz w:val="20"/>
          <w:szCs w:val="20"/>
          <w:lang w:val="es-ES_tradnl" w:eastAsia="en-US"/>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2C615C">
        <w:rPr>
          <w:rFonts w:ascii="Arial" w:eastAsia="Calibri" w:hAnsi="Arial" w:cs="Arial"/>
          <w:sz w:val="20"/>
          <w:szCs w:val="20"/>
          <w:lang w:val="es-ES_tradnl" w:eastAsia="en-US"/>
        </w:rPr>
        <w:t xml:space="preserve">de selección a través del sistema de subasta; en el último los documentos o requisitos subsanables pueden y deben solicitarse hasta el momento previo a su realización.  </w:t>
      </w:r>
    </w:p>
    <w:p w14:paraId="3DAE7039" w14:textId="77777777" w:rsidR="000E73E1" w:rsidRPr="002C615C" w:rsidRDefault="000E73E1" w:rsidP="002C615C">
      <w:pPr>
        <w:jc w:val="both"/>
        <w:rPr>
          <w:rFonts w:ascii="Arial" w:eastAsiaTheme="minorHAnsi" w:hAnsi="Arial" w:cs="Arial"/>
          <w:sz w:val="20"/>
          <w:szCs w:val="20"/>
          <w:lang w:val="es-ES_tradnl" w:eastAsia="en-US"/>
        </w:rPr>
      </w:pPr>
    </w:p>
    <w:p w14:paraId="22E990CB" w14:textId="2783D3AA" w:rsidR="000E73E1" w:rsidRDefault="000E73E1" w:rsidP="002C615C">
      <w:pPr>
        <w:jc w:val="both"/>
        <w:rPr>
          <w:rFonts w:ascii="Arial" w:eastAsiaTheme="minorHAnsi" w:hAnsi="Arial" w:cs="Arial"/>
          <w:sz w:val="20"/>
          <w:szCs w:val="20"/>
          <w:lang w:val="es-ES_tradnl" w:eastAsia="en-US"/>
        </w:rPr>
      </w:pPr>
      <w:r w:rsidRPr="002C615C">
        <w:rPr>
          <w:rFonts w:ascii="Arial" w:eastAsia="Calibri" w:hAnsi="Arial" w:cs="Arial"/>
          <w:sz w:val="20"/>
          <w:szCs w:val="20"/>
          <w:lang w:val="es-ES_tradnl" w:eastAsia="en-US"/>
        </w:rPr>
        <w:t xml:space="preserve">De otro lado, </w:t>
      </w:r>
      <w:r w:rsidRPr="002C615C">
        <w:rPr>
          <w:rFonts w:ascii="Arial" w:eastAsia="Calibri" w:hAnsi="Arial" w:cs="Arial"/>
          <w:i/>
          <w:iCs/>
          <w:sz w:val="20"/>
          <w:szCs w:val="20"/>
          <w:lang w:val="es-ES_tradnl" w:eastAsia="en-US"/>
        </w:rPr>
        <w:t>el segundo</w:t>
      </w:r>
      <w:r w:rsidRPr="002C615C">
        <w:rPr>
          <w:rFonts w:ascii="Arial" w:eastAsia="Calibri" w:hAnsi="Arial" w:cs="Arial"/>
          <w:sz w:val="20"/>
          <w:szCs w:val="20"/>
          <w:lang w:val="es-ES_tradnl" w:eastAsia="en-US"/>
        </w:rPr>
        <w:t xml:space="preserve"> cambio importante de la Ley 1882 de 2018 fue la introducción de un criterio material, directamente relacionado con los aspectos subsanables: «</w:t>
      </w:r>
      <w:r w:rsidRPr="002C615C">
        <w:rPr>
          <w:rFonts w:ascii="Arial" w:eastAsiaTheme="minorHAnsi" w:hAnsi="Arial" w:cs="Arial"/>
          <w:sz w:val="20"/>
          <w:szCs w:val="20"/>
          <w:lang w:val="es-ES_tradnl" w:eastAsia="en-US"/>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075BF7D5" w14:textId="77777777" w:rsidR="000E73E1" w:rsidRPr="002C615C" w:rsidRDefault="000E73E1" w:rsidP="002C615C">
      <w:pPr>
        <w:jc w:val="both"/>
        <w:rPr>
          <w:rFonts w:ascii="Arial" w:eastAsiaTheme="minorHAnsi" w:hAnsi="Arial" w:cs="Arial"/>
          <w:sz w:val="20"/>
          <w:szCs w:val="20"/>
          <w:lang w:val="es-ES_tradnl" w:eastAsia="en-US"/>
        </w:rPr>
      </w:pPr>
    </w:p>
    <w:p w14:paraId="4BC91721" w14:textId="77777777" w:rsidR="000E73E1" w:rsidRDefault="000E73E1" w:rsidP="002C615C">
      <w:pPr>
        <w:jc w:val="both"/>
        <w:rPr>
          <w:rFonts w:ascii="Arial" w:eastAsiaTheme="minorHAnsi" w:hAnsi="Arial" w:cs="Arial"/>
          <w:sz w:val="20"/>
          <w:szCs w:val="20"/>
          <w:lang w:val="es-ES_tradnl" w:eastAsia="en-US"/>
        </w:rPr>
      </w:pPr>
      <w:r w:rsidRPr="002C615C">
        <w:rPr>
          <w:rFonts w:ascii="Arial" w:eastAsiaTheme="minorHAnsi" w:hAnsi="Arial" w:cs="Arial"/>
          <w:sz w:val="20"/>
          <w:szCs w:val="20"/>
          <w:lang w:val="es-ES_tradnl" w:eastAsia="en-US"/>
        </w:rPr>
        <w:t xml:space="preserve">[…] </w:t>
      </w:r>
    </w:p>
    <w:p w14:paraId="23DD50E1" w14:textId="77777777" w:rsidR="000E73E1" w:rsidRDefault="000E73E1" w:rsidP="002C615C">
      <w:pPr>
        <w:jc w:val="both"/>
        <w:rPr>
          <w:rFonts w:ascii="Arial" w:eastAsiaTheme="minorHAnsi" w:hAnsi="Arial" w:cs="Arial"/>
          <w:sz w:val="20"/>
          <w:szCs w:val="20"/>
          <w:lang w:val="es-ES_tradnl" w:eastAsia="en-US"/>
        </w:rPr>
      </w:pPr>
    </w:p>
    <w:p w14:paraId="2AB23C5F" w14:textId="6BBF4595" w:rsidR="000E73E1" w:rsidRPr="002C615C" w:rsidRDefault="000E73E1" w:rsidP="002C615C">
      <w:pPr>
        <w:jc w:val="both"/>
        <w:rPr>
          <w:rFonts w:ascii="Arial" w:eastAsia="Calibri" w:hAnsi="Arial" w:cs="Arial"/>
          <w:sz w:val="20"/>
          <w:szCs w:val="20"/>
          <w:lang w:val="es-ES_tradnl" w:eastAsia="en-US"/>
        </w:rPr>
      </w:pPr>
      <w:r w:rsidRPr="002C615C">
        <w:rPr>
          <w:rFonts w:ascii="Arial" w:eastAsia="Calibri" w:hAnsi="Arial" w:cs="Arial"/>
          <w:sz w:val="20"/>
          <w:szCs w:val="20"/>
          <w:lang w:val="es-ES_tradnl" w:eastAsia="en-U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15534E8" w14:textId="535E6852" w:rsidR="001022AE" w:rsidRDefault="001022AE" w:rsidP="002C615C">
      <w:pPr>
        <w:spacing w:before="120" w:after="120" w:line="276" w:lineRule="auto"/>
        <w:jc w:val="both"/>
        <w:rPr>
          <w:rFonts w:ascii="Arial" w:eastAsia="Calibri" w:hAnsi="Arial" w:cs="Arial"/>
          <w:sz w:val="22"/>
          <w:szCs w:val="22"/>
          <w:lang w:val="es-ES_tradnl" w:eastAsia="en-US"/>
        </w:rPr>
      </w:pPr>
    </w:p>
    <w:p w14:paraId="67D4F91D" w14:textId="7EB9AC1D" w:rsidR="002376FD" w:rsidRDefault="002376FD" w:rsidP="002376FD">
      <w:pPr>
        <w:spacing w:line="276" w:lineRule="auto"/>
        <w:jc w:val="both"/>
        <w:rPr>
          <w:rFonts w:ascii="Arial" w:eastAsia="Calibri" w:hAnsi="Arial" w:cs="Arial"/>
          <w:b/>
          <w:bCs/>
          <w:sz w:val="22"/>
          <w:szCs w:val="22"/>
          <w:lang w:val="es-MX" w:eastAsia="en-US"/>
        </w:rPr>
      </w:pPr>
      <w:r w:rsidRPr="002376FD">
        <w:rPr>
          <w:rFonts w:ascii="Arial" w:eastAsia="Calibri" w:hAnsi="Arial" w:cs="Arial"/>
          <w:b/>
          <w:bCs/>
          <w:sz w:val="22"/>
          <w:szCs w:val="22"/>
          <w:lang w:val="es-MX" w:eastAsia="en-US"/>
        </w:rPr>
        <w:lastRenderedPageBreak/>
        <w:t>SUBSANABILIDAD – Alcance – Sentencia con Expediente 65134 – Requisitos habilitantes – criterios de puntuación.</w:t>
      </w:r>
    </w:p>
    <w:p w14:paraId="340CDD0E" w14:textId="4C40AB7D" w:rsidR="002376FD" w:rsidRDefault="002376FD" w:rsidP="002376FD">
      <w:pPr>
        <w:spacing w:line="276" w:lineRule="auto"/>
        <w:jc w:val="both"/>
        <w:rPr>
          <w:rFonts w:ascii="Arial" w:eastAsia="Calibri" w:hAnsi="Arial" w:cs="Arial"/>
          <w:b/>
          <w:bCs/>
          <w:sz w:val="22"/>
          <w:szCs w:val="22"/>
          <w:lang w:val="es-MX" w:eastAsia="en-US"/>
        </w:rPr>
      </w:pPr>
    </w:p>
    <w:p w14:paraId="583BD5C6" w14:textId="77777777" w:rsidR="00C0544C" w:rsidRPr="00C0544C" w:rsidRDefault="00C0544C" w:rsidP="00C0544C">
      <w:pPr>
        <w:jc w:val="both"/>
        <w:rPr>
          <w:rFonts w:ascii="Arial" w:eastAsia="Calibri" w:hAnsi="Arial" w:cs="Arial"/>
          <w:color w:val="000000" w:themeColor="text1"/>
          <w:sz w:val="20"/>
          <w:szCs w:val="20"/>
          <w:lang w:val="es-MX"/>
        </w:rPr>
      </w:pPr>
      <w:r w:rsidRPr="00C0544C">
        <w:rPr>
          <w:rFonts w:ascii="Arial" w:hAnsi="Arial" w:cs="Arial"/>
          <w:color w:val="000000" w:themeColor="text1"/>
          <w:sz w:val="20"/>
          <w:szCs w:val="20"/>
          <w:shd w:val="clear" w:color="auto" w:fill="FFFFFF"/>
          <w:lang w:val="es-MX" w:eastAsia="es-ES"/>
        </w:rPr>
        <w:t xml:space="preserve">De lo expuesto, se evidencia que la razón para haber declarado la nulidad del acto de adjudicación obedeció a que el comité evaluador cambió las reglas consagradas en el pliego de condiciones, las cuales no permitían la subsanación de requisitos habilitantes, cuando los documentos respectivos también pudieran incidir en la asignación de puntaje. Aunado a lo anterior, en la misma sentencia se advierte que </w:t>
      </w:r>
      <w:r w:rsidRPr="00C0544C">
        <w:rPr>
          <w:rFonts w:ascii="Arial" w:hAnsi="Arial" w:cs="Arial"/>
          <w:bCs/>
          <w:color w:val="000000" w:themeColor="text1"/>
          <w:sz w:val="20"/>
          <w:szCs w:val="20"/>
          <w:shd w:val="clear" w:color="auto" w:fill="FFFFFF"/>
          <w:lang w:val="es-MX" w:eastAsia="es-ES"/>
        </w:rPr>
        <w:t>«</w:t>
      </w:r>
      <w:r w:rsidRPr="00C0544C">
        <w:rPr>
          <w:rFonts w:ascii="Arial" w:eastAsia="Calibri" w:hAnsi="Arial" w:cs="Arial"/>
          <w:color w:val="000000" w:themeColor="text1"/>
          <w:sz w:val="20"/>
          <w:szCs w:val="20"/>
          <w:lang w:val="es-MX"/>
        </w:rPr>
        <w:t xml:space="preserve">al </w:t>
      </w:r>
      <w:proofErr w:type="spellStart"/>
      <w:r w:rsidRPr="00C0544C">
        <w:rPr>
          <w:rFonts w:ascii="Arial" w:eastAsia="Calibri" w:hAnsi="Arial" w:cs="Arial"/>
          <w:color w:val="000000" w:themeColor="text1"/>
          <w:sz w:val="20"/>
          <w:szCs w:val="20"/>
          <w:lang w:val="es-MX"/>
        </w:rPr>
        <w:t>régimen</w:t>
      </w:r>
      <w:proofErr w:type="spellEnd"/>
      <w:r w:rsidRPr="00C0544C">
        <w:rPr>
          <w:rFonts w:ascii="Arial" w:eastAsia="Calibri" w:hAnsi="Arial" w:cs="Arial"/>
          <w:color w:val="000000" w:themeColor="text1"/>
          <w:sz w:val="20"/>
          <w:szCs w:val="20"/>
          <w:lang w:val="es-MX"/>
        </w:rPr>
        <w:t xml:space="preserve"> de </w:t>
      </w:r>
      <w:proofErr w:type="spellStart"/>
      <w:r w:rsidRPr="00C0544C">
        <w:rPr>
          <w:rFonts w:ascii="Arial" w:eastAsia="Calibri" w:hAnsi="Arial" w:cs="Arial"/>
          <w:color w:val="000000" w:themeColor="text1"/>
          <w:sz w:val="20"/>
          <w:szCs w:val="20"/>
          <w:lang w:val="es-MX"/>
        </w:rPr>
        <w:t>subsanabilidad</w:t>
      </w:r>
      <w:proofErr w:type="spellEnd"/>
      <w:r w:rsidRPr="00C0544C">
        <w:rPr>
          <w:rFonts w:ascii="Arial" w:eastAsia="Calibri" w:hAnsi="Arial" w:cs="Arial"/>
          <w:color w:val="000000" w:themeColor="text1"/>
          <w:sz w:val="20"/>
          <w:szCs w:val="20"/>
          <w:lang w:val="es-MX"/>
        </w:rPr>
        <w:t xml:space="preserve"> de las ofertas, </w:t>
      </w:r>
      <w:proofErr w:type="spellStart"/>
      <w:r w:rsidRPr="00C0544C">
        <w:rPr>
          <w:rFonts w:ascii="Arial" w:eastAsia="Calibri" w:hAnsi="Arial" w:cs="Arial"/>
          <w:color w:val="000000" w:themeColor="text1"/>
          <w:sz w:val="20"/>
          <w:szCs w:val="20"/>
          <w:lang w:val="es-MX"/>
        </w:rPr>
        <w:t>correspondera</w:t>
      </w:r>
      <w:proofErr w:type="spellEnd"/>
      <w:r w:rsidRPr="00C0544C">
        <w:rPr>
          <w:rFonts w:ascii="Arial" w:eastAsia="Calibri" w:hAnsi="Arial" w:cs="Arial"/>
          <w:color w:val="000000" w:themeColor="text1"/>
          <w:sz w:val="20"/>
          <w:szCs w:val="20"/>
          <w:lang w:val="es-MX"/>
        </w:rPr>
        <w:t xml:space="preserve">́ al juez del contrato, en cada caso, determinar la normativa aplicable, con el fin de establecer el alcance y las condiciones en las que procede la </w:t>
      </w:r>
      <w:proofErr w:type="spellStart"/>
      <w:r w:rsidRPr="00C0544C">
        <w:rPr>
          <w:rFonts w:ascii="Arial" w:eastAsia="Calibri" w:hAnsi="Arial" w:cs="Arial"/>
          <w:color w:val="000000" w:themeColor="text1"/>
          <w:sz w:val="20"/>
          <w:szCs w:val="20"/>
          <w:lang w:val="es-MX"/>
        </w:rPr>
        <w:t>subsanación</w:t>
      </w:r>
      <w:proofErr w:type="spellEnd"/>
      <w:r w:rsidRPr="00C0544C">
        <w:rPr>
          <w:rFonts w:ascii="Arial" w:eastAsia="Calibri" w:hAnsi="Arial" w:cs="Arial"/>
          <w:color w:val="000000" w:themeColor="text1"/>
          <w:sz w:val="20"/>
          <w:szCs w:val="20"/>
          <w:lang w:val="es-MX"/>
        </w:rPr>
        <w:t xml:space="preserve"> de las ofertas</w:t>
      </w:r>
      <w:r w:rsidRPr="00C0544C">
        <w:rPr>
          <w:rFonts w:ascii="Arial" w:hAnsi="Arial" w:cs="Arial"/>
          <w:bCs/>
          <w:color w:val="000000" w:themeColor="text1"/>
          <w:sz w:val="20"/>
          <w:szCs w:val="20"/>
          <w:shd w:val="clear" w:color="auto" w:fill="FFFFFF"/>
          <w:lang w:val="es-MX" w:eastAsia="es-ES"/>
        </w:rPr>
        <w:t>»</w:t>
      </w:r>
      <w:r w:rsidRPr="00C0544C">
        <w:rPr>
          <w:rFonts w:ascii="Arial" w:eastAsia="Calibri" w:hAnsi="Arial" w:cs="Arial"/>
          <w:color w:val="000000" w:themeColor="text1"/>
          <w:sz w:val="20"/>
          <w:szCs w:val="20"/>
          <w:lang w:val="es-MX"/>
        </w:rPr>
        <w:t xml:space="preserve">. </w:t>
      </w:r>
      <w:r w:rsidRPr="00C0544C">
        <w:rPr>
          <w:rFonts w:ascii="Arial" w:hAnsi="Arial" w:cs="Arial"/>
          <w:bCs/>
          <w:color w:val="000000" w:themeColor="text1"/>
          <w:sz w:val="20"/>
          <w:szCs w:val="20"/>
          <w:shd w:val="clear" w:color="auto" w:fill="FFFFFF"/>
          <w:lang w:val="es-MX" w:eastAsia="es-ES"/>
        </w:rPr>
        <w:t xml:space="preserve">Por las anteriores razones, no existe una contradicción entre los planteamientos de la sentencia y las consideraciones expresadas por esta Agencia en los diferentes conceptos. </w:t>
      </w:r>
    </w:p>
    <w:p w14:paraId="1B0B9A2F" w14:textId="77777777" w:rsidR="00C0544C" w:rsidRDefault="00C0544C" w:rsidP="00C0544C">
      <w:pPr>
        <w:tabs>
          <w:tab w:val="left" w:pos="0"/>
          <w:tab w:val="left" w:pos="8577"/>
        </w:tabs>
        <w:jc w:val="both"/>
        <w:rPr>
          <w:rFonts w:ascii="Arial" w:hAnsi="Arial" w:cs="Arial"/>
          <w:bCs/>
          <w:color w:val="000000" w:themeColor="text1"/>
          <w:sz w:val="20"/>
          <w:szCs w:val="20"/>
          <w:shd w:val="clear" w:color="auto" w:fill="FFFFFF"/>
          <w:lang w:val="es-MX" w:eastAsia="es-ES"/>
        </w:rPr>
      </w:pPr>
    </w:p>
    <w:p w14:paraId="0A84F1C9" w14:textId="115F9609" w:rsidR="00C0544C" w:rsidRPr="00C0544C" w:rsidRDefault="00C0544C" w:rsidP="00C0544C">
      <w:pPr>
        <w:tabs>
          <w:tab w:val="left" w:pos="0"/>
          <w:tab w:val="left" w:pos="8577"/>
        </w:tabs>
        <w:jc w:val="both"/>
        <w:rPr>
          <w:rFonts w:ascii="Arial" w:hAnsi="Arial" w:cs="Arial"/>
          <w:bCs/>
          <w:color w:val="000000" w:themeColor="text1"/>
          <w:sz w:val="20"/>
          <w:szCs w:val="20"/>
          <w:shd w:val="clear" w:color="auto" w:fill="FFFFFF"/>
          <w:lang w:val="es-MX" w:eastAsia="es-ES"/>
        </w:rPr>
      </w:pPr>
      <w:r w:rsidRPr="00C0544C">
        <w:rPr>
          <w:rFonts w:ascii="Arial" w:hAnsi="Arial" w:cs="Arial"/>
          <w:bCs/>
          <w:color w:val="000000" w:themeColor="text1"/>
          <w:sz w:val="20"/>
          <w:szCs w:val="20"/>
          <w:shd w:val="clear" w:color="auto" w:fill="FFFFFF"/>
          <w:lang w:val="es-MX" w:eastAsia="es-ES"/>
        </w:rPr>
        <w:t xml:space="preserve">En cualquier caso, esta Subdirección considera pertinente resaltar que, con base en la normativa vigente, todos los requisitos de la propuesta que no afecten la asignación de puntaje deberán ser solicitados por las entidades estatales para permitir la subsanación de las ofertas, pues ese es el tenor literal del artículo 5 de la Ley 1150 de 2007, modificado por el artículo 5 de la Ley 1882 del 2018. Esta posición se realiza de conformidad con la voluntad expresa del legislador y que, ante la claridad de la expresión «todos aquellos», incluida en dicha norma, le está vedado al operador jurídico hacer distinciones para excluir la aplicación de la </w:t>
      </w:r>
      <w:proofErr w:type="spellStart"/>
      <w:r w:rsidRPr="00C0544C">
        <w:rPr>
          <w:rFonts w:ascii="Arial" w:hAnsi="Arial" w:cs="Arial"/>
          <w:bCs/>
          <w:color w:val="000000" w:themeColor="text1"/>
          <w:sz w:val="20"/>
          <w:szCs w:val="20"/>
          <w:shd w:val="clear" w:color="auto" w:fill="FFFFFF"/>
          <w:lang w:val="es-MX" w:eastAsia="es-ES"/>
        </w:rPr>
        <w:t>subsanabilidad</w:t>
      </w:r>
      <w:proofErr w:type="spellEnd"/>
      <w:r w:rsidRPr="00C0544C">
        <w:rPr>
          <w:rFonts w:ascii="Arial" w:hAnsi="Arial" w:cs="Arial"/>
          <w:bCs/>
          <w:color w:val="000000" w:themeColor="text1"/>
          <w:sz w:val="20"/>
          <w:szCs w:val="20"/>
          <w:shd w:val="clear" w:color="auto" w:fill="FFFFFF"/>
          <w:lang w:val="es-MX" w:eastAsia="es-ES"/>
        </w:rPr>
        <w:t xml:space="preserve"> en casos distintos a los que la Ley prevé. </w:t>
      </w:r>
    </w:p>
    <w:p w14:paraId="2F0700D7" w14:textId="77777777" w:rsidR="00C0544C" w:rsidRDefault="00C0544C" w:rsidP="00C0544C">
      <w:pPr>
        <w:tabs>
          <w:tab w:val="left" w:pos="0"/>
          <w:tab w:val="left" w:pos="8577"/>
        </w:tabs>
        <w:jc w:val="both"/>
        <w:rPr>
          <w:rFonts w:ascii="Arial" w:hAnsi="Arial" w:cs="Arial"/>
          <w:bCs/>
          <w:color w:val="000000" w:themeColor="text1"/>
          <w:sz w:val="20"/>
          <w:szCs w:val="20"/>
          <w:shd w:val="clear" w:color="auto" w:fill="FFFFFF"/>
          <w:lang w:val="es-MX" w:eastAsia="es-ES"/>
        </w:rPr>
      </w:pPr>
    </w:p>
    <w:p w14:paraId="293C723B" w14:textId="5ACABECF" w:rsidR="00C0544C" w:rsidRPr="00C0544C" w:rsidRDefault="00C0544C" w:rsidP="00C0544C">
      <w:pPr>
        <w:tabs>
          <w:tab w:val="left" w:pos="0"/>
          <w:tab w:val="left" w:pos="8577"/>
        </w:tabs>
        <w:jc w:val="both"/>
        <w:rPr>
          <w:rFonts w:ascii="Arial" w:hAnsi="Arial" w:cs="Arial"/>
          <w:bCs/>
          <w:color w:val="000000" w:themeColor="text1"/>
          <w:sz w:val="20"/>
          <w:szCs w:val="20"/>
          <w:shd w:val="clear" w:color="auto" w:fill="FFFFFF"/>
          <w:lang w:val="es-MX" w:eastAsia="es-ES"/>
        </w:rPr>
      </w:pPr>
      <w:r w:rsidRPr="00C0544C">
        <w:rPr>
          <w:rFonts w:ascii="Arial" w:hAnsi="Arial" w:cs="Arial"/>
          <w:bCs/>
          <w:color w:val="000000" w:themeColor="text1"/>
          <w:sz w:val="20"/>
          <w:szCs w:val="20"/>
          <w:shd w:val="clear" w:color="auto" w:fill="FFFFFF"/>
          <w:lang w:val="es-MX" w:eastAsia="es-ES"/>
        </w:rPr>
        <w:t xml:space="preserve">Además de lo anterior, resulta importante destacar que la línea interpretativa que ha mantenido el  Consejo de Estado se dirige a comprender la figura de la </w:t>
      </w:r>
      <w:proofErr w:type="spellStart"/>
      <w:r w:rsidRPr="00C0544C">
        <w:rPr>
          <w:rFonts w:ascii="Arial" w:hAnsi="Arial" w:cs="Arial"/>
          <w:bCs/>
          <w:color w:val="000000" w:themeColor="text1"/>
          <w:sz w:val="20"/>
          <w:szCs w:val="20"/>
          <w:shd w:val="clear" w:color="auto" w:fill="FFFFFF"/>
          <w:lang w:val="es-MX" w:eastAsia="es-ES"/>
        </w:rPr>
        <w:t>subsanabilidad</w:t>
      </w:r>
      <w:proofErr w:type="spellEnd"/>
      <w:r w:rsidRPr="00C0544C">
        <w:rPr>
          <w:rFonts w:ascii="Arial" w:hAnsi="Arial" w:cs="Arial"/>
          <w:bCs/>
          <w:color w:val="000000" w:themeColor="text1"/>
          <w:sz w:val="20"/>
          <w:szCs w:val="20"/>
          <w:shd w:val="clear" w:color="auto" w:fill="FFFFFF"/>
          <w:lang w:val="es-MX" w:eastAsia="es-ES"/>
        </w:rPr>
        <w:t xml:space="preserve"> de las ofertas –con el alcance que se haya definido en las normas vigentes en un momento determinado–, como parte del principio de selección objetiva y como una manifestación de la prevalencia del derecho sustancial sobre el procesal, en virtud de lo previsto en el artículo 228 de la Constitución Política y en el artículo 25 de la Ley 80 de 1993. De modo que también esa Corporación ha entendido, de forma general, que debe permitirse subsanar en todos los casos en que la normativa vigente lo permita, por lo cual una interpretación en la que se restrinja su ejercicio en circunstancias distintas a las fijadas en la ley sería contraria a tales postulados.</w:t>
      </w:r>
    </w:p>
    <w:p w14:paraId="48E58DA0" w14:textId="77777777" w:rsidR="00C0544C" w:rsidRDefault="00C0544C" w:rsidP="00C0544C">
      <w:pPr>
        <w:tabs>
          <w:tab w:val="left" w:pos="0"/>
          <w:tab w:val="left" w:pos="8577"/>
        </w:tabs>
        <w:jc w:val="both"/>
        <w:rPr>
          <w:rFonts w:ascii="Arial" w:hAnsi="Arial" w:cs="Arial"/>
          <w:bCs/>
          <w:color w:val="000000" w:themeColor="text1"/>
          <w:sz w:val="20"/>
          <w:szCs w:val="20"/>
          <w:shd w:val="clear" w:color="auto" w:fill="FFFFFF"/>
          <w:lang w:val="es-MX" w:eastAsia="es-ES"/>
        </w:rPr>
      </w:pPr>
    </w:p>
    <w:p w14:paraId="0EF6FC7B" w14:textId="24E03888" w:rsidR="00C0544C" w:rsidRPr="00C0544C" w:rsidRDefault="00C0544C" w:rsidP="00C0544C">
      <w:pPr>
        <w:tabs>
          <w:tab w:val="left" w:pos="0"/>
          <w:tab w:val="left" w:pos="8577"/>
        </w:tabs>
        <w:jc w:val="both"/>
        <w:rPr>
          <w:rFonts w:ascii="Arial" w:hAnsi="Arial" w:cs="Arial"/>
          <w:bCs/>
          <w:color w:val="000000" w:themeColor="text1"/>
          <w:sz w:val="20"/>
          <w:szCs w:val="20"/>
          <w:shd w:val="clear" w:color="auto" w:fill="FFFFFF"/>
          <w:lang w:val="es-MX" w:eastAsia="es-ES"/>
        </w:rPr>
      </w:pPr>
      <w:r w:rsidRPr="00C0544C">
        <w:rPr>
          <w:rFonts w:ascii="Arial" w:hAnsi="Arial" w:cs="Arial"/>
          <w:bCs/>
          <w:color w:val="000000" w:themeColor="text1"/>
          <w:sz w:val="20"/>
          <w:szCs w:val="20"/>
          <w:shd w:val="clear" w:color="auto" w:fill="FFFFFF"/>
          <w:lang w:val="es-MX" w:eastAsia="es-ES"/>
        </w:rPr>
        <w:t xml:space="preserve">Por todo lo anterior, la interpretación según la cual cuando el contenido de un documento pueda usarse para acreditar requisitos habilitantes y a la vez para acreditar factores de ponderación, debe excluirse la posibilidad de subsanar los primeros, no resulta ajustada a la reglas fijadas en el artículo 5 de la Ley 1150 de 2007, modificado por el artículo 5 de la Ley 1882 del 2018, pues, restringe el derecho de los proponentes y, por tanto, su posibilidad de pasar a la etapa de calificación, en la cual, se insiste, no podrían tenerse en cuenta los documentos subsanados, para la asignación de puntaje. </w:t>
      </w:r>
    </w:p>
    <w:p w14:paraId="0DD6033C" w14:textId="77777777" w:rsidR="001022AE" w:rsidRPr="00C0544C" w:rsidRDefault="001022AE" w:rsidP="00DA7C99">
      <w:pPr>
        <w:jc w:val="both"/>
        <w:rPr>
          <w:rFonts w:ascii="Arial" w:eastAsiaTheme="minorHAnsi" w:hAnsi="Arial" w:cs="Arial"/>
          <w:sz w:val="22"/>
          <w:szCs w:val="22"/>
          <w:lang w:val="es-MX" w:eastAsia="en-US"/>
        </w:rPr>
      </w:pPr>
    </w:p>
    <w:p w14:paraId="58601FCB" w14:textId="0BB21DB3" w:rsidR="00BB0E2F" w:rsidRPr="005A7019" w:rsidRDefault="00BB0E2F" w:rsidP="005A7019">
      <w:pPr>
        <w:tabs>
          <w:tab w:val="left" w:pos="3374"/>
        </w:tabs>
        <w:jc w:val="right"/>
        <w:rPr>
          <w:rFonts w:ascii="Arial" w:eastAsiaTheme="minorHAnsi" w:hAnsi="Arial" w:cs="Arial"/>
          <w:sz w:val="22"/>
          <w:szCs w:val="22"/>
          <w:lang w:eastAsia="en-US"/>
        </w:rPr>
      </w:pPr>
    </w:p>
    <w:p w14:paraId="74E46A9D" w14:textId="24747395" w:rsidR="00CB28CA" w:rsidRPr="00876BC0" w:rsidRDefault="00CB28CA" w:rsidP="00CB28CA">
      <w:pPr>
        <w:widowControl w:val="0"/>
        <w:autoSpaceDE w:val="0"/>
        <w:autoSpaceDN w:val="0"/>
        <w:ind w:left="4825"/>
        <w:rPr>
          <w:rFonts w:eastAsia="Arial MT" w:hAnsi="Arial MT" w:cs="Arial MT"/>
          <w:noProof/>
          <w:sz w:val="20"/>
          <w:szCs w:val="22"/>
          <w:lang w:eastAsia="en-US"/>
        </w:rPr>
      </w:pPr>
    </w:p>
    <w:p w14:paraId="2282DE44" w14:textId="519691A2" w:rsidR="007E7CAC" w:rsidRPr="00876BC0" w:rsidRDefault="007E7CAC" w:rsidP="00CB28CA">
      <w:pPr>
        <w:widowControl w:val="0"/>
        <w:autoSpaceDE w:val="0"/>
        <w:autoSpaceDN w:val="0"/>
        <w:ind w:left="4825"/>
        <w:rPr>
          <w:rFonts w:eastAsia="Arial MT" w:hAnsi="Arial MT" w:cs="Arial MT"/>
          <w:noProof/>
          <w:sz w:val="20"/>
          <w:szCs w:val="22"/>
          <w:lang w:eastAsia="en-US"/>
        </w:rPr>
      </w:pPr>
    </w:p>
    <w:p w14:paraId="185DDC61" w14:textId="5AAEB44C" w:rsidR="007E7CAC" w:rsidRPr="00876BC0" w:rsidRDefault="007E7CAC" w:rsidP="00CB28CA">
      <w:pPr>
        <w:widowControl w:val="0"/>
        <w:autoSpaceDE w:val="0"/>
        <w:autoSpaceDN w:val="0"/>
        <w:ind w:left="4825"/>
        <w:rPr>
          <w:rFonts w:eastAsia="Arial MT" w:hAnsi="Arial MT" w:cs="Arial MT"/>
          <w:noProof/>
          <w:sz w:val="20"/>
          <w:szCs w:val="22"/>
          <w:lang w:eastAsia="en-US"/>
        </w:rPr>
      </w:pPr>
    </w:p>
    <w:p w14:paraId="7B47BEE4" w14:textId="33E989BE" w:rsidR="007E7CAC" w:rsidRDefault="007E7CAC" w:rsidP="00CB28CA">
      <w:pPr>
        <w:widowControl w:val="0"/>
        <w:autoSpaceDE w:val="0"/>
        <w:autoSpaceDN w:val="0"/>
        <w:ind w:left="4825"/>
        <w:rPr>
          <w:rFonts w:eastAsia="Arial MT" w:hAnsi="Arial MT" w:cs="Arial MT"/>
          <w:sz w:val="20"/>
          <w:szCs w:val="22"/>
          <w:lang w:val="es-ES" w:eastAsia="en-US"/>
        </w:rPr>
      </w:pPr>
    </w:p>
    <w:p w14:paraId="2155FD57" w14:textId="581F88CE" w:rsidR="002376FD" w:rsidRDefault="002376FD" w:rsidP="00CB28CA">
      <w:pPr>
        <w:widowControl w:val="0"/>
        <w:autoSpaceDE w:val="0"/>
        <w:autoSpaceDN w:val="0"/>
        <w:ind w:left="4825"/>
        <w:rPr>
          <w:rFonts w:eastAsia="Arial MT" w:hAnsi="Arial MT" w:cs="Arial MT"/>
          <w:sz w:val="20"/>
          <w:szCs w:val="22"/>
          <w:lang w:val="es-ES" w:eastAsia="en-US"/>
        </w:rPr>
      </w:pPr>
    </w:p>
    <w:p w14:paraId="4CD038A7" w14:textId="00035215" w:rsidR="002376FD" w:rsidRDefault="002376FD" w:rsidP="00CB28CA">
      <w:pPr>
        <w:widowControl w:val="0"/>
        <w:autoSpaceDE w:val="0"/>
        <w:autoSpaceDN w:val="0"/>
        <w:ind w:left="4825"/>
        <w:rPr>
          <w:rFonts w:eastAsia="Arial MT" w:hAnsi="Arial MT" w:cs="Arial MT"/>
          <w:sz w:val="20"/>
          <w:szCs w:val="22"/>
          <w:lang w:val="es-ES" w:eastAsia="en-US"/>
        </w:rPr>
      </w:pPr>
    </w:p>
    <w:p w14:paraId="1A709ADD" w14:textId="578C801D" w:rsidR="002376FD" w:rsidRDefault="002376FD" w:rsidP="00CB28CA">
      <w:pPr>
        <w:widowControl w:val="0"/>
        <w:autoSpaceDE w:val="0"/>
        <w:autoSpaceDN w:val="0"/>
        <w:ind w:left="4825"/>
        <w:rPr>
          <w:rFonts w:eastAsia="Arial MT" w:hAnsi="Arial MT" w:cs="Arial MT"/>
          <w:sz w:val="20"/>
          <w:szCs w:val="22"/>
          <w:lang w:val="es-ES" w:eastAsia="en-US"/>
        </w:rPr>
      </w:pPr>
    </w:p>
    <w:p w14:paraId="441BBBE4" w14:textId="415E0477" w:rsidR="002376FD" w:rsidRDefault="002376FD" w:rsidP="00CB28CA">
      <w:pPr>
        <w:widowControl w:val="0"/>
        <w:autoSpaceDE w:val="0"/>
        <w:autoSpaceDN w:val="0"/>
        <w:ind w:left="4825"/>
        <w:rPr>
          <w:rFonts w:eastAsia="Arial MT" w:hAnsi="Arial MT" w:cs="Arial MT"/>
          <w:sz w:val="20"/>
          <w:szCs w:val="22"/>
          <w:lang w:val="es-ES" w:eastAsia="en-US"/>
        </w:rPr>
      </w:pPr>
    </w:p>
    <w:p w14:paraId="4EDE12F6" w14:textId="00CED1AD" w:rsidR="002376FD" w:rsidRDefault="002376FD" w:rsidP="00CB28CA">
      <w:pPr>
        <w:widowControl w:val="0"/>
        <w:autoSpaceDE w:val="0"/>
        <w:autoSpaceDN w:val="0"/>
        <w:ind w:left="4825"/>
        <w:rPr>
          <w:rFonts w:eastAsia="Arial MT" w:hAnsi="Arial MT" w:cs="Arial MT"/>
          <w:sz w:val="20"/>
          <w:szCs w:val="22"/>
          <w:lang w:val="es-ES" w:eastAsia="en-US"/>
        </w:rPr>
      </w:pPr>
    </w:p>
    <w:p w14:paraId="194E79C5" w14:textId="7AC262D2" w:rsidR="002376FD" w:rsidRDefault="002376FD" w:rsidP="00CB28CA">
      <w:pPr>
        <w:widowControl w:val="0"/>
        <w:autoSpaceDE w:val="0"/>
        <w:autoSpaceDN w:val="0"/>
        <w:ind w:left="4825"/>
        <w:rPr>
          <w:rFonts w:eastAsia="Arial MT" w:hAnsi="Arial MT" w:cs="Arial MT"/>
          <w:sz w:val="20"/>
          <w:szCs w:val="22"/>
          <w:lang w:val="es-ES" w:eastAsia="en-US"/>
        </w:rPr>
      </w:pPr>
    </w:p>
    <w:p w14:paraId="3AAFE7D3" w14:textId="77777777" w:rsidR="004838B3" w:rsidRDefault="004838B3" w:rsidP="004838B3">
      <w:pPr>
        <w:widowControl w:val="0"/>
        <w:autoSpaceDE w:val="0"/>
        <w:autoSpaceDN w:val="0"/>
        <w:spacing w:before="94"/>
        <w:ind w:right="533"/>
        <w:jc w:val="right"/>
        <w:rPr>
          <w:rFonts w:ascii="Arial" w:eastAsia="Arial MT" w:hAnsi="Arial MT" w:cs="Arial MT"/>
          <w:b/>
          <w:color w:val="585858"/>
          <w:sz w:val="18"/>
          <w:szCs w:val="22"/>
          <w:lang w:val="es-ES" w:eastAsia="en-US"/>
        </w:rPr>
      </w:pPr>
      <w:r w:rsidRPr="00621A4C">
        <w:rPr>
          <w:rFonts w:ascii="Arial" w:eastAsia="Arial MT" w:hAnsi="Arial MT" w:cs="Arial MT"/>
          <w:b/>
          <w:color w:val="585858"/>
          <w:sz w:val="18"/>
          <w:szCs w:val="22"/>
          <w:lang w:val="es-ES" w:eastAsia="en-US"/>
        </w:rPr>
        <w:lastRenderedPageBreak/>
        <w:t>CCE-DES-FM-17</w:t>
      </w:r>
    </w:p>
    <w:p w14:paraId="095D5E53" w14:textId="77777777" w:rsidR="004838B3" w:rsidRPr="00621A4C" w:rsidRDefault="004838B3" w:rsidP="004838B3">
      <w:pPr>
        <w:widowControl w:val="0"/>
        <w:autoSpaceDE w:val="0"/>
        <w:autoSpaceDN w:val="0"/>
        <w:spacing w:before="94"/>
        <w:ind w:right="533"/>
        <w:jc w:val="right"/>
        <w:rPr>
          <w:rFonts w:ascii="Arial" w:eastAsia="Arial MT" w:hAnsi="Arial MT" w:cs="Arial MT"/>
          <w:b/>
          <w:sz w:val="18"/>
          <w:szCs w:val="22"/>
          <w:lang w:val="es-ES" w:eastAsia="en-US"/>
        </w:rPr>
      </w:pPr>
    </w:p>
    <w:p w14:paraId="0DEEB380" w14:textId="1AA3265A" w:rsidR="00621A4C" w:rsidRPr="00621A4C" w:rsidRDefault="00621A4C" w:rsidP="00621A4C">
      <w:pPr>
        <w:widowControl w:val="0"/>
        <w:autoSpaceDE w:val="0"/>
        <w:autoSpaceDN w:val="0"/>
        <w:ind w:left="3812"/>
        <w:rPr>
          <w:rFonts w:eastAsia="Arial MT" w:hAnsi="Arial MT" w:cs="Arial MT"/>
          <w:sz w:val="20"/>
          <w:szCs w:val="22"/>
          <w:lang w:val="es-ES" w:eastAsia="en-US"/>
        </w:rPr>
      </w:pPr>
      <w:r>
        <w:rPr>
          <w:rFonts w:eastAsia="Arial MT" w:hAnsi="Arial MT" w:cs="Arial MT"/>
          <w:noProof/>
          <w:sz w:val="20"/>
          <w:szCs w:val="22"/>
          <w:lang w:eastAsia="es-CO"/>
        </w:rPr>
        <w:drawing>
          <wp:anchor distT="0" distB="0" distL="114300" distR="114300" simplePos="0" relativeHeight="251660288" behindDoc="0" locked="0" layoutInCell="1" allowOverlap="1" wp14:anchorId="7F8B3988" wp14:editId="3F642EF1">
            <wp:simplePos x="0" y="0"/>
            <wp:positionH relativeFrom="column">
              <wp:posOffset>2844165</wp:posOffset>
            </wp:positionH>
            <wp:positionV relativeFrom="paragraph">
              <wp:posOffset>0</wp:posOffset>
            </wp:positionV>
            <wp:extent cx="2400300" cy="615950"/>
            <wp:effectExtent l="0" t="0" r="0" b="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r w:rsidR="004838B3">
        <w:rPr>
          <w:rFonts w:eastAsia="Arial MT" w:hAnsi="Arial MT" w:cs="Arial MT"/>
          <w:noProof/>
          <w:sz w:val="20"/>
          <w:szCs w:val="22"/>
          <w:lang w:eastAsia="es-CO"/>
        </w:rPr>
        <w:t xml:space="preserve">                 </w:t>
      </w:r>
    </w:p>
    <w:p w14:paraId="1968DC2A" w14:textId="77777777" w:rsidR="00621A4C" w:rsidRPr="00621A4C" w:rsidRDefault="00621A4C" w:rsidP="00621A4C">
      <w:pPr>
        <w:widowControl w:val="0"/>
        <w:autoSpaceDE w:val="0"/>
        <w:autoSpaceDN w:val="0"/>
        <w:rPr>
          <w:rFonts w:eastAsia="Arial MT" w:hAnsi="Arial MT" w:cs="Arial MT"/>
          <w:sz w:val="20"/>
          <w:szCs w:val="22"/>
          <w:lang w:val="es-ES" w:eastAsia="en-US"/>
        </w:rPr>
      </w:pPr>
    </w:p>
    <w:p w14:paraId="66D3069B" w14:textId="77777777" w:rsidR="00621A4C" w:rsidRPr="00621A4C" w:rsidRDefault="00621A4C" w:rsidP="00621A4C">
      <w:pPr>
        <w:widowControl w:val="0"/>
        <w:autoSpaceDE w:val="0"/>
        <w:autoSpaceDN w:val="0"/>
        <w:rPr>
          <w:rFonts w:eastAsia="Arial MT" w:hAnsi="Arial MT" w:cs="Arial MT"/>
          <w:sz w:val="20"/>
          <w:szCs w:val="22"/>
          <w:lang w:val="es-ES" w:eastAsia="en-US"/>
        </w:rPr>
      </w:pPr>
    </w:p>
    <w:p w14:paraId="48B14FDC" w14:textId="77777777" w:rsidR="00621A4C" w:rsidRPr="00621A4C" w:rsidRDefault="00621A4C" w:rsidP="00621A4C">
      <w:pPr>
        <w:widowControl w:val="0"/>
        <w:autoSpaceDE w:val="0"/>
        <w:autoSpaceDN w:val="0"/>
        <w:spacing w:before="2"/>
        <w:rPr>
          <w:rFonts w:eastAsia="Arial MT" w:hAnsi="Arial MT" w:cs="Arial MT"/>
          <w:sz w:val="19"/>
          <w:szCs w:val="22"/>
          <w:lang w:val="es-ES" w:eastAsia="en-US"/>
        </w:rPr>
      </w:pPr>
    </w:p>
    <w:p w14:paraId="654E9056" w14:textId="77777777" w:rsidR="00621A4C" w:rsidRDefault="00621A4C" w:rsidP="00621A4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33873CB4" w14:textId="77777777" w:rsidR="00621A4C" w:rsidRPr="00621A4C" w:rsidRDefault="00621A4C" w:rsidP="00621A4C">
      <w:pPr>
        <w:widowControl w:val="0"/>
        <w:autoSpaceDE w:val="0"/>
        <w:autoSpaceDN w:val="0"/>
        <w:rPr>
          <w:rFonts w:ascii="Arial" w:eastAsia="Arial MT" w:hAnsi="Arial MT" w:cs="Arial MT"/>
          <w:b/>
          <w:sz w:val="20"/>
          <w:szCs w:val="22"/>
          <w:lang w:val="es-ES" w:eastAsia="en-US"/>
        </w:rPr>
      </w:pPr>
    </w:p>
    <w:p w14:paraId="66308B72" w14:textId="77777777" w:rsidR="00621A4C" w:rsidRPr="004838B3" w:rsidRDefault="00621A4C" w:rsidP="00621A4C">
      <w:pPr>
        <w:widowControl w:val="0"/>
        <w:autoSpaceDE w:val="0"/>
        <w:autoSpaceDN w:val="0"/>
        <w:ind w:left="100"/>
        <w:rPr>
          <w:rFonts w:ascii="Arial" w:eastAsia="Arial MT" w:hAnsi="Arial" w:cs="Arial"/>
          <w:sz w:val="22"/>
          <w:szCs w:val="22"/>
          <w:lang w:val="es-ES" w:eastAsia="en-US"/>
        </w:rPr>
      </w:pPr>
      <w:r w:rsidRPr="004838B3">
        <w:rPr>
          <w:rFonts w:ascii="Arial" w:eastAsia="Arial MT" w:hAnsi="Arial" w:cs="Arial"/>
          <w:sz w:val="22"/>
          <w:szCs w:val="22"/>
          <w:lang w:val="es-ES" w:eastAsia="en-US"/>
        </w:rPr>
        <w:t>Bogotá,</w:t>
      </w:r>
      <w:r w:rsidRPr="004838B3">
        <w:rPr>
          <w:rFonts w:ascii="Arial" w:eastAsia="Arial MT" w:hAnsi="Arial" w:cs="Arial"/>
          <w:spacing w:val="-2"/>
          <w:sz w:val="22"/>
          <w:szCs w:val="22"/>
          <w:lang w:val="es-ES" w:eastAsia="en-US"/>
        </w:rPr>
        <w:t xml:space="preserve"> </w:t>
      </w:r>
      <w:r w:rsidRPr="004838B3">
        <w:rPr>
          <w:rFonts w:ascii="Arial" w:eastAsia="Arial MT" w:hAnsi="Arial" w:cs="Arial"/>
          <w:sz w:val="22"/>
          <w:szCs w:val="22"/>
          <w:lang w:val="es-ES" w:eastAsia="en-US"/>
        </w:rPr>
        <w:t>08</w:t>
      </w:r>
      <w:r w:rsidRPr="004838B3">
        <w:rPr>
          <w:rFonts w:ascii="Arial" w:eastAsia="Arial MT" w:hAnsi="Arial" w:cs="Arial"/>
          <w:spacing w:val="-5"/>
          <w:sz w:val="22"/>
          <w:szCs w:val="22"/>
          <w:lang w:val="es-ES" w:eastAsia="en-US"/>
        </w:rPr>
        <w:t xml:space="preserve"> </w:t>
      </w:r>
      <w:r w:rsidRPr="004838B3">
        <w:rPr>
          <w:rFonts w:ascii="Arial" w:eastAsia="Arial MT" w:hAnsi="Arial" w:cs="Arial"/>
          <w:sz w:val="22"/>
          <w:szCs w:val="22"/>
          <w:lang w:val="es-ES" w:eastAsia="en-US"/>
        </w:rPr>
        <w:t>Agosto</w:t>
      </w:r>
      <w:r w:rsidRPr="004838B3">
        <w:rPr>
          <w:rFonts w:ascii="Arial" w:eastAsia="Arial MT" w:hAnsi="Arial" w:cs="Arial"/>
          <w:spacing w:val="-3"/>
          <w:sz w:val="22"/>
          <w:szCs w:val="22"/>
          <w:lang w:val="es-ES" w:eastAsia="en-US"/>
        </w:rPr>
        <w:t xml:space="preserve"> </w:t>
      </w:r>
      <w:r w:rsidRPr="004838B3">
        <w:rPr>
          <w:rFonts w:ascii="Arial" w:eastAsia="Arial MT" w:hAnsi="Arial" w:cs="Arial"/>
          <w:sz w:val="22"/>
          <w:szCs w:val="22"/>
          <w:lang w:val="es-ES" w:eastAsia="en-US"/>
        </w:rPr>
        <w:t>2022</w:t>
      </w:r>
    </w:p>
    <w:p w14:paraId="07797183" w14:textId="222291E3" w:rsidR="00C62A26" w:rsidRPr="005A7019" w:rsidRDefault="00C62A26" w:rsidP="00C62A26">
      <w:pPr>
        <w:widowControl w:val="0"/>
        <w:autoSpaceDE w:val="0"/>
        <w:autoSpaceDN w:val="0"/>
        <w:rPr>
          <w:rFonts w:ascii="Arial" w:eastAsia="Arial MT" w:hAnsi="Arial" w:cs="Arial"/>
          <w:sz w:val="22"/>
          <w:szCs w:val="22"/>
          <w:lang w:val="es-ES" w:eastAsia="en-US"/>
        </w:rPr>
      </w:pPr>
    </w:p>
    <w:p w14:paraId="59045F84" w14:textId="77777777" w:rsidR="00C62A26" w:rsidRPr="005A7019" w:rsidRDefault="00C62A26" w:rsidP="00C62A26">
      <w:pPr>
        <w:widowControl w:val="0"/>
        <w:autoSpaceDE w:val="0"/>
        <w:autoSpaceDN w:val="0"/>
        <w:rPr>
          <w:rFonts w:ascii="Arial" w:eastAsia="Arial MT" w:hAnsi="Arial" w:cs="Arial"/>
          <w:sz w:val="22"/>
          <w:szCs w:val="22"/>
          <w:lang w:val="es-ES" w:eastAsia="en-US"/>
        </w:rPr>
      </w:pPr>
    </w:p>
    <w:p w14:paraId="62FF0970" w14:textId="066CE530" w:rsidR="00480662" w:rsidRDefault="00C62A26" w:rsidP="00C62A26">
      <w:pPr>
        <w:widowControl w:val="0"/>
        <w:autoSpaceDE w:val="0"/>
        <w:autoSpaceDN w:val="0"/>
        <w:rPr>
          <w:rFonts w:ascii="Arial" w:eastAsia="Arial MT" w:hAnsi="Arial" w:cs="Arial"/>
          <w:sz w:val="22"/>
          <w:szCs w:val="22"/>
          <w:lang w:val="es-ES" w:eastAsia="en-US"/>
        </w:rPr>
      </w:pPr>
      <w:r w:rsidRPr="005A7019">
        <w:rPr>
          <w:rFonts w:ascii="Arial" w:eastAsia="Arial MT" w:hAnsi="Arial" w:cs="Arial"/>
          <w:sz w:val="22"/>
          <w:szCs w:val="22"/>
          <w:lang w:val="es-ES" w:eastAsia="en-US"/>
        </w:rPr>
        <w:t>Señor</w:t>
      </w:r>
    </w:p>
    <w:p w14:paraId="3B29538C" w14:textId="01CF9070" w:rsidR="00480662" w:rsidRPr="00480662" w:rsidRDefault="00816974" w:rsidP="00C62A26">
      <w:pPr>
        <w:widowControl w:val="0"/>
        <w:autoSpaceDE w:val="0"/>
        <w:autoSpaceDN w:val="0"/>
        <w:rPr>
          <w:rFonts w:ascii="Arial" w:eastAsia="Arial MT" w:hAnsi="Arial" w:cs="Arial"/>
          <w:b/>
          <w:sz w:val="22"/>
          <w:szCs w:val="22"/>
          <w:lang w:val="es-ES" w:eastAsia="en-US"/>
        </w:rPr>
      </w:pPr>
      <w:r>
        <w:rPr>
          <w:rFonts w:ascii="Arial" w:eastAsia="Arial MT" w:hAnsi="Arial" w:cs="Arial"/>
          <w:b/>
          <w:sz w:val="22"/>
          <w:szCs w:val="22"/>
          <w:lang w:val="es-ES" w:eastAsia="en-US"/>
        </w:rPr>
        <w:t>Juan David Peláez Henao</w:t>
      </w:r>
    </w:p>
    <w:p w14:paraId="596857EC" w14:textId="4E0EF8FC" w:rsidR="00C62A26" w:rsidRDefault="00816974" w:rsidP="00C62A26">
      <w:pPr>
        <w:widowControl w:val="0"/>
        <w:autoSpaceDE w:val="0"/>
        <w:autoSpaceDN w:val="0"/>
        <w:spacing w:before="11"/>
        <w:rPr>
          <w:rFonts w:ascii="Arial" w:eastAsia="Arial MT" w:hAnsi="Arial" w:cs="Arial"/>
          <w:sz w:val="22"/>
          <w:szCs w:val="22"/>
          <w:lang w:val="es-ES" w:eastAsia="en-US"/>
        </w:rPr>
      </w:pPr>
      <w:r>
        <w:rPr>
          <w:rFonts w:ascii="Arial" w:eastAsia="Arial MT" w:hAnsi="Arial" w:cs="Arial"/>
          <w:sz w:val="22"/>
          <w:szCs w:val="22"/>
          <w:lang w:val="es-ES" w:eastAsia="en-US"/>
        </w:rPr>
        <w:t>Pereira-Risaralda</w:t>
      </w:r>
    </w:p>
    <w:p w14:paraId="2F72AC52" w14:textId="77777777" w:rsidR="00816974" w:rsidRPr="005A7019" w:rsidRDefault="00816974" w:rsidP="00C62A26">
      <w:pPr>
        <w:widowControl w:val="0"/>
        <w:autoSpaceDE w:val="0"/>
        <w:autoSpaceDN w:val="0"/>
        <w:spacing w:before="11"/>
        <w:rPr>
          <w:rFonts w:ascii="Arial" w:eastAsia="Arial MT" w:hAnsi="Arial" w:cs="Arial"/>
          <w:sz w:val="22"/>
          <w:szCs w:val="22"/>
          <w:lang w:val="es-ES" w:eastAsia="en-US"/>
        </w:rPr>
      </w:pPr>
    </w:p>
    <w:p w14:paraId="6FDF364F" w14:textId="77777777" w:rsidR="009F00BF" w:rsidRPr="005A7019" w:rsidRDefault="009F00BF" w:rsidP="00C62A26">
      <w:pPr>
        <w:widowControl w:val="0"/>
        <w:autoSpaceDE w:val="0"/>
        <w:autoSpaceDN w:val="0"/>
        <w:spacing w:before="11"/>
        <w:rPr>
          <w:rFonts w:ascii="Arial" w:eastAsia="Arial MT" w:hAnsi="Arial" w:cs="Arial"/>
          <w:sz w:val="22"/>
          <w:szCs w:val="22"/>
          <w:lang w:val="es-ES" w:eastAsia="en-US"/>
        </w:rPr>
      </w:pPr>
    </w:p>
    <w:p w14:paraId="1301E6A8" w14:textId="5ED14E30" w:rsidR="00C62A26" w:rsidRPr="005A7019" w:rsidRDefault="00A052E9" w:rsidP="00E26446">
      <w:pPr>
        <w:widowControl w:val="0"/>
        <w:autoSpaceDE w:val="0"/>
        <w:autoSpaceDN w:val="0"/>
        <w:outlineLvl w:val="0"/>
        <w:rPr>
          <w:rFonts w:ascii="Arial" w:eastAsia="Arial" w:hAnsi="Arial" w:cs="Arial"/>
          <w:b/>
          <w:bCs/>
          <w:sz w:val="22"/>
          <w:szCs w:val="22"/>
          <w:lang w:val="es-ES" w:eastAsia="en-US"/>
        </w:rPr>
      </w:pPr>
      <w:r w:rsidRPr="005A7019">
        <w:rPr>
          <w:rFonts w:ascii="Arial" w:eastAsia="Arial" w:hAnsi="Arial" w:cs="Arial"/>
          <w:b/>
          <w:bCs/>
          <w:sz w:val="22"/>
          <w:szCs w:val="22"/>
          <w:lang w:val="es-ES" w:eastAsia="en-US"/>
        </w:rPr>
        <w:t xml:space="preserve">                                            </w:t>
      </w:r>
      <w:r w:rsidR="00C62A26" w:rsidRPr="005A7019">
        <w:rPr>
          <w:rFonts w:ascii="Arial" w:eastAsia="Arial" w:hAnsi="Arial" w:cs="Arial"/>
          <w:b/>
          <w:bCs/>
          <w:sz w:val="22"/>
          <w:szCs w:val="22"/>
          <w:lang w:val="es-ES" w:eastAsia="en-US"/>
        </w:rPr>
        <w:t>Concepto</w:t>
      </w:r>
      <w:r w:rsidR="00C62A26" w:rsidRPr="005A7019">
        <w:rPr>
          <w:rFonts w:ascii="Arial" w:eastAsia="Arial" w:hAnsi="Arial" w:cs="Arial"/>
          <w:b/>
          <w:bCs/>
          <w:spacing w:val="-4"/>
          <w:sz w:val="22"/>
          <w:szCs w:val="22"/>
          <w:lang w:val="es-ES" w:eastAsia="en-US"/>
        </w:rPr>
        <w:t xml:space="preserve"> </w:t>
      </w:r>
      <w:bookmarkStart w:id="1" w:name="_GoBack"/>
      <w:r w:rsidR="00C62A26" w:rsidRPr="005A7019">
        <w:rPr>
          <w:rFonts w:ascii="Arial" w:eastAsia="Arial" w:hAnsi="Arial" w:cs="Arial"/>
          <w:b/>
          <w:bCs/>
          <w:sz w:val="22"/>
          <w:szCs w:val="22"/>
          <w:lang w:val="es-ES" w:eastAsia="en-US"/>
        </w:rPr>
        <w:t>C</w:t>
      </w:r>
      <w:r w:rsidR="00C62A26" w:rsidRPr="005A7019">
        <w:rPr>
          <w:rFonts w:ascii="Arial" w:eastAsia="Arial" w:hAnsi="Arial" w:cs="Arial"/>
          <w:b/>
          <w:bCs/>
          <w:spacing w:val="-2"/>
          <w:sz w:val="22"/>
          <w:szCs w:val="22"/>
          <w:lang w:val="es-ES" w:eastAsia="en-US"/>
        </w:rPr>
        <w:t xml:space="preserve"> </w:t>
      </w:r>
      <w:r w:rsidR="00C62A26" w:rsidRPr="005A7019">
        <w:rPr>
          <w:rFonts w:ascii="Arial" w:eastAsia="Arial" w:hAnsi="Arial" w:cs="Arial"/>
          <w:b/>
          <w:bCs/>
          <w:sz w:val="22"/>
          <w:szCs w:val="22"/>
          <w:lang w:val="es-ES" w:eastAsia="en-US"/>
        </w:rPr>
        <w:t>–</w:t>
      </w:r>
      <w:r w:rsidR="00C62A26" w:rsidRPr="005A7019">
        <w:rPr>
          <w:rFonts w:ascii="Arial" w:eastAsia="Arial" w:hAnsi="Arial" w:cs="Arial"/>
          <w:b/>
          <w:bCs/>
          <w:spacing w:val="-3"/>
          <w:sz w:val="22"/>
          <w:szCs w:val="22"/>
          <w:lang w:val="es-ES" w:eastAsia="en-US"/>
        </w:rPr>
        <w:t xml:space="preserve"> </w:t>
      </w:r>
      <w:r w:rsidR="00816974">
        <w:rPr>
          <w:rFonts w:ascii="Arial" w:eastAsia="Arial" w:hAnsi="Arial" w:cs="Arial"/>
          <w:b/>
          <w:bCs/>
          <w:spacing w:val="-4"/>
          <w:sz w:val="22"/>
          <w:szCs w:val="22"/>
          <w:lang w:val="es-ES" w:eastAsia="en-US"/>
        </w:rPr>
        <w:t>505 de 2022</w:t>
      </w:r>
    </w:p>
    <w:p w14:paraId="7EAEE81D" w14:textId="52441CD3" w:rsidR="00BD12C1" w:rsidRPr="005A7019" w:rsidRDefault="00BD12C1" w:rsidP="00BB0E2F">
      <w:pPr>
        <w:widowControl w:val="0"/>
        <w:tabs>
          <w:tab w:val="left" w:pos="2794"/>
        </w:tabs>
        <w:autoSpaceDE w:val="0"/>
        <w:autoSpaceDN w:val="0"/>
        <w:spacing w:before="92"/>
        <w:ind w:right="111"/>
        <w:jc w:val="both"/>
        <w:rPr>
          <w:rFonts w:ascii="Arial" w:eastAsia="Arial MT" w:hAnsi="Arial" w:cs="Arial"/>
          <w:b/>
          <w:sz w:val="22"/>
          <w:szCs w:val="22"/>
          <w:lang w:val="es-ES" w:eastAsia="en-US"/>
        </w:rPr>
      </w:pPr>
    </w:p>
    <w:tbl>
      <w:tblPr>
        <w:tblStyle w:val="Tablaconcuadrcula2"/>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80662" w:rsidRPr="00816974" w14:paraId="30F9422E" w14:textId="77777777" w:rsidTr="006001C0">
        <w:tc>
          <w:tcPr>
            <w:tcW w:w="2689" w:type="dxa"/>
          </w:tcPr>
          <w:bookmarkEnd w:id="1"/>
          <w:p w14:paraId="170B9B32" w14:textId="77777777" w:rsidR="00BD12C1" w:rsidRPr="00816974" w:rsidRDefault="00BD12C1" w:rsidP="009F00BF">
            <w:pPr>
              <w:jc w:val="both"/>
              <w:rPr>
                <w:rFonts w:ascii="Arial" w:eastAsia="Calibri" w:hAnsi="Arial" w:cs="Arial"/>
                <w:b/>
                <w:sz w:val="22"/>
                <w:szCs w:val="22"/>
                <w:lang w:val="es-ES_tradnl"/>
              </w:rPr>
            </w:pPr>
            <w:r w:rsidRPr="00816974">
              <w:rPr>
                <w:rFonts w:ascii="Arial" w:eastAsia="Calibri" w:hAnsi="Arial" w:cs="Arial"/>
                <w:b/>
                <w:sz w:val="22"/>
                <w:szCs w:val="22"/>
                <w:lang w:val="es-ES_tradnl"/>
              </w:rPr>
              <w:t xml:space="preserve">Temas:                                      </w:t>
            </w:r>
          </w:p>
        </w:tc>
        <w:tc>
          <w:tcPr>
            <w:tcW w:w="6237" w:type="dxa"/>
          </w:tcPr>
          <w:p w14:paraId="414C8E3B" w14:textId="7F98496B" w:rsidR="00BD12C1" w:rsidRPr="00816974" w:rsidRDefault="000E73E1" w:rsidP="004D69C3">
            <w:pPr>
              <w:spacing w:after="120"/>
              <w:jc w:val="both"/>
              <w:rPr>
                <w:rFonts w:ascii="Arial" w:eastAsia="Calibri" w:hAnsi="Arial" w:cs="Arial"/>
                <w:sz w:val="22"/>
                <w:szCs w:val="22"/>
                <w:lang w:val="es-ES_tradnl"/>
              </w:rPr>
            </w:pPr>
            <w:r w:rsidRPr="00816974">
              <w:rPr>
                <w:rFonts w:ascii="Arial" w:eastAsia="Calibri" w:hAnsi="Arial" w:cs="Arial"/>
                <w:bCs/>
                <w:sz w:val="22"/>
                <w:szCs w:val="22"/>
                <w:lang w:val="es-MX" w:eastAsia="en-US"/>
              </w:rPr>
              <w:t>PRINCIPIO DE SELECCIÓN OBJETIVA</w:t>
            </w:r>
            <w:r w:rsidR="00BD12C1" w:rsidRPr="00816974">
              <w:rPr>
                <w:rFonts w:ascii="Arial" w:eastAsia="Calibri" w:hAnsi="Arial" w:cs="Arial"/>
                <w:bCs/>
                <w:sz w:val="22"/>
                <w:szCs w:val="22"/>
                <w:lang w:val="es-MX" w:eastAsia="en-US"/>
              </w:rPr>
              <w:t xml:space="preserve">– </w:t>
            </w:r>
            <w:r w:rsidRPr="00816974">
              <w:rPr>
                <w:rFonts w:ascii="Arial" w:eastAsia="Calibri" w:hAnsi="Arial" w:cs="Arial"/>
                <w:bCs/>
                <w:sz w:val="22"/>
                <w:szCs w:val="22"/>
                <w:lang w:val="es-MX" w:eastAsia="en-US"/>
              </w:rPr>
              <w:t xml:space="preserve">Rechazo de las ofertas </w:t>
            </w:r>
            <w:r w:rsidR="00BD12C1" w:rsidRPr="00816974">
              <w:rPr>
                <w:rFonts w:ascii="Arial" w:eastAsia="Calibri" w:hAnsi="Arial" w:cs="Arial"/>
                <w:bCs/>
                <w:sz w:val="22"/>
                <w:szCs w:val="22"/>
                <w:lang w:val="es-MX" w:eastAsia="en-US"/>
              </w:rPr>
              <w:t>–</w:t>
            </w:r>
            <w:r w:rsidRPr="00816974">
              <w:rPr>
                <w:rFonts w:ascii="Arial" w:eastAsia="Calibri" w:hAnsi="Arial" w:cs="Arial"/>
                <w:bCs/>
                <w:sz w:val="22"/>
                <w:szCs w:val="22"/>
                <w:lang w:val="es-MX" w:eastAsia="en-US"/>
              </w:rPr>
              <w:t xml:space="preserve"> </w:t>
            </w:r>
            <w:proofErr w:type="spellStart"/>
            <w:r w:rsidRPr="00816974">
              <w:rPr>
                <w:rFonts w:ascii="Arial" w:eastAsia="Calibri" w:hAnsi="Arial" w:cs="Arial"/>
                <w:bCs/>
                <w:sz w:val="22"/>
                <w:szCs w:val="22"/>
                <w:lang w:val="es-MX" w:eastAsia="en-US"/>
              </w:rPr>
              <w:t>Subsanabilidad</w:t>
            </w:r>
            <w:proofErr w:type="spellEnd"/>
            <w:r w:rsidRPr="00816974">
              <w:rPr>
                <w:rFonts w:ascii="Arial" w:eastAsia="Calibri" w:hAnsi="Arial" w:cs="Arial"/>
                <w:bCs/>
                <w:sz w:val="22"/>
                <w:szCs w:val="22"/>
                <w:lang w:val="es-MX" w:eastAsia="en-US"/>
              </w:rPr>
              <w:t xml:space="preserve"> </w:t>
            </w:r>
            <w:r w:rsidR="00BD12C1" w:rsidRPr="00816974">
              <w:rPr>
                <w:rFonts w:ascii="Arial" w:eastAsia="Calibri" w:hAnsi="Arial" w:cs="Arial"/>
                <w:bCs/>
                <w:sz w:val="22"/>
                <w:szCs w:val="22"/>
                <w:lang w:val="es-MX" w:eastAsia="en-US"/>
              </w:rPr>
              <w:t>/ S</w:t>
            </w:r>
            <w:r w:rsidRPr="00816974">
              <w:rPr>
                <w:rFonts w:ascii="Arial" w:eastAsia="Calibri" w:hAnsi="Arial" w:cs="Arial"/>
                <w:bCs/>
                <w:sz w:val="22"/>
                <w:szCs w:val="22"/>
                <w:lang w:val="es-MX" w:eastAsia="en-US"/>
              </w:rPr>
              <w:t xml:space="preserve">UBSANABILIDAD DE LAS OFERTAS </w:t>
            </w:r>
            <w:r w:rsidR="00BD12C1" w:rsidRPr="00816974">
              <w:rPr>
                <w:rFonts w:ascii="Arial" w:eastAsia="Calibri" w:hAnsi="Arial" w:cs="Arial"/>
                <w:sz w:val="22"/>
                <w:szCs w:val="22"/>
                <w:lang w:val="es-MX" w:eastAsia="en-US"/>
              </w:rPr>
              <w:t xml:space="preserve">– </w:t>
            </w:r>
            <w:r w:rsidRPr="00816974">
              <w:rPr>
                <w:rFonts w:ascii="Arial" w:eastAsia="Calibri" w:hAnsi="Arial" w:cs="Arial"/>
                <w:sz w:val="22"/>
                <w:szCs w:val="22"/>
                <w:lang w:val="es-MX" w:eastAsia="en-US"/>
              </w:rPr>
              <w:t xml:space="preserve">Alcance de la regla </w:t>
            </w:r>
            <w:r w:rsidR="00BD12C1" w:rsidRPr="00816974">
              <w:rPr>
                <w:rFonts w:ascii="Arial" w:eastAsia="Calibri" w:hAnsi="Arial" w:cs="Arial"/>
                <w:sz w:val="22"/>
                <w:szCs w:val="22"/>
                <w:lang w:val="es-MX" w:eastAsia="en-US"/>
              </w:rPr>
              <w:t xml:space="preserve">– </w:t>
            </w:r>
            <w:r w:rsidR="002C615C" w:rsidRPr="00816974">
              <w:rPr>
                <w:rFonts w:ascii="Arial" w:eastAsia="Calibri" w:hAnsi="Arial" w:cs="Arial"/>
                <w:sz w:val="22"/>
                <w:szCs w:val="22"/>
                <w:lang w:val="es-MX" w:eastAsia="en-US"/>
              </w:rPr>
              <w:t>Ley 1882 de 2018</w:t>
            </w:r>
            <w:r w:rsidR="00BD12C1" w:rsidRPr="00816974">
              <w:rPr>
                <w:rFonts w:ascii="Arial" w:eastAsia="Calibri" w:hAnsi="Arial" w:cs="Arial"/>
                <w:bCs/>
                <w:sz w:val="22"/>
                <w:szCs w:val="22"/>
                <w:lang w:val="es-MX" w:eastAsia="en-US"/>
              </w:rPr>
              <w:t>–</w:t>
            </w:r>
            <w:r w:rsidR="00BD12C1" w:rsidRPr="00816974">
              <w:rPr>
                <w:rFonts w:ascii="Arial" w:eastAsia="Calibri" w:hAnsi="Arial" w:cs="Arial"/>
                <w:bCs/>
                <w:sz w:val="22"/>
                <w:szCs w:val="22"/>
                <w:lang w:val="es-ES" w:eastAsia="en-US"/>
              </w:rPr>
              <w:t xml:space="preserve"> </w:t>
            </w:r>
            <w:r w:rsidR="002C615C" w:rsidRPr="00816974">
              <w:rPr>
                <w:rFonts w:ascii="Arial" w:eastAsia="Calibri" w:hAnsi="Arial" w:cs="Arial"/>
                <w:bCs/>
                <w:sz w:val="22"/>
                <w:szCs w:val="22"/>
                <w:lang w:val="es-ES" w:eastAsia="en-US"/>
              </w:rPr>
              <w:t xml:space="preserve">Ámbito temporal </w:t>
            </w:r>
            <w:r w:rsidR="00BD12C1" w:rsidRPr="00816974">
              <w:rPr>
                <w:rFonts w:ascii="Arial" w:eastAsia="Calibri" w:hAnsi="Arial" w:cs="Arial"/>
                <w:bCs/>
                <w:sz w:val="22"/>
                <w:szCs w:val="22"/>
                <w:lang w:val="es-MX" w:eastAsia="en-US"/>
              </w:rPr>
              <w:t>– C</w:t>
            </w:r>
            <w:r w:rsidR="002C615C" w:rsidRPr="00816974">
              <w:rPr>
                <w:rFonts w:ascii="Arial" w:eastAsia="Calibri" w:hAnsi="Arial" w:cs="Arial"/>
                <w:bCs/>
                <w:sz w:val="22"/>
                <w:szCs w:val="22"/>
                <w:lang w:val="es-MX" w:eastAsia="en-US"/>
              </w:rPr>
              <w:t>riterio material</w:t>
            </w:r>
            <w:r w:rsidR="00BD12C1" w:rsidRPr="00816974">
              <w:rPr>
                <w:rFonts w:ascii="Arial" w:eastAsia="Calibri" w:hAnsi="Arial" w:cs="Arial"/>
                <w:bCs/>
                <w:sz w:val="22"/>
                <w:szCs w:val="22"/>
                <w:lang w:val="es-MX" w:eastAsia="en-US"/>
              </w:rPr>
              <w:t xml:space="preserve"> </w:t>
            </w:r>
            <w:r w:rsidR="002376FD">
              <w:rPr>
                <w:rFonts w:ascii="Arial" w:eastAsia="Calibri" w:hAnsi="Arial" w:cs="Arial"/>
                <w:bCs/>
                <w:sz w:val="22"/>
                <w:szCs w:val="22"/>
                <w:lang w:val="es-MX" w:eastAsia="en-US"/>
              </w:rPr>
              <w:t xml:space="preserve">/ SUBSANABILIDAD – Alcance – Sentencia con Expediente 65134 – Requisitos habilitantes – criterios de puntuación. </w:t>
            </w:r>
          </w:p>
        </w:tc>
      </w:tr>
    </w:tbl>
    <w:p w14:paraId="6F37CCB0" w14:textId="12D004A3" w:rsidR="00C62A26" w:rsidRPr="00816974" w:rsidRDefault="000D753A" w:rsidP="00E26446">
      <w:pPr>
        <w:widowControl w:val="0"/>
        <w:tabs>
          <w:tab w:val="left" w:pos="2694"/>
        </w:tabs>
        <w:autoSpaceDE w:val="0"/>
        <w:autoSpaceDN w:val="0"/>
        <w:jc w:val="both"/>
        <w:rPr>
          <w:rFonts w:ascii="Arial" w:eastAsia="Arial MT" w:hAnsi="Arial" w:cs="Arial"/>
          <w:sz w:val="22"/>
          <w:szCs w:val="22"/>
          <w:lang w:val="es-ES" w:eastAsia="en-US"/>
        </w:rPr>
      </w:pPr>
      <w:r w:rsidRPr="00816974">
        <w:rPr>
          <w:rFonts w:ascii="Arial" w:eastAsia="Arial MT" w:hAnsi="Arial" w:cs="Arial"/>
          <w:b/>
          <w:sz w:val="22"/>
          <w:szCs w:val="22"/>
          <w:lang w:val="es-ES" w:eastAsia="en-US"/>
        </w:rPr>
        <w:t xml:space="preserve">Radicación:                  </w:t>
      </w:r>
      <w:r w:rsidR="00A052E9" w:rsidRPr="00816974">
        <w:rPr>
          <w:rFonts w:ascii="Arial" w:eastAsia="Arial MT" w:hAnsi="Arial" w:cs="Arial"/>
          <w:b/>
          <w:sz w:val="22"/>
          <w:szCs w:val="22"/>
          <w:lang w:val="es-ES" w:eastAsia="en-US"/>
        </w:rPr>
        <w:tab/>
      </w:r>
      <w:r w:rsidR="00C62A26" w:rsidRPr="00816974">
        <w:rPr>
          <w:rFonts w:ascii="Arial" w:eastAsia="Arial MT" w:hAnsi="Arial" w:cs="Arial"/>
          <w:sz w:val="22"/>
          <w:szCs w:val="22"/>
          <w:lang w:val="es-ES" w:eastAsia="en-US"/>
        </w:rPr>
        <w:t>Respuesta</w:t>
      </w:r>
      <w:r w:rsidR="00C62A26" w:rsidRPr="00816974">
        <w:rPr>
          <w:rFonts w:ascii="Arial" w:eastAsia="Arial MT" w:hAnsi="Arial" w:cs="Arial"/>
          <w:spacing w:val="-7"/>
          <w:sz w:val="22"/>
          <w:szCs w:val="22"/>
          <w:lang w:val="es-ES" w:eastAsia="en-US"/>
        </w:rPr>
        <w:t xml:space="preserve"> </w:t>
      </w:r>
      <w:r w:rsidR="00C62A26" w:rsidRPr="00816974">
        <w:rPr>
          <w:rFonts w:ascii="Arial" w:eastAsia="Arial MT" w:hAnsi="Arial" w:cs="Arial"/>
          <w:sz w:val="22"/>
          <w:szCs w:val="22"/>
          <w:lang w:val="es-ES" w:eastAsia="en-US"/>
        </w:rPr>
        <w:t>a</w:t>
      </w:r>
      <w:r w:rsidR="00C62A26" w:rsidRPr="00816974">
        <w:rPr>
          <w:rFonts w:ascii="Arial" w:eastAsia="Arial MT" w:hAnsi="Arial" w:cs="Arial"/>
          <w:spacing w:val="-6"/>
          <w:sz w:val="22"/>
          <w:szCs w:val="22"/>
          <w:lang w:val="es-ES" w:eastAsia="en-US"/>
        </w:rPr>
        <w:t xml:space="preserve"> </w:t>
      </w:r>
      <w:r w:rsidR="00C62A26" w:rsidRPr="00816974">
        <w:rPr>
          <w:rFonts w:ascii="Arial" w:eastAsia="Arial MT" w:hAnsi="Arial" w:cs="Arial"/>
          <w:sz w:val="22"/>
          <w:szCs w:val="22"/>
          <w:lang w:val="es-ES" w:eastAsia="en-US"/>
        </w:rPr>
        <w:t>consulta</w:t>
      </w:r>
      <w:r w:rsidR="00C62A26" w:rsidRPr="00816974">
        <w:rPr>
          <w:rFonts w:ascii="Arial" w:eastAsia="Arial MT" w:hAnsi="Arial" w:cs="Arial"/>
          <w:spacing w:val="-5"/>
          <w:sz w:val="22"/>
          <w:szCs w:val="22"/>
          <w:lang w:val="es-ES" w:eastAsia="en-US"/>
        </w:rPr>
        <w:t xml:space="preserve"> </w:t>
      </w:r>
      <w:r w:rsidR="00816974" w:rsidRPr="00816974">
        <w:rPr>
          <w:rFonts w:ascii="Arial" w:hAnsi="Arial" w:cs="Arial"/>
          <w:bCs/>
          <w:sz w:val="22"/>
          <w:szCs w:val="22"/>
          <w:shd w:val="clear" w:color="auto" w:fill="FFFFFF"/>
        </w:rPr>
        <w:t>P20220622006215</w:t>
      </w:r>
    </w:p>
    <w:p w14:paraId="4AB47DDD" w14:textId="77777777" w:rsidR="00C62A26" w:rsidRPr="005A7019" w:rsidRDefault="00C62A26" w:rsidP="00C62A26">
      <w:pPr>
        <w:widowControl w:val="0"/>
        <w:autoSpaceDE w:val="0"/>
        <w:autoSpaceDN w:val="0"/>
        <w:rPr>
          <w:rFonts w:ascii="Arial" w:eastAsia="Arial MT" w:hAnsi="Arial" w:cs="Arial"/>
          <w:sz w:val="22"/>
          <w:szCs w:val="22"/>
          <w:lang w:val="es-ES" w:eastAsia="en-US"/>
        </w:rPr>
      </w:pPr>
    </w:p>
    <w:p w14:paraId="094D5FEE" w14:textId="77777777" w:rsidR="00C62A26" w:rsidRPr="005A7019" w:rsidRDefault="00C62A26" w:rsidP="00C62A26">
      <w:pPr>
        <w:widowControl w:val="0"/>
        <w:autoSpaceDE w:val="0"/>
        <w:autoSpaceDN w:val="0"/>
        <w:spacing w:before="10"/>
        <w:rPr>
          <w:rFonts w:ascii="Arial" w:eastAsia="Arial MT" w:hAnsi="Arial" w:cs="Arial"/>
          <w:sz w:val="22"/>
          <w:szCs w:val="22"/>
          <w:lang w:val="es-ES" w:eastAsia="en-US"/>
        </w:rPr>
      </w:pPr>
    </w:p>
    <w:p w14:paraId="7865DC5D" w14:textId="71B8BDE2" w:rsidR="00C62A26" w:rsidRPr="005A7019" w:rsidRDefault="00C62A26" w:rsidP="00E26446">
      <w:pPr>
        <w:widowControl w:val="0"/>
        <w:autoSpaceDE w:val="0"/>
        <w:autoSpaceDN w:val="0"/>
        <w:rPr>
          <w:rFonts w:ascii="Arial MT" w:eastAsia="Arial MT" w:hAnsi="Arial MT" w:cs="Arial MT"/>
          <w:sz w:val="22"/>
          <w:szCs w:val="22"/>
          <w:lang w:val="es-ES" w:eastAsia="en-US"/>
        </w:rPr>
      </w:pPr>
      <w:r w:rsidRPr="005A7019">
        <w:rPr>
          <w:rFonts w:ascii="Arial MT" w:eastAsia="Arial MT" w:hAnsi="Arial MT" w:cs="Arial MT"/>
          <w:sz w:val="22"/>
          <w:szCs w:val="22"/>
          <w:lang w:val="es-ES" w:eastAsia="en-US"/>
        </w:rPr>
        <w:t>Estimad</w:t>
      </w:r>
      <w:r w:rsidR="00480662">
        <w:rPr>
          <w:rFonts w:ascii="Arial MT" w:eastAsia="Arial MT" w:hAnsi="Arial MT" w:cs="Arial MT"/>
          <w:spacing w:val="-7"/>
          <w:sz w:val="22"/>
          <w:szCs w:val="22"/>
          <w:lang w:val="es-ES" w:eastAsia="en-US"/>
        </w:rPr>
        <w:t>o Señor</w:t>
      </w:r>
      <w:r w:rsidR="00816974">
        <w:rPr>
          <w:rFonts w:ascii="Arial MT" w:eastAsia="Arial MT" w:hAnsi="Arial MT" w:cs="Arial MT"/>
          <w:spacing w:val="-7"/>
          <w:sz w:val="22"/>
          <w:szCs w:val="22"/>
          <w:lang w:val="es-ES" w:eastAsia="en-US"/>
        </w:rPr>
        <w:t xml:space="preserve"> Peláez</w:t>
      </w:r>
      <w:r w:rsidR="00480662">
        <w:rPr>
          <w:rFonts w:ascii="Arial MT" w:eastAsia="Arial MT" w:hAnsi="Arial MT" w:cs="Arial MT"/>
          <w:spacing w:val="-7"/>
          <w:sz w:val="22"/>
          <w:szCs w:val="22"/>
          <w:lang w:val="es-ES" w:eastAsia="en-US"/>
        </w:rPr>
        <w:t>:</w:t>
      </w:r>
    </w:p>
    <w:p w14:paraId="76C3D0BF" w14:textId="77777777" w:rsidR="00C62A26" w:rsidRPr="005A7019" w:rsidRDefault="00C62A26" w:rsidP="00C62A26">
      <w:pPr>
        <w:widowControl w:val="0"/>
        <w:autoSpaceDE w:val="0"/>
        <w:autoSpaceDN w:val="0"/>
        <w:spacing w:before="7"/>
        <w:rPr>
          <w:rFonts w:ascii="Arial" w:eastAsia="Arial MT" w:hAnsi="Arial" w:cs="Arial"/>
          <w:sz w:val="22"/>
          <w:szCs w:val="22"/>
          <w:lang w:val="es-ES" w:eastAsia="en-US"/>
        </w:rPr>
      </w:pPr>
    </w:p>
    <w:p w14:paraId="512C1E0E" w14:textId="52E1DED8" w:rsidR="00C62A26" w:rsidRPr="005A7019" w:rsidRDefault="00C62A26" w:rsidP="00E26446">
      <w:pPr>
        <w:widowControl w:val="0"/>
        <w:autoSpaceDE w:val="0"/>
        <w:autoSpaceDN w:val="0"/>
        <w:spacing w:line="276" w:lineRule="auto"/>
        <w:jc w:val="both"/>
        <w:rPr>
          <w:rFonts w:ascii="Arial MT" w:eastAsia="Arial MT" w:hAnsi="Arial MT" w:cs="Arial MT"/>
          <w:sz w:val="22"/>
          <w:szCs w:val="22"/>
          <w:lang w:val="es-ES" w:eastAsia="en-US"/>
        </w:rPr>
      </w:pPr>
      <w:r w:rsidRPr="005A7019">
        <w:rPr>
          <w:rFonts w:ascii="Arial MT" w:eastAsia="Arial MT" w:hAnsi="Arial MT" w:cs="Arial MT"/>
          <w:sz w:val="22"/>
          <w:szCs w:val="22"/>
          <w:lang w:val="es-ES" w:eastAsia="en-US"/>
        </w:rPr>
        <w:t xml:space="preserve">En ejercicio de la competencia otorgada por el numeral 8 del artículo 11 y el numeral </w:t>
      </w:r>
      <w:r w:rsidR="00E26446" w:rsidRPr="005A7019">
        <w:rPr>
          <w:rFonts w:ascii="Arial MT" w:eastAsia="Arial MT" w:hAnsi="Arial MT" w:cs="Arial MT"/>
          <w:sz w:val="22"/>
          <w:szCs w:val="22"/>
          <w:lang w:val="es-ES" w:eastAsia="en-US"/>
        </w:rPr>
        <w:t xml:space="preserve">5 del </w:t>
      </w:r>
      <w:r w:rsidRPr="005A7019">
        <w:rPr>
          <w:rFonts w:ascii="Arial MT" w:eastAsia="Arial MT" w:hAnsi="Arial MT" w:cs="Arial MT"/>
          <w:sz w:val="22"/>
          <w:szCs w:val="22"/>
          <w:lang w:val="es-ES" w:eastAsia="en-US"/>
        </w:rPr>
        <w:t>artículo</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3</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del</w:t>
      </w:r>
      <w:r w:rsidRPr="005A7019">
        <w:rPr>
          <w:rFonts w:ascii="Arial MT" w:eastAsia="Arial MT" w:hAnsi="Arial MT" w:cs="Arial MT"/>
          <w:spacing w:val="-8"/>
          <w:sz w:val="22"/>
          <w:szCs w:val="22"/>
          <w:lang w:val="es-ES" w:eastAsia="en-US"/>
        </w:rPr>
        <w:t xml:space="preserve"> </w:t>
      </w:r>
      <w:r w:rsidRPr="005A7019">
        <w:rPr>
          <w:rFonts w:ascii="Arial MT" w:eastAsia="Arial MT" w:hAnsi="Arial MT" w:cs="Arial MT"/>
          <w:sz w:val="22"/>
          <w:szCs w:val="22"/>
          <w:lang w:val="es-ES" w:eastAsia="en-US"/>
        </w:rPr>
        <w:t>Decreto</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Ley</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4170</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de</w:t>
      </w:r>
      <w:r w:rsidRPr="005A7019">
        <w:rPr>
          <w:rFonts w:ascii="Arial MT" w:eastAsia="Arial MT" w:hAnsi="Arial MT" w:cs="Arial MT"/>
          <w:spacing w:val="-8"/>
          <w:sz w:val="22"/>
          <w:szCs w:val="22"/>
          <w:lang w:val="es-ES" w:eastAsia="en-US"/>
        </w:rPr>
        <w:t xml:space="preserve"> </w:t>
      </w:r>
      <w:r w:rsidRPr="005A7019">
        <w:rPr>
          <w:rFonts w:ascii="Arial MT" w:eastAsia="Arial MT" w:hAnsi="Arial MT" w:cs="Arial MT"/>
          <w:sz w:val="22"/>
          <w:szCs w:val="22"/>
          <w:lang w:val="es-ES" w:eastAsia="en-US"/>
        </w:rPr>
        <w:t>2011,</w:t>
      </w:r>
      <w:r w:rsidR="004F57D5" w:rsidRPr="005A7019" w:rsidDel="004F57D5">
        <w:rPr>
          <w:rFonts w:ascii="Arial MT" w:eastAsia="Arial MT" w:hAnsi="Arial MT" w:cs="Arial MT"/>
          <w:spacing w:val="-6"/>
          <w:sz w:val="22"/>
          <w:szCs w:val="22"/>
          <w:lang w:val="es-ES" w:eastAsia="en-US"/>
        </w:rPr>
        <w:t xml:space="preserve"> </w:t>
      </w:r>
      <w:r w:rsidRPr="005A7019">
        <w:rPr>
          <w:rFonts w:ascii="Arial MT" w:eastAsia="Arial MT" w:hAnsi="Arial MT" w:cs="Arial MT"/>
          <w:sz w:val="22"/>
          <w:szCs w:val="22"/>
          <w:lang w:val="es-ES" w:eastAsia="en-US"/>
        </w:rPr>
        <w:t>la Agencia Nacional de Contratación Pública –</w:t>
      </w:r>
      <w:r w:rsidR="007B183D" w:rsidRPr="005A7019">
        <w:rPr>
          <w:rFonts w:ascii="Arial MT" w:eastAsia="Arial MT" w:hAnsi="Arial MT" w:cs="Arial MT"/>
          <w:sz w:val="22"/>
          <w:szCs w:val="22"/>
          <w:lang w:val="es-ES" w:eastAsia="en-US"/>
        </w:rPr>
        <w:t xml:space="preserve"> Colombia Compra Eficiente </w:t>
      </w:r>
      <w:r w:rsidRPr="005A7019">
        <w:rPr>
          <w:rFonts w:ascii="Arial MT" w:eastAsia="Arial MT" w:hAnsi="Arial MT" w:cs="Arial MT"/>
          <w:sz w:val="22"/>
          <w:szCs w:val="22"/>
          <w:lang w:val="es-ES" w:eastAsia="en-US"/>
        </w:rPr>
        <w:t>responde</w:t>
      </w:r>
      <w:r w:rsidRPr="005A7019">
        <w:rPr>
          <w:rFonts w:ascii="Arial MT" w:eastAsia="Arial MT" w:hAnsi="Arial MT" w:cs="Arial MT"/>
          <w:spacing w:val="-1"/>
          <w:sz w:val="22"/>
          <w:szCs w:val="22"/>
          <w:lang w:val="es-ES" w:eastAsia="en-US"/>
        </w:rPr>
        <w:t xml:space="preserve"> </w:t>
      </w:r>
      <w:r w:rsidRPr="005A7019">
        <w:rPr>
          <w:rFonts w:ascii="Arial MT" w:eastAsia="Arial MT" w:hAnsi="Arial MT" w:cs="Arial MT"/>
          <w:sz w:val="22"/>
          <w:szCs w:val="22"/>
          <w:lang w:val="es-ES" w:eastAsia="en-US"/>
        </w:rPr>
        <w:t>su</w:t>
      </w:r>
      <w:r w:rsidRPr="005A7019">
        <w:rPr>
          <w:rFonts w:ascii="Arial MT" w:eastAsia="Arial MT" w:hAnsi="Arial MT" w:cs="Arial MT"/>
          <w:spacing w:val="-2"/>
          <w:sz w:val="22"/>
          <w:szCs w:val="22"/>
          <w:lang w:val="es-ES" w:eastAsia="en-US"/>
        </w:rPr>
        <w:t xml:space="preserve"> </w:t>
      </w:r>
      <w:r w:rsidRPr="005A7019">
        <w:rPr>
          <w:rFonts w:ascii="Arial MT" w:eastAsia="Arial MT" w:hAnsi="Arial MT" w:cs="Arial MT"/>
          <w:sz w:val="22"/>
          <w:szCs w:val="22"/>
          <w:lang w:val="es-ES" w:eastAsia="en-US"/>
        </w:rPr>
        <w:t>consulta</w:t>
      </w:r>
      <w:r w:rsidRPr="005A7019">
        <w:rPr>
          <w:rFonts w:ascii="Arial MT" w:eastAsia="Arial MT" w:hAnsi="Arial MT" w:cs="Arial MT"/>
          <w:spacing w:val="-2"/>
          <w:sz w:val="22"/>
          <w:szCs w:val="22"/>
          <w:lang w:val="es-ES" w:eastAsia="en-US"/>
        </w:rPr>
        <w:t xml:space="preserve"> </w:t>
      </w:r>
      <w:r w:rsidRPr="005A7019">
        <w:rPr>
          <w:rFonts w:ascii="Arial MT" w:eastAsia="Arial MT" w:hAnsi="Arial MT" w:cs="Arial MT"/>
          <w:sz w:val="22"/>
          <w:szCs w:val="22"/>
          <w:lang w:val="es-ES" w:eastAsia="en-US"/>
        </w:rPr>
        <w:t>del</w:t>
      </w:r>
      <w:r w:rsidR="00816974">
        <w:rPr>
          <w:rFonts w:ascii="Arial MT" w:eastAsia="Arial MT" w:hAnsi="Arial MT" w:cs="Arial MT"/>
          <w:sz w:val="22"/>
          <w:szCs w:val="22"/>
          <w:lang w:val="es-ES" w:eastAsia="en-US"/>
        </w:rPr>
        <w:t xml:space="preserve"> 22 de junio de 2022</w:t>
      </w:r>
      <w:r w:rsidRPr="005A7019">
        <w:rPr>
          <w:rFonts w:ascii="Arial MT" w:eastAsia="Arial MT" w:hAnsi="Arial MT" w:cs="Arial MT"/>
          <w:sz w:val="22"/>
          <w:szCs w:val="22"/>
          <w:lang w:val="es-ES" w:eastAsia="en-US"/>
        </w:rPr>
        <w:t>.</w:t>
      </w:r>
    </w:p>
    <w:p w14:paraId="232D4640" w14:textId="162589F3" w:rsidR="001D1DFF" w:rsidRPr="005A7019" w:rsidRDefault="001D1DFF" w:rsidP="00EB6848">
      <w:pPr>
        <w:spacing w:line="276" w:lineRule="auto"/>
        <w:jc w:val="both"/>
        <w:rPr>
          <w:rFonts w:ascii="Arial" w:eastAsia="Calibri" w:hAnsi="Arial" w:cs="Arial"/>
          <w:b/>
          <w:color w:val="000000" w:themeColor="text1"/>
          <w:sz w:val="22"/>
          <w:szCs w:val="22"/>
          <w:lang w:val="es-ES"/>
        </w:rPr>
      </w:pPr>
    </w:p>
    <w:p w14:paraId="7701FCC7" w14:textId="102D43D7" w:rsidR="00DD5B04" w:rsidRPr="005A7019"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A7019">
        <w:rPr>
          <w:rFonts w:ascii="Arial" w:eastAsia="Calibri" w:hAnsi="Arial" w:cs="Arial"/>
          <w:b/>
          <w:color w:val="000000" w:themeColor="text1"/>
          <w:sz w:val="22"/>
          <w:lang w:val="es-ES_tradnl"/>
        </w:rPr>
        <w:t>Problema</w:t>
      </w:r>
      <w:r w:rsidR="00F04907">
        <w:rPr>
          <w:rFonts w:ascii="Arial" w:eastAsia="Calibri" w:hAnsi="Arial" w:cs="Arial"/>
          <w:b/>
          <w:color w:val="000000" w:themeColor="text1"/>
          <w:sz w:val="22"/>
          <w:lang w:val="es-ES_tradnl"/>
        </w:rPr>
        <w:t>s</w:t>
      </w:r>
      <w:r w:rsidRPr="005A7019">
        <w:rPr>
          <w:rFonts w:ascii="Arial" w:eastAsia="Calibri" w:hAnsi="Arial" w:cs="Arial"/>
          <w:b/>
          <w:color w:val="000000" w:themeColor="text1"/>
          <w:sz w:val="22"/>
          <w:lang w:val="es-ES_tradnl"/>
        </w:rPr>
        <w:t xml:space="preserve"> planteado</w:t>
      </w:r>
      <w:r w:rsidR="00F04907">
        <w:rPr>
          <w:rFonts w:ascii="Arial" w:eastAsia="Calibri" w:hAnsi="Arial" w:cs="Arial"/>
          <w:b/>
          <w:color w:val="000000" w:themeColor="text1"/>
          <w:sz w:val="22"/>
          <w:lang w:val="es-ES_tradnl"/>
        </w:rPr>
        <w:t>s</w:t>
      </w:r>
      <w:r w:rsidRPr="005A7019">
        <w:rPr>
          <w:rFonts w:ascii="Arial" w:eastAsia="Calibri" w:hAnsi="Arial" w:cs="Arial"/>
          <w:b/>
          <w:color w:val="000000" w:themeColor="text1"/>
          <w:sz w:val="22"/>
          <w:lang w:val="es-ES_tradnl"/>
        </w:rPr>
        <w:t xml:space="preserve"> </w:t>
      </w:r>
    </w:p>
    <w:p w14:paraId="5690C2FE" w14:textId="77777777" w:rsidR="00C6212A" w:rsidRPr="005A7019" w:rsidRDefault="00C6212A" w:rsidP="00B836BB">
      <w:pPr>
        <w:tabs>
          <w:tab w:val="left" w:pos="0"/>
          <w:tab w:val="left" w:pos="142"/>
          <w:tab w:val="left" w:pos="284"/>
        </w:tabs>
        <w:spacing w:line="276" w:lineRule="auto"/>
        <w:jc w:val="both"/>
        <w:rPr>
          <w:rFonts w:ascii="Arial" w:eastAsia="Calibri" w:hAnsi="Arial" w:cs="Arial"/>
          <w:b/>
          <w:color w:val="000000" w:themeColor="text1"/>
          <w:sz w:val="22"/>
          <w:szCs w:val="22"/>
          <w:lang w:val="es-ES_tradnl"/>
        </w:rPr>
      </w:pPr>
    </w:p>
    <w:p w14:paraId="54728487" w14:textId="1726D1B6" w:rsidR="00034EA8" w:rsidRPr="00C7777B" w:rsidRDefault="00876BC0" w:rsidP="00C7777B">
      <w:pPr>
        <w:autoSpaceDE w:val="0"/>
        <w:autoSpaceDN w:val="0"/>
        <w:adjustRightInd w:val="0"/>
        <w:spacing w:line="276" w:lineRule="auto"/>
        <w:jc w:val="both"/>
        <w:rPr>
          <w:rFonts w:ascii="Arial" w:eastAsiaTheme="minorHAnsi" w:hAnsi="Arial" w:cs="Arial"/>
          <w:sz w:val="22"/>
          <w:szCs w:val="22"/>
          <w:lang w:eastAsia="en-US"/>
        </w:rPr>
      </w:pPr>
      <w:r w:rsidRPr="00044D78">
        <w:rPr>
          <w:rFonts w:ascii="Arial" w:eastAsia="Calibri" w:hAnsi="Arial" w:cs="Arial"/>
          <w:bCs/>
          <w:color w:val="000000" w:themeColor="text1"/>
          <w:sz w:val="22"/>
          <w:szCs w:val="22"/>
          <w:lang w:val="es-ES_tradnl"/>
        </w:rPr>
        <w:t xml:space="preserve">El contexto de la pregunta se </w:t>
      </w:r>
      <w:r w:rsidR="008A55C3" w:rsidRPr="00044D78">
        <w:rPr>
          <w:rFonts w:ascii="Arial" w:eastAsia="Calibri" w:hAnsi="Arial" w:cs="Arial"/>
          <w:bCs/>
          <w:color w:val="000000" w:themeColor="text1"/>
          <w:sz w:val="22"/>
          <w:szCs w:val="22"/>
          <w:lang w:val="es-ES_tradnl"/>
        </w:rPr>
        <w:t xml:space="preserve">fundamenta </w:t>
      </w:r>
      <w:r w:rsidRPr="00044D78">
        <w:rPr>
          <w:rFonts w:ascii="Arial" w:eastAsia="Calibri" w:hAnsi="Arial" w:cs="Arial"/>
          <w:bCs/>
          <w:color w:val="000000" w:themeColor="text1"/>
          <w:sz w:val="22"/>
          <w:szCs w:val="22"/>
          <w:lang w:val="es-ES_tradnl"/>
        </w:rPr>
        <w:t xml:space="preserve">en una </w:t>
      </w:r>
      <w:r w:rsidR="008A55C3" w:rsidRPr="00044D78">
        <w:rPr>
          <w:rFonts w:ascii="Arial" w:eastAsia="Calibri" w:hAnsi="Arial" w:cs="Arial"/>
          <w:bCs/>
          <w:color w:val="000000" w:themeColor="text1"/>
          <w:sz w:val="22"/>
          <w:szCs w:val="22"/>
          <w:lang w:val="es-ES_tradnl"/>
        </w:rPr>
        <w:t>s</w:t>
      </w:r>
      <w:r w:rsidRPr="00044D78">
        <w:rPr>
          <w:rFonts w:ascii="Arial" w:eastAsia="Calibri" w:hAnsi="Arial" w:cs="Arial"/>
          <w:bCs/>
          <w:color w:val="000000" w:themeColor="text1"/>
          <w:sz w:val="22"/>
          <w:szCs w:val="22"/>
          <w:lang w:val="es-ES_tradnl"/>
        </w:rPr>
        <w:t>entencia del Consejo de E</w:t>
      </w:r>
      <w:r w:rsidR="00C7777B" w:rsidRPr="00044D78">
        <w:rPr>
          <w:rFonts w:ascii="Arial" w:eastAsia="Calibri" w:hAnsi="Arial" w:cs="Arial"/>
          <w:bCs/>
          <w:color w:val="000000" w:themeColor="text1"/>
          <w:sz w:val="22"/>
          <w:szCs w:val="22"/>
          <w:lang w:val="es-ES_tradnl"/>
        </w:rPr>
        <w:t xml:space="preserve">stado, </w:t>
      </w:r>
      <w:r w:rsidR="006A77B1">
        <w:rPr>
          <w:rFonts w:ascii="Arial" w:eastAsia="Calibri" w:hAnsi="Arial" w:cs="Arial"/>
          <w:bCs/>
          <w:color w:val="000000" w:themeColor="text1"/>
          <w:sz w:val="22"/>
          <w:szCs w:val="22"/>
          <w:lang w:val="es-ES_tradnl"/>
        </w:rPr>
        <w:t xml:space="preserve">a la cual se hará referencia en el desarrollo del concepto, en la cual, a juicio del peticionario, se predica una tesis distinta a la sostenida por la Agencia en relación con la </w:t>
      </w:r>
      <w:proofErr w:type="spellStart"/>
      <w:r w:rsidR="006A77B1">
        <w:rPr>
          <w:rFonts w:ascii="Arial" w:eastAsia="Calibri" w:hAnsi="Arial" w:cs="Arial"/>
          <w:bCs/>
          <w:color w:val="000000" w:themeColor="text1"/>
          <w:sz w:val="22"/>
          <w:szCs w:val="22"/>
          <w:lang w:val="es-ES_tradnl"/>
        </w:rPr>
        <w:t>subsanabilidad</w:t>
      </w:r>
      <w:proofErr w:type="spellEnd"/>
      <w:r w:rsidR="006A77B1">
        <w:rPr>
          <w:rFonts w:ascii="Arial" w:eastAsia="Calibri" w:hAnsi="Arial" w:cs="Arial"/>
          <w:bCs/>
          <w:color w:val="000000" w:themeColor="text1"/>
          <w:sz w:val="22"/>
          <w:szCs w:val="22"/>
          <w:lang w:val="es-ES_tradnl"/>
        </w:rPr>
        <w:t xml:space="preserve"> de las ofertas</w:t>
      </w:r>
      <w:r w:rsidR="00C7777B" w:rsidRPr="00044D78">
        <w:rPr>
          <w:rFonts w:ascii="Arial" w:eastAsiaTheme="minorHAnsi" w:hAnsi="Arial" w:cs="Arial"/>
          <w:sz w:val="22"/>
          <w:szCs w:val="22"/>
          <w:lang w:eastAsia="en-US"/>
        </w:rPr>
        <w:t>. En tal sentido, usted plantea las siguientes preguntas:</w:t>
      </w:r>
      <w:r w:rsidR="00C7777B">
        <w:rPr>
          <w:rFonts w:ascii="Arial" w:eastAsiaTheme="minorHAnsi" w:hAnsi="Arial" w:cs="Arial"/>
          <w:sz w:val="22"/>
          <w:szCs w:val="22"/>
          <w:lang w:eastAsia="en-US"/>
        </w:rPr>
        <w:t xml:space="preserve"> </w:t>
      </w:r>
    </w:p>
    <w:p w14:paraId="6C4FADB0" w14:textId="77777777" w:rsidR="00034EA8" w:rsidRDefault="00034EA8" w:rsidP="00B836BB">
      <w:pPr>
        <w:pStyle w:val="Default"/>
        <w:spacing w:line="276" w:lineRule="auto"/>
        <w:jc w:val="both"/>
        <w:rPr>
          <w:rFonts w:eastAsia="Calibri"/>
          <w:bCs/>
          <w:color w:val="000000" w:themeColor="text1"/>
          <w:sz w:val="22"/>
          <w:szCs w:val="22"/>
          <w:lang w:val="es-ES_tradnl"/>
        </w:rPr>
      </w:pPr>
    </w:p>
    <w:p w14:paraId="6F1A25C6" w14:textId="3C6099E0" w:rsidR="007E7CAC" w:rsidRPr="002376FD" w:rsidRDefault="002376FD" w:rsidP="00816974">
      <w:pPr>
        <w:autoSpaceDE w:val="0"/>
        <w:autoSpaceDN w:val="0"/>
        <w:adjustRightInd w:val="0"/>
        <w:ind w:left="709" w:right="709"/>
        <w:jc w:val="both"/>
        <w:rPr>
          <w:rFonts w:ascii="Arial" w:eastAsiaTheme="minorHAnsi" w:hAnsi="Arial" w:cs="Arial"/>
          <w:sz w:val="21"/>
          <w:szCs w:val="21"/>
          <w:lang w:eastAsia="en-US"/>
        </w:rPr>
      </w:pPr>
      <w:r w:rsidRPr="002376FD">
        <w:rPr>
          <w:rFonts w:ascii="Arial" w:eastAsia="Calibri" w:hAnsi="Arial" w:cs="Arial"/>
          <w:sz w:val="21"/>
          <w:szCs w:val="21"/>
          <w:lang w:val="es-ES_tradnl" w:eastAsia="en-US"/>
        </w:rPr>
        <w:t>«</w:t>
      </w:r>
      <w:r w:rsidR="007E7CAC" w:rsidRPr="002376FD">
        <w:rPr>
          <w:rFonts w:ascii="Arial" w:eastAsiaTheme="minorHAnsi" w:hAnsi="Arial" w:cs="Arial"/>
          <w:sz w:val="21"/>
          <w:szCs w:val="21"/>
          <w:lang w:eastAsia="en-US"/>
        </w:rPr>
        <w:t>Cuál es la posición o interpretación de CCE frente al p</w:t>
      </w:r>
      <w:r w:rsidR="00816974" w:rsidRPr="002376FD">
        <w:rPr>
          <w:rFonts w:ascii="Arial" w:eastAsiaTheme="minorHAnsi" w:hAnsi="Arial" w:cs="Arial"/>
          <w:sz w:val="21"/>
          <w:szCs w:val="21"/>
          <w:lang w:eastAsia="en-US"/>
        </w:rPr>
        <w:t xml:space="preserve">ronunciamiento que hace el C. E </w:t>
      </w:r>
      <w:r w:rsidR="007E7CAC" w:rsidRPr="002376FD">
        <w:rPr>
          <w:rFonts w:ascii="Arial" w:eastAsiaTheme="minorHAnsi" w:hAnsi="Arial" w:cs="Arial"/>
          <w:sz w:val="21"/>
          <w:szCs w:val="21"/>
          <w:lang w:eastAsia="en-US"/>
        </w:rPr>
        <w:t>en dicha sentencia teniendo en cuenta que en múltipl</w:t>
      </w:r>
      <w:r w:rsidR="00816974" w:rsidRPr="002376FD">
        <w:rPr>
          <w:rFonts w:ascii="Arial" w:eastAsiaTheme="minorHAnsi" w:hAnsi="Arial" w:cs="Arial"/>
          <w:sz w:val="21"/>
          <w:szCs w:val="21"/>
          <w:lang w:eastAsia="en-US"/>
        </w:rPr>
        <w:t xml:space="preserve">es conceptos e inclusive en los </w:t>
      </w:r>
      <w:r w:rsidR="007E7CAC" w:rsidRPr="002376FD">
        <w:rPr>
          <w:rFonts w:ascii="Arial" w:eastAsiaTheme="minorHAnsi" w:hAnsi="Arial" w:cs="Arial"/>
          <w:sz w:val="21"/>
          <w:szCs w:val="21"/>
          <w:lang w:eastAsia="en-US"/>
        </w:rPr>
        <w:t>documentos tipo CCE ha estimado la posibilidad</w:t>
      </w:r>
      <w:r w:rsidR="00816974" w:rsidRPr="002376FD">
        <w:rPr>
          <w:rFonts w:ascii="Arial" w:eastAsiaTheme="minorHAnsi" w:hAnsi="Arial" w:cs="Arial"/>
          <w:sz w:val="21"/>
          <w:szCs w:val="21"/>
          <w:lang w:eastAsia="en-US"/>
        </w:rPr>
        <w:t xml:space="preserve"> que frente </w:t>
      </w:r>
      <w:r w:rsidR="00816974" w:rsidRPr="002376FD">
        <w:rPr>
          <w:rFonts w:ascii="Arial" w:eastAsiaTheme="minorHAnsi" w:hAnsi="Arial" w:cs="Arial"/>
          <w:sz w:val="21"/>
          <w:szCs w:val="21"/>
          <w:lang w:eastAsia="en-US"/>
        </w:rPr>
        <w:lastRenderedPageBreak/>
        <w:t xml:space="preserve">aquellos requisitos </w:t>
      </w:r>
      <w:r w:rsidR="007E7CAC" w:rsidRPr="002376FD">
        <w:rPr>
          <w:rFonts w:ascii="Arial" w:eastAsiaTheme="minorHAnsi" w:hAnsi="Arial" w:cs="Arial"/>
          <w:sz w:val="21"/>
          <w:szCs w:val="21"/>
          <w:lang w:eastAsia="en-US"/>
        </w:rPr>
        <w:t>habilitantes y que a su vez son ponderables, se pue</w:t>
      </w:r>
      <w:r w:rsidR="00816974" w:rsidRPr="002376FD">
        <w:rPr>
          <w:rFonts w:ascii="Arial" w:eastAsiaTheme="minorHAnsi" w:hAnsi="Arial" w:cs="Arial"/>
          <w:sz w:val="21"/>
          <w:szCs w:val="21"/>
          <w:lang w:eastAsia="en-US"/>
        </w:rPr>
        <w:t xml:space="preserve">dan subsanar frente al criterio </w:t>
      </w:r>
      <w:r w:rsidR="007E7CAC" w:rsidRPr="002376FD">
        <w:rPr>
          <w:rFonts w:ascii="Arial" w:eastAsiaTheme="minorHAnsi" w:hAnsi="Arial" w:cs="Arial"/>
          <w:sz w:val="21"/>
          <w:szCs w:val="21"/>
          <w:lang w:eastAsia="en-US"/>
        </w:rPr>
        <w:t>habilitante.</w:t>
      </w:r>
    </w:p>
    <w:p w14:paraId="009D853F" w14:textId="77777777" w:rsidR="00816974" w:rsidRPr="002376FD" w:rsidRDefault="00816974" w:rsidP="00816974">
      <w:pPr>
        <w:autoSpaceDE w:val="0"/>
        <w:autoSpaceDN w:val="0"/>
        <w:adjustRightInd w:val="0"/>
        <w:ind w:left="709" w:right="709"/>
        <w:jc w:val="both"/>
        <w:rPr>
          <w:rFonts w:ascii="Arial" w:eastAsiaTheme="minorHAnsi" w:hAnsi="Arial" w:cs="Arial"/>
          <w:sz w:val="21"/>
          <w:szCs w:val="21"/>
          <w:lang w:eastAsia="en-US"/>
        </w:rPr>
      </w:pPr>
    </w:p>
    <w:p w14:paraId="5E9223D9" w14:textId="0A89B1B2" w:rsidR="00034EA8" w:rsidRPr="002376FD" w:rsidRDefault="002376FD" w:rsidP="00816974">
      <w:pPr>
        <w:autoSpaceDE w:val="0"/>
        <w:autoSpaceDN w:val="0"/>
        <w:adjustRightInd w:val="0"/>
        <w:ind w:left="709" w:right="709"/>
        <w:jc w:val="both"/>
        <w:rPr>
          <w:rFonts w:ascii="Arial" w:eastAsiaTheme="minorHAnsi" w:hAnsi="Arial" w:cs="Arial"/>
          <w:sz w:val="21"/>
          <w:szCs w:val="21"/>
          <w:lang w:eastAsia="en-US"/>
        </w:rPr>
      </w:pPr>
      <w:r w:rsidRPr="002376FD">
        <w:rPr>
          <w:rFonts w:ascii="Arial" w:eastAsia="Calibri" w:hAnsi="Arial" w:cs="Arial"/>
          <w:sz w:val="21"/>
          <w:szCs w:val="21"/>
          <w:lang w:val="es-ES_tradnl" w:eastAsia="en-US"/>
        </w:rPr>
        <w:t>»</w:t>
      </w:r>
      <w:r w:rsidR="00816974" w:rsidRPr="002376FD">
        <w:rPr>
          <w:rFonts w:ascii="Arial" w:eastAsiaTheme="minorHAnsi" w:hAnsi="Arial" w:cs="Arial"/>
          <w:sz w:val="21"/>
          <w:szCs w:val="21"/>
          <w:lang w:eastAsia="en-US"/>
        </w:rPr>
        <w:t>Ahora</w:t>
      </w:r>
      <w:r w:rsidR="007E7CAC" w:rsidRPr="002376FD">
        <w:rPr>
          <w:rFonts w:ascii="Arial" w:eastAsiaTheme="minorHAnsi" w:hAnsi="Arial" w:cs="Arial"/>
          <w:sz w:val="21"/>
          <w:szCs w:val="21"/>
          <w:lang w:eastAsia="en-US"/>
        </w:rPr>
        <w:t>, cuando el CE habla de cambio en las regla</w:t>
      </w:r>
      <w:r w:rsidR="00816974" w:rsidRPr="002376FD">
        <w:rPr>
          <w:rFonts w:ascii="Arial" w:eastAsiaTheme="minorHAnsi" w:hAnsi="Arial" w:cs="Arial"/>
          <w:sz w:val="21"/>
          <w:szCs w:val="21"/>
          <w:lang w:eastAsia="en-US"/>
        </w:rPr>
        <w:t xml:space="preserve">s del juego o en los pliegos de </w:t>
      </w:r>
      <w:r w:rsidR="007E7CAC" w:rsidRPr="002376FD">
        <w:rPr>
          <w:rFonts w:ascii="Arial" w:eastAsiaTheme="minorHAnsi" w:hAnsi="Arial" w:cs="Arial"/>
          <w:sz w:val="21"/>
          <w:szCs w:val="21"/>
          <w:lang w:eastAsia="en-US"/>
        </w:rPr>
        <w:t>condiciones, quiere decir que frente aquellos requis</w:t>
      </w:r>
      <w:r w:rsidR="00816974" w:rsidRPr="002376FD">
        <w:rPr>
          <w:rFonts w:ascii="Arial" w:eastAsiaTheme="minorHAnsi" w:hAnsi="Arial" w:cs="Arial"/>
          <w:sz w:val="21"/>
          <w:szCs w:val="21"/>
          <w:lang w:eastAsia="en-US"/>
        </w:rPr>
        <w:t>itos que de manera concomitante son habilitantes y ponderables</w:t>
      </w:r>
      <w:r w:rsidR="007E7CAC" w:rsidRPr="002376FD">
        <w:rPr>
          <w:rFonts w:ascii="Arial" w:eastAsiaTheme="minorHAnsi" w:hAnsi="Arial" w:cs="Arial"/>
          <w:sz w:val="21"/>
          <w:szCs w:val="21"/>
          <w:lang w:eastAsia="en-US"/>
        </w:rPr>
        <w:t>, se puede permitir la subsanació</w:t>
      </w:r>
      <w:r w:rsidR="00816974" w:rsidRPr="002376FD">
        <w:rPr>
          <w:rFonts w:ascii="Arial" w:eastAsiaTheme="minorHAnsi" w:hAnsi="Arial" w:cs="Arial"/>
          <w:sz w:val="21"/>
          <w:szCs w:val="21"/>
          <w:lang w:eastAsia="en-US"/>
        </w:rPr>
        <w:t xml:space="preserve">n de los habilitantes, </w:t>
      </w:r>
      <w:r w:rsidR="007E7CAC" w:rsidRPr="002376FD">
        <w:rPr>
          <w:rFonts w:ascii="Arial" w:eastAsiaTheme="minorHAnsi" w:hAnsi="Arial" w:cs="Arial"/>
          <w:sz w:val="21"/>
          <w:szCs w:val="21"/>
          <w:lang w:eastAsia="en-US"/>
        </w:rPr>
        <w:t>siempre y cuando se haya estimado así en los pliegos</w:t>
      </w:r>
      <w:r w:rsidR="00816974" w:rsidRPr="002376FD">
        <w:rPr>
          <w:rFonts w:ascii="Arial" w:eastAsiaTheme="minorHAnsi" w:hAnsi="Arial" w:cs="Arial"/>
          <w:sz w:val="21"/>
          <w:szCs w:val="21"/>
          <w:lang w:eastAsia="en-US"/>
        </w:rPr>
        <w:t xml:space="preserve"> de condiciones de manera clara </w:t>
      </w:r>
      <w:r w:rsidR="007E7CAC" w:rsidRPr="002376FD">
        <w:rPr>
          <w:rFonts w:ascii="Arial" w:eastAsiaTheme="minorHAnsi" w:hAnsi="Arial" w:cs="Arial"/>
          <w:sz w:val="21"/>
          <w:szCs w:val="21"/>
          <w:lang w:eastAsia="en-US"/>
        </w:rPr>
        <w:t>y expresa. Acaso esto no deviene en una situació</w:t>
      </w:r>
      <w:r w:rsidR="00816974" w:rsidRPr="002376FD">
        <w:rPr>
          <w:rFonts w:ascii="Arial" w:eastAsiaTheme="minorHAnsi" w:hAnsi="Arial" w:cs="Arial"/>
          <w:sz w:val="21"/>
          <w:szCs w:val="21"/>
          <w:lang w:eastAsia="en-US"/>
        </w:rPr>
        <w:t xml:space="preserve">n tacita al ser dos elementos </w:t>
      </w:r>
      <w:r w:rsidR="007E7CAC" w:rsidRPr="002376FD">
        <w:rPr>
          <w:rFonts w:ascii="Arial" w:eastAsiaTheme="minorHAnsi" w:hAnsi="Arial" w:cs="Arial"/>
          <w:sz w:val="21"/>
          <w:szCs w:val="21"/>
          <w:lang w:eastAsia="en-US"/>
        </w:rPr>
        <w:t>(habilitación y ponderación) independientes</w:t>
      </w:r>
      <w:r w:rsidRPr="002376FD">
        <w:rPr>
          <w:rFonts w:ascii="Arial" w:eastAsia="Calibri" w:hAnsi="Arial" w:cs="Arial"/>
          <w:sz w:val="21"/>
          <w:szCs w:val="21"/>
          <w:lang w:val="es-ES_tradnl" w:eastAsia="en-US"/>
        </w:rPr>
        <w:t>»</w:t>
      </w:r>
      <w:r w:rsidR="007E7CAC" w:rsidRPr="002376FD">
        <w:rPr>
          <w:rFonts w:ascii="Arial" w:eastAsiaTheme="minorHAnsi" w:hAnsi="Arial" w:cs="Arial"/>
          <w:sz w:val="21"/>
          <w:szCs w:val="21"/>
          <w:lang w:eastAsia="en-US"/>
        </w:rPr>
        <w:t>.</w:t>
      </w:r>
    </w:p>
    <w:p w14:paraId="6AB4FBB2" w14:textId="0CFB2570" w:rsidR="009744A9" w:rsidRPr="00034EA8" w:rsidRDefault="009744A9" w:rsidP="009744A9">
      <w:pPr>
        <w:spacing w:line="276" w:lineRule="auto"/>
        <w:jc w:val="both"/>
        <w:rPr>
          <w:rFonts w:ascii="Arial" w:hAnsi="Arial" w:cs="Arial"/>
          <w:sz w:val="22"/>
          <w:szCs w:val="22"/>
          <w:lang w:val="es-ES_tradnl"/>
        </w:rPr>
      </w:pPr>
    </w:p>
    <w:p w14:paraId="3170FEE1" w14:textId="77777777" w:rsidR="00F15DC4" w:rsidRPr="00F15DC4" w:rsidRDefault="00F15DC4" w:rsidP="00F15DC4">
      <w:pPr>
        <w:numPr>
          <w:ilvl w:val="0"/>
          <w:numId w:val="43"/>
        </w:numPr>
        <w:tabs>
          <w:tab w:val="left" w:pos="284"/>
        </w:tabs>
        <w:spacing w:line="276" w:lineRule="auto"/>
        <w:ind w:left="0" w:firstLine="0"/>
        <w:contextualSpacing/>
        <w:rPr>
          <w:rFonts w:ascii="Arial" w:eastAsia="Calibri" w:hAnsi="Arial" w:cs="Arial"/>
          <w:b/>
          <w:sz w:val="22"/>
          <w:szCs w:val="22"/>
          <w:lang w:val="es-MX" w:eastAsia="en-US"/>
        </w:rPr>
      </w:pPr>
      <w:r w:rsidRPr="00F15DC4">
        <w:rPr>
          <w:rFonts w:ascii="Arial" w:eastAsia="Calibri" w:hAnsi="Arial" w:cs="Arial"/>
          <w:b/>
          <w:sz w:val="22"/>
          <w:szCs w:val="22"/>
          <w:lang w:val="es-MX" w:eastAsia="en-US"/>
        </w:rPr>
        <w:t>Consideraciones</w:t>
      </w:r>
    </w:p>
    <w:p w14:paraId="56EEDB53" w14:textId="77777777" w:rsidR="00F15DC4" w:rsidRPr="00F15DC4" w:rsidRDefault="00F15DC4" w:rsidP="00F15DC4">
      <w:pPr>
        <w:spacing w:line="276" w:lineRule="auto"/>
        <w:jc w:val="both"/>
        <w:rPr>
          <w:rFonts w:ascii="Arial" w:eastAsia="Calibri" w:hAnsi="Arial" w:cs="Arial"/>
          <w:sz w:val="22"/>
          <w:szCs w:val="22"/>
          <w:lang w:val="es-MX" w:eastAsia="en-US"/>
        </w:rPr>
      </w:pPr>
    </w:p>
    <w:p w14:paraId="01AD9297" w14:textId="65AE9006" w:rsidR="00F04907" w:rsidRPr="00F04907" w:rsidRDefault="00F04907" w:rsidP="00F04907">
      <w:pPr>
        <w:spacing w:after="120" w:line="276" w:lineRule="auto"/>
        <w:jc w:val="both"/>
        <w:rPr>
          <w:rFonts w:ascii="Arial" w:eastAsia="Calibri" w:hAnsi="Arial" w:cs="Arial"/>
          <w:sz w:val="22"/>
          <w:szCs w:val="22"/>
          <w:lang w:val="es-ES_tradnl" w:eastAsia="en-US"/>
        </w:rPr>
      </w:pPr>
      <w:r w:rsidRPr="00F04907">
        <w:rPr>
          <w:rFonts w:ascii="Arial" w:eastAsia="Arial" w:hAnsi="Arial" w:cs="Arial"/>
          <w:sz w:val="22"/>
          <w:szCs w:val="22"/>
          <w:lang w:val="es-MX"/>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F04907">
        <w:rPr>
          <w:rFonts w:ascii="Arial" w:eastAsia="Arial" w:hAnsi="Arial" w:cs="Arial"/>
          <w:sz w:val="22"/>
          <w:szCs w:val="22"/>
          <w:vertAlign w:val="superscript"/>
          <w:lang w:val="es-MX"/>
        </w:rPr>
        <w:footnoteReference w:id="2"/>
      </w:r>
      <w:r w:rsidRPr="00F04907">
        <w:rPr>
          <w:rFonts w:ascii="Arial" w:eastAsia="Arial" w:hAnsi="Arial" w:cs="Arial"/>
          <w:sz w:val="22"/>
          <w:szCs w:val="22"/>
          <w:lang w:val="es-MX"/>
        </w:rPr>
        <w:t xml:space="preserve">. </w:t>
      </w:r>
      <w:r w:rsidRPr="00F04907">
        <w:rPr>
          <w:rFonts w:ascii="Arial" w:eastAsia="Calibri" w:hAnsi="Arial" w:cs="Arial"/>
          <w:sz w:val="22"/>
          <w:szCs w:val="22"/>
          <w:lang w:val="es-ES_tradnl" w:eastAsia="en-U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r w:rsidR="00C7777B">
        <w:rPr>
          <w:rFonts w:ascii="Arial" w:eastAsia="Calibri" w:hAnsi="Arial" w:cs="Arial"/>
          <w:sz w:val="22"/>
          <w:szCs w:val="22"/>
          <w:lang w:val="es-ES_tradnl" w:eastAsia="en-US"/>
        </w:rPr>
        <w:t xml:space="preserve"> ni mucho determinar el alcance de las providencias emitidas por el Consejo de Estado</w:t>
      </w:r>
      <w:r w:rsidRPr="00F04907">
        <w:rPr>
          <w:rFonts w:ascii="Arial" w:eastAsia="Calibri" w:hAnsi="Arial" w:cs="Arial"/>
          <w:sz w:val="22"/>
          <w:szCs w:val="22"/>
          <w:lang w:val="es-ES_tradnl" w:eastAsia="en-US"/>
        </w:rPr>
        <w:t>.</w:t>
      </w:r>
    </w:p>
    <w:p w14:paraId="7ADD678B" w14:textId="77777777" w:rsidR="00F04907" w:rsidRPr="00F04907" w:rsidRDefault="00F04907" w:rsidP="00F04907">
      <w:pPr>
        <w:spacing w:after="120" w:line="276" w:lineRule="auto"/>
        <w:ind w:firstLine="708"/>
        <w:jc w:val="both"/>
        <w:rPr>
          <w:rFonts w:ascii="Arial" w:eastAsia="Calibri" w:hAnsi="Arial" w:cs="Arial"/>
          <w:sz w:val="22"/>
          <w:szCs w:val="22"/>
          <w:lang w:val="es-ES_tradnl" w:eastAsia="en-US"/>
        </w:rPr>
      </w:pPr>
      <w:r w:rsidRPr="00F04907">
        <w:rPr>
          <w:rFonts w:ascii="Arial" w:eastAsia="Calibri" w:hAnsi="Arial" w:cs="Arial"/>
          <w:sz w:val="22"/>
          <w:szCs w:val="22"/>
          <w:lang w:val="es-ES_tradnl" w:eastAsia="en-U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que implicaría determinar y analizar la naturaleza y el régimen de contratación de cada entidad pública. </w:t>
      </w:r>
    </w:p>
    <w:p w14:paraId="2EB3A875" w14:textId="77C3EBD6" w:rsidR="00F04907" w:rsidRDefault="00F04907" w:rsidP="00C7777B">
      <w:pPr>
        <w:spacing w:after="120" w:line="276" w:lineRule="auto"/>
        <w:ind w:firstLine="708"/>
        <w:jc w:val="both"/>
        <w:rPr>
          <w:rFonts w:ascii="Arial" w:eastAsia="Calibri" w:hAnsi="Arial" w:cs="Arial"/>
          <w:sz w:val="22"/>
          <w:szCs w:val="22"/>
          <w:lang w:val="es-ES_tradnl" w:eastAsia="en-US"/>
        </w:rPr>
      </w:pPr>
      <w:r w:rsidRPr="00F04907">
        <w:rPr>
          <w:rFonts w:ascii="Arial" w:eastAsia="Calibri" w:hAnsi="Arial" w:cs="Arial"/>
          <w:sz w:val="22"/>
          <w:szCs w:val="22"/>
          <w:lang w:eastAsia="en-US"/>
        </w:rPr>
        <w:t xml:space="preserve">Así las cosas, </w:t>
      </w:r>
      <w:r w:rsidRPr="00F04907">
        <w:rPr>
          <w:rFonts w:ascii="Arial" w:eastAsia="Calibri" w:hAnsi="Arial" w:cs="Arial"/>
          <w:sz w:val="22"/>
          <w:szCs w:val="22"/>
          <w:lang w:val="es-ES" w:eastAsia="en-US"/>
        </w:rPr>
        <w:t xml:space="preserve">la Agencia </w:t>
      </w:r>
      <w:r w:rsidR="008A55C3">
        <w:rPr>
          <w:rFonts w:ascii="Arial" w:eastAsia="Calibri" w:hAnsi="Arial" w:cs="Arial"/>
          <w:sz w:val="22"/>
          <w:szCs w:val="22"/>
          <w:lang w:val="es-ES" w:eastAsia="en-US"/>
        </w:rPr>
        <w:t>–</w:t>
      </w:r>
      <w:r w:rsidRPr="00F04907">
        <w:rPr>
          <w:rFonts w:ascii="Arial" w:eastAsia="Calibri" w:hAnsi="Arial" w:cs="Arial"/>
          <w:sz w:val="22"/>
          <w:szCs w:val="22"/>
          <w:lang w:val="es-ES" w:eastAsia="en-US"/>
        </w:rPr>
        <w:t xml:space="preserve">dentro de los límites de sus atribuciones, esto es, </w:t>
      </w:r>
      <w:bookmarkStart w:id="2" w:name="_Hlk61025408"/>
      <w:r w:rsidRPr="00F04907">
        <w:rPr>
          <w:rFonts w:ascii="Arial" w:eastAsia="Calibri" w:hAnsi="Arial" w:cs="Arial"/>
          <w:sz w:val="22"/>
          <w:szCs w:val="22"/>
          <w:lang w:val="es-ES" w:eastAsia="en-US"/>
        </w:rPr>
        <w:t>haciendo abstracción del caso particular expuesto</w:t>
      </w:r>
      <w:bookmarkEnd w:id="2"/>
      <w:r w:rsidR="008A55C3">
        <w:rPr>
          <w:rFonts w:ascii="Arial" w:eastAsia="Calibri" w:hAnsi="Arial" w:cs="Arial"/>
          <w:sz w:val="22"/>
          <w:szCs w:val="22"/>
          <w:lang w:val="es-ES" w:eastAsia="en-US"/>
        </w:rPr>
        <w:t>–</w:t>
      </w:r>
      <w:r w:rsidRPr="00F04907">
        <w:rPr>
          <w:rFonts w:ascii="Arial" w:eastAsia="Calibri" w:hAnsi="Arial" w:cs="Arial"/>
          <w:sz w:val="22"/>
          <w:szCs w:val="22"/>
          <w:lang w:val="es-ES" w:eastAsia="en-US"/>
        </w:rPr>
        <w:t xml:space="preserve">, resolverá la consulta conforme a las </w:t>
      </w:r>
      <w:r w:rsidRPr="00F04907">
        <w:rPr>
          <w:rFonts w:ascii="Arial" w:eastAsia="Calibri" w:hAnsi="Arial" w:cs="Arial"/>
          <w:sz w:val="22"/>
          <w:szCs w:val="22"/>
          <w:lang w:val="es-ES" w:eastAsia="en-US"/>
        </w:rPr>
        <w:lastRenderedPageBreak/>
        <w:t>normas generales en m</w:t>
      </w:r>
      <w:r>
        <w:rPr>
          <w:rFonts w:ascii="Arial" w:eastAsia="Calibri" w:hAnsi="Arial" w:cs="Arial"/>
          <w:sz w:val="22"/>
          <w:szCs w:val="22"/>
          <w:lang w:val="es-ES" w:eastAsia="en-US"/>
        </w:rPr>
        <w:t xml:space="preserve">ateria de contratación estatal. </w:t>
      </w:r>
      <w:r w:rsidR="00F15DC4" w:rsidRPr="00F15DC4">
        <w:rPr>
          <w:rFonts w:ascii="Arial" w:eastAsiaTheme="minorHAnsi" w:hAnsi="Arial" w:cs="Arial"/>
          <w:sz w:val="22"/>
          <w:szCs w:val="22"/>
          <w:lang w:val="es-MX" w:eastAsia="en-US"/>
        </w:rPr>
        <w:t>Para responder los interrogantes se realizarán algunas consideraciones en torno a</w:t>
      </w:r>
      <w:r w:rsidR="00537E3C">
        <w:rPr>
          <w:rFonts w:ascii="Arial" w:eastAsiaTheme="minorHAnsi" w:hAnsi="Arial" w:cs="Arial"/>
          <w:sz w:val="22"/>
          <w:szCs w:val="22"/>
          <w:lang w:val="es-MX" w:eastAsia="en-US"/>
        </w:rPr>
        <w:t xml:space="preserve"> los siguientes temas</w:t>
      </w:r>
      <w:r w:rsidR="00F15DC4" w:rsidRPr="00F15DC4">
        <w:rPr>
          <w:rFonts w:ascii="Arial" w:eastAsiaTheme="minorHAnsi" w:hAnsi="Arial" w:cs="Arial"/>
          <w:sz w:val="22"/>
          <w:szCs w:val="22"/>
          <w:lang w:val="es-MX" w:eastAsia="en-US"/>
        </w:rPr>
        <w:t>: i) principio de selección objetiva en la contratación estatal</w:t>
      </w:r>
      <w:r w:rsidR="008A55C3">
        <w:rPr>
          <w:rFonts w:ascii="Arial" w:eastAsiaTheme="minorHAnsi" w:hAnsi="Arial" w:cs="Arial"/>
          <w:sz w:val="22"/>
          <w:szCs w:val="22"/>
          <w:lang w:val="es-MX" w:eastAsia="en-US"/>
        </w:rPr>
        <w:t>;</w:t>
      </w:r>
      <w:r w:rsidR="00D63A05">
        <w:rPr>
          <w:rFonts w:ascii="Arial" w:eastAsiaTheme="minorHAnsi" w:hAnsi="Arial" w:cs="Arial"/>
          <w:sz w:val="22"/>
          <w:szCs w:val="22"/>
          <w:lang w:val="es-MX" w:eastAsia="en-US"/>
        </w:rPr>
        <w:t xml:space="preserve"> </w:t>
      </w:r>
      <w:r w:rsidR="00F15DC4" w:rsidRPr="00F15DC4">
        <w:rPr>
          <w:rFonts w:ascii="Arial" w:eastAsiaTheme="minorHAnsi" w:hAnsi="Arial" w:cs="Arial"/>
          <w:sz w:val="22"/>
          <w:szCs w:val="22"/>
          <w:lang w:val="es-MX" w:eastAsia="en-US"/>
        </w:rPr>
        <w:t xml:space="preserve">ii) </w:t>
      </w:r>
      <w:r w:rsidR="00F15DC4" w:rsidRPr="00F15DC4">
        <w:rPr>
          <w:rFonts w:ascii="Arial" w:eastAsia="Calibri" w:hAnsi="Arial" w:cs="Arial"/>
          <w:sz w:val="22"/>
          <w:szCs w:val="22"/>
          <w:lang w:val="es-ES_tradnl" w:eastAsia="en-US"/>
        </w:rPr>
        <w:t xml:space="preserve">el alcance de la regla de la </w:t>
      </w:r>
      <w:proofErr w:type="spellStart"/>
      <w:r w:rsidR="00F15DC4" w:rsidRPr="00F15DC4">
        <w:rPr>
          <w:rFonts w:ascii="Arial" w:eastAsia="Calibri" w:hAnsi="Arial" w:cs="Arial"/>
          <w:sz w:val="22"/>
          <w:szCs w:val="22"/>
          <w:lang w:val="es-ES_tradnl" w:eastAsia="en-US"/>
        </w:rPr>
        <w:t>subsanabilidad</w:t>
      </w:r>
      <w:proofErr w:type="spellEnd"/>
      <w:r w:rsidR="00D63A05">
        <w:rPr>
          <w:rFonts w:ascii="Arial" w:eastAsia="Calibri" w:hAnsi="Arial" w:cs="Arial"/>
          <w:sz w:val="22"/>
          <w:szCs w:val="22"/>
          <w:lang w:val="es-ES_tradnl" w:eastAsia="en-US"/>
        </w:rPr>
        <w:t xml:space="preserve"> de las ofertas</w:t>
      </w:r>
      <w:r w:rsidR="00D97F14">
        <w:rPr>
          <w:rFonts w:ascii="Arial" w:eastAsia="Calibri" w:hAnsi="Arial" w:cs="Arial"/>
          <w:sz w:val="22"/>
          <w:szCs w:val="22"/>
          <w:lang w:val="es-ES_tradnl" w:eastAsia="en-US"/>
        </w:rPr>
        <w:t xml:space="preserve">; y iii) </w:t>
      </w:r>
      <w:r w:rsidR="00D97F14" w:rsidRPr="002376FD">
        <w:rPr>
          <w:rFonts w:ascii="Arial" w:eastAsia="Calibri" w:hAnsi="Arial" w:cs="Arial"/>
          <w:bCs/>
          <w:sz w:val="22"/>
          <w:szCs w:val="22"/>
          <w:lang w:val="es-MX" w:eastAsia="en-US"/>
        </w:rPr>
        <w:t xml:space="preserve">análisis de las tesis planteadas en relación con la </w:t>
      </w:r>
      <w:proofErr w:type="spellStart"/>
      <w:r w:rsidR="00D97F14" w:rsidRPr="002376FD">
        <w:rPr>
          <w:rFonts w:ascii="Arial" w:eastAsia="Calibri" w:hAnsi="Arial" w:cs="Arial"/>
          <w:bCs/>
          <w:sz w:val="22"/>
          <w:szCs w:val="22"/>
          <w:lang w:val="es-MX" w:eastAsia="en-US"/>
        </w:rPr>
        <w:t>subsanabilidad</w:t>
      </w:r>
      <w:proofErr w:type="spellEnd"/>
      <w:r w:rsidR="008A55C3">
        <w:rPr>
          <w:rFonts w:ascii="Arial" w:eastAsia="Calibri" w:hAnsi="Arial" w:cs="Arial"/>
          <w:bCs/>
          <w:sz w:val="22"/>
          <w:szCs w:val="22"/>
          <w:lang w:val="es-MX" w:eastAsia="en-US"/>
        </w:rPr>
        <w:t xml:space="preserve"> de las ofertas</w:t>
      </w:r>
      <w:r w:rsidR="00D97F14" w:rsidRPr="002376FD">
        <w:rPr>
          <w:rFonts w:ascii="Arial" w:eastAsia="Calibri" w:hAnsi="Arial" w:cs="Arial"/>
          <w:bCs/>
          <w:sz w:val="22"/>
          <w:szCs w:val="22"/>
          <w:lang w:val="es-MX" w:eastAsia="en-US"/>
        </w:rPr>
        <w:t xml:space="preserve"> y la Sentencia de </w:t>
      </w:r>
      <w:r w:rsidR="008A55C3">
        <w:rPr>
          <w:rFonts w:ascii="Arial" w:eastAsia="Calibri" w:hAnsi="Arial" w:cs="Arial"/>
          <w:bCs/>
          <w:sz w:val="22"/>
          <w:szCs w:val="22"/>
          <w:lang w:val="es-MX" w:eastAsia="en-US"/>
        </w:rPr>
        <w:t xml:space="preserve">la </w:t>
      </w:r>
      <w:r w:rsidR="00D97F14" w:rsidRPr="002376FD">
        <w:rPr>
          <w:rFonts w:ascii="Arial" w:eastAsia="Calibri" w:hAnsi="Arial" w:cs="Arial"/>
          <w:bCs/>
          <w:sz w:val="22"/>
          <w:szCs w:val="22"/>
          <w:lang w:val="es-MX" w:eastAsia="en-US"/>
        </w:rPr>
        <w:t>Sección Tercera, Subsección C, del Consejo de Estado, proferida en el expediente 65134</w:t>
      </w:r>
      <w:r w:rsidR="00D97F14">
        <w:rPr>
          <w:rFonts w:ascii="Arial" w:eastAsia="Calibri" w:hAnsi="Arial" w:cs="Arial"/>
          <w:bCs/>
          <w:sz w:val="22"/>
          <w:szCs w:val="22"/>
          <w:lang w:val="es-MX" w:eastAsia="en-US"/>
        </w:rPr>
        <w:t>.</w:t>
      </w:r>
    </w:p>
    <w:p w14:paraId="7A0D50E9" w14:textId="613F5DF6" w:rsidR="00E82A4C" w:rsidRPr="007C4DB5" w:rsidRDefault="008B11D9" w:rsidP="00E82A4C">
      <w:pPr>
        <w:spacing w:before="120" w:after="120" w:line="276" w:lineRule="auto"/>
        <w:ind w:firstLine="708"/>
        <w:jc w:val="both"/>
        <w:rPr>
          <w:rFonts w:ascii="Arial" w:eastAsiaTheme="minorHAnsi" w:hAnsi="Arial" w:cs="Arial"/>
          <w:sz w:val="22"/>
          <w:szCs w:val="22"/>
          <w:lang w:val="es-ES_tradnl" w:eastAsia="en-US"/>
        </w:rPr>
      </w:pPr>
      <w:r>
        <w:rPr>
          <w:rFonts w:ascii="Arial" w:eastAsiaTheme="minorHAnsi" w:hAnsi="Arial" w:cs="Arial"/>
          <w:sz w:val="22"/>
          <w:szCs w:val="22"/>
          <w:lang w:val="es-ES_tradnl" w:eastAsia="en-US"/>
        </w:rPr>
        <w:t>L</w:t>
      </w:r>
      <w:r w:rsidR="00E82A4C" w:rsidRPr="007C4DB5">
        <w:rPr>
          <w:rFonts w:ascii="Arial" w:eastAsiaTheme="minorHAnsi" w:hAnsi="Arial" w:cs="Arial"/>
          <w:sz w:val="22"/>
          <w:szCs w:val="22"/>
          <w:lang w:val="es-ES_tradnl" w:eastAsia="en-US"/>
        </w:rPr>
        <w:t xml:space="preserve">a Agencia Nacional de Contratación Pública – Colombia Compra Eficiente, en el concepto CU - 060 de 16 de enero de 2020, unificó el concepto en torno al alcance de la regla de la </w:t>
      </w:r>
      <w:proofErr w:type="spellStart"/>
      <w:r w:rsidR="00E82A4C" w:rsidRPr="007C4DB5">
        <w:rPr>
          <w:rFonts w:ascii="Arial" w:eastAsiaTheme="minorHAnsi" w:hAnsi="Arial" w:cs="Arial"/>
          <w:sz w:val="22"/>
          <w:szCs w:val="22"/>
          <w:lang w:val="es-ES_tradnl" w:eastAsia="en-US"/>
        </w:rPr>
        <w:t>subsanabilidad</w:t>
      </w:r>
      <w:proofErr w:type="spellEnd"/>
      <w:r w:rsidR="00E82A4C" w:rsidRPr="007C4DB5">
        <w:rPr>
          <w:rFonts w:ascii="Arial" w:eastAsiaTheme="minorHAnsi" w:hAnsi="Arial" w:cs="Arial"/>
          <w:sz w:val="22"/>
          <w:szCs w:val="22"/>
          <w:lang w:val="es-ES_tradnl" w:eastAsia="en-US"/>
        </w:rPr>
        <w:t xml:space="preserve">, contenida actualmente en el artículo 5 de la Ley 1150 de 2007. En dicho concepto se unificó la </w:t>
      </w:r>
      <w:r w:rsidR="00E82A4C" w:rsidRPr="007C4DB5">
        <w:rPr>
          <w:rFonts w:ascii="Arial" w:eastAsia="Calibri" w:hAnsi="Arial" w:cs="Arial"/>
          <w:sz w:val="22"/>
          <w:szCs w:val="22"/>
          <w:lang w:val="es-ES_tradnl" w:eastAsia="en-US"/>
        </w:rPr>
        <w:t xml:space="preserve">tesis expuesta en los conceptos con radicado No. 4201913000006471 del 28 de octubre de 2019, 4201912000006711 del 12 de noviembre de 2019 y 4201912000006496 del 15 de noviembre de 2019, la cual fue </w:t>
      </w:r>
      <w:r>
        <w:rPr>
          <w:rFonts w:ascii="Arial" w:eastAsia="Calibri" w:hAnsi="Arial" w:cs="Arial"/>
          <w:sz w:val="22"/>
          <w:szCs w:val="22"/>
          <w:lang w:val="es-ES_tradnl" w:eastAsia="en-US"/>
        </w:rPr>
        <w:t xml:space="preserve">ha sido </w:t>
      </w:r>
      <w:r w:rsidR="00E82A4C" w:rsidRPr="007C4DB5">
        <w:rPr>
          <w:rFonts w:ascii="Arial" w:eastAsia="Calibri" w:hAnsi="Arial" w:cs="Arial"/>
          <w:sz w:val="22"/>
          <w:szCs w:val="22"/>
          <w:lang w:val="es-ES_tradnl" w:eastAsia="en-US"/>
        </w:rPr>
        <w:t xml:space="preserve">reiterada en los conceptos </w:t>
      </w:r>
      <w:r w:rsidR="00E82A4C" w:rsidRPr="007C4DB5">
        <w:rPr>
          <w:rFonts w:ascii="Arial" w:eastAsia="Calibri" w:hAnsi="Arial" w:cs="Arial"/>
          <w:sz w:val="22"/>
          <w:szCs w:val="22"/>
          <w:lang w:val="es-MX" w:eastAsia="en-US"/>
        </w:rPr>
        <w:t>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y C-250 del 2 de junio de 2021, C-568 del 11 de octubre de 2021</w:t>
      </w:r>
      <w:r w:rsidR="00E82A4C">
        <w:rPr>
          <w:rFonts w:ascii="Arial" w:eastAsia="Calibri" w:hAnsi="Arial" w:cs="Arial"/>
          <w:sz w:val="22"/>
          <w:szCs w:val="22"/>
          <w:lang w:val="es-MX" w:eastAsia="en-US"/>
        </w:rPr>
        <w:t>, C-728 del 25 de enero de 2022, C-140 del 28 de marzo de 2022, C-285 del 20 de mayo de 2022, C-416 del 30 de junio de 2022, C-431 del 7 de julio de 2022</w:t>
      </w:r>
      <w:r>
        <w:rPr>
          <w:rFonts w:ascii="Arial" w:eastAsia="Calibri" w:hAnsi="Arial" w:cs="Arial"/>
          <w:sz w:val="22"/>
          <w:szCs w:val="22"/>
          <w:lang w:val="es-MX" w:eastAsia="en-US"/>
        </w:rPr>
        <w:t xml:space="preserve"> y</w:t>
      </w:r>
      <w:r w:rsidR="00E82A4C">
        <w:rPr>
          <w:rFonts w:ascii="Arial" w:eastAsia="Calibri" w:hAnsi="Arial" w:cs="Arial"/>
          <w:sz w:val="22"/>
          <w:szCs w:val="22"/>
          <w:lang w:val="es-MX" w:eastAsia="en-US"/>
        </w:rPr>
        <w:t xml:space="preserve"> C-470 del 25 de julio de 2022</w:t>
      </w:r>
      <w:r w:rsidR="00E82A4C" w:rsidRPr="007C4DB5">
        <w:rPr>
          <w:rFonts w:ascii="Arial" w:eastAsia="Calibri" w:hAnsi="Arial" w:cs="Arial"/>
          <w:sz w:val="22"/>
          <w:szCs w:val="22"/>
          <w:lang w:val="es-MX" w:eastAsia="en-US"/>
        </w:rPr>
        <w:t xml:space="preserve">. </w:t>
      </w:r>
      <w:r w:rsidR="00E82A4C" w:rsidRPr="007C4DB5">
        <w:rPr>
          <w:rFonts w:ascii="Arial" w:eastAsiaTheme="minorHAnsi" w:hAnsi="Arial" w:cs="Arial"/>
          <w:sz w:val="22"/>
          <w:szCs w:val="22"/>
          <w:lang w:val="es-ES_tradnl" w:eastAsia="en-US"/>
        </w:rPr>
        <w:t xml:space="preserve">De la tesis desarrollada se tomarán algunas consideraciones para ilustrar el alcance de la regla de </w:t>
      </w:r>
      <w:proofErr w:type="spellStart"/>
      <w:r w:rsidR="00E82A4C" w:rsidRPr="007C4DB5">
        <w:rPr>
          <w:rFonts w:ascii="Arial" w:eastAsiaTheme="minorHAnsi" w:hAnsi="Arial" w:cs="Arial"/>
          <w:sz w:val="22"/>
          <w:szCs w:val="22"/>
          <w:lang w:val="es-ES_tradnl" w:eastAsia="en-US"/>
        </w:rPr>
        <w:t>subsanabilidad</w:t>
      </w:r>
      <w:proofErr w:type="spellEnd"/>
      <w:r w:rsidR="00E82A4C" w:rsidRPr="007C4DB5">
        <w:rPr>
          <w:rFonts w:ascii="Arial" w:eastAsiaTheme="minorHAnsi" w:hAnsi="Arial" w:cs="Arial"/>
          <w:sz w:val="22"/>
          <w:szCs w:val="22"/>
          <w:lang w:val="es-ES_tradnl" w:eastAsia="en-US"/>
        </w:rPr>
        <w:t xml:space="preserve"> en procesos de selección</w:t>
      </w:r>
      <w:r w:rsidR="00E82A4C">
        <w:rPr>
          <w:rFonts w:ascii="Arial" w:eastAsiaTheme="minorHAnsi" w:hAnsi="Arial" w:cs="Arial"/>
          <w:sz w:val="22"/>
          <w:szCs w:val="22"/>
          <w:lang w:val="es-ES_tradnl" w:eastAsia="en-US"/>
        </w:rPr>
        <w:t xml:space="preserve"> y se complementa</w:t>
      </w:r>
      <w:r>
        <w:rPr>
          <w:rFonts w:ascii="Arial" w:eastAsiaTheme="minorHAnsi" w:hAnsi="Arial" w:cs="Arial"/>
          <w:sz w:val="22"/>
          <w:szCs w:val="22"/>
          <w:lang w:val="es-ES_tradnl" w:eastAsia="en-US"/>
        </w:rPr>
        <w:t>rá</w:t>
      </w:r>
      <w:r w:rsidR="00E82A4C">
        <w:rPr>
          <w:rFonts w:ascii="Arial" w:eastAsiaTheme="minorHAnsi" w:hAnsi="Arial" w:cs="Arial"/>
          <w:sz w:val="22"/>
          <w:szCs w:val="22"/>
          <w:lang w:val="es-ES_tradnl" w:eastAsia="en-US"/>
        </w:rPr>
        <w:t xml:space="preserve"> en lo pertinente. </w:t>
      </w:r>
    </w:p>
    <w:p w14:paraId="31B0C29C" w14:textId="57048899" w:rsidR="00F15DC4" w:rsidRPr="00F15DC4" w:rsidRDefault="00F15DC4" w:rsidP="00C0544C">
      <w:pPr>
        <w:spacing w:line="276" w:lineRule="auto"/>
        <w:jc w:val="both"/>
        <w:rPr>
          <w:rFonts w:ascii="Arial" w:eastAsia="Calibri" w:hAnsi="Arial" w:cs="Arial"/>
          <w:sz w:val="22"/>
          <w:szCs w:val="22"/>
          <w:lang w:val="es-ES_tradnl" w:eastAsia="en-US"/>
        </w:rPr>
      </w:pPr>
    </w:p>
    <w:p w14:paraId="6526BBA1" w14:textId="77777777" w:rsidR="00F15DC4" w:rsidRPr="00F15DC4" w:rsidRDefault="00F15DC4" w:rsidP="00F15DC4">
      <w:pPr>
        <w:spacing w:line="276" w:lineRule="auto"/>
        <w:jc w:val="both"/>
        <w:rPr>
          <w:rFonts w:ascii="Arial" w:eastAsia="Calibri" w:hAnsi="Arial" w:cs="Arial"/>
          <w:b/>
          <w:bCs/>
          <w:sz w:val="22"/>
          <w:szCs w:val="22"/>
          <w:lang w:val="es-ES_tradnl" w:eastAsia="en-US"/>
        </w:rPr>
      </w:pPr>
      <w:r w:rsidRPr="00F15DC4">
        <w:rPr>
          <w:rFonts w:ascii="Arial" w:eastAsia="Calibri" w:hAnsi="Arial" w:cs="Arial"/>
          <w:b/>
          <w:bCs/>
          <w:sz w:val="22"/>
          <w:szCs w:val="22"/>
          <w:lang w:val="es-ES_tradnl" w:eastAsia="en-US"/>
        </w:rPr>
        <w:t xml:space="preserve">2.1. </w:t>
      </w:r>
      <w:bookmarkStart w:id="3" w:name="_Hlk41921892"/>
      <w:r w:rsidRPr="00F15DC4">
        <w:rPr>
          <w:rFonts w:ascii="Arial" w:eastAsia="Calibri" w:hAnsi="Arial" w:cs="Arial"/>
          <w:b/>
          <w:bCs/>
          <w:sz w:val="22"/>
          <w:szCs w:val="22"/>
          <w:lang w:val="es-ES_tradnl" w:eastAsia="en-US"/>
        </w:rPr>
        <w:t>Principio de selección objetiva en la contratación estatal</w:t>
      </w:r>
      <w:bookmarkEnd w:id="3"/>
    </w:p>
    <w:p w14:paraId="19F8EAFA" w14:textId="77777777" w:rsidR="00F15DC4" w:rsidRPr="00F15DC4" w:rsidRDefault="00F15DC4" w:rsidP="00F15DC4">
      <w:pPr>
        <w:spacing w:line="276" w:lineRule="auto"/>
        <w:jc w:val="both"/>
        <w:rPr>
          <w:rFonts w:ascii="Arial" w:eastAsia="Calibri" w:hAnsi="Arial" w:cs="Arial"/>
          <w:b/>
          <w:bCs/>
          <w:sz w:val="22"/>
          <w:szCs w:val="22"/>
          <w:lang w:val="es-ES_tradnl" w:eastAsia="en-US"/>
        </w:rPr>
      </w:pPr>
    </w:p>
    <w:p w14:paraId="571E4EC7" w14:textId="4805A3C7" w:rsidR="00F15DC4" w:rsidRPr="00F15DC4" w:rsidRDefault="00F15DC4" w:rsidP="007C4DB5">
      <w:pPr>
        <w:spacing w:line="276" w:lineRule="auto"/>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Uno de los principios transversales de los procedimientos de selección es el de </w:t>
      </w:r>
      <w:r w:rsidRPr="00F15DC4">
        <w:rPr>
          <w:rFonts w:ascii="Arial" w:eastAsia="Calibri" w:hAnsi="Arial" w:cs="Arial"/>
          <w:i/>
          <w:iCs/>
          <w:sz w:val="22"/>
          <w:szCs w:val="22"/>
          <w:lang w:val="es-ES_tradnl" w:eastAsia="en-US"/>
        </w:rPr>
        <w:t>selección objetiva</w:t>
      </w:r>
      <w:r w:rsidRPr="00F15DC4">
        <w:rPr>
          <w:rFonts w:ascii="Arial" w:eastAsia="Calibri" w:hAnsi="Arial" w:cs="Arial"/>
          <w:sz w:val="22"/>
          <w:szCs w:val="22"/>
          <w:lang w:val="es-ES_tradnl" w:eastAsia="en-US"/>
        </w:rPr>
        <w:t>. Se trata del postulado que exige que la escogencia de la oferta ganadora debe fundamentar</w:t>
      </w:r>
      <w:r w:rsidR="006823D9">
        <w:rPr>
          <w:rFonts w:ascii="Arial" w:eastAsia="Calibri" w:hAnsi="Arial" w:cs="Arial"/>
          <w:sz w:val="22"/>
          <w:szCs w:val="22"/>
          <w:lang w:val="es-ES_tradnl" w:eastAsia="en-US"/>
        </w:rPr>
        <w:t xml:space="preserve">se </w:t>
      </w:r>
      <w:r w:rsidRPr="00F15DC4">
        <w:rPr>
          <w:rFonts w:ascii="Arial" w:eastAsia="Calibri" w:hAnsi="Arial" w:cs="Arial"/>
          <w:sz w:val="22"/>
          <w:szCs w:val="22"/>
          <w:lang w:val="es-ES_tradnl" w:eastAsia="en-US"/>
        </w:rPr>
        <w:t>en factores objetivos, de carácter técnico, jurídico y financiero, y no en criterios subjetivos, como el afecto, la amistad, el ánimo de ayuda, el interés personal, e</w:t>
      </w:r>
      <w:r w:rsidR="006823D9">
        <w:rPr>
          <w:rFonts w:ascii="Arial" w:eastAsia="Calibri" w:hAnsi="Arial" w:cs="Arial"/>
          <w:sz w:val="22"/>
          <w:szCs w:val="22"/>
          <w:lang w:val="es-ES_tradnl" w:eastAsia="en-US"/>
        </w:rPr>
        <w:t>ntre otros</w:t>
      </w:r>
      <w:r w:rsidRPr="00F15DC4">
        <w:rPr>
          <w:rFonts w:ascii="Arial" w:eastAsia="Calibri" w:hAnsi="Arial" w:cs="Arial"/>
          <w:sz w:val="22"/>
          <w:szCs w:val="22"/>
          <w:lang w:val="es-ES_tradnl" w:eastAsia="en-US"/>
        </w:rPr>
        <w:t>. Si bien dentro de la historia de la contratación pública en Colombia, se vislumbran antecedentes normativos que consagraban dicho principio</w:t>
      </w:r>
      <w:r w:rsidRPr="00F15DC4">
        <w:rPr>
          <w:rFonts w:ascii="Arial" w:eastAsia="Calibri" w:hAnsi="Arial" w:cs="Arial"/>
          <w:sz w:val="22"/>
          <w:szCs w:val="22"/>
          <w:vertAlign w:val="superscript"/>
          <w:lang w:val="es-ES_tradnl" w:eastAsia="en-US"/>
        </w:rPr>
        <w:footnoteReference w:id="3"/>
      </w:r>
      <w:r w:rsidRPr="00F15DC4">
        <w:rPr>
          <w:rFonts w:ascii="Arial" w:eastAsia="Calibri" w:hAnsi="Arial" w:cs="Arial"/>
          <w:sz w:val="22"/>
          <w:szCs w:val="22"/>
          <w:lang w:val="es-ES_tradnl" w:eastAsia="en-US"/>
        </w:rPr>
        <w:t xml:space="preserve">, en la actualidad la disposición </w:t>
      </w:r>
      <w:r w:rsidRPr="00F15DC4">
        <w:rPr>
          <w:rFonts w:ascii="Arial" w:eastAsia="Calibri" w:hAnsi="Arial" w:cs="Arial"/>
          <w:sz w:val="22"/>
          <w:szCs w:val="22"/>
          <w:lang w:val="es-ES_tradnl" w:eastAsia="en-US"/>
        </w:rPr>
        <w:lastRenderedPageBreak/>
        <w:t>legal que lo prevé de manera más clara y contundente es el artículo 5 de la Ley 1150 de 2007, modificado por el artículo 88 de la Ley 1474 de 2011 y por el artículo 5 de la Ley 1882 de 2018</w:t>
      </w:r>
      <w:r w:rsidR="00D84921">
        <w:rPr>
          <w:rFonts w:ascii="Arial" w:eastAsia="Calibri" w:hAnsi="Arial" w:cs="Arial"/>
          <w:sz w:val="22"/>
          <w:szCs w:val="22"/>
          <w:lang w:val="es-ES_tradnl" w:eastAsia="en-US"/>
        </w:rPr>
        <w:t>. Esta norma dispone lo siguiente</w:t>
      </w:r>
      <w:r w:rsidRPr="00F15DC4">
        <w:rPr>
          <w:rFonts w:ascii="Arial" w:eastAsia="Calibri" w:hAnsi="Arial" w:cs="Arial"/>
          <w:sz w:val="22"/>
          <w:szCs w:val="22"/>
          <w:lang w:val="es-ES_tradnl" w:eastAsia="en-US"/>
        </w:rPr>
        <w:t>:</w:t>
      </w:r>
    </w:p>
    <w:p w14:paraId="40C0FA44" w14:textId="77777777" w:rsidR="00F15DC4" w:rsidRPr="00F15DC4" w:rsidRDefault="00F15DC4" w:rsidP="00F15DC4">
      <w:pPr>
        <w:spacing w:line="276" w:lineRule="auto"/>
        <w:jc w:val="both"/>
        <w:rPr>
          <w:rFonts w:ascii="Arial" w:eastAsia="Calibri" w:hAnsi="Arial" w:cs="Arial"/>
          <w:sz w:val="22"/>
          <w:szCs w:val="22"/>
          <w:lang w:val="es-ES_tradnl" w:eastAsia="en-US"/>
        </w:rPr>
      </w:pPr>
    </w:p>
    <w:p w14:paraId="464DD19A"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26EE50D" w14:textId="77777777" w:rsidR="00F15DC4" w:rsidRPr="00F15DC4" w:rsidRDefault="00F15DC4" w:rsidP="00F15DC4">
      <w:pPr>
        <w:ind w:left="709" w:right="709"/>
        <w:jc w:val="both"/>
        <w:rPr>
          <w:rFonts w:ascii="Arial" w:eastAsia="Calibri" w:hAnsi="Arial" w:cs="Arial"/>
          <w:sz w:val="21"/>
          <w:szCs w:val="21"/>
          <w:lang w:val="es-ES_tradnl" w:eastAsia="en-US"/>
        </w:rPr>
      </w:pPr>
    </w:p>
    <w:p w14:paraId="6355F0F9"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30A64B5" w14:textId="77777777" w:rsidR="00F15DC4" w:rsidRPr="00F15DC4" w:rsidRDefault="00F15DC4" w:rsidP="00F15DC4">
      <w:pPr>
        <w:ind w:left="709" w:right="709"/>
        <w:jc w:val="both"/>
        <w:rPr>
          <w:rFonts w:ascii="Arial" w:eastAsia="Calibri" w:hAnsi="Arial" w:cs="Arial"/>
          <w:sz w:val="21"/>
          <w:szCs w:val="21"/>
          <w:lang w:val="es-ES_tradnl" w:eastAsia="en-US"/>
        </w:rPr>
      </w:pPr>
    </w:p>
    <w:p w14:paraId="70C6754D"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088F0D6D" w14:textId="77777777" w:rsidR="00F15DC4" w:rsidRPr="00F15DC4" w:rsidRDefault="00F15DC4" w:rsidP="00F15DC4">
      <w:pPr>
        <w:ind w:left="709" w:right="709"/>
        <w:jc w:val="both"/>
        <w:rPr>
          <w:rFonts w:ascii="Arial" w:eastAsia="Calibri" w:hAnsi="Arial" w:cs="Arial"/>
          <w:sz w:val="21"/>
          <w:szCs w:val="21"/>
          <w:lang w:val="es-ES_tradnl" w:eastAsia="en-US"/>
        </w:rPr>
      </w:pPr>
    </w:p>
    <w:p w14:paraId="7302CB36"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En los procesos de selección en los que se tenga en cuenta los factores técnicos y económicos, la oferta más ventajosa será la que resulte de aplicar alguna de las siguientes alternativas:</w:t>
      </w:r>
    </w:p>
    <w:p w14:paraId="4D3AD4CC" w14:textId="77777777" w:rsidR="00F15DC4" w:rsidRPr="00F15DC4" w:rsidRDefault="00F15DC4" w:rsidP="00F15DC4">
      <w:pPr>
        <w:ind w:left="709" w:right="709"/>
        <w:jc w:val="both"/>
        <w:rPr>
          <w:rFonts w:ascii="Arial" w:eastAsia="Calibri" w:hAnsi="Arial" w:cs="Arial"/>
          <w:sz w:val="21"/>
          <w:szCs w:val="21"/>
          <w:lang w:val="es-ES_tradnl" w:eastAsia="en-US"/>
        </w:rPr>
      </w:pPr>
    </w:p>
    <w:p w14:paraId="65026B73"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lastRenderedPageBreak/>
        <w:t>a) La ponderación de los elementos de calidad y precio soportados en puntajes o fórmulas señaladas en el pliego de condiciones; o</w:t>
      </w:r>
    </w:p>
    <w:p w14:paraId="28E116B6" w14:textId="77777777" w:rsidR="00F15DC4" w:rsidRPr="00F15DC4" w:rsidRDefault="00F15DC4" w:rsidP="00F15DC4">
      <w:pPr>
        <w:ind w:left="709" w:right="709"/>
        <w:jc w:val="both"/>
        <w:rPr>
          <w:rFonts w:ascii="Arial" w:eastAsia="Calibri" w:hAnsi="Arial" w:cs="Arial"/>
          <w:sz w:val="21"/>
          <w:szCs w:val="21"/>
          <w:lang w:val="es-ES_tradnl" w:eastAsia="en-US"/>
        </w:rPr>
      </w:pPr>
    </w:p>
    <w:p w14:paraId="5E31083A"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b) La ponderación de los elementos de calidad y precio que representen la mejor relación de costo-beneficio para la entidad.</w:t>
      </w:r>
    </w:p>
    <w:p w14:paraId="1A15772F" w14:textId="77777777" w:rsidR="00F15DC4" w:rsidRPr="00F15DC4" w:rsidRDefault="00F15DC4" w:rsidP="00F15DC4">
      <w:pPr>
        <w:ind w:left="709" w:right="709"/>
        <w:jc w:val="both"/>
        <w:rPr>
          <w:rFonts w:ascii="Arial" w:eastAsia="Calibri" w:hAnsi="Arial" w:cs="Arial"/>
          <w:sz w:val="21"/>
          <w:szCs w:val="21"/>
          <w:lang w:val="es-ES_tradnl" w:eastAsia="en-US"/>
        </w:rPr>
      </w:pPr>
    </w:p>
    <w:p w14:paraId="4489FEF2"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7D065E94" w14:textId="77777777" w:rsidR="00F15DC4" w:rsidRPr="00F15DC4" w:rsidRDefault="00F15DC4" w:rsidP="00F15DC4">
      <w:pPr>
        <w:ind w:left="709" w:right="709"/>
        <w:jc w:val="both"/>
        <w:rPr>
          <w:rFonts w:ascii="Arial" w:eastAsia="Calibri" w:hAnsi="Arial" w:cs="Arial"/>
          <w:sz w:val="21"/>
          <w:szCs w:val="21"/>
          <w:lang w:val="es-ES_tradnl" w:eastAsia="en-US"/>
        </w:rPr>
      </w:pPr>
    </w:p>
    <w:p w14:paraId="78675DB5"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3082D208" w14:textId="77777777" w:rsidR="00F15DC4" w:rsidRPr="00F15DC4" w:rsidRDefault="00F15DC4" w:rsidP="00F15DC4">
      <w:pPr>
        <w:ind w:left="709" w:right="709"/>
        <w:jc w:val="both"/>
        <w:rPr>
          <w:rFonts w:ascii="Arial" w:eastAsia="Calibri" w:hAnsi="Arial" w:cs="Arial"/>
          <w:sz w:val="21"/>
          <w:szCs w:val="21"/>
          <w:lang w:val="es-ES_tradnl" w:eastAsia="en-US"/>
        </w:rPr>
      </w:pPr>
    </w:p>
    <w:p w14:paraId="25C03854"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En ningún caso se podrá incluir el precio, como factor de escogencia para la selección de consultores.</w:t>
      </w:r>
    </w:p>
    <w:p w14:paraId="5A3DA390" w14:textId="77777777" w:rsidR="00F15DC4" w:rsidRPr="00F15DC4" w:rsidRDefault="00F15DC4" w:rsidP="00F15DC4">
      <w:pPr>
        <w:ind w:left="709" w:right="709"/>
        <w:jc w:val="both"/>
        <w:rPr>
          <w:rFonts w:ascii="Arial" w:eastAsia="Calibri" w:hAnsi="Arial" w:cs="Arial"/>
          <w:sz w:val="21"/>
          <w:szCs w:val="21"/>
          <w:lang w:val="es-ES_tradnl" w:eastAsia="en-US"/>
        </w:rPr>
      </w:pPr>
    </w:p>
    <w:p w14:paraId="09B8BC3C"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0F19F303" w14:textId="77777777" w:rsidR="00F15DC4" w:rsidRPr="00F15DC4" w:rsidRDefault="00F15DC4" w:rsidP="00F15DC4">
      <w:pPr>
        <w:ind w:left="709" w:right="709"/>
        <w:jc w:val="both"/>
        <w:rPr>
          <w:rFonts w:ascii="Arial" w:eastAsia="Calibri" w:hAnsi="Arial" w:cs="Arial"/>
          <w:sz w:val="21"/>
          <w:szCs w:val="21"/>
          <w:lang w:val="es-ES_tradnl" w:eastAsia="en-US"/>
        </w:rPr>
      </w:pPr>
    </w:p>
    <w:p w14:paraId="718C69D1"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Durante el término otorgado para subsanar las ofertas, los proponentes no podrán acreditar circunstancias ocurridas con posterioridad al cierre del proceso.</w:t>
      </w:r>
    </w:p>
    <w:p w14:paraId="32C46BD1" w14:textId="77777777" w:rsidR="00F15DC4" w:rsidRPr="00F15DC4" w:rsidRDefault="00F15DC4" w:rsidP="00F15DC4">
      <w:pPr>
        <w:ind w:left="709" w:right="709"/>
        <w:jc w:val="both"/>
        <w:rPr>
          <w:rFonts w:ascii="Arial" w:eastAsia="Calibri" w:hAnsi="Arial" w:cs="Arial"/>
          <w:sz w:val="21"/>
          <w:szCs w:val="21"/>
          <w:lang w:val="es-ES_tradnl" w:eastAsia="en-US"/>
        </w:rPr>
      </w:pPr>
    </w:p>
    <w:p w14:paraId="3468F230"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PARÁGRAFO 2o. Las certificaciones de sistemas de gestión de calidad no serán objeto de calificación, ni podrán establecerse como documento habilitante para participar en licitaciones o concursos.</w:t>
      </w:r>
    </w:p>
    <w:p w14:paraId="391FFD4B" w14:textId="77777777" w:rsidR="00F15DC4" w:rsidRPr="00F15DC4" w:rsidRDefault="00F15DC4" w:rsidP="00F15DC4">
      <w:pPr>
        <w:ind w:left="709" w:right="709"/>
        <w:jc w:val="both"/>
        <w:rPr>
          <w:rFonts w:ascii="Arial" w:eastAsia="Calibri" w:hAnsi="Arial" w:cs="Arial"/>
          <w:sz w:val="21"/>
          <w:szCs w:val="21"/>
          <w:lang w:val="es-ES_tradnl" w:eastAsia="en-US"/>
        </w:rPr>
      </w:pPr>
    </w:p>
    <w:p w14:paraId="1B4508A1"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PARÁGRAFO 3o. &lt;Parágrafo adicionado por el artículo 5 de la Ley 1882 de 2018. El nuevo texto es el siguiente:&gt; La no entrega de la garantía de seriedad junto con la propuesta no será subsanable y será causal de rechazo de la misma.</w:t>
      </w:r>
    </w:p>
    <w:p w14:paraId="4268CEEC" w14:textId="77777777" w:rsidR="00F15DC4" w:rsidRPr="00F15DC4" w:rsidRDefault="00F15DC4" w:rsidP="00F15DC4">
      <w:pPr>
        <w:ind w:left="709" w:right="709"/>
        <w:jc w:val="both"/>
        <w:rPr>
          <w:rFonts w:ascii="Arial" w:eastAsia="Calibri" w:hAnsi="Arial" w:cs="Arial"/>
          <w:sz w:val="21"/>
          <w:szCs w:val="21"/>
          <w:lang w:val="es-ES_tradnl" w:eastAsia="en-US"/>
        </w:rPr>
      </w:pPr>
    </w:p>
    <w:p w14:paraId="49D703AF"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 xml:space="preserve">PARÁGRAFO 4o. &lt;Parágrafo adicionado por el artículo 5 de la Ley 1882 de 2018. El nuevo texto es el siguiente:&gt; En aquellos procesos de selección en los </w:t>
      </w:r>
      <w:r w:rsidRPr="00F15DC4">
        <w:rPr>
          <w:rFonts w:ascii="Arial" w:eastAsia="Calibri" w:hAnsi="Arial" w:cs="Arial"/>
          <w:sz w:val="21"/>
          <w:szCs w:val="21"/>
          <w:lang w:val="es-ES_tradnl" w:eastAsia="en-US"/>
        </w:rPr>
        <w:lastRenderedPageBreak/>
        <w:t>que se utilice el mecanismo de subasta, los documentos referentes a la futura contratación o al proponente, no necesarios para la comparación de las propuestas, deberán ser solicitados hasta el momento previo a su realización.</w:t>
      </w:r>
    </w:p>
    <w:p w14:paraId="58B52325" w14:textId="77777777" w:rsidR="00F15DC4" w:rsidRPr="00F15DC4" w:rsidRDefault="00F15DC4" w:rsidP="00F15DC4">
      <w:pPr>
        <w:ind w:left="709" w:right="709"/>
        <w:jc w:val="both"/>
        <w:rPr>
          <w:rFonts w:ascii="Arial" w:eastAsia="Calibri" w:hAnsi="Arial" w:cs="Arial"/>
          <w:sz w:val="21"/>
          <w:szCs w:val="21"/>
          <w:lang w:val="es-ES_tradnl" w:eastAsia="en-US"/>
        </w:rPr>
      </w:pPr>
    </w:p>
    <w:p w14:paraId="381222BA" w14:textId="77777777" w:rsidR="00F15DC4" w:rsidRPr="00F15DC4" w:rsidRDefault="00F15DC4" w:rsidP="00F15DC4">
      <w:pPr>
        <w:ind w:left="709" w:right="709"/>
        <w:jc w:val="both"/>
        <w:rPr>
          <w:rFonts w:ascii="Arial" w:eastAsia="Calibri" w:hAnsi="Arial" w:cs="Arial"/>
          <w:sz w:val="22"/>
          <w:szCs w:val="22"/>
          <w:lang w:val="es-ES_tradnl" w:eastAsia="en-US"/>
        </w:rPr>
      </w:pPr>
      <w:r w:rsidRPr="00F15DC4">
        <w:rPr>
          <w:rFonts w:ascii="Arial" w:eastAsia="Calibri" w:hAnsi="Arial" w:cs="Arial"/>
          <w:sz w:val="21"/>
          <w:szCs w:val="21"/>
          <w:lang w:val="es-ES_tradnl" w:eastAsia="en-U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F15DC4">
        <w:rPr>
          <w:rFonts w:ascii="Arial" w:eastAsia="Calibri" w:hAnsi="Arial" w:cs="Arial"/>
          <w:sz w:val="22"/>
          <w:szCs w:val="22"/>
          <w:lang w:val="es-ES_tradnl" w:eastAsia="en-US"/>
        </w:rPr>
        <w:t xml:space="preserve"> </w:t>
      </w:r>
    </w:p>
    <w:p w14:paraId="2ACAFCB5" w14:textId="77777777" w:rsidR="00F15DC4" w:rsidRPr="00F15DC4" w:rsidRDefault="00F15DC4" w:rsidP="00F15DC4">
      <w:pPr>
        <w:spacing w:line="276" w:lineRule="auto"/>
        <w:jc w:val="both"/>
        <w:rPr>
          <w:rFonts w:ascii="Arial" w:eastAsia="Calibri" w:hAnsi="Arial" w:cs="Arial"/>
          <w:sz w:val="22"/>
          <w:szCs w:val="22"/>
          <w:lang w:val="es-ES_tradnl" w:eastAsia="en-US"/>
        </w:rPr>
      </w:pPr>
    </w:p>
    <w:p w14:paraId="2EC731CD" w14:textId="1B68E53C" w:rsidR="002A40A0" w:rsidRDefault="00F15DC4" w:rsidP="00D97F14">
      <w:pPr>
        <w:spacing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Así mismo, la Ley 80 de 1993 se refiere a la </w:t>
      </w:r>
      <w:r w:rsidRPr="00F15DC4">
        <w:rPr>
          <w:rFonts w:ascii="Arial" w:eastAsia="Calibri" w:hAnsi="Arial" w:cs="Arial"/>
          <w:i/>
          <w:iCs/>
          <w:sz w:val="22"/>
          <w:szCs w:val="22"/>
          <w:lang w:val="es-ES_tradnl" w:eastAsia="en-US"/>
        </w:rPr>
        <w:t>selección objetiva</w:t>
      </w:r>
      <w:r w:rsidRPr="00F15DC4">
        <w:rPr>
          <w:rFonts w:ascii="Arial" w:eastAsia="Calibri" w:hAnsi="Arial" w:cs="Arial"/>
          <w:sz w:val="22"/>
          <w:szCs w:val="22"/>
          <w:lang w:val="es-ES_tradnl" w:eastAsia="en-US"/>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w:t>
      </w:r>
    </w:p>
    <w:p w14:paraId="484D7C00" w14:textId="222EDD68" w:rsidR="00F15DC4" w:rsidRPr="00F15DC4" w:rsidRDefault="00F15DC4" w:rsidP="00F15DC4">
      <w:pPr>
        <w:spacing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w:t>
      </w:r>
      <w:r w:rsidR="00435CBF">
        <w:rPr>
          <w:rFonts w:ascii="Arial" w:eastAsia="Calibri" w:hAnsi="Arial" w:cs="Arial"/>
          <w:sz w:val="22"/>
          <w:szCs w:val="22"/>
          <w:lang w:val="es-ES_tradnl" w:eastAsia="en-US"/>
        </w:rPr>
        <w:t>dispone</w:t>
      </w:r>
      <w:r w:rsidRPr="00F15DC4">
        <w:rPr>
          <w:rFonts w:ascii="Arial" w:eastAsia="Calibri" w:hAnsi="Arial" w:cs="Arial"/>
          <w:sz w:val="22"/>
          <w:szCs w:val="22"/>
          <w:lang w:val="es-ES_tradnl" w:eastAsia="en-US"/>
        </w:rPr>
        <w:t xml:space="preserve">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5F9AFA71" w14:textId="7A0B00F0"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Por su parte, a nivel reglamentario, el Decreto 1082 de 2015 también </w:t>
      </w:r>
      <w:r w:rsidR="00FA5C07">
        <w:rPr>
          <w:rFonts w:ascii="Arial" w:eastAsia="Calibri" w:hAnsi="Arial" w:cs="Arial"/>
          <w:sz w:val="22"/>
          <w:szCs w:val="22"/>
          <w:lang w:val="es-ES_tradnl" w:eastAsia="en-US"/>
        </w:rPr>
        <w:t>se refiere</w:t>
      </w:r>
      <w:r w:rsidRPr="00F15DC4">
        <w:rPr>
          <w:rFonts w:ascii="Arial" w:eastAsia="Calibri" w:hAnsi="Arial" w:cs="Arial"/>
          <w:sz w:val="22"/>
          <w:szCs w:val="22"/>
          <w:lang w:val="es-ES_tradnl" w:eastAsia="en-US"/>
        </w:rPr>
        <w:t xml:space="preserve"> a la selección objetiva como postulado esencial al interior de los procedimientos de selección. Así se infiere de enunciados como: i) el numeral 4º del artículo 2.2.1.1.2.1.3., que indica que dentro de la información del pliego de condiciones deben definir</w:t>
      </w:r>
      <w:r w:rsidR="00FA5C07">
        <w:rPr>
          <w:rFonts w:ascii="Arial" w:eastAsia="Calibri" w:hAnsi="Arial" w:cs="Arial"/>
          <w:sz w:val="22"/>
          <w:szCs w:val="22"/>
          <w:lang w:val="es-ES_tradnl" w:eastAsia="en-US"/>
        </w:rPr>
        <w:t>se</w:t>
      </w:r>
      <w:r w:rsidRPr="00F15DC4">
        <w:rPr>
          <w:rFonts w:ascii="Arial" w:eastAsia="Calibri" w:hAnsi="Arial" w:cs="Arial"/>
          <w:sz w:val="22"/>
          <w:szCs w:val="22"/>
          <w:lang w:val="es-ES_tradnl" w:eastAsia="en-US"/>
        </w:rPr>
        <w:t xml:space="preserve"> «Las condiciones </w:t>
      </w:r>
      <w:r w:rsidRPr="00F15DC4">
        <w:rPr>
          <w:rFonts w:ascii="Arial" w:eastAsia="Calibri" w:hAnsi="Arial" w:cs="Arial"/>
          <w:sz w:val="22"/>
          <w:szCs w:val="22"/>
          <w:lang w:val="es-ES_tradnl" w:eastAsia="en-US"/>
        </w:rPr>
        <w:lastRenderedPageBreak/>
        <w:t>de costo y/o calidad que la Entidad Estatal debe tener en cuenta para la selección objetiva, de acuerdo con la modalidad de selección del contratista»</w:t>
      </w:r>
      <w:r w:rsidR="004948A9">
        <w:rPr>
          <w:rFonts w:ascii="Arial" w:eastAsia="Calibri" w:hAnsi="Arial" w:cs="Arial"/>
          <w:sz w:val="22"/>
          <w:szCs w:val="22"/>
          <w:lang w:val="es-ES_tradnl" w:eastAsia="en-US"/>
        </w:rPr>
        <w:t xml:space="preserve"> y</w:t>
      </w:r>
      <w:r w:rsidRPr="00F15DC4">
        <w:rPr>
          <w:rFonts w:ascii="Arial" w:eastAsia="Calibri" w:hAnsi="Arial" w:cs="Arial"/>
          <w:sz w:val="22"/>
          <w:szCs w:val="22"/>
          <w:lang w:val="es-ES_tradnl" w:eastAsia="en-US"/>
        </w:rPr>
        <w:t xml:space="preserve"> ii) el numeral 8º del artículo 2.2.1.2.1.3.13., que establece como obligación del jurado calificador en los concurso</w:t>
      </w:r>
      <w:r w:rsidR="002D2B4E">
        <w:rPr>
          <w:rFonts w:ascii="Arial" w:eastAsia="Calibri" w:hAnsi="Arial" w:cs="Arial"/>
          <w:sz w:val="22"/>
          <w:szCs w:val="22"/>
          <w:lang w:val="es-ES_tradnl" w:eastAsia="en-US"/>
        </w:rPr>
        <w:t>s</w:t>
      </w:r>
      <w:r w:rsidRPr="00F15DC4">
        <w:rPr>
          <w:rFonts w:ascii="Arial" w:eastAsia="Calibri" w:hAnsi="Arial" w:cs="Arial"/>
          <w:sz w:val="22"/>
          <w:szCs w:val="22"/>
          <w:lang w:val="es-ES_tradnl" w:eastAsia="en-US"/>
        </w:rPr>
        <w:t xml:space="preserve">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79347DF7" w14:textId="77777777" w:rsidR="00643751" w:rsidRDefault="00F15DC4" w:rsidP="006E7CBA">
      <w:pPr>
        <w:spacing w:before="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F15DC4">
        <w:rPr>
          <w:rFonts w:ascii="Arial" w:eastAsia="Calibri" w:hAnsi="Arial" w:cs="Arial"/>
          <w:sz w:val="22"/>
          <w:szCs w:val="22"/>
          <w:vertAlign w:val="superscript"/>
          <w:lang w:val="es-ES_tradnl" w:eastAsia="en-US"/>
        </w:rPr>
        <w:footnoteReference w:id="4"/>
      </w:r>
      <w:r w:rsidRPr="00F15DC4">
        <w:rPr>
          <w:rFonts w:ascii="Arial" w:eastAsia="Calibri" w:hAnsi="Arial" w:cs="Arial"/>
          <w:sz w:val="22"/>
          <w:szCs w:val="22"/>
          <w:lang w:val="es-ES_tradnl" w:eastAsia="en-US"/>
        </w:rPr>
        <w:t xml:space="preserve">. </w:t>
      </w:r>
    </w:p>
    <w:p w14:paraId="060B4A00" w14:textId="132FF9CA" w:rsidR="00EB1059" w:rsidRPr="007C4DB5" w:rsidRDefault="00F15DC4" w:rsidP="006E7CBA">
      <w:pPr>
        <w:spacing w:before="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Igualmente, ha señalado que «el principio de escogencia o selección objetiva de los contratistas fundamenta uno de los principales deberes de todos los responsables de la contratación estatal en el derecho colombiano, </w:t>
      </w:r>
      <w:r w:rsidR="007238D1">
        <w:rPr>
          <w:rFonts w:ascii="Arial" w:eastAsia="Calibri" w:hAnsi="Arial" w:cs="Arial"/>
          <w:sz w:val="22"/>
          <w:szCs w:val="22"/>
          <w:lang w:val="es-ES_tradnl" w:eastAsia="en-US"/>
        </w:rPr>
        <w:t>que consiste</w:t>
      </w:r>
      <w:r w:rsidRPr="00F15DC4">
        <w:rPr>
          <w:rFonts w:ascii="Arial" w:eastAsia="Calibri" w:hAnsi="Arial" w:cs="Arial"/>
          <w:sz w:val="22"/>
          <w:szCs w:val="22"/>
          <w:lang w:val="es-ES_tradnl" w:eastAsia="en-US"/>
        </w:rPr>
        <w:t xml:space="preserve"> e</w:t>
      </w:r>
      <w:r w:rsidR="007238D1">
        <w:rPr>
          <w:rFonts w:ascii="Arial" w:eastAsia="Calibri" w:hAnsi="Arial" w:cs="Arial"/>
          <w:sz w:val="22"/>
          <w:szCs w:val="22"/>
          <w:lang w:val="es-ES_tradnl" w:eastAsia="en-US"/>
        </w:rPr>
        <w:t>n</w:t>
      </w:r>
      <w:r w:rsidRPr="00F15DC4">
        <w:rPr>
          <w:rFonts w:ascii="Arial" w:eastAsia="Calibri" w:hAnsi="Arial" w:cs="Arial"/>
          <w:sz w:val="22"/>
          <w:szCs w:val="22"/>
          <w:lang w:val="es-ES_tradnl" w:eastAsia="en-US"/>
        </w:rPr>
        <w:t xml:space="preserv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F15DC4">
        <w:rPr>
          <w:rFonts w:ascii="Arial" w:eastAsia="Calibri" w:hAnsi="Arial" w:cs="Arial"/>
          <w:sz w:val="22"/>
          <w:szCs w:val="22"/>
          <w:vertAlign w:val="superscript"/>
          <w:lang w:val="es-ES_tradnl" w:eastAsia="en-US"/>
        </w:rPr>
        <w:footnoteReference w:id="5"/>
      </w:r>
      <w:r w:rsidRPr="00F15DC4">
        <w:rPr>
          <w:rFonts w:ascii="Arial" w:eastAsia="Calibri" w:hAnsi="Arial" w:cs="Arial"/>
          <w:sz w:val="22"/>
          <w:szCs w:val="22"/>
          <w:lang w:val="es-ES_tradnl" w:eastAsia="en-US"/>
        </w:rPr>
        <w:t>.</w:t>
      </w:r>
      <w:r w:rsidR="00D508EC">
        <w:rPr>
          <w:rFonts w:ascii="Arial" w:eastAsia="Calibri" w:hAnsi="Arial" w:cs="Arial"/>
          <w:sz w:val="22"/>
          <w:szCs w:val="22"/>
          <w:lang w:val="es-ES_tradnl" w:eastAsia="en-US"/>
        </w:rPr>
        <w:t xml:space="preserve"> </w:t>
      </w:r>
      <w:r w:rsidR="00D508EC" w:rsidRPr="006E7CBA">
        <w:rPr>
          <w:rFonts w:ascii="Arial" w:eastAsia="Calibri" w:hAnsi="Arial" w:cs="Arial"/>
          <w:sz w:val="22"/>
          <w:szCs w:val="22"/>
          <w:lang w:val="es-ES_tradnl" w:eastAsia="en-US"/>
        </w:rPr>
        <w:t>E</w:t>
      </w:r>
      <w:r w:rsidR="00D508EC" w:rsidRPr="007C4DB5">
        <w:rPr>
          <w:rFonts w:ascii="Arial" w:eastAsia="Calibri" w:hAnsi="Arial" w:cs="Arial"/>
          <w:sz w:val="22"/>
          <w:szCs w:val="22"/>
          <w:lang w:val="es-ES_tradnl" w:eastAsia="en-US"/>
        </w:rPr>
        <w:t>n igual sentido,</w:t>
      </w:r>
      <w:r w:rsidR="00AC7204">
        <w:rPr>
          <w:rFonts w:ascii="Arial" w:eastAsia="Calibri" w:hAnsi="Arial" w:cs="Arial"/>
          <w:sz w:val="22"/>
          <w:szCs w:val="22"/>
          <w:lang w:val="es-ES_tradnl" w:eastAsia="en-US"/>
        </w:rPr>
        <w:t xml:space="preserve"> la doctrina ha manifestado</w:t>
      </w:r>
      <w:r w:rsidR="00D508EC" w:rsidRPr="007C4DB5">
        <w:rPr>
          <w:rFonts w:ascii="Arial" w:eastAsia="Calibri" w:hAnsi="Arial" w:cs="Arial"/>
          <w:sz w:val="22"/>
          <w:szCs w:val="22"/>
          <w:lang w:val="es-ES_tradnl" w:eastAsia="en-US"/>
        </w:rPr>
        <w:t xml:space="preserve">: </w:t>
      </w:r>
    </w:p>
    <w:p w14:paraId="43C92071" w14:textId="77777777" w:rsidR="006E7CBA" w:rsidRPr="007C4DB5" w:rsidRDefault="006E7CBA" w:rsidP="007C4DB5">
      <w:pPr>
        <w:spacing w:line="276" w:lineRule="auto"/>
        <w:ind w:firstLine="709"/>
        <w:jc w:val="both"/>
        <w:rPr>
          <w:rFonts w:ascii="Arial" w:eastAsia="Calibri" w:hAnsi="Arial" w:cs="Arial"/>
          <w:sz w:val="22"/>
          <w:szCs w:val="22"/>
          <w:lang w:val="es-ES_tradnl" w:eastAsia="en-US"/>
        </w:rPr>
      </w:pPr>
    </w:p>
    <w:p w14:paraId="43D0F471" w14:textId="1FF6F0A3" w:rsidR="00EB1059" w:rsidRPr="007C4DB5" w:rsidRDefault="00EB1059" w:rsidP="007C4DB5">
      <w:pPr>
        <w:spacing w:line="276" w:lineRule="auto"/>
        <w:ind w:left="709" w:right="709"/>
        <w:jc w:val="both"/>
        <w:rPr>
          <w:rFonts w:ascii="Arial" w:eastAsia="Calibri" w:hAnsi="Arial" w:cs="Arial"/>
          <w:sz w:val="21"/>
          <w:szCs w:val="21"/>
          <w:lang w:val="es-ES_tradnl" w:eastAsia="en-US"/>
        </w:rPr>
      </w:pPr>
      <w:r w:rsidRPr="007C4DB5">
        <w:rPr>
          <w:rFonts w:ascii="Arial" w:eastAsia="Calibri" w:hAnsi="Arial" w:cs="Arial"/>
          <w:sz w:val="21"/>
          <w:szCs w:val="21"/>
          <w:lang w:val="es-ES_tradnl" w:eastAsia="en-US"/>
        </w:rPr>
        <w:t xml:space="preserve">[…] la obediencia y cumplimiento de todos su aristas se hace imperativa ante la presencia de una necesidad de continua y eficiente prestación de un servicio público por medio de un colaborador, el cual no puede ser elegido a la luz de consideraciones subjetivas e internas del Estado-contratante, sino que ha de serlo en obedecimiento de mandatos superiores que se imponen en virtud de la </w:t>
      </w:r>
      <w:r w:rsidRPr="007C4DB5">
        <w:rPr>
          <w:rFonts w:ascii="Arial" w:eastAsia="Calibri" w:hAnsi="Arial" w:cs="Arial"/>
          <w:sz w:val="21"/>
          <w:szCs w:val="21"/>
          <w:lang w:val="es-ES_tradnl" w:eastAsia="en-US"/>
        </w:rPr>
        <w:lastRenderedPageBreak/>
        <w:t>aplicación irrestricta del principio de legalidad en toda la actuación administrativa, y principalmente de aquella de carácter contractual</w:t>
      </w:r>
      <w:r w:rsidR="007A1D74" w:rsidRPr="007C4DB5">
        <w:rPr>
          <w:rStyle w:val="Refdenotaalpie"/>
          <w:rFonts w:ascii="Arial" w:eastAsia="Calibri" w:hAnsi="Arial" w:cs="Arial"/>
          <w:sz w:val="21"/>
          <w:szCs w:val="21"/>
          <w:lang w:val="es-ES_tradnl" w:eastAsia="en-US"/>
        </w:rPr>
        <w:footnoteReference w:id="6"/>
      </w:r>
      <w:r w:rsidRPr="007C4DB5">
        <w:rPr>
          <w:rFonts w:ascii="Arial" w:eastAsia="Calibri" w:hAnsi="Arial" w:cs="Arial"/>
          <w:sz w:val="21"/>
          <w:szCs w:val="21"/>
          <w:lang w:val="es-ES_tradnl" w:eastAsia="en-US"/>
        </w:rPr>
        <w:t xml:space="preserve">. </w:t>
      </w:r>
    </w:p>
    <w:p w14:paraId="134B7B16" w14:textId="4BAE2F8C" w:rsidR="00D508EC" w:rsidRPr="00F15DC4" w:rsidRDefault="00D508EC" w:rsidP="007C4DB5">
      <w:pPr>
        <w:spacing w:line="276" w:lineRule="auto"/>
        <w:ind w:firstLine="709"/>
        <w:jc w:val="both"/>
        <w:rPr>
          <w:rFonts w:ascii="Arial" w:eastAsia="Calibri" w:hAnsi="Arial" w:cs="Arial"/>
          <w:sz w:val="22"/>
          <w:szCs w:val="22"/>
          <w:lang w:val="es-ES_tradnl" w:eastAsia="en-US"/>
        </w:rPr>
      </w:pPr>
    </w:p>
    <w:p w14:paraId="662F7D9D" w14:textId="041D1D40" w:rsidR="00F15DC4" w:rsidRPr="00F15DC4" w:rsidRDefault="00F15DC4" w:rsidP="00F15DC4">
      <w:pPr>
        <w:spacing w:before="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w:t>
      </w:r>
      <w:r w:rsidR="007724FE">
        <w:rPr>
          <w:rFonts w:ascii="Arial" w:eastAsia="Calibri" w:hAnsi="Arial" w:cs="Arial"/>
          <w:sz w:val="22"/>
          <w:szCs w:val="22"/>
          <w:lang w:val="es-ES_tradnl" w:eastAsia="en-US"/>
        </w:rPr>
        <w:t>. Dicha</w:t>
      </w:r>
      <w:r w:rsidRPr="00F15DC4">
        <w:rPr>
          <w:rFonts w:ascii="Arial" w:eastAsia="Calibri" w:hAnsi="Arial" w:cs="Arial"/>
          <w:sz w:val="22"/>
          <w:szCs w:val="22"/>
          <w:lang w:val="es-ES_tradnl" w:eastAsia="en-US"/>
        </w:rPr>
        <w:t xml:space="preserve">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46F2D88F" w14:textId="77777777" w:rsidR="00F15DC4" w:rsidRPr="00F15DC4" w:rsidRDefault="00F15DC4" w:rsidP="00F15DC4">
      <w:pPr>
        <w:spacing w:line="276" w:lineRule="auto"/>
        <w:ind w:firstLine="709"/>
        <w:jc w:val="both"/>
        <w:rPr>
          <w:rFonts w:ascii="Arial" w:eastAsia="Calibri" w:hAnsi="Arial" w:cs="Arial"/>
          <w:sz w:val="22"/>
          <w:szCs w:val="22"/>
          <w:lang w:val="es-ES_tradnl" w:eastAsia="en-US"/>
        </w:rPr>
      </w:pPr>
    </w:p>
    <w:p w14:paraId="6D6ACEB2" w14:textId="77777777" w:rsidR="00F15DC4" w:rsidRPr="00F15DC4" w:rsidRDefault="00F15DC4" w:rsidP="00F15DC4">
      <w:pPr>
        <w:spacing w:line="276" w:lineRule="auto"/>
        <w:jc w:val="both"/>
        <w:rPr>
          <w:rFonts w:ascii="Arial" w:eastAsia="Calibri" w:hAnsi="Arial" w:cs="Arial"/>
          <w:b/>
          <w:bCs/>
          <w:sz w:val="22"/>
          <w:szCs w:val="22"/>
          <w:lang w:val="es-ES_tradnl" w:eastAsia="en-US"/>
        </w:rPr>
      </w:pPr>
      <w:r w:rsidRPr="00F15DC4">
        <w:rPr>
          <w:rFonts w:ascii="Arial" w:eastAsia="Calibri" w:hAnsi="Arial" w:cs="Arial"/>
          <w:b/>
          <w:bCs/>
          <w:sz w:val="22"/>
          <w:szCs w:val="22"/>
          <w:lang w:val="es-ES_tradnl" w:eastAsia="en-US"/>
        </w:rPr>
        <w:t xml:space="preserve">2.2. Alcance de la regla de la </w:t>
      </w:r>
      <w:proofErr w:type="spellStart"/>
      <w:r w:rsidRPr="00F15DC4">
        <w:rPr>
          <w:rFonts w:ascii="Arial" w:eastAsia="Calibri" w:hAnsi="Arial" w:cs="Arial"/>
          <w:b/>
          <w:bCs/>
          <w:sz w:val="22"/>
          <w:szCs w:val="22"/>
          <w:lang w:val="es-ES_tradnl" w:eastAsia="en-US"/>
        </w:rPr>
        <w:t>subsanabilidad</w:t>
      </w:r>
      <w:proofErr w:type="spellEnd"/>
      <w:r w:rsidRPr="00F15DC4">
        <w:rPr>
          <w:rFonts w:ascii="Arial" w:eastAsia="Calibri" w:hAnsi="Arial" w:cs="Arial"/>
          <w:b/>
          <w:bCs/>
          <w:sz w:val="22"/>
          <w:szCs w:val="22"/>
          <w:lang w:val="es-ES_tradnl" w:eastAsia="en-US"/>
        </w:rPr>
        <w:t xml:space="preserve"> de las ofertas </w:t>
      </w:r>
    </w:p>
    <w:p w14:paraId="35888052" w14:textId="77777777" w:rsidR="00F15DC4" w:rsidRPr="00F15DC4" w:rsidRDefault="00F15DC4" w:rsidP="00F15DC4">
      <w:pPr>
        <w:spacing w:line="276" w:lineRule="auto"/>
        <w:jc w:val="both"/>
        <w:rPr>
          <w:rFonts w:ascii="Arial" w:eastAsia="Calibri" w:hAnsi="Arial" w:cs="Arial"/>
          <w:sz w:val="22"/>
          <w:szCs w:val="22"/>
          <w:lang w:val="es-ES_tradnl" w:eastAsia="en-US"/>
        </w:rPr>
      </w:pPr>
    </w:p>
    <w:p w14:paraId="4B32FCEF" w14:textId="63F93470" w:rsidR="00F15DC4" w:rsidRPr="007C4DB5" w:rsidRDefault="00F15DC4" w:rsidP="002376FD">
      <w:pPr>
        <w:spacing w:before="120" w:after="120" w:line="276" w:lineRule="auto"/>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Esta Subdirección se ha pronunciado en diversas oportunidades</w:t>
      </w:r>
      <w:r w:rsidR="00D97F14">
        <w:rPr>
          <w:rFonts w:ascii="Arial" w:eastAsiaTheme="minorHAnsi" w:hAnsi="Arial" w:cs="Arial"/>
          <w:sz w:val="22"/>
          <w:szCs w:val="22"/>
          <w:lang w:val="es-ES_tradnl" w:eastAsia="en-US"/>
        </w:rPr>
        <w:t xml:space="preserve"> como se señaló en las consideraciones</w:t>
      </w:r>
      <w:r w:rsidRPr="00F15DC4">
        <w:rPr>
          <w:rFonts w:ascii="Arial" w:eastAsiaTheme="minorHAnsi" w:hAnsi="Arial" w:cs="Arial"/>
          <w:sz w:val="22"/>
          <w:szCs w:val="22"/>
          <w:lang w:val="es-ES_tradnl" w:eastAsia="en-US"/>
        </w:rPr>
        <w:t xml:space="preserve"> acerca del alcance de la regla de la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contenida actualmente en el artículo 5 de la Ley 1150 de 2007. Al respecto, la postura que se reitera en el presente concepto es la siguiente: por regla general</w:t>
      </w:r>
      <w:r w:rsidR="000E2B80">
        <w:rPr>
          <w:rFonts w:ascii="Arial" w:eastAsiaTheme="minorHAnsi" w:hAnsi="Arial" w:cs="Arial"/>
          <w:sz w:val="22"/>
          <w:szCs w:val="22"/>
          <w:lang w:val="es-ES_tradnl" w:eastAsia="en-US"/>
        </w:rPr>
        <w:t>:</w:t>
      </w:r>
      <w:r w:rsidRPr="00F15DC4">
        <w:rPr>
          <w:rFonts w:ascii="Arial" w:eastAsiaTheme="minorHAnsi" w:hAnsi="Arial" w:cs="Arial"/>
          <w:sz w:val="22"/>
          <w:szCs w:val="22"/>
          <w:lang w:val="es-ES_tradnl" w:eastAsia="en-US"/>
        </w:rPr>
        <w:t xml:space="preserve"> i) la falta de entrega o ii) los defectos, de los requisitos habilitantes, son subsanables. La excepción se encuentra en los casos, previstos en la ley, que limitan la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es decir, en la prohibición de permitir la entrega de la garantía de seriedad de la oferta que no fue aportada con la propuesta y de valer la acreditación de circunstancias ocurridas con posterioridad al cierre del proceso. </w:t>
      </w:r>
      <w:r w:rsidR="00E82A4C">
        <w:rPr>
          <w:rFonts w:ascii="Arial" w:eastAsiaTheme="minorHAnsi" w:hAnsi="Arial" w:cs="Arial"/>
          <w:sz w:val="22"/>
          <w:szCs w:val="22"/>
          <w:lang w:val="es-ES_tradnl" w:eastAsia="en-US"/>
        </w:rPr>
        <w:t>En esta línea, l</w:t>
      </w:r>
      <w:r w:rsidRPr="007C4DB5">
        <w:rPr>
          <w:rFonts w:ascii="Arial" w:eastAsiaTheme="minorHAnsi" w:hAnsi="Arial" w:cs="Arial"/>
          <w:sz w:val="22"/>
          <w:szCs w:val="22"/>
          <w:lang w:val="es-ES_tradnl" w:eastAsia="en-US"/>
        </w:rPr>
        <w:t xml:space="preserve">a posibilidad de enmendar, corregir o subsanar los errores en los que se incurre en los documentos contentivos de la oferta es un tema que ha tenido diferentes momentos o etapas en el ordenamiento jurídico colombiano. </w:t>
      </w:r>
    </w:p>
    <w:p w14:paraId="7E1E2DAB"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En un </w:t>
      </w:r>
      <w:r w:rsidRPr="00F15DC4">
        <w:rPr>
          <w:rFonts w:ascii="Arial" w:eastAsiaTheme="minorHAnsi" w:hAnsi="Arial" w:cs="Arial"/>
          <w:i/>
          <w:sz w:val="22"/>
          <w:szCs w:val="22"/>
          <w:lang w:val="es-ES_tradnl" w:eastAsia="en-US"/>
        </w:rPr>
        <w:t>primer momento</w:t>
      </w:r>
      <w:r w:rsidRPr="00F15DC4">
        <w:rPr>
          <w:rFonts w:ascii="Arial" w:eastAsiaTheme="minorHAnsi" w:hAnsi="Arial" w:cs="Arial"/>
          <w:sz w:val="22"/>
          <w:szCs w:val="22"/>
          <w:lang w:val="es-ES_tradnl" w:eastAsia="en-US"/>
        </w:rPr>
        <w:t xml:space="preserve">, antes de la entrada en vigencia de la Constitución Política de 1991, el régimen jurídico de la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w:t>
      </w:r>
      <w:r w:rsidRPr="00F15DC4">
        <w:rPr>
          <w:rFonts w:ascii="Arial" w:eastAsiaTheme="minorHAnsi" w:hAnsi="Arial" w:cs="Arial"/>
          <w:sz w:val="22"/>
          <w:szCs w:val="22"/>
          <w:lang w:val="es-ES_tradnl" w:eastAsia="en-US"/>
        </w:rPr>
        <w:lastRenderedPageBreak/>
        <w:t xml:space="preserve">ejemplo, no era extraordinario que una oferta fuera rechazada por no aportar una copia de esta. </w:t>
      </w:r>
    </w:p>
    <w:p w14:paraId="66CAF8F2" w14:textId="328E84F0" w:rsidR="00F15DC4" w:rsidRDefault="00F15DC4" w:rsidP="00871755">
      <w:pPr>
        <w:spacing w:before="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En un </w:t>
      </w:r>
      <w:r w:rsidRPr="00F15DC4">
        <w:rPr>
          <w:rFonts w:ascii="Arial" w:eastAsiaTheme="minorHAnsi" w:hAnsi="Arial" w:cs="Arial"/>
          <w:i/>
          <w:sz w:val="22"/>
          <w:szCs w:val="22"/>
          <w:lang w:val="es-ES_tradnl" w:eastAsia="en-US"/>
        </w:rPr>
        <w:t>segundo momento</w:t>
      </w:r>
      <w:r w:rsidRPr="00F15DC4">
        <w:rPr>
          <w:rFonts w:ascii="Arial" w:eastAsiaTheme="minorHAnsi" w:hAnsi="Arial" w:cs="Arial"/>
          <w:sz w:val="22"/>
          <w:szCs w:val="22"/>
          <w:lang w:val="es-ES_tradnl" w:eastAsia="en-US"/>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4E5D5690" w14:textId="77777777" w:rsidR="00871755" w:rsidRPr="00F15DC4" w:rsidRDefault="00871755" w:rsidP="007C4DB5">
      <w:pPr>
        <w:spacing w:line="276" w:lineRule="auto"/>
        <w:ind w:firstLine="709"/>
        <w:jc w:val="both"/>
        <w:rPr>
          <w:rFonts w:ascii="Arial" w:eastAsiaTheme="minorHAnsi" w:hAnsi="Arial" w:cs="Arial"/>
          <w:sz w:val="22"/>
          <w:szCs w:val="22"/>
          <w:lang w:val="es-ES_tradnl" w:eastAsia="en-US"/>
        </w:rPr>
      </w:pPr>
    </w:p>
    <w:p w14:paraId="13BD57A0" w14:textId="77777777" w:rsidR="00F15DC4" w:rsidRPr="00F15DC4" w:rsidRDefault="00F15DC4" w:rsidP="007C4DB5">
      <w:pPr>
        <w:spacing w:after="120"/>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61D74454" w14:textId="77777777" w:rsidR="00F15DC4" w:rsidRPr="00F15DC4" w:rsidRDefault="00F15DC4" w:rsidP="00F15DC4">
      <w:pPr>
        <w:spacing w:before="120"/>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La ausencia de requisitos o la falta de documentos referentes a la futura contratación o al proponente, no necesarios para la comparación de propuestas, no servirá de título suficiente para el rechazo de los ofrecimientos hechos. </w:t>
      </w:r>
    </w:p>
    <w:p w14:paraId="1A6534FE" w14:textId="77777777" w:rsidR="00F15DC4" w:rsidRPr="00F15DC4" w:rsidRDefault="00F15DC4" w:rsidP="00F15DC4">
      <w:pPr>
        <w:spacing w:line="276" w:lineRule="auto"/>
        <w:ind w:firstLine="709"/>
        <w:jc w:val="both"/>
        <w:rPr>
          <w:rFonts w:ascii="Arial" w:eastAsiaTheme="minorHAnsi" w:hAnsi="Arial" w:cs="Arial"/>
          <w:sz w:val="22"/>
          <w:szCs w:val="22"/>
          <w:lang w:val="es-ES_tradnl" w:eastAsia="en-US"/>
        </w:rPr>
      </w:pPr>
    </w:p>
    <w:p w14:paraId="37AEAC05" w14:textId="77777777" w:rsidR="00F15DC4" w:rsidRPr="00F15DC4" w:rsidRDefault="00F15DC4" w:rsidP="00F15DC4">
      <w:pPr>
        <w:spacing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Bajo el amparo de esta norma, el régimen jurídico de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430A1B0D"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Esta norma debía leerse en conjunto con otras de la Ley 80 de 1993, particularmente con el artículo 30.7</w:t>
      </w:r>
      <w:r w:rsidRPr="00F15DC4">
        <w:rPr>
          <w:rFonts w:ascii="Arial" w:eastAsiaTheme="minorHAnsi" w:hAnsi="Arial" w:cs="Arial"/>
          <w:sz w:val="22"/>
          <w:szCs w:val="22"/>
          <w:vertAlign w:val="superscript"/>
          <w:lang w:val="es-ES_tradnl" w:eastAsia="en-US"/>
        </w:rPr>
        <w:footnoteReference w:id="7"/>
      </w:r>
      <w:r w:rsidRPr="00F15DC4">
        <w:rPr>
          <w:rFonts w:ascii="Arial" w:eastAsiaTheme="minorHAnsi" w:hAnsi="Arial" w:cs="Arial"/>
          <w:sz w:val="22"/>
          <w:szCs w:val="22"/>
          <w:lang w:val="es-ES_tradnl" w:eastAsia="en-US"/>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F15DC4">
        <w:rPr>
          <w:rFonts w:ascii="Arial" w:eastAsiaTheme="minorHAnsi" w:hAnsi="Arial" w:cs="Arial"/>
          <w:sz w:val="22"/>
          <w:szCs w:val="22"/>
          <w:vertAlign w:val="superscript"/>
          <w:lang w:val="es-ES_tradnl" w:eastAsia="en-US"/>
        </w:rPr>
        <w:footnoteReference w:id="8"/>
      </w:r>
      <w:r w:rsidRPr="00F15DC4">
        <w:rPr>
          <w:rFonts w:ascii="Arial" w:eastAsiaTheme="minorHAnsi" w:hAnsi="Arial" w:cs="Arial"/>
          <w:sz w:val="22"/>
          <w:szCs w:val="22"/>
          <w:lang w:val="es-ES_tradnl" w:eastAsia="en-US"/>
        </w:rPr>
        <w:t xml:space="preserve">, que consagró el término de 5 días hábiles para que los oferentes </w:t>
      </w:r>
      <w:r w:rsidRPr="00F15DC4">
        <w:rPr>
          <w:rFonts w:ascii="Arial" w:eastAsiaTheme="minorHAnsi" w:hAnsi="Arial" w:cs="Arial"/>
          <w:sz w:val="22"/>
          <w:szCs w:val="22"/>
          <w:lang w:val="es-ES_tradnl" w:eastAsia="en-US"/>
        </w:rPr>
        <w:lastRenderedPageBreak/>
        <w:t xml:space="preserve">presenten observaciones al informe de evaluación de las propuestas, sin que sea posible completar, adicionar, modificar o mejorar su oferta.  </w:t>
      </w:r>
    </w:p>
    <w:p w14:paraId="75BC9664"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5EE25DE8" w14:textId="6355882A" w:rsidR="00F15DC4" w:rsidRPr="00F15DC4" w:rsidRDefault="00F15DC4" w:rsidP="00F15DC4">
      <w:pPr>
        <w:spacing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En un </w:t>
      </w:r>
      <w:r w:rsidRPr="00F15DC4">
        <w:rPr>
          <w:rFonts w:ascii="Arial" w:eastAsiaTheme="minorHAnsi" w:hAnsi="Arial" w:cs="Arial"/>
          <w:i/>
          <w:sz w:val="22"/>
          <w:szCs w:val="22"/>
          <w:lang w:val="es-ES_tradnl" w:eastAsia="en-US"/>
        </w:rPr>
        <w:t>tercer momento</w:t>
      </w:r>
      <w:r w:rsidRPr="00F15DC4">
        <w:rPr>
          <w:rFonts w:ascii="Arial" w:eastAsiaTheme="minorHAnsi" w:hAnsi="Arial" w:cs="Arial"/>
          <w:sz w:val="22"/>
          <w:szCs w:val="22"/>
          <w:lang w:val="es-ES_tradnl" w:eastAsia="en-US"/>
        </w:rPr>
        <w:t xml:space="preserve">, siguiendo la línea trazada por la Ley 80 de 1993, el legislador expidió la Ley 1150 de 2007, que, en el parágrafo 1º del artículo 5, determinó lo siguiente: </w:t>
      </w:r>
    </w:p>
    <w:p w14:paraId="2D39768F" w14:textId="77777777" w:rsidR="00F15DC4" w:rsidRPr="00F15DC4" w:rsidRDefault="00F15DC4" w:rsidP="00F15DC4">
      <w:pPr>
        <w:spacing w:line="276" w:lineRule="auto"/>
        <w:jc w:val="both"/>
        <w:rPr>
          <w:rFonts w:ascii="Arial" w:eastAsiaTheme="minorHAnsi" w:hAnsi="Arial" w:cs="Arial"/>
          <w:sz w:val="22"/>
          <w:szCs w:val="22"/>
          <w:lang w:val="es-ES_tradnl" w:eastAsia="en-US"/>
        </w:rPr>
      </w:pPr>
    </w:p>
    <w:p w14:paraId="1086074C" w14:textId="77777777" w:rsidR="00F15DC4" w:rsidRPr="00F15DC4" w:rsidRDefault="00F15DC4" w:rsidP="00F15DC4">
      <w:pPr>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F15DC4">
        <w:rPr>
          <w:rFonts w:ascii="Arial" w:eastAsiaTheme="minorHAnsi" w:hAnsi="Arial" w:cs="Arial"/>
          <w:b/>
          <w:sz w:val="21"/>
          <w:szCs w:val="21"/>
          <w:lang w:val="es-ES_tradnl" w:eastAsia="en-US"/>
        </w:rPr>
        <w:t xml:space="preserve">, </w:t>
      </w:r>
      <w:r w:rsidRPr="00F15DC4">
        <w:rPr>
          <w:rFonts w:ascii="Arial" w:eastAsiaTheme="minorHAnsi" w:hAnsi="Arial" w:cs="Arial"/>
          <w:sz w:val="21"/>
          <w:szCs w:val="21"/>
          <w:lang w:val="es-ES_tradnl" w:eastAsia="en-US"/>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w:t>
      </w:r>
      <w:proofErr w:type="gramStart"/>
      <w:r w:rsidRPr="00F15DC4">
        <w:rPr>
          <w:rFonts w:ascii="Arial" w:eastAsiaTheme="minorHAnsi" w:hAnsi="Arial" w:cs="Arial"/>
          <w:sz w:val="21"/>
          <w:szCs w:val="21"/>
          <w:lang w:val="es-ES_tradnl" w:eastAsia="en-US"/>
        </w:rPr>
        <w:t>deberán</w:t>
      </w:r>
      <w:proofErr w:type="gramEnd"/>
      <w:r w:rsidRPr="00F15DC4">
        <w:rPr>
          <w:rFonts w:ascii="Arial" w:eastAsiaTheme="minorHAnsi" w:hAnsi="Arial" w:cs="Arial"/>
          <w:sz w:val="21"/>
          <w:szCs w:val="21"/>
          <w:lang w:val="es-ES_tradnl" w:eastAsia="en-US"/>
        </w:rPr>
        <w:t xml:space="preserve"> ser solicitados hasta el momento previo a su realización. </w:t>
      </w:r>
    </w:p>
    <w:p w14:paraId="00D29CB2" w14:textId="77777777" w:rsidR="00F15DC4" w:rsidRPr="00F15DC4" w:rsidRDefault="00F15DC4" w:rsidP="00F15DC4">
      <w:pPr>
        <w:spacing w:line="276" w:lineRule="auto"/>
        <w:jc w:val="both"/>
        <w:rPr>
          <w:rFonts w:ascii="Arial" w:eastAsiaTheme="minorHAnsi" w:hAnsi="Arial" w:cs="Arial"/>
          <w:b/>
          <w:sz w:val="22"/>
          <w:szCs w:val="22"/>
          <w:lang w:val="es-ES_tradnl" w:eastAsia="en-US"/>
        </w:rPr>
      </w:pPr>
    </w:p>
    <w:p w14:paraId="2AD200FA" w14:textId="77777777" w:rsidR="00F15DC4" w:rsidRPr="00F15DC4" w:rsidRDefault="00F15DC4" w:rsidP="00F15DC4">
      <w:pPr>
        <w:spacing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B9712EF" w14:textId="66C78A96" w:rsidR="00F15DC4" w:rsidRPr="00F15DC4" w:rsidRDefault="00F15DC4" w:rsidP="00E85DDE">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0DBE2635" w14:textId="6A5DAB3D" w:rsidR="00F15DC4" w:rsidRPr="00F15DC4" w:rsidRDefault="00F15DC4" w:rsidP="00F15DC4">
      <w:pPr>
        <w:spacing w:before="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El artículo 5 de la Ley 1150 de 2007, además de consagrar un criterio más claro, y, de paso, reducir la discrecionalidad de la Administración, fijó un ámbito temporal para </w:t>
      </w:r>
      <w:r w:rsidR="00956389">
        <w:rPr>
          <w:rFonts w:ascii="Arial" w:eastAsiaTheme="minorHAnsi" w:hAnsi="Arial" w:cs="Arial"/>
          <w:sz w:val="22"/>
          <w:szCs w:val="22"/>
          <w:lang w:val="es-ES_tradnl" w:eastAsia="en-US"/>
        </w:rPr>
        <w:t xml:space="preserve">que las entidades requirieran la </w:t>
      </w:r>
      <w:r w:rsidRPr="00F15DC4">
        <w:rPr>
          <w:rFonts w:ascii="Arial" w:eastAsiaTheme="minorHAnsi" w:hAnsi="Arial" w:cs="Arial"/>
          <w:sz w:val="22"/>
          <w:szCs w:val="22"/>
          <w:lang w:val="es-ES_tradnl" w:eastAsia="en-US"/>
        </w:rPr>
        <w:t xml:space="preserve">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52CC6864" w14:textId="77777777" w:rsidR="00F15DC4" w:rsidRPr="00F15DC4" w:rsidRDefault="00F15DC4" w:rsidP="00F15DC4">
      <w:pPr>
        <w:spacing w:line="276" w:lineRule="auto"/>
        <w:jc w:val="both"/>
        <w:rPr>
          <w:rFonts w:ascii="Arial" w:eastAsiaTheme="minorHAnsi" w:hAnsi="Arial" w:cs="Arial"/>
          <w:sz w:val="22"/>
          <w:szCs w:val="22"/>
          <w:lang w:val="es-ES_tradnl" w:eastAsia="en-US"/>
        </w:rPr>
      </w:pPr>
    </w:p>
    <w:p w14:paraId="06CD9375" w14:textId="77777777" w:rsidR="00F15DC4" w:rsidRPr="00F15DC4" w:rsidRDefault="00F15DC4" w:rsidP="00F15DC4">
      <w:pPr>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Esto significa que en adelante las entidades y los oferentes aplican directamente la regla que contempla el art. 5, parágrafo, de la Ley 1150, de manera que lo subsanable o insubsanable se define a partir de una pregunta, que se le formula </w:t>
      </w:r>
      <w:r w:rsidRPr="00F15DC4">
        <w:rPr>
          <w:rFonts w:ascii="Arial" w:eastAsiaTheme="minorHAnsi" w:hAnsi="Arial" w:cs="Arial"/>
          <w:sz w:val="21"/>
          <w:szCs w:val="21"/>
          <w:lang w:val="es-ES_tradnl" w:eastAsia="en-US"/>
        </w:rPr>
        <w:lastRenderedPageBreak/>
        <w:t>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F15DC4">
        <w:rPr>
          <w:rFonts w:ascii="Arial" w:eastAsiaTheme="minorHAnsi" w:hAnsi="Arial" w:cs="Arial"/>
          <w:sz w:val="21"/>
          <w:szCs w:val="21"/>
          <w:vertAlign w:val="superscript"/>
          <w:lang w:val="es-ES_tradnl" w:eastAsia="en-US"/>
        </w:rPr>
        <w:footnoteReference w:id="9"/>
      </w:r>
      <w:r w:rsidRPr="00F15DC4">
        <w:rPr>
          <w:rFonts w:ascii="Arial" w:eastAsiaTheme="minorHAnsi" w:hAnsi="Arial" w:cs="Arial"/>
          <w:sz w:val="21"/>
          <w:szCs w:val="21"/>
          <w:lang w:val="es-ES_tradnl" w:eastAsia="en-US"/>
        </w:rPr>
        <w:t>.</w:t>
      </w:r>
    </w:p>
    <w:p w14:paraId="179E9BCA" w14:textId="77777777" w:rsidR="00F15DC4" w:rsidRPr="00F15DC4" w:rsidRDefault="00F15DC4" w:rsidP="00F15DC4">
      <w:pPr>
        <w:tabs>
          <w:tab w:val="left" w:pos="284"/>
        </w:tabs>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Esa interpretación fue compartida por la </w:t>
      </w:r>
      <w:r w:rsidRPr="00F15DC4">
        <w:rPr>
          <w:rFonts w:ascii="Arial" w:hAnsi="Arial" w:cs="Arial"/>
          <w:sz w:val="22"/>
          <w:szCs w:val="22"/>
          <w:lang w:val="es-ES_tradnl" w:eastAsia="es-CO"/>
        </w:rPr>
        <w:t>Agencia Nacional de Contratación Pública – Colombia Compra Eficiente</w:t>
      </w:r>
      <w:r w:rsidRPr="00F15DC4">
        <w:rPr>
          <w:rFonts w:ascii="Arial" w:eastAsiaTheme="minorHAnsi" w:hAnsi="Arial" w:cs="Arial"/>
          <w:sz w:val="22"/>
          <w:szCs w:val="22"/>
          <w:lang w:val="es-ES_tradnl"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3ACB5545" w14:textId="2CE0B5FF" w:rsidR="00F15DC4" w:rsidRDefault="00F15DC4" w:rsidP="007C4DB5">
      <w:pPr>
        <w:tabs>
          <w:tab w:val="left" w:pos="284"/>
        </w:tabs>
        <w:spacing w:line="276" w:lineRule="auto"/>
        <w:ind w:firstLine="709"/>
        <w:jc w:val="both"/>
        <w:rPr>
          <w:rFonts w:ascii="Arial" w:hAnsi="Arial" w:cs="Arial"/>
          <w:sz w:val="22"/>
          <w:szCs w:val="22"/>
          <w:lang w:val="es-ES_tradnl" w:eastAsia="es-CO"/>
        </w:rPr>
      </w:pPr>
      <w:r w:rsidRPr="00F15DC4">
        <w:rPr>
          <w:rFonts w:ascii="Arial" w:hAnsi="Arial" w:cs="Arial"/>
          <w:sz w:val="22"/>
          <w:szCs w:val="22"/>
          <w:lang w:val="es-ES_tradnl" w:eastAsia="es-CO"/>
        </w:rPr>
        <w:t xml:space="preserve">Finalmente, en un </w:t>
      </w:r>
      <w:r w:rsidRPr="00F15DC4">
        <w:rPr>
          <w:rFonts w:ascii="Arial" w:hAnsi="Arial" w:cs="Arial"/>
          <w:i/>
          <w:sz w:val="22"/>
          <w:szCs w:val="22"/>
          <w:lang w:val="es-ES_tradnl" w:eastAsia="es-CO"/>
        </w:rPr>
        <w:t>cuarto momento</w:t>
      </w:r>
      <w:r w:rsidRPr="00F15DC4">
        <w:rPr>
          <w:rFonts w:ascii="Arial" w:hAnsi="Arial" w:cs="Arial"/>
          <w:sz w:val="22"/>
          <w:szCs w:val="22"/>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43B2B514" w14:textId="77777777" w:rsidR="00590D3A" w:rsidRPr="00F15DC4" w:rsidRDefault="00590D3A" w:rsidP="007C4DB5">
      <w:pPr>
        <w:tabs>
          <w:tab w:val="left" w:pos="284"/>
        </w:tabs>
        <w:spacing w:line="276" w:lineRule="auto"/>
        <w:ind w:firstLine="709"/>
        <w:jc w:val="both"/>
        <w:rPr>
          <w:rFonts w:ascii="Arial" w:eastAsiaTheme="minorHAnsi" w:hAnsi="Arial" w:cs="Arial"/>
          <w:sz w:val="22"/>
          <w:szCs w:val="22"/>
          <w:lang w:val="es-ES_tradnl" w:eastAsia="en-US"/>
        </w:rPr>
      </w:pPr>
    </w:p>
    <w:p w14:paraId="25931D72" w14:textId="77777777" w:rsidR="00F15DC4" w:rsidRPr="00F15DC4" w:rsidRDefault="00F15DC4" w:rsidP="007C4DB5">
      <w:pPr>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Artículo 5°. De la selección objetiva. </w:t>
      </w:r>
    </w:p>
    <w:p w14:paraId="17DD6F0A" w14:textId="77777777" w:rsidR="00F15DC4" w:rsidRPr="00F15DC4" w:rsidRDefault="00F15DC4" w:rsidP="00F15DC4">
      <w:pPr>
        <w:spacing w:before="120" w:after="120"/>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w:t>
      </w:r>
    </w:p>
    <w:p w14:paraId="24F99732" w14:textId="77777777" w:rsidR="00F15DC4" w:rsidRPr="00F15DC4" w:rsidRDefault="00F15DC4" w:rsidP="00F15DC4">
      <w:pPr>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162A145C" w14:textId="087644F4"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Como puede observarse,</w:t>
      </w:r>
      <w:r w:rsidR="00F74ECA">
        <w:rPr>
          <w:rFonts w:ascii="Arial" w:eastAsiaTheme="minorHAnsi" w:hAnsi="Arial" w:cs="Arial"/>
          <w:sz w:val="22"/>
          <w:szCs w:val="22"/>
          <w:lang w:val="es-ES_tradnl" w:eastAsia="en-US"/>
        </w:rPr>
        <w:t xml:space="preserve"> la Ley 1882 de 2018</w:t>
      </w:r>
      <w:r w:rsidRPr="00F15DC4">
        <w:rPr>
          <w:rFonts w:ascii="Arial" w:eastAsiaTheme="minorHAnsi" w:hAnsi="Arial" w:cs="Arial"/>
          <w:sz w:val="22"/>
          <w:szCs w:val="22"/>
          <w:lang w:val="es-ES_tradnl" w:eastAsia="en-US"/>
        </w:rPr>
        <w:t xml:space="preserve">: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w:t>
      </w:r>
      <w:r w:rsidRPr="00F15DC4">
        <w:rPr>
          <w:rFonts w:ascii="Arial" w:eastAsiaTheme="minorHAnsi" w:hAnsi="Arial" w:cs="Arial"/>
          <w:sz w:val="22"/>
          <w:szCs w:val="22"/>
          <w:lang w:val="es-ES_tradnl" w:eastAsia="en-US"/>
        </w:rPr>
        <w:lastRenderedPageBreak/>
        <w:t xml:space="preserve">introduce modificaciones en relación con algunos aspectos que se analizarán a continuación. </w:t>
      </w:r>
    </w:p>
    <w:p w14:paraId="75DD6647" w14:textId="208EBAC3" w:rsidR="0057420C" w:rsidRDefault="00F15DC4" w:rsidP="00D97F14">
      <w:pPr>
        <w:spacing w:after="120" w:line="276" w:lineRule="auto"/>
        <w:ind w:right="51" w:firstLine="709"/>
        <w:jc w:val="both"/>
        <w:rPr>
          <w:rFonts w:ascii="Arial" w:eastAsia="Calibri" w:hAnsi="Arial" w:cs="Arial"/>
          <w:sz w:val="22"/>
          <w:szCs w:val="22"/>
          <w:lang w:val="es-ES_tradnl" w:eastAsia="en-US"/>
        </w:rPr>
      </w:pPr>
      <w:r w:rsidRPr="00A0782F">
        <w:rPr>
          <w:rFonts w:ascii="Arial" w:eastAsiaTheme="minorHAnsi" w:hAnsi="Arial" w:cs="Arial"/>
          <w:i/>
          <w:iCs/>
          <w:sz w:val="22"/>
          <w:szCs w:val="22"/>
          <w:lang w:val="es-ES_tradnl" w:eastAsia="en-US"/>
        </w:rPr>
        <w:t>El primero</w:t>
      </w:r>
      <w:r w:rsidRPr="00A0782F">
        <w:rPr>
          <w:rFonts w:ascii="Arial" w:eastAsiaTheme="minorHAnsi" w:hAnsi="Arial" w:cs="Arial"/>
          <w:sz w:val="22"/>
          <w:szCs w:val="22"/>
          <w:lang w:val="es-ES_tradnl" w:eastAsia="en-US"/>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w:t>
      </w:r>
      <w:r w:rsidR="000F30E1">
        <w:rPr>
          <w:rFonts w:ascii="Arial" w:eastAsiaTheme="minorHAnsi" w:hAnsi="Arial" w:cs="Arial"/>
          <w:sz w:val="22"/>
          <w:szCs w:val="22"/>
          <w:lang w:val="es-ES_tradnl" w:eastAsia="en-US"/>
        </w:rPr>
        <w:t xml:space="preserve"> anterior</w:t>
      </w:r>
      <w:r w:rsidRPr="00A0782F">
        <w:rPr>
          <w:rFonts w:ascii="Arial" w:eastAsiaTheme="minorHAnsi" w:hAnsi="Arial" w:cs="Arial"/>
          <w:sz w:val="22"/>
          <w:szCs w:val="22"/>
          <w:lang w:val="es-ES_tradnl" w:eastAsia="en-US"/>
        </w:rPr>
        <w:t xml:space="preserve"> no aplica para los procesos de mínima cuantía y para el proceso </w:t>
      </w:r>
      <w:r w:rsidRPr="00A0782F">
        <w:rPr>
          <w:rFonts w:ascii="Arial" w:eastAsia="Calibri" w:hAnsi="Arial" w:cs="Arial"/>
          <w:sz w:val="22"/>
          <w:szCs w:val="22"/>
          <w:lang w:val="es-ES_tradnl" w:eastAsia="en-US"/>
        </w:rPr>
        <w:t>de selección a través del sistema de subasta</w:t>
      </w:r>
      <w:r w:rsidRPr="00A0782F">
        <w:rPr>
          <w:rFonts w:ascii="Arial" w:eastAsia="Calibri" w:hAnsi="Arial" w:cs="Arial"/>
          <w:sz w:val="22"/>
          <w:szCs w:val="22"/>
          <w:vertAlign w:val="superscript"/>
          <w:lang w:val="es-ES_tradnl" w:eastAsia="en-US"/>
        </w:rPr>
        <w:footnoteReference w:id="10"/>
      </w:r>
      <w:r w:rsidRPr="00A0782F">
        <w:rPr>
          <w:rFonts w:ascii="Arial" w:eastAsia="Calibri" w:hAnsi="Arial" w:cs="Arial"/>
          <w:sz w:val="22"/>
          <w:szCs w:val="22"/>
          <w:lang w:val="es-ES_tradnl" w:eastAsia="en-US"/>
        </w:rPr>
        <w:t>; en el último los documentos o requisitos subsanables pueden y deben solicitarse hasta el momento previo</w:t>
      </w:r>
      <w:r w:rsidR="007D540D">
        <w:rPr>
          <w:rFonts w:ascii="Arial" w:eastAsia="Calibri" w:hAnsi="Arial" w:cs="Arial"/>
          <w:sz w:val="22"/>
          <w:szCs w:val="22"/>
          <w:lang w:val="es-ES_tradnl" w:eastAsia="en-US"/>
        </w:rPr>
        <w:t xml:space="preserve"> </w:t>
      </w:r>
      <w:r w:rsidR="00544AF9">
        <w:rPr>
          <w:rFonts w:ascii="Arial" w:eastAsia="Calibri" w:hAnsi="Arial" w:cs="Arial"/>
          <w:sz w:val="22"/>
          <w:szCs w:val="22"/>
          <w:lang w:val="es-ES_tradnl" w:eastAsia="en-US"/>
        </w:rPr>
        <w:t xml:space="preserve">a </w:t>
      </w:r>
      <w:r w:rsidR="00763E3A">
        <w:rPr>
          <w:rFonts w:ascii="Arial" w:eastAsia="Calibri" w:hAnsi="Arial" w:cs="Arial"/>
          <w:sz w:val="22"/>
          <w:szCs w:val="22"/>
          <w:lang w:val="es-ES_tradnl" w:eastAsia="en-US"/>
        </w:rPr>
        <w:t>la celebración de la audiencia. En cuanto al proceso de mínima cuantía, el Decreto 1860 de 2021</w:t>
      </w:r>
      <w:r w:rsidR="009C2086">
        <w:rPr>
          <w:rFonts w:ascii="Arial" w:eastAsia="Calibri" w:hAnsi="Arial" w:cs="Arial"/>
          <w:sz w:val="22"/>
          <w:szCs w:val="22"/>
          <w:lang w:val="es-ES_tradnl" w:eastAsia="en-US"/>
        </w:rPr>
        <w:t xml:space="preserve"> que modifica el Decreto 1082 de 2015</w:t>
      </w:r>
      <w:r w:rsidR="00763E3A">
        <w:rPr>
          <w:rFonts w:ascii="Arial" w:eastAsia="Calibri" w:hAnsi="Arial" w:cs="Arial"/>
          <w:sz w:val="22"/>
          <w:szCs w:val="22"/>
          <w:lang w:val="es-ES_tradnl" w:eastAsia="en-US"/>
        </w:rPr>
        <w:t xml:space="preserve">, en su artículo </w:t>
      </w:r>
      <w:r w:rsidR="0057420C">
        <w:rPr>
          <w:rFonts w:ascii="Arial" w:eastAsia="Calibri" w:hAnsi="Arial" w:cs="Arial"/>
          <w:sz w:val="22"/>
          <w:szCs w:val="22"/>
          <w:lang w:val="es-ES_tradnl" w:eastAsia="en-US"/>
        </w:rPr>
        <w:t xml:space="preserve">2.2.1.2.1.5.2., numeral 5° dispone </w:t>
      </w:r>
      <w:r w:rsidR="00E6171E">
        <w:rPr>
          <w:rFonts w:ascii="Arial" w:eastAsia="Calibri" w:hAnsi="Arial" w:cs="Arial"/>
          <w:sz w:val="22"/>
          <w:szCs w:val="22"/>
          <w:lang w:val="es-ES_tradnl" w:eastAsia="en-US"/>
        </w:rPr>
        <w:t xml:space="preserve">que sin perjuicio de la oportunidad que deben otorgar las Entidades para subsanar las ofertas, de acuerdo al artículo 5 de la Ley 1150 de 2007, para lo cual se establecerá un término </w:t>
      </w:r>
      <w:proofErr w:type="spellStart"/>
      <w:r w:rsidR="00E6171E">
        <w:rPr>
          <w:rFonts w:ascii="Arial" w:eastAsia="Calibri" w:hAnsi="Arial" w:cs="Arial"/>
          <w:sz w:val="22"/>
          <w:szCs w:val="22"/>
          <w:lang w:val="es-ES_tradnl" w:eastAsia="en-US"/>
        </w:rPr>
        <w:t>preclusivo</w:t>
      </w:r>
      <w:proofErr w:type="spellEnd"/>
      <w:r w:rsidR="00E6171E">
        <w:rPr>
          <w:rFonts w:ascii="Arial" w:eastAsia="Calibri" w:hAnsi="Arial" w:cs="Arial"/>
          <w:sz w:val="22"/>
          <w:szCs w:val="22"/>
          <w:lang w:val="es-ES_tradnl" w:eastAsia="en-US"/>
        </w:rPr>
        <w:t xml:space="preserve"> para recibir los documentos subsanables. En el evento que no se regule este término </w:t>
      </w:r>
      <w:r w:rsidR="0057420C">
        <w:rPr>
          <w:rFonts w:ascii="Arial" w:eastAsia="Calibri" w:hAnsi="Arial" w:cs="Arial"/>
          <w:sz w:val="22"/>
          <w:szCs w:val="22"/>
          <w:lang w:val="es-ES_tradnl" w:eastAsia="en-US"/>
        </w:rPr>
        <w:t>los proponentes podrán subsanar sus ofertas hasta antes que finalice el traslado del informe de evaluación</w:t>
      </w:r>
      <w:r w:rsidR="0057420C">
        <w:rPr>
          <w:rStyle w:val="Refdenotaalpie"/>
          <w:rFonts w:ascii="Arial" w:eastAsia="Calibri" w:hAnsi="Arial" w:cs="Arial"/>
          <w:sz w:val="22"/>
          <w:szCs w:val="22"/>
          <w:lang w:val="es-ES_tradnl" w:eastAsia="en-US"/>
        </w:rPr>
        <w:footnoteReference w:id="11"/>
      </w:r>
      <w:r w:rsidR="0057420C">
        <w:rPr>
          <w:rFonts w:ascii="Arial" w:eastAsia="Calibri" w:hAnsi="Arial" w:cs="Arial"/>
          <w:sz w:val="22"/>
          <w:szCs w:val="22"/>
          <w:lang w:val="es-ES_tradnl" w:eastAsia="en-US"/>
        </w:rPr>
        <w:t xml:space="preserve">. </w:t>
      </w:r>
    </w:p>
    <w:p w14:paraId="0DBFDFB1" w14:textId="1C1CB1DC" w:rsidR="00F15DC4" w:rsidRPr="00F15DC4" w:rsidRDefault="00F15DC4" w:rsidP="005B1FF6">
      <w:pPr>
        <w:spacing w:before="120" w:after="120" w:line="276" w:lineRule="auto"/>
        <w:ind w:firstLine="709"/>
        <w:jc w:val="both"/>
        <w:rPr>
          <w:rFonts w:ascii="Arial" w:eastAsiaTheme="minorHAnsi" w:hAnsi="Arial" w:cs="Arial"/>
          <w:sz w:val="22"/>
          <w:szCs w:val="22"/>
          <w:lang w:val="es-ES_tradnl" w:eastAsia="en-US"/>
        </w:rPr>
      </w:pPr>
      <w:r w:rsidRPr="00A0782F">
        <w:rPr>
          <w:rFonts w:ascii="Arial" w:eastAsia="Calibri" w:hAnsi="Arial" w:cs="Arial"/>
          <w:sz w:val="22"/>
          <w:szCs w:val="22"/>
          <w:lang w:val="es-ES_tradnl" w:eastAsia="en-US"/>
        </w:rPr>
        <w:t>Frente a la regla general</w:t>
      </w:r>
      <w:r w:rsidR="008F4C38">
        <w:rPr>
          <w:rFonts w:ascii="Arial" w:eastAsia="Calibri" w:hAnsi="Arial" w:cs="Arial"/>
          <w:sz w:val="22"/>
          <w:szCs w:val="22"/>
          <w:lang w:val="es-ES_tradnl" w:eastAsia="en-US"/>
        </w:rPr>
        <w:t xml:space="preserve"> aplicable a los demás procesos de selección</w:t>
      </w:r>
      <w:r w:rsidRPr="00A0782F">
        <w:rPr>
          <w:rFonts w:ascii="Arial" w:eastAsia="Calibri" w:hAnsi="Arial" w:cs="Arial"/>
          <w:sz w:val="22"/>
          <w:szCs w:val="22"/>
          <w:lang w:val="es-ES_tradnl" w:eastAsia="en-US"/>
        </w:rPr>
        <w:t>, la norma fijó un límite final para que la Administración y los oferentes subsanen los requisitos o documentos que puedan y deban ser subsanados, pero nada impide, y la norma no lo hace, que la Administración requiera al proponente antes de publicar el informe de evaluación</w:t>
      </w:r>
      <w:r w:rsidRPr="001509DC">
        <w:rPr>
          <w:rFonts w:ascii="Arial" w:eastAsia="Calibri" w:hAnsi="Arial" w:cs="Arial"/>
          <w:sz w:val="22"/>
          <w:szCs w:val="22"/>
          <w:lang w:val="es-ES_tradnl" w:eastAsia="en-US"/>
        </w:rPr>
        <w:t>.</w:t>
      </w:r>
      <w:r w:rsidRPr="00F15DC4">
        <w:rPr>
          <w:rFonts w:ascii="Arial" w:eastAsia="Calibri" w:hAnsi="Arial" w:cs="Arial"/>
          <w:sz w:val="22"/>
          <w:szCs w:val="22"/>
          <w:lang w:val="es-ES_tradnl" w:eastAsia="en-US"/>
        </w:rPr>
        <w:t xml:space="preserve"> En efecto, la redacción de la norma permite que la Administración solicite a los oferentes subsanar y que estos lo hagan hasta antes del término del traslado del informe de evaluación: «</w:t>
      </w:r>
      <w:r w:rsidRPr="00F15DC4">
        <w:rPr>
          <w:rFonts w:ascii="Arial" w:eastAsiaTheme="minorHAnsi" w:hAnsi="Arial" w:cs="Arial"/>
          <w:sz w:val="22"/>
          <w:szCs w:val="22"/>
          <w:lang w:val="es-ES_tradnl" w:eastAsia="en-US"/>
        </w:rPr>
        <w:t xml:space="preserve">deberán ser solicitados por las entidades estatales y deberán ser entregados </w:t>
      </w:r>
      <w:r w:rsidRPr="00F15DC4">
        <w:rPr>
          <w:rFonts w:ascii="Arial" w:eastAsiaTheme="minorHAnsi" w:hAnsi="Arial" w:cs="Arial"/>
          <w:sz w:val="22"/>
          <w:szCs w:val="22"/>
          <w:lang w:val="es-ES_tradnl" w:eastAsia="en-US"/>
        </w:rPr>
        <w:lastRenderedPageBreak/>
        <w:t xml:space="preserve">por los proponentes hasta el término de traslado del informe de evaluación que corresponda a cada modalidad de selección». </w:t>
      </w:r>
    </w:p>
    <w:p w14:paraId="14F54399"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No obstante, de la lectura de este aparte podrían, en la práctica, darse dos interpretaciones que dan lugar a dos formas de proceder en los procesos de selección, en lo que a la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F15DC4">
        <w:rPr>
          <w:rFonts w:ascii="Arial" w:eastAsiaTheme="minorHAnsi" w:hAnsi="Arial" w:cs="Arial"/>
          <w:i/>
          <w:iCs/>
          <w:sz w:val="22"/>
          <w:szCs w:val="22"/>
          <w:lang w:val="es-ES_tradnl" w:eastAsia="en-US"/>
        </w:rPr>
        <w:t>límite</w:t>
      </w:r>
      <w:r w:rsidRPr="00F15DC4">
        <w:rPr>
          <w:rFonts w:ascii="Arial" w:eastAsiaTheme="minorHAnsi" w:hAnsi="Arial" w:cs="Arial"/>
          <w:sz w:val="22"/>
          <w:szCs w:val="22"/>
          <w:lang w:val="es-ES_tradnl" w:eastAsia="en-US"/>
        </w:rPr>
        <w:t xml:space="preserve"> para la subsanación de ofertas, pero no el único momento para hacerlo. </w:t>
      </w:r>
    </w:p>
    <w:p w14:paraId="202F0433"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46C0D42C"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6E9865F0" w14:textId="13E01313"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las propuestas</w:t>
      </w:r>
      <w:r w:rsidR="00F85804">
        <w:rPr>
          <w:rFonts w:ascii="Arial" w:eastAsiaTheme="minorHAnsi" w:hAnsi="Arial" w:cs="Arial"/>
          <w:sz w:val="22"/>
          <w:szCs w:val="22"/>
          <w:lang w:val="es-ES_tradnl" w:eastAsia="en-US"/>
        </w:rPr>
        <w:t xml:space="preserve"> ya</w:t>
      </w:r>
      <w:r w:rsidRPr="00F15DC4">
        <w:rPr>
          <w:rFonts w:ascii="Arial" w:eastAsiaTheme="minorHAnsi" w:hAnsi="Arial" w:cs="Arial"/>
          <w:sz w:val="22"/>
          <w:szCs w:val="22"/>
          <w:lang w:val="es-ES_tradnl" w:eastAsia="en-US"/>
        </w:rPr>
        <w:t xml:space="preserve"> estarán consolidadas en lo formal. Subsanar antes del informe de evaluación ofrece mayor seguridad y certeza al proceso de selección, a la Administración y a los oferentes. </w:t>
      </w:r>
    </w:p>
    <w:p w14:paraId="678B8CBD" w14:textId="164884B0"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w:t>
      </w:r>
      <w:r w:rsidRPr="00F15DC4">
        <w:rPr>
          <w:rFonts w:ascii="Arial" w:eastAsiaTheme="minorHAnsi" w:hAnsi="Arial" w:cs="Arial"/>
          <w:sz w:val="22"/>
          <w:szCs w:val="22"/>
          <w:lang w:val="es-ES_tradnl" w:eastAsia="en-US"/>
        </w:rPr>
        <w:lastRenderedPageBreak/>
        <w:t>hasta el término de traslado del informe de evaluación con la posibilidad de presentar la información solicitada.</w:t>
      </w:r>
    </w:p>
    <w:p w14:paraId="6FA325DE"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Calibri" w:hAnsi="Arial" w:cs="Arial"/>
          <w:sz w:val="22"/>
          <w:szCs w:val="22"/>
          <w:lang w:val="es-ES_tradnl" w:eastAsia="en-US"/>
        </w:rPr>
        <w:t xml:space="preserve">De otro lado, </w:t>
      </w:r>
      <w:r w:rsidRPr="00F15DC4">
        <w:rPr>
          <w:rFonts w:ascii="Arial" w:eastAsia="Calibri" w:hAnsi="Arial" w:cs="Arial"/>
          <w:i/>
          <w:iCs/>
          <w:sz w:val="22"/>
          <w:szCs w:val="22"/>
          <w:lang w:val="es-ES_tradnl" w:eastAsia="en-US"/>
        </w:rPr>
        <w:t>el segundo</w:t>
      </w:r>
      <w:r w:rsidRPr="00F15DC4">
        <w:rPr>
          <w:rFonts w:ascii="Arial" w:eastAsia="Calibri" w:hAnsi="Arial" w:cs="Arial"/>
          <w:sz w:val="22"/>
          <w:szCs w:val="22"/>
          <w:lang w:val="es-ES_tradnl" w:eastAsia="en-US"/>
        </w:rPr>
        <w:t xml:space="preserve"> cambio importante de la Ley 1882 de 2018 fue la introducción de un criterio material, directamente relacionado con los aspectos subsanables: «</w:t>
      </w:r>
      <w:r w:rsidRPr="00F15DC4">
        <w:rPr>
          <w:rFonts w:ascii="Arial" w:eastAsiaTheme="minorHAnsi" w:hAnsi="Arial" w:cs="Arial"/>
          <w:sz w:val="22"/>
          <w:szCs w:val="22"/>
          <w:lang w:val="es-ES_tradnl" w:eastAsia="en-US"/>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60F0B579" w14:textId="504F08ED"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F15DC4">
        <w:rPr>
          <w:rFonts w:ascii="Arial" w:eastAsiaTheme="minorHAnsi" w:hAnsi="Arial" w:cs="Arial"/>
          <w:sz w:val="22"/>
          <w:szCs w:val="22"/>
          <w:vertAlign w:val="superscript"/>
          <w:lang w:val="es-ES_tradnl" w:eastAsia="en-US"/>
        </w:rPr>
        <w:footnoteReference w:id="12"/>
      </w:r>
      <w:r w:rsidRPr="00F15DC4">
        <w:rPr>
          <w:rFonts w:ascii="Arial" w:eastAsiaTheme="minorHAnsi" w:hAnsi="Arial" w:cs="Arial"/>
          <w:sz w:val="22"/>
          <w:szCs w:val="22"/>
          <w:lang w:val="es-ES_tradnl" w:eastAsia="en-US"/>
        </w:rPr>
        <w:t>.</w:t>
      </w:r>
    </w:p>
    <w:p w14:paraId="0D6EDEAB" w14:textId="77777777"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160F553" w14:textId="5C234A74"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lastRenderedPageBreak/>
        <w:t xml:space="preserve">Un mejor entendimiento del significado de la expresión «circunstancias ocurridas con posterioridad al cierre del proceso» </w:t>
      </w:r>
      <w:r w:rsidR="00B123AE">
        <w:rPr>
          <w:rFonts w:ascii="Arial" w:eastAsia="Calibri" w:hAnsi="Arial" w:cs="Arial"/>
          <w:sz w:val="22"/>
          <w:szCs w:val="22"/>
          <w:lang w:val="es-ES_tradnl" w:eastAsia="en-US"/>
        </w:rPr>
        <w:t xml:space="preserve">implica </w:t>
      </w:r>
      <w:r w:rsidRPr="00F15DC4">
        <w:rPr>
          <w:rFonts w:ascii="Arial" w:eastAsia="Calibri" w:hAnsi="Arial" w:cs="Arial"/>
          <w:sz w:val="22"/>
          <w:szCs w:val="22"/>
          <w:lang w:val="es-ES_tradnl" w:eastAsia="en-US"/>
        </w:rPr>
        <w:t xml:space="preserve">distinguir entre la prueba de un hecho y el hecho mismo. En el caso de la </w:t>
      </w:r>
      <w:proofErr w:type="spellStart"/>
      <w:r w:rsidRPr="00F15DC4">
        <w:rPr>
          <w:rFonts w:ascii="Arial" w:eastAsia="Calibri" w:hAnsi="Arial" w:cs="Arial"/>
          <w:sz w:val="22"/>
          <w:szCs w:val="22"/>
          <w:lang w:val="es-ES_tradnl" w:eastAsia="en-US"/>
        </w:rPr>
        <w:t>subsanabilidad</w:t>
      </w:r>
      <w:proofErr w:type="spellEnd"/>
      <w:r w:rsidRPr="00F15DC4">
        <w:rPr>
          <w:rFonts w:ascii="Arial" w:eastAsia="Calibri" w:hAnsi="Arial" w:cs="Arial"/>
          <w:sz w:val="22"/>
          <w:szCs w:val="22"/>
          <w:lang w:val="es-ES_tradnl" w:eastAsia="en-U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00923C41">
        <w:rPr>
          <w:rStyle w:val="Refdenotaalpie"/>
          <w:rFonts w:ascii="Arial" w:eastAsia="Calibri" w:hAnsi="Arial" w:cs="Arial"/>
          <w:sz w:val="22"/>
          <w:szCs w:val="22"/>
          <w:lang w:val="es-ES_tradnl" w:eastAsia="en-US"/>
        </w:rPr>
        <w:footnoteReference w:id="13"/>
      </w:r>
      <w:r w:rsidRPr="00F15DC4">
        <w:rPr>
          <w:rFonts w:ascii="Arial" w:eastAsia="Calibri" w:hAnsi="Arial" w:cs="Arial"/>
          <w:sz w:val="22"/>
          <w:szCs w:val="22"/>
          <w:lang w:val="es-ES_tradnl" w:eastAsia="en-US"/>
        </w:rPr>
        <w:t xml:space="preserve">. </w:t>
      </w:r>
    </w:p>
    <w:p w14:paraId="2FB05BA0" w14:textId="09E597CE"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w:t>
      </w:r>
      <w:r w:rsidR="00376E77">
        <w:rPr>
          <w:rFonts w:ascii="Arial" w:eastAsia="Calibri" w:hAnsi="Arial" w:cs="Arial"/>
          <w:sz w:val="22"/>
          <w:szCs w:val="22"/>
          <w:lang w:val="es-ES_tradnl" w:eastAsia="en-US"/>
        </w:rPr>
        <w:t>, estando esta en firme para dicho momento</w:t>
      </w:r>
      <w:r w:rsidRPr="00F15DC4">
        <w:rPr>
          <w:rFonts w:ascii="Arial" w:eastAsia="Calibri" w:hAnsi="Arial" w:cs="Arial"/>
          <w:sz w:val="22"/>
          <w:szCs w:val="22"/>
          <w:lang w:val="es-ES_tradnl" w:eastAsia="en-US"/>
        </w:rPr>
        <w:t>;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F15DC4">
        <w:rPr>
          <w:rFonts w:ascii="Arial" w:eastAsia="Calibri" w:hAnsi="Arial" w:cs="Arial"/>
          <w:sz w:val="22"/>
          <w:szCs w:val="22"/>
          <w:vertAlign w:val="superscript"/>
          <w:lang w:val="es-ES_tradnl" w:eastAsia="en-US"/>
        </w:rPr>
        <w:footnoteReference w:id="14"/>
      </w:r>
      <w:r w:rsidRPr="00F15DC4">
        <w:rPr>
          <w:rFonts w:ascii="Arial" w:eastAsia="Calibri" w:hAnsi="Arial" w:cs="Arial"/>
          <w:sz w:val="22"/>
          <w:szCs w:val="22"/>
          <w:lang w:val="es-ES_tradnl" w:eastAsia="en-US"/>
        </w:rPr>
        <w:t>; iii) si un oferente no anexó el Certificado de existencia y representación legal, el documento aportado con posterioridad debe dar cuenta de que la sociedad existía antes del cierre del proceso</w:t>
      </w:r>
      <w:r w:rsidRPr="00F15DC4">
        <w:rPr>
          <w:rFonts w:ascii="Arial" w:eastAsia="Calibri" w:hAnsi="Arial" w:cs="Arial"/>
          <w:sz w:val="22"/>
          <w:szCs w:val="22"/>
          <w:vertAlign w:val="superscript"/>
          <w:lang w:val="es-ES_tradnl" w:eastAsia="en-US"/>
        </w:rPr>
        <w:footnoteReference w:id="15"/>
      </w:r>
      <w:r w:rsidRPr="00F15DC4">
        <w:rPr>
          <w:rFonts w:ascii="Arial" w:eastAsia="Calibri" w:hAnsi="Arial" w:cs="Arial"/>
          <w:sz w:val="22"/>
          <w:szCs w:val="22"/>
          <w:lang w:val="es-ES_tradnl" w:eastAsia="en-US"/>
        </w:rPr>
        <w:t xml:space="preserve">; iv) si un oferente olvidó adjuntar un certificado que demuestra un título universitario, el documento, aunque tenga fecha posterior al cierre del proceso, debe acreditar que el título académico se obtuvo con </w:t>
      </w:r>
      <w:r w:rsidRPr="00F15DC4">
        <w:rPr>
          <w:rFonts w:ascii="Arial" w:eastAsia="Calibri" w:hAnsi="Arial" w:cs="Arial"/>
          <w:sz w:val="22"/>
          <w:szCs w:val="22"/>
          <w:lang w:val="es-ES_tradnl" w:eastAsia="en-US"/>
        </w:rPr>
        <w:lastRenderedPageBreak/>
        <w:t xml:space="preserve">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1BB7E750" w14:textId="77777777"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F15DC4">
        <w:rPr>
          <w:rFonts w:ascii="Arial" w:eastAsia="Calibri" w:hAnsi="Arial" w:cs="Arial"/>
          <w:sz w:val="22"/>
          <w:szCs w:val="22"/>
          <w:vertAlign w:val="superscript"/>
          <w:lang w:val="es-ES_tradnl" w:eastAsia="en-US"/>
        </w:rPr>
        <w:footnoteReference w:id="16"/>
      </w:r>
      <w:r w:rsidRPr="00F15DC4">
        <w:rPr>
          <w:rFonts w:ascii="Arial" w:eastAsia="Calibri" w:hAnsi="Arial" w:cs="Arial"/>
          <w:sz w:val="22"/>
          <w:szCs w:val="22"/>
          <w:lang w:val="es-ES_tradnl" w:eastAsia="en-US"/>
        </w:rPr>
        <w:t xml:space="preserve">. </w:t>
      </w:r>
    </w:p>
    <w:p w14:paraId="7931A7E6" w14:textId="19E2F5E9" w:rsidR="00F15DC4" w:rsidRPr="00763E3A" w:rsidRDefault="00F15DC4" w:rsidP="00F15DC4">
      <w:pPr>
        <w:spacing w:before="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w:t>
      </w:r>
      <w:r w:rsidRPr="00763E3A">
        <w:rPr>
          <w:rFonts w:ascii="Arial" w:eastAsia="Calibri" w:hAnsi="Arial" w:cs="Arial"/>
          <w:sz w:val="22"/>
          <w:szCs w:val="22"/>
          <w:lang w:val="es-ES_tradnl" w:eastAsia="en-US"/>
        </w:rPr>
        <w:t xml:space="preserve">la respuesta al segundo interrogante debe dar cuenta de que lo omitido sea la prueba de una circunstancia o hecho que ocurrió con anterioridad al cierre del proceso. </w:t>
      </w:r>
    </w:p>
    <w:p w14:paraId="1546793C" w14:textId="267F3B59" w:rsidR="0062098D" w:rsidRPr="00763E3A" w:rsidRDefault="006F2956" w:rsidP="0062098D">
      <w:pPr>
        <w:spacing w:before="120" w:line="276" w:lineRule="auto"/>
        <w:ind w:firstLine="709"/>
        <w:jc w:val="both"/>
        <w:rPr>
          <w:rFonts w:ascii="Arial" w:eastAsia="Calibri" w:hAnsi="Arial" w:cs="Arial"/>
          <w:sz w:val="22"/>
          <w:szCs w:val="22"/>
          <w:lang w:val="es-ES_tradnl" w:eastAsia="en-US"/>
        </w:rPr>
      </w:pPr>
      <w:r w:rsidRPr="00B06888">
        <w:rPr>
          <w:rFonts w:ascii="Arial" w:eastAsia="Calibri" w:hAnsi="Arial" w:cs="Arial"/>
          <w:sz w:val="22"/>
          <w:szCs w:val="22"/>
          <w:lang w:val="es-ES_tradnl" w:eastAsia="en-US"/>
        </w:rPr>
        <w:t xml:space="preserve">De acuerdo </w:t>
      </w:r>
      <w:r w:rsidR="003566E9" w:rsidRPr="00B06888">
        <w:rPr>
          <w:rFonts w:ascii="Arial" w:eastAsia="Calibri" w:hAnsi="Arial" w:cs="Arial"/>
          <w:sz w:val="22"/>
          <w:szCs w:val="22"/>
          <w:lang w:val="es-ES_tradnl" w:eastAsia="en-US"/>
        </w:rPr>
        <w:t>con lo expuesto</w:t>
      </w:r>
      <w:r w:rsidRPr="00B06888">
        <w:rPr>
          <w:rFonts w:ascii="Arial" w:eastAsia="Calibri" w:hAnsi="Arial" w:cs="Arial"/>
          <w:sz w:val="22"/>
          <w:szCs w:val="22"/>
          <w:lang w:val="es-ES_tradnl" w:eastAsia="en-US"/>
        </w:rPr>
        <w:t xml:space="preserve"> </w:t>
      </w:r>
      <w:r w:rsidR="009C66FF" w:rsidRPr="00B06888">
        <w:rPr>
          <w:rFonts w:ascii="Arial" w:eastAsia="Calibri" w:hAnsi="Arial" w:cs="Arial"/>
          <w:sz w:val="22"/>
          <w:szCs w:val="22"/>
          <w:lang w:val="es-ES_tradnl" w:eastAsia="en-US"/>
        </w:rPr>
        <w:t xml:space="preserve">en torno a la </w:t>
      </w:r>
      <w:proofErr w:type="spellStart"/>
      <w:r w:rsidR="009C66FF" w:rsidRPr="00B06888">
        <w:rPr>
          <w:rFonts w:ascii="Arial" w:eastAsia="Calibri" w:hAnsi="Arial" w:cs="Arial"/>
          <w:sz w:val="22"/>
          <w:szCs w:val="22"/>
          <w:lang w:val="es-ES_tradnl" w:eastAsia="en-US"/>
        </w:rPr>
        <w:t>subsanabilidad</w:t>
      </w:r>
      <w:proofErr w:type="spellEnd"/>
      <w:r w:rsidR="009C66FF" w:rsidRPr="00B06888">
        <w:rPr>
          <w:rFonts w:ascii="Arial" w:eastAsia="Calibri" w:hAnsi="Arial" w:cs="Arial"/>
          <w:sz w:val="22"/>
          <w:szCs w:val="22"/>
          <w:lang w:val="es-ES_tradnl" w:eastAsia="en-US"/>
        </w:rPr>
        <w:t xml:space="preserve"> de las ofertas</w:t>
      </w:r>
      <w:r w:rsidR="0031691D" w:rsidRPr="00B06888">
        <w:rPr>
          <w:rFonts w:ascii="Arial" w:hAnsi="Arial" w:cs="Arial"/>
          <w:sz w:val="22"/>
        </w:rPr>
        <w:t xml:space="preserve"> y </w:t>
      </w:r>
      <w:r w:rsidRPr="00B06888">
        <w:rPr>
          <w:rFonts w:ascii="Arial" w:hAnsi="Arial" w:cs="Arial"/>
          <w:sz w:val="22"/>
        </w:rPr>
        <w:t xml:space="preserve">teniendo en cuenta las reglas dispuestas en </w:t>
      </w:r>
      <w:r w:rsidRPr="00B06888">
        <w:rPr>
          <w:rFonts w:ascii="Arial" w:eastAsia="Calibri" w:hAnsi="Arial" w:cs="Arial"/>
          <w:sz w:val="22"/>
          <w:szCs w:val="22"/>
          <w:lang w:val="es-ES_tradnl" w:eastAsia="en-US"/>
        </w:rPr>
        <w:t xml:space="preserve">la Ley 1882 de 2018, se establece que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w:t>
      </w:r>
      <w:r w:rsidR="001F3059" w:rsidRPr="00B06888">
        <w:rPr>
          <w:rFonts w:ascii="Arial" w:eastAsia="Calibri" w:hAnsi="Arial" w:cs="Arial"/>
          <w:sz w:val="22"/>
          <w:szCs w:val="22"/>
          <w:lang w:val="es-ES_tradnl" w:eastAsia="en-US"/>
        </w:rPr>
        <w:t>Por ello</w:t>
      </w:r>
      <w:r w:rsidRPr="00B06888">
        <w:rPr>
          <w:rFonts w:ascii="Arial" w:eastAsia="Calibri" w:hAnsi="Arial" w:cs="Arial"/>
          <w:sz w:val="22"/>
          <w:szCs w:val="22"/>
          <w:lang w:val="es-ES_tradnl" w:eastAsia="en-US"/>
        </w:rPr>
        <w:t>, si los requisitos no otorgan puntaje y tienen el carácter de habilitantes para la participación en el proceso de contratación, se entiende que, en principio, pueden subsanarse.</w:t>
      </w:r>
      <w:r w:rsidR="008F4C38" w:rsidRPr="00B06888">
        <w:rPr>
          <w:rFonts w:ascii="Arial" w:eastAsia="Calibri" w:hAnsi="Arial" w:cs="Arial"/>
          <w:sz w:val="22"/>
          <w:szCs w:val="22"/>
          <w:lang w:val="es-ES_tradnl" w:eastAsia="en-US"/>
        </w:rPr>
        <w:t xml:space="preserve"> </w:t>
      </w:r>
      <w:r w:rsidR="00376E77">
        <w:rPr>
          <w:rFonts w:ascii="Arial" w:eastAsia="Calibri" w:hAnsi="Arial" w:cs="Arial"/>
          <w:sz w:val="22"/>
          <w:szCs w:val="22"/>
          <w:lang w:val="es-ES_tradnl" w:eastAsia="en-US"/>
        </w:rPr>
        <w:t>Además</w:t>
      </w:r>
      <w:r w:rsidR="0062098D" w:rsidRPr="00B06888">
        <w:rPr>
          <w:rFonts w:ascii="Arial" w:eastAsia="Calibri" w:hAnsi="Arial" w:cs="Arial"/>
          <w:sz w:val="22"/>
          <w:szCs w:val="22"/>
          <w:lang w:val="es-ES_tradnl" w:eastAsia="en-US"/>
        </w:rPr>
        <w:t>,</w:t>
      </w:r>
      <w:r w:rsidR="00376E77">
        <w:rPr>
          <w:rFonts w:ascii="Arial" w:eastAsia="Calibri" w:hAnsi="Arial" w:cs="Arial"/>
          <w:sz w:val="22"/>
          <w:szCs w:val="22"/>
          <w:lang w:val="es-ES_tradnl" w:eastAsia="en-US"/>
        </w:rPr>
        <w:t xml:space="preserve"> se precisa que</w:t>
      </w:r>
      <w:r w:rsidR="0062098D" w:rsidRPr="00B06888">
        <w:rPr>
          <w:rFonts w:ascii="Arial" w:eastAsia="Calibri" w:hAnsi="Arial" w:cs="Arial"/>
          <w:sz w:val="22"/>
          <w:szCs w:val="22"/>
          <w:lang w:val="es-ES_tradnl" w:eastAsia="en-US"/>
        </w:rPr>
        <w:t xml:space="preserve"> en el caso de la subasta </w:t>
      </w:r>
      <w:r w:rsidR="002C07A9" w:rsidRPr="00B06888">
        <w:rPr>
          <w:rFonts w:ascii="Arial" w:eastAsia="Calibri" w:hAnsi="Arial" w:cs="Arial"/>
          <w:sz w:val="22"/>
          <w:szCs w:val="22"/>
          <w:lang w:val="es-ES_tradnl" w:eastAsia="en-US"/>
        </w:rPr>
        <w:t xml:space="preserve">y la mínima cuantía </w:t>
      </w:r>
      <w:r w:rsidR="0062098D" w:rsidRPr="00B06888">
        <w:rPr>
          <w:rFonts w:ascii="Arial" w:eastAsia="Calibri" w:hAnsi="Arial" w:cs="Arial"/>
          <w:sz w:val="22"/>
          <w:szCs w:val="22"/>
          <w:lang w:val="es-ES_tradnl" w:eastAsia="en-US"/>
        </w:rPr>
        <w:t xml:space="preserve">no debe perderse de vista que para este tipo de procedimientos también serán aplicables los criterios desarrollados en este concepto, para determinar si los documentos faltantes son susceptibles o no de subsanación, </w:t>
      </w:r>
      <w:r w:rsidR="005639D8" w:rsidRPr="00B06888">
        <w:rPr>
          <w:rFonts w:ascii="Arial" w:eastAsia="Calibri" w:hAnsi="Arial" w:cs="Arial"/>
          <w:sz w:val="22"/>
          <w:szCs w:val="22"/>
          <w:lang w:val="es-ES_tradnl" w:eastAsia="en-US"/>
        </w:rPr>
        <w:t>analizando</w:t>
      </w:r>
      <w:r w:rsidR="0062098D" w:rsidRPr="00B06888">
        <w:rPr>
          <w:rFonts w:ascii="Arial" w:eastAsia="Calibri" w:hAnsi="Arial" w:cs="Arial"/>
          <w:sz w:val="22"/>
          <w:szCs w:val="22"/>
          <w:lang w:val="es-ES_tradnl" w:eastAsia="en-US"/>
        </w:rPr>
        <w:t xml:space="preserve"> si inciden o no en </w:t>
      </w:r>
      <w:r w:rsidR="0062098D" w:rsidRPr="00B06888">
        <w:rPr>
          <w:rFonts w:ascii="Arial" w:eastAsia="Calibri" w:hAnsi="Arial" w:cs="Arial"/>
          <w:sz w:val="22"/>
          <w:szCs w:val="22"/>
          <w:lang w:val="es-ES_tradnl" w:eastAsia="en-US"/>
        </w:rPr>
        <w:lastRenderedPageBreak/>
        <w:t>la asignación de puntaje y si se relacionan con el cumplimiento de un requisito que constituye una circunstancia ocurrida con anterioridad o con posterioridad al cierre del proceso.</w:t>
      </w:r>
      <w:r w:rsidR="0062098D" w:rsidRPr="00763E3A">
        <w:rPr>
          <w:rFonts w:ascii="Arial" w:eastAsia="Calibri" w:hAnsi="Arial" w:cs="Arial"/>
          <w:sz w:val="22"/>
          <w:szCs w:val="22"/>
          <w:lang w:val="es-ES_tradnl" w:eastAsia="en-US"/>
        </w:rPr>
        <w:t xml:space="preserve"> </w:t>
      </w:r>
    </w:p>
    <w:p w14:paraId="04BBF770" w14:textId="35409B4F" w:rsidR="006528FF" w:rsidRDefault="006528FF" w:rsidP="005F31C1">
      <w:pPr>
        <w:spacing w:line="276" w:lineRule="auto"/>
        <w:jc w:val="both"/>
        <w:rPr>
          <w:color w:val="FF0000"/>
          <w:lang w:val="es-ES_tradnl"/>
        </w:rPr>
      </w:pPr>
    </w:p>
    <w:p w14:paraId="45CFADE1" w14:textId="710A0B43" w:rsidR="009C2086" w:rsidRPr="00C0544C" w:rsidRDefault="009C2086" w:rsidP="009C2086">
      <w:pPr>
        <w:spacing w:line="276" w:lineRule="auto"/>
        <w:jc w:val="both"/>
        <w:rPr>
          <w:rFonts w:ascii="Arial" w:eastAsia="Calibri" w:hAnsi="Arial" w:cs="Arial"/>
          <w:b/>
          <w:bCs/>
          <w:color w:val="000000" w:themeColor="text1"/>
          <w:sz w:val="22"/>
          <w:szCs w:val="22"/>
          <w:lang w:val="es-MX" w:eastAsia="en-US"/>
        </w:rPr>
      </w:pPr>
      <w:r w:rsidRPr="00C0544C">
        <w:rPr>
          <w:rFonts w:ascii="Arial" w:eastAsia="Calibri" w:hAnsi="Arial" w:cs="Arial"/>
          <w:b/>
          <w:bCs/>
          <w:color w:val="000000" w:themeColor="text1"/>
          <w:sz w:val="22"/>
          <w:szCs w:val="22"/>
          <w:lang w:val="es-MX" w:eastAsia="en-US"/>
        </w:rPr>
        <w:t>2.3. Anál</w:t>
      </w:r>
      <w:r w:rsidR="00A30E79" w:rsidRPr="00C0544C">
        <w:rPr>
          <w:rFonts w:ascii="Arial" w:eastAsia="Calibri" w:hAnsi="Arial" w:cs="Arial"/>
          <w:b/>
          <w:bCs/>
          <w:color w:val="000000" w:themeColor="text1"/>
          <w:sz w:val="22"/>
          <w:szCs w:val="22"/>
          <w:lang w:val="es-MX" w:eastAsia="en-US"/>
        </w:rPr>
        <w:t xml:space="preserve">isis de las tesis planteadas </w:t>
      </w:r>
      <w:r w:rsidRPr="00C0544C">
        <w:rPr>
          <w:rFonts w:ascii="Arial" w:eastAsia="Calibri" w:hAnsi="Arial" w:cs="Arial"/>
          <w:b/>
          <w:bCs/>
          <w:color w:val="000000" w:themeColor="text1"/>
          <w:sz w:val="22"/>
          <w:szCs w:val="22"/>
          <w:lang w:val="es-MX" w:eastAsia="en-US"/>
        </w:rPr>
        <w:t xml:space="preserve">en relación con la </w:t>
      </w:r>
      <w:proofErr w:type="spellStart"/>
      <w:r w:rsidRPr="00C0544C">
        <w:rPr>
          <w:rFonts w:ascii="Arial" w:eastAsia="Calibri" w:hAnsi="Arial" w:cs="Arial"/>
          <w:b/>
          <w:bCs/>
          <w:color w:val="000000" w:themeColor="text1"/>
          <w:sz w:val="22"/>
          <w:szCs w:val="22"/>
          <w:lang w:val="es-MX" w:eastAsia="en-US"/>
        </w:rPr>
        <w:t>subsanabilidad</w:t>
      </w:r>
      <w:proofErr w:type="spellEnd"/>
      <w:r w:rsidR="00A30E79" w:rsidRPr="00C0544C">
        <w:rPr>
          <w:rFonts w:ascii="Arial" w:eastAsia="Calibri" w:hAnsi="Arial" w:cs="Arial"/>
          <w:b/>
          <w:bCs/>
          <w:color w:val="000000" w:themeColor="text1"/>
          <w:sz w:val="22"/>
          <w:szCs w:val="22"/>
          <w:lang w:val="es-MX" w:eastAsia="en-US"/>
        </w:rPr>
        <w:t xml:space="preserve"> y</w:t>
      </w:r>
      <w:r w:rsidRPr="00C0544C">
        <w:rPr>
          <w:rFonts w:ascii="Arial" w:eastAsia="Calibri" w:hAnsi="Arial" w:cs="Arial"/>
          <w:b/>
          <w:bCs/>
          <w:color w:val="000000" w:themeColor="text1"/>
          <w:sz w:val="22"/>
          <w:szCs w:val="22"/>
          <w:lang w:val="es-MX" w:eastAsia="en-US"/>
        </w:rPr>
        <w:t xml:space="preserve"> la Sentencia de </w:t>
      </w:r>
      <w:r w:rsidR="00376E77" w:rsidRPr="00C0544C">
        <w:rPr>
          <w:rFonts w:ascii="Arial" w:eastAsia="Calibri" w:hAnsi="Arial" w:cs="Arial"/>
          <w:b/>
          <w:bCs/>
          <w:color w:val="000000" w:themeColor="text1"/>
          <w:sz w:val="22"/>
          <w:szCs w:val="22"/>
          <w:lang w:val="es-MX" w:eastAsia="en-US"/>
        </w:rPr>
        <w:t xml:space="preserve">la </w:t>
      </w:r>
      <w:r w:rsidRPr="00C0544C">
        <w:rPr>
          <w:rFonts w:ascii="Arial" w:eastAsia="Calibri" w:hAnsi="Arial" w:cs="Arial"/>
          <w:b/>
          <w:bCs/>
          <w:color w:val="000000" w:themeColor="text1"/>
          <w:sz w:val="22"/>
          <w:szCs w:val="22"/>
          <w:lang w:val="es-MX" w:eastAsia="en-US"/>
        </w:rPr>
        <w:t>Sección Tercera, Subsección C, del Consejo de Estado, proferida en el expediente 65</w:t>
      </w:r>
      <w:r w:rsidR="00376E77" w:rsidRPr="00C0544C">
        <w:rPr>
          <w:rFonts w:ascii="Arial" w:eastAsia="Calibri" w:hAnsi="Arial" w:cs="Arial"/>
          <w:b/>
          <w:bCs/>
          <w:color w:val="000000" w:themeColor="text1"/>
          <w:sz w:val="22"/>
          <w:szCs w:val="22"/>
          <w:lang w:val="es-MX" w:eastAsia="en-US"/>
        </w:rPr>
        <w:t>.</w:t>
      </w:r>
      <w:r w:rsidRPr="00C0544C">
        <w:rPr>
          <w:rFonts w:ascii="Arial" w:eastAsia="Calibri" w:hAnsi="Arial" w:cs="Arial"/>
          <w:b/>
          <w:bCs/>
          <w:color w:val="000000" w:themeColor="text1"/>
          <w:sz w:val="22"/>
          <w:szCs w:val="22"/>
          <w:lang w:val="es-MX" w:eastAsia="en-US"/>
        </w:rPr>
        <w:t xml:space="preserve">134 </w:t>
      </w:r>
    </w:p>
    <w:p w14:paraId="4B4E5D51" w14:textId="77777777" w:rsidR="009C2086" w:rsidRPr="00C0544C" w:rsidRDefault="009C2086" w:rsidP="009C2086">
      <w:pPr>
        <w:spacing w:line="276" w:lineRule="auto"/>
        <w:ind w:right="49" w:firstLine="709"/>
        <w:jc w:val="both"/>
        <w:rPr>
          <w:rFonts w:ascii="Arial" w:eastAsia="Calibri" w:hAnsi="Arial" w:cs="Arial"/>
          <w:bCs/>
          <w:color w:val="000000" w:themeColor="text1"/>
          <w:sz w:val="22"/>
          <w:szCs w:val="22"/>
          <w:lang w:val="es-MX" w:eastAsia="en-US"/>
        </w:rPr>
      </w:pPr>
    </w:p>
    <w:p w14:paraId="729ED55B" w14:textId="0070D799" w:rsidR="009C2086" w:rsidRPr="00C0544C" w:rsidRDefault="009C2086" w:rsidP="002376FD">
      <w:pPr>
        <w:spacing w:after="120" w:line="276" w:lineRule="auto"/>
        <w:jc w:val="both"/>
        <w:rPr>
          <w:rFonts w:ascii="Arial" w:eastAsia="Calibri" w:hAnsi="Arial" w:cs="Arial"/>
          <w:bCs/>
          <w:color w:val="000000" w:themeColor="text1"/>
          <w:sz w:val="22"/>
          <w:szCs w:val="22"/>
          <w:lang w:val="es-MX" w:eastAsia="en-US"/>
        </w:rPr>
      </w:pPr>
      <w:r w:rsidRPr="00C0544C">
        <w:rPr>
          <w:rFonts w:ascii="Arial" w:eastAsia="Calibri" w:hAnsi="Arial" w:cs="Arial"/>
          <w:bCs/>
          <w:color w:val="000000" w:themeColor="text1"/>
          <w:sz w:val="22"/>
          <w:szCs w:val="22"/>
          <w:lang w:val="es-MX" w:eastAsia="en-US"/>
        </w:rPr>
        <w:t xml:space="preserve">Como consta en </w:t>
      </w:r>
      <w:r w:rsidR="008A2660" w:rsidRPr="00C0544C">
        <w:rPr>
          <w:rFonts w:ascii="Arial" w:eastAsia="Calibri" w:hAnsi="Arial" w:cs="Arial"/>
          <w:bCs/>
          <w:color w:val="000000" w:themeColor="text1"/>
          <w:sz w:val="22"/>
          <w:szCs w:val="22"/>
          <w:lang w:val="es-MX" w:eastAsia="en-US"/>
        </w:rPr>
        <w:t xml:space="preserve">las consideraciones de este </w:t>
      </w:r>
      <w:r w:rsidRPr="00C0544C">
        <w:rPr>
          <w:rFonts w:ascii="Arial" w:eastAsia="Calibri" w:hAnsi="Arial" w:cs="Arial"/>
          <w:bCs/>
          <w:color w:val="000000" w:themeColor="text1"/>
          <w:sz w:val="22"/>
          <w:szCs w:val="22"/>
          <w:lang w:val="es-MX" w:eastAsia="en-US"/>
        </w:rPr>
        <w:t>concepto, esta Agencia ha acogido los límites definidos en la Ley para el ejercicio del derecho a subsanar ofertas y para el cumplimiento del correlativo deber, a cargo de las entidades públicas</w:t>
      </w:r>
      <w:r w:rsidR="00E27FCE" w:rsidRPr="00C0544C">
        <w:rPr>
          <w:rFonts w:ascii="Arial" w:eastAsia="Calibri" w:hAnsi="Arial" w:cs="Arial"/>
          <w:bCs/>
          <w:color w:val="000000" w:themeColor="text1"/>
          <w:sz w:val="22"/>
          <w:szCs w:val="22"/>
          <w:lang w:val="es-MX" w:eastAsia="en-US"/>
        </w:rPr>
        <w:t>, de requerir a los proponentes para que realicen dicha actuación</w:t>
      </w:r>
      <w:r w:rsidRPr="00C0544C">
        <w:rPr>
          <w:rFonts w:ascii="Arial" w:eastAsia="Calibri" w:hAnsi="Arial" w:cs="Arial"/>
          <w:bCs/>
          <w:color w:val="000000" w:themeColor="text1"/>
          <w:sz w:val="22"/>
          <w:szCs w:val="22"/>
          <w:lang w:val="es-MX" w:eastAsia="en-US"/>
        </w:rPr>
        <w:t xml:space="preserve">. Es decir, ha conceptuado de manera acorde con el precepto según el cual todos los requisitos que no afecten la asignación de puntaje pueden ser subsanados, siempre que </w:t>
      </w:r>
      <w:r w:rsidR="00E27FCE">
        <w:rPr>
          <w:rFonts w:ascii="Arial" w:eastAsia="Calibri" w:hAnsi="Arial" w:cs="Arial"/>
          <w:bCs/>
          <w:color w:val="000000" w:themeColor="text1"/>
          <w:sz w:val="22"/>
          <w:szCs w:val="22"/>
          <w:lang w:val="es-MX" w:eastAsia="en-US"/>
        </w:rPr>
        <w:t xml:space="preserve">mediante ellos no se acrediten </w:t>
      </w:r>
      <w:r w:rsidR="00E27FCE" w:rsidRPr="00C0544C">
        <w:rPr>
          <w:rFonts w:ascii="Arial" w:eastAsia="Calibri" w:hAnsi="Arial" w:cs="Arial"/>
          <w:bCs/>
          <w:color w:val="000000" w:themeColor="text1"/>
          <w:sz w:val="22"/>
          <w:szCs w:val="22"/>
          <w:lang w:val="es-MX" w:eastAsia="en-US"/>
        </w:rPr>
        <w:t>circunstancias ocurridas con posterioridad al cierre del proceso</w:t>
      </w:r>
      <w:r w:rsidR="00ED1D45" w:rsidRPr="00C0544C">
        <w:rPr>
          <w:rFonts w:ascii="Arial" w:eastAsia="Calibri" w:hAnsi="Arial" w:cs="Arial"/>
          <w:bCs/>
          <w:color w:val="000000" w:themeColor="text1"/>
          <w:sz w:val="22"/>
          <w:szCs w:val="22"/>
          <w:lang w:val="es-MX" w:eastAsia="en-US"/>
        </w:rPr>
        <w:t xml:space="preserve">. Así </w:t>
      </w:r>
      <w:r w:rsidRPr="00C0544C">
        <w:rPr>
          <w:rFonts w:ascii="Arial" w:eastAsia="Calibri" w:hAnsi="Arial" w:cs="Arial"/>
          <w:bCs/>
          <w:color w:val="000000" w:themeColor="text1"/>
          <w:sz w:val="22"/>
          <w:szCs w:val="22"/>
          <w:lang w:val="es-MX" w:eastAsia="en-US"/>
        </w:rPr>
        <w:t>mismo, partiendo de la distinción consagrada en el artículo 5 de la Ley 1150 de 2007, ente requisitos habilitantes y factores de ponderación</w:t>
      </w:r>
      <w:r w:rsidR="00E27FCE">
        <w:rPr>
          <w:rFonts w:ascii="Arial" w:eastAsia="Calibri" w:hAnsi="Arial" w:cs="Arial"/>
          <w:bCs/>
          <w:color w:val="000000" w:themeColor="text1"/>
          <w:sz w:val="22"/>
          <w:szCs w:val="22"/>
          <w:lang w:val="es-MX" w:eastAsia="en-US"/>
        </w:rPr>
        <w:t xml:space="preserve"> o de asignación de puntaje</w:t>
      </w:r>
      <w:r w:rsidRPr="00C0544C">
        <w:rPr>
          <w:rFonts w:ascii="Arial" w:eastAsia="Calibri" w:hAnsi="Arial" w:cs="Arial"/>
          <w:bCs/>
          <w:color w:val="000000" w:themeColor="text1"/>
          <w:sz w:val="22"/>
          <w:szCs w:val="22"/>
          <w:lang w:val="es-MX" w:eastAsia="en-US"/>
        </w:rPr>
        <w:t xml:space="preserve">, esta Agencia le ha asignado a cada uno de estos el alcance permitido por el legislador, en los eventos en que el contenido de un documento pueda usarse para acreditar requisitos habilitantes y factores de ponderación. </w:t>
      </w:r>
      <w:r w:rsidR="00616C83" w:rsidRPr="00C0544C">
        <w:rPr>
          <w:rFonts w:ascii="Arial" w:eastAsia="Calibri" w:hAnsi="Arial" w:cs="Arial"/>
          <w:bCs/>
          <w:color w:val="000000" w:themeColor="text1"/>
          <w:sz w:val="22"/>
          <w:szCs w:val="22"/>
          <w:lang w:val="es-MX" w:eastAsia="en-US"/>
        </w:rPr>
        <w:t xml:space="preserve">En tal sentido, se precisa </w:t>
      </w:r>
      <w:r w:rsidRPr="00C0544C">
        <w:rPr>
          <w:rFonts w:ascii="Arial" w:eastAsia="Calibri" w:hAnsi="Arial" w:cs="Arial"/>
          <w:bCs/>
          <w:color w:val="000000" w:themeColor="text1"/>
          <w:sz w:val="22"/>
          <w:szCs w:val="22"/>
          <w:lang w:val="es-MX" w:eastAsia="en-US"/>
        </w:rPr>
        <w:t>que en tales circunstancias existe la posibilidad de subsanar los primeros, pero la información objeto de subsanación no puede ser tenida en cuenta para la asignación de puntaje</w:t>
      </w:r>
      <w:r w:rsidR="00E27FCE">
        <w:rPr>
          <w:rFonts w:ascii="Arial" w:eastAsia="Calibri" w:hAnsi="Arial" w:cs="Arial"/>
          <w:bCs/>
          <w:color w:val="000000" w:themeColor="text1"/>
          <w:sz w:val="22"/>
          <w:szCs w:val="22"/>
          <w:lang w:val="es-MX" w:eastAsia="en-US"/>
        </w:rPr>
        <w:t>, debiendo aplicarse estos criterios legales en cada procedimiento de selección.</w:t>
      </w:r>
      <w:r w:rsidRPr="00C0544C">
        <w:rPr>
          <w:rFonts w:ascii="Arial" w:eastAsia="Calibri" w:hAnsi="Arial" w:cs="Arial"/>
          <w:bCs/>
          <w:color w:val="000000" w:themeColor="text1"/>
          <w:sz w:val="22"/>
          <w:szCs w:val="22"/>
          <w:lang w:val="es-MX" w:eastAsia="en-US"/>
        </w:rPr>
        <w:t xml:space="preserve"> </w:t>
      </w:r>
    </w:p>
    <w:p w14:paraId="1581C95D" w14:textId="040BAEE0" w:rsidR="009C2086" w:rsidRPr="00C0544C" w:rsidRDefault="009C2086" w:rsidP="002376FD">
      <w:pPr>
        <w:spacing w:after="120" w:line="276" w:lineRule="auto"/>
        <w:ind w:firstLine="709"/>
        <w:jc w:val="both"/>
        <w:rPr>
          <w:rFonts w:ascii="Arial" w:eastAsia="Calibri" w:hAnsi="Arial" w:cs="Arial"/>
          <w:bCs/>
          <w:color w:val="000000" w:themeColor="text1"/>
          <w:sz w:val="22"/>
          <w:szCs w:val="22"/>
          <w:lang w:val="es-MX" w:eastAsia="en-US"/>
        </w:rPr>
      </w:pPr>
      <w:r w:rsidRPr="00C0544C">
        <w:rPr>
          <w:rFonts w:ascii="Arial" w:eastAsia="Calibri" w:hAnsi="Arial" w:cs="Arial"/>
          <w:bCs/>
          <w:color w:val="000000" w:themeColor="text1"/>
          <w:sz w:val="22"/>
          <w:szCs w:val="22"/>
          <w:lang w:val="es-MX" w:eastAsia="en-US"/>
        </w:rPr>
        <w:t xml:space="preserve">Estas conclusiones guardan armonía con el principio de selección objetiva, del cual forma parte integral la </w:t>
      </w:r>
      <w:proofErr w:type="spellStart"/>
      <w:r w:rsidRPr="00C0544C">
        <w:rPr>
          <w:rFonts w:ascii="Arial" w:eastAsia="Calibri" w:hAnsi="Arial" w:cs="Arial"/>
          <w:bCs/>
          <w:color w:val="000000" w:themeColor="text1"/>
          <w:sz w:val="22"/>
          <w:szCs w:val="22"/>
          <w:lang w:val="es-MX" w:eastAsia="en-US"/>
        </w:rPr>
        <w:t>subsanabilidad</w:t>
      </w:r>
      <w:proofErr w:type="spellEnd"/>
      <w:r w:rsidRPr="00C0544C">
        <w:rPr>
          <w:rFonts w:ascii="Arial" w:eastAsia="Calibri" w:hAnsi="Arial" w:cs="Arial"/>
          <w:bCs/>
          <w:color w:val="000000" w:themeColor="text1"/>
          <w:sz w:val="22"/>
          <w:szCs w:val="22"/>
          <w:lang w:val="es-MX" w:eastAsia="en-US"/>
        </w:rPr>
        <w:t xml:space="preserve"> de las ofertas, con el alcance del artículo 5 de la Ley 1150 de 2007 y con los planteamientos recogidos en los distintos conceptos emitidos por esta Agencia. En dichos pronunciamientos, luego de analizar la evolución cronológica y normativa de la figura, se ha reiterado que, conforme a la normativa vigente, todos los requisitos que no afecten la asignación de puntaje, excepto la </w:t>
      </w:r>
      <w:r w:rsidR="00E27FCE">
        <w:rPr>
          <w:rFonts w:ascii="Arial" w:eastAsia="Calibri" w:hAnsi="Arial" w:cs="Arial"/>
          <w:bCs/>
          <w:color w:val="000000" w:themeColor="text1"/>
          <w:sz w:val="22"/>
          <w:szCs w:val="22"/>
          <w:lang w:val="es-MX" w:eastAsia="en-US"/>
        </w:rPr>
        <w:t>n</w:t>
      </w:r>
      <w:r w:rsidR="00E27FCE" w:rsidRPr="00C0544C">
        <w:rPr>
          <w:rFonts w:ascii="Arial" w:eastAsia="Calibri" w:hAnsi="Arial" w:cs="Arial"/>
          <w:bCs/>
          <w:color w:val="000000" w:themeColor="text1"/>
          <w:sz w:val="22"/>
          <w:szCs w:val="22"/>
          <w:lang w:val="es-MX" w:eastAsia="en-US"/>
        </w:rPr>
        <w:t>o entrega de la garantía de seriedad junto con la propuesta</w:t>
      </w:r>
      <w:r w:rsidRPr="00C0544C">
        <w:rPr>
          <w:rFonts w:ascii="Arial" w:eastAsia="Calibri" w:hAnsi="Arial" w:cs="Arial"/>
          <w:bCs/>
          <w:color w:val="000000" w:themeColor="text1"/>
          <w:sz w:val="22"/>
          <w:szCs w:val="22"/>
          <w:lang w:val="es-MX" w:eastAsia="en-US"/>
        </w:rPr>
        <w:t>, pueden ser subsanados, siempre que se refieran a hechos ocurridos con anterioridad</w:t>
      </w:r>
      <w:r w:rsidR="00ED1D45" w:rsidRPr="00C0544C">
        <w:rPr>
          <w:rFonts w:ascii="Arial" w:eastAsia="Calibri" w:hAnsi="Arial" w:cs="Arial"/>
          <w:bCs/>
          <w:color w:val="000000" w:themeColor="text1"/>
          <w:sz w:val="22"/>
          <w:szCs w:val="22"/>
          <w:lang w:val="es-MX" w:eastAsia="en-US"/>
        </w:rPr>
        <w:t xml:space="preserve"> al</w:t>
      </w:r>
      <w:r w:rsidRPr="00C0544C">
        <w:rPr>
          <w:rFonts w:ascii="Arial" w:eastAsia="Calibri" w:hAnsi="Arial" w:cs="Arial"/>
          <w:bCs/>
          <w:color w:val="000000" w:themeColor="text1"/>
          <w:sz w:val="22"/>
          <w:szCs w:val="22"/>
          <w:lang w:val="es-MX" w:eastAsia="en-US"/>
        </w:rPr>
        <w:t xml:space="preserve"> cierre del proceso.</w:t>
      </w:r>
      <w:r w:rsidR="00616C83" w:rsidRPr="00C0544C">
        <w:rPr>
          <w:rFonts w:ascii="Arial" w:eastAsia="Calibri" w:hAnsi="Arial" w:cs="Arial"/>
          <w:bCs/>
          <w:color w:val="000000" w:themeColor="text1"/>
          <w:sz w:val="22"/>
          <w:szCs w:val="22"/>
          <w:lang w:val="es-MX" w:eastAsia="en-US"/>
        </w:rPr>
        <w:t xml:space="preserve"> </w:t>
      </w:r>
      <w:r w:rsidRPr="00C0544C">
        <w:rPr>
          <w:rFonts w:ascii="Arial" w:eastAsia="Calibri" w:hAnsi="Arial" w:cs="Arial"/>
          <w:bCs/>
          <w:color w:val="000000" w:themeColor="text1"/>
          <w:sz w:val="22"/>
          <w:szCs w:val="22"/>
          <w:lang w:val="es-MX" w:eastAsia="en-US"/>
        </w:rPr>
        <w:t>Ahora bien, co</w:t>
      </w:r>
      <w:r w:rsidR="00ED1D45" w:rsidRPr="00C0544C">
        <w:rPr>
          <w:rFonts w:ascii="Arial" w:eastAsia="Calibri" w:hAnsi="Arial" w:cs="Arial"/>
          <w:bCs/>
          <w:color w:val="000000" w:themeColor="text1"/>
          <w:sz w:val="22"/>
          <w:szCs w:val="22"/>
          <w:lang w:val="es-MX" w:eastAsia="en-US"/>
        </w:rPr>
        <w:t>mo quiera que en la</w:t>
      </w:r>
      <w:r w:rsidRPr="00C0544C">
        <w:rPr>
          <w:rFonts w:ascii="Arial" w:eastAsia="Calibri" w:hAnsi="Arial" w:cs="Arial"/>
          <w:bCs/>
          <w:color w:val="000000" w:themeColor="text1"/>
          <w:sz w:val="22"/>
          <w:szCs w:val="22"/>
          <w:lang w:val="es-MX" w:eastAsia="en-US"/>
        </w:rPr>
        <w:t xml:space="preserve"> consulta presentada en este caso se pone de presente la existencia de una supuesta contradicción entre los planteamientos de esta </w:t>
      </w:r>
      <w:r w:rsidR="00ED1D45" w:rsidRPr="00C0544C">
        <w:rPr>
          <w:rFonts w:ascii="Arial" w:eastAsia="Calibri" w:hAnsi="Arial" w:cs="Arial"/>
          <w:bCs/>
          <w:color w:val="000000" w:themeColor="text1"/>
          <w:sz w:val="22"/>
          <w:szCs w:val="22"/>
          <w:lang w:val="es-MX" w:eastAsia="en-US"/>
        </w:rPr>
        <w:t>Agencia y los contenidos en la S</w:t>
      </w:r>
      <w:r w:rsidRPr="00C0544C">
        <w:rPr>
          <w:rFonts w:ascii="Arial" w:eastAsia="Calibri" w:hAnsi="Arial" w:cs="Arial"/>
          <w:bCs/>
          <w:color w:val="000000" w:themeColor="text1"/>
          <w:sz w:val="22"/>
          <w:szCs w:val="22"/>
          <w:lang w:val="es-MX" w:eastAsia="en-US"/>
        </w:rPr>
        <w:t>entencia del 28 de febrero del 2022, proferida por la Sección Tercera, Subsección C, del Consejo de Estado –en el expediente 65</w:t>
      </w:r>
      <w:r w:rsidR="00E27FCE">
        <w:rPr>
          <w:rFonts w:ascii="Arial" w:eastAsia="Calibri" w:hAnsi="Arial" w:cs="Arial"/>
          <w:bCs/>
          <w:color w:val="000000" w:themeColor="text1"/>
          <w:sz w:val="22"/>
          <w:szCs w:val="22"/>
          <w:lang w:val="es-MX" w:eastAsia="en-US"/>
        </w:rPr>
        <w:t>.</w:t>
      </w:r>
      <w:r w:rsidRPr="00C0544C">
        <w:rPr>
          <w:rFonts w:ascii="Arial" w:eastAsia="Calibri" w:hAnsi="Arial" w:cs="Arial"/>
          <w:bCs/>
          <w:color w:val="000000" w:themeColor="text1"/>
          <w:sz w:val="22"/>
          <w:szCs w:val="22"/>
          <w:lang w:val="es-MX" w:eastAsia="en-US"/>
        </w:rPr>
        <w:t xml:space="preserve">134–, esta Subdirección </w:t>
      </w:r>
      <w:r w:rsidR="00616C83" w:rsidRPr="00C0544C">
        <w:rPr>
          <w:rFonts w:ascii="Arial" w:eastAsia="Calibri" w:hAnsi="Arial" w:cs="Arial"/>
          <w:bCs/>
          <w:color w:val="000000" w:themeColor="text1"/>
          <w:sz w:val="22"/>
          <w:szCs w:val="22"/>
          <w:lang w:val="es-MX" w:eastAsia="en-US"/>
        </w:rPr>
        <w:t xml:space="preserve">en el Concepto C-470 del 25 de julio de 2022 </w:t>
      </w:r>
      <w:r w:rsidRPr="00C0544C">
        <w:rPr>
          <w:rFonts w:ascii="Arial" w:eastAsia="Calibri" w:hAnsi="Arial" w:cs="Arial"/>
          <w:bCs/>
          <w:color w:val="000000" w:themeColor="text1"/>
          <w:sz w:val="22"/>
          <w:szCs w:val="22"/>
          <w:lang w:val="es-MX" w:eastAsia="en-US"/>
        </w:rPr>
        <w:t>resalta que no existe tal discordancia</w:t>
      </w:r>
      <w:r w:rsidR="00E27FCE">
        <w:rPr>
          <w:rFonts w:ascii="Arial" w:eastAsia="Calibri" w:hAnsi="Arial" w:cs="Arial"/>
          <w:bCs/>
          <w:color w:val="000000" w:themeColor="text1"/>
          <w:sz w:val="22"/>
          <w:szCs w:val="22"/>
          <w:lang w:val="es-MX" w:eastAsia="en-US"/>
        </w:rPr>
        <w:t>,</w:t>
      </w:r>
      <w:r w:rsidRPr="00C0544C">
        <w:rPr>
          <w:rFonts w:ascii="Arial" w:eastAsia="Calibri" w:hAnsi="Arial" w:cs="Arial"/>
          <w:bCs/>
          <w:color w:val="000000" w:themeColor="text1"/>
          <w:sz w:val="22"/>
          <w:szCs w:val="22"/>
          <w:lang w:val="es-MX" w:eastAsia="en-US"/>
        </w:rPr>
        <w:t xml:space="preserve"> como </w:t>
      </w:r>
      <w:r w:rsidR="00616C83" w:rsidRPr="00C0544C">
        <w:rPr>
          <w:rFonts w:ascii="Arial" w:eastAsia="Calibri" w:hAnsi="Arial" w:cs="Arial"/>
          <w:bCs/>
          <w:color w:val="000000" w:themeColor="text1"/>
          <w:sz w:val="22"/>
          <w:szCs w:val="22"/>
          <w:lang w:val="es-MX" w:eastAsia="en-US"/>
        </w:rPr>
        <w:t>se explica a continuación</w:t>
      </w:r>
      <w:r w:rsidR="000E0A73" w:rsidRPr="00C0544C">
        <w:rPr>
          <w:rFonts w:ascii="Arial" w:eastAsia="Calibri" w:hAnsi="Arial" w:cs="Arial"/>
          <w:bCs/>
          <w:color w:val="000000" w:themeColor="text1"/>
          <w:sz w:val="22"/>
          <w:szCs w:val="22"/>
          <w:lang w:val="es-MX" w:eastAsia="en-US"/>
        </w:rPr>
        <w:t xml:space="preserve"> y se complementa en lo pertinente</w:t>
      </w:r>
      <w:r w:rsidR="00616C83" w:rsidRPr="00C0544C">
        <w:rPr>
          <w:rFonts w:ascii="Arial" w:eastAsia="Calibri" w:hAnsi="Arial" w:cs="Arial"/>
          <w:bCs/>
          <w:color w:val="000000" w:themeColor="text1"/>
          <w:sz w:val="22"/>
          <w:szCs w:val="22"/>
          <w:lang w:val="es-MX" w:eastAsia="en-US"/>
        </w:rPr>
        <w:t xml:space="preserve">. </w:t>
      </w:r>
    </w:p>
    <w:p w14:paraId="169D5D59" w14:textId="49C0A6AB" w:rsidR="009C2086" w:rsidRPr="00C0544C" w:rsidRDefault="009C2086" w:rsidP="002376FD">
      <w:pPr>
        <w:spacing w:after="120" w:line="276" w:lineRule="auto"/>
        <w:ind w:firstLine="708"/>
        <w:jc w:val="both"/>
        <w:rPr>
          <w:rFonts w:ascii="Arial" w:eastAsia="Calibri" w:hAnsi="Arial" w:cs="Arial"/>
          <w:bCs/>
          <w:color w:val="000000" w:themeColor="text1"/>
          <w:sz w:val="22"/>
          <w:szCs w:val="22"/>
          <w:lang w:val="es-MX" w:eastAsia="en-US"/>
        </w:rPr>
      </w:pPr>
      <w:r w:rsidRPr="00C0544C">
        <w:rPr>
          <w:rFonts w:ascii="Arial" w:eastAsia="Calibri" w:hAnsi="Arial" w:cs="Arial"/>
          <w:bCs/>
          <w:color w:val="000000" w:themeColor="text1"/>
          <w:sz w:val="22"/>
          <w:szCs w:val="22"/>
          <w:lang w:val="es-MX" w:eastAsia="en-US"/>
        </w:rPr>
        <w:t xml:space="preserve">En efecto, en la sentencia citada, se dirimió un debate jurídico que existió entre </w:t>
      </w:r>
      <w:proofErr w:type="spellStart"/>
      <w:r w:rsidRPr="00C0544C">
        <w:rPr>
          <w:rFonts w:ascii="Arial" w:eastAsia="Calibri" w:hAnsi="Arial" w:cs="Arial"/>
          <w:bCs/>
          <w:color w:val="000000" w:themeColor="text1"/>
          <w:sz w:val="22"/>
          <w:szCs w:val="22"/>
          <w:lang w:val="es-MX" w:eastAsia="en-US"/>
        </w:rPr>
        <w:t>Transespeciales</w:t>
      </w:r>
      <w:proofErr w:type="spellEnd"/>
      <w:r w:rsidRPr="00C0544C">
        <w:rPr>
          <w:rFonts w:ascii="Arial" w:eastAsia="Calibri" w:hAnsi="Arial" w:cs="Arial"/>
          <w:bCs/>
          <w:color w:val="000000" w:themeColor="text1"/>
          <w:sz w:val="22"/>
          <w:szCs w:val="22"/>
          <w:lang w:val="es-MX" w:eastAsia="en-US"/>
        </w:rPr>
        <w:t xml:space="preserve"> El Samán S.A.S. –demandante–</w:t>
      </w:r>
      <w:r w:rsidR="00ED1D45" w:rsidRPr="00C0544C">
        <w:rPr>
          <w:rFonts w:ascii="Arial" w:eastAsia="Calibri" w:hAnsi="Arial" w:cs="Arial"/>
          <w:bCs/>
          <w:color w:val="000000" w:themeColor="text1"/>
          <w:sz w:val="22"/>
          <w:szCs w:val="22"/>
          <w:lang w:val="es-MX" w:eastAsia="en-US"/>
        </w:rPr>
        <w:t xml:space="preserve"> y el M</w:t>
      </w:r>
      <w:r w:rsidRPr="00C0544C">
        <w:rPr>
          <w:rFonts w:ascii="Arial" w:eastAsia="Calibri" w:hAnsi="Arial" w:cs="Arial"/>
          <w:bCs/>
          <w:color w:val="000000" w:themeColor="text1"/>
          <w:sz w:val="22"/>
          <w:szCs w:val="22"/>
          <w:lang w:val="es-MX" w:eastAsia="en-US"/>
        </w:rPr>
        <w:t xml:space="preserve">unicipio de Pereira –demandado–, cuyas pretensiones fueron, entre otras, declarar la nulidad de la resolución de adjudicación </w:t>
      </w:r>
      <w:r w:rsidRPr="00C0544C">
        <w:rPr>
          <w:rFonts w:ascii="Arial" w:eastAsia="Calibri" w:hAnsi="Arial" w:cs="Arial"/>
          <w:bCs/>
          <w:color w:val="000000" w:themeColor="text1"/>
          <w:sz w:val="22"/>
          <w:szCs w:val="22"/>
          <w:lang w:val="es-MX" w:eastAsia="en-US"/>
        </w:rPr>
        <w:lastRenderedPageBreak/>
        <w:t>de un proceso de selección adelantado por</w:t>
      </w:r>
      <w:r w:rsidR="00C66058" w:rsidRPr="00C0544C">
        <w:rPr>
          <w:rFonts w:ascii="Arial" w:eastAsia="Calibri" w:hAnsi="Arial" w:cs="Arial"/>
          <w:bCs/>
          <w:color w:val="000000" w:themeColor="text1"/>
          <w:sz w:val="22"/>
          <w:szCs w:val="22"/>
          <w:lang w:val="es-MX" w:eastAsia="en-US"/>
        </w:rPr>
        <w:t xml:space="preserve"> </w:t>
      </w:r>
      <w:r w:rsidR="00ED1D45" w:rsidRPr="00C0544C">
        <w:rPr>
          <w:rFonts w:ascii="Arial" w:eastAsia="Calibri" w:hAnsi="Arial" w:cs="Arial"/>
          <w:bCs/>
          <w:color w:val="000000" w:themeColor="text1"/>
          <w:sz w:val="22"/>
          <w:szCs w:val="22"/>
          <w:lang w:val="es-MX" w:eastAsia="en-US"/>
        </w:rPr>
        <w:t>el demandando</w:t>
      </w:r>
      <w:r w:rsidR="00C66058" w:rsidRPr="00C0544C">
        <w:rPr>
          <w:rFonts w:ascii="Arial" w:eastAsia="Calibri" w:hAnsi="Arial" w:cs="Arial"/>
          <w:bCs/>
          <w:color w:val="000000" w:themeColor="text1"/>
          <w:sz w:val="22"/>
          <w:szCs w:val="22"/>
          <w:lang w:val="es-MX" w:eastAsia="en-US"/>
        </w:rPr>
        <w:t>,</w:t>
      </w:r>
      <w:r w:rsidR="00ED1D45" w:rsidRPr="00C0544C">
        <w:rPr>
          <w:rFonts w:ascii="Arial" w:eastAsia="Calibri" w:hAnsi="Arial" w:cs="Arial"/>
          <w:bCs/>
          <w:color w:val="000000" w:themeColor="text1"/>
          <w:sz w:val="22"/>
          <w:szCs w:val="22"/>
          <w:lang w:val="es-MX" w:eastAsia="en-US"/>
        </w:rPr>
        <w:t xml:space="preserve"> en el cual</w:t>
      </w:r>
      <w:r w:rsidRPr="00C0544C">
        <w:rPr>
          <w:rFonts w:ascii="Arial" w:eastAsia="Calibri" w:hAnsi="Arial" w:cs="Arial"/>
          <w:bCs/>
          <w:color w:val="000000" w:themeColor="text1"/>
          <w:sz w:val="22"/>
          <w:szCs w:val="22"/>
          <w:lang w:val="es-MX" w:eastAsia="en-US"/>
        </w:rPr>
        <w:t xml:space="preserve"> el demandante tuvo la condición de oferente y el consecuente restablecimiento del derecho. El sustento fáctico de la pretensión referida fue que la entidad demandada solicitó al oferente Transportes Especiales del Otún S.A.S. subsanar un requisito habilitante que incidía en la comparación de las ofertas, de tal suerte que permitió que el oferente la mejorara, en lugar de proceder a su rechazo. La descripción del fundamento fáctico que se tuvo en cuenta para adoptar la decisión respectiva, se cita a continuación, con el fin de identificar el alcance y contexto de la decisión:</w:t>
      </w:r>
    </w:p>
    <w:p w14:paraId="2E12CDCA" w14:textId="77777777" w:rsidR="009C2086" w:rsidRPr="00C0544C" w:rsidRDefault="009C2086" w:rsidP="009C2086">
      <w:pPr>
        <w:spacing w:line="276" w:lineRule="auto"/>
        <w:ind w:right="51" w:firstLine="709"/>
        <w:jc w:val="both"/>
        <w:rPr>
          <w:rFonts w:ascii="Arial" w:eastAsia="Calibri" w:hAnsi="Arial" w:cs="Arial"/>
          <w:bCs/>
          <w:color w:val="000000" w:themeColor="text1"/>
          <w:sz w:val="22"/>
          <w:szCs w:val="22"/>
          <w:lang w:val="es-MX" w:eastAsia="en-US"/>
        </w:rPr>
      </w:pPr>
    </w:p>
    <w:p w14:paraId="226D898A" w14:textId="751AB3B9"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el recurrente afirmó que dentro del proceso de licitación resultaba procedente que el comité evaluador solicitara al oferente Transportes Especiales del Otún S.A.S que subsanara su propuesta en el sentido de adicionar las tarjetas de operación, toda vez que dicho aspecto no incidió en la comparación de las ofertas, pues</w:t>
      </w:r>
      <w:r w:rsidR="00ED1D45" w:rsidRPr="00C0544C">
        <w:rPr>
          <w:rFonts w:ascii="Arial" w:eastAsia="Calibri" w:hAnsi="Arial" w:cs="Arial"/>
          <w:bCs/>
          <w:color w:val="000000" w:themeColor="text1"/>
          <w:sz w:val="21"/>
          <w:szCs w:val="21"/>
          <w:lang w:val="es-MX" w:eastAsia="en-US"/>
        </w:rPr>
        <w:t xml:space="preserve"> no se le</w:t>
      </w:r>
      <w:r w:rsidR="00616C83" w:rsidRPr="00C0544C">
        <w:rPr>
          <w:rFonts w:ascii="Arial" w:eastAsia="Calibri" w:hAnsi="Arial" w:cs="Arial"/>
          <w:bCs/>
          <w:color w:val="000000" w:themeColor="text1"/>
          <w:sz w:val="21"/>
          <w:szCs w:val="21"/>
          <w:lang w:val="es-MX" w:eastAsia="en-US"/>
        </w:rPr>
        <w:t xml:space="preserve"> </w:t>
      </w:r>
      <w:r w:rsidRPr="00C0544C">
        <w:rPr>
          <w:rFonts w:ascii="Arial" w:eastAsia="Calibri" w:hAnsi="Arial" w:cs="Arial"/>
          <w:bCs/>
          <w:color w:val="000000" w:themeColor="text1"/>
          <w:sz w:val="21"/>
          <w:szCs w:val="21"/>
          <w:lang w:val="es-MX" w:eastAsia="en-US"/>
        </w:rPr>
        <w:t xml:space="preserve">asignó puntaje alguno. </w:t>
      </w:r>
    </w:p>
    <w:p w14:paraId="5F422DBA"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08E11410"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 Por tanto, de cara a los argumentos del recurso de alzada, la Sala analizará si el requisito habilitante correspondiente a las tarjetas de operación de los vehículos que cubrirían las rutas afectaba la asignación de puntaje no podía subsanarse y si, en consecuencia, la licitación pública debió adjudicársele a la empresa </w:t>
      </w:r>
      <w:proofErr w:type="spellStart"/>
      <w:r w:rsidRPr="00C0544C">
        <w:rPr>
          <w:rFonts w:ascii="Arial" w:eastAsia="Calibri" w:hAnsi="Arial" w:cs="Arial"/>
          <w:bCs/>
          <w:color w:val="000000" w:themeColor="text1"/>
          <w:sz w:val="21"/>
          <w:szCs w:val="21"/>
          <w:lang w:val="es-MX" w:eastAsia="en-US"/>
        </w:rPr>
        <w:t>Trans</w:t>
      </w:r>
      <w:proofErr w:type="spellEnd"/>
      <w:r w:rsidRPr="00C0544C">
        <w:rPr>
          <w:rFonts w:ascii="Arial" w:eastAsia="Calibri" w:hAnsi="Arial" w:cs="Arial"/>
          <w:bCs/>
          <w:color w:val="000000" w:themeColor="text1"/>
          <w:sz w:val="21"/>
          <w:szCs w:val="21"/>
          <w:lang w:val="es-MX" w:eastAsia="en-US"/>
        </w:rPr>
        <w:t xml:space="preserve"> Especiales el Samán S.A.S. y si esta tiene derecho a la utilidad dejada de percibir.</w:t>
      </w:r>
    </w:p>
    <w:p w14:paraId="3DCB54F9"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3C879FE9"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De conformidad con lo consignado en el pliego, […] (numerales 2.1. y 2.1.1.), se determinó que el transporte especial escolar rural debería prestarse a 3169 estudiantes de la zona rural en las rutas especificadas. En lo que corresponde a la evaluación de las propuestas, en el numeral 4.3.10. del pliego se establecieron los documentos esenciales y los requisitos mínimos de participación, dentro de los cuales se incluyó la presentación de la fotocopia de la tarjeta de operación de los vehículos relacionados para cubrir las rutas.</w:t>
      </w:r>
      <w:r w:rsidRPr="00C0544C">
        <w:rPr>
          <w:rFonts w:ascii="Arial" w:eastAsia="Calibri" w:hAnsi="Arial" w:cs="Arial"/>
          <w:color w:val="000000" w:themeColor="text1"/>
          <w:sz w:val="21"/>
          <w:szCs w:val="21"/>
          <w:lang w:val="es-MX"/>
        </w:rPr>
        <w:t xml:space="preserve"> </w:t>
      </w:r>
      <w:r w:rsidRPr="00C0544C">
        <w:rPr>
          <w:rFonts w:ascii="Arial" w:eastAsia="Calibri" w:hAnsi="Arial" w:cs="Arial"/>
          <w:bCs/>
          <w:color w:val="000000" w:themeColor="text1"/>
          <w:sz w:val="21"/>
          <w:szCs w:val="21"/>
          <w:lang w:val="es-MX" w:eastAsia="en-US"/>
        </w:rPr>
        <w:t xml:space="preserve"> Por demás, expresamente se consignó que los requisitos habilitantes podían subsanarse siempre y cuando no fueran esenciales para la evaluación.</w:t>
      </w:r>
      <w:r w:rsidRPr="00C0544C">
        <w:rPr>
          <w:rFonts w:ascii="Arial" w:eastAsia="Calibri" w:hAnsi="Arial" w:cs="Arial"/>
          <w:color w:val="000000" w:themeColor="text1"/>
          <w:sz w:val="21"/>
          <w:szCs w:val="21"/>
          <w:lang w:val="es-MX"/>
        </w:rPr>
        <w:t xml:space="preserve"> </w:t>
      </w:r>
      <w:r w:rsidRPr="00C0544C">
        <w:rPr>
          <w:rFonts w:ascii="Arial" w:eastAsia="Calibri" w:hAnsi="Arial" w:cs="Arial"/>
          <w:bCs/>
          <w:color w:val="000000" w:themeColor="text1"/>
          <w:sz w:val="21"/>
          <w:szCs w:val="21"/>
          <w:lang w:val="es-MX" w:eastAsia="en-US"/>
        </w:rPr>
        <w:t>A este efecto se plasmó lo siguiente:</w:t>
      </w:r>
    </w:p>
    <w:p w14:paraId="3A0E841D"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59EF178A"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4.3.10 CIERRE DEL PROCESO Y APERTURA DE PROPUESTAS […] </w:t>
      </w:r>
      <w:r w:rsidRPr="00C0544C">
        <w:rPr>
          <w:rFonts w:ascii="Segoe UI Symbol" w:eastAsia="Calibri" w:hAnsi="Segoe UI Symbol" w:cs="Segoe UI Symbol"/>
          <w:bCs/>
          <w:color w:val="000000" w:themeColor="text1"/>
          <w:sz w:val="21"/>
          <w:szCs w:val="21"/>
          <w:lang w:val="es-MX" w:eastAsia="en-US"/>
        </w:rPr>
        <w:t>➢</w:t>
      </w:r>
      <w:r w:rsidRPr="00C0544C">
        <w:rPr>
          <w:rFonts w:ascii="Arial" w:eastAsia="Calibri" w:hAnsi="Arial" w:cs="Arial"/>
          <w:bCs/>
          <w:color w:val="000000" w:themeColor="text1"/>
          <w:sz w:val="21"/>
          <w:szCs w:val="21"/>
          <w:lang w:val="es-MX" w:eastAsia="en-US"/>
        </w:rPr>
        <w:t xml:space="preserve"> REVISIÓN DE DOCUMENTOS ESENCIALES: […] El Comité Evaluador podrá solicitar a los proponentes las aclaraciones que considere convenientes, actuación que no contraviene a las demás disposiciones señaladas en este pliego de condiciones generales, de acuerdo al siguiente procedimiento: </w:t>
      </w:r>
    </w:p>
    <w:p w14:paraId="4466DC27"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3918A7E6"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[…]REVISIÓN DE DOCUMENTOS HABILITANTES […] el municipio de Pereira, requiere que los proponentes presenten al momento del cierre los documentos que sirvan para verificar la capacidad jurídica, las condiciones de experiencia, capacidad financiera y de organización, los cuales serán objeto de verificación de cumplimiento como requisitos habilitantes para la participación en el presente proceso de selección y no otorgarán puntaje, así:</w:t>
      </w:r>
    </w:p>
    <w:p w14:paraId="01EDF355"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209CB004"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lastRenderedPageBreak/>
        <w:t>[…]m) Fotocopia de la Tarjeta de Operación de cada uno de los vehículos relacionados para cubrir las rutas.</w:t>
      </w:r>
    </w:p>
    <w:p w14:paraId="36193C68"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012F400C"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NOTAS: […] Nota 2: La propuesta que incumpla con alguno o algunos de estos documentos y que no se consideren esenciales para la evaluación, podrán ser solicitados por el MUNICIPIO DE PEREIRA, en condiciones de igualdad para todos los proponentes hasta la adjudicación”. </w:t>
      </w:r>
    </w:p>
    <w:p w14:paraId="0CB8ACCF"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23CA2744"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En lo que corresponde a la evaluación de las propuestas […] se dispuso que aquellas se evaluarían de la siguiente manera: “4.3.11 EVALUACIÓN DE LAS PROPUESTAS: </w:t>
      </w:r>
    </w:p>
    <w:p w14:paraId="1D51252C"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4D0BD36D"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 REVISIÓN DE LOS REQUISITOS MÍNIMOS DE PARTICIPACIÓN: Se revisará a cada una de las propuestas todos los requisitos exigidos en el pliego de condiciones </w:t>
      </w:r>
    </w:p>
    <w:p w14:paraId="59BAD4E6"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 REVISIÓN DE LA PROPUESTA TÉCNICA Y ECONÓMICA: Se realizará la revisión de la propuesta técnica y económica, con el fin de verificar el cumplimiento de los requerimientos de la Entidad. </w:t>
      </w:r>
    </w:p>
    <w:p w14:paraId="6F866B0C"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 APLICACIÓN DE LOS CRITERIOS DE EVALUACIÓN: A las propuestas hábiles, es decir, aquellas que cumplan con los requisitos esenciales de participación se les aplicarán los criterios de evaluación previstos en el presente pliego de condiciones, para obtener el orden de elegibilidad correspondiente. </w:t>
      </w:r>
    </w:p>
    <w:p w14:paraId="12C58FFE"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4031B4A7"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[…]En cuanto a la evaluación de las ofertas, en el numeral 4.5. del pliego se establecieron como criterios para proceder en tal sentido: la calidad, el precio y el incentivo a la industria nacional, a saber: “[…] 4.5.1.1 CALIDAD DEL SERVICIO: CINCUENTA PUNTOS Este ítem se calificará en razón a los siguientes factores: […]PROPONENTE QUE PRESENTE PORCENTAJE DE PARQUE AUTOMOTOR QUE PRESTE EL SERVICIO ASIGNADO A LAS RUTAS CON MODELOS DEL AÑO 2008 EN ADELANTE, ASÍ </w:t>
      </w:r>
    </w:p>
    <w:p w14:paraId="4DEC390B"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7A5534AF"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[…]7.1.3. El 13 de diciembre de 2016, el comité evaluador dio a conocer el informe de evaluación en el que solicitó al oferente Transportes Especiales del Otún S.A.S. subsanar su propuesta, en el sentido de allegar tarjetas de operación adicionales a las presentadas al cierre del proceso, con el fin de cubrir la totalidad de los cupos requeridos -3169- de cara a la necesidad a contratar, pues, según indicó, con aquellas que fueron aportadas con la oferta tan solo reunía 2920 cupos, a propósito de lo cual recalcó que la subsanación del requisito se tendría en cuenta únicamente para la habilitación del oferente y no se tendrían en cuenta para la asignación de puntaje.</w:t>
      </w:r>
    </w:p>
    <w:p w14:paraId="31D307AD"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07DA331F"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[…]El oferente </w:t>
      </w:r>
      <w:proofErr w:type="spellStart"/>
      <w:r w:rsidRPr="00C0544C">
        <w:rPr>
          <w:rFonts w:ascii="Arial" w:eastAsia="Calibri" w:hAnsi="Arial" w:cs="Arial"/>
          <w:bCs/>
          <w:color w:val="000000" w:themeColor="text1"/>
          <w:sz w:val="21"/>
          <w:szCs w:val="21"/>
          <w:lang w:val="es-MX" w:eastAsia="en-US"/>
        </w:rPr>
        <w:t>Trans</w:t>
      </w:r>
      <w:proofErr w:type="spellEnd"/>
      <w:r w:rsidRPr="00C0544C">
        <w:rPr>
          <w:rFonts w:ascii="Arial" w:eastAsia="Calibri" w:hAnsi="Arial" w:cs="Arial"/>
          <w:bCs/>
          <w:color w:val="000000" w:themeColor="text1"/>
          <w:sz w:val="21"/>
          <w:szCs w:val="21"/>
          <w:lang w:val="es-MX" w:eastAsia="en-US"/>
        </w:rPr>
        <w:t xml:space="preserve"> Especiales el Samán S.A.S. presentó observaciones al informe de evaluación, manifestando que la adición de las tarjetas de operación afectaba la comparación de las propuestas, razón por la cual dicho requisito no era subsanable.</w:t>
      </w:r>
    </w:p>
    <w:p w14:paraId="58E7D360"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50A4DCAC"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[…]7.1.5. Sin fecha determinada, el municipio de Pereira respondió las observaciones presentadas por el oferente </w:t>
      </w:r>
      <w:proofErr w:type="spellStart"/>
      <w:r w:rsidRPr="00C0544C">
        <w:rPr>
          <w:rFonts w:ascii="Arial" w:eastAsia="Calibri" w:hAnsi="Arial" w:cs="Arial"/>
          <w:bCs/>
          <w:color w:val="000000" w:themeColor="text1"/>
          <w:sz w:val="21"/>
          <w:szCs w:val="21"/>
          <w:lang w:val="es-MX" w:eastAsia="en-US"/>
        </w:rPr>
        <w:t>Trans</w:t>
      </w:r>
      <w:proofErr w:type="spellEnd"/>
      <w:r w:rsidRPr="00C0544C">
        <w:rPr>
          <w:rFonts w:ascii="Arial" w:eastAsia="Calibri" w:hAnsi="Arial" w:cs="Arial"/>
          <w:bCs/>
          <w:color w:val="000000" w:themeColor="text1"/>
          <w:sz w:val="21"/>
          <w:szCs w:val="21"/>
          <w:lang w:val="es-MX" w:eastAsia="en-US"/>
        </w:rPr>
        <w:t xml:space="preserve"> Especiales el Samán S.A.S., </w:t>
      </w:r>
      <w:r w:rsidRPr="00C0544C">
        <w:rPr>
          <w:rFonts w:ascii="Arial" w:eastAsia="Calibri" w:hAnsi="Arial" w:cs="Arial"/>
          <w:bCs/>
          <w:color w:val="000000" w:themeColor="text1"/>
          <w:sz w:val="21"/>
          <w:szCs w:val="21"/>
          <w:lang w:val="es-MX" w:eastAsia="en-US"/>
        </w:rPr>
        <w:lastRenderedPageBreak/>
        <w:t>precisando que las tarjetas de operación solamente se tendrían en cuenta para la habilitación del oferente Transportes Especiales del Otún S.A.S. y no para la asignación de puntaje, razón por la cual era procedente subsanar este requisito.</w:t>
      </w:r>
    </w:p>
    <w:p w14:paraId="5FB2814F" w14:textId="77777777" w:rsidR="009C2086" w:rsidRPr="00C0544C" w:rsidRDefault="009C2086" w:rsidP="009C2086">
      <w:pPr>
        <w:tabs>
          <w:tab w:val="left" w:pos="0"/>
          <w:tab w:val="left" w:pos="8577"/>
        </w:tabs>
        <w:spacing w:line="276" w:lineRule="auto"/>
        <w:jc w:val="both"/>
        <w:rPr>
          <w:rFonts w:ascii="Arial" w:hAnsi="Arial" w:cs="Arial"/>
          <w:color w:val="000000" w:themeColor="text1"/>
          <w:shd w:val="clear" w:color="auto" w:fill="FFFFFF"/>
          <w:lang w:eastAsia="es-ES"/>
        </w:rPr>
      </w:pPr>
    </w:p>
    <w:p w14:paraId="5E1790D5" w14:textId="3D5C8F3F" w:rsidR="009C2086" w:rsidRPr="00C0544C" w:rsidRDefault="009C2086" w:rsidP="009C2086">
      <w:pPr>
        <w:tabs>
          <w:tab w:val="left" w:pos="0"/>
          <w:tab w:val="left" w:pos="8577"/>
        </w:tabs>
        <w:spacing w:line="276" w:lineRule="auto"/>
        <w:ind w:firstLine="709"/>
        <w:jc w:val="both"/>
        <w:rPr>
          <w:rFonts w:ascii="Arial" w:hAnsi="Arial" w:cs="Arial"/>
          <w:color w:val="000000" w:themeColor="text1"/>
          <w:sz w:val="22"/>
          <w:szCs w:val="22"/>
          <w:shd w:val="clear" w:color="auto" w:fill="FFFFFF"/>
          <w:lang w:val="es-MX" w:eastAsia="es-ES"/>
        </w:rPr>
      </w:pPr>
      <w:r w:rsidRPr="00C0544C">
        <w:rPr>
          <w:rFonts w:ascii="Arial" w:hAnsi="Arial" w:cs="Arial"/>
          <w:color w:val="000000" w:themeColor="text1"/>
          <w:sz w:val="22"/>
          <w:szCs w:val="22"/>
          <w:shd w:val="clear" w:color="auto" w:fill="FFFFFF"/>
          <w:lang w:val="es-MX" w:eastAsia="es-ES"/>
        </w:rPr>
        <w:t xml:space="preserve">Con base en el contexto fáctico citado con anterioridad y luego de realizar un recuento sobre la evolución normativa de la figura de la </w:t>
      </w:r>
      <w:proofErr w:type="spellStart"/>
      <w:r w:rsidRPr="00C0544C">
        <w:rPr>
          <w:rFonts w:ascii="Arial" w:hAnsi="Arial" w:cs="Arial"/>
          <w:color w:val="000000" w:themeColor="text1"/>
          <w:sz w:val="22"/>
          <w:szCs w:val="22"/>
          <w:shd w:val="clear" w:color="auto" w:fill="FFFFFF"/>
          <w:lang w:val="es-MX" w:eastAsia="es-ES"/>
        </w:rPr>
        <w:t>subsanabilidad</w:t>
      </w:r>
      <w:proofErr w:type="spellEnd"/>
      <w:r w:rsidRPr="00C0544C">
        <w:rPr>
          <w:rFonts w:ascii="Arial" w:hAnsi="Arial" w:cs="Arial"/>
          <w:color w:val="000000" w:themeColor="text1"/>
          <w:sz w:val="22"/>
          <w:szCs w:val="22"/>
          <w:shd w:val="clear" w:color="auto" w:fill="FFFFFF"/>
          <w:lang w:val="es-MX" w:eastAsia="es-ES"/>
        </w:rPr>
        <w:t>, la Subsección C de la Sección Tercera del Consejo de Estado resaltó que, conforme a la normativa vigente, los requisitos subsanables son todos aquellos que no afecten la asignación de puntaje y advirtió que, en cualquier caso, no se pueden subsanar circunstancias ocurridas con posterioridad al cierre del proceso. Hecha esta precisión y con fundamento en lo previsto en el pli</w:t>
      </w:r>
      <w:r w:rsidR="00C75F86" w:rsidRPr="00C0544C">
        <w:rPr>
          <w:rFonts w:ascii="Arial" w:hAnsi="Arial" w:cs="Arial"/>
          <w:color w:val="000000" w:themeColor="text1"/>
          <w:sz w:val="22"/>
          <w:szCs w:val="22"/>
          <w:shd w:val="clear" w:color="auto" w:fill="FFFFFF"/>
          <w:lang w:val="es-MX" w:eastAsia="es-ES"/>
        </w:rPr>
        <w:t>ego de condiciones, concluyó</w:t>
      </w:r>
      <w:r w:rsidRPr="00C0544C">
        <w:rPr>
          <w:rFonts w:ascii="Arial" w:hAnsi="Arial" w:cs="Arial"/>
          <w:color w:val="000000" w:themeColor="text1"/>
          <w:sz w:val="22"/>
          <w:szCs w:val="22"/>
          <w:shd w:val="clear" w:color="auto" w:fill="FFFFFF"/>
          <w:lang w:val="es-MX" w:eastAsia="es-ES"/>
        </w:rPr>
        <w:t xml:space="preserve">: </w:t>
      </w:r>
    </w:p>
    <w:p w14:paraId="491C331D" w14:textId="77777777" w:rsidR="009C2086" w:rsidRPr="00C0544C" w:rsidRDefault="009C2086" w:rsidP="009C2086">
      <w:pPr>
        <w:tabs>
          <w:tab w:val="left" w:pos="0"/>
          <w:tab w:val="left" w:pos="8577"/>
        </w:tabs>
        <w:spacing w:line="276" w:lineRule="auto"/>
        <w:ind w:firstLine="709"/>
        <w:jc w:val="both"/>
        <w:rPr>
          <w:rFonts w:ascii="Arial" w:hAnsi="Arial" w:cs="Arial"/>
          <w:color w:val="000000" w:themeColor="text1"/>
          <w:sz w:val="22"/>
          <w:szCs w:val="22"/>
          <w:shd w:val="clear" w:color="auto" w:fill="FFFFFF"/>
          <w:lang w:val="es-MX" w:eastAsia="es-ES"/>
        </w:rPr>
      </w:pPr>
    </w:p>
    <w:p w14:paraId="59E1C36A"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la Sala estima que en el asunto sometido a juicio no resultaba procedente que la entidad pública demandada solicitara al oferente Transportes Especiales del Otún S.A.S. que subsanara su propuesta adicionando las tarjetas de operación de los vehículos con los que cubriría las rutas previamente determinadas en el pliego de condiciones, puesto que dicho requisito, en los términos estrictamente establecidos en el pliego de condiciones, afectaba la asignación de puntaje, razón por la cual su propuesta debió rechazarse</w:t>
      </w:r>
    </w:p>
    <w:p w14:paraId="45129838"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75666698"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[…]En suma, el pliego de condiciones, la propuesta y el contrato suscrito deben ser interpretados armónica e integralmente, con prevalencia obligatoria del pliego, que constituye la fuente principal de los derechos y obligaciones de las partes y la base para interpretación e integración del contrato, a propósito de lo cual en el asunto que ocupa la atención de la Sala resulta forzoso concluir que la entidad pública demandada no podía solicitar que fueran subsanados requisitos habilitantes que, según las reglas contenidas en el pliego, incidieran en la asignación de puntaje, como en efecto ocurrió con la adición de tarjetas de operación.</w:t>
      </w:r>
    </w:p>
    <w:p w14:paraId="747AD5A5"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276301AC"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De hecho, en el pliego de condiciones de la licitación pública quedó establecido que la propuesta que incumpliera con alguno de los requisitos habilitantes, como en efecto lo eran las fotocopias de las tarjetas de operación de los vehículos, podría ser subsanada, siempre y cuando dichos requisitos no fueran esenciales para la evaluación (nota 2, numeral 4.3.10 del pliego).</w:t>
      </w:r>
    </w:p>
    <w:p w14:paraId="1C43D829"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p>
    <w:p w14:paraId="71C86AF8" w14:textId="77777777" w:rsidR="009C2086" w:rsidRPr="00C0544C" w:rsidRDefault="009C2086" w:rsidP="009C2086">
      <w:pPr>
        <w:ind w:left="709" w:right="709"/>
        <w:jc w:val="both"/>
        <w:rPr>
          <w:rFonts w:ascii="Arial" w:eastAsia="Calibri" w:hAnsi="Arial" w:cs="Arial"/>
          <w:bCs/>
          <w:color w:val="000000" w:themeColor="text1"/>
          <w:sz w:val="21"/>
          <w:szCs w:val="21"/>
          <w:lang w:val="es-MX" w:eastAsia="en-US"/>
        </w:rPr>
      </w:pPr>
      <w:r w:rsidRPr="00C0544C">
        <w:rPr>
          <w:rFonts w:ascii="Arial" w:eastAsia="Calibri" w:hAnsi="Arial" w:cs="Arial"/>
          <w:bCs/>
          <w:color w:val="000000" w:themeColor="text1"/>
          <w:sz w:val="21"/>
          <w:szCs w:val="21"/>
          <w:lang w:val="es-MX" w:eastAsia="en-US"/>
        </w:rPr>
        <w:t xml:space="preserve">Ahora, la Sala no pasa por alto que en el caso concreto el comité de evaluación de la entidad demandada expresamente manifestó que el requisito a subsanar, es decir, la adición de las tarjetas de operación, únicamente lo tendría en cuenta como criterio para la habilitación del proponente y no para su evaluación. A este efecto, se considera que el comité evaluador del municipio de Pereira modificó las reglas del proceso de selección y creó en el curso del proceso contractual un nuevo criterio para calificar las propuestas, consistente en permitir que un requisito esencial para la evaluación del factor calidad fuese subsanado al entender que este era de aquellos meramente habilitantes como es el número mínimo de cupos garantizados para atender el servicio de transporte a contratar, </w:t>
      </w:r>
      <w:r w:rsidRPr="00C0544C">
        <w:rPr>
          <w:rFonts w:ascii="Arial" w:eastAsia="Calibri" w:hAnsi="Arial" w:cs="Arial"/>
          <w:bCs/>
          <w:color w:val="000000" w:themeColor="text1"/>
          <w:sz w:val="21"/>
          <w:szCs w:val="21"/>
          <w:lang w:val="es-MX" w:eastAsia="en-US"/>
        </w:rPr>
        <w:lastRenderedPageBreak/>
        <w:t>cuando lo cierto es que de cara al pliego, se trata de aquellos requisitos que incidían en la calificación por cuanto el número de vehículos con que se debía completar el número de cupos mínimo para surtir el objeto contractual tenía incidencia directa en la calificación del factor de calidad, pues esta calificación estaba determinada por el número de vehículos de modelo posterior al año 2008 que porcentualmente participaran en el total de vehículos ofertados. Luego es claro que este factor es de aquellos que no podía ser subsanado, pues tenía incidencia en el puntaje y por ende al haberse permitido al oferente subsanarlo se vulneraron con ello las reglas contenidas en el pliego de condiciones.</w:t>
      </w:r>
    </w:p>
    <w:p w14:paraId="30BC9046" w14:textId="77777777" w:rsidR="009C2086" w:rsidRPr="00C0544C" w:rsidRDefault="009C2086" w:rsidP="009C2086">
      <w:pPr>
        <w:tabs>
          <w:tab w:val="left" w:pos="0"/>
          <w:tab w:val="left" w:pos="8577"/>
        </w:tabs>
        <w:spacing w:line="276" w:lineRule="auto"/>
        <w:jc w:val="both"/>
        <w:rPr>
          <w:rFonts w:ascii="Arial" w:hAnsi="Arial" w:cs="Arial"/>
          <w:color w:val="000000" w:themeColor="text1"/>
          <w:shd w:val="clear" w:color="auto" w:fill="FFFFFF"/>
          <w:lang w:val="es-MX" w:eastAsia="es-ES"/>
        </w:rPr>
      </w:pPr>
    </w:p>
    <w:p w14:paraId="53041D4F" w14:textId="7DD1DC6E" w:rsidR="009C2086" w:rsidRPr="00C0544C" w:rsidRDefault="009C2086" w:rsidP="002376FD">
      <w:pPr>
        <w:spacing w:after="120" w:line="276" w:lineRule="auto"/>
        <w:ind w:firstLine="709"/>
        <w:jc w:val="both"/>
        <w:rPr>
          <w:rFonts w:ascii="Arial" w:eastAsia="Calibri" w:hAnsi="Arial" w:cs="Arial"/>
          <w:color w:val="000000" w:themeColor="text1"/>
          <w:sz w:val="22"/>
          <w:szCs w:val="22"/>
          <w:lang w:val="es-MX"/>
        </w:rPr>
      </w:pPr>
      <w:r w:rsidRPr="00C0544C">
        <w:rPr>
          <w:rFonts w:ascii="Arial" w:hAnsi="Arial" w:cs="Arial"/>
          <w:color w:val="000000" w:themeColor="text1"/>
          <w:sz w:val="22"/>
          <w:szCs w:val="22"/>
          <w:shd w:val="clear" w:color="auto" w:fill="FFFFFF"/>
          <w:lang w:val="es-MX" w:eastAsia="es-ES"/>
        </w:rPr>
        <w:t>De lo expuesto, se evidencia que la razón para haber declarado la nulidad del acto de adjudicación obedeció a que el comité evaluador cambió las reglas consagradas en el pliego de condiciones</w:t>
      </w:r>
      <w:r w:rsidR="00C75F86" w:rsidRPr="00C0544C">
        <w:rPr>
          <w:rFonts w:ascii="Arial" w:hAnsi="Arial" w:cs="Arial"/>
          <w:color w:val="000000" w:themeColor="text1"/>
          <w:sz w:val="22"/>
          <w:szCs w:val="22"/>
          <w:shd w:val="clear" w:color="auto" w:fill="FFFFFF"/>
          <w:lang w:val="es-MX" w:eastAsia="es-ES"/>
        </w:rPr>
        <w:t>,</w:t>
      </w:r>
      <w:r w:rsidRPr="00C0544C">
        <w:rPr>
          <w:rFonts w:ascii="Arial" w:hAnsi="Arial" w:cs="Arial"/>
          <w:color w:val="000000" w:themeColor="text1"/>
          <w:sz w:val="22"/>
          <w:szCs w:val="22"/>
          <w:shd w:val="clear" w:color="auto" w:fill="FFFFFF"/>
          <w:lang w:val="es-MX" w:eastAsia="es-ES"/>
        </w:rPr>
        <w:t xml:space="preserve"> las cuales no </w:t>
      </w:r>
      <w:r w:rsidR="00C75F86" w:rsidRPr="00C0544C">
        <w:rPr>
          <w:rFonts w:ascii="Arial" w:hAnsi="Arial" w:cs="Arial"/>
          <w:color w:val="000000" w:themeColor="text1"/>
          <w:sz w:val="22"/>
          <w:szCs w:val="22"/>
          <w:shd w:val="clear" w:color="auto" w:fill="FFFFFF"/>
          <w:lang w:val="es-MX" w:eastAsia="es-ES"/>
        </w:rPr>
        <w:t>permitían</w:t>
      </w:r>
      <w:r w:rsidRPr="00C0544C">
        <w:rPr>
          <w:rFonts w:ascii="Arial" w:hAnsi="Arial" w:cs="Arial"/>
          <w:color w:val="000000" w:themeColor="text1"/>
          <w:sz w:val="22"/>
          <w:szCs w:val="22"/>
          <w:shd w:val="clear" w:color="auto" w:fill="FFFFFF"/>
          <w:lang w:val="es-MX" w:eastAsia="es-ES"/>
        </w:rPr>
        <w:t xml:space="preserve"> la subsanación de requisitos habilitantes, cuando los documentos respectivos también pudieran incidir en la asignación de puntaje. Aunado a lo anterior, en la misma sentencia se advierte que </w:t>
      </w:r>
      <w:r w:rsidR="00C75F86" w:rsidRPr="00C0544C">
        <w:rPr>
          <w:rFonts w:ascii="Arial" w:hAnsi="Arial" w:cs="Arial"/>
          <w:bCs/>
          <w:color w:val="000000" w:themeColor="text1"/>
          <w:sz w:val="22"/>
          <w:szCs w:val="22"/>
          <w:shd w:val="clear" w:color="auto" w:fill="FFFFFF"/>
          <w:lang w:val="es-MX" w:eastAsia="es-ES"/>
        </w:rPr>
        <w:t>«</w:t>
      </w:r>
      <w:r w:rsidRPr="00C0544C">
        <w:rPr>
          <w:rFonts w:ascii="Arial" w:eastAsia="Calibri" w:hAnsi="Arial" w:cs="Arial"/>
          <w:color w:val="000000" w:themeColor="text1"/>
          <w:sz w:val="22"/>
          <w:szCs w:val="22"/>
          <w:lang w:val="es-MX"/>
        </w:rPr>
        <w:t xml:space="preserve">al </w:t>
      </w:r>
      <w:proofErr w:type="spellStart"/>
      <w:r w:rsidRPr="00C0544C">
        <w:rPr>
          <w:rFonts w:ascii="Arial" w:eastAsia="Calibri" w:hAnsi="Arial" w:cs="Arial"/>
          <w:color w:val="000000" w:themeColor="text1"/>
          <w:sz w:val="22"/>
          <w:szCs w:val="22"/>
          <w:lang w:val="es-MX"/>
        </w:rPr>
        <w:t>régimen</w:t>
      </w:r>
      <w:proofErr w:type="spellEnd"/>
      <w:r w:rsidRPr="00C0544C">
        <w:rPr>
          <w:rFonts w:ascii="Arial" w:eastAsia="Calibri" w:hAnsi="Arial" w:cs="Arial"/>
          <w:color w:val="000000" w:themeColor="text1"/>
          <w:sz w:val="22"/>
          <w:szCs w:val="22"/>
          <w:lang w:val="es-MX"/>
        </w:rPr>
        <w:t xml:space="preserve"> de </w:t>
      </w:r>
      <w:proofErr w:type="spellStart"/>
      <w:r w:rsidRPr="00C0544C">
        <w:rPr>
          <w:rFonts w:ascii="Arial" w:eastAsia="Calibri" w:hAnsi="Arial" w:cs="Arial"/>
          <w:color w:val="000000" w:themeColor="text1"/>
          <w:sz w:val="22"/>
          <w:szCs w:val="22"/>
          <w:lang w:val="es-MX"/>
        </w:rPr>
        <w:t>subsanabilidad</w:t>
      </w:r>
      <w:proofErr w:type="spellEnd"/>
      <w:r w:rsidRPr="00C0544C">
        <w:rPr>
          <w:rFonts w:ascii="Arial" w:eastAsia="Calibri" w:hAnsi="Arial" w:cs="Arial"/>
          <w:color w:val="000000" w:themeColor="text1"/>
          <w:sz w:val="22"/>
          <w:szCs w:val="22"/>
          <w:lang w:val="es-MX"/>
        </w:rPr>
        <w:t xml:space="preserve"> de las ofertas, </w:t>
      </w:r>
      <w:proofErr w:type="spellStart"/>
      <w:r w:rsidRPr="00C0544C">
        <w:rPr>
          <w:rFonts w:ascii="Arial" w:eastAsia="Calibri" w:hAnsi="Arial" w:cs="Arial"/>
          <w:color w:val="000000" w:themeColor="text1"/>
          <w:sz w:val="22"/>
          <w:szCs w:val="22"/>
          <w:lang w:val="es-MX"/>
        </w:rPr>
        <w:t>correspondera</w:t>
      </w:r>
      <w:proofErr w:type="spellEnd"/>
      <w:r w:rsidRPr="00C0544C">
        <w:rPr>
          <w:rFonts w:ascii="Arial" w:eastAsia="Calibri" w:hAnsi="Arial" w:cs="Arial"/>
          <w:color w:val="000000" w:themeColor="text1"/>
          <w:sz w:val="22"/>
          <w:szCs w:val="22"/>
          <w:lang w:val="es-MX"/>
        </w:rPr>
        <w:t xml:space="preserve">́ al juez del contrato, en cada caso, determinar la normativa aplicable, con el fin de establecer el alcance y las condiciones en las que procede </w:t>
      </w:r>
      <w:r w:rsidR="00C75F86" w:rsidRPr="00C0544C">
        <w:rPr>
          <w:rFonts w:ascii="Arial" w:eastAsia="Calibri" w:hAnsi="Arial" w:cs="Arial"/>
          <w:color w:val="000000" w:themeColor="text1"/>
          <w:sz w:val="22"/>
          <w:szCs w:val="22"/>
          <w:lang w:val="es-MX"/>
        </w:rPr>
        <w:t xml:space="preserve">la </w:t>
      </w:r>
      <w:proofErr w:type="spellStart"/>
      <w:r w:rsidR="00C75F86" w:rsidRPr="00C0544C">
        <w:rPr>
          <w:rFonts w:ascii="Arial" w:eastAsia="Calibri" w:hAnsi="Arial" w:cs="Arial"/>
          <w:color w:val="000000" w:themeColor="text1"/>
          <w:sz w:val="22"/>
          <w:szCs w:val="22"/>
          <w:lang w:val="es-MX"/>
        </w:rPr>
        <w:t>subsanación</w:t>
      </w:r>
      <w:proofErr w:type="spellEnd"/>
      <w:r w:rsidR="00C75F86" w:rsidRPr="00C0544C">
        <w:rPr>
          <w:rFonts w:ascii="Arial" w:eastAsia="Calibri" w:hAnsi="Arial" w:cs="Arial"/>
          <w:color w:val="000000" w:themeColor="text1"/>
          <w:sz w:val="22"/>
          <w:szCs w:val="22"/>
          <w:lang w:val="es-MX"/>
        </w:rPr>
        <w:t xml:space="preserve"> de las ofertas</w:t>
      </w:r>
      <w:r w:rsidR="00C75F86" w:rsidRPr="00C0544C">
        <w:rPr>
          <w:rFonts w:ascii="Arial" w:hAnsi="Arial" w:cs="Arial"/>
          <w:bCs/>
          <w:color w:val="000000" w:themeColor="text1"/>
          <w:sz w:val="22"/>
          <w:szCs w:val="22"/>
          <w:shd w:val="clear" w:color="auto" w:fill="FFFFFF"/>
          <w:lang w:val="es-MX" w:eastAsia="es-ES"/>
        </w:rPr>
        <w:t>»</w:t>
      </w:r>
      <w:r w:rsidR="00BC74E5" w:rsidRPr="00C0544C">
        <w:rPr>
          <w:rFonts w:ascii="Arial" w:eastAsia="Calibri" w:hAnsi="Arial" w:cs="Arial"/>
          <w:color w:val="000000" w:themeColor="text1"/>
          <w:sz w:val="22"/>
          <w:szCs w:val="22"/>
          <w:lang w:val="es-MX"/>
        </w:rPr>
        <w:t xml:space="preserve">. </w:t>
      </w:r>
      <w:r w:rsidRPr="00C0544C">
        <w:rPr>
          <w:rFonts w:ascii="Arial" w:hAnsi="Arial" w:cs="Arial"/>
          <w:bCs/>
          <w:color w:val="000000" w:themeColor="text1"/>
          <w:sz w:val="22"/>
          <w:szCs w:val="22"/>
          <w:shd w:val="clear" w:color="auto" w:fill="FFFFFF"/>
          <w:lang w:val="es-MX" w:eastAsia="es-ES"/>
        </w:rPr>
        <w:t>Por las anteriores razones, no existe una contradicción entre los planteamientos de la sentencia y las consideracion</w:t>
      </w:r>
      <w:r w:rsidR="00C75F86" w:rsidRPr="00C0544C">
        <w:rPr>
          <w:rFonts w:ascii="Arial" w:hAnsi="Arial" w:cs="Arial"/>
          <w:bCs/>
          <w:color w:val="000000" w:themeColor="text1"/>
          <w:sz w:val="22"/>
          <w:szCs w:val="22"/>
          <w:shd w:val="clear" w:color="auto" w:fill="FFFFFF"/>
          <w:lang w:val="es-MX" w:eastAsia="es-ES"/>
        </w:rPr>
        <w:t xml:space="preserve">es expresadas por esta Agencia en los diferentes conceptos. </w:t>
      </w:r>
    </w:p>
    <w:p w14:paraId="5FE53724" w14:textId="76AA8663" w:rsidR="009C2086" w:rsidRPr="00C0544C" w:rsidRDefault="009C2086" w:rsidP="002376FD">
      <w:pPr>
        <w:tabs>
          <w:tab w:val="left" w:pos="0"/>
          <w:tab w:val="left" w:pos="8577"/>
        </w:tabs>
        <w:spacing w:after="120" w:line="276" w:lineRule="auto"/>
        <w:ind w:firstLine="709"/>
        <w:jc w:val="both"/>
        <w:rPr>
          <w:rFonts w:ascii="Arial" w:hAnsi="Arial" w:cs="Arial"/>
          <w:bCs/>
          <w:color w:val="000000" w:themeColor="text1"/>
          <w:sz w:val="22"/>
          <w:szCs w:val="22"/>
          <w:shd w:val="clear" w:color="auto" w:fill="FFFFFF"/>
          <w:lang w:val="es-MX" w:eastAsia="es-ES"/>
        </w:rPr>
      </w:pPr>
      <w:r w:rsidRPr="00C0544C">
        <w:rPr>
          <w:rFonts w:ascii="Arial" w:hAnsi="Arial" w:cs="Arial"/>
          <w:bCs/>
          <w:color w:val="000000" w:themeColor="text1"/>
          <w:sz w:val="22"/>
          <w:szCs w:val="22"/>
          <w:shd w:val="clear" w:color="auto" w:fill="FFFFFF"/>
          <w:lang w:val="es-MX" w:eastAsia="es-ES"/>
        </w:rPr>
        <w:t xml:space="preserve">En cualquier caso, esta Subdirección considera pertinente resaltar que, con base en la normativa vigente, todos los requisitos de la propuesta que no afecten la asignación de puntaje deberán ser solicitados por las entidades estatales para permitir la subsanación de las ofertas, pues ese es el tenor literal del artículo 5 de la Ley 1150 de 2007, modificado por el artículo 5 de la Ley 1882 del 2018. </w:t>
      </w:r>
      <w:r w:rsidR="00C75F86" w:rsidRPr="00C0544C">
        <w:rPr>
          <w:rFonts w:ascii="Arial" w:hAnsi="Arial" w:cs="Arial"/>
          <w:bCs/>
          <w:color w:val="000000" w:themeColor="text1"/>
          <w:sz w:val="22"/>
          <w:szCs w:val="22"/>
          <w:shd w:val="clear" w:color="auto" w:fill="FFFFFF"/>
          <w:lang w:val="es-MX" w:eastAsia="es-ES"/>
        </w:rPr>
        <w:t xml:space="preserve">Esta posición </w:t>
      </w:r>
      <w:r w:rsidR="00464C33">
        <w:rPr>
          <w:rFonts w:ascii="Arial" w:hAnsi="Arial" w:cs="Arial"/>
          <w:bCs/>
          <w:color w:val="000000" w:themeColor="text1"/>
          <w:sz w:val="22"/>
          <w:szCs w:val="22"/>
          <w:shd w:val="clear" w:color="auto" w:fill="FFFFFF"/>
          <w:lang w:val="es-MX" w:eastAsia="es-ES"/>
        </w:rPr>
        <w:t>se realiza</w:t>
      </w:r>
      <w:r w:rsidR="00464C33" w:rsidRPr="00C0544C">
        <w:rPr>
          <w:rFonts w:ascii="Arial" w:hAnsi="Arial" w:cs="Arial"/>
          <w:bCs/>
          <w:color w:val="000000" w:themeColor="text1"/>
          <w:sz w:val="22"/>
          <w:szCs w:val="22"/>
          <w:shd w:val="clear" w:color="auto" w:fill="FFFFFF"/>
          <w:lang w:val="es-MX" w:eastAsia="es-ES"/>
        </w:rPr>
        <w:t xml:space="preserve"> </w:t>
      </w:r>
      <w:r w:rsidR="00C75F86" w:rsidRPr="00C0544C">
        <w:rPr>
          <w:rFonts w:ascii="Arial" w:hAnsi="Arial" w:cs="Arial"/>
          <w:bCs/>
          <w:color w:val="000000" w:themeColor="text1"/>
          <w:sz w:val="22"/>
          <w:szCs w:val="22"/>
          <w:shd w:val="clear" w:color="auto" w:fill="FFFFFF"/>
          <w:lang w:val="es-MX" w:eastAsia="es-ES"/>
        </w:rPr>
        <w:t xml:space="preserve">de conformidad </w:t>
      </w:r>
      <w:r w:rsidR="00464C33">
        <w:rPr>
          <w:rFonts w:ascii="Arial" w:hAnsi="Arial" w:cs="Arial"/>
          <w:bCs/>
          <w:color w:val="000000" w:themeColor="text1"/>
          <w:sz w:val="22"/>
          <w:szCs w:val="22"/>
          <w:shd w:val="clear" w:color="auto" w:fill="FFFFFF"/>
          <w:lang w:val="es-MX" w:eastAsia="es-ES"/>
        </w:rPr>
        <w:t>con</w:t>
      </w:r>
      <w:r w:rsidRPr="00C0544C">
        <w:rPr>
          <w:rFonts w:ascii="Arial" w:hAnsi="Arial" w:cs="Arial"/>
          <w:bCs/>
          <w:color w:val="000000" w:themeColor="text1"/>
          <w:sz w:val="22"/>
          <w:szCs w:val="22"/>
          <w:shd w:val="clear" w:color="auto" w:fill="FFFFFF"/>
          <w:lang w:val="es-MX" w:eastAsia="es-ES"/>
        </w:rPr>
        <w:t xml:space="preserve"> la voluntad expresa de</w:t>
      </w:r>
      <w:r w:rsidR="00464C33">
        <w:rPr>
          <w:rFonts w:ascii="Arial" w:hAnsi="Arial" w:cs="Arial"/>
          <w:bCs/>
          <w:color w:val="000000" w:themeColor="text1"/>
          <w:sz w:val="22"/>
          <w:szCs w:val="22"/>
          <w:shd w:val="clear" w:color="auto" w:fill="FFFFFF"/>
          <w:lang w:val="es-MX" w:eastAsia="es-ES"/>
        </w:rPr>
        <w:t>l</w:t>
      </w:r>
      <w:r w:rsidRPr="00C0544C">
        <w:rPr>
          <w:rFonts w:ascii="Arial" w:hAnsi="Arial" w:cs="Arial"/>
          <w:bCs/>
          <w:color w:val="000000" w:themeColor="text1"/>
          <w:sz w:val="22"/>
          <w:szCs w:val="22"/>
          <w:shd w:val="clear" w:color="auto" w:fill="FFFFFF"/>
          <w:lang w:val="es-MX" w:eastAsia="es-ES"/>
        </w:rPr>
        <w:t xml:space="preserve"> legislador y que, ante la claridad de la expresión «todos aquellos», incluida en dicha norma, le está vedado al operador jurídico hacer distinciones para excluir la aplicación de la </w:t>
      </w:r>
      <w:proofErr w:type="spellStart"/>
      <w:r w:rsidRPr="00C0544C">
        <w:rPr>
          <w:rFonts w:ascii="Arial" w:hAnsi="Arial" w:cs="Arial"/>
          <w:bCs/>
          <w:color w:val="000000" w:themeColor="text1"/>
          <w:sz w:val="22"/>
          <w:szCs w:val="22"/>
          <w:shd w:val="clear" w:color="auto" w:fill="FFFFFF"/>
          <w:lang w:val="es-MX" w:eastAsia="es-ES"/>
        </w:rPr>
        <w:t>subsanabilidad</w:t>
      </w:r>
      <w:proofErr w:type="spellEnd"/>
      <w:r w:rsidRPr="00C0544C">
        <w:rPr>
          <w:rFonts w:ascii="Arial" w:hAnsi="Arial" w:cs="Arial"/>
          <w:bCs/>
          <w:color w:val="000000" w:themeColor="text1"/>
          <w:sz w:val="22"/>
          <w:szCs w:val="22"/>
          <w:shd w:val="clear" w:color="auto" w:fill="FFFFFF"/>
          <w:lang w:val="es-MX" w:eastAsia="es-ES"/>
        </w:rPr>
        <w:t xml:space="preserve"> en casos distintos a los que la </w:t>
      </w:r>
      <w:r w:rsidR="002376FD" w:rsidRPr="00C0544C">
        <w:rPr>
          <w:rFonts w:ascii="Arial" w:hAnsi="Arial" w:cs="Arial"/>
          <w:bCs/>
          <w:color w:val="000000" w:themeColor="text1"/>
          <w:sz w:val="22"/>
          <w:szCs w:val="22"/>
          <w:shd w:val="clear" w:color="auto" w:fill="FFFFFF"/>
          <w:lang w:val="es-MX" w:eastAsia="es-ES"/>
        </w:rPr>
        <w:t>L</w:t>
      </w:r>
      <w:r w:rsidRPr="00C0544C">
        <w:rPr>
          <w:rFonts w:ascii="Arial" w:hAnsi="Arial" w:cs="Arial"/>
          <w:bCs/>
          <w:color w:val="000000" w:themeColor="text1"/>
          <w:sz w:val="22"/>
          <w:szCs w:val="22"/>
          <w:shd w:val="clear" w:color="auto" w:fill="FFFFFF"/>
          <w:lang w:val="es-MX" w:eastAsia="es-ES"/>
        </w:rPr>
        <w:t xml:space="preserve">ey prevé. </w:t>
      </w:r>
    </w:p>
    <w:p w14:paraId="778138F1" w14:textId="5EDA151F" w:rsidR="009C2086" w:rsidRPr="00C0544C" w:rsidRDefault="009C2086" w:rsidP="002376FD">
      <w:pPr>
        <w:tabs>
          <w:tab w:val="left" w:pos="0"/>
          <w:tab w:val="left" w:pos="8577"/>
        </w:tabs>
        <w:spacing w:after="120" w:line="276" w:lineRule="auto"/>
        <w:ind w:firstLine="709"/>
        <w:jc w:val="both"/>
        <w:rPr>
          <w:rFonts w:ascii="Arial" w:hAnsi="Arial" w:cs="Arial"/>
          <w:bCs/>
          <w:color w:val="000000" w:themeColor="text1"/>
          <w:sz w:val="22"/>
          <w:szCs w:val="22"/>
          <w:shd w:val="clear" w:color="auto" w:fill="FFFFFF"/>
          <w:lang w:val="es-MX" w:eastAsia="es-ES"/>
        </w:rPr>
      </w:pPr>
      <w:r w:rsidRPr="00C0544C">
        <w:rPr>
          <w:rFonts w:ascii="Arial" w:hAnsi="Arial" w:cs="Arial"/>
          <w:bCs/>
          <w:color w:val="000000" w:themeColor="text1"/>
          <w:sz w:val="22"/>
          <w:szCs w:val="22"/>
          <w:shd w:val="clear" w:color="auto" w:fill="FFFFFF"/>
          <w:lang w:val="es-MX" w:eastAsia="es-ES"/>
        </w:rPr>
        <w:t>Además de lo anterior, resulta importante destacar que la línea interpretativa que ha mantenido el  Consejo de Estado</w:t>
      </w:r>
      <w:r w:rsidRPr="00C0544C">
        <w:rPr>
          <w:rFonts w:ascii="Arial" w:hAnsi="Arial" w:cs="Arial"/>
          <w:bCs/>
          <w:color w:val="000000" w:themeColor="text1"/>
          <w:sz w:val="22"/>
          <w:szCs w:val="22"/>
          <w:shd w:val="clear" w:color="auto" w:fill="FFFFFF"/>
          <w:vertAlign w:val="superscript"/>
          <w:lang w:val="es-MX" w:eastAsia="es-ES"/>
        </w:rPr>
        <w:footnoteReference w:id="17"/>
      </w:r>
      <w:r w:rsidRPr="00C0544C">
        <w:rPr>
          <w:rFonts w:ascii="Arial" w:hAnsi="Arial" w:cs="Arial"/>
          <w:bCs/>
          <w:color w:val="000000" w:themeColor="text1"/>
          <w:sz w:val="22"/>
          <w:szCs w:val="22"/>
          <w:shd w:val="clear" w:color="auto" w:fill="FFFFFF"/>
          <w:lang w:val="es-MX" w:eastAsia="es-ES"/>
        </w:rPr>
        <w:t xml:space="preserve"> se dirige a comprender la figura de la </w:t>
      </w:r>
      <w:proofErr w:type="spellStart"/>
      <w:r w:rsidRPr="00C0544C">
        <w:rPr>
          <w:rFonts w:ascii="Arial" w:hAnsi="Arial" w:cs="Arial"/>
          <w:bCs/>
          <w:color w:val="000000" w:themeColor="text1"/>
          <w:sz w:val="22"/>
          <w:szCs w:val="22"/>
          <w:shd w:val="clear" w:color="auto" w:fill="FFFFFF"/>
          <w:lang w:val="es-MX" w:eastAsia="es-ES"/>
        </w:rPr>
        <w:t>subsanabilidad</w:t>
      </w:r>
      <w:proofErr w:type="spellEnd"/>
      <w:r w:rsidRPr="00C0544C">
        <w:rPr>
          <w:rFonts w:ascii="Arial" w:hAnsi="Arial" w:cs="Arial"/>
          <w:bCs/>
          <w:color w:val="000000" w:themeColor="text1"/>
          <w:sz w:val="22"/>
          <w:szCs w:val="22"/>
          <w:shd w:val="clear" w:color="auto" w:fill="FFFFFF"/>
          <w:lang w:val="es-MX" w:eastAsia="es-ES"/>
        </w:rPr>
        <w:t xml:space="preserve"> de las ofertas –con el alcance que se haya definido en las normas vigentes en un momento </w:t>
      </w:r>
      <w:r w:rsidRPr="00C0544C">
        <w:rPr>
          <w:rFonts w:ascii="Arial" w:hAnsi="Arial" w:cs="Arial"/>
          <w:bCs/>
          <w:color w:val="000000" w:themeColor="text1"/>
          <w:sz w:val="22"/>
          <w:szCs w:val="22"/>
          <w:shd w:val="clear" w:color="auto" w:fill="FFFFFF"/>
          <w:lang w:val="es-MX" w:eastAsia="es-ES"/>
        </w:rPr>
        <w:lastRenderedPageBreak/>
        <w:t>determinado–, como parte del principio de selección objetiva y como una manifestación de la prevalencia del derecho</w:t>
      </w:r>
      <w:r w:rsidR="00C75F86" w:rsidRPr="00C0544C">
        <w:rPr>
          <w:rFonts w:ascii="Arial" w:hAnsi="Arial" w:cs="Arial"/>
          <w:bCs/>
          <w:color w:val="000000" w:themeColor="text1"/>
          <w:sz w:val="22"/>
          <w:szCs w:val="22"/>
          <w:shd w:val="clear" w:color="auto" w:fill="FFFFFF"/>
          <w:lang w:val="es-MX" w:eastAsia="es-ES"/>
        </w:rPr>
        <w:t xml:space="preserve"> sustancial sobre el procesal, </w:t>
      </w:r>
      <w:r w:rsidRPr="00C0544C">
        <w:rPr>
          <w:rFonts w:ascii="Arial" w:hAnsi="Arial" w:cs="Arial"/>
          <w:bCs/>
          <w:color w:val="000000" w:themeColor="text1"/>
          <w:sz w:val="22"/>
          <w:szCs w:val="22"/>
          <w:shd w:val="clear" w:color="auto" w:fill="FFFFFF"/>
          <w:lang w:val="es-MX" w:eastAsia="es-ES"/>
        </w:rPr>
        <w:t xml:space="preserve">en virtud de lo previsto en el artículo 228 de la Constitución Política y en el artículo 25 de la Ley 80 de 1993. </w:t>
      </w:r>
      <w:r w:rsidR="00C75F86" w:rsidRPr="00C0544C">
        <w:rPr>
          <w:rFonts w:ascii="Arial" w:hAnsi="Arial" w:cs="Arial"/>
          <w:bCs/>
          <w:color w:val="000000" w:themeColor="text1"/>
          <w:sz w:val="22"/>
          <w:szCs w:val="22"/>
          <w:shd w:val="clear" w:color="auto" w:fill="FFFFFF"/>
          <w:lang w:val="es-MX" w:eastAsia="es-ES"/>
        </w:rPr>
        <w:t xml:space="preserve">De modo </w:t>
      </w:r>
      <w:r w:rsidRPr="00C0544C">
        <w:rPr>
          <w:rFonts w:ascii="Arial" w:hAnsi="Arial" w:cs="Arial"/>
          <w:bCs/>
          <w:color w:val="000000" w:themeColor="text1"/>
          <w:sz w:val="22"/>
          <w:szCs w:val="22"/>
          <w:shd w:val="clear" w:color="auto" w:fill="FFFFFF"/>
          <w:lang w:val="es-MX" w:eastAsia="es-ES"/>
        </w:rPr>
        <w:t>que también esa Corporación ha entendido, de forma general, que debe permitirse subsanar en todos los casos en que la normativa vigente lo permita, por lo cual una interpretación en la que se restrinja su ejercicio en circunstancias distintas a las fijada</w:t>
      </w:r>
      <w:r w:rsidR="00C75F86" w:rsidRPr="00C0544C">
        <w:rPr>
          <w:rFonts w:ascii="Arial" w:hAnsi="Arial" w:cs="Arial"/>
          <w:bCs/>
          <w:color w:val="000000" w:themeColor="text1"/>
          <w:sz w:val="22"/>
          <w:szCs w:val="22"/>
          <w:shd w:val="clear" w:color="auto" w:fill="FFFFFF"/>
          <w:lang w:val="es-MX" w:eastAsia="es-ES"/>
        </w:rPr>
        <w:t>s</w:t>
      </w:r>
      <w:r w:rsidRPr="00C0544C">
        <w:rPr>
          <w:rFonts w:ascii="Arial" w:hAnsi="Arial" w:cs="Arial"/>
          <w:bCs/>
          <w:color w:val="000000" w:themeColor="text1"/>
          <w:sz w:val="22"/>
          <w:szCs w:val="22"/>
          <w:shd w:val="clear" w:color="auto" w:fill="FFFFFF"/>
          <w:lang w:val="es-MX" w:eastAsia="es-ES"/>
        </w:rPr>
        <w:t xml:space="preserve"> en la ley sería contraria a tales postulados</w:t>
      </w:r>
      <w:r w:rsidRPr="00C0544C">
        <w:rPr>
          <w:rFonts w:ascii="Arial" w:hAnsi="Arial" w:cs="Arial"/>
          <w:bCs/>
          <w:color w:val="000000" w:themeColor="text1"/>
          <w:sz w:val="22"/>
          <w:szCs w:val="22"/>
          <w:shd w:val="clear" w:color="auto" w:fill="FFFFFF"/>
          <w:vertAlign w:val="superscript"/>
          <w:lang w:val="es-MX" w:eastAsia="es-ES"/>
        </w:rPr>
        <w:footnoteReference w:id="18"/>
      </w:r>
      <w:r w:rsidRPr="00C0544C">
        <w:rPr>
          <w:rFonts w:ascii="Arial" w:hAnsi="Arial" w:cs="Arial"/>
          <w:bCs/>
          <w:color w:val="000000" w:themeColor="text1"/>
          <w:sz w:val="22"/>
          <w:szCs w:val="22"/>
          <w:shd w:val="clear" w:color="auto" w:fill="FFFFFF"/>
          <w:lang w:val="es-MX" w:eastAsia="es-ES"/>
        </w:rPr>
        <w:t>.</w:t>
      </w:r>
    </w:p>
    <w:p w14:paraId="33725FBA" w14:textId="0E13ABAD" w:rsidR="009C2086" w:rsidRPr="00C0544C" w:rsidRDefault="009C2086" w:rsidP="002376FD">
      <w:pPr>
        <w:tabs>
          <w:tab w:val="left" w:pos="0"/>
          <w:tab w:val="left" w:pos="8577"/>
        </w:tabs>
        <w:spacing w:after="120" w:line="276" w:lineRule="auto"/>
        <w:ind w:firstLine="709"/>
        <w:jc w:val="both"/>
        <w:rPr>
          <w:rFonts w:ascii="Arial" w:hAnsi="Arial" w:cs="Arial"/>
          <w:bCs/>
          <w:color w:val="000000" w:themeColor="text1"/>
          <w:sz w:val="22"/>
          <w:szCs w:val="22"/>
          <w:shd w:val="clear" w:color="auto" w:fill="FFFFFF"/>
          <w:lang w:val="es-MX" w:eastAsia="es-ES"/>
        </w:rPr>
      </w:pPr>
      <w:r w:rsidRPr="00C0544C">
        <w:rPr>
          <w:rFonts w:ascii="Arial" w:hAnsi="Arial" w:cs="Arial"/>
          <w:bCs/>
          <w:color w:val="000000" w:themeColor="text1"/>
          <w:sz w:val="22"/>
          <w:szCs w:val="22"/>
          <w:shd w:val="clear" w:color="auto" w:fill="FFFFFF"/>
          <w:lang w:val="es-MX" w:eastAsia="es-ES"/>
        </w:rPr>
        <w:t>Por todo lo anterior, la interpretación según la cual cuando el contenido de un documento pueda usarse para acreditar requisitos habilitantes y a la vez para acreditar factores de ponderación, debe excluir</w:t>
      </w:r>
      <w:r w:rsidR="00C75F86" w:rsidRPr="00C0544C">
        <w:rPr>
          <w:rFonts w:ascii="Arial" w:hAnsi="Arial" w:cs="Arial"/>
          <w:bCs/>
          <w:color w:val="000000" w:themeColor="text1"/>
          <w:sz w:val="22"/>
          <w:szCs w:val="22"/>
          <w:shd w:val="clear" w:color="auto" w:fill="FFFFFF"/>
          <w:lang w:val="es-MX" w:eastAsia="es-ES"/>
        </w:rPr>
        <w:t>se</w:t>
      </w:r>
      <w:r w:rsidRPr="00C0544C">
        <w:rPr>
          <w:rFonts w:ascii="Arial" w:hAnsi="Arial" w:cs="Arial"/>
          <w:bCs/>
          <w:color w:val="000000" w:themeColor="text1"/>
          <w:sz w:val="22"/>
          <w:szCs w:val="22"/>
          <w:shd w:val="clear" w:color="auto" w:fill="FFFFFF"/>
          <w:lang w:val="es-MX" w:eastAsia="es-ES"/>
        </w:rPr>
        <w:t xml:space="preserve"> la posibilidad de subsanar los primeros, no resulta ajustada a la reglas fijada</w:t>
      </w:r>
      <w:r w:rsidR="00D97F14" w:rsidRPr="00C0544C">
        <w:rPr>
          <w:rFonts w:ascii="Arial" w:hAnsi="Arial" w:cs="Arial"/>
          <w:bCs/>
          <w:color w:val="000000" w:themeColor="text1"/>
          <w:sz w:val="22"/>
          <w:szCs w:val="22"/>
          <w:shd w:val="clear" w:color="auto" w:fill="FFFFFF"/>
          <w:lang w:val="es-MX" w:eastAsia="es-ES"/>
        </w:rPr>
        <w:t>s</w:t>
      </w:r>
      <w:r w:rsidRPr="00C0544C">
        <w:rPr>
          <w:rFonts w:ascii="Arial" w:hAnsi="Arial" w:cs="Arial"/>
          <w:bCs/>
          <w:color w:val="000000" w:themeColor="text1"/>
          <w:sz w:val="22"/>
          <w:szCs w:val="22"/>
          <w:shd w:val="clear" w:color="auto" w:fill="FFFFFF"/>
          <w:lang w:val="es-MX" w:eastAsia="es-ES"/>
        </w:rPr>
        <w:t xml:space="preserve"> en el artículo 5 de la Ley 1150 de 2007, modificado por el artículo 5 de la Ley 1882 del 2018, pues, restringe el derecho de los proponente</w:t>
      </w:r>
      <w:r w:rsidR="00D97F14" w:rsidRPr="00C0544C">
        <w:rPr>
          <w:rFonts w:ascii="Arial" w:hAnsi="Arial" w:cs="Arial"/>
          <w:bCs/>
          <w:color w:val="000000" w:themeColor="text1"/>
          <w:sz w:val="22"/>
          <w:szCs w:val="22"/>
          <w:shd w:val="clear" w:color="auto" w:fill="FFFFFF"/>
          <w:lang w:val="es-MX" w:eastAsia="es-ES"/>
        </w:rPr>
        <w:t>s</w:t>
      </w:r>
      <w:r w:rsidRPr="00C0544C">
        <w:rPr>
          <w:rFonts w:ascii="Arial" w:hAnsi="Arial" w:cs="Arial"/>
          <w:bCs/>
          <w:color w:val="000000" w:themeColor="text1"/>
          <w:sz w:val="22"/>
          <w:szCs w:val="22"/>
          <w:shd w:val="clear" w:color="auto" w:fill="FFFFFF"/>
          <w:lang w:val="es-MX" w:eastAsia="es-ES"/>
        </w:rPr>
        <w:t xml:space="preserve"> y</w:t>
      </w:r>
      <w:r w:rsidR="00464C33">
        <w:rPr>
          <w:rFonts w:ascii="Arial" w:hAnsi="Arial" w:cs="Arial"/>
          <w:bCs/>
          <w:color w:val="000000" w:themeColor="text1"/>
          <w:sz w:val="22"/>
          <w:szCs w:val="22"/>
          <w:shd w:val="clear" w:color="auto" w:fill="FFFFFF"/>
          <w:lang w:val="es-MX" w:eastAsia="es-ES"/>
        </w:rPr>
        <w:t>,</w:t>
      </w:r>
      <w:r w:rsidRPr="00C0544C">
        <w:rPr>
          <w:rFonts w:ascii="Arial" w:hAnsi="Arial" w:cs="Arial"/>
          <w:bCs/>
          <w:color w:val="000000" w:themeColor="text1"/>
          <w:sz w:val="22"/>
          <w:szCs w:val="22"/>
          <w:shd w:val="clear" w:color="auto" w:fill="FFFFFF"/>
          <w:lang w:val="es-MX" w:eastAsia="es-ES"/>
        </w:rPr>
        <w:t xml:space="preserve"> </w:t>
      </w:r>
      <w:r w:rsidR="00C75F86" w:rsidRPr="00C0544C">
        <w:rPr>
          <w:rFonts w:ascii="Arial" w:hAnsi="Arial" w:cs="Arial"/>
          <w:bCs/>
          <w:color w:val="000000" w:themeColor="text1"/>
          <w:sz w:val="22"/>
          <w:szCs w:val="22"/>
          <w:shd w:val="clear" w:color="auto" w:fill="FFFFFF"/>
          <w:lang w:val="es-MX" w:eastAsia="es-ES"/>
        </w:rPr>
        <w:t xml:space="preserve">por tanto, </w:t>
      </w:r>
      <w:r w:rsidRPr="00C0544C">
        <w:rPr>
          <w:rFonts w:ascii="Arial" w:hAnsi="Arial" w:cs="Arial"/>
          <w:bCs/>
          <w:color w:val="000000" w:themeColor="text1"/>
          <w:sz w:val="22"/>
          <w:szCs w:val="22"/>
          <w:shd w:val="clear" w:color="auto" w:fill="FFFFFF"/>
          <w:lang w:val="es-MX" w:eastAsia="es-ES"/>
        </w:rPr>
        <w:t xml:space="preserve">su posibilidad de pasar a la etapa de calificación, en la cual, se insiste, no podrían tenerse en cuenta los documentos subsanados, para la asignación de puntaje. </w:t>
      </w:r>
    </w:p>
    <w:p w14:paraId="0A92F713" w14:textId="06F28A64" w:rsidR="009C2086" w:rsidRPr="00C0544C" w:rsidRDefault="009C2086" w:rsidP="00C0544C">
      <w:pPr>
        <w:spacing w:line="276" w:lineRule="auto"/>
        <w:ind w:firstLine="708"/>
        <w:jc w:val="both"/>
        <w:rPr>
          <w:rFonts w:ascii="Arial" w:hAnsi="Arial" w:cs="Arial"/>
          <w:color w:val="000000" w:themeColor="text1"/>
          <w:sz w:val="22"/>
          <w:szCs w:val="22"/>
          <w:lang w:val="es-ES_tradnl"/>
        </w:rPr>
      </w:pPr>
      <w:r w:rsidRPr="00C0544C">
        <w:rPr>
          <w:rFonts w:ascii="Arial" w:eastAsia="Arial" w:hAnsi="Arial" w:cs="Arial"/>
          <w:color w:val="000000" w:themeColor="text1"/>
          <w:sz w:val="22"/>
          <w:szCs w:val="22"/>
          <w:lang w:val="es-MX"/>
        </w:rPr>
        <w:t xml:space="preserve">En conclusión, para esta Subdirección resulta claro que la interpretación que más respeta el espíritu del artículo 5 de la Ley 1150 de 2007, modificada por el artículo 5 de la Ley 1882 del 2018, es aquella en la que se entiende que es </w:t>
      </w:r>
      <w:r w:rsidRPr="00C0544C">
        <w:rPr>
          <w:rFonts w:ascii="Arial" w:eastAsia="Arial" w:hAnsi="Arial" w:cs="Arial"/>
          <w:bCs/>
          <w:color w:val="000000" w:themeColor="text1"/>
          <w:sz w:val="22"/>
          <w:szCs w:val="22"/>
          <w:lang w:val="es-MX"/>
        </w:rPr>
        <w:t xml:space="preserve">procedente subsanar las ofertas en relación con documentos </w:t>
      </w:r>
      <w:r w:rsidR="00464C33">
        <w:rPr>
          <w:rFonts w:ascii="Arial" w:eastAsia="Arial" w:hAnsi="Arial" w:cs="Arial"/>
          <w:bCs/>
          <w:color w:val="000000" w:themeColor="text1"/>
          <w:sz w:val="22"/>
          <w:szCs w:val="22"/>
          <w:lang w:val="es-MX"/>
        </w:rPr>
        <w:t>mediante</w:t>
      </w:r>
      <w:r w:rsidRPr="00C0544C">
        <w:rPr>
          <w:rFonts w:ascii="Arial" w:eastAsia="Arial" w:hAnsi="Arial" w:cs="Arial"/>
          <w:bCs/>
          <w:color w:val="000000" w:themeColor="text1"/>
          <w:sz w:val="22"/>
          <w:szCs w:val="22"/>
          <w:lang w:val="es-MX"/>
        </w:rPr>
        <w:t xml:space="preserve"> los cuales se acrediten al mismo tiempo requisitos habilitantes y factores de ponderación, siempre que el documento subsanado no sea tenido en cuenta para la asignación de puntaje</w:t>
      </w:r>
      <w:r w:rsidR="00BC74E5" w:rsidRPr="00C0544C">
        <w:rPr>
          <w:rFonts w:ascii="Arial" w:eastAsia="Arial" w:hAnsi="Arial" w:cs="Arial"/>
          <w:bCs/>
          <w:color w:val="000000" w:themeColor="text1"/>
          <w:sz w:val="22"/>
          <w:szCs w:val="22"/>
          <w:lang w:val="es-MX"/>
        </w:rPr>
        <w:t>.</w:t>
      </w:r>
    </w:p>
    <w:p w14:paraId="5124DE81" w14:textId="77777777" w:rsidR="009C2086" w:rsidRPr="00C0544C" w:rsidRDefault="009C2086" w:rsidP="00C0544C">
      <w:pPr>
        <w:spacing w:line="276" w:lineRule="auto"/>
        <w:jc w:val="both"/>
        <w:rPr>
          <w:color w:val="000000" w:themeColor="text1"/>
          <w:lang w:val="es-ES_tradnl"/>
        </w:rPr>
      </w:pPr>
    </w:p>
    <w:p w14:paraId="178016FD" w14:textId="02E5F147" w:rsidR="006528FF" w:rsidRPr="00C0544C" w:rsidRDefault="006528FF" w:rsidP="00E26446">
      <w:pPr>
        <w:pStyle w:val="NormalWeb"/>
        <w:spacing w:before="0" w:beforeAutospacing="0" w:after="0" w:afterAutospacing="0" w:line="276" w:lineRule="auto"/>
        <w:jc w:val="both"/>
        <w:rPr>
          <w:rFonts w:ascii="Arial" w:hAnsi="Arial" w:cs="Arial"/>
          <w:b/>
          <w:color w:val="000000" w:themeColor="text1"/>
          <w:sz w:val="22"/>
          <w:szCs w:val="22"/>
        </w:rPr>
      </w:pPr>
      <w:r w:rsidRPr="00C0544C">
        <w:rPr>
          <w:rFonts w:ascii="Arial" w:hAnsi="Arial" w:cs="Arial"/>
          <w:b/>
          <w:color w:val="000000" w:themeColor="text1"/>
          <w:sz w:val="22"/>
          <w:szCs w:val="22"/>
        </w:rPr>
        <w:t>3. R</w:t>
      </w:r>
      <w:r w:rsidR="00885433" w:rsidRPr="00C0544C">
        <w:rPr>
          <w:rFonts w:ascii="Arial" w:hAnsi="Arial" w:cs="Arial"/>
          <w:b/>
          <w:color w:val="000000" w:themeColor="text1"/>
          <w:sz w:val="22"/>
          <w:szCs w:val="22"/>
        </w:rPr>
        <w:t>espuesta</w:t>
      </w:r>
    </w:p>
    <w:p w14:paraId="5F82AF8B" w14:textId="669A487A" w:rsidR="000A7E0E" w:rsidRPr="00C0544C" w:rsidRDefault="000A7E0E" w:rsidP="00E26446">
      <w:pPr>
        <w:pStyle w:val="NormalWeb"/>
        <w:spacing w:before="0" w:beforeAutospacing="0" w:after="0" w:afterAutospacing="0" w:line="276" w:lineRule="auto"/>
        <w:ind w:left="709" w:right="709"/>
        <w:jc w:val="both"/>
        <w:rPr>
          <w:rFonts w:ascii="Arial" w:eastAsia="Calibri" w:hAnsi="Arial" w:cs="Arial"/>
          <w:bCs/>
          <w:color w:val="000000" w:themeColor="text1"/>
          <w:sz w:val="22"/>
          <w:szCs w:val="22"/>
          <w:lang w:val="es-ES_tradnl"/>
        </w:rPr>
      </w:pPr>
    </w:p>
    <w:p w14:paraId="6DAE32B4" w14:textId="77777777" w:rsidR="002376FD" w:rsidRPr="00C0544C" w:rsidRDefault="002376FD" w:rsidP="002376FD">
      <w:pPr>
        <w:autoSpaceDE w:val="0"/>
        <w:autoSpaceDN w:val="0"/>
        <w:adjustRightInd w:val="0"/>
        <w:ind w:left="709" w:right="709"/>
        <w:jc w:val="both"/>
        <w:rPr>
          <w:rFonts w:ascii="Arial" w:eastAsiaTheme="minorHAnsi" w:hAnsi="Arial" w:cs="Arial"/>
          <w:color w:val="000000" w:themeColor="text1"/>
          <w:sz w:val="21"/>
          <w:szCs w:val="21"/>
          <w:lang w:eastAsia="en-US"/>
        </w:rPr>
      </w:pPr>
      <w:r w:rsidRPr="00C0544C">
        <w:rPr>
          <w:rFonts w:ascii="Arial" w:eastAsia="Calibri" w:hAnsi="Arial" w:cs="Arial"/>
          <w:color w:val="000000" w:themeColor="text1"/>
          <w:sz w:val="21"/>
          <w:szCs w:val="21"/>
          <w:lang w:val="es-ES_tradnl" w:eastAsia="en-US"/>
        </w:rPr>
        <w:t>«</w:t>
      </w:r>
      <w:r w:rsidRPr="00C0544C">
        <w:rPr>
          <w:rFonts w:ascii="Arial" w:eastAsiaTheme="minorHAnsi" w:hAnsi="Arial" w:cs="Arial"/>
          <w:color w:val="000000" w:themeColor="text1"/>
          <w:sz w:val="21"/>
          <w:szCs w:val="21"/>
          <w:lang w:eastAsia="en-US"/>
        </w:rPr>
        <w:t>Cuál es la posición o interpretación de CCE frente al pronunciamiento que hace el C. E en dicha sentencia teniendo en cuenta que en múltiples conceptos e inclusive en los documentos tipo CCE ha estimado la posibilidad que frente aquellos requisitos habilitantes y que a su vez son ponderables, se puedan subsanar frente al criterio habilitante.</w:t>
      </w:r>
    </w:p>
    <w:p w14:paraId="4EDC0E8A" w14:textId="77777777" w:rsidR="002376FD" w:rsidRPr="00C0544C" w:rsidRDefault="002376FD" w:rsidP="002376FD">
      <w:pPr>
        <w:autoSpaceDE w:val="0"/>
        <w:autoSpaceDN w:val="0"/>
        <w:adjustRightInd w:val="0"/>
        <w:ind w:left="709" w:right="709"/>
        <w:jc w:val="both"/>
        <w:rPr>
          <w:rFonts w:ascii="Arial" w:eastAsiaTheme="minorHAnsi" w:hAnsi="Arial" w:cs="Arial"/>
          <w:color w:val="000000" w:themeColor="text1"/>
          <w:sz w:val="21"/>
          <w:szCs w:val="21"/>
          <w:lang w:eastAsia="en-US"/>
        </w:rPr>
      </w:pPr>
    </w:p>
    <w:p w14:paraId="2B6935B0" w14:textId="495D375B" w:rsidR="002376FD" w:rsidRPr="00C0544C" w:rsidRDefault="002376FD" w:rsidP="000E0A73">
      <w:pPr>
        <w:autoSpaceDE w:val="0"/>
        <w:autoSpaceDN w:val="0"/>
        <w:adjustRightInd w:val="0"/>
        <w:ind w:left="709" w:right="709"/>
        <w:jc w:val="both"/>
        <w:rPr>
          <w:rFonts w:eastAsia="Calibri"/>
          <w:color w:val="000000" w:themeColor="text1"/>
          <w:sz w:val="22"/>
          <w:szCs w:val="22"/>
        </w:rPr>
      </w:pPr>
      <w:r w:rsidRPr="00C0544C">
        <w:rPr>
          <w:rFonts w:ascii="Arial" w:eastAsia="Calibri" w:hAnsi="Arial" w:cs="Arial"/>
          <w:color w:val="000000" w:themeColor="text1"/>
          <w:sz w:val="21"/>
          <w:szCs w:val="21"/>
          <w:lang w:val="es-ES_tradnl" w:eastAsia="en-US"/>
        </w:rPr>
        <w:t>»</w:t>
      </w:r>
      <w:r w:rsidRPr="00C0544C">
        <w:rPr>
          <w:rFonts w:ascii="Arial" w:eastAsiaTheme="minorHAnsi" w:hAnsi="Arial" w:cs="Arial"/>
          <w:color w:val="000000" w:themeColor="text1"/>
          <w:sz w:val="21"/>
          <w:szCs w:val="21"/>
          <w:lang w:eastAsia="en-US"/>
        </w:rPr>
        <w:t>Ahora, cuando el CE habla de cambio en las reglas del juego o en los pliegos de condiciones, quiere decir que frente aquellos requisitos que de manera concomitante son habilitantes y ponderables, se puede permitir la subsanación de los habilitantes, siempre y cuando se haya estimado así en los pliegos de condiciones de manera clara y expresa. Acaso esto no deviene en una situación tacita al ser dos elementos (habilitación y ponderación) independientes</w:t>
      </w:r>
      <w:r w:rsidRPr="00C0544C">
        <w:rPr>
          <w:rFonts w:ascii="Arial" w:eastAsia="Calibri" w:hAnsi="Arial" w:cs="Arial"/>
          <w:color w:val="000000" w:themeColor="text1"/>
          <w:sz w:val="21"/>
          <w:szCs w:val="21"/>
          <w:lang w:val="es-ES_tradnl" w:eastAsia="en-US"/>
        </w:rPr>
        <w:t>»</w:t>
      </w:r>
      <w:r w:rsidRPr="00C0544C">
        <w:rPr>
          <w:rFonts w:ascii="Arial" w:eastAsiaTheme="minorHAnsi" w:hAnsi="Arial" w:cs="Arial"/>
          <w:color w:val="000000" w:themeColor="text1"/>
          <w:sz w:val="21"/>
          <w:szCs w:val="21"/>
          <w:lang w:eastAsia="en-US"/>
        </w:rPr>
        <w:t>.</w:t>
      </w:r>
    </w:p>
    <w:p w14:paraId="2AB4F83F" w14:textId="6DD79BCF" w:rsidR="005F31C1" w:rsidRPr="00C0544C" w:rsidRDefault="005F31C1" w:rsidP="00A0782F">
      <w:pPr>
        <w:pStyle w:val="Default"/>
        <w:ind w:right="709"/>
        <w:jc w:val="both"/>
        <w:rPr>
          <w:b/>
          <w:bCs/>
          <w:color w:val="000000" w:themeColor="text1"/>
          <w:sz w:val="21"/>
          <w:szCs w:val="21"/>
        </w:rPr>
      </w:pPr>
    </w:p>
    <w:p w14:paraId="5833830F" w14:textId="21B3CCB6" w:rsidR="00E82A4C" w:rsidRPr="00C0544C" w:rsidRDefault="00EC30A1" w:rsidP="00C0544C">
      <w:pPr>
        <w:spacing w:after="120" w:line="276" w:lineRule="auto"/>
        <w:jc w:val="both"/>
        <w:rPr>
          <w:rFonts w:ascii="Arial" w:eastAsia="Calibri" w:hAnsi="Arial" w:cs="Arial"/>
          <w:color w:val="000000" w:themeColor="text1"/>
          <w:sz w:val="22"/>
          <w:szCs w:val="22"/>
          <w:lang w:val="es-MX"/>
        </w:rPr>
      </w:pPr>
      <w:r w:rsidRPr="00C0544C">
        <w:rPr>
          <w:rFonts w:ascii="Arial" w:eastAsia="Calibri" w:hAnsi="Arial" w:cs="Arial"/>
          <w:color w:val="000000" w:themeColor="text1"/>
          <w:sz w:val="22"/>
          <w:szCs w:val="22"/>
          <w:lang w:val="es-ES" w:eastAsia="en-US"/>
        </w:rPr>
        <w:lastRenderedPageBreak/>
        <w:t xml:space="preserve">En torno a su pregunta, se precisa que la Agencia Nacional de Contratación Pública </w:t>
      </w:r>
      <w:r w:rsidR="00131989">
        <w:rPr>
          <w:rFonts w:ascii="Arial" w:eastAsia="Calibri" w:hAnsi="Arial" w:cs="Arial"/>
          <w:color w:val="000000" w:themeColor="text1"/>
          <w:sz w:val="22"/>
          <w:szCs w:val="22"/>
          <w:lang w:val="es-ES" w:eastAsia="en-US"/>
        </w:rPr>
        <w:t xml:space="preserve">– Colombia Compra Eficiente </w:t>
      </w:r>
      <w:r w:rsidRPr="00C0544C">
        <w:rPr>
          <w:rFonts w:ascii="Arial" w:hAnsi="Arial" w:cs="Arial"/>
          <w:color w:val="000000" w:themeColor="text1"/>
          <w:sz w:val="22"/>
          <w:szCs w:val="22"/>
          <w:lang w:val="es-ES"/>
        </w:rPr>
        <w:t>tiene competencia para atender consultas relativas a temas contractuales, pero solo para «absolver consultas sobre la aplicación de normas de carácter general»</w:t>
      </w:r>
      <w:r w:rsidRPr="00C0544C">
        <w:rPr>
          <w:rFonts w:ascii="Arial" w:eastAsia="Calibri" w:hAnsi="Arial" w:cs="Arial"/>
          <w:color w:val="000000" w:themeColor="text1"/>
          <w:sz w:val="22"/>
          <w:szCs w:val="22"/>
          <w:vertAlign w:val="superscript"/>
          <w:lang w:val="es-ES" w:eastAsia="en-US"/>
        </w:rPr>
        <w:footnoteReference w:id="19"/>
      </w:r>
      <w:r w:rsidRPr="00C0544C">
        <w:rPr>
          <w:rFonts w:ascii="Arial" w:hAnsi="Arial" w:cs="Arial"/>
          <w:color w:val="000000" w:themeColor="text1"/>
          <w:sz w:val="22"/>
          <w:szCs w:val="22"/>
          <w:lang w:val="es-ES"/>
        </w:rPr>
        <w:t xml:space="preserve">. Esto significa que no podemos pronunciarnos sobre casos particulares o sobre preguntas que no contengan dudas sobre la aplicación de una norma general en </w:t>
      </w:r>
      <w:r w:rsidRPr="00C0544C">
        <w:rPr>
          <w:rFonts w:ascii="Arial" w:hAnsi="Arial" w:cs="Arial"/>
          <w:color w:val="000000" w:themeColor="text1"/>
          <w:sz w:val="22"/>
          <w:szCs w:val="22"/>
          <w:lang w:val="es-ES" w:eastAsia="es-CO"/>
        </w:rPr>
        <w:t>materia de contratación pública.</w:t>
      </w:r>
      <w:r w:rsidR="00E82A4C" w:rsidRPr="00C0544C">
        <w:rPr>
          <w:rFonts w:ascii="Arial" w:hAnsi="Arial" w:cs="Arial"/>
          <w:color w:val="000000" w:themeColor="text1"/>
          <w:sz w:val="22"/>
          <w:szCs w:val="22"/>
          <w:lang w:val="es-ES" w:eastAsia="es-CO"/>
        </w:rPr>
        <w:t xml:space="preserve"> Sin embargo, </w:t>
      </w:r>
      <w:r w:rsidR="006D66C5">
        <w:rPr>
          <w:rFonts w:ascii="Arial" w:hAnsi="Arial" w:cs="Arial"/>
          <w:color w:val="000000" w:themeColor="text1"/>
          <w:sz w:val="22"/>
          <w:szCs w:val="22"/>
          <w:lang w:val="es-ES" w:eastAsia="es-CO"/>
        </w:rPr>
        <w:t>teniendo en cuenta los pronunciamientos anter</w:t>
      </w:r>
      <w:r w:rsidR="005065B2">
        <w:rPr>
          <w:rFonts w:ascii="Arial" w:hAnsi="Arial" w:cs="Arial"/>
          <w:color w:val="000000" w:themeColor="text1"/>
          <w:sz w:val="22"/>
          <w:szCs w:val="22"/>
          <w:lang w:val="es-ES" w:eastAsia="es-CO"/>
        </w:rPr>
        <w:t>i</w:t>
      </w:r>
      <w:r w:rsidR="006D66C5">
        <w:rPr>
          <w:rFonts w:ascii="Arial" w:hAnsi="Arial" w:cs="Arial"/>
          <w:color w:val="000000" w:themeColor="text1"/>
          <w:sz w:val="22"/>
          <w:szCs w:val="22"/>
          <w:lang w:val="es-ES" w:eastAsia="es-CO"/>
        </w:rPr>
        <w:t>ores de esta Agencia</w:t>
      </w:r>
      <w:r w:rsidR="006D66C5">
        <w:rPr>
          <w:rStyle w:val="Refdenotaalpie"/>
          <w:rFonts w:ascii="Arial" w:hAnsi="Arial" w:cs="Arial"/>
          <w:color w:val="000000" w:themeColor="text1"/>
          <w:sz w:val="22"/>
          <w:szCs w:val="22"/>
          <w:lang w:val="es-ES" w:eastAsia="es-CO"/>
        </w:rPr>
        <w:footnoteReference w:id="20"/>
      </w:r>
      <w:r w:rsidR="006D66C5">
        <w:rPr>
          <w:rFonts w:ascii="Arial" w:hAnsi="Arial" w:cs="Arial"/>
          <w:color w:val="000000" w:themeColor="text1"/>
          <w:sz w:val="22"/>
          <w:szCs w:val="22"/>
          <w:lang w:val="es-ES" w:eastAsia="es-CO"/>
        </w:rPr>
        <w:t xml:space="preserve">, </w:t>
      </w:r>
      <w:r w:rsidR="00E82A4C" w:rsidRPr="00C0544C">
        <w:rPr>
          <w:rFonts w:ascii="Arial" w:hAnsi="Arial" w:cs="Arial"/>
          <w:color w:val="000000" w:themeColor="text1"/>
          <w:sz w:val="22"/>
          <w:szCs w:val="22"/>
          <w:lang w:val="es-ES" w:eastAsia="es-CO"/>
        </w:rPr>
        <w:t>se precisa que</w:t>
      </w:r>
      <w:r w:rsidR="003225C1" w:rsidRPr="00C0544C">
        <w:rPr>
          <w:rFonts w:ascii="Arial" w:hAnsi="Arial" w:cs="Arial"/>
          <w:color w:val="000000" w:themeColor="text1"/>
          <w:sz w:val="22"/>
          <w:szCs w:val="22"/>
          <w:lang w:val="es-ES" w:eastAsia="es-CO"/>
        </w:rPr>
        <w:t>,</w:t>
      </w:r>
      <w:r w:rsidR="00E82A4C" w:rsidRPr="00C0544C">
        <w:rPr>
          <w:rFonts w:ascii="Arial" w:hAnsi="Arial" w:cs="Arial"/>
          <w:color w:val="000000" w:themeColor="text1"/>
          <w:sz w:val="22"/>
          <w:szCs w:val="22"/>
          <w:lang w:val="es-ES" w:eastAsia="es-CO"/>
        </w:rPr>
        <w:t xml:space="preserve"> de lo expuesto</w:t>
      </w:r>
      <w:r w:rsidR="00E82A4C" w:rsidRPr="00C0544C">
        <w:rPr>
          <w:rFonts w:ascii="Arial" w:hAnsi="Arial" w:cs="Arial"/>
          <w:color w:val="000000" w:themeColor="text1"/>
          <w:sz w:val="22"/>
          <w:szCs w:val="22"/>
          <w:shd w:val="clear" w:color="auto" w:fill="FFFFFF"/>
          <w:lang w:val="es-MX" w:eastAsia="es-ES"/>
        </w:rPr>
        <w:t>, se evidencia que la razón para haber declarado la nulidad del acto de adjudicación</w:t>
      </w:r>
      <w:r w:rsidR="00A1074E" w:rsidRPr="00C0544C">
        <w:rPr>
          <w:rFonts w:ascii="Arial" w:hAnsi="Arial" w:cs="Arial"/>
          <w:color w:val="000000" w:themeColor="text1"/>
          <w:sz w:val="22"/>
          <w:szCs w:val="22"/>
          <w:shd w:val="clear" w:color="auto" w:fill="FFFFFF"/>
          <w:lang w:val="es-MX" w:eastAsia="es-ES"/>
        </w:rPr>
        <w:t xml:space="preserve"> en la Sentencia con Expediente 65.134</w:t>
      </w:r>
      <w:r w:rsidR="00E82A4C" w:rsidRPr="00C0544C">
        <w:rPr>
          <w:rFonts w:ascii="Arial" w:hAnsi="Arial" w:cs="Arial"/>
          <w:color w:val="000000" w:themeColor="text1"/>
          <w:sz w:val="22"/>
          <w:szCs w:val="22"/>
          <w:shd w:val="clear" w:color="auto" w:fill="FFFFFF"/>
          <w:lang w:val="es-MX" w:eastAsia="es-ES"/>
        </w:rPr>
        <w:t xml:space="preserve"> obedeció a que el comité evaluador cambió las reglas consagradas en el pliego de condiciones, las cuales no permitían la subsanación de requisitos habilitantes, cuando los documentos respectivos también pudieran incidir en la asignación de puntaje. Aunado a lo anterior, en la misma sentencia se advierte que </w:t>
      </w:r>
      <w:r w:rsidR="00E82A4C" w:rsidRPr="00C0544C">
        <w:rPr>
          <w:rFonts w:ascii="Arial" w:hAnsi="Arial" w:cs="Arial"/>
          <w:bCs/>
          <w:color w:val="000000" w:themeColor="text1"/>
          <w:sz w:val="22"/>
          <w:szCs w:val="22"/>
          <w:shd w:val="clear" w:color="auto" w:fill="FFFFFF"/>
          <w:lang w:val="es-MX" w:eastAsia="es-ES"/>
        </w:rPr>
        <w:t>«</w:t>
      </w:r>
      <w:r w:rsidR="00E82A4C" w:rsidRPr="00C0544C">
        <w:rPr>
          <w:rFonts w:ascii="Arial" w:eastAsia="Calibri" w:hAnsi="Arial" w:cs="Arial"/>
          <w:color w:val="000000" w:themeColor="text1"/>
          <w:sz w:val="22"/>
          <w:szCs w:val="22"/>
          <w:lang w:val="es-MX"/>
        </w:rPr>
        <w:t xml:space="preserve">al </w:t>
      </w:r>
      <w:r w:rsidR="003225C1" w:rsidRPr="00C0544C">
        <w:rPr>
          <w:rFonts w:ascii="Arial" w:eastAsia="Calibri" w:hAnsi="Arial" w:cs="Arial"/>
          <w:color w:val="000000" w:themeColor="text1"/>
          <w:sz w:val="22"/>
          <w:szCs w:val="22"/>
          <w:lang w:val="es-MX"/>
        </w:rPr>
        <w:t>régimen</w:t>
      </w:r>
      <w:r w:rsidR="00E82A4C" w:rsidRPr="00C0544C">
        <w:rPr>
          <w:rFonts w:ascii="Arial" w:eastAsia="Calibri" w:hAnsi="Arial" w:cs="Arial"/>
          <w:color w:val="000000" w:themeColor="text1"/>
          <w:sz w:val="22"/>
          <w:szCs w:val="22"/>
          <w:lang w:val="es-MX"/>
        </w:rPr>
        <w:t xml:space="preserve"> de </w:t>
      </w:r>
      <w:proofErr w:type="spellStart"/>
      <w:r w:rsidR="00E82A4C" w:rsidRPr="00C0544C">
        <w:rPr>
          <w:rFonts w:ascii="Arial" w:eastAsia="Calibri" w:hAnsi="Arial" w:cs="Arial"/>
          <w:color w:val="000000" w:themeColor="text1"/>
          <w:sz w:val="22"/>
          <w:szCs w:val="22"/>
          <w:lang w:val="es-MX"/>
        </w:rPr>
        <w:t>subsanabilidad</w:t>
      </w:r>
      <w:proofErr w:type="spellEnd"/>
      <w:r w:rsidR="00E82A4C" w:rsidRPr="00C0544C">
        <w:rPr>
          <w:rFonts w:ascii="Arial" w:eastAsia="Calibri" w:hAnsi="Arial" w:cs="Arial"/>
          <w:color w:val="000000" w:themeColor="text1"/>
          <w:sz w:val="22"/>
          <w:szCs w:val="22"/>
          <w:lang w:val="es-MX"/>
        </w:rPr>
        <w:t xml:space="preserve"> de las ofertas, </w:t>
      </w:r>
      <w:r w:rsidR="003225C1" w:rsidRPr="00C0544C">
        <w:rPr>
          <w:rFonts w:ascii="Arial" w:eastAsia="Calibri" w:hAnsi="Arial" w:cs="Arial"/>
          <w:color w:val="000000" w:themeColor="text1"/>
          <w:sz w:val="22"/>
          <w:szCs w:val="22"/>
          <w:lang w:val="es-MX"/>
        </w:rPr>
        <w:t>corresponderá</w:t>
      </w:r>
      <w:r w:rsidR="00E82A4C" w:rsidRPr="00C0544C">
        <w:rPr>
          <w:rFonts w:ascii="Arial" w:eastAsia="Calibri" w:hAnsi="Arial" w:cs="Arial"/>
          <w:color w:val="000000" w:themeColor="text1"/>
          <w:sz w:val="22"/>
          <w:szCs w:val="22"/>
          <w:lang w:val="es-MX"/>
        </w:rPr>
        <w:t xml:space="preserve">́ al juez del contrato, en cada caso, determinar la normativa aplicable, con el fin de establecer el alcance y las condiciones en las que procede la </w:t>
      </w:r>
      <w:proofErr w:type="spellStart"/>
      <w:r w:rsidR="00E82A4C" w:rsidRPr="00C0544C">
        <w:rPr>
          <w:rFonts w:ascii="Arial" w:eastAsia="Calibri" w:hAnsi="Arial" w:cs="Arial"/>
          <w:color w:val="000000" w:themeColor="text1"/>
          <w:sz w:val="22"/>
          <w:szCs w:val="22"/>
          <w:lang w:val="es-MX"/>
        </w:rPr>
        <w:t>subsanación</w:t>
      </w:r>
      <w:proofErr w:type="spellEnd"/>
      <w:r w:rsidR="00E82A4C" w:rsidRPr="00C0544C">
        <w:rPr>
          <w:rFonts w:ascii="Arial" w:eastAsia="Calibri" w:hAnsi="Arial" w:cs="Arial"/>
          <w:color w:val="000000" w:themeColor="text1"/>
          <w:sz w:val="22"/>
          <w:szCs w:val="22"/>
          <w:lang w:val="es-MX"/>
        </w:rPr>
        <w:t xml:space="preserve"> de las ofertas</w:t>
      </w:r>
      <w:r w:rsidR="00E82A4C" w:rsidRPr="00C0544C">
        <w:rPr>
          <w:rFonts w:ascii="Arial" w:hAnsi="Arial" w:cs="Arial"/>
          <w:bCs/>
          <w:color w:val="000000" w:themeColor="text1"/>
          <w:sz w:val="22"/>
          <w:szCs w:val="22"/>
          <w:shd w:val="clear" w:color="auto" w:fill="FFFFFF"/>
          <w:lang w:val="es-MX" w:eastAsia="es-ES"/>
        </w:rPr>
        <w:t>»</w:t>
      </w:r>
      <w:r w:rsidR="00E82A4C" w:rsidRPr="00C0544C">
        <w:rPr>
          <w:rFonts w:ascii="Arial" w:eastAsia="Calibri" w:hAnsi="Arial" w:cs="Arial"/>
          <w:color w:val="000000" w:themeColor="text1"/>
          <w:sz w:val="22"/>
          <w:szCs w:val="22"/>
          <w:lang w:val="es-MX"/>
        </w:rPr>
        <w:t xml:space="preserve">. </w:t>
      </w:r>
    </w:p>
    <w:p w14:paraId="4B37B9F4" w14:textId="51E73D0D" w:rsidR="00E82A4C" w:rsidRPr="00C0544C" w:rsidRDefault="00E82A4C" w:rsidP="00E82A4C">
      <w:pPr>
        <w:tabs>
          <w:tab w:val="left" w:pos="0"/>
          <w:tab w:val="left" w:pos="8577"/>
        </w:tabs>
        <w:spacing w:after="120" w:line="276" w:lineRule="auto"/>
        <w:ind w:firstLine="709"/>
        <w:jc w:val="both"/>
        <w:rPr>
          <w:rFonts w:ascii="Arial" w:hAnsi="Arial" w:cs="Arial"/>
          <w:bCs/>
          <w:color w:val="000000" w:themeColor="text1"/>
          <w:sz w:val="22"/>
          <w:szCs w:val="22"/>
          <w:shd w:val="clear" w:color="auto" w:fill="FFFFFF"/>
          <w:lang w:val="es-MX" w:eastAsia="es-ES"/>
        </w:rPr>
      </w:pPr>
      <w:r w:rsidRPr="00C0544C">
        <w:rPr>
          <w:rFonts w:ascii="Arial" w:hAnsi="Arial" w:cs="Arial"/>
          <w:bCs/>
          <w:color w:val="000000" w:themeColor="text1"/>
          <w:sz w:val="22"/>
          <w:szCs w:val="22"/>
          <w:shd w:val="clear" w:color="auto" w:fill="FFFFFF"/>
          <w:lang w:val="es-MX" w:eastAsia="es-ES"/>
        </w:rPr>
        <w:t xml:space="preserve">En cualquier caso, esta Subdirección considera pertinente resaltar que, con base en la normativa vigente, todos los requisitos de la propuesta que no afecten la asignación de puntaje deberán ser solicitados por las entidades estatales para permitir la subsanación de las ofertas, pues ese es el tenor literal del artículo 5 de la Ley 1150 de 2007, modificado por el artículo 5 de la Ley 1882 del 2018. Esta posición </w:t>
      </w:r>
      <w:r w:rsidR="00131989">
        <w:rPr>
          <w:rFonts w:ascii="Arial" w:hAnsi="Arial" w:cs="Arial"/>
          <w:bCs/>
          <w:color w:val="000000" w:themeColor="text1"/>
          <w:sz w:val="22"/>
          <w:szCs w:val="22"/>
          <w:shd w:val="clear" w:color="auto" w:fill="FFFFFF"/>
          <w:lang w:val="es-MX" w:eastAsia="es-ES"/>
        </w:rPr>
        <w:t>se realiza</w:t>
      </w:r>
      <w:r w:rsidR="00131989" w:rsidRPr="00C0544C">
        <w:rPr>
          <w:rFonts w:ascii="Arial" w:hAnsi="Arial" w:cs="Arial"/>
          <w:bCs/>
          <w:color w:val="000000" w:themeColor="text1"/>
          <w:sz w:val="22"/>
          <w:szCs w:val="22"/>
          <w:shd w:val="clear" w:color="auto" w:fill="FFFFFF"/>
          <w:lang w:val="es-MX" w:eastAsia="es-ES"/>
        </w:rPr>
        <w:t xml:space="preserve"> </w:t>
      </w:r>
      <w:r w:rsidRPr="00C0544C">
        <w:rPr>
          <w:rFonts w:ascii="Arial" w:hAnsi="Arial" w:cs="Arial"/>
          <w:bCs/>
          <w:color w:val="000000" w:themeColor="text1"/>
          <w:sz w:val="22"/>
          <w:szCs w:val="22"/>
          <w:shd w:val="clear" w:color="auto" w:fill="FFFFFF"/>
          <w:lang w:val="es-MX" w:eastAsia="es-ES"/>
        </w:rPr>
        <w:t xml:space="preserve">de conformidad </w:t>
      </w:r>
      <w:r w:rsidR="00131989">
        <w:rPr>
          <w:rFonts w:ascii="Arial" w:hAnsi="Arial" w:cs="Arial"/>
          <w:bCs/>
          <w:color w:val="000000" w:themeColor="text1"/>
          <w:sz w:val="22"/>
          <w:szCs w:val="22"/>
          <w:shd w:val="clear" w:color="auto" w:fill="FFFFFF"/>
          <w:lang w:val="es-MX" w:eastAsia="es-ES"/>
        </w:rPr>
        <w:t>con</w:t>
      </w:r>
      <w:r w:rsidRPr="00C0544C">
        <w:rPr>
          <w:rFonts w:ascii="Arial" w:hAnsi="Arial" w:cs="Arial"/>
          <w:bCs/>
          <w:color w:val="000000" w:themeColor="text1"/>
          <w:sz w:val="22"/>
          <w:szCs w:val="22"/>
          <w:shd w:val="clear" w:color="auto" w:fill="FFFFFF"/>
          <w:lang w:val="es-MX" w:eastAsia="es-ES"/>
        </w:rPr>
        <w:t xml:space="preserve"> la voluntad expresa de legislador y que, ante la claridad de la expresión «todos aquellos», incluida en dicha norma, le está vedado al operador jurídico hacer distinciones para excluir la aplicación de la </w:t>
      </w:r>
      <w:proofErr w:type="spellStart"/>
      <w:r w:rsidRPr="00C0544C">
        <w:rPr>
          <w:rFonts w:ascii="Arial" w:hAnsi="Arial" w:cs="Arial"/>
          <w:bCs/>
          <w:color w:val="000000" w:themeColor="text1"/>
          <w:sz w:val="22"/>
          <w:szCs w:val="22"/>
          <w:shd w:val="clear" w:color="auto" w:fill="FFFFFF"/>
          <w:lang w:val="es-MX" w:eastAsia="es-ES"/>
        </w:rPr>
        <w:t>subsanabilidad</w:t>
      </w:r>
      <w:proofErr w:type="spellEnd"/>
      <w:r w:rsidRPr="00C0544C">
        <w:rPr>
          <w:rFonts w:ascii="Arial" w:hAnsi="Arial" w:cs="Arial"/>
          <w:bCs/>
          <w:color w:val="000000" w:themeColor="text1"/>
          <w:sz w:val="22"/>
          <w:szCs w:val="22"/>
          <w:shd w:val="clear" w:color="auto" w:fill="FFFFFF"/>
          <w:lang w:val="es-MX" w:eastAsia="es-ES"/>
        </w:rPr>
        <w:t xml:space="preserve"> en casos distintos a los que la </w:t>
      </w:r>
      <w:r w:rsidR="002376FD" w:rsidRPr="00C0544C">
        <w:rPr>
          <w:rFonts w:ascii="Arial" w:hAnsi="Arial" w:cs="Arial"/>
          <w:bCs/>
          <w:color w:val="000000" w:themeColor="text1"/>
          <w:sz w:val="22"/>
          <w:szCs w:val="22"/>
          <w:shd w:val="clear" w:color="auto" w:fill="FFFFFF"/>
          <w:lang w:val="es-MX" w:eastAsia="es-ES"/>
        </w:rPr>
        <w:t>L</w:t>
      </w:r>
      <w:r w:rsidRPr="00C0544C">
        <w:rPr>
          <w:rFonts w:ascii="Arial" w:hAnsi="Arial" w:cs="Arial"/>
          <w:bCs/>
          <w:color w:val="000000" w:themeColor="text1"/>
          <w:sz w:val="22"/>
          <w:szCs w:val="22"/>
          <w:shd w:val="clear" w:color="auto" w:fill="FFFFFF"/>
          <w:lang w:val="es-MX" w:eastAsia="es-ES"/>
        </w:rPr>
        <w:t xml:space="preserve">ey prevé. </w:t>
      </w:r>
    </w:p>
    <w:p w14:paraId="33E5A7DF" w14:textId="2F1DF6D6" w:rsidR="00E82A4C" w:rsidRPr="00C0544C" w:rsidRDefault="00E82A4C" w:rsidP="00E82A4C">
      <w:pPr>
        <w:tabs>
          <w:tab w:val="left" w:pos="0"/>
          <w:tab w:val="left" w:pos="8577"/>
        </w:tabs>
        <w:spacing w:after="120" w:line="276" w:lineRule="auto"/>
        <w:ind w:firstLine="709"/>
        <w:jc w:val="both"/>
        <w:rPr>
          <w:rFonts w:ascii="Arial" w:hAnsi="Arial" w:cs="Arial"/>
          <w:bCs/>
          <w:color w:val="000000" w:themeColor="text1"/>
          <w:sz w:val="22"/>
          <w:szCs w:val="22"/>
          <w:shd w:val="clear" w:color="auto" w:fill="FFFFFF"/>
          <w:lang w:val="es-MX" w:eastAsia="es-ES"/>
        </w:rPr>
      </w:pPr>
      <w:r w:rsidRPr="00C0544C">
        <w:rPr>
          <w:rFonts w:ascii="Arial" w:hAnsi="Arial" w:cs="Arial"/>
          <w:bCs/>
          <w:color w:val="000000" w:themeColor="text1"/>
          <w:sz w:val="22"/>
          <w:szCs w:val="22"/>
          <w:shd w:val="clear" w:color="auto" w:fill="FFFFFF"/>
          <w:lang w:val="es-MX" w:eastAsia="es-ES"/>
        </w:rPr>
        <w:t>Además de lo anterior, resulta importante destacar que la línea interpretativa que ha mantenido el  Consejo de Estado</w:t>
      </w:r>
      <w:r w:rsidRPr="00C0544C">
        <w:rPr>
          <w:rFonts w:ascii="Arial" w:hAnsi="Arial" w:cs="Arial"/>
          <w:bCs/>
          <w:color w:val="000000" w:themeColor="text1"/>
          <w:sz w:val="22"/>
          <w:szCs w:val="22"/>
          <w:shd w:val="clear" w:color="auto" w:fill="FFFFFF"/>
          <w:vertAlign w:val="superscript"/>
          <w:lang w:val="es-MX" w:eastAsia="es-ES"/>
        </w:rPr>
        <w:footnoteReference w:id="21"/>
      </w:r>
      <w:r w:rsidRPr="00C0544C">
        <w:rPr>
          <w:rFonts w:ascii="Arial" w:hAnsi="Arial" w:cs="Arial"/>
          <w:bCs/>
          <w:color w:val="000000" w:themeColor="text1"/>
          <w:sz w:val="22"/>
          <w:szCs w:val="22"/>
          <w:shd w:val="clear" w:color="auto" w:fill="FFFFFF"/>
          <w:lang w:val="es-MX" w:eastAsia="es-ES"/>
        </w:rPr>
        <w:t xml:space="preserve"> se dirige a comprender la figura de la </w:t>
      </w:r>
      <w:proofErr w:type="spellStart"/>
      <w:r w:rsidRPr="00C0544C">
        <w:rPr>
          <w:rFonts w:ascii="Arial" w:hAnsi="Arial" w:cs="Arial"/>
          <w:bCs/>
          <w:color w:val="000000" w:themeColor="text1"/>
          <w:sz w:val="22"/>
          <w:szCs w:val="22"/>
          <w:shd w:val="clear" w:color="auto" w:fill="FFFFFF"/>
          <w:lang w:val="es-MX" w:eastAsia="es-ES"/>
        </w:rPr>
        <w:t>subsanabilidad</w:t>
      </w:r>
      <w:proofErr w:type="spellEnd"/>
      <w:r w:rsidRPr="00C0544C">
        <w:rPr>
          <w:rFonts w:ascii="Arial" w:hAnsi="Arial" w:cs="Arial"/>
          <w:bCs/>
          <w:color w:val="000000" w:themeColor="text1"/>
          <w:sz w:val="22"/>
          <w:szCs w:val="22"/>
          <w:shd w:val="clear" w:color="auto" w:fill="FFFFFF"/>
          <w:lang w:val="es-MX" w:eastAsia="es-ES"/>
        </w:rPr>
        <w:t xml:space="preserve"> de </w:t>
      </w:r>
      <w:r w:rsidRPr="00C0544C">
        <w:rPr>
          <w:rFonts w:ascii="Arial" w:hAnsi="Arial" w:cs="Arial"/>
          <w:bCs/>
          <w:color w:val="000000" w:themeColor="text1"/>
          <w:sz w:val="22"/>
          <w:szCs w:val="22"/>
          <w:shd w:val="clear" w:color="auto" w:fill="FFFFFF"/>
          <w:lang w:val="es-MX" w:eastAsia="es-ES"/>
        </w:rPr>
        <w:lastRenderedPageBreak/>
        <w:t>las ofertas –con el alcance que se haya definido en las normas vigentes en un momento determinado–, como parte del principio de selección objetiva y como una manifestación de la prevalencia del derecho sustancial sobre el procesal, en virtud de lo previsto en el artículo 228 de la Constitución Política y en el artículo 25 de la Ley 80 de 1993. De modo que también esa Corporación ha entendido, de forma general, que debe permitirse subsanar en todos los casos en que la normativa vigente lo permita, por lo cual una interpretación en la que se restrinja su ejercicio en circunstancias distintas a las fijadas en la ley sería contraria a tales postulados.</w:t>
      </w:r>
    </w:p>
    <w:p w14:paraId="0C65F4E0" w14:textId="0FA9177B" w:rsidR="00E82A4C" w:rsidRPr="00C0544C" w:rsidRDefault="00E82A4C" w:rsidP="00E82A4C">
      <w:pPr>
        <w:tabs>
          <w:tab w:val="left" w:pos="0"/>
          <w:tab w:val="left" w:pos="8577"/>
        </w:tabs>
        <w:spacing w:after="120" w:line="276" w:lineRule="auto"/>
        <w:ind w:firstLine="709"/>
        <w:jc w:val="both"/>
        <w:rPr>
          <w:rFonts w:ascii="Arial" w:hAnsi="Arial" w:cs="Arial"/>
          <w:bCs/>
          <w:color w:val="000000" w:themeColor="text1"/>
          <w:sz w:val="22"/>
          <w:szCs w:val="22"/>
          <w:shd w:val="clear" w:color="auto" w:fill="FFFFFF"/>
          <w:lang w:val="es-MX" w:eastAsia="es-ES"/>
        </w:rPr>
      </w:pPr>
      <w:r w:rsidRPr="00C0544C">
        <w:rPr>
          <w:rFonts w:ascii="Arial" w:hAnsi="Arial" w:cs="Arial"/>
          <w:bCs/>
          <w:color w:val="000000" w:themeColor="text1"/>
          <w:sz w:val="22"/>
          <w:szCs w:val="22"/>
          <w:shd w:val="clear" w:color="auto" w:fill="FFFFFF"/>
          <w:lang w:val="es-MX" w:eastAsia="es-ES"/>
        </w:rPr>
        <w:t xml:space="preserve">Por todo lo anterior, </w:t>
      </w:r>
      <w:r w:rsidR="006D66C5">
        <w:rPr>
          <w:rFonts w:ascii="Arial" w:hAnsi="Arial" w:cs="Arial"/>
          <w:bCs/>
          <w:color w:val="000000" w:themeColor="text1"/>
          <w:sz w:val="22"/>
          <w:szCs w:val="22"/>
          <w:shd w:val="clear" w:color="auto" w:fill="FFFFFF"/>
          <w:lang w:val="es-MX" w:eastAsia="es-ES"/>
        </w:rPr>
        <w:t xml:space="preserve">a juicio de esta Agencia, </w:t>
      </w:r>
      <w:r w:rsidRPr="00C0544C">
        <w:rPr>
          <w:rFonts w:ascii="Arial" w:hAnsi="Arial" w:cs="Arial"/>
          <w:bCs/>
          <w:color w:val="000000" w:themeColor="text1"/>
          <w:sz w:val="22"/>
          <w:szCs w:val="22"/>
          <w:shd w:val="clear" w:color="auto" w:fill="FFFFFF"/>
          <w:lang w:val="es-MX" w:eastAsia="es-ES"/>
        </w:rPr>
        <w:t>la interpretación según la cual cuando el contenido de un documento pueda usarse para acreditar requisitos habilitantes y a la vez para acreditar factores de ponderación, debe excluirse la posibilidad de subsanar los primeros, no resulta ajustada a la reglas fijadas en el artículo 5 de la Ley 1150 de 2007, modificado por el artículo 5 de la Ley 1882 del 2018, pues, restringe el derecho de los proponentes y</w:t>
      </w:r>
      <w:r w:rsidR="00131989">
        <w:rPr>
          <w:rFonts w:ascii="Arial" w:hAnsi="Arial" w:cs="Arial"/>
          <w:bCs/>
          <w:color w:val="000000" w:themeColor="text1"/>
          <w:sz w:val="22"/>
          <w:szCs w:val="22"/>
          <w:shd w:val="clear" w:color="auto" w:fill="FFFFFF"/>
          <w:lang w:val="es-MX" w:eastAsia="es-ES"/>
        </w:rPr>
        <w:t>,</w:t>
      </w:r>
      <w:r w:rsidRPr="00C0544C">
        <w:rPr>
          <w:rFonts w:ascii="Arial" w:hAnsi="Arial" w:cs="Arial"/>
          <w:bCs/>
          <w:color w:val="000000" w:themeColor="text1"/>
          <w:sz w:val="22"/>
          <w:szCs w:val="22"/>
          <w:shd w:val="clear" w:color="auto" w:fill="FFFFFF"/>
          <w:lang w:val="es-MX" w:eastAsia="es-ES"/>
        </w:rPr>
        <w:t xml:space="preserve"> por tanto, su posibilidad de pasar a la etapa de calificación, en la cual, se insiste, no podrían tenerse en cuenta los documentos subsanados, para la asignación de puntaje. </w:t>
      </w:r>
    </w:p>
    <w:p w14:paraId="1D7D060D" w14:textId="12CDD270" w:rsidR="00E82A4C" w:rsidRPr="00C0544C" w:rsidRDefault="00E82A4C" w:rsidP="002376FD">
      <w:pPr>
        <w:spacing w:after="120" w:line="276" w:lineRule="auto"/>
        <w:ind w:firstLine="708"/>
        <w:jc w:val="both"/>
        <w:rPr>
          <w:rFonts w:ascii="Arial" w:hAnsi="Arial" w:cs="Arial"/>
          <w:color w:val="000000" w:themeColor="text1"/>
          <w:sz w:val="22"/>
          <w:szCs w:val="22"/>
          <w:lang w:val="es-ES_tradnl"/>
        </w:rPr>
      </w:pPr>
      <w:r w:rsidRPr="00C0544C">
        <w:rPr>
          <w:rFonts w:ascii="Arial" w:eastAsia="Arial" w:hAnsi="Arial" w:cs="Arial"/>
          <w:color w:val="000000" w:themeColor="text1"/>
          <w:sz w:val="22"/>
          <w:szCs w:val="22"/>
          <w:lang w:val="es-MX"/>
        </w:rPr>
        <w:t xml:space="preserve">En conclusión, para esta Subdirección resulta claro que la interpretación que más respeta el espíritu del artículo 5 de la Ley 1150 de 2007, modificada por el artículo 5 de la Ley 1882 del 2018, es aquella en la que se entiende que es </w:t>
      </w:r>
      <w:r w:rsidRPr="00C0544C">
        <w:rPr>
          <w:rFonts w:ascii="Arial" w:eastAsia="Arial" w:hAnsi="Arial" w:cs="Arial"/>
          <w:bCs/>
          <w:color w:val="000000" w:themeColor="text1"/>
          <w:sz w:val="22"/>
          <w:szCs w:val="22"/>
          <w:lang w:val="es-MX"/>
        </w:rPr>
        <w:t>procedente subsanar las ofertas en relación con documentos a través de los cuales se acrediten al mismo tiempo requisitos habilitantes y factores de ponderación, siempre que el documento subsanado no sea tenido en cuenta para la asignación de puntaje.</w:t>
      </w:r>
    </w:p>
    <w:p w14:paraId="4AC31A44" w14:textId="77777777" w:rsidR="000A7E0E" w:rsidRPr="007A64D5" w:rsidRDefault="000A7E0E" w:rsidP="000A7E0E">
      <w:pPr>
        <w:spacing w:line="276" w:lineRule="auto"/>
        <w:jc w:val="both"/>
        <w:rPr>
          <w:rStyle w:val="Textoennegrita"/>
          <w:rFonts w:ascii="Arial" w:hAnsi="Arial" w:cs="Arial"/>
          <w:b w:val="0"/>
          <w:color w:val="FF0000"/>
          <w:sz w:val="22"/>
          <w:szCs w:val="22"/>
          <w:shd w:val="clear" w:color="auto" w:fill="FFFFFF"/>
          <w:lang w:val="es-ES_tradnl"/>
        </w:rPr>
      </w:pPr>
    </w:p>
    <w:p w14:paraId="16BF81D8" w14:textId="0658E359" w:rsidR="00CE44D5" w:rsidRPr="007C4DB5" w:rsidRDefault="00CE44D5" w:rsidP="00C4318E">
      <w:pPr>
        <w:spacing w:line="276" w:lineRule="auto"/>
        <w:jc w:val="both"/>
        <w:rPr>
          <w:rFonts w:ascii="Arial" w:eastAsia="Calibri" w:hAnsi="Arial" w:cs="Arial"/>
          <w:sz w:val="22"/>
          <w:szCs w:val="22"/>
          <w:lang w:eastAsia="en-US"/>
        </w:rPr>
      </w:pPr>
      <w:r w:rsidRPr="007C4DB5">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37742CF2" w:rsidR="00CE44D5" w:rsidRPr="005C05FF" w:rsidRDefault="00CE44D5" w:rsidP="005C05FF">
      <w:pPr>
        <w:jc w:val="both"/>
        <w:rPr>
          <w:rFonts w:ascii="Arial" w:eastAsia="Calibri" w:hAnsi="Arial" w:cs="Arial"/>
          <w:sz w:val="22"/>
          <w:szCs w:val="22"/>
          <w:lang w:eastAsia="en-US"/>
        </w:rPr>
      </w:pPr>
      <w:r w:rsidRPr="007A64D5">
        <w:rPr>
          <w:rFonts w:asciiTheme="minorHAnsi" w:eastAsiaTheme="minorHAnsi" w:hAnsiTheme="minorHAnsi" w:cstheme="minorBidi"/>
          <w:noProof/>
          <w:color w:val="FF0000"/>
          <w:sz w:val="22"/>
          <w:szCs w:val="22"/>
          <w:lang w:eastAsia="es-CO"/>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2442A7C3"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3A70A295" w14:textId="2E40B76E" w:rsidR="00CE44D5" w:rsidRDefault="00CE44D5" w:rsidP="00D97F14">
      <w:pPr>
        <w:rPr>
          <w:rFonts w:ascii="Arial" w:hAnsi="Arial" w:cs="Arial"/>
        </w:rPr>
      </w:pPr>
      <w:r w:rsidRPr="00CE44D5">
        <w:rPr>
          <w:rFonts w:ascii="Arial" w:hAnsi="Arial" w:cs="Arial"/>
          <w:sz w:val="22"/>
          <w:szCs w:val="22"/>
          <w:lang w:eastAsia="es-CO"/>
        </w:rPr>
        <w:t>Atentamente,</w:t>
      </w:r>
      <w:r w:rsidR="002A2B90" w:rsidRPr="00CE44D5" w:rsidDel="002A2B90">
        <w:rPr>
          <w:rFonts w:ascii="Arial" w:hAnsi="Arial" w:cs="Arial"/>
          <w:sz w:val="22"/>
          <w:szCs w:val="22"/>
        </w:rPr>
        <w:t xml:space="preserve"> </w:t>
      </w:r>
    </w:p>
    <w:p w14:paraId="3CA05460" w14:textId="5F3D7761" w:rsidR="00EC30A1" w:rsidRPr="00EC30A1" w:rsidRDefault="004838B3" w:rsidP="00C0544C">
      <w:pPr>
        <w:spacing w:before="120" w:line="276" w:lineRule="auto"/>
        <w:jc w:val="center"/>
        <w:rPr>
          <w:rFonts w:ascii="Arial" w:eastAsia="Calibri" w:hAnsi="Arial" w:cs="Arial"/>
          <w:color w:val="000000"/>
          <w:sz w:val="18"/>
          <w:szCs w:val="20"/>
          <w:lang w:val="es-ES_tradnl" w:eastAsia="es-CO"/>
        </w:rPr>
      </w:pPr>
      <w:bookmarkStart w:id="4" w:name="_Hlk108446929"/>
      <w:r w:rsidRPr="00B56176">
        <w:rPr>
          <w:rFonts w:ascii="Arial" w:hAnsi="Arial" w:cs="Arial"/>
          <w:noProof/>
          <w:color w:val="FF0000"/>
          <w:lang w:eastAsia="es-CO"/>
        </w:rPr>
        <w:drawing>
          <wp:inline distT="0" distB="0" distL="0" distR="0" wp14:anchorId="54199EC0" wp14:editId="75EC15C5">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C30A1" w:rsidRPr="00EC30A1" w14:paraId="46E3F018" w14:textId="77777777" w:rsidTr="00EC30A1">
        <w:trPr>
          <w:trHeight w:val="315"/>
        </w:trPr>
        <w:tc>
          <w:tcPr>
            <w:tcW w:w="812" w:type="dxa"/>
            <w:vAlign w:val="center"/>
            <w:hideMark/>
          </w:tcPr>
          <w:p w14:paraId="6DD1AC68" w14:textId="77777777" w:rsidR="00EC30A1" w:rsidRPr="00EC30A1" w:rsidRDefault="00EC30A1" w:rsidP="00EC30A1">
            <w:pPr>
              <w:jc w:val="both"/>
              <w:rPr>
                <w:rFonts w:ascii="Arial" w:hAnsi="Arial" w:cs="Arial"/>
                <w:color w:val="000000"/>
                <w:sz w:val="16"/>
                <w:szCs w:val="16"/>
                <w:lang w:val="es-ES_tradnl" w:eastAsia="es-ES"/>
              </w:rPr>
            </w:pPr>
            <w:r w:rsidRPr="00EC30A1">
              <w:rPr>
                <w:rFonts w:ascii="Arial" w:hAnsi="Arial" w:cs="Arial"/>
                <w:color w:val="000000"/>
                <w:sz w:val="16"/>
                <w:szCs w:val="16"/>
                <w:lang w:val="es-ES_tradnl" w:eastAsia="es-ES"/>
              </w:rPr>
              <w:lastRenderedPageBreak/>
              <w:t>Elaboró:</w:t>
            </w:r>
          </w:p>
        </w:tc>
        <w:tc>
          <w:tcPr>
            <w:tcW w:w="4413" w:type="dxa"/>
            <w:tcBorders>
              <w:top w:val="nil"/>
              <w:left w:val="nil"/>
              <w:bottom w:val="dotted" w:sz="4" w:space="0" w:color="7F7F7F"/>
              <w:right w:val="nil"/>
            </w:tcBorders>
            <w:vAlign w:val="center"/>
            <w:hideMark/>
          </w:tcPr>
          <w:p w14:paraId="1FD00134" w14:textId="77777777" w:rsidR="00EC30A1" w:rsidRPr="00EC30A1" w:rsidRDefault="00EC30A1" w:rsidP="00EC30A1">
            <w:pPr>
              <w:jc w:val="both"/>
              <w:rPr>
                <w:rFonts w:ascii="Arial" w:hAnsi="Arial" w:cs="Arial"/>
                <w:color w:val="000000"/>
                <w:sz w:val="16"/>
                <w:szCs w:val="16"/>
                <w:lang w:val="es-ES_tradnl" w:eastAsia="es-ES"/>
              </w:rPr>
            </w:pPr>
            <w:r w:rsidRPr="00EC30A1">
              <w:rPr>
                <w:rFonts w:ascii="Arial" w:hAnsi="Arial" w:cs="Arial"/>
                <w:color w:val="000000"/>
                <w:sz w:val="16"/>
                <w:szCs w:val="16"/>
                <w:lang w:val="es-ES_tradnl" w:eastAsia="es-ES"/>
              </w:rPr>
              <w:t>José Luis Sánchez Cardona</w:t>
            </w:r>
          </w:p>
          <w:p w14:paraId="09CADF44" w14:textId="77777777" w:rsidR="00EC30A1" w:rsidRPr="00EC30A1" w:rsidRDefault="00EC30A1" w:rsidP="00EC30A1">
            <w:pPr>
              <w:jc w:val="both"/>
              <w:rPr>
                <w:rFonts w:ascii="Arial" w:hAnsi="Arial" w:cs="Arial"/>
                <w:color w:val="000000"/>
                <w:sz w:val="16"/>
                <w:szCs w:val="16"/>
                <w:lang w:val="es-ES_tradnl" w:eastAsia="es-ES"/>
              </w:rPr>
            </w:pPr>
            <w:r w:rsidRPr="00EC30A1">
              <w:rPr>
                <w:rFonts w:ascii="Arial" w:hAnsi="Arial" w:cs="Arial"/>
                <w:color w:val="000000"/>
                <w:sz w:val="16"/>
                <w:szCs w:val="16"/>
                <w:lang w:val="es-ES_tradnl" w:eastAsia="es-ES"/>
              </w:rPr>
              <w:t xml:space="preserve">Contratista de la Subdirección de Gestión Contractual  </w:t>
            </w:r>
          </w:p>
        </w:tc>
      </w:tr>
      <w:tr w:rsidR="00EC30A1" w:rsidRPr="00EC30A1" w14:paraId="13EBAA2A" w14:textId="77777777" w:rsidTr="00EC30A1">
        <w:trPr>
          <w:trHeight w:val="330"/>
        </w:trPr>
        <w:tc>
          <w:tcPr>
            <w:tcW w:w="812" w:type="dxa"/>
            <w:vAlign w:val="center"/>
            <w:hideMark/>
          </w:tcPr>
          <w:p w14:paraId="317EB1FF" w14:textId="77777777" w:rsidR="00EC30A1" w:rsidRPr="00EC30A1" w:rsidRDefault="00EC30A1" w:rsidP="00EC30A1">
            <w:pPr>
              <w:jc w:val="both"/>
              <w:rPr>
                <w:rFonts w:ascii="Arial" w:hAnsi="Arial" w:cs="Arial"/>
                <w:color w:val="000000"/>
                <w:sz w:val="16"/>
                <w:szCs w:val="16"/>
                <w:lang w:val="es-ES_tradnl" w:eastAsia="es-ES"/>
              </w:rPr>
            </w:pPr>
            <w:r w:rsidRPr="00EC30A1">
              <w:rPr>
                <w:rFonts w:ascii="Arial"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647F3EFA" w14:textId="77777777" w:rsidR="00EC30A1" w:rsidRPr="00EC30A1" w:rsidRDefault="00EC30A1" w:rsidP="00EC30A1">
            <w:pPr>
              <w:rPr>
                <w:rFonts w:ascii="Arial" w:eastAsia="Calibri" w:hAnsi="Arial" w:cs="Arial"/>
                <w:color w:val="000000"/>
                <w:sz w:val="16"/>
                <w:szCs w:val="16"/>
                <w:lang w:eastAsia="es-ES"/>
              </w:rPr>
            </w:pPr>
            <w:r w:rsidRPr="00EC30A1">
              <w:rPr>
                <w:rFonts w:ascii="Arial" w:eastAsia="Calibri" w:hAnsi="Arial" w:cs="Arial"/>
                <w:color w:val="000000"/>
                <w:sz w:val="16"/>
                <w:szCs w:val="16"/>
                <w:lang w:eastAsia="es-ES"/>
              </w:rPr>
              <w:t xml:space="preserve">Sebastián Ramírez Griales </w:t>
            </w:r>
          </w:p>
          <w:p w14:paraId="009FF7A2" w14:textId="77777777" w:rsidR="00EC30A1" w:rsidRPr="00EC30A1" w:rsidRDefault="00EC30A1" w:rsidP="00EC30A1">
            <w:pPr>
              <w:jc w:val="both"/>
              <w:rPr>
                <w:rFonts w:ascii="Arial" w:hAnsi="Arial" w:cs="Arial"/>
                <w:color w:val="000000"/>
                <w:sz w:val="16"/>
                <w:szCs w:val="16"/>
                <w:lang w:val="es-ES_tradnl" w:eastAsia="es-ES"/>
              </w:rPr>
            </w:pPr>
            <w:r w:rsidRPr="00EC30A1">
              <w:rPr>
                <w:rFonts w:ascii="Arial" w:hAnsi="Arial" w:cs="Arial"/>
                <w:color w:val="000000"/>
                <w:sz w:val="16"/>
                <w:szCs w:val="16"/>
                <w:lang w:val="es-ES_tradnl" w:eastAsia="es-ES"/>
              </w:rPr>
              <w:t>Contratista de la Subdirección de Gestión Contractual</w:t>
            </w:r>
          </w:p>
        </w:tc>
      </w:tr>
      <w:tr w:rsidR="00EC30A1" w:rsidRPr="00EC30A1" w14:paraId="31D1D894" w14:textId="77777777" w:rsidTr="00EC30A1">
        <w:trPr>
          <w:trHeight w:val="300"/>
        </w:trPr>
        <w:tc>
          <w:tcPr>
            <w:tcW w:w="812" w:type="dxa"/>
            <w:vAlign w:val="center"/>
            <w:hideMark/>
          </w:tcPr>
          <w:p w14:paraId="52EBDC75" w14:textId="77777777" w:rsidR="00EC30A1" w:rsidRPr="00EC30A1" w:rsidRDefault="00EC30A1" w:rsidP="00EC30A1">
            <w:pPr>
              <w:jc w:val="both"/>
              <w:rPr>
                <w:rFonts w:ascii="Arial" w:hAnsi="Arial" w:cs="Arial"/>
                <w:color w:val="000000"/>
                <w:sz w:val="16"/>
                <w:szCs w:val="16"/>
                <w:lang w:val="es-ES_tradnl" w:eastAsia="es-ES"/>
              </w:rPr>
            </w:pPr>
            <w:r w:rsidRPr="00EC30A1">
              <w:rPr>
                <w:rFonts w:ascii="Arial"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3D75599F" w14:textId="77777777" w:rsidR="00EC30A1" w:rsidRPr="00EC30A1" w:rsidRDefault="00EC30A1" w:rsidP="00EC30A1">
            <w:pPr>
              <w:jc w:val="both"/>
              <w:rPr>
                <w:rFonts w:ascii="Arial" w:hAnsi="Arial" w:cs="Arial"/>
                <w:color w:val="000000"/>
                <w:sz w:val="16"/>
                <w:szCs w:val="16"/>
                <w:lang w:val="es-ES_tradnl" w:eastAsia="es-ES"/>
              </w:rPr>
            </w:pPr>
            <w:r w:rsidRPr="00EC30A1">
              <w:rPr>
                <w:rFonts w:ascii="Arial" w:hAnsi="Arial" w:cs="Arial"/>
                <w:color w:val="000000"/>
                <w:sz w:val="16"/>
                <w:szCs w:val="16"/>
                <w:lang w:val="es-ES_tradnl" w:eastAsia="es-ES"/>
              </w:rPr>
              <w:t>Juan David Marín López</w:t>
            </w:r>
          </w:p>
          <w:p w14:paraId="59FBF423" w14:textId="77777777" w:rsidR="00EC30A1" w:rsidRPr="00EC30A1" w:rsidRDefault="00EC30A1" w:rsidP="00EC30A1">
            <w:pPr>
              <w:jc w:val="both"/>
              <w:rPr>
                <w:rFonts w:ascii="Arial" w:hAnsi="Arial" w:cs="Arial"/>
                <w:color w:val="000000"/>
                <w:sz w:val="16"/>
                <w:szCs w:val="16"/>
                <w:lang w:val="es-ES_tradnl" w:eastAsia="es-ES"/>
              </w:rPr>
            </w:pPr>
            <w:r w:rsidRPr="00EC30A1">
              <w:rPr>
                <w:rFonts w:ascii="Arial" w:hAnsi="Arial" w:cs="Arial"/>
                <w:color w:val="000000"/>
                <w:sz w:val="16"/>
                <w:szCs w:val="16"/>
                <w:lang w:val="es-ES_tradnl" w:eastAsia="es-ES"/>
              </w:rPr>
              <w:t>Subdirector de Gestión Contractual (E)</w:t>
            </w:r>
          </w:p>
        </w:tc>
      </w:tr>
      <w:bookmarkEnd w:id="4"/>
    </w:tbl>
    <w:p w14:paraId="5A6E74E3" w14:textId="77777777" w:rsidR="00EC30A1" w:rsidRPr="00EC30A1" w:rsidRDefault="00EC30A1" w:rsidP="00EC30A1">
      <w:pPr>
        <w:spacing w:line="276" w:lineRule="auto"/>
        <w:jc w:val="both"/>
        <w:rPr>
          <w:rFonts w:ascii="Arial" w:hAnsi="Arial" w:cs="Arial"/>
          <w:sz w:val="22"/>
          <w:szCs w:val="22"/>
          <w:lang w:val="es-ES_tradnl" w:eastAsia="es-CO"/>
        </w:rPr>
      </w:pPr>
    </w:p>
    <w:p w14:paraId="5A872179" w14:textId="77777777" w:rsidR="00EC30A1" w:rsidRPr="00EC30A1" w:rsidRDefault="00EC30A1" w:rsidP="00EC30A1">
      <w:pPr>
        <w:jc w:val="both"/>
        <w:rPr>
          <w:rFonts w:ascii="Arial" w:hAnsi="Arial" w:cs="Arial"/>
          <w:lang w:val="es-ES_tradnl"/>
        </w:rPr>
      </w:pPr>
    </w:p>
    <w:p w14:paraId="30525169" w14:textId="77777777" w:rsidR="00CE44D5" w:rsidRPr="00D97F14" w:rsidRDefault="00CE44D5" w:rsidP="00CB3721">
      <w:pPr>
        <w:pStyle w:val="NormalWeb"/>
        <w:spacing w:before="0" w:beforeAutospacing="0" w:after="0" w:afterAutospacing="0" w:line="276" w:lineRule="auto"/>
        <w:jc w:val="both"/>
        <w:rPr>
          <w:rFonts w:ascii="Arial" w:hAnsi="Arial" w:cs="Arial"/>
          <w:lang w:val="es-ES_tradnl"/>
        </w:rPr>
      </w:pPr>
    </w:p>
    <w:sectPr w:rsidR="00CE44D5" w:rsidRPr="00D97F14" w:rsidSect="00CE3F2A">
      <w:headerReference w:type="default" r:id="rId13"/>
      <w:footerReference w:type="default" r:id="rId14"/>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B727B" w16cex:dateUtc="2022-08-08T16: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299E3E" w16cid:durableId="269B727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2E3426" w14:textId="77777777" w:rsidR="00395FBF" w:rsidRDefault="00395FBF">
      <w:r>
        <w:separator/>
      </w:r>
    </w:p>
  </w:endnote>
  <w:endnote w:type="continuationSeparator" w:id="0">
    <w:p w14:paraId="26329809" w14:textId="77777777" w:rsidR="00395FBF" w:rsidRDefault="00395FBF">
      <w:r>
        <w:continuationSeparator/>
      </w:r>
    </w:p>
  </w:endnote>
  <w:endnote w:type="continuationNotice" w:id="1">
    <w:p w14:paraId="48EB37CB" w14:textId="77777777" w:rsidR="00395FBF" w:rsidRDefault="00395F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02A34" w14:textId="77777777" w:rsidR="002376FD" w:rsidRDefault="002376FD" w:rsidP="00322937">
    <w:pPr>
      <w:pStyle w:val="Sinespaciado"/>
      <w:jc w:val="right"/>
      <w:rPr>
        <w:rFonts w:ascii="Arial" w:hAnsi="Arial" w:cs="Arial"/>
        <w:sz w:val="18"/>
        <w:szCs w:val="18"/>
      </w:rPr>
    </w:pPr>
  </w:p>
  <w:p w14:paraId="7A3785F3" w14:textId="666D4116" w:rsidR="002376FD" w:rsidRPr="008217B7" w:rsidRDefault="002376F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838B3">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838B3">
      <w:rPr>
        <w:rFonts w:ascii="Arial" w:hAnsi="Arial" w:cs="Arial"/>
        <w:b/>
        <w:bCs/>
        <w:noProof/>
        <w:color w:val="7F7F7F" w:themeColor="text1" w:themeTint="80"/>
        <w:sz w:val="16"/>
        <w:szCs w:val="16"/>
      </w:rPr>
      <w:t>27</w:t>
    </w:r>
    <w:r w:rsidRPr="00084B97">
      <w:rPr>
        <w:rFonts w:ascii="Arial" w:hAnsi="Arial" w:cs="Arial"/>
        <w:b/>
        <w:bCs/>
        <w:color w:val="7F7F7F" w:themeColor="text1" w:themeTint="80"/>
        <w:sz w:val="16"/>
        <w:szCs w:val="16"/>
      </w:rPr>
      <w:fldChar w:fldCharType="end"/>
    </w:r>
  </w:p>
  <w:p w14:paraId="48FC6A04" w14:textId="5FD1A7C9" w:rsidR="002376FD" w:rsidRDefault="002376FD"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376FD" w:rsidRDefault="002376FD" w:rsidP="007B0854">
    <w:pPr>
      <w:pStyle w:val="Piedepgina"/>
      <w:jc w:val="center"/>
      <w:rPr>
        <w:lang w:val="es-ES"/>
      </w:rPr>
    </w:pPr>
  </w:p>
  <w:p w14:paraId="6C0EFC49" w14:textId="77777777" w:rsidR="002376FD" w:rsidRPr="007B0854" w:rsidRDefault="002376FD"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99BE2" w14:textId="77777777" w:rsidR="00395FBF" w:rsidRDefault="00395FBF">
      <w:r>
        <w:separator/>
      </w:r>
    </w:p>
  </w:footnote>
  <w:footnote w:type="continuationSeparator" w:id="0">
    <w:p w14:paraId="1CA42071" w14:textId="77777777" w:rsidR="00395FBF" w:rsidRDefault="00395FBF">
      <w:r>
        <w:continuationSeparator/>
      </w:r>
    </w:p>
  </w:footnote>
  <w:footnote w:type="continuationNotice" w:id="1">
    <w:p w14:paraId="664DE59B" w14:textId="77777777" w:rsidR="00395FBF" w:rsidRDefault="00395FBF"/>
  </w:footnote>
  <w:footnote w:id="2">
    <w:p w14:paraId="4288562B" w14:textId="77777777" w:rsidR="002376FD" w:rsidRPr="000E2B80" w:rsidRDefault="002376FD" w:rsidP="00F04907">
      <w:pPr>
        <w:pBdr>
          <w:top w:val="nil"/>
          <w:left w:val="nil"/>
          <w:bottom w:val="nil"/>
          <w:right w:val="nil"/>
          <w:between w:val="nil"/>
        </w:pBdr>
        <w:ind w:firstLine="709"/>
        <w:jc w:val="both"/>
        <w:rPr>
          <w:rFonts w:ascii="Arial" w:eastAsia="Arial" w:hAnsi="Arial" w:cs="Arial"/>
          <w:sz w:val="19"/>
          <w:szCs w:val="19"/>
        </w:rPr>
      </w:pPr>
      <w:r w:rsidRPr="000E2B80">
        <w:rPr>
          <w:rFonts w:ascii="Arial" w:hAnsi="Arial" w:cs="Arial"/>
          <w:sz w:val="19"/>
          <w:szCs w:val="19"/>
          <w:vertAlign w:val="superscript"/>
        </w:rPr>
        <w:footnoteRef/>
      </w:r>
      <w:r w:rsidRPr="000E2B80">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E2B80">
        <w:rPr>
          <w:rFonts w:ascii="Arial" w:eastAsia="Arial" w:hAnsi="Arial" w:cs="Arial"/>
          <w:i/>
          <w:sz w:val="19"/>
          <w:szCs w:val="19"/>
        </w:rPr>
        <w:t xml:space="preserve">ibídem </w:t>
      </w:r>
      <w:r w:rsidRPr="000E2B80">
        <w:rPr>
          <w:rFonts w:ascii="Arial" w:eastAsia="Arial" w:hAnsi="Arial" w:cs="Arial"/>
          <w:sz w:val="19"/>
          <w:szCs w:val="19"/>
        </w:rPr>
        <w:t>señala, de manera precisa, las funciones de Colombia Compra Eficiente. Concretamente, el numeral 5º de este artículo establece que le corresponde a esta entidad: «[a]</w:t>
      </w:r>
      <w:proofErr w:type="spellStart"/>
      <w:r w:rsidRPr="000E2B80">
        <w:rPr>
          <w:rFonts w:ascii="Arial" w:eastAsia="Arial" w:hAnsi="Arial" w:cs="Arial"/>
          <w:sz w:val="19"/>
          <w:szCs w:val="19"/>
        </w:rPr>
        <w:t>bsolver</w:t>
      </w:r>
      <w:proofErr w:type="spellEnd"/>
      <w:r w:rsidRPr="000E2B80">
        <w:rPr>
          <w:rFonts w:ascii="Arial" w:eastAsia="Arial" w:hAnsi="Arial" w:cs="Arial"/>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035E7C80" w14:textId="77777777" w:rsidR="002376FD" w:rsidRPr="000E2B80" w:rsidRDefault="002376FD" w:rsidP="00F04907">
      <w:pPr>
        <w:pBdr>
          <w:top w:val="nil"/>
          <w:left w:val="nil"/>
          <w:bottom w:val="nil"/>
          <w:right w:val="nil"/>
          <w:between w:val="nil"/>
        </w:pBdr>
        <w:ind w:firstLine="709"/>
        <w:jc w:val="both"/>
        <w:rPr>
          <w:rFonts w:ascii="Arial" w:eastAsia="Arial" w:hAnsi="Arial" w:cs="Arial"/>
          <w:sz w:val="19"/>
          <w:szCs w:val="19"/>
        </w:rPr>
      </w:pPr>
    </w:p>
  </w:footnote>
  <w:footnote w:id="3">
    <w:p w14:paraId="280AD8F3" w14:textId="77777777" w:rsidR="002376FD" w:rsidRPr="000E2B80" w:rsidRDefault="002376FD" w:rsidP="00F15DC4">
      <w:pPr>
        <w:pStyle w:val="Textonotapie"/>
        <w:ind w:firstLine="709"/>
        <w:jc w:val="both"/>
        <w:rPr>
          <w:rFonts w:ascii="Arial" w:hAnsi="Arial" w:cs="Arial"/>
          <w:color w:val="000000" w:themeColor="text1"/>
          <w:sz w:val="19"/>
          <w:szCs w:val="19"/>
        </w:rPr>
      </w:pPr>
    </w:p>
    <w:p w14:paraId="2F60E226" w14:textId="518CF7CA" w:rsidR="002376FD" w:rsidRPr="00C0544C" w:rsidRDefault="002376FD" w:rsidP="00F15DC4">
      <w:pPr>
        <w:pStyle w:val="Textonotapie"/>
        <w:ind w:firstLine="709"/>
        <w:jc w:val="both"/>
        <w:rPr>
          <w:rFonts w:ascii="Arial" w:hAnsi="Arial" w:cs="Arial"/>
          <w:color w:val="000000" w:themeColor="text1"/>
          <w:sz w:val="19"/>
          <w:szCs w:val="19"/>
          <w:lang w:val="es-ES"/>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w:t>
      </w:r>
      <w:r w:rsidRPr="00C0544C">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32D08739" w14:textId="77777777" w:rsidR="002376FD" w:rsidRPr="00C0544C" w:rsidRDefault="002376FD" w:rsidP="00F15DC4">
      <w:pPr>
        <w:pStyle w:val="Textonotapie"/>
        <w:ind w:firstLine="709"/>
        <w:jc w:val="both"/>
        <w:rPr>
          <w:rFonts w:ascii="Arial" w:hAnsi="Arial" w:cs="Arial"/>
          <w:color w:val="000000" w:themeColor="text1"/>
          <w:sz w:val="19"/>
          <w:szCs w:val="19"/>
          <w:lang w:val="es-ES"/>
        </w:rPr>
      </w:pPr>
      <w:r w:rsidRPr="00C0544C">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04E07120" w14:textId="77777777" w:rsidR="002376FD" w:rsidRPr="00C0544C" w:rsidRDefault="002376FD" w:rsidP="00F15DC4">
      <w:pPr>
        <w:pStyle w:val="Textonotapie"/>
        <w:ind w:firstLine="709"/>
        <w:jc w:val="both"/>
        <w:rPr>
          <w:rFonts w:ascii="Arial" w:hAnsi="Arial" w:cs="Arial"/>
          <w:color w:val="000000" w:themeColor="text1"/>
          <w:sz w:val="19"/>
          <w:szCs w:val="19"/>
          <w:lang w:val="es-ES"/>
        </w:rPr>
      </w:pPr>
      <w:r w:rsidRPr="00C0544C">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31607CD1" w14:textId="77777777" w:rsidR="002376FD" w:rsidRPr="00C0544C" w:rsidRDefault="002376FD" w:rsidP="00F15DC4">
      <w:pPr>
        <w:pStyle w:val="Textonotapie"/>
        <w:ind w:firstLine="709"/>
        <w:jc w:val="both"/>
        <w:rPr>
          <w:rFonts w:ascii="Arial" w:hAnsi="Arial" w:cs="Arial"/>
          <w:color w:val="000000" w:themeColor="text1"/>
          <w:sz w:val="19"/>
          <w:szCs w:val="19"/>
          <w:lang w:val="es-ES"/>
        </w:rPr>
      </w:pPr>
      <w:r w:rsidRPr="00C0544C">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DA12D80" w14:textId="77777777" w:rsidR="002376FD" w:rsidRPr="00C0544C" w:rsidRDefault="002376FD" w:rsidP="00F15DC4">
      <w:pPr>
        <w:pStyle w:val="Textonotapie"/>
        <w:ind w:firstLine="709"/>
        <w:jc w:val="both"/>
        <w:rPr>
          <w:rFonts w:ascii="Arial" w:hAnsi="Arial" w:cs="Arial"/>
          <w:color w:val="000000" w:themeColor="text1"/>
          <w:sz w:val="19"/>
          <w:szCs w:val="19"/>
          <w:lang w:val="es-ES"/>
        </w:rPr>
      </w:pPr>
      <w:r w:rsidRPr="00C0544C">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footnote>
  <w:footnote w:id="4">
    <w:p w14:paraId="0B5B5D99" w14:textId="77777777" w:rsidR="002376FD" w:rsidRPr="00C0544C" w:rsidRDefault="002376FD" w:rsidP="00F15DC4">
      <w:pPr>
        <w:pStyle w:val="Textonotapie"/>
        <w:ind w:firstLine="709"/>
        <w:jc w:val="both"/>
        <w:rPr>
          <w:rFonts w:ascii="Arial" w:hAnsi="Arial" w:cs="Arial"/>
          <w:color w:val="000000" w:themeColor="text1"/>
          <w:sz w:val="19"/>
          <w:szCs w:val="19"/>
          <w:lang w:val="es-ES"/>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Consejo de Estado. Sección Tercera. Subsección A. Sentencia del 25 de octubre de 2019. </w:t>
      </w:r>
      <w:proofErr w:type="spellStart"/>
      <w:r w:rsidRPr="00C0544C">
        <w:rPr>
          <w:rFonts w:ascii="Arial" w:hAnsi="Arial" w:cs="Arial"/>
          <w:color w:val="000000" w:themeColor="text1"/>
          <w:sz w:val="19"/>
          <w:szCs w:val="19"/>
        </w:rPr>
        <w:t>Exp</w:t>
      </w:r>
      <w:proofErr w:type="spellEnd"/>
      <w:r w:rsidRPr="00C0544C">
        <w:rPr>
          <w:rFonts w:ascii="Arial" w:hAnsi="Arial" w:cs="Arial"/>
          <w:color w:val="000000" w:themeColor="text1"/>
          <w:sz w:val="19"/>
          <w:szCs w:val="19"/>
        </w:rPr>
        <w:t>. 39.945. Consejera Ponente: María Adriana Marín.</w:t>
      </w:r>
    </w:p>
  </w:footnote>
  <w:footnote w:id="5">
    <w:p w14:paraId="4B225EBE" w14:textId="77777777" w:rsidR="002376FD" w:rsidRPr="00C0544C" w:rsidRDefault="002376FD" w:rsidP="00F15DC4">
      <w:pPr>
        <w:pStyle w:val="Textonotapie"/>
        <w:ind w:firstLine="709"/>
        <w:jc w:val="both"/>
        <w:rPr>
          <w:rFonts w:ascii="Arial" w:hAnsi="Arial" w:cs="Arial"/>
          <w:color w:val="000000" w:themeColor="text1"/>
          <w:sz w:val="19"/>
          <w:szCs w:val="19"/>
        </w:rPr>
      </w:pPr>
    </w:p>
    <w:p w14:paraId="009986A7" w14:textId="27E6617E"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Style w:val="Refdenotaalpie"/>
          <w:rFonts w:ascii="Arial" w:hAnsi="Arial" w:cs="Arial"/>
          <w:color w:val="000000" w:themeColor="text1"/>
          <w:sz w:val="19"/>
          <w:szCs w:val="19"/>
        </w:rPr>
        <w:t xml:space="preserve"> </w:t>
      </w:r>
      <w:r w:rsidRPr="00C0544C">
        <w:rPr>
          <w:rFonts w:ascii="Arial" w:hAnsi="Arial" w:cs="Arial"/>
          <w:color w:val="000000" w:themeColor="text1"/>
          <w:sz w:val="19"/>
          <w:szCs w:val="19"/>
        </w:rPr>
        <w:t xml:space="preserve">Consejo de Estado. Sección Tercera. Subsección A. Sentencia del 5 de julio de 2018. </w:t>
      </w:r>
      <w:proofErr w:type="spellStart"/>
      <w:r w:rsidRPr="00C0544C">
        <w:rPr>
          <w:rFonts w:ascii="Arial" w:hAnsi="Arial" w:cs="Arial"/>
          <w:color w:val="000000" w:themeColor="text1"/>
          <w:sz w:val="19"/>
          <w:szCs w:val="19"/>
        </w:rPr>
        <w:t>Exp</w:t>
      </w:r>
      <w:proofErr w:type="spellEnd"/>
      <w:r w:rsidRPr="00C0544C">
        <w:rPr>
          <w:rFonts w:ascii="Arial" w:hAnsi="Arial" w:cs="Arial"/>
          <w:color w:val="000000" w:themeColor="text1"/>
          <w:sz w:val="19"/>
          <w:szCs w:val="19"/>
        </w:rPr>
        <w:t>. 37.834. Consejero Ponente: Carlos Alberto Zambrano Barrera.</w:t>
      </w:r>
    </w:p>
    <w:p w14:paraId="4C36D8B1" w14:textId="77777777" w:rsidR="002376FD" w:rsidRPr="00C0544C" w:rsidRDefault="002376FD" w:rsidP="00F15DC4">
      <w:pPr>
        <w:pStyle w:val="Textonotapie"/>
        <w:ind w:firstLine="709"/>
        <w:jc w:val="both"/>
        <w:rPr>
          <w:rFonts w:ascii="Arial" w:hAnsi="Arial" w:cs="Arial"/>
          <w:color w:val="000000" w:themeColor="text1"/>
          <w:sz w:val="19"/>
          <w:szCs w:val="19"/>
          <w:lang w:val="es-ES"/>
        </w:rPr>
      </w:pPr>
    </w:p>
  </w:footnote>
  <w:footnote w:id="6">
    <w:p w14:paraId="5F7A655F" w14:textId="6CB20CC2" w:rsidR="002376FD" w:rsidRPr="00C0544C" w:rsidRDefault="002376FD" w:rsidP="007C4DB5">
      <w:pPr>
        <w:pStyle w:val="Textonotapie"/>
        <w:ind w:firstLine="708"/>
        <w:jc w:val="both"/>
        <w:rPr>
          <w:sz w:val="19"/>
          <w:szCs w:val="19"/>
          <w:lang w:val="es-ES"/>
        </w:rPr>
      </w:pPr>
      <w:r w:rsidRPr="00C0544C">
        <w:rPr>
          <w:rStyle w:val="Refdenotaalpie"/>
          <w:sz w:val="19"/>
          <w:szCs w:val="19"/>
        </w:rPr>
        <w:footnoteRef/>
      </w:r>
      <w:r w:rsidRPr="00C0544C">
        <w:rPr>
          <w:sz w:val="19"/>
          <w:szCs w:val="19"/>
        </w:rPr>
        <w:t xml:space="preserve"> </w:t>
      </w:r>
      <w:r w:rsidRPr="00C0544C">
        <w:rPr>
          <w:rFonts w:ascii="Arial" w:hAnsi="Arial" w:cs="Arial"/>
          <w:sz w:val="19"/>
          <w:szCs w:val="19"/>
        </w:rPr>
        <w:t xml:space="preserve">EXPÓSITO VÉLEZ, Juan Carlos. Forma y contenido del contrato estatal. Bogotá: Universidad Externado de Colombia, 2013. pp. 55- 56. </w:t>
      </w:r>
    </w:p>
  </w:footnote>
  <w:footnote w:id="7">
    <w:p w14:paraId="7C738F51" w14:textId="77777777" w:rsidR="002376FD" w:rsidRPr="00C0544C" w:rsidRDefault="002376FD" w:rsidP="00F15DC4">
      <w:pPr>
        <w:pStyle w:val="Textonotapie"/>
        <w:ind w:firstLine="709"/>
        <w:jc w:val="both"/>
        <w:rPr>
          <w:rFonts w:ascii="Arial" w:hAnsi="Arial" w:cs="Arial"/>
          <w:color w:val="000000" w:themeColor="text1"/>
          <w:sz w:val="19"/>
          <w:szCs w:val="19"/>
        </w:rPr>
      </w:pPr>
    </w:p>
    <w:p w14:paraId="1CCF702A" w14:textId="363DD079"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5D0EB746" w14:textId="77777777" w:rsidR="002376FD" w:rsidRPr="00C0544C" w:rsidRDefault="002376FD" w:rsidP="00F15DC4">
      <w:pPr>
        <w:pStyle w:val="Textonotapie"/>
        <w:ind w:firstLine="709"/>
        <w:jc w:val="both"/>
        <w:rPr>
          <w:rFonts w:ascii="Arial" w:hAnsi="Arial" w:cs="Arial"/>
          <w:color w:val="000000" w:themeColor="text1"/>
          <w:sz w:val="19"/>
          <w:szCs w:val="19"/>
        </w:rPr>
      </w:pPr>
    </w:p>
  </w:footnote>
  <w:footnote w:id="8">
    <w:p w14:paraId="1899F0BB" w14:textId="77777777"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9">
    <w:p w14:paraId="274B11C3" w14:textId="77777777" w:rsidR="002376FD" w:rsidRPr="00C0544C" w:rsidRDefault="002376FD" w:rsidP="00F15DC4">
      <w:pPr>
        <w:pStyle w:val="Textonotapie"/>
        <w:ind w:firstLine="709"/>
        <w:jc w:val="both"/>
        <w:rPr>
          <w:rFonts w:ascii="Arial" w:hAnsi="Arial" w:cs="Arial"/>
          <w:color w:val="000000" w:themeColor="text1"/>
          <w:sz w:val="19"/>
          <w:szCs w:val="19"/>
        </w:rPr>
      </w:pPr>
    </w:p>
    <w:p w14:paraId="64B4EE21" w14:textId="5BAD6D68"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Consejo de Estado. Sección Tercera. Subsección C. Sentencia del 26 de febrero de 2014. Expediente: 25.804. Consejero Ponente: Enrique Gil Botero.</w:t>
      </w:r>
    </w:p>
  </w:footnote>
  <w:footnote w:id="10">
    <w:p w14:paraId="2E61114A" w14:textId="77777777" w:rsidR="002376FD" w:rsidRPr="00C0544C" w:rsidRDefault="002376FD" w:rsidP="00F15DC4">
      <w:pPr>
        <w:pStyle w:val="Textonotapie"/>
        <w:ind w:firstLine="709"/>
        <w:jc w:val="both"/>
        <w:rPr>
          <w:rFonts w:ascii="Arial" w:hAnsi="Arial" w:cs="Arial"/>
          <w:color w:val="000000" w:themeColor="text1"/>
          <w:sz w:val="19"/>
          <w:szCs w:val="19"/>
        </w:rPr>
      </w:pPr>
    </w:p>
    <w:p w14:paraId="0C204AAC" w14:textId="0835986B"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Style w:val="Refdenotaalpie"/>
          <w:rFonts w:ascii="Arial" w:hAnsi="Arial" w:cs="Arial"/>
          <w:color w:val="000000" w:themeColor="text1"/>
          <w:sz w:val="19"/>
          <w:szCs w:val="19"/>
        </w:rPr>
        <w:t xml:space="preserve"> </w:t>
      </w:r>
      <w:r w:rsidRPr="00C0544C">
        <w:rPr>
          <w:rFonts w:ascii="Arial" w:hAnsi="Arial" w:cs="Arial"/>
          <w:color w:val="000000" w:themeColor="text1"/>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0B24F94C" w14:textId="77777777" w:rsidR="002376FD" w:rsidRPr="00C0544C" w:rsidRDefault="002376FD" w:rsidP="00F15DC4">
      <w:pPr>
        <w:pStyle w:val="Textonotapie"/>
        <w:ind w:firstLine="709"/>
        <w:jc w:val="both"/>
        <w:rPr>
          <w:rFonts w:ascii="Arial" w:hAnsi="Arial" w:cs="Arial"/>
          <w:color w:val="000000" w:themeColor="text1"/>
          <w:sz w:val="19"/>
          <w:szCs w:val="19"/>
        </w:rPr>
      </w:pPr>
    </w:p>
  </w:footnote>
  <w:footnote w:id="11">
    <w:p w14:paraId="5C9E7049" w14:textId="6B9A859B" w:rsidR="002376FD" w:rsidRPr="00C0544C" w:rsidRDefault="002376FD" w:rsidP="0057420C">
      <w:pPr>
        <w:pStyle w:val="NormalWeb"/>
        <w:shd w:val="clear" w:color="auto" w:fill="FFFFFF"/>
        <w:spacing w:before="0" w:beforeAutospacing="0" w:after="0" w:afterAutospacing="0"/>
        <w:ind w:firstLine="708"/>
        <w:jc w:val="both"/>
        <w:rPr>
          <w:rFonts w:ascii="Arial" w:hAnsi="Arial" w:cs="Arial"/>
          <w:sz w:val="19"/>
          <w:szCs w:val="19"/>
          <w:lang w:val="es-ES" w:eastAsia="en-US"/>
        </w:rPr>
      </w:pPr>
      <w:r w:rsidRPr="00C0544C">
        <w:rPr>
          <w:rStyle w:val="Refdenotaalpie"/>
          <w:rFonts w:ascii="Arial" w:hAnsi="Arial" w:cs="Arial"/>
          <w:sz w:val="19"/>
          <w:szCs w:val="19"/>
        </w:rPr>
        <w:footnoteRef/>
      </w:r>
      <w:r w:rsidRPr="00C0544C">
        <w:rPr>
          <w:rFonts w:ascii="Arial" w:hAnsi="Arial" w:cs="Arial"/>
          <w:sz w:val="19"/>
          <w:szCs w:val="19"/>
        </w:rPr>
        <w:t xml:space="preserve"> «</w:t>
      </w:r>
      <w:r w:rsidRPr="00C0544C">
        <w:rPr>
          <w:rFonts w:ascii="Arial" w:hAnsi="Arial" w:cs="Arial"/>
          <w:bCs/>
          <w:sz w:val="19"/>
          <w:szCs w:val="19"/>
          <w:shd w:val="clear" w:color="auto" w:fill="FFFFFF"/>
        </w:rPr>
        <w:t>2.2.1.2.1.5.2</w:t>
      </w:r>
      <w:r w:rsidRPr="00C0544C">
        <w:rPr>
          <w:rFonts w:ascii="Arial" w:hAnsi="Arial" w:cs="Arial"/>
          <w:sz w:val="19"/>
          <w:szCs w:val="19"/>
          <w:lang w:val="es-ES" w:eastAsia="en-US"/>
        </w:rPr>
        <w:t xml:space="preserve">5. </w:t>
      </w:r>
      <w:r w:rsidRPr="00C0544C">
        <w:rPr>
          <w:rFonts w:ascii="Arial" w:hAnsi="Arial" w:cs="Arial"/>
          <w:bCs/>
          <w:sz w:val="19"/>
          <w:szCs w:val="19"/>
          <w:lang w:val="es-ES" w:eastAsia="en-US"/>
        </w:rPr>
        <w:t>Procedimiento para la contratación de mínima cuantía.</w:t>
      </w:r>
      <w:r w:rsidRPr="00C0544C">
        <w:rPr>
          <w:rFonts w:ascii="Arial" w:hAnsi="Arial" w:cs="Arial"/>
          <w:sz w:val="19"/>
          <w:szCs w:val="19"/>
          <w:lang w:val="es-ES" w:eastAsia="en-US"/>
        </w:rPr>
        <w:t> Las siguientes reglas son aplicables a la contratación cuyo valor no excede del diez por ciento (10%) de la menor cuantía de la Entidad Estatal, independientemente de su objeto:</w:t>
      </w:r>
    </w:p>
    <w:p w14:paraId="0C223273" w14:textId="3EC3E5DB" w:rsidR="002376FD" w:rsidRPr="00C0544C" w:rsidRDefault="002376FD" w:rsidP="0057420C">
      <w:pPr>
        <w:pStyle w:val="NormalWeb"/>
        <w:shd w:val="clear" w:color="auto" w:fill="FFFFFF"/>
        <w:spacing w:before="0" w:beforeAutospacing="0" w:after="0" w:afterAutospacing="0"/>
        <w:ind w:firstLine="708"/>
        <w:jc w:val="both"/>
        <w:rPr>
          <w:rFonts w:ascii="Arial" w:hAnsi="Arial" w:cs="Arial"/>
          <w:sz w:val="19"/>
          <w:szCs w:val="19"/>
          <w:lang w:val="es-ES" w:eastAsia="en-US"/>
        </w:rPr>
      </w:pPr>
      <w:r w:rsidRPr="00C0544C">
        <w:rPr>
          <w:rFonts w:ascii="Arial" w:hAnsi="Arial" w:cs="Arial"/>
          <w:sz w:val="19"/>
          <w:szCs w:val="19"/>
          <w:lang w:val="es-ES" w:eastAsia="en-US"/>
        </w:rPr>
        <w:t>[…]</w:t>
      </w:r>
    </w:p>
    <w:p w14:paraId="2678EF86" w14:textId="151BB4AD" w:rsidR="002376FD" w:rsidRPr="00C0544C" w:rsidRDefault="002376FD" w:rsidP="0057420C">
      <w:pPr>
        <w:pStyle w:val="NormalWeb"/>
        <w:shd w:val="clear" w:color="auto" w:fill="FFFFFF"/>
        <w:spacing w:before="0" w:beforeAutospacing="0" w:after="0" w:afterAutospacing="0"/>
        <w:ind w:firstLine="708"/>
        <w:jc w:val="both"/>
        <w:rPr>
          <w:rFonts w:ascii="Arial" w:hAnsi="Arial" w:cs="Arial"/>
          <w:sz w:val="19"/>
          <w:szCs w:val="19"/>
          <w:lang w:val="es-ES" w:eastAsia="en-US"/>
        </w:rPr>
      </w:pPr>
      <w:r w:rsidRPr="00C0544C">
        <w:rPr>
          <w:rFonts w:ascii="Arial" w:hAnsi="Arial" w:cs="Arial"/>
          <w:sz w:val="19"/>
          <w:szCs w:val="19"/>
        </w:rPr>
        <w:t>»</w:t>
      </w:r>
      <w:r w:rsidRPr="00C0544C">
        <w:rPr>
          <w:rFonts w:ascii="Arial" w:hAnsi="Arial" w:cs="Arial"/>
          <w:sz w:val="19"/>
          <w:szCs w:val="19"/>
          <w:lang w:val="es-ES" w:eastAsia="en-U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1" w:anchor="5" w:history="1">
        <w:r w:rsidRPr="00C0544C">
          <w:rPr>
            <w:rFonts w:ascii="Arial" w:hAnsi="Arial" w:cs="Arial"/>
            <w:sz w:val="19"/>
            <w:szCs w:val="19"/>
            <w:u w:val="single"/>
            <w:lang w:val="es-ES" w:eastAsia="en-US"/>
          </w:rPr>
          <w:t>5 </w:t>
        </w:r>
      </w:hyperlink>
      <w:r w:rsidRPr="00C0544C">
        <w:rPr>
          <w:rFonts w:ascii="Arial" w:hAnsi="Arial" w:cs="Arial"/>
          <w:sz w:val="19"/>
          <w:szCs w:val="19"/>
          <w:lang w:val="es-ES" w:eastAsia="en-US"/>
        </w:rPr>
        <w:t xml:space="preserve">de la Ley 1150 de 2007, para lo cual establecerán un término </w:t>
      </w:r>
      <w:proofErr w:type="spellStart"/>
      <w:r w:rsidRPr="00C0544C">
        <w:rPr>
          <w:rFonts w:ascii="Arial" w:hAnsi="Arial" w:cs="Arial"/>
          <w:sz w:val="19"/>
          <w:szCs w:val="19"/>
          <w:lang w:val="es-ES" w:eastAsia="en-US"/>
        </w:rPr>
        <w:t>preclusivo</w:t>
      </w:r>
      <w:proofErr w:type="spellEnd"/>
      <w:r w:rsidRPr="00C0544C">
        <w:rPr>
          <w:rFonts w:ascii="Arial" w:hAnsi="Arial" w:cs="Arial"/>
          <w:sz w:val="19"/>
          <w:szCs w:val="19"/>
          <w:lang w:val="es-ES" w:eastAsia="en-US"/>
        </w:rPr>
        <w:t xml:space="preserve"> en la invitación para recibir los documentos subsanables, frente a cada uno de los requerimientos. En caso de que no se establezca este término, los proponentes podrán subsanar sus ofertas hasta antes de que finalice el traslado del informe de evaluación</w:t>
      </w:r>
      <w:r w:rsidRPr="00C0544C">
        <w:rPr>
          <w:rFonts w:ascii="Arial" w:hAnsi="Arial" w:cs="Arial"/>
          <w:sz w:val="19"/>
          <w:szCs w:val="19"/>
        </w:rPr>
        <w:t>»</w:t>
      </w:r>
      <w:r w:rsidRPr="00C0544C">
        <w:rPr>
          <w:rFonts w:ascii="Arial" w:hAnsi="Arial" w:cs="Arial"/>
          <w:sz w:val="19"/>
          <w:szCs w:val="19"/>
          <w:lang w:val="es-ES" w:eastAsia="en-US"/>
        </w:rPr>
        <w:t>.</w:t>
      </w:r>
    </w:p>
    <w:p w14:paraId="22A2B115" w14:textId="2BAE5ABA" w:rsidR="002376FD" w:rsidRPr="00C0544C" w:rsidRDefault="002376FD">
      <w:pPr>
        <w:pStyle w:val="Textonotapie"/>
        <w:rPr>
          <w:sz w:val="19"/>
          <w:szCs w:val="19"/>
          <w:lang w:val="es-ES"/>
        </w:rPr>
      </w:pPr>
    </w:p>
  </w:footnote>
  <w:footnote w:id="12">
    <w:p w14:paraId="32661E9D" w14:textId="77777777"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«Sin embargo, debe tenerse en cuenta que la última norma en cita -Decreto 2474 de 2008, aparte subrayado-, establece un límite a la </w:t>
      </w:r>
      <w:proofErr w:type="spellStart"/>
      <w:r w:rsidRPr="00C0544C">
        <w:rPr>
          <w:rFonts w:ascii="Arial" w:hAnsi="Arial" w:cs="Arial"/>
          <w:color w:val="000000" w:themeColor="text1"/>
          <w:sz w:val="19"/>
          <w:szCs w:val="19"/>
        </w:rPr>
        <w:t>subsanabilidad</w:t>
      </w:r>
      <w:proofErr w:type="spellEnd"/>
      <w:r w:rsidRPr="00C0544C">
        <w:rPr>
          <w:rFonts w:ascii="Arial" w:hAnsi="Arial" w:cs="Arial"/>
          <w:color w:val="000000" w:themeColor="text1"/>
          <w:sz w:val="19"/>
          <w:szCs w:val="19"/>
        </w:rPr>
        <w:t>, puesto que en cualquier caso debe referirse o recaer sobre circunstancias ocurridas antes del cierre del respectivo proceso, esto es, del vencimiento del plazo para presentar ofertas.</w:t>
      </w:r>
    </w:p>
    <w:p w14:paraId="12B1472D" w14:textId="77777777" w:rsidR="002376FD" w:rsidRPr="00C0544C" w:rsidRDefault="002376FD" w:rsidP="00F15DC4">
      <w:pPr>
        <w:pStyle w:val="Textonotapie"/>
        <w:ind w:firstLine="709"/>
        <w:jc w:val="both"/>
        <w:rPr>
          <w:rFonts w:ascii="Arial" w:hAnsi="Arial" w:cs="Arial"/>
          <w:color w:val="000000" w:themeColor="text1"/>
          <w:sz w:val="19"/>
          <w:szCs w:val="19"/>
        </w:rPr>
      </w:pPr>
      <w:r w:rsidRPr="00C0544C">
        <w:rPr>
          <w:rFonts w:ascii="Arial" w:hAnsi="Arial" w:cs="Arial"/>
          <w:color w:val="000000" w:themeColor="text1"/>
          <w:sz w:val="19"/>
          <w:szCs w:val="19"/>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36045088" w14:textId="77777777" w:rsidR="002376FD" w:rsidRPr="00C0544C" w:rsidRDefault="002376FD" w:rsidP="00F15DC4">
      <w:pPr>
        <w:pStyle w:val="Textonotapie"/>
        <w:ind w:firstLine="709"/>
        <w:jc w:val="both"/>
        <w:rPr>
          <w:rFonts w:ascii="Arial" w:hAnsi="Arial" w:cs="Arial"/>
          <w:color w:val="000000" w:themeColor="text1"/>
          <w:sz w:val="19"/>
          <w:szCs w:val="19"/>
        </w:rPr>
      </w:pPr>
    </w:p>
  </w:footnote>
  <w:footnote w:id="13">
    <w:p w14:paraId="6DC50908" w14:textId="744029F6" w:rsidR="00923C41" w:rsidRPr="00C0544C" w:rsidRDefault="00923C41" w:rsidP="00C0544C">
      <w:pPr>
        <w:pStyle w:val="Textonotapie"/>
        <w:ind w:firstLine="709"/>
        <w:jc w:val="both"/>
        <w:rPr>
          <w:rFonts w:ascii="Arial" w:hAnsi="Arial" w:cs="Arial"/>
          <w:color w:val="000000" w:themeColor="text1"/>
          <w:sz w:val="19"/>
          <w:szCs w:val="19"/>
        </w:rPr>
      </w:pPr>
      <w:r>
        <w:rPr>
          <w:rStyle w:val="Refdenotaalpie"/>
        </w:rPr>
        <w:footnoteRef/>
      </w:r>
      <w:r>
        <w:t xml:space="preserve"> </w:t>
      </w:r>
      <w:r w:rsidRPr="00C0544C">
        <w:rPr>
          <w:rFonts w:ascii="Arial" w:hAnsi="Arial" w:cs="Arial"/>
          <w:color w:val="000000" w:themeColor="text1"/>
          <w:sz w:val="19"/>
          <w:szCs w:val="19"/>
        </w:rPr>
        <w:t xml:space="preserve">En armonía con lo anterior, actualmente la Circular Externa Única de Colombia Compra Eficiente señala lo siguiente: </w:t>
      </w:r>
      <w:r>
        <w:rPr>
          <w:rFonts w:ascii="Arial" w:hAnsi="Arial" w:cs="Arial"/>
          <w:color w:val="000000" w:themeColor="text1"/>
          <w:sz w:val="19"/>
          <w:szCs w:val="19"/>
        </w:rPr>
        <w:t>«</w:t>
      </w:r>
      <w:r w:rsidRPr="00C0544C">
        <w:rPr>
          <w:rFonts w:ascii="Arial" w:hAnsi="Arial" w:cs="Arial"/>
          <w:color w:val="000000" w:themeColor="text1"/>
          <w:sz w:val="19"/>
          <w:szCs w:val="19"/>
        </w:rPr>
        <w:t>De otro lado, cabe destacar que, de conformidad con el artículo 5 de la Ley 1882 de 2018, durante</w:t>
      </w:r>
      <w:r>
        <w:rPr>
          <w:rFonts w:ascii="Arial" w:hAnsi="Arial" w:cs="Arial"/>
          <w:color w:val="000000" w:themeColor="text1"/>
          <w:sz w:val="19"/>
          <w:szCs w:val="19"/>
        </w:rPr>
        <w:t xml:space="preserve"> </w:t>
      </w:r>
      <w:r w:rsidRPr="00C0544C">
        <w:rPr>
          <w:rFonts w:ascii="Arial" w:hAnsi="Arial" w:cs="Arial"/>
          <w:color w:val="000000" w:themeColor="text1"/>
          <w:sz w:val="19"/>
          <w:szCs w:val="19"/>
        </w:rPr>
        <w:t>el</w:t>
      </w:r>
      <w:r>
        <w:rPr>
          <w:rFonts w:ascii="Arial" w:hAnsi="Arial" w:cs="Arial"/>
          <w:color w:val="000000" w:themeColor="text1"/>
          <w:sz w:val="19"/>
          <w:szCs w:val="19"/>
        </w:rPr>
        <w:t xml:space="preserve"> </w:t>
      </w:r>
      <w:r w:rsidRPr="00C0544C">
        <w:rPr>
          <w:rFonts w:ascii="Arial" w:hAnsi="Arial" w:cs="Arial"/>
          <w:color w:val="000000" w:themeColor="text1"/>
          <w:sz w:val="19"/>
          <w:szCs w:val="19"/>
        </w:rPr>
        <w:t>término</w:t>
      </w:r>
      <w:r>
        <w:rPr>
          <w:rFonts w:ascii="Arial" w:hAnsi="Arial" w:cs="Arial"/>
          <w:color w:val="000000" w:themeColor="text1"/>
          <w:sz w:val="19"/>
          <w:szCs w:val="19"/>
        </w:rPr>
        <w:t xml:space="preserve"> </w:t>
      </w:r>
      <w:r w:rsidRPr="00C0544C">
        <w:rPr>
          <w:rFonts w:ascii="Arial" w:hAnsi="Arial" w:cs="Arial"/>
          <w:color w:val="000000" w:themeColor="text1"/>
          <w:sz w:val="19"/>
          <w:szCs w:val="19"/>
        </w:rPr>
        <w:t>otorgado</w:t>
      </w:r>
      <w:r>
        <w:rPr>
          <w:rFonts w:ascii="Arial" w:hAnsi="Arial" w:cs="Arial"/>
          <w:color w:val="000000" w:themeColor="text1"/>
          <w:sz w:val="19"/>
          <w:szCs w:val="19"/>
        </w:rPr>
        <w:t xml:space="preserve"> </w:t>
      </w:r>
      <w:r w:rsidRPr="00C0544C">
        <w:rPr>
          <w:rFonts w:ascii="Arial" w:hAnsi="Arial" w:cs="Arial"/>
          <w:color w:val="000000" w:themeColor="text1"/>
          <w:sz w:val="19"/>
          <w:szCs w:val="19"/>
        </w:rPr>
        <w:t>para</w:t>
      </w:r>
      <w:r>
        <w:rPr>
          <w:rFonts w:ascii="Arial" w:hAnsi="Arial" w:cs="Arial"/>
          <w:color w:val="000000" w:themeColor="text1"/>
          <w:sz w:val="19"/>
          <w:szCs w:val="19"/>
        </w:rPr>
        <w:t xml:space="preserve"> </w:t>
      </w:r>
      <w:r w:rsidRPr="00C0544C">
        <w:rPr>
          <w:rFonts w:ascii="Arial" w:hAnsi="Arial" w:cs="Arial"/>
          <w:color w:val="000000" w:themeColor="text1"/>
          <w:sz w:val="19"/>
          <w:szCs w:val="19"/>
        </w:rPr>
        <w:t>subsanar,</w:t>
      </w:r>
      <w:r>
        <w:rPr>
          <w:rFonts w:ascii="Arial" w:hAnsi="Arial" w:cs="Arial"/>
          <w:color w:val="000000" w:themeColor="text1"/>
          <w:sz w:val="19"/>
          <w:szCs w:val="19"/>
        </w:rPr>
        <w:t xml:space="preserve"> </w:t>
      </w:r>
      <w:r w:rsidRPr="00C0544C">
        <w:rPr>
          <w:rFonts w:ascii="Arial" w:hAnsi="Arial" w:cs="Arial"/>
          <w:color w:val="000000" w:themeColor="text1"/>
          <w:sz w:val="19"/>
          <w:szCs w:val="19"/>
        </w:rPr>
        <w:t>los</w:t>
      </w:r>
      <w:r>
        <w:rPr>
          <w:rFonts w:ascii="Arial" w:hAnsi="Arial" w:cs="Arial"/>
          <w:color w:val="000000" w:themeColor="text1"/>
          <w:sz w:val="19"/>
          <w:szCs w:val="19"/>
        </w:rPr>
        <w:t xml:space="preserve"> </w:t>
      </w:r>
      <w:r w:rsidRPr="00C0544C">
        <w:rPr>
          <w:rFonts w:ascii="Arial" w:hAnsi="Arial" w:cs="Arial"/>
          <w:color w:val="000000" w:themeColor="text1"/>
          <w:sz w:val="19"/>
          <w:szCs w:val="19"/>
        </w:rPr>
        <w:t>proponentes</w:t>
      </w:r>
      <w:r>
        <w:rPr>
          <w:rFonts w:ascii="Arial" w:hAnsi="Arial" w:cs="Arial"/>
          <w:color w:val="000000" w:themeColor="text1"/>
          <w:sz w:val="19"/>
          <w:szCs w:val="19"/>
        </w:rPr>
        <w:t xml:space="preserve"> </w:t>
      </w:r>
      <w:r w:rsidRPr="00C0544C">
        <w:rPr>
          <w:rFonts w:ascii="Arial" w:hAnsi="Arial" w:cs="Arial"/>
          <w:color w:val="000000" w:themeColor="text1"/>
          <w:sz w:val="19"/>
          <w:szCs w:val="19"/>
        </w:rPr>
        <w:t>no</w:t>
      </w:r>
      <w:r>
        <w:rPr>
          <w:rFonts w:ascii="Arial" w:hAnsi="Arial" w:cs="Arial"/>
          <w:color w:val="000000" w:themeColor="text1"/>
          <w:sz w:val="19"/>
          <w:szCs w:val="19"/>
        </w:rPr>
        <w:t xml:space="preserve"> </w:t>
      </w:r>
      <w:r w:rsidRPr="00C0544C">
        <w:rPr>
          <w:rFonts w:ascii="Arial" w:hAnsi="Arial" w:cs="Arial"/>
          <w:color w:val="000000" w:themeColor="text1"/>
          <w:sz w:val="19"/>
          <w:szCs w:val="19"/>
        </w:rPr>
        <w:t>podrán</w:t>
      </w:r>
      <w:r>
        <w:rPr>
          <w:rFonts w:ascii="Arial" w:hAnsi="Arial" w:cs="Arial"/>
          <w:color w:val="000000" w:themeColor="text1"/>
          <w:sz w:val="19"/>
          <w:szCs w:val="19"/>
        </w:rPr>
        <w:t xml:space="preserve"> </w:t>
      </w:r>
      <w:r w:rsidRPr="00C0544C">
        <w:rPr>
          <w:rFonts w:ascii="Arial" w:hAnsi="Arial" w:cs="Arial"/>
          <w:color w:val="000000" w:themeColor="text1"/>
          <w:sz w:val="19"/>
          <w:szCs w:val="19"/>
        </w:rPr>
        <w:t>acreditar circunstancias</w:t>
      </w:r>
      <w:r>
        <w:rPr>
          <w:rFonts w:ascii="Arial" w:hAnsi="Arial" w:cs="Arial"/>
          <w:color w:val="000000" w:themeColor="text1"/>
          <w:sz w:val="19"/>
          <w:szCs w:val="19"/>
        </w:rPr>
        <w:t xml:space="preserve"> </w:t>
      </w:r>
      <w:r w:rsidRPr="00C0544C">
        <w:rPr>
          <w:rFonts w:ascii="Arial" w:hAnsi="Arial" w:cs="Arial"/>
          <w:color w:val="000000" w:themeColor="text1"/>
          <w:sz w:val="19"/>
          <w:szCs w:val="19"/>
        </w:rPr>
        <w:t>ocurridas</w:t>
      </w:r>
      <w:r>
        <w:rPr>
          <w:rFonts w:ascii="Arial" w:hAnsi="Arial" w:cs="Arial"/>
          <w:color w:val="000000" w:themeColor="text1"/>
          <w:sz w:val="19"/>
          <w:szCs w:val="19"/>
        </w:rPr>
        <w:t xml:space="preserve"> </w:t>
      </w:r>
      <w:r w:rsidRPr="00C0544C">
        <w:rPr>
          <w:rFonts w:ascii="Arial" w:hAnsi="Arial" w:cs="Arial"/>
          <w:color w:val="000000" w:themeColor="text1"/>
          <w:sz w:val="19"/>
          <w:szCs w:val="19"/>
        </w:rPr>
        <w:t>luego</w:t>
      </w:r>
      <w:r>
        <w:rPr>
          <w:rFonts w:ascii="Arial" w:hAnsi="Arial" w:cs="Arial"/>
          <w:color w:val="000000" w:themeColor="text1"/>
          <w:sz w:val="19"/>
          <w:szCs w:val="19"/>
        </w:rPr>
        <w:t xml:space="preserve"> </w:t>
      </w:r>
      <w:r w:rsidRPr="00C0544C">
        <w:rPr>
          <w:rFonts w:ascii="Arial" w:hAnsi="Arial" w:cs="Arial"/>
          <w:color w:val="000000" w:themeColor="text1"/>
          <w:sz w:val="19"/>
          <w:szCs w:val="19"/>
        </w:rPr>
        <w:t>del</w:t>
      </w:r>
      <w:r>
        <w:rPr>
          <w:rFonts w:ascii="Arial" w:hAnsi="Arial" w:cs="Arial"/>
          <w:color w:val="000000" w:themeColor="text1"/>
          <w:sz w:val="19"/>
          <w:szCs w:val="19"/>
        </w:rPr>
        <w:t xml:space="preserve"> </w:t>
      </w:r>
      <w:r w:rsidRPr="00C0544C">
        <w:rPr>
          <w:rFonts w:ascii="Arial" w:hAnsi="Arial" w:cs="Arial"/>
          <w:color w:val="000000" w:themeColor="text1"/>
          <w:sz w:val="19"/>
          <w:szCs w:val="19"/>
        </w:rPr>
        <w:t>cierre</w:t>
      </w:r>
      <w:r>
        <w:rPr>
          <w:rFonts w:ascii="Arial" w:hAnsi="Arial" w:cs="Arial"/>
          <w:color w:val="000000" w:themeColor="text1"/>
          <w:sz w:val="19"/>
          <w:szCs w:val="19"/>
        </w:rPr>
        <w:t xml:space="preserve"> </w:t>
      </w:r>
      <w:r w:rsidRPr="00C0544C">
        <w:rPr>
          <w:rFonts w:ascii="Arial" w:hAnsi="Arial" w:cs="Arial"/>
          <w:color w:val="000000" w:themeColor="text1"/>
          <w:sz w:val="19"/>
          <w:szCs w:val="19"/>
        </w:rPr>
        <w:t>del</w:t>
      </w:r>
      <w:r>
        <w:rPr>
          <w:rFonts w:ascii="Arial" w:hAnsi="Arial" w:cs="Arial"/>
          <w:color w:val="000000" w:themeColor="text1"/>
          <w:sz w:val="19"/>
          <w:szCs w:val="19"/>
        </w:rPr>
        <w:t xml:space="preserve"> </w:t>
      </w:r>
      <w:r w:rsidRPr="00C0544C">
        <w:rPr>
          <w:rFonts w:ascii="Arial" w:hAnsi="Arial" w:cs="Arial"/>
          <w:color w:val="000000" w:themeColor="text1"/>
          <w:sz w:val="19"/>
          <w:szCs w:val="19"/>
        </w:rPr>
        <w:t>proceso.</w:t>
      </w:r>
      <w:r>
        <w:rPr>
          <w:rFonts w:ascii="Arial" w:hAnsi="Arial" w:cs="Arial"/>
          <w:color w:val="000000" w:themeColor="text1"/>
          <w:sz w:val="19"/>
          <w:szCs w:val="19"/>
        </w:rPr>
        <w:t xml:space="preserve"> </w:t>
      </w:r>
      <w:r w:rsidRPr="00C0544C">
        <w:rPr>
          <w:rFonts w:ascii="Arial" w:hAnsi="Arial" w:cs="Arial"/>
          <w:color w:val="000000" w:themeColor="text1"/>
          <w:sz w:val="19"/>
          <w:szCs w:val="19"/>
        </w:rPr>
        <w:t>De</w:t>
      </w:r>
      <w:r>
        <w:rPr>
          <w:rFonts w:ascii="Arial" w:hAnsi="Arial" w:cs="Arial"/>
          <w:color w:val="000000" w:themeColor="text1"/>
          <w:sz w:val="19"/>
          <w:szCs w:val="19"/>
        </w:rPr>
        <w:t xml:space="preserve"> </w:t>
      </w:r>
      <w:r w:rsidRPr="00C0544C">
        <w:rPr>
          <w:rFonts w:ascii="Arial" w:hAnsi="Arial" w:cs="Arial"/>
          <w:color w:val="000000" w:themeColor="text1"/>
          <w:sz w:val="19"/>
          <w:szCs w:val="19"/>
        </w:rPr>
        <w:t>esta</w:t>
      </w:r>
      <w:r>
        <w:rPr>
          <w:rFonts w:ascii="Arial" w:hAnsi="Arial" w:cs="Arial"/>
          <w:color w:val="000000" w:themeColor="text1"/>
          <w:sz w:val="19"/>
          <w:szCs w:val="19"/>
        </w:rPr>
        <w:t xml:space="preserve"> </w:t>
      </w:r>
      <w:r w:rsidRPr="00C0544C">
        <w:rPr>
          <w:rFonts w:ascii="Arial" w:hAnsi="Arial" w:cs="Arial"/>
          <w:color w:val="000000" w:themeColor="text1"/>
          <w:sz w:val="19"/>
          <w:szCs w:val="19"/>
        </w:rPr>
        <w:t>manera,</w:t>
      </w:r>
      <w:r>
        <w:rPr>
          <w:rFonts w:ascii="Arial" w:hAnsi="Arial" w:cs="Arial"/>
          <w:color w:val="000000" w:themeColor="text1"/>
          <w:sz w:val="19"/>
          <w:szCs w:val="19"/>
        </w:rPr>
        <w:t xml:space="preserve"> </w:t>
      </w:r>
      <w:r w:rsidRPr="00C0544C">
        <w:rPr>
          <w:rFonts w:ascii="Arial" w:hAnsi="Arial" w:cs="Arial"/>
          <w:color w:val="000000" w:themeColor="text1"/>
          <w:sz w:val="19"/>
          <w:szCs w:val="19"/>
        </w:rPr>
        <w:t>es</w:t>
      </w:r>
      <w:r>
        <w:rPr>
          <w:rFonts w:ascii="Arial" w:hAnsi="Arial" w:cs="Arial"/>
          <w:color w:val="000000" w:themeColor="text1"/>
          <w:sz w:val="19"/>
          <w:szCs w:val="19"/>
        </w:rPr>
        <w:t xml:space="preserve"> </w:t>
      </w:r>
      <w:r w:rsidRPr="00C0544C">
        <w:rPr>
          <w:rFonts w:ascii="Arial" w:hAnsi="Arial" w:cs="Arial"/>
          <w:color w:val="000000" w:themeColor="text1"/>
          <w:sz w:val="19"/>
          <w:szCs w:val="19"/>
        </w:rPr>
        <w:t>subsanable</w:t>
      </w:r>
      <w:r>
        <w:rPr>
          <w:rFonts w:ascii="Arial" w:hAnsi="Arial" w:cs="Arial"/>
          <w:color w:val="000000" w:themeColor="text1"/>
          <w:sz w:val="19"/>
          <w:szCs w:val="19"/>
        </w:rPr>
        <w:t xml:space="preserve"> </w:t>
      </w:r>
      <w:r w:rsidRPr="00C0544C">
        <w:rPr>
          <w:rFonts w:ascii="Arial" w:hAnsi="Arial" w:cs="Arial"/>
          <w:color w:val="000000" w:themeColor="text1"/>
          <w:sz w:val="19"/>
          <w:szCs w:val="19"/>
        </w:rPr>
        <w:t>la prueba de todas las circunstancias ocurridas antes del vencimiento del término para presentar las ofertas, por lo que no se podrán acreditar circunstancias ocurridas con posterioridad a dicho momento.</w:t>
      </w:r>
      <w:r>
        <w:rPr>
          <w:rFonts w:ascii="Arial" w:hAnsi="Arial" w:cs="Arial"/>
          <w:color w:val="000000" w:themeColor="text1"/>
          <w:sz w:val="19"/>
          <w:szCs w:val="19"/>
        </w:rPr>
        <w:t xml:space="preserve"> </w:t>
      </w:r>
    </w:p>
    <w:p w14:paraId="50EC39B4" w14:textId="2C81260D" w:rsidR="00923C41" w:rsidRDefault="00923C41" w:rsidP="00923C41">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Pr="00C0544C">
        <w:rPr>
          <w:rFonts w:ascii="Arial" w:hAnsi="Arial" w:cs="Arial"/>
          <w:color w:val="000000" w:themeColor="text1"/>
          <w:sz w:val="19"/>
          <w:szCs w:val="19"/>
        </w:rPr>
        <w:t>Lo anterior quiere decir que no es la prueba lo que debe ser anterior al cierre del proceso, sino el hecho que esta</w:t>
      </w:r>
      <w:r>
        <w:rPr>
          <w:rFonts w:ascii="Arial" w:hAnsi="Arial" w:cs="Arial"/>
          <w:color w:val="000000" w:themeColor="text1"/>
          <w:sz w:val="19"/>
          <w:szCs w:val="19"/>
        </w:rPr>
        <w:t xml:space="preserve"> </w:t>
      </w:r>
      <w:r w:rsidRPr="00C0544C">
        <w:rPr>
          <w:rFonts w:ascii="Arial" w:hAnsi="Arial" w:cs="Arial"/>
          <w:color w:val="000000" w:themeColor="text1"/>
          <w:sz w:val="19"/>
          <w:szCs w:val="19"/>
        </w:rPr>
        <w:t xml:space="preserve">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w:t>
      </w:r>
      <w:proofErr w:type="spellStart"/>
      <w:r w:rsidRPr="00C0544C">
        <w:rPr>
          <w:rFonts w:ascii="Arial" w:hAnsi="Arial" w:cs="Arial"/>
          <w:color w:val="000000" w:themeColor="text1"/>
          <w:sz w:val="19"/>
          <w:szCs w:val="19"/>
        </w:rPr>
        <w:t>subsanabilidad</w:t>
      </w:r>
      <w:proofErr w:type="spellEnd"/>
      <w:r w:rsidRPr="00C0544C">
        <w:rPr>
          <w:rFonts w:ascii="Arial" w:hAnsi="Arial" w:cs="Arial"/>
          <w:color w:val="000000" w:themeColor="text1"/>
          <w:sz w:val="19"/>
          <w:szCs w:val="19"/>
        </w:rPr>
        <w:t xml:space="preserve">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w:t>
      </w:r>
      <w:r w:rsidRPr="00DC431D">
        <w:rPr>
          <w:rFonts w:ascii="Arial" w:hAnsi="Arial" w:cs="Arial"/>
          <w:color w:val="000000" w:themeColor="text1"/>
          <w:sz w:val="19"/>
          <w:szCs w:val="19"/>
        </w:rPr>
        <w:t>»</w:t>
      </w:r>
      <w:r w:rsidRPr="00C0544C">
        <w:rPr>
          <w:rFonts w:ascii="Arial" w:hAnsi="Arial" w:cs="Arial"/>
          <w:color w:val="000000" w:themeColor="text1"/>
          <w:sz w:val="19"/>
          <w:szCs w:val="19"/>
        </w:rPr>
        <w:t>.</w:t>
      </w:r>
      <w:r w:rsidR="00DC431D" w:rsidRPr="00DC431D">
        <w:rPr>
          <w:rFonts w:ascii="Arial" w:hAnsi="Arial" w:cs="Arial"/>
          <w:color w:val="000000" w:themeColor="text1"/>
          <w:sz w:val="19"/>
          <w:szCs w:val="19"/>
        </w:rPr>
        <w:t xml:space="preserve"> (Disponible en: </w:t>
      </w:r>
      <w:hyperlink r:id="rId2" w:history="1">
        <w:r w:rsidR="00DC431D" w:rsidRPr="00C0544C">
          <w:rPr>
            <w:rStyle w:val="Hipervnculo"/>
            <w:rFonts w:ascii="Arial" w:hAnsi="Arial" w:cs="Arial"/>
            <w:color w:val="000000" w:themeColor="text1"/>
            <w:sz w:val="19"/>
            <w:szCs w:val="19"/>
          </w:rPr>
          <w:t>https://www.colombiacompra.gov.co/content/circular-unica-externa</w:t>
        </w:r>
      </w:hyperlink>
      <w:r w:rsidR="00DC431D" w:rsidRPr="00DC431D">
        <w:rPr>
          <w:rFonts w:ascii="Arial" w:hAnsi="Arial" w:cs="Arial"/>
          <w:color w:val="000000" w:themeColor="text1"/>
          <w:sz w:val="19"/>
          <w:szCs w:val="19"/>
        </w:rPr>
        <w:t xml:space="preserve">). </w:t>
      </w:r>
    </w:p>
    <w:p w14:paraId="49EEF070" w14:textId="77777777" w:rsidR="00923C41" w:rsidRPr="00923C41" w:rsidRDefault="00923C41" w:rsidP="00C0544C">
      <w:pPr>
        <w:pStyle w:val="Textonotapie"/>
        <w:ind w:firstLine="709"/>
        <w:jc w:val="both"/>
      </w:pPr>
    </w:p>
  </w:footnote>
  <w:footnote w:id="14">
    <w:p w14:paraId="5E923A4F" w14:textId="2B9344CA"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Ver Consejo de Estado, Sección Tercera, Subsección C. Sentencia del 26 de febrero de 2011. C.P. Jaime Orlando </w:t>
      </w:r>
      <w:proofErr w:type="spellStart"/>
      <w:r w:rsidRPr="00C0544C">
        <w:rPr>
          <w:rFonts w:ascii="Arial" w:hAnsi="Arial" w:cs="Arial"/>
          <w:color w:val="000000" w:themeColor="text1"/>
          <w:sz w:val="19"/>
          <w:szCs w:val="19"/>
        </w:rPr>
        <w:t>Santofimio</w:t>
      </w:r>
      <w:proofErr w:type="spellEnd"/>
      <w:r w:rsidRPr="00C0544C">
        <w:rPr>
          <w:rFonts w:ascii="Arial" w:hAnsi="Arial" w:cs="Arial"/>
          <w:color w:val="000000" w:themeColor="text1"/>
          <w:sz w:val="19"/>
          <w:szCs w:val="19"/>
        </w:rPr>
        <w:t>. Rad. 36.408.</w:t>
      </w:r>
      <w:r w:rsidR="00923C41">
        <w:rPr>
          <w:rFonts w:ascii="Arial" w:hAnsi="Arial" w:cs="Arial"/>
          <w:color w:val="000000" w:themeColor="text1"/>
          <w:sz w:val="19"/>
          <w:szCs w:val="19"/>
        </w:rPr>
        <w:t xml:space="preserve"> </w:t>
      </w:r>
    </w:p>
    <w:p w14:paraId="2AD3DECA" w14:textId="77777777" w:rsidR="002376FD" w:rsidRPr="00C0544C" w:rsidRDefault="002376FD" w:rsidP="00F15DC4">
      <w:pPr>
        <w:pStyle w:val="Textonotapie"/>
        <w:ind w:firstLine="709"/>
        <w:jc w:val="both"/>
        <w:rPr>
          <w:rFonts w:ascii="Arial" w:hAnsi="Arial" w:cs="Arial"/>
          <w:color w:val="000000" w:themeColor="text1"/>
          <w:sz w:val="19"/>
          <w:szCs w:val="19"/>
        </w:rPr>
      </w:pPr>
    </w:p>
  </w:footnote>
  <w:footnote w:id="15">
    <w:p w14:paraId="1D16A90D" w14:textId="4BC2B314"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Ver Consejo de Estado, Sección Tercera, Subsección C. Sentencia del 26 de febrero de 2014. C.P. Enrique Gil Botero. Rad. 25.804.</w:t>
      </w:r>
      <w:r w:rsidR="00923C41">
        <w:rPr>
          <w:rFonts w:ascii="Arial" w:hAnsi="Arial" w:cs="Arial"/>
          <w:color w:val="000000" w:themeColor="text1"/>
          <w:sz w:val="19"/>
          <w:szCs w:val="19"/>
        </w:rPr>
        <w:t xml:space="preserve"> </w:t>
      </w:r>
    </w:p>
    <w:p w14:paraId="09601E02" w14:textId="77777777" w:rsidR="002376FD" w:rsidRPr="00C0544C" w:rsidRDefault="002376FD" w:rsidP="00F15DC4">
      <w:pPr>
        <w:pStyle w:val="Textonotapie"/>
        <w:ind w:firstLine="709"/>
        <w:jc w:val="both"/>
        <w:rPr>
          <w:rFonts w:ascii="Arial" w:hAnsi="Arial" w:cs="Arial"/>
          <w:color w:val="000000" w:themeColor="text1"/>
          <w:sz w:val="19"/>
          <w:szCs w:val="19"/>
        </w:rPr>
      </w:pPr>
    </w:p>
  </w:footnote>
  <w:footnote w:id="16">
    <w:p w14:paraId="476BF4BD" w14:textId="77777777" w:rsidR="002376FD" w:rsidRPr="00C0544C" w:rsidRDefault="002376FD" w:rsidP="00F15DC4">
      <w:pPr>
        <w:pStyle w:val="Textonotapie"/>
        <w:ind w:firstLine="709"/>
        <w:jc w:val="both"/>
        <w:rPr>
          <w:rFonts w:ascii="Arial" w:hAnsi="Arial" w:cs="Arial"/>
          <w:color w:val="000000" w:themeColor="text1"/>
          <w:sz w:val="19"/>
          <w:szCs w:val="19"/>
        </w:rPr>
      </w:pPr>
      <w:r w:rsidRPr="00C0544C">
        <w:rPr>
          <w:rStyle w:val="Refdenotaalpie"/>
          <w:rFonts w:ascii="Arial" w:hAnsi="Arial" w:cs="Arial"/>
          <w:color w:val="000000" w:themeColor="text1"/>
          <w:sz w:val="19"/>
          <w:szCs w:val="19"/>
        </w:rPr>
        <w:footnoteRef/>
      </w:r>
      <w:r w:rsidRPr="00C0544C">
        <w:rPr>
          <w:rFonts w:ascii="Arial" w:hAnsi="Arial" w:cs="Arial"/>
          <w:color w:val="000000" w:themeColor="text1"/>
          <w:sz w:val="19"/>
          <w:szCs w:val="19"/>
        </w:rPr>
        <w:t xml:space="preserve"> Consejo de Estado. Sala de Consulta y Servicio Civil. Concepto del 20 de mayo de 2010. Expediente: 1992. Consejero Ponente: Enrique José Arboleda Perdomo.</w:t>
      </w:r>
    </w:p>
    <w:p w14:paraId="1398D17A" w14:textId="77777777" w:rsidR="002376FD" w:rsidRPr="00C0544C" w:rsidRDefault="002376FD" w:rsidP="00F15DC4">
      <w:pPr>
        <w:pStyle w:val="Textonotapie"/>
        <w:ind w:firstLine="709"/>
        <w:jc w:val="both"/>
        <w:rPr>
          <w:rFonts w:ascii="Arial" w:hAnsi="Arial" w:cs="Arial"/>
          <w:color w:val="000000" w:themeColor="text1"/>
          <w:sz w:val="19"/>
          <w:szCs w:val="19"/>
        </w:rPr>
      </w:pPr>
    </w:p>
  </w:footnote>
  <w:footnote w:id="17">
    <w:p w14:paraId="021D9EA7" w14:textId="10450689" w:rsidR="002376FD" w:rsidRPr="000E2B80" w:rsidRDefault="002376FD" w:rsidP="00D97F14">
      <w:pPr>
        <w:pStyle w:val="Textonotapie"/>
        <w:ind w:firstLine="709"/>
        <w:jc w:val="both"/>
        <w:rPr>
          <w:rFonts w:ascii="Arial" w:hAnsi="Arial" w:cs="Arial"/>
          <w:sz w:val="19"/>
          <w:szCs w:val="19"/>
          <w:lang w:val="es-CO"/>
        </w:rPr>
      </w:pPr>
      <w:r w:rsidRPr="000E2B80">
        <w:rPr>
          <w:rStyle w:val="Refdenotaalpie"/>
          <w:rFonts w:ascii="Arial" w:hAnsi="Arial" w:cs="Arial"/>
          <w:sz w:val="19"/>
          <w:szCs w:val="19"/>
        </w:rPr>
        <w:footnoteRef/>
      </w:r>
      <w:r w:rsidRPr="000E2B80">
        <w:rPr>
          <w:rFonts w:ascii="Arial" w:hAnsi="Arial" w:cs="Arial"/>
          <w:sz w:val="19"/>
          <w:szCs w:val="19"/>
        </w:rPr>
        <w:t xml:space="preserve"> </w:t>
      </w:r>
      <w:r w:rsidRPr="000E2B80">
        <w:rPr>
          <w:rFonts w:ascii="Arial" w:hAnsi="Arial" w:cs="Arial"/>
          <w:sz w:val="19"/>
          <w:szCs w:val="19"/>
          <w:lang w:val="es-CO"/>
        </w:rPr>
        <w:t>En ese sentido, además, de las sentencia citadas con anterioridad en el texto del presente concepto,</w:t>
      </w:r>
      <w:r w:rsidR="00923C41">
        <w:rPr>
          <w:rFonts w:ascii="Arial" w:hAnsi="Arial" w:cs="Arial"/>
          <w:sz w:val="19"/>
          <w:szCs w:val="19"/>
          <w:lang w:val="es-CO"/>
        </w:rPr>
        <w:t xml:space="preserve"> </w:t>
      </w:r>
      <w:r w:rsidRPr="000E2B80">
        <w:rPr>
          <w:rFonts w:ascii="Arial" w:hAnsi="Arial" w:cs="Arial"/>
          <w:sz w:val="19"/>
          <w:szCs w:val="19"/>
          <w:lang w:val="es-CO"/>
        </w:rPr>
        <w:t xml:space="preserve">pueden verse las siguientes sentencias, en las que se aprecia la comprensión sustancial de la figura de la </w:t>
      </w:r>
      <w:proofErr w:type="spellStart"/>
      <w:r w:rsidRPr="000E2B80">
        <w:rPr>
          <w:rFonts w:ascii="Arial" w:hAnsi="Arial" w:cs="Arial"/>
          <w:sz w:val="19"/>
          <w:szCs w:val="19"/>
          <w:lang w:val="es-CO"/>
        </w:rPr>
        <w:t>subsanabilidad</w:t>
      </w:r>
      <w:proofErr w:type="spellEnd"/>
      <w:r w:rsidRPr="000E2B80">
        <w:rPr>
          <w:rFonts w:ascii="Arial" w:hAnsi="Arial" w:cs="Arial"/>
          <w:sz w:val="19"/>
          <w:szCs w:val="19"/>
          <w:lang w:val="es-CO"/>
        </w:rPr>
        <w:t xml:space="preserve"> de las ofertas:</w:t>
      </w:r>
      <w:r w:rsidRPr="000E2B80">
        <w:rPr>
          <w:rFonts w:ascii="Arial" w:hAnsi="Arial" w:cs="Arial"/>
          <w:sz w:val="19"/>
          <w:szCs w:val="19"/>
        </w:rPr>
        <w:t xml:space="preserve"> Sentencia del 18 de octubre de 2000, proferida por la Sección Tercera del Consejo de Estado, expediente 12.663; Sentencia del 3 de diciembre de 2007, radicado 24.715, 25.206, 25.409, 24.524, 27.834, 25.410, 26.105, 28.244, 31.447, acumulados; Sentencia del 26 de febrero de 2014, proferida por la Sección Tercera Subsección C, en el expediente radicado 25.804; </w:t>
      </w:r>
      <w:r w:rsidRPr="000E2B80">
        <w:rPr>
          <w:rFonts w:ascii="Arial" w:hAnsi="Arial" w:cs="Arial"/>
          <w:sz w:val="19"/>
          <w:szCs w:val="19"/>
          <w:lang w:val="es-CO"/>
        </w:rPr>
        <w:t>sentencia del 12 de junio del 2014, proferida por la Sección Tercera, Subsección C</w:t>
      </w:r>
      <w:r w:rsidR="000A0D2F">
        <w:rPr>
          <w:rFonts w:ascii="Arial" w:hAnsi="Arial" w:cs="Arial"/>
          <w:sz w:val="19"/>
          <w:szCs w:val="19"/>
          <w:lang w:val="es-CO"/>
        </w:rPr>
        <w:t>,</w:t>
      </w:r>
      <w:r w:rsidRPr="000E2B80">
        <w:rPr>
          <w:rFonts w:ascii="Arial" w:hAnsi="Arial" w:cs="Arial"/>
          <w:sz w:val="19"/>
          <w:szCs w:val="19"/>
          <w:lang w:val="es-CO"/>
        </w:rPr>
        <w:t xml:space="preserve"> en el expediente 2324, C.P Enrique Gil </w:t>
      </w:r>
      <w:r w:rsidRPr="00131989">
        <w:rPr>
          <w:rFonts w:ascii="Arial" w:hAnsi="Arial" w:cs="Arial"/>
          <w:sz w:val="19"/>
          <w:szCs w:val="19"/>
          <w:lang w:val="es-CO"/>
        </w:rPr>
        <w:t>Botero;</w:t>
      </w:r>
      <w:r w:rsidR="00131989">
        <w:rPr>
          <w:rFonts w:ascii="Arial" w:hAnsi="Arial" w:cs="Arial"/>
          <w:sz w:val="19"/>
          <w:szCs w:val="19"/>
          <w:lang w:val="es-CO"/>
        </w:rPr>
        <w:t xml:space="preserve"> </w:t>
      </w:r>
      <w:r w:rsidR="000A0D2F" w:rsidRPr="000E2B80">
        <w:rPr>
          <w:rFonts w:ascii="Arial" w:hAnsi="Arial" w:cs="Arial"/>
          <w:sz w:val="19"/>
          <w:szCs w:val="19"/>
          <w:lang w:val="es-CO"/>
        </w:rPr>
        <w:t>sentencia del 1</w:t>
      </w:r>
      <w:r w:rsidR="0055273D">
        <w:rPr>
          <w:rFonts w:ascii="Arial" w:hAnsi="Arial" w:cs="Arial"/>
          <w:sz w:val="19"/>
          <w:szCs w:val="19"/>
          <w:lang w:val="es-CO"/>
        </w:rPr>
        <w:t>2</w:t>
      </w:r>
      <w:r w:rsidR="000A0D2F" w:rsidRPr="000E2B80">
        <w:rPr>
          <w:rFonts w:ascii="Arial" w:hAnsi="Arial" w:cs="Arial"/>
          <w:sz w:val="19"/>
          <w:szCs w:val="19"/>
          <w:lang w:val="es-CO"/>
        </w:rPr>
        <w:t xml:space="preserve"> de </w:t>
      </w:r>
      <w:r w:rsidR="000A0D2F">
        <w:rPr>
          <w:rFonts w:ascii="Arial" w:hAnsi="Arial" w:cs="Arial"/>
          <w:sz w:val="19"/>
          <w:szCs w:val="19"/>
          <w:lang w:val="es-CO"/>
        </w:rPr>
        <w:t>noviembre</w:t>
      </w:r>
      <w:r w:rsidR="000A0D2F" w:rsidRPr="000E2B80">
        <w:rPr>
          <w:rFonts w:ascii="Arial" w:hAnsi="Arial" w:cs="Arial"/>
          <w:sz w:val="19"/>
          <w:szCs w:val="19"/>
          <w:lang w:val="es-CO"/>
        </w:rPr>
        <w:t xml:space="preserve"> del 2014, proferida por la Sección Tercera, Subsección C</w:t>
      </w:r>
      <w:r w:rsidR="000A0D2F">
        <w:rPr>
          <w:rFonts w:ascii="Arial" w:hAnsi="Arial" w:cs="Arial"/>
          <w:sz w:val="19"/>
          <w:szCs w:val="19"/>
          <w:lang w:val="es-CO"/>
        </w:rPr>
        <w:t>,</w:t>
      </w:r>
      <w:r w:rsidR="000A0D2F" w:rsidRPr="000E2B80">
        <w:rPr>
          <w:rFonts w:ascii="Arial" w:hAnsi="Arial" w:cs="Arial"/>
          <w:sz w:val="19"/>
          <w:szCs w:val="19"/>
          <w:lang w:val="es-CO"/>
        </w:rPr>
        <w:t xml:space="preserve"> en el expediente </w:t>
      </w:r>
      <w:r w:rsidR="0055273D">
        <w:rPr>
          <w:rFonts w:ascii="Arial" w:hAnsi="Arial" w:cs="Arial"/>
          <w:sz w:val="19"/>
          <w:szCs w:val="19"/>
          <w:lang w:val="es-CO"/>
        </w:rPr>
        <w:t>27.986</w:t>
      </w:r>
      <w:r w:rsidR="000A0D2F" w:rsidRPr="000E2B80">
        <w:rPr>
          <w:rFonts w:ascii="Arial" w:hAnsi="Arial" w:cs="Arial"/>
          <w:sz w:val="19"/>
          <w:szCs w:val="19"/>
          <w:lang w:val="es-CO"/>
        </w:rPr>
        <w:t xml:space="preserve">, C.P Enrique Gil </w:t>
      </w:r>
      <w:r w:rsidR="000A0D2F" w:rsidRPr="00131989">
        <w:rPr>
          <w:rFonts w:ascii="Arial" w:hAnsi="Arial" w:cs="Arial"/>
          <w:sz w:val="19"/>
          <w:szCs w:val="19"/>
          <w:lang w:val="es-CO"/>
        </w:rPr>
        <w:t>Botero</w:t>
      </w:r>
      <w:r w:rsidR="0055273D">
        <w:rPr>
          <w:rFonts w:ascii="Arial" w:hAnsi="Arial" w:cs="Arial"/>
          <w:sz w:val="19"/>
          <w:szCs w:val="19"/>
          <w:lang w:val="es-CO"/>
        </w:rPr>
        <w:t>;</w:t>
      </w:r>
      <w:r w:rsidRPr="00131989">
        <w:rPr>
          <w:rFonts w:ascii="Arial" w:hAnsi="Arial" w:cs="Arial"/>
          <w:sz w:val="19"/>
          <w:szCs w:val="19"/>
          <w:lang w:val="es-CO"/>
        </w:rPr>
        <w:t xml:space="preserve"> y sentencia</w:t>
      </w:r>
      <w:r w:rsidRPr="000E2B80">
        <w:rPr>
          <w:rFonts w:ascii="Arial" w:hAnsi="Arial" w:cs="Arial"/>
          <w:sz w:val="19"/>
          <w:szCs w:val="19"/>
          <w:lang w:val="es-CO"/>
        </w:rPr>
        <w:t xml:space="preserve"> del 10 de diciembre del 2018, proferida por la Sección Tercera, Subsección A. en el expediente 390664, C.P Carlos Alberto Zambrano.</w:t>
      </w:r>
    </w:p>
  </w:footnote>
  <w:footnote w:id="18">
    <w:p w14:paraId="455C11FB" w14:textId="77777777" w:rsidR="002376FD" w:rsidRPr="000E2B80" w:rsidRDefault="002376FD" w:rsidP="00D97F14">
      <w:pPr>
        <w:pStyle w:val="Textonotapie"/>
        <w:ind w:firstLine="709"/>
        <w:jc w:val="both"/>
        <w:rPr>
          <w:rFonts w:ascii="Arial" w:hAnsi="Arial" w:cs="Arial"/>
          <w:sz w:val="19"/>
          <w:szCs w:val="19"/>
        </w:rPr>
      </w:pPr>
    </w:p>
    <w:p w14:paraId="782AB58E" w14:textId="444EF68D" w:rsidR="002376FD" w:rsidRPr="000E2B80" w:rsidRDefault="002376FD" w:rsidP="00D97F14">
      <w:pPr>
        <w:pStyle w:val="Textonotapie"/>
        <w:ind w:firstLine="709"/>
        <w:jc w:val="both"/>
        <w:rPr>
          <w:rFonts w:ascii="Arial" w:hAnsi="Arial" w:cs="Arial"/>
          <w:sz w:val="19"/>
          <w:szCs w:val="19"/>
          <w:lang w:val="es-CO"/>
        </w:rPr>
      </w:pPr>
      <w:r w:rsidRPr="000E2B80">
        <w:rPr>
          <w:rStyle w:val="Refdenotaalpie"/>
          <w:rFonts w:ascii="Arial" w:hAnsi="Arial" w:cs="Arial"/>
          <w:sz w:val="19"/>
          <w:szCs w:val="19"/>
        </w:rPr>
        <w:footnoteRef/>
      </w:r>
      <w:r w:rsidRPr="000E2B80">
        <w:rPr>
          <w:rFonts w:ascii="Arial" w:hAnsi="Arial" w:cs="Arial"/>
          <w:sz w:val="19"/>
          <w:szCs w:val="19"/>
        </w:rPr>
        <w:t xml:space="preserve"> </w:t>
      </w:r>
      <w:r w:rsidRPr="000E2B80">
        <w:rPr>
          <w:rFonts w:ascii="Arial" w:hAnsi="Arial" w:cs="Arial"/>
          <w:sz w:val="19"/>
          <w:szCs w:val="19"/>
          <w:lang w:val="es-CO"/>
        </w:rPr>
        <w:t>Sobre esta conclusión resultan particularmente ilustrativas las consideraciones del</w:t>
      </w:r>
      <w:r w:rsidRPr="000E2B80">
        <w:rPr>
          <w:rFonts w:ascii="Arial" w:hAnsi="Arial" w:cs="Arial"/>
          <w:sz w:val="19"/>
          <w:szCs w:val="19"/>
        </w:rPr>
        <w:t xml:space="preserve"> Consejo de Estado, Sección Tercera, Subsección A, contenidas en la Sentencia del 24 de octubre de 2016, expediente 21.324.</w:t>
      </w:r>
      <w:r w:rsidRPr="000E2B80">
        <w:rPr>
          <w:rFonts w:ascii="Arial" w:hAnsi="Arial" w:cs="Arial"/>
          <w:sz w:val="19"/>
          <w:szCs w:val="19"/>
          <w:lang w:val="es-CO"/>
        </w:rPr>
        <w:t xml:space="preserve">, en la cual se señaló que la finalidad de los procesos contractuales es </w:t>
      </w:r>
      <w:r w:rsidR="00464C33">
        <w:rPr>
          <w:rFonts w:ascii="Arial" w:hAnsi="Arial" w:cs="Arial"/>
          <w:sz w:val="19"/>
          <w:szCs w:val="19"/>
        </w:rPr>
        <w:t>«</w:t>
      </w:r>
      <w:r w:rsidRPr="000E2B80">
        <w:rPr>
          <w:rFonts w:ascii="Arial" w:hAnsi="Arial" w:cs="Arial"/>
          <w:sz w:val="19"/>
          <w:szCs w:val="19"/>
        </w:rPr>
        <w:t>asegurar el derecho a participar en el acceso a los contratos del Estado</w:t>
      </w:r>
      <w:r w:rsidR="00464C33">
        <w:rPr>
          <w:rFonts w:ascii="Arial" w:hAnsi="Arial" w:cs="Arial"/>
          <w:sz w:val="19"/>
          <w:szCs w:val="19"/>
        </w:rPr>
        <w:t>»</w:t>
      </w:r>
      <w:r w:rsidRPr="000E2B80">
        <w:rPr>
          <w:rFonts w:ascii="Arial" w:hAnsi="Arial" w:cs="Arial"/>
          <w:sz w:val="19"/>
          <w:szCs w:val="19"/>
        </w:rPr>
        <w:t>.</w:t>
      </w:r>
    </w:p>
  </w:footnote>
  <w:footnote w:id="19">
    <w:p w14:paraId="36C613B2" w14:textId="77777777" w:rsidR="002376FD" w:rsidRPr="000E2B80" w:rsidRDefault="002376FD" w:rsidP="00EC30A1">
      <w:pPr>
        <w:pStyle w:val="Textonotapie"/>
        <w:ind w:firstLine="709"/>
        <w:jc w:val="both"/>
        <w:rPr>
          <w:rFonts w:ascii="Arial" w:hAnsi="Arial" w:cs="Arial"/>
          <w:sz w:val="19"/>
          <w:szCs w:val="19"/>
        </w:rPr>
      </w:pPr>
      <w:r w:rsidRPr="000E2B80">
        <w:rPr>
          <w:rStyle w:val="Refdenotaalpie"/>
          <w:rFonts w:ascii="Arial" w:hAnsi="Arial" w:cs="Arial"/>
          <w:sz w:val="19"/>
          <w:szCs w:val="19"/>
        </w:rPr>
        <w:footnoteRef/>
      </w:r>
      <w:r w:rsidRPr="000E2B80">
        <w:rPr>
          <w:rFonts w:ascii="Arial" w:hAnsi="Arial" w:cs="Arial"/>
          <w:sz w:val="19"/>
          <w:szCs w:val="19"/>
        </w:rPr>
        <w:t xml:space="preserve"> «Artículo 3°. Funciones. La Agencia Nacional de Contratación Pública –Colombia Compra Eficiente– ejercerá las siguientes funciones: </w:t>
      </w:r>
    </w:p>
    <w:p w14:paraId="67EE6123" w14:textId="77777777" w:rsidR="002376FD" w:rsidRPr="000E2B80" w:rsidRDefault="002376FD" w:rsidP="00EC30A1">
      <w:pPr>
        <w:pStyle w:val="Textonotapie"/>
        <w:ind w:firstLine="709"/>
        <w:jc w:val="both"/>
        <w:rPr>
          <w:rFonts w:ascii="Arial" w:hAnsi="Arial" w:cs="Arial"/>
          <w:sz w:val="19"/>
          <w:szCs w:val="19"/>
          <w:lang w:val="es-ES"/>
        </w:rPr>
      </w:pPr>
      <w:r w:rsidRPr="000E2B80">
        <w:rPr>
          <w:rFonts w:ascii="Arial" w:hAnsi="Arial" w:cs="Arial"/>
          <w:sz w:val="19"/>
          <w:szCs w:val="19"/>
          <w:lang w:val="es-ES"/>
        </w:rPr>
        <w:t xml:space="preserve">»[...] </w:t>
      </w:r>
    </w:p>
    <w:p w14:paraId="3F1174E0" w14:textId="77777777" w:rsidR="002376FD" w:rsidRPr="000E2B80" w:rsidRDefault="002376FD" w:rsidP="00EC30A1">
      <w:pPr>
        <w:pStyle w:val="Textonotapie"/>
        <w:ind w:firstLine="709"/>
        <w:jc w:val="both"/>
        <w:rPr>
          <w:rFonts w:ascii="Arial" w:hAnsi="Arial" w:cs="Arial"/>
          <w:sz w:val="19"/>
          <w:szCs w:val="19"/>
          <w:lang w:val="es-ES"/>
        </w:rPr>
      </w:pPr>
      <w:r w:rsidRPr="000E2B80">
        <w:rPr>
          <w:rFonts w:ascii="Arial" w:hAnsi="Arial" w:cs="Arial"/>
          <w:sz w:val="19"/>
          <w:szCs w:val="19"/>
          <w:lang w:val="es-ES"/>
        </w:rPr>
        <w:t xml:space="preserve"> »5. Absolver consultas sobre la aplicación de normas de carácter general y expedir circulares externas en materia de compras y contratación pública».</w:t>
      </w:r>
    </w:p>
    <w:p w14:paraId="1BBD8434" w14:textId="77777777" w:rsidR="002376FD" w:rsidRPr="000E2B80" w:rsidRDefault="002376FD" w:rsidP="00EC30A1">
      <w:pPr>
        <w:pStyle w:val="Textonotapie"/>
        <w:ind w:firstLine="709"/>
        <w:jc w:val="both"/>
        <w:rPr>
          <w:rFonts w:ascii="Arial" w:hAnsi="Arial" w:cs="Arial"/>
          <w:sz w:val="19"/>
          <w:szCs w:val="19"/>
          <w:lang w:val="es-ES"/>
        </w:rPr>
      </w:pPr>
    </w:p>
    <w:p w14:paraId="508575AA" w14:textId="77777777" w:rsidR="002376FD" w:rsidRPr="000E2B80" w:rsidRDefault="002376FD" w:rsidP="00EC30A1">
      <w:pPr>
        <w:pStyle w:val="Textonotapie"/>
        <w:ind w:firstLine="709"/>
        <w:jc w:val="both"/>
        <w:rPr>
          <w:rFonts w:ascii="Arial" w:hAnsi="Arial" w:cs="Arial"/>
          <w:sz w:val="19"/>
          <w:szCs w:val="19"/>
          <w:lang w:val="es-ES"/>
        </w:rPr>
      </w:pPr>
      <w:r w:rsidRPr="000E2B80">
        <w:rPr>
          <w:rFonts w:ascii="Arial" w:eastAsia="Times New Roman" w:hAnsi="Arial" w:cs="Arial"/>
          <w:sz w:val="19"/>
          <w:szCs w:val="19"/>
          <w:lang w:val="es-CO" w:eastAsia="es-ES_tradnl"/>
        </w:rPr>
        <w:t>»</w:t>
      </w:r>
      <w:r w:rsidRPr="000E2B80">
        <w:rPr>
          <w:rFonts w:ascii="Arial" w:hAnsi="Arial" w:cs="Arial"/>
          <w:sz w:val="19"/>
          <w:szCs w:val="19"/>
          <w:lang w:val="es-ES"/>
        </w:rPr>
        <w:t xml:space="preserve">Artículo 11. Subdirección de Gestión Contractual. Son funciones de la Subdirección de Gestión Contractual las siguientes: </w:t>
      </w:r>
    </w:p>
    <w:p w14:paraId="2AFFCC22" w14:textId="77777777" w:rsidR="002376FD" w:rsidRPr="000E2B80" w:rsidRDefault="002376FD" w:rsidP="00EC30A1">
      <w:pPr>
        <w:pStyle w:val="Textonotapie"/>
        <w:ind w:firstLine="709"/>
        <w:jc w:val="both"/>
        <w:rPr>
          <w:rFonts w:ascii="Arial" w:hAnsi="Arial" w:cs="Arial"/>
          <w:sz w:val="19"/>
          <w:szCs w:val="19"/>
          <w:lang w:val="es-ES"/>
        </w:rPr>
      </w:pPr>
      <w:r w:rsidRPr="000E2B80">
        <w:rPr>
          <w:rFonts w:ascii="Arial" w:hAnsi="Arial" w:cs="Arial"/>
          <w:sz w:val="19"/>
          <w:szCs w:val="19"/>
          <w:lang w:val="es-ES"/>
        </w:rPr>
        <w:t xml:space="preserve">»[...] </w:t>
      </w:r>
    </w:p>
    <w:p w14:paraId="3246F1DE" w14:textId="2BF5E7FC" w:rsidR="002376FD" w:rsidRDefault="002376FD" w:rsidP="00EC30A1">
      <w:pPr>
        <w:pStyle w:val="Textonotapie"/>
        <w:ind w:firstLine="709"/>
        <w:jc w:val="both"/>
        <w:rPr>
          <w:rFonts w:ascii="Arial" w:hAnsi="Arial" w:cs="Arial"/>
          <w:sz w:val="19"/>
          <w:szCs w:val="19"/>
          <w:lang w:val="es-ES"/>
        </w:rPr>
      </w:pPr>
      <w:r w:rsidRPr="000E2B80">
        <w:rPr>
          <w:rFonts w:ascii="Arial" w:eastAsia="Times New Roman" w:hAnsi="Arial" w:cs="Arial"/>
          <w:sz w:val="19"/>
          <w:szCs w:val="19"/>
          <w:lang w:val="es-CO" w:eastAsia="es-ES_tradnl"/>
        </w:rPr>
        <w:t>»</w:t>
      </w:r>
      <w:r w:rsidRPr="000E2B80">
        <w:rPr>
          <w:rFonts w:ascii="Arial" w:hAnsi="Arial" w:cs="Arial"/>
          <w:sz w:val="19"/>
          <w:szCs w:val="19"/>
          <w:lang w:val="es-ES"/>
        </w:rPr>
        <w:t xml:space="preserve">8. Absolver consultas sobre la aplicación de normas de carácter general». </w:t>
      </w:r>
    </w:p>
    <w:p w14:paraId="13D1779B" w14:textId="77777777" w:rsidR="006D66C5" w:rsidRPr="000E2B80" w:rsidRDefault="006D66C5" w:rsidP="00EC30A1">
      <w:pPr>
        <w:pStyle w:val="Textonotapie"/>
        <w:ind w:firstLine="709"/>
        <w:jc w:val="both"/>
        <w:rPr>
          <w:rFonts w:ascii="Arial" w:hAnsi="Arial" w:cs="Arial"/>
          <w:sz w:val="19"/>
          <w:szCs w:val="19"/>
          <w:lang w:val="es-ES"/>
        </w:rPr>
      </w:pPr>
    </w:p>
  </w:footnote>
  <w:footnote w:id="20">
    <w:p w14:paraId="729011E1" w14:textId="3845A95A" w:rsidR="006D66C5" w:rsidRDefault="006D66C5" w:rsidP="006D66C5">
      <w:pPr>
        <w:pStyle w:val="Textonotapie"/>
        <w:ind w:firstLine="708"/>
      </w:pPr>
      <w:r>
        <w:rPr>
          <w:rStyle w:val="Refdenotaalpie"/>
        </w:rPr>
        <w:footnoteRef/>
      </w:r>
      <w:r>
        <w:t xml:space="preserve"> </w:t>
      </w:r>
      <w:r w:rsidRPr="00C0544C">
        <w:rPr>
          <w:rFonts w:ascii="Arial" w:hAnsi="Arial" w:cs="Arial"/>
          <w:sz w:val="19"/>
          <w:szCs w:val="19"/>
          <w:lang w:val="es-ES"/>
        </w:rPr>
        <w:t>Cfr. Concepto C-470 del 25 de julio de 2022</w:t>
      </w:r>
      <w:r>
        <w:rPr>
          <w:rFonts w:ascii="Arial" w:hAnsi="Arial" w:cs="Arial"/>
          <w:sz w:val="19"/>
          <w:szCs w:val="19"/>
          <w:lang w:val="es-ES"/>
        </w:rPr>
        <w:t>.</w:t>
      </w:r>
    </w:p>
    <w:p w14:paraId="79A14EED" w14:textId="77777777" w:rsidR="006D66C5" w:rsidRPr="006D66C5" w:rsidRDefault="006D66C5" w:rsidP="00C0544C">
      <w:pPr>
        <w:pStyle w:val="Textonotapie"/>
        <w:ind w:firstLine="708"/>
      </w:pPr>
    </w:p>
  </w:footnote>
  <w:footnote w:id="21">
    <w:p w14:paraId="660587B6" w14:textId="24555013" w:rsidR="002376FD" w:rsidRPr="000E2B80" w:rsidRDefault="002376FD" w:rsidP="00E82A4C">
      <w:pPr>
        <w:pStyle w:val="Textonotapie"/>
        <w:ind w:firstLine="709"/>
        <w:jc w:val="both"/>
        <w:rPr>
          <w:rFonts w:ascii="Arial" w:hAnsi="Arial" w:cs="Arial"/>
          <w:sz w:val="19"/>
          <w:szCs w:val="19"/>
          <w:lang w:val="es-CO"/>
        </w:rPr>
      </w:pPr>
      <w:r w:rsidRPr="000E2B80">
        <w:rPr>
          <w:rStyle w:val="Refdenotaalpie"/>
          <w:rFonts w:ascii="Arial" w:hAnsi="Arial" w:cs="Arial"/>
          <w:sz w:val="19"/>
          <w:szCs w:val="19"/>
        </w:rPr>
        <w:footnoteRef/>
      </w:r>
      <w:r w:rsidRPr="000E2B80">
        <w:rPr>
          <w:rFonts w:ascii="Arial" w:hAnsi="Arial" w:cs="Arial"/>
          <w:sz w:val="19"/>
          <w:szCs w:val="19"/>
        </w:rPr>
        <w:t xml:space="preserve"> </w:t>
      </w:r>
      <w:r w:rsidRPr="000E2B80">
        <w:rPr>
          <w:rFonts w:ascii="Arial" w:hAnsi="Arial" w:cs="Arial"/>
          <w:sz w:val="19"/>
          <w:szCs w:val="19"/>
          <w:lang w:val="es-CO"/>
        </w:rPr>
        <w:t>En ese sentido, además, de las sentencia citadas con anterioridad en el texto del presente concepto,</w:t>
      </w:r>
      <w:r w:rsidR="00923C41">
        <w:rPr>
          <w:rFonts w:ascii="Arial" w:hAnsi="Arial" w:cs="Arial"/>
          <w:sz w:val="19"/>
          <w:szCs w:val="19"/>
          <w:lang w:val="es-CO"/>
        </w:rPr>
        <w:t xml:space="preserve"> </w:t>
      </w:r>
      <w:r w:rsidRPr="000E2B80">
        <w:rPr>
          <w:rFonts w:ascii="Arial" w:hAnsi="Arial" w:cs="Arial"/>
          <w:sz w:val="19"/>
          <w:szCs w:val="19"/>
          <w:lang w:val="es-CO"/>
        </w:rPr>
        <w:t xml:space="preserve">pueden verse las siguientes sentencias, en las que se aprecia la comprensión sustancial de la figura de la </w:t>
      </w:r>
      <w:proofErr w:type="spellStart"/>
      <w:r w:rsidRPr="000E2B80">
        <w:rPr>
          <w:rFonts w:ascii="Arial" w:hAnsi="Arial" w:cs="Arial"/>
          <w:sz w:val="19"/>
          <w:szCs w:val="19"/>
          <w:lang w:val="es-CO"/>
        </w:rPr>
        <w:t>subsanabilidad</w:t>
      </w:r>
      <w:proofErr w:type="spellEnd"/>
      <w:r w:rsidRPr="000E2B80">
        <w:rPr>
          <w:rFonts w:ascii="Arial" w:hAnsi="Arial" w:cs="Arial"/>
          <w:sz w:val="19"/>
          <w:szCs w:val="19"/>
          <w:lang w:val="es-CO"/>
        </w:rPr>
        <w:t xml:space="preserve"> de las ofertas:</w:t>
      </w:r>
      <w:r w:rsidRPr="000E2B80">
        <w:rPr>
          <w:rFonts w:ascii="Arial" w:hAnsi="Arial" w:cs="Arial"/>
          <w:sz w:val="19"/>
          <w:szCs w:val="19"/>
        </w:rPr>
        <w:t xml:space="preserve"> Sentencia del 18 de octubre de 2000, proferida por la Sección Tercera del Consejo de Estado, expediente 12.663; Sentencia del 3 de diciembre de 2007, radicado 24.715, 25.206, 25.409, 24.524, 27.834, 25.410, 26.105, 28.244, 31.447, acumulados; Sentencia del 26 de febrero de 2014, proferida por la Sección Tercera Subsección C, en el expediente radicado 25.804; </w:t>
      </w:r>
      <w:r w:rsidRPr="000E2B80">
        <w:rPr>
          <w:rFonts w:ascii="Arial" w:hAnsi="Arial" w:cs="Arial"/>
          <w:sz w:val="19"/>
          <w:szCs w:val="19"/>
          <w:lang w:val="es-CO"/>
        </w:rPr>
        <w:t xml:space="preserve">sentencia del 12 de junio del 2014, proferida por la Sección Tercera, Subsección C. en el expediente 2324, C.P Enrique Gil Botero; </w:t>
      </w:r>
      <w:r w:rsidR="0055273D" w:rsidRPr="000E2B80">
        <w:rPr>
          <w:rFonts w:ascii="Arial" w:hAnsi="Arial" w:cs="Arial"/>
          <w:sz w:val="19"/>
          <w:szCs w:val="19"/>
          <w:lang w:val="es-CO"/>
        </w:rPr>
        <w:t>sentencia del 1</w:t>
      </w:r>
      <w:r w:rsidR="0055273D">
        <w:rPr>
          <w:rFonts w:ascii="Arial" w:hAnsi="Arial" w:cs="Arial"/>
          <w:sz w:val="19"/>
          <w:szCs w:val="19"/>
          <w:lang w:val="es-CO"/>
        </w:rPr>
        <w:t>2</w:t>
      </w:r>
      <w:r w:rsidR="0055273D" w:rsidRPr="000E2B80">
        <w:rPr>
          <w:rFonts w:ascii="Arial" w:hAnsi="Arial" w:cs="Arial"/>
          <w:sz w:val="19"/>
          <w:szCs w:val="19"/>
          <w:lang w:val="es-CO"/>
        </w:rPr>
        <w:t xml:space="preserve"> de </w:t>
      </w:r>
      <w:r w:rsidR="0055273D">
        <w:rPr>
          <w:rFonts w:ascii="Arial" w:hAnsi="Arial" w:cs="Arial"/>
          <w:sz w:val="19"/>
          <w:szCs w:val="19"/>
          <w:lang w:val="es-CO"/>
        </w:rPr>
        <w:t>noviembre</w:t>
      </w:r>
      <w:r w:rsidR="0055273D" w:rsidRPr="000E2B80">
        <w:rPr>
          <w:rFonts w:ascii="Arial" w:hAnsi="Arial" w:cs="Arial"/>
          <w:sz w:val="19"/>
          <w:szCs w:val="19"/>
          <w:lang w:val="es-CO"/>
        </w:rPr>
        <w:t xml:space="preserve"> del 2014, proferida por la Sección Tercera, Subsección C</w:t>
      </w:r>
      <w:r w:rsidR="0055273D">
        <w:rPr>
          <w:rFonts w:ascii="Arial" w:hAnsi="Arial" w:cs="Arial"/>
          <w:sz w:val="19"/>
          <w:szCs w:val="19"/>
          <w:lang w:val="es-CO"/>
        </w:rPr>
        <w:t>,</w:t>
      </w:r>
      <w:r w:rsidR="0055273D" w:rsidRPr="000E2B80">
        <w:rPr>
          <w:rFonts w:ascii="Arial" w:hAnsi="Arial" w:cs="Arial"/>
          <w:sz w:val="19"/>
          <w:szCs w:val="19"/>
          <w:lang w:val="es-CO"/>
        </w:rPr>
        <w:t xml:space="preserve"> en el expediente </w:t>
      </w:r>
      <w:r w:rsidR="0055273D">
        <w:rPr>
          <w:rFonts w:ascii="Arial" w:hAnsi="Arial" w:cs="Arial"/>
          <w:sz w:val="19"/>
          <w:szCs w:val="19"/>
          <w:lang w:val="es-CO"/>
        </w:rPr>
        <w:t>27.986</w:t>
      </w:r>
      <w:r w:rsidR="0055273D" w:rsidRPr="000E2B80">
        <w:rPr>
          <w:rFonts w:ascii="Arial" w:hAnsi="Arial" w:cs="Arial"/>
          <w:sz w:val="19"/>
          <w:szCs w:val="19"/>
          <w:lang w:val="es-CO"/>
        </w:rPr>
        <w:t xml:space="preserve">, C.P Enrique Gil </w:t>
      </w:r>
      <w:r w:rsidR="0055273D" w:rsidRPr="00131989">
        <w:rPr>
          <w:rFonts w:ascii="Arial" w:hAnsi="Arial" w:cs="Arial"/>
          <w:sz w:val="19"/>
          <w:szCs w:val="19"/>
          <w:lang w:val="es-CO"/>
        </w:rPr>
        <w:t>Botero</w:t>
      </w:r>
      <w:r w:rsidR="0055273D">
        <w:rPr>
          <w:rFonts w:ascii="Arial" w:hAnsi="Arial" w:cs="Arial"/>
          <w:sz w:val="19"/>
          <w:szCs w:val="19"/>
          <w:lang w:val="es-CO"/>
        </w:rPr>
        <w:t>;</w:t>
      </w:r>
      <w:r w:rsidR="0055273D" w:rsidRPr="00131989">
        <w:rPr>
          <w:rFonts w:ascii="Arial" w:hAnsi="Arial" w:cs="Arial"/>
          <w:sz w:val="19"/>
          <w:szCs w:val="19"/>
          <w:lang w:val="es-CO"/>
        </w:rPr>
        <w:t xml:space="preserve"> </w:t>
      </w:r>
      <w:r w:rsidRPr="000E2B80">
        <w:rPr>
          <w:rFonts w:ascii="Arial" w:hAnsi="Arial" w:cs="Arial"/>
          <w:sz w:val="19"/>
          <w:szCs w:val="19"/>
          <w:lang w:val="es-CO"/>
        </w:rPr>
        <w:t>y sentencia del 10 de diciembre del 2018, proferida por la Sección Tercera, Subsección A. en el expediente 390664, C.P Carlos Alberto Zambrano.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0770B" w14:textId="1A2BB94C" w:rsidR="002376FD" w:rsidRDefault="002376FD">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8">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9">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3">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4">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20"/>
  </w:num>
  <w:num w:numId="2">
    <w:abstractNumId w:val="18"/>
  </w:num>
  <w:num w:numId="3">
    <w:abstractNumId w:val="27"/>
  </w:num>
  <w:num w:numId="4">
    <w:abstractNumId w:val="33"/>
  </w:num>
  <w:num w:numId="5">
    <w:abstractNumId w:val="37"/>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2"/>
  </w:num>
  <w:num w:numId="9">
    <w:abstractNumId w:val="13"/>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5"/>
  </w:num>
  <w:num w:numId="14">
    <w:abstractNumId w:val="17"/>
  </w:num>
  <w:num w:numId="15">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num>
  <w:num w:numId="18">
    <w:abstractNumId w:val="28"/>
  </w:num>
  <w:num w:numId="19">
    <w:abstractNumId w:val="10"/>
  </w:num>
  <w:num w:numId="20">
    <w:abstractNumId w:val="41"/>
  </w:num>
  <w:num w:numId="21">
    <w:abstractNumId w:val="32"/>
  </w:num>
  <w:num w:numId="22">
    <w:abstractNumId w:val="15"/>
  </w:num>
  <w:num w:numId="23">
    <w:abstractNumId w:val="14"/>
  </w:num>
  <w:num w:numId="24">
    <w:abstractNumId w:val="38"/>
  </w:num>
  <w:num w:numId="25">
    <w:abstractNumId w:val="34"/>
  </w:num>
  <w:num w:numId="26">
    <w:abstractNumId w:val="12"/>
  </w:num>
  <w:num w:numId="27">
    <w:abstractNumId w:val="29"/>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3"/>
  </w:num>
  <w:num w:numId="31">
    <w:abstractNumId w:val="1"/>
  </w:num>
  <w:num w:numId="32">
    <w:abstractNumId w:val="26"/>
  </w:num>
  <w:num w:numId="33">
    <w:abstractNumId w:val="6"/>
  </w:num>
  <w:num w:numId="34">
    <w:abstractNumId w:val="4"/>
  </w:num>
  <w:num w:numId="35">
    <w:abstractNumId w:val="31"/>
  </w:num>
  <w:num w:numId="36">
    <w:abstractNumId w:val="30"/>
  </w:num>
  <w:num w:numId="37">
    <w:abstractNumId w:val="11"/>
  </w:num>
  <w:num w:numId="38">
    <w:abstractNumId w:val="16"/>
  </w:num>
  <w:num w:numId="39">
    <w:abstractNumId w:val="43"/>
  </w:num>
  <w:num w:numId="40">
    <w:abstractNumId w:val="39"/>
  </w:num>
  <w:num w:numId="41">
    <w:abstractNumId w:val="23"/>
  </w:num>
  <w:num w:numId="42">
    <w:abstractNumId w:val="22"/>
  </w:num>
  <w:num w:numId="43">
    <w:abstractNumId w:val="7"/>
  </w:num>
  <w:num w:numId="44">
    <w:abstractNumId w:val="42"/>
  </w:num>
  <w:num w:numId="45">
    <w:abstractNumId w:val="8"/>
  </w:num>
  <w:num w:numId="46">
    <w:abstractNumId w:val="0"/>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B9E"/>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F8F"/>
    <w:rsid w:val="00021A95"/>
    <w:rsid w:val="0002256F"/>
    <w:rsid w:val="00023DAE"/>
    <w:rsid w:val="00024229"/>
    <w:rsid w:val="00024855"/>
    <w:rsid w:val="00024896"/>
    <w:rsid w:val="00025BAD"/>
    <w:rsid w:val="00025D0A"/>
    <w:rsid w:val="000263F0"/>
    <w:rsid w:val="00026407"/>
    <w:rsid w:val="00026608"/>
    <w:rsid w:val="00027787"/>
    <w:rsid w:val="000278D2"/>
    <w:rsid w:val="0002797C"/>
    <w:rsid w:val="00030E2A"/>
    <w:rsid w:val="00030F54"/>
    <w:rsid w:val="00031364"/>
    <w:rsid w:val="000315E1"/>
    <w:rsid w:val="0003236E"/>
    <w:rsid w:val="0003339A"/>
    <w:rsid w:val="000341F2"/>
    <w:rsid w:val="00034EA8"/>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4D78"/>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1EAE"/>
    <w:rsid w:val="00062BDF"/>
    <w:rsid w:val="00062CDD"/>
    <w:rsid w:val="00062F44"/>
    <w:rsid w:val="00063AD6"/>
    <w:rsid w:val="000640AF"/>
    <w:rsid w:val="00064940"/>
    <w:rsid w:val="00064CAE"/>
    <w:rsid w:val="00064DB7"/>
    <w:rsid w:val="00064FA7"/>
    <w:rsid w:val="00065195"/>
    <w:rsid w:val="0006536C"/>
    <w:rsid w:val="00065706"/>
    <w:rsid w:val="00065D20"/>
    <w:rsid w:val="0006626E"/>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40B"/>
    <w:rsid w:val="000936F7"/>
    <w:rsid w:val="00093CA0"/>
    <w:rsid w:val="00093ECD"/>
    <w:rsid w:val="000942EB"/>
    <w:rsid w:val="000954FA"/>
    <w:rsid w:val="00095607"/>
    <w:rsid w:val="00095B70"/>
    <w:rsid w:val="00095E38"/>
    <w:rsid w:val="0009617E"/>
    <w:rsid w:val="0009628D"/>
    <w:rsid w:val="0009663F"/>
    <w:rsid w:val="0009670F"/>
    <w:rsid w:val="00097022"/>
    <w:rsid w:val="000979CF"/>
    <w:rsid w:val="000A03C8"/>
    <w:rsid w:val="000A05F2"/>
    <w:rsid w:val="000A06C4"/>
    <w:rsid w:val="000A0861"/>
    <w:rsid w:val="000A0D2F"/>
    <w:rsid w:val="000A0EC4"/>
    <w:rsid w:val="000A0ED1"/>
    <w:rsid w:val="000A10A1"/>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2C0"/>
    <w:rsid w:val="000A5836"/>
    <w:rsid w:val="000A5AAF"/>
    <w:rsid w:val="000A5F97"/>
    <w:rsid w:val="000A600A"/>
    <w:rsid w:val="000A648E"/>
    <w:rsid w:val="000A6E0A"/>
    <w:rsid w:val="000A73BB"/>
    <w:rsid w:val="000A73E8"/>
    <w:rsid w:val="000A7E0E"/>
    <w:rsid w:val="000A7EF4"/>
    <w:rsid w:val="000B081A"/>
    <w:rsid w:val="000B0A15"/>
    <w:rsid w:val="000B103F"/>
    <w:rsid w:val="000B1437"/>
    <w:rsid w:val="000B1470"/>
    <w:rsid w:val="000B17EC"/>
    <w:rsid w:val="000B244D"/>
    <w:rsid w:val="000B248A"/>
    <w:rsid w:val="000B2B86"/>
    <w:rsid w:val="000B2B8A"/>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5E5C"/>
    <w:rsid w:val="000D6288"/>
    <w:rsid w:val="000D753A"/>
    <w:rsid w:val="000D7541"/>
    <w:rsid w:val="000D75E1"/>
    <w:rsid w:val="000E0266"/>
    <w:rsid w:val="000E0A73"/>
    <w:rsid w:val="000E14CE"/>
    <w:rsid w:val="000E1FF3"/>
    <w:rsid w:val="000E22CF"/>
    <w:rsid w:val="000E2977"/>
    <w:rsid w:val="000E2B80"/>
    <w:rsid w:val="000E2CC0"/>
    <w:rsid w:val="000E30AC"/>
    <w:rsid w:val="000E3B46"/>
    <w:rsid w:val="000E3E11"/>
    <w:rsid w:val="000E42E4"/>
    <w:rsid w:val="000E44ED"/>
    <w:rsid w:val="000E4596"/>
    <w:rsid w:val="000E4B94"/>
    <w:rsid w:val="000E4D50"/>
    <w:rsid w:val="000E5768"/>
    <w:rsid w:val="000E5843"/>
    <w:rsid w:val="000E5948"/>
    <w:rsid w:val="000E6139"/>
    <w:rsid w:val="000E653C"/>
    <w:rsid w:val="000E6BE1"/>
    <w:rsid w:val="000E73E1"/>
    <w:rsid w:val="000E7E0B"/>
    <w:rsid w:val="000F0136"/>
    <w:rsid w:val="000F078A"/>
    <w:rsid w:val="000F122D"/>
    <w:rsid w:val="000F1450"/>
    <w:rsid w:val="000F14E8"/>
    <w:rsid w:val="000F1BBD"/>
    <w:rsid w:val="000F290F"/>
    <w:rsid w:val="000F30E1"/>
    <w:rsid w:val="000F4403"/>
    <w:rsid w:val="000F480B"/>
    <w:rsid w:val="000F4E17"/>
    <w:rsid w:val="000F5615"/>
    <w:rsid w:val="000F6578"/>
    <w:rsid w:val="000F6A40"/>
    <w:rsid w:val="000F722C"/>
    <w:rsid w:val="000F7E8F"/>
    <w:rsid w:val="000F7FBB"/>
    <w:rsid w:val="001000FB"/>
    <w:rsid w:val="00100A9E"/>
    <w:rsid w:val="00100F6A"/>
    <w:rsid w:val="001010DA"/>
    <w:rsid w:val="001015F2"/>
    <w:rsid w:val="001022AE"/>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96"/>
    <w:rsid w:val="001068EB"/>
    <w:rsid w:val="00107586"/>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1A9"/>
    <w:rsid w:val="00123E27"/>
    <w:rsid w:val="00123FB5"/>
    <w:rsid w:val="0012400F"/>
    <w:rsid w:val="001249DC"/>
    <w:rsid w:val="00125630"/>
    <w:rsid w:val="0012572D"/>
    <w:rsid w:val="00125BED"/>
    <w:rsid w:val="00125C59"/>
    <w:rsid w:val="00125D4F"/>
    <w:rsid w:val="00127004"/>
    <w:rsid w:val="001278C5"/>
    <w:rsid w:val="00127AF2"/>
    <w:rsid w:val="00127EDC"/>
    <w:rsid w:val="00127F42"/>
    <w:rsid w:val="00127F6D"/>
    <w:rsid w:val="00130355"/>
    <w:rsid w:val="00130365"/>
    <w:rsid w:val="001304E5"/>
    <w:rsid w:val="00130823"/>
    <w:rsid w:val="00130C0F"/>
    <w:rsid w:val="00131989"/>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21B2"/>
    <w:rsid w:val="0015241B"/>
    <w:rsid w:val="00152EDD"/>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C5A"/>
    <w:rsid w:val="00191CEB"/>
    <w:rsid w:val="00191E63"/>
    <w:rsid w:val="00192D68"/>
    <w:rsid w:val="00192E04"/>
    <w:rsid w:val="00192F9B"/>
    <w:rsid w:val="0019388B"/>
    <w:rsid w:val="00193ADE"/>
    <w:rsid w:val="00193B9A"/>
    <w:rsid w:val="00193EEE"/>
    <w:rsid w:val="001940B3"/>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4F82"/>
    <w:rsid w:val="001A54CD"/>
    <w:rsid w:val="001A66DF"/>
    <w:rsid w:val="001A67D0"/>
    <w:rsid w:val="001A6863"/>
    <w:rsid w:val="001A7591"/>
    <w:rsid w:val="001A75B1"/>
    <w:rsid w:val="001A7B06"/>
    <w:rsid w:val="001B0366"/>
    <w:rsid w:val="001B0444"/>
    <w:rsid w:val="001B06E9"/>
    <w:rsid w:val="001B096B"/>
    <w:rsid w:val="001B0F9F"/>
    <w:rsid w:val="001B1197"/>
    <w:rsid w:val="001B123C"/>
    <w:rsid w:val="001B19D8"/>
    <w:rsid w:val="001B1A0D"/>
    <w:rsid w:val="001B1BF1"/>
    <w:rsid w:val="001B2456"/>
    <w:rsid w:val="001B449C"/>
    <w:rsid w:val="001B4AA2"/>
    <w:rsid w:val="001B4ADE"/>
    <w:rsid w:val="001B5530"/>
    <w:rsid w:val="001B5564"/>
    <w:rsid w:val="001B5EF8"/>
    <w:rsid w:val="001B5F4C"/>
    <w:rsid w:val="001B710A"/>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3059"/>
    <w:rsid w:val="001F472D"/>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632A"/>
    <w:rsid w:val="0020697F"/>
    <w:rsid w:val="00206C0E"/>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938"/>
    <w:rsid w:val="00214EB1"/>
    <w:rsid w:val="0021539A"/>
    <w:rsid w:val="00215852"/>
    <w:rsid w:val="00215B01"/>
    <w:rsid w:val="00215B8E"/>
    <w:rsid w:val="00216264"/>
    <w:rsid w:val="002176B6"/>
    <w:rsid w:val="0021792D"/>
    <w:rsid w:val="00217DB8"/>
    <w:rsid w:val="002202CE"/>
    <w:rsid w:val="0022032A"/>
    <w:rsid w:val="00220B61"/>
    <w:rsid w:val="00221389"/>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6016"/>
    <w:rsid w:val="00236D3B"/>
    <w:rsid w:val="00237065"/>
    <w:rsid w:val="00237589"/>
    <w:rsid w:val="0023758D"/>
    <w:rsid w:val="002375A7"/>
    <w:rsid w:val="002376FD"/>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26A"/>
    <w:rsid w:val="002815C0"/>
    <w:rsid w:val="00281EB4"/>
    <w:rsid w:val="00282042"/>
    <w:rsid w:val="002822DF"/>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B90"/>
    <w:rsid w:val="002A2C29"/>
    <w:rsid w:val="002A2C63"/>
    <w:rsid w:val="002A2EA5"/>
    <w:rsid w:val="002A3132"/>
    <w:rsid w:val="002A348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B65"/>
    <w:rsid w:val="002B7C20"/>
    <w:rsid w:val="002C07A9"/>
    <w:rsid w:val="002C24B4"/>
    <w:rsid w:val="002C2B3A"/>
    <w:rsid w:val="002C2B87"/>
    <w:rsid w:val="002C3CF4"/>
    <w:rsid w:val="002C441A"/>
    <w:rsid w:val="002C456E"/>
    <w:rsid w:val="002C4A73"/>
    <w:rsid w:val="002C4B84"/>
    <w:rsid w:val="002C4C0C"/>
    <w:rsid w:val="002C5016"/>
    <w:rsid w:val="002C5C2F"/>
    <w:rsid w:val="002C5D0F"/>
    <w:rsid w:val="002C60B9"/>
    <w:rsid w:val="002C615C"/>
    <w:rsid w:val="002C6CF2"/>
    <w:rsid w:val="002C6F77"/>
    <w:rsid w:val="002C704D"/>
    <w:rsid w:val="002C7102"/>
    <w:rsid w:val="002D0845"/>
    <w:rsid w:val="002D0933"/>
    <w:rsid w:val="002D19BB"/>
    <w:rsid w:val="002D1A9B"/>
    <w:rsid w:val="002D20F8"/>
    <w:rsid w:val="002D21A1"/>
    <w:rsid w:val="002D22BD"/>
    <w:rsid w:val="002D22C5"/>
    <w:rsid w:val="002D233E"/>
    <w:rsid w:val="002D2B4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12C"/>
    <w:rsid w:val="002E56D4"/>
    <w:rsid w:val="002E635A"/>
    <w:rsid w:val="002E6D68"/>
    <w:rsid w:val="002E7847"/>
    <w:rsid w:val="002F0073"/>
    <w:rsid w:val="002F02C5"/>
    <w:rsid w:val="002F0CF0"/>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CB4"/>
    <w:rsid w:val="00300E24"/>
    <w:rsid w:val="00300F94"/>
    <w:rsid w:val="00301742"/>
    <w:rsid w:val="00302CDD"/>
    <w:rsid w:val="003033BA"/>
    <w:rsid w:val="00303C19"/>
    <w:rsid w:val="003043A3"/>
    <w:rsid w:val="00304BD4"/>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5C1"/>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501E2"/>
    <w:rsid w:val="00351716"/>
    <w:rsid w:val="00351E10"/>
    <w:rsid w:val="0035213C"/>
    <w:rsid w:val="003533F4"/>
    <w:rsid w:val="003536F6"/>
    <w:rsid w:val="00353DD5"/>
    <w:rsid w:val="003549FC"/>
    <w:rsid w:val="00355131"/>
    <w:rsid w:val="00355F74"/>
    <w:rsid w:val="003560DB"/>
    <w:rsid w:val="003564DB"/>
    <w:rsid w:val="003566E9"/>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3B68"/>
    <w:rsid w:val="00374012"/>
    <w:rsid w:val="0037401C"/>
    <w:rsid w:val="0037505F"/>
    <w:rsid w:val="0037507B"/>
    <w:rsid w:val="00375C7C"/>
    <w:rsid w:val="00375DA0"/>
    <w:rsid w:val="003765ED"/>
    <w:rsid w:val="00376E77"/>
    <w:rsid w:val="00377027"/>
    <w:rsid w:val="00377135"/>
    <w:rsid w:val="00380272"/>
    <w:rsid w:val="003805DB"/>
    <w:rsid w:val="003808A9"/>
    <w:rsid w:val="003814ED"/>
    <w:rsid w:val="0038152A"/>
    <w:rsid w:val="003819F2"/>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5FBF"/>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E8A"/>
    <w:rsid w:val="003C622C"/>
    <w:rsid w:val="003C6505"/>
    <w:rsid w:val="003C6EBA"/>
    <w:rsid w:val="003C727D"/>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4B5B"/>
    <w:rsid w:val="003D577A"/>
    <w:rsid w:val="003D6719"/>
    <w:rsid w:val="003D6B8F"/>
    <w:rsid w:val="003D7566"/>
    <w:rsid w:val="003E0224"/>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2E3"/>
    <w:rsid w:val="00405487"/>
    <w:rsid w:val="00405730"/>
    <w:rsid w:val="00405B8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2A"/>
    <w:rsid w:val="0042158C"/>
    <w:rsid w:val="00421617"/>
    <w:rsid w:val="00421BD2"/>
    <w:rsid w:val="00421E00"/>
    <w:rsid w:val="00421FCB"/>
    <w:rsid w:val="0042244C"/>
    <w:rsid w:val="00422DCA"/>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5CBF"/>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EA"/>
    <w:rsid w:val="0044374D"/>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7C1"/>
    <w:rsid w:val="00460915"/>
    <w:rsid w:val="00460946"/>
    <w:rsid w:val="00461321"/>
    <w:rsid w:val="004614A9"/>
    <w:rsid w:val="00461D8D"/>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33"/>
    <w:rsid w:val="00464CAA"/>
    <w:rsid w:val="00465090"/>
    <w:rsid w:val="00465347"/>
    <w:rsid w:val="00465677"/>
    <w:rsid w:val="00466616"/>
    <w:rsid w:val="00466A0C"/>
    <w:rsid w:val="00466A53"/>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8B3"/>
    <w:rsid w:val="004839EB"/>
    <w:rsid w:val="00483FA1"/>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114B"/>
    <w:rsid w:val="004912A8"/>
    <w:rsid w:val="00491577"/>
    <w:rsid w:val="004917DD"/>
    <w:rsid w:val="004918E1"/>
    <w:rsid w:val="0049196A"/>
    <w:rsid w:val="0049196E"/>
    <w:rsid w:val="0049241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A7A6E"/>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0BF"/>
    <w:rsid w:val="004C02F7"/>
    <w:rsid w:val="004C1741"/>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69C3"/>
    <w:rsid w:val="004D6A43"/>
    <w:rsid w:val="004D716E"/>
    <w:rsid w:val="004D740B"/>
    <w:rsid w:val="004E023F"/>
    <w:rsid w:val="004E0546"/>
    <w:rsid w:val="004E0742"/>
    <w:rsid w:val="004E0C64"/>
    <w:rsid w:val="004E0F6B"/>
    <w:rsid w:val="004E133F"/>
    <w:rsid w:val="004E1545"/>
    <w:rsid w:val="004E1F1C"/>
    <w:rsid w:val="004E282C"/>
    <w:rsid w:val="004E2A35"/>
    <w:rsid w:val="004E40CE"/>
    <w:rsid w:val="004E5736"/>
    <w:rsid w:val="004E589C"/>
    <w:rsid w:val="004E5A3C"/>
    <w:rsid w:val="004E5B36"/>
    <w:rsid w:val="004E5D5D"/>
    <w:rsid w:val="004E6045"/>
    <w:rsid w:val="004E6F43"/>
    <w:rsid w:val="004E7120"/>
    <w:rsid w:val="004E7200"/>
    <w:rsid w:val="004E787E"/>
    <w:rsid w:val="004E7AA1"/>
    <w:rsid w:val="004E7F32"/>
    <w:rsid w:val="004F0960"/>
    <w:rsid w:val="004F09A9"/>
    <w:rsid w:val="004F0A5C"/>
    <w:rsid w:val="004F0D69"/>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7D5"/>
    <w:rsid w:val="004F5930"/>
    <w:rsid w:val="004F5970"/>
    <w:rsid w:val="004F5F0C"/>
    <w:rsid w:val="004F6121"/>
    <w:rsid w:val="004F6161"/>
    <w:rsid w:val="004F66BC"/>
    <w:rsid w:val="004F6C26"/>
    <w:rsid w:val="004F70F1"/>
    <w:rsid w:val="004F7A55"/>
    <w:rsid w:val="004F7AC9"/>
    <w:rsid w:val="0050039C"/>
    <w:rsid w:val="0050062F"/>
    <w:rsid w:val="00500A29"/>
    <w:rsid w:val="00500E74"/>
    <w:rsid w:val="0050160F"/>
    <w:rsid w:val="0050273B"/>
    <w:rsid w:val="0050284E"/>
    <w:rsid w:val="00502911"/>
    <w:rsid w:val="0050306F"/>
    <w:rsid w:val="00503EC8"/>
    <w:rsid w:val="00504579"/>
    <w:rsid w:val="00504E3E"/>
    <w:rsid w:val="00505DCB"/>
    <w:rsid w:val="005065B2"/>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2BF"/>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37E3C"/>
    <w:rsid w:val="00537FD3"/>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C9B"/>
    <w:rsid w:val="00547AD6"/>
    <w:rsid w:val="00547BF6"/>
    <w:rsid w:val="00547FB3"/>
    <w:rsid w:val="005500D4"/>
    <w:rsid w:val="00550E25"/>
    <w:rsid w:val="00551098"/>
    <w:rsid w:val="00551598"/>
    <w:rsid w:val="0055162B"/>
    <w:rsid w:val="00551A56"/>
    <w:rsid w:val="00551BFF"/>
    <w:rsid w:val="00551D68"/>
    <w:rsid w:val="00551DFF"/>
    <w:rsid w:val="005525C9"/>
    <w:rsid w:val="0055273D"/>
    <w:rsid w:val="00552B3E"/>
    <w:rsid w:val="00552F33"/>
    <w:rsid w:val="005535B9"/>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633"/>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271F"/>
    <w:rsid w:val="00572A42"/>
    <w:rsid w:val="00573355"/>
    <w:rsid w:val="0057337D"/>
    <w:rsid w:val="00573504"/>
    <w:rsid w:val="00573B84"/>
    <w:rsid w:val="00573BA3"/>
    <w:rsid w:val="0057420C"/>
    <w:rsid w:val="005746B2"/>
    <w:rsid w:val="00574708"/>
    <w:rsid w:val="00574D6B"/>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5E9D"/>
    <w:rsid w:val="00586412"/>
    <w:rsid w:val="005864B9"/>
    <w:rsid w:val="005866C4"/>
    <w:rsid w:val="005873BE"/>
    <w:rsid w:val="00587547"/>
    <w:rsid w:val="00590D3A"/>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5CAE"/>
    <w:rsid w:val="005A6035"/>
    <w:rsid w:val="005A6B75"/>
    <w:rsid w:val="005A6C37"/>
    <w:rsid w:val="005A6E00"/>
    <w:rsid w:val="005A7019"/>
    <w:rsid w:val="005A718A"/>
    <w:rsid w:val="005A7885"/>
    <w:rsid w:val="005B12B2"/>
    <w:rsid w:val="005B143B"/>
    <w:rsid w:val="005B19BD"/>
    <w:rsid w:val="005B1E45"/>
    <w:rsid w:val="005B1FF6"/>
    <w:rsid w:val="005B21C4"/>
    <w:rsid w:val="005B2A28"/>
    <w:rsid w:val="005B3621"/>
    <w:rsid w:val="005B3EBE"/>
    <w:rsid w:val="005B4948"/>
    <w:rsid w:val="005B501D"/>
    <w:rsid w:val="005B54CC"/>
    <w:rsid w:val="005B74AD"/>
    <w:rsid w:val="005B7E96"/>
    <w:rsid w:val="005C0297"/>
    <w:rsid w:val="005C0429"/>
    <w:rsid w:val="005C05FF"/>
    <w:rsid w:val="005C084F"/>
    <w:rsid w:val="005C0EE9"/>
    <w:rsid w:val="005C0FC4"/>
    <w:rsid w:val="005C16A8"/>
    <w:rsid w:val="005C1716"/>
    <w:rsid w:val="005C1954"/>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1C1"/>
    <w:rsid w:val="005F3361"/>
    <w:rsid w:val="005F3ACA"/>
    <w:rsid w:val="005F3B47"/>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817"/>
    <w:rsid w:val="006149CC"/>
    <w:rsid w:val="006157A9"/>
    <w:rsid w:val="0061591D"/>
    <w:rsid w:val="00615ED0"/>
    <w:rsid w:val="0061604C"/>
    <w:rsid w:val="00616C2B"/>
    <w:rsid w:val="00616C83"/>
    <w:rsid w:val="00616D7F"/>
    <w:rsid w:val="006178D1"/>
    <w:rsid w:val="00617A5B"/>
    <w:rsid w:val="00620210"/>
    <w:rsid w:val="00620719"/>
    <w:rsid w:val="0062098D"/>
    <w:rsid w:val="006212C9"/>
    <w:rsid w:val="00621A4C"/>
    <w:rsid w:val="00621A72"/>
    <w:rsid w:val="00621D0C"/>
    <w:rsid w:val="00622229"/>
    <w:rsid w:val="00622470"/>
    <w:rsid w:val="00622725"/>
    <w:rsid w:val="006231AA"/>
    <w:rsid w:val="00623482"/>
    <w:rsid w:val="00623AC2"/>
    <w:rsid w:val="00623EBC"/>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3751"/>
    <w:rsid w:val="00645CEB"/>
    <w:rsid w:val="006464B6"/>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205"/>
    <w:rsid w:val="00656855"/>
    <w:rsid w:val="00656C4B"/>
    <w:rsid w:val="00656EEE"/>
    <w:rsid w:val="006572A7"/>
    <w:rsid w:val="006573EA"/>
    <w:rsid w:val="006606A4"/>
    <w:rsid w:val="00660748"/>
    <w:rsid w:val="0066087C"/>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72A"/>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945"/>
    <w:rsid w:val="00676AED"/>
    <w:rsid w:val="006771DA"/>
    <w:rsid w:val="00677212"/>
    <w:rsid w:val="00677B26"/>
    <w:rsid w:val="00677F26"/>
    <w:rsid w:val="006800EE"/>
    <w:rsid w:val="006802A7"/>
    <w:rsid w:val="00680A86"/>
    <w:rsid w:val="006811C9"/>
    <w:rsid w:val="006812CE"/>
    <w:rsid w:val="006823D9"/>
    <w:rsid w:val="00682640"/>
    <w:rsid w:val="006826C1"/>
    <w:rsid w:val="00682C89"/>
    <w:rsid w:val="006832B8"/>
    <w:rsid w:val="006837B2"/>
    <w:rsid w:val="00683800"/>
    <w:rsid w:val="00684462"/>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839"/>
    <w:rsid w:val="006908DB"/>
    <w:rsid w:val="00690DE9"/>
    <w:rsid w:val="00691563"/>
    <w:rsid w:val="006918D8"/>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A0"/>
    <w:rsid w:val="006974A9"/>
    <w:rsid w:val="00697665"/>
    <w:rsid w:val="006978E1"/>
    <w:rsid w:val="00697C9A"/>
    <w:rsid w:val="00697E68"/>
    <w:rsid w:val="00697FC1"/>
    <w:rsid w:val="006A0274"/>
    <w:rsid w:val="006A028F"/>
    <w:rsid w:val="006A063D"/>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7B1"/>
    <w:rsid w:val="006A7CB5"/>
    <w:rsid w:val="006A7FD0"/>
    <w:rsid w:val="006B025C"/>
    <w:rsid w:val="006B08ED"/>
    <w:rsid w:val="006B1FF0"/>
    <w:rsid w:val="006B2534"/>
    <w:rsid w:val="006B28DE"/>
    <w:rsid w:val="006B2CB2"/>
    <w:rsid w:val="006B347D"/>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6C5"/>
    <w:rsid w:val="006D6A12"/>
    <w:rsid w:val="006D712D"/>
    <w:rsid w:val="006D7687"/>
    <w:rsid w:val="006D7D1F"/>
    <w:rsid w:val="006D7D8A"/>
    <w:rsid w:val="006E046C"/>
    <w:rsid w:val="006E0572"/>
    <w:rsid w:val="006E05D8"/>
    <w:rsid w:val="006E0628"/>
    <w:rsid w:val="006E08EE"/>
    <w:rsid w:val="006E155A"/>
    <w:rsid w:val="006E26BA"/>
    <w:rsid w:val="006E2C34"/>
    <w:rsid w:val="006E359B"/>
    <w:rsid w:val="006E39D1"/>
    <w:rsid w:val="006E3B05"/>
    <w:rsid w:val="006E437F"/>
    <w:rsid w:val="006E4D5B"/>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D9B"/>
    <w:rsid w:val="006F3E44"/>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1F89"/>
    <w:rsid w:val="00722C51"/>
    <w:rsid w:val="00723040"/>
    <w:rsid w:val="00723251"/>
    <w:rsid w:val="00723475"/>
    <w:rsid w:val="007236C4"/>
    <w:rsid w:val="007238D1"/>
    <w:rsid w:val="0072411F"/>
    <w:rsid w:val="00724635"/>
    <w:rsid w:val="00724F21"/>
    <w:rsid w:val="00725134"/>
    <w:rsid w:val="0072554B"/>
    <w:rsid w:val="00725AFD"/>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2F69"/>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C25"/>
    <w:rsid w:val="007520F0"/>
    <w:rsid w:val="007522E8"/>
    <w:rsid w:val="00752688"/>
    <w:rsid w:val="007529DB"/>
    <w:rsid w:val="007534AD"/>
    <w:rsid w:val="00753A7F"/>
    <w:rsid w:val="00753BAC"/>
    <w:rsid w:val="00754A0B"/>
    <w:rsid w:val="00755229"/>
    <w:rsid w:val="007552DB"/>
    <w:rsid w:val="0075549F"/>
    <w:rsid w:val="00755B08"/>
    <w:rsid w:val="00755DD0"/>
    <w:rsid w:val="00755E32"/>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3E3A"/>
    <w:rsid w:val="0076445F"/>
    <w:rsid w:val="007645E1"/>
    <w:rsid w:val="00764EC5"/>
    <w:rsid w:val="00765054"/>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5B1"/>
    <w:rsid w:val="0077768C"/>
    <w:rsid w:val="00777696"/>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BF2"/>
    <w:rsid w:val="00786E71"/>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1D74"/>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954"/>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CAC"/>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50D"/>
    <w:rsid w:val="00803700"/>
    <w:rsid w:val="00803AB0"/>
    <w:rsid w:val="00803CC9"/>
    <w:rsid w:val="00803D98"/>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4E1F"/>
    <w:rsid w:val="0081513E"/>
    <w:rsid w:val="00815DA5"/>
    <w:rsid w:val="00816221"/>
    <w:rsid w:val="00816974"/>
    <w:rsid w:val="0081766B"/>
    <w:rsid w:val="008205AC"/>
    <w:rsid w:val="00820705"/>
    <w:rsid w:val="00820CBF"/>
    <w:rsid w:val="00820FA8"/>
    <w:rsid w:val="008211D0"/>
    <w:rsid w:val="008212FD"/>
    <w:rsid w:val="00821489"/>
    <w:rsid w:val="008217B7"/>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48E"/>
    <w:rsid w:val="00843615"/>
    <w:rsid w:val="00843698"/>
    <w:rsid w:val="00843A4B"/>
    <w:rsid w:val="00843B57"/>
    <w:rsid w:val="00843B60"/>
    <w:rsid w:val="00843D33"/>
    <w:rsid w:val="008444F0"/>
    <w:rsid w:val="00844D4F"/>
    <w:rsid w:val="00844F38"/>
    <w:rsid w:val="00845296"/>
    <w:rsid w:val="00845A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55"/>
    <w:rsid w:val="008717D8"/>
    <w:rsid w:val="00871E3C"/>
    <w:rsid w:val="00871EF3"/>
    <w:rsid w:val="00872F97"/>
    <w:rsid w:val="008734A1"/>
    <w:rsid w:val="00874027"/>
    <w:rsid w:val="00874607"/>
    <w:rsid w:val="008747E9"/>
    <w:rsid w:val="00874915"/>
    <w:rsid w:val="00874B89"/>
    <w:rsid w:val="00875403"/>
    <w:rsid w:val="00875434"/>
    <w:rsid w:val="00875C1F"/>
    <w:rsid w:val="00876215"/>
    <w:rsid w:val="0087646C"/>
    <w:rsid w:val="00876815"/>
    <w:rsid w:val="00876BC0"/>
    <w:rsid w:val="00877932"/>
    <w:rsid w:val="00877E1A"/>
    <w:rsid w:val="008808C7"/>
    <w:rsid w:val="0088106B"/>
    <w:rsid w:val="0088107D"/>
    <w:rsid w:val="008813AC"/>
    <w:rsid w:val="0088187A"/>
    <w:rsid w:val="00881E64"/>
    <w:rsid w:val="00881F30"/>
    <w:rsid w:val="00882E39"/>
    <w:rsid w:val="00883CE1"/>
    <w:rsid w:val="008850EB"/>
    <w:rsid w:val="00885228"/>
    <w:rsid w:val="00885433"/>
    <w:rsid w:val="008857E3"/>
    <w:rsid w:val="00886377"/>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20B1"/>
    <w:rsid w:val="008A229A"/>
    <w:rsid w:val="008A2660"/>
    <w:rsid w:val="008A2A23"/>
    <w:rsid w:val="008A2AF5"/>
    <w:rsid w:val="008A2B5A"/>
    <w:rsid w:val="008A3F9D"/>
    <w:rsid w:val="008A5474"/>
    <w:rsid w:val="008A55C3"/>
    <w:rsid w:val="008A5C9A"/>
    <w:rsid w:val="008A6005"/>
    <w:rsid w:val="008A614F"/>
    <w:rsid w:val="008A6A55"/>
    <w:rsid w:val="008A6AA1"/>
    <w:rsid w:val="008A6DF0"/>
    <w:rsid w:val="008A6F6E"/>
    <w:rsid w:val="008A7833"/>
    <w:rsid w:val="008A7888"/>
    <w:rsid w:val="008A796E"/>
    <w:rsid w:val="008B0862"/>
    <w:rsid w:val="008B088C"/>
    <w:rsid w:val="008B11D9"/>
    <w:rsid w:val="008B1BF5"/>
    <w:rsid w:val="008B1CED"/>
    <w:rsid w:val="008B2543"/>
    <w:rsid w:val="008B263F"/>
    <w:rsid w:val="008B2BE2"/>
    <w:rsid w:val="008B3045"/>
    <w:rsid w:val="008B3F6B"/>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60E"/>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1E4"/>
    <w:rsid w:val="008E1252"/>
    <w:rsid w:val="008E1347"/>
    <w:rsid w:val="008E16E0"/>
    <w:rsid w:val="008E1C15"/>
    <w:rsid w:val="008E1C9A"/>
    <w:rsid w:val="008E28BD"/>
    <w:rsid w:val="008E30C4"/>
    <w:rsid w:val="008E3106"/>
    <w:rsid w:val="008E38B4"/>
    <w:rsid w:val="008E3BA4"/>
    <w:rsid w:val="008E3CC4"/>
    <w:rsid w:val="008E3F88"/>
    <w:rsid w:val="008E44AB"/>
    <w:rsid w:val="008E4CAE"/>
    <w:rsid w:val="008E5179"/>
    <w:rsid w:val="008E5208"/>
    <w:rsid w:val="008E57FE"/>
    <w:rsid w:val="008E5D7D"/>
    <w:rsid w:val="008E6598"/>
    <w:rsid w:val="008E7214"/>
    <w:rsid w:val="008E7497"/>
    <w:rsid w:val="008E7884"/>
    <w:rsid w:val="008E795C"/>
    <w:rsid w:val="008E7D6E"/>
    <w:rsid w:val="008E7E04"/>
    <w:rsid w:val="008E7EAA"/>
    <w:rsid w:val="008F1056"/>
    <w:rsid w:val="008F1385"/>
    <w:rsid w:val="008F1E70"/>
    <w:rsid w:val="008F220A"/>
    <w:rsid w:val="008F2E8D"/>
    <w:rsid w:val="008F361D"/>
    <w:rsid w:val="008F387B"/>
    <w:rsid w:val="008F3DD9"/>
    <w:rsid w:val="008F4163"/>
    <w:rsid w:val="008F4646"/>
    <w:rsid w:val="008F4814"/>
    <w:rsid w:val="008F4B18"/>
    <w:rsid w:val="008F4C38"/>
    <w:rsid w:val="008F4DA6"/>
    <w:rsid w:val="008F538E"/>
    <w:rsid w:val="008F58BE"/>
    <w:rsid w:val="008F5A20"/>
    <w:rsid w:val="008F5ABA"/>
    <w:rsid w:val="008F6603"/>
    <w:rsid w:val="008F71AB"/>
    <w:rsid w:val="008F7905"/>
    <w:rsid w:val="008F7989"/>
    <w:rsid w:val="00900F63"/>
    <w:rsid w:val="00901F1D"/>
    <w:rsid w:val="009028E8"/>
    <w:rsid w:val="00902E5C"/>
    <w:rsid w:val="0090363E"/>
    <w:rsid w:val="00903E0D"/>
    <w:rsid w:val="009046E5"/>
    <w:rsid w:val="009047C5"/>
    <w:rsid w:val="0090783B"/>
    <w:rsid w:val="00910683"/>
    <w:rsid w:val="009108B5"/>
    <w:rsid w:val="00910E00"/>
    <w:rsid w:val="00910E04"/>
    <w:rsid w:val="009116CE"/>
    <w:rsid w:val="00911714"/>
    <w:rsid w:val="00911D04"/>
    <w:rsid w:val="00911EFF"/>
    <w:rsid w:val="00912294"/>
    <w:rsid w:val="00912747"/>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396"/>
    <w:rsid w:val="00921805"/>
    <w:rsid w:val="00921BE2"/>
    <w:rsid w:val="00921E63"/>
    <w:rsid w:val="00922379"/>
    <w:rsid w:val="00922B4A"/>
    <w:rsid w:val="00923396"/>
    <w:rsid w:val="00923C41"/>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638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70C"/>
    <w:rsid w:val="009648D6"/>
    <w:rsid w:val="009649AE"/>
    <w:rsid w:val="00964B3F"/>
    <w:rsid w:val="00964C98"/>
    <w:rsid w:val="009654F9"/>
    <w:rsid w:val="00966F74"/>
    <w:rsid w:val="00967BEF"/>
    <w:rsid w:val="009704FC"/>
    <w:rsid w:val="00971441"/>
    <w:rsid w:val="009715D4"/>
    <w:rsid w:val="0097179A"/>
    <w:rsid w:val="00973100"/>
    <w:rsid w:val="009731F4"/>
    <w:rsid w:val="009732A4"/>
    <w:rsid w:val="00973C05"/>
    <w:rsid w:val="00973CFF"/>
    <w:rsid w:val="009744A9"/>
    <w:rsid w:val="0097494E"/>
    <w:rsid w:val="00974999"/>
    <w:rsid w:val="00974B58"/>
    <w:rsid w:val="00974CBD"/>
    <w:rsid w:val="00975390"/>
    <w:rsid w:val="00975445"/>
    <w:rsid w:val="00975B68"/>
    <w:rsid w:val="0097617D"/>
    <w:rsid w:val="009761ED"/>
    <w:rsid w:val="00977131"/>
    <w:rsid w:val="0098022F"/>
    <w:rsid w:val="009810DE"/>
    <w:rsid w:val="0098152C"/>
    <w:rsid w:val="00981B91"/>
    <w:rsid w:val="009822D7"/>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728"/>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A781F"/>
    <w:rsid w:val="009B1E01"/>
    <w:rsid w:val="009B231D"/>
    <w:rsid w:val="009B2374"/>
    <w:rsid w:val="009B2E29"/>
    <w:rsid w:val="009B3163"/>
    <w:rsid w:val="009B35AE"/>
    <w:rsid w:val="009B422F"/>
    <w:rsid w:val="009B46BC"/>
    <w:rsid w:val="009B497E"/>
    <w:rsid w:val="009B4D1A"/>
    <w:rsid w:val="009B519D"/>
    <w:rsid w:val="009B558B"/>
    <w:rsid w:val="009B5936"/>
    <w:rsid w:val="009B5981"/>
    <w:rsid w:val="009B6D21"/>
    <w:rsid w:val="009B78ED"/>
    <w:rsid w:val="009C0D57"/>
    <w:rsid w:val="009C0F0F"/>
    <w:rsid w:val="009C181C"/>
    <w:rsid w:val="009C186D"/>
    <w:rsid w:val="009C1A44"/>
    <w:rsid w:val="009C1C7F"/>
    <w:rsid w:val="009C1EC7"/>
    <w:rsid w:val="009C2086"/>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0BF"/>
    <w:rsid w:val="009F060F"/>
    <w:rsid w:val="009F0781"/>
    <w:rsid w:val="009F0850"/>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2E9"/>
    <w:rsid w:val="00A058B8"/>
    <w:rsid w:val="00A05B4B"/>
    <w:rsid w:val="00A066C3"/>
    <w:rsid w:val="00A06754"/>
    <w:rsid w:val="00A069E0"/>
    <w:rsid w:val="00A06E4A"/>
    <w:rsid w:val="00A070E9"/>
    <w:rsid w:val="00A07327"/>
    <w:rsid w:val="00A073F1"/>
    <w:rsid w:val="00A07522"/>
    <w:rsid w:val="00A0782F"/>
    <w:rsid w:val="00A078FB"/>
    <w:rsid w:val="00A07CDC"/>
    <w:rsid w:val="00A101E1"/>
    <w:rsid w:val="00A1036D"/>
    <w:rsid w:val="00A1069F"/>
    <w:rsid w:val="00A1074E"/>
    <w:rsid w:val="00A10ACA"/>
    <w:rsid w:val="00A10D08"/>
    <w:rsid w:val="00A1116F"/>
    <w:rsid w:val="00A11BB6"/>
    <w:rsid w:val="00A11E78"/>
    <w:rsid w:val="00A12355"/>
    <w:rsid w:val="00A12574"/>
    <w:rsid w:val="00A127D2"/>
    <w:rsid w:val="00A1284E"/>
    <w:rsid w:val="00A130AE"/>
    <w:rsid w:val="00A131F8"/>
    <w:rsid w:val="00A13CF5"/>
    <w:rsid w:val="00A143EC"/>
    <w:rsid w:val="00A149E8"/>
    <w:rsid w:val="00A14C30"/>
    <w:rsid w:val="00A14E6E"/>
    <w:rsid w:val="00A1500F"/>
    <w:rsid w:val="00A1549C"/>
    <w:rsid w:val="00A15621"/>
    <w:rsid w:val="00A15670"/>
    <w:rsid w:val="00A157A0"/>
    <w:rsid w:val="00A1585B"/>
    <w:rsid w:val="00A15C19"/>
    <w:rsid w:val="00A15FE9"/>
    <w:rsid w:val="00A1615C"/>
    <w:rsid w:val="00A16809"/>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5B0F"/>
    <w:rsid w:val="00A25BBB"/>
    <w:rsid w:val="00A25F2F"/>
    <w:rsid w:val="00A26D48"/>
    <w:rsid w:val="00A27588"/>
    <w:rsid w:val="00A277F9"/>
    <w:rsid w:val="00A27FB6"/>
    <w:rsid w:val="00A30121"/>
    <w:rsid w:val="00A30368"/>
    <w:rsid w:val="00A3043A"/>
    <w:rsid w:val="00A30E02"/>
    <w:rsid w:val="00A30E79"/>
    <w:rsid w:val="00A30F6A"/>
    <w:rsid w:val="00A31C3E"/>
    <w:rsid w:val="00A31F92"/>
    <w:rsid w:val="00A32254"/>
    <w:rsid w:val="00A32A8C"/>
    <w:rsid w:val="00A34538"/>
    <w:rsid w:val="00A34677"/>
    <w:rsid w:val="00A3540F"/>
    <w:rsid w:val="00A35630"/>
    <w:rsid w:val="00A35914"/>
    <w:rsid w:val="00A35CC9"/>
    <w:rsid w:val="00A36189"/>
    <w:rsid w:val="00A36210"/>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414E"/>
    <w:rsid w:val="00A4497A"/>
    <w:rsid w:val="00A44AB5"/>
    <w:rsid w:val="00A44BE8"/>
    <w:rsid w:val="00A44C96"/>
    <w:rsid w:val="00A44CDD"/>
    <w:rsid w:val="00A44E33"/>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92B"/>
    <w:rsid w:val="00A65DBF"/>
    <w:rsid w:val="00A6611E"/>
    <w:rsid w:val="00A668BA"/>
    <w:rsid w:val="00A66DDA"/>
    <w:rsid w:val="00A66EFC"/>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FD7"/>
    <w:rsid w:val="00A769E6"/>
    <w:rsid w:val="00A77168"/>
    <w:rsid w:val="00A7723B"/>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6E0B"/>
    <w:rsid w:val="00A90792"/>
    <w:rsid w:val="00A90F12"/>
    <w:rsid w:val="00A9173C"/>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2DC"/>
    <w:rsid w:val="00AC2A0B"/>
    <w:rsid w:val="00AC2BEE"/>
    <w:rsid w:val="00AC2E53"/>
    <w:rsid w:val="00AC3D22"/>
    <w:rsid w:val="00AC46B0"/>
    <w:rsid w:val="00AC484F"/>
    <w:rsid w:val="00AC4B20"/>
    <w:rsid w:val="00AC56F2"/>
    <w:rsid w:val="00AC5897"/>
    <w:rsid w:val="00AC71C3"/>
    <w:rsid w:val="00AC7204"/>
    <w:rsid w:val="00AC7C7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00E"/>
    <w:rsid w:val="00AD6236"/>
    <w:rsid w:val="00AD69D5"/>
    <w:rsid w:val="00AD6ECF"/>
    <w:rsid w:val="00AD7619"/>
    <w:rsid w:val="00AD76A1"/>
    <w:rsid w:val="00AD7770"/>
    <w:rsid w:val="00AE01F3"/>
    <w:rsid w:val="00AE1638"/>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CDF"/>
    <w:rsid w:val="00B02EB3"/>
    <w:rsid w:val="00B02FCB"/>
    <w:rsid w:val="00B033F8"/>
    <w:rsid w:val="00B03C1E"/>
    <w:rsid w:val="00B04400"/>
    <w:rsid w:val="00B04835"/>
    <w:rsid w:val="00B04A73"/>
    <w:rsid w:val="00B05A55"/>
    <w:rsid w:val="00B05DE1"/>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EFF"/>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02D"/>
    <w:rsid w:val="00B64246"/>
    <w:rsid w:val="00B64EDB"/>
    <w:rsid w:val="00B65938"/>
    <w:rsid w:val="00B65C8A"/>
    <w:rsid w:val="00B65CE2"/>
    <w:rsid w:val="00B660AD"/>
    <w:rsid w:val="00B66109"/>
    <w:rsid w:val="00B66349"/>
    <w:rsid w:val="00B66606"/>
    <w:rsid w:val="00B6678D"/>
    <w:rsid w:val="00B67FBF"/>
    <w:rsid w:val="00B7068A"/>
    <w:rsid w:val="00B70803"/>
    <w:rsid w:val="00B70832"/>
    <w:rsid w:val="00B70B39"/>
    <w:rsid w:val="00B71376"/>
    <w:rsid w:val="00B716D7"/>
    <w:rsid w:val="00B717E5"/>
    <w:rsid w:val="00B72110"/>
    <w:rsid w:val="00B72217"/>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6BB"/>
    <w:rsid w:val="00B839F0"/>
    <w:rsid w:val="00B850C2"/>
    <w:rsid w:val="00B851E4"/>
    <w:rsid w:val="00B854CE"/>
    <w:rsid w:val="00B85681"/>
    <w:rsid w:val="00B857EB"/>
    <w:rsid w:val="00B858AD"/>
    <w:rsid w:val="00B86162"/>
    <w:rsid w:val="00B86877"/>
    <w:rsid w:val="00B8695D"/>
    <w:rsid w:val="00B86E66"/>
    <w:rsid w:val="00B871B8"/>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2F"/>
    <w:rsid w:val="00BB0E9B"/>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980"/>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3A5"/>
    <w:rsid w:val="00BC68B4"/>
    <w:rsid w:val="00BC6CBE"/>
    <w:rsid w:val="00BC7277"/>
    <w:rsid w:val="00BC74E5"/>
    <w:rsid w:val="00BD0140"/>
    <w:rsid w:val="00BD02CC"/>
    <w:rsid w:val="00BD061A"/>
    <w:rsid w:val="00BD088E"/>
    <w:rsid w:val="00BD0F18"/>
    <w:rsid w:val="00BD12C1"/>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287"/>
    <w:rsid w:val="00C03305"/>
    <w:rsid w:val="00C03515"/>
    <w:rsid w:val="00C03738"/>
    <w:rsid w:val="00C037A6"/>
    <w:rsid w:val="00C043F5"/>
    <w:rsid w:val="00C044E3"/>
    <w:rsid w:val="00C04607"/>
    <w:rsid w:val="00C04BDB"/>
    <w:rsid w:val="00C052C6"/>
    <w:rsid w:val="00C0544C"/>
    <w:rsid w:val="00C058F0"/>
    <w:rsid w:val="00C05A61"/>
    <w:rsid w:val="00C05FBA"/>
    <w:rsid w:val="00C05FEE"/>
    <w:rsid w:val="00C06CCF"/>
    <w:rsid w:val="00C0794D"/>
    <w:rsid w:val="00C10E78"/>
    <w:rsid w:val="00C10EF1"/>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2EB"/>
    <w:rsid w:val="00C2338B"/>
    <w:rsid w:val="00C233CE"/>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4E"/>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4E90"/>
    <w:rsid w:val="00C65151"/>
    <w:rsid w:val="00C657F4"/>
    <w:rsid w:val="00C6598D"/>
    <w:rsid w:val="00C66058"/>
    <w:rsid w:val="00C660FE"/>
    <w:rsid w:val="00C66119"/>
    <w:rsid w:val="00C66292"/>
    <w:rsid w:val="00C66B7D"/>
    <w:rsid w:val="00C67265"/>
    <w:rsid w:val="00C672A3"/>
    <w:rsid w:val="00C672F1"/>
    <w:rsid w:val="00C673D0"/>
    <w:rsid w:val="00C6742E"/>
    <w:rsid w:val="00C67B0B"/>
    <w:rsid w:val="00C67C0E"/>
    <w:rsid w:val="00C70012"/>
    <w:rsid w:val="00C70E97"/>
    <w:rsid w:val="00C7141C"/>
    <w:rsid w:val="00C71744"/>
    <w:rsid w:val="00C71E2A"/>
    <w:rsid w:val="00C733BA"/>
    <w:rsid w:val="00C73897"/>
    <w:rsid w:val="00C74306"/>
    <w:rsid w:val="00C75F86"/>
    <w:rsid w:val="00C760DC"/>
    <w:rsid w:val="00C7777B"/>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989"/>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8CA"/>
    <w:rsid w:val="00CB2C3A"/>
    <w:rsid w:val="00CB2D38"/>
    <w:rsid w:val="00CB31B4"/>
    <w:rsid w:val="00CB3721"/>
    <w:rsid w:val="00CB3725"/>
    <w:rsid w:val="00CB4137"/>
    <w:rsid w:val="00CB50D0"/>
    <w:rsid w:val="00CB52D0"/>
    <w:rsid w:val="00CB5578"/>
    <w:rsid w:val="00CB5671"/>
    <w:rsid w:val="00CB56EB"/>
    <w:rsid w:val="00CB591C"/>
    <w:rsid w:val="00CB5943"/>
    <w:rsid w:val="00CB5FE7"/>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73A"/>
    <w:rsid w:val="00CC3D38"/>
    <w:rsid w:val="00CC40C3"/>
    <w:rsid w:val="00CC4751"/>
    <w:rsid w:val="00CC4C5F"/>
    <w:rsid w:val="00CC4CB4"/>
    <w:rsid w:val="00CC4D46"/>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263"/>
    <w:rsid w:val="00CF1ABB"/>
    <w:rsid w:val="00CF1E1D"/>
    <w:rsid w:val="00CF24FE"/>
    <w:rsid w:val="00CF25D7"/>
    <w:rsid w:val="00CF287F"/>
    <w:rsid w:val="00CF35D0"/>
    <w:rsid w:val="00CF3B57"/>
    <w:rsid w:val="00CF3DD5"/>
    <w:rsid w:val="00CF3F14"/>
    <w:rsid w:val="00CF3F3F"/>
    <w:rsid w:val="00CF436F"/>
    <w:rsid w:val="00CF4AF7"/>
    <w:rsid w:val="00CF4D0E"/>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2F79"/>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362"/>
    <w:rsid w:val="00D4043A"/>
    <w:rsid w:val="00D4073C"/>
    <w:rsid w:val="00D40DB0"/>
    <w:rsid w:val="00D41093"/>
    <w:rsid w:val="00D41858"/>
    <w:rsid w:val="00D41DB1"/>
    <w:rsid w:val="00D422DB"/>
    <w:rsid w:val="00D42AC2"/>
    <w:rsid w:val="00D4498E"/>
    <w:rsid w:val="00D4515F"/>
    <w:rsid w:val="00D451E8"/>
    <w:rsid w:val="00D45230"/>
    <w:rsid w:val="00D454F2"/>
    <w:rsid w:val="00D466C9"/>
    <w:rsid w:val="00D46A4F"/>
    <w:rsid w:val="00D47275"/>
    <w:rsid w:val="00D47B46"/>
    <w:rsid w:val="00D508EC"/>
    <w:rsid w:val="00D5160B"/>
    <w:rsid w:val="00D517F6"/>
    <w:rsid w:val="00D51AB7"/>
    <w:rsid w:val="00D51E15"/>
    <w:rsid w:val="00D5211B"/>
    <w:rsid w:val="00D522CB"/>
    <w:rsid w:val="00D52B7E"/>
    <w:rsid w:val="00D52E2F"/>
    <w:rsid w:val="00D52F10"/>
    <w:rsid w:val="00D52F59"/>
    <w:rsid w:val="00D53445"/>
    <w:rsid w:val="00D53670"/>
    <w:rsid w:val="00D53D54"/>
    <w:rsid w:val="00D53E3E"/>
    <w:rsid w:val="00D54620"/>
    <w:rsid w:val="00D54A86"/>
    <w:rsid w:val="00D55715"/>
    <w:rsid w:val="00D55904"/>
    <w:rsid w:val="00D5614E"/>
    <w:rsid w:val="00D5616F"/>
    <w:rsid w:val="00D5636D"/>
    <w:rsid w:val="00D56C96"/>
    <w:rsid w:val="00D57940"/>
    <w:rsid w:val="00D57E0A"/>
    <w:rsid w:val="00D60327"/>
    <w:rsid w:val="00D61384"/>
    <w:rsid w:val="00D61526"/>
    <w:rsid w:val="00D61B44"/>
    <w:rsid w:val="00D61C39"/>
    <w:rsid w:val="00D61F81"/>
    <w:rsid w:val="00D6200A"/>
    <w:rsid w:val="00D620A6"/>
    <w:rsid w:val="00D62BE6"/>
    <w:rsid w:val="00D62FB3"/>
    <w:rsid w:val="00D63766"/>
    <w:rsid w:val="00D63912"/>
    <w:rsid w:val="00D63923"/>
    <w:rsid w:val="00D63A05"/>
    <w:rsid w:val="00D6451B"/>
    <w:rsid w:val="00D64B57"/>
    <w:rsid w:val="00D64E46"/>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683"/>
    <w:rsid w:val="00D90B2A"/>
    <w:rsid w:val="00D911B3"/>
    <w:rsid w:val="00D91483"/>
    <w:rsid w:val="00D915C8"/>
    <w:rsid w:val="00D9234D"/>
    <w:rsid w:val="00D92B91"/>
    <w:rsid w:val="00D9310B"/>
    <w:rsid w:val="00D931B2"/>
    <w:rsid w:val="00D931F3"/>
    <w:rsid w:val="00D93726"/>
    <w:rsid w:val="00D93F3E"/>
    <w:rsid w:val="00D9405B"/>
    <w:rsid w:val="00D94942"/>
    <w:rsid w:val="00D95145"/>
    <w:rsid w:val="00D953AF"/>
    <w:rsid w:val="00D96594"/>
    <w:rsid w:val="00D967CB"/>
    <w:rsid w:val="00D968D4"/>
    <w:rsid w:val="00D96DEE"/>
    <w:rsid w:val="00D96EE0"/>
    <w:rsid w:val="00D9771D"/>
    <w:rsid w:val="00D97BD1"/>
    <w:rsid w:val="00D97F14"/>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989"/>
    <w:rsid w:val="00DA5AB1"/>
    <w:rsid w:val="00DA5F9D"/>
    <w:rsid w:val="00DA69B2"/>
    <w:rsid w:val="00DA7462"/>
    <w:rsid w:val="00DA7AD0"/>
    <w:rsid w:val="00DA7C99"/>
    <w:rsid w:val="00DB02D7"/>
    <w:rsid w:val="00DB03CC"/>
    <w:rsid w:val="00DB12D4"/>
    <w:rsid w:val="00DB14F0"/>
    <w:rsid w:val="00DB1745"/>
    <w:rsid w:val="00DB19BB"/>
    <w:rsid w:val="00DB1AFF"/>
    <w:rsid w:val="00DB219A"/>
    <w:rsid w:val="00DB3009"/>
    <w:rsid w:val="00DB3165"/>
    <w:rsid w:val="00DB330D"/>
    <w:rsid w:val="00DB3909"/>
    <w:rsid w:val="00DB4292"/>
    <w:rsid w:val="00DB5023"/>
    <w:rsid w:val="00DB6895"/>
    <w:rsid w:val="00DB6E46"/>
    <w:rsid w:val="00DB7117"/>
    <w:rsid w:val="00DB7760"/>
    <w:rsid w:val="00DB7DD4"/>
    <w:rsid w:val="00DC00B4"/>
    <w:rsid w:val="00DC0585"/>
    <w:rsid w:val="00DC05FD"/>
    <w:rsid w:val="00DC0954"/>
    <w:rsid w:val="00DC0DF8"/>
    <w:rsid w:val="00DC15BA"/>
    <w:rsid w:val="00DC18CD"/>
    <w:rsid w:val="00DC1A68"/>
    <w:rsid w:val="00DC30B8"/>
    <w:rsid w:val="00DC32B1"/>
    <w:rsid w:val="00DC4267"/>
    <w:rsid w:val="00DC431D"/>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2AE4"/>
    <w:rsid w:val="00DE3119"/>
    <w:rsid w:val="00DE3E0B"/>
    <w:rsid w:val="00DE3FF0"/>
    <w:rsid w:val="00DE4105"/>
    <w:rsid w:val="00DE4BE9"/>
    <w:rsid w:val="00DE5189"/>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4FD0"/>
    <w:rsid w:val="00E162D7"/>
    <w:rsid w:val="00E16382"/>
    <w:rsid w:val="00E1699C"/>
    <w:rsid w:val="00E16E75"/>
    <w:rsid w:val="00E1746D"/>
    <w:rsid w:val="00E174E8"/>
    <w:rsid w:val="00E2012A"/>
    <w:rsid w:val="00E205A2"/>
    <w:rsid w:val="00E205DC"/>
    <w:rsid w:val="00E20BA4"/>
    <w:rsid w:val="00E210D0"/>
    <w:rsid w:val="00E21575"/>
    <w:rsid w:val="00E23137"/>
    <w:rsid w:val="00E23980"/>
    <w:rsid w:val="00E241E9"/>
    <w:rsid w:val="00E257C3"/>
    <w:rsid w:val="00E25A2C"/>
    <w:rsid w:val="00E25CB3"/>
    <w:rsid w:val="00E25DA4"/>
    <w:rsid w:val="00E26237"/>
    <w:rsid w:val="00E26446"/>
    <w:rsid w:val="00E26CB8"/>
    <w:rsid w:val="00E26D16"/>
    <w:rsid w:val="00E26FCF"/>
    <w:rsid w:val="00E27165"/>
    <w:rsid w:val="00E275D9"/>
    <w:rsid w:val="00E27874"/>
    <w:rsid w:val="00E27FCE"/>
    <w:rsid w:val="00E3044A"/>
    <w:rsid w:val="00E30E49"/>
    <w:rsid w:val="00E31A4A"/>
    <w:rsid w:val="00E32B61"/>
    <w:rsid w:val="00E3344A"/>
    <w:rsid w:val="00E33B29"/>
    <w:rsid w:val="00E33B62"/>
    <w:rsid w:val="00E33F67"/>
    <w:rsid w:val="00E3403D"/>
    <w:rsid w:val="00E344BD"/>
    <w:rsid w:val="00E34E6C"/>
    <w:rsid w:val="00E353E2"/>
    <w:rsid w:val="00E3569F"/>
    <w:rsid w:val="00E36345"/>
    <w:rsid w:val="00E36C86"/>
    <w:rsid w:val="00E36CEB"/>
    <w:rsid w:val="00E37A28"/>
    <w:rsid w:val="00E40430"/>
    <w:rsid w:val="00E40690"/>
    <w:rsid w:val="00E40AEB"/>
    <w:rsid w:val="00E40E82"/>
    <w:rsid w:val="00E41141"/>
    <w:rsid w:val="00E4143A"/>
    <w:rsid w:val="00E4159B"/>
    <w:rsid w:val="00E4186F"/>
    <w:rsid w:val="00E41AF1"/>
    <w:rsid w:val="00E424C8"/>
    <w:rsid w:val="00E4251D"/>
    <w:rsid w:val="00E43D00"/>
    <w:rsid w:val="00E443B4"/>
    <w:rsid w:val="00E445E4"/>
    <w:rsid w:val="00E44B3F"/>
    <w:rsid w:val="00E457CB"/>
    <w:rsid w:val="00E45D47"/>
    <w:rsid w:val="00E45DE4"/>
    <w:rsid w:val="00E45E63"/>
    <w:rsid w:val="00E473E8"/>
    <w:rsid w:val="00E4759C"/>
    <w:rsid w:val="00E50A7B"/>
    <w:rsid w:val="00E50B0B"/>
    <w:rsid w:val="00E50C57"/>
    <w:rsid w:val="00E510FE"/>
    <w:rsid w:val="00E514BA"/>
    <w:rsid w:val="00E51E25"/>
    <w:rsid w:val="00E5205B"/>
    <w:rsid w:val="00E521AE"/>
    <w:rsid w:val="00E529A3"/>
    <w:rsid w:val="00E52ECB"/>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71E"/>
    <w:rsid w:val="00E61ABB"/>
    <w:rsid w:val="00E61FD7"/>
    <w:rsid w:val="00E623E6"/>
    <w:rsid w:val="00E628A9"/>
    <w:rsid w:val="00E630A2"/>
    <w:rsid w:val="00E630C0"/>
    <w:rsid w:val="00E63107"/>
    <w:rsid w:val="00E6312C"/>
    <w:rsid w:val="00E634E6"/>
    <w:rsid w:val="00E63DCE"/>
    <w:rsid w:val="00E64320"/>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53F1"/>
    <w:rsid w:val="00E76537"/>
    <w:rsid w:val="00E76DC5"/>
    <w:rsid w:val="00E773AD"/>
    <w:rsid w:val="00E77784"/>
    <w:rsid w:val="00E77AF5"/>
    <w:rsid w:val="00E807B5"/>
    <w:rsid w:val="00E820F4"/>
    <w:rsid w:val="00E823F9"/>
    <w:rsid w:val="00E82A4C"/>
    <w:rsid w:val="00E82C1F"/>
    <w:rsid w:val="00E83671"/>
    <w:rsid w:val="00E839C4"/>
    <w:rsid w:val="00E840EE"/>
    <w:rsid w:val="00E84314"/>
    <w:rsid w:val="00E849CA"/>
    <w:rsid w:val="00E84A71"/>
    <w:rsid w:val="00E8556F"/>
    <w:rsid w:val="00E85DDE"/>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034"/>
    <w:rsid w:val="00E9241E"/>
    <w:rsid w:val="00E92460"/>
    <w:rsid w:val="00E924FE"/>
    <w:rsid w:val="00E92E62"/>
    <w:rsid w:val="00E92E75"/>
    <w:rsid w:val="00E93073"/>
    <w:rsid w:val="00E93804"/>
    <w:rsid w:val="00E9429D"/>
    <w:rsid w:val="00E946B7"/>
    <w:rsid w:val="00E9477D"/>
    <w:rsid w:val="00E95434"/>
    <w:rsid w:val="00E957BD"/>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8CD"/>
    <w:rsid w:val="00EA39F7"/>
    <w:rsid w:val="00EA3AB4"/>
    <w:rsid w:val="00EA3DC2"/>
    <w:rsid w:val="00EA434E"/>
    <w:rsid w:val="00EA4395"/>
    <w:rsid w:val="00EA4757"/>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84C"/>
    <w:rsid w:val="00EB2D83"/>
    <w:rsid w:val="00EB2E97"/>
    <w:rsid w:val="00EB3416"/>
    <w:rsid w:val="00EB3AA6"/>
    <w:rsid w:val="00EB45AE"/>
    <w:rsid w:val="00EB4AE1"/>
    <w:rsid w:val="00EB52F4"/>
    <w:rsid w:val="00EB5694"/>
    <w:rsid w:val="00EB5779"/>
    <w:rsid w:val="00EB5D2F"/>
    <w:rsid w:val="00EB67F1"/>
    <w:rsid w:val="00EB6848"/>
    <w:rsid w:val="00EB6ADA"/>
    <w:rsid w:val="00EB72CD"/>
    <w:rsid w:val="00EB749A"/>
    <w:rsid w:val="00EB74B9"/>
    <w:rsid w:val="00EB76B6"/>
    <w:rsid w:val="00EB7D8A"/>
    <w:rsid w:val="00EC04F7"/>
    <w:rsid w:val="00EC05E2"/>
    <w:rsid w:val="00EC0E84"/>
    <w:rsid w:val="00EC16E2"/>
    <w:rsid w:val="00EC1CE7"/>
    <w:rsid w:val="00EC1DAE"/>
    <w:rsid w:val="00EC26F1"/>
    <w:rsid w:val="00EC30A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D45"/>
    <w:rsid w:val="00ED1F03"/>
    <w:rsid w:val="00ED249D"/>
    <w:rsid w:val="00ED2D27"/>
    <w:rsid w:val="00ED3347"/>
    <w:rsid w:val="00ED3441"/>
    <w:rsid w:val="00ED3626"/>
    <w:rsid w:val="00ED3860"/>
    <w:rsid w:val="00ED3954"/>
    <w:rsid w:val="00ED43A2"/>
    <w:rsid w:val="00ED4967"/>
    <w:rsid w:val="00ED5140"/>
    <w:rsid w:val="00ED5382"/>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A55"/>
    <w:rsid w:val="00EE7B54"/>
    <w:rsid w:val="00EE7C47"/>
    <w:rsid w:val="00EE7C88"/>
    <w:rsid w:val="00EE7C8B"/>
    <w:rsid w:val="00EF0209"/>
    <w:rsid w:val="00EF056B"/>
    <w:rsid w:val="00EF057C"/>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90B"/>
    <w:rsid w:val="00F02BFD"/>
    <w:rsid w:val="00F02D25"/>
    <w:rsid w:val="00F02E09"/>
    <w:rsid w:val="00F03C3D"/>
    <w:rsid w:val="00F0435D"/>
    <w:rsid w:val="00F04580"/>
    <w:rsid w:val="00F04907"/>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E4F"/>
    <w:rsid w:val="00F17244"/>
    <w:rsid w:val="00F20ECE"/>
    <w:rsid w:val="00F2121A"/>
    <w:rsid w:val="00F213A0"/>
    <w:rsid w:val="00F21D54"/>
    <w:rsid w:val="00F21EF4"/>
    <w:rsid w:val="00F23113"/>
    <w:rsid w:val="00F23255"/>
    <w:rsid w:val="00F23393"/>
    <w:rsid w:val="00F23759"/>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0"/>
    <w:rsid w:val="00F368FF"/>
    <w:rsid w:val="00F36F0E"/>
    <w:rsid w:val="00F37068"/>
    <w:rsid w:val="00F371E2"/>
    <w:rsid w:val="00F37F3F"/>
    <w:rsid w:val="00F40973"/>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138"/>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4ECA"/>
    <w:rsid w:val="00F76C11"/>
    <w:rsid w:val="00F76C69"/>
    <w:rsid w:val="00F77021"/>
    <w:rsid w:val="00F770AB"/>
    <w:rsid w:val="00F77E61"/>
    <w:rsid w:val="00F80221"/>
    <w:rsid w:val="00F80A0A"/>
    <w:rsid w:val="00F80C81"/>
    <w:rsid w:val="00F815AC"/>
    <w:rsid w:val="00F81606"/>
    <w:rsid w:val="00F8297B"/>
    <w:rsid w:val="00F82E49"/>
    <w:rsid w:val="00F83B33"/>
    <w:rsid w:val="00F83CAE"/>
    <w:rsid w:val="00F840BF"/>
    <w:rsid w:val="00F8427A"/>
    <w:rsid w:val="00F843DF"/>
    <w:rsid w:val="00F84646"/>
    <w:rsid w:val="00F84899"/>
    <w:rsid w:val="00F85585"/>
    <w:rsid w:val="00F85804"/>
    <w:rsid w:val="00F859F0"/>
    <w:rsid w:val="00F85CC1"/>
    <w:rsid w:val="00F86602"/>
    <w:rsid w:val="00F86B5D"/>
    <w:rsid w:val="00F87634"/>
    <w:rsid w:val="00F87C13"/>
    <w:rsid w:val="00F87C5A"/>
    <w:rsid w:val="00F87E29"/>
    <w:rsid w:val="00F87F18"/>
    <w:rsid w:val="00F87F68"/>
    <w:rsid w:val="00F90A25"/>
    <w:rsid w:val="00F90C4D"/>
    <w:rsid w:val="00F9167D"/>
    <w:rsid w:val="00F91CB2"/>
    <w:rsid w:val="00F927E8"/>
    <w:rsid w:val="00F9289C"/>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589B"/>
    <w:rsid w:val="00FA5C07"/>
    <w:rsid w:val="00FA60C1"/>
    <w:rsid w:val="00FA65A3"/>
    <w:rsid w:val="00FA6F8B"/>
    <w:rsid w:val="00FA727C"/>
    <w:rsid w:val="00FA729A"/>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 w:val="1DBC71E9"/>
    <w:rsid w:val="51F41F10"/>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CB372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CE44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EC30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Fuentedeprrafopredeter"/>
    <w:uiPriority w:val="99"/>
    <w:semiHidden/>
    <w:unhideWhenUsed/>
    <w:rsid w:val="00DC4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circular-unica-externa" TargetMode="External"/><Relationship Id="rId1"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852EDD6-3FF2-4177-9F18-11F2B450C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7F00125-9944-4302-B353-295AE702A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13</TotalTime>
  <Pages>27</Pages>
  <Words>10309</Words>
  <Characters>56702</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Martin Rojas Mejia</cp:lastModifiedBy>
  <cp:revision>5</cp:revision>
  <cp:lastPrinted>2020-01-30T15:05:00Z</cp:lastPrinted>
  <dcterms:created xsi:type="dcterms:W3CDTF">2022-08-08T18:24:00Z</dcterms:created>
  <dcterms:modified xsi:type="dcterms:W3CDTF">2022-08-18T21:36:00Z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