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FB1E" w14:textId="77777777" w:rsidR="002B2434" w:rsidRPr="00047F68" w:rsidRDefault="002B2434" w:rsidP="002B2434">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Start w:id="3" w:name="_Hlk29890381"/>
      <w:bookmarkEnd w:id="0"/>
      <w:r w:rsidRPr="00047F68">
        <w:rPr>
          <w:rFonts w:ascii="Arial" w:hAnsi="Arial" w:cs="Arial"/>
          <w:b/>
          <w:color w:val="000000" w:themeColor="text1"/>
          <w:sz w:val="16"/>
          <w:szCs w:val="16"/>
          <w:lang w:eastAsia="es-ES"/>
        </w:rPr>
        <w:t>CCE-DES-FM-17</w:t>
      </w:r>
    </w:p>
    <w:bookmarkEnd w:id="1"/>
    <w:bookmarkEnd w:id="2"/>
    <w:p w14:paraId="30CF8E08" w14:textId="77777777" w:rsidR="002B2434" w:rsidRPr="00F855D1" w:rsidRDefault="002B2434" w:rsidP="002B2434">
      <w:pPr>
        <w:jc w:val="both"/>
        <w:rPr>
          <w:rFonts w:ascii="Arial" w:eastAsia="Calibri" w:hAnsi="Arial" w:cs="Arial"/>
          <w:color w:val="000000" w:themeColor="text1"/>
          <w:sz w:val="16"/>
          <w:szCs w:val="16"/>
          <w:lang w:val="es-ES"/>
        </w:rPr>
      </w:pPr>
    </w:p>
    <w:p w14:paraId="2588A478" w14:textId="77777777" w:rsidR="002B2434" w:rsidRPr="00024272" w:rsidRDefault="002B2434" w:rsidP="002B2434">
      <w:pPr>
        <w:jc w:val="both"/>
        <w:rPr>
          <w:rFonts w:ascii="Arial" w:eastAsia="Calibri" w:hAnsi="Arial" w:cs="Arial"/>
          <w:b/>
          <w:bCs/>
          <w:sz w:val="22"/>
        </w:rPr>
      </w:pPr>
      <w:r w:rsidRPr="00024272">
        <w:rPr>
          <w:rFonts w:ascii="Arial" w:eastAsia="Calibri" w:hAnsi="Arial" w:cs="Arial"/>
          <w:b/>
          <w:bCs/>
          <w:sz w:val="22"/>
        </w:rPr>
        <w:t xml:space="preserve">PRECIOS ARTIFICIALMENTE BAJOS </w:t>
      </w:r>
      <w:r w:rsidRPr="00024272">
        <w:rPr>
          <w:rFonts w:ascii="Arial" w:eastAsia="Calibri" w:hAnsi="Arial" w:cs="Arial"/>
          <w:b/>
          <w:sz w:val="22"/>
        </w:rPr>
        <w:t>–</w:t>
      </w:r>
      <w:r w:rsidRPr="00024272">
        <w:rPr>
          <w:rFonts w:ascii="Arial" w:eastAsia="Calibri" w:hAnsi="Arial" w:cs="Arial"/>
          <w:b/>
          <w:bCs/>
          <w:sz w:val="22"/>
        </w:rPr>
        <w:t xml:space="preserve"> Noción</w:t>
      </w:r>
    </w:p>
    <w:p w14:paraId="061A6817" w14:textId="77777777" w:rsidR="002B2434" w:rsidRPr="00545FF9" w:rsidRDefault="002B2434" w:rsidP="002B2434">
      <w:pPr>
        <w:jc w:val="both"/>
        <w:rPr>
          <w:rFonts w:ascii="Arial" w:eastAsia="Calibri" w:hAnsi="Arial" w:cs="Arial"/>
          <w:sz w:val="20"/>
          <w:szCs w:val="20"/>
          <w:highlight w:val="yellow"/>
          <w:lang w:val="es-ES"/>
        </w:rPr>
      </w:pPr>
    </w:p>
    <w:p w14:paraId="3445D5FF" w14:textId="704B8F9F" w:rsidR="002B2434" w:rsidRPr="00CF34E0" w:rsidRDefault="002B2434" w:rsidP="00047F68">
      <w:pPr>
        <w:spacing w:after="120"/>
        <w:jc w:val="both"/>
        <w:rPr>
          <w:rFonts w:ascii="Arial" w:eastAsia="Calibri" w:hAnsi="Arial" w:cs="Arial"/>
          <w:sz w:val="20"/>
          <w:szCs w:val="20"/>
          <w:lang w:val="es-ES"/>
        </w:rPr>
      </w:pPr>
      <w:r w:rsidRPr="00CF34E0">
        <w:rPr>
          <w:rFonts w:ascii="Arial" w:eastAsia="Calibri" w:hAnsi="Arial" w:cs="Arial"/>
          <w:sz w:val="20"/>
          <w:szCs w:val="20"/>
          <w:lang w:val="es-ES"/>
        </w:rPr>
        <w:t>Es importante definir el concepto de «precio artificialmente bajo», por lo cual la jurisprudencia de la Sección Tercera del Consejo de Estado señala que es aquel que, por un lado, resulta artificioso, disimulado o falso y, por el otro, no tiene sustento o fundamento en relación con su estructuración dentro del tráfico comercial:</w:t>
      </w:r>
      <w:r w:rsidRPr="00CF34E0">
        <w:rPr>
          <w:rFonts w:ascii="Arial" w:eastAsia="Calibri" w:hAnsi="Arial" w:cs="Arial"/>
          <w:sz w:val="20"/>
          <w:szCs w:val="20"/>
          <w:lang w:val="es-ES"/>
        </w:rPr>
        <w:tab/>
      </w:r>
    </w:p>
    <w:p w14:paraId="762F5F1E" w14:textId="77777777" w:rsidR="002B2434" w:rsidRDefault="002B2434" w:rsidP="00047F68">
      <w:pPr>
        <w:jc w:val="both"/>
        <w:rPr>
          <w:rFonts w:ascii="Arial" w:eastAsia="Calibri" w:hAnsi="Arial" w:cs="Arial"/>
          <w:sz w:val="20"/>
          <w:szCs w:val="20"/>
          <w:lang w:val="es-ES"/>
        </w:rPr>
      </w:pPr>
      <w:r w:rsidRPr="00CF34E0">
        <w:rPr>
          <w:rFonts w:ascii="Arial" w:eastAsia="Calibri" w:hAnsi="Arial" w:cs="Arial"/>
          <w:sz w:val="20"/>
          <w:szCs w:val="20"/>
          <w:lang w:val="es-E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1260E6AE" w14:textId="77777777" w:rsidR="002B2434" w:rsidRPr="00377345" w:rsidRDefault="002B2434" w:rsidP="00047F68">
      <w:pPr>
        <w:jc w:val="both"/>
        <w:rPr>
          <w:rFonts w:ascii="Arial" w:eastAsia="Calibri" w:hAnsi="Arial" w:cs="Arial"/>
          <w:sz w:val="20"/>
          <w:szCs w:val="20"/>
          <w:lang w:val="es-ES"/>
        </w:rPr>
      </w:pPr>
    </w:p>
    <w:p w14:paraId="2A7E6087" w14:textId="77777777" w:rsidR="002B2434" w:rsidRDefault="002B2434" w:rsidP="00047F68">
      <w:pPr>
        <w:jc w:val="both"/>
        <w:rPr>
          <w:rFonts w:ascii="Arial" w:eastAsia="Calibri" w:hAnsi="Arial" w:cs="Arial"/>
          <w:b/>
          <w:sz w:val="22"/>
        </w:rPr>
      </w:pPr>
      <w:r w:rsidRPr="00024272">
        <w:rPr>
          <w:rFonts w:ascii="Arial" w:eastAsia="Calibri" w:hAnsi="Arial" w:cs="Arial"/>
          <w:b/>
          <w:bCs/>
          <w:sz w:val="22"/>
        </w:rPr>
        <w:t xml:space="preserve">PRECIOS ARTIFICIALMENTE BAJOS </w:t>
      </w:r>
      <w:r w:rsidRPr="00024272">
        <w:rPr>
          <w:rFonts w:ascii="Arial" w:eastAsia="Calibri" w:hAnsi="Arial" w:cs="Arial"/>
          <w:b/>
          <w:sz w:val="22"/>
        </w:rPr>
        <w:t>–</w:t>
      </w:r>
      <w:r w:rsidRPr="00024272">
        <w:rPr>
          <w:rFonts w:ascii="Arial" w:eastAsia="Calibri" w:hAnsi="Arial" w:cs="Arial"/>
          <w:b/>
          <w:bCs/>
          <w:sz w:val="22"/>
        </w:rPr>
        <w:t xml:space="preserve"> Noción</w:t>
      </w:r>
      <w:r>
        <w:rPr>
          <w:rFonts w:ascii="Arial" w:eastAsia="Calibri" w:hAnsi="Arial" w:cs="Arial"/>
          <w:b/>
          <w:bCs/>
          <w:sz w:val="22"/>
        </w:rPr>
        <w:t xml:space="preserve"> </w:t>
      </w:r>
      <w:r w:rsidRPr="00024272">
        <w:rPr>
          <w:rFonts w:ascii="Arial" w:eastAsia="Calibri" w:hAnsi="Arial" w:cs="Arial"/>
          <w:b/>
          <w:sz w:val="22"/>
        </w:rPr>
        <w:t>–</w:t>
      </w:r>
      <w:r>
        <w:rPr>
          <w:rFonts w:ascii="Arial" w:eastAsia="Calibri" w:hAnsi="Arial" w:cs="Arial"/>
          <w:b/>
          <w:sz w:val="22"/>
        </w:rPr>
        <w:t xml:space="preserve"> Colombia Compra Eficiente</w:t>
      </w:r>
    </w:p>
    <w:p w14:paraId="4D49E12D" w14:textId="77777777" w:rsidR="002B2434" w:rsidRPr="00545FF9" w:rsidRDefault="002B2434" w:rsidP="00047F68">
      <w:pPr>
        <w:jc w:val="both"/>
        <w:rPr>
          <w:rFonts w:ascii="Arial" w:eastAsia="Calibri" w:hAnsi="Arial" w:cs="Arial"/>
          <w:sz w:val="20"/>
          <w:szCs w:val="20"/>
          <w:highlight w:val="yellow"/>
          <w:lang w:val="es-ES"/>
        </w:rPr>
      </w:pPr>
    </w:p>
    <w:p w14:paraId="265055CA" w14:textId="77777777" w:rsidR="002B2434" w:rsidRDefault="002B2434" w:rsidP="00047F68">
      <w:pPr>
        <w:jc w:val="both"/>
        <w:rPr>
          <w:rFonts w:ascii="Arial" w:eastAsia="Calibri" w:hAnsi="Arial" w:cs="Arial"/>
          <w:sz w:val="20"/>
          <w:szCs w:val="20"/>
          <w:lang w:val="es-ES"/>
        </w:rPr>
      </w:pPr>
      <w:r w:rsidRPr="00CF34E0">
        <w:rPr>
          <w:rFonts w:ascii="Arial" w:eastAsia="Calibri" w:hAnsi="Arial" w:cs="Arial"/>
          <w:sz w:val="20"/>
          <w:szCs w:val="20"/>
          <w:lang w:val="es-ES"/>
        </w:rPr>
        <w:t xml:space="preserve">Con la precisión anterior, y para comenzar el análisis de la Guía, allí se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Sector[…]» .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72F7E312" w14:textId="77777777" w:rsidR="002B2434" w:rsidRPr="00545FF9" w:rsidRDefault="002B2434" w:rsidP="002B2434">
      <w:pPr>
        <w:jc w:val="both"/>
        <w:rPr>
          <w:rFonts w:ascii="Arial" w:eastAsia="Calibri" w:hAnsi="Arial" w:cs="Arial"/>
          <w:sz w:val="20"/>
          <w:szCs w:val="20"/>
          <w:highlight w:val="yellow"/>
          <w:lang w:val="es-ES"/>
        </w:rPr>
      </w:pPr>
    </w:p>
    <w:p w14:paraId="2ACF2EB0" w14:textId="77777777" w:rsidR="002B2434" w:rsidRPr="006A5955" w:rsidRDefault="002B2434" w:rsidP="002B2434">
      <w:pPr>
        <w:jc w:val="both"/>
        <w:rPr>
          <w:rFonts w:ascii="Arial" w:eastAsia="Calibri" w:hAnsi="Arial" w:cs="Arial"/>
          <w:b/>
          <w:sz w:val="22"/>
        </w:rPr>
      </w:pPr>
      <w:r w:rsidRPr="006A5955">
        <w:rPr>
          <w:rFonts w:ascii="Arial" w:eastAsia="Calibri" w:hAnsi="Arial" w:cs="Arial"/>
          <w:b/>
          <w:bCs/>
          <w:sz w:val="22"/>
        </w:rPr>
        <w:t xml:space="preserve">GUÍA PARA EL MANEJO DE OFERTAS ARTIFICIALMENTE BAJAS </w:t>
      </w:r>
      <w:r w:rsidRPr="006A5955">
        <w:rPr>
          <w:rFonts w:ascii="Arial" w:eastAsia="Calibri" w:hAnsi="Arial" w:cs="Arial"/>
          <w:b/>
          <w:sz w:val="22"/>
        </w:rPr>
        <w:t xml:space="preserve">– </w:t>
      </w:r>
      <w:r>
        <w:rPr>
          <w:rFonts w:ascii="Arial" w:eastAsia="Calibri" w:hAnsi="Arial" w:cs="Arial"/>
          <w:b/>
          <w:sz w:val="22"/>
        </w:rPr>
        <w:t>Identificación</w:t>
      </w:r>
    </w:p>
    <w:p w14:paraId="693EE73C" w14:textId="77777777" w:rsidR="002B2434" w:rsidRPr="00545FF9" w:rsidRDefault="002B2434" w:rsidP="002B2434">
      <w:pPr>
        <w:jc w:val="both"/>
        <w:rPr>
          <w:rFonts w:ascii="Arial" w:eastAsia="Calibri" w:hAnsi="Arial" w:cs="Arial"/>
          <w:sz w:val="20"/>
          <w:szCs w:val="20"/>
          <w:highlight w:val="yellow"/>
          <w:lang w:val="es-ES"/>
        </w:rPr>
      </w:pPr>
    </w:p>
    <w:p w14:paraId="75B40636" w14:textId="1558FFB3" w:rsidR="00571F49" w:rsidRPr="00571F49" w:rsidRDefault="002B2434" w:rsidP="00047F68">
      <w:pPr>
        <w:spacing w:after="120"/>
        <w:jc w:val="both"/>
        <w:rPr>
          <w:rFonts w:ascii="Arial" w:eastAsia="Calibri" w:hAnsi="Arial" w:cs="Arial"/>
          <w:sz w:val="20"/>
          <w:szCs w:val="20"/>
          <w:lang w:val="es-ES"/>
        </w:rPr>
      </w:pPr>
      <w:r w:rsidRPr="00CF34E0">
        <w:rPr>
          <w:rFonts w:ascii="Arial" w:eastAsia="Calibri" w:hAnsi="Arial" w:cs="Arial"/>
          <w:sz w:val="20"/>
          <w:szCs w:val="20"/>
          <w:lang w:val="es-ES"/>
        </w:rPr>
        <w:t xml:space="preserve">Con esta información, la Guía propone dos (2) «herramientas» y una (1) «metodología», y su </w:t>
      </w:r>
      <w:r w:rsidR="00571F49" w:rsidRPr="00571F49">
        <w:rPr>
          <w:rFonts w:ascii="Arial" w:eastAsia="Calibri" w:hAnsi="Arial" w:cs="Arial"/>
          <w:sz w:val="20"/>
          <w:szCs w:val="20"/>
          <w:lang w:val="es-ES"/>
        </w:rPr>
        <w:t>Con esta información, la Guía propone dos (2) «herramientas» y una (1) «metodología», y su aplicación depende de la cantidad de ofertas que se presentaron al procedimiento. Para la primera herramienta, la entidad puede acudir a la comparación absoluta, para contrastar el valor de cada oferta con el costo estimado de la provisión del bien o servicio, de acuerdo con el estudio del sector, siempre y cuando haya recibido menos de cinco (5) ofertas. La regla es que si después de la comparación se encuentran ofertas menores en un 20% o un mayor porcentaje respecto del costo estimado por la entidad, se considerará que ofrecen precios artificialmente bajos. Por consiguiente, esta herramienta no se puede aplicar cuando se reciben cinco (5) o más ofertas, y no todas las ofertas deben ser tratadas por posibles «precios artificialmente bajos» sino aquellas con un valor por debajo del 20% o un porcentaje superior, respecto del valor que la entidad definió como precio del bien, obra o servicio.</w:t>
      </w:r>
    </w:p>
    <w:p w14:paraId="6FEF3918" w14:textId="5E441AAF" w:rsidR="002B2434" w:rsidRDefault="00571F49" w:rsidP="00047F68">
      <w:pPr>
        <w:jc w:val="both"/>
        <w:rPr>
          <w:rFonts w:ascii="Arial" w:eastAsia="Calibri" w:hAnsi="Arial" w:cs="Arial"/>
          <w:sz w:val="20"/>
          <w:szCs w:val="20"/>
          <w:lang w:val="es-ES"/>
        </w:rPr>
      </w:pPr>
      <w:r w:rsidRPr="00571F49">
        <w:rPr>
          <w:rFonts w:ascii="Arial" w:eastAsia="Calibri" w:hAnsi="Arial" w:cs="Arial"/>
          <w:sz w:val="20"/>
          <w:szCs w:val="20"/>
          <w:lang w:val="es-ES"/>
        </w:rPr>
        <w:t xml:space="preserve">La segunda herramienta, denominada comparación relativa, corresponde a la «comparación de cada oferta con las demás presentadas», sin que se indique la cantidad de ofertas que debió recibir la entidad, por lo cual nada obsta para aplicarla, independientemente del número de ofertas presentadas al procedimiento. </w:t>
      </w:r>
      <w:r>
        <w:rPr>
          <w:rFonts w:ascii="Arial" w:eastAsia="Calibri" w:hAnsi="Arial" w:cs="Arial"/>
          <w:sz w:val="20"/>
          <w:szCs w:val="20"/>
          <w:lang w:val="es-ES"/>
        </w:rPr>
        <w:t xml:space="preserve">[...] </w:t>
      </w:r>
      <w:r w:rsidRPr="00571F49">
        <w:rPr>
          <w:rFonts w:ascii="Arial" w:eastAsia="Calibri" w:hAnsi="Arial" w:cs="Arial"/>
          <w:sz w:val="20"/>
          <w:szCs w:val="20"/>
          <w:lang w:val="es-ES"/>
        </w:rPr>
        <w:t>Por otra parte, Colombia Compra Eficiente ha sugerido aplicar la siguiente metodología con pasos sucesivos, para identificar ofertas que pueden tener «precios artificialmente bajos», en los procedimientos donde hay cinco (5) o más ofertas</w:t>
      </w:r>
      <w:r>
        <w:rPr>
          <w:rFonts w:ascii="Arial" w:eastAsia="Calibri" w:hAnsi="Arial" w:cs="Arial"/>
          <w:sz w:val="20"/>
          <w:szCs w:val="20"/>
          <w:lang w:val="es-ES"/>
        </w:rPr>
        <w:t xml:space="preserve"> [...].</w:t>
      </w:r>
    </w:p>
    <w:p w14:paraId="5F2BE4DD" w14:textId="77777777" w:rsidR="00571F49" w:rsidRPr="00545FF9" w:rsidRDefault="00571F49" w:rsidP="00047F68">
      <w:pPr>
        <w:jc w:val="both"/>
        <w:rPr>
          <w:rFonts w:ascii="Arial" w:eastAsia="Calibri" w:hAnsi="Arial" w:cs="Arial"/>
          <w:sz w:val="20"/>
          <w:szCs w:val="20"/>
          <w:highlight w:val="yellow"/>
          <w:lang w:val="es-ES"/>
        </w:rPr>
      </w:pPr>
    </w:p>
    <w:p w14:paraId="476E48E7" w14:textId="77777777" w:rsidR="002B2434" w:rsidRPr="006A5955" w:rsidRDefault="002B2434" w:rsidP="00047F68">
      <w:pPr>
        <w:jc w:val="both"/>
        <w:rPr>
          <w:rFonts w:ascii="Arial" w:eastAsia="Calibri" w:hAnsi="Arial" w:cs="Arial"/>
          <w:b/>
          <w:sz w:val="22"/>
        </w:rPr>
      </w:pPr>
      <w:r w:rsidRPr="006A5955">
        <w:rPr>
          <w:rFonts w:ascii="Arial" w:eastAsia="Calibri" w:hAnsi="Arial" w:cs="Arial"/>
          <w:b/>
          <w:bCs/>
          <w:sz w:val="22"/>
        </w:rPr>
        <w:t xml:space="preserve">GUÍA PARA EL MANEJO DE OFERTAS ARTIFICIALMENTE BAJAS </w:t>
      </w:r>
      <w:r w:rsidRPr="006A5955">
        <w:rPr>
          <w:rFonts w:ascii="Arial" w:eastAsia="Calibri" w:hAnsi="Arial" w:cs="Arial"/>
          <w:b/>
          <w:sz w:val="22"/>
        </w:rPr>
        <w:t>–</w:t>
      </w:r>
      <w:r>
        <w:rPr>
          <w:rFonts w:ascii="Arial" w:eastAsia="Calibri" w:hAnsi="Arial" w:cs="Arial"/>
          <w:b/>
          <w:sz w:val="22"/>
        </w:rPr>
        <w:t xml:space="preserve"> Manejo</w:t>
      </w:r>
    </w:p>
    <w:p w14:paraId="6CEF9112" w14:textId="77777777" w:rsidR="002B2434" w:rsidRPr="00545FF9" w:rsidRDefault="002B2434" w:rsidP="002B2434">
      <w:pPr>
        <w:jc w:val="both"/>
        <w:rPr>
          <w:rFonts w:ascii="Arial" w:eastAsia="Calibri" w:hAnsi="Arial" w:cs="Arial"/>
          <w:sz w:val="20"/>
          <w:szCs w:val="20"/>
          <w:highlight w:val="yellow"/>
          <w:lang w:val="es-ES"/>
        </w:rPr>
      </w:pPr>
    </w:p>
    <w:p w14:paraId="3D9D407F" w14:textId="77777777" w:rsidR="002B2434" w:rsidRDefault="002B2434" w:rsidP="002B2434">
      <w:pPr>
        <w:jc w:val="both"/>
        <w:rPr>
          <w:rFonts w:ascii="Arial" w:eastAsia="Calibri" w:hAnsi="Arial" w:cs="Arial"/>
          <w:sz w:val="20"/>
          <w:szCs w:val="20"/>
          <w:lang w:val="es-ES"/>
        </w:rPr>
      </w:pPr>
      <w:r w:rsidRPr="00CF34E0">
        <w:rPr>
          <w:rFonts w:ascii="Arial" w:eastAsia="Calibri" w:hAnsi="Arial" w:cs="Arial"/>
          <w:sz w:val="20"/>
          <w:szCs w:val="20"/>
          <w:lang w:val="es-ES"/>
        </w:rPr>
        <w:t xml:space="preserve">Identificadas estas ofertas, la Guía sugiere realizar las siguientes actuaciones, observando lo dispuesto en el artículo 2.2.1.1.2.2.4. del Decreto 1082 de 2015: i) solicitar aclaración a los </w:t>
      </w:r>
      <w:r w:rsidRPr="00CF34E0">
        <w:rPr>
          <w:rFonts w:ascii="Arial" w:eastAsia="Calibri" w:hAnsi="Arial" w:cs="Arial"/>
          <w:sz w:val="20"/>
          <w:szCs w:val="20"/>
          <w:lang w:val="es-ES"/>
        </w:rPr>
        <w:lastRenderedPageBreak/>
        <w:t xml:space="preserve">proponentes que hayan ofertado precios que parecen bajos injustificadamente, </w:t>
      </w:r>
      <w:proofErr w:type="spellStart"/>
      <w:r w:rsidRPr="00CF34E0">
        <w:rPr>
          <w:rFonts w:ascii="Arial" w:eastAsia="Calibri" w:hAnsi="Arial" w:cs="Arial"/>
          <w:sz w:val="20"/>
          <w:szCs w:val="20"/>
          <w:lang w:val="es-ES"/>
        </w:rPr>
        <w:t>ii</w:t>
      </w:r>
      <w:proofErr w:type="spellEnd"/>
      <w:r w:rsidRPr="00CF34E0">
        <w:rPr>
          <w:rFonts w:ascii="Arial" w:eastAsia="Calibri" w:hAnsi="Arial" w:cs="Arial"/>
          <w:sz w:val="20"/>
          <w:szCs w:val="20"/>
          <w:lang w:val="es-ES"/>
        </w:rPr>
        <w:t xml:space="preserve">) analizar las explicaciones y </w:t>
      </w:r>
      <w:proofErr w:type="spellStart"/>
      <w:r w:rsidRPr="00CF34E0">
        <w:rPr>
          <w:rFonts w:ascii="Arial" w:eastAsia="Calibri" w:hAnsi="Arial" w:cs="Arial"/>
          <w:sz w:val="20"/>
          <w:szCs w:val="20"/>
          <w:lang w:val="es-ES"/>
        </w:rPr>
        <w:t>iii</w:t>
      </w:r>
      <w:proofErr w:type="spellEnd"/>
      <w:r w:rsidRPr="00CF34E0">
        <w:rPr>
          <w:rFonts w:ascii="Arial" w:eastAsia="Calibri" w:hAnsi="Arial" w:cs="Arial"/>
          <w:sz w:val="20"/>
          <w:szCs w:val="20"/>
          <w:lang w:val="es-ES"/>
        </w:rPr>
        <w:t>) decidir «si continúa con la evaluación de la oferta porque la explicación demuestra la habilidad del proponente para cumplir adecuadamente con el contrato con los precios ofrecidos, o rechazar la oferta si la explicación no sustenta los valores ofrecidos».</w:t>
      </w:r>
    </w:p>
    <w:p w14:paraId="54C023C6" w14:textId="77777777" w:rsidR="002B2434" w:rsidRPr="00545FF9" w:rsidRDefault="002B2434" w:rsidP="002B2434">
      <w:pPr>
        <w:jc w:val="both"/>
        <w:rPr>
          <w:rFonts w:ascii="Arial" w:eastAsia="Calibri" w:hAnsi="Arial" w:cs="Arial"/>
          <w:sz w:val="20"/>
          <w:szCs w:val="20"/>
          <w:highlight w:val="yellow"/>
          <w:lang w:val="es-ES"/>
        </w:rPr>
      </w:pPr>
    </w:p>
    <w:p w14:paraId="2F3056FA" w14:textId="77777777" w:rsidR="00875BA2" w:rsidRPr="00875BA2" w:rsidRDefault="00875BA2" w:rsidP="00875BA2">
      <w:pPr>
        <w:pStyle w:val="Default"/>
        <w:rPr>
          <w:sz w:val="20"/>
          <w:szCs w:val="20"/>
        </w:rPr>
      </w:pPr>
    </w:p>
    <w:p w14:paraId="6C858511" w14:textId="1BB43F5E" w:rsidR="00875BA2" w:rsidRPr="00875BA2" w:rsidRDefault="00875BA2" w:rsidP="00875BA2">
      <w:pPr>
        <w:pStyle w:val="Default"/>
        <w:rPr>
          <w:sz w:val="22"/>
          <w:szCs w:val="22"/>
        </w:rPr>
      </w:pPr>
      <w:r w:rsidRPr="00875BA2">
        <w:rPr>
          <w:sz w:val="22"/>
          <w:szCs w:val="22"/>
        </w:rPr>
        <w:t xml:space="preserve">Bogotá D.C., </w:t>
      </w:r>
      <w:r w:rsidRPr="00875BA2">
        <w:rPr>
          <w:b/>
          <w:bCs/>
          <w:sz w:val="22"/>
          <w:szCs w:val="22"/>
        </w:rPr>
        <w:t xml:space="preserve">29/07/2020 Hora 19:5:37s </w:t>
      </w:r>
    </w:p>
    <w:p w14:paraId="6A2FD2A7" w14:textId="594ECB9E" w:rsidR="002B2434" w:rsidRPr="00875BA2" w:rsidRDefault="00875BA2" w:rsidP="00875BA2">
      <w:pPr>
        <w:jc w:val="right"/>
        <w:rPr>
          <w:rFonts w:ascii="Arial" w:eastAsia="Calibri" w:hAnsi="Arial" w:cs="Arial"/>
          <w:color w:val="000000" w:themeColor="text1"/>
          <w:sz w:val="22"/>
        </w:rPr>
      </w:pPr>
      <w:proofErr w:type="spellStart"/>
      <w:r w:rsidRPr="00875BA2">
        <w:rPr>
          <w:rFonts w:ascii="Arial" w:hAnsi="Arial" w:cs="Arial"/>
          <w:b/>
          <w:bCs/>
          <w:sz w:val="22"/>
        </w:rPr>
        <w:t>N°</w:t>
      </w:r>
      <w:proofErr w:type="spellEnd"/>
      <w:r w:rsidRPr="00875BA2">
        <w:rPr>
          <w:rFonts w:ascii="Arial" w:hAnsi="Arial" w:cs="Arial"/>
          <w:b/>
          <w:bCs/>
          <w:sz w:val="22"/>
        </w:rPr>
        <w:t xml:space="preserve"> Radicado: 2202013000006857</w:t>
      </w:r>
    </w:p>
    <w:p w14:paraId="47B14734" w14:textId="77777777" w:rsidR="002B2434" w:rsidRPr="00F855D1" w:rsidRDefault="002B2434" w:rsidP="002B2434">
      <w:pPr>
        <w:rPr>
          <w:rFonts w:ascii="Arial" w:eastAsia="Calibri" w:hAnsi="Arial" w:cs="Arial"/>
          <w:color w:val="000000" w:themeColor="text1"/>
          <w:sz w:val="22"/>
        </w:rPr>
      </w:pPr>
      <w:r w:rsidRPr="00F855D1">
        <w:rPr>
          <w:rFonts w:ascii="Arial" w:eastAsia="Calibri" w:hAnsi="Arial" w:cs="Arial"/>
          <w:color w:val="000000" w:themeColor="text1"/>
          <w:sz w:val="22"/>
        </w:rPr>
        <w:t>Señor</w:t>
      </w:r>
    </w:p>
    <w:p w14:paraId="77057D5D" w14:textId="0DF32080" w:rsidR="002B2434" w:rsidRPr="00F855D1" w:rsidRDefault="00E570E8" w:rsidP="002B2434">
      <w:pPr>
        <w:rPr>
          <w:rFonts w:ascii="Arial" w:eastAsia="Calibri" w:hAnsi="Arial" w:cs="Arial"/>
          <w:b/>
          <w:color w:val="000000" w:themeColor="text1"/>
          <w:sz w:val="22"/>
        </w:rPr>
      </w:pPr>
      <w:r>
        <w:rPr>
          <w:rFonts w:ascii="Arial" w:eastAsia="Calibri" w:hAnsi="Arial" w:cs="Arial"/>
          <w:b/>
          <w:color w:val="000000" w:themeColor="text1"/>
          <w:sz w:val="22"/>
        </w:rPr>
        <w:t>Pablo Humberto Herrera</w:t>
      </w:r>
    </w:p>
    <w:p w14:paraId="28A75312" w14:textId="77777777" w:rsidR="002B2434" w:rsidRPr="00F855D1" w:rsidRDefault="002B2434" w:rsidP="002B2434">
      <w:pPr>
        <w:rPr>
          <w:rFonts w:ascii="Arial" w:eastAsia="Calibri" w:hAnsi="Arial" w:cs="Arial"/>
          <w:color w:val="000000" w:themeColor="text1"/>
          <w:sz w:val="22"/>
        </w:rPr>
      </w:pPr>
      <w:r>
        <w:rPr>
          <w:rFonts w:ascii="Arial" w:eastAsia="Calibri" w:hAnsi="Arial" w:cs="Arial"/>
          <w:color w:val="000000" w:themeColor="text1"/>
          <w:sz w:val="22"/>
        </w:rPr>
        <w:t>Ciudad</w:t>
      </w:r>
    </w:p>
    <w:p w14:paraId="362A9DCD" w14:textId="77777777" w:rsidR="002B2434" w:rsidRPr="00F855D1" w:rsidRDefault="002B2434" w:rsidP="002B2434">
      <w:pPr>
        <w:jc w:val="center"/>
        <w:rPr>
          <w:rFonts w:ascii="Arial" w:eastAsia="Calibri" w:hAnsi="Arial" w:cs="Arial"/>
          <w:b/>
          <w:bCs/>
          <w:color w:val="000000" w:themeColor="text1"/>
          <w:sz w:val="22"/>
        </w:rPr>
      </w:pPr>
    </w:p>
    <w:p w14:paraId="1BF48729" w14:textId="0055AC52" w:rsidR="002B2434" w:rsidRPr="00F855D1" w:rsidRDefault="002B2434" w:rsidP="002B2434">
      <w:pPr>
        <w:jc w:val="center"/>
        <w:rPr>
          <w:rFonts w:ascii="Arial" w:eastAsia="Calibri" w:hAnsi="Arial" w:cs="Arial"/>
          <w:b/>
          <w:bCs/>
          <w:color w:val="000000" w:themeColor="text1"/>
          <w:sz w:val="22"/>
        </w:rPr>
      </w:pPr>
      <w:r w:rsidRPr="00F855D1">
        <w:rPr>
          <w:rFonts w:ascii="Arial" w:eastAsia="Calibri" w:hAnsi="Arial" w:cs="Arial"/>
          <w:b/>
          <w:bCs/>
          <w:color w:val="000000" w:themeColor="text1"/>
          <w:sz w:val="22"/>
        </w:rPr>
        <w:t xml:space="preserve">Concepto C‒ </w:t>
      </w:r>
      <w:r w:rsidR="00E570E8">
        <w:rPr>
          <w:rFonts w:ascii="Arial" w:eastAsia="Calibri" w:hAnsi="Arial" w:cs="Arial"/>
          <w:b/>
          <w:bCs/>
          <w:color w:val="000000" w:themeColor="text1"/>
          <w:sz w:val="22"/>
        </w:rPr>
        <w:t>506</w:t>
      </w:r>
      <w:r w:rsidRPr="00F855D1">
        <w:rPr>
          <w:rFonts w:ascii="Arial" w:eastAsia="Calibri" w:hAnsi="Arial" w:cs="Arial"/>
          <w:b/>
          <w:bCs/>
          <w:color w:val="000000" w:themeColor="text1"/>
          <w:sz w:val="22"/>
        </w:rPr>
        <w:t xml:space="preserve"> de 2020</w:t>
      </w:r>
    </w:p>
    <w:p w14:paraId="0EF1E087" w14:textId="77777777" w:rsidR="002B2434" w:rsidRPr="00F855D1" w:rsidRDefault="002B2434" w:rsidP="002B2434">
      <w:pPr>
        <w:jc w:val="center"/>
        <w:rPr>
          <w:rFonts w:ascii="Arial" w:eastAsia="Calibri" w:hAnsi="Arial" w:cs="Arial"/>
          <w:b/>
          <w:bCs/>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B2434" w:rsidRPr="00F855D1" w14:paraId="2DCD101B" w14:textId="77777777" w:rsidTr="053AE529">
        <w:tc>
          <w:tcPr>
            <w:tcW w:w="2689" w:type="dxa"/>
          </w:tcPr>
          <w:p w14:paraId="703F4A18" w14:textId="77777777" w:rsidR="002B2434" w:rsidRPr="00F855D1" w:rsidRDefault="002B2434" w:rsidP="00255703">
            <w:pPr>
              <w:rPr>
                <w:rFonts w:ascii="Arial" w:eastAsia="Calibri" w:hAnsi="Arial" w:cs="Arial"/>
                <w:b/>
                <w:color w:val="000000" w:themeColor="text1"/>
                <w:sz w:val="22"/>
              </w:rPr>
            </w:pPr>
          </w:p>
          <w:p w14:paraId="470A7D9E" w14:textId="77777777" w:rsidR="002B2434" w:rsidRPr="00F855D1" w:rsidRDefault="002B2434" w:rsidP="00255703">
            <w:pPr>
              <w:rPr>
                <w:rFonts w:ascii="Arial" w:eastAsia="Calibri" w:hAnsi="Arial" w:cs="Arial"/>
                <w:color w:val="000000" w:themeColor="text1"/>
                <w:sz w:val="22"/>
              </w:rPr>
            </w:pPr>
            <w:r w:rsidRPr="00F855D1">
              <w:rPr>
                <w:rFonts w:ascii="Arial" w:eastAsia="Calibri" w:hAnsi="Arial" w:cs="Arial"/>
                <w:b/>
                <w:color w:val="000000" w:themeColor="text1"/>
                <w:sz w:val="22"/>
              </w:rPr>
              <w:t>Temas:</w:t>
            </w:r>
            <w:r w:rsidRPr="00F855D1">
              <w:rPr>
                <w:rFonts w:ascii="Arial" w:eastAsia="Calibri" w:hAnsi="Arial" w:cs="Arial"/>
                <w:color w:val="000000" w:themeColor="text1"/>
                <w:sz w:val="22"/>
              </w:rPr>
              <w:t xml:space="preserve">                                      </w:t>
            </w:r>
          </w:p>
        </w:tc>
        <w:tc>
          <w:tcPr>
            <w:tcW w:w="6237" w:type="dxa"/>
          </w:tcPr>
          <w:p w14:paraId="7881FCD3" w14:textId="681F4352" w:rsidR="002B2434" w:rsidRPr="00F855D1" w:rsidRDefault="002B2434" w:rsidP="053AE529">
            <w:pPr>
              <w:jc w:val="both"/>
              <w:rPr>
                <w:rFonts w:ascii="Arial" w:eastAsia="Calibri" w:hAnsi="Arial" w:cs="Arial"/>
                <w:b/>
                <w:bCs/>
                <w:sz w:val="22"/>
              </w:rPr>
            </w:pPr>
            <w:r w:rsidRPr="053AE529">
              <w:rPr>
                <w:rFonts w:ascii="Arial" w:eastAsia="Calibri" w:hAnsi="Arial" w:cs="Arial"/>
                <w:sz w:val="22"/>
              </w:rPr>
              <w:t xml:space="preserve">PRECIOS ARTIFICIALMENTE BAJOS – Noción / PRECIOS ARTIFICIALMENTE BAJOS – Noción – Colombia Compra Eficiente / </w:t>
            </w:r>
            <w:r w:rsidR="6D62B44F" w:rsidRPr="053AE529">
              <w:rPr>
                <w:rFonts w:ascii="Arial" w:eastAsia="Calibri" w:hAnsi="Arial" w:cs="Arial"/>
                <w:sz w:val="22"/>
              </w:rPr>
              <w:t>GUÍA PARA EL MANEJO DE OFERTAS ARTIFICIALMENTE BAJAS – Identificación</w:t>
            </w:r>
            <w:r w:rsidRPr="053AE529">
              <w:rPr>
                <w:rFonts w:ascii="Arial" w:eastAsia="Calibri" w:hAnsi="Arial" w:cs="Arial"/>
                <w:sz w:val="22"/>
              </w:rPr>
              <w:t xml:space="preserve"> / </w:t>
            </w:r>
            <w:r w:rsidR="796D7D6B" w:rsidRPr="053AE529">
              <w:rPr>
                <w:rFonts w:ascii="Arial" w:eastAsia="Calibri" w:hAnsi="Arial" w:cs="Arial"/>
                <w:sz w:val="22"/>
              </w:rPr>
              <w:t>GUÍA PARA EL MANEJO DE OFERTAS ARTIFICIALMENTE BAJAS – Manejo</w:t>
            </w:r>
          </w:p>
        </w:tc>
      </w:tr>
      <w:tr w:rsidR="002B2434" w:rsidRPr="00F855D1" w14:paraId="5E4C2545" w14:textId="77777777" w:rsidTr="053AE529">
        <w:tc>
          <w:tcPr>
            <w:tcW w:w="2689" w:type="dxa"/>
          </w:tcPr>
          <w:p w14:paraId="2EEFB38D" w14:textId="77777777" w:rsidR="002B2434" w:rsidRPr="00F855D1" w:rsidRDefault="002B2434" w:rsidP="00255703">
            <w:pPr>
              <w:rPr>
                <w:rFonts w:ascii="Arial" w:eastAsia="Calibri" w:hAnsi="Arial" w:cs="Arial"/>
                <w:b/>
                <w:color w:val="000000" w:themeColor="text1"/>
                <w:sz w:val="22"/>
              </w:rPr>
            </w:pPr>
            <w:r w:rsidRPr="00F855D1">
              <w:rPr>
                <w:rFonts w:ascii="Arial" w:eastAsia="Calibri" w:hAnsi="Arial" w:cs="Arial"/>
                <w:b/>
                <w:color w:val="000000" w:themeColor="text1"/>
                <w:sz w:val="22"/>
              </w:rPr>
              <w:t>Radicación:</w:t>
            </w:r>
            <w:r w:rsidRPr="00F855D1">
              <w:rPr>
                <w:rFonts w:ascii="Arial" w:eastAsia="Calibri" w:hAnsi="Arial" w:cs="Arial"/>
                <w:color w:val="000000" w:themeColor="text1"/>
                <w:sz w:val="22"/>
              </w:rPr>
              <w:t xml:space="preserve">                              </w:t>
            </w:r>
          </w:p>
        </w:tc>
        <w:tc>
          <w:tcPr>
            <w:tcW w:w="6237" w:type="dxa"/>
          </w:tcPr>
          <w:p w14:paraId="3CC7F699" w14:textId="0C960427" w:rsidR="002B2434" w:rsidRPr="00F855D1" w:rsidRDefault="002B2434" w:rsidP="00255703">
            <w:pPr>
              <w:jc w:val="both"/>
              <w:rPr>
                <w:rFonts w:ascii="Arial" w:eastAsia="Calibri" w:hAnsi="Arial" w:cs="Arial"/>
                <w:color w:val="000000" w:themeColor="text1"/>
                <w:sz w:val="22"/>
              </w:rPr>
            </w:pPr>
            <w:r w:rsidRPr="00F855D1">
              <w:rPr>
                <w:rFonts w:ascii="Arial" w:eastAsia="Calibri" w:hAnsi="Arial" w:cs="Arial"/>
                <w:color w:val="000000" w:themeColor="text1"/>
                <w:sz w:val="22"/>
              </w:rPr>
              <w:t xml:space="preserve">Respuesta consulta # </w:t>
            </w:r>
            <w:r w:rsidRPr="00156446">
              <w:rPr>
                <w:rFonts w:ascii="Arial" w:eastAsia="Calibri" w:hAnsi="Arial" w:cs="Arial"/>
                <w:color w:val="000000" w:themeColor="text1"/>
                <w:sz w:val="22"/>
              </w:rPr>
              <w:t>420201</w:t>
            </w:r>
            <w:r w:rsidR="00E570E8">
              <w:rPr>
                <w:rFonts w:ascii="Arial" w:eastAsia="Calibri" w:hAnsi="Arial" w:cs="Arial"/>
                <w:color w:val="000000" w:themeColor="text1"/>
                <w:sz w:val="22"/>
              </w:rPr>
              <w:t>3</w:t>
            </w:r>
            <w:r w:rsidRPr="00156446">
              <w:rPr>
                <w:rFonts w:ascii="Arial" w:eastAsia="Calibri" w:hAnsi="Arial" w:cs="Arial"/>
                <w:color w:val="000000" w:themeColor="text1"/>
                <w:sz w:val="22"/>
              </w:rPr>
              <w:t>000006</w:t>
            </w:r>
            <w:r w:rsidR="00E570E8">
              <w:rPr>
                <w:rFonts w:ascii="Arial" w:eastAsia="Calibri" w:hAnsi="Arial" w:cs="Arial"/>
                <w:color w:val="000000" w:themeColor="text1"/>
                <w:sz w:val="22"/>
              </w:rPr>
              <w:t>075</w:t>
            </w:r>
          </w:p>
        </w:tc>
      </w:tr>
    </w:tbl>
    <w:p w14:paraId="2A3EB22B" w14:textId="77777777" w:rsidR="002B2434" w:rsidRDefault="002B2434" w:rsidP="002B2434">
      <w:pPr>
        <w:jc w:val="both"/>
        <w:rPr>
          <w:rFonts w:ascii="Arial" w:eastAsia="Calibri" w:hAnsi="Arial" w:cs="Arial"/>
          <w:b/>
          <w:bCs/>
          <w:color w:val="000000" w:themeColor="text1"/>
          <w:sz w:val="20"/>
          <w:szCs w:val="20"/>
        </w:rPr>
      </w:pPr>
    </w:p>
    <w:p w14:paraId="4245D6E4" w14:textId="77777777" w:rsidR="002B2434" w:rsidRPr="00F855D1" w:rsidRDefault="002B2434" w:rsidP="002B2434">
      <w:pPr>
        <w:jc w:val="both"/>
        <w:rPr>
          <w:rFonts w:ascii="Arial" w:eastAsia="Calibri" w:hAnsi="Arial" w:cs="Arial"/>
          <w:b/>
          <w:bCs/>
          <w:color w:val="000000" w:themeColor="text1"/>
          <w:sz w:val="20"/>
          <w:szCs w:val="20"/>
        </w:rPr>
      </w:pPr>
    </w:p>
    <w:p w14:paraId="0C51B64F" w14:textId="068A6844" w:rsidR="002B2434" w:rsidRPr="00F855D1" w:rsidRDefault="002B2434" w:rsidP="002B2434">
      <w:pPr>
        <w:rPr>
          <w:rFonts w:ascii="Arial" w:eastAsia="Calibri" w:hAnsi="Arial" w:cs="Arial"/>
          <w:color w:val="000000" w:themeColor="text1"/>
          <w:sz w:val="22"/>
        </w:rPr>
      </w:pPr>
      <w:r w:rsidRPr="00F855D1">
        <w:rPr>
          <w:rFonts w:ascii="Arial" w:eastAsia="Calibri" w:hAnsi="Arial" w:cs="Arial"/>
          <w:color w:val="000000" w:themeColor="text1"/>
          <w:sz w:val="22"/>
        </w:rPr>
        <w:t xml:space="preserve">Estimado señor </w:t>
      </w:r>
      <w:r w:rsidR="00CF59F3">
        <w:rPr>
          <w:rFonts w:ascii="Arial" w:eastAsia="Calibri" w:hAnsi="Arial" w:cs="Arial"/>
          <w:color w:val="000000" w:themeColor="text1"/>
          <w:sz w:val="22"/>
        </w:rPr>
        <w:t>Herrera</w:t>
      </w:r>
      <w:r w:rsidRPr="00F855D1">
        <w:rPr>
          <w:rFonts w:ascii="Arial" w:eastAsia="Calibri" w:hAnsi="Arial" w:cs="Arial"/>
          <w:color w:val="000000" w:themeColor="text1"/>
          <w:sz w:val="22"/>
        </w:rPr>
        <w:t>:</w:t>
      </w:r>
    </w:p>
    <w:p w14:paraId="35CBA122" w14:textId="77777777" w:rsidR="002B2434" w:rsidRPr="00F855D1" w:rsidRDefault="002B2434" w:rsidP="002B2434">
      <w:pPr>
        <w:rPr>
          <w:rFonts w:ascii="Arial" w:eastAsia="Calibri" w:hAnsi="Arial" w:cs="Arial"/>
          <w:color w:val="000000" w:themeColor="text1"/>
          <w:sz w:val="22"/>
        </w:rPr>
      </w:pPr>
    </w:p>
    <w:p w14:paraId="5FF1642D" w14:textId="5D9FD268" w:rsidR="002B2434" w:rsidRPr="00F855D1" w:rsidRDefault="002B2434" w:rsidP="002B2434">
      <w:pPr>
        <w:spacing w:line="276" w:lineRule="auto"/>
        <w:jc w:val="both"/>
        <w:rPr>
          <w:rFonts w:ascii="Arial" w:eastAsia="Calibri" w:hAnsi="Arial" w:cs="Arial"/>
          <w:color w:val="000000" w:themeColor="text1"/>
          <w:sz w:val="22"/>
        </w:rPr>
      </w:pPr>
      <w:r w:rsidRPr="00F855D1">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E570E8">
        <w:rPr>
          <w:rFonts w:ascii="Arial" w:eastAsia="Calibri" w:hAnsi="Arial" w:cs="Arial"/>
          <w:color w:val="000000" w:themeColor="text1"/>
          <w:sz w:val="22"/>
        </w:rPr>
        <w:t>20</w:t>
      </w:r>
      <w:r w:rsidRPr="00F855D1">
        <w:rPr>
          <w:rFonts w:ascii="Arial" w:eastAsia="Calibri" w:hAnsi="Arial" w:cs="Arial"/>
          <w:color w:val="000000" w:themeColor="text1"/>
          <w:sz w:val="22"/>
        </w:rPr>
        <w:t xml:space="preserve"> de </w:t>
      </w:r>
      <w:r>
        <w:rPr>
          <w:rFonts w:ascii="Arial" w:eastAsia="Calibri" w:hAnsi="Arial" w:cs="Arial"/>
          <w:color w:val="000000" w:themeColor="text1"/>
          <w:sz w:val="22"/>
        </w:rPr>
        <w:t>julio</w:t>
      </w:r>
      <w:r w:rsidRPr="00F855D1">
        <w:rPr>
          <w:rFonts w:ascii="Arial" w:eastAsia="Calibri" w:hAnsi="Arial" w:cs="Arial"/>
          <w:color w:val="000000" w:themeColor="text1"/>
          <w:sz w:val="22"/>
        </w:rPr>
        <w:t xml:space="preserve"> del año 2020. </w:t>
      </w:r>
    </w:p>
    <w:p w14:paraId="4A9CEF7C" w14:textId="77777777" w:rsidR="002B2434" w:rsidRPr="00F855D1" w:rsidRDefault="002B2434" w:rsidP="002B2434">
      <w:pPr>
        <w:spacing w:line="276" w:lineRule="auto"/>
        <w:jc w:val="both"/>
        <w:rPr>
          <w:rFonts w:ascii="Arial" w:eastAsia="Calibri" w:hAnsi="Arial" w:cs="Arial"/>
          <w:b/>
          <w:color w:val="000000" w:themeColor="text1"/>
          <w:sz w:val="22"/>
        </w:rPr>
      </w:pPr>
    </w:p>
    <w:p w14:paraId="019C396C" w14:textId="40F83AA9" w:rsidR="002B2434" w:rsidRPr="00F855D1" w:rsidRDefault="002B2434" w:rsidP="002B2434">
      <w:pPr>
        <w:pStyle w:val="Prrafodelista"/>
        <w:tabs>
          <w:tab w:val="left" w:pos="0"/>
          <w:tab w:val="left" w:pos="142"/>
          <w:tab w:val="left" w:pos="284"/>
        </w:tabs>
        <w:spacing w:line="276" w:lineRule="auto"/>
        <w:ind w:left="0"/>
        <w:jc w:val="both"/>
        <w:rPr>
          <w:rFonts w:ascii="Arial" w:eastAsia="Calibri" w:hAnsi="Arial" w:cs="Arial"/>
          <w:b/>
          <w:color w:val="000000" w:themeColor="text1"/>
          <w:sz w:val="22"/>
        </w:rPr>
      </w:pPr>
      <w:r>
        <w:rPr>
          <w:rFonts w:ascii="Arial" w:eastAsia="Calibri" w:hAnsi="Arial" w:cs="Arial"/>
          <w:b/>
          <w:color w:val="000000" w:themeColor="text1"/>
          <w:sz w:val="22"/>
        </w:rPr>
        <w:t xml:space="preserve">1. </w:t>
      </w:r>
      <w:r w:rsidRPr="00F855D1">
        <w:rPr>
          <w:rFonts w:ascii="Arial" w:eastAsia="Calibri" w:hAnsi="Arial" w:cs="Arial"/>
          <w:b/>
          <w:color w:val="000000" w:themeColor="text1"/>
          <w:sz w:val="22"/>
        </w:rPr>
        <w:t>Problema planteado</w:t>
      </w:r>
    </w:p>
    <w:p w14:paraId="6153A1C0" w14:textId="77777777" w:rsidR="002B2434" w:rsidRPr="00F855D1" w:rsidRDefault="002B2434" w:rsidP="002B2434">
      <w:pPr>
        <w:tabs>
          <w:tab w:val="left" w:pos="426"/>
        </w:tabs>
        <w:spacing w:line="276" w:lineRule="auto"/>
        <w:jc w:val="both"/>
        <w:rPr>
          <w:rFonts w:ascii="Arial" w:eastAsia="Calibri" w:hAnsi="Arial" w:cs="Arial"/>
          <w:b/>
          <w:color w:val="000000" w:themeColor="text1"/>
          <w:sz w:val="22"/>
        </w:rPr>
      </w:pPr>
    </w:p>
    <w:p w14:paraId="5A01298A" w14:textId="43DD6E4B" w:rsidR="002B2434" w:rsidRPr="00F855D1" w:rsidRDefault="002B2434" w:rsidP="00CF59F3">
      <w:pPr>
        <w:tabs>
          <w:tab w:val="left" w:pos="426"/>
        </w:tabs>
        <w:spacing w:line="276" w:lineRule="auto"/>
        <w:jc w:val="both"/>
        <w:rPr>
          <w:rFonts w:ascii="Arial" w:eastAsia="Calibri" w:hAnsi="Arial" w:cs="Arial"/>
          <w:color w:val="000000" w:themeColor="text1"/>
          <w:sz w:val="22"/>
        </w:rPr>
      </w:pPr>
      <w:r w:rsidRPr="00F855D1">
        <w:rPr>
          <w:rFonts w:ascii="Arial" w:eastAsia="Calibri" w:hAnsi="Arial" w:cs="Arial"/>
          <w:color w:val="000000" w:themeColor="text1"/>
          <w:sz w:val="22"/>
        </w:rPr>
        <w:t xml:space="preserve">Usted realiza la siguiente pregunta: </w:t>
      </w:r>
      <w:r>
        <w:rPr>
          <w:rFonts w:ascii="Arial" w:eastAsia="Calibri" w:hAnsi="Arial" w:cs="Arial"/>
          <w:color w:val="000000" w:themeColor="text1"/>
          <w:sz w:val="22"/>
        </w:rPr>
        <w:t xml:space="preserve">«[…] </w:t>
      </w:r>
      <w:r w:rsidR="00CF59F3" w:rsidRPr="00CF59F3">
        <w:rPr>
          <w:rFonts w:ascii="Arial" w:eastAsia="Calibri" w:hAnsi="Arial" w:cs="Arial"/>
          <w:color w:val="000000" w:themeColor="text1"/>
          <w:sz w:val="22"/>
        </w:rPr>
        <w:t>En la "Guía Para el Manejo de Ofertas Artificialmente Bajas en Procesos de Contratación", ¿Para</w:t>
      </w:r>
      <w:r w:rsidR="00CF59F3">
        <w:rPr>
          <w:rFonts w:ascii="Arial" w:eastAsia="Calibri" w:hAnsi="Arial" w:cs="Arial"/>
          <w:color w:val="000000" w:themeColor="text1"/>
          <w:sz w:val="22"/>
        </w:rPr>
        <w:t xml:space="preserve"> </w:t>
      </w:r>
      <w:r w:rsidR="00CF59F3" w:rsidRPr="00CF59F3">
        <w:rPr>
          <w:rFonts w:ascii="Arial" w:eastAsia="Calibri" w:hAnsi="Arial" w:cs="Arial"/>
          <w:color w:val="000000" w:themeColor="text1"/>
          <w:sz w:val="22"/>
        </w:rPr>
        <w:t>calcular la desviación estándar de precios en un proceso de contratación, la entidad contratante debe tomar</w:t>
      </w:r>
      <w:r w:rsidR="00CF59F3">
        <w:rPr>
          <w:rFonts w:ascii="Arial" w:eastAsia="Calibri" w:hAnsi="Arial" w:cs="Arial"/>
          <w:color w:val="000000" w:themeColor="text1"/>
          <w:sz w:val="22"/>
        </w:rPr>
        <w:t xml:space="preserve"> </w:t>
      </w:r>
      <w:r w:rsidR="00CF59F3" w:rsidRPr="00CF59F3">
        <w:rPr>
          <w:rFonts w:ascii="Arial" w:eastAsia="Calibri" w:hAnsi="Arial" w:cs="Arial"/>
          <w:color w:val="000000" w:themeColor="text1"/>
          <w:sz w:val="22"/>
        </w:rPr>
        <w:t>en cuenta únicamente el valor de cada una de las propuestas habilitadas o debe tomar en cuenta el valor de</w:t>
      </w:r>
      <w:r w:rsidR="00CF59F3">
        <w:rPr>
          <w:rFonts w:ascii="Arial" w:eastAsia="Calibri" w:hAnsi="Arial" w:cs="Arial"/>
          <w:color w:val="000000" w:themeColor="text1"/>
          <w:sz w:val="22"/>
        </w:rPr>
        <w:t xml:space="preserve"> </w:t>
      </w:r>
      <w:r w:rsidR="00CF59F3" w:rsidRPr="00CF59F3">
        <w:rPr>
          <w:rFonts w:ascii="Arial" w:eastAsia="Calibri" w:hAnsi="Arial" w:cs="Arial"/>
          <w:color w:val="000000" w:themeColor="text1"/>
          <w:sz w:val="22"/>
        </w:rPr>
        <w:t>cada una de las propuestas presentadas?</w:t>
      </w:r>
      <w:r w:rsidR="00CF59F3">
        <w:rPr>
          <w:rFonts w:ascii="Arial" w:eastAsia="Calibri" w:hAnsi="Arial" w:cs="Arial"/>
          <w:color w:val="000000" w:themeColor="text1"/>
          <w:sz w:val="22"/>
        </w:rPr>
        <w:t xml:space="preserve"> […]</w:t>
      </w:r>
      <w:r w:rsidRPr="00F855D1">
        <w:rPr>
          <w:rFonts w:ascii="Arial" w:eastAsia="Calibri" w:hAnsi="Arial" w:cs="Arial"/>
          <w:color w:val="000000" w:themeColor="text1"/>
          <w:sz w:val="22"/>
        </w:rPr>
        <w:t>»</w:t>
      </w:r>
      <w:r>
        <w:rPr>
          <w:rFonts w:ascii="Arial" w:eastAsia="Calibri" w:hAnsi="Arial" w:cs="Arial"/>
          <w:color w:val="000000" w:themeColor="text1"/>
          <w:sz w:val="22"/>
        </w:rPr>
        <w:t>.</w:t>
      </w:r>
    </w:p>
    <w:p w14:paraId="06C9F59A" w14:textId="77777777" w:rsidR="00A310CB" w:rsidRPr="00F855D1" w:rsidRDefault="00A310CB" w:rsidP="002B2434">
      <w:pPr>
        <w:tabs>
          <w:tab w:val="left" w:pos="426"/>
        </w:tabs>
        <w:jc w:val="both"/>
        <w:rPr>
          <w:rFonts w:ascii="Arial" w:eastAsia="Calibri" w:hAnsi="Arial" w:cs="Arial"/>
          <w:color w:val="000000" w:themeColor="text1"/>
          <w:sz w:val="22"/>
        </w:rPr>
      </w:pPr>
    </w:p>
    <w:p w14:paraId="0D02E4DB" w14:textId="77777777" w:rsidR="002B2434" w:rsidRPr="00545FF9" w:rsidRDefault="002B2434" w:rsidP="002B2434">
      <w:pPr>
        <w:pStyle w:val="Prrafodelista"/>
        <w:tabs>
          <w:tab w:val="left" w:pos="0"/>
          <w:tab w:val="left" w:pos="284"/>
        </w:tabs>
        <w:ind w:left="0"/>
        <w:rPr>
          <w:rFonts w:ascii="Arial" w:eastAsia="Calibri" w:hAnsi="Arial" w:cs="Arial"/>
          <w:b/>
          <w:sz w:val="22"/>
        </w:rPr>
      </w:pPr>
      <w:r w:rsidRPr="00545FF9">
        <w:rPr>
          <w:rFonts w:ascii="Arial" w:eastAsia="Calibri" w:hAnsi="Arial" w:cs="Arial"/>
          <w:b/>
          <w:sz w:val="22"/>
        </w:rPr>
        <w:t>2. Consideraciones</w:t>
      </w:r>
    </w:p>
    <w:p w14:paraId="43126F37" w14:textId="77777777" w:rsidR="002B2434" w:rsidRPr="00545FF9" w:rsidRDefault="002B2434" w:rsidP="002B2434">
      <w:pPr>
        <w:pStyle w:val="Prrafodelista"/>
        <w:tabs>
          <w:tab w:val="left" w:pos="0"/>
          <w:tab w:val="left" w:pos="284"/>
        </w:tabs>
        <w:ind w:left="0"/>
        <w:rPr>
          <w:rFonts w:ascii="Arial" w:eastAsia="Calibri" w:hAnsi="Arial" w:cs="Arial"/>
          <w:b/>
          <w:sz w:val="22"/>
        </w:rPr>
      </w:pPr>
    </w:p>
    <w:p w14:paraId="354159A9" w14:textId="686E8FDE" w:rsidR="002B2434" w:rsidRPr="00545FF9" w:rsidRDefault="002B2434" w:rsidP="00104092">
      <w:pPr>
        <w:spacing w:line="276" w:lineRule="auto"/>
        <w:jc w:val="both"/>
        <w:rPr>
          <w:rFonts w:ascii="Arial" w:hAnsi="Arial" w:cs="Arial"/>
          <w:sz w:val="22"/>
          <w:lang w:val="es-ES"/>
        </w:rPr>
      </w:pPr>
      <w:r w:rsidRPr="00545FF9">
        <w:rPr>
          <w:rFonts w:ascii="Arial" w:eastAsia="Calibri" w:hAnsi="Arial" w:cs="Arial"/>
          <w:sz w:val="22"/>
        </w:rPr>
        <w:t>La Agencia Nacional de Contratación Pública ― Colombia Compra Eficiente, en el concepto C-012 del 28 de enero de 2020 –radicado No. 2202013000000496–, así como en los conceptos del 21 y 28 de octubre, 7 de noviembre, 11 y 20 de diciembre de 2019, 7 de enero de 2020 –radicados Nos. 2201913000007853, 2201913000008058, 2201913000008288, 2201913000009110, 2201913000009489, 2202013000000038</w:t>
      </w:r>
      <w:r>
        <w:rPr>
          <w:rFonts w:ascii="Arial" w:eastAsia="Calibri" w:hAnsi="Arial" w:cs="Arial"/>
          <w:sz w:val="22"/>
        </w:rPr>
        <w:t>, C-163 del 31 de marzo de 2020,</w:t>
      </w:r>
      <w:r w:rsidRPr="00545FF9">
        <w:rPr>
          <w:rFonts w:ascii="Arial" w:eastAsia="Calibri" w:hAnsi="Arial" w:cs="Arial"/>
          <w:sz w:val="22"/>
        </w:rPr>
        <w:t xml:space="preserve"> </w:t>
      </w:r>
      <w:r>
        <w:rPr>
          <w:rFonts w:ascii="Arial" w:eastAsia="Calibri" w:hAnsi="Arial" w:cs="Arial"/>
          <w:sz w:val="22"/>
        </w:rPr>
        <w:t>C-200 del 14 de abril de 2020</w:t>
      </w:r>
      <w:r w:rsidR="00571F49">
        <w:rPr>
          <w:rFonts w:ascii="Arial" w:eastAsia="Calibri" w:hAnsi="Arial" w:cs="Arial"/>
          <w:sz w:val="22"/>
        </w:rPr>
        <w:t>, C-299 del 16 de julio de 2020</w:t>
      </w:r>
      <w:r>
        <w:rPr>
          <w:rFonts w:ascii="Arial" w:eastAsia="Calibri" w:hAnsi="Arial" w:cs="Arial"/>
          <w:sz w:val="22"/>
        </w:rPr>
        <w:t xml:space="preserve"> y C-473 del 13 de julio de 2002</w:t>
      </w:r>
      <w:r w:rsidRPr="00545FF9">
        <w:rPr>
          <w:rFonts w:ascii="Arial" w:eastAsia="Calibri" w:hAnsi="Arial" w:cs="Arial"/>
          <w:sz w:val="22"/>
        </w:rPr>
        <w:t xml:space="preserve">–, analizó la noción y alcance de los «precios artificialmente </w:t>
      </w:r>
      <w:r w:rsidRPr="00545FF9">
        <w:rPr>
          <w:rFonts w:ascii="Arial" w:eastAsia="Calibri" w:hAnsi="Arial" w:cs="Arial"/>
          <w:sz w:val="22"/>
        </w:rPr>
        <w:lastRenderedPageBreak/>
        <w:t xml:space="preserve">bajos», y las normas y jurisprudencia sobre la materia. </w:t>
      </w:r>
      <w:r w:rsidRPr="00545FF9">
        <w:rPr>
          <w:rFonts w:ascii="Arial" w:hAnsi="Arial" w:cs="Arial"/>
          <w:sz w:val="22"/>
          <w:lang w:val="es-ES"/>
        </w:rPr>
        <w:t>La tesis propuesta se expone a continuación.</w:t>
      </w:r>
    </w:p>
    <w:p w14:paraId="27198994" w14:textId="77777777" w:rsidR="002B2434" w:rsidRDefault="002B2434" w:rsidP="002B2434">
      <w:pPr>
        <w:spacing w:line="276" w:lineRule="auto"/>
        <w:jc w:val="both"/>
        <w:rPr>
          <w:rFonts w:ascii="Arial" w:eastAsia="Calibri" w:hAnsi="Arial" w:cs="Arial"/>
          <w:b/>
          <w:sz w:val="22"/>
        </w:rPr>
      </w:pPr>
    </w:p>
    <w:p w14:paraId="19BFBCCC" w14:textId="77777777" w:rsidR="002B2434" w:rsidRPr="00545FF9" w:rsidRDefault="002B2434" w:rsidP="002B2434">
      <w:pPr>
        <w:spacing w:line="276" w:lineRule="auto"/>
        <w:jc w:val="both"/>
        <w:rPr>
          <w:rFonts w:ascii="Arial" w:eastAsia="Calibri" w:hAnsi="Arial" w:cs="Arial"/>
          <w:b/>
          <w:sz w:val="22"/>
        </w:rPr>
      </w:pPr>
      <w:r w:rsidRPr="00545FF9">
        <w:rPr>
          <w:rFonts w:ascii="Arial" w:eastAsia="Calibri" w:hAnsi="Arial" w:cs="Arial"/>
          <w:b/>
          <w:sz w:val="22"/>
        </w:rPr>
        <w:t>2.1 Regulación de los «precios artificialmente bajos» en la contratación pública: aproximación al concepto</w:t>
      </w:r>
    </w:p>
    <w:p w14:paraId="6BBAA344" w14:textId="77777777" w:rsidR="002B2434" w:rsidRPr="00545FF9" w:rsidRDefault="002B2434" w:rsidP="002B2434">
      <w:pPr>
        <w:spacing w:line="276" w:lineRule="auto"/>
        <w:jc w:val="both"/>
        <w:rPr>
          <w:rFonts w:ascii="Arial" w:eastAsia="Calibri" w:hAnsi="Arial" w:cs="Arial"/>
          <w:b/>
          <w:sz w:val="22"/>
        </w:rPr>
      </w:pPr>
    </w:p>
    <w:p w14:paraId="72165AA4" w14:textId="77777777" w:rsidR="002B2434" w:rsidRPr="00545FF9" w:rsidRDefault="002B2434" w:rsidP="002B2434">
      <w:pPr>
        <w:spacing w:line="276" w:lineRule="auto"/>
        <w:jc w:val="both"/>
        <w:rPr>
          <w:rFonts w:ascii="Arial" w:hAnsi="Arial" w:cs="Arial"/>
          <w:sz w:val="22"/>
        </w:rPr>
      </w:pPr>
      <w:r>
        <w:rPr>
          <w:rFonts w:ascii="Arial" w:hAnsi="Arial" w:cs="Arial"/>
          <w:sz w:val="22"/>
        </w:rPr>
        <w:t>E</w:t>
      </w:r>
      <w:r w:rsidRPr="00545FF9">
        <w:rPr>
          <w:rFonts w:ascii="Arial" w:hAnsi="Arial" w:cs="Arial"/>
          <w:sz w:val="22"/>
        </w:rPr>
        <w:t xml:space="preserve">s importante definir el concepto de </w:t>
      </w:r>
      <w:r w:rsidRPr="00545FF9">
        <w:rPr>
          <w:rFonts w:ascii="Arial" w:eastAsia="Calibri" w:hAnsi="Arial" w:cs="Arial"/>
          <w:sz w:val="22"/>
        </w:rPr>
        <w:t xml:space="preserve">«precio artificialmente bajo», por lo cual </w:t>
      </w:r>
      <w:r w:rsidRPr="00545FF9">
        <w:rPr>
          <w:rFonts w:ascii="Arial" w:hAnsi="Arial" w:cs="Arial"/>
          <w:sz w:val="22"/>
        </w:rPr>
        <w:t>la jurisprudencia de la Sección Tercera del Consejo de Estado señala que es aquel que, por un lado, resulta artificioso, disimulado o falso y, por el otro, no tiene sustento o fundamento en relación con su estructuración dentro del tráfico comercial:</w:t>
      </w:r>
    </w:p>
    <w:p w14:paraId="5EA037FE" w14:textId="77777777" w:rsidR="002B2434" w:rsidRPr="0049232F" w:rsidRDefault="002B2434" w:rsidP="002B2434">
      <w:pPr>
        <w:spacing w:line="276" w:lineRule="auto"/>
        <w:jc w:val="both"/>
        <w:rPr>
          <w:rFonts w:ascii="Arial" w:hAnsi="Arial" w:cs="Arial"/>
          <w:sz w:val="21"/>
          <w:szCs w:val="21"/>
        </w:rPr>
      </w:pPr>
      <w:r>
        <w:rPr>
          <w:rFonts w:ascii="Arial" w:hAnsi="Arial" w:cs="Arial"/>
          <w:sz w:val="22"/>
        </w:rPr>
        <w:tab/>
      </w:r>
    </w:p>
    <w:p w14:paraId="4390F333" w14:textId="77777777" w:rsidR="002B2434" w:rsidRPr="0049232F" w:rsidRDefault="002B2434" w:rsidP="002B2434">
      <w:pPr>
        <w:ind w:left="708" w:right="709"/>
        <w:jc w:val="both"/>
        <w:rPr>
          <w:rFonts w:ascii="Arial" w:hAnsi="Arial" w:cs="Arial"/>
          <w:sz w:val="21"/>
          <w:szCs w:val="21"/>
        </w:rPr>
      </w:pPr>
      <w:r w:rsidRPr="0049232F">
        <w:rPr>
          <w:rFonts w:ascii="Arial" w:hAnsi="Arial" w:cs="Arial"/>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49232F">
        <w:rPr>
          <w:rStyle w:val="Refdenotaalpie"/>
          <w:rFonts w:ascii="Arial" w:hAnsi="Arial" w:cs="Arial"/>
          <w:sz w:val="21"/>
          <w:szCs w:val="21"/>
        </w:rPr>
        <w:footnoteReference w:id="1"/>
      </w:r>
      <w:r>
        <w:rPr>
          <w:rFonts w:ascii="Arial" w:hAnsi="Arial" w:cs="Arial"/>
          <w:sz w:val="21"/>
          <w:szCs w:val="21"/>
        </w:rPr>
        <w:t>.</w:t>
      </w:r>
    </w:p>
    <w:p w14:paraId="2ACEC2E5" w14:textId="77777777" w:rsidR="002B2434" w:rsidRPr="0049232F" w:rsidRDefault="002B2434" w:rsidP="002B2434">
      <w:pPr>
        <w:ind w:left="708" w:right="709"/>
        <w:jc w:val="both"/>
        <w:rPr>
          <w:rFonts w:ascii="Arial" w:hAnsi="Arial" w:cs="Arial"/>
          <w:sz w:val="21"/>
          <w:szCs w:val="21"/>
        </w:rPr>
      </w:pPr>
    </w:p>
    <w:p w14:paraId="59179D16"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A partir de esta definición se expone el marco normativo </w:t>
      </w:r>
      <w:r>
        <w:rPr>
          <w:rFonts w:ascii="Arial" w:hAnsi="Arial" w:cs="Arial"/>
          <w:sz w:val="22"/>
        </w:rPr>
        <w:t>d</w:t>
      </w:r>
      <w:r w:rsidRPr="00545FF9">
        <w:rPr>
          <w:rFonts w:ascii="Arial" w:hAnsi="Arial" w:cs="Arial"/>
          <w:sz w:val="22"/>
        </w:rPr>
        <w:t>el tema</w:t>
      </w:r>
      <w:r>
        <w:rPr>
          <w:rFonts w:ascii="Arial" w:hAnsi="Arial" w:cs="Arial"/>
          <w:sz w:val="22"/>
        </w:rPr>
        <w:t>,</w:t>
      </w:r>
      <w:r w:rsidRPr="00545FF9">
        <w:rPr>
          <w:rFonts w:ascii="Arial" w:hAnsi="Arial" w:cs="Arial"/>
          <w:sz w:val="22"/>
        </w:rPr>
        <w:t xml:space="preserve"> cuyo origen se encuentra en la Ley 80 de 1993, que indica como una de las manifestaciones del principio de responsabilidad su relación con aquellos contratistas</w:t>
      </w:r>
      <w:r>
        <w:rPr>
          <w:rFonts w:ascii="Arial" w:hAnsi="Arial" w:cs="Arial"/>
          <w:sz w:val="22"/>
        </w:rPr>
        <w:t>,</w:t>
      </w:r>
      <w:r w:rsidRPr="00545FF9">
        <w:rPr>
          <w:rFonts w:ascii="Arial" w:hAnsi="Arial" w:cs="Arial"/>
          <w:sz w:val="22"/>
        </w:rPr>
        <w:t xml:space="preserve"> que cuando presentaron su oferta antes de ser adjudicatarios del contrato</w:t>
      </w:r>
      <w:r>
        <w:rPr>
          <w:rFonts w:ascii="Arial" w:hAnsi="Arial" w:cs="Arial"/>
          <w:sz w:val="22"/>
        </w:rPr>
        <w:t xml:space="preserve"> </w:t>
      </w:r>
      <w:r w:rsidRPr="00545FF9">
        <w:rPr>
          <w:rFonts w:ascii="Arial" w:hAnsi="Arial" w:cs="Arial"/>
          <w:sz w:val="22"/>
        </w:rPr>
        <w:t>la estructuraron con una valoración económica del bien, obra o servicio inferior a otras ofertas, pero sin fundamento</w:t>
      </w:r>
      <w:r>
        <w:rPr>
          <w:rFonts w:ascii="Arial" w:hAnsi="Arial" w:cs="Arial"/>
          <w:sz w:val="22"/>
        </w:rPr>
        <w:t xml:space="preserve"> y con el fin de asegurar</w:t>
      </w:r>
      <w:r w:rsidRPr="00545FF9">
        <w:rPr>
          <w:rFonts w:ascii="Arial" w:hAnsi="Arial" w:cs="Arial"/>
          <w:sz w:val="22"/>
        </w:rPr>
        <w:t xml:space="preserve"> la adjudicación y ejecución del contrato</w:t>
      </w:r>
      <w:r w:rsidRPr="00545FF9">
        <w:rPr>
          <w:rFonts w:ascii="Arial" w:hAnsi="Arial" w:cs="Arial"/>
          <w:sz w:val="22"/>
          <w:vertAlign w:val="superscript"/>
        </w:rPr>
        <w:footnoteReference w:id="2"/>
      </w:r>
      <w:r w:rsidRPr="00545FF9">
        <w:rPr>
          <w:rFonts w:ascii="Arial" w:hAnsi="Arial" w:cs="Arial"/>
          <w:sz w:val="22"/>
        </w:rPr>
        <w:t>.</w:t>
      </w:r>
    </w:p>
    <w:p w14:paraId="79F24349"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Por ende, para que la entidad </w:t>
      </w:r>
      <w:r>
        <w:rPr>
          <w:rFonts w:ascii="Arial" w:hAnsi="Arial" w:cs="Arial"/>
          <w:sz w:val="22"/>
        </w:rPr>
        <w:t>confirme</w:t>
      </w:r>
      <w:r w:rsidRPr="00545FF9">
        <w:rPr>
          <w:rFonts w:ascii="Arial" w:hAnsi="Arial" w:cs="Arial"/>
          <w:sz w:val="22"/>
        </w:rPr>
        <w:t xml:space="preserve"> que una oferta </w:t>
      </w:r>
      <w:r>
        <w:rPr>
          <w:rFonts w:ascii="Arial" w:hAnsi="Arial" w:cs="Arial"/>
          <w:sz w:val="22"/>
        </w:rPr>
        <w:t>ofrece</w:t>
      </w:r>
      <w:r w:rsidRPr="00545FF9">
        <w:rPr>
          <w:rFonts w:ascii="Arial" w:hAnsi="Arial" w:cs="Arial"/>
          <w:sz w:val="22"/>
        </w:rPr>
        <w:t xml:space="preserve"> precios inferiores a otras,</w:t>
      </w:r>
      <w:r>
        <w:rPr>
          <w:rFonts w:ascii="Arial" w:hAnsi="Arial" w:cs="Arial"/>
          <w:sz w:val="22"/>
        </w:rPr>
        <w:t xml:space="preserve"> de forma artificiosa y sin sustento,</w:t>
      </w:r>
      <w:r w:rsidRPr="00545FF9">
        <w:rPr>
          <w:rFonts w:ascii="Arial" w:hAnsi="Arial" w:cs="Arial"/>
          <w:sz w:val="22"/>
        </w:rPr>
        <w:t xml:space="preserve"> lo cual se denomina «precios artificialmente bajos», tiene un deber, señalado en el artículo 5 de la Ley 1150 de 2007, que regula el principio de selección objetiva, que busca que las entidades seleccionen la oferta más favorable a sus necesidades, comparando lo ofrecido con los precios de mercado y demás estudios que realice la entidad.</w:t>
      </w:r>
    </w:p>
    <w:p w14:paraId="5E0C2FBE" w14:textId="77777777" w:rsidR="002B2434" w:rsidRDefault="002B2434" w:rsidP="002B2434">
      <w:pPr>
        <w:spacing w:after="120" w:line="276" w:lineRule="auto"/>
        <w:ind w:firstLine="709"/>
        <w:jc w:val="both"/>
        <w:rPr>
          <w:rFonts w:ascii="Arial" w:eastAsia="Calibri" w:hAnsi="Arial" w:cs="Arial"/>
          <w:sz w:val="22"/>
        </w:rPr>
      </w:pPr>
      <w:r w:rsidRPr="00545FF9">
        <w:rPr>
          <w:rFonts w:ascii="Arial" w:hAnsi="Arial" w:cs="Arial"/>
          <w:sz w:val="22"/>
        </w:rPr>
        <w:t xml:space="preserve">En concordancia con lo anterior, el Decreto 1082 de 2015 </w:t>
      </w:r>
      <w:r>
        <w:rPr>
          <w:rFonts w:ascii="Arial" w:hAnsi="Arial" w:cs="Arial"/>
          <w:sz w:val="22"/>
        </w:rPr>
        <w:t>desarrolla</w:t>
      </w:r>
      <w:r w:rsidRPr="00545FF9">
        <w:rPr>
          <w:rFonts w:ascii="Arial" w:hAnsi="Arial" w:cs="Arial"/>
          <w:sz w:val="22"/>
        </w:rPr>
        <w:t xml:space="preserve"> el deber que tienen las entidades de analizar el mercado para conocer el valor del bien, obra o servicio </w:t>
      </w:r>
      <w:r w:rsidRPr="00545FF9">
        <w:rPr>
          <w:rFonts w:ascii="Arial" w:hAnsi="Arial" w:cs="Arial"/>
          <w:sz w:val="22"/>
        </w:rPr>
        <w:lastRenderedPageBreak/>
        <w:t xml:space="preserve">que requieren para satisfacer su necesidad, lo cual les permitirá identificar si el precio que ofrece el proveedor no corresponde </w:t>
      </w:r>
      <w:r>
        <w:rPr>
          <w:rFonts w:ascii="Arial" w:hAnsi="Arial" w:cs="Arial"/>
          <w:sz w:val="22"/>
        </w:rPr>
        <w:t>con</w:t>
      </w:r>
      <w:r w:rsidRPr="00545FF9">
        <w:rPr>
          <w:rFonts w:ascii="Arial" w:hAnsi="Arial" w:cs="Arial"/>
          <w:sz w:val="22"/>
        </w:rPr>
        <w:t xml:space="preserve"> la estructura de costos y gastos de todos aquellos </w:t>
      </w:r>
      <w:r w:rsidRPr="00545FF9">
        <w:rPr>
          <w:rFonts w:ascii="Arial" w:eastAsia="Calibri" w:hAnsi="Arial" w:cs="Arial"/>
          <w:sz w:val="22"/>
        </w:rPr>
        <w:t>que fabrican, comercializan y distribuyen el mismo producto en condiciones normales de operación</w:t>
      </w:r>
      <w:r w:rsidRPr="00545FF9">
        <w:rPr>
          <w:rStyle w:val="Refdenotaalpie"/>
          <w:rFonts w:ascii="Arial" w:eastAsia="Calibri" w:hAnsi="Arial" w:cs="Arial"/>
          <w:sz w:val="22"/>
        </w:rPr>
        <w:footnoteReference w:id="3"/>
      </w:r>
      <w:r w:rsidRPr="00545FF9">
        <w:rPr>
          <w:rFonts w:ascii="Arial" w:eastAsia="Calibri" w:hAnsi="Arial" w:cs="Arial"/>
          <w:sz w:val="22"/>
        </w:rPr>
        <w:t>.</w:t>
      </w:r>
    </w:p>
    <w:p w14:paraId="14907F57" w14:textId="77777777" w:rsidR="002B2434" w:rsidRDefault="002B2434" w:rsidP="002B2434">
      <w:pPr>
        <w:spacing w:after="120" w:line="276" w:lineRule="auto"/>
        <w:ind w:firstLine="709"/>
        <w:jc w:val="both"/>
        <w:rPr>
          <w:rFonts w:ascii="Arial" w:eastAsia="Calibri" w:hAnsi="Arial" w:cs="Arial"/>
          <w:sz w:val="22"/>
        </w:rPr>
      </w:pPr>
      <w:r>
        <w:rPr>
          <w:rFonts w:ascii="Arial" w:eastAsia="Calibri" w:hAnsi="Arial" w:cs="Arial"/>
          <w:sz w:val="22"/>
        </w:rPr>
        <w:t>Adicionalmente, para continuar con la presentación del marco normativo del tema, el</w:t>
      </w:r>
      <w:r w:rsidRPr="00F46607">
        <w:rPr>
          <w:rFonts w:ascii="Arial" w:eastAsia="Calibri" w:hAnsi="Arial" w:cs="Arial"/>
          <w:sz w:val="22"/>
        </w:rPr>
        <w:t xml:space="preserve"> artículo 2.2.1.1.2.2.4. del Decreto 1082 de 2015 establece lo que</w:t>
      </w:r>
      <w:r>
        <w:rPr>
          <w:rFonts w:ascii="Arial" w:eastAsia="Calibri" w:hAnsi="Arial" w:cs="Arial"/>
          <w:sz w:val="22"/>
        </w:rPr>
        <w:t xml:space="preserve"> debe hacer</w:t>
      </w:r>
      <w:r w:rsidRPr="00F46607">
        <w:rPr>
          <w:rFonts w:ascii="Arial" w:eastAsia="Calibri" w:hAnsi="Arial" w:cs="Arial"/>
          <w:sz w:val="22"/>
        </w:rPr>
        <w:t xml:space="preserve"> la entidad</w:t>
      </w:r>
      <w:r>
        <w:rPr>
          <w:rFonts w:ascii="Arial" w:eastAsia="Calibri" w:hAnsi="Arial" w:cs="Arial"/>
          <w:sz w:val="22"/>
        </w:rPr>
        <w:t xml:space="preserve"> </w:t>
      </w:r>
      <w:r w:rsidRPr="00F46607">
        <w:rPr>
          <w:rFonts w:ascii="Arial" w:eastAsia="Calibri" w:hAnsi="Arial" w:cs="Arial"/>
          <w:sz w:val="22"/>
        </w:rPr>
        <w:t xml:space="preserve">cuando el precio de una oferta parece artificialmente bajo: i) solicitar explicación al oferente, </w:t>
      </w:r>
      <w:proofErr w:type="spellStart"/>
      <w:r w:rsidRPr="00F46607">
        <w:rPr>
          <w:rFonts w:ascii="Arial" w:eastAsia="Calibri" w:hAnsi="Arial" w:cs="Arial"/>
          <w:sz w:val="22"/>
        </w:rPr>
        <w:t>ii</w:t>
      </w:r>
      <w:proofErr w:type="spellEnd"/>
      <w:r w:rsidRPr="00F46607">
        <w:rPr>
          <w:rFonts w:ascii="Arial" w:eastAsia="Calibri" w:hAnsi="Arial" w:cs="Arial"/>
          <w:sz w:val="22"/>
        </w:rPr>
        <w:t xml:space="preserve">) analizar las explicaciones del oferente, </w:t>
      </w:r>
      <w:proofErr w:type="spellStart"/>
      <w:r w:rsidRPr="00F46607">
        <w:rPr>
          <w:rFonts w:ascii="Arial" w:eastAsia="Calibri" w:hAnsi="Arial" w:cs="Arial"/>
          <w:sz w:val="22"/>
        </w:rPr>
        <w:t>iii</w:t>
      </w:r>
      <w:proofErr w:type="spellEnd"/>
      <w:r w:rsidRPr="00F46607">
        <w:rPr>
          <w:rFonts w:ascii="Arial" w:eastAsia="Calibri" w:hAnsi="Arial" w:cs="Arial"/>
          <w:sz w:val="22"/>
        </w:rPr>
        <w:t xml:space="preserve">) el responsable de la evaluación de las ofertas debe recomendar rechazar o continuar la evaluación de la oferta, y </w:t>
      </w:r>
      <w:proofErr w:type="spellStart"/>
      <w:r w:rsidRPr="00F46607">
        <w:rPr>
          <w:rFonts w:ascii="Arial" w:eastAsia="Calibri" w:hAnsi="Arial" w:cs="Arial"/>
          <w:sz w:val="22"/>
        </w:rPr>
        <w:t>iv</w:t>
      </w:r>
      <w:proofErr w:type="spellEnd"/>
      <w:r w:rsidRPr="00F46607">
        <w:rPr>
          <w:rFonts w:ascii="Arial" w:eastAsia="Calibri" w:hAnsi="Arial" w:cs="Arial"/>
          <w:sz w:val="22"/>
        </w:rPr>
        <w:t>) para la subasta inversa, lo anterior se debe hacer al finalizar el evento</w:t>
      </w:r>
      <w:r>
        <w:rPr>
          <w:rStyle w:val="Refdenotaalpie"/>
          <w:rFonts w:ascii="Arial" w:eastAsia="Calibri" w:hAnsi="Arial" w:cs="Arial"/>
          <w:sz w:val="22"/>
        </w:rPr>
        <w:footnoteReference w:id="4"/>
      </w:r>
      <w:r w:rsidRPr="00F46607">
        <w:rPr>
          <w:rFonts w:ascii="Arial" w:eastAsia="Calibri" w:hAnsi="Arial" w:cs="Arial"/>
          <w:sz w:val="22"/>
        </w:rPr>
        <w:t>.</w:t>
      </w:r>
    </w:p>
    <w:p w14:paraId="0671F4FD" w14:textId="77777777" w:rsidR="002B2434" w:rsidRPr="0002006F" w:rsidRDefault="002B2434" w:rsidP="002B2434">
      <w:pPr>
        <w:spacing w:after="120" w:line="276" w:lineRule="auto"/>
        <w:ind w:firstLine="709"/>
        <w:jc w:val="both"/>
        <w:rPr>
          <w:rFonts w:ascii="Arial" w:eastAsia="Calibri" w:hAnsi="Arial" w:cs="Arial"/>
          <w:sz w:val="22"/>
        </w:rPr>
      </w:pPr>
      <w:r w:rsidRPr="0002006F">
        <w:rPr>
          <w:rFonts w:ascii="Arial" w:eastAsia="Calibri" w:hAnsi="Arial" w:cs="Arial"/>
          <w:sz w:val="22"/>
        </w:rPr>
        <w:t xml:space="preserve">El análisis de los precios de una oferta </w:t>
      </w:r>
      <w:r>
        <w:rPr>
          <w:rFonts w:ascii="Arial" w:eastAsia="Calibri" w:hAnsi="Arial" w:cs="Arial"/>
          <w:sz w:val="22"/>
        </w:rPr>
        <w:t>se hace</w:t>
      </w:r>
      <w:r w:rsidRPr="0002006F">
        <w:rPr>
          <w:rFonts w:ascii="Arial" w:eastAsia="Calibri" w:hAnsi="Arial" w:cs="Arial"/>
          <w:sz w:val="22"/>
        </w:rPr>
        <w:t xml:space="preserve"> en la</w:t>
      </w:r>
      <w:r>
        <w:rPr>
          <w:rFonts w:ascii="Arial" w:eastAsia="Calibri" w:hAnsi="Arial" w:cs="Arial"/>
          <w:sz w:val="22"/>
        </w:rPr>
        <w:t xml:space="preserve"> fase de</w:t>
      </w:r>
      <w:r w:rsidRPr="0002006F">
        <w:rPr>
          <w:rFonts w:ascii="Arial" w:eastAsia="Calibri" w:hAnsi="Arial" w:cs="Arial"/>
          <w:sz w:val="22"/>
        </w:rPr>
        <w:t xml:space="preserve"> evaluación </w:t>
      </w:r>
      <w:r>
        <w:rPr>
          <w:rFonts w:ascii="Arial" w:eastAsia="Calibri" w:hAnsi="Arial" w:cs="Arial"/>
          <w:sz w:val="22"/>
        </w:rPr>
        <w:t>del procedimiento,</w:t>
      </w:r>
      <w:r w:rsidRPr="0002006F">
        <w:rPr>
          <w:rFonts w:ascii="Arial" w:eastAsia="Calibri" w:hAnsi="Arial" w:cs="Arial"/>
          <w:sz w:val="22"/>
        </w:rPr>
        <w:t xml:space="preserve"> que es la oportunidad </w:t>
      </w:r>
      <w:r>
        <w:rPr>
          <w:rFonts w:ascii="Arial" w:eastAsia="Calibri" w:hAnsi="Arial" w:cs="Arial"/>
          <w:sz w:val="22"/>
        </w:rPr>
        <w:t xml:space="preserve">para </w:t>
      </w:r>
      <w:r w:rsidRPr="0002006F">
        <w:rPr>
          <w:rFonts w:ascii="Arial" w:eastAsia="Calibri" w:hAnsi="Arial" w:cs="Arial"/>
          <w:sz w:val="22"/>
        </w:rPr>
        <w:t>verifica</w:t>
      </w:r>
      <w:r>
        <w:rPr>
          <w:rFonts w:ascii="Arial" w:eastAsia="Calibri" w:hAnsi="Arial" w:cs="Arial"/>
          <w:sz w:val="22"/>
        </w:rPr>
        <w:t>r,</w:t>
      </w:r>
      <w:r w:rsidRPr="0002006F">
        <w:rPr>
          <w:rFonts w:ascii="Arial" w:eastAsia="Calibri" w:hAnsi="Arial" w:cs="Arial"/>
          <w:sz w:val="22"/>
        </w:rPr>
        <w:t xml:space="preserve"> a través del comité evaluador</w:t>
      </w:r>
      <w:r w:rsidRPr="00471FCF">
        <w:rPr>
          <w:vertAlign w:val="superscript"/>
        </w:rPr>
        <w:footnoteReference w:id="5"/>
      </w:r>
      <w:r w:rsidRPr="0002006F">
        <w:rPr>
          <w:rFonts w:ascii="Arial" w:eastAsia="Calibri" w:hAnsi="Arial" w:cs="Arial"/>
          <w:sz w:val="22"/>
        </w:rPr>
        <w:t>, las reglas diseñadas en la estructuración del proce</w:t>
      </w:r>
      <w:r>
        <w:rPr>
          <w:rFonts w:ascii="Arial" w:eastAsia="Calibri" w:hAnsi="Arial" w:cs="Arial"/>
          <w:sz w:val="22"/>
        </w:rPr>
        <w:t>dimiento</w:t>
      </w:r>
      <w:r w:rsidRPr="0002006F">
        <w:rPr>
          <w:rFonts w:ascii="Arial" w:eastAsia="Calibri" w:hAnsi="Arial" w:cs="Arial"/>
          <w:sz w:val="22"/>
        </w:rPr>
        <w:t xml:space="preserve"> y plasmadas en los pliegos de </w:t>
      </w:r>
      <w:r w:rsidRPr="0002006F">
        <w:rPr>
          <w:rFonts w:ascii="Arial" w:eastAsia="Calibri" w:hAnsi="Arial" w:cs="Arial"/>
          <w:sz w:val="22"/>
        </w:rPr>
        <w:lastRenderedPageBreak/>
        <w:t xml:space="preserve">condiciones, con el fin de comprobar si las cumplen o no, </w:t>
      </w:r>
      <w:r>
        <w:rPr>
          <w:rFonts w:ascii="Arial" w:eastAsia="Calibri" w:hAnsi="Arial" w:cs="Arial"/>
          <w:sz w:val="22"/>
        </w:rPr>
        <w:t>c</w:t>
      </w:r>
      <w:r w:rsidRPr="0002006F">
        <w:rPr>
          <w:rFonts w:ascii="Arial" w:eastAsia="Calibri" w:hAnsi="Arial" w:cs="Arial"/>
          <w:sz w:val="22"/>
        </w:rPr>
        <w:t>alifica</w:t>
      </w:r>
      <w:r>
        <w:rPr>
          <w:rFonts w:ascii="Arial" w:eastAsia="Calibri" w:hAnsi="Arial" w:cs="Arial"/>
          <w:sz w:val="22"/>
        </w:rPr>
        <w:t>r</w:t>
      </w:r>
      <w:r w:rsidRPr="0002006F">
        <w:rPr>
          <w:rFonts w:ascii="Arial" w:eastAsia="Calibri" w:hAnsi="Arial" w:cs="Arial"/>
          <w:sz w:val="22"/>
        </w:rPr>
        <w:t xml:space="preserve"> a</w:t>
      </w:r>
      <w:r>
        <w:rPr>
          <w:rFonts w:ascii="Arial" w:eastAsia="Calibri" w:hAnsi="Arial" w:cs="Arial"/>
          <w:sz w:val="22"/>
        </w:rPr>
        <w:t xml:space="preserve"> los</w:t>
      </w:r>
      <w:r w:rsidRPr="0002006F">
        <w:rPr>
          <w:rFonts w:ascii="Arial" w:eastAsia="Calibri" w:hAnsi="Arial" w:cs="Arial"/>
          <w:sz w:val="22"/>
        </w:rPr>
        <w:t xml:space="preserve"> oferente</w:t>
      </w:r>
      <w:r>
        <w:rPr>
          <w:rFonts w:ascii="Arial" w:eastAsia="Calibri" w:hAnsi="Arial" w:cs="Arial"/>
          <w:sz w:val="22"/>
        </w:rPr>
        <w:t>s o rechazarlos</w:t>
      </w:r>
      <w:r w:rsidRPr="0002006F">
        <w:rPr>
          <w:rFonts w:ascii="Arial" w:eastAsia="Calibri" w:hAnsi="Arial" w:cs="Arial"/>
          <w:sz w:val="22"/>
        </w:rPr>
        <w:t xml:space="preserve"> para establecer un orden de elegibilidad. </w:t>
      </w:r>
    </w:p>
    <w:p w14:paraId="5CD05338" w14:textId="77777777" w:rsidR="002B2434" w:rsidRDefault="002B2434" w:rsidP="002B2434">
      <w:pPr>
        <w:spacing w:after="120" w:line="276" w:lineRule="auto"/>
        <w:ind w:firstLine="709"/>
        <w:jc w:val="both"/>
        <w:rPr>
          <w:rFonts w:ascii="Arial" w:eastAsia="Calibri" w:hAnsi="Arial" w:cs="Arial"/>
          <w:sz w:val="22"/>
        </w:rPr>
      </w:pPr>
      <w:r w:rsidRPr="0002006F">
        <w:rPr>
          <w:rFonts w:ascii="Arial" w:eastAsia="Calibri" w:hAnsi="Arial" w:cs="Arial"/>
          <w:sz w:val="22"/>
        </w:rPr>
        <w:t xml:space="preserve">En ese sentido, en </w:t>
      </w:r>
      <w:r>
        <w:rPr>
          <w:rFonts w:ascii="Arial" w:eastAsia="Calibri" w:hAnsi="Arial" w:cs="Arial"/>
          <w:sz w:val="22"/>
        </w:rPr>
        <w:t xml:space="preserve">la </w:t>
      </w:r>
      <w:r w:rsidRPr="0002006F">
        <w:rPr>
          <w:rFonts w:ascii="Arial" w:eastAsia="Calibri" w:hAnsi="Arial" w:cs="Arial"/>
          <w:sz w:val="22"/>
        </w:rPr>
        <w:t>evaluación la entidad</w:t>
      </w:r>
      <w:r>
        <w:rPr>
          <w:rFonts w:ascii="Arial" w:eastAsia="Calibri" w:hAnsi="Arial" w:cs="Arial"/>
          <w:sz w:val="22"/>
        </w:rPr>
        <w:t xml:space="preserve"> d</w:t>
      </w:r>
      <w:r w:rsidRPr="0002006F">
        <w:rPr>
          <w:rFonts w:ascii="Arial" w:eastAsia="Calibri" w:hAnsi="Arial" w:cs="Arial"/>
          <w:sz w:val="22"/>
        </w:rPr>
        <w:t>e</w:t>
      </w:r>
      <w:r>
        <w:rPr>
          <w:rFonts w:ascii="Arial" w:eastAsia="Calibri" w:hAnsi="Arial" w:cs="Arial"/>
          <w:sz w:val="22"/>
        </w:rPr>
        <w:t>b</w:t>
      </w:r>
      <w:r w:rsidRPr="0002006F">
        <w:rPr>
          <w:rFonts w:ascii="Arial" w:eastAsia="Calibri" w:hAnsi="Arial" w:cs="Arial"/>
          <w:sz w:val="22"/>
        </w:rPr>
        <w:t xml:space="preserve">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w:t>
      </w:r>
      <w:r>
        <w:rPr>
          <w:rFonts w:ascii="Arial" w:eastAsia="Calibri" w:hAnsi="Arial" w:cs="Arial"/>
          <w:sz w:val="22"/>
        </w:rPr>
        <w:t>d</w:t>
      </w:r>
      <w:r w:rsidRPr="0002006F">
        <w:rPr>
          <w:rFonts w:ascii="Arial" w:eastAsia="Calibri" w:hAnsi="Arial" w:cs="Arial"/>
          <w:sz w:val="22"/>
        </w:rPr>
        <w:t>el Decreto 1082 de 2015.</w:t>
      </w:r>
    </w:p>
    <w:p w14:paraId="3F1565DC" w14:textId="77777777" w:rsidR="002B2434" w:rsidRDefault="002B2434" w:rsidP="002B2434">
      <w:pPr>
        <w:spacing w:line="276" w:lineRule="auto"/>
        <w:ind w:firstLine="708"/>
        <w:jc w:val="both"/>
        <w:rPr>
          <w:rFonts w:ascii="Arial" w:eastAsia="Calibri" w:hAnsi="Arial" w:cs="Arial"/>
          <w:sz w:val="22"/>
        </w:rPr>
      </w:pPr>
      <w:r>
        <w:rPr>
          <w:rFonts w:ascii="Arial" w:eastAsia="Calibri" w:hAnsi="Arial" w:cs="Arial"/>
          <w:sz w:val="22"/>
        </w:rPr>
        <w:t>Finalmente, concluido ese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32F16C95" w14:textId="77777777" w:rsidR="002B2434" w:rsidRDefault="002B2434" w:rsidP="002B2434">
      <w:pPr>
        <w:spacing w:line="276" w:lineRule="auto"/>
        <w:jc w:val="both"/>
        <w:rPr>
          <w:rFonts w:ascii="Arial" w:eastAsia="Calibri" w:hAnsi="Arial" w:cs="Arial"/>
          <w:b/>
          <w:bCs/>
          <w:sz w:val="22"/>
        </w:rPr>
      </w:pPr>
    </w:p>
    <w:p w14:paraId="72DF6ACA" w14:textId="77777777" w:rsidR="002B2434" w:rsidRDefault="002B2434" w:rsidP="002B2434">
      <w:pPr>
        <w:spacing w:line="276" w:lineRule="auto"/>
        <w:jc w:val="both"/>
        <w:rPr>
          <w:rFonts w:ascii="Arial" w:eastAsia="Calibri" w:hAnsi="Arial" w:cs="Arial"/>
          <w:b/>
          <w:bCs/>
          <w:sz w:val="22"/>
        </w:rPr>
      </w:pPr>
      <w:r>
        <w:rPr>
          <w:rFonts w:ascii="Arial" w:eastAsia="Calibri" w:hAnsi="Arial" w:cs="Arial"/>
          <w:b/>
          <w:bCs/>
          <w:sz w:val="22"/>
        </w:rPr>
        <w:t xml:space="preserve">2.2 Recomendaciones del ente rector de la contratación pública - Colombia Compra Eficiente respecto del manejo de ofertas que pueden tener </w:t>
      </w:r>
      <w:r w:rsidRPr="00545FF9">
        <w:rPr>
          <w:rFonts w:ascii="Arial" w:eastAsia="Calibri" w:hAnsi="Arial" w:cs="Arial"/>
          <w:b/>
          <w:sz w:val="22"/>
        </w:rPr>
        <w:t>«precios artificialmente bajos»</w:t>
      </w:r>
    </w:p>
    <w:p w14:paraId="0010BF59" w14:textId="77777777" w:rsidR="002B2434" w:rsidRDefault="002B2434" w:rsidP="002B2434">
      <w:pPr>
        <w:spacing w:line="276" w:lineRule="auto"/>
        <w:ind w:firstLine="709"/>
        <w:jc w:val="both"/>
        <w:rPr>
          <w:rFonts w:ascii="Arial" w:hAnsi="Arial" w:cs="Arial"/>
          <w:sz w:val="22"/>
        </w:rPr>
      </w:pPr>
    </w:p>
    <w:p w14:paraId="1D896578" w14:textId="77777777" w:rsidR="002B2434" w:rsidRDefault="002B2434" w:rsidP="002B2434">
      <w:pPr>
        <w:spacing w:after="120" w:line="276" w:lineRule="auto"/>
        <w:jc w:val="both"/>
        <w:rPr>
          <w:rFonts w:ascii="Arial" w:eastAsia="Calibri" w:hAnsi="Arial" w:cs="Arial"/>
          <w:sz w:val="22"/>
        </w:rPr>
      </w:pPr>
      <w:r w:rsidRPr="00183FA5">
        <w:rPr>
          <w:rFonts w:ascii="Arial" w:hAnsi="Arial" w:cs="Arial"/>
          <w:sz w:val="22"/>
        </w:rPr>
        <w:t xml:space="preserve">La Agencia Nacional de Contratación Pública – Colombia Compra Eficiente expidió la </w:t>
      </w:r>
      <w:r w:rsidRPr="00545FF9">
        <w:rPr>
          <w:rFonts w:ascii="Arial" w:hAnsi="Arial" w:cs="Arial"/>
          <w:sz w:val="22"/>
        </w:rPr>
        <w:t xml:space="preserve">«Guía para el manejo de ofertas artificialmente bajas en Procesos de Contratación», </w:t>
      </w:r>
      <w:r>
        <w:rPr>
          <w:rFonts w:ascii="Arial" w:hAnsi="Arial" w:cs="Arial"/>
          <w:sz w:val="22"/>
        </w:rPr>
        <w:t>en la cual se señalan las causas y consecuencias de que en los procedimientos contractuales existan este tipo de ofertas, y las herramientas y pasos para identificarlas y manejarlas; además de estrategias para r</w:t>
      </w:r>
      <w:r w:rsidRPr="00414866">
        <w:rPr>
          <w:rFonts w:ascii="Arial" w:hAnsi="Arial" w:cs="Arial"/>
          <w:sz w:val="22"/>
        </w:rPr>
        <w:t>educir la posibilidad de recibir ofertas</w:t>
      </w:r>
      <w:r>
        <w:rPr>
          <w:rFonts w:ascii="Arial" w:hAnsi="Arial" w:cs="Arial"/>
          <w:sz w:val="22"/>
        </w:rPr>
        <w:t xml:space="preserve"> con</w:t>
      </w:r>
      <w:r w:rsidRPr="00414866">
        <w:rPr>
          <w:rFonts w:ascii="Arial" w:hAnsi="Arial" w:cs="Arial"/>
          <w:sz w:val="22"/>
        </w:rPr>
        <w:t xml:space="preserve"> «precios artificialmente bajos»</w:t>
      </w:r>
      <w:r>
        <w:rPr>
          <w:rFonts w:ascii="Arial" w:hAnsi="Arial" w:cs="Arial"/>
          <w:sz w:val="22"/>
        </w:rPr>
        <w:t>. Esta Guía brinda recomendaciones a los participantes de la contratación pública, en cumplimiento d</w:t>
      </w:r>
      <w:r>
        <w:rPr>
          <w:rFonts w:ascii="Arial" w:eastAsia="Calibri" w:hAnsi="Arial" w:cs="Arial"/>
          <w:sz w:val="22"/>
        </w:rPr>
        <w:t>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w:t>
      </w:r>
      <w:r>
        <w:rPr>
          <w:rStyle w:val="Refdenotaalpie"/>
          <w:rFonts w:ascii="Arial" w:eastAsia="Calibri" w:hAnsi="Arial" w:cs="Arial"/>
          <w:sz w:val="22"/>
        </w:rPr>
        <w:footnoteReference w:id="6"/>
      </w:r>
      <w:r>
        <w:rPr>
          <w:rFonts w:ascii="Arial" w:eastAsia="Calibri" w:hAnsi="Arial" w:cs="Arial"/>
          <w:sz w:val="22"/>
        </w:rPr>
        <w:t xml:space="preserve">. </w:t>
      </w:r>
    </w:p>
    <w:p w14:paraId="3B065F8C" w14:textId="77777777" w:rsidR="002B2434" w:rsidRPr="001979FE" w:rsidRDefault="002B2434" w:rsidP="002B2434">
      <w:pPr>
        <w:spacing w:after="120" w:line="276" w:lineRule="auto"/>
        <w:ind w:firstLine="708"/>
        <w:jc w:val="both"/>
        <w:rPr>
          <w:rFonts w:ascii="Arial" w:eastAsia="Calibri" w:hAnsi="Arial" w:cs="Arial"/>
          <w:sz w:val="22"/>
        </w:rPr>
      </w:pPr>
      <w:r>
        <w:rPr>
          <w:rFonts w:ascii="Arial" w:eastAsia="Calibri" w:hAnsi="Arial" w:cs="Arial"/>
          <w:sz w:val="22"/>
        </w:rPr>
        <w:lastRenderedPageBreak/>
        <w:t>Entre</w:t>
      </w:r>
      <w:r w:rsidRPr="001979FE">
        <w:rPr>
          <w:rFonts w:ascii="Arial" w:eastAsia="Calibri" w:hAnsi="Arial" w:cs="Arial"/>
          <w:sz w:val="22"/>
        </w:rPr>
        <w:t xml:space="preserve"> las funciones asignadas</w:t>
      </w:r>
      <w:r>
        <w:rPr>
          <w:rFonts w:ascii="Arial" w:eastAsia="Calibri" w:hAnsi="Arial" w:cs="Arial"/>
          <w:sz w:val="22"/>
        </w:rPr>
        <w:t xml:space="preserve"> </w:t>
      </w:r>
      <w:r w:rsidRPr="001979FE">
        <w:rPr>
          <w:rFonts w:ascii="Arial" w:eastAsia="Calibri" w:hAnsi="Arial" w:cs="Arial"/>
          <w:sz w:val="22"/>
        </w:rPr>
        <w:t xml:space="preserve">se contempla el desarrollo y publicación de instrumentos y herramientas que ayuden a los </w:t>
      </w:r>
      <w:r>
        <w:rPr>
          <w:rFonts w:ascii="Arial" w:hAnsi="Arial" w:cs="Arial"/>
          <w:sz w:val="22"/>
        </w:rPr>
        <w:t>participantes de la contratación pública</w:t>
      </w:r>
      <w:r w:rsidRPr="001979FE">
        <w:rPr>
          <w:rFonts w:ascii="Arial" w:eastAsia="Calibri" w:hAnsi="Arial" w:cs="Arial"/>
          <w:sz w:val="22"/>
        </w:rPr>
        <w:t>, los cuales fueron denominados por la Agencia como manuales y guías.</w:t>
      </w:r>
      <w:r>
        <w:rPr>
          <w:rFonts w:ascii="Arial" w:eastAsia="Calibri" w:hAnsi="Arial" w:cs="Arial"/>
          <w:sz w:val="22"/>
        </w:rPr>
        <w:t xml:space="preserve">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7E8C52C0" w14:textId="77777777" w:rsidR="002B2434" w:rsidRDefault="002B2434" w:rsidP="002B2434">
      <w:pPr>
        <w:spacing w:after="120" w:line="276" w:lineRule="auto"/>
        <w:ind w:firstLine="709"/>
        <w:jc w:val="both"/>
        <w:rPr>
          <w:rFonts w:ascii="Arial" w:hAnsi="Arial" w:cs="Arial"/>
          <w:sz w:val="22"/>
        </w:rPr>
      </w:pPr>
      <w:r>
        <w:rPr>
          <w:rFonts w:ascii="Arial" w:hAnsi="Arial" w:cs="Arial"/>
          <w:sz w:val="22"/>
        </w:rPr>
        <w:t>Con la precisión anterior</w:t>
      </w:r>
      <w:r w:rsidRPr="00545FF9">
        <w:rPr>
          <w:rFonts w:ascii="Arial" w:hAnsi="Arial" w:cs="Arial"/>
          <w:sz w:val="22"/>
        </w:rPr>
        <w:t>,</w:t>
      </w:r>
      <w:r>
        <w:rPr>
          <w:rFonts w:ascii="Arial" w:hAnsi="Arial" w:cs="Arial"/>
          <w:sz w:val="22"/>
        </w:rPr>
        <w:t xml:space="preserve"> y para comenzar el análisis de</w:t>
      </w:r>
      <w:r w:rsidRPr="00545FF9">
        <w:rPr>
          <w:rFonts w:ascii="Arial" w:hAnsi="Arial" w:cs="Arial"/>
          <w:sz w:val="22"/>
        </w:rPr>
        <w:t xml:space="preserve"> </w:t>
      </w:r>
      <w:r>
        <w:rPr>
          <w:rFonts w:ascii="Arial" w:hAnsi="Arial" w:cs="Arial"/>
          <w:sz w:val="22"/>
        </w:rPr>
        <w:t xml:space="preserve">la Guía, allí se </w:t>
      </w:r>
      <w:r w:rsidRPr="00545FF9">
        <w:rPr>
          <w:rFonts w:ascii="Arial" w:hAnsi="Arial" w:cs="Arial"/>
          <w:sz w:val="22"/>
        </w:rPr>
        <w:t>establece que una oferta es artificialmente baja cuando «</w:t>
      </w:r>
      <w:r>
        <w:rPr>
          <w:rFonts w:ascii="Arial" w:hAnsi="Arial" w:cs="Arial"/>
          <w:sz w:val="22"/>
        </w:rPr>
        <w:t xml:space="preserve">[…] </w:t>
      </w:r>
      <w:r w:rsidRPr="00545FF9">
        <w:rPr>
          <w:rFonts w:ascii="Arial" w:hAnsi="Arial" w:cs="Arial"/>
          <w:sz w:val="22"/>
        </w:rPr>
        <w:t>a criterio de la Entidad Estatal, el precio no parece suficiente para garantizar una correcta ejecución del contrato, de acuerdo con la información recogida durante la etapa de planeación y particularmente durante el Estudio del Sector</w:t>
      </w:r>
      <w:r>
        <w:rPr>
          <w:rFonts w:ascii="Arial" w:hAnsi="Arial" w:cs="Arial"/>
          <w:sz w:val="22"/>
        </w:rPr>
        <w:t>[…]</w:t>
      </w:r>
      <w:r w:rsidRPr="00545FF9">
        <w:rPr>
          <w:rFonts w:ascii="Arial" w:hAnsi="Arial" w:cs="Arial"/>
          <w:sz w:val="22"/>
        </w:rPr>
        <w:t>»</w:t>
      </w:r>
      <w:r>
        <w:rPr>
          <w:rStyle w:val="Refdenotaalpie"/>
          <w:rFonts w:ascii="Arial" w:hAnsi="Arial" w:cs="Arial"/>
          <w:sz w:val="22"/>
        </w:rPr>
        <w:footnoteReference w:id="7"/>
      </w:r>
      <w:r w:rsidRPr="00545FF9">
        <w:rPr>
          <w:rFonts w:ascii="Arial" w:hAnsi="Arial" w:cs="Arial"/>
          <w:sz w:val="22"/>
        </w:rPr>
        <w:t xml:space="preserve">.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684F883C" w14:textId="343D5084" w:rsidR="002B2434" w:rsidRDefault="002B2434" w:rsidP="002B2434">
      <w:pPr>
        <w:spacing w:line="276" w:lineRule="auto"/>
        <w:ind w:firstLine="709"/>
        <w:jc w:val="both"/>
        <w:rPr>
          <w:rFonts w:ascii="Arial" w:hAnsi="Arial" w:cs="Arial"/>
          <w:sz w:val="22"/>
        </w:rPr>
      </w:pPr>
      <w:r>
        <w:rPr>
          <w:rFonts w:ascii="Arial" w:hAnsi="Arial" w:cs="Arial"/>
          <w:sz w:val="22"/>
        </w:rPr>
        <w:t>A continuación, es necesario diferenciar dos procedimientos de la Guía: a) la identificación de ofertas que pueden ofrecer «precios artificialmente bajos» y b) el manejo de las ofertas con posibles «precios artificialmente bajos», para definir a cuáles</w:t>
      </w:r>
      <w:r w:rsidR="00403305">
        <w:rPr>
          <w:rFonts w:ascii="Arial" w:hAnsi="Arial" w:cs="Arial"/>
          <w:sz w:val="22"/>
        </w:rPr>
        <w:t xml:space="preserve"> ofertas</w:t>
      </w:r>
      <w:r>
        <w:rPr>
          <w:rFonts w:ascii="Arial" w:hAnsi="Arial" w:cs="Arial"/>
          <w:sz w:val="22"/>
        </w:rPr>
        <w:t xml:space="preserve"> se les debe aplicar cada procedimiento, de acuerdo con su consulta.</w:t>
      </w:r>
    </w:p>
    <w:p w14:paraId="4E2A42A2" w14:textId="77777777" w:rsidR="002B2434" w:rsidRDefault="002B2434" w:rsidP="002B2434">
      <w:pPr>
        <w:spacing w:line="276" w:lineRule="auto"/>
        <w:jc w:val="both"/>
        <w:rPr>
          <w:rFonts w:ascii="Arial" w:hAnsi="Arial" w:cs="Arial"/>
          <w:sz w:val="22"/>
        </w:rPr>
      </w:pPr>
    </w:p>
    <w:p w14:paraId="464B1CB7" w14:textId="77777777" w:rsidR="002B2434" w:rsidRDefault="002B2434" w:rsidP="002B2434">
      <w:pPr>
        <w:spacing w:line="276" w:lineRule="auto"/>
        <w:jc w:val="both"/>
        <w:rPr>
          <w:rFonts w:ascii="Arial" w:hAnsi="Arial" w:cs="Arial"/>
          <w:b/>
          <w:bCs/>
          <w:sz w:val="22"/>
        </w:rPr>
      </w:pPr>
      <w:r w:rsidRPr="00811D0F">
        <w:rPr>
          <w:rFonts w:ascii="Arial" w:hAnsi="Arial" w:cs="Arial"/>
          <w:b/>
          <w:bCs/>
          <w:sz w:val="22"/>
        </w:rPr>
        <w:t xml:space="preserve">a) </w:t>
      </w:r>
      <w:r>
        <w:rPr>
          <w:rFonts w:ascii="Arial" w:hAnsi="Arial" w:cs="Arial"/>
          <w:b/>
          <w:bCs/>
          <w:sz w:val="22"/>
        </w:rPr>
        <w:t>I</w:t>
      </w:r>
      <w:r w:rsidRPr="00811D0F">
        <w:rPr>
          <w:rFonts w:ascii="Arial" w:hAnsi="Arial" w:cs="Arial"/>
          <w:b/>
          <w:bCs/>
          <w:sz w:val="22"/>
        </w:rPr>
        <w:t xml:space="preserve">dentificación de ofertas </w:t>
      </w:r>
      <w:r>
        <w:rPr>
          <w:rFonts w:ascii="Arial" w:hAnsi="Arial" w:cs="Arial"/>
          <w:b/>
          <w:bCs/>
          <w:sz w:val="22"/>
        </w:rPr>
        <w:t>que pueden ofrecer</w:t>
      </w:r>
      <w:r w:rsidRPr="00811D0F">
        <w:rPr>
          <w:rFonts w:ascii="Arial" w:hAnsi="Arial" w:cs="Arial"/>
          <w:b/>
          <w:bCs/>
          <w:sz w:val="22"/>
        </w:rPr>
        <w:t xml:space="preserve"> «precios artificialmente bajos»</w:t>
      </w:r>
    </w:p>
    <w:p w14:paraId="4A99667B" w14:textId="77777777" w:rsidR="002B2434" w:rsidRDefault="002B2434" w:rsidP="002B2434">
      <w:pPr>
        <w:spacing w:line="276" w:lineRule="auto"/>
        <w:jc w:val="both"/>
        <w:rPr>
          <w:rFonts w:ascii="Arial" w:hAnsi="Arial" w:cs="Arial"/>
          <w:b/>
          <w:bCs/>
          <w:sz w:val="22"/>
        </w:rPr>
      </w:pPr>
    </w:p>
    <w:p w14:paraId="79FD59E4" w14:textId="77777777" w:rsidR="002B2434" w:rsidRPr="0011799D" w:rsidRDefault="002B2434" w:rsidP="002B2434">
      <w:pPr>
        <w:spacing w:after="120" w:line="276" w:lineRule="auto"/>
        <w:jc w:val="both"/>
        <w:rPr>
          <w:rFonts w:ascii="Arial" w:hAnsi="Arial" w:cs="Arial"/>
          <w:sz w:val="22"/>
        </w:rPr>
      </w:pPr>
      <w:r>
        <w:rPr>
          <w:rFonts w:ascii="Arial" w:hAnsi="Arial" w:cs="Arial"/>
          <w:sz w:val="22"/>
        </w:rPr>
        <w:t>En la introducción de la Guía</w:t>
      </w:r>
      <w:r>
        <w:rPr>
          <w:rStyle w:val="Refdenotaalpie"/>
          <w:rFonts w:ascii="Arial" w:hAnsi="Arial" w:cs="Arial"/>
          <w:sz w:val="22"/>
        </w:rPr>
        <w:footnoteReference w:id="8"/>
      </w:r>
      <w:r>
        <w:rPr>
          <w:rFonts w:ascii="Arial" w:hAnsi="Arial" w:cs="Arial"/>
          <w:sz w:val="22"/>
        </w:rPr>
        <w:t xml:space="preserve"> se indica que su propósito es identificar las características de este tipo de ofertas, y después se señalan las consecuencias para la ejecución del contrato, cuando la oferta tiene</w:t>
      </w:r>
      <w:r w:rsidRPr="00414866">
        <w:rPr>
          <w:rFonts w:ascii="Arial" w:hAnsi="Arial" w:cs="Arial"/>
          <w:sz w:val="22"/>
        </w:rPr>
        <w:t xml:space="preserve"> «precios artificialmente bajos»</w:t>
      </w:r>
      <w:r>
        <w:rPr>
          <w:rFonts w:ascii="Arial" w:hAnsi="Arial" w:cs="Arial"/>
          <w:sz w:val="22"/>
        </w:rPr>
        <w:t xml:space="preserve">, como sobrecostos y distorsiones del mercado. Sobre las causas, se indica que puede ser el desconocimiento o que se busca afectar la competencia y la participación de otros proponentes. Con lo anterior, se observa </w:t>
      </w:r>
      <w:r w:rsidRPr="00571F49">
        <w:rPr>
          <w:rFonts w:ascii="Arial" w:hAnsi="Arial" w:cs="Arial"/>
          <w:sz w:val="22"/>
        </w:rPr>
        <w:t xml:space="preserve">que la Guía se dirige a las ofertas en general, cuyo análisis permitirá identificar las que tengan precios que parecen artificialmente bajos, es decir que se debe incluir en la identificación a todas las ofertas del procedimiento y no a algunas en particular, ya que sin ese análisis general no se pueden separar las que ofrecen «precios artificialmente bajos» de las que no, más aun cuando la libre competencia en el procedimiento depende de todas las ofertas, y su afectación tiene incidencia en las mismas </w:t>
      </w:r>
      <w:r w:rsidRPr="00571F49">
        <w:rPr>
          <w:rFonts w:ascii="Arial" w:hAnsi="Arial" w:cs="Arial"/>
          <w:sz w:val="22"/>
        </w:rPr>
        <w:lastRenderedPageBreak/>
        <w:t>que pueden resultar perdedoras de forma injustificada; pero esta conclusión preliminar debe ser comprobada con los elementos que continúa señalando la Guía.</w:t>
      </w:r>
      <w:r>
        <w:rPr>
          <w:rFonts w:ascii="Arial" w:hAnsi="Arial" w:cs="Arial"/>
          <w:sz w:val="22"/>
        </w:rPr>
        <w:t xml:space="preserve">  </w:t>
      </w:r>
    </w:p>
    <w:p w14:paraId="076E7E89" w14:textId="77777777" w:rsidR="002B2434" w:rsidRDefault="002B2434" w:rsidP="002B2434">
      <w:pPr>
        <w:spacing w:after="120" w:line="276" w:lineRule="auto"/>
        <w:ind w:firstLine="708"/>
        <w:jc w:val="both"/>
        <w:rPr>
          <w:rFonts w:ascii="Arial" w:hAnsi="Arial" w:cs="Arial"/>
          <w:sz w:val="22"/>
        </w:rPr>
      </w:pPr>
      <w:r w:rsidRPr="00545FF9">
        <w:rPr>
          <w:rFonts w:ascii="Arial" w:hAnsi="Arial" w:cs="Arial"/>
          <w:sz w:val="22"/>
        </w:rPr>
        <w:t>Para</w:t>
      </w:r>
      <w:r>
        <w:rPr>
          <w:rFonts w:ascii="Arial" w:hAnsi="Arial" w:cs="Arial"/>
          <w:sz w:val="22"/>
        </w:rPr>
        <w:t xml:space="preserve"> identificar las</w:t>
      </w:r>
      <w:r w:rsidRPr="00545FF9">
        <w:rPr>
          <w:rFonts w:ascii="Arial" w:hAnsi="Arial" w:cs="Arial"/>
          <w:sz w:val="22"/>
        </w:rPr>
        <w:t xml:space="preserve"> oferta</w:t>
      </w:r>
      <w:r>
        <w:rPr>
          <w:rFonts w:ascii="Arial" w:hAnsi="Arial" w:cs="Arial"/>
          <w:sz w:val="22"/>
        </w:rPr>
        <w:t xml:space="preserve">s, </w:t>
      </w:r>
      <w:r w:rsidRPr="00545FF9">
        <w:rPr>
          <w:rFonts w:ascii="Arial" w:hAnsi="Arial" w:cs="Arial"/>
          <w:sz w:val="22"/>
        </w:rPr>
        <w:t xml:space="preserve">la entidad </w:t>
      </w:r>
      <w:r>
        <w:rPr>
          <w:rFonts w:ascii="Arial" w:hAnsi="Arial" w:cs="Arial"/>
          <w:sz w:val="22"/>
        </w:rPr>
        <w:t>debe tener como insumos</w:t>
      </w:r>
      <w:r w:rsidRPr="00545FF9">
        <w:rPr>
          <w:rFonts w:ascii="Arial" w:hAnsi="Arial" w:cs="Arial"/>
          <w:sz w:val="22"/>
        </w:rPr>
        <w:t xml:space="preserve">: i) </w:t>
      </w:r>
      <w:r>
        <w:rPr>
          <w:rFonts w:ascii="Arial" w:hAnsi="Arial" w:cs="Arial"/>
          <w:sz w:val="22"/>
        </w:rPr>
        <w:t xml:space="preserve">el </w:t>
      </w:r>
      <w:r w:rsidRPr="00545FF9">
        <w:rPr>
          <w:rFonts w:ascii="Arial" w:hAnsi="Arial" w:cs="Arial"/>
          <w:sz w:val="22"/>
        </w:rPr>
        <w:t xml:space="preserve">promedio del valor de las ofertas; </w:t>
      </w:r>
      <w:proofErr w:type="spellStart"/>
      <w:r w:rsidRPr="00545FF9">
        <w:rPr>
          <w:rFonts w:ascii="Arial" w:hAnsi="Arial" w:cs="Arial"/>
          <w:sz w:val="22"/>
        </w:rPr>
        <w:t>ii</w:t>
      </w:r>
      <w:proofErr w:type="spellEnd"/>
      <w:r w:rsidRPr="00545FF9">
        <w:rPr>
          <w:rFonts w:ascii="Arial" w:hAnsi="Arial" w:cs="Arial"/>
          <w:sz w:val="22"/>
        </w:rPr>
        <w:t xml:space="preserve">) </w:t>
      </w:r>
      <w:r>
        <w:rPr>
          <w:rFonts w:ascii="Arial" w:hAnsi="Arial" w:cs="Arial"/>
          <w:sz w:val="22"/>
        </w:rPr>
        <w:t xml:space="preserve">la </w:t>
      </w:r>
      <w:r w:rsidRPr="00545FF9">
        <w:rPr>
          <w:rFonts w:ascii="Arial" w:hAnsi="Arial" w:cs="Arial"/>
          <w:sz w:val="22"/>
        </w:rPr>
        <w:t>mediana del valor las ofertas</w:t>
      </w:r>
      <w:r w:rsidRPr="00545FF9">
        <w:rPr>
          <w:rStyle w:val="Refdenotaalpie"/>
          <w:rFonts w:ascii="Arial" w:hAnsi="Arial" w:cs="Arial"/>
          <w:sz w:val="22"/>
        </w:rPr>
        <w:footnoteReference w:id="9"/>
      </w:r>
      <w:r w:rsidRPr="00545FF9">
        <w:rPr>
          <w:rFonts w:ascii="Arial" w:hAnsi="Arial" w:cs="Arial"/>
          <w:sz w:val="22"/>
        </w:rPr>
        <w:t xml:space="preserve">; </w:t>
      </w:r>
      <w:proofErr w:type="spellStart"/>
      <w:r w:rsidRPr="00545FF9">
        <w:rPr>
          <w:rFonts w:ascii="Arial" w:hAnsi="Arial" w:cs="Arial"/>
          <w:sz w:val="22"/>
        </w:rPr>
        <w:t>iii</w:t>
      </w:r>
      <w:proofErr w:type="spellEnd"/>
      <w:r w:rsidRPr="00545FF9">
        <w:rPr>
          <w:rFonts w:ascii="Arial" w:hAnsi="Arial" w:cs="Arial"/>
          <w:sz w:val="22"/>
        </w:rPr>
        <w:t xml:space="preserve">) </w:t>
      </w:r>
      <w:r>
        <w:rPr>
          <w:rFonts w:ascii="Arial" w:hAnsi="Arial" w:cs="Arial"/>
          <w:sz w:val="22"/>
        </w:rPr>
        <w:t xml:space="preserve">la </w:t>
      </w:r>
      <w:r w:rsidRPr="00545FF9">
        <w:rPr>
          <w:rFonts w:ascii="Arial" w:hAnsi="Arial" w:cs="Arial"/>
          <w:sz w:val="22"/>
        </w:rPr>
        <w:t xml:space="preserve">desviación estándar del valor de las ofertas; </w:t>
      </w:r>
      <w:proofErr w:type="spellStart"/>
      <w:r w:rsidRPr="00545FF9">
        <w:rPr>
          <w:rFonts w:ascii="Arial" w:hAnsi="Arial" w:cs="Arial"/>
          <w:sz w:val="22"/>
        </w:rPr>
        <w:t>iv</w:t>
      </w:r>
      <w:proofErr w:type="spellEnd"/>
      <w:r w:rsidRPr="00545FF9">
        <w:rPr>
          <w:rFonts w:ascii="Arial" w:hAnsi="Arial" w:cs="Arial"/>
          <w:sz w:val="22"/>
        </w:rPr>
        <w:t xml:space="preserve">) </w:t>
      </w:r>
      <w:r>
        <w:rPr>
          <w:rFonts w:ascii="Arial" w:hAnsi="Arial" w:cs="Arial"/>
          <w:sz w:val="22"/>
        </w:rPr>
        <w:t xml:space="preserve">la </w:t>
      </w:r>
      <w:r w:rsidRPr="00545FF9">
        <w:rPr>
          <w:rFonts w:ascii="Arial" w:hAnsi="Arial" w:cs="Arial"/>
          <w:sz w:val="22"/>
        </w:rPr>
        <w:t xml:space="preserve">diferencia entre el costo estimado del contrato y el promedio o mediana del valor de las ofertas; v) </w:t>
      </w:r>
      <w:r>
        <w:rPr>
          <w:rFonts w:ascii="Arial" w:hAnsi="Arial" w:cs="Arial"/>
          <w:sz w:val="22"/>
        </w:rPr>
        <w:t xml:space="preserve">la </w:t>
      </w:r>
      <w:r w:rsidRPr="00545FF9">
        <w:rPr>
          <w:rFonts w:ascii="Arial" w:hAnsi="Arial" w:cs="Arial"/>
          <w:sz w:val="22"/>
        </w:rPr>
        <w:t xml:space="preserve">diferencia entre el valor de la oferta que puede ser artificialmente baja y el promedio del valor de las ofertas; vi) </w:t>
      </w:r>
      <w:r>
        <w:rPr>
          <w:rFonts w:ascii="Arial" w:hAnsi="Arial" w:cs="Arial"/>
          <w:sz w:val="22"/>
        </w:rPr>
        <w:t xml:space="preserve">la </w:t>
      </w:r>
      <w:r w:rsidRPr="00545FF9">
        <w:rPr>
          <w:rFonts w:ascii="Arial" w:hAnsi="Arial" w:cs="Arial"/>
          <w:sz w:val="22"/>
        </w:rPr>
        <w:t xml:space="preserve">diferencia entre el valor de la oferta que puede ser artificialmente baja y el costo estimado del contrato y </w:t>
      </w:r>
      <w:proofErr w:type="spellStart"/>
      <w:r w:rsidRPr="00545FF9">
        <w:rPr>
          <w:rFonts w:ascii="Arial" w:hAnsi="Arial" w:cs="Arial"/>
          <w:sz w:val="22"/>
        </w:rPr>
        <w:t>vii</w:t>
      </w:r>
      <w:proofErr w:type="spellEnd"/>
      <w:r w:rsidRPr="00545FF9">
        <w:rPr>
          <w:rFonts w:ascii="Arial" w:hAnsi="Arial" w:cs="Arial"/>
          <w:sz w:val="22"/>
        </w:rPr>
        <w:t xml:space="preserve">) la información histórica de ofertas y contratos del objeto del proceso de contratación. </w:t>
      </w:r>
    </w:p>
    <w:p w14:paraId="34F9073E" w14:textId="77777777" w:rsidR="002B2434" w:rsidRDefault="002B2434" w:rsidP="002B2434">
      <w:pPr>
        <w:spacing w:after="120" w:line="276" w:lineRule="auto"/>
        <w:ind w:firstLine="708"/>
        <w:jc w:val="both"/>
        <w:rPr>
          <w:rFonts w:ascii="Arial" w:hAnsi="Arial" w:cs="Arial"/>
          <w:sz w:val="22"/>
        </w:rPr>
      </w:pPr>
      <w:r w:rsidRPr="00545FF9">
        <w:rPr>
          <w:rFonts w:ascii="Arial" w:hAnsi="Arial" w:cs="Arial"/>
          <w:sz w:val="22"/>
        </w:rPr>
        <w:t xml:space="preserve">Con </w:t>
      </w:r>
      <w:r>
        <w:rPr>
          <w:rFonts w:ascii="Arial" w:hAnsi="Arial" w:cs="Arial"/>
          <w:sz w:val="22"/>
        </w:rPr>
        <w:t>esta información</w:t>
      </w:r>
      <w:r w:rsidRPr="00545FF9">
        <w:rPr>
          <w:rFonts w:ascii="Arial" w:hAnsi="Arial" w:cs="Arial"/>
          <w:sz w:val="22"/>
        </w:rPr>
        <w:t>,</w:t>
      </w:r>
      <w:r>
        <w:rPr>
          <w:rFonts w:ascii="Arial" w:hAnsi="Arial" w:cs="Arial"/>
          <w:sz w:val="22"/>
        </w:rPr>
        <w:t xml:space="preserve"> la Guía propone dos (2) «herramientas» y una (1) «metodología», y su aplicación depende de la cantidad de ofertas que se presentaron al procedimiento. Para la primera herramienta,</w:t>
      </w:r>
      <w:r w:rsidRPr="00545FF9">
        <w:rPr>
          <w:rFonts w:ascii="Arial" w:hAnsi="Arial" w:cs="Arial"/>
          <w:sz w:val="22"/>
        </w:rPr>
        <w:t xml:space="preserve"> la entidad puede acudir a la </w:t>
      </w:r>
      <w:r w:rsidRPr="00545FF9">
        <w:rPr>
          <w:rFonts w:ascii="Arial" w:hAnsi="Arial" w:cs="Arial"/>
          <w:i/>
          <w:iCs/>
          <w:sz w:val="22"/>
        </w:rPr>
        <w:t>comparación absoluta</w:t>
      </w:r>
      <w:r>
        <w:rPr>
          <w:rFonts w:ascii="Arial" w:hAnsi="Arial" w:cs="Arial"/>
          <w:i/>
          <w:iCs/>
          <w:sz w:val="22"/>
        </w:rPr>
        <w:t>,</w:t>
      </w:r>
      <w:r w:rsidRPr="00545FF9">
        <w:rPr>
          <w:rFonts w:ascii="Arial" w:hAnsi="Arial" w:cs="Arial"/>
          <w:sz w:val="22"/>
        </w:rPr>
        <w:t xml:space="preserve"> </w:t>
      </w:r>
      <w:r>
        <w:rPr>
          <w:rFonts w:ascii="Arial" w:hAnsi="Arial" w:cs="Arial"/>
          <w:sz w:val="22"/>
        </w:rPr>
        <w:t xml:space="preserve">para </w:t>
      </w:r>
      <w:r w:rsidRPr="00545FF9">
        <w:rPr>
          <w:rFonts w:ascii="Arial" w:hAnsi="Arial" w:cs="Arial"/>
          <w:sz w:val="22"/>
        </w:rPr>
        <w:t>contrastar el valor de cada oferta con el costo estimado de la provisión del bien o servicio, de acuerdo con el estudio del sector</w:t>
      </w:r>
      <w:r>
        <w:rPr>
          <w:rFonts w:ascii="Arial" w:hAnsi="Arial" w:cs="Arial"/>
          <w:sz w:val="22"/>
        </w:rPr>
        <w:t>, siempre y cuando haya recibido</w:t>
      </w:r>
      <w:r w:rsidRPr="00545FF9">
        <w:rPr>
          <w:rFonts w:ascii="Arial" w:hAnsi="Arial" w:cs="Arial"/>
          <w:sz w:val="22"/>
        </w:rPr>
        <w:t xml:space="preserve"> menos de cinco (5) ofertas</w:t>
      </w:r>
      <w:r>
        <w:rPr>
          <w:rFonts w:ascii="Arial" w:hAnsi="Arial" w:cs="Arial"/>
          <w:sz w:val="22"/>
        </w:rPr>
        <w:t xml:space="preserve">. La regla es que si después de la comparación se encuentran ofertas menores en un </w:t>
      </w:r>
      <w:r w:rsidRPr="00545FF9">
        <w:rPr>
          <w:rFonts w:ascii="Arial" w:hAnsi="Arial" w:cs="Arial"/>
          <w:sz w:val="22"/>
        </w:rPr>
        <w:t>20%</w:t>
      </w:r>
      <w:r>
        <w:rPr>
          <w:rFonts w:ascii="Arial" w:hAnsi="Arial" w:cs="Arial"/>
          <w:sz w:val="22"/>
        </w:rPr>
        <w:t xml:space="preserve"> </w:t>
      </w:r>
      <w:r w:rsidRPr="00545FF9">
        <w:rPr>
          <w:rFonts w:ascii="Arial" w:hAnsi="Arial" w:cs="Arial"/>
          <w:sz w:val="22"/>
        </w:rPr>
        <w:t>o un mayor porcentaje</w:t>
      </w:r>
      <w:r>
        <w:rPr>
          <w:rFonts w:ascii="Arial" w:hAnsi="Arial" w:cs="Arial"/>
          <w:sz w:val="22"/>
        </w:rPr>
        <w:t xml:space="preserve"> respecto del costo estimado por la entidad,</w:t>
      </w:r>
      <w:r w:rsidRPr="00545FF9">
        <w:rPr>
          <w:rFonts w:ascii="Arial" w:hAnsi="Arial" w:cs="Arial"/>
          <w:sz w:val="22"/>
        </w:rPr>
        <w:t xml:space="preserve"> se</w:t>
      </w:r>
      <w:r>
        <w:rPr>
          <w:rFonts w:ascii="Arial" w:hAnsi="Arial" w:cs="Arial"/>
          <w:sz w:val="22"/>
        </w:rPr>
        <w:t xml:space="preserve"> considerará que ofrecen precios artificialmente bajos. Por consiguiente, esta herramienta no se puede aplicar cuando se reciben cinco (5) o más ofertas, y no todas las ofertas deben ser tratadas por posibles «precios artificialmente bajos</w:t>
      </w:r>
      <w:r w:rsidRPr="00545FF9">
        <w:rPr>
          <w:rFonts w:ascii="Arial" w:hAnsi="Arial" w:cs="Arial"/>
          <w:sz w:val="22"/>
          <w:lang w:val="es-ES"/>
        </w:rPr>
        <w:t>»</w:t>
      </w:r>
      <w:r>
        <w:rPr>
          <w:rFonts w:ascii="Arial" w:hAnsi="Arial" w:cs="Arial"/>
          <w:sz w:val="22"/>
          <w:lang w:val="es-ES"/>
        </w:rPr>
        <w:t xml:space="preserve"> sino aquellas con un valor por debajo del 20% o un porcentaje superior, respecto del valor que la entidad definió como precio del bien, obra o servicio.</w:t>
      </w:r>
    </w:p>
    <w:p w14:paraId="50979536" w14:textId="77777777" w:rsidR="002B2434" w:rsidRPr="00545FF9" w:rsidRDefault="002B2434" w:rsidP="002B2434">
      <w:pPr>
        <w:spacing w:after="120" w:line="276" w:lineRule="auto"/>
        <w:ind w:firstLine="708"/>
        <w:jc w:val="both"/>
        <w:rPr>
          <w:rFonts w:ascii="Arial" w:hAnsi="Arial" w:cs="Arial"/>
          <w:sz w:val="22"/>
        </w:rPr>
      </w:pPr>
      <w:r w:rsidRPr="00545FF9">
        <w:rPr>
          <w:rFonts w:ascii="Arial" w:hAnsi="Arial" w:cs="Arial"/>
          <w:sz w:val="22"/>
        </w:rPr>
        <w:t>La segunda</w:t>
      </w:r>
      <w:r>
        <w:rPr>
          <w:rFonts w:ascii="Arial" w:hAnsi="Arial" w:cs="Arial"/>
          <w:sz w:val="22"/>
        </w:rPr>
        <w:t xml:space="preserve"> herramienta, denominada </w:t>
      </w:r>
      <w:r w:rsidRPr="00545FF9">
        <w:rPr>
          <w:rFonts w:ascii="Arial" w:hAnsi="Arial" w:cs="Arial"/>
          <w:i/>
          <w:iCs/>
          <w:sz w:val="22"/>
        </w:rPr>
        <w:t xml:space="preserve">comparación </w:t>
      </w:r>
      <w:r>
        <w:rPr>
          <w:rFonts w:ascii="Arial" w:hAnsi="Arial" w:cs="Arial"/>
          <w:i/>
          <w:iCs/>
          <w:sz w:val="22"/>
        </w:rPr>
        <w:t>relativa,</w:t>
      </w:r>
      <w:r w:rsidRPr="00545FF9">
        <w:rPr>
          <w:rFonts w:ascii="Arial" w:hAnsi="Arial" w:cs="Arial"/>
          <w:sz w:val="22"/>
        </w:rPr>
        <w:t xml:space="preserve"> corresponde a la «comparación de cada oferta con las demás presentadas»</w:t>
      </w:r>
      <w:r>
        <w:rPr>
          <w:rFonts w:ascii="Arial" w:hAnsi="Arial" w:cs="Arial"/>
          <w:sz w:val="22"/>
        </w:rPr>
        <w:t>, sin que se indique la cantidad de ofertas que debió recibir la entidad, por lo cual nada obsta para aplicarla, independientemente del número de ofertas presentadas al procedimiento. Sin embargo, las herramientas mencionadas no son funcionales cuando el mercado se encuentra coludido, ya que los precios están distorsionados y no permiten una comparación objetiva, porque son precios que no corresponden a las dinámicas de mercado, al ser acordados entre los proponentes e impiden identificar diferencias significativas que evidencien «precios artificialmente bajos», los cuales no serán visibles por esta circunstancia.</w:t>
      </w:r>
    </w:p>
    <w:p w14:paraId="62442197" w14:textId="77777777" w:rsidR="002B2434" w:rsidRPr="00545FF9" w:rsidRDefault="002B2434" w:rsidP="00732B31">
      <w:pPr>
        <w:spacing w:before="120" w:after="120" w:line="276" w:lineRule="auto"/>
        <w:ind w:firstLine="709"/>
        <w:jc w:val="both"/>
        <w:rPr>
          <w:rFonts w:ascii="Arial" w:hAnsi="Arial" w:cs="Arial"/>
          <w:sz w:val="21"/>
          <w:szCs w:val="21"/>
          <w:lang w:val="es-CO"/>
        </w:rPr>
      </w:pPr>
      <w:r>
        <w:rPr>
          <w:rFonts w:ascii="Arial" w:hAnsi="Arial" w:cs="Arial"/>
          <w:sz w:val="22"/>
        </w:rPr>
        <w:t xml:space="preserve">Por otra parte, </w:t>
      </w:r>
      <w:r w:rsidRPr="00545FF9">
        <w:rPr>
          <w:rFonts w:ascii="Arial" w:hAnsi="Arial" w:cs="Arial"/>
          <w:sz w:val="22"/>
        </w:rPr>
        <w:t xml:space="preserve">Colombia Compra Eficiente ha sugerido aplicar la siguiente metodología </w:t>
      </w:r>
      <w:r>
        <w:rPr>
          <w:rFonts w:ascii="Arial" w:hAnsi="Arial" w:cs="Arial"/>
          <w:sz w:val="22"/>
        </w:rPr>
        <w:t xml:space="preserve">con pasos sucesivos, </w:t>
      </w:r>
      <w:r w:rsidRPr="00545FF9">
        <w:rPr>
          <w:rFonts w:ascii="Arial" w:hAnsi="Arial" w:cs="Arial"/>
          <w:sz w:val="22"/>
        </w:rPr>
        <w:t xml:space="preserve">para identificar ofertas </w:t>
      </w:r>
      <w:r>
        <w:rPr>
          <w:rFonts w:ascii="Arial" w:hAnsi="Arial" w:cs="Arial"/>
          <w:sz w:val="22"/>
        </w:rPr>
        <w:t>que pueden tener</w:t>
      </w:r>
      <w:r w:rsidRPr="00545FF9">
        <w:rPr>
          <w:rFonts w:ascii="Arial" w:hAnsi="Arial" w:cs="Arial"/>
          <w:sz w:val="22"/>
        </w:rPr>
        <w:t xml:space="preserve"> «precios artificialmente bajos», en </w:t>
      </w:r>
      <w:r>
        <w:rPr>
          <w:rFonts w:ascii="Arial" w:hAnsi="Arial" w:cs="Arial"/>
          <w:sz w:val="22"/>
        </w:rPr>
        <w:t>l</w:t>
      </w:r>
      <w:r w:rsidRPr="00545FF9">
        <w:rPr>
          <w:rFonts w:ascii="Arial" w:hAnsi="Arial" w:cs="Arial"/>
          <w:sz w:val="22"/>
        </w:rPr>
        <w:t>os proce</w:t>
      </w:r>
      <w:r>
        <w:rPr>
          <w:rFonts w:ascii="Arial" w:hAnsi="Arial" w:cs="Arial"/>
          <w:sz w:val="22"/>
        </w:rPr>
        <w:t>dimientos</w:t>
      </w:r>
      <w:r w:rsidRPr="00545FF9">
        <w:rPr>
          <w:rFonts w:ascii="Arial" w:hAnsi="Arial" w:cs="Arial"/>
          <w:sz w:val="22"/>
        </w:rPr>
        <w:t xml:space="preserve"> </w:t>
      </w:r>
      <w:r>
        <w:rPr>
          <w:rFonts w:ascii="Arial" w:hAnsi="Arial" w:cs="Arial"/>
          <w:sz w:val="22"/>
        </w:rPr>
        <w:t>donde</w:t>
      </w:r>
      <w:r w:rsidRPr="00545FF9">
        <w:rPr>
          <w:rFonts w:ascii="Arial" w:hAnsi="Arial" w:cs="Arial"/>
          <w:sz w:val="22"/>
        </w:rPr>
        <w:t xml:space="preserve"> hay cinco (5) o más ofertas</w:t>
      </w:r>
      <w:r>
        <w:rPr>
          <w:rFonts w:ascii="Arial" w:hAnsi="Arial" w:cs="Arial"/>
          <w:sz w:val="22"/>
        </w:rPr>
        <w:t>, es decir, no es posible aplicarla cuando se reciben menos de cinco (5) ofertas</w:t>
      </w:r>
      <w:r w:rsidRPr="00545FF9">
        <w:rPr>
          <w:rFonts w:ascii="Arial" w:hAnsi="Arial" w:cs="Arial"/>
          <w:sz w:val="22"/>
        </w:rPr>
        <w:t xml:space="preserve">: </w:t>
      </w:r>
      <w:r w:rsidRPr="00732B31">
        <w:rPr>
          <w:rFonts w:ascii="Arial" w:hAnsi="Arial" w:cs="Arial"/>
          <w:sz w:val="22"/>
        </w:rPr>
        <w:t xml:space="preserve">i) tomar el conjunto de ofertas a evaluar, </w:t>
      </w:r>
      <w:proofErr w:type="spellStart"/>
      <w:r w:rsidRPr="00732B31">
        <w:rPr>
          <w:rFonts w:ascii="Arial" w:hAnsi="Arial" w:cs="Arial"/>
          <w:sz w:val="22"/>
        </w:rPr>
        <w:t>ii</w:t>
      </w:r>
      <w:proofErr w:type="spellEnd"/>
      <w:r w:rsidRPr="00732B31">
        <w:rPr>
          <w:rFonts w:ascii="Arial" w:hAnsi="Arial" w:cs="Arial"/>
          <w:sz w:val="22"/>
        </w:rPr>
        <w:t xml:space="preserve">) calcular la mediana, o dependiendo de la dispersión de los datos el </w:t>
      </w:r>
      <w:r w:rsidRPr="00732B31">
        <w:rPr>
          <w:rFonts w:ascii="Arial" w:hAnsi="Arial" w:cs="Arial"/>
          <w:sz w:val="22"/>
        </w:rPr>
        <w:lastRenderedPageBreak/>
        <w:t xml:space="preserve">promedio, del valor de cada oferta o de cada ítem dentro de la oferta, </w:t>
      </w:r>
      <w:proofErr w:type="spellStart"/>
      <w:r w:rsidRPr="00732B31">
        <w:rPr>
          <w:rFonts w:ascii="Arial" w:hAnsi="Arial" w:cs="Arial"/>
          <w:sz w:val="22"/>
        </w:rPr>
        <w:t>iii</w:t>
      </w:r>
      <w:proofErr w:type="spellEnd"/>
      <w:r w:rsidRPr="00732B31">
        <w:rPr>
          <w:rFonts w:ascii="Arial" w:hAnsi="Arial" w:cs="Arial"/>
          <w:sz w:val="22"/>
        </w:rPr>
        <w:t xml:space="preserve">) calcular la desviación estándar del conjunto y </w:t>
      </w:r>
      <w:proofErr w:type="spellStart"/>
      <w:r w:rsidRPr="00732B31">
        <w:rPr>
          <w:rFonts w:ascii="Arial" w:hAnsi="Arial" w:cs="Arial"/>
          <w:sz w:val="22"/>
        </w:rPr>
        <w:t>iv</w:t>
      </w:r>
      <w:proofErr w:type="spellEnd"/>
      <w:r w:rsidRPr="00732B31">
        <w:rPr>
          <w:rFonts w:ascii="Arial" w:hAnsi="Arial" w:cs="Arial"/>
          <w:sz w:val="22"/>
        </w:rPr>
        <w:t>) determinar el valor mínimo aceptable</w:t>
      </w:r>
      <w:r w:rsidRPr="00545FF9">
        <w:rPr>
          <w:rStyle w:val="Refdenotaalpie"/>
          <w:rFonts w:ascii="Arial" w:hAnsi="Arial" w:cs="Arial"/>
          <w:sz w:val="21"/>
          <w:szCs w:val="21"/>
        </w:rPr>
        <w:footnoteReference w:id="10"/>
      </w:r>
      <w:r>
        <w:rPr>
          <w:rFonts w:ascii="Arial" w:hAnsi="Arial" w:cs="Arial"/>
          <w:sz w:val="21"/>
          <w:szCs w:val="21"/>
          <w:lang w:val="es-CO"/>
        </w:rPr>
        <w:t>.</w:t>
      </w:r>
    </w:p>
    <w:p w14:paraId="50C1F9A6" w14:textId="77777777" w:rsidR="002B2434" w:rsidRPr="00545FF9" w:rsidRDefault="002B2434" w:rsidP="002B2434">
      <w:pPr>
        <w:spacing w:line="276" w:lineRule="auto"/>
        <w:ind w:firstLine="708"/>
        <w:jc w:val="both"/>
        <w:rPr>
          <w:rFonts w:ascii="Arial" w:hAnsi="Arial" w:cs="Arial"/>
          <w:sz w:val="22"/>
        </w:rPr>
      </w:pPr>
      <w:r w:rsidRPr="00545FF9">
        <w:rPr>
          <w:rFonts w:ascii="Arial" w:hAnsi="Arial" w:cs="Arial"/>
          <w:sz w:val="22"/>
        </w:rPr>
        <w:t xml:space="preserve">La </w:t>
      </w:r>
      <w:r w:rsidRPr="00545FF9">
        <w:rPr>
          <w:rFonts w:ascii="Arial" w:hAnsi="Arial" w:cs="Arial"/>
          <w:i/>
          <w:iCs/>
          <w:sz w:val="22"/>
        </w:rPr>
        <w:t>mediana</w:t>
      </w:r>
      <w:r w:rsidRPr="00545FF9">
        <w:rPr>
          <w:rFonts w:ascii="Arial" w:hAnsi="Arial" w:cs="Arial"/>
          <w:sz w:val="22"/>
        </w:rPr>
        <w:t xml:space="preserve"> se debe calcular ordenando los valores de mayor a menor y tomando el valor de la oferta en la mitad de la lista. Si el número de ofertas es par, caso en el cual no habrá una oferta «en la mitad», se </w:t>
      </w:r>
      <w:r>
        <w:rPr>
          <w:rFonts w:ascii="Arial" w:hAnsi="Arial" w:cs="Arial"/>
          <w:sz w:val="22"/>
        </w:rPr>
        <w:t>toman</w:t>
      </w:r>
      <w:r w:rsidRPr="00545FF9">
        <w:rPr>
          <w:rFonts w:ascii="Arial" w:hAnsi="Arial" w:cs="Arial"/>
          <w:sz w:val="22"/>
        </w:rPr>
        <w:t xml:space="preserve"> los dos valores del medio</w:t>
      </w:r>
      <w:r>
        <w:rPr>
          <w:rFonts w:ascii="Arial" w:hAnsi="Arial" w:cs="Arial"/>
          <w:sz w:val="22"/>
        </w:rPr>
        <w:t>,</w:t>
      </w:r>
      <w:r w:rsidRPr="00545FF9">
        <w:rPr>
          <w:rFonts w:ascii="Arial" w:hAnsi="Arial" w:cs="Arial"/>
          <w:sz w:val="22"/>
        </w:rPr>
        <w:t xml:space="preserve"> se suman y dividen en dos. Posteriormente, es necesario calcular la </w:t>
      </w:r>
      <w:r w:rsidRPr="00545FF9">
        <w:rPr>
          <w:rFonts w:ascii="Arial" w:hAnsi="Arial" w:cs="Arial"/>
          <w:i/>
          <w:iCs/>
          <w:sz w:val="22"/>
        </w:rPr>
        <w:t>desviación estándar</w:t>
      </w:r>
      <w:r w:rsidRPr="00545FF9">
        <w:rPr>
          <w:rFonts w:ascii="Arial" w:hAnsi="Arial" w:cs="Arial"/>
          <w:sz w:val="22"/>
        </w:rPr>
        <w:t xml:space="preserve">, utilizando la siguiente fórmula, en la que el </w:t>
      </w:r>
      <w:r w:rsidRPr="00545FF9">
        <w:rPr>
          <w:rFonts w:ascii="Arial" w:eastAsia="Calibri" w:hAnsi="Arial" w:cs="Arial"/>
          <w:sz w:val="22"/>
          <w:lang w:val="es-ES"/>
        </w:rPr>
        <w:t xml:space="preserve">valor </w:t>
      </w:r>
      <w:r w:rsidRPr="00545FF9">
        <w:rPr>
          <w:rFonts w:ascii="Arial" w:eastAsia="Calibri" w:hAnsi="Arial" w:cs="Arial"/>
          <w:i/>
          <w:sz w:val="22"/>
          <w:lang w:val="es-ES"/>
        </w:rPr>
        <w:t>n</w:t>
      </w:r>
      <w:r w:rsidRPr="00545FF9">
        <w:rPr>
          <w:rFonts w:ascii="Arial" w:eastAsia="Calibri" w:hAnsi="Arial" w:cs="Arial"/>
          <w:sz w:val="22"/>
          <w:lang w:val="es-ES"/>
        </w:rPr>
        <w:t xml:space="preserve"> es el número de ofertas</w:t>
      </w:r>
      <w:r w:rsidRPr="00545FF9">
        <w:rPr>
          <w:rFonts w:ascii="Arial" w:hAnsi="Arial" w:cs="Arial"/>
          <w:sz w:val="22"/>
        </w:rPr>
        <w:t xml:space="preserve">: </w:t>
      </w:r>
    </w:p>
    <w:p w14:paraId="3C9348EB" w14:textId="77777777" w:rsidR="002B2434" w:rsidRPr="00545FF9" w:rsidRDefault="002B2434" w:rsidP="002B2434">
      <w:pPr>
        <w:spacing w:line="276" w:lineRule="auto"/>
        <w:ind w:firstLine="708"/>
        <w:jc w:val="both"/>
        <w:rPr>
          <w:rFonts w:ascii="Arial" w:hAnsi="Arial" w:cs="Arial"/>
          <w:sz w:val="22"/>
        </w:rPr>
      </w:pPr>
    </w:p>
    <w:p w14:paraId="7961439F" w14:textId="77777777" w:rsidR="002B2434" w:rsidRPr="00545FF9" w:rsidRDefault="002B2434" w:rsidP="002B2434">
      <w:pPr>
        <w:spacing w:line="276" w:lineRule="auto"/>
        <w:ind w:left="709" w:right="709"/>
        <w:jc w:val="both"/>
        <w:rPr>
          <w:rFonts w:ascii="Arial" w:hAnsi="Arial" w:cs="Arial"/>
          <w:sz w:val="22"/>
        </w:rPr>
      </w:pPr>
      <w:r w:rsidRPr="00545FF9">
        <w:rPr>
          <w:rFonts w:ascii="Arial" w:hAnsi="Arial" w:cs="Arial"/>
          <w:noProof/>
        </w:rPr>
        <w:drawing>
          <wp:inline distT="0" distB="0" distL="0" distR="0" wp14:anchorId="0122001B" wp14:editId="106AAC2E">
            <wp:extent cx="4967416" cy="460709"/>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236C2C51" w14:textId="77777777" w:rsidR="002B2434" w:rsidRPr="00545FF9" w:rsidRDefault="002B2434" w:rsidP="002B2434">
      <w:pPr>
        <w:spacing w:line="276" w:lineRule="auto"/>
        <w:jc w:val="both"/>
        <w:rPr>
          <w:rFonts w:ascii="Arial" w:hAnsi="Arial" w:cs="Arial"/>
          <w:sz w:val="22"/>
        </w:rPr>
      </w:pPr>
    </w:p>
    <w:p w14:paraId="07ECD527" w14:textId="77777777" w:rsidR="002B2434" w:rsidRDefault="002B2434" w:rsidP="002B2434">
      <w:pPr>
        <w:spacing w:after="120" w:line="276" w:lineRule="auto"/>
        <w:ind w:firstLine="709"/>
        <w:jc w:val="both"/>
        <w:rPr>
          <w:rFonts w:ascii="Arial" w:eastAsia="Calibri" w:hAnsi="Arial" w:cs="Arial"/>
          <w:sz w:val="22"/>
          <w:lang w:val="es-ES"/>
        </w:rPr>
      </w:pPr>
      <w:r w:rsidRPr="00545FF9">
        <w:rPr>
          <w:rFonts w:ascii="Arial" w:hAnsi="Arial" w:cs="Arial"/>
          <w:sz w:val="22"/>
        </w:rPr>
        <w:t xml:space="preserve">El </w:t>
      </w:r>
      <w:r w:rsidRPr="00545FF9">
        <w:rPr>
          <w:rFonts w:ascii="Arial" w:hAnsi="Arial" w:cs="Arial"/>
          <w:i/>
          <w:iCs/>
          <w:sz w:val="22"/>
        </w:rPr>
        <w:t>valor mínimo aceptable</w:t>
      </w:r>
      <w:r w:rsidRPr="00545FF9">
        <w:rPr>
          <w:rFonts w:ascii="Arial" w:hAnsi="Arial" w:cs="Arial"/>
          <w:sz w:val="22"/>
        </w:rPr>
        <w:t xml:space="preserve">, por último, será igual a la </w:t>
      </w:r>
      <w:r w:rsidRPr="00545FF9">
        <w:rPr>
          <w:rFonts w:ascii="Arial" w:hAnsi="Arial" w:cs="Arial"/>
          <w:i/>
          <w:iCs/>
          <w:sz w:val="22"/>
        </w:rPr>
        <w:t>mediana</w:t>
      </w:r>
      <w:r w:rsidRPr="00545FF9">
        <w:rPr>
          <w:rFonts w:ascii="Arial" w:hAnsi="Arial" w:cs="Arial"/>
          <w:sz w:val="22"/>
        </w:rPr>
        <w:t xml:space="preserve"> menos la </w:t>
      </w:r>
      <w:r w:rsidRPr="00545FF9">
        <w:rPr>
          <w:rFonts w:ascii="Arial" w:hAnsi="Arial" w:cs="Arial"/>
          <w:i/>
          <w:iCs/>
          <w:sz w:val="22"/>
        </w:rPr>
        <w:t>desviación estándar</w:t>
      </w:r>
      <w:r w:rsidRPr="00545FF9">
        <w:rPr>
          <w:rFonts w:ascii="Arial" w:hAnsi="Arial" w:cs="Arial"/>
          <w:sz w:val="22"/>
        </w:rPr>
        <w:t>. Con todo, dicho valor puede ser diferente al obtenido con la anterior metodología, dependiendo de la información y los datos con los que cuenten las entidades. Esto es así porque l</w:t>
      </w:r>
      <w:r w:rsidRPr="00545FF9">
        <w:rPr>
          <w:rFonts w:ascii="Arial" w:eastAsia="Calibri" w:hAnsi="Arial" w:cs="Arial"/>
          <w:sz w:val="22"/>
          <w:lang w:val="es-ES"/>
        </w:rPr>
        <w:t>as entidades pueden o no acoger la metodología explicada, toda vez que la Guía no es de obligatorio cumplimiento para las entidades</w:t>
      </w:r>
      <w:r>
        <w:rPr>
          <w:rFonts w:ascii="Arial" w:eastAsia="Calibri" w:hAnsi="Arial" w:cs="Arial"/>
          <w:sz w:val="22"/>
          <w:lang w:val="es-ES"/>
        </w:rPr>
        <w:t xml:space="preserve"> sino que</w:t>
      </w:r>
      <w:r w:rsidRPr="00545FF9">
        <w:rPr>
          <w:rFonts w:ascii="Arial" w:eastAsia="Calibri" w:hAnsi="Arial" w:cs="Arial"/>
          <w:sz w:val="22"/>
          <w:lang w:val="es-ES"/>
        </w:rPr>
        <w:t xml:space="preserve"> es una orientación o lineamiento para sus proce</w:t>
      </w:r>
      <w:r>
        <w:rPr>
          <w:rFonts w:ascii="Arial" w:eastAsia="Calibri" w:hAnsi="Arial" w:cs="Arial"/>
          <w:sz w:val="22"/>
          <w:lang w:val="es-ES"/>
        </w:rPr>
        <w:t>dimientos</w:t>
      </w:r>
      <w:r w:rsidRPr="00545FF9">
        <w:rPr>
          <w:rFonts w:ascii="Arial" w:eastAsia="Calibri" w:hAnsi="Arial" w:cs="Arial"/>
          <w:sz w:val="22"/>
          <w:lang w:val="es-ES"/>
        </w:rPr>
        <w:t xml:space="preserve"> de contratación.</w:t>
      </w:r>
      <w:r>
        <w:rPr>
          <w:rFonts w:ascii="Arial" w:eastAsia="Calibri" w:hAnsi="Arial" w:cs="Arial"/>
          <w:sz w:val="22"/>
          <w:lang w:val="es-ES"/>
        </w:rPr>
        <w:t xml:space="preserve"> En todo caso, «</w:t>
      </w:r>
      <w:r w:rsidRPr="002371C4">
        <w:rPr>
          <w:rFonts w:ascii="Arial" w:eastAsia="Calibri" w:hAnsi="Arial" w:cs="Arial"/>
          <w:sz w:val="22"/>
          <w:lang w:val="es-ES"/>
        </w:rPr>
        <w:t>La Entidad Estatal puede identificar como</w:t>
      </w:r>
      <w:r>
        <w:rPr>
          <w:rFonts w:ascii="Arial" w:eastAsia="Calibri" w:hAnsi="Arial" w:cs="Arial"/>
          <w:sz w:val="22"/>
          <w:lang w:val="es-ES"/>
        </w:rPr>
        <w:t xml:space="preserve"> </w:t>
      </w:r>
      <w:r w:rsidRPr="002371C4">
        <w:rPr>
          <w:rFonts w:ascii="Arial" w:eastAsia="Calibri" w:hAnsi="Arial" w:cs="Arial"/>
          <w:sz w:val="22"/>
          <w:lang w:val="es-ES"/>
        </w:rPr>
        <w:t>posibles ofertas artificialmente bajas a todas las ofertas que cuenten con valores por debajo del valor mínimo</w:t>
      </w:r>
      <w:r>
        <w:rPr>
          <w:rFonts w:ascii="Arial" w:eastAsia="Calibri" w:hAnsi="Arial" w:cs="Arial"/>
          <w:sz w:val="22"/>
          <w:lang w:val="es-ES"/>
        </w:rPr>
        <w:t xml:space="preserve"> </w:t>
      </w:r>
      <w:r w:rsidRPr="002371C4">
        <w:rPr>
          <w:rFonts w:ascii="Arial" w:eastAsia="Calibri" w:hAnsi="Arial" w:cs="Arial"/>
          <w:sz w:val="22"/>
          <w:lang w:val="es-ES"/>
        </w:rPr>
        <w:t>aceptable</w:t>
      </w:r>
      <w:r>
        <w:rPr>
          <w:rFonts w:ascii="Arial" w:eastAsia="Calibri" w:hAnsi="Arial" w:cs="Arial"/>
          <w:sz w:val="22"/>
          <w:lang w:val="es-ES"/>
        </w:rPr>
        <w:t>»</w:t>
      </w:r>
      <w:r w:rsidRPr="002371C4">
        <w:rPr>
          <w:rFonts w:ascii="Arial" w:eastAsia="Calibri" w:hAnsi="Arial" w:cs="Arial"/>
          <w:sz w:val="22"/>
          <w:lang w:val="es-ES"/>
        </w:rPr>
        <w:t>.</w:t>
      </w:r>
    </w:p>
    <w:p w14:paraId="23B9F5B6" w14:textId="71710194" w:rsidR="002B2434" w:rsidRDefault="002B2434" w:rsidP="002B2434">
      <w:pPr>
        <w:spacing w:after="120" w:line="276" w:lineRule="auto"/>
        <w:ind w:firstLine="709"/>
        <w:jc w:val="both"/>
        <w:rPr>
          <w:rFonts w:ascii="Arial" w:eastAsia="Calibri" w:hAnsi="Arial" w:cs="Arial"/>
          <w:sz w:val="22"/>
          <w:lang w:val="es-ES"/>
        </w:rPr>
      </w:pPr>
      <w:r>
        <w:rPr>
          <w:rFonts w:ascii="Arial" w:eastAsia="Calibri" w:hAnsi="Arial" w:cs="Arial"/>
          <w:sz w:val="22"/>
          <w:lang w:val="es-ES"/>
        </w:rPr>
        <w:t xml:space="preserve">De esta manera, las dos (2) herramientas y la metodología propuestas por la Guía para identificar las ofertas con posibles </w:t>
      </w:r>
      <w:r w:rsidRPr="00545FF9">
        <w:rPr>
          <w:rFonts w:ascii="Arial" w:hAnsi="Arial" w:cs="Arial"/>
          <w:sz w:val="22"/>
        </w:rPr>
        <w:t>«precios artificialmente bajos»</w:t>
      </w:r>
      <w:r>
        <w:rPr>
          <w:rFonts w:ascii="Arial" w:hAnsi="Arial" w:cs="Arial"/>
          <w:sz w:val="22"/>
        </w:rPr>
        <w:t>,</w:t>
      </w:r>
      <w:r>
        <w:rPr>
          <w:rFonts w:ascii="Arial" w:eastAsia="Calibri" w:hAnsi="Arial" w:cs="Arial"/>
          <w:sz w:val="22"/>
          <w:lang w:val="es-ES"/>
        </w:rPr>
        <w:t xml:space="preserve"> se aplican a todas las ofertas del procedimiento, ya que no existe exclusión de alguna oferta que no deba ser analizada por </w:t>
      </w:r>
      <w:r w:rsidR="00B32869">
        <w:rPr>
          <w:rFonts w:ascii="Arial" w:eastAsia="Calibri" w:hAnsi="Arial" w:cs="Arial"/>
          <w:sz w:val="22"/>
          <w:lang w:val="es-ES"/>
        </w:rPr>
        <w:t>alguna</w:t>
      </w:r>
      <w:r>
        <w:rPr>
          <w:rFonts w:ascii="Arial" w:eastAsia="Calibri" w:hAnsi="Arial" w:cs="Arial"/>
          <w:sz w:val="22"/>
          <w:lang w:val="es-ES"/>
        </w:rPr>
        <w:t xml:space="preserve"> razón</w:t>
      </w:r>
      <w:r>
        <w:rPr>
          <w:rFonts w:ascii="Arial" w:hAnsi="Arial" w:cs="Arial"/>
          <w:sz w:val="22"/>
        </w:rPr>
        <w:t>, para comprobar si esos precios tienen esa condición;</w:t>
      </w:r>
      <w:r>
        <w:rPr>
          <w:rFonts w:ascii="Arial" w:eastAsia="Calibri" w:hAnsi="Arial" w:cs="Arial"/>
          <w:sz w:val="22"/>
          <w:lang w:val="es-ES"/>
        </w:rPr>
        <w:t xml:space="preserve"> pero la identificación puede o no requerir de todas las ofertas del procedimiento, como en la </w:t>
      </w:r>
      <w:r w:rsidRPr="004129E7">
        <w:rPr>
          <w:rFonts w:ascii="Arial" w:eastAsia="Calibri" w:hAnsi="Arial" w:cs="Arial"/>
          <w:i/>
          <w:iCs/>
          <w:sz w:val="22"/>
          <w:lang w:val="es-ES"/>
        </w:rPr>
        <w:t>comparación absoluta</w:t>
      </w:r>
      <w:r>
        <w:rPr>
          <w:rFonts w:ascii="Arial" w:eastAsia="Calibri" w:hAnsi="Arial" w:cs="Arial"/>
          <w:i/>
          <w:iCs/>
          <w:sz w:val="22"/>
          <w:lang w:val="es-ES"/>
        </w:rPr>
        <w:t xml:space="preserve">, </w:t>
      </w:r>
      <w:r w:rsidRPr="00B9169E">
        <w:rPr>
          <w:rFonts w:ascii="Arial" w:eastAsia="Calibri" w:hAnsi="Arial" w:cs="Arial"/>
          <w:sz w:val="22"/>
          <w:lang w:val="es-ES"/>
        </w:rPr>
        <w:t xml:space="preserve">donde </w:t>
      </w:r>
      <w:r>
        <w:rPr>
          <w:rFonts w:ascii="Arial" w:eastAsia="Calibri" w:hAnsi="Arial" w:cs="Arial"/>
          <w:sz w:val="22"/>
          <w:lang w:val="es-ES"/>
        </w:rPr>
        <w:t xml:space="preserve">no se requieren las demás ofertas sino que se hace un análisis individual, esto es, se aplica a todas las ofertas pero en la comparación solo se observa la oferta que la entidad seleccionó para la revisión de sus precios, y continuando con las demás porque todas deben ser analizadas. Por el contrario, en la </w:t>
      </w:r>
      <w:r w:rsidRPr="004129E7">
        <w:rPr>
          <w:rFonts w:ascii="Arial" w:eastAsia="Calibri" w:hAnsi="Arial" w:cs="Arial"/>
          <w:i/>
          <w:iCs/>
          <w:sz w:val="22"/>
          <w:lang w:val="es-ES"/>
        </w:rPr>
        <w:t>comparación</w:t>
      </w:r>
      <w:r>
        <w:rPr>
          <w:rFonts w:ascii="Arial" w:eastAsia="Calibri" w:hAnsi="Arial" w:cs="Arial"/>
          <w:i/>
          <w:iCs/>
          <w:sz w:val="22"/>
          <w:lang w:val="es-ES"/>
        </w:rPr>
        <w:t xml:space="preserve"> relativa </w:t>
      </w:r>
      <w:r>
        <w:rPr>
          <w:rFonts w:ascii="Arial" w:eastAsia="Calibri" w:hAnsi="Arial" w:cs="Arial"/>
          <w:sz w:val="22"/>
          <w:lang w:val="es-ES"/>
        </w:rPr>
        <w:t>y en la metodología sí se requiere el conjunto de ofertas para la identificación, ya que la comparación se hace entre una oferta y las demás presentadas, y los datos que requiere la metodología resultan de tener los valores de todas las ofertas.</w:t>
      </w:r>
    </w:p>
    <w:p w14:paraId="301417F7" w14:textId="77777777" w:rsidR="002B2434" w:rsidRPr="005B0EDA" w:rsidRDefault="002B2434" w:rsidP="002B2434">
      <w:pPr>
        <w:spacing w:line="276" w:lineRule="auto"/>
        <w:ind w:firstLine="708"/>
        <w:jc w:val="both"/>
        <w:rPr>
          <w:rFonts w:ascii="Arial" w:eastAsia="Calibri" w:hAnsi="Arial" w:cs="Arial"/>
          <w:sz w:val="22"/>
          <w:lang w:val="es-ES"/>
        </w:rPr>
      </w:pPr>
      <w:r>
        <w:rPr>
          <w:rFonts w:ascii="Arial" w:eastAsia="Calibri" w:hAnsi="Arial" w:cs="Arial"/>
          <w:sz w:val="22"/>
          <w:lang w:val="es-ES"/>
        </w:rPr>
        <w:t>Se debe tener en cuenta que este acápite se refiere a la identificación de ofertas con precios que parezcan artificialmente bajos, y la definición de «identificar» indica que se trata de reconocer la diferencia entre una cosa y otra, para poder distinguir lo que se busca</w:t>
      </w:r>
      <w:r>
        <w:rPr>
          <w:rStyle w:val="Refdenotaalpie"/>
          <w:rFonts w:ascii="Arial" w:eastAsia="Calibri" w:hAnsi="Arial" w:cs="Arial"/>
          <w:sz w:val="22"/>
          <w:lang w:val="es-ES"/>
        </w:rPr>
        <w:footnoteReference w:id="11"/>
      </w:r>
      <w:r>
        <w:rPr>
          <w:rFonts w:ascii="Arial" w:eastAsia="Calibri" w:hAnsi="Arial" w:cs="Arial"/>
          <w:sz w:val="22"/>
          <w:lang w:val="es-ES"/>
        </w:rPr>
        <w:t xml:space="preserve">, lo cual no se puede hacer si no se revisan todas las ofertas; y esto no quiere decir </w:t>
      </w:r>
      <w:r>
        <w:rPr>
          <w:rFonts w:ascii="Arial" w:eastAsia="Calibri" w:hAnsi="Arial" w:cs="Arial"/>
          <w:sz w:val="22"/>
          <w:lang w:val="es-ES"/>
        </w:rPr>
        <w:lastRenderedPageBreak/>
        <w:t>que las dos (2) herramientas y la metodología requieran tener en cuenta todas las ofertas para analizar cada una, ya que se puede analizar una sola o en conjunto, dependiendo de lo mencionado.</w:t>
      </w:r>
    </w:p>
    <w:p w14:paraId="0DE83833" w14:textId="77777777" w:rsidR="002B2434" w:rsidRDefault="002B2434" w:rsidP="002B2434">
      <w:pPr>
        <w:spacing w:line="276" w:lineRule="auto"/>
        <w:ind w:firstLine="709"/>
        <w:jc w:val="both"/>
        <w:rPr>
          <w:rFonts w:ascii="Arial" w:hAnsi="Arial" w:cs="Arial"/>
          <w:sz w:val="22"/>
        </w:rPr>
      </w:pPr>
    </w:p>
    <w:p w14:paraId="20C0AB5C" w14:textId="77777777" w:rsidR="002B2434" w:rsidRDefault="002B2434" w:rsidP="002B2434">
      <w:pPr>
        <w:spacing w:line="276" w:lineRule="auto"/>
        <w:jc w:val="both"/>
        <w:rPr>
          <w:rFonts w:ascii="Arial" w:hAnsi="Arial" w:cs="Arial"/>
          <w:b/>
          <w:bCs/>
          <w:sz w:val="22"/>
        </w:rPr>
      </w:pPr>
      <w:r>
        <w:rPr>
          <w:rFonts w:ascii="Arial" w:hAnsi="Arial" w:cs="Arial"/>
          <w:b/>
          <w:bCs/>
          <w:sz w:val="22"/>
        </w:rPr>
        <w:t>b) M</w:t>
      </w:r>
      <w:r w:rsidRPr="00811D0F">
        <w:rPr>
          <w:rFonts w:ascii="Arial" w:hAnsi="Arial" w:cs="Arial"/>
          <w:b/>
          <w:bCs/>
          <w:sz w:val="22"/>
        </w:rPr>
        <w:t>anejo de las ofertas con</w:t>
      </w:r>
      <w:r>
        <w:rPr>
          <w:rFonts w:ascii="Arial" w:hAnsi="Arial" w:cs="Arial"/>
          <w:b/>
          <w:bCs/>
          <w:sz w:val="22"/>
        </w:rPr>
        <w:t xml:space="preserve"> posibles</w:t>
      </w:r>
      <w:r w:rsidRPr="00811D0F">
        <w:rPr>
          <w:rFonts w:ascii="Arial" w:hAnsi="Arial" w:cs="Arial"/>
          <w:b/>
          <w:bCs/>
          <w:sz w:val="22"/>
        </w:rPr>
        <w:t xml:space="preserve"> «precios artificialmente bajos»</w:t>
      </w:r>
    </w:p>
    <w:p w14:paraId="1A7AB00E" w14:textId="77777777" w:rsidR="002B2434" w:rsidRPr="00811D0F" w:rsidRDefault="002B2434" w:rsidP="002B2434">
      <w:pPr>
        <w:spacing w:line="276" w:lineRule="auto"/>
        <w:jc w:val="both"/>
        <w:rPr>
          <w:rFonts w:ascii="Arial" w:hAnsi="Arial" w:cs="Arial"/>
          <w:b/>
          <w:bCs/>
          <w:sz w:val="22"/>
        </w:rPr>
      </w:pPr>
    </w:p>
    <w:p w14:paraId="6FC0D56F" w14:textId="77777777" w:rsidR="002B2434" w:rsidRPr="00545FF9" w:rsidRDefault="002B2434" w:rsidP="002B2434">
      <w:pPr>
        <w:spacing w:line="276" w:lineRule="auto"/>
        <w:jc w:val="both"/>
        <w:rPr>
          <w:rFonts w:ascii="Arial" w:hAnsi="Arial" w:cs="Arial"/>
          <w:sz w:val="22"/>
        </w:rPr>
      </w:pPr>
      <w:r>
        <w:rPr>
          <w:rFonts w:ascii="Arial" w:eastAsia="Calibri" w:hAnsi="Arial" w:cs="Arial"/>
          <w:sz w:val="22"/>
          <w:lang w:val="es-ES"/>
        </w:rPr>
        <w:t xml:space="preserve">Identificadas estas ofertas, </w:t>
      </w:r>
      <w:r w:rsidRPr="00545FF9">
        <w:rPr>
          <w:rFonts w:ascii="Arial" w:eastAsia="Calibri" w:hAnsi="Arial" w:cs="Arial"/>
          <w:sz w:val="22"/>
          <w:lang w:val="es-ES"/>
        </w:rPr>
        <w:t xml:space="preserve">la Guía sugiere </w:t>
      </w:r>
      <w:r>
        <w:rPr>
          <w:rFonts w:ascii="Arial" w:eastAsia="Calibri" w:hAnsi="Arial" w:cs="Arial"/>
          <w:sz w:val="22"/>
          <w:lang w:val="es-ES"/>
        </w:rPr>
        <w:t>realizar</w:t>
      </w:r>
      <w:r w:rsidRPr="00545FF9">
        <w:rPr>
          <w:rFonts w:ascii="Arial" w:eastAsia="Calibri" w:hAnsi="Arial" w:cs="Arial"/>
          <w:sz w:val="22"/>
          <w:lang w:val="es-ES"/>
        </w:rPr>
        <w:t xml:space="preserve"> las siguientes actuaciones</w:t>
      </w:r>
      <w:r w:rsidRPr="00545FF9">
        <w:rPr>
          <w:rFonts w:ascii="Arial" w:hAnsi="Arial" w:cs="Arial"/>
          <w:sz w:val="22"/>
        </w:rPr>
        <w:t>,</w:t>
      </w:r>
      <w:r>
        <w:rPr>
          <w:rFonts w:ascii="Arial" w:hAnsi="Arial" w:cs="Arial"/>
          <w:sz w:val="22"/>
        </w:rPr>
        <w:t xml:space="preserve"> observando</w:t>
      </w:r>
      <w:r w:rsidRPr="00545FF9">
        <w:rPr>
          <w:rFonts w:ascii="Arial" w:hAnsi="Arial" w:cs="Arial"/>
          <w:sz w:val="22"/>
        </w:rPr>
        <w:t xml:space="preserve"> lo dispuesto en el artículo 2.2.1.1.2.2.4. del Decreto 1082 de 2015: i) solicitar aclaración a los proponentes</w:t>
      </w:r>
      <w:r>
        <w:rPr>
          <w:rFonts w:ascii="Arial" w:hAnsi="Arial" w:cs="Arial"/>
          <w:sz w:val="22"/>
        </w:rPr>
        <w:t xml:space="preserve"> que hayan ofertado precios que parecen bajos injustificadamente,</w:t>
      </w:r>
      <w:r w:rsidRPr="00545FF9">
        <w:rPr>
          <w:rFonts w:ascii="Arial" w:hAnsi="Arial" w:cs="Arial"/>
          <w:sz w:val="22"/>
        </w:rPr>
        <w:t xml:space="preserve"> </w:t>
      </w:r>
      <w:proofErr w:type="spellStart"/>
      <w:r w:rsidRPr="00545FF9">
        <w:rPr>
          <w:rFonts w:ascii="Arial" w:hAnsi="Arial" w:cs="Arial"/>
          <w:sz w:val="22"/>
        </w:rPr>
        <w:t>ii</w:t>
      </w:r>
      <w:proofErr w:type="spellEnd"/>
      <w:r w:rsidRPr="00545FF9">
        <w:rPr>
          <w:rFonts w:ascii="Arial" w:hAnsi="Arial" w:cs="Arial"/>
          <w:sz w:val="22"/>
        </w:rPr>
        <w:t xml:space="preserve">) analizar las explicaciones y </w:t>
      </w:r>
      <w:proofErr w:type="spellStart"/>
      <w:r w:rsidRPr="00545FF9">
        <w:rPr>
          <w:rFonts w:ascii="Arial" w:hAnsi="Arial" w:cs="Arial"/>
          <w:sz w:val="22"/>
        </w:rPr>
        <w:t>iii</w:t>
      </w:r>
      <w:proofErr w:type="spellEnd"/>
      <w:r w:rsidRPr="00545FF9">
        <w:rPr>
          <w:rFonts w:ascii="Arial" w:hAnsi="Arial" w:cs="Arial"/>
          <w:sz w:val="22"/>
        </w:rPr>
        <w:t>) decidir «si continúa con la evaluación de la oferta porque la explicación demuestra la habilidad del proponente para cumplir adecuadamente con el contrato con los precios ofrecidos, o rechazar la oferta si la explicación no sustenta los valores ofrecidos»</w:t>
      </w:r>
      <w:r w:rsidRPr="00545FF9">
        <w:rPr>
          <w:rStyle w:val="Refdenotaalpie"/>
          <w:rFonts w:ascii="Arial" w:hAnsi="Arial" w:cs="Arial"/>
          <w:sz w:val="22"/>
        </w:rPr>
        <w:footnoteReference w:id="12"/>
      </w:r>
      <w:r w:rsidRPr="00545FF9">
        <w:rPr>
          <w:rFonts w:ascii="Arial" w:hAnsi="Arial" w:cs="Arial"/>
          <w:sz w:val="22"/>
        </w:rPr>
        <w:t xml:space="preserve">. </w:t>
      </w:r>
    </w:p>
    <w:p w14:paraId="53C9070C" w14:textId="77777777" w:rsidR="002B2434" w:rsidRPr="00545FF9" w:rsidRDefault="002B2434" w:rsidP="002B2434">
      <w:pPr>
        <w:spacing w:before="120" w:line="276" w:lineRule="auto"/>
        <w:ind w:firstLine="709"/>
        <w:jc w:val="both"/>
        <w:rPr>
          <w:rFonts w:ascii="Arial" w:hAnsi="Arial" w:cs="Arial"/>
          <w:sz w:val="22"/>
        </w:rPr>
      </w:pPr>
      <w:r w:rsidRPr="00545FF9">
        <w:rPr>
          <w:rFonts w:ascii="Arial" w:hAnsi="Arial" w:cs="Arial"/>
          <w:sz w:val="22"/>
        </w:rPr>
        <w:t>La ley y el reglamento no determinan la forma ni el momento para requerir a los proponentes para que justifiquen el precio</w:t>
      </w:r>
      <w:r>
        <w:rPr>
          <w:rFonts w:ascii="Arial" w:hAnsi="Arial" w:cs="Arial"/>
          <w:sz w:val="22"/>
        </w:rPr>
        <w:t>,</w:t>
      </w:r>
      <w:r w:rsidRPr="00545FF9">
        <w:rPr>
          <w:rFonts w:ascii="Arial" w:hAnsi="Arial" w:cs="Arial"/>
          <w:sz w:val="22"/>
        </w:rPr>
        <w:t xml:space="preserve"> por lo tanto, es facultativa para cada entidad pública, para lo cual, de todos modos, debe tener presentes las particularidades de cada modalidad de selección de contratistas, pues, por ejemplo, en</w:t>
      </w:r>
      <w:r>
        <w:rPr>
          <w:rFonts w:ascii="Arial" w:hAnsi="Arial" w:cs="Arial"/>
          <w:sz w:val="22"/>
        </w:rPr>
        <w:t xml:space="preserve"> la</w:t>
      </w:r>
      <w:r w:rsidRPr="00545FF9">
        <w:rPr>
          <w:rFonts w:ascii="Arial" w:hAnsi="Arial" w:cs="Arial"/>
          <w:sz w:val="22"/>
        </w:rPr>
        <w:t xml:space="preserve"> licitación pública la entidad conoce la oferta económica solo en la audiencia de adjudicación</w:t>
      </w:r>
      <w:r>
        <w:rPr>
          <w:rFonts w:ascii="Arial" w:hAnsi="Arial" w:cs="Arial"/>
          <w:sz w:val="22"/>
        </w:rPr>
        <w:t>,</w:t>
      </w:r>
      <w:r w:rsidRPr="00545FF9">
        <w:rPr>
          <w:rFonts w:ascii="Arial" w:hAnsi="Arial" w:cs="Arial"/>
          <w:sz w:val="22"/>
        </w:rPr>
        <w:t xml:space="preserve"> por ende, es </w:t>
      </w:r>
      <w:r>
        <w:rPr>
          <w:rFonts w:ascii="Arial" w:hAnsi="Arial" w:cs="Arial"/>
          <w:sz w:val="22"/>
        </w:rPr>
        <w:t>imposible pedir</w:t>
      </w:r>
      <w:r w:rsidRPr="00545FF9">
        <w:rPr>
          <w:rFonts w:ascii="Arial" w:hAnsi="Arial" w:cs="Arial"/>
          <w:sz w:val="22"/>
        </w:rPr>
        <w:t xml:space="preserve"> explicaciones ante</w:t>
      </w:r>
      <w:r>
        <w:rPr>
          <w:rFonts w:ascii="Arial" w:hAnsi="Arial" w:cs="Arial"/>
          <w:sz w:val="22"/>
        </w:rPr>
        <w:t>s</w:t>
      </w:r>
      <w:r w:rsidRPr="00545FF9">
        <w:rPr>
          <w:rFonts w:ascii="Arial" w:hAnsi="Arial" w:cs="Arial"/>
          <w:sz w:val="22"/>
        </w:rPr>
        <w:t xml:space="preserve">. </w:t>
      </w:r>
    </w:p>
    <w:p w14:paraId="62203DC9" w14:textId="77777777" w:rsidR="002B2434" w:rsidRPr="00545FF9" w:rsidRDefault="002B2434" w:rsidP="002B2434">
      <w:pPr>
        <w:spacing w:before="120" w:after="120" w:line="276" w:lineRule="auto"/>
        <w:ind w:firstLine="709"/>
        <w:jc w:val="both"/>
        <w:rPr>
          <w:rFonts w:ascii="Arial" w:hAnsi="Arial" w:cs="Arial"/>
          <w:sz w:val="22"/>
        </w:rPr>
      </w:pPr>
      <w:r w:rsidRPr="00545FF9">
        <w:rPr>
          <w:rFonts w:ascii="Arial" w:hAnsi="Arial" w:cs="Arial"/>
          <w:sz w:val="22"/>
        </w:rPr>
        <w:t>El artículo 2.2.1.1.2.2</w:t>
      </w:r>
      <w:r>
        <w:rPr>
          <w:rFonts w:ascii="Arial" w:hAnsi="Arial" w:cs="Arial"/>
          <w:sz w:val="22"/>
        </w:rPr>
        <w:t>.4.</w:t>
      </w:r>
      <w:r w:rsidRPr="00545FF9">
        <w:rPr>
          <w:rFonts w:ascii="Arial" w:hAnsi="Arial" w:cs="Arial"/>
          <w:sz w:val="22"/>
        </w:rPr>
        <w:t xml:space="preserve"> del Decreto 1082 de 2015 también prevé que, </w:t>
      </w:r>
      <w:r>
        <w:rPr>
          <w:rFonts w:ascii="Arial" w:hAnsi="Arial" w:cs="Arial"/>
          <w:sz w:val="22"/>
        </w:rPr>
        <w:t>da</w:t>
      </w:r>
      <w:r w:rsidRPr="00545FF9">
        <w:rPr>
          <w:rFonts w:ascii="Arial" w:hAnsi="Arial" w:cs="Arial"/>
          <w:sz w:val="22"/>
        </w:rPr>
        <w:t>das las explicaciones que justifica</w:t>
      </w:r>
      <w:r>
        <w:rPr>
          <w:rFonts w:ascii="Arial" w:hAnsi="Arial" w:cs="Arial"/>
          <w:sz w:val="22"/>
        </w:rPr>
        <w:t>n</w:t>
      </w:r>
      <w:r w:rsidRPr="00545FF9">
        <w:rPr>
          <w:rFonts w:ascii="Arial" w:hAnsi="Arial" w:cs="Arial"/>
          <w:sz w:val="22"/>
        </w:rPr>
        <w:t xml:space="preserve"> el precio, el comité evaluador decid</w:t>
      </w:r>
      <w:r>
        <w:rPr>
          <w:rFonts w:ascii="Arial" w:hAnsi="Arial" w:cs="Arial"/>
          <w:sz w:val="22"/>
        </w:rPr>
        <w:t>e</w:t>
      </w:r>
      <w:r w:rsidRPr="00545FF9">
        <w:rPr>
          <w:rFonts w:ascii="Arial" w:hAnsi="Arial" w:cs="Arial"/>
          <w:sz w:val="22"/>
        </w:rPr>
        <w:t xml:space="preserve"> si rechaza o no la oferta. </w:t>
      </w:r>
      <w:r>
        <w:rPr>
          <w:rFonts w:ascii="Arial" w:hAnsi="Arial" w:cs="Arial"/>
          <w:sz w:val="22"/>
        </w:rPr>
        <w:t>S</w:t>
      </w:r>
      <w:r w:rsidRPr="00545FF9">
        <w:rPr>
          <w:rFonts w:ascii="Arial" w:hAnsi="Arial" w:cs="Arial"/>
          <w:sz w:val="22"/>
        </w:rPr>
        <w:t>i el proponente no a</w:t>
      </w:r>
      <w:r>
        <w:rPr>
          <w:rFonts w:ascii="Arial" w:hAnsi="Arial" w:cs="Arial"/>
          <w:sz w:val="22"/>
        </w:rPr>
        <w:t>porta</w:t>
      </w:r>
      <w:r w:rsidRPr="00545FF9">
        <w:rPr>
          <w:rFonts w:ascii="Arial" w:hAnsi="Arial" w:cs="Arial"/>
          <w:sz w:val="22"/>
        </w:rPr>
        <w:t xml:space="preserve"> información será una omisión que debe</w:t>
      </w:r>
      <w:r>
        <w:rPr>
          <w:rFonts w:ascii="Arial" w:hAnsi="Arial" w:cs="Arial"/>
          <w:sz w:val="22"/>
        </w:rPr>
        <w:t xml:space="preserve"> </w:t>
      </w:r>
      <w:r w:rsidRPr="00545FF9">
        <w:rPr>
          <w:rFonts w:ascii="Arial" w:hAnsi="Arial" w:cs="Arial"/>
          <w:sz w:val="22"/>
        </w:rPr>
        <w:t>analizar el comité</w:t>
      </w:r>
      <w:r>
        <w:rPr>
          <w:rFonts w:ascii="Arial" w:hAnsi="Arial" w:cs="Arial"/>
          <w:sz w:val="22"/>
        </w:rPr>
        <w:t>,</w:t>
      </w:r>
      <w:r w:rsidRPr="00545FF9">
        <w:rPr>
          <w:rFonts w:ascii="Arial" w:hAnsi="Arial" w:cs="Arial"/>
          <w:sz w:val="22"/>
        </w:rPr>
        <w:t xml:space="preserve"> y de ser el caso</w:t>
      </w:r>
      <w:r>
        <w:rPr>
          <w:rFonts w:ascii="Arial" w:hAnsi="Arial" w:cs="Arial"/>
          <w:sz w:val="22"/>
        </w:rPr>
        <w:t xml:space="preserve"> </w:t>
      </w:r>
      <w:r w:rsidRPr="00545FF9">
        <w:rPr>
          <w:rFonts w:ascii="Arial" w:hAnsi="Arial" w:cs="Arial"/>
          <w:sz w:val="22"/>
        </w:rPr>
        <w:t>rechazar</w:t>
      </w:r>
      <w:r>
        <w:rPr>
          <w:rFonts w:ascii="Arial" w:hAnsi="Arial" w:cs="Arial"/>
          <w:sz w:val="22"/>
        </w:rPr>
        <w:t>á</w:t>
      </w:r>
      <w:r w:rsidRPr="00545FF9">
        <w:rPr>
          <w:rFonts w:ascii="Arial" w:hAnsi="Arial" w:cs="Arial"/>
          <w:sz w:val="22"/>
        </w:rPr>
        <w:t xml:space="preserve"> la oferta si la duda</w:t>
      </w:r>
      <w:r>
        <w:rPr>
          <w:rFonts w:ascii="Arial" w:hAnsi="Arial" w:cs="Arial"/>
          <w:sz w:val="22"/>
        </w:rPr>
        <w:t xml:space="preserve"> </w:t>
      </w:r>
      <w:r w:rsidRPr="00545FF9">
        <w:rPr>
          <w:rFonts w:ascii="Arial" w:hAnsi="Arial" w:cs="Arial"/>
          <w:sz w:val="22"/>
        </w:rPr>
        <w:t xml:space="preserve">es de tal magnitud que no </w:t>
      </w:r>
      <w:r>
        <w:rPr>
          <w:rFonts w:ascii="Arial" w:hAnsi="Arial" w:cs="Arial"/>
          <w:sz w:val="22"/>
        </w:rPr>
        <w:t>hacerlo</w:t>
      </w:r>
      <w:r w:rsidRPr="00545FF9">
        <w:rPr>
          <w:rFonts w:ascii="Arial" w:hAnsi="Arial" w:cs="Arial"/>
          <w:sz w:val="22"/>
        </w:rPr>
        <w:t xml:space="preserve"> podría </w:t>
      </w:r>
      <w:r>
        <w:rPr>
          <w:rFonts w:ascii="Arial" w:hAnsi="Arial" w:cs="Arial"/>
          <w:sz w:val="22"/>
        </w:rPr>
        <w:t>afectar e</w:t>
      </w:r>
      <w:r w:rsidRPr="00545FF9">
        <w:rPr>
          <w:rFonts w:ascii="Arial" w:hAnsi="Arial" w:cs="Arial"/>
          <w:sz w:val="22"/>
        </w:rPr>
        <w:t xml:space="preserve">l proceso. </w:t>
      </w:r>
    </w:p>
    <w:p w14:paraId="09EF2D7A" w14:textId="77777777" w:rsidR="002B2434" w:rsidRPr="00545FF9" w:rsidRDefault="002B2434" w:rsidP="002B2434">
      <w:pPr>
        <w:spacing w:after="120" w:line="276" w:lineRule="auto"/>
        <w:ind w:firstLine="708"/>
        <w:jc w:val="both"/>
        <w:rPr>
          <w:rFonts w:ascii="Arial" w:hAnsi="Arial" w:cs="Arial"/>
          <w:sz w:val="22"/>
        </w:rPr>
      </w:pPr>
      <w:r>
        <w:rPr>
          <w:rFonts w:ascii="Arial" w:hAnsi="Arial" w:cs="Arial"/>
          <w:sz w:val="22"/>
        </w:rPr>
        <w:t>E</w:t>
      </w:r>
      <w:r w:rsidRPr="00545FF9">
        <w:rPr>
          <w:rFonts w:ascii="Arial" w:hAnsi="Arial" w:cs="Arial"/>
          <w:sz w:val="22"/>
        </w:rPr>
        <w:t xml:space="preserve">l requerimiento debe ser comunicado al proponente por el medio que la entidad considere más eficaz, pudiendo acudir a mensajes electrónicos y otros de similar informalidad. Por ejemplo, en el concepto del 7 de noviembre de 2019 –radicado No. 2201913000008288–, esta Agencia </w:t>
      </w:r>
      <w:r>
        <w:rPr>
          <w:rFonts w:ascii="Arial" w:hAnsi="Arial" w:cs="Arial"/>
          <w:sz w:val="22"/>
        </w:rPr>
        <w:t>admite,</w:t>
      </w:r>
      <w:r w:rsidRPr="00545FF9">
        <w:rPr>
          <w:rFonts w:ascii="Arial" w:hAnsi="Arial" w:cs="Arial"/>
          <w:sz w:val="22"/>
        </w:rPr>
        <w:t xml:space="preserve"> en abstracto</w:t>
      </w:r>
      <w:r>
        <w:rPr>
          <w:rFonts w:ascii="Arial" w:hAnsi="Arial" w:cs="Arial"/>
          <w:sz w:val="22"/>
        </w:rPr>
        <w:t>,</w:t>
      </w:r>
      <w:r w:rsidRPr="00545FF9">
        <w:rPr>
          <w:rFonts w:ascii="Arial" w:hAnsi="Arial" w:cs="Arial"/>
          <w:sz w:val="22"/>
        </w:rPr>
        <w:t xml:space="preserve"> la idoneidad de una llamada telefónica para comunicar el requerimiento al oferente.</w:t>
      </w:r>
    </w:p>
    <w:p w14:paraId="37B0528D"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La ley y el reglamento tampoco establecen el término para </w:t>
      </w:r>
      <w:r>
        <w:rPr>
          <w:rFonts w:ascii="Arial" w:hAnsi="Arial" w:cs="Arial"/>
          <w:sz w:val="22"/>
        </w:rPr>
        <w:t>justificar</w:t>
      </w:r>
      <w:r w:rsidRPr="00545FF9">
        <w:rPr>
          <w:rFonts w:ascii="Arial" w:hAnsi="Arial" w:cs="Arial"/>
          <w:sz w:val="22"/>
        </w:rPr>
        <w:t xml:space="preserve"> el precio. En consecuencia, es un asunto que también queda a la discrecionalidad de la entidad. Sin embargo, la discrecionalidad debe ejercerse de forma </w:t>
      </w:r>
      <w:r>
        <w:rPr>
          <w:rFonts w:ascii="Arial" w:hAnsi="Arial" w:cs="Arial"/>
          <w:sz w:val="22"/>
        </w:rPr>
        <w:t>razonable</w:t>
      </w:r>
      <w:r w:rsidRPr="00545FF9">
        <w:rPr>
          <w:rFonts w:ascii="Arial" w:hAnsi="Arial" w:cs="Arial"/>
          <w:sz w:val="22"/>
        </w:rPr>
        <w:t>, con buen criterio y de forma prudente. Así lo estableció la Sección Quinta del Consejo de Estado</w:t>
      </w:r>
      <w:r w:rsidRPr="00545FF9">
        <w:rPr>
          <w:rStyle w:val="Refdenotaalpie"/>
          <w:rFonts w:ascii="Arial" w:hAnsi="Arial" w:cs="Arial"/>
          <w:sz w:val="22"/>
        </w:rPr>
        <w:footnoteReference w:id="13"/>
      </w:r>
      <w:r w:rsidRPr="00545FF9">
        <w:rPr>
          <w:rFonts w:ascii="Arial" w:hAnsi="Arial" w:cs="Arial"/>
          <w:sz w:val="22"/>
        </w:rPr>
        <w:t xml:space="preserve">, </w:t>
      </w:r>
      <w:r>
        <w:rPr>
          <w:rFonts w:ascii="Arial" w:hAnsi="Arial" w:cs="Arial"/>
          <w:sz w:val="22"/>
        </w:rPr>
        <w:t>resaltando</w:t>
      </w:r>
      <w:r w:rsidRPr="00545FF9">
        <w:rPr>
          <w:rFonts w:ascii="Arial" w:hAnsi="Arial" w:cs="Arial"/>
          <w:sz w:val="22"/>
        </w:rPr>
        <w:t xml:space="preserve"> </w:t>
      </w:r>
      <w:r w:rsidRPr="00545FF9">
        <w:rPr>
          <w:rFonts w:ascii="Arial" w:hAnsi="Arial" w:cs="Arial"/>
          <w:sz w:val="22"/>
        </w:rPr>
        <w:lastRenderedPageBreak/>
        <w:t xml:space="preserve">que «[…]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 En el mismo sentido, en la doctrina foránea se ha dicho que la discrecionalidad administrativa tiene dos limitantes: una, el respeto a la finalidad jurídica que justifica, que no es nada distinto a satisfacer el interés general; y otra, que el uso de la discrecionalidad sea </w:t>
      </w:r>
      <w:proofErr w:type="gramStart"/>
      <w:r w:rsidRPr="00545FF9">
        <w:rPr>
          <w:rFonts w:ascii="Arial" w:hAnsi="Arial" w:cs="Arial"/>
          <w:sz w:val="22"/>
        </w:rPr>
        <w:t>necesaria</w:t>
      </w:r>
      <w:proofErr w:type="gramEnd"/>
      <w:r w:rsidRPr="00545FF9">
        <w:rPr>
          <w:rFonts w:ascii="Arial" w:hAnsi="Arial" w:cs="Arial"/>
          <w:sz w:val="22"/>
        </w:rPr>
        <w:t xml:space="preserve"> para cumplir el interés jurídico que se tutela. En estos términos, la entidad deberá adoptar una medida que esté acorde con el interés general</w:t>
      </w:r>
      <w:r w:rsidRPr="00F14924">
        <w:rPr>
          <w:vertAlign w:val="superscript"/>
        </w:rPr>
        <w:footnoteReference w:id="14"/>
      </w:r>
      <w:r w:rsidRPr="00F14924">
        <w:rPr>
          <w:rFonts w:ascii="Arial" w:hAnsi="Arial" w:cs="Arial"/>
          <w:sz w:val="22"/>
          <w:vertAlign w:val="superscript"/>
        </w:rPr>
        <w:t>.</w:t>
      </w:r>
    </w:p>
    <w:p w14:paraId="025BABAA" w14:textId="77777777" w:rsidR="002B2434" w:rsidRPr="00545FF9" w:rsidRDefault="002B2434" w:rsidP="002B2434">
      <w:pPr>
        <w:spacing w:after="120" w:line="276" w:lineRule="auto"/>
        <w:ind w:firstLine="709"/>
        <w:jc w:val="both"/>
        <w:rPr>
          <w:rFonts w:ascii="Arial" w:hAnsi="Arial" w:cs="Arial"/>
          <w:sz w:val="22"/>
        </w:rPr>
      </w:pPr>
      <w:r w:rsidRPr="00545FF9">
        <w:rPr>
          <w:rFonts w:ascii="Arial" w:hAnsi="Arial" w:cs="Arial"/>
          <w:sz w:val="22"/>
        </w:rPr>
        <w:t xml:space="preserve">Conforme a lo anterior, si bien es cierto que la entidad tiene la facultad de definir el término mínimo que otorgará a los proponentes para aclarar el precio </w:t>
      </w:r>
      <w:r>
        <w:rPr>
          <w:rFonts w:ascii="Arial" w:hAnsi="Arial" w:cs="Arial"/>
          <w:sz w:val="22"/>
        </w:rPr>
        <w:t xml:space="preserve">que parece </w:t>
      </w:r>
      <w:r w:rsidRPr="00545FF9">
        <w:rPr>
          <w:rFonts w:ascii="Arial" w:hAnsi="Arial" w:cs="Arial"/>
          <w:sz w:val="22"/>
        </w:rPr>
        <w:t xml:space="preserve">artificialmente bajo, también lo es que dicho término debe estar acorde, por un lado, con el interés general y, por el otro, con los principios de proporcionalidad y razonabilidad, así como también con los principios del Estatuto General de Contratación de la Administración Pública. </w:t>
      </w:r>
    </w:p>
    <w:p w14:paraId="11D55454" w14:textId="77777777" w:rsidR="002B2434" w:rsidRPr="00545FF9" w:rsidRDefault="002B2434" w:rsidP="002B2434">
      <w:pPr>
        <w:pStyle w:val="NormalWeb"/>
        <w:spacing w:before="0" w:beforeAutospacing="0" w:after="120" w:afterAutospacing="0" w:line="276" w:lineRule="auto"/>
        <w:ind w:firstLine="709"/>
        <w:jc w:val="both"/>
        <w:rPr>
          <w:rFonts w:ascii="Arial" w:eastAsiaTheme="minorHAnsi" w:hAnsi="Arial" w:cs="Arial"/>
          <w:sz w:val="22"/>
          <w:szCs w:val="22"/>
          <w:lang w:val="es-ES" w:eastAsia="en-US"/>
        </w:rPr>
      </w:pPr>
      <w:r w:rsidRPr="00545FF9">
        <w:rPr>
          <w:rFonts w:ascii="Arial" w:eastAsiaTheme="minorHAnsi" w:hAnsi="Arial" w:cs="Arial"/>
          <w:sz w:val="22"/>
          <w:szCs w:val="22"/>
          <w:lang w:val="es-ES" w:eastAsia="en-US"/>
        </w:rPr>
        <w:t xml:space="preserve">Verificada la información remitida por el proponente, la entidad debe definir si rechaza o no la oferta. En la «Guía para el manejo de ofertas artificialmente bajas en Procesos de Contratación», </w:t>
      </w:r>
      <w:r>
        <w:rPr>
          <w:rFonts w:ascii="Arial" w:eastAsiaTheme="minorHAnsi" w:hAnsi="Arial" w:cs="Arial"/>
          <w:sz w:val="22"/>
          <w:szCs w:val="22"/>
          <w:lang w:val="es-ES" w:eastAsia="en-US"/>
        </w:rPr>
        <w:t>se</w:t>
      </w:r>
      <w:r w:rsidRPr="00545FF9">
        <w:rPr>
          <w:rFonts w:ascii="Arial" w:hAnsi="Arial" w:cs="Arial"/>
          <w:sz w:val="22"/>
        </w:rPr>
        <w:t xml:space="preserve"> </w:t>
      </w:r>
      <w:r w:rsidRPr="00545FF9">
        <w:rPr>
          <w:rFonts w:ascii="Arial" w:eastAsiaTheme="minorHAnsi" w:hAnsi="Arial" w:cs="Arial"/>
          <w:sz w:val="22"/>
          <w:szCs w:val="22"/>
          <w:lang w:val="es-ES" w:eastAsia="en-US"/>
        </w:rPr>
        <w:t xml:space="preserve">precisó que se debe rechazar la propuesta en los siguientes eventos: i) «el proponente no presenta por escrito a la entidad estatal la aclaración de la oferta»; </w:t>
      </w:r>
      <w:proofErr w:type="spellStart"/>
      <w:r w:rsidRPr="00545FF9">
        <w:rPr>
          <w:rFonts w:ascii="Arial" w:eastAsiaTheme="minorHAnsi" w:hAnsi="Arial" w:cs="Arial"/>
          <w:sz w:val="22"/>
          <w:szCs w:val="22"/>
          <w:lang w:val="es-ES" w:eastAsia="en-US"/>
        </w:rPr>
        <w:t>ii</w:t>
      </w:r>
      <w:proofErr w:type="spellEnd"/>
      <w:r w:rsidRPr="00545FF9">
        <w:rPr>
          <w:rFonts w:ascii="Arial" w:eastAsiaTheme="minorHAnsi" w:hAnsi="Arial" w:cs="Arial"/>
          <w:sz w:val="22"/>
          <w:szCs w:val="22"/>
          <w:lang w:val="es-ES" w:eastAsia="en-US"/>
        </w:rPr>
        <w:t xml:space="preserve">) «el proponente no envía parte o la totalidad de la información solicitada por la entidad estatal»; </w:t>
      </w:r>
      <w:proofErr w:type="spellStart"/>
      <w:r w:rsidRPr="00545FF9">
        <w:rPr>
          <w:rFonts w:ascii="Arial" w:eastAsiaTheme="minorHAnsi" w:hAnsi="Arial" w:cs="Arial"/>
          <w:sz w:val="22"/>
          <w:szCs w:val="22"/>
          <w:lang w:val="es-ES" w:eastAsia="en-US"/>
        </w:rPr>
        <w:t>iii</w:t>
      </w:r>
      <w:proofErr w:type="spellEnd"/>
      <w:r w:rsidRPr="00545FF9">
        <w:rPr>
          <w:rFonts w:ascii="Arial" w:eastAsiaTheme="minorHAnsi" w:hAnsi="Arial" w:cs="Arial"/>
          <w:sz w:val="22"/>
          <w:szCs w:val="22"/>
          <w:lang w:val="es-ES" w:eastAsia="en-US"/>
        </w:rPr>
        <w:t xml:space="preserve">) «las aclaraciones del proponente no son satisfactorias para garantizar la sostenibilidad de la oferta durante la ejecución del contrato»; y </w:t>
      </w:r>
      <w:proofErr w:type="spellStart"/>
      <w:r w:rsidRPr="00545FF9">
        <w:rPr>
          <w:rFonts w:ascii="Arial" w:eastAsiaTheme="minorHAnsi" w:hAnsi="Arial" w:cs="Arial"/>
          <w:sz w:val="22"/>
          <w:szCs w:val="22"/>
          <w:lang w:val="es-ES" w:eastAsia="en-US"/>
        </w:rPr>
        <w:t>iv</w:t>
      </w:r>
      <w:proofErr w:type="spellEnd"/>
      <w:r w:rsidRPr="00545FF9">
        <w:rPr>
          <w:rFonts w:ascii="Arial" w:eastAsiaTheme="minorHAnsi" w:hAnsi="Arial" w:cs="Arial"/>
          <w:sz w:val="22"/>
          <w:szCs w:val="22"/>
          <w:lang w:val="es-ES" w:eastAsia="en-US"/>
        </w:rPr>
        <w:t>) «las aclaraciones del proponente no desvirtúan la teoría de que está utilizando su oferta como parte de una estrategia colusoria o […] anticompetitiva durante el proceso de selección». Esto, claro está, sin perjuicio de los eventos señalados en la Sección VII de la Guía, los cuales, de todos modos, son criterios orientadores para las entidades públicas y no «causales de rechazo» en estricto sentido.</w:t>
      </w:r>
    </w:p>
    <w:p w14:paraId="4010DD81" w14:textId="59724E6C" w:rsidR="002B2434" w:rsidRDefault="002B2434" w:rsidP="00F24330">
      <w:pPr>
        <w:pStyle w:val="NormalWeb"/>
        <w:spacing w:before="0" w:beforeAutospacing="0" w:after="0" w:afterAutospacing="0" w:line="276" w:lineRule="auto"/>
        <w:ind w:firstLine="709"/>
        <w:jc w:val="both"/>
        <w:rPr>
          <w:rFonts w:ascii="Arial" w:eastAsiaTheme="minorHAnsi" w:hAnsi="Arial" w:cs="Arial"/>
          <w:sz w:val="22"/>
          <w:szCs w:val="22"/>
          <w:lang w:val="es-ES" w:eastAsia="en-US"/>
        </w:rPr>
      </w:pPr>
      <w:r>
        <w:rPr>
          <w:rFonts w:ascii="Arial" w:eastAsiaTheme="minorHAnsi" w:hAnsi="Arial" w:cs="Arial"/>
          <w:sz w:val="22"/>
          <w:szCs w:val="22"/>
          <w:lang w:val="es-ES" w:eastAsia="en-US"/>
        </w:rPr>
        <w:t xml:space="preserve">Finalmente, respecto de la aplicación del procedimiento descrito para el manejo de las ofertas cuyos precios parecen artificialmente bajos, la condición para que una oferta se trate según los pasos señalados, es que su precio pueda ser artificialmente bajo, esto quiere decir que no todas las ofertas deben tener un manejo de acuerdo con el procedimiento citado, sino solo las identificadas por sus «precios artificialmente bajos», y que requieran aclaraciones respecto de la sostenibilidad. Lo anterior es así no porque la </w:t>
      </w:r>
      <w:r>
        <w:rPr>
          <w:rFonts w:ascii="Arial" w:eastAsiaTheme="minorHAnsi" w:hAnsi="Arial" w:cs="Arial"/>
          <w:sz w:val="22"/>
          <w:szCs w:val="22"/>
          <w:lang w:val="es-ES" w:eastAsia="en-US"/>
        </w:rPr>
        <w:lastRenderedPageBreak/>
        <w:t xml:space="preserve">Guía lo señale, ya que esta es una aplicación del Decreto 1082 de 2015, que es obligatorio para las entidades que se rigen por la Ley 80 de 1993, y en ese sentido deben cumplir el reglamento, que dispone que la entidad debe requerir al oferente que presentó valores que parecen artificialmente bajos, es decir, debe solicitar explicaciones a todas las ofertas que cumplan esa condición, sin que exista excepción. </w:t>
      </w:r>
    </w:p>
    <w:p w14:paraId="620E772D" w14:textId="77777777" w:rsidR="002B2434" w:rsidRPr="00F855D1" w:rsidRDefault="002B2434" w:rsidP="00F24330">
      <w:pPr>
        <w:pStyle w:val="NormalWeb"/>
        <w:spacing w:before="0" w:beforeAutospacing="0" w:after="0" w:afterAutospacing="0" w:line="276" w:lineRule="auto"/>
        <w:ind w:firstLine="708"/>
        <w:jc w:val="both"/>
        <w:rPr>
          <w:rFonts w:ascii="Arial" w:eastAsiaTheme="minorHAnsi" w:hAnsi="Arial" w:cs="Arial"/>
          <w:color w:val="000000" w:themeColor="text1"/>
          <w:sz w:val="20"/>
          <w:szCs w:val="20"/>
          <w:lang w:val="es-ES" w:eastAsia="en-US"/>
        </w:rPr>
      </w:pPr>
    </w:p>
    <w:p w14:paraId="5FFEE6F7" w14:textId="0DEF39FE" w:rsidR="002B2434" w:rsidRPr="004503EE" w:rsidRDefault="002B2434" w:rsidP="00F24330">
      <w:pPr>
        <w:tabs>
          <w:tab w:val="left" w:pos="0"/>
        </w:tabs>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3. </w:t>
      </w:r>
      <w:r w:rsidRPr="004503EE">
        <w:rPr>
          <w:rFonts w:ascii="Arial" w:eastAsia="Calibri" w:hAnsi="Arial" w:cs="Arial"/>
          <w:b/>
          <w:color w:val="000000" w:themeColor="text1"/>
          <w:sz w:val="22"/>
          <w:lang w:val="es-ES"/>
        </w:rPr>
        <w:t>Respuesta</w:t>
      </w:r>
    </w:p>
    <w:p w14:paraId="50EF87F7" w14:textId="77777777" w:rsidR="002B2434" w:rsidRPr="00F855D1" w:rsidRDefault="002B2434" w:rsidP="00F24330">
      <w:pPr>
        <w:tabs>
          <w:tab w:val="left" w:pos="0"/>
        </w:tabs>
        <w:spacing w:line="276" w:lineRule="auto"/>
        <w:jc w:val="both"/>
        <w:rPr>
          <w:rFonts w:ascii="Arial" w:eastAsia="Calibri" w:hAnsi="Arial" w:cs="Arial"/>
          <w:color w:val="000000" w:themeColor="text1"/>
          <w:sz w:val="20"/>
          <w:szCs w:val="20"/>
          <w:lang w:val="es-ES"/>
        </w:rPr>
      </w:pPr>
    </w:p>
    <w:p w14:paraId="7CA2E7B6" w14:textId="35AFAD84" w:rsidR="002B2434" w:rsidRPr="001F5964" w:rsidRDefault="00CF59F3" w:rsidP="002B2434">
      <w:pPr>
        <w:tabs>
          <w:tab w:val="left" w:pos="426"/>
        </w:tabs>
        <w:ind w:left="709" w:right="758"/>
        <w:jc w:val="both"/>
        <w:rPr>
          <w:rFonts w:ascii="Arial" w:eastAsia="Calibri" w:hAnsi="Arial" w:cs="Arial"/>
          <w:color w:val="000000" w:themeColor="text1"/>
          <w:sz w:val="21"/>
          <w:szCs w:val="21"/>
        </w:rPr>
      </w:pPr>
      <w:r w:rsidRPr="00CF59F3">
        <w:rPr>
          <w:rFonts w:ascii="Arial" w:eastAsia="Calibri" w:hAnsi="Arial" w:cs="Arial"/>
          <w:color w:val="000000" w:themeColor="text1"/>
          <w:sz w:val="21"/>
          <w:szCs w:val="21"/>
        </w:rPr>
        <w:t>«[…] En la "Guía Para el Manejo de Ofertas Artificialmente Bajas en Procesos de Contratación", ¿Para calcular la desviación estándar de precios en un proceso de contratación, la entidad contratante debe tomar en cuenta únicamente el valor de cada una de las propuestas habilitadas o debe tomar en cuenta el valor de cada una de las propuestas presentadas? […]»</w:t>
      </w:r>
    </w:p>
    <w:p w14:paraId="10A01C58" w14:textId="77777777" w:rsidR="002B2434" w:rsidRPr="00F855D1" w:rsidRDefault="002B2434" w:rsidP="002B2434">
      <w:pPr>
        <w:tabs>
          <w:tab w:val="left" w:pos="426"/>
        </w:tabs>
        <w:ind w:right="758"/>
        <w:jc w:val="both"/>
        <w:rPr>
          <w:rFonts w:ascii="Arial" w:eastAsia="Calibri" w:hAnsi="Arial" w:cs="Arial"/>
          <w:color w:val="000000" w:themeColor="text1"/>
          <w:sz w:val="21"/>
          <w:szCs w:val="21"/>
        </w:rPr>
      </w:pPr>
    </w:p>
    <w:p w14:paraId="696C0CBF" w14:textId="52EF8155" w:rsidR="002B2434" w:rsidRDefault="002B2434" w:rsidP="002B2434">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la Guía de Colombia Compra Eficiente, </w:t>
      </w:r>
      <w:r w:rsidRPr="00AC3891">
        <w:rPr>
          <w:rFonts w:ascii="Arial" w:eastAsia="Calibri" w:hAnsi="Arial" w:cs="Arial"/>
          <w:color w:val="000000" w:themeColor="text1"/>
          <w:sz w:val="22"/>
          <w:lang w:val="es-ES"/>
        </w:rPr>
        <w:t>existen dos (2) «herramientas» y una (1) «metodología», que se debe</w:t>
      </w:r>
      <w:r w:rsidR="00732B31">
        <w:rPr>
          <w:rFonts w:ascii="Arial" w:eastAsia="Calibri" w:hAnsi="Arial" w:cs="Arial"/>
          <w:color w:val="000000" w:themeColor="text1"/>
          <w:sz w:val="22"/>
          <w:lang w:val="es-ES"/>
        </w:rPr>
        <w:t>n</w:t>
      </w:r>
      <w:r w:rsidRPr="00AC3891">
        <w:rPr>
          <w:rFonts w:ascii="Arial" w:eastAsia="Calibri" w:hAnsi="Arial" w:cs="Arial"/>
          <w:color w:val="000000" w:themeColor="text1"/>
          <w:sz w:val="22"/>
          <w:lang w:val="es-ES"/>
        </w:rPr>
        <w:t xml:space="preserve"> aplicar a todas las ofertas, ya que así lo establece la Guía, sin excepciones. Pero para identificar la oferta</w:t>
      </w:r>
      <w:r w:rsidR="00EE4A9A">
        <w:rPr>
          <w:rFonts w:ascii="Arial" w:eastAsia="Calibri" w:hAnsi="Arial" w:cs="Arial"/>
          <w:color w:val="000000" w:themeColor="text1"/>
          <w:sz w:val="22"/>
          <w:lang w:val="es-ES"/>
        </w:rPr>
        <w:t xml:space="preserve"> con precios artificialmente bajos</w:t>
      </w:r>
      <w:r w:rsidRPr="00AC3891">
        <w:rPr>
          <w:rFonts w:ascii="Arial" w:eastAsia="Calibri" w:hAnsi="Arial" w:cs="Arial"/>
          <w:color w:val="000000" w:themeColor="text1"/>
          <w:sz w:val="22"/>
          <w:lang w:val="es-ES"/>
        </w:rPr>
        <w:t xml:space="preserve"> no siempre se requieren las demás ofertas, como en la comparación absoluta, donde cada oferta se analiza respecto del valor señalado en el estudio del sector, sin incluir las otras ofertas del procedimiento. </w:t>
      </w:r>
      <w:r w:rsidR="00732B31">
        <w:rPr>
          <w:rFonts w:ascii="Arial" w:eastAsia="Calibri" w:hAnsi="Arial" w:cs="Arial"/>
          <w:color w:val="000000" w:themeColor="text1"/>
          <w:sz w:val="22"/>
          <w:lang w:val="es-ES"/>
        </w:rPr>
        <w:t>En la metodología de la Guía, donde uno de los pasos es calcular la desviación estándar</w:t>
      </w:r>
      <w:r w:rsidR="00E74966">
        <w:rPr>
          <w:rFonts w:ascii="Arial" w:eastAsia="Calibri" w:hAnsi="Arial" w:cs="Arial"/>
          <w:color w:val="000000" w:themeColor="text1"/>
          <w:sz w:val="22"/>
          <w:lang w:val="es-ES"/>
        </w:rPr>
        <w:t xml:space="preserve">, también se aplica </w:t>
      </w:r>
      <w:r w:rsidR="00AA569B">
        <w:rPr>
          <w:rFonts w:ascii="Arial" w:eastAsia="Calibri" w:hAnsi="Arial" w:cs="Arial"/>
          <w:color w:val="000000" w:themeColor="text1"/>
          <w:sz w:val="22"/>
          <w:lang w:val="es-ES"/>
        </w:rPr>
        <w:t>lo señalado, es decir se tienen en cuenta todas las ofertas, de conformidad con lo expuesto en las consideraciones de este concepto.</w:t>
      </w:r>
    </w:p>
    <w:p w14:paraId="7131DEBD" w14:textId="77777777" w:rsidR="002B2434" w:rsidRPr="008B4C1B" w:rsidRDefault="002B2434" w:rsidP="002B2434">
      <w:pPr>
        <w:spacing w:line="276" w:lineRule="auto"/>
        <w:jc w:val="both"/>
        <w:rPr>
          <w:rFonts w:ascii="Arial" w:eastAsia="Calibri" w:hAnsi="Arial" w:cs="Arial"/>
          <w:color w:val="000000" w:themeColor="text1"/>
          <w:sz w:val="22"/>
          <w:lang w:val="es-ES"/>
        </w:rPr>
      </w:pPr>
    </w:p>
    <w:p w14:paraId="213AF352" w14:textId="77777777" w:rsidR="002B2434" w:rsidRPr="008B4C1B" w:rsidRDefault="002B2434" w:rsidP="002B2434">
      <w:pPr>
        <w:spacing w:line="276" w:lineRule="auto"/>
        <w:jc w:val="both"/>
        <w:rPr>
          <w:rFonts w:ascii="Arial" w:eastAsia="Calibri" w:hAnsi="Arial" w:cs="Arial"/>
          <w:color w:val="000000" w:themeColor="text1"/>
          <w:sz w:val="22"/>
          <w:lang w:val="es-ES"/>
        </w:rPr>
      </w:pPr>
    </w:p>
    <w:p w14:paraId="6D955199" w14:textId="77777777" w:rsidR="002B2434" w:rsidRPr="00545FF9" w:rsidRDefault="002B2434" w:rsidP="002B2434">
      <w:pPr>
        <w:spacing w:line="276" w:lineRule="auto"/>
        <w:jc w:val="both"/>
        <w:rPr>
          <w:rFonts w:ascii="Arial" w:hAnsi="Arial" w:cs="Arial"/>
          <w:sz w:val="22"/>
        </w:rPr>
      </w:pPr>
      <w:r w:rsidRPr="00545FF9">
        <w:rPr>
          <w:rFonts w:ascii="Arial" w:hAnsi="Arial" w:cs="Arial"/>
          <w:sz w:val="22"/>
        </w:rPr>
        <w:t>Este concepto tiene el alcance previsto en el artículo 28 del Código de Procedimiento Administrativo y de lo Contencioso Administrativo, modificado por el artículo 1 de la Ley 1755 de 2015.</w:t>
      </w:r>
    </w:p>
    <w:p w14:paraId="14685F5C" w14:textId="77777777" w:rsidR="002B2434" w:rsidRPr="00545FF9" w:rsidRDefault="002B2434" w:rsidP="002B2434">
      <w:pPr>
        <w:pStyle w:val="NormalWeb"/>
        <w:spacing w:before="0" w:beforeAutospacing="0" w:after="0" w:afterAutospacing="0" w:line="276" w:lineRule="auto"/>
        <w:jc w:val="both"/>
        <w:rPr>
          <w:rFonts w:ascii="Arial" w:hAnsi="Arial" w:cs="Arial"/>
          <w:sz w:val="16"/>
          <w:szCs w:val="16"/>
          <w:lang w:val="es-MX"/>
        </w:rPr>
      </w:pPr>
    </w:p>
    <w:p w14:paraId="031EFACE" w14:textId="77777777" w:rsidR="002B2434" w:rsidRPr="00545FF9" w:rsidRDefault="002B2434" w:rsidP="002B2434">
      <w:pPr>
        <w:pStyle w:val="NormalWeb"/>
        <w:spacing w:before="0" w:beforeAutospacing="0" w:after="0" w:afterAutospacing="0" w:line="276" w:lineRule="auto"/>
        <w:jc w:val="both"/>
        <w:rPr>
          <w:rFonts w:ascii="Arial" w:hAnsi="Arial" w:cs="Arial"/>
          <w:sz w:val="16"/>
          <w:szCs w:val="16"/>
          <w:lang w:val="es-MX"/>
        </w:rPr>
      </w:pPr>
    </w:p>
    <w:p w14:paraId="56887505" w14:textId="77777777" w:rsidR="002B2434" w:rsidRPr="00545FF9" w:rsidRDefault="002B2434" w:rsidP="002B2434">
      <w:pPr>
        <w:pStyle w:val="NormalWeb"/>
        <w:spacing w:before="0" w:beforeAutospacing="0" w:after="0" w:afterAutospacing="0" w:line="276" w:lineRule="auto"/>
        <w:jc w:val="both"/>
        <w:rPr>
          <w:rFonts w:ascii="Arial" w:hAnsi="Arial" w:cs="Arial"/>
          <w:sz w:val="22"/>
          <w:szCs w:val="22"/>
          <w:lang w:val="es-MX"/>
        </w:rPr>
      </w:pPr>
      <w:r w:rsidRPr="00545FF9">
        <w:rPr>
          <w:rFonts w:ascii="Arial" w:hAnsi="Arial" w:cs="Arial"/>
          <w:sz w:val="22"/>
          <w:szCs w:val="22"/>
          <w:lang w:val="es-MX"/>
        </w:rPr>
        <w:t>Atentamente,</w:t>
      </w:r>
    </w:p>
    <w:p w14:paraId="4BFE25E6" w14:textId="77777777" w:rsidR="002B2434" w:rsidRPr="00545FF9" w:rsidRDefault="002B2434" w:rsidP="002B2434">
      <w:pPr>
        <w:jc w:val="center"/>
        <w:rPr>
          <w:rFonts w:ascii="Arial" w:eastAsia="Times New Roman" w:hAnsi="Arial" w:cs="Arial"/>
          <w:sz w:val="18"/>
          <w:szCs w:val="20"/>
          <w:lang w:eastAsia="es-CO"/>
        </w:rPr>
      </w:pPr>
    </w:p>
    <w:p w14:paraId="7000B44E" w14:textId="412EFAEE" w:rsidR="002B2434" w:rsidRPr="00545FF9" w:rsidRDefault="00542A0F" w:rsidP="002B2434">
      <w:pPr>
        <w:jc w:val="center"/>
        <w:rPr>
          <w:rFonts w:ascii="Arial" w:eastAsia="Times New Roman" w:hAnsi="Arial" w:cs="Arial"/>
          <w:sz w:val="18"/>
          <w:szCs w:val="20"/>
          <w:lang w:eastAsia="es-CO"/>
        </w:rPr>
      </w:pPr>
      <w:r>
        <w:rPr>
          <w:noProof/>
        </w:rPr>
        <w:drawing>
          <wp:inline distT="0" distB="0" distL="0" distR="0" wp14:anchorId="425D633A" wp14:editId="13B4734D">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661206AD" w14:textId="77777777" w:rsidR="002B2434" w:rsidRPr="00545FF9" w:rsidRDefault="002B2434" w:rsidP="002B243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B2434" w:rsidRPr="00545FF9" w14:paraId="3DF79681" w14:textId="77777777" w:rsidTr="00255703">
        <w:trPr>
          <w:trHeight w:val="315"/>
        </w:trPr>
        <w:tc>
          <w:tcPr>
            <w:tcW w:w="812" w:type="dxa"/>
            <w:vAlign w:val="center"/>
            <w:hideMark/>
          </w:tcPr>
          <w:p w14:paraId="5C96FBE1"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49C932"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Ximena Ríos López</w:t>
            </w:r>
          </w:p>
          <w:p w14:paraId="54B85090"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Gestor T1-11</w:t>
            </w:r>
          </w:p>
        </w:tc>
      </w:tr>
      <w:tr w:rsidR="002B2434" w:rsidRPr="00545FF9" w14:paraId="35B56876" w14:textId="77777777" w:rsidTr="00255703">
        <w:trPr>
          <w:trHeight w:val="330"/>
        </w:trPr>
        <w:tc>
          <w:tcPr>
            <w:tcW w:w="812" w:type="dxa"/>
            <w:vAlign w:val="center"/>
            <w:hideMark/>
          </w:tcPr>
          <w:p w14:paraId="5E55A5CF"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C6D2F7"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Fabián Gonzalo Marín Cortés</w:t>
            </w:r>
          </w:p>
          <w:p w14:paraId="6497FC42"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Subdirector de Gestión Contractual</w:t>
            </w:r>
          </w:p>
        </w:tc>
      </w:tr>
      <w:tr w:rsidR="002B2434" w:rsidRPr="00545FF9" w14:paraId="3BA0BF3F" w14:textId="77777777" w:rsidTr="00255703">
        <w:trPr>
          <w:trHeight w:val="300"/>
        </w:trPr>
        <w:tc>
          <w:tcPr>
            <w:tcW w:w="812" w:type="dxa"/>
            <w:vAlign w:val="center"/>
            <w:hideMark/>
          </w:tcPr>
          <w:p w14:paraId="0B7553B5"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8FC41"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Fabián Gonzalo Marín Cortés</w:t>
            </w:r>
          </w:p>
          <w:p w14:paraId="6C92179C" w14:textId="77777777" w:rsidR="002B2434" w:rsidRPr="00545FF9" w:rsidRDefault="002B2434" w:rsidP="00255703">
            <w:pPr>
              <w:rPr>
                <w:rFonts w:ascii="Arial" w:eastAsia="Times New Roman" w:hAnsi="Arial" w:cs="Arial"/>
                <w:sz w:val="16"/>
                <w:szCs w:val="16"/>
                <w:lang w:eastAsia="es-ES"/>
              </w:rPr>
            </w:pPr>
            <w:r w:rsidRPr="00545FF9">
              <w:rPr>
                <w:rFonts w:ascii="Arial" w:eastAsia="Times New Roman" w:hAnsi="Arial" w:cs="Arial"/>
                <w:sz w:val="16"/>
                <w:szCs w:val="16"/>
                <w:lang w:eastAsia="es-ES"/>
              </w:rPr>
              <w:t>Subdirector de Gestión Contractual</w:t>
            </w:r>
          </w:p>
        </w:tc>
      </w:tr>
    </w:tbl>
    <w:p w14:paraId="20D5AC3B" w14:textId="77777777" w:rsidR="002B2434" w:rsidRPr="00545FF9" w:rsidRDefault="002B2434" w:rsidP="002B2434">
      <w:pPr>
        <w:rPr>
          <w:rFonts w:ascii="Arial" w:eastAsia="Times New Roman" w:hAnsi="Arial" w:cs="Arial"/>
          <w:sz w:val="16"/>
          <w:szCs w:val="16"/>
          <w:lang w:eastAsia="es-ES"/>
        </w:rPr>
      </w:pPr>
    </w:p>
    <w:p w14:paraId="403D0CD4" w14:textId="77777777" w:rsidR="002B2434" w:rsidRPr="00F855D1" w:rsidRDefault="002B2434" w:rsidP="002B2434">
      <w:pPr>
        <w:spacing w:line="276" w:lineRule="auto"/>
        <w:jc w:val="both"/>
        <w:rPr>
          <w:rFonts w:ascii="Arial" w:eastAsia="Times New Roman" w:hAnsi="Arial" w:cs="Arial"/>
          <w:color w:val="000000" w:themeColor="text1"/>
          <w:sz w:val="16"/>
          <w:szCs w:val="16"/>
          <w:lang w:eastAsia="es-ES"/>
        </w:rPr>
      </w:pPr>
    </w:p>
    <w:bookmarkEnd w:id="3"/>
    <w:p w14:paraId="7EBF297E" w14:textId="77777777" w:rsidR="007B0854" w:rsidRPr="002B2434" w:rsidRDefault="007B0854" w:rsidP="002B2434"/>
    <w:sectPr w:rsidR="007B0854" w:rsidRPr="002B2434"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959AD6" w14:textId="77777777" w:rsidR="002959C9" w:rsidRDefault="002959C9">
      <w:r>
        <w:separator/>
      </w:r>
    </w:p>
  </w:endnote>
  <w:endnote w:type="continuationSeparator" w:id="0">
    <w:p w14:paraId="45ABBEB1" w14:textId="77777777" w:rsidR="002959C9" w:rsidRDefault="00295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53AE529" w:rsidP="007B0854">
    <w:pPr>
      <w:pStyle w:val="Piedepgina"/>
      <w:jc w:val="center"/>
      <w:rPr>
        <w:lang w:val="es-ES"/>
      </w:rPr>
    </w:pPr>
    <w:r>
      <w:rPr>
        <w:noProof/>
      </w:rPr>
      <w:drawing>
        <wp:inline distT="0" distB="0" distL="0" distR="0" wp14:anchorId="608B196D" wp14:editId="2F407531">
          <wp:extent cx="4241994" cy="595165"/>
          <wp:effectExtent l="0" t="0" r="6350" b="0"/>
          <wp:docPr id="14139441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93FDE" w14:textId="77777777" w:rsidR="002959C9" w:rsidRDefault="002959C9">
      <w:r>
        <w:separator/>
      </w:r>
    </w:p>
  </w:footnote>
  <w:footnote w:type="continuationSeparator" w:id="0">
    <w:p w14:paraId="5DA70A36" w14:textId="77777777" w:rsidR="002959C9" w:rsidRDefault="002959C9">
      <w:r>
        <w:continuationSeparator/>
      </w:r>
    </w:p>
  </w:footnote>
  <w:footnote w:id="1">
    <w:p w14:paraId="5B94586E"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Consejo de Estado. Sección Tercera. Sentencia del 4 de junio de 2008. Exp. No. 17.783. C.P. Myriam Guerrero de Escobar.</w:t>
      </w:r>
    </w:p>
    <w:p w14:paraId="65115F7B" w14:textId="77777777" w:rsidR="002B2434" w:rsidRPr="009E3906" w:rsidRDefault="002B2434" w:rsidP="002B2434">
      <w:pPr>
        <w:pStyle w:val="Textonotapie"/>
        <w:ind w:firstLine="708"/>
        <w:jc w:val="both"/>
        <w:rPr>
          <w:rFonts w:ascii="Arial" w:hAnsi="Arial" w:cs="Arial"/>
          <w:sz w:val="19"/>
          <w:szCs w:val="19"/>
          <w:lang w:val="es-ES"/>
        </w:rPr>
      </w:pPr>
    </w:p>
  </w:footnote>
  <w:footnote w:id="2">
    <w:p w14:paraId="6688E49F" w14:textId="77777777" w:rsidR="002B2434" w:rsidRPr="009E3906" w:rsidRDefault="002B2434" w:rsidP="002B2434">
      <w:pPr>
        <w:pStyle w:val="Textonotapie"/>
        <w:ind w:firstLine="708"/>
        <w:jc w:val="both"/>
        <w:rPr>
          <w:rFonts w:ascii="Arial" w:eastAsia="Times New Roman" w:hAnsi="Arial" w:cs="Arial"/>
          <w:sz w:val="19"/>
          <w:szCs w:val="19"/>
          <w:lang w:val="es-CO"/>
        </w:rPr>
      </w:pPr>
      <w:r w:rsidRPr="009E3906">
        <w:rPr>
          <w:rStyle w:val="Refdenotaalpie"/>
          <w:rFonts w:ascii="Arial" w:hAnsi="Arial" w:cs="Arial"/>
          <w:sz w:val="19"/>
          <w:szCs w:val="19"/>
        </w:rPr>
        <w:footnoteRef/>
      </w:r>
      <w:r w:rsidRPr="009E3906">
        <w:rPr>
          <w:rFonts w:ascii="Arial" w:hAnsi="Arial" w:cs="Arial"/>
          <w:sz w:val="19"/>
          <w:szCs w:val="19"/>
        </w:rPr>
        <w:t xml:space="preserve"> </w:t>
      </w:r>
      <w:r w:rsidRPr="009E3906">
        <w:rPr>
          <w:rFonts w:ascii="Arial" w:eastAsia="Times New Roman" w:hAnsi="Arial" w:cs="Arial"/>
          <w:sz w:val="19"/>
          <w:szCs w:val="19"/>
          <w:lang w:val="es-CO"/>
        </w:rPr>
        <w:t>Ley 80 de 1993: «Artículo 26. Del Principio de Responsabilidad. En virtud de este principio:</w:t>
      </w:r>
    </w:p>
    <w:p w14:paraId="2CB79A07" w14:textId="77777777" w:rsidR="002B2434" w:rsidRPr="009E3906" w:rsidRDefault="002B2434" w:rsidP="002B2434">
      <w:pPr>
        <w:pStyle w:val="Textonotapie"/>
        <w:jc w:val="both"/>
        <w:rPr>
          <w:rFonts w:ascii="Arial" w:eastAsia="Times New Roman" w:hAnsi="Arial" w:cs="Arial"/>
          <w:sz w:val="19"/>
          <w:szCs w:val="19"/>
          <w:lang w:val="es-CO"/>
        </w:rPr>
      </w:pPr>
      <w:r w:rsidRPr="009E3906">
        <w:rPr>
          <w:rFonts w:ascii="Arial" w:eastAsia="Times New Roman" w:hAnsi="Arial" w:cs="Arial"/>
          <w:sz w:val="19"/>
          <w:szCs w:val="19"/>
          <w:lang w:val="es-CO"/>
        </w:rPr>
        <w:tab/>
        <w:t>»[…]</w:t>
      </w:r>
    </w:p>
    <w:p w14:paraId="1A9CD876" w14:textId="77777777" w:rsidR="002B2434" w:rsidRPr="009E3906" w:rsidRDefault="002B2434" w:rsidP="002B2434">
      <w:pPr>
        <w:pStyle w:val="Textonotapie"/>
        <w:ind w:firstLine="708"/>
        <w:jc w:val="both"/>
        <w:rPr>
          <w:rFonts w:ascii="Arial" w:eastAsia="Times New Roman" w:hAnsi="Arial" w:cs="Arial"/>
          <w:sz w:val="19"/>
          <w:szCs w:val="19"/>
          <w:lang w:val="es-CO"/>
        </w:rPr>
      </w:pPr>
      <w:r w:rsidRPr="009E3906">
        <w:rPr>
          <w:rFonts w:ascii="Arial" w:eastAsia="Times New Roman" w:hAnsi="Arial" w:cs="Arial"/>
          <w:sz w:val="19"/>
          <w:szCs w:val="19"/>
          <w:lang w:val="es-CO"/>
        </w:rPr>
        <w:t>»6. Los contratistas responderán cuando formulen propuestas en las que se fijen condiciones económicas y de contratación artificialmente bajas con el propósito de obtener la adjudicación del contrato».</w:t>
      </w:r>
    </w:p>
    <w:p w14:paraId="0E28D926" w14:textId="77777777" w:rsidR="002B2434" w:rsidRPr="009E3906" w:rsidRDefault="002B2434" w:rsidP="002B2434">
      <w:pPr>
        <w:pStyle w:val="Textonotapie"/>
        <w:jc w:val="both"/>
        <w:rPr>
          <w:rFonts w:ascii="Arial" w:hAnsi="Arial" w:cs="Arial"/>
          <w:sz w:val="19"/>
          <w:szCs w:val="19"/>
          <w:lang w:val="es-CO"/>
        </w:rPr>
      </w:pPr>
    </w:p>
  </w:footnote>
  <w:footnote w:id="3">
    <w:p w14:paraId="501F35B6"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1082 de 2015: </w:t>
      </w:r>
      <w:r w:rsidRPr="009E3906">
        <w:rPr>
          <w:rFonts w:ascii="Arial" w:eastAsia="Times New Roman" w:hAnsi="Arial" w:cs="Arial"/>
          <w:sz w:val="19"/>
          <w:szCs w:val="19"/>
          <w:lang w:val="es-CO"/>
        </w:rPr>
        <w:t>«</w:t>
      </w:r>
      <w:r w:rsidRPr="009E3906">
        <w:rPr>
          <w:rFonts w:ascii="Arial" w:hAnsi="Arial" w:cs="Arial"/>
          <w:sz w:val="19"/>
          <w:szCs w:val="19"/>
        </w:rPr>
        <w:t>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585C55B7" w14:textId="77777777" w:rsidR="002B2434" w:rsidRPr="009E3906" w:rsidRDefault="002B2434" w:rsidP="002B2434">
      <w:pPr>
        <w:pStyle w:val="Textonotapie"/>
        <w:ind w:firstLine="708"/>
        <w:jc w:val="both"/>
        <w:rPr>
          <w:rFonts w:ascii="Arial" w:hAnsi="Arial" w:cs="Arial"/>
          <w:sz w:val="19"/>
          <w:szCs w:val="19"/>
          <w:lang w:val="es-CO"/>
        </w:rPr>
      </w:pPr>
    </w:p>
  </w:footnote>
  <w:footnote w:id="4">
    <w:p w14:paraId="69513C13"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1082 de 2015: </w:t>
      </w:r>
      <w:r w:rsidRPr="009E3906">
        <w:rPr>
          <w:rFonts w:ascii="Arial" w:eastAsia="Times New Roman" w:hAnsi="Arial" w:cs="Arial"/>
          <w:sz w:val="19"/>
          <w:szCs w:val="19"/>
          <w:lang w:val="es-CO"/>
        </w:rPr>
        <w:t>«</w:t>
      </w:r>
      <w:r w:rsidRPr="009E3906">
        <w:rPr>
          <w:rFonts w:ascii="Arial" w:hAnsi="Arial" w:cs="Arial"/>
          <w:sz w:val="19"/>
          <w:szCs w:val="19"/>
        </w:rPr>
        <w:t>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6C7A82A3"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32F289F9"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»En la subasta inversa esta disposición es aplicable sobre el precio obtenido al final de la misma».</w:t>
      </w:r>
    </w:p>
    <w:p w14:paraId="1DA3D885" w14:textId="77777777" w:rsidR="002B2434" w:rsidRPr="009E3906" w:rsidRDefault="002B2434" w:rsidP="002B2434">
      <w:pPr>
        <w:pStyle w:val="Textonotapie"/>
        <w:ind w:firstLine="708"/>
        <w:jc w:val="both"/>
        <w:rPr>
          <w:rFonts w:ascii="Arial" w:hAnsi="Arial" w:cs="Arial"/>
          <w:sz w:val="19"/>
          <w:szCs w:val="19"/>
          <w:lang w:val="es-CO"/>
        </w:rPr>
      </w:pPr>
    </w:p>
  </w:footnote>
  <w:footnote w:id="5">
    <w:p w14:paraId="31B62F99"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1082 de 2015: </w:t>
      </w:r>
      <w:r w:rsidRPr="009E3906">
        <w:rPr>
          <w:rFonts w:ascii="Arial" w:eastAsia="Times New Roman" w:hAnsi="Arial" w:cs="Arial"/>
          <w:sz w:val="19"/>
          <w:szCs w:val="19"/>
          <w:lang w:val="es-CO"/>
        </w:rPr>
        <w:t>«</w:t>
      </w:r>
      <w:r w:rsidRPr="009E3906">
        <w:rPr>
          <w:rFonts w:ascii="Arial" w:hAnsi="Arial" w:cs="Arial"/>
          <w:sz w:val="19"/>
          <w:szCs w:val="19"/>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354CCCC9"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»Los miembros del comité evaluador están sujetos al régimen de inhabilidades e incompatibilidades y conflicto de interés previstos en la Constitución y la ley.</w:t>
      </w:r>
    </w:p>
    <w:p w14:paraId="5E590A71"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»La verificación y la evaluación de las ofertas para la mínima cuantía será adelantada por quien sea designado por el ordenador del gasto sin que se requiera un comité plural».</w:t>
      </w:r>
    </w:p>
    <w:p w14:paraId="18F27F93" w14:textId="77777777" w:rsidR="002B2434" w:rsidRPr="009E3906" w:rsidRDefault="002B2434" w:rsidP="002B2434">
      <w:pPr>
        <w:pStyle w:val="Textonotapie"/>
        <w:ind w:firstLine="708"/>
        <w:jc w:val="both"/>
        <w:rPr>
          <w:rFonts w:ascii="Arial" w:hAnsi="Arial" w:cs="Arial"/>
          <w:sz w:val="19"/>
          <w:szCs w:val="19"/>
          <w:lang w:val="es-ES"/>
        </w:rPr>
      </w:pPr>
    </w:p>
  </w:footnote>
  <w:footnote w:id="6">
    <w:p w14:paraId="2A14DACF"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Decreto 4170 de 2011: «Artículo 2. Objetivo de la Agencia Nacional de Contratación Pública </w:t>
      </w:r>
      <w:r w:rsidRPr="009E3906">
        <w:rPr>
          <w:rFonts w:ascii="Arial" w:hAnsi="Arial" w:cs="Arial"/>
          <w:sz w:val="19"/>
          <w:szCs w:val="19"/>
        </w:rPr>
        <w:softHyphen/>
        <w:t xml:space="preserve">Colombia Compra Eficiente-. La Agencia Nacional de Contratación Pública </w:t>
      </w:r>
      <w:r w:rsidRPr="009E3906">
        <w:rPr>
          <w:rFonts w:ascii="Arial" w:hAnsi="Arial" w:cs="Arial"/>
          <w:sz w:val="19"/>
          <w:szCs w:val="19"/>
        </w:rPr>
        <w:softHyphen/>
        <w:t xml:space="preserve">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p>
    <w:p w14:paraId="7D1AF7B6"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 xml:space="preserve">»Artículo 3. Funciones. La Agencia Nacional de Contratación Pública </w:t>
      </w:r>
      <w:r w:rsidRPr="009E3906">
        <w:rPr>
          <w:rFonts w:ascii="Arial" w:hAnsi="Arial" w:cs="Arial"/>
          <w:sz w:val="19"/>
          <w:szCs w:val="19"/>
        </w:rPr>
        <w:softHyphen/>
        <w:t xml:space="preserve"> Colombia Compra Eficiente- ejercerá las siguientes funciones:</w:t>
      </w:r>
    </w:p>
    <w:p w14:paraId="0E9DEA05"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»1. Proponer al Gobierno Nacional las políticas públicas, planes, programas y normas en materia de compras y contratación pública buscando la efectividad entre la oferta y la demanda en el mercado y criterios de racionalización normativa, con el fin de lograr una mayor eficiencia, transparencia y optimización de los recursos del Estado.</w:t>
      </w:r>
    </w:p>
    <w:p w14:paraId="5B2780AE"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»2.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p>
    <w:p w14:paraId="15807C43" w14:textId="77777777" w:rsidR="002B2434" w:rsidRPr="009E3906" w:rsidRDefault="002B2434" w:rsidP="002B2434">
      <w:pPr>
        <w:pStyle w:val="Textonotapie"/>
        <w:ind w:firstLine="708"/>
        <w:jc w:val="both"/>
        <w:rPr>
          <w:rFonts w:ascii="Arial" w:hAnsi="Arial" w:cs="Arial"/>
          <w:sz w:val="19"/>
          <w:szCs w:val="19"/>
        </w:rPr>
      </w:pPr>
      <w:r w:rsidRPr="009E3906">
        <w:rPr>
          <w:rFonts w:ascii="Arial" w:hAnsi="Arial" w:cs="Arial"/>
          <w:sz w:val="19"/>
          <w:szCs w:val="19"/>
        </w:rPr>
        <w:t>[...]».</w:t>
      </w:r>
    </w:p>
    <w:p w14:paraId="7D2BE323" w14:textId="77777777" w:rsidR="002B2434" w:rsidRPr="009E3906" w:rsidRDefault="002B2434" w:rsidP="002B2434">
      <w:pPr>
        <w:pStyle w:val="Textonotapie"/>
        <w:ind w:firstLine="708"/>
        <w:jc w:val="both"/>
        <w:rPr>
          <w:rFonts w:ascii="Arial" w:hAnsi="Arial" w:cs="Arial"/>
          <w:sz w:val="19"/>
          <w:szCs w:val="19"/>
          <w:lang w:val="es-ES"/>
        </w:rPr>
      </w:pPr>
    </w:p>
  </w:footnote>
  <w:footnote w:id="7">
    <w:p w14:paraId="17B5BCE3" w14:textId="77777777" w:rsidR="002B2434" w:rsidRPr="004D10EC" w:rsidRDefault="002B2434" w:rsidP="002B2434">
      <w:pPr>
        <w:pStyle w:val="Textonotapie"/>
        <w:ind w:firstLine="708"/>
        <w:rPr>
          <w:lang w:val="es-CO"/>
        </w:rPr>
      </w:pPr>
      <w:r>
        <w:rPr>
          <w:rStyle w:val="Refdenotaalpie"/>
        </w:rPr>
        <w:footnoteRef/>
      </w:r>
      <w:r>
        <w:t xml:space="preserve"> </w:t>
      </w:r>
      <w:r w:rsidRPr="009E3906">
        <w:rPr>
          <w:rFonts w:ascii="Arial" w:hAnsi="Arial" w:cs="Arial"/>
          <w:sz w:val="19"/>
          <w:szCs w:val="19"/>
        </w:rPr>
        <w:t>Colombia Compra Eficiente. Guía para el manejo de ofertas artificialmente bajas en Procesos de Contratación. p.</w:t>
      </w:r>
      <w:r>
        <w:rPr>
          <w:rFonts w:ascii="Arial" w:hAnsi="Arial" w:cs="Arial"/>
          <w:sz w:val="19"/>
          <w:szCs w:val="19"/>
        </w:rPr>
        <w:t xml:space="preserve"> 3</w:t>
      </w:r>
      <w:r w:rsidRPr="009E3906">
        <w:rPr>
          <w:rFonts w:ascii="Arial" w:hAnsi="Arial" w:cs="Arial"/>
          <w:sz w:val="19"/>
          <w:szCs w:val="19"/>
        </w:rPr>
        <w:t>.</w:t>
      </w:r>
    </w:p>
  </w:footnote>
  <w:footnote w:id="8">
    <w:p w14:paraId="321C1E04" w14:textId="77777777" w:rsidR="002B2434" w:rsidRDefault="002B2434" w:rsidP="002B2434">
      <w:pPr>
        <w:pStyle w:val="Textonotapie"/>
      </w:pPr>
    </w:p>
    <w:p w14:paraId="7BB85937" w14:textId="77777777" w:rsidR="002B2434" w:rsidRDefault="002B2434" w:rsidP="002B2434">
      <w:pPr>
        <w:pStyle w:val="Textonotapie"/>
        <w:ind w:firstLine="708"/>
        <w:rPr>
          <w:rFonts w:ascii="Arial" w:hAnsi="Arial" w:cs="Arial"/>
          <w:sz w:val="19"/>
          <w:szCs w:val="19"/>
        </w:rPr>
      </w:pPr>
      <w:r>
        <w:rPr>
          <w:rStyle w:val="Refdenotaalpie"/>
        </w:rPr>
        <w:footnoteRef/>
      </w:r>
      <w:r>
        <w:t xml:space="preserve"> </w:t>
      </w:r>
      <w:r w:rsidRPr="004D10EC">
        <w:rPr>
          <w:rFonts w:ascii="Arial" w:hAnsi="Arial" w:cs="Arial"/>
          <w:sz w:val="19"/>
          <w:szCs w:val="19"/>
        </w:rPr>
        <w:t>Ibidem</w:t>
      </w:r>
      <w:r>
        <w:rPr>
          <w:rFonts w:ascii="Arial" w:hAnsi="Arial" w:cs="Arial"/>
          <w:sz w:val="19"/>
          <w:szCs w:val="19"/>
        </w:rPr>
        <w:t>. p. 3.</w:t>
      </w:r>
    </w:p>
    <w:p w14:paraId="6A43840C" w14:textId="77777777" w:rsidR="002B2434" w:rsidRPr="004D10EC" w:rsidRDefault="002B2434" w:rsidP="002B2434">
      <w:pPr>
        <w:pStyle w:val="Textonotapie"/>
        <w:ind w:firstLine="708"/>
        <w:rPr>
          <w:lang w:val="es-CO"/>
        </w:rPr>
      </w:pPr>
    </w:p>
  </w:footnote>
  <w:footnote w:id="9">
    <w:p w14:paraId="3B2D9DF2"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La mediana representa el valor de la variable en posición central para un conjunto de datos ordenados.</w:t>
      </w:r>
    </w:p>
    <w:p w14:paraId="601121BB" w14:textId="77777777" w:rsidR="002B2434" w:rsidRPr="009E3906" w:rsidRDefault="002B2434" w:rsidP="002B2434">
      <w:pPr>
        <w:pStyle w:val="Textonotapie"/>
        <w:ind w:firstLine="708"/>
        <w:jc w:val="both"/>
        <w:rPr>
          <w:rFonts w:ascii="Arial" w:hAnsi="Arial" w:cs="Arial"/>
          <w:sz w:val="19"/>
          <w:szCs w:val="19"/>
          <w:lang w:val="es-ES"/>
        </w:rPr>
      </w:pPr>
    </w:p>
  </w:footnote>
  <w:footnote w:id="10">
    <w:p w14:paraId="0C47F474"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Colombia Compra Eficiente. Guía para el manejo de ofertas artificialmente bajas en Procesos de Contratación. p.5.</w:t>
      </w:r>
    </w:p>
    <w:p w14:paraId="3F79C0BC" w14:textId="77777777" w:rsidR="002B2434" w:rsidRPr="009E3906" w:rsidRDefault="002B2434" w:rsidP="002B2434">
      <w:pPr>
        <w:pStyle w:val="Textonotapie"/>
        <w:ind w:firstLine="708"/>
        <w:jc w:val="both"/>
        <w:rPr>
          <w:rFonts w:ascii="Arial" w:hAnsi="Arial" w:cs="Arial"/>
          <w:sz w:val="19"/>
          <w:szCs w:val="19"/>
          <w:lang w:val="es-ES"/>
        </w:rPr>
      </w:pPr>
    </w:p>
  </w:footnote>
  <w:footnote w:id="11">
    <w:p w14:paraId="3CE3C7C9" w14:textId="77777777" w:rsidR="002B2434" w:rsidRDefault="002B2434" w:rsidP="002B2434">
      <w:pPr>
        <w:pStyle w:val="Textonotapie"/>
        <w:ind w:firstLine="708"/>
        <w:rPr>
          <w:rFonts w:ascii="Arial" w:hAnsi="Arial" w:cs="Arial"/>
          <w:sz w:val="19"/>
          <w:szCs w:val="19"/>
        </w:rPr>
      </w:pPr>
      <w:r>
        <w:rPr>
          <w:rStyle w:val="Refdenotaalpie"/>
        </w:rPr>
        <w:footnoteRef/>
      </w:r>
      <w:r>
        <w:t xml:space="preserve"> </w:t>
      </w:r>
      <w:r w:rsidRPr="00F90124">
        <w:rPr>
          <w:rFonts w:ascii="Arial" w:hAnsi="Arial" w:cs="Arial"/>
          <w:sz w:val="19"/>
          <w:szCs w:val="19"/>
        </w:rPr>
        <w:t>Dicci</w:t>
      </w:r>
      <w:r>
        <w:rPr>
          <w:rFonts w:ascii="Arial" w:hAnsi="Arial" w:cs="Arial"/>
          <w:sz w:val="19"/>
          <w:szCs w:val="19"/>
        </w:rPr>
        <w:t xml:space="preserve">onario de la Real Academia de la Lengua Española: «Identificar: […] </w:t>
      </w:r>
      <w:r w:rsidRPr="00BD535F">
        <w:rPr>
          <w:rFonts w:ascii="Arial" w:hAnsi="Arial" w:cs="Arial"/>
          <w:sz w:val="19"/>
          <w:szCs w:val="19"/>
        </w:rPr>
        <w:t>2. tr. Reconocer si una persona o cosa es la misma que se supone o se busca.</w:t>
      </w:r>
    </w:p>
    <w:p w14:paraId="09743B8C" w14:textId="77777777" w:rsidR="002B2434" w:rsidRDefault="002B2434" w:rsidP="002B2434">
      <w:pPr>
        <w:pStyle w:val="Textonotapie"/>
        <w:ind w:firstLine="708"/>
        <w:rPr>
          <w:rFonts w:ascii="Arial" w:hAnsi="Arial" w:cs="Arial"/>
          <w:sz w:val="19"/>
          <w:szCs w:val="19"/>
        </w:rPr>
      </w:pPr>
      <w:r>
        <w:rPr>
          <w:rFonts w:ascii="Arial" w:hAnsi="Arial" w:cs="Arial"/>
          <w:sz w:val="19"/>
          <w:szCs w:val="19"/>
        </w:rPr>
        <w:t>[…]».</w:t>
      </w:r>
    </w:p>
    <w:p w14:paraId="4B1D0EF3" w14:textId="77777777" w:rsidR="002B2434" w:rsidRPr="00F90124" w:rsidRDefault="002B2434" w:rsidP="002B2434">
      <w:pPr>
        <w:pStyle w:val="Textonotapie"/>
        <w:ind w:firstLine="708"/>
        <w:rPr>
          <w:lang w:val="es-CO"/>
        </w:rPr>
      </w:pPr>
    </w:p>
  </w:footnote>
  <w:footnote w:id="12">
    <w:p w14:paraId="34D356BF"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w:t>
      </w:r>
      <w:r>
        <w:rPr>
          <w:rFonts w:ascii="Arial" w:hAnsi="Arial" w:cs="Arial"/>
          <w:sz w:val="19"/>
          <w:szCs w:val="19"/>
        </w:rPr>
        <w:t xml:space="preserve">Colombia Compra Eficiente. </w:t>
      </w:r>
      <w:r w:rsidRPr="009E3906">
        <w:rPr>
          <w:rFonts w:ascii="Arial" w:hAnsi="Arial" w:cs="Arial"/>
          <w:sz w:val="19"/>
          <w:szCs w:val="19"/>
        </w:rPr>
        <w:t xml:space="preserve">Guía para el manejo de ofertas artificialmente bajas en Procesos de Contratación. </w:t>
      </w:r>
      <w:r>
        <w:rPr>
          <w:rFonts w:ascii="Arial" w:hAnsi="Arial" w:cs="Arial"/>
          <w:sz w:val="19"/>
          <w:szCs w:val="19"/>
        </w:rPr>
        <w:t>p</w:t>
      </w:r>
      <w:r w:rsidRPr="009E3906">
        <w:rPr>
          <w:rFonts w:ascii="Arial" w:hAnsi="Arial" w:cs="Arial"/>
          <w:sz w:val="19"/>
          <w:szCs w:val="19"/>
        </w:rPr>
        <w:t>.7.</w:t>
      </w:r>
    </w:p>
    <w:p w14:paraId="2AB3A864" w14:textId="77777777" w:rsidR="002B2434" w:rsidRPr="009E3906" w:rsidRDefault="002B2434" w:rsidP="002B2434">
      <w:pPr>
        <w:pStyle w:val="Textonotapie"/>
        <w:ind w:firstLine="708"/>
        <w:jc w:val="both"/>
        <w:rPr>
          <w:rFonts w:ascii="Arial" w:hAnsi="Arial" w:cs="Arial"/>
          <w:sz w:val="19"/>
          <w:szCs w:val="19"/>
          <w:lang w:val="es-ES"/>
        </w:rPr>
      </w:pPr>
    </w:p>
  </w:footnote>
  <w:footnote w:id="13">
    <w:p w14:paraId="494FD759" w14:textId="77777777" w:rsidR="002B2434" w:rsidRPr="009E3906" w:rsidRDefault="002B2434" w:rsidP="002B2434">
      <w:pPr>
        <w:pStyle w:val="Textonotapie"/>
        <w:ind w:firstLine="708"/>
        <w:jc w:val="both"/>
        <w:rPr>
          <w:rFonts w:ascii="Arial" w:hAnsi="Arial" w:cs="Arial"/>
          <w:sz w:val="19"/>
          <w:szCs w:val="19"/>
          <w:lang w:val="es-ES"/>
        </w:rPr>
      </w:pPr>
      <w:r w:rsidRPr="009E3906">
        <w:rPr>
          <w:rStyle w:val="Refdenotaalpie"/>
          <w:rFonts w:ascii="Arial" w:hAnsi="Arial" w:cs="Arial"/>
          <w:sz w:val="19"/>
          <w:szCs w:val="19"/>
        </w:rPr>
        <w:footnoteRef/>
      </w:r>
      <w:r w:rsidRPr="009E3906">
        <w:rPr>
          <w:rFonts w:ascii="Arial" w:hAnsi="Arial" w:cs="Arial"/>
          <w:sz w:val="19"/>
          <w:szCs w:val="19"/>
        </w:rPr>
        <w:t xml:space="preserve"> </w:t>
      </w:r>
      <w:r w:rsidRPr="009E3906">
        <w:rPr>
          <w:rFonts w:ascii="Arial" w:hAnsi="Arial" w:cs="Arial"/>
          <w:sz w:val="19"/>
          <w:szCs w:val="19"/>
          <w:lang w:val="es-ES"/>
        </w:rPr>
        <w:t>Consejo de Estado. Sección Segunda. Sentencia del 10 de junio de 1992. Exp. No. 4.249. C.P. Álvaro Lecompte Luna.</w:t>
      </w:r>
    </w:p>
    <w:p w14:paraId="17055510" w14:textId="77777777" w:rsidR="002B2434" w:rsidRPr="009E3906" w:rsidRDefault="002B2434" w:rsidP="002B2434">
      <w:pPr>
        <w:pStyle w:val="Textonotapie"/>
        <w:ind w:firstLine="708"/>
        <w:jc w:val="both"/>
        <w:rPr>
          <w:rFonts w:ascii="Arial" w:hAnsi="Arial" w:cs="Arial"/>
          <w:sz w:val="19"/>
          <w:szCs w:val="19"/>
          <w:lang w:val="es-ES"/>
        </w:rPr>
      </w:pPr>
    </w:p>
  </w:footnote>
  <w:footnote w:id="14">
    <w:p w14:paraId="429D1796" w14:textId="77777777" w:rsidR="002B2434" w:rsidRPr="009E3906" w:rsidRDefault="002B2434" w:rsidP="002B2434">
      <w:pPr>
        <w:pStyle w:val="Textonotapie"/>
        <w:ind w:firstLine="708"/>
        <w:jc w:val="both"/>
        <w:rPr>
          <w:rFonts w:ascii="Arial" w:hAnsi="Arial" w:cs="Arial"/>
          <w:sz w:val="19"/>
          <w:szCs w:val="19"/>
        </w:rPr>
      </w:pPr>
      <w:r w:rsidRPr="009E3906">
        <w:rPr>
          <w:rStyle w:val="Refdenotaalpie"/>
          <w:rFonts w:ascii="Arial" w:hAnsi="Arial" w:cs="Arial"/>
          <w:sz w:val="19"/>
          <w:szCs w:val="19"/>
        </w:rPr>
        <w:footnoteRef/>
      </w:r>
      <w:r w:rsidRPr="009E3906">
        <w:rPr>
          <w:rFonts w:ascii="Arial" w:hAnsi="Arial" w:cs="Arial"/>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00574" w14:textId="7B3CE78C" w:rsidR="005A79FE" w:rsidRDefault="00542A0F">
    <w:pPr>
      <w:pStyle w:val="Encabezado"/>
    </w:pPr>
    <w:r>
      <w:rPr>
        <w:noProof/>
        <w:lang w:val="es-CO" w:eastAsia="es-CO"/>
      </w:rPr>
      <w:drawing>
        <wp:anchor distT="0" distB="0" distL="114300" distR="114300" simplePos="0" relativeHeight="251673600" behindDoc="1" locked="0" layoutInCell="1" allowOverlap="1" wp14:anchorId="1A706351" wp14:editId="7CDE4C6B">
          <wp:simplePos x="0" y="0"/>
          <wp:positionH relativeFrom="margin">
            <wp:align>right</wp:align>
          </wp:positionH>
          <wp:positionV relativeFrom="paragraph">
            <wp:posOffset>286937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0C75"/>
    <w:rsid w:val="00047F68"/>
    <w:rsid w:val="000942EB"/>
    <w:rsid w:val="000B103F"/>
    <w:rsid w:val="000F14E8"/>
    <w:rsid w:val="00103915"/>
    <w:rsid w:val="00104092"/>
    <w:rsid w:val="0012222E"/>
    <w:rsid w:val="00122B23"/>
    <w:rsid w:val="00137FFA"/>
    <w:rsid w:val="001A01ED"/>
    <w:rsid w:val="00234B84"/>
    <w:rsid w:val="00282A6C"/>
    <w:rsid w:val="002959C9"/>
    <w:rsid w:val="002B2434"/>
    <w:rsid w:val="003033BA"/>
    <w:rsid w:val="0034680A"/>
    <w:rsid w:val="00386456"/>
    <w:rsid w:val="003A581E"/>
    <w:rsid w:val="00403305"/>
    <w:rsid w:val="004422D6"/>
    <w:rsid w:val="00465757"/>
    <w:rsid w:val="00474AFD"/>
    <w:rsid w:val="004A34D2"/>
    <w:rsid w:val="004C3B80"/>
    <w:rsid w:val="0051074C"/>
    <w:rsid w:val="00513AF2"/>
    <w:rsid w:val="00542A0F"/>
    <w:rsid w:val="0054413A"/>
    <w:rsid w:val="005564CA"/>
    <w:rsid w:val="00571F49"/>
    <w:rsid w:val="005A79FE"/>
    <w:rsid w:val="005C18A5"/>
    <w:rsid w:val="0060305C"/>
    <w:rsid w:val="00655371"/>
    <w:rsid w:val="00697665"/>
    <w:rsid w:val="006A7FD0"/>
    <w:rsid w:val="006B1BE7"/>
    <w:rsid w:val="006D4EC5"/>
    <w:rsid w:val="006D7687"/>
    <w:rsid w:val="006E0572"/>
    <w:rsid w:val="00705631"/>
    <w:rsid w:val="00732B31"/>
    <w:rsid w:val="00742DD2"/>
    <w:rsid w:val="0075647A"/>
    <w:rsid w:val="007634AD"/>
    <w:rsid w:val="00773ADC"/>
    <w:rsid w:val="0078122E"/>
    <w:rsid w:val="007B0854"/>
    <w:rsid w:val="007F72CB"/>
    <w:rsid w:val="0083119B"/>
    <w:rsid w:val="00836EAB"/>
    <w:rsid w:val="0085092D"/>
    <w:rsid w:val="00875BA2"/>
    <w:rsid w:val="008E1C15"/>
    <w:rsid w:val="009047C5"/>
    <w:rsid w:val="0095385A"/>
    <w:rsid w:val="009A203F"/>
    <w:rsid w:val="009F0824"/>
    <w:rsid w:val="00A24560"/>
    <w:rsid w:val="00A310CB"/>
    <w:rsid w:val="00A34538"/>
    <w:rsid w:val="00A5402D"/>
    <w:rsid w:val="00A71696"/>
    <w:rsid w:val="00AA442B"/>
    <w:rsid w:val="00AA569B"/>
    <w:rsid w:val="00B22E22"/>
    <w:rsid w:val="00B32869"/>
    <w:rsid w:val="00B525CB"/>
    <w:rsid w:val="00B63CB2"/>
    <w:rsid w:val="00BD49C8"/>
    <w:rsid w:val="00BD78FE"/>
    <w:rsid w:val="00BE2F0E"/>
    <w:rsid w:val="00CA287E"/>
    <w:rsid w:val="00CC00CD"/>
    <w:rsid w:val="00CF59F3"/>
    <w:rsid w:val="00D16E39"/>
    <w:rsid w:val="00D42616"/>
    <w:rsid w:val="00D532B8"/>
    <w:rsid w:val="00D72E9D"/>
    <w:rsid w:val="00D82CE5"/>
    <w:rsid w:val="00DA5AB1"/>
    <w:rsid w:val="00DC62E5"/>
    <w:rsid w:val="00DD735D"/>
    <w:rsid w:val="00DE3119"/>
    <w:rsid w:val="00DF236B"/>
    <w:rsid w:val="00E129CD"/>
    <w:rsid w:val="00E13AB8"/>
    <w:rsid w:val="00E1532A"/>
    <w:rsid w:val="00E33B62"/>
    <w:rsid w:val="00E42794"/>
    <w:rsid w:val="00E570E8"/>
    <w:rsid w:val="00E74966"/>
    <w:rsid w:val="00EE4A9A"/>
    <w:rsid w:val="00F24330"/>
    <w:rsid w:val="00F53BED"/>
    <w:rsid w:val="00F70789"/>
    <w:rsid w:val="00F84899"/>
    <w:rsid w:val="00F859F0"/>
    <w:rsid w:val="00FD38DE"/>
    <w:rsid w:val="00FE141E"/>
    <w:rsid w:val="053AE529"/>
    <w:rsid w:val="629F60CE"/>
    <w:rsid w:val="6D62B44F"/>
    <w:rsid w:val="796D7D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Default">
    <w:name w:val="Default"/>
    <w:rsid w:val="00875BA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6B4A27-3400-4F9F-AA97-557EAC5E14A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4.xml><?xml version="1.0" encoding="utf-8"?>
<ds:datastoreItem xmlns:ds="http://schemas.openxmlformats.org/officeDocument/2006/customXml" ds:itemID="{F58974A7-D7FE-40EA-BCCB-6FEA38DF6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11</Pages>
  <Words>4108</Words>
  <Characters>22600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2020-07-30T00:36:00Z</dcterms:created>
  <dcterms:modified xsi:type="dcterms:W3CDTF">2020-08-10T20:36:00Z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