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37F3D" w14:textId="77777777" w:rsidR="00072A40" w:rsidRDefault="00072A40" w:rsidP="00072A40">
      <w:pPr>
        <w:spacing w:after="0" w:line="240" w:lineRule="auto"/>
        <w:jc w:val="both"/>
        <w:rPr>
          <w:rFonts w:ascii="Verdana" w:hAnsi="Verdana" w:cs="Arial"/>
          <w:b/>
          <w:bCs/>
          <w:color w:val="000000" w:themeColor="text1"/>
        </w:rPr>
      </w:pPr>
      <w:bookmarkStart w:id="0" w:name="_Hlk214366482"/>
      <w:bookmarkStart w:id="1" w:name="_Hlk143780582"/>
      <w:r w:rsidRPr="00BA16EC">
        <w:rPr>
          <w:rFonts w:ascii="Verdana" w:hAnsi="Verdana" w:cs="Arial"/>
          <w:b/>
          <w:bCs/>
          <w:color w:val="000000" w:themeColor="text1"/>
        </w:rPr>
        <w:t xml:space="preserve">LEY DE GARANTÍAS ELECTORALES – Propósito </w:t>
      </w:r>
    </w:p>
    <w:p w14:paraId="44B54112" w14:textId="77777777" w:rsidR="00072A40" w:rsidRDefault="00072A40" w:rsidP="00072A40">
      <w:pPr>
        <w:spacing w:after="0" w:line="240" w:lineRule="auto"/>
        <w:jc w:val="both"/>
        <w:rPr>
          <w:rFonts w:ascii="Verdana" w:hAnsi="Verdana" w:cs="Arial"/>
          <w:b/>
          <w:bCs/>
          <w:color w:val="000000" w:themeColor="text1"/>
        </w:rPr>
      </w:pPr>
    </w:p>
    <w:p w14:paraId="788E1764" w14:textId="77777777" w:rsidR="00072A40" w:rsidRPr="00BA16EC" w:rsidRDefault="00072A40" w:rsidP="00072A40">
      <w:pPr>
        <w:tabs>
          <w:tab w:val="left" w:pos="426"/>
        </w:tabs>
        <w:spacing w:after="0" w:line="240" w:lineRule="auto"/>
        <w:jc w:val="both"/>
        <w:rPr>
          <w:rFonts w:ascii="Verdana" w:eastAsia="Calibri" w:hAnsi="Verdana" w:cs="Arial"/>
          <w:noProof/>
          <w:sz w:val="20"/>
          <w:szCs w:val="20"/>
          <w:lang w:val="es-ES_tradnl"/>
        </w:rPr>
      </w:pPr>
      <w:r w:rsidRPr="00BA16EC">
        <w:rPr>
          <w:rFonts w:ascii="Verdana" w:hAnsi="Verdana" w:cs="Arial"/>
          <w:color w:val="000000" w:themeColor="text1"/>
          <w:sz w:val="20"/>
          <w:szCs w:val="20"/>
        </w:rPr>
        <w:t xml:space="preserve">[…] </w:t>
      </w:r>
      <w:r w:rsidRPr="00BA16EC">
        <w:rPr>
          <w:rFonts w:ascii="Verdana" w:eastAsia="Times New Roman" w:hAnsi="Verdana" w:cs="Arial"/>
          <w:sz w:val="20"/>
          <w:szCs w:val="20"/>
          <w:lang w:eastAsia="es-CO"/>
        </w:rPr>
        <w:t>la Ley 996 de 2005 […]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BA16EC">
        <w:rPr>
          <w:rFonts w:ascii="Verdana" w:eastAsia="Calibri" w:hAnsi="Verdana" w:cs="Arial"/>
          <w:noProof/>
          <w:sz w:val="20"/>
          <w:szCs w:val="20"/>
          <w:lang w:val="es-ES_tradnl"/>
        </w:rPr>
        <w:t xml:space="preserve"> </w:t>
      </w:r>
    </w:p>
    <w:p w14:paraId="7E245EF2" w14:textId="77777777" w:rsidR="00072A40" w:rsidRPr="00BA16EC" w:rsidRDefault="00072A40" w:rsidP="00072A40">
      <w:pPr>
        <w:spacing w:after="0" w:line="240" w:lineRule="auto"/>
        <w:jc w:val="both"/>
        <w:rPr>
          <w:rFonts w:ascii="Verdana" w:hAnsi="Verdana" w:cs="Arial"/>
          <w:b/>
          <w:bCs/>
          <w:color w:val="000000" w:themeColor="text1"/>
          <w:lang w:val="es-ES_tradnl"/>
        </w:rPr>
      </w:pPr>
    </w:p>
    <w:p w14:paraId="545B616C" w14:textId="77777777" w:rsidR="00072A40" w:rsidRPr="00BA16EC" w:rsidRDefault="00072A40" w:rsidP="00072A40">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Prohibiciones – Restricciones </w:t>
      </w:r>
    </w:p>
    <w:p w14:paraId="50B561A5" w14:textId="77777777" w:rsidR="00072A40" w:rsidRDefault="00072A40" w:rsidP="00072A40">
      <w:pPr>
        <w:spacing w:after="0" w:line="240" w:lineRule="auto"/>
        <w:jc w:val="both"/>
        <w:rPr>
          <w:rFonts w:ascii="Verdana" w:hAnsi="Verdana" w:cs="Arial"/>
          <w:color w:val="000000" w:themeColor="text1"/>
        </w:rPr>
      </w:pPr>
    </w:p>
    <w:p w14:paraId="596FE8FB" w14:textId="77777777" w:rsidR="00072A40" w:rsidRDefault="00072A40" w:rsidP="00072A40">
      <w:pPr>
        <w:spacing w:after="0" w:line="240" w:lineRule="auto"/>
        <w:jc w:val="both"/>
        <w:rPr>
          <w:rFonts w:ascii="Verdana" w:eastAsia="Arial" w:hAnsi="Verdana" w:cs="Arial"/>
          <w:sz w:val="20"/>
          <w:szCs w:val="20"/>
          <w:lang w:val="es-ES" w:eastAsia="es-ES" w:bidi="es-ES"/>
        </w:rPr>
      </w:pPr>
      <w:r w:rsidRPr="00BA16EC">
        <w:rPr>
          <w:rFonts w:ascii="Verdana" w:eastAsia="Arial" w:hAnsi="Verdana" w:cs="Arial"/>
          <w:sz w:val="20"/>
          <w:szCs w:val="20"/>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Pr>
          <w:rFonts w:ascii="Verdana" w:eastAsia="Arial" w:hAnsi="Verdana" w:cs="Arial"/>
          <w:sz w:val="20"/>
          <w:szCs w:val="20"/>
          <w:lang w:val="es-ES" w:eastAsia="es-ES" w:bidi="es-ES"/>
        </w:rPr>
        <w:t>.</w:t>
      </w:r>
    </w:p>
    <w:p w14:paraId="3549D08F" w14:textId="77777777" w:rsidR="00072A40" w:rsidRDefault="00072A40" w:rsidP="00072A40">
      <w:pPr>
        <w:spacing w:after="0" w:line="240" w:lineRule="auto"/>
        <w:jc w:val="both"/>
        <w:rPr>
          <w:rFonts w:ascii="Verdana" w:eastAsia="Arial" w:hAnsi="Verdana" w:cs="Arial"/>
          <w:sz w:val="20"/>
          <w:szCs w:val="20"/>
          <w:lang w:val="es-ES" w:eastAsia="es-ES" w:bidi="es-ES"/>
        </w:rPr>
      </w:pPr>
    </w:p>
    <w:p w14:paraId="6BD2BC96" w14:textId="77777777" w:rsidR="00072A40" w:rsidRPr="00BA16EC" w:rsidRDefault="00072A40" w:rsidP="00072A40">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Artículo 33 – Ámbito material </w:t>
      </w:r>
    </w:p>
    <w:p w14:paraId="0E99C101" w14:textId="77777777" w:rsidR="00072A40" w:rsidRDefault="00072A40" w:rsidP="00072A40">
      <w:pPr>
        <w:spacing w:after="0" w:line="240" w:lineRule="auto"/>
        <w:jc w:val="both"/>
        <w:rPr>
          <w:rFonts w:ascii="Verdana" w:hAnsi="Verdana" w:cs="Arial"/>
          <w:color w:val="000000" w:themeColor="text1"/>
        </w:rPr>
      </w:pPr>
    </w:p>
    <w:p w14:paraId="3B8DF63D" w14:textId="77777777" w:rsidR="00072A40" w:rsidRDefault="00072A40" w:rsidP="00072A40">
      <w:pPr>
        <w:spacing w:after="0" w:line="240" w:lineRule="auto"/>
        <w:jc w:val="both"/>
        <w:rPr>
          <w:rFonts w:ascii="Verdana" w:hAnsi="Verdana" w:cs="Arial"/>
          <w:sz w:val="20"/>
          <w:szCs w:val="20"/>
          <w:lang w:eastAsia="x-none"/>
        </w:rPr>
      </w:pPr>
      <w:r w:rsidRPr="00BA16EC">
        <w:rPr>
          <w:rFonts w:ascii="Verdana" w:hAnsi="Verdana" w:cs="Arial"/>
          <w:bCs/>
          <w:sz w:val="20"/>
          <w:szCs w:val="20"/>
          <w:lang w:eastAsia="x-none"/>
        </w:rPr>
        <w:t xml:space="preserve">El ámbito material de la prohibición contenida en el artículo 33 de la ley 996 de 2005 está delimitado por la expresión </w:t>
      </w:r>
      <w:r w:rsidRPr="00BA16EC">
        <w:rPr>
          <w:rFonts w:ascii="Verdana" w:eastAsia="Calibri" w:hAnsi="Verdana" w:cs="Arial"/>
          <w:bCs/>
          <w:i/>
          <w:iCs/>
          <w:sz w:val="20"/>
          <w:szCs w:val="20"/>
        </w:rPr>
        <w:t>“</w:t>
      </w:r>
      <w:r w:rsidRPr="00BA16EC">
        <w:rPr>
          <w:rFonts w:ascii="Verdana" w:hAnsi="Verdana" w:cs="Arial"/>
          <w:bCs/>
          <w:i/>
          <w:iCs/>
          <w:sz w:val="20"/>
          <w:szCs w:val="20"/>
          <w:lang w:eastAsia="x-none"/>
        </w:rPr>
        <w:t>queda prohibida la contratación directa</w:t>
      </w:r>
      <w:r w:rsidRPr="00BA16EC">
        <w:rPr>
          <w:rFonts w:ascii="Verdana" w:hAnsi="Verdana" w:cs="Arial"/>
          <w:sz w:val="20"/>
          <w:szCs w:val="20"/>
        </w:rPr>
        <w:t>”</w:t>
      </w:r>
      <w:r w:rsidRPr="00BA16EC">
        <w:rPr>
          <w:rFonts w:ascii="Verdana" w:hAnsi="Verdana" w:cs="Arial"/>
          <w:bCs/>
          <w:sz w:val="20"/>
          <w:szCs w:val="20"/>
          <w:lang w:eastAsia="x-none"/>
        </w:rPr>
        <w:t xml:space="preserve">. […] </w:t>
      </w:r>
      <w:r w:rsidRPr="00BA16EC">
        <w:rPr>
          <w:rFonts w:ascii="Verdana" w:hAnsi="Verdana" w:cs="Arial"/>
          <w:sz w:val="20"/>
          <w:szCs w:val="20"/>
          <w:lang w:eastAsia="x-none"/>
        </w:rPr>
        <w:t xml:space="preserve">De acuerdo con el citado concepto, la prohibición del artículo 33 de la Ley de Garantías Electorales se refiere a </w:t>
      </w:r>
      <w:r w:rsidRPr="00BA16EC">
        <w:rPr>
          <w:rFonts w:ascii="Verdana" w:hAnsi="Verdana" w:cs="Arial"/>
          <w:sz w:val="20"/>
          <w:szCs w:val="20"/>
          <w:lang w:eastAsia="en-GB"/>
        </w:rPr>
        <w:t>“</w:t>
      </w:r>
      <w:r w:rsidRPr="00BA16EC">
        <w:rPr>
          <w:rFonts w:ascii="Verdana" w:hAnsi="Verdana" w:cs="Arial"/>
          <w:sz w:val="20"/>
          <w:szCs w:val="20"/>
          <w:lang w:eastAsia="x-none"/>
        </w:rPr>
        <w:t>cualquier sistema que no implique convocatoria pública y posibilidad de pluralidad de oferentes</w:t>
      </w:r>
      <w:r w:rsidRPr="00BA16EC">
        <w:rPr>
          <w:rFonts w:ascii="Verdana" w:hAnsi="Verdana" w:cs="Arial"/>
          <w:sz w:val="20"/>
          <w:szCs w:val="20"/>
          <w:lang w:eastAsia="en-GB"/>
        </w:rPr>
        <w:t>”</w:t>
      </w:r>
      <w:r w:rsidRPr="00BA16EC">
        <w:rPr>
          <w:rFonts w:ascii="Verdana" w:hAnsi="Verdana" w:cs="Arial"/>
          <w:sz w:val="20"/>
          <w:szCs w:val="20"/>
          <w:lang w:eastAsia="x-none"/>
        </w:rPr>
        <w:t xml:space="preserve">, por lo que excluye las demás modalidades de contratación previstas en la Ley 1150 de 2007. </w:t>
      </w:r>
    </w:p>
    <w:p w14:paraId="502C68D0" w14:textId="77777777" w:rsidR="00072A40" w:rsidRDefault="00072A40" w:rsidP="00072A40">
      <w:pPr>
        <w:spacing w:after="0" w:line="240" w:lineRule="auto"/>
        <w:jc w:val="both"/>
        <w:rPr>
          <w:rFonts w:ascii="Verdana" w:hAnsi="Verdana" w:cs="Arial"/>
          <w:sz w:val="20"/>
          <w:szCs w:val="20"/>
          <w:lang w:eastAsia="x-none"/>
        </w:rPr>
      </w:pPr>
    </w:p>
    <w:p w14:paraId="52BDC78E" w14:textId="77777777" w:rsidR="00072A40" w:rsidRDefault="00072A40" w:rsidP="00072A40">
      <w:pPr>
        <w:spacing w:after="0" w:line="240" w:lineRule="auto"/>
        <w:jc w:val="both"/>
        <w:rPr>
          <w:rFonts w:ascii="Verdana" w:hAnsi="Verdana" w:cs="Arial"/>
          <w:sz w:val="20"/>
          <w:szCs w:val="20"/>
          <w:lang w:eastAsia="x-none"/>
        </w:rPr>
      </w:pPr>
      <w:r>
        <w:rPr>
          <w:rFonts w:ascii="Verdana" w:hAnsi="Verdana" w:cs="Arial"/>
          <w:sz w:val="20"/>
          <w:szCs w:val="20"/>
          <w:lang w:eastAsia="x-none"/>
        </w:rPr>
        <w:t>[…]</w:t>
      </w:r>
    </w:p>
    <w:p w14:paraId="559D842D" w14:textId="77777777" w:rsidR="00072A40" w:rsidRDefault="00072A40" w:rsidP="00072A40">
      <w:pPr>
        <w:spacing w:after="0" w:line="240" w:lineRule="auto"/>
        <w:jc w:val="both"/>
        <w:rPr>
          <w:rFonts w:ascii="Verdana" w:hAnsi="Verdana" w:cs="Arial"/>
          <w:color w:val="000000" w:themeColor="text1"/>
          <w:sz w:val="20"/>
          <w:szCs w:val="20"/>
        </w:rPr>
      </w:pPr>
    </w:p>
    <w:p w14:paraId="16E49A47" w14:textId="77777777" w:rsidR="00072A40" w:rsidRDefault="00072A40" w:rsidP="00072A40">
      <w:pPr>
        <w:spacing w:after="0" w:line="240" w:lineRule="auto"/>
        <w:jc w:val="both"/>
        <w:rPr>
          <w:rFonts w:ascii="Verdana" w:hAnsi="Verdana" w:cs="Arial"/>
          <w:color w:val="000000" w:themeColor="text1"/>
          <w:sz w:val="20"/>
          <w:szCs w:val="20"/>
        </w:rPr>
      </w:pPr>
      <w:r w:rsidRPr="00BA16EC">
        <w:rPr>
          <w:rFonts w:ascii="Verdana" w:hAnsi="Verdana" w:cs="Arial"/>
          <w:color w:val="000000" w:themeColor="text1"/>
          <w:sz w:val="20"/>
          <w:szCs w:val="20"/>
        </w:rPr>
        <w:t>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Pr>
          <w:rFonts w:ascii="Verdana" w:hAnsi="Verdana" w:cs="Arial"/>
          <w:color w:val="000000" w:themeColor="text1"/>
          <w:sz w:val="20"/>
          <w:szCs w:val="20"/>
        </w:rPr>
        <w:t>.</w:t>
      </w:r>
    </w:p>
    <w:p w14:paraId="5AFF46CB" w14:textId="77777777" w:rsidR="00072A40" w:rsidRDefault="00072A40" w:rsidP="00072A40">
      <w:pPr>
        <w:spacing w:after="0" w:line="240" w:lineRule="auto"/>
        <w:jc w:val="both"/>
        <w:rPr>
          <w:rFonts w:ascii="Verdana" w:hAnsi="Verdana" w:cs="Arial"/>
          <w:color w:val="000000" w:themeColor="text1"/>
          <w:sz w:val="20"/>
          <w:szCs w:val="20"/>
        </w:rPr>
      </w:pPr>
    </w:p>
    <w:p w14:paraId="0E4BD202" w14:textId="77777777" w:rsidR="00072A40" w:rsidRDefault="00072A40" w:rsidP="00072A40">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w:t>
      </w:r>
    </w:p>
    <w:p w14:paraId="0DC45EA9" w14:textId="77777777" w:rsidR="00072A40" w:rsidRDefault="00072A40" w:rsidP="00072A40">
      <w:pPr>
        <w:spacing w:after="0" w:line="240" w:lineRule="auto"/>
        <w:jc w:val="both"/>
        <w:rPr>
          <w:rFonts w:ascii="Verdana" w:hAnsi="Verdana" w:cs="Arial"/>
          <w:color w:val="000000" w:themeColor="text1"/>
          <w:sz w:val="20"/>
          <w:szCs w:val="20"/>
        </w:rPr>
      </w:pPr>
    </w:p>
    <w:p w14:paraId="41703B42" w14:textId="77777777" w:rsidR="00072A40" w:rsidRDefault="00072A40" w:rsidP="00072A40">
      <w:pPr>
        <w:spacing w:after="0" w:line="240" w:lineRule="auto"/>
        <w:jc w:val="both"/>
        <w:rPr>
          <w:rFonts w:ascii="Verdana" w:hAnsi="Verdana" w:cs="Arial"/>
          <w:color w:val="000000" w:themeColor="text1"/>
          <w:sz w:val="20"/>
          <w:szCs w:val="20"/>
        </w:rPr>
      </w:pPr>
      <w:r w:rsidRPr="00BA16EC">
        <w:rPr>
          <w:rFonts w:ascii="Verdana" w:hAnsi="Verdana" w:cs="Arial"/>
          <w:color w:val="000000" w:themeColor="text1"/>
          <w:sz w:val="20"/>
          <w:szCs w:val="20"/>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w:t>
      </w:r>
      <w:r>
        <w:rPr>
          <w:rFonts w:ascii="Verdana" w:hAnsi="Verdana" w:cs="Arial"/>
          <w:color w:val="000000" w:themeColor="text1"/>
          <w:sz w:val="20"/>
          <w:szCs w:val="20"/>
        </w:rPr>
        <w:t>s</w:t>
      </w:r>
      <w:r w:rsidRPr="00BA16EC">
        <w:rPr>
          <w:rFonts w:ascii="Verdana" w:hAnsi="Verdana" w:cs="Arial"/>
          <w:color w:val="000000" w:themeColor="text1"/>
          <w:sz w:val="20"/>
          <w:szCs w:val="20"/>
        </w:rPr>
        <w:t xml:space="preserve">. Esta circunstancia no se extiende a la contratación </w:t>
      </w:r>
      <w:r w:rsidRPr="00BA16EC">
        <w:rPr>
          <w:rFonts w:ascii="Verdana" w:hAnsi="Verdana" w:cs="Arial"/>
          <w:color w:val="000000" w:themeColor="text1"/>
          <w:sz w:val="20"/>
          <w:szCs w:val="20"/>
        </w:rPr>
        <w:lastRenderedPageBreak/>
        <w:t>directa aplicable en algunos regímenes especiales con listas de precalificados, ya que a efecto de que no se configure la contratación directa, la selección del futuro contratista debe darse en términos de competencia.</w:t>
      </w:r>
    </w:p>
    <w:p w14:paraId="099E1FDB" w14:textId="77777777" w:rsidR="00072A40" w:rsidRDefault="00072A40" w:rsidP="00072A40">
      <w:pPr>
        <w:spacing w:after="0" w:line="240" w:lineRule="auto"/>
        <w:jc w:val="both"/>
        <w:rPr>
          <w:rFonts w:ascii="Verdana" w:hAnsi="Verdana" w:cs="Arial"/>
          <w:color w:val="000000" w:themeColor="text1"/>
          <w:sz w:val="20"/>
          <w:szCs w:val="20"/>
        </w:rPr>
      </w:pPr>
    </w:p>
    <w:p w14:paraId="1238D5F9" w14:textId="77777777" w:rsidR="00072A40" w:rsidRPr="00BA16EC" w:rsidRDefault="00072A40" w:rsidP="00072A40">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Destinatarios </w:t>
      </w:r>
    </w:p>
    <w:p w14:paraId="29757AE3" w14:textId="77777777" w:rsidR="00072A40" w:rsidRDefault="00072A40" w:rsidP="00072A40">
      <w:pPr>
        <w:spacing w:after="0" w:line="240" w:lineRule="auto"/>
        <w:jc w:val="both"/>
        <w:rPr>
          <w:rFonts w:ascii="Verdana" w:hAnsi="Verdana" w:cs="Arial"/>
          <w:color w:val="000000" w:themeColor="text1"/>
        </w:rPr>
      </w:pPr>
    </w:p>
    <w:p w14:paraId="1AF8309B" w14:textId="77777777" w:rsidR="00072A40" w:rsidRPr="00BA16EC" w:rsidRDefault="00072A40" w:rsidP="00072A40">
      <w:pPr>
        <w:spacing w:after="0" w:line="240" w:lineRule="auto"/>
        <w:jc w:val="both"/>
        <w:rPr>
          <w:rFonts w:ascii="Verdana" w:hAnsi="Verdana" w:cs="Arial"/>
          <w:color w:val="000000" w:themeColor="text1"/>
          <w:lang w:val="es-MX"/>
        </w:rPr>
      </w:pPr>
      <w:r w:rsidRPr="00BA16EC">
        <w:rPr>
          <w:rFonts w:ascii="Verdana" w:hAnsi="Verdana" w:cs="Arial"/>
          <w:color w:val="000000" w:themeColor="text1"/>
          <w:sz w:val="20"/>
          <w:szCs w:val="20"/>
          <w:lang w:val="es-MX"/>
        </w:rPr>
        <w:t>Ahora bien, en relación con los destinatarios de las restricciones,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BA16EC">
        <w:rPr>
          <w:rFonts w:ascii="Verdana" w:hAnsi="Verdana" w:cs="Arial"/>
          <w:color w:val="000000" w:themeColor="text1"/>
          <w:lang w:val="es-MX"/>
        </w:rPr>
        <w:t>.</w:t>
      </w:r>
    </w:p>
    <w:p w14:paraId="3E6D717E" w14:textId="77777777" w:rsidR="00072A40" w:rsidRDefault="00072A40" w:rsidP="00072A40">
      <w:pPr>
        <w:spacing w:after="0" w:line="240" w:lineRule="auto"/>
        <w:jc w:val="both"/>
        <w:rPr>
          <w:rFonts w:ascii="Verdana" w:hAnsi="Verdana" w:cs="Arial"/>
          <w:color w:val="000000" w:themeColor="text1"/>
        </w:rPr>
      </w:pPr>
    </w:p>
    <w:p w14:paraId="07A7B7AF" w14:textId="77777777" w:rsidR="00072A40" w:rsidRDefault="00072A40" w:rsidP="00072A40">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Excepciones </w:t>
      </w:r>
    </w:p>
    <w:p w14:paraId="483E5DEF" w14:textId="77777777" w:rsidR="00072A40" w:rsidRPr="00E51E94" w:rsidRDefault="00072A40" w:rsidP="00072A40">
      <w:pPr>
        <w:spacing w:after="0" w:line="240" w:lineRule="auto"/>
        <w:jc w:val="both"/>
        <w:rPr>
          <w:rFonts w:ascii="Verdana" w:hAnsi="Verdana" w:cs="Arial"/>
          <w:b/>
          <w:bCs/>
          <w:color w:val="000000" w:themeColor="text1"/>
          <w:sz w:val="20"/>
          <w:szCs w:val="20"/>
        </w:rPr>
      </w:pPr>
    </w:p>
    <w:p w14:paraId="1BA67DDB" w14:textId="77777777" w:rsidR="00072A40" w:rsidRDefault="00072A40" w:rsidP="00072A40">
      <w:pPr>
        <w:spacing w:after="0" w:line="240" w:lineRule="auto"/>
        <w:jc w:val="both"/>
        <w:rPr>
          <w:rFonts w:ascii="Verdana" w:hAnsi="Verdana" w:cs="Arial"/>
          <w:bCs/>
          <w:sz w:val="20"/>
          <w:szCs w:val="20"/>
          <w:lang w:eastAsia="x-none"/>
        </w:rPr>
      </w:pPr>
      <w:r w:rsidRPr="00E51E94">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51E94">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5D3700D7" w14:textId="77777777" w:rsidR="00072A40" w:rsidRDefault="00072A40" w:rsidP="00072A40">
      <w:pPr>
        <w:spacing w:after="0" w:line="240" w:lineRule="auto"/>
        <w:jc w:val="both"/>
        <w:rPr>
          <w:rFonts w:ascii="Verdana" w:hAnsi="Verdana" w:cs="Arial"/>
          <w:bCs/>
          <w:sz w:val="20"/>
          <w:szCs w:val="20"/>
          <w:lang w:eastAsia="x-none"/>
        </w:rPr>
      </w:pPr>
    </w:p>
    <w:p w14:paraId="2228207C" w14:textId="77777777" w:rsidR="00072A40" w:rsidRDefault="00072A40" w:rsidP="00072A40">
      <w:pPr>
        <w:spacing w:after="0" w:line="240" w:lineRule="auto"/>
        <w:jc w:val="both"/>
        <w:rPr>
          <w:rFonts w:ascii="Verdana" w:hAnsi="Verdana" w:cs="Arial"/>
          <w:bCs/>
          <w:sz w:val="20"/>
          <w:szCs w:val="20"/>
          <w:lang w:eastAsia="x-none"/>
        </w:rPr>
      </w:pPr>
      <w:r>
        <w:rPr>
          <w:rFonts w:ascii="Verdana" w:hAnsi="Verdana" w:cs="Arial"/>
          <w:bCs/>
          <w:sz w:val="20"/>
          <w:szCs w:val="20"/>
          <w:lang w:eastAsia="x-none"/>
        </w:rPr>
        <w:t xml:space="preserve">[…] </w:t>
      </w:r>
    </w:p>
    <w:p w14:paraId="7872E97E" w14:textId="77777777" w:rsidR="00072A40" w:rsidRDefault="00072A40" w:rsidP="00072A40">
      <w:pPr>
        <w:spacing w:after="0" w:line="240" w:lineRule="auto"/>
        <w:jc w:val="both"/>
        <w:rPr>
          <w:rFonts w:ascii="Verdana" w:hAnsi="Verdana" w:cs="Arial"/>
          <w:bCs/>
          <w:sz w:val="20"/>
          <w:szCs w:val="20"/>
          <w:lang w:eastAsia="x-none"/>
        </w:rPr>
      </w:pPr>
    </w:p>
    <w:p w14:paraId="6B748CAB" w14:textId="77777777" w:rsidR="00072A40" w:rsidRPr="00E51E94" w:rsidRDefault="00072A40" w:rsidP="00072A40">
      <w:pPr>
        <w:spacing w:after="0" w:line="240" w:lineRule="auto"/>
        <w:jc w:val="both"/>
        <w:rPr>
          <w:rFonts w:ascii="Verdana" w:hAnsi="Verdana" w:cs="Arial"/>
          <w:bCs/>
          <w:sz w:val="20"/>
          <w:szCs w:val="20"/>
          <w:lang w:val="es-ES_tradnl" w:eastAsia="x-none"/>
        </w:rPr>
      </w:pPr>
      <w:r w:rsidRPr="00E51E94">
        <w:rPr>
          <w:rFonts w:ascii="Verdana" w:hAnsi="Verdana" w:cs="Arial"/>
          <w:bCs/>
          <w:sz w:val="20"/>
          <w:szCs w:val="20"/>
          <w:lang w:val="es-ES_tradnl" w:eastAsia="x-none"/>
        </w:rPr>
        <w:t xml:space="preserve">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w:t>
      </w:r>
      <w:r w:rsidRPr="00E51E94">
        <w:rPr>
          <w:rFonts w:ascii="Verdana" w:hAnsi="Verdana" w:cs="Arial"/>
          <w:bCs/>
          <w:sz w:val="20"/>
          <w:szCs w:val="20"/>
          <w:lang w:val="es-ES_tradnl" w:eastAsia="x-none"/>
        </w:rPr>
        <w:lastRenderedPageBreak/>
        <w:t>expresamente en la norma permiten que ciertas entidades estatales se vean exceptuadas de la prohibición.</w:t>
      </w:r>
    </w:p>
    <w:p w14:paraId="71456CBC" w14:textId="77777777" w:rsidR="00072A40" w:rsidRPr="00BA16EC" w:rsidRDefault="00072A40" w:rsidP="00072A40">
      <w:pPr>
        <w:spacing w:after="0" w:line="240" w:lineRule="auto"/>
        <w:jc w:val="both"/>
        <w:rPr>
          <w:rFonts w:ascii="Verdana" w:hAnsi="Verdana" w:cs="Arial"/>
          <w:b/>
          <w:bCs/>
          <w:color w:val="000000" w:themeColor="text1"/>
        </w:rPr>
      </w:pPr>
    </w:p>
    <w:p w14:paraId="0F6968CD" w14:textId="77777777" w:rsidR="00072A40" w:rsidRPr="00E51E94" w:rsidRDefault="00072A40" w:rsidP="00072A40">
      <w:pPr>
        <w:spacing w:after="0" w:line="240" w:lineRule="auto"/>
        <w:jc w:val="both"/>
        <w:rPr>
          <w:rFonts w:ascii="Verdana" w:hAnsi="Verdana" w:cs="Arial"/>
          <w:b/>
          <w:bCs/>
          <w:color w:val="000000" w:themeColor="text1"/>
        </w:rPr>
      </w:pPr>
      <w:r w:rsidRPr="00E51E94">
        <w:rPr>
          <w:rFonts w:ascii="Verdana" w:hAnsi="Verdana" w:cs="Arial"/>
          <w:b/>
          <w:bCs/>
          <w:color w:val="000000" w:themeColor="text1"/>
        </w:rPr>
        <w:t xml:space="preserve">LEY DE GARANTÍAS ELECTORALES – Parágrafo del artículo 38 - Alcance </w:t>
      </w:r>
    </w:p>
    <w:p w14:paraId="59E647BA" w14:textId="77777777" w:rsidR="00072A40" w:rsidRDefault="00072A40" w:rsidP="00072A40">
      <w:pPr>
        <w:spacing w:after="0" w:line="240" w:lineRule="auto"/>
        <w:jc w:val="both"/>
        <w:rPr>
          <w:rFonts w:ascii="Verdana" w:hAnsi="Verdana" w:cs="Arial"/>
          <w:color w:val="000000" w:themeColor="text1"/>
        </w:rPr>
      </w:pPr>
    </w:p>
    <w:p w14:paraId="725AA0CE" w14:textId="77777777" w:rsidR="00072A40" w:rsidRPr="00E51E94" w:rsidRDefault="00072A40" w:rsidP="00072A40">
      <w:pPr>
        <w:spacing w:after="0" w:line="240" w:lineRule="auto"/>
        <w:jc w:val="both"/>
        <w:rPr>
          <w:rFonts w:ascii="Verdana" w:hAnsi="Verdana" w:cs="Arial"/>
          <w:sz w:val="20"/>
          <w:szCs w:val="20"/>
        </w:rPr>
      </w:pPr>
      <w:r w:rsidRPr="00E51E94">
        <w:rPr>
          <w:rFonts w:ascii="Verdana" w:hAnsi="Verdana" w:cs="Arial"/>
          <w:sz w:val="20"/>
          <w:szCs w:val="20"/>
          <w:lang w:val="es-ES"/>
        </w:rPr>
        <w:t xml:space="preserve">[…] respecto del alcance del parágrafo </w:t>
      </w:r>
      <w:r w:rsidRPr="00E51E94">
        <w:rPr>
          <w:rFonts w:ascii="Verdana" w:hAnsi="Verdana" w:cs="Arial"/>
          <w:sz w:val="20"/>
          <w:szCs w:val="20"/>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E51E94">
        <w:rPr>
          <w:rFonts w:ascii="Verdana" w:hAnsi="Verdana" w:cs="Arial"/>
          <w:i/>
          <w:iCs/>
          <w:sz w:val="20"/>
          <w:szCs w:val="20"/>
        </w:rPr>
        <w:t>convenios interadministrativos</w:t>
      </w:r>
      <w:r w:rsidRPr="00E51E94">
        <w:rPr>
          <w:rFonts w:ascii="Verdana" w:hAnsi="Verdana" w:cs="Arial"/>
          <w:sz w:val="20"/>
          <w:szCs w:val="20"/>
        </w:rPr>
        <w:t xml:space="preserve"> </w:t>
      </w:r>
      <w:r w:rsidRPr="00E51E94">
        <w:rPr>
          <w:rFonts w:ascii="Verdana" w:hAnsi="Verdana" w:cs="Arial"/>
          <w:i/>
          <w:iCs/>
          <w:sz w:val="20"/>
          <w:szCs w:val="20"/>
        </w:rPr>
        <w:t>para la ejecución de recursos públicos</w:t>
      </w:r>
      <w:r w:rsidRPr="00E51E94">
        <w:rPr>
          <w:rFonts w:ascii="Verdana" w:hAnsi="Verdana" w:cs="Arial"/>
          <w:sz w:val="20"/>
          <w:szCs w:val="20"/>
        </w:rPr>
        <w:t>”.</w:t>
      </w:r>
    </w:p>
    <w:p w14:paraId="19D7F0CE" w14:textId="77777777" w:rsidR="00072A40" w:rsidRDefault="00072A40" w:rsidP="00072A40">
      <w:pPr>
        <w:spacing w:after="0" w:line="240" w:lineRule="auto"/>
        <w:jc w:val="both"/>
        <w:rPr>
          <w:rFonts w:ascii="Verdana" w:hAnsi="Verdana" w:cs="Arial"/>
          <w:color w:val="000000" w:themeColor="text1"/>
        </w:rPr>
      </w:pPr>
    </w:p>
    <w:p w14:paraId="0C3DCCF4" w14:textId="77777777" w:rsidR="00072A40" w:rsidRPr="002B1087" w:rsidRDefault="00072A40" w:rsidP="00072A40">
      <w:pPr>
        <w:spacing w:after="0" w:line="240" w:lineRule="auto"/>
        <w:jc w:val="both"/>
        <w:rPr>
          <w:rFonts w:ascii="Verdana" w:hAnsi="Verdana" w:cs="Arial"/>
          <w:b/>
          <w:bCs/>
          <w:color w:val="000000" w:themeColor="text1"/>
        </w:rPr>
      </w:pPr>
      <w:r w:rsidRPr="002B1087">
        <w:rPr>
          <w:rFonts w:ascii="Verdana" w:hAnsi="Verdana" w:cs="Arial"/>
          <w:b/>
          <w:bCs/>
          <w:color w:val="000000" w:themeColor="text1"/>
        </w:rPr>
        <w:t xml:space="preserve">LEY DE GARANTÍAS ELECTORALES – Convenios interadministrativos – Contratos interadministrativos </w:t>
      </w:r>
    </w:p>
    <w:p w14:paraId="39EC765F" w14:textId="77777777" w:rsidR="00072A40" w:rsidRDefault="00072A40" w:rsidP="00072A40">
      <w:pPr>
        <w:spacing w:after="0" w:line="240" w:lineRule="auto"/>
        <w:jc w:val="both"/>
        <w:rPr>
          <w:rFonts w:ascii="Verdana" w:hAnsi="Verdana" w:cs="Arial"/>
          <w:color w:val="000000" w:themeColor="text1"/>
        </w:rPr>
      </w:pPr>
    </w:p>
    <w:p w14:paraId="3F85EA29" w14:textId="77777777" w:rsidR="00072A40" w:rsidRPr="00E51E94" w:rsidRDefault="00072A40" w:rsidP="00072A40">
      <w:pPr>
        <w:spacing w:after="0" w:line="240" w:lineRule="auto"/>
        <w:ind w:firstLine="709"/>
        <w:jc w:val="both"/>
        <w:rPr>
          <w:rFonts w:ascii="Verdana" w:hAnsi="Verdana" w:cs="Arial"/>
          <w:sz w:val="20"/>
          <w:szCs w:val="20"/>
          <w:lang w:eastAsia="es-ES"/>
        </w:rPr>
      </w:pPr>
      <w:r w:rsidRPr="00E51E94">
        <w:rPr>
          <w:rFonts w:ascii="Verdana" w:eastAsia="Times New Roman" w:hAnsi="Verdana" w:cs="Arial"/>
          <w:sz w:val="20"/>
          <w:szCs w:val="20"/>
          <w:lang w:val="es-ES" w:eastAsia="es-ES"/>
        </w:rPr>
        <w:t xml:space="preserve">Para tales efectos, debe precisarse que </w:t>
      </w:r>
      <w:r w:rsidRPr="00E51E94">
        <w:rPr>
          <w:rFonts w:ascii="Verdana" w:eastAsia="Times New Roman" w:hAnsi="Verdana" w:cs="Arial"/>
          <w:color w:val="000000" w:themeColor="text1"/>
          <w:sz w:val="20"/>
          <w:szCs w:val="20"/>
          <w:lang w:val="es-ES" w:eastAsia="es-CO"/>
        </w:rPr>
        <w:t xml:space="preserve">los contratos o convenios interadministrativos están determinados por un criterio orgánico, pues es necesario que los extremos de la relación contractual sean entidades públicas, </w:t>
      </w:r>
      <w:r w:rsidRPr="00E51E94">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0F7503F5" w14:textId="77777777" w:rsidR="00072A40" w:rsidRPr="00E51E94" w:rsidRDefault="00072A40" w:rsidP="00072A40">
      <w:pPr>
        <w:spacing w:after="0" w:line="240" w:lineRule="auto"/>
        <w:jc w:val="both"/>
        <w:rPr>
          <w:rFonts w:ascii="Verdana" w:eastAsia="Calibri" w:hAnsi="Verdana" w:cs="Arial"/>
          <w:sz w:val="20"/>
          <w:szCs w:val="20"/>
          <w:lang w:val="es-ES"/>
        </w:rPr>
      </w:pPr>
    </w:p>
    <w:p w14:paraId="17259869" w14:textId="77777777" w:rsidR="00072A40" w:rsidRDefault="00072A40" w:rsidP="00072A40">
      <w:pPr>
        <w:spacing w:after="0" w:line="240" w:lineRule="auto"/>
        <w:jc w:val="both"/>
        <w:rPr>
          <w:rFonts w:ascii="Verdana" w:eastAsia="Calibri" w:hAnsi="Verdana" w:cs="Arial"/>
          <w:sz w:val="20"/>
          <w:szCs w:val="20"/>
          <w:lang w:val="es-ES"/>
        </w:rPr>
      </w:pPr>
      <w:r w:rsidRPr="00E51E94">
        <w:rPr>
          <w:rFonts w:ascii="Verdana" w:eastAsia="Calibri" w:hAnsi="Verdana" w:cs="Arial"/>
          <w:sz w:val="20"/>
          <w:szCs w:val="20"/>
          <w:lang w:val="es-ES"/>
        </w:rPr>
        <w:t>[…]</w:t>
      </w:r>
    </w:p>
    <w:p w14:paraId="1854B5C9" w14:textId="77777777" w:rsidR="00072A40" w:rsidRDefault="00072A40" w:rsidP="00072A40">
      <w:pPr>
        <w:spacing w:after="0" w:line="240" w:lineRule="auto"/>
        <w:jc w:val="both"/>
        <w:rPr>
          <w:rFonts w:ascii="Verdana" w:eastAsia="Calibri" w:hAnsi="Verdana" w:cs="Arial"/>
          <w:sz w:val="20"/>
          <w:szCs w:val="20"/>
          <w:lang w:val="es-ES"/>
        </w:rPr>
      </w:pPr>
    </w:p>
    <w:p w14:paraId="04CE97FF" w14:textId="77777777" w:rsidR="00072A40" w:rsidRDefault="00072A40" w:rsidP="00072A40">
      <w:pPr>
        <w:spacing w:after="0" w:line="240" w:lineRule="auto"/>
        <w:jc w:val="both"/>
        <w:rPr>
          <w:rFonts w:ascii="Verdana" w:hAnsi="Verdana" w:cs="Arial"/>
          <w:sz w:val="20"/>
          <w:szCs w:val="20"/>
          <w:lang w:val="es-ES"/>
        </w:rPr>
      </w:pPr>
      <w:r w:rsidRPr="00E51E94">
        <w:rPr>
          <w:rFonts w:ascii="Verdana" w:hAnsi="Verdana" w:cs="Arial"/>
          <w:sz w:val="20"/>
          <w:szCs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04A9B90E" w14:textId="77777777" w:rsidR="00072A40" w:rsidRDefault="00072A40" w:rsidP="00072A40">
      <w:pPr>
        <w:spacing w:after="0" w:line="240" w:lineRule="auto"/>
        <w:jc w:val="both"/>
        <w:rPr>
          <w:rFonts w:ascii="Verdana" w:hAnsi="Verdana" w:cs="Arial"/>
          <w:sz w:val="20"/>
          <w:szCs w:val="20"/>
          <w:lang w:val="es-ES"/>
        </w:rPr>
      </w:pPr>
    </w:p>
    <w:p w14:paraId="7E2CF006" w14:textId="77777777" w:rsidR="00072A40" w:rsidRDefault="00072A40" w:rsidP="00072A40">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 xml:space="preserve">[…] </w:t>
      </w:r>
    </w:p>
    <w:p w14:paraId="1D012140" w14:textId="77777777" w:rsidR="00072A40" w:rsidRDefault="00072A40" w:rsidP="00072A40">
      <w:pPr>
        <w:spacing w:after="0" w:line="240" w:lineRule="auto"/>
        <w:jc w:val="both"/>
        <w:rPr>
          <w:rFonts w:ascii="Verdana" w:eastAsia="Calibri" w:hAnsi="Verdana" w:cs="Arial"/>
          <w:sz w:val="20"/>
          <w:szCs w:val="20"/>
          <w:lang w:val="es-ES"/>
        </w:rPr>
      </w:pPr>
    </w:p>
    <w:p w14:paraId="4F654C85" w14:textId="77777777" w:rsidR="00072A40" w:rsidRDefault="00072A40" w:rsidP="00072A40">
      <w:pPr>
        <w:spacing w:after="0" w:line="240" w:lineRule="auto"/>
        <w:jc w:val="both"/>
        <w:rPr>
          <w:rFonts w:ascii="Verdana" w:eastAsia="Calibri" w:hAnsi="Verdana" w:cs="Arial"/>
          <w:sz w:val="20"/>
          <w:szCs w:val="20"/>
          <w:lang w:val="es-MX"/>
        </w:rPr>
      </w:pPr>
      <w:r w:rsidRPr="00401715">
        <w:rPr>
          <w:rFonts w:ascii="Verdana" w:eastAsia="Calibri" w:hAnsi="Verdana" w:cs="Arial"/>
          <w:sz w:val="20"/>
          <w:szCs w:val="20"/>
          <w:lang w:val="es-MX"/>
        </w:rPr>
        <w:t>De esta manera, se observa entonces que el parágrafo del artículo 38 de la Ley 996 de 2005 prohíbe a los Alcaldes, Gobernadores, Secretarios, Gerentes y Directores de las entidades del orden municipal, departamental o distrital celebrar convenios interadministrativos para la ejecución de recursos públicos. En este sentido, si una o ambas partes de la relación contractual es una entidad de aquellas descritas en el parágrafo ibidem, es decir, alcaldías, gobernaciones, secretarías de despacho, así como entidades descentralizadas por servicios del orden municipal, departamental o distrital no podrá celebrar tales convenios durante la aplicación de la Ley de Garantías Electorales, toda vez que la citada disposición se refiere a dicha tipología contractual sin que el legislador hubiere contemplado un efecto extensivo a otra tipología.</w:t>
      </w:r>
    </w:p>
    <w:p w14:paraId="7C3573F6" w14:textId="77777777" w:rsidR="00072A40" w:rsidRDefault="00072A40" w:rsidP="00072A40">
      <w:pPr>
        <w:spacing w:after="0" w:line="240" w:lineRule="auto"/>
        <w:jc w:val="both"/>
        <w:rPr>
          <w:rFonts w:ascii="Verdana" w:eastAsia="Calibri" w:hAnsi="Verdana" w:cs="Arial"/>
          <w:sz w:val="20"/>
          <w:szCs w:val="20"/>
          <w:lang w:val="es-MX"/>
        </w:rPr>
      </w:pPr>
    </w:p>
    <w:p w14:paraId="29AEA8EB" w14:textId="77777777" w:rsidR="00072A40" w:rsidRPr="00401715" w:rsidRDefault="00072A40" w:rsidP="00072A40">
      <w:pPr>
        <w:spacing w:after="0" w:line="240" w:lineRule="auto"/>
        <w:jc w:val="both"/>
        <w:rPr>
          <w:rFonts w:ascii="Verdana" w:eastAsia="Calibri" w:hAnsi="Verdana" w:cs="Arial"/>
          <w:sz w:val="20"/>
          <w:szCs w:val="20"/>
          <w:lang w:val="es-MX"/>
        </w:rPr>
      </w:pPr>
      <w:r>
        <w:rPr>
          <w:rFonts w:ascii="Verdana" w:eastAsia="Calibri" w:hAnsi="Verdana" w:cs="Arial"/>
          <w:sz w:val="20"/>
          <w:szCs w:val="20"/>
          <w:lang w:val="es-MX"/>
        </w:rPr>
        <w:lastRenderedPageBreak/>
        <w:t>[…]</w:t>
      </w:r>
    </w:p>
    <w:p w14:paraId="2C92FF49" w14:textId="77777777" w:rsidR="00072A40" w:rsidRPr="00401715" w:rsidRDefault="00072A40" w:rsidP="00072A40">
      <w:pPr>
        <w:spacing w:after="0" w:line="240" w:lineRule="auto"/>
        <w:jc w:val="both"/>
        <w:rPr>
          <w:rFonts w:ascii="Verdana" w:eastAsia="Calibri" w:hAnsi="Verdana" w:cs="Arial"/>
          <w:sz w:val="20"/>
          <w:szCs w:val="20"/>
          <w:lang w:val="es-ES_tradnl"/>
        </w:rPr>
      </w:pPr>
    </w:p>
    <w:p w14:paraId="1E586B0A" w14:textId="77777777" w:rsidR="00072A40" w:rsidRPr="00401715" w:rsidRDefault="00072A40" w:rsidP="00072A40">
      <w:pPr>
        <w:spacing w:after="0" w:line="240" w:lineRule="auto"/>
        <w:jc w:val="both"/>
        <w:rPr>
          <w:rFonts w:ascii="Verdana" w:eastAsia="Calibri" w:hAnsi="Verdana" w:cs="Arial"/>
          <w:sz w:val="20"/>
          <w:szCs w:val="20"/>
          <w:lang w:val="es-ES_tradnl"/>
        </w:rPr>
      </w:pPr>
      <w:r w:rsidRPr="00401715">
        <w:rPr>
          <w:rFonts w:ascii="Verdana" w:eastAsia="Times New Roman" w:hAnsi="Verdana" w:cs="Arial"/>
          <w:sz w:val="20"/>
          <w:szCs w:val="20"/>
          <w:lang w:eastAsia="es-CO"/>
        </w:rPr>
        <w:t xml:space="preserve">De esta manera, conforme a lo dispuesto en la Circular referida, si se suscriben </w:t>
      </w:r>
      <w:r w:rsidRPr="00401715">
        <w:rPr>
          <w:rFonts w:ascii="Verdana" w:eastAsia="Times New Roman" w:hAnsi="Verdana" w:cs="Arial"/>
          <w:i/>
          <w:iCs/>
          <w:sz w:val="20"/>
          <w:szCs w:val="20"/>
          <w:lang w:eastAsia="es-CO"/>
        </w:rPr>
        <w:t>convenios interadministrativos para la ejecución de recursos públicos</w:t>
      </w:r>
      <w:r w:rsidRPr="00401715">
        <w:rPr>
          <w:rFonts w:ascii="Verdana" w:eastAsia="Times New Roman" w:hAnsi="Verdana" w:cs="Arial"/>
          <w:sz w:val="20"/>
          <w:szCs w:val="20"/>
          <w:lang w:eastAsia="es-CO"/>
        </w:rPr>
        <w:t xml:space="preserve"> por los alcaldes, gobernadores, secretarios, gerentes y directores de las entidades del orden municipal, departamental o distrital, aplicará la prohibición del parágrafo del artículo 38 </w:t>
      </w:r>
      <w:r w:rsidRPr="00401715">
        <w:rPr>
          <w:rFonts w:ascii="Verdana" w:eastAsia="Times New Roman" w:hAnsi="Verdana" w:cs="Arial"/>
          <w:i/>
          <w:iCs/>
          <w:sz w:val="20"/>
          <w:szCs w:val="20"/>
          <w:lang w:eastAsia="es-CO"/>
        </w:rPr>
        <w:t>ibidem</w:t>
      </w:r>
      <w:r w:rsidRPr="00401715">
        <w:rPr>
          <w:rFonts w:ascii="Verdana" w:eastAsia="Times New Roman" w:hAnsi="Verdana" w:cs="Arial"/>
          <w:sz w:val="20"/>
          <w:szCs w:val="20"/>
          <w:lang w:eastAsia="es-CO"/>
        </w:rPr>
        <w:t>, independientemente de que se configure alguno de los supuestos de excepción que señaló el inciso final del artículo 33.</w:t>
      </w:r>
    </w:p>
    <w:p w14:paraId="410F181A" w14:textId="77777777" w:rsidR="00072A40" w:rsidRDefault="00072A40" w:rsidP="00072A40">
      <w:pPr>
        <w:spacing w:after="0" w:line="240" w:lineRule="auto"/>
        <w:ind w:firstLine="709"/>
        <w:jc w:val="both"/>
        <w:rPr>
          <w:rFonts w:ascii="Verdana" w:eastAsia="Calibri" w:hAnsi="Verdana" w:cs="Arial"/>
          <w:lang w:val="es-ES"/>
        </w:rPr>
      </w:pPr>
    </w:p>
    <w:p w14:paraId="7B1C837F" w14:textId="77777777" w:rsidR="00072A40" w:rsidRPr="00401715" w:rsidRDefault="00072A40" w:rsidP="00072A40">
      <w:pPr>
        <w:spacing w:after="0" w:line="240" w:lineRule="auto"/>
        <w:jc w:val="both"/>
        <w:rPr>
          <w:rFonts w:ascii="Verdana" w:hAnsi="Verdana" w:cs="Arial"/>
          <w:b/>
          <w:bCs/>
          <w:color w:val="000000" w:themeColor="text1"/>
        </w:rPr>
      </w:pPr>
      <w:r w:rsidRPr="00401715">
        <w:rPr>
          <w:rFonts w:ascii="Verdana" w:hAnsi="Verdana" w:cs="Arial"/>
          <w:b/>
          <w:bCs/>
          <w:color w:val="000000" w:themeColor="text1"/>
        </w:rPr>
        <w:t xml:space="preserve">CONSEJO DE ESTADO </w:t>
      </w:r>
      <w:r>
        <w:rPr>
          <w:rFonts w:ascii="Verdana" w:hAnsi="Verdana" w:cs="Arial"/>
          <w:b/>
          <w:bCs/>
          <w:color w:val="000000" w:themeColor="text1"/>
        </w:rPr>
        <w:t>- P</w:t>
      </w:r>
      <w:r w:rsidRPr="00401715">
        <w:rPr>
          <w:rFonts w:ascii="Verdana" w:hAnsi="Verdana" w:cs="Arial"/>
          <w:b/>
          <w:bCs/>
          <w:color w:val="000000" w:themeColor="text1"/>
        </w:rPr>
        <w:t xml:space="preserve">osición </w:t>
      </w:r>
    </w:p>
    <w:p w14:paraId="0FED881D" w14:textId="77777777" w:rsidR="00072A40" w:rsidRDefault="00072A40" w:rsidP="00072A40">
      <w:pPr>
        <w:spacing w:after="0" w:line="240" w:lineRule="auto"/>
        <w:jc w:val="both"/>
        <w:rPr>
          <w:rFonts w:ascii="Verdana" w:hAnsi="Verdana" w:cs="Arial"/>
          <w:color w:val="000000" w:themeColor="text1"/>
        </w:rPr>
      </w:pPr>
    </w:p>
    <w:p w14:paraId="268B8672" w14:textId="77777777" w:rsidR="00072A40" w:rsidRPr="00401715" w:rsidRDefault="00072A40" w:rsidP="00072A40">
      <w:pPr>
        <w:spacing w:after="0" w:line="240" w:lineRule="auto"/>
        <w:jc w:val="both"/>
        <w:rPr>
          <w:rFonts w:ascii="Verdana" w:hAnsi="Verdana" w:cs="Arial"/>
          <w:color w:val="000000" w:themeColor="text1"/>
          <w:sz w:val="20"/>
          <w:szCs w:val="20"/>
        </w:rPr>
      </w:pPr>
      <w:r w:rsidRPr="00401715">
        <w:rPr>
          <w:rFonts w:ascii="Verdana" w:hAnsi="Verdana" w:cs="Arial"/>
          <w:color w:val="000000" w:themeColor="text1"/>
          <w:sz w:val="20"/>
          <w:szCs w:val="20"/>
        </w:rPr>
        <w:t xml:space="preserve">[…] mediante sentencia del 17 de octubre de 2025, emitida por la Sección Tercera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51B188F2" w14:textId="77777777" w:rsidR="00072A40" w:rsidRPr="00401715" w:rsidRDefault="00072A40" w:rsidP="00072A40">
      <w:pPr>
        <w:spacing w:after="0" w:line="240" w:lineRule="auto"/>
        <w:jc w:val="both"/>
        <w:rPr>
          <w:rFonts w:ascii="Verdana" w:hAnsi="Verdana" w:cs="Arial"/>
          <w:color w:val="000000" w:themeColor="text1"/>
          <w:sz w:val="20"/>
          <w:szCs w:val="20"/>
        </w:rPr>
      </w:pPr>
    </w:p>
    <w:p w14:paraId="22DF9B56" w14:textId="77777777" w:rsidR="00072A40" w:rsidRDefault="00072A40" w:rsidP="00072A40">
      <w:pPr>
        <w:spacing w:after="0" w:line="240" w:lineRule="auto"/>
        <w:jc w:val="both"/>
        <w:rPr>
          <w:rFonts w:ascii="Verdana" w:hAnsi="Verdana" w:cs="Arial"/>
          <w:color w:val="000000" w:themeColor="text1"/>
          <w:sz w:val="20"/>
          <w:szCs w:val="20"/>
        </w:rPr>
      </w:pPr>
      <w:r w:rsidRPr="00401715">
        <w:rPr>
          <w:rFonts w:ascii="Verdana" w:hAnsi="Verdana" w:cs="Arial"/>
          <w:color w:val="000000" w:themeColor="text1"/>
          <w:sz w:val="20"/>
          <w:szCs w:val="20"/>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w:t>
      </w:r>
    </w:p>
    <w:p w14:paraId="7756E989" w14:textId="77777777" w:rsidR="00072A40" w:rsidRDefault="00072A40" w:rsidP="00072A40">
      <w:pPr>
        <w:spacing w:after="0" w:line="240" w:lineRule="auto"/>
        <w:jc w:val="both"/>
        <w:rPr>
          <w:rFonts w:ascii="Verdana" w:hAnsi="Verdana" w:cs="Arial"/>
          <w:color w:val="000000" w:themeColor="text1"/>
          <w:sz w:val="20"/>
          <w:szCs w:val="20"/>
        </w:rPr>
      </w:pPr>
    </w:p>
    <w:p w14:paraId="5C4A2EEB" w14:textId="77777777" w:rsidR="00072A40" w:rsidRPr="00401715" w:rsidRDefault="00072A40" w:rsidP="00072A40">
      <w:pPr>
        <w:spacing w:after="0" w:line="240" w:lineRule="auto"/>
        <w:jc w:val="both"/>
        <w:rPr>
          <w:rFonts w:ascii="Verdana" w:eastAsia="Calibri" w:hAnsi="Verdana" w:cs="Arial"/>
          <w:b/>
          <w:bCs/>
          <w:lang w:eastAsia="es-ES"/>
        </w:rPr>
      </w:pPr>
    </w:p>
    <w:p w14:paraId="24F6DAD8" w14:textId="77777777" w:rsidR="00072A40" w:rsidRPr="00401715" w:rsidRDefault="00072A40" w:rsidP="00072A40">
      <w:pPr>
        <w:spacing w:after="0" w:line="240" w:lineRule="auto"/>
        <w:jc w:val="both"/>
        <w:rPr>
          <w:rFonts w:ascii="Verdana" w:eastAsia="Calibri" w:hAnsi="Verdana" w:cs="Arial"/>
          <w:b/>
          <w:bCs/>
          <w:lang w:eastAsia="es-ES"/>
        </w:rPr>
      </w:pPr>
    </w:p>
    <w:p w14:paraId="2D365268" w14:textId="77777777" w:rsidR="00072A40" w:rsidRDefault="00072A40" w:rsidP="00072A40">
      <w:pPr>
        <w:spacing w:after="0" w:line="240" w:lineRule="auto"/>
        <w:jc w:val="both"/>
        <w:rPr>
          <w:rFonts w:ascii="Verdana" w:eastAsia="Calibri" w:hAnsi="Verdana" w:cs="Arial"/>
          <w:lang w:eastAsia="es-ES"/>
        </w:rPr>
      </w:pPr>
    </w:p>
    <w:p w14:paraId="180433A1" w14:textId="77777777" w:rsidR="00072A40" w:rsidRDefault="00072A40" w:rsidP="00072A40">
      <w:pPr>
        <w:spacing w:after="0" w:line="240" w:lineRule="auto"/>
        <w:jc w:val="both"/>
        <w:rPr>
          <w:rFonts w:ascii="Verdana" w:eastAsia="Calibri" w:hAnsi="Verdana" w:cs="Arial"/>
          <w:lang w:eastAsia="es-ES"/>
        </w:rPr>
      </w:pPr>
    </w:p>
    <w:p w14:paraId="743D64C7" w14:textId="77777777" w:rsidR="00072A40" w:rsidRDefault="00072A40" w:rsidP="00072A40">
      <w:pPr>
        <w:spacing w:after="0" w:line="240" w:lineRule="auto"/>
        <w:jc w:val="both"/>
        <w:rPr>
          <w:rFonts w:ascii="Verdana" w:eastAsia="Calibri" w:hAnsi="Verdana" w:cs="Arial"/>
          <w:lang w:eastAsia="es-ES"/>
        </w:rPr>
      </w:pPr>
    </w:p>
    <w:p w14:paraId="72501675" w14:textId="77777777" w:rsidR="00072A40" w:rsidRDefault="00072A40" w:rsidP="00072A40">
      <w:pPr>
        <w:spacing w:after="0" w:line="240" w:lineRule="auto"/>
        <w:jc w:val="both"/>
        <w:rPr>
          <w:rFonts w:ascii="Verdana" w:eastAsia="Calibri" w:hAnsi="Verdana" w:cs="Arial"/>
          <w:lang w:eastAsia="es-ES"/>
        </w:rPr>
      </w:pPr>
    </w:p>
    <w:p w14:paraId="057A8390" w14:textId="77777777" w:rsidR="00072A40" w:rsidRDefault="00072A40" w:rsidP="00072A40">
      <w:pPr>
        <w:spacing w:after="0" w:line="240" w:lineRule="auto"/>
        <w:jc w:val="both"/>
        <w:rPr>
          <w:rFonts w:ascii="Verdana" w:eastAsia="Calibri" w:hAnsi="Verdana" w:cs="Arial"/>
          <w:lang w:eastAsia="es-ES"/>
        </w:rPr>
      </w:pPr>
    </w:p>
    <w:p w14:paraId="4815E4EF" w14:textId="77777777" w:rsidR="00072A40" w:rsidRDefault="00072A40" w:rsidP="00072A40">
      <w:pPr>
        <w:spacing w:after="0" w:line="240" w:lineRule="auto"/>
        <w:jc w:val="both"/>
        <w:rPr>
          <w:rFonts w:ascii="Verdana" w:eastAsia="Calibri" w:hAnsi="Verdana" w:cs="Arial"/>
          <w:lang w:eastAsia="es-ES"/>
        </w:rPr>
      </w:pPr>
    </w:p>
    <w:p w14:paraId="0AFC7274" w14:textId="77777777" w:rsidR="00072A40" w:rsidRDefault="00072A40" w:rsidP="00072A40">
      <w:pPr>
        <w:spacing w:after="0" w:line="240" w:lineRule="auto"/>
        <w:jc w:val="both"/>
        <w:rPr>
          <w:rFonts w:ascii="Verdana" w:eastAsia="Calibri" w:hAnsi="Verdana" w:cs="Arial"/>
          <w:lang w:eastAsia="es-ES"/>
        </w:rPr>
      </w:pPr>
    </w:p>
    <w:p w14:paraId="11BF8683" w14:textId="77777777" w:rsidR="00072A40" w:rsidRDefault="00072A40" w:rsidP="00072A40">
      <w:pPr>
        <w:spacing w:after="0" w:line="240" w:lineRule="auto"/>
        <w:jc w:val="both"/>
        <w:rPr>
          <w:rFonts w:ascii="Verdana" w:eastAsia="Calibri" w:hAnsi="Verdana" w:cs="Arial"/>
          <w:lang w:eastAsia="es-ES"/>
        </w:rPr>
      </w:pPr>
    </w:p>
    <w:p w14:paraId="7B98162B" w14:textId="77777777" w:rsidR="00072A40" w:rsidRDefault="00072A40" w:rsidP="00072A40">
      <w:pPr>
        <w:spacing w:after="0" w:line="240" w:lineRule="auto"/>
        <w:jc w:val="both"/>
        <w:rPr>
          <w:rFonts w:ascii="Verdana" w:eastAsia="Calibri" w:hAnsi="Verdana" w:cs="Arial"/>
          <w:lang w:eastAsia="es-ES"/>
        </w:rPr>
      </w:pPr>
    </w:p>
    <w:p w14:paraId="149773DF" w14:textId="77777777" w:rsidR="00072A40" w:rsidRDefault="00072A40" w:rsidP="00072A40">
      <w:pPr>
        <w:spacing w:after="0" w:line="240" w:lineRule="auto"/>
        <w:jc w:val="both"/>
        <w:rPr>
          <w:rFonts w:ascii="Verdana" w:eastAsia="Calibri" w:hAnsi="Verdana" w:cs="Arial"/>
          <w:lang w:eastAsia="es-ES"/>
        </w:rPr>
      </w:pPr>
    </w:p>
    <w:p w14:paraId="1144FC6B" w14:textId="77777777" w:rsidR="00072A40" w:rsidRDefault="00072A40" w:rsidP="00072A40">
      <w:pPr>
        <w:spacing w:after="0" w:line="240" w:lineRule="auto"/>
        <w:jc w:val="both"/>
        <w:rPr>
          <w:rFonts w:ascii="Verdana" w:eastAsia="Calibri" w:hAnsi="Verdana" w:cs="Arial"/>
          <w:lang w:eastAsia="es-ES"/>
        </w:rPr>
      </w:pPr>
    </w:p>
    <w:p w14:paraId="1E945683" w14:textId="77777777" w:rsidR="00072A40" w:rsidRDefault="00072A40" w:rsidP="00072A40">
      <w:pPr>
        <w:spacing w:after="0" w:line="240" w:lineRule="auto"/>
        <w:jc w:val="both"/>
        <w:rPr>
          <w:rFonts w:ascii="Verdana" w:eastAsia="Calibri" w:hAnsi="Verdana" w:cs="Arial"/>
          <w:lang w:eastAsia="es-ES"/>
        </w:rPr>
      </w:pPr>
    </w:p>
    <w:p w14:paraId="3BC79790" w14:textId="77777777" w:rsidR="00072A40" w:rsidRDefault="00072A40" w:rsidP="00072A40">
      <w:pPr>
        <w:spacing w:after="0" w:line="240" w:lineRule="auto"/>
        <w:jc w:val="both"/>
        <w:rPr>
          <w:rFonts w:ascii="Verdana" w:eastAsia="Calibri" w:hAnsi="Verdana" w:cs="Arial"/>
          <w:lang w:eastAsia="es-ES"/>
        </w:rPr>
      </w:pPr>
    </w:p>
    <w:p w14:paraId="730E3D16" w14:textId="77777777" w:rsidR="00072A40" w:rsidRDefault="00072A40" w:rsidP="00072A40">
      <w:pPr>
        <w:spacing w:after="0" w:line="240" w:lineRule="auto"/>
        <w:jc w:val="both"/>
        <w:rPr>
          <w:rFonts w:ascii="Verdana" w:eastAsia="Calibri" w:hAnsi="Verdana" w:cs="Arial"/>
          <w:lang w:eastAsia="es-ES"/>
        </w:rPr>
      </w:pPr>
    </w:p>
    <w:p w14:paraId="044A63AA" w14:textId="77777777" w:rsidR="00072A40" w:rsidRDefault="00072A40" w:rsidP="00072A40">
      <w:pPr>
        <w:spacing w:after="0" w:line="240" w:lineRule="auto"/>
        <w:jc w:val="both"/>
        <w:rPr>
          <w:rFonts w:ascii="Verdana" w:eastAsia="Calibri" w:hAnsi="Verdana" w:cs="Arial"/>
          <w:lang w:eastAsia="es-ES"/>
        </w:rPr>
      </w:pPr>
    </w:p>
    <w:p w14:paraId="34DE2F2D" w14:textId="746FD3D3" w:rsidR="00072A40" w:rsidRPr="007E27D9" w:rsidRDefault="00072A40" w:rsidP="00072A40">
      <w:pPr>
        <w:spacing w:after="0" w:line="240" w:lineRule="auto"/>
        <w:jc w:val="both"/>
        <w:rPr>
          <w:rFonts w:ascii="Verdana" w:eastAsia="Calibri" w:hAnsi="Verdana" w:cs="Arial"/>
          <w:lang w:eastAsia="es-ES"/>
        </w:rPr>
      </w:pPr>
      <w:r w:rsidRPr="007E27D9">
        <w:rPr>
          <w:rFonts w:ascii="Verdana" w:eastAsia="Calibri" w:hAnsi="Verdana" w:cs="Arial"/>
          <w:lang w:eastAsia="es-ES"/>
        </w:rPr>
        <w:lastRenderedPageBreak/>
        <w:t xml:space="preserve">Bogotá D.C., </w:t>
      </w:r>
      <w:r w:rsidR="00924422">
        <w:rPr>
          <w:rFonts w:ascii="Verdana" w:eastAsia="Calibri" w:hAnsi="Verdana" w:cs="Arial"/>
          <w:lang w:eastAsia="es-ES"/>
        </w:rPr>
        <w:t>8 mayo 2026</w:t>
      </w:r>
    </w:p>
    <w:p w14:paraId="4AC49096" w14:textId="25184EC0" w:rsidR="00072A40" w:rsidRDefault="00133005" w:rsidP="00072A40">
      <w:pPr>
        <w:spacing w:after="0" w:line="240" w:lineRule="auto"/>
        <w:jc w:val="both"/>
        <w:rPr>
          <w:rFonts w:ascii="Verdana" w:eastAsia="Calibri" w:hAnsi="Verdana" w:cs="Arial"/>
          <w:lang w:eastAsia="es-ES"/>
        </w:rPr>
      </w:pPr>
      <w:r w:rsidRPr="00133005">
        <w:rPr>
          <w:rFonts w:ascii="Verdana" w:eastAsia="Calibri" w:hAnsi="Verdana" w:cs="Arial"/>
          <w:b/>
          <w:bCs/>
          <w:noProof/>
          <w:lang w:eastAsia="es-ES"/>
        </w:rPr>
        <w:drawing>
          <wp:anchor distT="0" distB="0" distL="114300" distR="114300" simplePos="0" relativeHeight="251658240" behindDoc="1" locked="0" layoutInCell="1" allowOverlap="1" wp14:anchorId="3D52DF51" wp14:editId="44817957">
            <wp:simplePos x="0" y="0"/>
            <wp:positionH relativeFrom="margin">
              <wp:posOffset>3408218</wp:posOffset>
            </wp:positionH>
            <wp:positionV relativeFrom="paragraph">
              <wp:posOffset>114210</wp:posOffset>
            </wp:positionV>
            <wp:extent cx="2541270" cy="704215"/>
            <wp:effectExtent l="0" t="0" r="0" b="635"/>
            <wp:wrapTight wrapText="bothSides">
              <wp:wrapPolygon edited="0">
                <wp:start x="0" y="0"/>
                <wp:lineTo x="0" y="21035"/>
                <wp:lineTo x="21373" y="21035"/>
                <wp:lineTo x="21373" y="0"/>
                <wp:lineTo x="0" y="0"/>
              </wp:wrapPolygon>
            </wp:wrapTight>
            <wp:docPr id="3463139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1270" cy="704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EBB004" w14:textId="297A3356" w:rsidR="00072A40" w:rsidRDefault="00072A40" w:rsidP="00072A40">
      <w:pPr>
        <w:spacing w:after="0" w:line="240" w:lineRule="auto"/>
        <w:jc w:val="both"/>
        <w:rPr>
          <w:rFonts w:ascii="Verdana" w:eastAsia="Calibri" w:hAnsi="Verdana" w:cs="Arial"/>
          <w:b/>
          <w:bCs/>
          <w:lang w:eastAsia="es-ES"/>
        </w:rPr>
      </w:pPr>
      <w:r>
        <w:rPr>
          <w:rFonts w:ascii="Verdana" w:eastAsia="Calibri" w:hAnsi="Verdana" w:cs="Arial"/>
          <w:b/>
          <w:bCs/>
          <w:lang w:eastAsia="es-ES"/>
        </w:rPr>
        <w:t>Señor</w:t>
      </w:r>
    </w:p>
    <w:p w14:paraId="79CC8E5F" w14:textId="42E9F993" w:rsidR="00072A40" w:rsidRDefault="00072A40" w:rsidP="00072A40">
      <w:pPr>
        <w:spacing w:after="0" w:line="240" w:lineRule="auto"/>
        <w:jc w:val="both"/>
        <w:rPr>
          <w:rFonts w:ascii="Verdana" w:eastAsia="Calibri" w:hAnsi="Verdana" w:cs="Arial"/>
          <w:b/>
          <w:bCs/>
          <w:lang w:eastAsia="es-ES"/>
        </w:rPr>
      </w:pPr>
      <w:r w:rsidRPr="00FD5426">
        <w:rPr>
          <w:rFonts w:ascii="Verdana" w:eastAsia="Calibri" w:hAnsi="Verdana" w:cs="Arial"/>
          <w:b/>
          <w:bCs/>
          <w:lang w:eastAsia="es-ES"/>
        </w:rPr>
        <w:t xml:space="preserve">FERNANDO MAURICIO IGLESIAS GAONA </w:t>
      </w:r>
    </w:p>
    <w:p w14:paraId="377EDBB5" w14:textId="77777777" w:rsidR="00072A40" w:rsidRDefault="00072A40" w:rsidP="00072A40">
      <w:pPr>
        <w:spacing w:after="0" w:line="240" w:lineRule="auto"/>
        <w:jc w:val="both"/>
        <w:rPr>
          <w:rFonts w:ascii="Verdana" w:hAnsi="Verdana"/>
        </w:rPr>
      </w:pPr>
      <w:hyperlink r:id="rId8" w:history="1">
        <w:r w:rsidRPr="003461E2">
          <w:rPr>
            <w:rStyle w:val="Hipervnculo"/>
            <w:rFonts w:ascii="Verdana" w:hAnsi="Verdana"/>
          </w:rPr>
          <w:t>frenandoiglesias@gmail.com</w:t>
        </w:r>
      </w:hyperlink>
    </w:p>
    <w:p w14:paraId="18BF78B6" w14:textId="77777777" w:rsidR="00072A40" w:rsidRPr="003F658D" w:rsidRDefault="00072A40" w:rsidP="00072A40">
      <w:pPr>
        <w:spacing w:after="0" w:line="240" w:lineRule="auto"/>
        <w:jc w:val="both"/>
        <w:rPr>
          <w:rFonts w:ascii="Verdana" w:hAnsi="Verdana"/>
          <w:lang w:val="it-CH"/>
        </w:rPr>
      </w:pPr>
      <w:r>
        <w:rPr>
          <w:rFonts w:ascii="Verdana" w:hAnsi="Verdana"/>
          <w:lang w:val="it-CH"/>
        </w:rPr>
        <w:t xml:space="preserve">Ciudad </w:t>
      </w:r>
    </w:p>
    <w:p w14:paraId="04869C50" w14:textId="77777777" w:rsidR="00072A40" w:rsidRPr="003F658D" w:rsidRDefault="00072A40" w:rsidP="00072A40">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72A40" w:rsidRPr="005644FE" w14:paraId="699DA1A1" w14:textId="77777777" w:rsidTr="008C696A">
        <w:trPr>
          <w:trHeight w:val="162"/>
        </w:trPr>
        <w:tc>
          <w:tcPr>
            <w:tcW w:w="3119" w:type="dxa"/>
          </w:tcPr>
          <w:p w14:paraId="3B275366" w14:textId="77777777" w:rsidR="00072A40" w:rsidRPr="003F658D" w:rsidRDefault="00072A40" w:rsidP="008C696A">
            <w:pPr>
              <w:jc w:val="both"/>
              <w:rPr>
                <w:rFonts w:ascii="Verdana" w:eastAsia="Calibri" w:hAnsi="Verdana" w:cs="Arial"/>
                <w:b/>
                <w:bCs/>
                <w:color w:val="7030A0"/>
                <w:lang w:val="it-CH" w:eastAsia="es-ES_tradnl"/>
              </w:rPr>
            </w:pPr>
          </w:p>
        </w:tc>
        <w:tc>
          <w:tcPr>
            <w:tcW w:w="5670" w:type="dxa"/>
          </w:tcPr>
          <w:p w14:paraId="6EB73B94" w14:textId="77777777" w:rsidR="00072A40" w:rsidRPr="005644FE" w:rsidRDefault="00072A40" w:rsidP="008C696A">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506 de 2026</w:t>
            </w:r>
          </w:p>
          <w:p w14:paraId="0675A091" w14:textId="77777777" w:rsidR="00072A40" w:rsidRPr="005644FE" w:rsidRDefault="00072A40" w:rsidP="008C696A">
            <w:pPr>
              <w:jc w:val="both"/>
              <w:rPr>
                <w:rFonts w:ascii="Verdana" w:eastAsia="Calibri" w:hAnsi="Verdana" w:cs="Arial"/>
                <w:b/>
                <w:bCs/>
                <w:color w:val="7030A0"/>
                <w:lang w:eastAsia="es-ES"/>
              </w:rPr>
            </w:pPr>
          </w:p>
        </w:tc>
      </w:tr>
      <w:tr w:rsidR="00072A40" w:rsidRPr="005644FE" w14:paraId="79E1C979" w14:textId="77777777" w:rsidTr="008C696A">
        <w:trPr>
          <w:trHeight w:val="884"/>
        </w:trPr>
        <w:tc>
          <w:tcPr>
            <w:tcW w:w="3119" w:type="dxa"/>
          </w:tcPr>
          <w:p w14:paraId="5F4E9E37" w14:textId="77777777" w:rsidR="00072A40" w:rsidRPr="005644FE" w:rsidRDefault="00072A40" w:rsidP="008C696A">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66188011" w14:textId="77777777" w:rsidR="00072A40" w:rsidRDefault="00072A40" w:rsidP="008C696A">
            <w:pPr>
              <w:spacing w:line="276" w:lineRule="auto"/>
              <w:jc w:val="both"/>
              <w:rPr>
                <w:rFonts w:ascii="Verdana" w:hAnsi="Verdana" w:cs="Arial"/>
                <w:color w:val="000000" w:themeColor="text1"/>
              </w:rPr>
            </w:pPr>
            <w:r w:rsidRPr="00937FB6">
              <w:rPr>
                <w:rFonts w:ascii="Verdana" w:hAnsi="Verdana" w:cs="Arial"/>
                <w:color w:val="000000" w:themeColor="text1"/>
              </w:rPr>
              <w:t>LEY DE GARANTÍAS ELECTORALES – Propósito /LEY DE GARANTÍAS ELECTORALES – Prohibiciones – Restricciones / LEY DE GARANTÍAS ELECTORALES – Artículo 33 – Ámbito material / LEY DE GARANTÍAS ELECTORALES – Destinatarios / LEY DE GARANTÍAS ELECTORALES – Excepciones / ley de garantías electorales – Parágrafo del artículo 38 - Alcance / LEY DE GARANTÍAS ELECTORALES – Convenios interadministrativos – Contratos interadministrativos / CONSEJO DE ESTADO posición</w:t>
            </w:r>
          </w:p>
          <w:p w14:paraId="54F5EF15" w14:textId="77777777" w:rsidR="00072A40" w:rsidRPr="00937FB6" w:rsidRDefault="00072A40" w:rsidP="008C696A">
            <w:pPr>
              <w:spacing w:line="276" w:lineRule="auto"/>
              <w:jc w:val="both"/>
              <w:rPr>
                <w:rFonts w:ascii="Verdana" w:hAnsi="Verdana" w:cs="Arial"/>
                <w:color w:val="000000" w:themeColor="text1"/>
              </w:rPr>
            </w:pPr>
          </w:p>
        </w:tc>
      </w:tr>
      <w:tr w:rsidR="00072A40" w:rsidRPr="005644FE" w14:paraId="312C3F5B" w14:textId="77777777" w:rsidTr="008C696A">
        <w:tc>
          <w:tcPr>
            <w:tcW w:w="3119" w:type="dxa"/>
          </w:tcPr>
          <w:p w14:paraId="65FB26C8" w14:textId="77777777" w:rsidR="00072A40" w:rsidRPr="005644FE" w:rsidRDefault="00072A40" w:rsidP="008C696A">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6F0BC25C" w14:textId="77777777" w:rsidR="00072A40" w:rsidRPr="00F04657" w:rsidRDefault="00072A40" w:rsidP="008C696A">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BF6499">
              <w:rPr>
                <w:rFonts w:ascii="Verdana" w:eastAsia="Calibri" w:hAnsi="Verdana" w:cs="Arial"/>
                <w:lang w:eastAsia="es-ES_tradnl"/>
              </w:rPr>
              <w:t>1_2026_03_26_004221</w:t>
            </w:r>
          </w:p>
        </w:tc>
      </w:tr>
    </w:tbl>
    <w:p w14:paraId="09874A52" w14:textId="77777777" w:rsidR="00072A40" w:rsidRPr="005644FE" w:rsidRDefault="00072A40" w:rsidP="00072A40">
      <w:pPr>
        <w:spacing w:after="0" w:line="276" w:lineRule="auto"/>
        <w:jc w:val="both"/>
        <w:rPr>
          <w:rFonts w:ascii="Verdana" w:eastAsia="Calibri" w:hAnsi="Verdana" w:cs="Arial"/>
          <w:lang w:eastAsia="es-ES_tradnl"/>
        </w:rPr>
      </w:pPr>
    </w:p>
    <w:p w14:paraId="263AF179" w14:textId="77777777" w:rsidR="00072A40" w:rsidRPr="005644FE" w:rsidRDefault="00072A40" w:rsidP="00072A40">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Iglesias: </w:t>
      </w:r>
    </w:p>
    <w:p w14:paraId="3E4E85F3" w14:textId="77777777" w:rsidR="00072A40" w:rsidRPr="00E02524" w:rsidRDefault="00072A40" w:rsidP="00072A40">
      <w:pPr>
        <w:spacing w:after="0"/>
        <w:jc w:val="both"/>
        <w:rPr>
          <w:rFonts w:ascii="Verdana" w:hAnsi="Verdana"/>
          <w:lang w:val="es-MX"/>
        </w:rPr>
      </w:pPr>
    </w:p>
    <w:p w14:paraId="657590B2" w14:textId="77777777" w:rsidR="00072A40" w:rsidRDefault="00072A40" w:rsidP="00072A40">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r w:rsidRPr="00E02524">
        <w:rPr>
          <w:rFonts w:ascii="Verdana" w:eastAsia="Times New Roman" w:hAnsi="Verdana" w:cs="Segoe UI"/>
          <w:lang w:eastAsia="es-CO"/>
        </w:rPr>
        <w:t xml:space="preserve">N°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 xml:space="preserve">26 de marzo de 2026, </w:t>
      </w:r>
      <w:r w:rsidRPr="005644FE">
        <w:rPr>
          <w:rFonts w:ascii="Verdana" w:eastAsia="Calibri" w:hAnsi="Verdana" w:cs="Arial"/>
          <w:lang w:eastAsia="es-ES"/>
        </w:rPr>
        <w:t>en la cual manifiesta lo siguiente:</w:t>
      </w:r>
    </w:p>
    <w:p w14:paraId="6A3CD933" w14:textId="77777777" w:rsidR="00072A40" w:rsidRDefault="00072A40" w:rsidP="00072A40">
      <w:pPr>
        <w:spacing w:after="0"/>
        <w:jc w:val="both"/>
        <w:rPr>
          <w:rFonts w:ascii="Verdana" w:hAnsi="Verdana"/>
        </w:rPr>
      </w:pPr>
      <w:r w:rsidRPr="00E02524">
        <w:rPr>
          <w:rFonts w:ascii="Verdana" w:hAnsi="Verdana"/>
        </w:rPr>
        <w:t xml:space="preserve">PETICIÓN REALIZADA </w:t>
      </w:r>
    </w:p>
    <w:p w14:paraId="3B655FE1" w14:textId="77777777" w:rsidR="00072A40" w:rsidRPr="008E5B36" w:rsidRDefault="00072A40" w:rsidP="00072A40">
      <w:pPr>
        <w:spacing w:after="0" w:line="240" w:lineRule="auto"/>
        <w:jc w:val="both"/>
        <w:rPr>
          <w:rFonts w:ascii="Verdana" w:hAnsi="Verdana"/>
        </w:rPr>
      </w:pPr>
    </w:p>
    <w:p w14:paraId="3B1C1939" w14:textId="77777777" w:rsidR="00072A40" w:rsidRPr="00594153" w:rsidRDefault="00072A40" w:rsidP="00072A40">
      <w:pPr>
        <w:spacing w:after="0" w:line="240" w:lineRule="auto"/>
        <w:ind w:left="567" w:right="616"/>
        <w:jc w:val="both"/>
        <w:rPr>
          <w:rFonts w:ascii="Verdana" w:hAnsi="Verdana"/>
          <w:sz w:val="20"/>
          <w:szCs w:val="20"/>
        </w:rPr>
      </w:pPr>
      <w:r>
        <w:rPr>
          <w:rFonts w:ascii="Verdana" w:hAnsi="Verdana"/>
          <w:sz w:val="20"/>
          <w:szCs w:val="20"/>
        </w:rPr>
        <w:t xml:space="preserve">“(…) </w:t>
      </w:r>
      <w:r w:rsidRPr="005B5877">
        <w:rPr>
          <w:rFonts w:ascii="Verdana" w:hAnsi="Verdana"/>
          <w:sz w:val="20"/>
          <w:szCs w:val="20"/>
        </w:rPr>
        <w:t>Una entidad publica, puede contratar directamente a otra</w:t>
      </w:r>
      <w:r>
        <w:rPr>
          <w:rFonts w:ascii="Verdana" w:hAnsi="Verdana"/>
          <w:sz w:val="20"/>
          <w:szCs w:val="20"/>
        </w:rPr>
        <w:t xml:space="preserve"> </w:t>
      </w:r>
      <w:r w:rsidRPr="005B5877">
        <w:rPr>
          <w:rFonts w:ascii="Verdana" w:hAnsi="Verdana"/>
          <w:sz w:val="20"/>
          <w:szCs w:val="20"/>
        </w:rPr>
        <w:t>entidad publica para que le realice un dictamen pericial dentro</w:t>
      </w:r>
      <w:r>
        <w:rPr>
          <w:rFonts w:ascii="Verdana" w:hAnsi="Verdana"/>
          <w:sz w:val="20"/>
          <w:szCs w:val="20"/>
        </w:rPr>
        <w:t xml:space="preserve"> </w:t>
      </w:r>
      <w:r w:rsidRPr="005B5877">
        <w:rPr>
          <w:rFonts w:ascii="Verdana" w:hAnsi="Verdana"/>
          <w:sz w:val="20"/>
          <w:szCs w:val="20"/>
        </w:rPr>
        <w:t xml:space="preserve">de un proceso judicial, </w:t>
      </w:r>
      <w:r w:rsidRPr="005B5877">
        <w:rPr>
          <w:rFonts w:ascii="Verdana" w:hAnsi="Verdana"/>
          <w:sz w:val="20"/>
          <w:szCs w:val="20"/>
        </w:rPr>
        <w:lastRenderedPageBreak/>
        <w:t>en época preelectoral del articulo 33</w:t>
      </w:r>
      <w:r>
        <w:rPr>
          <w:rFonts w:ascii="Verdana" w:hAnsi="Verdana"/>
          <w:sz w:val="20"/>
          <w:szCs w:val="20"/>
        </w:rPr>
        <w:t xml:space="preserve"> </w:t>
      </w:r>
      <w:r w:rsidRPr="005B5877">
        <w:rPr>
          <w:rFonts w:ascii="Verdana" w:hAnsi="Verdana"/>
          <w:sz w:val="20"/>
          <w:szCs w:val="20"/>
        </w:rPr>
        <w:t>de la Ley 996 de 2005, es decir, en restriccion de la ley de</w:t>
      </w:r>
      <w:r>
        <w:rPr>
          <w:rFonts w:ascii="Verdana" w:hAnsi="Verdana"/>
          <w:sz w:val="20"/>
          <w:szCs w:val="20"/>
        </w:rPr>
        <w:t xml:space="preserve"> </w:t>
      </w:r>
      <w:r w:rsidRPr="005B5877">
        <w:rPr>
          <w:rFonts w:ascii="Verdana" w:hAnsi="Verdana"/>
          <w:sz w:val="20"/>
          <w:szCs w:val="20"/>
        </w:rPr>
        <w:t xml:space="preserve">garantias?: </w:t>
      </w:r>
      <w:r w:rsidRPr="00FC1BE4">
        <w:rPr>
          <w:rFonts w:ascii="Verdana" w:hAnsi="Verdana"/>
          <w:sz w:val="20"/>
          <w:szCs w:val="20"/>
        </w:rPr>
        <w:t>(…)”.</w:t>
      </w:r>
    </w:p>
    <w:p w14:paraId="40007B6B" w14:textId="77777777" w:rsidR="00072A40" w:rsidRPr="00763B14" w:rsidRDefault="00072A40" w:rsidP="00072A40">
      <w:pPr>
        <w:spacing w:after="0" w:line="240" w:lineRule="auto"/>
        <w:ind w:left="567" w:right="758"/>
        <w:jc w:val="both"/>
        <w:rPr>
          <w:rFonts w:ascii="Verdana" w:hAnsi="Verdana"/>
          <w:sz w:val="20"/>
          <w:szCs w:val="20"/>
        </w:rPr>
      </w:pPr>
    </w:p>
    <w:p w14:paraId="6D8B9E4C" w14:textId="77777777" w:rsidR="00072A40" w:rsidRPr="00F64722" w:rsidRDefault="00072A40" w:rsidP="00072A40">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044AF11" w14:textId="77777777" w:rsidR="00072A40" w:rsidRPr="009D221F" w:rsidRDefault="00072A40" w:rsidP="00072A40">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w:t>
      </w:r>
      <w:r w:rsidRPr="009D221F">
        <w:rPr>
          <w:rFonts w:ascii="Verdana" w:eastAsia="Calibri" w:hAnsi="Verdana" w:cs="Arial"/>
          <w:color w:val="000000"/>
          <w:lang w:eastAsia="es-ES"/>
        </w:rPr>
        <w:t>consultiva, esto es, haciendo abstracción del caso particular y concreto señalado en su petición, pero señalando algunas consideraciones sobre las normas generales relacionadas al problema jurídico de su consulta.</w:t>
      </w:r>
      <w:r w:rsidRPr="009D221F">
        <w:rPr>
          <w:rFonts w:ascii="Verdana" w:eastAsia="Calibri" w:hAnsi="Verdana" w:cs="Arial"/>
          <w:lang w:eastAsia="es-ES"/>
        </w:rPr>
        <w:t xml:space="preserve">  </w:t>
      </w:r>
    </w:p>
    <w:p w14:paraId="05FCD08F" w14:textId="77777777" w:rsidR="00072A40" w:rsidRPr="009D221F" w:rsidRDefault="00072A40" w:rsidP="00072A40">
      <w:pPr>
        <w:spacing w:after="0" w:line="276" w:lineRule="auto"/>
        <w:ind w:firstLine="709"/>
        <w:jc w:val="both"/>
        <w:rPr>
          <w:rFonts w:ascii="Verdana" w:eastAsia="Calibri" w:hAnsi="Verdana" w:cs="Arial"/>
          <w:lang w:eastAsia="es-ES"/>
        </w:rPr>
      </w:pPr>
    </w:p>
    <w:p w14:paraId="4ED9A5F6" w14:textId="77777777" w:rsidR="00072A40" w:rsidRPr="009D221F" w:rsidRDefault="00072A40" w:rsidP="00072A40">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D221F">
        <w:rPr>
          <w:rFonts w:ascii="Verdana" w:eastAsia="Century Gothic" w:hAnsi="Verdana" w:cs="Century Gothic"/>
          <w:b/>
          <w:bCs/>
        </w:rPr>
        <w:t>Problema planteado:</w:t>
      </w:r>
    </w:p>
    <w:p w14:paraId="0EC0A80F" w14:textId="77777777" w:rsidR="00072A40" w:rsidRPr="009D221F" w:rsidRDefault="00072A40" w:rsidP="00072A40">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0FFC0B30" w14:textId="77777777" w:rsidR="00072A40" w:rsidRDefault="00072A40" w:rsidP="00072A40">
      <w:pPr>
        <w:spacing w:after="0" w:line="276" w:lineRule="auto"/>
        <w:jc w:val="both"/>
        <w:rPr>
          <w:rFonts w:ascii="Verdana" w:eastAsia="Century Gothic" w:hAnsi="Verdana" w:cs="Century Gothic"/>
        </w:rPr>
      </w:pPr>
      <w:r w:rsidRPr="009D221F">
        <w:rPr>
          <w:rFonts w:ascii="Verdana" w:eastAsia="Calibri" w:hAnsi="Verdana" w:cs="Arial"/>
          <w:color w:val="000000"/>
          <w:lang w:eastAsia="es-ES"/>
        </w:rPr>
        <w:t xml:space="preserve">De acuerdo con el contenido de su solicitud, esta Agencia resolverá el siguiente problema jurídico: </w:t>
      </w:r>
      <w:r w:rsidRPr="009D221F">
        <w:rPr>
          <w:rFonts w:ascii="Verdana" w:eastAsia="Century Gothic" w:hAnsi="Verdana" w:cs="Century Gothic"/>
        </w:rPr>
        <w:t>¿</w:t>
      </w:r>
      <w:r>
        <w:rPr>
          <w:rFonts w:ascii="Verdana" w:eastAsia="Century Gothic" w:hAnsi="Verdana" w:cs="Century Gothic"/>
        </w:rPr>
        <w:t xml:space="preserve">Pueden las entidades públicas suscribir contratos interadministrativos en periodo preelectoral cobijado por la Ley de Garantías Electorales? </w:t>
      </w:r>
    </w:p>
    <w:p w14:paraId="5345EBB4" w14:textId="77777777" w:rsidR="00072A40" w:rsidRPr="009E1ACC" w:rsidRDefault="00072A40" w:rsidP="00072A40">
      <w:pPr>
        <w:spacing w:after="0" w:line="276" w:lineRule="auto"/>
        <w:jc w:val="both"/>
        <w:rPr>
          <w:rFonts w:ascii="Verdana" w:eastAsia="Century Gothic" w:hAnsi="Verdana" w:cs="Century Gothic"/>
        </w:rPr>
      </w:pPr>
    </w:p>
    <w:p w14:paraId="3C704C3B" w14:textId="77777777" w:rsidR="00072A40" w:rsidRPr="00B33011" w:rsidRDefault="00072A40" w:rsidP="00072A40">
      <w:pPr>
        <w:spacing w:after="120" w:line="276" w:lineRule="auto"/>
        <w:jc w:val="both"/>
        <w:rPr>
          <w:rFonts w:ascii="Verdana" w:eastAsia="Century Gothic" w:hAnsi="Verdana" w:cs="Century Gothic"/>
          <w:b/>
          <w:bCs/>
        </w:rPr>
      </w:pPr>
      <w:r w:rsidRPr="00B33011">
        <w:rPr>
          <w:rFonts w:ascii="Verdana" w:eastAsia="Century Gothic" w:hAnsi="Verdana" w:cs="Century Gothic"/>
          <w:b/>
          <w:bCs/>
        </w:rPr>
        <w:t>2. Respuesta:</w:t>
      </w:r>
    </w:p>
    <w:p w14:paraId="3B29463B" w14:textId="77777777" w:rsidR="00072A40" w:rsidRPr="005644FE" w:rsidRDefault="00072A40" w:rsidP="00072A40">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072A40" w:rsidRPr="005644FE" w14:paraId="48F78B2B" w14:textId="77777777" w:rsidTr="008C696A">
        <w:tc>
          <w:tcPr>
            <w:tcW w:w="8828" w:type="dxa"/>
          </w:tcPr>
          <w:p w14:paraId="39781442" w14:textId="77777777" w:rsidR="00072A40" w:rsidRPr="006A09E3" w:rsidRDefault="00072A40" w:rsidP="008C696A">
            <w:pPr>
              <w:spacing w:after="120" w:line="276" w:lineRule="auto"/>
              <w:jc w:val="both"/>
              <w:rPr>
                <w:rFonts w:ascii="Verdana" w:eastAsia="Calibri" w:hAnsi="Verdana" w:cs="Arial"/>
                <w:lang w:eastAsia="es-ES"/>
              </w:rPr>
            </w:pPr>
            <w:r w:rsidRPr="006A09E3">
              <w:rPr>
                <w:rFonts w:ascii="Verdana" w:eastAsia="Calibri" w:hAnsi="Verdana" w:cs="Arial"/>
                <w:lang w:eastAsia="es-ES"/>
              </w:rPr>
              <w:t xml:space="preserve">Las restricciones contenidas en el artículo 33 de la Ley 996 de 2005 aplica para “la contratación directa” de todos los entes del Estado, </w:t>
            </w:r>
            <w:r w:rsidRPr="006A09E3">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6A09E3">
              <w:rPr>
                <w:rFonts w:ascii="Verdana" w:eastAsia="Calibri" w:hAnsi="Verdana" w:cs="Arial"/>
                <w:lang w:eastAsia="es-ES"/>
              </w:rPr>
              <w:t xml:space="preserve"> </w:t>
            </w:r>
            <w:r w:rsidRPr="006A09E3">
              <w:rPr>
                <w:rFonts w:ascii="Verdana" w:eastAsia="Calibri" w:hAnsi="Verdana" w:cs="Arial"/>
                <w:lang w:eastAsia="es-ES"/>
              </w:rPr>
              <w:lastRenderedPageBreak/>
              <w:t xml:space="preserve">Se trata de la prohibición de </w:t>
            </w:r>
            <w:r w:rsidRPr="006A09E3">
              <w:rPr>
                <w:rFonts w:ascii="Verdana" w:hAnsi="Verdana" w:cs="Arial"/>
                <w:bCs/>
                <w:lang w:eastAsia="x-none"/>
              </w:rPr>
              <w:t>aquellos contratos en los que no exista un proceso abierto y competitivo.</w:t>
            </w:r>
            <w:r w:rsidRPr="006A09E3">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Adicionalmente, la celebración de la contratación directa </w:t>
            </w:r>
            <w:r w:rsidRPr="006A09E3">
              <w:rPr>
                <w:rFonts w:ascii="Verdana" w:eastAsia="Calibri" w:hAnsi="Verdana" w:cs="Arial"/>
                <w:lang w:eastAsia="es-ES"/>
              </w:rPr>
              <w:t xml:space="preserve">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p>
          <w:p w14:paraId="4EAE051D" w14:textId="77777777" w:rsidR="00072A40" w:rsidRPr="006A09E3" w:rsidRDefault="00072A40" w:rsidP="008C696A">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 xml:space="preserve">Por su parte, la entidad definirá si la contratación que pretende celebrar se enmarca en alguna de las excepciones definidas en el artículo 33 de la Ley 996 de 2005, esto es, que se pretenda cubrir emergencias </w:t>
            </w:r>
            <w:r>
              <w:rPr>
                <w:rFonts w:ascii="Verdana" w:eastAsia="Calibri" w:hAnsi="Verdana" w:cs="Arial"/>
                <w:lang w:eastAsia="es-ES"/>
              </w:rPr>
              <w:t xml:space="preserve">educativas, </w:t>
            </w:r>
            <w:r w:rsidRPr="006A09E3">
              <w:rPr>
                <w:rFonts w:ascii="Verdana" w:eastAsia="Calibri" w:hAnsi="Verdana" w:cs="Arial"/>
                <w:lang w:eastAsia="es-ES"/>
              </w:rPr>
              <w:t>sanitarias</w:t>
            </w:r>
            <w:r>
              <w:rPr>
                <w:rFonts w:ascii="Verdana" w:eastAsia="Calibri" w:hAnsi="Verdana" w:cs="Arial"/>
                <w:lang w:eastAsia="es-ES"/>
              </w:rPr>
              <w:t xml:space="preserve"> o desastres, lo referente a la defensa y seguridad del Estado, y los contratos de crédito público. También, </w:t>
            </w:r>
            <w:r w:rsidRPr="007F1B2A">
              <w:rPr>
                <w:rFonts w:ascii="Verdana" w:eastAsia="Calibri" w:hAnsi="Verdana" w:cs="Arial"/>
                <w:lang w:eastAsia="es-ES"/>
              </w:rPr>
              <w:t>los utilizados para la reconstrucción de vías, puentes, carreteras, infraestructura energética y de comunicaciones, en caso de que hayan sido objeto de atentados, acciones terroristas, desastres naturales o casos de fuerza mayor</w:t>
            </w:r>
            <w:r>
              <w:rPr>
                <w:rFonts w:ascii="Verdana" w:eastAsia="Calibri" w:hAnsi="Verdana" w:cs="Arial"/>
                <w:lang w:eastAsia="es-ES"/>
              </w:rPr>
              <w:t>.</w:t>
            </w:r>
          </w:p>
          <w:p w14:paraId="0506FAE9" w14:textId="77777777" w:rsidR="00072A40" w:rsidRPr="006A09E3" w:rsidRDefault="00072A40" w:rsidP="008C696A">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De otro lado, la restricción definida en el artículo 38 de la Ley 996 de 2005 se refiere a la celebración de convenios interadministrativos para la ejecución de recursos públicos, independientemente de que se configuren los supuestos de excepción que señala en artículo 33 de la misma ley. Actualmente las restricciones del artículo 33 y del artículo 38 de la Ley están en curso, de tal manera que los gobernadores, secretarios, gerentes y directores de las entidades del orden municipal, departamental o distrital no podrán no solo celebrar convenios interadministrativos para la ejecución de recursos sino también cualquier contratación directa.</w:t>
            </w:r>
          </w:p>
          <w:p w14:paraId="77D47A28" w14:textId="77777777" w:rsidR="00072A40" w:rsidRDefault="00072A40" w:rsidP="008C696A">
            <w:pPr>
              <w:spacing w:after="120" w:line="276" w:lineRule="auto"/>
              <w:ind w:firstLine="709"/>
              <w:jc w:val="both"/>
              <w:rPr>
                <w:rFonts w:ascii="Verdana" w:eastAsia="Calibri" w:hAnsi="Verdana" w:cs="Arial"/>
                <w:lang w:eastAsia="es-ES"/>
              </w:rPr>
            </w:pPr>
            <w:r w:rsidRPr="006A09E3">
              <w:rPr>
                <w:rFonts w:ascii="Verdana" w:eastAsia="Calibri" w:hAnsi="Verdana" w:cs="Arial"/>
                <w:lang w:eastAsia="es-ES"/>
              </w:rPr>
              <w:t>Por último, 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w:t>
            </w:r>
            <w:r>
              <w:rPr>
                <w:rFonts w:ascii="Verdana" w:eastAsia="Calibri" w:hAnsi="Verdana" w:cs="Arial"/>
                <w:lang w:eastAsia="es-ES"/>
              </w:rPr>
              <w:t xml:space="preserve"> Cabe resaltar que, e</w:t>
            </w:r>
            <w:r w:rsidRPr="006A09E3">
              <w:rPr>
                <w:rFonts w:ascii="Verdana" w:eastAsia="Calibri" w:hAnsi="Verdana" w:cs="Arial"/>
                <w:lang w:eastAsia="es-ES"/>
              </w:rPr>
              <w:t>specíficamente, en la sentencia del 17 de octubre de 2025, el alto tribunal declaró la nulidad parcial del numeral 16.2 de la Circular Externa Única de 2022</w:t>
            </w:r>
            <w:r>
              <w:rPr>
                <w:rFonts w:ascii="Verdana" w:eastAsia="Calibri" w:hAnsi="Verdana" w:cs="Arial"/>
                <w:lang w:eastAsia="es-ES"/>
              </w:rPr>
              <w:t xml:space="preserve">. </w:t>
            </w:r>
          </w:p>
          <w:p w14:paraId="2D5F559B" w14:textId="77777777" w:rsidR="00072A40" w:rsidRPr="00A65838" w:rsidRDefault="00072A40" w:rsidP="008C696A">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lastRenderedPageBreak/>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“Alcaldes, Gobernadores, Secretarios, Gerentes y Directores de las entidades del orden municipal, departamental o distrital”; así como determinar si lo que pretende adelantar es un convenio interadministrativo para la ejecución de recursos públicos. Cuando este sea el caso, operará la restricción señalada en el parágrafo y estará prohibido llevar a cabo la c</w:t>
            </w:r>
            <w:r>
              <w:rPr>
                <w:rFonts w:ascii="Verdana" w:eastAsia="Arial" w:hAnsi="Verdana" w:cs="Arial"/>
                <w:bCs/>
                <w:color w:val="000000" w:themeColor="text1"/>
              </w:rPr>
              <w:t>elebración</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de convenios interadministrativos </w:t>
            </w:r>
            <w:r w:rsidRPr="00FF007A">
              <w:rPr>
                <w:rFonts w:ascii="Verdana" w:eastAsia="Arial" w:hAnsi="Verdana" w:cs="Arial"/>
                <w:bCs/>
                <w:color w:val="000000" w:themeColor="text1"/>
              </w:rPr>
              <w:t xml:space="preserve">en los cuatro meses anteriores a cualquier contienda electoral. </w:t>
            </w:r>
            <w:r w:rsidRPr="005B0452">
              <w:rPr>
                <w:rFonts w:ascii="Verdana" w:eastAsia="Arial" w:hAnsi="Verdana" w:cs="Arial"/>
                <w:bCs/>
                <w:color w:val="000000" w:themeColor="text1"/>
              </w:rPr>
              <w:t xml:space="preserve">En este aspecto, se encuentra que la restricción para la celebración de convenios interadministrativos para la ejecución de recursos públicos no puede aludirse a contratantes o contratistas, sino de partes cooperantes o colaboradoras. </w:t>
            </w:r>
            <w:r w:rsidRPr="005B0452">
              <w:rPr>
                <w:rFonts w:ascii="Verdana" w:eastAsia="Arial" w:hAnsi="Verdana" w:cs="Arial"/>
                <w:bCs/>
                <w:color w:val="000000" w:themeColor="text1"/>
                <w:lang w:val="es-MX"/>
              </w:rPr>
              <w:t xml:space="preserve">Esta restricción se extiende a las elecciones presidenciales que se celebrarán el 31 de mayo de 2026, así como una posible segunda vuelta tres semanas después, es decir, el 21 de junio de 2026. </w:t>
            </w:r>
          </w:p>
          <w:p w14:paraId="3D63E590" w14:textId="77777777" w:rsidR="00072A40" w:rsidRPr="005B0452" w:rsidRDefault="00072A40" w:rsidP="008C696A">
            <w:pPr>
              <w:spacing w:before="120" w:after="120" w:line="276" w:lineRule="auto"/>
              <w:jc w:val="both"/>
              <w:rPr>
                <w:rFonts w:ascii="Verdana" w:eastAsia="Arial" w:hAnsi="Verdana" w:cs="Arial"/>
                <w:bCs/>
                <w:color w:val="000000" w:themeColor="text1"/>
              </w:rPr>
            </w:pPr>
            <w:r>
              <w:rPr>
                <w:rFonts w:ascii="Verdana" w:eastAsia="Arial" w:hAnsi="Verdana" w:cs="Arial"/>
                <w:bCs/>
                <w:color w:val="000000" w:themeColor="text1"/>
                <w:lang w:val="es-MX"/>
              </w:rPr>
              <w:tab/>
              <w:t xml:space="preserve">En cuanto a la celebración de contratos interadministrativos ya no es aplicable la restricción del parágrafo del artículo 38, según la sentencia precitada en consideraciones previas, pero sujeto a las restricciones del artículo 33 si se adelanta la contratación de forma directa, esto es, un procedimiento no competitivo. </w:t>
            </w:r>
            <w:r w:rsidRPr="005B0452">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3C6A9F60" w14:textId="77777777" w:rsidR="00072A40" w:rsidRDefault="00072A40" w:rsidP="008C696A">
            <w:pPr>
              <w:spacing w:after="120" w:line="276" w:lineRule="auto"/>
              <w:ind w:firstLine="709"/>
              <w:jc w:val="both"/>
              <w:rPr>
                <w:rFonts w:ascii="Verdana" w:hAnsi="Verdana" w:cs="Arial"/>
                <w:lang w:eastAsia="es-CO"/>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 xml:space="preserve">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w:t>
            </w:r>
            <w:r w:rsidRPr="00FF007A">
              <w:rPr>
                <w:rFonts w:ascii="Verdana" w:eastAsia="Calibri" w:hAnsi="Verdana" w:cs="Arial"/>
              </w:rPr>
              <w:lastRenderedPageBreak/>
              <w:t>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w:t>
            </w:r>
          </w:p>
          <w:p w14:paraId="61710C73" w14:textId="77777777" w:rsidR="00072A40" w:rsidRPr="006A09E3" w:rsidRDefault="00072A40" w:rsidP="008C696A">
            <w:pPr>
              <w:spacing w:after="120" w:line="276" w:lineRule="auto"/>
              <w:ind w:firstLine="709"/>
              <w:jc w:val="both"/>
              <w:rPr>
                <w:rFonts w:ascii="Verdana" w:eastAsia="Calibri" w:hAnsi="Verdana" w:cs="Arial"/>
                <w:lang w:val="es-ES" w:eastAsia="es-ES"/>
              </w:rPr>
            </w:pPr>
            <w:r w:rsidRPr="003C6656">
              <w:rPr>
                <w:rStyle w:val="s15"/>
                <w:rFonts w:ascii="Verdana" w:hAnsi="Verdana"/>
                <w:color w:val="000000"/>
              </w:rPr>
              <w:t>Al margen de la explicación</w:t>
            </w:r>
            <w:r w:rsidRPr="00D10E3B">
              <w:rPr>
                <w:rStyle w:val="s15"/>
                <w:rFonts w:ascii="Verdana" w:hAnsi="Verdana"/>
                <w:color w:val="000000"/>
              </w:rPr>
              <w:t xml:space="preserve">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BA2BFF8" w14:textId="77777777" w:rsidR="00072A40" w:rsidRDefault="00072A40" w:rsidP="00072A40">
      <w:pPr>
        <w:tabs>
          <w:tab w:val="left" w:pos="142"/>
          <w:tab w:val="left" w:pos="284"/>
        </w:tabs>
        <w:spacing w:after="0" w:line="276" w:lineRule="auto"/>
        <w:jc w:val="both"/>
        <w:rPr>
          <w:rFonts w:ascii="Verdana" w:eastAsia="Century Gothic" w:hAnsi="Verdana" w:cs="Century Gothic"/>
          <w:b/>
          <w:bCs/>
        </w:rPr>
      </w:pPr>
    </w:p>
    <w:p w14:paraId="0DAB74A6" w14:textId="77777777" w:rsidR="00072A40" w:rsidRPr="005644FE" w:rsidRDefault="00072A40" w:rsidP="00072A40">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05A6B8D5" w14:textId="77777777" w:rsidR="00072A40" w:rsidRPr="005644FE" w:rsidRDefault="00072A40" w:rsidP="00072A40">
      <w:pPr>
        <w:pStyle w:val="Prrafodelista"/>
        <w:tabs>
          <w:tab w:val="left" w:pos="142"/>
          <w:tab w:val="left" w:pos="284"/>
        </w:tabs>
        <w:spacing w:after="0" w:line="240" w:lineRule="auto"/>
        <w:ind w:left="0"/>
        <w:contextualSpacing w:val="0"/>
        <w:jc w:val="both"/>
        <w:rPr>
          <w:rFonts w:ascii="Verdana" w:eastAsia="Calibri" w:hAnsi="Verdana" w:cs="Arial"/>
        </w:rPr>
      </w:pPr>
    </w:p>
    <w:p w14:paraId="680D8384" w14:textId="77777777" w:rsidR="00072A40" w:rsidRDefault="00072A40" w:rsidP="00072A40">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697B4B5F" w14:textId="77777777" w:rsidR="00072A40" w:rsidRDefault="00072A40" w:rsidP="00072A40">
      <w:pPr>
        <w:tabs>
          <w:tab w:val="left" w:pos="142"/>
          <w:tab w:val="left" w:pos="284"/>
          <w:tab w:val="left" w:pos="6912"/>
        </w:tabs>
        <w:spacing w:after="0" w:line="240" w:lineRule="auto"/>
        <w:jc w:val="both"/>
        <w:rPr>
          <w:rFonts w:ascii="Verdana" w:eastAsia="Times New Roman" w:hAnsi="Verdana" w:cs="Arial"/>
          <w:bCs/>
          <w:lang w:eastAsia="es-CO"/>
        </w:rPr>
      </w:pPr>
    </w:p>
    <w:p w14:paraId="3A077559" w14:textId="77777777" w:rsidR="00072A40" w:rsidRPr="009D221F" w:rsidRDefault="00072A40" w:rsidP="00072A40">
      <w:pPr>
        <w:tabs>
          <w:tab w:val="left" w:pos="142"/>
          <w:tab w:val="left" w:pos="284"/>
          <w:tab w:val="left" w:pos="6912"/>
        </w:tabs>
        <w:spacing w:after="120" w:line="276" w:lineRule="auto"/>
        <w:jc w:val="both"/>
        <w:rPr>
          <w:rFonts w:ascii="Verdana" w:eastAsia="Times New Roman" w:hAnsi="Verdana" w:cs="Arial"/>
          <w:bCs/>
          <w:lang w:eastAsia="es-CO"/>
        </w:rPr>
      </w:pPr>
      <w:r w:rsidRPr="002D6B92">
        <w:rPr>
          <w:rFonts w:ascii="Verdana" w:eastAsia="Times New Roman" w:hAnsi="Verdana" w:cs="Arial"/>
          <w:bCs/>
          <w:lang w:eastAsia="es-CO"/>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4B2D9825" w14:textId="77777777" w:rsidR="00072A40" w:rsidRDefault="00072A40" w:rsidP="00072A40">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xml:space="preserve">,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w:t>
      </w:r>
      <w:r w:rsidRPr="00F10E52">
        <w:rPr>
          <w:rFonts w:ascii="Verdana" w:eastAsia="Times New Roman" w:hAnsi="Verdana" w:cs="Arial"/>
          <w:bCs/>
          <w:lang w:eastAsia="es-CO"/>
        </w:rPr>
        <w:lastRenderedPageBreak/>
        <w:t>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2F32A1DA" w14:textId="77777777" w:rsidR="00072A40" w:rsidRPr="00F10E52" w:rsidRDefault="00072A40" w:rsidP="00072A40">
      <w:pPr>
        <w:tabs>
          <w:tab w:val="left" w:pos="426"/>
        </w:tabs>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4477FCF0" w14:textId="77777777" w:rsidR="00072A40" w:rsidRPr="007777F3" w:rsidRDefault="00072A40" w:rsidP="00072A40">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4A2F6DBC" w14:textId="77777777" w:rsidR="00072A40" w:rsidRPr="009E6EDF" w:rsidRDefault="00072A40" w:rsidP="00072A40">
      <w:pPr>
        <w:spacing w:after="0" w:line="240" w:lineRule="auto"/>
        <w:ind w:left="709" w:right="709"/>
        <w:jc w:val="both"/>
        <w:rPr>
          <w:rFonts w:ascii="Verdana" w:eastAsia="Times New Roman" w:hAnsi="Verdana" w:cs="Arial"/>
          <w:bCs/>
          <w:sz w:val="20"/>
          <w:szCs w:val="20"/>
          <w:lang w:eastAsia="es-CO"/>
        </w:rPr>
      </w:pPr>
    </w:p>
    <w:p w14:paraId="1891AA61" w14:textId="77777777" w:rsidR="00072A40" w:rsidRPr="00E80F85" w:rsidRDefault="00072A40" w:rsidP="00072A40">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2" w:name="_Hlk78818186"/>
    </w:p>
    <w:p w14:paraId="2741FFFD" w14:textId="77777777" w:rsidR="00072A40" w:rsidRDefault="00072A40" w:rsidP="00072A40">
      <w:pPr>
        <w:spacing w:after="0" w:line="240" w:lineRule="auto"/>
        <w:ind w:firstLine="709"/>
        <w:jc w:val="both"/>
        <w:rPr>
          <w:rFonts w:ascii="Verdana" w:eastAsia="Times New Roman" w:hAnsi="Verdana" w:cs="Arial"/>
          <w:bCs/>
          <w:lang w:eastAsia="es-CO"/>
        </w:rPr>
      </w:pPr>
    </w:p>
    <w:p w14:paraId="2A0661F5" w14:textId="77777777" w:rsidR="00072A40" w:rsidRPr="002D6B92" w:rsidRDefault="00072A40" w:rsidP="00072A40">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1E8ADB3" w14:textId="77777777" w:rsidR="00072A40" w:rsidRPr="009B20C5" w:rsidRDefault="00072A40" w:rsidP="00072A40">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w:t>
      </w:r>
      <w:r w:rsidRPr="009B20C5">
        <w:rPr>
          <w:rFonts w:ascii="Verdana" w:eastAsia="Times New Roman" w:hAnsi="Verdana" w:cs="Arial"/>
          <w:bCs/>
          <w:sz w:val="20"/>
          <w:szCs w:val="20"/>
          <w:lang w:eastAsia="es-CO"/>
        </w:rPr>
        <w:lastRenderedPageBreak/>
        <w:t>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65C809F" w14:textId="77777777" w:rsidR="00072A40" w:rsidRDefault="00072A40" w:rsidP="00072A40">
      <w:pPr>
        <w:spacing w:after="0" w:line="240" w:lineRule="auto"/>
        <w:ind w:left="709" w:right="709"/>
        <w:jc w:val="both"/>
        <w:rPr>
          <w:rFonts w:ascii="Verdana" w:eastAsia="Times New Roman" w:hAnsi="Verdana" w:cs="Arial"/>
          <w:bCs/>
          <w:sz w:val="20"/>
          <w:szCs w:val="20"/>
          <w:lang w:eastAsia="es-CO"/>
        </w:rPr>
      </w:pPr>
    </w:p>
    <w:p w14:paraId="05BF3061" w14:textId="77777777" w:rsidR="00072A40" w:rsidRPr="009B20C5" w:rsidRDefault="00072A40" w:rsidP="00072A40">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12AF99D6" w14:textId="77777777" w:rsidR="00072A40" w:rsidRDefault="00072A40" w:rsidP="00072A40">
      <w:pPr>
        <w:spacing w:after="0" w:line="240"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75AD5ABD" w14:textId="77777777" w:rsidR="00072A40" w:rsidRDefault="00072A40" w:rsidP="00072A40">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3"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67F071D" w14:textId="77777777" w:rsidR="00072A40" w:rsidRPr="00F10E52" w:rsidRDefault="00072A40" w:rsidP="00072A40">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2240A027" w14:textId="77777777" w:rsidR="00072A40" w:rsidRPr="00F10E52" w:rsidRDefault="00072A40" w:rsidP="00072A40">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contratos de crédito público, los requeridos </w:t>
      </w:r>
      <w:r w:rsidRPr="00F10E52">
        <w:rPr>
          <w:rFonts w:ascii="Verdana" w:eastAsia="Calibri" w:hAnsi="Verdana" w:cs="Arial"/>
        </w:rPr>
        <w:lastRenderedPageBreak/>
        <w:t>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244CCFFC" w14:textId="77777777" w:rsidR="00072A40" w:rsidRDefault="00072A40" w:rsidP="00072A40">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31D3CBE4" w14:textId="77777777" w:rsidR="00072A40" w:rsidRDefault="00072A40" w:rsidP="00072A40">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2541BF66" w14:textId="77777777" w:rsidR="00072A40" w:rsidRDefault="00072A40" w:rsidP="00072A40">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xml:space="preserve">, depende de la regulación del inciso </w:t>
      </w:r>
      <w:r w:rsidRPr="00447D82">
        <w:rPr>
          <w:rFonts w:ascii="Verdana" w:eastAsia="Times New Roman" w:hAnsi="Verdana" w:cs="Arial"/>
          <w:bCs/>
          <w:lang w:val="es-ES" w:eastAsia="es-CO"/>
        </w:rPr>
        <w:lastRenderedPageBreak/>
        <w:t>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658702A" w14:textId="77777777" w:rsidR="00072A40" w:rsidRDefault="00072A40" w:rsidP="00072A40">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69D3D95E" w14:textId="77777777" w:rsidR="00072A40" w:rsidRPr="00AA5D69" w:rsidRDefault="00072A40" w:rsidP="00072A40">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9"/>
      </w:r>
      <w:r w:rsidRPr="00894384">
        <w:rPr>
          <w:rFonts w:ascii="Verdana" w:eastAsia="Times New Roman" w:hAnsi="Verdana" w:cs="Arial"/>
          <w:bCs/>
          <w:lang w:val="es-MX" w:eastAsia="es-CO"/>
        </w:rPr>
        <w:t xml:space="preserve">. </w:t>
      </w:r>
    </w:p>
    <w:p w14:paraId="7F46CA61" w14:textId="77777777" w:rsidR="00072A40" w:rsidRPr="006A51F6" w:rsidRDefault="00072A40" w:rsidP="00072A40">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59CEE645" w14:textId="77777777" w:rsidR="00072A40" w:rsidRPr="009B20C5" w:rsidRDefault="00072A40" w:rsidP="00072A40">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9B20C5">
        <w:rPr>
          <w:rFonts w:ascii="Verdana" w:eastAsia="Arial" w:hAnsi="Verdana" w:cs="Arial"/>
          <w:sz w:val="20"/>
          <w:szCs w:val="20"/>
          <w:lang w:val="es-ES" w:eastAsia="es-ES" w:bidi="es-ES"/>
        </w:rPr>
        <w:t>se integran parcialmente</w:t>
      </w:r>
      <w:bookmarkEnd w:id="6"/>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w:t>
      </w:r>
      <w:r w:rsidRPr="009B20C5">
        <w:rPr>
          <w:rFonts w:ascii="Verdana" w:eastAsia="Arial" w:hAnsi="Verdana" w:cs="Arial"/>
          <w:sz w:val="20"/>
          <w:szCs w:val="20"/>
          <w:lang w:val="es-ES" w:eastAsia="es-ES" w:bidi="es-ES"/>
        </w:rPr>
        <w:lastRenderedPageBreak/>
        <w:t xml:space="preserve">del parágrafo del artículo 38. </w:t>
      </w:r>
      <w:r w:rsidRPr="009B20C5">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10"/>
      </w:r>
      <w:r>
        <w:rPr>
          <w:rFonts w:ascii="Verdana" w:eastAsia="Arial" w:hAnsi="Verdana" w:cs="Arial"/>
          <w:sz w:val="20"/>
          <w:szCs w:val="20"/>
          <w:lang w:val="es-ES" w:eastAsia="es-ES" w:bidi="es-ES"/>
        </w:rPr>
        <w:t>.</w:t>
      </w:r>
    </w:p>
    <w:p w14:paraId="7164C8CB" w14:textId="77777777" w:rsidR="00072A40" w:rsidRDefault="00072A40" w:rsidP="00072A40">
      <w:pPr>
        <w:spacing w:after="0" w:line="240" w:lineRule="auto"/>
        <w:ind w:firstLine="709"/>
        <w:jc w:val="both"/>
        <w:rPr>
          <w:rFonts w:ascii="Verdana" w:eastAsia="Arial" w:hAnsi="Verdana" w:cs="Arial"/>
          <w:lang w:val="es-ES" w:eastAsia="es-ES" w:bidi="es-ES"/>
        </w:rPr>
      </w:pPr>
    </w:p>
    <w:p w14:paraId="42780AE2" w14:textId="77777777" w:rsidR="00072A40" w:rsidRPr="00F10E52" w:rsidRDefault="00072A40" w:rsidP="00072A40">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124652C0" w14:textId="77777777" w:rsidR="00072A40" w:rsidRPr="00F10E52" w:rsidRDefault="00072A40" w:rsidP="00072A40">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2EE150A4" w14:textId="77777777" w:rsidR="00072A40" w:rsidRDefault="00072A40" w:rsidP="00072A40">
      <w:pPr>
        <w:spacing w:after="120" w:line="276" w:lineRule="auto"/>
        <w:ind w:firstLine="709"/>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w:t>
      </w:r>
      <w:r w:rsidRPr="00F10E52">
        <w:rPr>
          <w:rFonts w:ascii="Verdana" w:eastAsia="Arial" w:hAnsi="Verdana" w:cs="Arial"/>
          <w:lang w:val="es-ES" w:eastAsia="es-ES" w:bidi="es-ES"/>
        </w:rPr>
        <w:lastRenderedPageBreak/>
        <w:t xml:space="preserve">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14DF6299" w14:textId="77777777" w:rsidR="00072A40" w:rsidRDefault="00072A40" w:rsidP="00072A40">
      <w:pPr>
        <w:spacing w:after="120" w:line="276" w:lineRule="auto"/>
        <w:ind w:firstLine="709"/>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lo anterior, a continuación, se hará un análisis sobre la aplicación de la prohibición contenida en el artículo 33 y sus excepciones, relacionada con su ámbito de aplicación y sus destinatarios. </w:t>
      </w:r>
    </w:p>
    <w:p w14:paraId="58D631D7" w14:textId="77777777" w:rsidR="00072A40" w:rsidRPr="00435A6A" w:rsidRDefault="00072A40" w:rsidP="00072A40">
      <w:pPr>
        <w:spacing w:after="120" w:line="276" w:lineRule="auto"/>
        <w:ind w:firstLine="709"/>
        <w:jc w:val="both"/>
        <w:rPr>
          <w:rFonts w:ascii="Verdana" w:eastAsia="Arial" w:hAnsi="Verdana" w:cs="Arial"/>
          <w:lang w:val="es-ES" w:eastAsia="es-ES" w:bidi="es-ES"/>
        </w:rPr>
      </w:pPr>
      <w:r w:rsidRPr="00195E24">
        <w:rPr>
          <w:rFonts w:ascii="Verdana" w:hAnsi="Verdana" w:cs="Arial"/>
          <w:bCs/>
          <w:lang w:eastAsia="x-none"/>
        </w:rPr>
        <w:t xml:space="preserve">El ámbito material de la prohibición contenida </w:t>
      </w:r>
      <w:bookmarkStart w:id="11" w:name="_Hlk75628761"/>
      <w:r w:rsidRPr="00195E24">
        <w:rPr>
          <w:rFonts w:ascii="Verdana" w:hAnsi="Verdana" w:cs="Arial"/>
          <w:bCs/>
          <w:lang w:eastAsia="x-none"/>
        </w:rPr>
        <w:t xml:space="preserve">en el artículo 33 de la ley 996 de 2005 </w:t>
      </w:r>
      <w:bookmarkEnd w:id="11"/>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2C42F008" w14:textId="77777777" w:rsidR="00072A40" w:rsidRDefault="00072A40" w:rsidP="00072A40">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1"/>
      </w:r>
      <w:r w:rsidRPr="005800D0">
        <w:rPr>
          <w:rFonts w:ascii="Verdana" w:hAnsi="Verdana" w:cs="Arial"/>
          <w:sz w:val="20"/>
          <w:szCs w:val="20"/>
        </w:rPr>
        <w:t>.</w:t>
      </w:r>
    </w:p>
    <w:p w14:paraId="1EFF1E1A" w14:textId="77777777" w:rsidR="00072A40" w:rsidRDefault="00072A40" w:rsidP="00072A40">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que para los efectos de la ley de garantías, y dada su finalidad, el enunciado ´contratación directa´ es sinónimo </w:t>
      </w:r>
      <w:bookmarkStart w:id="12" w:name="_Hlk75741738"/>
      <w:r w:rsidRPr="005800D0">
        <w:rPr>
          <w:rFonts w:ascii="Verdana" w:hAnsi="Verdana" w:cs="Arial"/>
          <w:sz w:val="20"/>
          <w:szCs w:val="20"/>
        </w:rPr>
        <w:t xml:space="preserve">de cualquier sistema que no implique convocatoria pública y posibilidad de pluralidad de oferentes, </w:t>
      </w:r>
      <w:bookmarkEnd w:id="12"/>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2"/>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3"/>
      </w:r>
      <w:r w:rsidRPr="005800D0">
        <w:rPr>
          <w:rFonts w:ascii="Verdana" w:hAnsi="Verdana" w:cs="Arial"/>
          <w:sz w:val="20"/>
          <w:szCs w:val="20"/>
        </w:rPr>
        <w:t>.</w:t>
      </w:r>
    </w:p>
    <w:p w14:paraId="3C3291F4" w14:textId="77777777" w:rsidR="00072A40" w:rsidRPr="005800D0" w:rsidRDefault="00072A40" w:rsidP="00072A40">
      <w:pPr>
        <w:spacing w:after="0" w:line="240" w:lineRule="auto"/>
        <w:ind w:left="709" w:right="709"/>
        <w:jc w:val="both"/>
        <w:rPr>
          <w:rFonts w:ascii="Verdana" w:hAnsi="Verdana" w:cs="Arial"/>
        </w:rPr>
      </w:pPr>
    </w:p>
    <w:p w14:paraId="7B16148E" w14:textId="77777777" w:rsidR="00072A40" w:rsidRPr="00195E24" w:rsidRDefault="00072A40" w:rsidP="00072A40">
      <w:pPr>
        <w:spacing w:after="120" w:line="276" w:lineRule="auto"/>
        <w:ind w:firstLine="709"/>
        <w:jc w:val="both"/>
        <w:rPr>
          <w:rFonts w:ascii="Verdana" w:hAnsi="Verdana" w:cs="Arial"/>
          <w:bCs/>
          <w:lang w:eastAsia="x-none"/>
        </w:rPr>
      </w:pPr>
      <w:bookmarkStart w:id="14" w:name="_Hlk94521748"/>
      <w:r w:rsidRPr="00195E24">
        <w:rPr>
          <w:rFonts w:ascii="Verdana" w:hAnsi="Verdana" w:cs="Arial"/>
          <w:lang w:eastAsia="x-none"/>
        </w:rPr>
        <w:lastRenderedPageBreak/>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4"/>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5"/>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4"/>
    <w:p w14:paraId="191F8067" w14:textId="77777777" w:rsidR="00072A40" w:rsidRPr="00195E24" w:rsidRDefault="00072A40" w:rsidP="00072A40">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6"/>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688DA9C9" w14:textId="77777777" w:rsidR="00072A40" w:rsidRPr="00195E24" w:rsidRDefault="00072A40" w:rsidP="00072A40">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5"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xml:space="preserve">”, es que la convocatoria para </w:t>
      </w:r>
      <w:r w:rsidRPr="00195E24">
        <w:rPr>
          <w:rFonts w:ascii="Verdana" w:hAnsi="Verdana" w:cs="Arial"/>
          <w:lang w:eastAsia="x-none"/>
        </w:rPr>
        <w:lastRenderedPageBreak/>
        <w:t>inscribirse en forma previa se haga de manera pública, y que se permita la participación de una pluralidad de oferentes</w:t>
      </w:r>
      <w:bookmarkEnd w:id="15"/>
      <w:r w:rsidRPr="00195E24">
        <w:rPr>
          <w:rFonts w:ascii="Verdana" w:hAnsi="Verdana" w:cs="Arial"/>
          <w:vertAlign w:val="superscript"/>
          <w:lang w:eastAsia="x-none"/>
        </w:rPr>
        <w:footnoteReference w:id="17"/>
      </w:r>
      <w:r w:rsidRPr="00195E24">
        <w:rPr>
          <w:rFonts w:ascii="Verdana" w:hAnsi="Verdana" w:cs="Arial"/>
          <w:lang w:eastAsia="x-none"/>
        </w:rPr>
        <w:t xml:space="preserve">. </w:t>
      </w:r>
    </w:p>
    <w:p w14:paraId="1DB770F8" w14:textId="77777777" w:rsidR="00072A40" w:rsidRPr="00CE0712" w:rsidRDefault="00072A40" w:rsidP="00072A40">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2175919E" w14:textId="77777777" w:rsidR="00072A40" w:rsidRDefault="00072A40" w:rsidP="00072A40">
      <w:pPr>
        <w:spacing w:after="120" w:line="276" w:lineRule="auto"/>
        <w:ind w:firstLine="709"/>
        <w:jc w:val="both"/>
        <w:rPr>
          <w:rFonts w:ascii="Verdana" w:hAnsi="Verdana" w:cs="Arial"/>
          <w:vertAlign w:val="superscript"/>
          <w:lang w:eastAsia="x-none"/>
        </w:rPr>
      </w:pPr>
      <w:bookmarkStart w:id="16"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E27D9">
        <w:rPr>
          <w:rFonts w:ascii="Verdana" w:hAnsi="Verdana" w:cs="Arial"/>
          <w:vertAlign w:val="superscript"/>
          <w:lang w:eastAsia="x-none"/>
        </w:rPr>
        <w:footnoteReference w:id="18"/>
      </w:r>
      <w:r w:rsidRPr="007E27D9">
        <w:rPr>
          <w:rFonts w:ascii="Verdana" w:hAnsi="Verdana" w:cs="Arial"/>
          <w:lang w:eastAsia="x-none"/>
        </w:rPr>
        <w:t>.</w:t>
      </w:r>
      <w:r w:rsidRPr="007E27D9">
        <w:rPr>
          <w:rFonts w:ascii="Verdana" w:hAnsi="Verdana" w:cs="Arial"/>
          <w:vertAlign w:val="superscript"/>
          <w:lang w:eastAsia="x-none"/>
        </w:rPr>
        <w:t xml:space="preserve"> </w:t>
      </w:r>
    </w:p>
    <w:p w14:paraId="366024BA" w14:textId="77777777" w:rsidR="00072A40" w:rsidRPr="007E27D9" w:rsidRDefault="00072A40" w:rsidP="00072A40">
      <w:pPr>
        <w:spacing w:after="120" w:line="276" w:lineRule="auto"/>
        <w:ind w:firstLine="709"/>
        <w:jc w:val="both"/>
        <w:rPr>
          <w:rFonts w:ascii="Verdana" w:hAnsi="Verdana" w:cs="Arial"/>
          <w:lang w:eastAsia="x-none"/>
        </w:rPr>
      </w:pPr>
      <w:r w:rsidRPr="00AD17FF">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oferentes3.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Style w:val="Refdenotaalpie"/>
          <w:rFonts w:ascii="Verdana" w:hAnsi="Verdana" w:cs="Arial"/>
          <w:lang w:eastAsia="x-none"/>
        </w:rPr>
        <w:footnoteReference w:id="19"/>
      </w:r>
      <w:r w:rsidRPr="00AD17FF">
        <w:rPr>
          <w:rFonts w:ascii="Verdana" w:hAnsi="Verdana" w:cs="Arial"/>
          <w:lang w:eastAsia="x-none"/>
        </w:rPr>
        <w:t>.</w:t>
      </w:r>
    </w:p>
    <w:bookmarkEnd w:id="16"/>
    <w:p w14:paraId="216DD49B" w14:textId="77777777" w:rsidR="00072A40" w:rsidRPr="007E27D9" w:rsidRDefault="00072A40" w:rsidP="00072A40">
      <w:pPr>
        <w:spacing w:after="120" w:line="276" w:lineRule="auto"/>
        <w:ind w:firstLine="709"/>
        <w:jc w:val="both"/>
        <w:rPr>
          <w:rFonts w:ascii="Verdana" w:hAnsi="Verdana" w:cs="Arial"/>
          <w:lang w:eastAsia="x-none"/>
        </w:rPr>
      </w:pPr>
      <w:r w:rsidRPr="00195E24">
        <w:rPr>
          <w:rFonts w:ascii="Verdana" w:hAnsi="Verdana" w:cs="Arial"/>
          <w:bCs/>
          <w:lang w:eastAsia="x-none"/>
        </w:rPr>
        <w:t>De lo anterior se desprende que la restricción aplica, sin perjuicio de las excepciones establecidas en la misma ley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w:t>
      </w:r>
      <w:r w:rsidRPr="00671D27">
        <w:rPr>
          <w:rFonts w:ascii="Verdana" w:hAnsi="Verdana" w:cs="Arial"/>
          <w:lang w:eastAsia="x-none"/>
        </w:rPr>
        <w:lastRenderedPageBreak/>
        <w:t>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7E27D9">
        <w:rPr>
          <w:rFonts w:ascii="Verdana" w:hAnsi="Verdana" w:cs="Arial"/>
          <w:lang w:eastAsia="x-none"/>
        </w:rPr>
        <w:t>.</w:t>
      </w:r>
    </w:p>
    <w:p w14:paraId="0D81FA68" w14:textId="77777777" w:rsidR="00072A40" w:rsidRDefault="00072A40" w:rsidP="00072A40">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4E700ED1" w14:textId="77777777" w:rsidR="00072A40" w:rsidRDefault="00072A40" w:rsidP="00072A40">
      <w:pPr>
        <w:spacing w:after="120" w:line="276" w:lineRule="auto"/>
        <w:ind w:firstLine="709"/>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7" w:name="_Hlk74309042"/>
      <w:r w:rsidRPr="00F8199A">
        <w:rPr>
          <w:rFonts w:ascii="Verdana" w:hAnsi="Verdana" w:cs="Arial"/>
          <w:bCs/>
          <w:lang w:val="es-MX" w:eastAsia="x-none"/>
        </w:rPr>
        <w:t xml:space="preserve">que </w:t>
      </w:r>
      <w:r>
        <w:rPr>
          <w:rFonts w:ascii="Verdana" w:hAnsi="Verdana" w:cs="Arial"/>
          <w:bCs/>
          <w:lang w:val="es-MX" w:eastAsia="x-none"/>
        </w:rPr>
        <w:t>“</w:t>
      </w:r>
      <w:bookmarkEnd w:id="17"/>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8"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20"/>
      </w:r>
      <w:r w:rsidRPr="00F8199A">
        <w:rPr>
          <w:rFonts w:ascii="Verdana" w:hAnsi="Verdana" w:cs="Arial"/>
          <w:bCs/>
          <w:lang w:val="es-MX" w:eastAsia="x-none"/>
        </w:rPr>
        <w:t xml:space="preserve">. De ahí que la Corte haya señalado que las excepciones a la restricción protegen diversos tipos de urgencias de defensa, salud, educación, infraestructura vial y de servicios públicos y ecológicas, que tienden a no limitar desproporcionadamente la acción </w:t>
      </w:r>
      <w:r w:rsidRPr="00F8199A">
        <w:rPr>
          <w:rFonts w:ascii="Verdana" w:hAnsi="Verdana" w:cs="Arial"/>
          <w:bCs/>
          <w:lang w:val="es-MX" w:eastAsia="x-none"/>
        </w:rPr>
        <w:lastRenderedPageBreak/>
        <w:t>del Estado en el cumplimiento de sus fines, en procura de la igualdad entre los candidatos como garantía electoral.</w:t>
      </w:r>
      <w:bookmarkEnd w:id="18"/>
    </w:p>
    <w:p w14:paraId="3BF55A1E" w14:textId="77777777" w:rsidR="00072A40" w:rsidRPr="0004207F" w:rsidRDefault="00072A40" w:rsidP="00072A40">
      <w:pPr>
        <w:spacing w:after="120" w:line="276" w:lineRule="auto"/>
        <w:ind w:firstLine="709"/>
        <w:jc w:val="both"/>
        <w:rPr>
          <w:rFonts w:ascii="Verdana" w:hAnsi="Verdana" w:cs="Arial"/>
          <w:bCs/>
          <w:lang w:val="es-MX" w:eastAsia="x-none"/>
        </w:rPr>
      </w:pPr>
      <w:r w:rsidRPr="0004207F">
        <w:rPr>
          <w:rFonts w:ascii="Verdana" w:hAnsi="Verdana" w:cs="Arial"/>
          <w:bCs/>
          <w:lang w:val="es-MX" w:eastAsia="x-none"/>
        </w:rPr>
        <w:t>Es importante reiterar que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w:t>
      </w:r>
      <w:r>
        <w:rPr>
          <w:rFonts w:ascii="Verdana" w:hAnsi="Verdana" w:cs="Arial"/>
          <w:bCs/>
          <w:lang w:val="es-MX" w:eastAsia="x-none"/>
        </w:rPr>
        <w:t>(…)</w:t>
      </w:r>
      <w:r w:rsidRPr="0004207F">
        <w:rPr>
          <w:rFonts w:ascii="Verdana" w:hAnsi="Verdana" w:cs="Arial"/>
          <w:bCs/>
          <w:lang w:val="es-MX" w:eastAsia="x-none"/>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bCs/>
          <w:lang w:val="es-MX" w:eastAsia="x-none"/>
        </w:rPr>
        <w:t>(…)</w:t>
      </w:r>
      <w:r w:rsidRPr="0004207F">
        <w:rPr>
          <w:rFonts w:ascii="Verdana" w:hAnsi="Verdana" w:cs="Arial"/>
          <w:bCs/>
          <w:lang w:val="es-MX" w:eastAsia="x-none"/>
        </w:rPr>
        <w:t>”</w:t>
      </w:r>
      <w:r w:rsidRPr="0004207F">
        <w:rPr>
          <w:rStyle w:val="Refdenotaalpie"/>
          <w:rFonts w:ascii="Verdana" w:hAnsi="Verdana" w:cs="Arial"/>
          <w:lang w:val="es-ES_tradnl" w:eastAsia="es-CO"/>
        </w:rPr>
        <w:footnoteReference w:id="21"/>
      </w:r>
      <w:r w:rsidRPr="0004207F">
        <w:rPr>
          <w:rFonts w:ascii="Verdana" w:hAnsi="Verdana" w:cs="Arial"/>
          <w:bCs/>
          <w:lang w:val="es-MX" w:eastAsia="x-none"/>
        </w:rPr>
        <w:t>.</w:t>
      </w:r>
    </w:p>
    <w:p w14:paraId="4E8F03D8" w14:textId="77777777" w:rsidR="00072A40" w:rsidRPr="0004207F" w:rsidRDefault="00072A40" w:rsidP="00072A40">
      <w:pPr>
        <w:shd w:val="clear" w:color="auto" w:fill="FFFFFF" w:themeFill="background1"/>
        <w:spacing w:line="276" w:lineRule="auto"/>
        <w:ind w:firstLine="709"/>
        <w:jc w:val="both"/>
        <w:rPr>
          <w:rFonts w:ascii="Verdana" w:hAnsi="Verdana" w:cs="Arial"/>
          <w:lang w:val="es-ES" w:eastAsia="es-CO"/>
        </w:rPr>
      </w:pPr>
      <w:r w:rsidRPr="2E79A5E2">
        <w:rPr>
          <w:rFonts w:ascii="Verdana" w:hAnsi="Verdana" w:cs="Arial"/>
          <w:lang w:val="es-ES"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w:t>
      </w:r>
      <w:r>
        <w:rPr>
          <w:rFonts w:ascii="Verdana" w:hAnsi="Verdana" w:cs="Arial"/>
          <w:lang w:val="es-ES" w:eastAsia="es-CO"/>
        </w:rPr>
        <w:t>(…)</w:t>
      </w:r>
      <w:r w:rsidRPr="2E79A5E2">
        <w:rPr>
          <w:rFonts w:ascii="Verdana" w:hAnsi="Verdana" w:cs="Arial"/>
          <w:lang w:val="es-ES" w:eastAsia="es-CO"/>
        </w:rPr>
        <w:t xml:space="preserv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2E79A5E2">
        <w:rPr>
          <w:rStyle w:val="Refdenotaalpie"/>
          <w:rFonts w:ascii="Verdana" w:hAnsi="Verdana" w:cs="Arial"/>
          <w:lang w:val="es-ES" w:eastAsia="es-CO"/>
        </w:rPr>
        <w:footnoteReference w:id="22"/>
      </w:r>
      <w:r w:rsidRPr="2E79A5E2">
        <w:rPr>
          <w:rFonts w:ascii="Verdana" w:hAnsi="Verdana" w:cs="Arial"/>
          <w:lang w:val="es-ES" w:eastAsia="es-CO"/>
        </w:rPr>
        <w:t xml:space="preserve">. </w:t>
      </w:r>
    </w:p>
    <w:p w14:paraId="5F93523A" w14:textId="77777777" w:rsidR="00072A40" w:rsidRPr="0004207F" w:rsidRDefault="00072A40" w:rsidP="00072A40">
      <w:pPr>
        <w:shd w:val="clear" w:color="auto" w:fill="FFFFFF"/>
        <w:spacing w:line="276" w:lineRule="auto"/>
        <w:ind w:firstLine="709"/>
        <w:jc w:val="both"/>
        <w:rPr>
          <w:rFonts w:ascii="Verdana" w:hAnsi="Verdana" w:cs="Arial"/>
          <w:lang w:val="es-ES_tradnl" w:eastAsia="es-CO"/>
        </w:rPr>
      </w:pPr>
      <w:r w:rsidRPr="0004207F">
        <w:rPr>
          <w:rFonts w:ascii="Verdana" w:hAnsi="Verdana" w:cs="Arial"/>
          <w:bCs/>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31C67654" w14:textId="77777777" w:rsidR="00072A40" w:rsidRDefault="00072A40" w:rsidP="00072A40">
      <w:pPr>
        <w:spacing w:after="0" w:line="276" w:lineRule="auto"/>
        <w:ind w:firstLine="709"/>
        <w:jc w:val="both"/>
        <w:rPr>
          <w:rFonts w:ascii="Verdana" w:eastAsia="Calibri" w:hAnsi="Verdana" w:cs="Arial"/>
          <w:lang w:val="es-ES"/>
        </w:rPr>
      </w:pPr>
      <w:r w:rsidRPr="00B91291">
        <w:rPr>
          <w:rFonts w:ascii="Verdana" w:hAnsi="Verdana" w:cs="Arial"/>
          <w:lang w:val="es-ES"/>
        </w:rPr>
        <w:lastRenderedPageBreak/>
        <w:t xml:space="preserve">Ahora bien, respecto del alcance del parágrafo </w:t>
      </w:r>
      <w:r w:rsidRPr="00B91291">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w:t>
      </w:r>
      <w:r w:rsidRPr="006B5F6F">
        <w:rPr>
          <w:rFonts w:ascii="Verdana" w:hAnsi="Verdana" w:cs="Arial"/>
        </w:rPr>
        <w:t>Distrital, dentro de los cuatro (4) meses anteriores a las elecciones, no podrán celebrar convenios interadministrativos para</w:t>
      </w:r>
      <w:r w:rsidRPr="00B91291">
        <w:rPr>
          <w:rFonts w:ascii="Verdana" w:hAnsi="Verdana" w:cs="Arial"/>
          <w:i/>
          <w:iCs/>
        </w:rPr>
        <w:t xml:space="preserve"> la ejecución de recursos públicos</w:t>
      </w:r>
      <w:r w:rsidRPr="00B91291">
        <w:rPr>
          <w:rFonts w:ascii="Verdana" w:hAnsi="Verdana" w:cs="Arial"/>
        </w:rPr>
        <w:t>”.</w:t>
      </w:r>
      <w:r w:rsidRPr="00B91291">
        <w:rPr>
          <w:rFonts w:ascii="Verdana" w:eastAsia="Times New Roman" w:hAnsi="Verdana" w:cs="Arial"/>
          <w:lang w:val="es-MX" w:eastAsia="x-none"/>
        </w:rPr>
        <w:t xml:space="preserve"> </w:t>
      </w:r>
    </w:p>
    <w:p w14:paraId="25B646A4" w14:textId="77777777" w:rsidR="00072A40" w:rsidRDefault="00072A40" w:rsidP="00072A40">
      <w:pPr>
        <w:spacing w:after="0" w:line="240" w:lineRule="auto"/>
        <w:ind w:firstLine="709"/>
        <w:jc w:val="both"/>
        <w:rPr>
          <w:rFonts w:ascii="Verdana" w:eastAsia="Calibri" w:hAnsi="Verdana" w:cs="Arial"/>
          <w:lang w:val="es-ES"/>
        </w:rPr>
      </w:pPr>
    </w:p>
    <w:p w14:paraId="5CC0B80D" w14:textId="77777777" w:rsidR="00072A40" w:rsidRDefault="00072A40" w:rsidP="00072A40">
      <w:pPr>
        <w:spacing w:after="0" w:line="276" w:lineRule="auto"/>
        <w:ind w:firstLine="709"/>
        <w:jc w:val="both"/>
        <w:rPr>
          <w:rFonts w:ascii="Verdana" w:eastAsia="Calibri" w:hAnsi="Verdana" w:cs="Arial"/>
          <w:lang w:val="es-ES"/>
        </w:rPr>
      </w:pPr>
      <w:r w:rsidRPr="00B91291">
        <w:rPr>
          <w:rFonts w:ascii="Verdana" w:eastAsia="Times New Roman" w:hAnsi="Verdana" w:cs="Arial"/>
          <w:lang w:val="es-ES" w:eastAsia="es-ES"/>
        </w:rPr>
        <w:t xml:space="preserve">Para tales efectos, debe precisarse que </w:t>
      </w:r>
      <w:r w:rsidRPr="00B91291">
        <w:rPr>
          <w:rFonts w:ascii="Verdana" w:eastAsia="Times New Roman" w:hAnsi="Verdana" w:cs="Arial"/>
          <w:color w:val="000000" w:themeColor="text1"/>
          <w:lang w:val="es-ES" w:eastAsia="es-CO"/>
        </w:rPr>
        <w:t>los contratos o convenios interadministrativos están determinados</w:t>
      </w:r>
      <w:r w:rsidRPr="00667CD6">
        <w:rPr>
          <w:rFonts w:ascii="Verdana" w:eastAsia="Times New Roman" w:hAnsi="Verdana" w:cs="Arial"/>
          <w:color w:val="000000" w:themeColor="text1"/>
          <w:lang w:val="es-ES" w:eastAsia="es-CO"/>
        </w:rPr>
        <w:t xml:space="preserve">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3"/>
      </w:r>
      <w:r w:rsidRPr="00667CD6">
        <w:rPr>
          <w:rFonts w:ascii="Verdana" w:hAnsi="Verdana" w:cs="Arial"/>
          <w:lang w:eastAsia="es-ES"/>
        </w:rPr>
        <w:t>.</w:t>
      </w:r>
    </w:p>
    <w:p w14:paraId="6861A695" w14:textId="77777777" w:rsidR="00072A40" w:rsidRDefault="00072A40" w:rsidP="00072A40">
      <w:pPr>
        <w:spacing w:after="0" w:line="240" w:lineRule="auto"/>
        <w:ind w:firstLine="709"/>
        <w:jc w:val="both"/>
        <w:rPr>
          <w:rFonts w:ascii="Verdana" w:eastAsia="Calibri" w:hAnsi="Verdana" w:cs="Arial"/>
          <w:lang w:val="es-ES"/>
        </w:rPr>
      </w:pPr>
    </w:p>
    <w:p w14:paraId="0540967F" w14:textId="77777777" w:rsidR="00072A40" w:rsidRPr="00AD17FF" w:rsidRDefault="00072A40" w:rsidP="00072A40">
      <w:pPr>
        <w:spacing w:after="0" w:line="276" w:lineRule="auto"/>
        <w:ind w:firstLine="709"/>
        <w:jc w:val="both"/>
        <w:rPr>
          <w:rFonts w:ascii="Verdana" w:eastAsia="Calibri" w:hAnsi="Verdana" w:cs="Arial"/>
          <w:lang w:val="es-ES"/>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9DA3CFD" w14:textId="77777777" w:rsidR="00072A40" w:rsidRPr="00667CD6" w:rsidRDefault="00072A40" w:rsidP="00072A40">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24"/>
      </w:r>
      <w:r w:rsidRPr="2035D652">
        <w:rPr>
          <w:rFonts w:ascii="Verdana" w:hAnsi="Verdana" w:cs="Arial"/>
          <w:lang w:val="es-ES"/>
        </w:rPr>
        <w:t>. Nótese que, en este caso, lo que cambia es la modalidad de selección y no la naturaleza de contrato interadministrativo.</w:t>
      </w:r>
    </w:p>
    <w:p w14:paraId="646267E3" w14:textId="77777777" w:rsidR="00072A40" w:rsidRPr="00667CD6" w:rsidRDefault="00072A40" w:rsidP="00072A40">
      <w:pPr>
        <w:spacing w:before="120" w:after="0" w:line="276" w:lineRule="auto"/>
        <w:ind w:firstLine="708"/>
        <w:jc w:val="both"/>
        <w:rPr>
          <w:rFonts w:ascii="Verdana" w:hAnsi="Verdana" w:cs="Arial"/>
          <w:lang w:val="es-ES_tradnl"/>
        </w:rPr>
      </w:pPr>
      <w:r w:rsidRPr="2035D652">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25"/>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2E384F3A" w14:textId="77777777" w:rsidR="00072A40" w:rsidRPr="00667CD6" w:rsidRDefault="00072A40" w:rsidP="00072A40">
      <w:pPr>
        <w:spacing w:before="120" w:after="0" w:line="276" w:lineRule="auto"/>
        <w:ind w:firstLine="708"/>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26"/>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41441CCB" w14:textId="77777777" w:rsidR="00072A40" w:rsidRDefault="00072A40" w:rsidP="00072A40">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6D115E7A" w14:textId="77777777" w:rsidR="00072A40" w:rsidRDefault="00072A40" w:rsidP="00072A40">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w:t>
      </w:r>
      <w:r w:rsidRPr="00667CD6">
        <w:rPr>
          <w:rFonts w:ascii="Verdana" w:eastAsia="Times New Roman" w:hAnsi="Verdana" w:cs="Arial"/>
          <w:lang w:eastAsia="es-CO"/>
        </w:rPr>
        <w:lastRenderedPageBreak/>
        <w:t xml:space="preserve">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4E625A24" w14:textId="77777777" w:rsidR="00072A40" w:rsidRPr="00667CD6" w:rsidRDefault="00072A40" w:rsidP="00072A40">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27"/>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2E28FF9B" w14:textId="77777777" w:rsidR="00072A40" w:rsidRPr="00667CD6" w:rsidRDefault="00072A40" w:rsidP="00072A40">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ii) los contratos de crédito público; iii) los requeridos para cubrir las emergencias educativas, </w:t>
      </w:r>
      <w:r w:rsidRPr="00667CD6">
        <w:rPr>
          <w:rFonts w:ascii="Verdana" w:hAnsi="Verdana" w:cs="Arial"/>
          <w:bCs/>
          <w:lang w:val="es-MX" w:eastAsia="x-none"/>
        </w:rPr>
        <w:lastRenderedPageBreak/>
        <w:t>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75E29FB1" w14:textId="77777777" w:rsidR="00072A40" w:rsidRPr="00667CD6" w:rsidRDefault="00072A40" w:rsidP="00072A40">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28"/>
      </w:r>
      <w:r w:rsidRPr="00667CD6">
        <w:rPr>
          <w:rFonts w:ascii="Verdana" w:hAnsi="Verdana" w:cs="Arial"/>
        </w:rPr>
        <w:t xml:space="preserve">: </w:t>
      </w:r>
    </w:p>
    <w:p w14:paraId="121546F5" w14:textId="77777777" w:rsidR="00072A40" w:rsidRPr="00667CD6" w:rsidRDefault="00072A40" w:rsidP="00072A40">
      <w:pPr>
        <w:spacing w:after="0" w:line="240" w:lineRule="auto"/>
        <w:ind w:firstLine="709"/>
        <w:jc w:val="both"/>
        <w:rPr>
          <w:rFonts w:ascii="Verdana" w:hAnsi="Verdana" w:cs="Arial"/>
        </w:rPr>
      </w:pPr>
    </w:p>
    <w:p w14:paraId="554FF002" w14:textId="77777777" w:rsidR="00072A40" w:rsidRDefault="00072A40" w:rsidP="00072A40">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76B74FBE" w14:textId="77777777" w:rsidR="00072A40" w:rsidRPr="00667CD6" w:rsidRDefault="00072A40" w:rsidP="00072A40">
      <w:pPr>
        <w:spacing w:after="0" w:line="240" w:lineRule="auto"/>
        <w:ind w:left="709" w:right="709"/>
        <w:jc w:val="both"/>
        <w:rPr>
          <w:rFonts w:ascii="Verdana" w:hAnsi="Verdana" w:cs="Arial"/>
          <w:sz w:val="20"/>
          <w:szCs w:val="20"/>
        </w:rPr>
      </w:pPr>
    </w:p>
    <w:p w14:paraId="717B361D" w14:textId="77777777" w:rsidR="00072A40" w:rsidRPr="00667CD6" w:rsidRDefault="00072A40" w:rsidP="00072A40">
      <w:pPr>
        <w:spacing w:after="0" w:line="240" w:lineRule="auto"/>
        <w:ind w:left="709" w:right="709"/>
        <w:jc w:val="both"/>
        <w:rPr>
          <w:rFonts w:ascii="Verdana" w:hAnsi="Verdana" w:cs="Arial"/>
          <w:sz w:val="20"/>
          <w:szCs w:val="20"/>
        </w:rPr>
      </w:pPr>
      <w:r w:rsidRPr="00667CD6">
        <w:rPr>
          <w:rFonts w:ascii="Verdana" w:hAnsi="Verdana" w:cs="Arial"/>
          <w:sz w:val="20"/>
          <w:szCs w:val="20"/>
        </w:rPr>
        <w:t xml:space="preserve">ii)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1ED7EDC0" w14:textId="77777777" w:rsidR="00072A40" w:rsidRPr="00667CD6" w:rsidRDefault="00072A40" w:rsidP="00072A40">
      <w:pPr>
        <w:spacing w:after="0" w:line="276" w:lineRule="auto"/>
        <w:ind w:left="709" w:right="709"/>
        <w:jc w:val="both"/>
        <w:rPr>
          <w:rFonts w:ascii="Verdana" w:hAnsi="Verdana" w:cs="Arial"/>
        </w:rPr>
      </w:pPr>
    </w:p>
    <w:p w14:paraId="5CC891ED" w14:textId="77777777" w:rsidR="00072A40" w:rsidRPr="00667CD6" w:rsidRDefault="00072A40" w:rsidP="00072A40">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w:t>
      </w:r>
      <w:r w:rsidRPr="00667CD6">
        <w:rPr>
          <w:rFonts w:ascii="Verdana" w:eastAsia="Arial" w:hAnsi="Verdana" w:cs="Arial"/>
          <w:i/>
          <w:iCs/>
          <w:lang w:eastAsia="es-ES" w:bidi="es-ES"/>
        </w:rPr>
        <w:lastRenderedPageBreak/>
        <w:t xml:space="preserve">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15930D43" w14:textId="77777777" w:rsidR="00072A40" w:rsidRPr="00667CD6" w:rsidRDefault="00072A40" w:rsidP="00072A40">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29"/>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457086DA" w14:textId="77777777" w:rsidR="00072A40" w:rsidRDefault="00072A40" w:rsidP="00072A40">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08F225ED" w14:textId="77777777" w:rsidR="00072A40" w:rsidRDefault="00072A40" w:rsidP="00072A40">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lastRenderedPageBreak/>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0"/>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4CA5A893" w14:textId="77777777" w:rsidR="00072A40" w:rsidRDefault="00072A40" w:rsidP="00072A40">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1"/>
      </w:r>
      <w:r>
        <w:rPr>
          <w:rFonts w:ascii="Verdana" w:eastAsia="Times New Roman" w:hAnsi="Verdana" w:cs="Arial"/>
          <w:lang w:eastAsia="es-CO"/>
        </w:rPr>
        <w:t xml:space="preserve">. </w:t>
      </w:r>
    </w:p>
    <w:p w14:paraId="0A40E114" w14:textId="77777777" w:rsidR="00072A40" w:rsidRDefault="00072A40" w:rsidP="00072A40">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w:t>
      </w:r>
      <w:r>
        <w:rPr>
          <w:rFonts w:ascii="Verdana" w:eastAsia="Times New Roman" w:hAnsi="Verdana" w:cs="Arial"/>
          <w:bCs/>
          <w:lang w:val="es-MX" w:eastAsia="x-none"/>
        </w:rPr>
        <w:lastRenderedPageBreak/>
        <w:t xml:space="preserve">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76076F4A" w14:textId="77777777" w:rsidR="00072A40" w:rsidRDefault="00072A40" w:rsidP="00072A40">
      <w:pPr>
        <w:spacing w:after="0" w:line="276" w:lineRule="auto"/>
        <w:ind w:firstLine="708"/>
        <w:jc w:val="both"/>
        <w:rPr>
          <w:rFonts w:ascii="Verdana" w:eastAsia="Calibri" w:hAnsi="Verdana" w:cs="Arial"/>
          <w:lang w:val="es-ES" w:eastAsia="es-ES"/>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p>
    <w:p w14:paraId="16455E79" w14:textId="77777777" w:rsidR="00072A40" w:rsidRDefault="00072A40" w:rsidP="00072A40">
      <w:pPr>
        <w:spacing w:after="0" w:line="240" w:lineRule="auto"/>
        <w:ind w:firstLine="709"/>
        <w:jc w:val="both"/>
        <w:rPr>
          <w:rFonts w:ascii="Verdana" w:eastAsia="Calibri" w:hAnsi="Verdana" w:cs="Arial"/>
          <w:lang w:val="es-ES" w:eastAsia="es-ES"/>
        </w:rPr>
      </w:pPr>
    </w:p>
    <w:p w14:paraId="7E4613B5" w14:textId="77777777" w:rsidR="00072A40" w:rsidRDefault="00072A40" w:rsidP="00072A40">
      <w:pPr>
        <w:spacing w:after="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w:t>
      </w:r>
      <w:r w:rsidRPr="006E6949">
        <w:rPr>
          <w:rFonts w:ascii="Verdana" w:eastAsia="Arial" w:hAnsi="Verdana" w:cs="Arial"/>
          <w:bCs/>
          <w:color w:val="000000" w:themeColor="text1"/>
        </w:rPr>
        <w:t xml:space="preserve">si se configuran los supuestos establecidos en </w:t>
      </w:r>
      <w:r w:rsidRPr="006E6949">
        <w:rPr>
          <w:rFonts w:ascii="Verdana" w:eastAsia="Arial" w:hAnsi="Verdana" w:cs="Arial"/>
          <w:bCs/>
          <w:i/>
          <w:iCs/>
          <w:color w:val="000000" w:themeColor="text1"/>
        </w:rPr>
        <w:t>el artículo 33</w:t>
      </w:r>
      <w:r w:rsidRPr="006E6949">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w:t>
      </w:r>
    </w:p>
    <w:p w14:paraId="616EF918" w14:textId="77777777" w:rsidR="00072A40" w:rsidRDefault="00072A40" w:rsidP="00072A40">
      <w:pPr>
        <w:spacing w:after="0" w:line="240" w:lineRule="auto"/>
        <w:ind w:firstLine="709"/>
        <w:jc w:val="both"/>
        <w:rPr>
          <w:rFonts w:ascii="Verdana" w:eastAsia="Arial" w:hAnsi="Verdana" w:cs="Arial"/>
          <w:bCs/>
          <w:color w:val="000000" w:themeColor="text1"/>
        </w:rPr>
      </w:pPr>
    </w:p>
    <w:p w14:paraId="7956EEBF" w14:textId="77777777" w:rsidR="00072A40" w:rsidRDefault="00072A40" w:rsidP="00072A40">
      <w:pPr>
        <w:spacing w:after="120" w:line="276" w:lineRule="auto"/>
        <w:ind w:firstLine="709"/>
        <w:jc w:val="both"/>
        <w:rPr>
          <w:rFonts w:ascii="Verdana" w:eastAsia="Calibri" w:hAnsi="Verdana" w:cs="Arial"/>
          <w:lang w:val="es-ES" w:eastAsia="es-ES"/>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w:t>
      </w:r>
    </w:p>
    <w:p w14:paraId="17121E35" w14:textId="77777777" w:rsidR="00072A40" w:rsidRDefault="00072A40" w:rsidP="00072A40">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w:t>
      </w:r>
      <w:r w:rsidRPr="001450CA">
        <w:rPr>
          <w:rFonts w:ascii="Verdana" w:hAnsi="Verdana" w:cs="Arial"/>
          <w:bCs/>
          <w:color w:val="000000" w:themeColor="text1"/>
        </w:rPr>
        <w:lastRenderedPageBreak/>
        <w:t>decisión correspondiente y, en caso de conflicto, a las autoridades judiciales, fiscales y disciplinarias.</w:t>
      </w:r>
    </w:p>
    <w:p w14:paraId="2D1DA4CE" w14:textId="77777777" w:rsidR="00072A40" w:rsidRPr="001450CA" w:rsidRDefault="00072A40" w:rsidP="00072A40">
      <w:pPr>
        <w:spacing w:after="120" w:line="276" w:lineRule="auto"/>
        <w:ind w:firstLine="709"/>
        <w:jc w:val="both"/>
        <w:rPr>
          <w:rFonts w:ascii="Verdana" w:eastAsia="Times New Roman" w:hAnsi="Verdana" w:cs="Arial"/>
          <w:lang w:eastAsia="es-CO"/>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5484C99" w14:textId="77777777" w:rsidR="00072A40" w:rsidRDefault="00072A40" w:rsidP="00072A40">
      <w:pPr>
        <w:spacing w:after="0" w:line="276" w:lineRule="auto"/>
        <w:jc w:val="both"/>
        <w:rPr>
          <w:rFonts w:ascii="Verdana" w:eastAsia="Century Gothic" w:hAnsi="Verdana" w:cs="Century Gothic"/>
          <w:b/>
          <w:bCs/>
        </w:rPr>
      </w:pPr>
      <w:bookmarkStart w:id="19"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19"/>
    </w:p>
    <w:p w14:paraId="21AF7AA7" w14:textId="77777777" w:rsidR="00072A40" w:rsidRPr="000B6E79" w:rsidRDefault="00072A40" w:rsidP="00072A40">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72A40" w:rsidRPr="002D2C18" w14:paraId="44369C4A" w14:textId="77777777" w:rsidTr="008C696A">
        <w:trPr>
          <w:trHeight w:val="56"/>
          <w:jc w:val="center"/>
        </w:trPr>
        <w:tc>
          <w:tcPr>
            <w:tcW w:w="8647" w:type="dxa"/>
          </w:tcPr>
          <w:p w14:paraId="64010FD0"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Pr>
                <w:rFonts w:ascii="Verdana" w:hAnsi="Verdana" w:cs="Arial"/>
                <w:lang w:eastAsia="es-ES"/>
              </w:rPr>
              <w:t xml:space="preserve">Constitución Política. Artículo 127. </w:t>
            </w:r>
          </w:p>
          <w:p w14:paraId="17C892C7"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Pr>
                <w:rFonts w:ascii="Verdana" w:hAnsi="Verdana" w:cs="Arial"/>
                <w:lang w:eastAsia="es-ES"/>
              </w:rPr>
              <w:t>Ley 80 de 1993 artículos 41 y 42.</w:t>
            </w:r>
          </w:p>
          <w:p w14:paraId="04B3AB92"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Pr>
                <w:rFonts w:ascii="Verdana" w:hAnsi="Verdana" w:cs="Arial"/>
                <w:lang w:eastAsia="es-ES"/>
              </w:rPr>
              <w:t xml:space="preserve">Ley 1150 de 2007. Artículo 2 numeral 4 literal c. </w:t>
            </w:r>
          </w:p>
          <w:p w14:paraId="7BC9BA41"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Pr>
                <w:rFonts w:ascii="Verdana" w:hAnsi="Verdana" w:cs="Arial"/>
                <w:lang w:eastAsia="es-ES"/>
              </w:rPr>
              <w:t>Ley 996 de 2005. Artículos 33 y parágrafo del artículo 38.</w:t>
            </w:r>
          </w:p>
          <w:p w14:paraId="04FB54FD"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 xml:space="preserve">Consejo de Estado. Sala de lo Contencioso Administrativo. Sección Primera. Sentencia de 3 de marzo de 2005. Radicado: 25001-23-15-000-2004-00823-01 (PI). C.P: Camilo Arciniegas Andrade. </w:t>
            </w:r>
          </w:p>
          <w:p w14:paraId="38F82DAD"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 xml:space="preserve">Sección Tercera. Sentencia de 22 de enero de 2002, expediente número 2001-0148-01 </w:t>
            </w:r>
          </w:p>
          <w:p w14:paraId="23FD0F6E"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Pr>
                <w:rFonts w:ascii="Verdana" w:hAnsi="Verdana" w:cs="Arial"/>
                <w:lang w:eastAsia="es-ES"/>
              </w:rPr>
              <w:t xml:space="preserve">Consejo de Estado. Sala de lo Contencioso Administrativo. </w:t>
            </w:r>
            <w:r w:rsidRPr="00C076BE">
              <w:rPr>
                <w:rFonts w:ascii="Verdana" w:hAnsi="Verdana" w:cs="Arial"/>
                <w:lang w:eastAsia="es-ES"/>
              </w:rPr>
              <w:t>Sección Tercera. Sentencia de 20 de noviembre de 2001, expediente número 2001-0130-01(PI).</w:t>
            </w:r>
          </w:p>
          <w:p w14:paraId="3E45B0AC"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 xml:space="preserve">Consejo de Estado, Sala de Consulta y Servicio Civil. 24 de julio de 2013. Radicado: 11001-03-06-000-2013-00407-00 (2166). C.P. Álvaro Namén Vargas.  </w:t>
            </w:r>
          </w:p>
          <w:p w14:paraId="12979BCA"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17 de febrero de 2015. Radicado: 11001-03-06-000-2015-00164-00 (2269). C.P. William Zambrano Cetina.</w:t>
            </w:r>
          </w:p>
          <w:p w14:paraId="5D405E09" w14:textId="77777777" w:rsidR="00072A40" w:rsidRPr="00C076BE"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Consejo de Estado. Sala de Consulta y Servicio Civil. Concepto del 2 de septiembre de 2013. Radicación número: 11001-03-06-000-2013-00412-00 (2168). C.P: Álvaro Namén Vargas.</w:t>
            </w:r>
          </w:p>
          <w:p w14:paraId="09646E51"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lastRenderedPageBreak/>
              <w:t>Consejo de Estado. Sala de Consulta y Servicio Civil, Concepto de 8 de mayo de 2018. Radicación Número: 11001-03-06-000-2018-00095-00 (2382). C.P: Álvaro Namén Vargas.</w:t>
            </w:r>
          </w:p>
          <w:p w14:paraId="6CE8D43E"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F2446F">
              <w:rPr>
                <w:rFonts w:ascii="Verdana" w:hAnsi="Verdana" w:cs="Arial"/>
                <w:lang w:eastAsia="es-ES"/>
              </w:rPr>
              <w:t>Consejo de Estado. Sala de Consulta y Servicio Civil. Concepto del 18 de febrero 2010. Rad. 11001-03-06-000-2010-00006-00 (1985). C.P. Enrique José Arboleda Perdomo.</w:t>
            </w:r>
          </w:p>
          <w:p w14:paraId="3B233EEB"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FB5770">
              <w:rPr>
                <w:rFonts w:ascii="Verdana" w:hAnsi="Verdana" w:cs="Arial"/>
                <w:lang w:eastAsia="es-ES"/>
              </w:rPr>
              <w:t>Consejo de Estado. Sala de lo Contencioso Administrativo. Sección Tercera. Sentencia del 21 de febrero de 2025. Exp. 68.280. CP: José Roberto Sáchica Méndez.</w:t>
            </w:r>
          </w:p>
          <w:p w14:paraId="52318287" w14:textId="77777777" w:rsidR="00072A40" w:rsidRPr="00FB5770" w:rsidRDefault="00072A40" w:rsidP="00072A40">
            <w:pPr>
              <w:pStyle w:val="Prrafodelista"/>
              <w:numPr>
                <w:ilvl w:val="0"/>
                <w:numId w:val="3"/>
              </w:numPr>
              <w:spacing w:after="120" w:line="276" w:lineRule="auto"/>
              <w:jc w:val="both"/>
              <w:rPr>
                <w:rFonts w:ascii="Verdana" w:hAnsi="Verdana" w:cs="Arial"/>
                <w:lang w:eastAsia="es-ES"/>
              </w:rPr>
            </w:pPr>
            <w:r w:rsidRPr="00FB5770">
              <w:rPr>
                <w:rFonts w:ascii="Verdana" w:hAnsi="Verdana"/>
              </w:rPr>
              <w:t>Consejo de Estado</w:t>
            </w:r>
            <w:r>
              <w:rPr>
                <w:rFonts w:ascii="Verdana" w:hAnsi="Verdana"/>
              </w:rPr>
              <w:t xml:space="preserve">. Sala de lo Contencioso Administrativo. </w:t>
            </w:r>
            <w:r w:rsidRPr="00FB5770">
              <w:rPr>
                <w:rFonts w:ascii="Verdana" w:hAnsi="Verdana"/>
              </w:rPr>
              <w:t>Sección Tercera</w:t>
            </w:r>
            <w:r>
              <w:rPr>
                <w:rFonts w:ascii="Verdana" w:hAnsi="Verdana"/>
              </w:rPr>
              <w:t>.</w:t>
            </w:r>
            <w:r w:rsidRPr="00FB5770">
              <w:rPr>
                <w:rFonts w:ascii="Verdana" w:hAnsi="Verdana"/>
              </w:rPr>
              <w:t xml:space="preserve"> Subsección B. Auto del 4 de octubre de 2024. Exp. 70.313.</w:t>
            </w:r>
            <w:r>
              <w:rPr>
                <w:rFonts w:ascii="Verdana" w:hAnsi="Verdana"/>
              </w:rPr>
              <w:t xml:space="preserve"> </w:t>
            </w:r>
            <w:r w:rsidRPr="00FB5770">
              <w:rPr>
                <w:rFonts w:ascii="Verdana" w:hAnsi="Verdana"/>
              </w:rPr>
              <w:t>C.P: Fredy Ibarra Martínez</w:t>
            </w:r>
            <w:r>
              <w:rPr>
                <w:rFonts w:ascii="Verdana" w:hAnsi="Verdana"/>
              </w:rPr>
              <w:t>.</w:t>
            </w:r>
          </w:p>
          <w:p w14:paraId="506967FB"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FB5770">
              <w:rPr>
                <w:rFonts w:ascii="Verdana" w:hAnsi="Verdana" w:cs="Arial"/>
                <w:lang w:eastAsia="es-ES"/>
              </w:rPr>
              <w:t>Consejo de Estado. Sala de lo Contencioso Administrativo. Sección Tercera. Subsección B. 17 de octubre de 2025. C.P. Fredy Ibarra Martínez</w:t>
            </w:r>
            <w:r>
              <w:rPr>
                <w:rFonts w:ascii="Verdana" w:hAnsi="Verdana" w:cs="Arial"/>
                <w:lang w:eastAsia="es-ES"/>
              </w:rPr>
              <w:t>.</w:t>
            </w:r>
          </w:p>
          <w:p w14:paraId="76C6FA72"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Corte Constitucional. Sentencia C- 1153 de 2005, M.P: Marco Gerardo Monroy Cabra.</w:t>
            </w:r>
            <w:r w:rsidRPr="00C076BE">
              <w:rPr>
                <w:rFonts w:ascii="Verdana" w:hAnsi="Verdana" w:cs="Arial"/>
                <w:lang w:eastAsia="es-ES"/>
              </w:rPr>
              <w:tab/>
            </w:r>
          </w:p>
          <w:p w14:paraId="4A82E7B1"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Corte Constitucional. Sentencia C-233 de 4 de abril de 2002. M.P: Álvaro Tafur Galvis</w:t>
            </w:r>
            <w:r>
              <w:rPr>
                <w:rFonts w:ascii="Verdana" w:hAnsi="Verdana" w:cs="Arial"/>
                <w:lang w:eastAsia="es-ES"/>
              </w:rPr>
              <w:t>.</w:t>
            </w:r>
          </w:p>
          <w:p w14:paraId="1AFF49F2"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Corte Constitucional. Sentencia C-551 de 9 de julio de 2003. M.P: Eduardo Montealegre Lynnet</w:t>
            </w:r>
            <w:r>
              <w:rPr>
                <w:rFonts w:ascii="Verdana" w:hAnsi="Verdana" w:cs="Arial"/>
                <w:lang w:eastAsia="es-ES"/>
              </w:rPr>
              <w:t>.</w:t>
            </w:r>
          </w:p>
          <w:p w14:paraId="4EC477D2"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C076BE">
              <w:rPr>
                <w:rFonts w:ascii="Verdana" w:hAnsi="Verdana" w:cs="Arial"/>
                <w:lang w:eastAsia="es-ES"/>
              </w:rPr>
              <w:t>Corte Constitucional. Sentencia C-353 de 20 de mayo de 2009. M.P: Jorge Iván Palacio Palacio</w:t>
            </w:r>
            <w:r>
              <w:rPr>
                <w:rFonts w:ascii="Verdana" w:hAnsi="Verdana" w:cs="Arial"/>
                <w:lang w:eastAsia="es-ES"/>
              </w:rPr>
              <w:t>.</w:t>
            </w:r>
          </w:p>
          <w:p w14:paraId="623581E3" w14:textId="77777777" w:rsidR="00072A40" w:rsidRDefault="00072A40" w:rsidP="00072A40">
            <w:pPr>
              <w:pStyle w:val="Prrafodelista"/>
              <w:numPr>
                <w:ilvl w:val="0"/>
                <w:numId w:val="3"/>
              </w:numPr>
              <w:spacing w:after="120" w:line="276" w:lineRule="auto"/>
              <w:jc w:val="both"/>
              <w:rPr>
                <w:rFonts w:ascii="Verdana" w:hAnsi="Verdana" w:cs="Arial"/>
                <w:lang w:eastAsia="es-ES"/>
              </w:rPr>
            </w:pPr>
            <w:r w:rsidRPr="00F2446F">
              <w:rPr>
                <w:rFonts w:ascii="Verdana" w:hAnsi="Verdana" w:cs="Arial"/>
                <w:lang w:eastAsia="es-ES"/>
              </w:rPr>
              <w:t>Corte Constitucional. Sentencia C-541 de 30 de junio de 2010. M.P: Gabriel Eduardo Mendoza Martel</w:t>
            </w:r>
            <w:r>
              <w:rPr>
                <w:rFonts w:ascii="Verdana" w:hAnsi="Verdana" w:cs="Arial"/>
                <w:lang w:eastAsia="es-ES"/>
              </w:rPr>
              <w:t>o</w:t>
            </w:r>
            <w:r w:rsidRPr="00F2446F">
              <w:rPr>
                <w:rFonts w:ascii="Verdana" w:hAnsi="Verdana" w:cs="Arial"/>
                <w:lang w:eastAsia="es-ES"/>
              </w:rPr>
              <w:t>.</w:t>
            </w:r>
          </w:p>
          <w:p w14:paraId="39C4D00F" w14:textId="77777777" w:rsidR="00072A40" w:rsidRPr="00F2446F" w:rsidRDefault="00072A40" w:rsidP="00072A40">
            <w:pPr>
              <w:pStyle w:val="Prrafodelista"/>
              <w:numPr>
                <w:ilvl w:val="0"/>
                <w:numId w:val="3"/>
              </w:numPr>
              <w:spacing w:after="120" w:line="276" w:lineRule="auto"/>
              <w:jc w:val="both"/>
              <w:rPr>
                <w:rFonts w:ascii="Verdana" w:hAnsi="Verdana" w:cs="Arial"/>
                <w:lang w:eastAsia="es-ES"/>
              </w:rPr>
            </w:pPr>
            <w:r w:rsidRPr="00F2446F">
              <w:rPr>
                <w:rFonts w:ascii="Verdana" w:hAnsi="Verdana"/>
              </w:rPr>
              <w:t xml:space="preserve">Agencia Nacional de Contratación Pública. Circular Externa 006 del 25 de septiembre de 2025. Disponible en </w:t>
            </w:r>
            <w:hyperlink r:id="rId9" w:history="1">
              <w:r w:rsidRPr="00F2446F">
                <w:rPr>
                  <w:rStyle w:val="Hipervnculo"/>
                  <w:rFonts w:ascii="Verdana" w:hAnsi="Verdana"/>
                </w:rPr>
                <w:t>006-de-2025-Circular-Externa-L996-ajustado-comentarios-BM-BID-Rev-ARSC-V3.d-1.pdf</w:t>
              </w:r>
            </w:hyperlink>
          </w:p>
          <w:p w14:paraId="4E6EAD2F" w14:textId="77777777" w:rsidR="00072A40" w:rsidRPr="001D2E6F" w:rsidRDefault="00072A40" w:rsidP="00072A40">
            <w:pPr>
              <w:pStyle w:val="Prrafodelista"/>
              <w:numPr>
                <w:ilvl w:val="0"/>
                <w:numId w:val="3"/>
              </w:numPr>
              <w:spacing w:after="120" w:line="276" w:lineRule="auto"/>
              <w:jc w:val="both"/>
              <w:rPr>
                <w:rFonts w:ascii="Verdana" w:hAnsi="Verdana" w:cs="Arial"/>
                <w:lang w:eastAsia="es-ES"/>
              </w:rPr>
            </w:pPr>
            <w:r w:rsidRPr="006A09E3">
              <w:rPr>
                <w:rFonts w:ascii="Verdana" w:hAnsi="Verdana"/>
              </w:rPr>
              <w:t xml:space="preserve">Lineamiento técnico- operativo de equipos básicos de salud: conformación, operación y seguimiento. Puede consultarse en </w:t>
            </w:r>
            <w:hyperlink r:id="rId10" w:history="1">
              <w:r w:rsidRPr="006A09E3">
                <w:rPr>
                  <w:rStyle w:val="Hipervnculo"/>
                  <w:rFonts w:ascii="Verdana" w:hAnsi="Verdana"/>
                </w:rPr>
                <w:t>Lineamientos para el fortalecimiento del nivel primario basado en Atención Primaria en Salud</w:t>
              </w:r>
            </w:hyperlink>
          </w:p>
          <w:p w14:paraId="06F6C6D5" w14:textId="77777777" w:rsidR="00072A40" w:rsidRPr="001D2E6F" w:rsidRDefault="00072A40" w:rsidP="00072A40">
            <w:pPr>
              <w:pStyle w:val="Prrafodelista"/>
              <w:numPr>
                <w:ilvl w:val="0"/>
                <w:numId w:val="3"/>
              </w:numPr>
              <w:spacing w:after="120" w:line="276" w:lineRule="auto"/>
              <w:jc w:val="both"/>
              <w:rPr>
                <w:rFonts w:ascii="Verdana" w:hAnsi="Verdana" w:cs="Arial"/>
                <w:lang w:eastAsia="es-ES"/>
              </w:rPr>
            </w:pPr>
            <w:r w:rsidRPr="00FB5770">
              <w:rPr>
                <w:rFonts w:ascii="Verdana" w:hAnsi="Verdana" w:cs="Arial"/>
                <w:lang w:eastAsia="es-ES"/>
              </w:rPr>
              <w:t>CLARO SOLAR, Luis. Explicaciones de derecho civil chileno y comparado. Volumen I. Tomo I. Santiago: Editorial Jurídica de Chile, 2013</w:t>
            </w:r>
            <w:r>
              <w:rPr>
                <w:rFonts w:ascii="Verdana" w:hAnsi="Verdana" w:cs="Arial"/>
                <w:lang w:eastAsia="es-ES"/>
              </w:rPr>
              <w:t>.</w:t>
            </w:r>
          </w:p>
        </w:tc>
      </w:tr>
    </w:tbl>
    <w:p w14:paraId="7E16A496" w14:textId="77777777" w:rsidR="00072A40" w:rsidRDefault="00072A40" w:rsidP="00072A40">
      <w:pPr>
        <w:tabs>
          <w:tab w:val="left" w:pos="142"/>
          <w:tab w:val="left" w:pos="284"/>
          <w:tab w:val="left" w:pos="3828"/>
        </w:tabs>
        <w:spacing w:after="0" w:line="276" w:lineRule="auto"/>
        <w:jc w:val="both"/>
        <w:rPr>
          <w:rFonts w:ascii="Verdana" w:eastAsia="Century Gothic" w:hAnsi="Verdana" w:cs="Century Gothic"/>
          <w:b/>
          <w:bCs/>
        </w:rPr>
      </w:pPr>
    </w:p>
    <w:p w14:paraId="45B5094D" w14:textId="77777777" w:rsidR="00072A40" w:rsidRPr="0091091D" w:rsidRDefault="00072A40" w:rsidP="00072A40">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lastRenderedPageBreak/>
        <w:t>5. Doctrina de la Agencia Nacional de Contratación Pública:</w:t>
      </w:r>
    </w:p>
    <w:p w14:paraId="4D329DB9" w14:textId="77777777" w:rsidR="00072A40" w:rsidRDefault="00072A40" w:rsidP="00072A40">
      <w:pPr>
        <w:widowControl w:val="0"/>
        <w:autoSpaceDE w:val="0"/>
        <w:autoSpaceDN w:val="0"/>
        <w:spacing w:after="0" w:line="240" w:lineRule="auto"/>
        <w:jc w:val="both"/>
        <w:rPr>
          <w:rStyle w:val="normaltextrun"/>
          <w:rFonts w:ascii="Verdana" w:hAnsi="Verdana" w:cs="Arial"/>
          <w:shd w:val="clear" w:color="auto" w:fill="FFFFFF"/>
          <w:lang w:val="es-ES"/>
        </w:rPr>
      </w:pPr>
    </w:p>
    <w:p w14:paraId="29D99860" w14:textId="77777777" w:rsidR="00072A40" w:rsidRPr="00A54323" w:rsidRDefault="00072A40" w:rsidP="00072A40">
      <w:pPr>
        <w:widowControl w:val="0"/>
        <w:autoSpaceDE w:val="0"/>
        <w:autoSpaceDN w:val="0"/>
        <w:spacing w:after="0" w:line="276" w:lineRule="auto"/>
        <w:jc w:val="both"/>
        <w:rPr>
          <w:rFonts w:ascii="Verdana" w:hAnsi="Verdana" w:cs="Arial"/>
          <w:shd w:val="clear" w:color="auto" w:fill="FFFFFF"/>
          <w:lang w:val="es-ES"/>
        </w:rPr>
      </w:pPr>
      <w:r w:rsidRPr="000F79CF">
        <w:rPr>
          <w:rFonts w:ascii="Verdana" w:eastAsia="Calibri" w:hAnsi="Verdana" w:cs="Arial"/>
        </w:rPr>
        <w:t xml:space="preserve">La Agencia Nacional de Contratación Pública – Colombia Compra Eficiente se ha referido </w:t>
      </w:r>
      <w:r w:rsidRPr="000F79CF">
        <w:rPr>
          <w:rFonts w:ascii="Verdana" w:hAnsi="Verdana" w:cs="Arial"/>
          <w:shd w:val="clear" w:color="auto" w:fill="FFFFFF"/>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w:t>
      </w:r>
      <w:r>
        <w:rPr>
          <w:rFonts w:ascii="Verdana" w:hAnsi="Verdana" w:cs="Arial"/>
          <w:shd w:val="clear" w:color="auto" w:fill="FFFFFF"/>
        </w:rPr>
        <w:t xml:space="preserve">C-1124 del 18 de septiembre de 2025, C-1491 del 20 de noviembre de 2025, C- 1492 del </w:t>
      </w:r>
      <w:r>
        <w:rPr>
          <w:rFonts w:ascii="Verdana" w:hAnsi="Verdana"/>
        </w:rPr>
        <w:t>21 de noviembre del 2025, C-</w:t>
      </w:r>
      <w:r w:rsidRPr="001450CA">
        <w:rPr>
          <w:rFonts w:ascii="Verdana" w:hAnsi="Verdana"/>
        </w:rPr>
        <w:t>1629, C-1646 del 17 de diciembre de 2025, C-1662 del 22 de diciembre de 2025</w:t>
      </w:r>
      <w:r w:rsidRPr="001450CA">
        <w:rPr>
          <w:rStyle w:val="normaltextrun"/>
          <w:rFonts w:ascii="Verdana" w:hAnsi="Verdana" w:cs="Arial"/>
          <w:shd w:val="clear" w:color="auto" w:fill="FFFFFF"/>
          <w:lang w:val="es-ES"/>
        </w:rPr>
        <w:t>, C-160 del 24 de febrero de 2026</w:t>
      </w:r>
      <w:r>
        <w:rPr>
          <w:rStyle w:val="normaltextrun"/>
          <w:rFonts w:ascii="Verdana" w:hAnsi="Verdana" w:cs="Arial"/>
          <w:shd w:val="clear" w:color="auto" w:fill="FFFFFF"/>
          <w:lang w:val="es-ES"/>
        </w:rPr>
        <w:t>, C-108 del 4 de marzo de 2026, C-177 del 16 de marzo de 2026,</w:t>
      </w:r>
      <w:r w:rsidRPr="001450CA">
        <w:rPr>
          <w:rStyle w:val="normaltextrun"/>
          <w:rFonts w:ascii="Verdana" w:hAnsi="Verdana" w:cs="Arial"/>
          <w:shd w:val="clear" w:color="auto" w:fill="FFFFFF"/>
          <w:lang w:val="es-ES"/>
        </w:rPr>
        <w:t xml:space="preserve"> entre otros.</w:t>
      </w:r>
      <w:r w:rsidRPr="001450CA">
        <w:rPr>
          <w:rFonts w:ascii="Verdana" w:hAnsi="Verdana" w:cs="Arial"/>
          <w:shd w:val="clear" w:color="auto" w:fill="FFFFFF"/>
          <w:lang w:val="es-ES"/>
        </w:rPr>
        <w:t xml:space="preserve"> </w:t>
      </w:r>
      <w:r w:rsidRPr="001450CA">
        <w:rPr>
          <w:rFonts w:ascii="Verdana" w:hAnsi="Verdana" w:cs="Arial"/>
        </w:rPr>
        <w:t xml:space="preserve">Estos y otros </w:t>
      </w:r>
      <w:r w:rsidRPr="001450CA">
        <w:rPr>
          <w:rFonts w:ascii="Verdana" w:hAnsi="Verdana"/>
        </w:rPr>
        <w:t>conceptos se encuentran disponibles para consulta en el Sistema de relatoría de la Agencia, al cual se puede acceder a través del siguiente</w:t>
      </w:r>
      <w:r w:rsidRPr="00104DE4">
        <w:rPr>
          <w:rFonts w:ascii="Verdana" w:hAnsi="Verdana"/>
        </w:rPr>
        <w:t xml:space="preserve"> enlace:</w:t>
      </w:r>
      <w:r w:rsidRPr="00104DE4">
        <w:rPr>
          <w:rFonts w:ascii="Verdana" w:hAnsi="Verdana" w:cs="Arial"/>
          <w:shd w:val="clear" w:color="auto" w:fill="FFFFFF"/>
        </w:rPr>
        <w:t xml:space="preserve"> </w:t>
      </w:r>
      <w:hyperlink r:id="rId11" w:history="1">
        <w:r w:rsidRPr="00104DE4">
          <w:rPr>
            <w:rFonts w:ascii="Verdana" w:hAnsi="Verdana" w:cs="Arial"/>
            <w:color w:val="467886" w:themeColor="hyperlink"/>
            <w:u w:val="single"/>
            <w:shd w:val="clear" w:color="auto" w:fill="FFFFFF"/>
          </w:rPr>
          <w:t>https://relatoria.colombiacompra.gov.co/busqueda/conceptos</w:t>
        </w:r>
      </w:hyperlink>
      <w:r w:rsidRPr="00104DE4">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1BB7705F" w14:textId="77777777" w:rsidR="00072A40" w:rsidRDefault="00072A40" w:rsidP="00072A40">
      <w:pPr>
        <w:widowControl w:val="0"/>
        <w:autoSpaceDE w:val="0"/>
        <w:autoSpaceDN w:val="0"/>
        <w:spacing w:after="0" w:line="240" w:lineRule="auto"/>
        <w:jc w:val="both"/>
        <w:rPr>
          <w:rFonts w:ascii="Verdana" w:hAnsi="Verdana"/>
          <w:lang w:val="es-ES"/>
        </w:rPr>
      </w:pPr>
    </w:p>
    <w:p w14:paraId="675EA9A7" w14:textId="77777777" w:rsidR="00072A40" w:rsidRPr="009A385A" w:rsidRDefault="00072A40" w:rsidP="00072A40">
      <w:pPr>
        <w:spacing w:after="12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359F4DE6" w14:textId="77777777" w:rsidR="00072A40" w:rsidRDefault="00072A40" w:rsidP="00072A40">
      <w:pPr>
        <w:spacing w:after="12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w:t>
      </w:r>
      <w:r w:rsidRPr="009A385A">
        <w:rPr>
          <w:rFonts w:ascii="Verdana" w:hAnsi="Verdana"/>
          <w:b/>
          <w:bCs/>
        </w:rPr>
        <w:lastRenderedPageBreak/>
        <w:t>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3" w:tgtFrame="_new" w:history="1">
        <w:r w:rsidRPr="00635F16">
          <w:rPr>
            <w:rStyle w:val="Hipervnculo"/>
            <w:rFonts w:ascii="Verdana" w:hAnsi="Verdana"/>
          </w:rPr>
          <w:t>https://www.colombiacompra.gov.co/normativa-y-relatoria/documentos-tipo</w:t>
        </w:r>
      </w:hyperlink>
    </w:p>
    <w:p w14:paraId="3B7C4F6A" w14:textId="77777777" w:rsidR="00072A40" w:rsidRDefault="00072A40" w:rsidP="00072A40">
      <w:pPr>
        <w:spacing w:after="12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AFF6DB3" w14:textId="77777777" w:rsidR="00072A40" w:rsidRPr="0043234D" w:rsidRDefault="00072A40" w:rsidP="00072A40">
      <w:pPr>
        <w:widowControl w:val="0"/>
        <w:autoSpaceDE w:val="0"/>
        <w:autoSpaceDN w:val="0"/>
        <w:spacing w:after="120" w:line="276" w:lineRule="auto"/>
        <w:jc w:val="both"/>
        <w:rPr>
          <w:rFonts w:ascii="Verdana" w:hAnsi="Verdana" w:cs="Arial"/>
          <w:highlight w:val="yellow"/>
          <w:shd w:val="clear" w:color="auto" w:fill="FFFFFF"/>
          <w:lang w:val="es-MX"/>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24203DDA" w14:textId="77777777" w:rsidR="00072A40" w:rsidRPr="00116940" w:rsidRDefault="00072A40" w:rsidP="00072A40">
      <w:pPr>
        <w:pStyle w:val="Prrafodelista"/>
        <w:numPr>
          <w:ilvl w:val="0"/>
          <w:numId w:val="1"/>
        </w:numPr>
        <w:spacing w:after="0" w:line="276" w:lineRule="auto"/>
        <w:jc w:val="both"/>
        <w:rPr>
          <w:rFonts w:ascii="Verdana" w:eastAsia="Verdana" w:hAnsi="Verdana" w:cs="Verdana"/>
          <w:color w:val="156082"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3F1952A" w14:textId="77777777" w:rsidR="00072A40" w:rsidRPr="00116940" w:rsidRDefault="00072A40" w:rsidP="00072A40">
      <w:pPr>
        <w:pStyle w:val="Prrafodelista"/>
        <w:numPr>
          <w:ilvl w:val="0"/>
          <w:numId w:val="1"/>
        </w:numPr>
        <w:spacing w:after="0" w:line="276" w:lineRule="auto"/>
        <w:rPr>
          <w:rFonts w:ascii="Verdana" w:eastAsia="Verdana" w:hAnsi="Verdana" w:cs="Verdana"/>
          <w:color w:val="156082"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65F40BE0" w14:textId="77777777" w:rsidR="00072A40" w:rsidRPr="00116940" w:rsidRDefault="00072A40" w:rsidP="00072A40">
      <w:pPr>
        <w:pStyle w:val="Prrafodelista"/>
        <w:numPr>
          <w:ilvl w:val="0"/>
          <w:numId w:val="1"/>
        </w:numPr>
        <w:spacing w:after="0" w:line="276" w:lineRule="auto"/>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5E78833D" w14:textId="77777777" w:rsidR="00072A40" w:rsidRPr="00116940" w:rsidRDefault="00072A40" w:rsidP="00072A40">
      <w:pPr>
        <w:pStyle w:val="Prrafodelista"/>
        <w:numPr>
          <w:ilvl w:val="0"/>
          <w:numId w:val="1"/>
        </w:numPr>
        <w:spacing w:after="0" w:line="276" w:lineRule="auto"/>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504FA675" w14:textId="77777777" w:rsidR="00072A40" w:rsidRPr="00116940" w:rsidRDefault="00072A40" w:rsidP="00072A40">
      <w:pPr>
        <w:spacing w:after="0" w:line="240" w:lineRule="auto"/>
        <w:ind w:left="720"/>
        <w:jc w:val="both"/>
        <w:rPr>
          <w:rFonts w:ascii="Verdana" w:hAnsi="Verdana"/>
        </w:rPr>
      </w:pPr>
    </w:p>
    <w:p w14:paraId="1AB1B48B" w14:textId="77777777" w:rsidR="00072A40" w:rsidRDefault="00072A40" w:rsidP="00072A40">
      <w:pPr>
        <w:spacing w:after="12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7" w:history="1">
        <w:r w:rsidRPr="00A83E37">
          <w:rPr>
            <w:rStyle w:val="Hipervnculo"/>
            <w:rFonts w:ascii="Verdana" w:eastAsia="Verdana" w:hAnsi="Verdana" w:cs="Verdana"/>
            <w:lang w:val="es-MX"/>
          </w:rPr>
          <w:t>https://forms.office.com/r/pPHyWVs2SZ</w:t>
        </w:r>
      </w:hyperlink>
      <w:r w:rsidRPr="007E27D9">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2E67EA66" w14:textId="77777777" w:rsidR="00072A40" w:rsidRPr="00116940" w:rsidRDefault="00072A40" w:rsidP="00072A40">
      <w:pPr>
        <w:spacing w:after="120" w:line="276" w:lineRule="auto"/>
        <w:jc w:val="both"/>
        <w:rPr>
          <w:rFonts w:ascii="Verdana" w:hAnsi="Verdana"/>
        </w:rPr>
      </w:pPr>
      <w:r w:rsidRPr="00116940">
        <w:rPr>
          <w:rFonts w:ascii="Verdana" w:hAnsi="Verdana"/>
        </w:rPr>
        <w:lastRenderedPageBreak/>
        <w:t xml:space="preserve">Por último, lo invitamos a seguirnos en las redes sociales en las cuales se difunde información institucional: </w:t>
      </w:r>
    </w:p>
    <w:p w14:paraId="639823D8" w14:textId="77777777" w:rsidR="00072A40" w:rsidRPr="00116940" w:rsidRDefault="00072A40" w:rsidP="00072A40">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EA3F8AC" w14:textId="77777777" w:rsidR="00072A40" w:rsidRPr="00116940" w:rsidRDefault="00072A40" w:rsidP="00072A40">
      <w:pPr>
        <w:spacing w:after="0" w:line="276"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5387CB34" w14:textId="77777777" w:rsidR="00072A40" w:rsidRPr="00116940" w:rsidRDefault="00072A40" w:rsidP="00072A40">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B8B793D" w14:textId="77777777" w:rsidR="00072A40" w:rsidRDefault="00072A40" w:rsidP="00072A40">
      <w:pPr>
        <w:spacing w:after="0" w:line="276" w:lineRule="auto"/>
        <w:jc w:val="both"/>
        <w:rPr>
          <w:rFonts w:ascii="Verdana" w:hAnsi="Verdana"/>
          <w:lang w:val="es-MX"/>
        </w:rPr>
      </w:pPr>
    </w:p>
    <w:p w14:paraId="50B6C97D" w14:textId="77777777" w:rsidR="00072A40" w:rsidRPr="008A62D2" w:rsidRDefault="00072A40" w:rsidP="00072A40">
      <w:pPr>
        <w:spacing w:after="0" w:line="276" w:lineRule="auto"/>
        <w:jc w:val="both"/>
        <w:rPr>
          <w:rFonts w:ascii="Verdana" w:hAnsi="Verdana"/>
          <w:lang w:val="es-MX"/>
        </w:rPr>
      </w:pPr>
      <w:r w:rsidRPr="00E02524">
        <w:rPr>
          <w:rFonts w:ascii="Verdana" w:hAnsi="Verdana"/>
          <w:lang w:val="es-MX"/>
        </w:rPr>
        <w:t>Cordialmente,</w:t>
      </w:r>
    </w:p>
    <w:p w14:paraId="1D8CF9F2" w14:textId="26B2DBE0" w:rsidR="004864A3" w:rsidRPr="004864A3" w:rsidRDefault="004864A3" w:rsidP="004864A3">
      <w:pPr>
        <w:spacing w:after="0" w:line="256" w:lineRule="auto"/>
        <w:jc w:val="center"/>
        <w:rPr>
          <w:rFonts w:ascii="Verdana" w:eastAsia="Calibri" w:hAnsi="Verdana" w:cs="Times New Roman"/>
        </w:rPr>
      </w:pPr>
      <w:r w:rsidRPr="004864A3">
        <w:rPr>
          <w:rFonts w:ascii="Verdana" w:eastAsia="Calibri" w:hAnsi="Verdana" w:cs="Times New Roman"/>
        </w:rPr>
        <w:drawing>
          <wp:inline distT="0" distB="0" distL="0" distR="0" wp14:anchorId="6714A1B8" wp14:editId="3E6E40A5">
            <wp:extent cx="3771900" cy="1400175"/>
            <wp:effectExtent l="0" t="0" r="0" b="9525"/>
            <wp:docPr id="9450725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0F5CA052" w14:textId="789F971F" w:rsidR="00072A40" w:rsidRPr="001F3679" w:rsidRDefault="00072A40" w:rsidP="00072A40">
      <w:pPr>
        <w:spacing w:after="0" w:line="256" w:lineRule="auto"/>
        <w:jc w:val="center"/>
        <w:rPr>
          <w:rFonts w:ascii="Verdana" w:eastAsia="Calibri" w:hAnsi="Verdana" w:cs="Times New Roman"/>
        </w:rPr>
      </w:pPr>
    </w:p>
    <w:p w14:paraId="6F7F3072" w14:textId="77777777" w:rsidR="00072A40" w:rsidRDefault="00072A40" w:rsidP="00072A40">
      <w:pPr>
        <w:spacing w:after="0" w:line="256" w:lineRule="auto"/>
        <w:jc w:val="center"/>
        <w:rPr>
          <w:rFonts w:ascii="Verdana" w:eastAsia="Calibri" w:hAnsi="Verdana" w:cs="Times New Roman"/>
        </w:rPr>
      </w:pPr>
    </w:p>
    <w:p w14:paraId="7D726A44" w14:textId="77777777" w:rsidR="00072A40" w:rsidRDefault="00072A40" w:rsidP="00072A40">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072A40" w:rsidRPr="005644FE" w14:paraId="72E1EF73" w14:textId="77777777" w:rsidTr="008C696A">
        <w:trPr>
          <w:trHeight w:val="288"/>
        </w:trPr>
        <w:tc>
          <w:tcPr>
            <w:tcW w:w="893" w:type="dxa"/>
            <w:vAlign w:val="center"/>
            <w:hideMark/>
          </w:tcPr>
          <w:p w14:paraId="29639F6D" w14:textId="77777777" w:rsidR="00072A40" w:rsidRPr="005644FE" w:rsidRDefault="00072A40" w:rsidP="008C696A">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DE7E1A6" w14:textId="77777777" w:rsidR="00072A40" w:rsidRPr="005644FE" w:rsidRDefault="00072A40" w:rsidP="008C696A">
            <w:pPr>
              <w:contextualSpacing/>
              <w:rPr>
                <w:rStyle w:val="normaltextrun"/>
                <w:rFonts w:ascii="Verdana" w:hAnsi="Verdana"/>
                <w:sz w:val="16"/>
                <w:szCs w:val="16"/>
              </w:rPr>
            </w:pPr>
            <w:r>
              <w:rPr>
                <w:rStyle w:val="normaltextrun"/>
                <w:rFonts w:ascii="Verdana" w:hAnsi="Verdana"/>
                <w:sz w:val="16"/>
                <w:szCs w:val="16"/>
              </w:rPr>
              <w:t>Natalia Montoya Jiménez</w:t>
            </w:r>
            <w:r w:rsidRPr="005644FE">
              <w:rPr>
                <w:rStyle w:val="normaltextrun"/>
                <w:rFonts w:ascii="Verdana" w:hAnsi="Verdana"/>
                <w:sz w:val="16"/>
                <w:szCs w:val="16"/>
              </w:rPr>
              <w:t xml:space="preserve"> </w:t>
            </w:r>
          </w:p>
          <w:p w14:paraId="73C8A153" w14:textId="77777777" w:rsidR="00072A40" w:rsidRPr="005644FE" w:rsidRDefault="00072A40" w:rsidP="008C696A">
            <w:pPr>
              <w:contextualSpacing/>
              <w:rPr>
                <w:rFonts w:ascii="Verdana" w:eastAsia="Arial" w:hAnsi="Verdana" w:cs="Arial"/>
                <w:sz w:val="16"/>
                <w:szCs w:val="16"/>
              </w:rPr>
            </w:pPr>
            <w:r>
              <w:rPr>
                <w:rStyle w:val="normaltextrun"/>
                <w:rFonts w:ascii="Verdana" w:hAnsi="Verdana" w:cs="Arial"/>
                <w:sz w:val="16"/>
                <w:szCs w:val="16"/>
              </w:rPr>
              <w:t>Gestor T1 15</w:t>
            </w:r>
            <w:r w:rsidRPr="005644FE">
              <w:rPr>
                <w:rStyle w:val="normaltextrun"/>
                <w:rFonts w:ascii="Verdana" w:hAnsi="Verdana" w:cs="Arial"/>
                <w:sz w:val="16"/>
                <w:szCs w:val="16"/>
              </w:rPr>
              <w:t xml:space="preserve"> de la Subdirección de Gestión Contractual</w:t>
            </w:r>
            <w:r w:rsidRPr="005644FE">
              <w:rPr>
                <w:rStyle w:val="eop"/>
                <w:rFonts w:ascii="Verdana" w:hAnsi="Verdana" w:cs="Arial"/>
                <w:sz w:val="16"/>
                <w:szCs w:val="16"/>
              </w:rPr>
              <w:t> </w:t>
            </w:r>
          </w:p>
        </w:tc>
      </w:tr>
      <w:tr w:rsidR="00072A40" w:rsidRPr="005644FE" w14:paraId="5D50FB6A" w14:textId="77777777" w:rsidTr="008C696A">
        <w:trPr>
          <w:trHeight w:val="330"/>
        </w:trPr>
        <w:tc>
          <w:tcPr>
            <w:tcW w:w="893" w:type="dxa"/>
            <w:vAlign w:val="center"/>
            <w:hideMark/>
          </w:tcPr>
          <w:p w14:paraId="60AC0A2F" w14:textId="77777777" w:rsidR="00072A40" w:rsidRPr="005644FE" w:rsidRDefault="00072A40" w:rsidP="008C696A">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430F8D35" w14:textId="77777777" w:rsidR="00072A40" w:rsidRPr="0043234D" w:rsidRDefault="00072A40" w:rsidP="008C696A">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Adriana Katherine López Rodriguez</w:t>
            </w:r>
          </w:p>
          <w:p w14:paraId="46A905D1" w14:textId="77777777" w:rsidR="00072A40" w:rsidRPr="005644FE" w:rsidRDefault="00072A40" w:rsidP="008C696A">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072A40" w:rsidRPr="005644FE" w14:paraId="48566212" w14:textId="77777777" w:rsidTr="008C696A">
        <w:trPr>
          <w:trHeight w:val="300"/>
        </w:trPr>
        <w:tc>
          <w:tcPr>
            <w:tcW w:w="893" w:type="dxa"/>
            <w:vAlign w:val="center"/>
          </w:tcPr>
          <w:p w14:paraId="06C9FF35" w14:textId="77777777" w:rsidR="00072A40" w:rsidRPr="005644FE" w:rsidRDefault="00072A40" w:rsidP="008C696A">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E5044BC" w14:textId="77777777" w:rsidR="00072A40" w:rsidRPr="005644FE" w:rsidRDefault="00072A40" w:rsidP="008C696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3869A7C7" w14:textId="77777777" w:rsidR="00072A40" w:rsidRPr="005644FE" w:rsidRDefault="00072A40" w:rsidP="008C696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bookmarkEnd w:id="1"/>
    </w:tbl>
    <w:p w14:paraId="34FD3225" w14:textId="77777777" w:rsidR="00072A40" w:rsidRDefault="00072A40" w:rsidP="00072A40"/>
    <w:p w14:paraId="7079749A" w14:textId="5807434F" w:rsidR="00072A40" w:rsidRPr="00DB4BD3" w:rsidRDefault="00072A40" w:rsidP="00072A40"/>
    <w:p w14:paraId="7E7B3CDD" w14:textId="77777777" w:rsidR="00072A40" w:rsidRPr="008C766D" w:rsidRDefault="00072A40" w:rsidP="00072A40"/>
    <w:p w14:paraId="53F84E69" w14:textId="77777777" w:rsidR="002D6822" w:rsidRDefault="002D6822"/>
    <w:sectPr w:rsidR="002D6822" w:rsidSect="00072A40">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18BC7" w14:textId="77777777" w:rsidR="00D96889" w:rsidRDefault="00D96889" w:rsidP="00072A40">
      <w:pPr>
        <w:spacing w:after="0" w:line="240" w:lineRule="auto"/>
      </w:pPr>
      <w:r>
        <w:separator/>
      </w:r>
    </w:p>
  </w:endnote>
  <w:endnote w:type="continuationSeparator" w:id="0">
    <w:p w14:paraId="66222CD4" w14:textId="77777777" w:rsidR="00D96889" w:rsidRDefault="00D96889" w:rsidP="00072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5365" w14:textId="77777777" w:rsidR="00072A40" w:rsidRDefault="00072A40">
    <w:pPr>
      <w:pStyle w:val="Piedepgina"/>
    </w:pPr>
  </w:p>
  <w:p w14:paraId="21A809FB" w14:textId="77777777" w:rsidR="00072A40" w:rsidRPr="00174B77" w:rsidRDefault="00072A4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4693B62E" w14:textId="77777777" w:rsidR="00072A40" w:rsidRDefault="00072A4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BC0CDF1" w14:textId="77777777" w:rsidR="00072A40" w:rsidRPr="00E41027" w:rsidRDefault="00072A4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1EA9581E" w14:textId="77777777" w:rsidR="00072A40" w:rsidRDefault="00072A4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4213C" w14:textId="77777777" w:rsidR="00D96889" w:rsidRDefault="00D96889" w:rsidP="00072A40">
      <w:pPr>
        <w:spacing w:after="0" w:line="240" w:lineRule="auto"/>
      </w:pPr>
      <w:r>
        <w:separator/>
      </w:r>
    </w:p>
  </w:footnote>
  <w:footnote w:type="continuationSeparator" w:id="0">
    <w:p w14:paraId="66848C74" w14:textId="77777777" w:rsidR="00D96889" w:rsidRDefault="00D96889" w:rsidP="00072A40">
      <w:pPr>
        <w:spacing w:after="0" w:line="240" w:lineRule="auto"/>
      </w:pPr>
      <w:r>
        <w:continuationSeparator/>
      </w:r>
    </w:p>
  </w:footnote>
  <w:footnote w:id="1">
    <w:p w14:paraId="24374E3C" w14:textId="77777777" w:rsidR="00072A40" w:rsidRPr="00435A6A" w:rsidRDefault="00072A40" w:rsidP="00072A40">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8C10ADE" w14:textId="77777777" w:rsidR="00072A40" w:rsidRPr="00435A6A" w:rsidRDefault="00072A40" w:rsidP="00072A40">
      <w:pPr>
        <w:pStyle w:val="Textonotapie"/>
        <w:ind w:firstLine="709"/>
        <w:jc w:val="both"/>
        <w:rPr>
          <w:rFonts w:ascii="Verdana" w:hAnsi="Verdana" w:cs="Arial"/>
          <w:sz w:val="14"/>
          <w:szCs w:val="14"/>
        </w:rPr>
      </w:pPr>
      <w:r w:rsidRPr="00435A6A">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20CAD3E5" w14:textId="77777777" w:rsidR="00072A40" w:rsidRPr="00435A6A" w:rsidRDefault="00072A40" w:rsidP="00072A40">
      <w:pPr>
        <w:pStyle w:val="Textonotapie"/>
        <w:ind w:firstLine="709"/>
        <w:jc w:val="both"/>
        <w:rPr>
          <w:rFonts w:ascii="Verdana" w:hAnsi="Verdana" w:cs="Arial"/>
          <w:sz w:val="14"/>
          <w:szCs w:val="14"/>
        </w:rPr>
      </w:pPr>
    </w:p>
  </w:footnote>
  <w:footnote w:id="2">
    <w:p w14:paraId="202FCBBD" w14:textId="77777777" w:rsidR="00072A40" w:rsidRPr="00435A6A" w:rsidRDefault="00072A40" w:rsidP="00072A40">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Gaceta del Congreso de la República No. 71 del 2005.</w:t>
      </w:r>
    </w:p>
    <w:p w14:paraId="64A7D971" w14:textId="77777777" w:rsidR="00072A40" w:rsidRPr="00435A6A" w:rsidRDefault="00072A40" w:rsidP="00072A40">
      <w:pPr>
        <w:pStyle w:val="Textonotapie"/>
        <w:ind w:firstLine="709"/>
        <w:jc w:val="both"/>
        <w:rPr>
          <w:rFonts w:ascii="Verdana" w:hAnsi="Verdana" w:cs="Arial"/>
          <w:sz w:val="14"/>
          <w:szCs w:val="14"/>
        </w:rPr>
      </w:pPr>
    </w:p>
  </w:footnote>
  <w:footnote w:id="3">
    <w:p w14:paraId="164D9E58" w14:textId="77777777" w:rsidR="00072A40" w:rsidRPr="00435A6A" w:rsidRDefault="00072A40" w:rsidP="00072A40">
      <w:pPr>
        <w:pStyle w:val="Textonotapie"/>
        <w:tabs>
          <w:tab w:val="left" w:pos="8145"/>
        </w:tabs>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Corte Constitucional. Sentencia C- 1153 de 2005, M.P: Marco Gerardo Monroy Cabra.</w:t>
      </w:r>
      <w:r w:rsidRPr="00435A6A">
        <w:rPr>
          <w:rFonts w:ascii="Verdana" w:hAnsi="Verdana" w:cs="Arial"/>
          <w:sz w:val="14"/>
          <w:szCs w:val="14"/>
          <w:lang w:val="pt-PT"/>
        </w:rPr>
        <w:tab/>
      </w:r>
    </w:p>
    <w:p w14:paraId="3AC044BA" w14:textId="77777777" w:rsidR="00072A40" w:rsidRPr="00435A6A" w:rsidRDefault="00072A40" w:rsidP="00072A40">
      <w:pPr>
        <w:pStyle w:val="Textonotapie"/>
        <w:tabs>
          <w:tab w:val="left" w:pos="8145"/>
        </w:tabs>
        <w:ind w:firstLine="709"/>
        <w:jc w:val="both"/>
        <w:rPr>
          <w:rFonts w:ascii="Verdana" w:hAnsi="Verdana" w:cs="Arial"/>
          <w:sz w:val="14"/>
          <w:szCs w:val="14"/>
          <w:lang w:val="pt-PT"/>
        </w:rPr>
      </w:pPr>
    </w:p>
  </w:footnote>
  <w:footnote w:id="4">
    <w:p w14:paraId="7D19543B" w14:textId="77777777" w:rsidR="00072A40" w:rsidRPr="00435A6A" w:rsidRDefault="00072A40" w:rsidP="00072A40">
      <w:pPr>
        <w:pStyle w:val="Textonotapie"/>
        <w:ind w:firstLine="709"/>
        <w:jc w:val="both"/>
        <w:rPr>
          <w:rFonts w:ascii="Verdana" w:hAnsi="Verdana" w:cs="Arial"/>
          <w:sz w:val="14"/>
          <w:szCs w:val="14"/>
          <w:lang w:val="pt-PT"/>
        </w:rPr>
      </w:pPr>
      <w:r w:rsidRPr="00435A6A">
        <w:rPr>
          <w:rStyle w:val="Refdenotaalpie"/>
          <w:rFonts w:ascii="Verdana" w:hAnsi="Verdana" w:cs="Arial"/>
          <w:sz w:val="14"/>
          <w:szCs w:val="14"/>
        </w:rPr>
        <w:footnoteRef/>
      </w:r>
      <w:r w:rsidRPr="00435A6A">
        <w:rPr>
          <w:rFonts w:ascii="Verdana" w:hAnsi="Verdana" w:cs="Arial"/>
          <w:sz w:val="14"/>
          <w:szCs w:val="14"/>
          <w:lang w:val="pt-PT"/>
        </w:rPr>
        <w:t xml:space="preserve"> </w:t>
      </w:r>
      <w:r w:rsidRPr="00435A6A">
        <w:rPr>
          <w:rFonts w:ascii="Verdana" w:hAnsi="Verdana" w:cs="Arial"/>
          <w:sz w:val="14"/>
          <w:szCs w:val="14"/>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4FC15245" w14:textId="77777777" w:rsidR="00072A40" w:rsidRPr="00435A6A" w:rsidRDefault="00072A40" w:rsidP="00072A40">
      <w:pPr>
        <w:pStyle w:val="Textonotapie"/>
        <w:ind w:firstLine="709"/>
        <w:jc w:val="both"/>
        <w:rPr>
          <w:rFonts w:ascii="Verdana" w:hAnsi="Verdana" w:cs="Arial"/>
          <w:sz w:val="14"/>
          <w:szCs w:val="14"/>
          <w:lang w:val="pt-PT"/>
        </w:rPr>
      </w:pPr>
    </w:p>
  </w:footnote>
  <w:footnote w:id="5">
    <w:p w14:paraId="467DFE34" w14:textId="77777777" w:rsidR="00072A40" w:rsidRPr="00435A6A" w:rsidRDefault="00072A40" w:rsidP="00072A40">
      <w:pPr>
        <w:pStyle w:val="Textonotapie"/>
        <w:ind w:firstLine="709"/>
        <w:jc w:val="both"/>
        <w:rPr>
          <w:rFonts w:ascii="Verdana" w:hAnsi="Verdana" w:cs="Arial"/>
          <w:sz w:val="14"/>
          <w:szCs w:val="14"/>
          <w:lang w:val="es-CO"/>
        </w:rPr>
      </w:pPr>
      <w:r w:rsidRPr="00435A6A">
        <w:rPr>
          <w:rStyle w:val="Refdenotaalpie"/>
          <w:rFonts w:ascii="Verdana" w:hAnsi="Verdana" w:cs="Arial"/>
          <w:sz w:val="14"/>
          <w:szCs w:val="14"/>
        </w:rPr>
        <w:footnoteRef/>
      </w:r>
      <w:r w:rsidRPr="00435A6A">
        <w:rPr>
          <w:rFonts w:ascii="Verdana" w:hAnsi="Verdana" w:cs="Arial"/>
          <w:sz w:val="14"/>
          <w:szCs w:val="14"/>
          <w:lang w:val="es-CO"/>
        </w:rPr>
        <w:t xml:space="preserve"> Consejo de Estado. Sala de lo Contencioso Administrativo. Sección Primera. Sentencia de 3 de marzo de 2005. Radicado: </w:t>
      </w:r>
      <w:r w:rsidRPr="00435A6A">
        <w:rPr>
          <w:rFonts w:ascii="Verdana" w:hAnsi="Verdana" w:cs="Arial"/>
          <w:sz w:val="14"/>
          <w:szCs w:val="14"/>
          <w:lang w:val="es-ES"/>
        </w:rPr>
        <w:t xml:space="preserve">25001-23-15-000-2004-00823-01 (PI). </w:t>
      </w:r>
      <w:r w:rsidRPr="00435A6A">
        <w:rPr>
          <w:rFonts w:ascii="Verdana" w:hAnsi="Verdana" w:cs="Arial"/>
          <w:sz w:val="14"/>
          <w:szCs w:val="14"/>
          <w:lang w:val="es-CO"/>
        </w:rPr>
        <w:t>C.P: Camilo Arciniegas Andrade. Ver también, de la Sección Tercera. Sentencia de 22 de enero de 2002, expediente número 2001-0148-01 y, Sección Tercera. Sentencia de 20 de noviembre de 2001, expediente número 2001-0130-01(PI), entre otras.</w:t>
      </w:r>
    </w:p>
    <w:p w14:paraId="6A8DE243" w14:textId="77777777" w:rsidR="00072A40" w:rsidRPr="00435A6A" w:rsidRDefault="00072A40" w:rsidP="00072A40">
      <w:pPr>
        <w:pStyle w:val="Textonotapie"/>
        <w:ind w:firstLine="709"/>
        <w:jc w:val="both"/>
        <w:rPr>
          <w:rFonts w:ascii="Verdana" w:hAnsi="Verdana" w:cs="Arial"/>
          <w:sz w:val="14"/>
          <w:szCs w:val="14"/>
          <w:lang w:val="es-CO"/>
        </w:rPr>
      </w:pPr>
    </w:p>
  </w:footnote>
  <w:footnote w:id="6">
    <w:p w14:paraId="602E0838" w14:textId="77777777" w:rsidR="00072A40" w:rsidRPr="00435A6A" w:rsidRDefault="00072A40" w:rsidP="00072A40">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24 de julio de 2013. Radicado: </w:t>
      </w:r>
      <w:r w:rsidRPr="00435A6A">
        <w:rPr>
          <w:rFonts w:ascii="Verdana" w:hAnsi="Verdana" w:cs="Arial"/>
          <w:sz w:val="14"/>
          <w:szCs w:val="14"/>
          <w:lang w:val="es-CO"/>
        </w:rPr>
        <w:t xml:space="preserve">11001-03-06-000-2013-00407-00 </w:t>
      </w:r>
      <w:r w:rsidRPr="00435A6A">
        <w:rPr>
          <w:rFonts w:ascii="Verdana" w:hAnsi="Verdana" w:cs="Arial"/>
          <w:sz w:val="14"/>
          <w:szCs w:val="14"/>
        </w:rPr>
        <w:t xml:space="preserve">(2166). C.P. Álvaro Namén Vargas.  </w:t>
      </w:r>
    </w:p>
    <w:p w14:paraId="60FE2B0D" w14:textId="77777777" w:rsidR="00072A40" w:rsidRPr="00435A6A" w:rsidRDefault="00072A40" w:rsidP="00072A40">
      <w:pPr>
        <w:pStyle w:val="Textonotapie"/>
        <w:ind w:firstLine="709"/>
        <w:jc w:val="both"/>
        <w:rPr>
          <w:rFonts w:ascii="Verdana" w:hAnsi="Verdana" w:cs="Arial"/>
          <w:sz w:val="14"/>
          <w:szCs w:val="14"/>
        </w:rPr>
      </w:pPr>
    </w:p>
  </w:footnote>
  <w:footnote w:id="7">
    <w:p w14:paraId="11C68258" w14:textId="77777777" w:rsidR="00072A40" w:rsidRPr="00435A6A" w:rsidRDefault="00072A40" w:rsidP="00072A40">
      <w:pPr>
        <w:spacing w:after="0" w:line="240" w:lineRule="auto"/>
        <w:ind w:firstLine="709"/>
        <w:jc w:val="both"/>
        <w:rPr>
          <w:rFonts w:ascii="Verdana" w:eastAsia="Times New Roman"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bookmarkStart w:id="4" w:name="33"/>
      <w:r w:rsidRPr="00435A6A">
        <w:rPr>
          <w:rFonts w:ascii="Verdana" w:eastAsia="Calibri" w:hAnsi="Verdana" w:cs="Arial"/>
          <w:color w:val="000000"/>
          <w:sz w:val="14"/>
          <w:szCs w:val="14"/>
        </w:rPr>
        <w:t>“</w:t>
      </w:r>
      <w:r w:rsidRPr="00435A6A">
        <w:rPr>
          <w:rFonts w:ascii="Verdana" w:eastAsia="Times New Roman" w:hAnsi="Verdana" w:cs="Arial"/>
          <w:sz w:val="14"/>
          <w:szCs w:val="14"/>
        </w:rPr>
        <w:t>Artículo 33. Restricciones a la contratación pública.</w:t>
      </w:r>
      <w:bookmarkEnd w:id="4"/>
      <w:r w:rsidRPr="00435A6A">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07831DAC" w14:textId="77777777" w:rsidR="00072A40" w:rsidRPr="00435A6A" w:rsidRDefault="00072A40" w:rsidP="00072A40">
      <w:pPr>
        <w:spacing w:after="0" w:line="240" w:lineRule="auto"/>
        <w:ind w:firstLine="709"/>
        <w:jc w:val="both"/>
        <w:rPr>
          <w:rFonts w:ascii="Verdana" w:eastAsia="Times New Roman" w:hAnsi="Verdana" w:cs="Arial"/>
          <w:sz w:val="14"/>
          <w:szCs w:val="14"/>
        </w:rPr>
      </w:pPr>
      <w:r w:rsidRPr="00435A6A">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C160FB3" w14:textId="77777777" w:rsidR="00072A40" w:rsidRPr="00435A6A" w:rsidRDefault="00072A40" w:rsidP="00072A40">
      <w:pPr>
        <w:spacing w:after="0" w:line="240" w:lineRule="auto"/>
        <w:ind w:firstLine="709"/>
        <w:jc w:val="both"/>
        <w:rPr>
          <w:rFonts w:ascii="Verdana" w:eastAsia="Times New Roman" w:hAnsi="Verdana" w:cs="Arial"/>
          <w:sz w:val="14"/>
          <w:szCs w:val="14"/>
        </w:rPr>
      </w:pPr>
    </w:p>
  </w:footnote>
  <w:footnote w:id="8">
    <w:p w14:paraId="0565130F" w14:textId="77777777" w:rsidR="00072A40" w:rsidRPr="00435A6A" w:rsidRDefault="00072A40" w:rsidP="00072A40">
      <w:pPr>
        <w:pStyle w:val="NormalWeb"/>
        <w:spacing w:before="0" w:beforeAutospacing="0" w:after="0" w:afterAutospacing="0"/>
        <w:ind w:firstLine="709"/>
        <w:jc w:val="both"/>
        <w:rPr>
          <w:rFonts w:ascii="Verdana" w:hAnsi="Verdana" w:cs="Arial"/>
          <w:sz w:val="14"/>
          <w:szCs w:val="14"/>
          <w:lang w:val="es-MX"/>
        </w:rPr>
      </w:pPr>
      <w:r w:rsidRPr="00435A6A">
        <w:rPr>
          <w:rStyle w:val="Refdenotaalpie"/>
          <w:rFonts w:ascii="Verdana" w:eastAsiaTheme="majorEastAsia" w:hAnsi="Verdana" w:cs="Arial"/>
          <w:sz w:val="14"/>
          <w:szCs w:val="14"/>
        </w:rPr>
        <w:footnoteRef/>
      </w:r>
      <w:r w:rsidRPr="00435A6A">
        <w:rPr>
          <w:rFonts w:ascii="Verdana" w:hAnsi="Verdana" w:cs="Arial"/>
          <w:sz w:val="14"/>
          <w:szCs w:val="14"/>
        </w:rPr>
        <w:t xml:space="preserve"> </w:t>
      </w:r>
      <w:bookmarkStart w:id="5" w:name="38"/>
      <w:r w:rsidRPr="00435A6A">
        <w:rPr>
          <w:rFonts w:ascii="Verdana" w:eastAsia="Calibri" w:hAnsi="Verdana" w:cs="Arial"/>
          <w:color w:val="000000"/>
          <w:sz w:val="14"/>
          <w:szCs w:val="14"/>
        </w:rPr>
        <w:t>“</w:t>
      </w:r>
      <w:r w:rsidRPr="00435A6A">
        <w:rPr>
          <w:rFonts w:ascii="Verdana" w:hAnsi="Verdana" w:cs="Arial"/>
          <w:sz w:val="14"/>
          <w:szCs w:val="14"/>
          <w:lang w:val="es-MX"/>
        </w:rPr>
        <w:t>Artículo 38. Prohibiciones para los servidores públicos. A los empleados del Estado les está prohibido:</w:t>
      </w:r>
      <w:bookmarkEnd w:id="5"/>
    </w:p>
    <w:p w14:paraId="1198CF70" w14:textId="77777777" w:rsidR="00072A40" w:rsidRPr="00435A6A" w:rsidRDefault="00072A40" w:rsidP="00072A40">
      <w:pPr>
        <w:pStyle w:val="NormalWeb"/>
        <w:spacing w:before="0" w:beforeAutospacing="0" w:after="0" w:afterAutospacing="0"/>
        <w:ind w:firstLine="709"/>
        <w:jc w:val="both"/>
        <w:rPr>
          <w:rFonts w:ascii="Verdana" w:hAnsi="Verdana" w:cs="Arial"/>
          <w:sz w:val="14"/>
          <w:szCs w:val="14"/>
          <w:lang w:val="es-MX"/>
        </w:rPr>
      </w:pPr>
      <w:r w:rsidRPr="00435A6A">
        <w:rPr>
          <w:rFonts w:ascii="Verdana" w:hAnsi="Verdana" w:cs="Arial"/>
          <w:sz w:val="14"/>
          <w:szCs w:val="14"/>
          <w:lang w:val="es-MX"/>
        </w:rPr>
        <w:t>(…)</w:t>
      </w:r>
    </w:p>
    <w:p w14:paraId="2E5ABCE0" w14:textId="77777777" w:rsidR="00072A40" w:rsidRPr="00435A6A" w:rsidRDefault="00072A40" w:rsidP="00072A40">
      <w:pPr>
        <w:pStyle w:val="NormalWeb"/>
        <w:spacing w:before="0" w:beforeAutospacing="0" w:after="0" w:afterAutospacing="0"/>
        <w:ind w:firstLine="709"/>
        <w:jc w:val="both"/>
        <w:rPr>
          <w:rFonts w:ascii="Verdana" w:eastAsia="Calibri" w:hAnsi="Verdana" w:cs="Arial"/>
          <w:color w:val="000000"/>
          <w:sz w:val="14"/>
          <w:szCs w:val="14"/>
        </w:rPr>
      </w:pPr>
      <w:r w:rsidRPr="00435A6A">
        <w:rPr>
          <w:rStyle w:val="baj"/>
          <w:rFonts w:ascii="Verdana" w:hAnsi="Verdana" w:cs="Arial"/>
          <w:sz w:val="14"/>
          <w:szCs w:val="14"/>
          <w:lang w:val="es-MX"/>
        </w:rPr>
        <w:t>Parágrafo.</w:t>
      </w:r>
      <w:r w:rsidRPr="00435A6A">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35A6A">
        <w:rPr>
          <w:rFonts w:ascii="Verdana" w:eastAsia="Calibri" w:hAnsi="Verdana" w:cs="Arial"/>
          <w:color w:val="000000"/>
          <w:sz w:val="14"/>
          <w:szCs w:val="14"/>
        </w:rPr>
        <w:t>”.</w:t>
      </w:r>
    </w:p>
    <w:p w14:paraId="6A0CB843" w14:textId="77777777" w:rsidR="00072A40" w:rsidRPr="00435A6A" w:rsidRDefault="00072A40" w:rsidP="00072A40">
      <w:pPr>
        <w:pStyle w:val="NormalWeb"/>
        <w:spacing w:before="0" w:beforeAutospacing="0" w:after="0" w:afterAutospacing="0"/>
        <w:ind w:firstLine="709"/>
        <w:jc w:val="both"/>
        <w:rPr>
          <w:rFonts w:ascii="Verdana" w:hAnsi="Verdana" w:cs="Arial"/>
          <w:sz w:val="14"/>
          <w:szCs w:val="14"/>
          <w:lang w:val="es-MX"/>
        </w:rPr>
      </w:pPr>
    </w:p>
  </w:footnote>
  <w:footnote w:id="9">
    <w:p w14:paraId="0505C8D8" w14:textId="77777777" w:rsidR="00072A40" w:rsidRPr="00AA5D69" w:rsidRDefault="00072A40" w:rsidP="00072A40">
      <w:pPr>
        <w:pStyle w:val="Textonotapie"/>
        <w:ind w:firstLine="708"/>
        <w:jc w:val="both"/>
        <w:rPr>
          <w:rFonts w:ascii="Verdana" w:hAnsi="Verdana" w:cs="Arial"/>
          <w:sz w:val="14"/>
          <w:szCs w:val="14"/>
        </w:rPr>
      </w:pPr>
      <w:r w:rsidRPr="00AA5D69">
        <w:rPr>
          <w:rStyle w:val="Refdenotaalpie"/>
          <w:rFonts w:ascii="Verdana" w:hAnsi="Verdana" w:cs="Arial"/>
          <w:sz w:val="14"/>
          <w:szCs w:val="14"/>
        </w:rPr>
        <w:footnoteRef/>
      </w:r>
      <w:r w:rsidRPr="00AA5D69">
        <w:rPr>
          <w:rFonts w:ascii="Verdana" w:hAnsi="Verdana" w:cs="Arial"/>
          <w:sz w:val="14"/>
          <w:szCs w:val="14"/>
        </w:rPr>
        <w:t xml:space="preserve"> Colombia Compra Eficiente. Circular Externa Única. Numeral 16.5. </w:t>
      </w:r>
    </w:p>
  </w:footnote>
  <w:footnote w:id="10">
    <w:p w14:paraId="49F6CC87" w14:textId="77777777" w:rsidR="00072A40" w:rsidRPr="00435A6A" w:rsidRDefault="00072A40" w:rsidP="00072A40">
      <w:pPr>
        <w:tabs>
          <w:tab w:val="left" w:pos="2127"/>
        </w:tabs>
        <w:spacing w:after="0" w:line="240" w:lineRule="auto"/>
        <w:ind w:left="100" w:right="244"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17 de febrero de 2015. Radicado: 11001-03-06-000-2015-00164-00 (2269). C.P. William Zambrano Cetina.</w:t>
      </w:r>
    </w:p>
    <w:p w14:paraId="1C112A84" w14:textId="77777777" w:rsidR="00072A40" w:rsidRPr="00435A6A" w:rsidRDefault="00072A40" w:rsidP="00072A40">
      <w:pPr>
        <w:spacing w:after="0" w:line="240" w:lineRule="auto"/>
        <w:ind w:left="100" w:right="244" w:firstLine="709"/>
        <w:jc w:val="both"/>
        <w:rPr>
          <w:rFonts w:ascii="Verdana" w:hAnsi="Verdana" w:cs="Arial"/>
          <w:sz w:val="14"/>
          <w:szCs w:val="14"/>
          <w:lang w:val="es-ES"/>
        </w:rPr>
      </w:pPr>
    </w:p>
  </w:footnote>
  <w:footnote w:id="11">
    <w:p w14:paraId="5998CAC4" w14:textId="77777777" w:rsidR="00072A40" w:rsidRPr="00435A6A" w:rsidRDefault="00072A40" w:rsidP="00072A40">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sz w:val="14"/>
          <w:szCs w:val="14"/>
          <w:lang w:val="es-ES"/>
        </w:rPr>
        <w:t xml:space="preserve">[25] </w:t>
      </w:r>
      <w:r w:rsidRPr="00435A6A">
        <w:rPr>
          <w:rFonts w:ascii="Verdana" w:hAnsi="Verdana" w:cs="Arial"/>
          <w:sz w:val="14"/>
          <w:szCs w:val="14"/>
        </w:rPr>
        <w:t>Cfr. Consejo de Estado. Sección Tercera. Sentencia de 3 de diciembre de 2007. Radicados: 24.715, 25.206, 25.409, 24.524, 27.834, 25.410, 26.105, 28.244, 31.447 -acumulados-“.</w:t>
      </w:r>
    </w:p>
    <w:p w14:paraId="55A79F9D" w14:textId="77777777" w:rsidR="00072A40" w:rsidRPr="00435A6A" w:rsidRDefault="00072A40" w:rsidP="00072A40">
      <w:pPr>
        <w:pStyle w:val="Textonotapie"/>
        <w:ind w:firstLine="709"/>
        <w:jc w:val="both"/>
        <w:rPr>
          <w:rFonts w:ascii="Verdana" w:hAnsi="Verdana" w:cs="Arial"/>
          <w:sz w:val="14"/>
          <w:szCs w:val="14"/>
        </w:rPr>
      </w:pPr>
    </w:p>
  </w:footnote>
  <w:footnote w:id="12">
    <w:p w14:paraId="1AA31EC8" w14:textId="77777777" w:rsidR="00072A40" w:rsidRPr="00435A6A" w:rsidRDefault="00072A40" w:rsidP="00072A40">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w:t>
      </w:r>
      <w:bookmarkStart w:id="13" w:name="_Hlk74294506"/>
      <w:r w:rsidRPr="00435A6A">
        <w:rPr>
          <w:rFonts w:ascii="Verdana" w:hAnsi="Verdana" w:cs="Arial"/>
          <w:sz w:val="14"/>
          <w:szCs w:val="14"/>
        </w:rPr>
        <w:t>“</w:t>
      </w:r>
      <w:r w:rsidRPr="00435A6A">
        <w:rPr>
          <w:rFonts w:ascii="Verdana" w:hAnsi="Verdana" w:cs="Arial"/>
          <w:sz w:val="14"/>
          <w:szCs w:val="14"/>
          <w:lang w:val="es-ES"/>
        </w:rPr>
        <w:t xml:space="preserve">[26] </w:t>
      </w:r>
      <w:bookmarkEnd w:id="13"/>
      <w:r w:rsidRPr="00435A6A">
        <w:rPr>
          <w:rFonts w:ascii="Verdana" w:hAnsi="Verdana" w:cs="Arial"/>
          <w:sz w:val="14"/>
          <w:szCs w:val="14"/>
        </w:rPr>
        <w:t>Al respecto ver el concepto 1712 de 2 de febrero de 2006. Consejo de Estado Sala de Consulta y Servicio Civil”.</w:t>
      </w:r>
    </w:p>
    <w:p w14:paraId="7EE0A2D6" w14:textId="77777777" w:rsidR="00072A40" w:rsidRPr="00435A6A" w:rsidRDefault="00072A40" w:rsidP="00072A40">
      <w:pPr>
        <w:pStyle w:val="Textonotapie"/>
        <w:ind w:firstLine="709"/>
        <w:jc w:val="both"/>
        <w:rPr>
          <w:rFonts w:ascii="Verdana" w:hAnsi="Verdana" w:cs="Arial"/>
          <w:sz w:val="14"/>
          <w:szCs w:val="14"/>
        </w:rPr>
      </w:pPr>
    </w:p>
  </w:footnote>
  <w:footnote w:id="13">
    <w:p w14:paraId="0AD3F730" w14:textId="77777777" w:rsidR="00072A40" w:rsidRPr="00435A6A" w:rsidRDefault="00072A40" w:rsidP="00072A40">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2 de septiembre de 2013. Radicación número: 11001-03-06-000-2013-00412-00 (2168). C.P: Álvaro Namén Vargas.</w:t>
      </w:r>
    </w:p>
    <w:p w14:paraId="00BEA144" w14:textId="77777777" w:rsidR="00072A40" w:rsidRPr="00435A6A" w:rsidRDefault="00072A40" w:rsidP="00072A40">
      <w:pPr>
        <w:pStyle w:val="Textonotapie"/>
        <w:ind w:firstLine="709"/>
        <w:jc w:val="both"/>
        <w:rPr>
          <w:rFonts w:ascii="Verdana" w:hAnsi="Verdana" w:cs="Arial"/>
          <w:sz w:val="14"/>
          <w:szCs w:val="14"/>
        </w:rPr>
      </w:pPr>
    </w:p>
  </w:footnote>
  <w:footnote w:id="14">
    <w:p w14:paraId="2C3D635A" w14:textId="77777777" w:rsidR="00072A40" w:rsidRPr="00435A6A" w:rsidRDefault="00072A40" w:rsidP="00072A40">
      <w:pPr>
        <w:pStyle w:val="Textonotapie"/>
        <w:ind w:firstLine="709"/>
        <w:rPr>
          <w:rFonts w:ascii="Verdana" w:hAnsi="Verdana" w:cs="Arial"/>
          <w:sz w:val="14"/>
          <w:szCs w:val="14"/>
          <w:lang w:val="es-ES"/>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sz w:val="14"/>
          <w:szCs w:val="14"/>
          <w:lang w:val="es-ES"/>
        </w:rPr>
        <w:t xml:space="preserve">Artículo 2. </w:t>
      </w:r>
    </w:p>
    <w:p w14:paraId="4A194FA2" w14:textId="77777777" w:rsidR="00072A40" w:rsidRPr="00435A6A" w:rsidRDefault="00072A40" w:rsidP="00072A40">
      <w:pPr>
        <w:pStyle w:val="Textonotapie"/>
        <w:ind w:firstLine="709"/>
        <w:rPr>
          <w:rFonts w:ascii="Verdana" w:hAnsi="Verdana" w:cs="Arial"/>
          <w:sz w:val="14"/>
          <w:szCs w:val="14"/>
          <w:lang w:val="es-ES"/>
        </w:rPr>
      </w:pPr>
    </w:p>
  </w:footnote>
  <w:footnote w:id="15">
    <w:p w14:paraId="4810DA52" w14:textId="77777777" w:rsidR="00072A40" w:rsidRDefault="00072A40" w:rsidP="00072A40">
      <w:pPr>
        <w:pStyle w:val="Textonotapie"/>
        <w:ind w:firstLine="709"/>
        <w:rPr>
          <w:rFonts w:ascii="Verdana" w:hAnsi="Verdana" w:cs="Arial"/>
          <w:sz w:val="14"/>
          <w:szCs w:val="14"/>
          <w:lang w:val="es-ES"/>
        </w:rPr>
      </w:pPr>
      <w:r w:rsidRPr="00435A6A">
        <w:rPr>
          <w:rStyle w:val="Refdenotaalpie"/>
          <w:rFonts w:ascii="Verdana" w:hAnsi="Verdana" w:cs="Arial"/>
          <w:sz w:val="14"/>
          <w:szCs w:val="14"/>
        </w:rPr>
        <w:footnoteRef/>
      </w:r>
      <w:r w:rsidRPr="00435A6A">
        <w:rPr>
          <w:rFonts w:ascii="Verdana" w:hAnsi="Verdana" w:cs="Arial"/>
          <w:sz w:val="14"/>
          <w:szCs w:val="14"/>
        </w:rPr>
        <w:t xml:space="preserve"> </w:t>
      </w:r>
      <w:r w:rsidRPr="00435A6A">
        <w:rPr>
          <w:rFonts w:ascii="Verdana" w:hAnsi="Verdana" w:cs="Arial"/>
          <w:i/>
          <w:sz w:val="14"/>
          <w:szCs w:val="14"/>
          <w:lang w:val="es-ES"/>
        </w:rPr>
        <w:t>Ídem</w:t>
      </w:r>
      <w:r w:rsidRPr="00435A6A">
        <w:rPr>
          <w:rFonts w:ascii="Verdana" w:hAnsi="Verdana" w:cs="Arial"/>
          <w:sz w:val="14"/>
          <w:szCs w:val="14"/>
          <w:lang w:val="es-ES"/>
        </w:rPr>
        <w:t>.</w:t>
      </w:r>
    </w:p>
    <w:p w14:paraId="4994637D" w14:textId="77777777" w:rsidR="00072A40" w:rsidRPr="00435A6A" w:rsidRDefault="00072A40" w:rsidP="00072A40">
      <w:pPr>
        <w:pStyle w:val="Textonotapie"/>
        <w:ind w:firstLine="709"/>
        <w:rPr>
          <w:rFonts w:ascii="Verdana" w:hAnsi="Verdana" w:cs="Arial"/>
          <w:sz w:val="14"/>
          <w:szCs w:val="14"/>
          <w:lang w:val="es-ES"/>
        </w:rPr>
      </w:pPr>
    </w:p>
  </w:footnote>
  <w:footnote w:id="16">
    <w:p w14:paraId="5CB99B3C" w14:textId="77777777" w:rsidR="00072A40" w:rsidRPr="00435A6A" w:rsidRDefault="00072A40" w:rsidP="00072A40">
      <w:pPr>
        <w:pStyle w:val="Textonotapie"/>
        <w:ind w:firstLine="709"/>
        <w:rPr>
          <w:rFonts w:ascii="Verdana" w:hAnsi="Verdana" w:cs="Arial"/>
          <w:sz w:val="14"/>
          <w:szCs w:val="14"/>
          <w:lang w:val="es-ES"/>
        </w:rPr>
      </w:pPr>
      <w:r w:rsidRPr="00435A6A">
        <w:rPr>
          <w:rStyle w:val="Refdenotaalpie"/>
          <w:rFonts w:ascii="Verdana" w:hAnsi="Verdana" w:cs="Arial"/>
          <w:sz w:val="14"/>
          <w:szCs w:val="14"/>
        </w:rPr>
        <w:footnoteRef/>
      </w:r>
      <w:r w:rsidRPr="00435A6A">
        <w:rPr>
          <w:rStyle w:val="Refdenotaalpie"/>
          <w:rFonts w:ascii="Verdana" w:hAnsi="Verdana" w:cs="Arial"/>
          <w:sz w:val="14"/>
          <w:szCs w:val="14"/>
        </w:rPr>
        <w:t xml:space="preserve"> </w:t>
      </w:r>
      <w:r w:rsidRPr="00435A6A">
        <w:rPr>
          <w:rFonts w:ascii="Verdana" w:hAnsi="Verdana" w:cs="Arial"/>
          <w:sz w:val="14"/>
          <w:szCs w:val="14"/>
          <w:lang w:val="es-ES"/>
        </w:rPr>
        <w:t xml:space="preserve">[…] A este respecto, cabe recordar que el artículo 860 del Código de Comercio regula la licitación en el derecho privado. </w:t>
      </w:r>
    </w:p>
    <w:p w14:paraId="57852B0E" w14:textId="77777777" w:rsidR="00072A40" w:rsidRPr="00435A6A" w:rsidRDefault="00072A40" w:rsidP="00072A40">
      <w:pPr>
        <w:pStyle w:val="Textonotapie"/>
        <w:ind w:firstLine="709"/>
        <w:rPr>
          <w:rFonts w:ascii="Verdana" w:hAnsi="Verdana" w:cs="Arial"/>
          <w:sz w:val="14"/>
          <w:szCs w:val="14"/>
          <w:lang w:val="es-ES"/>
        </w:rPr>
      </w:pPr>
    </w:p>
  </w:footnote>
  <w:footnote w:id="17">
    <w:p w14:paraId="2AD1A542" w14:textId="77777777" w:rsidR="00072A40" w:rsidRPr="00435A6A" w:rsidRDefault="00072A40" w:rsidP="00072A40">
      <w:pPr>
        <w:shd w:val="clear" w:color="auto" w:fill="FFFFFF"/>
        <w:spacing w:after="0" w:line="240" w:lineRule="auto"/>
        <w:ind w:firstLine="709"/>
        <w:jc w:val="both"/>
        <w:rPr>
          <w:rFonts w:ascii="Verdana" w:hAnsi="Verdana" w:cs="Arial"/>
          <w:sz w:val="14"/>
          <w:szCs w:val="14"/>
          <w:lang w:val="es-ES"/>
        </w:rPr>
      </w:pPr>
      <w:r w:rsidRPr="00435A6A">
        <w:rPr>
          <w:rStyle w:val="Refdenotaalpie"/>
          <w:rFonts w:ascii="Verdana" w:hAnsi="Verdana" w:cs="Arial"/>
          <w:sz w:val="14"/>
          <w:szCs w:val="14"/>
        </w:rPr>
        <w:footnoteRef/>
      </w:r>
      <w:r w:rsidRPr="00435A6A">
        <w:rPr>
          <w:rStyle w:val="Refdenotaalpie"/>
          <w:rFonts w:ascii="Verdana" w:hAnsi="Verdana" w:cs="Arial"/>
          <w:sz w:val="14"/>
          <w:szCs w:val="14"/>
        </w:rPr>
        <w:t xml:space="preserve"> </w:t>
      </w:r>
      <w:r w:rsidRPr="00435A6A">
        <w:rPr>
          <w:rFonts w:ascii="Verdana" w:hAnsi="Verdana" w:cs="Arial"/>
          <w:sz w:val="14"/>
          <w:szCs w:val="14"/>
          <w:lang w:val="es-ES"/>
        </w:rPr>
        <w:t>Consejo de Estado. Sala de Consulta y Servicio Civil, Concepto de 8 de mayo de 2018. Radicación Número: 11001-03-06-000-2018-00095-00 (2382). C.P: Álvaro Namén Vargas.</w:t>
      </w:r>
    </w:p>
    <w:p w14:paraId="47BDA167" w14:textId="77777777" w:rsidR="00072A40" w:rsidRPr="00435A6A" w:rsidRDefault="00072A40" w:rsidP="00072A40">
      <w:pPr>
        <w:shd w:val="clear" w:color="auto" w:fill="FFFFFF"/>
        <w:spacing w:after="0" w:line="240" w:lineRule="auto"/>
        <w:ind w:firstLine="709"/>
        <w:jc w:val="both"/>
        <w:rPr>
          <w:rFonts w:ascii="Verdana" w:hAnsi="Verdana" w:cs="Arial"/>
          <w:sz w:val="14"/>
          <w:szCs w:val="14"/>
          <w:lang w:val="es-ES"/>
        </w:rPr>
      </w:pPr>
    </w:p>
  </w:footnote>
  <w:footnote w:id="18">
    <w:p w14:paraId="50E5D0BF" w14:textId="77777777" w:rsidR="00072A40" w:rsidRPr="00435A6A" w:rsidRDefault="00072A40" w:rsidP="00072A40">
      <w:pPr>
        <w:pStyle w:val="Textonotapie"/>
        <w:ind w:firstLine="709"/>
        <w:jc w:val="both"/>
        <w:rPr>
          <w:rFonts w:ascii="Verdana" w:hAnsi="Verdana" w:cs="Arial"/>
          <w:sz w:val="14"/>
          <w:szCs w:val="14"/>
        </w:rPr>
      </w:pPr>
      <w:r w:rsidRPr="00435A6A">
        <w:rPr>
          <w:rStyle w:val="Refdenotaalpie"/>
          <w:rFonts w:ascii="Verdana" w:hAnsi="Verdana" w:cs="Arial"/>
          <w:sz w:val="14"/>
          <w:szCs w:val="14"/>
        </w:rPr>
        <w:footnoteRef/>
      </w:r>
      <w:r w:rsidRPr="00435A6A">
        <w:rPr>
          <w:rFonts w:ascii="Verdana" w:hAnsi="Verdana" w:cs="Arial"/>
          <w:sz w:val="14"/>
          <w:szCs w:val="14"/>
        </w:rPr>
        <w:t xml:space="preserve"> Consejo de Estado. Sala de Consulta y Servicio Civil. Concepto del 08 de mayo de 2018. Exp. 2.382. C.P. Álvaro Namén Vargas.</w:t>
      </w:r>
    </w:p>
    <w:p w14:paraId="1B86118C" w14:textId="77777777" w:rsidR="00072A40" w:rsidRPr="00435A6A" w:rsidRDefault="00072A40" w:rsidP="00072A40">
      <w:pPr>
        <w:pStyle w:val="Textonotapie"/>
        <w:ind w:firstLine="709"/>
        <w:jc w:val="both"/>
        <w:rPr>
          <w:rFonts w:ascii="Verdana" w:hAnsi="Verdana" w:cs="Arial"/>
          <w:sz w:val="14"/>
          <w:szCs w:val="14"/>
        </w:rPr>
      </w:pPr>
    </w:p>
  </w:footnote>
  <w:footnote w:id="19">
    <w:p w14:paraId="015BD964" w14:textId="77777777" w:rsidR="00072A40" w:rsidRPr="00AD17FF" w:rsidRDefault="00072A40" w:rsidP="00072A40">
      <w:pPr>
        <w:pStyle w:val="Textonotapie"/>
        <w:ind w:firstLine="709"/>
        <w:rPr>
          <w:rFonts w:ascii="Verdana" w:hAnsi="Verdana"/>
          <w:sz w:val="14"/>
          <w:szCs w:val="14"/>
          <w:lang w:val="es-ES"/>
        </w:rPr>
      </w:pPr>
      <w:r w:rsidRPr="00AD17FF">
        <w:rPr>
          <w:rStyle w:val="Refdenotaalpie"/>
          <w:rFonts w:ascii="Verdana" w:hAnsi="Verdana"/>
          <w:sz w:val="14"/>
          <w:szCs w:val="14"/>
        </w:rPr>
        <w:footnoteRef/>
      </w:r>
      <w:r w:rsidRPr="00AD17FF">
        <w:rPr>
          <w:rFonts w:ascii="Verdana" w:hAnsi="Verdana"/>
          <w:sz w:val="14"/>
          <w:szCs w:val="14"/>
        </w:rPr>
        <w:t xml:space="preserve"> </w:t>
      </w:r>
      <w:r w:rsidRPr="00AD17FF">
        <w:rPr>
          <w:rFonts w:ascii="Verdana" w:hAnsi="Verdana"/>
          <w:sz w:val="14"/>
          <w:szCs w:val="14"/>
          <w:lang w:val="es-ES"/>
        </w:rPr>
        <w:t xml:space="preserve">Agencia Nacional de Contratación Pública. Circular Externa 006 del 25 de septiembre de 2025. Disponible en </w:t>
      </w:r>
      <w:hyperlink r:id="rId1" w:history="1">
        <w:r w:rsidRPr="00AD17FF">
          <w:rPr>
            <w:rStyle w:val="Hipervnculo"/>
            <w:rFonts w:ascii="Verdana" w:hAnsi="Verdana"/>
            <w:sz w:val="14"/>
            <w:szCs w:val="14"/>
            <w:lang w:val="es-CO"/>
          </w:rPr>
          <w:t>006-de-2025-Circular-Externa-L996-ajustado-comentarios-BM-BID-Rev-ARSC-V3.d-1.pdf</w:t>
        </w:r>
      </w:hyperlink>
    </w:p>
    <w:p w14:paraId="3BAF8747" w14:textId="77777777" w:rsidR="00072A40" w:rsidRPr="00AD17FF" w:rsidRDefault="00072A40" w:rsidP="00072A40">
      <w:pPr>
        <w:pStyle w:val="Textonotapie"/>
        <w:rPr>
          <w:rFonts w:ascii="Verdana" w:hAnsi="Verdana"/>
          <w:sz w:val="14"/>
          <w:szCs w:val="14"/>
          <w:lang w:val="es-ES"/>
        </w:rPr>
      </w:pPr>
    </w:p>
  </w:footnote>
  <w:footnote w:id="20">
    <w:p w14:paraId="57E5803D" w14:textId="77777777" w:rsidR="00072A40" w:rsidRDefault="00072A40" w:rsidP="00072A40">
      <w:pPr>
        <w:pStyle w:val="Textonotapie"/>
        <w:ind w:firstLine="709"/>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1A759A79" w14:textId="77777777" w:rsidR="00072A40" w:rsidRPr="00FB5770" w:rsidRDefault="00072A40" w:rsidP="00072A40">
      <w:pPr>
        <w:pStyle w:val="Textonotapie"/>
        <w:ind w:firstLine="709"/>
        <w:jc w:val="both"/>
        <w:rPr>
          <w:rFonts w:ascii="Verdana" w:hAnsi="Verdana" w:cs="Arial"/>
          <w:sz w:val="14"/>
          <w:szCs w:val="14"/>
        </w:rPr>
      </w:pPr>
    </w:p>
  </w:footnote>
  <w:footnote w:id="21">
    <w:p w14:paraId="2CB3E688" w14:textId="77777777" w:rsidR="00072A40" w:rsidRDefault="00072A40" w:rsidP="00072A40">
      <w:pPr>
        <w:pStyle w:val="Textonotapie"/>
        <w:ind w:firstLine="708"/>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Consejo de Estado. Sala de Consulta y Servicio Civil. Concepto del 18 de febrero 2010. Rad. 11001-03-06-000-2010-00006-00 (1985). C.P. Enrique José Arboleda Perdomo.</w:t>
      </w:r>
    </w:p>
    <w:p w14:paraId="0C9FA954" w14:textId="77777777" w:rsidR="00072A40" w:rsidRPr="00FB5770" w:rsidRDefault="00072A40" w:rsidP="00072A40">
      <w:pPr>
        <w:pStyle w:val="Textonotapie"/>
        <w:ind w:firstLine="708"/>
        <w:jc w:val="both"/>
        <w:rPr>
          <w:rFonts w:ascii="Verdana" w:hAnsi="Verdana" w:cs="Arial"/>
          <w:sz w:val="14"/>
          <w:szCs w:val="14"/>
        </w:rPr>
      </w:pPr>
    </w:p>
  </w:footnote>
  <w:footnote w:id="22">
    <w:p w14:paraId="642FBEA6" w14:textId="77777777" w:rsidR="00072A40" w:rsidRPr="00FB5770" w:rsidRDefault="00072A40" w:rsidP="00072A40">
      <w:pPr>
        <w:pStyle w:val="Textonotapie"/>
        <w:ind w:firstLine="708"/>
        <w:jc w:val="both"/>
        <w:rPr>
          <w:rFonts w:ascii="Verdana" w:hAnsi="Verdana" w:cs="Arial"/>
          <w:sz w:val="14"/>
          <w:szCs w:val="14"/>
        </w:rPr>
      </w:pPr>
      <w:r w:rsidRPr="00FB5770">
        <w:rPr>
          <w:rStyle w:val="Refdenotaalpie"/>
          <w:rFonts w:ascii="Verdana" w:hAnsi="Verdana" w:cs="Arial"/>
          <w:sz w:val="14"/>
          <w:szCs w:val="14"/>
        </w:rPr>
        <w:footnoteRef/>
      </w:r>
      <w:r w:rsidRPr="00FB5770">
        <w:rPr>
          <w:rFonts w:ascii="Verdana" w:hAnsi="Verdana" w:cs="Arial"/>
          <w:sz w:val="14"/>
          <w:szCs w:val="14"/>
        </w:rPr>
        <w:t xml:space="preserve"> Corte Constitucional. Sentencia C-1153 de 2005 M.P. Marco Gerardo Monroy Cabra. </w:t>
      </w:r>
    </w:p>
    <w:p w14:paraId="16B1DCEB" w14:textId="77777777" w:rsidR="00072A40" w:rsidRPr="00FB5770" w:rsidRDefault="00072A40" w:rsidP="00072A40">
      <w:pPr>
        <w:pStyle w:val="Textonotapie"/>
        <w:ind w:firstLine="708"/>
        <w:jc w:val="both"/>
        <w:rPr>
          <w:rFonts w:ascii="Verdana" w:hAnsi="Verdana" w:cs="Arial"/>
          <w:sz w:val="14"/>
          <w:szCs w:val="14"/>
        </w:rPr>
      </w:pPr>
    </w:p>
  </w:footnote>
  <w:footnote w:id="23">
    <w:p w14:paraId="4074EB74" w14:textId="77777777" w:rsidR="00072A40" w:rsidRDefault="00072A40" w:rsidP="00072A40">
      <w:pPr>
        <w:pStyle w:val="Textonotapie"/>
        <w:ind w:firstLine="709"/>
        <w:contextualSpacing/>
        <w:jc w:val="both"/>
        <w:rPr>
          <w:rFonts w:ascii="Verdana" w:hAnsi="Verdana" w:cs="Arial"/>
          <w:sz w:val="14"/>
          <w:szCs w:val="14"/>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hAnsi="Verdana" w:cs="Arial"/>
          <w:sz w:val="14"/>
          <w:szCs w:val="14"/>
        </w:rPr>
        <w:t>Consejo de Estado. Sala de lo Contencioso Administrativo. Sección Tercera. Sentencia del 21 de febrero de 2025. Exp. 68.280. CP: José Roberto Sáchica Méndez.</w:t>
      </w:r>
    </w:p>
    <w:p w14:paraId="607990F0" w14:textId="77777777" w:rsidR="00072A40" w:rsidRPr="009D0D83" w:rsidRDefault="00072A40" w:rsidP="00072A40">
      <w:pPr>
        <w:pStyle w:val="Textonotapie"/>
        <w:ind w:firstLine="709"/>
        <w:contextualSpacing/>
        <w:jc w:val="both"/>
        <w:rPr>
          <w:rFonts w:ascii="Verdana" w:hAnsi="Verdana" w:cs="Arial"/>
          <w:sz w:val="16"/>
          <w:szCs w:val="16"/>
        </w:rPr>
      </w:pPr>
    </w:p>
  </w:footnote>
  <w:footnote w:id="24">
    <w:p w14:paraId="32BA3230" w14:textId="77777777" w:rsidR="00072A40" w:rsidRPr="00FB5770" w:rsidRDefault="00072A40" w:rsidP="00072A40">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sz w:val="14"/>
          <w:szCs w:val="14"/>
          <w:vertAlign w:val="superscript"/>
        </w:rPr>
        <w:t xml:space="preserve"> </w:t>
      </w:r>
      <w:r w:rsidRPr="00FB5770">
        <w:rPr>
          <w:rFonts w:ascii="Verdana" w:hAnsi="Verdana" w:cs="Arial"/>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C241D9A" w14:textId="77777777" w:rsidR="00072A40" w:rsidRPr="00FB5770" w:rsidRDefault="00072A40" w:rsidP="00072A40">
      <w:pPr>
        <w:pStyle w:val="Textonotapie"/>
        <w:ind w:firstLine="709"/>
        <w:contextualSpacing/>
        <w:jc w:val="both"/>
        <w:rPr>
          <w:rFonts w:ascii="Verdana" w:hAnsi="Verdana" w:cs="Arial"/>
          <w:sz w:val="14"/>
          <w:szCs w:val="14"/>
        </w:rPr>
      </w:pPr>
    </w:p>
  </w:footnote>
  <w:footnote w:id="25">
    <w:p w14:paraId="00905F56" w14:textId="77777777" w:rsidR="00072A40" w:rsidRPr="00FB5770" w:rsidRDefault="00072A40" w:rsidP="00072A40">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cs="Arial"/>
          <w:sz w:val="14"/>
          <w:szCs w:val="14"/>
          <w:vertAlign w:val="superscript"/>
        </w:rPr>
        <w:t xml:space="preserve"> </w:t>
      </w:r>
      <w:r w:rsidRPr="00FB5770">
        <w:rPr>
          <w:rFonts w:ascii="Verdana" w:hAnsi="Verdana" w:cs="Arial"/>
          <w:sz w:val="14"/>
          <w:szCs w:val="14"/>
        </w:rPr>
        <w:t>Ley 80 de 1993: “Artículo 41. Del perfeccionamiento del contrato. Los contratos del Estado se perfeccionan cuando se logre acuerdo sobre el objeto y la contraprestación y éste se eleve a escrito.</w:t>
      </w:r>
    </w:p>
    <w:p w14:paraId="3DA6172C" w14:textId="77777777" w:rsidR="00072A40" w:rsidRPr="00FB5770" w:rsidRDefault="00072A40" w:rsidP="00072A40">
      <w:pPr>
        <w:pStyle w:val="Textonotapie"/>
        <w:ind w:firstLine="709"/>
        <w:contextualSpacing/>
        <w:jc w:val="both"/>
        <w:rPr>
          <w:rFonts w:ascii="Verdana" w:hAnsi="Verdana" w:cs="Arial"/>
          <w:sz w:val="14"/>
          <w:szCs w:val="14"/>
        </w:rPr>
      </w:pPr>
    </w:p>
  </w:footnote>
  <w:footnote w:id="26">
    <w:p w14:paraId="27D3BDEA" w14:textId="77777777" w:rsidR="00072A40" w:rsidRPr="00FB5770" w:rsidRDefault="00072A40" w:rsidP="00072A40">
      <w:pPr>
        <w:pStyle w:val="Textonotapie"/>
        <w:ind w:firstLine="709"/>
        <w:contextualSpacing/>
        <w:jc w:val="both"/>
        <w:rPr>
          <w:rFonts w:ascii="Verdana" w:hAnsi="Verdana" w:cs="Arial"/>
          <w:sz w:val="14"/>
          <w:szCs w:val="14"/>
        </w:rPr>
      </w:pPr>
      <w:r w:rsidRPr="00FB5770">
        <w:rPr>
          <w:rFonts w:ascii="Verdana" w:hAnsi="Verdana"/>
          <w:sz w:val="14"/>
          <w:szCs w:val="14"/>
          <w:vertAlign w:val="superscript"/>
        </w:rPr>
        <w:footnoteRef/>
      </w:r>
      <w:r w:rsidRPr="00FB5770">
        <w:rPr>
          <w:rFonts w:ascii="Verdana" w:hAnsi="Verdana" w:cs="Arial"/>
          <w:sz w:val="14"/>
          <w:szCs w:val="14"/>
          <w:vertAlign w:val="superscript"/>
        </w:rPr>
        <w:t xml:space="preserve"> </w:t>
      </w:r>
      <w:r w:rsidRPr="00FB5770">
        <w:rPr>
          <w:rFonts w:ascii="Verdana" w:hAnsi="Verdana" w:cs="Arial"/>
          <w:sz w:val="14"/>
          <w:szCs w:val="14"/>
        </w:rPr>
        <w:t>Código Civil: “Artículo 27. Cuando el sentido de la ley sea claro, no se desatenderá su tenor a pretexto de consultar su espíritu”.</w:t>
      </w:r>
    </w:p>
  </w:footnote>
  <w:footnote w:id="27">
    <w:p w14:paraId="01299187" w14:textId="77777777" w:rsidR="00072A40" w:rsidRPr="00FB5770" w:rsidRDefault="00072A40" w:rsidP="00072A40">
      <w:pPr>
        <w:pStyle w:val="Textonotapie"/>
        <w:ind w:firstLine="708"/>
        <w:jc w:val="both"/>
        <w:rPr>
          <w:rFonts w:ascii="Verdana" w:hAnsi="Verdana"/>
          <w:sz w:val="14"/>
          <w:szCs w:val="14"/>
          <w:lang w:val="es-ES"/>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hAnsi="Verdana"/>
          <w:sz w:val="14"/>
          <w:szCs w:val="14"/>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FB5770">
        <w:rPr>
          <w:rFonts w:ascii="Verdana" w:hAnsi="Verdana"/>
          <w:i/>
          <w:iCs/>
          <w:sz w:val="14"/>
          <w:szCs w:val="14"/>
          <w:lang w:val="es-ES"/>
        </w:rPr>
        <w:t>Ubi lex non distinguit nec nos distinguere debemus</w:t>
      </w:r>
      <w:r w:rsidRPr="00FB5770">
        <w:rPr>
          <w:rFonts w:ascii="Verdana" w:hAnsi="Verdana"/>
          <w:sz w:val="14"/>
          <w:szCs w:val="14"/>
          <w:lang w:val="es-ES"/>
        </w:rPr>
        <w:t>, ‘donde la ley no distingue no puede el hombre distinguir’. ‘La extensión que deba dársele a la ley se determinará por su genuino sentido y según las reglas de interpretación precedentes’, dice el artículo 23.</w:t>
      </w:r>
    </w:p>
    <w:p w14:paraId="32C0A184" w14:textId="77777777" w:rsidR="00072A40" w:rsidRDefault="00072A40" w:rsidP="00072A40">
      <w:pPr>
        <w:pStyle w:val="Textonotapie"/>
        <w:ind w:firstLine="708"/>
        <w:jc w:val="both"/>
        <w:rPr>
          <w:rFonts w:ascii="Verdana" w:hAnsi="Verdana"/>
          <w:sz w:val="14"/>
          <w:szCs w:val="14"/>
        </w:rPr>
      </w:pPr>
      <w:r w:rsidRPr="00FB5770">
        <w:rPr>
          <w:rFonts w:ascii="Verdana" w:hAnsi="Verdana"/>
          <w:sz w:val="14"/>
          <w:szCs w:val="14"/>
          <w:lang w:val="es-ES"/>
        </w:rPr>
        <w:t xml:space="preserve">En el derecho antiguo y en el derecho canónico se distinguían las leyes en favorables y odiosas, para ampliar o restringir su interpretación. </w:t>
      </w:r>
      <w:r w:rsidRPr="00FB5770">
        <w:rPr>
          <w:rFonts w:ascii="Verdana" w:hAnsi="Verdana"/>
          <w:i/>
          <w:iCs/>
          <w:sz w:val="14"/>
          <w:szCs w:val="14"/>
          <w:lang w:val="es-ES"/>
        </w:rPr>
        <w:t>Odia restringí et favores convenit ampliari</w:t>
      </w:r>
      <w:r w:rsidRPr="00FB5770">
        <w:rPr>
          <w:rFonts w:ascii="Verdana" w:hAnsi="Verdana"/>
          <w:sz w:val="14"/>
          <w:szCs w:val="14"/>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FB5770">
        <w:rPr>
          <w:rFonts w:ascii="Verdana" w:hAnsi="Verdana"/>
          <w:sz w:val="14"/>
          <w:szCs w:val="14"/>
        </w:rPr>
        <w:t>CLARO SOLAR, Luis. Explicaciones de derecho civil chileno y comparado. Volumen I. Tomo I. Santiago: Editorial Jurídica de Chile, 2013. p. 119. Énfasis dentro del texto).</w:t>
      </w:r>
    </w:p>
    <w:p w14:paraId="230104A5" w14:textId="77777777" w:rsidR="00072A40" w:rsidRPr="00FB5770" w:rsidRDefault="00072A40" w:rsidP="00072A40">
      <w:pPr>
        <w:pStyle w:val="Textonotapie"/>
        <w:ind w:firstLine="708"/>
        <w:jc w:val="both"/>
        <w:rPr>
          <w:rFonts w:ascii="Verdana" w:hAnsi="Verdana"/>
          <w:sz w:val="14"/>
          <w:szCs w:val="14"/>
          <w:lang w:val="es-CO"/>
        </w:rPr>
      </w:pPr>
    </w:p>
  </w:footnote>
  <w:footnote w:id="28">
    <w:p w14:paraId="791BFC0D" w14:textId="77777777" w:rsidR="00072A40" w:rsidRPr="00FB5770" w:rsidRDefault="00072A40" w:rsidP="00072A40">
      <w:pPr>
        <w:spacing w:after="0" w:line="240" w:lineRule="auto"/>
        <w:ind w:firstLine="709"/>
        <w:jc w:val="both"/>
        <w:rPr>
          <w:rFonts w:ascii="Verdana" w:hAnsi="Verdana" w:cs="Arial"/>
          <w:sz w:val="14"/>
          <w:szCs w:val="14"/>
          <w:lang w:eastAsia="es-ES"/>
        </w:rPr>
      </w:pPr>
      <w:r w:rsidRPr="00FB5770">
        <w:rPr>
          <w:rStyle w:val="Refdenotaalpie"/>
          <w:rFonts w:ascii="Verdana" w:hAnsi="Verdana"/>
          <w:sz w:val="14"/>
          <w:szCs w:val="14"/>
        </w:rPr>
        <w:footnoteRef/>
      </w:r>
      <w:r w:rsidRPr="00FB5770">
        <w:rPr>
          <w:rFonts w:ascii="Verdana" w:hAnsi="Verdana"/>
          <w:sz w:val="14"/>
          <w:szCs w:val="14"/>
        </w:rPr>
        <w:t xml:space="preserve"> Consejo de Estado. Sala de lo Contencioso Administrativo. Sección Tercera. Subsección B. Auto del 4 de octubre de 2024. Exp. 70.313. C.P: Fredy Ibarra Martínez.</w:t>
      </w:r>
    </w:p>
    <w:p w14:paraId="41A17991" w14:textId="77777777" w:rsidR="00072A40" w:rsidRPr="00FB5770" w:rsidRDefault="00072A40" w:rsidP="00072A40">
      <w:pPr>
        <w:pStyle w:val="Textonotapie"/>
        <w:ind w:firstLine="709"/>
        <w:contextualSpacing/>
        <w:jc w:val="both"/>
        <w:rPr>
          <w:rFonts w:ascii="Verdana" w:hAnsi="Verdana"/>
          <w:sz w:val="14"/>
          <w:szCs w:val="14"/>
          <w:lang w:val="es-CO"/>
        </w:rPr>
      </w:pPr>
    </w:p>
  </w:footnote>
  <w:footnote w:id="29">
    <w:p w14:paraId="6AC1950D" w14:textId="77777777" w:rsidR="00072A40" w:rsidRPr="00FB5770" w:rsidRDefault="00072A40" w:rsidP="00072A40">
      <w:pPr>
        <w:pStyle w:val="Textonotapie"/>
        <w:ind w:firstLine="709"/>
        <w:contextualSpacing/>
        <w:jc w:val="both"/>
        <w:rPr>
          <w:rFonts w:ascii="Verdana" w:hAnsi="Verdana"/>
          <w:sz w:val="14"/>
          <w:szCs w:val="14"/>
          <w:lang w:val="es-CO"/>
        </w:rPr>
      </w:pPr>
      <w:r w:rsidRPr="00FB5770">
        <w:rPr>
          <w:rStyle w:val="Refdenotaalpie"/>
          <w:rFonts w:ascii="Verdana" w:hAnsi="Verdana"/>
          <w:sz w:val="14"/>
          <w:szCs w:val="14"/>
        </w:rPr>
        <w:footnoteRef/>
      </w:r>
      <w:r w:rsidRPr="00FB5770">
        <w:rPr>
          <w:rFonts w:ascii="Verdana" w:hAnsi="Verdana"/>
          <w:sz w:val="14"/>
          <w:szCs w:val="14"/>
        </w:rPr>
        <w:t xml:space="preserve"> La parte resolutiva del auto dispone lo siguiente; “</w:t>
      </w:r>
      <w:r w:rsidRPr="00FB5770">
        <w:rPr>
          <w:rFonts w:ascii="Verdana" w:hAnsi="Verdana"/>
          <w:b/>
          <w:sz w:val="14"/>
          <w:szCs w:val="14"/>
          <w:lang w:val="es-CO"/>
        </w:rPr>
        <w:t xml:space="preserve">PRIMERO: DECRETAR </w:t>
      </w:r>
      <w:r w:rsidRPr="00FB5770">
        <w:rPr>
          <w:rFonts w:ascii="Verdana" w:hAnsi="Verdana"/>
          <w:sz w:val="14"/>
          <w:szCs w:val="14"/>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FB5770">
        <w:rPr>
          <w:rFonts w:ascii="Verdana" w:hAnsi="Verdana"/>
          <w:i/>
          <w:sz w:val="14"/>
          <w:szCs w:val="14"/>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FB5770">
        <w:rPr>
          <w:rFonts w:ascii="Verdana" w:hAnsi="Verdana"/>
          <w:sz w:val="14"/>
          <w:szCs w:val="14"/>
          <w:lang w:val="es-CO"/>
        </w:rPr>
        <w:t xml:space="preserve">, por las razones expuestas en precedencia. </w:t>
      </w:r>
    </w:p>
    <w:p w14:paraId="1F800AB6" w14:textId="77777777" w:rsidR="00072A40" w:rsidRDefault="00072A40" w:rsidP="00072A40">
      <w:pPr>
        <w:pStyle w:val="Textonotapie"/>
        <w:ind w:firstLine="709"/>
        <w:contextualSpacing/>
        <w:jc w:val="both"/>
        <w:rPr>
          <w:rFonts w:ascii="Verdana" w:hAnsi="Verdana"/>
          <w:sz w:val="16"/>
          <w:szCs w:val="16"/>
          <w:lang w:val="es-CO"/>
        </w:rPr>
      </w:pPr>
      <w:r w:rsidRPr="00FB5770">
        <w:rPr>
          <w:rFonts w:ascii="Verdana" w:hAnsi="Verdana"/>
          <w:b/>
          <w:sz w:val="14"/>
          <w:szCs w:val="14"/>
          <w:lang w:val="es-CO"/>
        </w:rPr>
        <w:t xml:space="preserve">SEGUNDO: DECRETAR </w:t>
      </w:r>
      <w:r w:rsidRPr="00FB5770">
        <w:rPr>
          <w:rFonts w:ascii="Verdana" w:hAnsi="Verdana"/>
          <w:sz w:val="14"/>
          <w:szCs w:val="14"/>
          <w:lang w:val="es-CO"/>
        </w:rPr>
        <w:t>la suspensión provisional de la expresión “</w:t>
      </w:r>
      <w:r w:rsidRPr="00FB5770">
        <w:rPr>
          <w:rFonts w:ascii="Verdana" w:hAnsi="Verdana"/>
          <w:i/>
          <w:sz w:val="14"/>
          <w:szCs w:val="14"/>
          <w:lang w:val="es-CO"/>
        </w:rPr>
        <w:t>contratos</w:t>
      </w:r>
      <w:r w:rsidRPr="00FB5770">
        <w:rPr>
          <w:rFonts w:ascii="Verdana" w:hAnsi="Verdana"/>
          <w:sz w:val="14"/>
          <w:szCs w:val="14"/>
          <w:lang w:val="es-CO"/>
        </w:rPr>
        <w:t xml:space="preserve">” y del párrafo </w:t>
      </w:r>
      <w:r w:rsidRPr="00FB5770">
        <w:rPr>
          <w:rFonts w:ascii="Verdana" w:hAnsi="Verdana"/>
          <w:i/>
          <w:sz w:val="14"/>
          <w:szCs w:val="14"/>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FB5770">
        <w:rPr>
          <w:rFonts w:ascii="Verdana" w:hAnsi="Verdana"/>
          <w:sz w:val="14"/>
          <w:szCs w:val="14"/>
          <w:lang w:val="es-CO"/>
        </w:rPr>
        <w:t>”,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w:t>
      </w:r>
      <w:r w:rsidRPr="009D0D83">
        <w:rPr>
          <w:rFonts w:ascii="Verdana" w:hAnsi="Verdana"/>
          <w:sz w:val="16"/>
          <w:szCs w:val="16"/>
          <w:lang w:val="es-CO"/>
        </w:rPr>
        <w:t xml:space="preserve"> </w:t>
      </w:r>
    </w:p>
    <w:p w14:paraId="0E27ACAE" w14:textId="77777777" w:rsidR="00072A40" w:rsidRPr="009D0D83" w:rsidRDefault="00072A40" w:rsidP="00072A40">
      <w:pPr>
        <w:pStyle w:val="Textonotapie"/>
        <w:ind w:firstLine="709"/>
        <w:contextualSpacing/>
        <w:jc w:val="both"/>
        <w:rPr>
          <w:rFonts w:ascii="Verdana" w:hAnsi="Verdana"/>
          <w:sz w:val="16"/>
          <w:szCs w:val="16"/>
          <w:lang w:val="es-CO"/>
        </w:rPr>
      </w:pPr>
    </w:p>
  </w:footnote>
  <w:footnote w:id="30">
    <w:p w14:paraId="23184A68" w14:textId="77777777" w:rsidR="00072A40" w:rsidRDefault="00072A40" w:rsidP="00072A40">
      <w:pPr>
        <w:spacing w:after="0" w:line="240" w:lineRule="auto"/>
        <w:ind w:firstLine="709"/>
        <w:contextualSpacing/>
        <w:jc w:val="both"/>
        <w:rPr>
          <w:rFonts w:ascii="Verdana" w:eastAsia="Times New Roman" w:hAnsi="Verdana" w:cs="Times New Roman"/>
          <w:sz w:val="14"/>
          <w:szCs w:val="14"/>
          <w:lang w:eastAsia="es-ES"/>
        </w:rPr>
      </w:pPr>
      <w:r w:rsidRPr="00FB5770">
        <w:rPr>
          <w:rStyle w:val="Refdenotaalpie"/>
          <w:rFonts w:ascii="Verdana" w:hAnsi="Verdana"/>
          <w:sz w:val="14"/>
          <w:szCs w:val="14"/>
        </w:rPr>
        <w:footnoteRef/>
      </w:r>
      <w:r w:rsidRPr="00FB5770">
        <w:rPr>
          <w:rFonts w:ascii="Verdana" w:hAnsi="Verdana"/>
          <w:sz w:val="14"/>
          <w:szCs w:val="14"/>
        </w:rPr>
        <w:t xml:space="preserve"> </w:t>
      </w:r>
      <w:r w:rsidRPr="00FB5770">
        <w:rPr>
          <w:rFonts w:ascii="Verdana" w:eastAsia="Times New Roman" w:hAnsi="Verdana" w:cs="Times New Roman"/>
          <w:sz w:val="14"/>
          <w:szCs w:val="14"/>
          <w:lang w:eastAsia="es-ES"/>
        </w:rPr>
        <w:t xml:space="preserve">Consejo de Estado. </w:t>
      </w:r>
      <w:r>
        <w:rPr>
          <w:rFonts w:ascii="Verdana" w:eastAsia="Times New Roman" w:hAnsi="Verdana" w:cs="Times New Roman"/>
          <w:sz w:val="14"/>
          <w:szCs w:val="14"/>
          <w:lang w:eastAsia="es-ES"/>
        </w:rPr>
        <w:t xml:space="preserve">Sala de lo Contencioso Administrativo. </w:t>
      </w:r>
      <w:r w:rsidRPr="00FB5770">
        <w:rPr>
          <w:rFonts w:ascii="Verdana" w:eastAsia="Times New Roman" w:hAnsi="Verdana" w:cs="Times New Roman"/>
          <w:sz w:val="14"/>
          <w:szCs w:val="14"/>
          <w:lang w:eastAsia="es-ES"/>
        </w:rPr>
        <w:t xml:space="preserve">Sección Tercera. Subsección B. 17 de octubre de 2025. C.P. Fredy Ibarra Martínez. </w:t>
      </w:r>
      <w:r w:rsidRPr="00FB5770">
        <w:rPr>
          <w:rFonts w:ascii="Verdana" w:hAnsi="Verdana"/>
          <w:sz w:val="14"/>
          <w:szCs w:val="14"/>
        </w:rPr>
        <w:t xml:space="preserve">La parte de la providencia señala: </w:t>
      </w:r>
      <w:r w:rsidRPr="00FB5770">
        <w:rPr>
          <w:rFonts w:ascii="Verdana" w:eastAsia="Times New Roman" w:hAnsi="Verdana" w:cs="Times New Roman"/>
          <w:sz w:val="14"/>
          <w:szCs w:val="14"/>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5EB3E49" w14:textId="77777777" w:rsidR="00072A40" w:rsidRPr="00FB5770" w:rsidRDefault="00072A40" w:rsidP="00072A40">
      <w:pPr>
        <w:spacing w:after="0" w:line="240" w:lineRule="auto"/>
        <w:ind w:firstLine="709"/>
        <w:contextualSpacing/>
        <w:jc w:val="both"/>
        <w:rPr>
          <w:rFonts w:ascii="Verdana" w:eastAsia="Times New Roman" w:hAnsi="Verdana" w:cs="Times New Roman"/>
          <w:sz w:val="14"/>
          <w:szCs w:val="14"/>
          <w:lang w:eastAsia="es-ES"/>
        </w:rPr>
      </w:pPr>
    </w:p>
  </w:footnote>
  <w:footnote w:id="31">
    <w:p w14:paraId="5CC173CC" w14:textId="77777777" w:rsidR="00072A40" w:rsidRPr="00FB5770" w:rsidRDefault="00072A40" w:rsidP="00072A40">
      <w:pPr>
        <w:pStyle w:val="Textonotapie"/>
        <w:ind w:firstLine="709"/>
        <w:jc w:val="both"/>
        <w:rPr>
          <w:rFonts w:ascii="Verdana" w:hAnsi="Verdana"/>
          <w:sz w:val="14"/>
          <w:szCs w:val="14"/>
          <w:lang w:val="es-CO"/>
        </w:rPr>
      </w:pPr>
      <w:r w:rsidRPr="00FB5770">
        <w:rPr>
          <w:rStyle w:val="Refdenotaalpie"/>
          <w:rFonts w:ascii="Verdana" w:hAnsi="Verdana"/>
          <w:sz w:val="14"/>
          <w:szCs w:val="14"/>
        </w:rPr>
        <w:footnoteRef/>
      </w:r>
      <w:r w:rsidRPr="00FB5770">
        <w:rPr>
          <w:rFonts w:ascii="Verdana" w:hAnsi="Verdana"/>
          <w:sz w:val="14"/>
          <w:szCs w:val="14"/>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4DED" w14:textId="77777777" w:rsidR="00072A40" w:rsidRDefault="00072A4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7124465" wp14:editId="12D6D240">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64CA8F5" wp14:editId="55FA925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2AE3764" w14:textId="77777777" w:rsidR="00072A40" w:rsidRDefault="00072A40">
    <w:pPr>
      <w:pStyle w:val="Encabezado"/>
    </w:pPr>
  </w:p>
  <w:p w14:paraId="508FDD4E" w14:textId="77777777" w:rsidR="00072A40" w:rsidRPr="004A305D" w:rsidRDefault="00072A40" w:rsidP="00B01B1A">
    <w:pPr>
      <w:spacing w:after="0" w:line="120" w:lineRule="auto"/>
      <w:rPr>
        <w:rFonts w:ascii="Century Gothic" w:eastAsia="Geo" w:hAnsi="Century Gothic" w:cs="Geo"/>
        <w:sz w:val="16"/>
        <w:szCs w:val="16"/>
        <w:lang w:eastAsia="es-CO"/>
      </w:rPr>
    </w:pPr>
  </w:p>
  <w:p w14:paraId="3A29DB58" w14:textId="77777777" w:rsidR="00072A40" w:rsidRDefault="00072A40" w:rsidP="00844AE9">
    <w:pPr>
      <w:spacing w:after="0" w:line="240" w:lineRule="auto"/>
      <w:rPr>
        <w:rFonts w:ascii="Verdana" w:hAnsi="Verdana"/>
        <w:sz w:val="24"/>
        <w:szCs w:val="24"/>
      </w:rPr>
    </w:pPr>
  </w:p>
  <w:p w14:paraId="72D088EC" w14:textId="77777777" w:rsidR="00072A40" w:rsidRPr="00C925AC" w:rsidRDefault="00072A40" w:rsidP="00844AE9">
    <w:pPr>
      <w:spacing w:after="0" w:line="240" w:lineRule="auto"/>
      <w:rPr>
        <w:rFonts w:ascii="Verdana" w:hAnsi="Verdana"/>
        <w:sz w:val="24"/>
        <w:szCs w:val="24"/>
      </w:rPr>
    </w:pPr>
  </w:p>
  <w:p w14:paraId="4521AA4A" w14:textId="77777777" w:rsidR="00072A40" w:rsidRPr="00C925AC" w:rsidRDefault="00072A4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330140246">
    <w:abstractNumId w:val="0"/>
  </w:num>
  <w:num w:numId="3" w16cid:durableId="1358431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40"/>
    <w:rsid w:val="00072A40"/>
    <w:rsid w:val="00133005"/>
    <w:rsid w:val="0017039E"/>
    <w:rsid w:val="002909EF"/>
    <w:rsid w:val="002D6822"/>
    <w:rsid w:val="004864A3"/>
    <w:rsid w:val="007A436C"/>
    <w:rsid w:val="00924422"/>
    <w:rsid w:val="009B4EF6"/>
    <w:rsid w:val="00B26A5B"/>
    <w:rsid w:val="00D968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0135C"/>
  <w15:chartTrackingRefBased/>
  <w15:docId w15:val="{8627E4D1-3BAB-453A-B67A-CB929225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A40"/>
    <w:pPr>
      <w:spacing w:line="259" w:lineRule="auto"/>
    </w:pPr>
    <w:rPr>
      <w:kern w:val="0"/>
      <w:sz w:val="22"/>
      <w:szCs w:val="22"/>
      <w14:ligatures w14:val="none"/>
    </w:rPr>
  </w:style>
  <w:style w:type="paragraph" w:styleId="Ttulo1">
    <w:name w:val="heading 1"/>
    <w:basedOn w:val="Normal"/>
    <w:next w:val="Normal"/>
    <w:link w:val="Ttulo1Car"/>
    <w:uiPriority w:val="9"/>
    <w:qFormat/>
    <w:rsid w:val="00072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2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2A4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2A4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2A4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2A4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2A4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2A4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2A4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2A4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2A4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2A4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2A4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2A4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2A4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2A4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2A4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2A40"/>
    <w:rPr>
      <w:rFonts w:eastAsiaTheme="majorEastAsia" w:cstheme="majorBidi"/>
      <w:color w:val="272727" w:themeColor="text1" w:themeTint="D8"/>
    </w:rPr>
  </w:style>
  <w:style w:type="paragraph" w:styleId="Ttulo">
    <w:name w:val="Title"/>
    <w:basedOn w:val="Normal"/>
    <w:next w:val="Normal"/>
    <w:link w:val="TtuloCar"/>
    <w:uiPriority w:val="10"/>
    <w:qFormat/>
    <w:rsid w:val="00072A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2A4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2A4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2A4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2A40"/>
    <w:pPr>
      <w:spacing w:before="160"/>
      <w:jc w:val="center"/>
    </w:pPr>
    <w:rPr>
      <w:i/>
      <w:iCs/>
      <w:color w:val="404040" w:themeColor="text1" w:themeTint="BF"/>
    </w:rPr>
  </w:style>
  <w:style w:type="character" w:customStyle="1" w:styleId="CitaCar">
    <w:name w:val="Cita Car"/>
    <w:basedOn w:val="Fuentedeprrafopredeter"/>
    <w:link w:val="Cita"/>
    <w:uiPriority w:val="29"/>
    <w:rsid w:val="00072A4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072A40"/>
    <w:pPr>
      <w:ind w:left="720"/>
      <w:contextualSpacing/>
    </w:pPr>
  </w:style>
  <w:style w:type="character" w:styleId="nfasisintenso">
    <w:name w:val="Intense Emphasis"/>
    <w:basedOn w:val="Fuentedeprrafopredeter"/>
    <w:uiPriority w:val="21"/>
    <w:qFormat/>
    <w:rsid w:val="00072A40"/>
    <w:rPr>
      <w:i/>
      <w:iCs/>
      <w:color w:val="0F4761" w:themeColor="accent1" w:themeShade="BF"/>
    </w:rPr>
  </w:style>
  <w:style w:type="paragraph" w:styleId="Citadestacada">
    <w:name w:val="Intense Quote"/>
    <w:basedOn w:val="Normal"/>
    <w:next w:val="Normal"/>
    <w:link w:val="CitadestacadaCar"/>
    <w:uiPriority w:val="30"/>
    <w:qFormat/>
    <w:rsid w:val="00072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2A40"/>
    <w:rPr>
      <w:i/>
      <w:iCs/>
      <w:color w:val="0F4761" w:themeColor="accent1" w:themeShade="BF"/>
    </w:rPr>
  </w:style>
  <w:style w:type="character" w:styleId="Referenciaintensa">
    <w:name w:val="Intense Reference"/>
    <w:basedOn w:val="Fuentedeprrafopredeter"/>
    <w:uiPriority w:val="32"/>
    <w:qFormat/>
    <w:rsid w:val="00072A40"/>
    <w:rPr>
      <w:b/>
      <w:bCs/>
      <w:smallCaps/>
      <w:color w:val="0F4761" w:themeColor="accent1" w:themeShade="BF"/>
      <w:spacing w:val="5"/>
    </w:rPr>
  </w:style>
  <w:style w:type="paragraph" w:styleId="Encabezado">
    <w:name w:val="header"/>
    <w:basedOn w:val="Normal"/>
    <w:link w:val="EncabezadoCar"/>
    <w:uiPriority w:val="99"/>
    <w:unhideWhenUsed/>
    <w:rsid w:val="00072A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2A40"/>
    <w:rPr>
      <w:kern w:val="0"/>
      <w:sz w:val="22"/>
      <w:szCs w:val="22"/>
      <w14:ligatures w14:val="none"/>
    </w:rPr>
  </w:style>
  <w:style w:type="paragraph" w:styleId="Piedepgina">
    <w:name w:val="footer"/>
    <w:basedOn w:val="Normal"/>
    <w:link w:val="PiedepginaCar"/>
    <w:uiPriority w:val="99"/>
    <w:unhideWhenUsed/>
    <w:rsid w:val="00072A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2A4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72A4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72A4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72A4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72A40"/>
    <w:rPr>
      <w:vertAlign w:val="superscript"/>
    </w:rPr>
  </w:style>
  <w:style w:type="character" w:customStyle="1" w:styleId="normaltextrun">
    <w:name w:val="normaltextrun"/>
    <w:basedOn w:val="Fuentedeprrafopredeter"/>
    <w:rsid w:val="00072A40"/>
  </w:style>
  <w:style w:type="table" w:styleId="Tablaconcuadrcula">
    <w:name w:val="Table Grid"/>
    <w:basedOn w:val="Tablanormal"/>
    <w:uiPriority w:val="39"/>
    <w:qFormat/>
    <w:rsid w:val="00072A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72A40"/>
    <w:rPr>
      <w:color w:val="0000FF"/>
      <w:u w:val="single"/>
    </w:rPr>
  </w:style>
  <w:style w:type="paragraph" w:customStyle="1" w:styleId="paragraph">
    <w:name w:val="paragraph"/>
    <w:basedOn w:val="Normal"/>
    <w:rsid w:val="00072A4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072A40"/>
  </w:style>
  <w:style w:type="paragraph" w:styleId="NormalWeb">
    <w:name w:val="Normal (Web)"/>
    <w:basedOn w:val="Normal"/>
    <w:link w:val="NormalWebCar"/>
    <w:uiPriority w:val="99"/>
    <w:unhideWhenUsed/>
    <w:rsid w:val="00072A4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072A40"/>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72A40"/>
  </w:style>
  <w:style w:type="character" w:customStyle="1" w:styleId="s15">
    <w:name w:val="s15"/>
    <w:basedOn w:val="Fuentedeprrafopredeter"/>
    <w:rsid w:val="00072A40"/>
  </w:style>
  <w:style w:type="character" w:customStyle="1" w:styleId="NormalWebCar">
    <w:name w:val="Normal (Web) Car"/>
    <w:link w:val="NormalWeb"/>
    <w:uiPriority w:val="99"/>
    <w:locked/>
    <w:rsid w:val="00072A40"/>
    <w:rPr>
      <w:rFonts w:ascii="Times New Roman" w:eastAsia="Times New Roman" w:hAnsi="Times New Roman" w:cs="Times New Roman"/>
      <w:kern w:val="0"/>
      <w:lang w:eastAsia="es-CO"/>
      <w14:ligatures w14:val="none"/>
    </w:rPr>
  </w:style>
  <w:style w:type="character" w:customStyle="1" w:styleId="baj">
    <w:name w:val="b_aj"/>
    <w:basedOn w:val="Fuentedeprrafopredeter"/>
    <w:rsid w:val="00072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nandoiglesias@gmail.com" TargetMode="Externa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formacionvirtual.colombiacompra.gov.co/mod/page/view.php?id=3718" TargetMode="External"/><Relationship Id="rId17" Type="http://schemas.openxmlformats.org/officeDocument/2006/relationships/hyperlink" Target="https://forms.office.com/r/pPHyWVs2SZ"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mailto:ventanilladeradicacion@colombiacompra.gov.co" TargetMode="External"/><Relationship Id="rId23" Type="http://schemas.openxmlformats.org/officeDocument/2006/relationships/customXml" Target="../customXml/item1.xml"/><Relationship Id="rId10" Type="http://schemas.openxmlformats.org/officeDocument/2006/relationships/hyperlink" Target="https://www.minsalud.gov.co/sites/rid/Lists/BibliotecaDigital/RIDE/VS/PP/lineamiento-tecnico-operativo-equipos-basicos-salud-modelo-pp.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lombiacompra.gov.co/wp-content/uploads/2025/09/006-de-2025-Circular-Externa-L996-ajustado-comentarios-BM-BID-Rev-ARSC-V3.d-1.pdf" TargetMode="Externa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032A26-6C58-4E9E-90E2-3A3403279C59}"/>
</file>

<file path=customXml/itemProps2.xml><?xml version="1.0" encoding="utf-8"?>
<ds:datastoreItem xmlns:ds="http://schemas.openxmlformats.org/officeDocument/2006/customXml" ds:itemID="{47DF4EE8-95EB-49EE-9062-23FF555C9470}"/>
</file>

<file path=customXml/itemProps3.xml><?xml version="1.0" encoding="utf-8"?>
<ds:datastoreItem xmlns:ds="http://schemas.openxmlformats.org/officeDocument/2006/customXml" ds:itemID="{029C14C6-436D-4F1C-9216-9FA0CB47F92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31</Pages>
  <Words>10492</Words>
  <Characters>57711</Characters>
  <Application>Microsoft Office Word</Application>
  <DocSecurity>0</DocSecurity>
  <Lines>480</Lines>
  <Paragraphs>136</Paragraphs>
  <ScaleCrop>false</ScaleCrop>
  <Company/>
  <LinksUpToDate>false</LinksUpToDate>
  <CharactersWithSpaces>68067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4</cp:revision>
  <dcterms:created xsi:type="dcterms:W3CDTF">2026-05-08T20:01:00Z</dcterms:created>
  <dcterms:modified xsi:type="dcterms:W3CDTF">2026-05-11T15:35:00Z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