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AC7C1" w14:textId="29E6E92D" w:rsidR="00C36C0C" w:rsidRPr="007F1C94" w:rsidRDefault="00EF22DD" w:rsidP="00EF22DD">
      <w:pPr>
        <w:spacing w:after="0"/>
        <w:jc w:val="both"/>
        <w:rPr>
          <w:rFonts w:ascii="Verdana" w:hAnsi="Verdana"/>
          <w:b/>
          <w:bCs/>
        </w:rPr>
      </w:pPr>
      <w:bookmarkStart w:id="0" w:name="_Hlk143780582"/>
      <w:bookmarkStart w:id="1" w:name="_Hlk195597546"/>
      <w:r w:rsidRPr="007F1C94">
        <w:rPr>
          <w:rFonts w:ascii="Verdana" w:hAnsi="Verdana"/>
          <w:b/>
          <w:bCs/>
        </w:rPr>
        <w:t xml:space="preserve">ENTIDADES DE RÉGIMEN ESPECIAL – Procedimientos contractuales – DERECHO PRIVADO </w:t>
      </w:r>
    </w:p>
    <w:p w14:paraId="0E4B4C2F" w14:textId="77777777" w:rsidR="00EF22DD" w:rsidRPr="007F1C94" w:rsidRDefault="00EF22DD" w:rsidP="00E11DD9">
      <w:pPr>
        <w:spacing w:after="0"/>
        <w:rPr>
          <w:rFonts w:ascii="Verdana" w:hAnsi="Verdana"/>
          <w:b/>
          <w:bCs/>
        </w:rPr>
      </w:pPr>
    </w:p>
    <w:p w14:paraId="675A3B40" w14:textId="1E50CD55" w:rsidR="00EF22DD" w:rsidRPr="007F1C94" w:rsidRDefault="00EF22DD" w:rsidP="00EF22DD">
      <w:pPr>
        <w:spacing w:after="0"/>
        <w:jc w:val="both"/>
        <w:rPr>
          <w:rFonts w:ascii="Verdana" w:hAnsi="Verdana"/>
        </w:rPr>
      </w:pPr>
      <w:r w:rsidRPr="007F1C94">
        <w:rPr>
          <w:rFonts w:ascii="Verdana" w:hAnsi="Verdana"/>
        </w:rPr>
        <w:t>Las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y por ende sus procedimientos contractuales tienen su normativa para su desarrollo, esto es, el derecho privado, lo cual está determinado en las normas de creación de las entidades de régimen especial y en sus manuales de contratación.</w:t>
      </w:r>
    </w:p>
    <w:p w14:paraId="1FB8B3E4" w14:textId="77777777" w:rsidR="00EF22DD" w:rsidRPr="007F1C94" w:rsidRDefault="00EF22DD" w:rsidP="00EF22DD">
      <w:pPr>
        <w:spacing w:after="0"/>
        <w:jc w:val="both"/>
        <w:rPr>
          <w:rFonts w:ascii="Verdana" w:hAnsi="Verdana"/>
        </w:rPr>
      </w:pPr>
    </w:p>
    <w:p w14:paraId="2600A8D9" w14:textId="77777777" w:rsidR="00EF22DD" w:rsidRPr="007F1C94" w:rsidRDefault="00EF22DD" w:rsidP="00EF22DD">
      <w:pPr>
        <w:spacing w:after="0"/>
        <w:jc w:val="both"/>
        <w:rPr>
          <w:rFonts w:ascii="Verdana" w:hAnsi="Verdana"/>
        </w:rPr>
      </w:pPr>
    </w:p>
    <w:p w14:paraId="4B201304" w14:textId="04B1B152" w:rsidR="00EF22DD" w:rsidRPr="007F1C94" w:rsidRDefault="00EF22DD" w:rsidP="00EF22DD">
      <w:pPr>
        <w:spacing w:after="0"/>
        <w:jc w:val="both"/>
        <w:rPr>
          <w:rFonts w:ascii="Verdana" w:hAnsi="Verdana"/>
          <w:b/>
          <w:bCs/>
        </w:rPr>
      </w:pPr>
      <w:r w:rsidRPr="007F1C94">
        <w:rPr>
          <w:rFonts w:ascii="Verdana" w:hAnsi="Verdana"/>
          <w:b/>
          <w:bCs/>
        </w:rPr>
        <w:t>ENTIDADES CON RÉGIMEN ESPECIAL – Aplicación de las cláusulas excepcionales – CLÁUSULAS EXCEPCIONALES – Terminación del contrato o sanción - Juez competente</w:t>
      </w:r>
    </w:p>
    <w:p w14:paraId="08CCB24D" w14:textId="77777777" w:rsidR="00EF22DD" w:rsidRPr="007F1C94" w:rsidRDefault="00EF22DD" w:rsidP="00EF22DD">
      <w:pPr>
        <w:spacing w:after="0"/>
        <w:jc w:val="both"/>
        <w:rPr>
          <w:rFonts w:ascii="Verdana" w:hAnsi="Verdana"/>
        </w:rPr>
      </w:pPr>
    </w:p>
    <w:p w14:paraId="625855BB" w14:textId="29D7F580" w:rsidR="00EF22DD" w:rsidRPr="007F1C94" w:rsidRDefault="00EF22DD" w:rsidP="00EF22DD">
      <w:pPr>
        <w:spacing w:after="0"/>
        <w:jc w:val="both"/>
        <w:rPr>
          <w:rFonts w:ascii="Verdana" w:hAnsi="Verdana"/>
        </w:rPr>
      </w:pPr>
      <w:r w:rsidRPr="007F1C94">
        <w:rPr>
          <w:rFonts w:ascii="Verdana" w:hAnsi="Verdana"/>
        </w:rPr>
        <w:t>En torno a la aplicabilidad de las cláusulas excepcionales, se debe tener en cuenta que éstas no se encuentran contempladas en el derecho común; estas se encuentran limitadas no solo al uso del Estatuto General de Contratación de la Administración Pública sino a algunos tipos de contratos específicos. En ese sentido, la única forma en que una entidad sujeta a un régimen especial pueda usar estas cláusulas es si su norma de creación lo establece. De modo que si una Entidad sujeta al régimen especial requiere sancionar o dar por terminado el contrato debe acudir al juez competente.</w:t>
      </w:r>
    </w:p>
    <w:p w14:paraId="4B042FCC" w14:textId="77777777" w:rsidR="00EF22DD" w:rsidRPr="007F1C94" w:rsidRDefault="00EF22DD" w:rsidP="00EF22DD">
      <w:pPr>
        <w:spacing w:after="0"/>
        <w:jc w:val="both"/>
        <w:rPr>
          <w:rFonts w:ascii="Verdana" w:hAnsi="Verdana"/>
        </w:rPr>
      </w:pPr>
    </w:p>
    <w:p w14:paraId="7F0F704B" w14:textId="2B61D93F" w:rsidR="00EF22DD" w:rsidRPr="007F1C94" w:rsidRDefault="00EF22DD" w:rsidP="00EF22DD">
      <w:pPr>
        <w:spacing w:after="0"/>
        <w:jc w:val="both"/>
        <w:rPr>
          <w:rFonts w:ascii="Verdana" w:hAnsi="Verdana"/>
          <w:b/>
          <w:bCs/>
        </w:rPr>
      </w:pPr>
      <w:r w:rsidRPr="007F1C94">
        <w:rPr>
          <w:rFonts w:ascii="Verdana" w:hAnsi="Verdana"/>
          <w:b/>
          <w:bCs/>
        </w:rPr>
        <w:t>PROCEDIMIENTO ADMINISTRATIVO SANCIONATORIO DE CARÁCTER CONTRACTUAL – Cláusulas excepcionales – PROCEDIMIENTO ADMINISTRATIVO SANCIONATORIO DE CARÁCTER CONTRACTUAL - Ley 1474 de 2011 artículo 86 – Entidades sometidas al Estatuto General de Contratación Pública</w:t>
      </w:r>
      <w:r w:rsidR="004536AA" w:rsidRPr="007F1C94">
        <w:rPr>
          <w:rFonts w:ascii="Verdana" w:hAnsi="Verdana"/>
          <w:b/>
          <w:bCs/>
        </w:rPr>
        <w:t xml:space="preserve"> – ENTIDADES CON RÉGIMEN ESPECIAL – inaplicación del procedimiento sancionatorio administrativo de carácter contractual </w:t>
      </w:r>
    </w:p>
    <w:p w14:paraId="74969C21" w14:textId="77777777" w:rsidR="004536AA" w:rsidRPr="007F1C94" w:rsidRDefault="004536AA" w:rsidP="00EF22DD">
      <w:pPr>
        <w:spacing w:after="0"/>
        <w:jc w:val="both"/>
        <w:rPr>
          <w:rFonts w:ascii="Verdana" w:hAnsi="Verdana"/>
          <w:b/>
          <w:bCs/>
        </w:rPr>
      </w:pPr>
    </w:p>
    <w:p w14:paraId="7922C9F7" w14:textId="3EB55A46" w:rsidR="00EF22DD" w:rsidRPr="007F1C94" w:rsidRDefault="00EF22DD" w:rsidP="00EF22DD">
      <w:pPr>
        <w:spacing w:after="0"/>
        <w:jc w:val="both"/>
        <w:rPr>
          <w:rFonts w:ascii="Verdana" w:hAnsi="Verdana"/>
        </w:rPr>
      </w:pPr>
      <w:r w:rsidRPr="007F1C94">
        <w:rPr>
          <w:rFonts w:ascii="Verdana" w:hAnsi="Verdana"/>
        </w:rPr>
        <w:t xml:space="preserve">Para el ejercicio de estas potestades exorbitantes en particular, el artículo 86 de la Ley 1474 de 2011 regula un procedimiento administrativo sancionatorio dirigido a sujetos específicos: las entidades sometidas al Estatuto General de Contratación de la Administración Pública, es decir, a la Ley 80 de 1993 y a la Ley 1150 de 2007. Así se desprende del primer inciso de aquel artículo, que dispone: “Las entidades sometidas al Estatuto General de Contratación de la </w:t>
      </w:r>
      <w:r w:rsidRPr="007F1C94">
        <w:rPr>
          <w:rFonts w:ascii="Verdana" w:hAnsi="Verdana"/>
        </w:rPr>
        <w:lastRenderedPageBreak/>
        <w:t xml:space="preserve">Administración Pública podrán declarar el incumplimiento, cuantificando los perjuicios </w:t>
      </w:r>
      <w:proofErr w:type="gramStart"/>
      <w:r w:rsidRPr="007F1C94">
        <w:rPr>
          <w:rFonts w:ascii="Verdana" w:hAnsi="Verdana"/>
        </w:rPr>
        <w:t>del mismo</w:t>
      </w:r>
      <w:proofErr w:type="gramEnd"/>
      <w:r w:rsidRPr="007F1C94">
        <w:rPr>
          <w:rFonts w:ascii="Verdana" w:hAnsi="Verdana"/>
        </w:rPr>
        <w:t xml:space="preserve">, imponer las multas y sanciones pactadas en el contrato, y hacer efectiva la cláusula penal. Para tal efecto observarán el siguiente procedimiento […]”. De ahí que, solo por esta razón, las entidades de régimen </w:t>
      </w:r>
      <w:r w:rsidR="004536AA" w:rsidRPr="007F1C94">
        <w:rPr>
          <w:rFonts w:ascii="Verdana" w:hAnsi="Verdana"/>
        </w:rPr>
        <w:t>especial en materia contractual no pueden aplicar el procedimiento administrativo sancionatorio regulado en el artículo 86 de la Ley 1474 de 2011, al no ser entidades sometidas al Estatuto General de Contratación de la Administración Pública, sino, por el contrario, entidades exceptuadas de este.</w:t>
      </w:r>
    </w:p>
    <w:p w14:paraId="0E555264" w14:textId="77777777" w:rsidR="0027052D" w:rsidRPr="007F1C94" w:rsidRDefault="0027052D" w:rsidP="0027052D">
      <w:pPr>
        <w:spacing w:after="0"/>
        <w:jc w:val="both"/>
        <w:rPr>
          <w:rFonts w:ascii="Verdana" w:eastAsia="Calibri" w:hAnsi="Verdana" w:cs="Arial"/>
          <w:b/>
        </w:rPr>
      </w:pPr>
      <w:r w:rsidRPr="007F1C94">
        <w:rPr>
          <w:rFonts w:ascii="Verdana" w:eastAsia="Calibri" w:hAnsi="Verdana" w:cs="Arial"/>
          <w:b/>
        </w:rPr>
        <w:t xml:space="preserve">NULIDAD DEL CONTRATO – Tipos </w:t>
      </w:r>
    </w:p>
    <w:p w14:paraId="7A467B73" w14:textId="77777777" w:rsidR="0027052D" w:rsidRPr="007F1C94" w:rsidRDefault="0027052D" w:rsidP="0027052D">
      <w:pPr>
        <w:spacing w:after="0"/>
        <w:jc w:val="both"/>
        <w:rPr>
          <w:rFonts w:ascii="Verdana" w:eastAsia="Calibri" w:hAnsi="Verdana" w:cs="Arial"/>
          <w:bCs/>
        </w:rPr>
      </w:pPr>
    </w:p>
    <w:p w14:paraId="7CFAE2A9" w14:textId="77777777" w:rsidR="0027052D" w:rsidRPr="007F1C94" w:rsidRDefault="0027052D" w:rsidP="0027052D">
      <w:pPr>
        <w:spacing w:after="0"/>
        <w:jc w:val="both"/>
        <w:rPr>
          <w:rFonts w:ascii="Verdana" w:eastAsia="Calibri" w:hAnsi="Verdana" w:cs="Arial"/>
          <w:bCs/>
        </w:rPr>
      </w:pPr>
      <w:r w:rsidRPr="007F1C94">
        <w:rPr>
          <w:rFonts w:ascii="Verdana" w:eastAsia="Calibri" w:hAnsi="Verdana" w:cs="Arial"/>
          <w:bCs/>
        </w:rPr>
        <w:t xml:space="preserve">[…] en lo que respecta a la normativa del Sistema de Compra Pública, existen dos tipos de nulidades, estas son, la absoluta y la relativa. En ese sentido, la Ley 80 de 1993 señala como causales de nulidad absoluta del contrato estatal, las siguientes: i) que el contrato se celebre con personas incursas en causales de inhabilidad o incompatibilidad previstas en la Constitución y la ley, </w:t>
      </w:r>
      <w:proofErr w:type="spellStart"/>
      <w:r w:rsidRPr="007F1C94">
        <w:rPr>
          <w:rFonts w:ascii="Verdana" w:eastAsia="Calibri" w:hAnsi="Verdana" w:cs="Arial"/>
          <w:bCs/>
        </w:rPr>
        <w:t>ii</w:t>
      </w:r>
      <w:proofErr w:type="spellEnd"/>
      <w:r w:rsidRPr="007F1C94">
        <w:rPr>
          <w:rFonts w:ascii="Verdana" w:eastAsia="Calibri" w:hAnsi="Verdana" w:cs="Arial"/>
          <w:bCs/>
        </w:rPr>
        <w:t xml:space="preserve">) se celebre contra expresa prohibición constitucional o legal, </w:t>
      </w:r>
      <w:proofErr w:type="spellStart"/>
      <w:r w:rsidRPr="007F1C94">
        <w:rPr>
          <w:rFonts w:ascii="Verdana" w:eastAsia="Calibri" w:hAnsi="Verdana" w:cs="Arial"/>
          <w:bCs/>
        </w:rPr>
        <w:t>iii</w:t>
      </w:r>
      <w:proofErr w:type="spellEnd"/>
      <w:r w:rsidRPr="007F1C94">
        <w:rPr>
          <w:rFonts w:ascii="Verdana" w:eastAsia="Calibri" w:hAnsi="Verdana" w:cs="Arial"/>
          <w:bCs/>
        </w:rPr>
        <w:t xml:space="preserve">) se celebre con abuso o desviación de poder, </w:t>
      </w:r>
      <w:proofErr w:type="spellStart"/>
      <w:r w:rsidRPr="007F1C94">
        <w:rPr>
          <w:rFonts w:ascii="Verdana" w:eastAsia="Calibri" w:hAnsi="Verdana" w:cs="Arial"/>
          <w:bCs/>
        </w:rPr>
        <w:t>iv</w:t>
      </w:r>
      <w:proofErr w:type="spellEnd"/>
      <w:r w:rsidRPr="007F1C94">
        <w:rPr>
          <w:rFonts w:ascii="Verdana" w:eastAsia="Calibri" w:hAnsi="Verdana" w:cs="Arial"/>
          <w:bCs/>
        </w:rPr>
        <w:t>) se declaren nulos los actos administrativos en que se fundamenten, v) se hubieren celebrado con desconocimiento de los criterios previstos para el tratamiento de ofertas nacionales y extranjeras o con violación de la reciprocidad.</w:t>
      </w:r>
    </w:p>
    <w:p w14:paraId="3FD65F36" w14:textId="77777777" w:rsidR="0027052D" w:rsidRPr="007F1C94" w:rsidRDefault="0027052D" w:rsidP="0027052D">
      <w:pPr>
        <w:spacing w:after="0"/>
        <w:jc w:val="both"/>
        <w:rPr>
          <w:rFonts w:ascii="Verdana" w:eastAsia="Calibri" w:hAnsi="Verdana" w:cs="Arial"/>
          <w:bCs/>
        </w:rPr>
      </w:pPr>
    </w:p>
    <w:p w14:paraId="1E0F7129" w14:textId="77777777" w:rsidR="0027052D" w:rsidRPr="007F1C94" w:rsidRDefault="0027052D" w:rsidP="0027052D">
      <w:pPr>
        <w:spacing w:after="0"/>
        <w:jc w:val="both"/>
        <w:rPr>
          <w:rFonts w:ascii="Verdana" w:eastAsia="Calibri" w:hAnsi="Verdana" w:cs="Arial"/>
          <w:bCs/>
        </w:rPr>
      </w:pPr>
      <w:r w:rsidRPr="007F1C94">
        <w:rPr>
          <w:rFonts w:ascii="Verdana" w:eastAsia="Calibri" w:hAnsi="Verdana" w:cs="Arial"/>
          <w:bCs/>
        </w:rPr>
        <w:t>En lo referente a la nulidad relativa, tanto la Ley 80 de 1993 como el Código Civil le atribuyen un carácter residual, pues una vez establecido el listado de causales de nulidad absoluta, señalan que la nulidad relativa corresponde a los demás vicios que se presenten en los contratos.  De igual manera, el artículo 46 de la Ley 80 de 1993 señala que estos vicios podrán sanearse por ratificación expresa de los interesados o por el transcurso de dos años, contados a partir de la ocurrencia del hecho que genera el vicio. […]</w:t>
      </w:r>
    </w:p>
    <w:p w14:paraId="517503DE" w14:textId="77777777" w:rsidR="0027052D" w:rsidRPr="007F1C94" w:rsidRDefault="0027052D" w:rsidP="0027052D">
      <w:pPr>
        <w:contextualSpacing/>
        <w:jc w:val="both"/>
        <w:rPr>
          <w:rFonts w:ascii="Verdana" w:eastAsia="Calibri" w:hAnsi="Verdana" w:cs="Arial"/>
          <w:b/>
          <w:bCs/>
          <w:color w:val="000000"/>
          <w:highlight w:val="yellow"/>
          <w:lang w:val="es-ES_tradnl"/>
        </w:rPr>
      </w:pPr>
    </w:p>
    <w:p w14:paraId="11222A8D" w14:textId="77777777" w:rsidR="0027052D" w:rsidRPr="007F1C94" w:rsidRDefault="0027052D" w:rsidP="0027052D">
      <w:pPr>
        <w:spacing w:after="0" w:line="240" w:lineRule="auto"/>
        <w:jc w:val="both"/>
        <w:rPr>
          <w:rFonts w:ascii="Verdana" w:eastAsia="Calibri" w:hAnsi="Verdana" w:cs="Arial"/>
          <w:b/>
          <w:bCs/>
          <w:lang w:val="es-ES_tradnl" w:eastAsia="es-ES_tradnl"/>
        </w:rPr>
      </w:pPr>
      <w:r w:rsidRPr="007F1C94">
        <w:rPr>
          <w:rFonts w:ascii="Verdana" w:eastAsia="Calibri" w:hAnsi="Verdana" w:cs="Arial"/>
          <w:b/>
          <w:bCs/>
          <w:lang w:val="es-ES_tradnl" w:eastAsia="es-ES_tradnl"/>
        </w:rPr>
        <w:t>FACULTADES DE LA ADMINISTRACIÓN – Poderes exorbitantes – Dirección del contrato – Vigilancia del contrato -Control del contrato</w:t>
      </w:r>
    </w:p>
    <w:p w14:paraId="66C720F6" w14:textId="77777777" w:rsidR="0027052D" w:rsidRPr="007F1C94" w:rsidRDefault="0027052D" w:rsidP="0027052D">
      <w:pPr>
        <w:spacing w:after="0" w:line="240" w:lineRule="auto"/>
        <w:jc w:val="both"/>
        <w:rPr>
          <w:rFonts w:ascii="Verdana" w:eastAsia="Calibri" w:hAnsi="Verdana" w:cs="Arial"/>
          <w:b/>
          <w:bCs/>
          <w:highlight w:val="yellow"/>
          <w:lang w:val="es-ES_tradnl" w:eastAsia="es-ES_tradnl"/>
        </w:rPr>
      </w:pPr>
    </w:p>
    <w:p w14:paraId="004870FC" w14:textId="77777777" w:rsidR="0027052D" w:rsidRPr="007F1C94" w:rsidRDefault="0027052D" w:rsidP="0027052D">
      <w:pPr>
        <w:spacing w:after="0" w:line="240" w:lineRule="auto"/>
        <w:jc w:val="both"/>
        <w:rPr>
          <w:rFonts w:ascii="Verdana" w:eastAsia="Aptos" w:hAnsi="Verdana" w:cs="Arial"/>
        </w:rPr>
      </w:pPr>
      <w:r w:rsidRPr="007F1C94">
        <w:rPr>
          <w:rFonts w:ascii="Verdana" w:eastAsia="Aptos" w:hAnsi="Verdana" w:cs="Arial"/>
        </w:rPr>
        <w:t xml:space="preserve">En ese sentido, debe precisarse que las Entidades Estatales sometidas al EGCAP, no solo cuentan con la obligación de vigilar la correcta ejecución de sus contratos, sino que también son acreedoras de distintas potestades exorbitantes o excepcionales y otras unilaterales, mediante las cuales ejercen la dirección general del contrato y realizan las actividades propias de vigilancia y control. Entre dichas potestades se encuentran: i) las cláusulas excepcionales del artículo 14 de la Ley 80 de 1993, concepto que –además del sometimiento a las leyes nacionales– incluye la terminación unilateral, la interpretación unilateral, la </w:t>
      </w:r>
      <w:r w:rsidRPr="007F1C94">
        <w:rPr>
          <w:rFonts w:ascii="Verdana" w:eastAsia="Aptos" w:hAnsi="Verdana" w:cs="Arial"/>
        </w:rPr>
        <w:lastRenderedPageBreak/>
        <w:t xml:space="preserve">modificación unilateral, la caducidad y la reversión. Dichas prerrogativas se desarrollan en los artículos 15 a 19 ibidem. </w:t>
      </w:r>
      <w:proofErr w:type="spellStart"/>
      <w:r w:rsidRPr="007F1C94">
        <w:rPr>
          <w:rFonts w:ascii="Verdana" w:eastAsia="Aptos" w:hAnsi="Verdana" w:cs="Arial"/>
        </w:rPr>
        <w:t>ii</w:t>
      </w:r>
      <w:proofErr w:type="spellEnd"/>
      <w:r w:rsidRPr="007F1C94">
        <w:rPr>
          <w:rFonts w:ascii="Verdana" w:eastAsia="Aptos" w:hAnsi="Verdana" w:cs="Arial"/>
        </w:rPr>
        <w:t xml:space="preserve">) Otras disposiciones también establecen algunas potestades, como la liquidación unilateral y la declaratoria unilateral del siniestro –artículos 7 y 11 de la Ley 1150 de 2007–. Dentro de las potestades unilaterales también se encuentra </w:t>
      </w:r>
      <w:proofErr w:type="spellStart"/>
      <w:r w:rsidRPr="007F1C94">
        <w:rPr>
          <w:rFonts w:ascii="Verdana" w:eastAsia="Aptos" w:hAnsi="Verdana" w:cs="Arial"/>
        </w:rPr>
        <w:t>iii</w:t>
      </w:r>
      <w:proofErr w:type="spellEnd"/>
      <w:r w:rsidRPr="007F1C94">
        <w:rPr>
          <w:rFonts w:ascii="Verdana" w:eastAsia="Aptos" w:hAnsi="Verdana" w:cs="Arial"/>
        </w:rPr>
        <w:t>) la imposición unilateral de las cláusulas penales y de multas –artículo 17 de la Ley 1150 de 2007–.</w:t>
      </w:r>
    </w:p>
    <w:p w14:paraId="3145973D" w14:textId="77777777" w:rsidR="004536AA" w:rsidRPr="007F1C94" w:rsidRDefault="004536AA" w:rsidP="00EF22DD">
      <w:pPr>
        <w:spacing w:after="0"/>
        <w:jc w:val="both"/>
        <w:rPr>
          <w:rFonts w:ascii="Verdana" w:hAnsi="Verdana"/>
          <w:sz w:val="20"/>
          <w:szCs w:val="20"/>
        </w:rPr>
      </w:pPr>
    </w:p>
    <w:p w14:paraId="10FF72FA" w14:textId="77777777" w:rsidR="00C61891" w:rsidRPr="007F1C94" w:rsidRDefault="00C61891" w:rsidP="00E11DD9">
      <w:pPr>
        <w:spacing w:after="0"/>
        <w:rPr>
          <w:rFonts w:ascii="Verdana" w:hAnsi="Verdana"/>
        </w:rPr>
      </w:pPr>
    </w:p>
    <w:p w14:paraId="6F3ED723" w14:textId="77777777" w:rsidR="00C61891" w:rsidRPr="007F1C94" w:rsidRDefault="00C61891" w:rsidP="00E11DD9">
      <w:pPr>
        <w:spacing w:after="0"/>
        <w:rPr>
          <w:rFonts w:ascii="Verdana" w:hAnsi="Verdana"/>
        </w:rPr>
      </w:pPr>
    </w:p>
    <w:p w14:paraId="49F436B1" w14:textId="64C2438F" w:rsidR="007F1C94" w:rsidRDefault="007F1C94">
      <w:pPr>
        <w:rPr>
          <w:rFonts w:ascii="Verdana" w:hAnsi="Verdana"/>
        </w:rPr>
      </w:pPr>
      <w:r>
        <w:rPr>
          <w:rFonts w:ascii="Verdana" w:hAnsi="Verdana"/>
        </w:rPr>
        <w:br w:type="page"/>
      </w:r>
    </w:p>
    <w:p w14:paraId="0706E258" w14:textId="77777777" w:rsidR="00C61891" w:rsidRPr="007F1C94" w:rsidRDefault="00C61891" w:rsidP="00E11DD9">
      <w:pPr>
        <w:spacing w:after="0"/>
        <w:rPr>
          <w:rFonts w:ascii="Verdana" w:hAnsi="Verdana"/>
        </w:rPr>
      </w:pPr>
    </w:p>
    <w:p w14:paraId="4755BBD4" w14:textId="37C49D9F" w:rsidR="00C36C0C" w:rsidRPr="007F1C94" w:rsidRDefault="00E11DD9" w:rsidP="00E11DD9">
      <w:pPr>
        <w:spacing w:after="0"/>
        <w:rPr>
          <w:rFonts w:ascii="Verdana" w:hAnsi="Verdana"/>
        </w:rPr>
      </w:pPr>
      <w:r w:rsidRPr="007F1C94">
        <w:rPr>
          <w:rFonts w:ascii="Verdana" w:hAnsi="Verdana"/>
        </w:rPr>
        <w:t xml:space="preserve">Bogotá D.C., </w:t>
      </w:r>
      <w:r w:rsidR="00A5519A">
        <w:rPr>
          <w:rFonts w:ascii="Verdana" w:hAnsi="Verdana"/>
        </w:rPr>
        <w:t>03 de junio de 2025</w:t>
      </w:r>
    </w:p>
    <w:p w14:paraId="27092DB4" w14:textId="678F074A" w:rsidR="00E11DD9" w:rsidRPr="007F1C94" w:rsidRDefault="00E11DD9" w:rsidP="00C36C0C">
      <w:pPr>
        <w:spacing w:after="0" w:line="240" w:lineRule="auto"/>
        <w:jc w:val="right"/>
        <w:rPr>
          <w:rFonts w:ascii="Verdana" w:eastAsia="Calibri" w:hAnsi="Verdana" w:cs="Arial"/>
          <w:lang w:eastAsia="es-ES"/>
        </w:rPr>
      </w:pPr>
    </w:p>
    <w:p w14:paraId="262B0B43" w14:textId="4217AE33" w:rsidR="00E11DD9" w:rsidRPr="007F1C94" w:rsidRDefault="00E11DD9" w:rsidP="00E11DD9">
      <w:pPr>
        <w:spacing w:after="0" w:line="240" w:lineRule="auto"/>
        <w:jc w:val="both"/>
        <w:rPr>
          <w:rFonts w:ascii="Verdana" w:eastAsia="Calibri" w:hAnsi="Verdana" w:cs="Arial"/>
          <w:lang w:val="es-ES" w:eastAsia="es-ES"/>
        </w:rPr>
      </w:pPr>
      <w:r w:rsidRPr="007F1C94">
        <w:rPr>
          <w:rFonts w:ascii="Verdana" w:eastAsia="Calibri" w:hAnsi="Verdana" w:cs="Arial"/>
          <w:lang w:val="es-ES" w:eastAsia="es-ES"/>
        </w:rPr>
        <w:t>Señor</w:t>
      </w:r>
      <w:r w:rsidR="00277952" w:rsidRPr="007F1C94">
        <w:rPr>
          <w:rFonts w:ascii="Verdana" w:eastAsia="Calibri" w:hAnsi="Verdana" w:cs="Arial"/>
          <w:lang w:val="es-ES" w:eastAsia="es-ES"/>
        </w:rPr>
        <w:t>a</w:t>
      </w:r>
    </w:p>
    <w:p w14:paraId="4BD2D0CB" w14:textId="13976296" w:rsidR="00277952" w:rsidRPr="007F1C94" w:rsidRDefault="005E440A" w:rsidP="00E11DD9">
      <w:pPr>
        <w:spacing w:after="0" w:line="240" w:lineRule="auto"/>
        <w:rPr>
          <w:rFonts w:ascii="Verdana" w:eastAsia="Calibri" w:hAnsi="Verdana" w:cs="Arial"/>
          <w:b/>
          <w:lang w:eastAsia="es-ES_tradnl"/>
        </w:rPr>
      </w:pPr>
      <w:r w:rsidRPr="007F1C94">
        <w:rPr>
          <w:rFonts w:ascii="Verdana" w:eastAsia="Calibri" w:hAnsi="Verdana" w:cs="Arial"/>
          <w:b/>
          <w:lang w:eastAsia="es-ES_tradnl"/>
        </w:rPr>
        <w:t>Jineth Loraine Rosales</w:t>
      </w:r>
    </w:p>
    <w:p w14:paraId="259B7166" w14:textId="7510AD6A" w:rsidR="00277952" w:rsidRPr="007F1C94" w:rsidRDefault="005E440A" w:rsidP="00E11DD9">
      <w:pPr>
        <w:spacing w:after="0" w:line="240" w:lineRule="auto"/>
        <w:rPr>
          <w:rFonts w:ascii="Verdana" w:eastAsia="Calibri" w:hAnsi="Verdana" w:cs="Arial"/>
          <w:b/>
          <w:lang w:eastAsia="es-ES_tradnl"/>
        </w:rPr>
      </w:pPr>
      <w:r w:rsidRPr="007F1C94">
        <w:rPr>
          <w:rFonts w:ascii="Verdana" w:eastAsia="Calibri" w:hAnsi="Verdana" w:cs="Arial"/>
          <w:b/>
          <w:lang w:eastAsia="es-ES_tradnl"/>
        </w:rPr>
        <w:t>B&amp;M Consultores Especializados</w:t>
      </w:r>
    </w:p>
    <w:p w14:paraId="50282D14" w14:textId="7FE22B88" w:rsidR="00277952" w:rsidRPr="007F1C94" w:rsidRDefault="00277952" w:rsidP="00E11DD9">
      <w:pPr>
        <w:spacing w:after="0" w:line="240" w:lineRule="auto"/>
        <w:rPr>
          <w:rFonts w:ascii="Verdana" w:eastAsia="Times New Roman" w:hAnsi="Verdana" w:cs="Calibri"/>
          <w:color w:val="0563C1"/>
          <w:u w:val="single"/>
          <w:lang w:eastAsia="es-CO"/>
        </w:rPr>
      </w:pPr>
      <w:hyperlink r:id="rId11" w:history="1">
        <w:r w:rsidRPr="007F1C94">
          <w:rPr>
            <w:rStyle w:val="Hipervnculo"/>
            <w:rFonts w:ascii="Verdana" w:eastAsia="Times New Roman" w:hAnsi="Verdana" w:cs="Calibri"/>
            <w:lang w:eastAsia="es-CO"/>
          </w:rPr>
          <w:t>bmconsultoresespecilizados@outlook.com</w:t>
        </w:r>
      </w:hyperlink>
    </w:p>
    <w:p w14:paraId="5D0A5789" w14:textId="70A7354B" w:rsidR="00E11DD9" w:rsidRPr="007F1C94" w:rsidRDefault="00277952" w:rsidP="00E11DD9">
      <w:pPr>
        <w:spacing w:after="0" w:line="240" w:lineRule="auto"/>
        <w:rPr>
          <w:rFonts w:ascii="Verdana" w:eastAsia="Calibri" w:hAnsi="Verdana" w:cs="Arial"/>
          <w:color w:val="000000"/>
          <w:lang w:val="es-ES_tradnl" w:eastAsia="es-ES_tradnl"/>
        </w:rPr>
      </w:pPr>
      <w:r w:rsidRPr="007F1C94">
        <w:rPr>
          <w:rFonts w:ascii="Verdana" w:eastAsia="Calibri" w:hAnsi="Verdana" w:cs="Arial"/>
          <w:color w:val="000000"/>
          <w:lang w:val="es-ES_tradnl" w:eastAsia="es-ES_tradnl"/>
        </w:rPr>
        <w:t xml:space="preserve">Bucaramanga – Santander. </w:t>
      </w:r>
    </w:p>
    <w:p w14:paraId="70CCFD81" w14:textId="77777777" w:rsidR="00E11DD9" w:rsidRDefault="00E11DD9" w:rsidP="00E11DD9">
      <w:pPr>
        <w:spacing w:after="0" w:line="240" w:lineRule="auto"/>
        <w:rPr>
          <w:rFonts w:ascii="Verdana" w:eastAsia="Calibri" w:hAnsi="Verdana" w:cs="Arial"/>
          <w:b/>
          <w:bCs/>
          <w:color w:val="000000"/>
          <w:lang w:val="es-ES_tradnl" w:eastAsia="es-ES_tradnl"/>
        </w:rPr>
      </w:pPr>
    </w:p>
    <w:p w14:paraId="71B3F578" w14:textId="3C8A60E2" w:rsidR="00A5519A" w:rsidRPr="007F1C94" w:rsidRDefault="00A5519A" w:rsidP="00A5519A">
      <w:pPr>
        <w:spacing w:after="0" w:line="240" w:lineRule="auto"/>
        <w:jc w:val="right"/>
        <w:rPr>
          <w:rFonts w:ascii="Verdana" w:eastAsia="Calibri" w:hAnsi="Verdana" w:cs="Arial"/>
          <w:b/>
          <w:bCs/>
          <w:color w:val="000000"/>
          <w:lang w:val="es-ES_tradnl" w:eastAsia="es-ES_tradnl"/>
        </w:rPr>
      </w:pPr>
      <w:r w:rsidRPr="00A5519A">
        <w:rPr>
          <w:rFonts w:ascii="Verdana" w:eastAsia="Calibri" w:hAnsi="Verdana" w:cs="Arial"/>
          <w:b/>
          <w:bCs/>
          <w:noProof/>
          <w:color w:val="000000"/>
          <w:lang w:val="es-ES_tradnl" w:eastAsia="es-ES_tradnl"/>
        </w:rPr>
        <w:drawing>
          <wp:inline distT="0" distB="0" distL="0" distR="0" wp14:anchorId="23B3800A" wp14:editId="3843D37A">
            <wp:extent cx="2636748" cy="853514"/>
            <wp:effectExtent l="0" t="0" r="0" b="3810"/>
            <wp:docPr id="16667636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763637" name=""/>
                    <pic:cNvPicPr/>
                  </pic:nvPicPr>
                  <pic:blipFill>
                    <a:blip r:embed="rId12"/>
                    <a:stretch>
                      <a:fillRect/>
                    </a:stretch>
                  </pic:blipFill>
                  <pic:spPr>
                    <a:xfrm>
                      <a:off x="0" y="0"/>
                      <a:ext cx="2636748" cy="853514"/>
                    </a:xfrm>
                    <a:prstGeom prst="rect">
                      <a:avLst/>
                    </a:prstGeom>
                  </pic:spPr>
                </pic:pic>
              </a:graphicData>
            </a:graphic>
          </wp:inline>
        </w:drawing>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11DD9" w:rsidRPr="007F1C94" w14:paraId="5BB58CD3" w14:textId="77777777" w:rsidTr="009C400E">
        <w:trPr>
          <w:trHeight w:val="431"/>
        </w:trPr>
        <w:tc>
          <w:tcPr>
            <w:tcW w:w="2689" w:type="dxa"/>
          </w:tcPr>
          <w:p w14:paraId="03263CCC" w14:textId="77777777" w:rsidR="00E11DD9" w:rsidRPr="007F1C94" w:rsidRDefault="00E11DD9" w:rsidP="00DD0D03">
            <w:pPr>
              <w:jc w:val="both"/>
              <w:rPr>
                <w:rFonts w:ascii="Verdana" w:eastAsia="Calibri" w:hAnsi="Verdana" w:cs="Arial"/>
                <w:b/>
                <w:color w:val="000000"/>
                <w:lang w:val="es-ES_tradnl" w:eastAsia="es-ES_tradnl"/>
              </w:rPr>
            </w:pPr>
          </w:p>
        </w:tc>
        <w:tc>
          <w:tcPr>
            <w:tcW w:w="6100" w:type="dxa"/>
          </w:tcPr>
          <w:p w14:paraId="6CF70632" w14:textId="0D974634" w:rsidR="00E11DD9" w:rsidRPr="007F1C94" w:rsidRDefault="00E11DD9" w:rsidP="00DD0D03">
            <w:pPr>
              <w:tabs>
                <w:tab w:val="left" w:pos="1315"/>
              </w:tabs>
              <w:spacing w:line="276" w:lineRule="auto"/>
              <w:jc w:val="both"/>
              <w:rPr>
                <w:rFonts w:ascii="Verdana" w:eastAsia="Calibri" w:hAnsi="Verdana" w:cs="Arial"/>
                <w:b/>
                <w:bCs/>
                <w:lang w:eastAsia="es-ES"/>
              </w:rPr>
            </w:pPr>
            <w:r w:rsidRPr="007F1C94">
              <w:rPr>
                <w:rFonts w:ascii="Verdana" w:eastAsia="Calibri" w:hAnsi="Verdana" w:cs="Arial"/>
                <w:b/>
                <w:bCs/>
                <w:lang w:eastAsia="es-ES"/>
              </w:rPr>
              <w:t>Concepto C-</w:t>
            </w:r>
            <w:r w:rsidR="005E440A" w:rsidRPr="007F1C94">
              <w:rPr>
                <w:rFonts w:ascii="Verdana" w:eastAsia="Calibri" w:hAnsi="Verdana" w:cs="Arial"/>
                <w:b/>
                <w:bCs/>
                <w:lang w:eastAsia="es-ES"/>
              </w:rPr>
              <w:t xml:space="preserve"> 508</w:t>
            </w:r>
            <w:r w:rsidRPr="007F1C94">
              <w:rPr>
                <w:rFonts w:ascii="Verdana" w:eastAsia="Calibri" w:hAnsi="Verdana" w:cs="Arial"/>
                <w:b/>
                <w:bCs/>
                <w:lang w:eastAsia="es-ES"/>
              </w:rPr>
              <w:t xml:space="preserve"> de 2025</w:t>
            </w:r>
          </w:p>
        </w:tc>
      </w:tr>
      <w:tr w:rsidR="00E11DD9" w:rsidRPr="007F1C94" w14:paraId="340E298C" w14:textId="77777777" w:rsidTr="009C400E">
        <w:trPr>
          <w:trHeight w:val="884"/>
        </w:trPr>
        <w:tc>
          <w:tcPr>
            <w:tcW w:w="2689" w:type="dxa"/>
          </w:tcPr>
          <w:p w14:paraId="5EE85158" w14:textId="77777777" w:rsidR="00E11DD9" w:rsidRPr="007F1C94" w:rsidRDefault="00E11DD9" w:rsidP="00DD0D03">
            <w:pPr>
              <w:jc w:val="both"/>
              <w:rPr>
                <w:rFonts w:ascii="Verdana" w:eastAsia="Calibri" w:hAnsi="Verdana" w:cs="Arial"/>
                <w:color w:val="000000"/>
                <w:lang w:val="es-ES_tradnl" w:eastAsia="es-ES_tradnl"/>
              </w:rPr>
            </w:pPr>
            <w:r w:rsidRPr="007F1C94">
              <w:rPr>
                <w:rFonts w:ascii="Verdana" w:eastAsia="Calibri" w:hAnsi="Verdana" w:cs="Arial"/>
                <w:b/>
                <w:color w:val="000000"/>
                <w:lang w:val="es-ES_tradnl" w:eastAsia="es-ES_tradnl"/>
              </w:rPr>
              <w:t>Temas:</w:t>
            </w:r>
            <w:r w:rsidRPr="007F1C94">
              <w:rPr>
                <w:rFonts w:ascii="Verdana" w:eastAsia="Calibri" w:hAnsi="Verdana" w:cs="Arial"/>
                <w:color w:val="000000"/>
                <w:lang w:val="es-ES_tradnl" w:eastAsia="es-ES_tradnl"/>
              </w:rPr>
              <w:t xml:space="preserve">                   </w:t>
            </w:r>
          </w:p>
        </w:tc>
        <w:tc>
          <w:tcPr>
            <w:tcW w:w="6100" w:type="dxa"/>
          </w:tcPr>
          <w:p w14:paraId="62831095" w14:textId="3DB1E9FF" w:rsidR="0027052D" w:rsidRPr="007F1C94" w:rsidRDefault="00E11DD9" w:rsidP="0027052D">
            <w:pPr>
              <w:jc w:val="both"/>
              <w:rPr>
                <w:rFonts w:ascii="Verdana" w:eastAsia="Calibri" w:hAnsi="Verdana" w:cs="Arial"/>
                <w:lang w:val="es-ES_tradnl" w:eastAsia="es-ES"/>
              </w:rPr>
            </w:pPr>
            <w:r w:rsidRPr="007F1C94">
              <w:rPr>
                <w:rFonts w:ascii="Verdana" w:eastAsia="Calibri" w:hAnsi="Verdana" w:cs="Arial"/>
                <w:lang w:val="es-ES_tradnl" w:eastAsia="es-ES"/>
              </w:rPr>
              <w:t xml:space="preserve">PROCEDIMIENTO SANCIONATORIO CONTRACTUAL – Inaplicación – Entidades de régimen especial / ENTIDADES DE RÉGIMEN ESPECIAL – Declaratoria de Incumplimiento – Derecho privado – Autonomía de la voluntad – Actos contractuales / ENTIDADES DE RÉGIMEN ESPECIAL – Derecho privado </w:t>
            </w:r>
            <w:r w:rsidR="0027052D" w:rsidRPr="007F1C94">
              <w:rPr>
                <w:rFonts w:ascii="Verdana" w:eastAsia="Calibri" w:hAnsi="Verdana" w:cs="Arial"/>
                <w:lang w:val="es-ES_tradnl" w:eastAsia="es-ES"/>
              </w:rPr>
              <w:t>/ NULIDAD DEL CONTRATO – Tipos / FACULTADES DE LA ADMINISTRACIÓN – Poderes exorbitantes – Dirección del contrato – Vigilancia del contrato -Control del contrato</w:t>
            </w:r>
          </w:p>
          <w:p w14:paraId="32C1C5F4" w14:textId="59200D7A" w:rsidR="0027052D" w:rsidRPr="007F1C94" w:rsidRDefault="0027052D" w:rsidP="0027052D">
            <w:pPr>
              <w:jc w:val="both"/>
              <w:rPr>
                <w:rFonts w:ascii="Verdana" w:eastAsia="Calibri" w:hAnsi="Verdana" w:cs="Arial"/>
                <w:b/>
                <w:lang w:val="es-ES_tradnl"/>
              </w:rPr>
            </w:pPr>
          </w:p>
          <w:p w14:paraId="11857CE1" w14:textId="4ED3FCC1" w:rsidR="00E11DD9" w:rsidRPr="007F1C94" w:rsidRDefault="00E11DD9" w:rsidP="00DD0D03">
            <w:pPr>
              <w:spacing w:line="276" w:lineRule="auto"/>
              <w:jc w:val="both"/>
              <w:rPr>
                <w:rFonts w:ascii="Verdana" w:eastAsia="Calibri" w:hAnsi="Verdana" w:cs="Arial"/>
                <w:lang w:eastAsia="es-ES"/>
              </w:rPr>
            </w:pPr>
          </w:p>
          <w:p w14:paraId="49148A65" w14:textId="77777777" w:rsidR="00E11DD9" w:rsidRPr="007F1C94" w:rsidRDefault="00E11DD9" w:rsidP="00DD0D03">
            <w:pPr>
              <w:contextualSpacing/>
              <w:jc w:val="both"/>
              <w:rPr>
                <w:rFonts w:ascii="Verdana" w:eastAsia="Calibri" w:hAnsi="Verdana" w:cs="Arial"/>
                <w:lang w:val="es-ES" w:eastAsia="es-ES"/>
              </w:rPr>
            </w:pPr>
          </w:p>
        </w:tc>
      </w:tr>
      <w:tr w:rsidR="00E11DD9" w:rsidRPr="007F1C94" w14:paraId="717F9EF8" w14:textId="77777777" w:rsidTr="00277952">
        <w:trPr>
          <w:trHeight w:val="444"/>
        </w:trPr>
        <w:tc>
          <w:tcPr>
            <w:tcW w:w="2689" w:type="dxa"/>
          </w:tcPr>
          <w:p w14:paraId="1E5CA612" w14:textId="77777777" w:rsidR="00E11DD9" w:rsidRPr="007F1C94" w:rsidRDefault="00E11DD9" w:rsidP="00DD0D03">
            <w:pPr>
              <w:jc w:val="both"/>
              <w:rPr>
                <w:rFonts w:ascii="Verdana" w:eastAsia="Calibri" w:hAnsi="Verdana" w:cs="Arial"/>
                <w:b/>
                <w:lang w:val="es-ES_tradnl" w:eastAsia="es-ES_tradnl"/>
              </w:rPr>
            </w:pPr>
            <w:r w:rsidRPr="007F1C94">
              <w:rPr>
                <w:rFonts w:ascii="Verdana" w:eastAsia="Calibri" w:hAnsi="Verdana" w:cs="Arial"/>
                <w:b/>
                <w:lang w:val="es-ES_tradnl" w:eastAsia="es-ES_tradnl"/>
              </w:rPr>
              <w:t>Radicación:</w:t>
            </w:r>
            <w:r w:rsidRPr="007F1C94">
              <w:rPr>
                <w:rFonts w:ascii="Verdana" w:eastAsia="Calibri" w:hAnsi="Verdana" w:cs="Arial"/>
                <w:lang w:val="es-ES_tradnl" w:eastAsia="es-ES_tradnl"/>
              </w:rPr>
              <w:t xml:space="preserve">               </w:t>
            </w:r>
          </w:p>
        </w:tc>
        <w:tc>
          <w:tcPr>
            <w:tcW w:w="6100" w:type="dxa"/>
          </w:tcPr>
          <w:p w14:paraId="51382210" w14:textId="452058F1" w:rsidR="00E11DD9" w:rsidRPr="007F1C94" w:rsidRDefault="00E11DD9" w:rsidP="00DD0D03">
            <w:pPr>
              <w:jc w:val="both"/>
              <w:rPr>
                <w:rFonts w:ascii="Verdana" w:eastAsia="Calibri" w:hAnsi="Verdana" w:cs="Arial"/>
                <w:lang w:val="es-ES_tradnl" w:eastAsia="es-ES_tradnl"/>
              </w:rPr>
            </w:pPr>
            <w:r w:rsidRPr="007F1C94">
              <w:rPr>
                <w:rFonts w:ascii="Verdana" w:eastAsia="Calibri" w:hAnsi="Verdana" w:cs="Arial"/>
                <w:lang w:val="es-ES_tradnl" w:eastAsia="es-ES_tradnl"/>
              </w:rPr>
              <w:t xml:space="preserve">Respuesta a consulta con radicado No. </w:t>
            </w:r>
            <w:r w:rsidR="00277952" w:rsidRPr="007F1C94">
              <w:rPr>
                <w:rFonts w:ascii="Verdana" w:eastAsia="Calibri" w:hAnsi="Verdana" w:cs="Arial"/>
                <w:lang w:val="es-ES_tradnl" w:eastAsia="es-ES_tradnl"/>
              </w:rPr>
              <w:t xml:space="preserve"> </w:t>
            </w:r>
            <w:r w:rsidR="00277952" w:rsidRPr="007F1C94">
              <w:rPr>
                <w:rFonts w:ascii="Verdana" w:hAnsi="Verdana" w:cs="Calibri"/>
                <w:color w:val="000000"/>
              </w:rPr>
              <w:t>P20250423003838</w:t>
            </w:r>
          </w:p>
        </w:tc>
      </w:tr>
    </w:tbl>
    <w:p w14:paraId="48028428" w14:textId="77777777" w:rsidR="00E11DD9" w:rsidRPr="007F1C94" w:rsidRDefault="00E11DD9" w:rsidP="00E11DD9">
      <w:pPr>
        <w:spacing w:after="0" w:line="276" w:lineRule="auto"/>
        <w:jc w:val="both"/>
        <w:rPr>
          <w:rFonts w:ascii="Verdana" w:eastAsia="Calibri" w:hAnsi="Verdana" w:cs="Arial"/>
          <w:lang w:val="es-ES_tradnl" w:eastAsia="es-ES_tradnl"/>
        </w:rPr>
      </w:pPr>
    </w:p>
    <w:p w14:paraId="2394DA4F" w14:textId="5135A63A" w:rsidR="00E11DD9" w:rsidRPr="007F1C94" w:rsidRDefault="00E11DD9" w:rsidP="00E11DD9">
      <w:pPr>
        <w:spacing w:after="0" w:line="276" w:lineRule="auto"/>
        <w:jc w:val="both"/>
        <w:rPr>
          <w:rFonts w:ascii="Verdana" w:eastAsia="Calibri" w:hAnsi="Verdana" w:cs="Arial"/>
          <w:lang w:val="es-ES" w:eastAsia="es-ES"/>
        </w:rPr>
      </w:pPr>
      <w:r w:rsidRPr="007F1C94">
        <w:rPr>
          <w:rFonts w:ascii="Verdana" w:eastAsia="Calibri" w:hAnsi="Verdana" w:cs="Arial"/>
          <w:lang w:val="es-ES" w:eastAsia="es-ES"/>
        </w:rPr>
        <w:t>Estimada señora</w:t>
      </w:r>
      <w:r w:rsidR="00277952" w:rsidRPr="007F1C94">
        <w:rPr>
          <w:rFonts w:ascii="Verdana" w:eastAsia="Calibri" w:hAnsi="Verdana" w:cs="Arial"/>
          <w:lang w:val="es-ES" w:eastAsia="es-ES"/>
        </w:rPr>
        <w:t xml:space="preserve"> Rosales</w:t>
      </w:r>
      <w:r w:rsidRPr="007F1C94">
        <w:rPr>
          <w:rFonts w:ascii="Verdana" w:eastAsia="Calibri" w:hAnsi="Verdana" w:cs="Arial"/>
          <w:lang w:val="es-ES" w:eastAsia="es-ES"/>
        </w:rPr>
        <w:t xml:space="preserve">: </w:t>
      </w:r>
    </w:p>
    <w:p w14:paraId="2087D222" w14:textId="77777777" w:rsidR="00E11DD9" w:rsidRPr="007F1C94" w:rsidRDefault="00E11DD9" w:rsidP="00E11DD9">
      <w:pPr>
        <w:tabs>
          <w:tab w:val="left" w:pos="3768"/>
        </w:tabs>
        <w:spacing w:after="0" w:line="276" w:lineRule="auto"/>
        <w:jc w:val="both"/>
        <w:rPr>
          <w:rFonts w:ascii="Verdana" w:eastAsia="Calibri" w:hAnsi="Verdana" w:cs="Arial"/>
          <w:lang w:val="es-ES" w:eastAsia="es-ES"/>
        </w:rPr>
      </w:pPr>
      <w:r w:rsidRPr="007F1C94">
        <w:rPr>
          <w:rFonts w:ascii="Verdana" w:eastAsia="Calibri" w:hAnsi="Verdana" w:cs="Arial"/>
          <w:lang w:val="es-ES" w:eastAsia="es-ES"/>
        </w:rPr>
        <w:tab/>
      </w:r>
    </w:p>
    <w:p w14:paraId="15951621" w14:textId="39CD010B" w:rsidR="00E11DD9" w:rsidRPr="007F1C94" w:rsidRDefault="00E11DD9" w:rsidP="00E11DD9">
      <w:pPr>
        <w:spacing w:after="0" w:line="276" w:lineRule="auto"/>
        <w:jc w:val="both"/>
        <w:rPr>
          <w:rFonts w:ascii="Verdana" w:eastAsia="Calibri" w:hAnsi="Verdana" w:cs="Arial"/>
          <w:lang w:val="es-ES" w:eastAsia="es-ES"/>
        </w:rPr>
      </w:pPr>
      <w:r w:rsidRPr="007F1C94">
        <w:rPr>
          <w:rFonts w:ascii="Verdana" w:eastAsia="Calibri" w:hAnsi="Verdana" w:cs="Arial"/>
          <w:color w:val="000000" w:themeColor="text1"/>
          <w:lang w:val="es-ES" w:eastAsia="es-ES"/>
        </w:rPr>
        <w:t>En ejercicio de la competencia otorgada por los artículos 3, numeral 5º, y 11, numeral 8º, del Decreto Ley 4170 de 2011,</w:t>
      </w:r>
      <w:r w:rsidRPr="007F1C94">
        <w:rPr>
          <w:rFonts w:ascii="Verdana" w:eastAsia="Arial MT" w:hAnsi="Verdana" w:cs="Arial MT"/>
          <w:lang w:val="es-ES" w:eastAsia="es-ES"/>
        </w:rPr>
        <w:t xml:space="preserve"> </w:t>
      </w:r>
      <w:r w:rsidRPr="007F1C94">
        <w:rPr>
          <w:rFonts w:ascii="Verdana" w:hAnsi="Verdana" w:cs="Arial"/>
        </w:rPr>
        <w:t xml:space="preserve">así como lo establecido en el artículo 4 de la Resolución 1707 de 2018 expedida por esta Entidad, </w:t>
      </w:r>
      <w:r w:rsidRPr="007F1C94">
        <w:rPr>
          <w:rFonts w:ascii="Verdana" w:eastAsia="Calibri" w:hAnsi="Verdana" w:cs="Arial"/>
          <w:lang w:val="es-ES" w:eastAsia="es-ES"/>
        </w:rPr>
        <w:t xml:space="preserve">responde su solicitud de consulta de fecha </w:t>
      </w:r>
      <w:r w:rsidR="00277952" w:rsidRPr="007F1C94">
        <w:rPr>
          <w:rFonts w:ascii="Verdana" w:eastAsia="Calibri" w:hAnsi="Verdana" w:cs="Arial"/>
          <w:lang w:val="es-ES" w:eastAsia="es-ES"/>
        </w:rPr>
        <w:t>23</w:t>
      </w:r>
      <w:r w:rsidRPr="007F1C94">
        <w:rPr>
          <w:rFonts w:ascii="Verdana" w:eastAsia="Calibri" w:hAnsi="Verdana" w:cs="Arial"/>
          <w:lang w:val="es-ES" w:eastAsia="es-ES"/>
        </w:rPr>
        <w:t xml:space="preserve"> de </w:t>
      </w:r>
      <w:r w:rsidR="00277952" w:rsidRPr="007F1C94">
        <w:rPr>
          <w:rFonts w:ascii="Verdana" w:eastAsia="Calibri" w:hAnsi="Verdana" w:cs="Arial"/>
          <w:lang w:val="es-ES" w:eastAsia="es-ES"/>
        </w:rPr>
        <w:t>abril</w:t>
      </w:r>
      <w:r w:rsidRPr="007F1C94">
        <w:rPr>
          <w:rFonts w:ascii="Verdana" w:eastAsia="Calibri" w:hAnsi="Verdana" w:cs="Arial"/>
          <w:lang w:val="es-ES" w:eastAsia="es-ES"/>
        </w:rPr>
        <w:t xml:space="preserve"> de 2025, en la cual manifiesta lo siguiente:</w:t>
      </w:r>
    </w:p>
    <w:p w14:paraId="137EB72C" w14:textId="77777777" w:rsidR="00E11DD9" w:rsidRPr="007F1C94" w:rsidRDefault="00E11DD9" w:rsidP="00E11DD9">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rPr>
      </w:pPr>
    </w:p>
    <w:p w14:paraId="7A08F5C1" w14:textId="77777777" w:rsidR="00277952" w:rsidRPr="007F1C94" w:rsidRDefault="00E11DD9" w:rsidP="00277952">
      <w:pPr>
        <w:spacing w:after="0" w:line="240" w:lineRule="auto"/>
        <w:ind w:left="709" w:right="902"/>
        <w:jc w:val="both"/>
        <w:rPr>
          <w:rFonts w:ascii="Verdana" w:eastAsia="Century Gothic" w:hAnsi="Verdana" w:cs="Century Gothic"/>
          <w:sz w:val="20"/>
          <w:szCs w:val="20"/>
        </w:rPr>
      </w:pPr>
      <w:bookmarkStart w:id="2" w:name="_Hlk192699624"/>
      <w:r w:rsidRPr="007F1C94">
        <w:rPr>
          <w:rFonts w:ascii="Verdana" w:eastAsia="Century Gothic" w:hAnsi="Verdana" w:cs="Century Gothic"/>
          <w:sz w:val="20"/>
          <w:szCs w:val="20"/>
        </w:rPr>
        <w:t>“(</w:t>
      </w:r>
      <w:proofErr w:type="gramStart"/>
      <w:r w:rsidRPr="007F1C94">
        <w:rPr>
          <w:rFonts w:ascii="Verdana" w:eastAsia="Century Gothic" w:hAnsi="Verdana" w:cs="Century Gothic"/>
          <w:sz w:val="20"/>
          <w:szCs w:val="20"/>
        </w:rPr>
        <w:t>…)</w:t>
      </w:r>
      <w:bookmarkStart w:id="3" w:name="_Hlk195594983"/>
      <w:r w:rsidR="00277952" w:rsidRPr="007F1C94">
        <w:rPr>
          <w:rFonts w:ascii="Verdana" w:eastAsia="Century Gothic" w:hAnsi="Verdana" w:cs="Century Gothic"/>
          <w:sz w:val="20"/>
          <w:szCs w:val="20"/>
        </w:rPr>
        <w:t>En</w:t>
      </w:r>
      <w:proofErr w:type="gramEnd"/>
      <w:r w:rsidR="00277952" w:rsidRPr="007F1C94">
        <w:rPr>
          <w:rFonts w:ascii="Verdana" w:eastAsia="Century Gothic" w:hAnsi="Verdana" w:cs="Century Gothic"/>
          <w:sz w:val="20"/>
          <w:szCs w:val="20"/>
        </w:rPr>
        <w:t xml:space="preserve"> el marco del Régimen de contratación Especial</w:t>
      </w:r>
    </w:p>
    <w:p w14:paraId="44C8EEF7" w14:textId="77777777" w:rsidR="00277952" w:rsidRPr="007F1C94" w:rsidRDefault="00277952" w:rsidP="00277952">
      <w:pPr>
        <w:spacing w:after="0" w:line="240" w:lineRule="auto"/>
        <w:ind w:left="709" w:right="902"/>
        <w:jc w:val="both"/>
        <w:rPr>
          <w:rFonts w:ascii="Verdana" w:eastAsia="Century Gothic" w:hAnsi="Verdana" w:cs="Century Gothic"/>
          <w:sz w:val="20"/>
          <w:szCs w:val="20"/>
        </w:rPr>
      </w:pPr>
      <w:r w:rsidRPr="007F1C94">
        <w:rPr>
          <w:rFonts w:ascii="Verdana" w:eastAsia="Century Gothic" w:hAnsi="Verdana" w:cs="Century Gothic"/>
          <w:sz w:val="20"/>
          <w:szCs w:val="20"/>
        </w:rPr>
        <w:t>¿Existe alguna restricción respecto de la contratación en algún tipo de contrato?</w:t>
      </w:r>
    </w:p>
    <w:p w14:paraId="4D4AA7F0" w14:textId="427DC430" w:rsidR="00277952" w:rsidRPr="007F1C94" w:rsidRDefault="00277952" w:rsidP="00277952">
      <w:pPr>
        <w:spacing w:after="0" w:line="240" w:lineRule="auto"/>
        <w:ind w:left="709" w:right="902"/>
        <w:jc w:val="both"/>
        <w:rPr>
          <w:rFonts w:ascii="Verdana" w:eastAsia="Century Gothic" w:hAnsi="Verdana" w:cs="Century Gothic"/>
          <w:sz w:val="20"/>
          <w:szCs w:val="20"/>
        </w:rPr>
      </w:pPr>
      <w:proofErr w:type="gramStart"/>
      <w:r w:rsidRPr="007F1C94">
        <w:rPr>
          <w:rFonts w:ascii="Verdana" w:eastAsia="Century Gothic" w:hAnsi="Verdana" w:cs="Century Gothic"/>
          <w:sz w:val="20"/>
          <w:szCs w:val="20"/>
        </w:rPr>
        <w:lastRenderedPageBreak/>
        <w:t>¿ es</w:t>
      </w:r>
      <w:proofErr w:type="gramEnd"/>
      <w:r w:rsidRPr="007F1C94">
        <w:rPr>
          <w:rFonts w:ascii="Verdana" w:eastAsia="Century Gothic" w:hAnsi="Verdana" w:cs="Century Gothic"/>
          <w:sz w:val="20"/>
          <w:szCs w:val="20"/>
        </w:rPr>
        <w:t xml:space="preserve"> viable la evaluación de la oferta </w:t>
      </w:r>
      <w:proofErr w:type="spellStart"/>
      <w:r w:rsidRPr="007F1C94">
        <w:rPr>
          <w:rFonts w:ascii="Verdana" w:eastAsia="Century Gothic" w:hAnsi="Verdana" w:cs="Century Gothic"/>
          <w:sz w:val="20"/>
          <w:szCs w:val="20"/>
        </w:rPr>
        <w:t>economica</w:t>
      </w:r>
      <w:proofErr w:type="spellEnd"/>
      <w:r w:rsidRPr="007F1C94">
        <w:rPr>
          <w:rFonts w:ascii="Verdana" w:eastAsia="Century Gothic" w:hAnsi="Verdana" w:cs="Century Gothic"/>
          <w:sz w:val="20"/>
          <w:szCs w:val="20"/>
        </w:rPr>
        <w:t xml:space="preserve"> con las </w:t>
      </w:r>
      <w:proofErr w:type="spellStart"/>
      <w:r w:rsidRPr="007F1C94">
        <w:rPr>
          <w:rFonts w:ascii="Verdana" w:eastAsia="Century Gothic" w:hAnsi="Verdana" w:cs="Century Gothic"/>
          <w:sz w:val="20"/>
          <w:szCs w:val="20"/>
        </w:rPr>
        <w:t>formulas</w:t>
      </w:r>
      <w:proofErr w:type="spellEnd"/>
      <w:r w:rsidRPr="007F1C94">
        <w:rPr>
          <w:rFonts w:ascii="Verdana" w:eastAsia="Century Gothic" w:hAnsi="Verdana" w:cs="Century Gothic"/>
          <w:sz w:val="20"/>
          <w:szCs w:val="20"/>
        </w:rPr>
        <w:t xml:space="preserve"> establecidas por la Agencia Nacional De Contratación - Colombia Compra Eficiente?</w:t>
      </w:r>
    </w:p>
    <w:p w14:paraId="1F987726" w14:textId="348B82F1" w:rsidR="00277952" w:rsidRPr="007F1C94" w:rsidRDefault="00277952" w:rsidP="00277952">
      <w:pPr>
        <w:spacing w:after="0" w:line="240" w:lineRule="auto"/>
        <w:ind w:left="709" w:right="902"/>
        <w:jc w:val="both"/>
        <w:rPr>
          <w:rFonts w:ascii="Verdana" w:eastAsia="Century Gothic" w:hAnsi="Verdana" w:cs="Century Gothic"/>
          <w:sz w:val="20"/>
          <w:szCs w:val="20"/>
        </w:rPr>
      </w:pPr>
      <w:proofErr w:type="gramStart"/>
      <w:r w:rsidRPr="007F1C94">
        <w:rPr>
          <w:rFonts w:ascii="Verdana" w:eastAsia="Century Gothic" w:hAnsi="Verdana" w:cs="Century Gothic"/>
          <w:sz w:val="20"/>
          <w:szCs w:val="20"/>
        </w:rPr>
        <w:t>¿ Procede</w:t>
      </w:r>
      <w:proofErr w:type="gramEnd"/>
      <w:r w:rsidRPr="007F1C94">
        <w:rPr>
          <w:rFonts w:ascii="Verdana" w:eastAsia="Century Gothic" w:hAnsi="Verdana" w:cs="Century Gothic"/>
          <w:sz w:val="20"/>
          <w:szCs w:val="20"/>
        </w:rPr>
        <w:t xml:space="preserve"> la inclusión en los manuales de contratación, la implementación del Acuerdo Marco de Precios?</w:t>
      </w:r>
    </w:p>
    <w:p w14:paraId="371FBC4E" w14:textId="77777777" w:rsidR="00277952" w:rsidRPr="007F1C94" w:rsidRDefault="00277952" w:rsidP="00277952">
      <w:pPr>
        <w:spacing w:after="0" w:line="240" w:lineRule="auto"/>
        <w:ind w:left="709" w:right="902"/>
        <w:jc w:val="both"/>
        <w:rPr>
          <w:rFonts w:ascii="Verdana" w:eastAsia="Century Gothic" w:hAnsi="Verdana" w:cs="Century Gothic"/>
          <w:sz w:val="20"/>
          <w:szCs w:val="20"/>
        </w:rPr>
      </w:pPr>
      <w:r w:rsidRPr="007F1C94">
        <w:rPr>
          <w:rFonts w:ascii="Verdana" w:eastAsia="Century Gothic" w:hAnsi="Verdana" w:cs="Century Gothic"/>
          <w:sz w:val="20"/>
          <w:szCs w:val="20"/>
        </w:rPr>
        <w:t xml:space="preserve">¿Prevalecen los principios y normas del estatuto de contratación </w:t>
      </w:r>
      <w:proofErr w:type="gramStart"/>
      <w:r w:rsidRPr="007F1C94">
        <w:rPr>
          <w:rFonts w:ascii="Verdana" w:eastAsia="Century Gothic" w:hAnsi="Verdana" w:cs="Century Gothic"/>
          <w:sz w:val="20"/>
          <w:szCs w:val="20"/>
        </w:rPr>
        <w:t>( ley</w:t>
      </w:r>
      <w:proofErr w:type="gramEnd"/>
      <w:r w:rsidRPr="007F1C94">
        <w:rPr>
          <w:rFonts w:ascii="Verdana" w:eastAsia="Century Gothic" w:hAnsi="Verdana" w:cs="Century Gothic"/>
          <w:sz w:val="20"/>
          <w:szCs w:val="20"/>
        </w:rPr>
        <w:t xml:space="preserve"> 80 - 1993)</w:t>
      </w:r>
    </w:p>
    <w:p w14:paraId="5787CB76" w14:textId="77777777" w:rsidR="00277952" w:rsidRPr="007F1C94" w:rsidRDefault="00277952" w:rsidP="00277952">
      <w:pPr>
        <w:spacing w:after="0" w:line="240" w:lineRule="auto"/>
        <w:ind w:left="709" w:right="902"/>
        <w:jc w:val="both"/>
        <w:rPr>
          <w:rFonts w:ascii="Verdana" w:eastAsia="Century Gothic" w:hAnsi="Verdana" w:cs="Century Gothic"/>
          <w:sz w:val="20"/>
          <w:szCs w:val="20"/>
        </w:rPr>
      </w:pPr>
      <w:r w:rsidRPr="007F1C94">
        <w:rPr>
          <w:rFonts w:ascii="Verdana" w:eastAsia="Century Gothic" w:hAnsi="Verdana" w:cs="Century Gothic"/>
          <w:sz w:val="20"/>
          <w:szCs w:val="20"/>
        </w:rPr>
        <w:t>frente al manual de contratación en caso de contradicción?</w:t>
      </w:r>
    </w:p>
    <w:p w14:paraId="0F954084" w14:textId="77777777" w:rsidR="00277952" w:rsidRPr="007F1C94" w:rsidRDefault="00277952" w:rsidP="00277952">
      <w:pPr>
        <w:spacing w:after="0" w:line="240" w:lineRule="auto"/>
        <w:ind w:left="709" w:right="902"/>
        <w:jc w:val="both"/>
        <w:rPr>
          <w:rFonts w:ascii="Verdana" w:eastAsia="Century Gothic" w:hAnsi="Verdana" w:cs="Century Gothic"/>
          <w:sz w:val="20"/>
          <w:szCs w:val="20"/>
        </w:rPr>
      </w:pPr>
      <w:proofErr w:type="gramStart"/>
      <w:r w:rsidRPr="007F1C94">
        <w:rPr>
          <w:rFonts w:ascii="Verdana" w:eastAsia="Century Gothic" w:hAnsi="Verdana" w:cs="Century Gothic"/>
          <w:sz w:val="20"/>
          <w:szCs w:val="20"/>
        </w:rPr>
        <w:t xml:space="preserve">¿ </w:t>
      </w:r>
      <w:proofErr w:type="spellStart"/>
      <w:r w:rsidRPr="007F1C94">
        <w:rPr>
          <w:rFonts w:ascii="Verdana" w:eastAsia="Century Gothic" w:hAnsi="Verdana" w:cs="Century Gothic"/>
          <w:sz w:val="20"/>
          <w:szCs w:val="20"/>
        </w:rPr>
        <w:t>Cuales</w:t>
      </w:r>
      <w:proofErr w:type="spellEnd"/>
      <w:proofErr w:type="gramEnd"/>
      <w:r w:rsidRPr="007F1C94">
        <w:rPr>
          <w:rFonts w:ascii="Verdana" w:eastAsia="Century Gothic" w:hAnsi="Verdana" w:cs="Century Gothic"/>
          <w:sz w:val="20"/>
          <w:szCs w:val="20"/>
        </w:rPr>
        <w:t xml:space="preserve"> son las </w:t>
      </w:r>
      <w:proofErr w:type="spellStart"/>
      <w:r w:rsidRPr="007F1C94">
        <w:rPr>
          <w:rFonts w:ascii="Verdana" w:eastAsia="Century Gothic" w:hAnsi="Verdana" w:cs="Century Gothic"/>
          <w:sz w:val="20"/>
          <w:szCs w:val="20"/>
        </w:rPr>
        <w:t>clausulas</w:t>
      </w:r>
      <w:proofErr w:type="spellEnd"/>
      <w:r w:rsidRPr="007F1C94">
        <w:rPr>
          <w:rFonts w:ascii="Verdana" w:eastAsia="Century Gothic" w:hAnsi="Verdana" w:cs="Century Gothic"/>
          <w:sz w:val="20"/>
          <w:szCs w:val="20"/>
        </w:rPr>
        <w:t xml:space="preserve"> </w:t>
      </w:r>
      <w:proofErr w:type="spellStart"/>
      <w:r w:rsidRPr="007F1C94">
        <w:rPr>
          <w:rFonts w:ascii="Verdana" w:eastAsia="Century Gothic" w:hAnsi="Verdana" w:cs="Century Gothic"/>
          <w:sz w:val="20"/>
          <w:szCs w:val="20"/>
        </w:rPr>
        <w:t>escenciales</w:t>
      </w:r>
      <w:proofErr w:type="spellEnd"/>
      <w:r w:rsidRPr="007F1C94">
        <w:rPr>
          <w:rFonts w:ascii="Verdana" w:eastAsia="Century Gothic" w:hAnsi="Verdana" w:cs="Century Gothic"/>
          <w:sz w:val="20"/>
          <w:szCs w:val="20"/>
        </w:rPr>
        <w:t xml:space="preserve"> de los contratos en este </w:t>
      </w:r>
      <w:proofErr w:type="spellStart"/>
      <w:r w:rsidRPr="007F1C94">
        <w:rPr>
          <w:rFonts w:ascii="Verdana" w:eastAsia="Century Gothic" w:hAnsi="Verdana" w:cs="Century Gothic"/>
          <w:sz w:val="20"/>
          <w:szCs w:val="20"/>
        </w:rPr>
        <w:t>regimen</w:t>
      </w:r>
      <w:proofErr w:type="spellEnd"/>
      <w:r w:rsidRPr="007F1C94">
        <w:rPr>
          <w:rFonts w:ascii="Verdana" w:eastAsia="Century Gothic" w:hAnsi="Verdana" w:cs="Century Gothic"/>
          <w:sz w:val="20"/>
          <w:szCs w:val="20"/>
        </w:rPr>
        <w:t>?</w:t>
      </w:r>
    </w:p>
    <w:p w14:paraId="7F45DBE3" w14:textId="672B258D" w:rsidR="00277952" w:rsidRPr="007F1C94" w:rsidRDefault="00277952" w:rsidP="00277952">
      <w:pPr>
        <w:spacing w:after="0" w:line="240" w:lineRule="auto"/>
        <w:ind w:left="709" w:right="902"/>
        <w:jc w:val="both"/>
        <w:rPr>
          <w:rFonts w:ascii="Verdana" w:hAnsi="Verdana"/>
          <w:b/>
          <w:bCs/>
          <w:sz w:val="20"/>
          <w:szCs w:val="20"/>
        </w:rPr>
      </w:pPr>
      <w:proofErr w:type="gramStart"/>
      <w:r w:rsidRPr="007F1C94">
        <w:rPr>
          <w:rFonts w:ascii="Verdana" w:eastAsia="Century Gothic" w:hAnsi="Verdana" w:cs="Century Gothic"/>
          <w:sz w:val="20"/>
          <w:szCs w:val="20"/>
        </w:rPr>
        <w:t xml:space="preserve">¿ </w:t>
      </w:r>
      <w:proofErr w:type="spellStart"/>
      <w:r w:rsidRPr="007F1C94">
        <w:rPr>
          <w:rFonts w:ascii="Verdana" w:eastAsia="Century Gothic" w:hAnsi="Verdana" w:cs="Century Gothic"/>
          <w:sz w:val="20"/>
          <w:szCs w:val="20"/>
        </w:rPr>
        <w:t>Cuales</w:t>
      </w:r>
      <w:proofErr w:type="spellEnd"/>
      <w:proofErr w:type="gramEnd"/>
      <w:r w:rsidRPr="007F1C94">
        <w:rPr>
          <w:rFonts w:ascii="Verdana" w:eastAsia="Century Gothic" w:hAnsi="Verdana" w:cs="Century Gothic"/>
          <w:sz w:val="20"/>
          <w:szCs w:val="20"/>
        </w:rPr>
        <w:t xml:space="preserve"> son las causas de nulidad absoluta y relativa en </w:t>
      </w:r>
      <w:proofErr w:type="spellStart"/>
      <w:r w:rsidRPr="007F1C94">
        <w:rPr>
          <w:rFonts w:ascii="Verdana" w:eastAsia="Century Gothic" w:hAnsi="Verdana" w:cs="Century Gothic"/>
          <w:sz w:val="20"/>
          <w:szCs w:val="20"/>
        </w:rPr>
        <w:t>en</w:t>
      </w:r>
      <w:proofErr w:type="spellEnd"/>
      <w:r w:rsidRPr="007F1C94">
        <w:rPr>
          <w:rFonts w:ascii="Verdana" w:eastAsia="Century Gothic" w:hAnsi="Verdana" w:cs="Century Gothic"/>
          <w:sz w:val="20"/>
          <w:szCs w:val="20"/>
        </w:rPr>
        <w:t xml:space="preserve"> sede de este </w:t>
      </w:r>
      <w:proofErr w:type="spellStart"/>
      <w:r w:rsidRPr="007F1C94">
        <w:rPr>
          <w:rFonts w:ascii="Verdana" w:eastAsia="Century Gothic" w:hAnsi="Verdana" w:cs="Century Gothic"/>
          <w:sz w:val="20"/>
          <w:szCs w:val="20"/>
        </w:rPr>
        <w:t>Regimen</w:t>
      </w:r>
      <w:proofErr w:type="spellEnd"/>
      <w:r w:rsidRPr="007F1C94">
        <w:rPr>
          <w:rFonts w:ascii="Verdana" w:eastAsia="Century Gothic" w:hAnsi="Verdana" w:cs="Century Gothic"/>
          <w:sz w:val="20"/>
          <w:szCs w:val="20"/>
        </w:rPr>
        <w:t>?:</w:t>
      </w:r>
    </w:p>
    <w:p w14:paraId="113572C7" w14:textId="08ADCDDA" w:rsidR="00E11DD9" w:rsidRPr="007F1C94" w:rsidRDefault="00E11DD9" w:rsidP="00E11DD9">
      <w:pPr>
        <w:spacing w:after="0" w:line="240" w:lineRule="auto"/>
        <w:ind w:left="709" w:right="902"/>
        <w:jc w:val="both"/>
        <w:rPr>
          <w:rFonts w:ascii="Verdana" w:hAnsi="Verdana"/>
          <w:sz w:val="20"/>
          <w:szCs w:val="20"/>
        </w:rPr>
      </w:pPr>
      <w:r w:rsidRPr="007F1C94">
        <w:rPr>
          <w:rFonts w:ascii="Verdana" w:hAnsi="Verdana"/>
          <w:b/>
          <w:bCs/>
          <w:sz w:val="20"/>
          <w:szCs w:val="20"/>
        </w:rPr>
        <w:t xml:space="preserve"> </w:t>
      </w:r>
      <w:r w:rsidRPr="007F1C94">
        <w:rPr>
          <w:rFonts w:ascii="Verdana" w:eastAsia="Century Gothic" w:hAnsi="Verdana" w:cs="Century Gothic"/>
          <w:sz w:val="20"/>
          <w:szCs w:val="20"/>
        </w:rPr>
        <w:t>(…)”.</w:t>
      </w:r>
      <w:bookmarkEnd w:id="3"/>
    </w:p>
    <w:bookmarkEnd w:id="2"/>
    <w:p w14:paraId="4A80E8E0" w14:textId="77777777" w:rsidR="00E11DD9" w:rsidRPr="007F1C94" w:rsidRDefault="00E11DD9" w:rsidP="00E11DD9">
      <w:pPr>
        <w:pStyle w:val="Prrafodelista"/>
        <w:tabs>
          <w:tab w:val="left" w:pos="142"/>
          <w:tab w:val="left" w:pos="284"/>
        </w:tabs>
        <w:spacing w:after="0" w:line="240" w:lineRule="auto"/>
        <w:ind w:left="0"/>
        <w:jc w:val="both"/>
        <w:rPr>
          <w:rFonts w:ascii="Verdana" w:eastAsia="Century Gothic" w:hAnsi="Verdana" w:cs="Century Gothic"/>
          <w:b/>
          <w:bCs/>
        </w:rPr>
      </w:pPr>
    </w:p>
    <w:p w14:paraId="4E72B623" w14:textId="77777777" w:rsidR="00E11DD9" w:rsidRPr="007F1C94" w:rsidRDefault="00E11DD9" w:rsidP="00E11DD9">
      <w:pPr>
        <w:spacing w:after="120" w:line="276" w:lineRule="auto"/>
        <w:ind w:firstLine="709"/>
        <w:jc w:val="both"/>
        <w:rPr>
          <w:rFonts w:ascii="Verdana" w:eastAsia="Calibri" w:hAnsi="Verdana" w:cs="Arial"/>
          <w:color w:val="000000"/>
          <w:szCs w:val="24"/>
          <w:lang w:val="es-ES_tradnl" w:eastAsia="es-ES_tradnl"/>
        </w:rPr>
      </w:pPr>
      <w:r w:rsidRPr="007F1C94">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7F1C94">
        <w:rPr>
          <w:rFonts w:ascii="Verdana" w:eastAsia="Calibri" w:hAnsi="Verdana" w:cs="Arial"/>
          <w:color w:val="000000"/>
          <w:szCs w:val="24"/>
          <w:lang w:val="es-ES_tradnl" w:eastAsia="es-ES_tradnl"/>
        </w:rPr>
        <w:tab/>
      </w:r>
    </w:p>
    <w:p w14:paraId="21C2319C" w14:textId="77777777" w:rsidR="00E11DD9" w:rsidRPr="007F1C94" w:rsidRDefault="00E11DD9" w:rsidP="00E11DD9">
      <w:pPr>
        <w:spacing w:after="0" w:line="276" w:lineRule="auto"/>
        <w:ind w:firstLine="709"/>
        <w:jc w:val="both"/>
        <w:rPr>
          <w:rFonts w:ascii="Verdana" w:eastAsia="Calibri" w:hAnsi="Verdana" w:cs="Arial"/>
          <w:color w:val="000000"/>
          <w:lang w:val="es-ES" w:eastAsia="es-ES"/>
        </w:rPr>
      </w:pPr>
      <w:r w:rsidRPr="007F1C94">
        <w:rPr>
          <w:rFonts w:ascii="Verdana" w:eastAsia="Calibri" w:hAnsi="Verdana" w:cs="Arial"/>
          <w:color w:val="000000"/>
          <w:lang w:val="es-ES" w:eastAsia="es-ES"/>
        </w:rPr>
        <w:t>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con el</w:t>
      </w:r>
      <w:r w:rsidRPr="007F1C94">
        <w:rPr>
          <w:rFonts w:ascii="Verdana" w:eastAsia="Calibri" w:hAnsi="Verdana" w:cs="Arial"/>
          <w:color w:val="7030A0"/>
          <w:lang w:val="es-ES" w:eastAsia="es-ES"/>
        </w:rPr>
        <w:t xml:space="preserve"> </w:t>
      </w:r>
      <w:r w:rsidRPr="007F1C94">
        <w:rPr>
          <w:rFonts w:ascii="Verdana" w:eastAsia="Calibri" w:hAnsi="Verdana" w:cs="Arial"/>
          <w:color w:val="000000"/>
          <w:lang w:val="es-ES" w:eastAsia="es-ES"/>
        </w:rPr>
        <w:t>problema</w:t>
      </w:r>
      <w:r w:rsidRPr="007F1C94">
        <w:rPr>
          <w:rFonts w:ascii="Verdana" w:eastAsia="Calibri" w:hAnsi="Verdana" w:cs="Arial"/>
          <w:color w:val="7030A0"/>
          <w:lang w:val="es-ES" w:eastAsia="es-ES"/>
        </w:rPr>
        <w:t xml:space="preserve"> </w:t>
      </w:r>
      <w:r w:rsidRPr="007F1C94">
        <w:rPr>
          <w:rFonts w:ascii="Verdana" w:eastAsia="Calibri" w:hAnsi="Verdana" w:cs="Arial"/>
          <w:color w:val="000000"/>
          <w:lang w:val="es-ES" w:eastAsia="es-ES"/>
        </w:rPr>
        <w:t>jurídico</w:t>
      </w:r>
      <w:r w:rsidRPr="007F1C94">
        <w:rPr>
          <w:rFonts w:ascii="Verdana" w:eastAsia="Calibri" w:hAnsi="Verdana" w:cs="Arial"/>
          <w:color w:val="7030A0"/>
          <w:lang w:val="es-ES" w:eastAsia="es-ES"/>
        </w:rPr>
        <w:t xml:space="preserve"> </w:t>
      </w:r>
      <w:r w:rsidRPr="007F1C94">
        <w:rPr>
          <w:rFonts w:ascii="Verdana" w:eastAsia="Calibri" w:hAnsi="Verdana" w:cs="Arial"/>
          <w:color w:val="000000"/>
          <w:lang w:val="es-ES" w:eastAsia="es-ES"/>
        </w:rPr>
        <w:t xml:space="preserve">de su consulta.  </w:t>
      </w:r>
    </w:p>
    <w:p w14:paraId="31F5FFCB" w14:textId="77777777" w:rsidR="00E11DD9" w:rsidRPr="007F1C94" w:rsidRDefault="00E11DD9" w:rsidP="00E11DD9">
      <w:pPr>
        <w:spacing w:after="0" w:line="276" w:lineRule="auto"/>
        <w:jc w:val="both"/>
        <w:rPr>
          <w:rFonts w:ascii="Verdana" w:eastAsia="Calibri" w:hAnsi="Verdana" w:cs="Arial"/>
          <w:color w:val="000000"/>
          <w:lang w:val="es-ES" w:eastAsia="es-ES"/>
        </w:rPr>
      </w:pPr>
    </w:p>
    <w:p w14:paraId="4562EB95" w14:textId="77777777" w:rsidR="00E11DD9" w:rsidRPr="007F1C94" w:rsidRDefault="00E11DD9" w:rsidP="00E11DD9">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7F1C94">
        <w:rPr>
          <w:rFonts w:ascii="Verdana" w:eastAsia="Century Gothic" w:hAnsi="Verdana" w:cs="Century Gothic"/>
          <w:b/>
          <w:bCs/>
        </w:rPr>
        <w:t>Problemas planteados:</w:t>
      </w:r>
    </w:p>
    <w:p w14:paraId="7EF48EFD" w14:textId="77777777" w:rsidR="00E11DD9" w:rsidRPr="007F1C94" w:rsidRDefault="00E11DD9" w:rsidP="00E11DD9">
      <w:pPr>
        <w:tabs>
          <w:tab w:val="left" w:pos="426"/>
        </w:tabs>
        <w:spacing w:after="0" w:line="276" w:lineRule="auto"/>
        <w:jc w:val="both"/>
        <w:rPr>
          <w:rFonts w:ascii="Verdana" w:eastAsia="Century Gothic" w:hAnsi="Verdana" w:cs="Century Gothic"/>
          <w:highlight w:val="yellow"/>
          <w:lang w:val="es-ES"/>
        </w:rPr>
      </w:pPr>
    </w:p>
    <w:p w14:paraId="071E7447" w14:textId="77777777" w:rsidR="00E11DD9" w:rsidRPr="007F1C94" w:rsidRDefault="00E11DD9" w:rsidP="00E11DD9">
      <w:pPr>
        <w:spacing w:after="0" w:line="276" w:lineRule="auto"/>
        <w:ind w:firstLine="709"/>
        <w:jc w:val="both"/>
        <w:rPr>
          <w:rFonts w:ascii="Verdana" w:eastAsia="Century Gothic" w:hAnsi="Verdana" w:cs="Century Gothic"/>
        </w:rPr>
      </w:pPr>
      <w:r w:rsidRPr="007F1C94">
        <w:rPr>
          <w:rFonts w:ascii="Verdana" w:eastAsia="Century Gothic" w:hAnsi="Verdana" w:cs="Century Gothic"/>
        </w:rPr>
        <w:t xml:space="preserve">De acuerdo con el contenido de su solicitud, esta Agencia resolverá los siguientes problemas jurídicos: </w:t>
      </w:r>
    </w:p>
    <w:p w14:paraId="365F7EB7" w14:textId="77777777" w:rsidR="00E11DD9" w:rsidRPr="007F1C94" w:rsidRDefault="00E11DD9" w:rsidP="00E11DD9">
      <w:pPr>
        <w:spacing w:after="0" w:line="276" w:lineRule="auto"/>
        <w:ind w:firstLine="709"/>
        <w:jc w:val="both"/>
        <w:rPr>
          <w:rFonts w:ascii="Verdana" w:hAnsi="Verdana"/>
          <w:lang w:val="es-ES"/>
        </w:rPr>
      </w:pPr>
    </w:p>
    <w:p w14:paraId="088D11CB" w14:textId="310A423E" w:rsidR="00E11DD9" w:rsidRPr="007F1C94" w:rsidRDefault="00E11DD9" w:rsidP="00E11DD9">
      <w:pPr>
        <w:pStyle w:val="Prrafodelista"/>
        <w:numPr>
          <w:ilvl w:val="0"/>
          <w:numId w:val="18"/>
        </w:numPr>
        <w:jc w:val="both"/>
        <w:rPr>
          <w:rFonts w:ascii="Verdana" w:hAnsi="Verdana"/>
        </w:rPr>
      </w:pPr>
      <w:r w:rsidRPr="007F1C94">
        <w:rPr>
          <w:rFonts w:ascii="Verdana" w:hAnsi="Verdana"/>
        </w:rPr>
        <w:t xml:space="preserve">Las entidades públicas con régimen especial de contratación </w:t>
      </w:r>
      <w:r w:rsidR="00C93CFD" w:rsidRPr="007F1C94">
        <w:rPr>
          <w:rFonts w:ascii="Verdana" w:hAnsi="Verdana"/>
        </w:rPr>
        <w:t>¿Se deben someter a los parámetros y limitaciones que comprende el EGCAP</w:t>
      </w:r>
      <w:r w:rsidRPr="007F1C94">
        <w:rPr>
          <w:rFonts w:ascii="Verdana" w:hAnsi="Verdana"/>
        </w:rPr>
        <w:t xml:space="preserve">?   </w:t>
      </w:r>
    </w:p>
    <w:p w14:paraId="0E11BE47" w14:textId="02B9EF06" w:rsidR="00C93CFD" w:rsidRPr="007F1C94" w:rsidRDefault="00C93CFD" w:rsidP="00E11DD9">
      <w:pPr>
        <w:pStyle w:val="Prrafodelista"/>
        <w:numPr>
          <w:ilvl w:val="0"/>
          <w:numId w:val="18"/>
        </w:numPr>
        <w:jc w:val="both"/>
        <w:rPr>
          <w:rFonts w:ascii="Verdana" w:hAnsi="Verdana"/>
        </w:rPr>
      </w:pPr>
      <w:r w:rsidRPr="007F1C94">
        <w:rPr>
          <w:rFonts w:ascii="Verdana" w:hAnsi="Verdana"/>
        </w:rPr>
        <w:lastRenderedPageBreak/>
        <w:t xml:space="preserve">¿Las cláusulas excepcionales </w:t>
      </w:r>
      <w:r w:rsidR="0027052D" w:rsidRPr="007F1C94">
        <w:rPr>
          <w:rFonts w:ascii="Verdana" w:hAnsi="Verdana"/>
        </w:rPr>
        <w:t xml:space="preserve">o poderes exorbitantes </w:t>
      </w:r>
      <w:r w:rsidRPr="007F1C94">
        <w:rPr>
          <w:rFonts w:ascii="Verdana" w:hAnsi="Verdana"/>
        </w:rPr>
        <w:t>se pueden aplicar en los regímenes especiales de contratación?</w:t>
      </w:r>
    </w:p>
    <w:p w14:paraId="53F77567" w14:textId="584CD916" w:rsidR="00C93CFD" w:rsidRPr="007F1C94" w:rsidRDefault="00C93CFD" w:rsidP="00E11DD9">
      <w:pPr>
        <w:pStyle w:val="Prrafodelista"/>
        <w:numPr>
          <w:ilvl w:val="0"/>
          <w:numId w:val="18"/>
        </w:numPr>
        <w:jc w:val="both"/>
        <w:rPr>
          <w:rFonts w:ascii="Verdana" w:hAnsi="Verdana"/>
        </w:rPr>
      </w:pPr>
      <w:r w:rsidRPr="007F1C94">
        <w:rPr>
          <w:rFonts w:ascii="Verdana" w:hAnsi="Verdana"/>
        </w:rPr>
        <w:t>¿La nulidad relativa y absoluta aplica para procesos de selección realizados por parte de entidades con régimen especial?</w:t>
      </w:r>
    </w:p>
    <w:p w14:paraId="22E76801" w14:textId="77777777" w:rsidR="00E11DD9" w:rsidRPr="007F1C94" w:rsidRDefault="00E11DD9" w:rsidP="00E11DD9">
      <w:pPr>
        <w:pStyle w:val="Prrafodelista"/>
        <w:ind w:left="1440"/>
        <w:jc w:val="both"/>
        <w:rPr>
          <w:rFonts w:ascii="Verdana" w:hAnsi="Verdana"/>
        </w:rPr>
      </w:pPr>
    </w:p>
    <w:p w14:paraId="228DC5A8" w14:textId="77777777" w:rsidR="00E11DD9" w:rsidRPr="007F1C94" w:rsidRDefault="00E11DD9" w:rsidP="00E11DD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7F1C94">
        <w:rPr>
          <w:rFonts w:ascii="Verdana" w:eastAsia="Century Gothic" w:hAnsi="Verdana" w:cs="Century Gothic"/>
          <w:b/>
          <w:bCs/>
        </w:rPr>
        <w:t>Respuesta:</w:t>
      </w:r>
    </w:p>
    <w:p w14:paraId="33E488F6" w14:textId="77777777" w:rsidR="00E11DD9" w:rsidRPr="007F1C94" w:rsidRDefault="00E11DD9" w:rsidP="00E11DD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11DD9" w:rsidRPr="007F1C94" w14:paraId="4A141DB9" w14:textId="77777777" w:rsidTr="00DD0D03">
        <w:tc>
          <w:tcPr>
            <w:tcW w:w="8828" w:type="dxa"/>
            <w:tcBorders>
              <w:top w:val="single" w:sz="4" w:space="0" w:color="auto"/>
              <w:left w:val="single" w:sz="4" w:space="0" w:color="auto"/>
              <w:bottom w:val="single" w:sz="4" w:space="0" w:color="auto"/>
              <w:right w:val="single" w:sz="4" w:space="0" w:color="auto"/>
            </w:tcBorders>
          </w:tcPr>
          <w:p w14:paraId="331B4F97" w14:textId="50488F26" w:rsidR="00D6475D" w:rsidRPr="007F1C94" w:rsidRDefault="005E440A" w:rsidP="00C93CFD">
            <w:pPr>
              <w:pStyle w:val="Prrafodelista"/>
              <w:numPr>
                <w:ilvl w:val="0"/>
                <w:numId w:val="20"/>
              </w:numPr>
              <w:tabs>
                <w:tab w:val="left" w:pos="426"/>
              </w:tabs>
              <w:spacing w:line="276" w:lineRule="auto"/>
              <w:jc w:val="both"/>
              <w:rPr>
                <w:rFonts w:ascii="Verdana" w:eastAsia="Calibri" w:hAnsi="Verdana" w:cs="Arial"/>
                <w:color w:val="000000" w:themeColor="text1"/>
                <w:lang w:val="es-ES_tradnl"/>
              </w:rPr>
            </w:pPr>
            <w:r w:rsidRPr="007F1C94">
              <w:rPr>
                <w:rFonts w:ascii="Verdana" w:hAnsi="Verdana" w:cs="Arial"/>
                <w:lang w:val="es-MX"/>
              </w:rPr>
              <w:t xml:space="preserve">No. </w:t>
            </w:r>
            <w:r w:rsidR="006E75F3">
              <w:rPr>
                <w:rFonts w:ascii="Verdana" w:hAnsi="Verdana" w:cs="Arial"/>
                <w:lang w:val="es-MX"/>
              </w:rPr>
              <w:t>L</w:t>
            </w:r>
            <w:r w:rsidR="00D6475D" w:rsidRPr="007F1C94">
              <w:rPr>
                <w:rFonts w:ascii="Verdana" w:hAnsi="Verdana" w:cs="Arial"/>
                <w:lang w:val="es-MX"/>
              </w:rPr>
              <w:t>as</w:t>
            </w:r>
            <w:r w:rsidR="00D6475D" w:rsidRPr="007F1C94">
              <w:rPr>
                <w:rFonts w:ascii="Verdana" w:eastAsia="Calibri" w:hAnsi="Verdana" w:cs="Arial"/>
                <w:color w:val="000000" w:themeColor="text1"/>
                <w:lang w:val="es-ES_tradnl"/>
              </w:rPr>
              <w:t xml:space="preserve">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y por ende sus procedimientos contractuales tienen su normativa para su desarrollo, esto es, el derecho privado, lo cual está determinado en las normas de creación de las entidades de régimen especial y en sus manuales de contratación.</w:t>
            </w:r>
          </w:p>
          <w:p w14:paraId="2E41D044" w14:textId="77777777" w:rsidR="00C93CFD" w:rsidRPr="007F1C94" w:rsidRDefault="00C93CFD" w:rsidP="00C93CFD">
            <w:pPr>
              <w:tabs>
                <w:tab w:val="left" w:pos="426"/>
              </w:tabs>
              <w:spacing w:line="276" w:lineRule="auto"/>
              <w:jc w:val="both"/>
              <w:rPr>
                <w:rFonts w:ascii="Verdana" w:eastAsia="Calibri" w:hAnsi="Verdana" w:cs="Arial"/>
                <w:color w:val="000000" w:themeColor="text1"/>
                <w:lang w:val="es-ES_tradnl"/>
              </w:rPr>
            </w:pPr>
          </w:p>
          <w:p w14:paraId="15861EE0" w14:textId="3B6EF86A" w:rsidR="00E11DD9" w:rsidRPr="007F1C94" w:rsidRDefault="00164C38" w:rsidP="00C93CFD">
            <w:pPr>
              <w:pStyle w:val="estilo1"/>
              <w:numPr>
                <w:ilvl w:val="0"/>
                <w:numId w:val="20"/>
              </w:numPr>
              <w:spacing w:before="0" w:beforeAutospacing="0" w:after="120" w:afterAutospacing="0" w:line="276" w:lineRule="auto"/>
              <w:ind w:right="51"/>
              <w:jc w:val="both"/>
              <w:rPr>
                <w:rFonts w:ascii="Verdana" w:eastAsia="Calibri" w:hAnsi="Verdana" w:cs="Arial"/>
                <w:color w:val="000000" w:themeColor="text1"/>
                <w:sz w:val="22"/>
                <w:szCs w:val="22"/>
              </w:rPr>
            </w:pPr>
            <w:r w:rsidRPr="007F1C94">
              <w:rPr>
                <w:rFonts w:ascii="Verdana" w:eastAsia="Calibri" w:hAnsi="Verdana" w:cs="Arial"/>
                <w:color w:val="000000" w:themeColor="text1"/>
                <w:sz w:val="22"/>
                <w:szCs w:val="22"/>
              </w:rPr>
              <w:t>Ahora bien, en torno a la aplicabilidad de las cláusulas excepcionales, se debe tener en cuenta que éstas no se encuentran contempladas en el derecho común; estas se encuentran limitadas no solo al uso del Estatuto General de Contratación de la Administración Pública sino a algunos tipos de contratos específicos. En ese sentido, la única forma en que una entidad sujeta a un régimen especial pueda usar estas cláusulas es si su norma de creación lo establece. De modo que si una Entidad sujeta al régimen especial requiere sancionar o dar por terminado el contrato debe acudir al juez competente</w:t>
            </w:r>
            <w:r w:rsidR="00941758" w:rsidRPr="007F1C94">
              <w:rPr>
                <w:rFonts w:ascii="Verdana" w:eastAsia="Calibri" w:hAnsi="Verdana" w:cs="Arial"/>
                <w:color w:val="000000" w:themeColor="text1"/>
                <w:sz w:val="22"/>
                <w:szCs w:val="22"/>
              </w:rPr>
              <w:t>.</w:t>
            </w:r>
          </w:p>
          <w:p w14:paraId="388EAF00" w14:textId="77777777" w:rsidR="00941758" w:rsidRPr="007F1C94" w:rsidRDefault="00141963" w:rsidP="00C93CFD">
            <w:pPr>
              <w:pStyle w:val="estilo1"/>
              <w:spacing w:before="0" w:beforeAutospacing="0" w:after="120" w:afterAutospacing="0" w:line="276" w:lineRule="auto"/>
              <w:ind w:left="1156" w:right="51"/>
              <w:jc w:val="both"/>
              <w:rPr>
                <w:rFonts w:ascii="Verdana" w:eastAsia="Arial" w:hAnsi="Verdana" w:cs="Arial"/>
                <w:color w:val="000000" w:themeColor="text1"/>
                <w:sz w:val="22"/>
                <w:szCs w:val="22"/>
                <w:lang w:val="es-ES_tradnl" w:eastAsia="en-US"/>
              </w:rPr>
            </w:pPr>
            <w:r w:rsidRPr="007F1C94">
              <w:rPr>
                <w:rFonts w:ascii="Verdana" w:eastAsia="Calibri" w:hAnsi="Verdana" w:cs="Arial"/>
                <w:color w:val="000000" w:themeColor="text1"/>
                <w:sz w:val="22"/>
                <w:szCs w:val="22"/>
              </w:rPr>
              <w:t>Para el ejercicio de estas potestades exorbitantes en particular, el</w:t>
            </w:r>
            <w:r w:rsidRPr="007F1C94">
              <w:rPr>
                <w:rFonts w:ascii="Verdana" w:eastAsia="Calibri" w:hAnsi="Verdana" w:cs="Arial"/>
                <w:color w:val="000000" w:themeColor="text1"/>
                <w:sz w:val="22"/>
                <w:szCs w:val="22"/>
                <w:lang w:val="es-ES_tradnl"/>
              </w:rPr>
              <w:t xml:space="preserve"> artículo 86 de la Ley 1474 de 2011 regula un procedimiento administrativo sancionatorio dirigido a sujetos específicos: las entidades sometidas al Estatuto General de Contratación de la Administración Pública, es decir, a la Ley 80 de 1993 y a la Ley 1150 de 2007. Así se desprende del primer inciso de aquel artículo, que dispone: “</w:t>
            </w:r>
            <w:r w:rsidRPr="007F1C94">
              <w:rPr>
                <w:rFonts w:ascii="Verdana" w:eastAsia="Calibri" w:hAnsi="Verdana" w:cs="Arial"/>
                <w:i/>
                <w:color w:val="000000" w:themeColor="text1"/>
                <w:sz w:val="22"/>
                <w:szCs w:val="22"/>
                <w:lang w:val="es-ES_tradnl"/>
              </w:rPr>
              <w:t>Las entidades sometidas al Estatuto General de Contratación de la Administración Pública</w:t>
            </w:r>
            <w:r w:rsidRPr="007F1C94">
              <w:rPr>
                <w:rFonts w:ascii="Verdana" w:eastAsia="Calibri" w:hAnsi="Verdana" w:cs="Arial"/>
                <w:color w:val="000000" w:themeColor="text1"/>
                <w:sz w:val="22"/>
                <w:szCs w:val="22"/>
                <w:lang w:val="es-ES_tradnl"/>
              </w:rPr>
              <w:t xml:space="preserve"> podrán declarar el incumplimiento, cuantificando los perjuicios </w:t>
            </w:r>
            <w:proofErr w:type="gramStart"/>
            <w:r w:rsidRPr="007F1C94">
              <w:rPr>
                <w:rFonts w:ascii="Verdana" w:eastAsia="Calibri" w:hAnsi="Verdana" w:cs="Arial"/>
                <w:color w:val="000000" w:themeColor="text1"/>
                <w:sz w:val="22"/>
                <w:szCs w:val="22"/>
                <w:lang w:val="es-ES_tradnl"/>
              </w:rPr>
              <w:t>del mismo</w:t>
            </w:r>
            <w:proofErr w:type="gramEnd"/>
            <w:r w:rsidRPr="007F1C94">
              <w:rPr>
                <w:rFonts w:ascii="Verdana" w:eastAsia="Calibri" w:hAnsi="Verdana" w:cs="Arial"/>
                <w:color w:val="000000" w:themeColor="text1"/>
                <w:sz w:val="22"/>
                <w:szCs w:val="22"/>
                <w:lang w:val="es-ES_tradnl"/>
              </w:rPr>
              <w:t xml:space="preserve">, imponer las multas y sanciones pactadas en el contrato, y hacer efectiva la </w:t>
            </w:r>
            <w:r w:rsidRPr="007F1C94">
              <w:rPr>
                <w:rFonts w:ascii="Verdana" w:eastAsia="Calibri" w:hAnsi="Verdana" w:cs="Arial"/>
                <w:color w:val="000000" w:themeColor="text1"/>
                <w:sz w:val="22"/>
                <w:szCs w:val="22"/>
                <w:lang w:val="es-ES_tradnl"/>
              </w:rPr>
              <w:lastRenderedPageBreak/>
              <w:t xml:space="preserve">cláusula penal. Para tal efecto observarán el siguiente procedimiento […]”. </w:t>
            </w:r>
            <w:r w:rsidR="001F3A5C" w:rsidRPr="007F1C94">
              <w:rPr>
                <w:rFonts w:ascii="Verdana" w:eastAsia="Arial" w:hAnsi="Verdana" w:cs="Arial"/>
                <w:color w:val="000000" w:themeColor="text1"/>
                <w:sz w:val="22"/>
                <w:szCs w:val="22"/>
                <w:lang w:val="es-ES_tradnl" w:eastAsia="en-US"/>
              </w:rPr>
              <w:t>De ahí que, solo por esta razón, las entidades de régimen especial en materia contractual no pueden aplicar el procedimiento administrativo sancionatorio regulado en el artículo 86 de la Ley 1474 de 2011, al no ser entidades sometidas al Estatuto General de Contratación de la Administración Pública, sino, por el contrario, entidades exceptuadas de este.</w:t>
            </w:r>
          </w:p>
          <w:p w14:paraId="54DC52EA" w14:textId="77777777" w:rsidR="00924CB9" w:rsidRPr="007F1C94" w:rsidRDefault="00924CB9" w:rsidP="00C93CFD">
            <w:pPr>
              <w:spacing w:before="120" w:after="120" w:line="276" w:lineRule="auto"/>
              <w:ind w:left="1156"/>
              <w:jc w:val="both"/>
              <w:rPr>
                <w:rFonts w:ascii="Verdana" w:eastAsia="Calibri" w:hAnsi="Verdana" w:cs="Arial"/>
                <w:color w:val="000000" w:themeColor="text1"/>
              </w:rPr>
            </w:pPr>
            <w:r w:rsidRPr="007F1C94">
              <w:rPr>
                <w:rFonts w:ascii="Verdana" w:eastAsia="Calibri" w:hAnsi="Verdana" w:cs="Arial"/>
                <w:color w:val="000000" w:themeColor="text1"/>
              </w:rPr>
              <w:t>En ese orden, si bien el ejercicio de potestades unilaterales no se encuentra previsto para las entidades con régimen de contratación especial [salvo excepciones ya descritas], pueden hacer uso de la autonomía de la voluntad estableciendo estipulaciones que de manera expresa reconozcan la posibilidad de acudir a este tipo de facultades. En todo caso, al no tener origen en la ley sino en la autonomía de la voluntad, los actos que se expidan en ejercicio de tales potestades no tendrían el carácter de actos administrativos sino de actos contractuales.</w:t>
            </w:r>
          </w:p>
          <w:p w14:paraId="116F10EE" w14:textId="2F9E90DD" w:rsidR="00C93CFD" w:rsidRPr="007F1C94" w:rsidRDefault="00C93CFD" w:rsidP="00C93CFD">
            <w:pPr>
              <w:pStyle w:val="Prrafodelista"/>
              <w:numPr>
                <w:ilvl w:val="0"/>
                <w:numId w:val="20"/>
              </w:numPr>
              <w:spacing w:line="276" w:lineRule="auto"/>
              <w:jc w:val="both"/>
              <w:rPr>
                <w:rFonts w:ascii="Verdana" w:eastAsia="Calibri" w:hAnsi="Verdana" w:cs="Arial"/>
              </w:rPr>
            </w:pPr>
            <w:r w:rsidRPr="007F1C94">
              <w:rPr>
                <w:rFonts w:ascii="Verdana" w:eastAsia="Calibri" w:hAnsi="Verdana" w:cs="Arial"/>
              </w:rPr>
              <w:t>De manera preliminar, debe señalarse que, el régimen de nulidades de los contratos estatales se encuentra regulado en el Estatuto General de Contratación de la Administración Pública, donde se establecen sus causales. Sin embargo, este integra, por remisión, las causales de nulidad del derecho civil y comercial.</w:t>
            </w:r>
            <w:r w:rsidRPr="007F1C94">
              <w:rPr>
                <w:rFonts w:ascii="Verdana" w:eastAsia="Aptos" w:hAnsi="Verdana" w:cs="Times New Roman"/>
              </w:rPr>
              <w:t xml:space="preserve"> </w:t>
            </w:r>
            <w:r w:rsidRPr="007F1C94">
              <w:rPr>
                <w:rFonts w:ascii="Verdana" w:eastAsia="Calibri" w:hAnsi="Verdana" w:cs="Arial"/>
              </w:rPr>
              <w:t xml:space="preserve">En lo que respecta a la normativa del Sistema de Compra Pública, existen dos tipos de nulidades, estas son, la absoluta y la relativa. En ese sentido, la Ley 80 de 1993 señala como causales de nulidad absoluta del contrato estatal, las siguientes: i) que el contrato se celebre con personas incursas en causales de inhabilidad o incompatibilidad previstas en la Constitución y la ley, </w:t>
            </w:r>
            <w:proofErr w:type="spellStart"/>
            <w:r w:rsidRPr="007F1C94">
              <w:rPr>
                <w:rFonts w:ascii="Verdana" w:eastAsia="Calibri" w:hAnsi="Verdana" w:cs="Arial"/>
              </w:rPr>
              <w:t>ii</w:t>
            </w:r>
            <w:proofErr w:type="spellEnd"/>
            <w:r w:rsidRPr="007F1C94">
              <w:rPr>
                <w:rFonts w:ascii="Verdana" w:eastAsia="Calibri" w:hAnsi="Verdana" w:cs="Arial"/>
              </w:rPr>
              <w:t xml:space="preserve">) se celebre contra expresa prohibición constitucional o legal, </w:t>
            </w:r>
            <w:proofErr w:type="spellStart"/>
            <w:r w:rsidRPr="007F1C94">
              <w:rPr>
                <w:rFonts w:ascii="Verdana" w:eastAsia="Calibri" w:hAnsi="Verdana" w:cs="Arial"/>
              </w:rPr>
              <w:t>iii</w:t>
            </w:r>
            <w:proofErr w:type="spellEnd"/>
            <w:r w:rsidRPr="007F1C94">
              <w:rPr>
                <w:rFonts w:ascii="Verdana" w:eastAsia="Calibri" w:hAnsi="Verdana" w:cs="Arial"/>
              </w:rPr>
              <w:t xml:space="preserve">) se celebre con abuso o desviación de poder, </w:t>
            </w:r>
            <w:proofErr w:type="spellStart"/>
            <w:r w:rsidRPr="007F1C94">
              <w:rPr>
                <w:rFonts w:ascii="Verdana" w:eastAsia="Calibri" w:hAnsi="Verdana" w:cs="Arial"/>
              </w:rPr>
              <w:t>iv</w:t>
            </w:r>
            <w:proofErr w:type="spellEnd"/>
            <w:r w:rsidRPr="007F1C94">
              <w:rPr>
                <w:rFonts w:ascii="Verdana" w:eastAsia="Calibri" w:hAnsi="Verdana" w:cs="Arial"/>
              </w:rPr>
              <w:t>) se declaren nulos los actos administrativos en que se fundamenten, v) se hubieren celebrado con desconocimiento de los criterios previstos para el tratamiento de ofertas nacionales y extranjeras o con violación de la reciprocidad.</w:t>
            </w:r>
          </w:p>
          <w:p w14:paraId="6CE92505" w14:textId="77777777" w:rsidR="00C93CFD" w:rsidRPr="007F1C94" w:rsidRDefault="00C93CFD" w:rsidP="00C93CFD">
            <w:pPr>
              <w:spacing w:line="276" w:lineRule="auto"/>
              <w:jc w:val="both"/>
              <w:rPr>
                <w:rFonts w:ascii="Verdana" w:eastAsia="Calibri" w:hAnsi="Verdana" w:cs="Arial"/>
                <w:lang w:val="es-ES"/>
              </w:rPr>
            </w:pPr>
          </w:p>
          <w:p w14:paraId="473E1140" w14:textId="77777777" w:rsidR="00C93CFD" w:rsidRPr="007F1C94" w:rsidRDefault="00C93CFD" w:rsidP="00C93CFD">
            <w:pPr>
              <w:spacing w:line="276" w:lineRule="auto"/>
              <w:ind w:left="1156"/>
              <w:jc w:val="both"/>
              <w:rPr>
                <w:rFonts w:ascii="Verdana" w:eastAsia="Calibri" w:hAnsi="Verdana" w:cs="Arial"/>
                <w:lang w:val="es-ES"/>
              </w:rPr>
            </w:pPr>
            <w:r w:rsidRPr="007F1C94">
              <w:rPr>
                <w:rFonts w:ascii="Verdana" w:eastAsia="Calibri" w:hAnsi="Verdana" w:cs="Arial"/>
                <w:lang w:val="es-ES"/>
              </w:rPr>
              <w:t xml:space="preserve">Por otra parte, y en lo referente a la nulidad relativa, tanto la Ley 80 de 1993 como el Código Civil le atribuyen un carácter residual, pues una vez establecido el listado de causales de nulidad absoluta, </w:t>
            </w:r>
            <w:r w:rsidRPr="007F1C94">
              <w:rPr>
                <w:rFonts w:ascii="Verdana" w:eastAsia="Calibri" w:hAnsi="Verdana" w:cs="Arial"/>
                <w:lang w:val="es-ES"/>
              </w:rPr>
              <w:lastRenderedPageBreak/>
              <w:t>señalan que la nulidad relativa corresponde a los demás vicios que se presenten en los contratos.  De igual manera, el artículo 46 de la Ley 80 de 1993 señala que estos vicios podrán sanearse por ratificación expresa de los interesados o por el transcurso de dos años, contados a partir de la ocurrencia del hecho que genera el vicio.</w:t>
            </w:r>
          </w:p>
          <w:p w14:paraId="27C9CFD2" w14:textId="77777777" w:rsidR="00C93CFD" w:rsidRPr="007F1C94" w:rsidRDefault="00C93CFD" w:rsidP="00C93CFD">
            <w:pPr>
              <w:spacing w:line="276" w:lineRule="auto"/>
              <w:ind w:left="1156"/>
              <w:jc w:val="both"/>
              <w:rPr>
                <w:rFonts w:ascii="Verdana" w:eastAsia="Calibri" w:hAnsi="Verdana" w:cs="Arial"/>
                <w:lang w:val="es-ES"/>
              </w:rPr>
            </w:pPr>
          </w:p>
          <w:p w14:paraId="268BA532" w14:textId="77777777" w:rsidR="0027052D" w:rsidRPr="007F1C94" w:rsidRDefault="0027052D" w:rsidP="0027052D">
            <w:pPr>
              <w:spacing w:line="276" w:lineRule="auto"/>
              <w:ind w:left="1156"/>
              <w:jc w:val="both"/>
              <w:rPr>
                <w:rFonts w:ascii="Verdana" w:eastAsia="Calibri" w:hAnsi="Verdana" w:cs="Arial"/>
                <w:lang w:val="es-ES"/>
              </w:rPr>
            </w:pPr>
            <w:r w:rsidRPr="007F1C94">
              <w:rPr>
                <w:rFonts w:ascii="Verdana" w:eastAsia="Calibri" w:hAnsi="Verdana" w:cs="Arial"/>
              </w:rPr>
              <w:t xml:space="preserve">En ese sentido, lo dispuesto en el Estatuto General de Contratación de la Administración Pública no es aplicable a las entidades con régimen especial. No obstante, a estas entidades, que se rigen por el derecho privado, les son aplicables las causales de nulidad establecidas en el Código Civil y el Código de Comercio. En lo que tiene que ver con el Código Civil, en su artículo 1740 y 1741 establece: </w:t>
            </w:r>
          </w:p>
          <w:p w14:paraId="564D238A" w14:textId="77777777" w:rsidR="0027052D" w:rsidRPr="007F1C94" w:rsidRDefault="0027052D" w:rsidP="0027052D">
            <w:pPr>
              <w:spacing w:line="276" w:lineRule="auto"/>
              <w:ind w:left="1865" w:right="1041"/>
              <w:jc w:val="both"/>
              <w:rPr>
                <w:rFonts w:ascii="Verdana" w:eastAsia="Calibri" w:hAnsi="Verdana" w:cs="Arial"/>
                <w:b/>
                <w:bCs/>
                <w:sz w:val="21"/>
                <w:szCs w:val="21"/>
              </w:rPr>
            </w:pPr>
            <w:r w:rsidRPr="007F1C94">
              <w:rPr>
                <w:rFonts w:ascii="Verdana" w:eastAsia="Calibri" w:hAnsi="Verdana" w:cs="Arial"/>
                <w:b/>
                <w:bCs/>
                <w:sz w:val="21"/>
                <w:szCs w:val="21"/>
              </w:rPr>
              <w:t xml:space="preserve">“Artículo 1740: </w:t>
            </w:r>
            <w:r w:rsidRPr="007F1C94">
              <w:rPr>
                <w:rFonts w:ascii="Verdana" w:eastAsia="Calibri" w:hAnsi="Verdana" w:cs="Arial"/>
                <w:sz w:val="21"/>
                <w:szCs w:val="21"/>
              </w:rPr>
              <w:t>Establece que todo acto o contrato es nulo si carece de alguno de los requisitos que la ley prescribe para su validez, según su especie y la calidad o estado de las partes. La nulidad puede ser absoluta o relativa.”</w:t>
            </w:r>
          </w:p>
          <w:p w14:paraId="68593DB2" w14:textId="77777777" w:rsidR="0027052D" w:rsidRPr="00C93CFD" w:rsidRDefault="0027052D" w:rsidP="0027052D">
            <w:pPr>
              <w:spacing w:line="276" w:lineRule="auto"/>
              <w:ind w:left="1865" w:right="1041"/>
              <w:jc w:val="both"/>
              <w:rPr>
                <w:rFonts w:ascii="Verdana" w:eastAsia="Calibri" w:hAnsi="Verdana" w:cs="Arial"/>
                <w:b/>
                <w:bCs/>
                <w:sz w:val="21"/>
                <w:szCs w:val="21"/>
              </w:rPr>
            </w:pPr>
            <w:r w:rsidRPr="007F1C94">
              <w:rPr>
                <w:rFonts w:ascii="Verdana" w:eastAsia="Calibri" w:hAnsi="Verdana" w:cs="Arial"/>
                <w:b/>
                <w:bCs/>
                <w:sz w:val="21"/>
                <w:szCs w:val="21"/>
              </w:rPr>
              <w:t>“</w:t>
            </w:r>
            <w:r w:rsidRPr="00C93CFD">
              <w:rPr>
                <w:rFonts w:ascii="Verdana" w:eastAsia="Calibri" w:hAnsi="Verdana" w:cs="Arial"/>
                <w:b/>
                <w:bCs/>
                <w:sz w:val="21"/>
                <w:szCs w:val="21"/>
              </w:rPr>
              <w:t>Artículo 1741. Nulidad absoluta y relativa</w:t>
            </w:r>
          </w:p>
          <w:p w14:paraId="42A0CA54" w14:textId="77777777" w:rsidR="0027052D" w:rsidRPr="007F1C94" w:rsidRDefault="0027052D" w:rsidP="0027052D">
            <w:pPr>
              <w:spacing w:line="276" w:lineRule="auto"/>
              <w:ind w:left="1865" w:right="1041"/>
              <w:jc w:val="both"/>
              <w:rPr>
                <w:rFonts w:ascii="Verdana" w:eastAsia="Calibri" w:hAnsi="Verdana" w:cs="Arial"/>
                <w:sz w:val="21"/>
                <w:szCs w:val="21"/>
                <w:lang w:val="es-ES"/>
              </w:rPr>
            </w:pPr>
            <w:r w:rsidRPr="007F1C94">
              <w:rPr>
                <w:rFonts w:ascii="Verdana" w:eastAsia="Calibri" w:hAnsi="Verdana" w:cs="Arial"/>
                <w:sz w:val="21"/>
                <w:szCs w:val="21"/>
              </w:rPr>
              <w:t>La nulidad producida por un objeto o causa ilícita, y la nulidad producida por la omisión de algún requisito o formalidad que las leyes prescriben para el valor de ciertos actos o contratos en consideración a la naturaleza de ellos, y no a la calidad o estado de las personas que los ejecutan o acuerdan, son nulidades absolutas.</w:t>
            </w:r>
            <w:r w:rsidRPr="007F1C94">
              <w:rPr>
                <w:rFonts w:ascii="Verdana" w:eastAsia="Calibri" w:hAnsi="Verdana" w:cs="Arial"/>
                <w:sz w:val="21"/>
                <w:szCs w:val="21"/>
              </w:rPr>
              <w:br/>
            </w:r>
            <w:r w:rsidRPr="007F1C94">
              <w:rPr>
                <w:rFonts w:ascii="Verdana" w:eastAsia="Calibri" w:hAnsi="Verdana" w:cs="Arial"/>
                <w:sz w:val="21"/>
                <w:szCs w:val="21"/>
              </w:rPr>
              <w:br/>
              <w:t>Hay así mismo nulidad absoluta en los actos y contratos de personas absolutamente incapaces.</w:t>
            </w:r>
            <w:r w:rsidRPr="007F1C94">
              <w:rPr>
                <w:rFonts w:ascii="Verdana" w:eastAsia="Calibri" w:hAnsi="Verdana" w:cs="Arial"/>
                <w:sz w:val="21"/>
                <w:szCs w:val="21"/>
              </w:rPr>
              <w:br/>
            </w:r>
            <w:r w:rsidRPr="007F1C94">
              <w:rPr>
                <w:rFonts w:ascii="Verdana" w:eastAsia="Calibri" w:hAnsi="Verdana" w:cs="Arial"/>
                <w:sz w:val="21"/>
                <w:szCs w:val="21"/>
              </w:rPr>
              <w:br/>
              <w:t>Cualquiera otra especie de vicio produce nulidad relativa, y da derecho a la rescisión del acto o contrato.”</w:t>
            </w:r>
          </w:p>
          <w:p w14:paraId="6167116B" w14:textId="5EEB2404" w:rsidR="00A60BF5" w:rsidRPr="007F1C94" w:rsidRDefault="00A60BF5" w:rsidP="00A60BF5">
            <w:pPr>
              <w:spacing w:after="120" w:line="276" w:lineRule="auto"/>
              <w:ind w:firstLine="708"/>
              <w:jc w:val="both"/>
              <w:rPr>
                <w:rFonts w:ascii="Verdana" w:eastAsia="Calibri" w:hAnsi="Verdana" w:cs="Arial"/>
              </w:rPr>
            </w:pPr>
            <w:r w:rsidRPr="007F1C94">
              <w:rPr>
                <w:rFonts w:ascii="Verdana" w:eastAsia="Calibri" w:hAnsi="Verdana" w:cs="Arial"/>
              </w:rPr>
              <w:t xml:space="preserve"> </w:t>
            </w:r>
          </w:p>
        </w:tc>
      </w:tr>
    </w:tbl>
    <w:p w14:paraId="2EF2FCE7" w14:textId="77777777" w:rsidR="0027052D" w:rsidRPr="007F1C94" w:rsidRDefault="0027052D" w:rsidP="00C275EA">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3679A54" w14:textId="3ADD0242" w:rsidR="00E11DD9" w:rsidRPr="007F1C94" w:rsidRDefault="00C275EA" w:rsidP="00C275EA">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7F1C94">
        <w:rPr>
          <w:rFonts w:ascii="Verdana" w:eastAsia="Century Gothic" w:hAnsi="Verdana" w:cs="Century Gothic"/>
          <w:b/>
          <w:bCs/>
        </w:rPr>
        <w:t xml:space="preserve">3. </w:t>
      </w:r>
      <w:r w:rsidR="00E11DD9" w:rsidRPr="007F1C94">
        <w:rPr>
          <w:rFonts w:ascii="Verdana" w:eastAsia="Century Gothic" w:hAnsi="Verdana" w:cs="Century Gothic"/>
          <w:b/>
          <w:bCs/>
        </w:rPr>
        <w:t>Razones de la respuesta:</w:t>
      </w:r>
    </w:p>
    <w:p w14:paraId="58985012" w14:textId="77777777" w:rsidR="00E11DD9" w:rsidRPr="007F1C94" w:rsidRDefault="00E11DD9" w:rsidP="00E11DD9">
      <w:pPr>
        <w:spacing w:after="0" w:line="276" w:lineRule="auto"/>
        <w:jc w:val="both"/>
        <w:rPr>
          <w:rFonts w:ascii="Verdana" w:eastAsia="Calibri" w:hAnsi="Verdana" w:cs="Arial"/>
          <w:color w:val="7030A0"/>
          <w:lang w:val="es-ES"/>
        </w:rPr>
      </w:pPr>
    </w:p>
    <w:p w14:paraId="6644B9C9" w14:textId="77777777" w:rsidR="00E11DD9" w:rsidRPr="007F1C94" w:rsidRDefault="00E11DD9" w:rsidP="00E11DD9">
      <w:pPr>
        <w:spacing w:after="0" w:line="276" w:lineRule="auto"/>
        <w:jc w:val="both"/>
        <w:rPr>
          <w:rFonts w:ascii="Verdana" w:eastAsia="Calibri" w:hAnsi="Verdana" w:cs="Arial"/>
          <w:lang w:val="es-ES"/>
        </w:rPr>
      </w:pPr>
      <w:r w:rsidRPr="007F1C94">
        <w:rPr>
          <w:rFonts w:ascii="Verdana" w:eastAsia="Calibri" w:hAnsi="Verdana" w:cs="Arial"/>
          <w:lang w:val="es-ES"/>
        </w:rPr>
        <w:lastRenderedPageBreak/>
        <w:t xml:space="preserve">Lo anterior se sustenta en las siguientes consideraciones: </w:t>
      </w:r>
    </w:p>
    <w:p w14:paraId="7598441C" w14:textId="77777777" w:rsidR="00E11DD9" w:rsidRPr="007F1C94" w:rsidRDefault="00E11DD9" w:rsidP="00E11DD9">
      <w:pPr>
        <w:spacing w:after="0" w:line="276" w:lineRule="auto"/>
        <w:jc w:val="both"/>
        <w:rPr>
          <w:rFonts w:ascii="Verdana" w:eastAsia="Calibri" w:hAnsi="Verdana" w:cs="Arial"/>
          <w:lang w:val="es-ES"/>
        </w:rPr>
      </w:pPr>
    </w:p>
    <w:p w14:paraId="5E74B7D4" w14:textId="67FD74BE" w:rsidR="00E11DD9" w:rsidRPr="007F1C94" w:rsidRDefault="00E11DD9" w:rsidP="0027052D">
      <w:pPr>
        <w:tabs>
          <w:tab w:val="left" w:pos="426"/>
        </w:tabs>
        <w:spacing w:line="276" w:lineRule="auto"/>
        <w:jc w:val="both"/>
        <w:rPr>
          <w:rFonts w:ascii="Verdana" w:eastAsia="Calibri" w:hAnsi="Verdana" w:cs="Arial"/>
          <w:b/>
          <w:color w:val="000000" w:themeColor="text1"/>
          <w:lang w:val="es-ES_tradnl"/>
        </w:rPr>
      </w:pPr>
      <w:r w:rsidRPr="007F1C94">
        <w:rPr>
          <w:rFonts w:ascii="Verdana" w:hAnsi="Verdana" w:cs="Arial"/>
          <w:lang w:val="es-MX"/>
        </w:rPr>
        <w:t xml:space="preserve"> Para resolver el primer problema jurídico, debe sostenerse que las</w:t>
      </w:r>
      <w:r w:rsidRPr="007F1C94">
        <w:rPr>
          <w:rFonts w:ascii="Verdana" w:eastAsia="Calibri" w:hAnsi="Verdana" w:cs="Arial"/>
          <w:color w:val="000000" w:themeColor="text1"/>
          <w:lang w:val="es-ES_tradnl"/>
        </w:rPr>
        <w:t xml:space="preserve">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y por ende sus procedimientos contractuales tienen su normativa para su desarrollo, esto es, el derecho privado, lo cual está determinado en las normas de creación de las entidades de régimen especial y en sus manuales de contratación.</w:t>
      </w:r>
    </w:p>
    <w:p w14:paraId="3EBD2073" w14:textId="77777777" w:rsidR="00E11DD9" w:rsidRPr="007F1C94" w:rsidRDefault="00E11DD9" w:rsidP="00E11DD9">
      <w:pPr>
        <w:spacing w:before="120" w:after="120" w:line="276" w:lineRule="auto"/>
        <w:ind w:firstLine="709"/>
        <w:jc w:val="both"/>
        <w:rPr>
          <w:rFonts w:ascii="Verdana" w:eastAsia="Calibri" w:hAnsi="Verdana" w:cs="Arial"/>
          <w:color w:val="000000" w:themeColor="text1"/>
          <w:lang w:val="es-ES"/>
        </w:rPr>
      </w:pPr>
      <w:r w:rsidRPr="007F1C94">
        <w:rPr>
          <w:rFonts w:ascii="Verdana" w:eastAsia="Calibri" w:hAnsi="Verdana" w:cs="Arial"/>
          <w:color w:val="000000" w:themeColor="text1"/>
          <w:lang w:val="es-ES"/>
        </w:rPr>
        <w:t>La Agencia Nacional de Contratación Pública - Colombia Compra Eficiente expidió la Guía para las Entidades Estatales con régimen especial de contratación, que las define como aquellas que contratan con un régimen distinto a las Leyes 80 de 1993 y 1150 de 2007</w:t>
      </w:r>
      <w:r w:rsidRPr="007F1C94">
        <w:rPr>
          <w:rStyle w:val="Refdenotaalpie"/>
          <w:rFonts w:ascii="Verdana" w:eastAsia="Calibri" w:hAnsi="Verdana" w:cs="Arial"/>
          <w:color w:val="000000" w:themeColor="text1"/>
          <w:lang w:val="es-ES"/>
        </w:rPr>
        <w:footnoteReference w:id="2"/>
      </w:r>
      <w:r w:rsidRPr="007F1C94">
        <w:rPr>
          <w:rFonts w:ascii="Verdana" w:eastAsia="Calibri" w:hAnsi="Verdana" w:cs="Arial"/>
          <w:color w:val="000000" w:themeColor="text1"/>
          <w:lang w:val="es-ES"/>
        </w:rPr>
        <w:t>.</w:t>
      </w:r>
    </w:p>
    <w:p w14:paraId="7892ACD9" w14:textId="77777777" w:rsidR="00E11DD9" w:rsidRPr="007F1C94" w:rsidRDefault="00E11DD9" w:rsidP="00E11DD9">
      <w:pPr>
        <w:spacing w:line="276" w:lineRule="auto"/>
        <w:ind w:firstLine="709"/>
        <w:jc w:val="both"/>
        <w:rPr>
          <w:rFonts w:ascii="Verdana" w:eastAsia="Calibri" w:hAnsi="Verdana" w:cs="Arial"/>
          <w:color w:val="000000" w:themeColor="text1"/>
          <w:lang w:val="es-ES_tradnl"/>
        </w:rPr>
      </w:pPr>
      <w:r w:rsidRPr="007F1C94">
        <w:rPr>
          <w:rFonts w:ascii="Verdana" w:eastAsia="Calibri" w:hAnsi="Verdana" w:cs="Arial"/>
          <w:color w:val="000000" w:themeColor="text1"/>
          <w:lang w:val="es-ES_tradnl"/>
        </w:rPr>
        <w:t>No obstante, las entidades de régimen especial cumplen una finalidad pública y utilizan recursos públicos para lograrlo, por lo que no son ajenas a los principios de la función administrativa y el control fiscal, entre otras reglas dispuestas en la normativa de contratación pública que son trasversales a todas las entidades, sin importar su régimen legal, como el régimen de inhabilidades e incompatibilidades previsto para la contratación estatal. Lo anterior es reafirmado por el Consejo de Estado, que destaca las reglas que sigue la contratación de las entidades de régimen especial:</w:t>
      </w:r>
    </w:p>
    <w:p w14:paraId="2DFDEF34" w14:textId="77777777" w:rsidR="00E11DD9" w:rsidRPr="007F1C94" w:rsidRDefault="00E11DD9" w:rsidP="00E11DD9">
      <w:pPr>
        <w:spacing w:line="240" w:lineRule="auto"/>
        <w:ind w:left="709" w:right="709"/>
        <w:jc w:val="both"/>
        <w:rPr>
          <w:rFonts w:ascii="Verdana" w:eastAsia="Calibri" w:hAnsi="Verdana" w:cs="Arial"/>
          <w:color w:val="000000" w:themeColor="text1"/>
          <w:sz w:val="20"/>
          <w:szCs w:val="20"/>
          <w:lang w:val="es-ES_tradnl"/>
        </w:rPr>
      </w:pPr>
      <w:r w:rsidRPr="007F1C94">
        <w:rPr>
          <w:rFonts w:ascii="Verdana" w:eastAsia="Calibri" w:hAnsi="Verdana" w:cs="Arial"/>
          <w:color w:val="000000" w:themeColor="text1"/>
          <w:sz w:val="20"/>
          <w:szCs w:val="20"/>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01CE66CD" w14:textId="77777777" w:rsidR="00E11DD9" w:rsidRPr="007F1C94" w:rsidRDefault="00E11DD9" w:rsidP="00E11DD9">
      <w:pPr>
        <w:spacing w:line="240" w:lineRule="auto"/>
        <w:ind w:left="709" w:right="709"/>
        <w:jc w:val="both"/>
        <w:rPr>
          <w:rFonts w:ascii="Verdana" w:eastAsia="Calibri" w:hAnsi="Verdana" w:cs="Arial"/>
          <w:color w:val="000000" w:themeColor="text1"/>
          <w:sz w:val="20"/>
          <w:szCs w:val="20"/>
          <w:lang w:val="es-ES"/>
        </w:rPr>
      </w:pPr>
      <w:r w:rsidRPr="007F1C94">
        <w:rPr>
          <w:rFonts w:ascii="Verdana" w:eastAsia="Calibri" w:hAnsi="Verdana" w:cs="Arial"/>
          <w:color w:val="000000" w:themeColor="text1"/>
          <w:sz w:val="20"/>
          <w:szCs w:val="20"/>
          <w:lang w:val="es-ES"/>
        </w:rPr>
        <w:t xml:space="preserve">La Sala entiende que el régimen preponderante domina y aporta el gran volumen de normas contractuales y que el régimen inspirador influye y ayuda a </w:t>
      </w:r>
      <w:proofErr w:type="gramStart"/>
      <w:r w:rsidRPr="007F1C94">
        <w:rPr>
          <w:rFonts w:ascii="Verdana" w:eastAsia="Calibri" w:hAnsi="Verdana" w:cs="Arial"/>
          <w:color w:val="000000" w:themeColor="text1"/>
          <w:sz w:val="20"/>
          <w:szCs w:val="20"/>
          <w:lang w:val="es-ES"/>
        </w:rPr>
        <w:t>interpretar</w:t>
      </w:r>
      <w:proofErr w:type="gramEnd"/>
      <w:r w:rsidRPr="007F1C94">
        <w:rPr>
          <w:rFonts w:ascii="Verdana" w:eastAsia="Calibri" w:hAnsi="Verdana" w:cs="Arial"/>
          <w:color w:val="000000" w:themeColor="text1"/>
          <w:sz w:val="20"/>
          <w:szCs w:val="20"/>
          <w:lang w:val="es-ES"/>
        </w:rPr>
        <w:t xml:space="preserve"> pero también transforma parte de esas instituciones, </w:t>
      </w:r>
      <w:r w:rsidRPr="007F1C94">
        <w:rPr>
          <w:rFonts w:ascii="Verdana" w:eastAsia="Calibri" w:hAnsi="Verdana" w:cs="Arial"/>
          <w:color w:val="000000" w:themeColor="text1"/>
          <w:sz w:val="20"/>
          <w:szCs w:val="20"/>
          <w:lang w:val="es-ES"/>
        </w:rPr>
        <w:lastRenderedPageBreak/>
        <w:t xml:space="preserve">porque se suma a ellas, lo que no siempre se logra conservando intacta la institución privada sino introduciéndole modificaciones. </w:t>
      </w:r>
    </w:p>
    <w:p w14:paraId="664A6FD5" w14:textId="77777777" w:rsidR="00E11DD9" w:rsidRPr="007F1C94" w:rsidRDefault="00E11DD9" w:rsidP="00E11DD9">
      <w:pPr>
        <w:spacing w:line="240" w:lineRule="auto"/>
        <w:ind w:left="709" w:right="709"/>
        <w:jc w:val="both"/>
        <w:rPr>
          <w:rFonts w:ascii="Verdana" w:eastAsia="Calibri" w:hAnsi="Verdana" w:cs="Arial"/>
          <w:color w:val="000000" w:themeColor="text1"/>
          <w:sz w:val="20"/>
          <w:szCs w:val="20"/>
          <w:lang w:val="es-ES_tradnl"/>
        </w:rPr>
      </w:pPr>
      <w:r w:rsidRPr="007F1C94">
        <w:rPr>
          <w:rFonts w:ascii="Verdana" w:eastAsia="Calibri" w:hAnsi="Verdana" w:cs="Arial"/>
          <w:color w:val="000000" w:themeColor="text1"/>
          <w:sz w:val="20"/>
          <w:szCs w:val="20"/>
          <w:lang w:val="es-ES_tradnl"/>
        </w:rPr>
        <w:t>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contratistas que garanticen la libre concurrencia, la igualdad de oportunidades de acceso a los negocios del Estado, la trasparencia y en general los demás valores propios de la gestión de lo público”</w:t>
      </w:r>
      <w:r w:rsidRPr="007F1C94">
        <w:rPr>
          <w:rStyle w:val="Refdenotaalpie"/>
          <w:rFonts w:ascii="Verdana" w:eastAsia="Calibri" w:hAnsi="Verdana" w:cs="Arial"/>
          <w:color w:val="000000" w:themeColor="text1"/>
          <w:sz w:val="20"/>
          <w:szCs w:val="20"/>
          <w:lang w:val="es-ES_tradnl"/>
        </w:rPr>
        <w:footnoteReference w:id="3"/>
      </w:r>
      <w:r w:rsidRPr="007F1C94">
        <w:rPr>
          <w:rFonts w:ascii="Verdana" w:eastAsia="Calibri" w:hAnsi="Verdana" w:cs="Arial"/>
          <w:color w:val="000000" w:themeColor="text1"/>
          <w:sz w:val="20"/>
          <w:szCs w:val="20"/>
          <w:lang w:val="es-ES_tradnl"/>
        </w:rPr>
        <w:t>.</w:t>
      </w:r>
    </w:p>
    <w:p w14:paraId="50B12269" w14:textId="77777777" w:rsidR="00E11DD9" w:rsidRPr="007F1C94" w:rsidRDefault="00E11DD9" w:rsidP="00E11DD9">
      <w:pPr>
        <w:spacing w:before="120" w:after="120" w:line="276" w:lineRule="auto"/>
        <w:ind w:firstLine="709"/>
        <w:jc w:val="both"/>
        <w:rPr>
          <w:rFonts w:ascii="Verdana" w:eastAsia="Calibri" w:hAnsi="Verdana" w:cs="Arial"/>
          <w:color w:val="000000" w:themeColor="text1"/>
          <w:lang w:val="es-ES"/>
        </w:rPr>
      </w:pPr>
      <w:r w:rsidRPr="007F1C94">
        <w:rPr>
          <w:rFonts w:ascii="Verdana" w:eastAsia="Calibri" w:hAnsi="Verdana" w:cs="Arial"/>
          <w:color w:val="000000" w:themeColor="text1"/>
          <w:lang w:val="es-ES"/>
        </w:rPr>
        <w:t>Ahora bien, en torno a la aplicabilidad de las cláusulas excepcionales, se debe tener en cuenta que éstas no se encuentran contempladas en el derecho común; estas se encuentran limitadas no solo al uso del Estatuto General de Contratación de la Administración Pública sino a algunos tipos de contratos específicos. En ese sentido, la única forma en que una entidad sujeta a un régimen especial pueda usar estas cláusulas es si su norma de creación lo establece. De modo que si una Entidad sujeta al régimen especial requiere sancionar o dar por terminado el contrato debe acudir al juez competente</w:t>
      </w:r>
      <w:r w:rsidRPr="007F1C94">
        <w:rPr>
          <w:rStyle w:val="Refdenotaalpie"/>
          <w:rFonts w:ascii="Verdana" w:eastAsia="Calibri" w:hAnsi="Verdana" w:cs="Arial"/>
          <w:color w:val="000000" w:themeColor="text1"/>
          <w:lang w:val="es-ES"/>
        </w:rPr>
        <w:footnoteReference w:id="4"/>
      </w:r>
      <w:r w:rsidRPr="007F1C94">
        <w:rPr>
          <w:rFonts w:ascii="Verdana" w:eastAsia="Calibri" w:hAnsi="Verdana" w:cs="Arial"/>
          <w:color w:val="000000" w:themeColor="text1"/>
          <w:lang w:val="es-ES"/>
        </w:rPr>
        <w:t>.</w:t>
      </w:r>
    </w:p>
    <w:p w14:paraId="3681F36E" w14:textId="77777777" w:rsidR="00E11DD9" w:rsidRPr="007F1C94" w:rsidRDefault="00E11DD9" w:rsidP="00E11DD9">
      <w:pPr>
        <w:spacing w:line="276" w:lineRule="auto"/>
        <w:ind w:firstLine="708"/>
        <w:jc w:val="both"/>
        <w:rPr>
          <w:rFonts w:ascii="Verdana" w:eastAsia="Calibri" w:hAnsi="Verdana" w:cs="Arial"/>
          <w:color w:val="000000" w:themeColor="text1"/>
          <w:lang w:val="es-ES_tradnl"/>
        </w:rPr>
      </w:pPr>
      <w:r w:rsidRPr="007F1C94">
        <w:rPr>
          <w:rFonts w:ascii="Verdana" w:eastAsia="Calibri" w:hAnsi="Verdana" w:cs="Arial"/>
          <w:color w:val="000000" w:themeColor="text1"/>
        </w:rPr>
        <w:t>Para el ejercicio de estas potestades exorbitantes en particular, el</w:t>
      </w:r>
      <w:r w:rsidRPr="007F1C94">
        <w:rPr>
          <w:rFonts w:ascii="Verdana" w:eastAsia="Calibri" w:hAnsi="Verdana" w:cs="Arial"/>
          <w:color w:val="000000" w:themeColor="text1"/>
          <w:lang w:val="es-ES_tradnl"/>
        </w:rPr>
        <w:t xml:space="preserve"> artículo 86 de la Ley 1474 de 2011 regula un procedimiento administrativo sancionatorio dirigido a sujetos específicos: las entidades sometidas al Estatuto General de Contratación de la Administración Pública, es decir, a la Ley 80 de 1993 y a la Ley 1150 de 2007</w:t>
      </w:r>
      <w:r w:rsidRPr="007F1C94">
        <w:rPr>
          <w:rStyle w:val="Refdenotaalpie"/>
          <w:rFonts w:ascii="Verdana" w:eastAsia="Calibri" w:hAnsi="Verdana" w:cs="Arial"/>
          <w:color w:val="000000" w:themeColor="text1"/>
          <w:lang w:val="es-ES_tradnl"/>
        </w:rPr>
        <w:footnoteReference w:id="5"/>
      </w:r>
      <w:r w:rsidRPr="007F1C94">
        <w:rPr>
          <w:rFonts w:ascii="Verdana" w:eastAsia="Calibri" w:hAnsi="Verdana" w:cs="Arial"/>
          <w:color w:val="000000" w:themeColor="text1"/>
          <w:lang w:val="es-ES_tradnl"/>
        </w:rPr>
        <w:t>. Así se desprende del primer inciso de aquel artículo, que dispone: “</w:t>
      </w:r>
      <w:r w:rsidRPr="007F1C94">
        <w:rPr>
          <w:rFonts w:ascii="Verdana" w:eastAsia="Calibri" w:hAnsi="Verdana" w:cs="Arial"/>
          <w:i/>
          <w:color w:val="000000" w:themeColor="text1"/>
          <w:lang w:val="es-ES_tradnl"/>
        </w:rPr>
        <w:t>Las entidades sometidas al Estatuto General de Contratación de la Administración Pública</w:t>
      </w:r>
      <w:r w:rsidRPr="007F1C94">
        <w:rPr>
          <w:rFonts w:ascii="Verdana" w:eastAsia="Calibri" w:hAnsi="Verdana" w:cs="Arial"/>
          <w:color w:val="000000" w:themeColor="text1"/>
          <w:lang w:val="es-ES_tradnl"/>
        </w:rPr>
        <w:t xml:space="preserve"> podrán declarar el incumplimiento, cuantificando los perjuicios </w:t>
      </w:r>
      <w:proofErr w:type="gramStart"/>
      <w:r w:rsidRPr="007F1C94">
        <w:rPr>
          <w:rFonts w:ascii="Verdana" w:eastAsia="Calibri" w:hAnsi="Verdana" w:cs="Arial"/>
          <w:color w:val="000000" w:themeColor="text1"/>
          <w:lang w:val="es-ES_tradnl"/>
        </w:rPr>
        <w:t>del mismo</w:t>
      </w:r>
      <w:proofErr w:type="gramEnd"/>
      <w:r w:rsidRPr="007F1C94">
        <w:rPr>
          <w:rFonts w:ascii="Verdana" w:eastAsia="Calibri" w:hAnsi="Verdana" w:cs="Arial"/>
          <w:color w:val="000000" w:themeColor="text1"/>
          <w:lang w:val="es-ES_tradnl"/>
        </w:rPr>
        <w:t xml:space="preserve">, imponer las multas y sanciones pactadas en el contrato, y hacer efectiva la cláusula penal. Para tal efecto observarán el siguiente procedimiento […]”. De ahí que, solo por esta razón, las entidades de régimen </w:t>
      </w:r>
      <w:r w:rsidRPr="007F1C94">
        <w:rPr>
          <w:rFonts w:ascii="Verdana" w:eastAsia="Calibri" w:hAnsi="Verdana" w:cs="Arial"/>
          <w:color w:val="000000" w:themeColor="text1"/>
          <w:lang w:val="es-ES_tradnl"/>
        </w:rPr>
        <w:lastRenderedPageBreak/>
        <w:t>especial en materia contractual no pueden aplicar el procedimiento administrativo sancionatorio regulado en el artículo 86 de la Ley 1474 de 2011, al no ser entidades sometidas al Estatuto General de Contratación de la Administración Pública</w:t>
      </w:r>
      <w:r w:rsidRPr="007F1C94">
        <w:rPr>
          <w:rStyle w:val="Refdenotaalpie"/>
          <w:rFonts w:ascii="Verdana" w:eastAsia="Calibri" w:hAnsi="Verdana" w:cs="Arial"/>
          <w:color w:val="000000" w:themeColor="text1"/>
          <w:lang w:val="es-ES_tradnl"/>
        </w:rPr>
        <w:footnoteReference w:id="6"/>
      </w:r>
      <w:r w:rsidRPr="007F1C94">
        <w:rPr>
          <w:rFonts w:ascii="Verdana" w:eastAsia="Calibri" w:hAnsi="Verdana" w:cs="Arial"/>
          <w:color w:val="000000" w:themeColor="text1"/>
          <w:lang w:val="es-ES_tradnl"/>
        </w:rPr>
        <w:t>, sino, por el contrario, entidades exceptuadas de este. Así pues, si bien, hay entidades de régimen especial que tienen la competencia para hacer uso de cláusulas excepcionales, como las empresas prestadoras de servicios públicos domiciliarios</w:t>
      </w:r>
      <w:r w:rsidRPr="007F1C94">
        <w:rPr>
          <w:rStyle w:val="Refdenotaalpie"/>
          <w:rFonts w:ascii="Verdana" w:eastAsia="Calibri" w:hAnsi="Verdana" w:cs="Arial"/>
          <w:color w:val="000000" w:themeColor="text1"/>
          <w:lang w:val="es-ES_tradnl"/>
        </w:rPr>
        <w:footnoteReference w:id="7"/>
      </w:r>
      <w:r w:rsidRPr="007F1C94">
        <w:rPr>
          <w:rFonts w:ascii="Verdana" w:eastAsia="Calibri" w:hAnsi="Verdana" w:cs="Arial"/>
          <w:color w:val="000000" w:themeColor="text1"/>
          <w:lang w:val="es-ES_tradnl"/>
        </w:rPr>
        <w:t xml:space="preserve"> y las empresas sociales del Estado</w:t>
      </w:r>
      <w:r w:rsidRPr="007F1C94">
        <w:rPr>
          <w:rStyle w:val="Refdenotaalpie"/>
          <w:rFonts w:ascii="Verdana" w:eastAsia="Calibri" w:hAnsi="Verdana" w:cs="Arial"/>
          <w:color w:val="000000" w:themeColor="text1"/>
          <w:lang w:val="es-ES_tradnl"/>
        </w:rPr>
        <w:footnoteReference w:id="8"/>
      </w:r>
      <w:r w:rsidRPr="007F1C94">
        <w:rPr>
          <w:rFonts w:ascii="Verdana" w:eastAsia="Calibri" w:hAnsi="Verdana" w:cs="Arial"/>
          <w:color w:val="000000" w:themeColor="text1"/>
          <w:lang w:val="es-ES_tradnl"/>
        </w:rPr>
        <w:t>.</w:t>
      </w:r>
    </w:p>
    <w:p w14:paraId="3264A245" w14:textId="77777777" w:rsidR="00E11DD9" w:rsidRPr="007F1C94" w:rsidRDefault="00E11DD9" w:rsidP="00E11DD9">
      <w:pPr>
        <w:spacing w:before="120" w:line="276" w:lineRule="auto"/>
        <w:ind w:right="49" w:firstLine="709"/>
        <w:jc w:val="both"/>
        <w:rPr>
          <w:rFonts w:ascii="Verdana" w:eastAsia="Calibri" w:hAnsi="Verdana" w:cs="Arial"/>
          <w:color w:val="000000" w:themeColor="text1"/>
          <w:lang w:val="es-ES_tradnl"/>
        </w:rPr>
      </w:pPr>
      <w:r w:rsidRPr="007F1C94">
        <w:rPr>
          <w:rFonts w:ascii="Verdana" w:eastAsia="Calibri" w:hAnsi="Verdana" w:cs="Arial"/>
          <w:color w:val="000000" w:themeColor="text1"/>
          <w:lang w:val="es-ES_tradnl"/>
        </w:rPr>
        <w:t xml:space="preserve">Desde hace cierto tiempo se ha presentado un intenso debate al interior de la Sección Tercera del Consejo de Estado, acerca de la posibilidad de que las entidades con régimen especial de contratación pacten cláusulas unilaterales y </w:t>
      </w:r>
      <w:r w:rsidRPr="007F1C94">
        <w:rPr>
          <w:rFonts w:ascii="Verdana" w:eastAsia="Calibri" w:hAnsi="Verdana" w:cs="Arial"/>
          <w:color w:val="000000" w:themeColor="text1"/>
          <w:lang w:val="es-ES_tradnl"/>
        </w:rPr>
        <w:lastRenderedPageBreak/>
        <w:t>ejerzan autotutela declarativa, imponiendo las sanciones pactadas en el contrato</w:t>
      </w:r>
      <w:r w:rsidRPr="007F1C94">
        <w:rPr>
          <w:rStyle w:val="Refdenotaalpie"/>
          <w:rFonts w:ascii="Verdana" w:eastAsia="Calibri" w:hAnsi="Verdana" w:cs="Arial"/>
          <w:color w:val="000000" w:themeColor="text1"/>
          <w:lang w:val="es-ES_tradnl"/>
        </w:rPr>
        <w:footnoteReference w:id="9"/>
      </w:r>
      <w:r w:rsidRPr="007F1C94">
        <w:rPr>
          <w:rFonts w:ascii="Verdana" w:eastAsia="Calibri" w:hAnsi="Verdana" w:cs="Arial"/>
          <w:color w:val="000000" w:themeColor="text1"/>
          <w:lang w:val="es-ES_tradnl"/>
        </w:rPr>
        <w:t xml:space="preserve">. No obstante, dicho debate se ha ido zanjando en la jurisprudencia reciente, la cual ha reconocido la validez de pactar cláusulas de ejercicio unilateral, conforme indica la Sentencia de Unificación del 9 de mayo de 2024 expedida por la Sección Tercera de la referida corporación judicial, en la que se realizaron las siguientes consideraciones: </w:t>
      </w:r>
    </w:p>
    <w:p w14:paraId="59B20CB4" w14:textId="77777777" w:rsidR="00E11DD9" w:rsidRPr="007F1C94" w:rsidRDefault="00E11DD9" w:rsidP="00E11DD9">
      <w:pPr>
        <w:spacing w:before="120" w:line="240" w:lineRule="auto"/>
        <w:ind w:left="709" w:right="709"/>
        <w:jc w:val="both"/>
        <w:rPr>
          <w:rFonts w:ascii="Verdana" w:eastAsia="Calibri" w:hAnsi="Verdana" w:cs="Arial"/>
          <w:color w:val="000000" w:themeColor="text1"/>
          <w:sz w:val="20"/>
          <w:szCs w:val="20"/>
        </w:rPr>
      </w:pPr>
      <w:r w:rsidRPr="007F1C94">
        <w:rPr>
          <w:rFonts w:ascii="Verdana" w:eastAsia="Calibri" w:hAnsi="Verdana" w:cs="Arial"/>
          <w:color w:val="000000" w:themeColor="text1"/>
          <w:sz w:val="20"/>
          <w:szCs w:val="20"/>
        </w:rPr>
        <w:t xml:space="preserve">“52. Tan precisa, directa y reveladora es la voluntad contractual como fuente de las obligaciones, que el legislador la revistió de carácter normativo al asignar efectos de ley al contrato; de esa manera las partes definen en unión y de común acuerdo todo el negocio jurídico incluyendo, si así lo convienen, la liquidación por parte de una de ellas, sin que se advierta en el ordenamiento jurídico algún impedimento para llegar a un pacto en tal sentido. Este tipo de acuerdos entre sujetos de derecho privado es válido, de manera que cuando la Administración funge como tal, es decir, cuando su actividad se sujeta a las normas de derecho civil o comercial, está en posibilidad de estipular estas cláusulas y las demás que autoriza el ejercicio de la autonomía de la voluntad, como cualquier otro sujeto que actúa en el ámbito de la </w:t>
      </w:r>
      <w:r w:rsidRPr="007F1C94">
        <w:rPr>
          <w:rFonts w:ascii="Verdana" w:eastAsia="Calibri" w:hAnsi="Verdana" w:cs="Arial"/>
          <w:i/>
          <w:iCs/>
          <w:color w:val="000000" w:themeColor="text1"/>
          <w:sz w:val="20"/>
          <w:szCs w:val="20"/>
        </w:rPr>
        <w:t xml:space="preserve">lex </w:t>
      </w:r>
      <w:proofErr w:type="spellStart"/>
      <w:r w:rsidRPr="007F1C94">
        <w:rPr>
          <w:rFonts w:ascii="Verdana" w:eastAsia="Calibri" w:hAnsi="Verdana" w:cs="Arial"/>
          <w:i/>
          <w:iCs/>
          <w:color w:val="000000" w:themeColor="text1"/>
          <w:sz w:val="20"/>
          <w:szCs w:val="20"/>
        </w:rPr>
        <w:t>privata</w:t>
      </w:r>
      <w:proofErr w:type="spellEnd"/>
      <w:r w:rsidRPr="007F1C94">
        <w:rPr>
          <w:rFonts w:ascii="Verdana" w:eastAsia="Calibri" w:hAnsi="Verdana" w:cs="Arial"/>
          <w:color w:val="000000" w:themeColor="text1"/>
          <w:sz w:val="20"/>
          <w:szCs w:val="20"/>
        </w:rPr>
        <w:t xml:space="preserve">. </w:t>
      </w:r>
    </w:p>
    <w:p w14:paraId="1E9E34DA" w14:textId="77777777" w:rsidR="00E11DD9" w:rsidRPr="007F1C94" w:rsidRDefault="00E11DD9" w:rsidP="00E11DD9">
      <w:pPr>
        <w:spacing w:before="120" w:line="240" w:lineRule="auto"/>
        <w:ind w:left="709" w:right="709"/>
        <w:jc w:val="both"/>
        <w:rPr>
          <w:rFonts w:ascii="Verdana" w:eastAsia="Calibri" w:hAnsi="Verdana" w:cs="Arial"/>
          <w:color w:val="000000" w:themeColor="text1"/>
          <w:sz w:val="20"/>
          <w:szCs w:val="20"/>
        </w:rPr>
      </w:pPr>
      <w:r w:rsidRPr="007F1C94">
        <w:rPr>
          <w:rFonts w:ascii="Verdana" w:eastAsia="Calibri" w:hAnsi="Verdana" w:cs="Arial"/>
          <w:color w:val="000000" w:themeColor="text1"/>
          <w:sz w:val="20"/>
          <w:szCs w:val="20"/>
        </w:rPr>
        <w:t>53. Aunque este entendimiento es pacífico en la actual jurisprudencia, ello no siempre fue así. En lo que atañe al pacto de este tipo de cláusulas en contratos sometidos al derecho privado, esta Colegiatura sostuvo que las entidades estatales exceptuadas del estatuto de contratación pública no podían convenir tales estipulaciones, porque no contaban con la habilitación legal para hacerlo; sin embargo, la jurisprudencia recondujo esa postura para precisar que en tales casos, “</w:t>
      </w:r>
      <w:r w:rsidRPr="007F1C94">
        <w:rPr>
          <w:rFonts w:ascii="Verdana" w:eastAsia="Calibri" w:hAnsi="Verdana" w:cs="Arial"/>
          <w:i/>
          <w:iCs/>
          <w:color w:val="000000" w:themeColor="text1"/>
          <w:sz w:val="20"/>
          <w:szCs w:val="20"/>
        </w:rPr>
        <w:t xml:space="preserve">el pacto de cláusulas accidentales mediante las cuales se prevé el ejercicio de facultades tales como la terminación unilateral o la liquidación unilateral, entre otros se funda primordialmente de la autonomía dispositiva </w:t>
      </w:r>
      <w:r w:rsidRPr="007F1C94">
        <w:rPr>
          <w:rFonts w:ascii="Verdana" w:eastAsia="Calibri" w:hAnsi="Verdana" w:cs="Arial"/>
          <w:color w:val="000000" w:themeColor="text1"/>
          <w:sz w:val="20"/>
          <w:szCs w:val="20"/>
        </w:rPr>
        <w:t xml:space="preserve">[por lo que] </w:t>
      </w:r>
      <w:r w:rsidRPr="007F1C94">
        <w:rPr>
          <w:rFonts w:ascii="Verdana" w:eastAsia="Calibri" w:hAnsi="Verdana" w:cs="Arial"/>
          <w:i/>
          <w:iCs/>
          <w:color w:val="000000" w:themeColor="text1"/>
          <w:sz w:val="20"/>
          <w:szCs w:val="20"/>
        </w:rPr>
        <w:t xml:space="preserve">resulta viable que las partes del contrato puedan pactar cláusulas accidentales que impliquen la utilización de mecanismos tales como la cláusula penal, la imposición de multas, la terminación unilateral o la liquidación unilateral del contrato, entre otros, siempre y cuando que esas estipulaciones no vayan en contra de normas imperativas, de las buenas costumbres, del </w:t>
      </w:r>
      <w:r w:rsidRPr="007F1C94">
        <w:rPr>
          <w:rFonts w:ascii="Verdana" w:eastAsia="Calibri" w:hAnsi="Verdana" w:cs="Arial"/>
          <w:i/>
          <w:iCs/>
          <w:color w:val="000000" w:themeColor="text1"/>
          <w:sz w:val="20"/>
          <w:szCs w:val="20"/>
        </w:rPr>
        <w:lastRenderedPageBreak/>
        <w:t>principio de buena fe objetiva, ni mucho menos que comporten un ejercicio abusivo de un derecho, ni contraría el orden público</w:t>
      </w:r>
      <w:r w:rsidRPr="007F1C94">
        <w:rPr>
          <w:rFonts w:ascii="Verdana" w:eastAsia="Calibri" w:hAnsi="Verdana" w:cs="Arial"/>
          <w:color w:val="000000" w:themeColor="text1"/>
          <w:sz w:val="20"/>
          <w:szCs w:val="20"/>
        </w:rPr>
        <w:t xml:space="preserve">” </w:t>
      </w:r>
    </w:p>
    <w:p w14:paraId="365E5268" w14:textId="77777777" w:rsidR="00E11DD9" w:rsidRPr="007F1C94" w:rsidRDefault="00E11DD9" w:rsidP="00E11DD9">
      <w:pPr>
        <w:spacing w:before="120" w:line="240" w:lineRule="auto"/>
        <w:ind w:left="709" w:right="709"/>
        <w:jc w:val="both"/>
        <w:rPr>
          <w:rFonts w:ascii="Verdana" w:eastAsia="Calibri" w:hAnsi="Verdana" w:cs="Arial"/>
          <w:color w:val="000000" w:themeColor="text1"/>
          <w:lang w:val="es-ES_tradnl"/>
        </w:rPr>
      </w:pPr>
      <w:r w:rsidRPr="007F1C94">
        <w:rPr>
          <w:rFonts w:ascii="Verdana" w:eastAsia="Calibri" w:hAnsi="Verdana" w:cs="Arial"/>
          <w:color w:val="000000" w:themeColor="text1"/>
          <w:sz w:val="20"/>
          <w:szCs w:val="20"/>
        </w:rPr>
        <w:t>54. De manera que cuando una entidad estatal celebra un contrato que se rige por las normas del derecho privado, es legalmente admisible que se pacten cláusulas cuya ejecución corresponda a una de ellas, aunque el ejercicio de tales facultades no tenga origen en una prerrogativa atribuida por ley a la contratante, sino en la libertad contractual en la que se fundamentó dicho acuerdo, de modo que si la entidad materializa las atribuciones unilaterales pactadas a través de éstos, se trata de actos contractuales y no administrativos”</w:t>
      </w:r>
      <w:r w:rsidRPr="007F1C94">
        <w:rPr>
          <w:rStyle w:val="Refdenotaalpie"/>
          <w:rFonts w:ascii="Verdana" w:eastAsia="Calibri" w:hAnsi="Verdana" w:cs="Arial"/>
          <w:color w:val="000000" w:themeColor="text1"/>
          <w:sz w:val="20"/>
          <w:szCs w:val="20"/>
        </w:rPr>
        <w:footnoteReference w:id="10"/>
      </w:r>
      <w:r w:rsidRPr="007F1C94">
        <w:rPr>
          <w:rFonts w:ascii="Verdana" w:eastAsia="Calibri" w:hAnsi="Verdana" w:cs="Arial"/>
          <w:i/>
          <w:iCs/>
          <w:color w:val="000000" w:themeColor="text1"/>
          <w:sz w:val="20"/>
          <w:szCs w:val="20"/>
        </w:rPr>
        <w:t>.</w:t>
      </w:r>
    </w:p>
    <w:p w14:paraId="5B8C36FF" w14:textId="77777777" w:rsidR="00E11DD9" w:rsidRPr="007F1C94" w:rsidRDefault="00E11DD9" w:rsidP="00E11DD9">
      <w:pPr>
        <w:spacing w:before="120" w:line="276" w:lineRule="auto"/>
        <w:ind w:right="49" w:firstLine="709"/>
        <w:jc w:val="both"/>
        <w:rPr>
          <w:rFonts w:ascii="Verdana" w:hAnsi="Verdana" w:cs="Arial"/>
          <w:iCs/>
          <w:color w:val="000000" w:themeColor="text1"/>
        </w:rPr>
      </w:pPr>
      <w:r w:rsidRPr="007F1C94">
        <w:rPr>
          <w:rFonts w:ascii="Verdana" w:hAnsi="Verdana" w:cs="Arial"/>
          <w:iCs/>
          <w:color w:val="000000" w:themeColor="text1"/>
        </w:rPr>
        <w:t xml:space="preserve">De acuerdo con el criterio establecido en la providencia en cita, resulta claro que las entidades estatales sometidas regímenes especiales de contratación, si bien no tienen potestad sancionatoria por mérito de la ley, tienen la posibilidad de acudir a la autonomía de la voluntad para pactar el ejercicio de potestades unilateral. Sin embargo, los actos a través de los cuales se materialice el ejercicio de potestades unilaterales emanadas del ejercicio de la autonomía de la voluntad, en el marco de contratos estatales exceptuados del EGCAP, no pueden ser equiparados a actos administrativos, conforme lo precisa la providencia de unificación en cita al indicar que: </w:t>
      </w:r>
    </w:p>
    <w:p w14:paraId="2D26BEF6" w14:textId="77777777" w:rsidR="00E11DD9" w:rsidRPr="007F1C94" w:rsidRDefault="00E11DD9" w:rsidP="00E11DD9">
      <w:pPr>
        <w:spacing w:before="120" w:line="240" w:lineRule="auto"/>
        <w:ind w:left="709" w:right="709"/>
        <w:jc w:val="both"/>
        <w:rPr>
          <w:rFonts w:ascii="Verdana" w:hAnsi="Verdana" w:cs="Arial"/>
          <w:iCs/>
          <w:color w:val="000000" w:themeColor="text1"/>
          <w:sz w:val="20"/>
          <w:szCs w:val="20"/>
        </w:rPr>
      </w:pPr>
      <w:r w:rsidRPr="007F1C94">
        <w:rPr>
          <w:rFonts w:ascii="Verdana" w:hAnsi="Verdana" w:cs="Arial"/>
          <w:iCs/>
          <w:color w:val="000000" w:themeColor="text1"/>
          <w:sz w:val="20"/>
          <w:szCs w:val="20"/>
        </w:rPr>
        <w:t xml:space="preserve">“55. En esta línea, conviene enfatizar que </w:t>
      </w:r>
      <w:r w:rsidRPr="007F1C94">
        <w:rPr>
          <w:rFonts w:ascii="Verdana" w:hAnsi="Verdana" w:cs="Arial"/>
          <w:i/>
          <w:iCs/>
          <w:color w:val="000000" w:themeColor="text1"/>
          <w:sz w:val="20"/>
          <w:szCs w:val="20"/>
        </w:rPr>
        <w:t>“[l]o que no puede pactarse es la facultad de proferir un acto administrativo … [l]a liquidación unilateral del contrato mediante acto administrativo comporta el establecimiento de una potestad prevista solo para las entidades estatales en los contratos sujetos al estatuto de contratación pública, en los cuales se pueden expedir actos administrativos con fuerza ejecutoria en los que se establezca el saldo del contrato y se creen, de ser el caso, obligaciones patrimoniales a cargo del contratista; en la medida en que tales actos gozan de presunción de legalidad, le incumbe al Contratista la carga de desvirtuarla judicialmente</w:t>
      </w:r>
      <w:r w:rsidRPr="007F1C94">
        <w:rPr>
          <w:rFonts w:ascii="Verdana" w:hAnsi="Verdana" w:cs="Arial"/>
          <w:iCs/>
          <w:color w:val="000000" w:themeColor="text1"/>
          <w:sz w:val="20"/>
          <w:szCs w:val="20"/>
        </w:rPr>
        <w:t xml:space="preserve">”. </w:t>
      </w:r>
    </w:p>
    <w:p w14:paraId="4278B38A" w14:textId="77777777" w:rsidR="00E11DD9" w:rsidRPr="007F1C94" w:rsidRDefault="00E11DD9" w:rsidP="00E11DD9">
      <w:pPr>
        <w:spacing w:before="120" w:line="240" w:lineRule="auto"/>
        <w:ind w:left="709" w:right="709"/>
        <w:jc w:val="both"/>
        <w:rPr>
          <w:rFonts w:ascii="Verdana" w:hAnsi="Verdana" w:cs="Arial"/>
          <w:iCs/>
          <w:color w:val="000000" w:themeColor="text1"/>
        </w:rPr>
      </w:pPr>
      <w:r w:rsidRPr="007F1C94">
        <w:rPr>
          <w:rFonts w:ascii="Verdana" w:hAnsi="Verdana" w:cs="Arial"/>
          <w:iCs/>
          <w:color w:val="000000" w:themeColor="text1"/>
          <w:sz w:val="20"/>
          <w:szCs w:val="20"/>
        </w:rPr>
        <w:t>56. Como fruto de tal entendimiento, esta Corporación puntualizó que “</w:t>
      </w:r>
      <w:r w:rsidRPr="007F1C94">
        <w:rPr>
          <w:rFonts w:ascii="Verdana" w:hAnsi="Verdana" w:cs="Arial"/>
          <w:i/>
          <w:iCs/>
          <w:color w:val="000000" w:themeColor="text1"/>
          <w:sz w:val="20"/>
          <w:szCs w:val="20"/>
        </w:rPr>
        <w:t xml:space="preserve">cuando una entidad estatal, regida por derecho privado, pacta una cláusula que confiere una facultad unilateral, al igual que ocurre con los privados, no debe entenderse nada diferente a que, en igual sentido, está habilitada para acudir a este tipo de pactos. Lo anterior pues, cada vez será más difícil entender cómo, aunque los privados puedan pactar este tipo de cláusulas, cuando la Administración se comporta como un privado </w:t>
      </w:r>
      <w:r w:rsidRPr="007F1C94">
        <w:rPr>
          <w:rFonts w:ascii="Verdana" w:hAnsi="Verdana" w:cs="Arial"/>
          <w:i/>
          <w:iCs/>
          <w:color w:val="000000" w:themeColor="text1"/>
          <w:sz w:val="20"/>
          <w:szCs w:val="20"/>
        </w:rPr>
        <w:lastRenderedPageBreak/>
        <w:t>más, ella no pueda celebrar estos mismos acuerdos</w:t>
      </w:r>
      <w:r w:rsidRPr="007F1C94">
        <w:rPr>
          <w:rFonts w:ascii="Verdana" w:hAnsi="Verdana" w:cs="Arial"/>
          <w:iCs/>
          <w:color w:val="000000" w:themeColor="text1"/>
          <w:sz w:val="20"/>
          <w:szCs w:val="20"/>
        </w:rPr>
        <w:t>”</w:t>
      </w:r>
      <w:r w:rsidRPr="007F1C94">
        <w:rPr>
          <w:rStyle w:val="Refdenotaalpie"/>
          <w:rFonts w:ascii="Verdana" w:hAnsi="Verdana" w:cs="Arial"/>
          <w:iCs/>
          <w:color w:val="000000" w:themeColor="text1"/>
          <w:sz w:val="20"/>
          <w:szCs w:val="20"/>
        </w:rPr>
        <w:footnoteReference w:id="11"/>
      </w:r>
      <w:r w:rsidRPr="007F1C94">
        <w:rPr>
          <w:rFonts w:ascii="Verdana" w:hAnsi="Verdana" w:cs="Arial"/>
          <w:iCs/>
          <w:color w:val="000000" w:themeColor="text1"/>
          <w:sz w:val="20"/>
          <w:szCs w:val="20"/>
        </w:rPr>
        <w:t>; postura que ha venido siendo reiterada</w:t>
      </w:r>
      <w:r w:rsidRPr="007F1C94">
        <w:rPr>
          <w:rStyle w:val="Refdenotaalpie"/>
          <w:rFonts w:ascii="Verdana" w:hAnsi="Verdana" w:cs="Arial"/>
          <w:iCs/>
          <w:color w:val="000000" w:themeColor="text1"/>
          <w:sz w:val="20"/>
          <w:szCs w:val="20"/>
        </w:rPr>
        <w:footnoteReference w:id="12"/>
      </w:r>
      <w:r w:rsidRPr="007F1C94">
        <w:rPr>
          <w:rFonts w:ascii="Verdana" w:hAnsi="Verdana" w:cs="Arial"/>
          <w:iCs/>
          <w:color w:val="000000" w:themeColor="text1"/>
          <w:sz w:val="20"/>
          <w:szCs w:val="20"/>
        </w:rPr>
        <w:t xml:space="preserve"> y bajo la cual es posible indicar que la naturaleza de los actos unilaterales que emite una entidad estatal en desarrollo de contratos regidos por el derecho privado, se afilia a la categoría de actos contractuales y no a la de actos administrativos</w:t>
      </w:r>
      <w:r w:rsidRPr="007F1C94">
        <w:rPr>
          <w:rStyle w:val="Refdenotaalpie"/>
          <w:rFonts w:ascii="Verdana" w:hAnsi="Verdana" w:cs="Arial"/>
          <w:iCs/>
          <w:color w:val="000000" w:themeColor="text1"/>
          <w:sz w:val="20"/>
          <w:szCs w:val="20"/>
        </w:rPr>
        <w:footnoteReference w:id="13"/>
      </w:r>
      <w:r w:rsidRPr="007F1C94">
        <w:rPr>
          <w:rFonts w:ascii="Verdana" w:hAnsi="Verdana" w:cs="Arial"/>
          <w:iCs/>
          <w:color w:val="000000" w:themeColor="text1"/>
          <w:sz w:val="20"/>
          <w:szCs w:val="20"/>
          <w:vertAlign w:val="superscript"/>
        </w:rPr>
        <w:t>39.</w:t>
      </w:r>
      <w:r w:rsidRPr="007F1C94">
        <w:rPr>
          <w:rFonts w:ascii="Verdana" w:hAnsi="Verdana" w:cs="Arial"/>
          <w:iCs/>
          <w:color w:val="000000" w:themeColor="text1"/>
          <w:sz w:val="20"/>
          <w:szCs w:val="20"/>
        </w:rPr>
        <w:t xml:space="preserve"> En estos términos, cuando una entidad pública está sometida al régimen de derecho común debe “</w:t>
      </w:r>
      <w:r w:rsidRPr="007F1C94">
        <w:rPr>
          <w:rFonts w:ascii="Verdana" w:hAnsi="Verdana" w:cs="Arial"/>
          <w:i/>
          <w:iCs/>
          <w:color w:val="000000" w:themeColor="text1"/>
          <w:sz w:val="20"/>
          <w:szCs w:val="20"/>
        </w:rPr>
        <w:t>actuar en las mismas condiciones que un particular, por lo cual no estaba habilitada para expedir un acto administrativo</w:t>
      </w:r>
      <w:r w:rsidRPr="007F1C94">
        <w:rPr>
          <w:rFonts w:ascii="Verdana" w:hAnsi="Verdana" w:cs="Arial"/>
          <w:iCs/>
          <w:color w:val="000000" w:themeColor="text1"/>
          <w:sz w:val="20"/>
          <w:szCs w:val="20"/>
        </w:rPr>
        <w:t>”</w:t>
      </w:r>
      <w:r w:rsidRPr="007F1C94">
        <w:rPr>
          <w:rStyle w:val="Refdenotaalpie"/>
          <w:rFonts w:ascii="Verdana" w:hAnsi="Verdana" w:cs="Arial"/>
          <w:iCs/>
          <w:color w:val="000000" w:themeColor="text1"/>
          <w:sz w:val="20"/>
          <w:szCs w:val="20"/>
        </w:rPr>
        <w:footnoteReference w:id="14"/>
      </w:r>
      <w:r w:rsidRPr="007F1C94">
        <w:rPr>
          <w:rFonts w:ascii="Verdana" w:hAnsi="Verdana" w:cs="Arial"/>
          <w:iCs/>
          <w:color w:val="000000" w:themeColor="text1"/>
          <w:sz w:val="20"/>
          <w:szCs w:val="20"/>
        </w:rPr>
        <w:t>, ni puede adjudicarse, por sí misma, competencias que son de rango legal</w:t>
      </w:r>
      <w:r w:rsidRPr="007F1C94">
        <w:rPr>
          <w:rStyle w:val="Refdenotaalpie"/>
          <w:rFonts w:ascii="Verdana" w:hAnsi="Verdana" w:cs="Arial"/>
          <w:iCs/>
          <w:color w:val="000000" w:themeColor="text1"/>
          <w:sz w:val="20"/>
          <w:szCs w:val="20"/>
        </w:rPr>
        <w:footnoteReference w:id="15"/>
      </w:r>
      <w:r w:rsidRPr="007F1C94">
        <w:rPr>
          <w:rFonts w:ascii="Verdana" w:hAnsi="Verdana" w:cs="Arial"/>
          <w:iCs/>
          <w:color w:val="000000" w:themeColor="text1"/>
          <w:sz w:val="20"/>
          <w:szCs w:val="20"/>
        </w:rPr>
        <w:t xml:space="preserve"> -sin perjuicio de aquellas hipótesis en que el legislador ha autorizado de manera excepcional la posibilidad de que las ESP puedan expedir actos administrativos</w:t>
      </w:r>
      <w:proofErr w:type="gramStart"/>
      <w:r w:rsidRPr="007F1C94">
        <w:rPr>
          <w:rFonts w:ascii="Verdana" w:hAnsi="Verdana" w:cs="Arial"/>
          <w:iCs/>
          <w:color w:val="000000" w:themeColor="text1"/>
          <w:sz w:val="20"/>
          <w:szCs w:val="20"/>
        </w:rPr>
        <w:t>-“</w:t>
      </w:r>
      <w:proofErr w:type="gramEnd"/>
      <w:r w:rsidRPr="007F1C94">
        <w:rPr>
          <w:rStyle w:val="Refdenotaalpie"/>
          <w:rFonts w:ascii="Verdana" w:hAnsi="Verdana" w:cs="Arial"/>
          <w:iCs/>
          <w:color w:val="000000" w:themeColor="text1"/>
          <w:sz w:val="20"/>
          <w:szCs w:val="20"/>
        </w:rPr>
        <w:footnoteReference w:id="16"/>
      </w:r>
      <w:r w:rsidRPr="007F1C94">
        <w:rPr>
          <w:rFonts w:ascii="Verdana" w:hAnsi="Verdana" w:cs="Arial"/>
          <w:iCs/>
          <w:color w:val="000000" w:themeColor="text1"/>
          <w:sz w:val="20"/>
          <w:szCs w:val="20"/>
        </w:rPr>
        <w:t xml:space="preserve">.  </w:t>
      </w:r>
      <w:r w:rsidRPr="007F1C94">
        <w:rPr>
          <w:rFonts w:ascii="Verdana" w:hAnsi="Verdana" w:cs="Arial"/>
          <w:iCs/>
          <w:color w:val="000000" w:themeColor="text1"/>
        </w:rPr>
        <w:t xml:space="preserve"> </w:t>
      </w:r>
    </w:p>
    <w:p w14:paraId="2B8C9C9C" w14:textId="4B2E808A" w:rsidR="00E11DD9" w:rsidRPr="007F1C94" w:rsidRDefault="00E11DD9" w:rsidP="00E11DD9">
      <w:pPr>
        <w:spacing w:before="120" w:after="120" w:line="276" w:lineRule="auto"/>
        <w:ind w:firstLine="709"/>
        <w:jc w:val="both"/>
        <w:rPr>
          <w:rFonts w:ascii="Verdana" w:eastAsia="Calibri" w:hAnsi="Verdana" w:cs="Arial"/>
          <w:color w:val="000000" w:themeColor="text1"/>
          <w:lang w:val="es-ES_tradnl"/>
        </w:rPr>
      </w:pPr>
      <w:r w:rsidRPr="007F1C94">
        <w:rPr>
          <w:rFonts w:ascii="Verdana" w:hAnsi="Verdana" w:cs="Arial"/>
          <w:iCs/>
          <w:color w:val="000000" w:themeColor="text1"/>
        </w:rPr>
        <w:t xml:space="preserve"> Conforme con lo anterior, es claro que, de acuerdo con la jurisprudencia de la Sala Plena de la Sección Tercera del Consejo de Estado, es viable que entidades estatales exceptuadas del EGCP, ejerzan la autonomía de la voluntad estableciendo potestades de ejercicio unilateral y fijando los mecanismos para hacerlas efectivas. No obstante, a diferencia de lo que sucede con los actos que se expiden como consecuencia del procedimiento establecido en el artículo 86 de la Ley 1474 de 2011, los actos que resultan del ejercicio de estas potestades no son considerados actos administrativos sino contractuales, lo cual tiene distintas consecuencia, como por ejemplo, la inviabilidad de ser cuestionados a través del medio de control de nulidad y restablecimiento del derecho establecido en el artículo 137 de la Ley 1437 de 2011, sin perjuicio de la procedencia del de controversias contractuales contemplado en el artículo 141 de dicho cuerpo normativo, </w:t>
      </w:r>
      <w:r w:rsidRPr="007F1C94">
        <w:rPr>
          <w:rFonts w:ascii="Verdana" w:eastAsia="Calibri" w:hAnsi="Verdana" w:cs="Arial"/>
          <w:color w:val="000000" w:themeColor="text1"/>
          <w:lang w:val="es-ES_tradnl"/>
        </w:rPr>
        <w:t>que, como lo ha indicado la jurisprudencia, es un medio de control “</w:t>
      </w:r>
      <w:proofErr w:type="spellStart"/>
      <w:r w:rsidRPr="007F1C94">
        <w:rPr>
          <w:rFonts w:ascii="Verdana" w:eastAsia="Calibri" w:hAnsi="Verdana" w:cs="Arial"/>
          <w:color w:val="000000" w:themeColor="text1"/>
          <w:lang w:val="es-ES_tradnl"/>
        </w:rPr>
        <w:t>pluripretensional</w:t>
      </w:r>
      <w:proofErr w:type="spellEnd"/>
      <w:r w:rsidRPr="007F1C94">
        <w:rPr>
          <w:rFonts w:ascii="Verdana" w:eastAsia="Calibri" w:hAnsi="Verdana" w:cs="Arial"/>
          <w:color w:val="000000" w:themeColor="text1"/>
          <w:lang w:val="es-ES_tradnl"/>
        </w:rPr>
        <w:t>”</w:t>
      </w:r>
      <w:r w:rsidRPr="007F1C94">
        <w:rPr>
          <w:rStyle w:val="Refdenotaalpie"/>
          <w:rFonts w:ascii="Verdana" w:eastAsia="Calibri" w:hAnsi="Verdana" w:cs="Arial"/>
          <w:color w:val="000000" w:themeColor="text1"/>
          <w:lang w:val="es-ES_tradnl"/>
        </w:rPr>
        <w:footnoteReference w:id="17"/>
      </w:r>
      <w:r w:rsidRPr="007F1C94">
        <w:rPr>
          <w:rFonts w:ascii="Verdana" w:eastAsia="Calibri" w:hAnsi="Verdana" w:cs="Arial"/>
          <w:color w:val="000000" w:themeColor="text1"/>
          <w:lang w:val="es-ES_tradnl"/>
        </w:rPr>
        <w:t xml:space="preserve">, pues admite canalizar a través de él múltiples pretensiones, como la solicitud de declaratoria de incumplimiento y </w:t>
      </w:r>
      <w:r w:rsidRPr="007F1C94">
        <w:rPr>
          <w:rFonts w:ascii="Verdana" w:eastAsia="Calibri" w:hAnsi="Verdana" w:cs="Arial"/>
          <w:color w:val="000000" w:themeColor="text1"/>
          <w:lang w:val="es-ES_tradnl"/>
        </w:rPr>
        <w:lastRenderedPageBreak/>
        <w:t xml:space="preserve">consecuencialmente la imposición de las sanciones estipuladas en el contrato. En efecto, dicho artículo establece que en la demanda se puede pedir “que se declare su existencia o su nulidad, que se ordene su revisión, que se declare su incumplimiento, que se declare la nulidad de los actos administrativos contractuales, que se condene al responsable a indemnizar los perjuicios, y que se hagan otras declaraciones y condenas”. </w:t>
      </w:r>
    </w:p>
    <w:p w14:paraId="4C60E097" w14:textId="77777777" w:rsidR="00E11DD9" w:rsidRPr="007F1C94" w:rsidRDefault="00E11DD9" w:rsidP="00E11DD9">
      <w:pPr>
        <w:spacing w:after="120" w:line="276" w:lineRule="auto"/>
        <w:ind w:firstLine="708"/>
        <w:jc w:val="both"/>
        <w:rPr>
          <w:rFonts w:ascii="Verdana" w:eastAsia="Calibri" w:hAnsi="Verdana" w:cs="Arial"/>
        </w:rPr>
      </w:pPr>
      <w:r w:rsidRPr="007F1C94">
        <w:rPr>
          <w:rFonts w:ascii="Verdana" w:hAnsi="Verdana" w:cs="Arial"/>
          <w:iCs/>
          <w:color w:val="000000" w:themeColor="text1"/>
        </w:rPr>
        <w:t xml:space="preserve"> </w:t>
      </w:r>
      <w:r w:rsidRPr="007F1C94">
        <w:rPr>
          <w:rFonts w:ascii="Verdana" w:eastAsia="Calibri" w:hAnsi="Verdana" w:cs="Arial"/>
          <w:lang w:val="es-ES_tradnl"/>
        </w:rPr>
        <w:t xml:space="preserve">Esto resulta coherente con la jurisprudencia de </w:t>
      </w:r>
      <w:r w:rsidRPr="007F1C94">
        <w:rPr>
          <w:rFonts w:ascii="Verdana" w:eastAsia="Calibri" w:hAnsi="Verdana" w:cs="Arial"/>
        </w:rPr>
        <w:t>la Sala de Casación Civil de la Corte Suprema de Justicia que confirma la validez del pacto de poderes unilaterales en el marco de los contratos de derecho privado, como expresión de la capacidad negocial de las partes amparada su autonomía de la voluntad, que se materializa a través actos jurídicos unilaterales de derecho privado</w:t>
      </w:r>
      <w:r w:rsidRPr="007F1C94">
        <w:rPr>
          <w:rStyle w:val="Refdenotaalpie"/>
          <w:rFonts w:ascii="Verdana" w:eastAsia="Calibri" w:hAnsi="Verdana" w:cs="Arial"/>
        </w:rPr>
        <w:footnoteReference w:id="18"/>
      </w:r>
      <w:r w:rsidRPr="007F1C94">
        <w:rPr>
          <w:rFonts w:ascii="Verdana" w:eastAsia="Calibri" w:hAnsi="Verdana" w:cs="Arial"/>
        </w:rPr>
        <w:t>.</w:t>
      </w:r>
    </w:p>
    <w:p w14:paraId="3B94EB7B" w14:textId="77777777" w:rsidR="00E11DD9" w:rsidRPr="007F1C94" w:rsidRDefault="00E11DD9" w:rsidP="00E11DD9">
      <w:pPr>
        <w:spacing w:before="120" w:after="120" w:line="276" w:lineRule="auto"/>
        <w:ind w:firstLine="709"/>
        <w:jc w:val="both"/>
        <w:rPr>
          <w:rFonts w:ascii="Verdana" w:eastAsia="Calibri" w:hAnsi="Verdana" w:cs="Arial"/>
          <w:color w:val="000000" w:themeColor="text1"/>
        </w:rPr>
      </w:pPr>
      <w:r w:rsidRPr="007F1C94">
        <w:rPr>
          <w:rFonts w:ascii="Verdana" w:eastAsia="Calibri" w:hAnsi="Verdana" w:cs="Arial"/>
          <w:color w:val="000000" w:themeColor="text1"/>
        </w:rPr>
        <w:t>En ese orden, si bien el ejercicio de potestades unilaterales no se encuentra previsto para las entidades con régimen de contratación especial [salvo excepciones ya descritas], pueden hacer uso de la autonomía de la voluntad estableciendo estipulaciones que de manera expresa reconozcan la posibilidad de acudir a este tipo de facultades. En todo caso, al no tener origen en la ley sino en la autonomía de la voluntad, los actos que se expidan en ejercicio de tales potestades no tendrían el carácter de actos administrativos sino de actos contractuales.</w:t>
      </w:r>
    </w:p>
    <w:p w14:paraId="5F0B029F" w14:textId="3E089508" w:rsidR="00C93CFD" w:rsidRPr="007F1C94" w:rsidRDefault="0027052D" w:rsidP="00C93CFD">
      <w:pPr>
        <w:spacing w:after="0" w:line="276" w:lineRule="auto"/>
        <w:jc w:val="both"/>
        <w:rPr>
          <w:rFonts w:ascii="Verdana" w:eastAsia="Calibri" w:hAnsi="Verdana" w:cs="Arial"/>
          <w:lang w:val="es-ES_tradnl"/>
        </w:rPr>
      </w:pPr>
      <w:r w:rsidRPr="007F1C94">
        <w:rPr>
          <w:rFonts w:ascii="Verdana" w:eastAsia="Calibri" w:hAnsi="Verdana" w:cs="Arial"/>
          <w:lang w:val="es-ES_tradnl"/>
        </w:rPr>
        <w:t>Ahora bien, en cuanto, a</w:t>
      </w:r>
      <w:r w:rsidR="00C93CFD" w:rsidRPr="007F1C94">
        <w:rPr>
          <w:rFonts w:ascii="Verdana" w:eastAsia="Calibri" w:hAnsi="Verdana" w:cs="Arial"/>
          <w:lang w:val="es-ES_tradnl"/>
        </w:rPr>
        <w:t>l régimen de nulidades de los contratos estatales se encuentra regulado en el Estatuto General de Contratación de la Administración Pública, donde se establecen sus causales. Sin embargo, este integra, por remisión, las causales de nulidad del derecho civil y comercial. De esta forma, la nulidad del contrato, por su parte, ha sido definida por el Consejo de Estado como una sanción que es declarada por un juez, con la finalidad de hacer desaparecer el contrato del mundo jurídico por su falta de validez, en los siguientes términos:</w:t>
      </w:r>
    </w:p>
    <w:p w14:paraId="44706787" w14:textId="77777777" w:rsidR="00C93CFD" w:rsidRPr="007F1C94" w:rsidRDefault="00C93CFD" w:rsidP="00C93CFD">
      <w:pPr>
        <w:tabs>
          <w:tab w:val="left" w:pos="0"/>
        </w:tabs>
        <w:spacing w:after="0" w:line="276" w:lineRule="auto"/>
        <w:jc w:val="both"/>
        <w:rPr>
          <w:rFonts w:ascii="Verdana" w:eastAsia="Calibri" w:hAnsi="Verdana" w:cs="Arial"/>
          <w:bCs/>
          <w:color w:val="000000"/>
          <w:lang w:val="es-ES_tradnl"/>
        </w:rPr>
      </w:pPr>
    </w:p>
    <w:p w14:paraId="27407C36" w14:textId="77777777" w:rsidR="00C93CFD" w:rsidRPr="007F1C94" w:rsidRDefault="00C93CFD" w:rsidP="00C93CFD">
      <w:pPr>
        <w:spacing w:after="0" w:line="240" w:lineRule="auto"/>
        <w:ind w:left="1276" w:right="1276"/>
        <w:contextualSpacing/>
        <w:jc w:val="both"/>
        <w:rPr>
          <w:rFonts w:ascii="Verdana" w:eastAsia="Calibri" w:hAnsi="Verdana" w:cs="Arial"/>
          <w:sz w:val="20"/>
          <w:szCs w:val="20"/>
          <w:lang w:val="es-ES"/>
        </w:rPr>
      </w:pPr>
      <w:r w:rsidRPr="007F1C94">
        <w:rPr>
          <w:rFonts w:ascii="Verdana" w:eastAsia="Calibri" w:hAnsi="Verdana" w:cs="Arial"/>
          <w:sz w:val="20"/>
          <w:szCs w:val="20"/>
          <w:lang w:val="es-ES"/>
        </w:rPr>
        <w:t xml:space="preserve">“En tal virtud, la nulidad es la sanción de invalidez del contrato </w:t>
      </w:r>
      <w:proofErr w:type="gramStart"/>
      <w:r w:rsidRPr="007F1C94">
        <w:rPr>
          <w:rFonts w:ascii="Verdana" w:eastAsia="Calibri" w:hAnsi="Verdana" w:cs="Arial"/>
          <w:sz w:val="20"/>
          <w:szCs w:val="20"/>
          <w:lang w:val="es-ES"/>
        </w:rPr>
        <w:t>que</w:t>
      </w:r>
      <w:proofErr w:type="gramEnd"/>
      <w:r w:rsidRPr="007F1C94">
        <w:rPr>
          <w:rFonts w:ascii="Verdana" w:eastAsia="Calibri" w:hAnsi="Verdana" w:cs="Arial"/>
          <w:sz w:val="20"/>
          <w:szCs w:val="20"/>
          <w:lang w:val="es-ES"/>
        </w:rPr>
        <w:t xml:space="preserve"> nacido a la vida jurídica, presenta irregularidades o vicios, por la omisión o incumplimiento de los requisitos señalados por la ley para el valor del acto o contrato, y está instituida en defensa del orden jurídico, como quiera que a través de ella el ordenamiento reacciona para reprimir los contratos ilegales, prohibidos o inmorales, en los términos descritos. Es, pues, la </w:t>
      </w:r>
      <w:r w:rsidRPr="007F1C94">
        <w:rPr>
          <w:rFonts w:ascii="Verdana" w:eastAsia="Calibri" w:hAnsi="Verdana" w:cs="Arial"/>
          <w:sz w:val="20"/>
          <w:szCs w:val="20"/>
          <w:lang w:val="es-ES"/>
        </w:rPr>
        <w:lastRenderedPageBreak/>
        <w:t>respuesta del ordenamiento a conductas dispositivas irregulares y que se contraponen a él, pues hace desaparecer del mundo jurídico la relación que nació viciada, o la cláusula pactada cuando el vicio recae únicamente sobre alguna de las estipulaciones del contrato, es decir, aniquila, suprime y borra sus efectos jurídicos, con el fin de que las cosas vuelvan al estado en que se encontraban antes de la celebración del contrato.</w:t>
      </w:r>
    </w:p>
    <w:p w14:paraId="6FE9F91C" w14:textId="77777777" w:rsidR="00C93CFD" w:rsidRPr="007F1C94" w:rsidRDefault="00C93CFD" w:rsidP="00C93CFD">
      <w:pPr>
        <w:spacing w:after="0" w:line="240" w:lineRule="auto"/>
        <w:ind w:left="1276" w:right="1276"/>
        <w:contextualSpacing/>
        <w:jc w:val="both"/>
        <w:rPr>
          <w:rFonts w:ascii="Verdana" w:eastAsia="Calibri" w:hAnsi="Verdana" w:cs="Arial"/>
          <w:sz w:val="20"/>
          <w:szCs w:val="20"/>
          <w:lang w:val="es-ES_tradnl"/>
        </w:rPr>
      </w:pPr>
      <w:r w:rsidRPr="007F1C94">
        <w:rPr>
          <w:rFonts w:ascii="Verdana" w:eastAsia="Calibri" w:hAnsi="Verdana" w:cs="Arial"/>
          <w:sz w:val="20"/>
          <w:szCs w:val="20"/>
          <w:lang w:val="es-ES_tradnl"/>
        </w:rPr>
        <w:t>[…]</w:t>
      </w:r>
    </w:p>
    <w:p w14:paraId="7E068AAC" w14:textId="77777777" w:rsidR="00C93CFD" w:rsidRPr="007F1C94" w:rsidRDefault="00C93CFD" w:rsidP="00C93CFD">
      <w:pPr>
        <w:spacing w:after="0" w:line="240" w:lineRule="auto"/>
        <w:ind w:left="1276" w:right="1276"/>
        <w:contextualSpacing/>
        <w:jc w:val="both"/>
        <w:rPr>
          <w:rFonts w:ascii="Verdana" w:eastAsia="Calibri" w:hAnsi="Verdana" w:cs="Arial"/>
          <w:sz w:val="20"/>
          <w:szCs w:val="20"/>
          <w:lang w:val="es-ES"/>
        </w:rPr>
      </w:pPr>
      <w:r w:rsidRPr="007F1C94">
        <w:rPr>
          <w:rFonts w:ascii="Verdana" w:eastAsia="Calibri" w:hAnsi="Verdana" w:cs="Arial"/>
          <w:sz w:val="20"/>
          <w:szCs w:val="20"/>
          <w:lang w:val="es-ES"/>
        </w:rPr>
        <w:t xml:space="preserve">El contrato que alcanza a nacer, porque recorrió con la definición prevista por las normas jurídicas para su formación, pero concluyó de manera irregular por contrariar o vulnerar alguna norma o requisito que determina su validez (1502 y ss. del Código Civil), es inválido, o sea nulo por valoración negativa posterior o anulable bien por nulidad absoluta o por nulidad relativa, lo cual requiere de una declaración judicial que así señale esta sanción legal (artículos 1740 y ss. del Código Civil, 899 y ss. del Código de Comercio., 44 de la Ley 80 de 1993). (…) la nulidad es la sanción de invalidez del contrato </w:t>
      </w:r>
      <w:proofErr w:type="gramStart"/>
      <w:r w:rsidRPr="007F1C94">
        <w:rPr>
          <w:rFonts w:ascii="Verdana" w:eastAsia="Calibri" w:hAnsi="Verdana" w:cs="Arial"/>
          <w:sz w:val="20"/>
          <w:szCs w:val="20"/>
          <w:lang w:val="es-ES"/>
        </w:rPr>
        <w:t>que</w:t>
      </w:r>
      <w:proofErr w:type="gramEnd"/>
      <w:r w:rsidRPr="007F1C94">
        <w:rPr>
          <w:rFonts w:ascii="Verdana" w:eastAsia="Calibri" w:hAnsi="Verdana" w:cs="Arial"/>
          <w:sz w:val="20"/>
          <w:szCs w:val="20"/>
          <w:lang w:val="es-ES"/>
        </w:rPr>
        <w:t xml:space="preserve"> nacido a la vida jurídica, presenta irregularidades o vicios, por la omisión o incumplimiento de los requisitos señalados por la ley para el valor del acto o contrato, y está instituida en defensa del orden jurídico, como quiera que a través de ella el ordenamiento reacciona para reprimir los contratos ilegales, prohibidos o inmorales, en los términos descritos”.</w:t>
      </w:r>
    </w:p>
    <w:p w14:paraId="5C02F114" w14:textId="77777777" w:rsidR="00C93CFD" w:rsidRPr="007F1C94" w:rsidRDefault="00C93CFD" w:rsidP="00C93CFD">
      <w:pPr>
        <w:tabs>
          <w:tab w:val="left" w:pos="0"/>
        </w:tabs>
        <w:spacing w:after="0" w:line="276" w:lineRule="auto"/>
        <w:jc w:val="both"/>
        <w:rPr>
          <w:rFonts w:ascii="Verdana" w:eastAsia="Calibri" w:hAnsi="Verdana" w:cs="Arial"/>
          <w:bCs/>
          <w:color w:val="000000"/>
          <w:lang w:val="es-ES_tradnl"/>
        </w:rPr>
      </w:pPr>
    </w:p>
    <w:p w14:paraId="77E76B32" w14:textId="77777777" w:rsidR="00C93CFD" w:rsidRPr="007F1C94" w:rsidRDefault="00C93CFD" w:rsidP="00C93CFD">
      <w:pPr>
        <w:spacing w:after="0" w:line="276" w:lineRule="auto"/>
        <w:jc w:val="both"/>
        <w:rPr>
          <w:rFonts w:ascii="Verdana" w:eastAsia="Calibri" w:hAnsi="Verdana" w:cs="Arial"/>
          <w:lang w:val="es-ES_tradnl"/>
        </w:rPr>
      </w:pPr>
      <w:r w:rsidRPr="007F1C94">
        <w:rPr>
          <w:rFonts w:ascii="Verdana" w:eastAsia="Calibri" w:hAnsi="Verdana" w:cs="Arial"/>
          <w:lang w:val="es-ES_tradnl"/>
        </w:rPr>
        <w:t>El Código Civil establece que “es nulo todo acto o contrato a que falta alguno de los requisitos que la ley prescribe para el valor del mismo acto o contrato según su especie y la calidad o estado de las partes”</w:t>
      </w:r>
      <w:r w:rsidRPr="007F1C94">
        <w:rPr>
          <w:rFonts w:ascii="Verdana" w:eastAsia="Aptos" w:hAnsi="Verdana" w:cs="Times New Roman"/>
          <w:vertAlign w:val="superscript"/>
          <w:lang w:val="es-MX"/>
        </w:rPr>
        <w:footnoteReference w:id="19"/>
      </w:r>
      <w:r w:rsidRPr="007F1C94">
        <w:rPr>
          <w:rFonts w:ascii="Verdana" w:eastAsia="Aptos" w:hAnsi="Verdana" w:cs="Times New Roman"/>
          <w:lang w:val="es-MX"/>
        </w:rPr>
        <w:t>, y el Código de Comercio señala que “será nulo absolutamente el negocio jurídico en los siguientes casos: 1) cuando contraría una norma imperativa, salvo que la ley disponga otra cosa; 2) cuando tenga (causa u objeto ilícitos), y 3) cuando se haya celebrado por persona absolutamente incapaz”</w:t>
      </w:r>
      <w:r w:rsidRPr="007F1C94">
        <w:rPr>
          <w:rFonts w:ascii="Verdana" w:eastAsia="Arial" w:hAnsi="Verdana" w:cs="Arial"/>
          <w:vertAlign w:val="superscript"/>
          <w:lang w:val="es-ES"/>
        </w:rPr>
        <w:footnoteReference w:id="20"/>
      </w:r>
      <w:r w:rsidRPr="007F1C94">
        <w:rPr>
          <w:rFonts w:ascii="Verdana" w:eastAsia="Arial" w:hAnsi="Verdana" w:cs="Arial"/>
          <w:lang w:val="es-ES"/>
        </w:rPr>
        <w:t>.</w:t>
      </w:r>
      <w:r w:rsidRPr="007F1C94">
        <w:rPr>
          <w:rFonts w:ascii="Verdana" w:eastAsia="Aptos" w:hAnsi="Verdana" w:cs="Times New Roman"/>
          <w:lang w:val="es-ES"/>
        </w:rPr>
        <w:t xml:space="preserve"> </w:t>
      </w:r>
      <w:r w:rsidRPr="007F1C94">
        <w:rPr>
          <w:rFonts w:ascii="Verdana" w:eastAsia="Arial" w:hAnsi="Verdana" w:cs="Arial"/>
          <w:lang w:val="es-ES"/>
        </w:rPr>
        <w:t xml:space="preserve">De esta forma, en el derecho común se establecen como causales de nulidad: i) el objeto ilícito, </w:t>
      </w:r>
      <w:proofErr w:type="spellStart"/>
      <w:r w:rsidRPr="007F1C94">
        <w:rPr>
          <w:rFonts w:ascii="Verdana" w:eastAsia="Arial" w:hAnsi="Verdana" w:cs="Arial"/>
          <w:lang w:val="es-ES"/>
        </w:rPr>
        <w:t>ii</w:t>
      </w:r>
      <w:proofErr w:type="spellEnd"/>
      <w:r w:rsidRPr="007F1C94">
        <w:rPr>
          <w:rFonts w:ascii="Verdana" w:eastAsia="Arial" w:hAnsi="Verdana" w:cs="Arial"/>
          <w:lang w:val="es-ES"/>
        </w:rPr>
        <w:t xml:space="preserve">) la causa ilícita, </w:t>
      </w:r>
      <w:proofErr w:type="spellStart"/>
      <w:r w:rsidRPr="007F1C94">
        <w:rPr>
          <w:rFonts w:ascii="Verdana" w:eastAsia="Arial" w:hAnsi="Verdana" w:cs="Arial"/>
          <w:lang w:val="es-ES"/>
        </w:rPr>
        <w:t>iii</w:t>
      </w:r>
      <w:proofErr w:type="spellEnd"/>
      <w:r w:rsidRPr="007F1C94">
        <w:rPr>
          <w:rFonts w:ascii="Verdana" w:eastAsia="Arial" w:hAnsi="Verdana" w:cs="Arial"/>
          <w:lang w:val="es-ES"/>
        </w:rPr>
        <w:t xml:space="preserve">) </w:t>
      </w:r>
      <w:r w:rsidRPr="007F1C94">
        <w:rPr>
          <w:rFonts w:ascii="Verdana" w:eastAsia="Arial" w:hAnsi="Verdana" w:cs="Arial"/>
          <w:lang w:val="es-ES"/>
        </w:rPr>
        <w:lastRenderedPageBreak/>
        <w:t xml:space="preserve">omisión de las formas solemnes en su celebración, </w:t>
      </w:r>
      <w:proofErr w:type="spellStart"/>
      <w:r w:rsidRPr="007F1C94">
        <w:rPr>
          <w:rFonts w:ascii="Verdana" w:eastAsia="Arial" w:hAnsi="Verdana" w:cs="Arial"/>
          <w:lang w:val="es-ES"/>
        </w:rPr>
        <w:t>iv</w:t>
      </w:r>
      <w:proofErr w:type="spellEnd"/>
      <w:r w:rsidRPr="007F1C94">
        <w:rPr>
          <w:rFonts w:ascii="Verdana" w:eastAsia="Arial" w:hAnsi="Verdana" w:cs="Arial"/>
          <w:lang w:val="es-ES"/>
        </w:rPr>
        <w:t>) incapacidad absoluta de uno de los contratantes</w:t>
      </w:r>
      <w:r w:rsidRPr="007F1C94">
        <w:rPr>
          <w:rFonts w:ascii="Verdana" w:eastAsia="Arial" w:hAnsi="Verdana" w:cs="Arial"/>
          <w:vertAlign w:val="superscript"/>
          <w:lang w:val="es-ES"/>
        </w:rPr>
        <w:footnoteReference w:id="21"/>
      </w:r>
      <w:r w:rsidRPr="007F1C94">
        <w:rPr>
          <w:rFonts w:ascii="Verdana" w:eastAsia="Arial" w:hAnsi="Verdana" w:cs="Arial"/>
          <w:lang w:val="es-ES"/>
        </w:rPr>
        <w:t>.</w:t>
      </w:r>
    </w:p>
    <w:p w14:paraId="040862B1" w14:textId="77777777" w:rsidR="00C93CFD" w:rsidRPr="007F1C94" w:rsidRDefault="00C93CFD" w:rsidP="00C93CFD">
      <w:pPr>
        <w:spacing w:after="0" w:line="276" w:lineRule="auto"/>
        <w:ind w:left="360"/>
        <w:jc w:val="both"/>
        <w:rPr>
          <w:rFonts w:ascii="Verdana" w:eastAsia="Calibri" w:hAnsi="Verdana" w:cs="Arial"/>
          <w:lang w:val="es-ES_tradnl"/>
        </w:rPr>
      </w:pPr>
    </w:p>
    <w:p w14:paraId="50BEC7CA" w14:textId="77777777" w:rsidR="00C93CFD" w:rsidRPr="007F1C94" w:rsidRDefault="00C93CFD" w:rsidP="00C93CFD">
      <w:pPr>
        <w:spacing w:after="0" w:line="276" w:lineRule="auto"/>
        <w:jc w:val="both"/>
        <w:rPr>
          <w:rFonts w:ascii="Verdana" w:eastAsia="Calibri" w:hAnsi="Verdana" w:cs="Arial"/>
          <w:lang w:val="es-ES_tradnl"/>
        </w:rPr>
      </w:pPr>
      <w:r w:rsidRPr="007F1C94">
        <w:rPr>
          <w:rFonts w:ascii="Verdana" w:eastAsia="Calibri" w:hAnsi="Verdana" w:cs="Arial"/>
        </w:rPr>
        <w:t xml:space="preserve">En lo que respecta a la normativa del Sistema de Compra Pública, existen dos tipos de nulidades, estas son, la absoluta y la relativa. En ese sentido, la Ley 80 de 1993 señala como causales de nulidad absoluta del contrato estatal, las siguientes: i) que el contrato se celebre con personas incursas en causales de inhabilidad o incompatibilidad previstas en la Constitución y la ley, </w:t>
      </w:r>
      <w:proofErr w:type="spellStart"/>
      <w:r w:rsidRPr="007F1C94">
        <w:rPr>
          <w:rFonts w:ascii="Verdana" w:eastAsia="Calibri" w:hAnsi="Verdana" w:cs="Arial"/>
        </w:rPr>
        <w:t>ii</w:t>
      </w:r>
      <w:proofErr w:type="spellEnd"/>
      <w:r w:rsidRPr="007F1C94">
        <w:rPr>
          <w:rFonts w:ascii="Verdana" w:eastAsia="Calibri" w:hAnsi="Verdana" w:cs="Arial"/>
        </w:rPr>
        <w:t xml:space="preserve">) se celebre contra expresa prohibición constitucional o legal, </w:t>
      </w:r>
      <w:proofErr w:type="spellStart"/>
      <w:r w:rsidRPr="007F1C94">
        <w:rPr>
          <w:rFonts w:ascii="Verdana" w:eastAsia="Calibri" w:hAnsi="Verdana" w:cs="Arial"/>
        </w:rPr>
        <w:t>iii</w:t>
      </w:r>
      <w:proofErr w:type="spellEnd"/>
      <w:r w:rsidRPr="007F1C94">
        <w:rPr>
          <w:rFonts w:ascii="Verdana" w:eastAsia="Calibri" w:hAnsi="Verdana" w:cs="Arial"/>
        </w:rPr>
        <w:t xml:space="preserve">) se celebre con abuso o desviación de poder, </w:t>
      </w:r>
      <w:proofErr w:type="spellStart"/>
      <w:r w:rsidRPr="007F1C94">
        <w:rPr>
          <w:rFonts w:ascii="Verdana" w:eastAsia="Calibri" w:hAnsi="Verdana" w:cs="Arial"/>
        </w:rPr>
        <w:t>iv</w:t>
      </w:r>
      <w:proofErr w:type="spellEnd"/>
      <w:r w:rsidRPr="007F1C94">
        <w:rPr>
          <w:rFonts w:ascii="Verdana" w:eastAsia="Calibri" w:hAnsi="Verdana" w:cs="Arial"/>
        </w:rPr>
        <w:t>) se declaren nulos los actos administrativos en que se fundamenten, v) se hubieren celebrado con desconocimiento de los criterios previstos para el tratamiento de ofertas nacionales y extranjeras o con violación de la reciprocidad</w:t>
      </w:r>
      <w:r w:rsidRPr="007F1C94">
        <w:rPr>
          <w:rFonts w:ascii="Verdana" w:eastAsia="Arial" w:hAnsi="Verdana" w:cs="Arial"/>
          <w:vertAlign w:val="superscript"/>
          <w:lang w:val="es-ES"/>
        </w:rPr>
        <w:footnoteReference w:id="22"/>
      </w:r>
      <w:r w:rsidRPr="007F1C94">
        <w:rPr>
          <w:rFonts w:ascii="Verdana" w:eastAsia="Arial" w:hAnsi="Verdana" w:cs="Arial"/>
          <w:lang w:val="es-ES"/>
        </w:rPr>
        <w:t>.</w:t>
      </w:r>
    </w:p>
    <w:p w14:paraId="42035FA8" w14:textId="77777777" w:rsidR="00C93CFD" w:rsidRPr="007F1C94" w:rsidRDefault="00C93CFD" w:rsidP="00C93CFD">
      <w:pPr>
        <w:spacing w:after="0" w:line="276" w:lineRule="auto"/>
        <w:ind w:left="360"/>
        <w:jc w:val="both"/>
        <w:rPr>
          <w:rFonts w:ascii="Verdana" w:eastAsia="Calibri" w:hAnsi="Verdana" w:cs="Arial"/>
          <w:lang w:val="es-ES_tradnl"/>
        </w:rPr>
      </w:pPr>
    </w:p>
    <w:p w14:paraId="1679909E" w14:textId="77777777" w:rsidR="00C93CFD" w:rsidRPr="007F1C94" w:rsidRDefault="00C93CFD" w:rsidP="00C93CFD">
      <w:pPr>
        <w:spacing w:after="0" w:line="276" w:lineRule="auto"/>
        <w:jc w:val="both"/>
        <w:rPr>
          <w:rFonts w:ascii="Verdana" w:eastAsia="Calibri" w:hAnsi="Verdana" w:cs="Arial"/>
          <w:lang w:val="es-ES_tradnl"/>
        </w:rPr>
      </w:pPr>
      <w:r w:rsidRPr="007F1C94">
        <w:rPr>
          <w:rFonts w:ascii="Verdana" w:eastAsia="Calibri" w:hAnsi="Verdana" w:cs="Arial"/>
          <w:bCs/>
        </w:rPr>
        <w:lastRenderedPageBreak/>
        <w:t>En lo referente a la nulidad relativa, tanto la Ley 80 de 1993</w:t>
      </w:r>
      <w:r w:rsidRPr="007F1C94">
        <w:rPr>
          <w:rFonts w:ascii="Verdana" w:eastAsia="Arial" w:hAnsi="Verdana" w:cs="Arial"/>
          <w:vertAlign w:val="superscript"/>
          <w:lang w:val="es-ES"/>
        </w:rPr>
        <w:footnoteReference w:id="23"/>
      </w:r>
      <w:r w:rsidRPr="007F1C94">
        <w:rPr>
          <w:rFonts w:ascii="Verdana" w:eastAsia="Calibri" w:hAnsi="Verdana" w:cs="Arial"/>
          <w:bCs/>
        </w:rPr>
        <w:t xml:space="preserve"> como el Código Civil</w:t>
      </w:r>
      <w:r w:rsidRPr="007F1C94">
        <w:rPr>
          <w:rFonts w:ascii="Verdana" w:eastAsia="Arial" w:hAnsi="Verdana" w:cs="Arial"/>
          <w:vertAlign w:val="superscript"/>
          <w:lang w:val="es-ES"/>
        </w:rPr>
        <w:footnoteReference w:id="24"/>
      </w:r>
      <w:r w:rsidRPr="007F1C94">
        <w:rPr>
          <w:rFonts w:ascii="Verdana" w:eastAsia="Arial" w:hAnsi="Verdana" w:cs="Arial"/>
          <w:lang w:val="es-ES"/>
        </w:rPr>
        <w:t xml:space="preserve"> </w:t>
      </w:r>
      <w:r w:rsidRPr="007F1C94">
        <w:rPr>
          <w:rFonts w:ascii="Verdana" w:eastAsia="Calibri" w:hAnsi="Verdana" w:cs="Arial"/>
          <w:bCs/>
        </w:rPr>
        <w:t>le atribuyen un carácter residual, pues una vez establecido el listado de causales de nulidad absoluta, señalan que la nulidad relativa corresponde a los demás vicios que se presenten en los contratos.  De igual manera, el artículo 46 de la Ley 80 de 1993 señala que estos vicios podrán sanearse por ratificación expresa de los interesados o por el transcurso de dos años, contados a partir de la ocurrencia del hecho que genera el vicio.</w:t>
      </w:r>
    </w:p>
    <w:p w14:paraId="42500A34" w14:textId="77777777" w:rsidR="0027052D" w:rsidRPr="007F1C94" w:rsidRDefault="0027052D" w:rsidP="0027052D">
      <w:pPr>
        <w:spacing w:line="276" w:lineRule="auto"/>
        <w:jc w:val="both"/>
        <w:rPr>
          <w:rFonts w:ascii="Verdana" w:eastAsia="Calibri" w:hAnsi="Verdana" w:cs="Arial"/>
          <w:lang w:val="es-ES_tradnl"/>
        </w:rPr>
      </w:pPr>
    </w:p>
    <w:p w14:paraId="1F73EE88" w14:textId="3B098205" w:rsidR="0027052D" w:rsidRPr="007F1C94" w:rsidRDefault="0027052D" w:rsidP="0027052D">
      <w:pPr>
        <w:spacing w:line="276" w:lineRule="auto"/>
        <w:jc w:val="both"/>
        <w:rPr>
          <w:rFonts w:ascii="Verdana" w:eastAsia="Calibri" w:hAnsi="Verdana" w:cs="Arial"/>
          <w:lang w:val="es-ES"/>
        </w:rPr>
      </w:pPr>
      <w:r w:rsidRPr="007F1C94">
        <w:rPr>
          <w:rFonts w:ascii="Verdana" w:eastAsia="Calibri" w:hAnsi="Verdana" w:cs="Arial"/>
        </w:rPr>
        <w:t xml:space="preserve">En ese sentido, lo dispuesto en el Estatuto General de Contratación de la Administración Pública no es aplicable a las entidades con régimen especial. No obstante, a estas entidades, que se rigen por el derecho privado, les son aplicables las causales de nulidad establecidas en el Código Civil y el Código de Comercio. En lo que tiene que ver con el Código Civil, en su artículo 1740 y 1741 establece: </w:t>
      </w:r>
    </w:p>
    <w:p w14:paraId="52E9F26F" w14:textId="79A20AB5" w:rsidR="0027052D" w:rsidRPr="007F1C94" w:rsidRDefault="0027052D" w:rsidP="0027052D">
      <w:pPr>
        <w:spacing w:line="276" w:lineRule="auto"/>
        <w:ind w:left="1134" w:right="1041"/>
        <w:jc w:val="both"/>
        <w:rPr>
          <w:rFonts w:ascii="Verdana" w:eastAsia="Calibri" w:hAnsi="Verdana" w:cs="Arial"/>
          <w:b/>
          <w:bCs/>
          <w:sz w:val="21"/>
          <w:szCs w:val="21"/>
        </w:rPr>
      </w:pPr>
      <w:r w:rsidRPr="007F1C94">
        <w:rPr>
          <w:rFonts w:ascii="Verdana" w:eastAsia="Calibri" w:hAnsi="Verdana" w:cs="Arial"/>
          <w:b/>
          <w:bCs/>
          <w:sz w:val="21"/>
          <w:szCs w:val="21"/>
        </w:rPr>
        <w:t xml:space="preserve">“Artículo 1740: </w:t>
      </w:r>
      <w:r w:rsidRPr="007F1C94">
        <w:rPr>
          <w:rFonts w:ascii="Verdana" w:eastAsia="Calibri" w:hAnsi="Verdana" w:cs="Arial"/>
          <w:sz w:val="21"/>
          <w:szCs w:val="21"/>
        </w:rPr>
        <w:t>Establece que todo acto o contrato es nulo si carece de alguno de los requisitos que la ley prescribe para su validez, según su especie y la calidad o estado de las partes. La nulidad puede ser absoluta o relativa.”</w:t>
      </w:r>
    </w:p>
    <w:p w14:paraId="015916E6" w14:textId="10AAAC06" w:rsidR="0027052D" w:rsidRPr="00C93CFD" w:rsidRDefault="0027052D" w:rsidP="0027052D">
      <w:pPr>
        <w:spacing w:after="0" w:line="276" w:lineRule="auto"/>
        <w:ind w:left="1134" w:right="1041"/>
        <w:jc w:val="both"/>
        <w:rPr>
          <w:rFonts w:ascii="Verdana" w:eastAsia="Calibri" w:hAnsi="Verdana" w:cs="Arial"/>
          <w:b/>
          <w:bCs/>
          <w:sz w:val="21"/>
          <w:szCs w:val="21"/>
        </w:rPr>
      </w:pPr>
      <w:r w:rsidRPr="007F1C94">
        <w:rPr>
          <w:rFonts w:ascii="Verdana" w:eastAsia="Calibri" w:hAnsi="Verdana" w:cs="Arial"/>
          <w:b/>
          <w:bCs/>
          <w:sz w:val="21"/>
          <w:szCs w:val="21"/>
        </w:rPr>
        <w:t>“</w:t>
      </w:r>
      <w:r w:rsidRPr="00C93CFD">
        <w:rPr>
          <w:rFonts w:ascii="Verdana" w:eastAsia="Calibri" w:hAnsi="Verdana" w:cs="Arial"/>
          <w:b/>
          <w:bCs/>
          <w:sz w:val="21"/>
          <w:szCs w:val="21"/>
        </w:rPr>
        <w:t>Artículo 1741. Nulidad absoluta y relativa</w:t>
      </w:r>
    </w:p>
    <w:p w14:paraId="51D03398" w14:textId="2F33596E" w:rsidR="0027052D" w:rsidRPr="007F1C94" w:rsidRDefault="0027052D" w:rsidP="0027052D">
      <w:pPr>
        <w:spacing w:line="276" w:lineRule="auto"/>
        <w:ind w:left="1134" w:right="1041"/>
        <w:jc w:val="both"/>
        <w:rPr>
          <w:rFonts w:ascii="Verdana" w:eastAsia="Calibri" w:hAnsi="Verdana" w:cs="Arial"/>
          <w:sz w:val="21"/>
          <w:szCs w:val="21"/>
          <w:lang w:val="es-ES"/>
        </w:rPr>
      </w:pPr>
      <w:r w:rsidRPr="007F1C94">
        <w:rPr>
          <w:rFonts w:ascii="Verdana" w:eastAsia="Calibri" w:hAnsi="Verdana" w:cs="Arial"/>
          <w:sz w:val="21"/>
          <w:szCs w:val="21"/>
        </w:rPr>
        <w:t>La nulidad producida por un objeto o causa ilícita, y la nulidad producida por la omisión de algún requisito o formalidad que las leyes prescriben para el valor de ciertos actos o contratos en consideración a la naturaleza de ellos, y no a la calidad o estado de las personas que los ejecutan o acuerdan, son nulidades absolutas.</w:t>
      </w:r>
      <w:r w:rsidRPr="007F1C94">
        <w:rPr>
          <w:rFonts w:ascii="Verdana" w:eastAsia="Calibri" w:hAnsi="Verdana" w:cs="Arial"/>
          <w:sz w:val="21"/>
          <w:szCs w:val="21"/>
        </w:rPr>
        <w:br/>
      </w:r>
      <w:r w:rsidRPr="007F1C94">
        <w:rPr>
          <w:rFonts w:ascii="Verdana" w:eastAsia="Calibri" w:hAnsi="Verdana" w:cs="Arial"/>
          <w:sz w:val="21"/>
          <w:szCs w:val="21"/>
        </w:rPr>
        <w:lastRenderedPageBreak/>
        <w:br/>
        <w:t>Hay así mismo nulidad absoluta en los actos y contratos de personas absolutamente incapaces.</w:t>
      </w:r>
      <w:r w:rsidRPr="007F1C94">
        <w:rPr>
          <w:rFonts w:ascii="Verdana" w:eastAsia="Calibri" w:hAnsi="Verdana" w:cs="Arial"/>
          <w:sz w:val="21"/>
          <w:szCs w:val="21"/>
        </w:rPr>
        <w:br/>
      </w:r>
      <w:r w:rsidRPr="007F1C94">
        <w:rPr>
          <w:rFonts w:ascii="Verdana" w:eastAsia="Calibri" w:hAnsi="Verdana" w:cs="Arial"/>
          <w:sz w:val="21"/>
          <w:szCs w:val="21"/>
        </w:rPr>
        <w:br/>
        <w:t>Cualquiera otra especie de vicio produce nulidad relativa, y da derecho a la rescisión del acto o contrato.”</w:t>
      </w:r>
    </w:p>
    <w:p w14:paraId="151FB816" w14:textId="77777777" w:rsidR="00E11DD9" w:rsidRPr="007F1C94" w:rsidRDefault="00E11DD9" w:rsidP="00E11DD9">
      <w:pPr>
        <w:spacing w:after="0" w:line="276" w:lineRule="auto"/>
        <w:jc w:val="both"/>
        <w:rPr>
          <w:rFonts w:ascii="Verdana" w:eastAsia="Calibri" w:hAnsi="Verdana" w:cs="Arial"/>
          <w:lang w:val="es-ES"/>
        </w:rPr>
      </w:pPr>
    </w:p>
    <w:p w14:paraId="7CE5D537" w14:textId="77777777" w:rsidR="00E11DD9" w:rsidRPr="007F1C94" w:rsidRDefault="00E11DD9" w:rsidP="00E11DD9">
      <w:pPr>
        <w:spacing w:line="276" w:lineRule="auto"/>
        <w:jc w:val="both"/>
        <w:rPr>
          <w:rFonts w:ascii="Verdana" w:eastAsia="Century Gothic" w:hAnsi="Verdana" w:cs="Century Gothic"/>
          <w:b/>
          <w:bCs/>
        </w:rPr>
      </w:pPr>
      <w:r w:rsidRPr="007F1C94">
        <w:rPr>
          <w:rFonts w:ascii="Verdana" w:eastAsia="Century Gothic" w:hAnsi="Verdana" w:cs="Century Gothic"/>
          <w:b/>
          <w:bCs/>
        </w:rPr>
        <w:t>4. Referencias normativas, jurisprudenciales y otras fuentes:</w:t>
      </w: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11DD9" w:rsidRPr="007F1C94" w14:paraId="1A15F257" w14:textId="77777777" w:rsidTr="00DD0D03">
        <w:trPr>
          <w:trHeight w:val="632"/>
        </w:trPr>
        <w:tc>
          <w:tcPr>
            <w:tcW w:w="8647" w:type="dxa"/>
          </w:tcPr>
          <w:p w14:paraId="1831AC26" w14:textId="77777777" w:rsidR="00E11DD9" w:rsidRPr="007F1C94"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7F1C94">
              <w:rPr>
                <w:rFonts w:ascii="Verdana" w:hAnsi="Verdana" w:cs="Arial"/>
                <w:lang w:val="es-MX"/>
              </w:rPr>
              <w:t>Ley 487 de 1998. Artículo 8.</w:t>
            </w:r>
          </w:p>
          <w:p w14:paraId="44A5E95F" w14:textId="77777777" w:rsidR="00E11DD9" w:rsidRPr="007F1C94"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7F1C94">
              <w:rPr>
                <w:rFonts w:ascii="Verdana" w:eastAsia="Century Gothic" w:hAnsi="Verdana" w:cs="Century Gothic"/>
              </w:rPr>
              <w:t xml:space="preserve">Decreto 1812 de 2000. Artículos 2 y 10. </w:t>
            </w:r>
            <w:r w:rsidRPr="007F1C94">
              <w:rPr>
                <w:rFonts w:ascii="Verdana" w:hAnsi="Verdana" w:cs="Arial"/>
                <w:lang w:val="es-MX"/>
              </w:rPr>
              <w:t xml:space="preserve"> </w:t>
            </w:r>
          </w:p>
          <w:p w14:paraId="2BF6CADD" w14:textId="77777777" w:rsidR="00E11DD9" w:rsidRPr="007F1C94"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7F1C94">
              <w:rPr>
                <w:rFonts w:ascii="Verdana" w:hAnsi="Verdana" w:cs="Arial"/>
                <w:color w:val="000000" w:themeColor="text1"/>
              </w:rPr>
              <w:t>Ley 1474 de 2011. Artículo 86.</w:t>
            </w:r>
          </w:p>
          <w:p w14:paraId="35D14299" w14:textId="77777777" w:rsidR="00E11DD9" w:rsidRPr="007F1C94"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7F1C94">
              <w:rPr>
                <w:rFonts w:ascii="Verdana" w:hAnsi="Verdana"/>
              </w:rPr>
              <w:t>Decreto 2467 de 2005. Artículos 30 y 31.</w:t>
            </w:r>
          </w:p>
          <w:p w14:paraId="37F4B7E8" w14:textId="77777777" w:rsidR="00E11DD9" w:rsidRPr="007F1C94"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7F1C94">
              <w:rPr>
                <w:rFonts w:ascii="Verdana" w:hAnsi="Verdana"/>
              </w:rPr>
              <w:t>Decreto 4155 de 2011. Artículo 29.</w:t>
            </w:r>
          </w:p>
          <w:p w14:paraId="42400E55" w14:textId="77777777" w:rsidR="00E11DD9" w:rsidRPr="007F1C94"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7F1C94">
              <w:rPr>
                <w:rFonts w:ascii="Verdana" w:hAnsi="Verdana"/>
              </w:rPr>
              <w:t>Decreto 2094 de 2016. Artículo 31.</w:t>
            </w:r>
          </w:p>
          <w:p w14:paraId="2E729E8F" w14:textId="77777777" w:rsidR="00E11DD9" w:rsidRPr="007F1C94"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7F1C94">
              <w:rPr>
                <w:rFonts w:ascii="Verdana" w:hAnsi="Verdana"/>
              </w:rPr>
              <w:t>Ley 80 de 1993. Artículo 2.</w:t>
            </w:r>
          </w:p>
          <w:p w14:paraId="7E3998F4" w14:textId="77777777" w:rsidR="00E11DD9" w:rsidRPr="007F1C94"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7F1C94">
              <w:rPr>
                <w:rFonts w:ascii="Verdana" w:hAnsi="Verdana"/>
              </w:rPr>
              <w:t>Ley 142 de 1994. Artículo 31.</w:t>
            </w:r>
          </w:p>
          <w:p w14:paraId="02ADD403" w14:textId="77777777" w:rsidR="00E11DD9" w:rsidRPr="007F1C94"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7F1C94">
              <w:rPr>
                <w:rFonts w:ascii="Verdana" w:hAnsi="Verdana"/>
              </w:rPr>
              <w:t xml:space="preserve">Ley 689 de 2001. Artículo 3. </w:t>
            </w:r>
          </w:p>
          <w:p w14:paraId="61AB24DF" w14:textId="77777777" w:rsidR="00E11DD9" w:rsidRPr="007F1C94"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7F1C94">
              <w:rPr>
                <w:rFonts w:ascii="Verdana" w:hAnsi="Verdana"/>
              </w:rPr>
              <w:t>Ley 100 de 1993. Artículo 195, numeral 6.</w:t>
            </w:r>
          </w:p>
          <w:p w14:paraId="7DB2582D" w14:textId="77777777" w:rsidR="00E11DD9" w:rsidRPr="007F1C94"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7F1C94">
              <w:rPr>
                <w:rFonts w:ascii="Verdana" w:hAnsi="Verdana" w:cs="Arial"/>
                <w:iCs/>
                <w:color w:val="000000" w:themeColor="text1"/>
              </w:rPr>
              <w:t>Ley 1437 de 2011. Artículos 137 y 141.</w:t>
            </w:r>
          </w:p>
          <w:p w14:paraId="3DEDAD09" w14:textId="77777777" w:rsidR="00E11DD9" w:rsidRPr="007F1C94"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7F1C94">
              <w:rPr>
                <w:rFonts w:ascii="Verdana" w:hAnsi="Verdana" w:cs="Arial"/>
                <w:iCs/>
                <w:color w:val="000000" w:themeColor="text1"/>
              </w:rPr>
              <w:t>Ley 1150 de 2007. Artículo 7.</w:t>
            </w:r>
          </w:p>
          <w:p w14:paraId="62140151" w14:textId="77777777" w:rsidR="00E11DD9" w:rsidRPr="007F1C94"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7F1C94">
              <w:rPr>
                <w:rFonts w:ascii="Verdana" w:hAnsi="Verdana" w:cs="Arial"/>
                <w:iCs/>
                <w:color w:val="000000" w:themeColor="text1"/>
              </w:rPr>
              <w:t xml:space="preserve">Decreto 1082 de 2015. Artículos </w:t>
            </w:r>
            <w:r w:rsidRPr="007F1C94">
              <w:rPr>
                <w:rFonts w:ascii="Verdana" w:hAnsi="Verdana" w:cs="Arial"/>
                <w:lang w:val="es-MX"/>
              </w:rPr>
              <w:t xml:space="preserve">2.2.1.2.3.1.1., 2.2.1.2.3.1.19 </w:t>
            </w:r>
            <w:r w:rsidRPr="007F1C94">
              <w:rPr>
                <w:rFonts w:ascii="Verdana" w:hAnsi="Verdana" w:cs="Arial"/>
              </w:rPr>
              <w:t>a 2.2.1.2.3.1.16.</w:t>
            </w:r>
          </w:p>
          <w:p w14:paraId="34837278" w14:textId="77777777" w:rsidR="00E11DD9" w:rsidRPr="007F1C94"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7F1C94">
              <w:rPr>
                <w:rFonts w:ascii="Verdana" w:hAnsi="Verdana" w:cs="Arial"/>
                <w:iCs/>
                <w:color w:val="000000" w:themeColor="text1"/>
              </w:rPr>
              <w:t xml:space="preserve">Código de Comercio. Artículos 1075 y 1077. </w:t>
            </w:r>
          </w:p>
          <w:p w14:paraId="31CB2A9B" w14:textId="77777777" w:rsidR="00E11DD9" w:rsidRPr="007F1C94"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7F1C94">
              <w:rPr>
                <w:rFonts w:ascii="Verdana" w:eastAsia="Calibri" w:hAnsi="Verdana" w:cs="Arial"/>
                <w:color w:val="000000" w:themeColor="text1"/>
              </w:rPr>
              <w:t>Guía para las Entidades Estatales con régimen especial de contratación.</w:t>
            </w:r>
          </w:p>
          <w:p w14:paraId="5A2E3AF3" w14:textId="77777777" w:rsidR="00E11DD9" w:rsidRPr="007F1C94"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7F1C94">
              <w:rPr>
                <w:rFonts w:ascii="Verdana" w:hAnsi="Verdana" w:cs="Arial"/>
                <w:lang w:val="es-ES_tradnl"/>
              </w:rPr>
              <w:t xml:space="preserve">Agencia Nacional de Contratación Pública –Colombia Compra Eficiente–. Guía de garantías en procesos de contratación. p. 12. Disponible en: </w:t>
            </w:r>
            <w:hyperlink r:id="rId13" w:history="1">
              <w:r w:rsidRPr="007F1C94">
                <w:rPr>
                  <w:rStyle w:val="Hipervnculo"/>
                  <w:rFonts w:ascii="Verdana" w:hAnsi="Verdana" w:cs="Arial"/>
                  <w:lang w:val="es-ES_tradnl"/>
                </w:rPr>
                <w:t>https://www.colombiacompra.gov.co/manuales-guias-y-pliegos-tipo/manuales-y-guias</w:t>
              </w:r>
            </w:hyperlink>
            <w:r w:rsidRPr="007F1C94">
              <w:rPr>
                <w:rFonts w:ascii="Verdana" w:hAnsi="Verdana" w:cs="Arial"/>
                <w:lang w:val="es-ES_tradnl"/>
              </w:rPr>
              <w:t>.</w:t>
            </w:r>
          </w:p>
          <w:p w14:paraId="3A98506C" w14:textId="77777777" w:rsidR="00E11DD9" w:rsidRPr="007F1C94"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7F1C94">
              <w:rPr>
                <w:rFonts w:ascii="Verdana" w:hAnsi="Verdana" w:cs="Arial"/>
                <w:color w:val="000000" w:themeColor="text1"/>
              </w:rPr>
              <w:t>Consejo de Estado. Sala de lo Contencioso Administrativo. Sección Tercera. Subsección A. Sentencia del 24 de octubre de 2016. Radicado No. 45.607. Consejera Ponente: María Nubia Velásquez Rico.</w:t>
            </w:r>
          </w:p>
          <w:p w14:paraId="00521867" w14:textId="77777777" w:rsidR="00E11DD9" w:rsidRPr="007F1C94"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7F1C94">
              <w:rPr>
                <w:rFonts w:ascii="Verdana" w:hAnsi="Verdana" w:cs="Arial"/>
                <w:color w:val="000000" w:themeColor="text1"/>
              </w:rPr>
              <w:t xml:space="preserve">Consejo de Estado. Sala de lo Contencioso Administrativo. Sección Tercera. Subsección C. Sentencia del 20 de febrero de 2017. Consejero Ponente: Jaime Orlando Santofimio Gamboa. Expediente: </w:t>
            </w:r>
            <w:r w:rsidRPr="007F1C94">
              <w:rPr>
                <w:rFonts w:ascii="Verdana" w:hAnsi="Verdana" w:cs="Arial"/>
                <w:color w:val="000000" w:themeColor="text1"/>
                <w:lang w:val="es-ES_tradnl"/>
              </w:rPr>
              <w:t>56939.</w:t>
            </w:r>
          </w:p>
          <w:p w14:paraId="687EE0BC" w14:textId="77777777" w:rsidR="00E11DD9" w:rsidRPr="007F1C94"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7F1C94">
              <w:rPr>
                <w:rFonts w:ascii="Verdana" w:hAnsi="Verdana" w:cs="Arial"/>
                <w:color w:val="000000" w:themeColor="text1"/>
              </w:rPr>
              <w:lastRenderedPageBreak/>
              <w:t>Consejo de Estado. Sala de lo Contencioso Administrativo. Sección Tercera. Subsección C. Sentencia del 20 de febrero de 2017. Consejero Ponente: Jaime Orlando Santofimio Gamboa. Expediente: 5</w:t>
            </w:r>
            <w:r w:rsidRPr="007F1C94">
              <w:rPr>
                <w:rFonts w:ascii="Verdana" w:hAnsi="Verdana" w:cs="Arial"/>
                <w:color w:val="000000" w:themeColor="text1"/>
                <w:lang w:val="es-ES_tradnl"/>
              </w:rPr>
              <w:t xml:space="preserve">6562. </w:t>
            </w:r>
          </w:p>
          <w:p w14:paraId="66808AC6" w14:textId="77777777" w:rsidR="00E11DD9" w:rsidRPr="007F1C94"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7F1C94">
              <w:rPr>
                <w:rFonts w:ascii="Verdana" w:hAnsi="Verdana" w:cs="Arial"/>
                <w:color w:val="000000" w:themeColor="text1"/>
                <w:lang w:val="es-ES_tradnl"/>
              </w:rPr>
              <w:t xml:space="preserve">Consejo de Estado. Sala de lo Contencioso Administrativo. Sección Tercera. Subsección B. 1 de agosto de 2018. Consejera Ponente: Stella Conto Díaz del Castillo. Expediente: 39277. </w:t>
            </w:r>
          </w:p>
          <w:p w14:paraId="6C58CD88" w14:textId="77777777" w:rsidR="00E11DD9" w:rsidRPr="007F1C94"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7F1C94">
              <w:rPr>
                <w:rFonts w:ascii="Verdana" w:hAnsi="Verdana" w:cs="Arial"/>
                <w:color w:val="000000" w:themeColor="text1"/>
                <w:lang w:val="es-ES_tradnl"/>
              </w:rPr>
              <w:t>Consejo de Estado. Sala de lo Contencioso Administrativo. Sección Tercera. Subsección B sentencia del 14 de febrero de 2019. Consejero Ponente: Carlos Alberto Zambrano Barrera. Expediente: 38937.</w:t>
            </w:r>
          </w:p>
          <w:p w14:paraId="25D1C10F" w14:textId="77777777" w:rsidR="00E11DD9" w:rsidRPr="007F1C94" w:rsidRDefault="00E11DD9" w:rsidP="09FEE39D">
            <w:pPr>
              <w:pStyle w:val="Prrafodelista"/>
              <w:numPr>
                <w:ilvl w:val="0"/>
                <w:numId w:val="17"/>
              </w:numPr>
              <w:spacing w:line="276" w:lineRule="auto"/>
              <w:ind w:left="357" w:hanging="357"/>
              <w:jc w:val="both"/>
              <w:rPr>
                <w:rFonts w:ascii="Verdana" w:hAnsi="Verdana" w:cs="Arial"/>
              </w:rPr>
            </w:pPr>
            <w:r w:rsidRPr="007F1C94">
              <w:rPr>
                <w:rFonts w:ascii="Verdana" w:hAnsi="Verdana" w:cs="Arial"/>
              </w:rPr>
              <w:t xml:space="preserve">Consejo de Estado. Sala Plena. Sección Tercera. Sentencia de Unificación del 9 de mayo de 2024, C.P. José Roberto Sáchica Méndez, </w:t>
            </w:r>
            <w:proofErr w:type="spellStart"/>
            <w:r w:rsidRPr="007F1C94">
              <w:rPr>
                <w:rFonts w:ascii="Verdana" w:hAnsi="Verdana" w:cs="Arial"/>
              </w:rPr>
              <w:t>Exp</w:t>
            </w:r>
            <w:proofErr w:type="spellEnd"/>
            <w:r w:rsidRPr="007F1C94">
              <w:rPr>
                <w:rFonts w:ascii="Verdana" w:hAnsi="Verdana" w:cs="Arial"/>
              </w:rPr>
              <w:t>. No. 53.962.</w:t>
            </w:r>
          </w:p>
          <w:p w14:paraId="7AE83097" w14:textId="77777777" w:rsidR="00E11DD9" w:rsidRPr="007F1C94"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7F1C94">
              <w:rPr>
                <w:rFonts w:ascii="Verdana" w:hAnsi="Verdana"/>
                <w:lang w:val="es-CO"/>
              </w:rPr>
              <w:t xml:space="preserve">Consejo de Estado. Sala de lo Contenciosos Administrativo. Sección Tercera. Subsección B, sentencia del 19 de junio de 2019, </w:t>
            </w:r>
            <w:proofErr w:type="spellStart"/>
            <w:r w:rsidRPr="007F1C94">
              <w:rPr>
                <w:rFonts w:ascii="Verdana" w:hAnsi="Verdana"/>
                <w:lang w:val="es-CO"/>
              </w:rPr>
              <w:t>Exp</w:t>
            </w:r>
            <w:proofErr w:type="spellEnd"/>
            <w:r w:rsidRPr="007F1C94">
              <w:rPr>
                <w:rFonts w:ascii="Verdana" w:hAnsi="Verdana"/>
                <w:lang w:val="es-CO"/>
              </w:rPr>
              <w:t xml:space="preserve">. No. 39.800.  </w:t>
            </w:r>
            <w:r w:rsidRPr="007F1C94">
              <w:rPr>
                <w:rFonts w:ascii="Verdana" w:hAnsi="Verdana"/>
              </w:rPr>
              <w:t xml:space="preserve"> </w:t>
            </w:r>
          </w:p>
          <w:p w14:paraId="389D1062" w14:textId="77777777" w:rsidR="00E11DD9" w:rsidRPr="007F1C94"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7F1C94">
              <w:rPr>
                <w:rFonts w:ascii="Verdana" w:hAnsi="Verdana"/>
                <w:lang w:val="es-CO"/>
              </w:rPr>
              <w:t xml:space="preserve">Consejo de Estado. Sala de lo Contenciosos Administrativo. Sección Tercera. Subsección B, sentencia del 23 de noviembre de 2022, </w:t>
            </w:r>
            <w:proofErr w:type="spellStart"/>
            <w:r w:rsidRPr="007F1C94">
              <w:rPr>
                <w:rFonts w:ascii="Verdana" w:hAnsi="Verdana"/>
                <w:lang w:val="es-CO"/>
              </w:rPr>
              <w:t>Exp</w:t>
            </w:r>
            <w:proofErr w:type="spellEnd"/>
            <w:r w:rsidRPr="007F1C94">
              <w:rPr>
                <w:rFonts w:ascii="Verdana" w:hAnsi="Verdana"/>
                <w:lang w:val="es-CO"/>
              </w:rPr>
              <w:t xml:space="preserve">. No. 66.700.  </w:t>
            </w:r>
          </w:p>
          <w:p w14:paraId="7C8A5F6E" w14:textId="77777777" w:rsidR="00E11DD9" w:rsidRPr="007F1C94"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7F1C94">
              <w:rPr>
                <w:rFonts w:ascii="Verdana" w:hAnsi="Verdana"/>
                <w:lang w:val="es-CO"/>
              </w:rPr>
              <w:t xml:space="preserve">Consejo de Estado. Sala de lo Contenciosos Administrativo. Sección Tercera, Subsección C, sentencia del 21 de octubre de 2021, </w:t>
            </w:r>
            <w:proofErr w:type="spellStart"/>
            <w:r w:rsidRPr="007F1C94">
              <w:rPr>
                <w:rFonts w:ascii="Verdana" w:hAnsi="Verdana"/>
                <w:lang w:val="es-CO"/>
              </w:rPr>
              <w:t>Exp</w:t>
            </w:r>
            <w:proofErr w:type="spellEnd"/>
            <w:r w:rsidRPr="007F1C94">
              <w:rPr>
                <w:rFonts w:ascii="Verdana" w:hAnsi="Verdana"/>
                <w:lang w:val="es-CO"/>
              </w:rPr>
              <w:t>. No. 36697.</w:t>
            </w:r>
          </w:p>
          <w:p w14:paraId="637C0B60" w14:textId="77777777" w:rsidR="00E11DD9" w:rsidRPr="007F1C94"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7F1C94">
              <w:rPr>
                <w:rFonts w:ascii="Verdana" w:hAnsi="Verdana"/>
                <w:lang w:val="es-CO"/>
              </w:rPr>
              <w:t xml:space="preserve">Consejo de Estado. Sala de lo Contenciosos Administrativo. Sección Tercera, Subsección A, Sentencia del 24 de septiembre de 2020, </w:t>
            </w:r>
            <w:proofErr w:type="spellStart"/>
            <w:r w:rsidRPr="007F1C94">
              <w:rPr>
                <w:rFonts w:ascii="Verdana" w:hAnsi="Verdana"/>
                <w:lang w:val="es-CO"/>
              </w:rPr>
              <w:t>Exp</w:t>
            </w:r>
            <w:proofErr w:type="spellEnd"/>
            <w:r w:rsidRPr="007F1C94">
              <w:rPr>
                <w:rFonts w:ascii="Verdana" w:hAnsi="Verdana"/>
                <w:lang w:val="es-CO"/>
              </w:rPr>
              <w:t xml:space="preserve">. No. 44707.  </w:t>
            </w:r>
          </w:p>
          <w:p w14:paraId="28CD4B00" w14:textId="77777777" w:rsidR="00E11DD9" w:rsidRPr="007F1C94"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7F1C94">
              <w:rPr>
                <w:rFonts w:ascii="Verdana" w:hAnsi="Verdana"/>
                <w:lang w:val="es-CO"/>
              </w:rPr>
              <w:t xml:space="preserve">Consejo de Estado. Sala de lo Contenciosos Administrativo. Tercera, Subsección A, Sentencia del 21 de mayo de 2021, </w:t>
            </w:r>
            <w:proofErr w:type="spellStart"/>
            <w:r w:rsidRPr="007F1C94">
              <w:rPr>
                <w:rFonts w:ascii="Verdana" w:hAnsi="Verdana"/>
                <w:lang w:val="es-CO"/>
              </w:rPr>
              <w:t>Exp</w:t>
            </w:r>
            <w:proofErr w:type="spellEnd"/>
            <w:r w:rsidRPr="007F1C94">
              <w:rPr>
                <w:rFonts w:ascii="Verdana" w:hAnsi="Verdana"/>
                <w:lang w:val="es-CO"/>
              </w:rPr>
              <w:t xml:space="preserve">. No. 57822.  </w:t>
            </w:r>
          </w:p>
          <w:p w14:paraId="66C312C5" w14:textId="77777777" w:rsidR="00E11DD9" w:rsidRPr="007F1C94"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7F1C94">
              <w:rPr>
                <w:rFonts w:ascii="Verdana" w:hAnsi="Verdana" w:cs="Arial"/>
                <w:color w:val="000000" w:themeColor="text1"/>
              </w:rPr>
              <w:t xml:space="preserve">Consejo de Estado. Sala de lo Contencioso Administrativo. Sección Tercera. Auto del 12 de diciembre de 2017. </w:t>
            </w:r>
            <w:proofErr w:type="spellStart"/>
            <w:r w:rsidRPr="007F1C94">
              <w:rPr>
                <w:rFonts w:ascii="Verdana" w:hAnsi="Verdana" w:cs="Arial"/>
                <w:color w:val="000000" w:themeColor="text1"/>
              </w:rPr>
              <w:t>Exp</w:t>
            </w:r>
            <w:proofErr w:type="spellEnd"/>
            <w:r w:rsidRPr="007F1C94">
              <w:rPr>
                <w:rFonts w:ascii="Verdana" w:hAnsi="Verdana" w:cs="Arial"/>
                <w:color w:val="000000" w:themeColor="text1"/>
              </w:rPr>
              <w:t>. 60.477. C.P. Jaime Orlando Santofimio Gamboa.</w:t>
            </w:r>
          </w:p>
          <w:p w14:paraId="64B3EC40" w14:textId="77777777" w:rsidR="00E11DD9" w:rsidRPr="007F1C94"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7F1C94">
              <w:rPr>
                <w:rFonts w:ascii="Verdana" w:hAnsi="Verdana" w:cs="Arial"/>
                <w:lang w:val="es-ES_tradnl"/>
              </w:rPr>
              <w:t>Consejo de Estado. Sala de lo Contencioso Administrativo. Sección Tercera. Sentencia del 19 de junio de 2019. Radicado: 85001-23-31-001-2008-00076-01(39800). C.P. Alberto Montaña Plata.</w:t>
            </w:r>
          </w:p>
          <w:p w14:paraId="657B4789" w14:textId="77777777" w:rsidR="00E11DD9" w:rsidRPr="007F1C94"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7F1C94">
              <w:rPr>
                <w:rFonts w:ascii="Verdana" w:hAnsi="Verdana" w:cs="Arial"/>
                <w:lang w:val="es-ES_tradnl"/>
              </w:rPr>
              <w:t>Corte Suprema de Justicia. Sala de Casación Civil, sentencia de 30 de agosto de 2011, expediente 11001-3103-012-1999-01957-01.</w:t>
            </w:r>
          </w:p>
          <w:p w14:paraId="45744F60" w14:textId="77777777" w:rsidR="00E11DD9" w:rsidRPr="007F1C94"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7F1C94">
              <w:rPr>
                <w:rFonts w:ascii="Verdana" w:hAnsi="Verdana" w:cs="Arial"/>
                <w:color w:val="000000" w:themeColor="text1"/>
              </w:rPr>
              <w:t xml:space="preserve">BARRETO MORENO, Antonio A. El derecho de la compra pública. Legis - Universidad de la Sabana, primera edición, Bogotá, 2019. </w:t>
            </w:r>
          </w:p>
        </w:tc>
      </w:tr>
    </w:tbl>
    <w:p w14:paraId="56FEACA0" w14:textId="77777777" w:rsidR="00E11DD9" w:rsidRPr="007F1C94" w:rsidRDefault="00E11DD9" w:rsidP="00E11DD9">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6BE61F85" w14:textId="77777777" w:rsidR="00E4235A" w:rsidRPr="007F1C94" w:rsidRDefault="00E4235A" w:rsidP="00E11DD9">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033158BC" w14:textId="77777777" w:rsidR="00E11DD9" w:rsidRPr="007F1C94" w:rsidRDefault="00E11DD9" w:rsidP="00E11DD9">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7F1C94">
        <w:rPr>
          <w:rFonts w:ascii="Verdana" w:eastAsia="Century Gothic" w:hAnsi="Verdana" w:cs="Century Gothic"/>
          <w:b/>
          <w:bCs/>
          <w:lang w:val="es-CO"/>
        </w:rPr>
        <w:t xml:space="preserve">5. </w:t>
      </w:r>
      <w:r w:rsidRPr="007F1C94">
        <w:rPr>
          <w:rFonts w:ascii="Verdana" w:eastAsia="Century Gothic" w:hAnsi="Verdana" w:cs="Century Gothic"/>
          <w:b/>
          <w:bCs/>
        </w:rPr>
        <w:t>Doctrina de la Agencia Nacional de Contratación Pública:</w:t>
      </w:r>
    </w:p>
    <w:p w14:paraId="1725D946" w14:textId="77777777" w:rsidR="00E11DD9" w:rsidRPr="007F1C94" w:rsidRDefault="00E11DD9" w:rsidP="00E11DD9">
      <w:pPr>
        <w:spacing w:after="0" w:line="240" w:lineRule="auto"/>
        <w:jc w:val="both"/>
        <w:rPr>
          <w:rFonts w:ascii="Verdana" w:eastAsia="Calibri" w:hAnsi="Verdana" w:cs="Arial"/>
          <w:lang w:eastAsia="es-ES_tradnl"/>
        </w:rPr>
      </w:pPr>
    </w:p>
    <w:p w14:paraId="220D1605" w14:textId="320AD1E5" w:rsidR="00E11DD9" w:rsidRPr="007F1C94" w:rsidRDefault="00E11DD9" w:rsidP="00E11DD9">
      <w:pPr>
        <w:spacing w:after="0" w:line="276" w:lineRule="auto"/>
        <w:jc w:val="both"/>
        <w:rPr>
          <w:rFonts w:ascii="Verdana" w:eastAsia="Aptos" w:hAnsi="Verdana" w:cs="Segoe UI"/>
          <w:kern w:val="2"/>
          <w14:ligatures w14:val="standardContextual"/>
        </w:rPr>
      </w:pPr>
      <w:r w:rsidRPr="007F1C94">
        <w:rPr>
          <w:rFonts w:ascii="Verdana" w:eastAsia="Calibri" w:hAnsi="Verdana" w:cs="Arial"/>
          <w:bCs/>
          <w:color w:val="000000" w:themeColor="text1"/>
        </w:rPr>
        <w:t>Respecto de la competencia de las entidades estatales con régimen especial de contratación para iniciar procesos sancionatorios</w:t>
      </w:r>
      <w:r w:rsidR="0027052D" w:rsidRPr="007F1C94">
        <w:rPr>
          <w:rFonts w:ascii="Verdana" w:eastAsia="Calibri" w:hAnsi="Verdana" w:cs="Arial"/>
          <w:bCs/>
          <w:color w:val="000000" w:themeColor="text1"/>
        </w:rPr>
        <w:t>, nulidad y régimen especial</w:t>
      </w:r>
      <w:r w:rsidRPr="007F1C94">
        <w:rPr>
          <w:rFonts w:ascii="Verdana" w:eastAsia="Calibri" w:hAnsi="Verdana" w:cs="Arial"/>
          <w:bCs/>
          <w:color w:val="000000" w:themeColor="text1"/>
        </w:rPr>
        <w:t>, esta Subdirección se pronunció en los conceptos del 16 de octubre de 2019 –rad. 2201913000007661–, del 5 de diciembre de 2019 −rad. 2201913000008964, C-219 del 29 de abril de 2020, C-434 del 29 de julio de 2020, C- 365 del 8 de junio de 2022, C- 492 del 9 de octubre de 2024, C-1005 del 13 de enero de 2025</w:t>
      </w:r>
      <w:r w:rsidRPr="007F1C94">
        <w:rPr>
          <w:rFonts w:ascii="Verdana" w:hAnsi="Verdana" w:cs="Arial"/>
          <w:lang w:val="es-ES"/>
        </w:rPr>
        <w:t xml:space="preserve">, </w:t>
      </w:r>
      <w:r w:rsidRPr="007F1C94">
        <w:rPr>
          <w:rFonts w:ascii="Verdana" w:eastAsia="Aptos" w:hAnsi="Verdana" w:cs="Segoe UI"/>
          <w:kern w:val="2"/>
          <w14:ligatures w14:val="standardContextual"/>
        </w:rPr>
        <w:t xml:space="preserve">entre otros. </w:t>
      </w:r>
      <w:r w:rsidRPr="007F1C94">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4" w:tgtFrame="_blank" w:tooltip="Dirección URL original: https://relatoria.colombiacompra.gov.co/. Haga clic o pulse si confía en este vínculo." w:history="1">
        <w:r w:rsidRPr="007F1C94">
          <w:rPr>
            <w:rStyle w:val="Hipervnculo"/>
            <w:rFonts w:ascii="Verdana" w:hAnsi="Verdana" w:cs="Arial"/>
            <w:shd w:val="clear" w:color="auto" w:fill="FFFFFF"/>
          </w:rPr>
          <w:t>https://relatoria.colombiacompra.gov.co/</w:t>
        </w:r>
      </w:hyperlink>
      <w:r w:rsidRPr="007F1C94">
        <w:rPr>
          <w:rFonts w:ascii="Verdana" w:hAnsi="Verdana" w:cs="Arial"/>
          <w:shd w:val="clear" w:color="auto" w:fill="FFFFFF"/>
        </w:rPr>
        <w:t>.</w:t>
      </w:r>
    </w:p>
    <w:p w14:paraId="6B128226" w14:textId="77777777" w:rsidR="00E11DD9" w:rsidRPr="007F1C94" w:rsidRDefault="00E11DD9" w:rsidP="00E11DD9">
      <w:pPr>
        <w:spacing w:after="0" w:line="276" w:lineRule="auto"/>
        <w:jc w:val="both"/>
        <w:rPr>
          <w:rFonts w:ascii="Verdana" w:hAnsi="Verdana" w:cs="Arial"/>
          <w:color w:val="000000" w:themeColor="text1"/>
          <w:shd w:val="clear" w:color="auto" w:fill="FFFFFF"/>
          <w:lang w:val="es-ES_tradnl"/>
        </w:rPr>
      </w:pPr>
    </w:p>
    <w:p w14:paraId="23C1C6EF" w14:textId="5639D51D" w:rsidR="005E440A" w:rsidRPr="007F1C94" w:rsidRDefault="007F1C94" w:rsidP="005E440A">
      <w:pPr>
        <w:spacing w:after="120" w:line="276" w:lineRule="auto"/>
        <w:jc w:val="both"/>
        <w:rPr>
          <w:rFonts w:ascii="Verdana" w:hAnsi="Verdana"/>
          <w:u w:val="single"/>
        </w:rPr>
      </w:pPr>
      <w:r w:rsidRPr="007F1C94">
        <w:rPr>
          <w:rFonts w:ascii="Verdana" w:hAnsi="Verdana"/>
        </w:rPr>
        <w:t>L</w:t>
      </w:r>
      <w:r w:rsidR="005E440A" w:rsidRPr="005E440A">
        <w:rPr>
          <w:rFonts w:ascii="Verdana" w:hAnsi="Verdana"/>
        </w:rPr>
        <w:t>e contamos que ya se encuentra disponible la </w:t>
      </w:r>
      <w:r w:rsidR="005E440A" w:rsidRPr="005E440A">
        <w:rPr>
          <w:rFonts w:ascii="Verdana" w:hAnsi="Verdana"/>
          <w:b/>
          <w:bCs/>
        </w:rPr>
        <w:t>Guía de lineamientos de transparencia y selección objetiva para el departamento de La Guajira – Objetivo sexto constitucional de la Sentencia T-302 del 2017. </w:t>
      </w:r>
      <w:r w:rsidR="005E440A" w:rsidRPr="005E440A">
        <w:rPr>
          <w:rFonts w:ascii="Verdana" w:hAnsi="Verdana"/>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005E440A" w:rsidRPr="005E440A">
        <w:rPr>
          <w:rFonts w:ascii="Verdana" w:hAnsi="Verdana"/>
        </w:rPr>
        <w:t>Wayúu</w:t>
      </w:r>
      <w:proofErr w:type="spellEnd"/>
      <w:r w:rsidR="005E440A" w:rsidRPr="005E440A">
        <w:rPr>
          <w:rFonts w:ascii="Verdana" w:hAnsi="Verdana"/>
        </w:rPr>
        <w:t>. Puede consultar la guía en el siguiente enlace: </w:t>
      </w:r>
      <w:hyperlink r:id="rId15" w:tgtFrame="_blank" w:tooltip="Dirección URL original: https://www.colombiacompra.gov.co/wp-content/uploads/2025/05/GUIA-DE-LINEAMIENTOS-DE-TRANSPARENCIA-Y-SELECCION-OBJETIVA-1.0.pdf. Haga clic o pulse si confía en este vínculo." w:history="1">
        <w:r w:rsidR="005E440A" w:rsidRPr="005E440A">
          <w:rPr>
            <w:rStyle w:val="Hipervnculo"/>
            <w:rFonts w:ascii="Verdana" w:hAnsi="Verdana"/>
          </w:rPr>
          <w:t>Guía de lineamientos de transparencia y selección objetiva para el departamento de La Guajira – Objetivo sexto constitucional de la Sentencia T-302 del 2017</w:t>
        </w:r>
      </w:hyperlink>
      <w:r w:rsidR="005E440A" w:rsidRPr="005E440A">
        <w:rPr>
          <w:rFonts w:ascii="Verdana" w:hAnsi="Verdana"/>
          <w:u w:val="single"/>
        </w:rPr>
        <w:t>"</w:t>
      </w:r>
    </w:p>
    <w:p w14:paraId="654F5ABE" w14:textId="77777777" w:rsidR="005E440A" w:rsidRPr="007F1C94" w:rsidRDefault="005E440A" w:rsidP="005E440A">
      <w:pPr>
        <w:spacing w:after="120" w:line="276" w:lineRule="auto"/>
        <w:jc w:val="both"/>
        <w:rPr>
          <w:rFonts w:ascii="Verdana" w:hAnsi="Verdana"/>
          <w:u w:val="single"/>
        </w:rPr>
      </w:pPr>
    </w:p>
    <w:p w14:paraId="4D0E9679" w14:textId="77777777" w:rsidR="00E11DD9" w:rsidRPr="007F1C94" w:rsidRDefault="00E11DD9" w:rsidP="00E11DD9">
      <w:pPr>
        <w:spacing w:after="120" w:line="276" w:lineRule="auto"/>
        <w:jc w:val="both"/>
        <w:rPr>
          <w:rFonts w:ascii="Verdana" w:hAnsi="Verdana"/>
        </w:rPr>
      </w:pPr>
      <w:r w:rsidRPr="007F1C94">
        <w:rPr>
          <w:rFonts w:ascii="Verdana" w:hAnsi="Verdana"/>
        </w:rPr>
        <w:t xml:space="preserve">Por último, lo invitamos a seguirnos en las redes sociales en las cuales se difunde información institucional: </w:t>
      </w:r>
    </w:p>
    <w:p w14:paraId="43AF7C92" w14:textId="77777777" w:rsidR="00E11DD9" w:rsidRPr="007F1C94" w:rsidRDefault="00E11DD9" w:rsidP="00E11DD9">
      <w:pPr>
        <w:spacing w:after="0" w:line="240" w:lineRule="auto"/>
        <w:jc w:val="both"/>
        <w:rPr>
          <w:rFonts w:ascii="Verdana" w:hAnsi="Verdana"/>
        </w:rPr>
      </w:pPr>
    </w:p>
    <w:p w14:paraId="3E4AB3FF" w14:textId="77777777" w:rsidR="00E11DD9" w:rsidRPr="007F1C94" w:rsidRDefault="00E11DD9" w:rsidP="00E11DD9">
      <w:pPr>
        <w:spacing w:after="0" w:line="240" w:lineRule="auto"/>
        <w:jc w:val="both"/>
        <w:rPr>
          <w:rFonts w:ascii="Verdana" w:hAnsi="Verdana"/>
        </w:rPr>
      </w:pPr>
      <w:r w:rsidRPr="007F1C94">
        <w:rPr>
          <w:rFonts w:ascii="Verdana" w:hAnsi="Verdana"/>
        </w:rPr>
        <w:t xml:space="preserve">Twitter: </w:t>
      </w:r>
      <w:r w:rsidRPr="007F1C94">
        <w:rPr>
          <w:rStyle w:val="Hipervnculo"/>
          <w:rFonts w:ascii="Verdana" w:hAnsi="Verdana"/>
          <w:color w:val="4472C4" w:themeColor="accent1"/>
        </w:rPr>
        <w:t>@colombiacompra</w:t>
      </w:r>
      <w:r w:rsidRPr="007F1C94">
        <w:rPr>
          <w:rFonts w:ascii="Verdana" w:hAnsi="Verdana"/>
          <w:color w:val="4472C4" w:themeColor="accent1"/>
        </w:rPr>
        <w:t xml:space="preserve"> </w:t>
      </w:r>
    </w:p>
    <w:p w14:paraId="52E81800" w14:textId="77777777" w:rsidR="00E11DD9" w:rsidRPr="007F1C94" w:rsidRDefault="00E11DD9" w:rsidP="00E11DD9">
      <w:pPr>
        <w:spacing w:after="0" w:line="240" w:lineRule="auto"/>
        <w:jc w:val="both"/>
        <w:rPr>
          <w:rFonts w:ascii="Verdana" w:hAnsi="Verdana"/>
        </w:rPr>
      </w:pPr>
      <w:r w:rsidRPr="007F1C94">
        <w:rPr>
          <w:rFonts w:ascii="Verdana" w:hAnsi="Verdana"/>
        </w:rPr>
        <w:t xml:space="preserve">Facebook: </w:t>
      </w:r>
      <w:proofErr w:type="spellStart"/>
      <w:r w:rsidRPr="007F1C94">
        <w:rPr>
          <w:rStyle w:val="Hipervnculo"/>
          <w:rFonts w:ascii="Verdana" w:hAnsi="Verdana"/>
          <w:color w:val="4472C4" w:themeColor="accent1"/>
        </w:rPr>
        <w:t>ColombiaCompraEficiente</w:t>
      </w:r>
      <w:proofErr w:type="spellEnd"/>
    </w:p>
    <w:p w14:paraId="2CED9417" w14:textId="77777777" w:rsidR="00E11DD9" w:rsidRPr="007F1C94" w:rsidRDefault="00E11DD9" w:rsidP="00E11DD9">
      <w:pPr>
        <w:spacing w:after="0" w:line="240" w:lineRule="auto"/>
        <w:jc w:val="both"/>
        <w:rPr>
          <w:rFonts w:ascii="Verdana" w:hAnsi="Verdana"/>
        </w:rPr>
      </w:pPr>
      <w:r w:rsidRPr="007F1C94">
        <w:rPr>
          <w:rFonts w:ascii="Verdana" w:hAnsi="Verdana"/>
        </w:rPr>
        <w:t xml:space="preserve">LinkedIn: </w:t>
      </w:r>
      <w:r w:rsidRPr="007F1C94">
        <w:rPr>
          <w:rStyle w:val="Hipervnculo"/>
          <w:rFonts w:ascii="Verdana" w:hAnsi="Verdana"/>
          <w:color w:val="4472C4" w:themeColor="accent1"/>
        </w:rPr>
        <w:t>Agencia Nacional de Contratación Pública - Colombia Compra Eficiente</w:t>
      </w:r>
      <w:r w:rsidRPr="007F1C94">
        <w:rPr>
          <w:rFonts w:ascii="Verdana" w:hAnsi="Verdana"/>
          <w:color w:val="4472C4" w:themeColor="accent1"/>
        </w:rPr>
        <w:t xml:space="preserve"> </w:t>
      </w:r>
      <w:r w:rsidRPr="007F1C94">
        <w:rPr>
          <w:rFonts w:ascii="Verdana" w:hAnsi="Verdana"/>
        </w:rPr>
        <w:t xml:space="preserve">Instagram: </w:t>
      </w:r>
      <w:r w:rsidRPr="007F1C94">
        <w:rPr>
          <w:rStyle w:val="Hipervnculo"/>
          <w:rFonts w:ascii="Verdana" w:hAnsi="Verdana"/>
          <w:color w:val="4472C4" w:themeColor="accent1"/>
        </w:rPr>
        <w:t>@colombiacompraeficiente_cce</w:t>
      </w:r>
    </w:p>
    <w:p w14:paraId="3156F2E6" w14:textId="77777777" w:rsidR="00E11DD9" w:rsidRPr="007F1C94" w:rsidRDefault="00E11DD9" w:rsidP="00E11DD9">
      <w:pPr>
        <w:widowControl w:val="0"/>
        <w:autoSpaceDE w:val="0"/>
        <w:autoSpaceDN w:val="0"/>
        <w:spacing w:after="0" w:line="276" w:lineRule="auto"/>
        <w:jc w:val="both"/>
        <w:rPr>
          <w:rFonts w:ascii="Verdana" w:hAnsi="Verdana" w:cs="Arial"/>
          <w:lang w:val="es-ES_tradnl"/>
        </w:rPr>
      </w:pPr>
      <w:r w:rsidRPr="007F1C94">
        <w:rPr>
          <w:rFonts w:ascii="Verdana" w:hAnsi="Verdana" w:cs="Arial"/>
        </w:rPr>
        <w:t xml:space="preserve">Este concepto tiene el alcance previsto en el artículo 28 del Código de Procedimiento Administrativo y de lo Contencioso Administrativo </w:t>
      </w:r>
      <w:r w:rsidRPr="007F1C94">
        <w:rPr>
          <w:rFonts w:ascii="Verdana" w:hAnsi="Verdana" w:cs="Arial"/>
          <w:lang w:val="es-ES_tradnl"/>
        </w:rPr>
        <w:t xml:space="preserve">y las </w:t>
      </w:r>
      <w:r w:rsidRPr="007F1C94">
        <w:rPr>
          <w:rFonts w:ascii="Verdana" w:hAnsi="Verdana" w:cs="Arial"/>
          <w:lang w:val="es-ES_tradnl"/>
        </w:rPr>
        <w:lastRenderedPageBreak/>
        <w:t>expresiones aquí utilizadas con mayúscula inicial deben ser entendidas con el significado que les otorga el artículo 2.2.1.1.1.3.1. del Decreto 1082 de 2015.</w:t>
      </w:r>
    </w:p>
    <w:p w14:paraId="6FB13266" w14:textId="77777777" w:rsidR="00E11DD9" w:rsidRPr="007F1C94" w:rsidRDefault="00E11DD9" w:rsidP="00E11DD9">
      <w:pPr>
        <w:widowControl w:val="0"/>
        <w:autoSpaceDE w:val="0"/>
        <w:autoSpaceDN w:val="0"/>
        <w:spacing w:after="0" w:line="276" w:lineRule="auto"/>
        <w:jc w:val="both"/>
        <w:rPr>
          <w:rFonts w:ascii="Verdana" w:hAnsi="Verdana" w:cs="Arial"/>
          <w:lang w:val="es-ES_tradnl"/>
        </w:rPr>
      </w:pPr>
    </w:p>
    <w:p w14:paraId="7BE772E1" w14:textId="77777777" w:rsidR="00E11DD9" w:rsidRPr="007F1C94" w:rsidRDefault="00E11DD9" w:rsidP="00E11DD9">
      <w:pPr>
        <w:spacing w:after="0" w:line="240" w:lineRule="auto"/>
        <w:rPr>
          <w:rFonts w:ascii="Verdana" w:hAnsi="Verdana" w:cs="Arial"/>
          <w:lang w:eastAsia="es-CO"/>
        </w:rPr>
      </w:pPr>
      <w:r w:rsidRPr="007F1C94">
        <w:rPr>
          <w:rFonts w:ascii="Verdana" w:eastAsia="Times New Roman" w:hAnsi="Verdana" w:cs="Arial"/>
          <w:lang w:eastAsia="es-CO"/>
        </w:rPr>
        <w:t>Atentamente,</w:t>
      </w:r>
      <w:r w:rsidRPr="007F1C94">
        <w:rPr>
          <w:rFonts w:ascii="Verdana" w:hAnsi="Verdana" w:cs="Arial"/>
          <w:lang w:eastAsia="es-CO"/>
        </w:rPr>
        <w:t xml:space="preserve"> </w:t>
      </w:r>
    </w:p>
    <w:p w14:paraId="792F1D71" w14:textId="5F8F2419" w:rsidR="00E11DD9" w:rsidRPr="007F1C94" w:rsidRDefault="00C678F0" w:rsidP="00E11DD9">
      <w:pPr>
        <w:spacing w:after="0" w:line="240" w:lineRule="auto"/>
        <w:jc w:val="center"/>
        <w:rPr>
          <w:rFonts w:ascii="Verdana" w:hAnsi="Verdana" w:cs="Arial"/>
          <w:lang w:eastAsia="es-CO"/>
        </w:rPr>
      </w:pPr>
      <w:r w:rsidRPr="002C3AD6">
        <w:rPr>
          <w:rFonts w:ascii="Century Gothic" w:hAnsi="Century Gothic"/>
          <w:noProof/>
        </w:rPr>
        <w:drawing>
          <wp:inline distT="0" distB="0" distL="0" distR="0" wp14:anchorId="1168C4C0" wp14:editId="7B50C247">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p w14:paraId="1F89740F" w14:textId="77777777" w:rsidR="00E11DD9" w:rsidRPr="007F1C94" w:rsidRDefault="00E11DD9" w:rsidP="00E11DD9">
      <w:pPr>
        <w:spacing w:line="276" w:lineRule="auto"/>
        <w:rPr>
          <w:rFonts w:ascii="Verdana" w:hAnsi="Verdana" w:cs="Arial"/>
          <w:color w:val="000000"/>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11DD9" w:rsidRPr="007F1C94" w14:paraId="7FB4961E" w14:textId="77777777" w:rsidTr="00DD0D03">
        <w:trPr>
          <w:trHeight w:val="315"/>
        </w:trPr>
        <w:tc>
          <w:tcPr>
            <w:tcW w:w="893" w:type="dxa"/>
            <w:vAlign w:val="center"/>
            <w:hideMark/>
          </w:tcPr>
          <w:p w14:paraId="77362E99" w14:textId="77777777" w:rsidR="00E11DD9" w:rsidRPr="007F1C94" w:rsidRDefault="00E11DD9" w:rsidP="00DD0D03">
            <w:pPr>
              <w:contextualSpacing/>
              <w:rPr>
                <w:rFonts w:ascii="Verdana" w:hAnsi="Verdana" w:cs="Arial"/>
                <w:sz w:val="16"/>
                <w:szCs w:val="16"/>
                <w:lang w:val="es-ES" w:eastAsia="es-ES"/>
              </w:rPr>
            </w:pPr>
            <w:r w:rsidRPr="007F1C94">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34EC7E5" w14:textId="3B7346C4" w:rsidR="005E440A" w:rsidRPr="007F1C94" w:rsidRDefault="008865D9" w:rsidP="00DD0D03">
            <w:pPr>
              <w:contextualSpacing/>
              <w:rPr>
                <w:rStyle w:val="normaltextrun"/>
                <w:rFonts w:ascii="Verdana" w:eastAsia="Times New Roman" w:hAnsi="Verdana" w:cs="Times New Roman"/>
                <w:sz w:val="16"/>
                <w:szCs w:val="16"/>
                <w:lang w:val="es-ES" w:eastAsia="es-CO"/>
              </w:rPr>
            </w:pPr>
            <w:r>
              <w:rPr>
                <w:rStyle w:val="normaltextrun"/>
                <w:rFonts w:ascii="Verdana" w:eastAsia="Times New Roman" w:hAnsi="Verdana" w:cs="Times New Roman"/>
                <w:sz w:val="16"/>
                <w:szCs w:val="16"/>
                <w:lang w:val="es-ES" w:eastAsia="es-CO"/>
              </w:rPr>
              <w:t xml:space="preserve">Diana </w:t>
            </w:r>
            <w:r w:rsidR="005E440A" w:rsidRPr="007F1C94">
              <w:rPr>
                <w:rStyle w:val="normaltextrun"/>
                <w:rFonts w:ascii="Verdana" w:eastAsia="Times New Roman" w:hAnsi="Verdana" w:cs="Times New Roman"/>
                <w:sz w:val="16"/>
                <w:szCs w:val="16"/>
                <w:lang w:val="es-ES" w:eastAsia="es-CO"/>
              </w:rPr>
              <w:t xml:space="preserve">Carolina Blanco Rodriguez </w:t>
            </w:r>
          </w:p>
          <w:p w14:paraId="38F73B8E" w14:textId="0545D6D1" w:rsidR="00E11DD9" w:rsidRPr="007F1C94" w:rsidRDefault="00E11DD9" w:rsidP="00DD0D03">
            <w:pPr>
              <w:contextualSpacing/>
              <w:rPr>
                <w:rFonts w:ascii="Verdana" w:eastAsia="Arial" w:hAnsi="Verdana" w:cs="Arial"/>
                <w:sz w:val="16"/>
                <w:szCs w:val="16"/>
              </w:rPr>
            </w:pPr>
            <w:r w:rsidRPr="007F1C94">
              <w:rPr>
                <w:rStyle w:val="normaltextrun"/>
                <w:rFonts w:ascii="Verdana" w:eastAsia="Times New Roman" w:hAnsi="Verdana" w:cs="Times New Roman"/>
                <w:sz w:val="16"/>
                <w:szCs w:val="16"/>
                <w:lang w:val="es-ES" w:eastAsia="es-CO"/>
              </w:rPr>
              <w:t>Contratista de la Subdirección de Gestión Contractual</w:t>
            </w:r>
            <w:r w:rsidRPr="007F1C94">
              <w:rPr>
                <w:rStyle w:val="eop"/>
                <w:rFonts w:ascii="Verdana" w:hAnsi="Verdana" w:cs="Arial"/>
                <w:sz w:val="16"/>
                <w:szCs w:val="16"/>
              </w:rPr>
              <w:t> </w:t>
            </w:r>
          </w:p>
        </w:tc>
      </w:tr>
      <w:tr w:rsidR="00E11DD9" w:rsidRPr="007F1C94" w14:paraId="5946D683" w14:textId="77777777" w:rsidTr="00DD0D03">
        <w:trPr>
          <w:trHeight w:val="330"/>
        </w:trPr>
        <w:tc>
          <w:tcPr>
            <w:tcW w:w="893" w:type="dxa"/>
            <w:vAlign w:val="center"/>
            <w:hideMark/>
          </w:tcPr>
          <w:p w14:paraId="4DEFED71" w14:textId="77777777" w:rsidR="00E11DD9" w:rsidRPr="007F1C94" w:rsidRDefault="00E11DD9" w:rsidP="00DD0D03">
            <w:pPr>
              <w:contextualSpacing/>
              <w:rPr>
                <w:rFonts w:ascii="Verdana" w:hAnsi="Verdana" w:cs="Arial"/>
                <w:sz w:val="16"/>
                <w:szCs w:val="16"/>
                <w:lang w:val="es-ES" w:eastAsia="es-ES"/>
              </w:rPr>
            </w:pPr>
            <w:r w:rsidRPr="007F1C94">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874DB4D" w14:textId="0709F31F" w:rsidR="00E11DD9" w:rsidRPr="007F1C94" w:rsidRDefault="00E11DD9" w:rsidP="00DD0D03">
            <w:pPr>
              <w:pStyle w:val="paragraph"/>
              <w:spacing w:before="0" w:beforeAutospacing="0" w:after="0" w:afterAutospacing="0"/>
              <w:contextualSpacing/>
              <w:textAlignment w:val="baseline"/>
              <w:rPr>
                <w:rStyle w:val="normaltextrun"/>
                <w:rFonts w:ascii="Verdana" w:hAnsi="Verdana"/>
                <w:sz w:val="16"/>
                <w:szCs w:val="16"/>
                <w:lang w:val="es-ES"/>
              </w:rPr>
            </w:pPr>
            <w:r w:rsidRPr="007F1C94">
              <w:rPr>
                <w:rStyle w:val="normaltextrun"/>
                <w:rFonts w:ascii="Verdana" w:hAnsi="Verdana"/>
                <w:sz w:val="16"/>
                <w:szCs w:val="16"/>
                <w:lang w:val="es-ES"/>
              </w:rPr>
              <w:t xml:space="preserve">Juan </w:t>
            </w:r>
            <w:r w:rsidR="005E440A" w:rsidRPr="007F1C94">
              <w:rPr>
                <w:rStyle w:val="normaltextrun"/>
                <w:rFonts w:ascii="Verdana" w:hAnsi="Verdana"/>
                <w:sz w:val="16"/>
                <w:szCs w:val="16"/>
                <w:lang w:val="es-ES"/>
              </w:rPr>
              <w:t xml:space="preserve">Carlos González </w:t>
            </w:r>
            <w:r w:rsidR="008865D9">
              <w:rPr>
                <w:rStyle w:val="normaltextrun"/>
                <w:rFonts w:ascii="Verdana" w:hAnsi="Verdana"/>
                <w:sz w:val="16"/>
                <w:szCs w:val="16"/>
                <w:lang w:val="es-ES"/>
              </w:rPr>
              <w:t>Vásquez</w:t>
            </w:r>
          </w:p>
          <w:p w14:paraId="060DC4E2" w14:textId="38F63154" w:rsidR="00E11DD9" w:rsidRPr="007F1C94" w:rsidRDefault="00E11DD9" w:rsidP="00DD0D03">
            <w:pPr>
              <w:pStyle w:val="paragraph"/>
              <w:spacing w:before="0" w:beforeAutospacing="0" w:after="0" w:afterAutospacing="0"/>
              <w:contextualSpacing/>
              <w:textAlignment w:val="baseline"/>
              <w:rPr>
                <w:rFonts w:ascii="Verdana" w:hAnsi="Verdana" w:cs="Segoe UI"/>
                <w:sz w:val="16"/>
                <w:szCs w:val="16"/>
              </w:rPr>
            </w:pPr>
            <w:r w:rsidRPr="007F1C94">
              <w:rPr>
                <w:rStyle w:val="eop"/>
                <w:rFonts w:ascii="Verdana" w:hAnsi="Verdana" w:cs="Arial"/>
                <w:sz w:val="16"/>
                <w:szCs w:val="16"/>
              </w:rPr>
              <w:t>Contratista de la Subdirección de</w:t>
            </w:r>
            <w:r w:rsidR="008865D9">
              <w:rPr>
                <w:rStyle w:val="eop"/>
                <w:rFonts w:ascii="Verdana" w:hAnsi="Verdana" w:cs="Arial"/>
                <w:sz w:val="16"/>
                <w:szCs w:val="16"/>
              </w:rPr>
              <w:t xml:space="preserve"> Gestión Contractual</w:t>
            </w:r>
            <w:r w:rsidRPr="007F1C94">
              <w:rPr>
                <w:rStyle w:val="eop"/>
                <w:rFonts w:ascii="Verdana" w:hAnsi="Verdana" w:cs="Arial"/>
                <w:sz w:val="16"/>
                <w:szCs w:val="16"/>
              </w:rPr>
              <w:t xml:space="preserve"> </w:t>
            </w:r>
          </w:p>
        </w:tc>
      </w:tr>
      <w:tr w:rsidR="00E11DD9" w:rsidRPr="007F1C94" w14:paraId="331849EC" w14:textId="77777777" w:rsidTr="00DD0D03">
        <w:trPr>
          <w:trHeight w:val="300"/>
        </w:trPr>
        <w:tc>
          <w:tcPr>
            <w:tcW w:w="893" w:type="dxa"/>
            <w:vAlign w:val="center"/>
          </w:tcPr>
          <w:p w14:paraId="0DA03337" w14:textId="77777777" w:rsidR="00E11DD9" w:rsidRPr="007F1C94" w:rsidRDefault="00E11DD9" w:rsidP="00DD0D03">
            <w:pPr>
              <w:contextualSpacing/>
              <w:rPr>
                <w:rFonts w:ascii="Verdana" w:hAnsi="Verdana" w:cs="Arial"/>
                <w:sz w:val="16"/>
                <w:szCs w:val="16"/>
                <w:lang w:val="es-ES" w:eastAsia="es-ES"/>
              </w:rPr>
            </w:pPr>
            <w:r w:rsidRPr="007F1C94">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5D96D5E" w14:textId="77777777" w:rsidR="00E11DD9" w:rsidRPr="007F1C94" w:rsidRDefault="00E11DD9" w:rsidP="00DD0D03">
            <w:pPr>
              <w:contextualSpacing/>
              <w:rPr>
                <w:rFonts w:ascii="Verdana" w:eastAsia="Calibri" w:hAnsi="Verdana" w:cs="Arial"/>
                <w:sz w:val="16"/>
                <w:szCs w:val="16"/>
                <w:lang w:val="pt-BR" w:eastAsia="es-ES"/>
              </w:rPr>
            </w:pPr>
            <w:r w:rsidRPr="007F1C94">
              <w:rPr>
                <w:rFonts w:ascii="Verdana" w:eastAsia="Calibri" w:hAnsi="Verdana" w:cs="Arial"/>
                <w:sz w:val="16"/>
                <w:szCs w:val="16"/>
                <w:lang w:val="pt-BR" w:eastAsia="es-ES"/>
              </w:rPr>
              <w:t xml:space="preserve">Carolina Quintero </w:t>
            </w:r>
            <w:proofErr w:type="spellStart"/>
            <w:r w:rsidRPr="007F1C94">
              <w:rPr>
                <w:rFonts w:ascii="Verdana" w:eastAsia="Calibri" w:hAnsi="Verdana" w:cs="Arial"/>
                <w:sz w:val="16"/>
                <w:szCs w:val="16"/>
                <w:lang w:val="pt-BR" w:eastAsia="es-ES"/>
              </w:rPr>
              <w:t>Gacharná</w:t>
            </w:r>
            <w:proofErr w:type="spellEnd"/>
          </w:p>
          <w:p w14:paraId="11458552" w14:textId="77777777" w:rsidR="00E11DD9" w:rsidRPr="007F1C94" w:rsidRDefault="00E11DD9" w:rsidP="00DD0D03">
            <w:pPr>
              <w:contextualSpacing/>
              <w:rPr>
                <w:rFonts w:ascii="Verdana" w:eastAsia="Calibri" w:hAnsi="Verdana" w:cs="Arial"/>
                <w:sz w:val="16"/>
                <w:szCs w:val="16"/>
                <w:lang w:val="pt-BR" w:eastAsia="es-ES"/>
              </w:rPr>
            </w:pPr>
            <w:r w:rsidRPr="007F1C94">
              <w:rPr>
                <w:rFonts w:ascii="Verdana" w:eastAsia="Calibri" w:hAnsi="Verdana" w:cs="Arial"/>
                <w:sz w:val="16"/>
                <w:szCs w:val="16"/>
                <w:lang w:eastAsia="es-ES"/>
              </w:rPr>
              <w:t>Subdirectora</w:t>
            </w:r>
            <w:r w:rsidRPr="007F1C94">
              <w:rPr>
                <w:rFonts w:ascii="Verdana" w:eastAsia="Calibri" w:hAnsi="Verdana" w:cs="Arial"/>
                <w:sz w:val="16"/>
                <w:szCs w:val="16"/>
                <w:lang w:val="pt-BR" w:eastAsia="es-ES"/>
              </w:rPr>
              <w:t xml:space="preserve"> de Gestión </w:t>
            </w:r>
            <w:proofErr w:type="spellStart"/>
            <w:r w:rsidRPr="007F1C94">
              <w:rPr>
                <w:rFonts w:ascii="Verdana" w:eastAsia="Calibri" w:hAnsi="Verdana" w:cs="Arial"/>
                <w:sz w:val="16"/>
                <w:szCs w:val="16"/>
                <w:lang w:val="pt-BR" w:eastAsia="es-ES"/>
              </w:rPr>
              <w:t>Contractual</w:t>
            </w:r>
            <w:proofErr w:type="spellEnd"/>
            <w:r w:rsidRPr="007F1C94">
              <w:rPr>
                <w:rFonts w:ascii="Verdana" w:eastAsia="Calibri" w:hAnsi="Verdana" w:cs="Arial"/>
                <w:sz w:val="16"/>
                <w:szCs w:val="16"/>
                <w:lang w:val="pt-BR" w:eastAsia="es-ES"/>
              </w:rPr>
              <w:t xml:space="preserve"> ANCP – CCE</w:t>
            </w:r>
          </w:p>
        </w:tc>
      </w:tr>
    </w:tbl>
    <w:p w14:paraId="45D89FE0" w14:textId="77777777" w:rsidR="00E11DD9" w:rsidRPr="007F1C94" w:rsidRDefault="00E11DD9" w:rsidP="00E11DD9">
      <w:pPr>
        <w:spacing w:after="0"/>
        <w:jc w:val="both"/>
        <w:rPr>
          <w:rStyle w:val="Hipervnculo"/>
          <w:rFonts w:ascii="Verdana" w:hAnsi="Verdana"/>
        </w:rPr>
      </w:pPr>
    </w:p>
    <w:p w14:paraId="227A369C" w14:textId="77777777" w:rsidR="00E11DD9" w:rsidRPr="007F1C94" w:rsidRDefault="00E11DD9" w:rsidP="00E11DD9">
      <w:pPr>
        <w:spacing w:after="0"/>
        <w:jc w:val="both"/>
        <w:rPr>
          <w:rStyle w:val="Hipervnculo"/>
          <w:rFonts w:ascii="Verdana" w:hAnsi="Verdana"/>
        </w:rPr>
      </w:pPr>
    </w:p>
    <w:p w14:paraId="458DB72B" w14:textId="77777777" w:rsidR="00E11DD9" w:rsidRPr="007F1C94" w:rsidRDefault="00E11DD9" w:rsidP="00E11DD9">
      <w:pPr>
        <w:spacing w:after="0" w:line="240" w:lineRule="auto"/>
        <w:textAlignment w:val="baseline"/>
        <w:rPr>
          <w:rFonts w:ascii="Verdana" w:eastAsia="Times New Roman" w:hAnsi="Verdana" w:cs="Segoe UI"/>
          <w:b/>
          <w:bCs/>
          <w:color w:val="46589C"/>
          <w:lang w:val="es-ES" w:eastAsia="es-CO"/>
        </w:rPr>
      </w:pPr>
    </w:p>
    <w:p w14:paraId="68B8C4CF" w14:textId="77777777" w:rsidR="00E11DD9" w:rsidRPr="007F1C94" w:rsidRDefault="00E11DD9" w:rsidP="00E11DD9">
      <w:pPr>
        <w:spacing w:after="0"/>
        <w:jc w:val="both"/>
        <w:rPr>
          <w:rStyle w:val="Hipervnculo"/>
          <w:rFonts w:ascii="Verdana" w:hAnsi="Verdana"/>
          <w:lang w:val="es-ES"/>
        </w:rPr>
      </w:pPr>
    </w:p>
    <w:bookmarkEnd w:id="0"/>
    <w:p w14:paraId="13633163" w14:textId="77777777" w:rsidR="00E11DD9" w:rsidRPr="007F1C94" w:rsidRDefault="00E11DD9" w:rsidP="00E11DD9">
      <w:pPr>
        <w:spacing w:after="0" w:line="240" w:lineRule="auto"/>
        <w:textAlignment w:val="baseline"/>
        <w:rPr>
          <w:rFonts w:ascii="Verdana" w:eastAsia="Times New Roman" w:hAnsi="Verdana" w:cs="Segoe UI"/>
          <w:b/>
          <w:bCs/>
          <w:color w:val="46589C"/>
          <w:lang w:val="es-ES" w:eastAsia="es-CO"/>
        </w:rPr>
      </w:pPr>
    </w:p>
    <w:bookmarkEnd w:id="1"/>
    <w:p w14:paraId="5F6A63ED" w14:textId="77777777" w:rsidR="00E11DD9" w:rsidRPr="007F1C94" w:rsidRDefault="00E11DD9" w:rsidP="00E11DD9">
      <w:pPr>
        <w:rPr>
          <w:rFonts w:ascii="Verdana" w:hAnsi="Verdana"/>
          <w:lang w:val="es-ES"/>
        </w:rPr>
      </w:pPr>
    </w:p>
    <w:p w14:paraId="3900974D" w14:textId="77777777" w:rsidR="003D5B0D" w:rsidRPr="007F1C94" w:rsidRDefault="003D5B0D" w:rsidP="00A96C27">
      <w:pPr>
        <w:rPr>
          <w:rFonts w:ascii="Verdana" w:hAnsi="Verdana"/>
          <w:lang w:val="es-ES"/>
        </w:rPr>
      </w:pPr>
    </w:p>
    <w:sectPr w:rsidR="003D5B0D" w:rsidRPr="007F1C94"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25C29" w14:textId="77777777" w:rsidR="00A739D2" w:rsidRDefault="00A739D2" w:rsidP="004A1847">
      <w:pPr>
        <w:spacing w:after="0" w:line="240" w:lineRule="auto"/>
      </w:pPr>
      <w:r>
        <w:separator/>
      </w:r>
    </w:p>
  </w:endnote>
  <w:endnote w:type="continuationSeparator" w:id="0">
    <w:p w14:paraId="709421A6" w14:textId="77777777" w:rsidR="00A739D2" w:rsidRDefault="00A739D2" w:rsidP="004A1847">
      <w:pPr>
        <w:spacing w:after="0" w:line="240" w:lineRule="auto"/>
      </w:pPr>
      <w:r>
        <w:continuationSeparator/>
      </w:r>
    </w:p>
  </w:endnote>
  <w:endnote w:type="continuationNotice" w:id="1">
    <w:p w14:paraId="73441EA2" w14:textId="77777777" w:rsidR="00A739D2" w:rsidRDefault="00A739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240AF" w14:textId="77777777" w:rsidR="00A739D2" w:rsidRDefault="00A739D2" w:rsidP="004A1847">
      <w:pPr>
        <w:spacing w:after="0" w:line="240" w:lineRule="auto"/>
      </w:pPr>
      <w:r>
        <w:separator/>
      </w:r>
    </w:p>
  </w:footnote>
  <w:footnote w:type="continuationSeparator" w:id="0">
    <w:p w14:paraId="298753A1" w14:textId="77777777" w:rsidR="00A739D2" w:rsidRDefault="00A739D2" w:rsidP="004A1847">
      <w:pPr>
        <w:spacing w:after="0" w:line="240" w:lineRule="auto"/>
      </w:pPr>
      <w:r>
        <w:continuationSeparator/>
      </w:r>
    </w:p>
  </w:footnote>
  <w:footnote w:type="continuationNotice" w:id="1">
    <w:p w14:paraId="6190BD16" w14:textId="77777777" w:rsidR="00A739D2" w:rsidRDefault="00A739D2">
      <w:pPr>
        <w:spacing w:after="0" w:line="240" w:lineRule="auto"/>
      </w:pPr>
    </w:p>
  </w:footnote>
  <w:footnote w:id="2">
    <w:p w14:paraId="2394984F" w14:textId="77777777" w:rsidR="00E11DD9" w:rsidRPr="003E2347" w:rsidRDefault="00E11DD9" w:rsidP="00E11DD9">
      <w:pPr>
        <w:pStyle w:val="Textonotapie"/>
        <w:ind w:firstLine="709"/>
        <w:jc w:val="both"/>
        <w:rPr>
          <w:rFonts w:ascii="Verdana" w:hAnsi="Verdana" w:cs="Arial"/>
          <w:color w:val="000000" w:themeColor="text1"/>
          <w:sz w:val="16"/>
          <w:szCs w:val="16"/>
        </w:rPr>
      </w:pPr>
      <w:r w:rsidRPr="003E2347">
        <w:rPr>
          <w:rStyle w:val="Refdenotaalpie"/>
          <w:rFonts w:ascii="Verdana" w:hAnsi="Verdana" w:cs="Arial"/>
          <w:color w:val="000000" w:themeColor="text1"/>
          <w:sz w:val="16"/>
          <w:szCs w:val="16"/>
        </w:rPr>
        <w:footnoteRef/>
      </w:r>
      <w:r w:rsidRPr="003E2347">
        <w:rPr>
          <w:rFonts w:ascii="Verdana" w:hAnsi="Verdana" w:cs="Arial"/>
          <w:color w:val="000000" w:themeColor="text1"/>
          <w:sz w:val="16"/>
          <w:szCs w:val="16"/>
        </w:rPr>
        <w:t xml:space="preserve"> Agencia Nacional de Contratación Pública - Colombia Compra Eficiente. Guía para las Entidades Estatales con régimen especial de contratación: “Entidad Estatal de régimen especial: Entidad Estatal que realiza sus Procesos de Contratación con un régimen distinto al previsto en las Leyes 80 de 1993 y 1150 de 2007”.</w:t>
      </w:r>
    </w:p>
    <w:p w14:paraId="16A3C660" w14:textId="77777777" w:rsidR="00E11DD9" w:rsidRPr="003E2347" w:rsidRDefault="00E11DD9" w:rsidP="00E11DD9">
      <w:pPr>
        <w:pStyle w:val="Textonotapie"/>
        <w:ind w:firstLine="709"/>
        <w:jc w:val="both"/>
        <w:rPr>
          <w:rFonts w:ascii="Verdana" w:hAnsi="Verdana" w:cs="Arial"/>
          <w:color w:val="000000" w:themeColor="text1"/>
          <w:sz w:val="16"/>
          <w:szCs w:val="16"/>
          <w:lang w:val="es-ES"/>
        </w:rPr>
      </w:pPr>
    </w:p>
  </w:footnote>
  <w:footnote w:id="3">
    <w:p w14:paraId="23FE02C7" w14:textId="77777777" w:rsidR="00E11DD9" w:rsidRPr="003E2347" w:rsidRDefault="00E11DD9" w:rsidP="00E11DD9">
      <w:pPr>
        <w:pStyle w:val="Textonotapie"/>
        <w:ind w:firstLine="709"/>
        <w:jc w:val="both"/>
        <w:rPr>
          <w:rFonts w:ascii="Verdana" w:hAnsi="Verdana" w:cs="Arial"/>
          <w:color w:val="000000" w:themeColor="text1"/>
          <w:sz w:val="16"/>
          <w:szCs w:val="16"/>
        </w:rPr>
      </w:pPr>
      <w:r w:rsidRPr="003E2347">
        <w:rPr>
          <w:rStyle w:val="Refdenotaalpie"/>
          <w:rFonts w:ascii="Verdana" w:hAnsi="Verdana" w:cs="Arial"/>
          <w:color w:val="000000" w:themeColor="text1"/>
          <w:sz w:val="16"/>
          <w:szCs w:val="16"/>
        </w:rPr>
        <w:footnoteRef/>
      </w:r>
      <w:r w:rsidRPr="003E2347">
        <w:rPr>
          <w:rFonts w:ascii="Verdana" w:hAnsi="Verdana" w:cs="Arial"/>
          <w:color w:val="000000" w:themeColor="text1"/>
          <w:sz w:val="16"/>
          <w:szCs w:val="16"/>
        </w:rPr>
        <w:t xml:space="preserve"> </w:t>
      </w:r>
      <w:bookmarkStart w:id="4" w:name="_Hlk178103192"/>
      <w:r>
        <w:rPr>
          <w:rFonts w:ascii="Verdana" w:hAnsi="Verdana" w:cs="Arial"/>
          <w:color w:val="000000" w:themeColor="text1"/>
          <w:sz w:val="16"/>
          <w:szCs w:val="16"/>
        </w:rPr>
        <w:t>Consejo de Estado</w:t>
      </w:r>
      <w:r w:rsidRPr="003E2347">
        <w:rPr>
          <w:rFonts w:ascii="Verdana" w:hAnsi="Verdana" w:cs="Arial"/>
          <w:color w:val="000000" w:themeColor="text1"/>
          <w:sz w:val="16"/>
          <w:szCs w:val="16"/>
        </w:rPr>
        <w:t>.</w:t>
      </w:r>
      <w:r>
        <w:rPr>
          <w:rFonts w:ascii="Verdana" w:hAnsi="Verdana" w:cs="Arial"/>
          <w:color w:val="000000" w:themeColor="text1"/>
          <w:sz w:val="16"/>
          <w:szCs w:val="16"/>
        </w:rPr>
        <w:t xml:space="preserve"> Sala de lo Contencioso Administrativo. </w:t>
      </w:r>
      <w:r w:rsidRPr="003E2347">
        <w:rPr>
          <w:rFonts w:ascii="Verdana" w:hAnsi="Verdana" w:cs="Arial"/>
          <w:color w:val="000000" w:themeColor="text1"/>
          <w:sz w:val="16"/>
          <w:szCs w:val="16"/>
        </w:rPr>
        <w:t>Sección Tercera.</w:t>
      </w:r>
      <w:r>
        <w:rPr>
          <w:rFonts w:ascii="Verdana" w:hAnsi="Verdana" w:cs="Arial"/>
          <w:color w:val="000000" w:themeColor="text1"/>
          <w:sz w:val="16"/>
          <w:szCs w:val="16"/>
        </w:rPr>
        <w:t xml:space="preserve"> Subsección A.</w:t>
      </w:r>
      <w:r w:rsidRPr="003E2347">
        <w:rPr>
          <w:rFonts w:ascii="Verdana" w:hAnsi="Verdana" w:cs="Arial"/>
          <w:color w:val="000000" w:themeColor="text1"/>
          <w:sz w:val="16"/>
          <w:szCs w:val="16"/>
        </w:rPr>
        <w:t xml:space="preserve"> </w:t>
      </w:r>
      <w:r>
        <w:rPr>
          <w:rFonts w:ascii="Verdana" w:hAnsi="Verdana" w:cs="Arial"/>
          <w:color w:val="000000" w:themeColor="text1"/>
          <w:sz w:val="16"/>
          <w:szCs w:val="16"/>
        </w:rPr>
        <w:t xml:space="preserve">Sentencia del </w:t>
      </w:r>
      <w:r w:rsidRPr="003E2347">
        <w:rPr>
          <w:rFonts w:ascii="Verdana" w:hAnsi="Verdana" w:cs="Arial"/>
          <w:color w:val="000000" w:themeColor="text1"/>
          <w:sz w:val="16"/>
          <w:szCs w:val="16"/>
        </w:rPr>
        <w:t>24 de octubre de 2016.</w:t>
      </w:r>
      <w:r>
        <w:rPr>
          <w:rFonts w:ascii="Verdana" w:hAnsi="Verdana" w:cs="Arial"/>
          <w:color w:val="000000" w:themeColor="text1"/>
          <w:sz w:val="16"/>
          <w:szCs w:val="16"/>
        </w:rPr>
        <w:t xml:space="preserve"> </w:t>
      </w:r>
      <w:r w:rsidRPr="003E2347">
        <w:rPr>
          <w:rFonts w:ascii="Verdana" w:hAnsi="Verdana" w:cs="Arial"/>
          <w:color w:val="000000" w:themeColor="text1"/>
          <w:sz w:val="16"/>
          <w:szCs w:val="16"/>
        </w:rPr>
        <w:t>Radicado No. 45.607</w:t>
      </w:r>
      <w:r>
        <w:rPr>
          <w:rFonts w:ascii="Verdana" w:hAnsi="Verdana" w:cs="Arial"/>
          <w:color w:val="000000" w:themeColor="text1"/>
          <w:sz w:val="16"/>
          <w:szCs w:val="16"/>
        </w:rPr>
        <w:t xml:space="preserve">. </w:t>
      </w:r>
      <w:r w:rsidRPr="003E2347">
        <w:rPr>
          <w:rFonts w:ascii="Verdana" w:hAnsi="Verdana" w:cs="Arial"/>
          <w:color w:val="000000" w:themeColor="text1"/>
          <w:sz w:val="16"/>
          <w:szCs w:val="16"/>
        </w:rPr>
        <w:t>Consejera Ponente: María Nubia Velásquez Rico.</w:t>
      </w:r>
    </w:p>
    <w:bookmarkEnd w:id="4"/>
    <w:p w14:paraId="62BD6515" w14:textId="77777777" w:rsidR="00E11DD9" w:rsidRPr="003E2347" w:rsidRDefault="00E11DD9" w:rsidP="00E11DD9">
      <w:pPr>
        <w:pStyle w:val="Textonotapie"/>
        <w:ind w:firstLine="709"/>
        <w:jc w:val="both"/>
        <w:rPr>
          <w:rFonts w:ascii="Verdana" w:hAnsi="Verdana" w:cs="Arial"/>
          <w:color w:val="000000" w:themeColor="text1"/>
          <w:sz w:val="16"/>
          <w:szCs w:val="16"/>
          <w:lang w:val="es-ES"/>
        </w:rPr>
      </w:pPr>
    </w:p>
  </w:footnote>
  <w:footnote w:id="4">
    <w:p w14:paraId="16DBB9D6" w14:textId="77777777" w:rsidR="00E11DD9" w:rsidRDefault="00E11DD9" w:rsidP="00E11DD9">
      <w:pPr>
        <w:pStyle w:val="Textonotapie"/>
        <w:ind w:firstLine="709"/>
        <w:jc w:val="both"/>
        <w:rPr>
          <w:rFonts w:ascii="Verdana" w:hAnsi="Verdana" w:cs="Arial"/>
          <w:color w:val="000000" w:themeColor="text1"/>
          <w:sz w:val="16"/>
          <w:szCs w:val="16"/>
        </w:rPr>
      </w:pPr>
      <w:r w:rsidRPr="003E2347">
        <w:rPr>
          <w:rStyle w:val="Refdenotaalpie"/>
          <w:rFonts w:ascii="Verdana" w:hAnsi="Verdana" w:cs="Arial"/>
          <w:color w:val="000000" w:themeColor="text1"/>
          <w:sz w:val="16"/>
          <w:szCs w:val="16"/>
        </w:rPr>
        <w:footnoteRef/>
      </w:r>
      <w:r w:rsidRPr="003E2347">
        <w:rPr>
          <w:rFonts w:ascii="Verdana" w:hAnsi="Verdana" w:cs="Arial"/>
          <w:color w:val="000000" w:themeColor="text1"/>
          <w:sz w:val="16"/>
          <w:szCs w:val="16"/>
        </w:rPr>
        <w:t xml:space="preserve"> Sobre las entidades de régimen especial, se puede consultar su definición y un listado aproximado de este tipo de entidades en: </w:t>
      </w:r>
      <w:bookmarkStart w:id="5" w:name="_Hlk178103160"/>
      <w:r w:rsidRPr="003E2347">
        <w:rPr>
          <w:rFonts w:ascii="Verdana" w:hAnsi="Verdana" w:cs="Arial"/>
          <w:color w:val="000000" w:themeColor="text1"/>
          <w:sz w:val="16"/>
          <w:szCs w:val="16"/>
        </w:rPr>
        <w:t>BARRETO MORENO, Antonio A. El derecho de la compra pública</w:t>
      </w:r>
      <w:bookmarkEnd w:id="5"/>
      <w:r w:rsidRPr="003E2347">
        <w:rPr>
          <w:rFonts w:ascii="Verdana" w:hAnsi="Verdana" w:cs="Arial"/>
          <w:color w:val="000000" w:themeColor="text1"/>
          <w:sz w:val="16"/>
          <w:szCs w:val="16"/>
        </w:rPr>
        <w:t xml:space="preserve">. Legis - Universidad de la Sabana, primera edición, Bogotá, 2019. </w:t>
      </w:r>
    </w:p>
    <w:p w14:paraId="06750D1B" w14:textId="77777777" w:rsidR="00E11DD9" w:rsidRPr="003E2347" w:rsidRDefault="00E11DD9" w:rsidP="00E11DD9">
      <w:pPr>
        <w:pStyle w:val="Textonotapie"/>
        <w:ind w:firstLine="709"/>
        <w:jc w:val="both"/>
        <w:rPr>
          <w:rFonts w:ascii="Verdana" w:hAnsi="Verdana" w:cs="Arial"/>
          <w:color w:val="000000" w:themeColor="text1"/>
          <w:sz w:val="16"/>
          <w:szCs w:val="16"/>
          <w:lang w:val="es-ES"/>
        </w:rPr>
      </w:pPr>
    </w:p>
  </w:footnote>
  <w:footnote w:id="5">
    <w:p w14:paraId="5384676D" w14:textId="77777777" w:rsidR="00E11DD9" w:rsidRPr="003E2347" w:rsidRDefault="00E11DD9" w:rsidP="00E11DD9">
      <w:pPr>
        <w:pStyle w:val="Textonotapie"/>
        <w:ind w:firstLine="709"/>
        <w:jc w:val="both"/>
        <w:rPr>
          <w:rFonts w:ascii="Verdana" w:hAnsi="Verdana" w:cs="Arial"/>
          <w:color w:val="000000" w:themeColor="text1"/>
          <w:sz w:val="16"/>
          <w:szCs w:val="16"/>
          <w:lang w:val="es-ES"/>
        </w:rPr>
      </w:pPr>
      <w:r w:rsidRPr="003E2347">
        <w:rPr>
          <w:rStyle w:val="Refdenotaalpie"/>
          <w:rFonts w:ascii="Verdana" w:hAnsi="Verdana" w:cs="Arial"/>
          <w:color w:val="000000" w:themeColor="text1"/>
          <w:sz w:val="16"/>
          <w:szCs w:val="16"/>
        </w:rPr>
        <w:footnoteRef/>
      </w:r>
      <w:r w:rsidRPr="003E2347">
        <w:rPr>
          <w:rFonts w:ascii="Verdana" w:hAnsi="Verdana" w:cs="Arial"/>
          <w:color w:val="000000" w:themeColor="text1"/>
          <w:sz w:val="16"/>
          <w:szCs w:val="16"/>
        </w:rPr>
        <w:t xml:space="preserve"> </w:t>
      </w:r>
      <w:r w:rsidRPr="003E2347">
        <w:rPr>
          <w:rFonts w:ascii="Verdana" w:hAnsi="Verdana" w:cs="Arial"/>
          <w:color w:val="000000" w:themeColor="text1"/>
          <w:sz w:val="16"/>
          <w:szCs w:val="16"/>
          <w:lang w:val="es-ES"/>
        </w:rPr>
        <w:t>En efecto, el artículo 86 de la Ley 1474 de 2011 dispone: “</w:t>
      </w:r>
      <w:r w:rsidRPr="003E2347">
        <w:rPr>
          <w:rFonts w:ascii="Verdana" w:hAnsi="Verdana" w:cs="Arial"/>
          <w:i/>
          <w:color w:val="000000" w:themeColor="text1"/>
          <w:sz w:val="16"/>
          <w:szCs w:val="16"/>
          <w:lang w:val="es-ES"/>
        </w:rPr>
        <w:t>Las entidades sometidas al Estatuto General de Contratación de la Administración Pública</w:t>
      </w:r>
      <w:r w:rsidRPr="003E2347">
        <w:rPr>
          <w:rFonts w:ascii="Verdana" w:hAnsi="Verdana" w:cs="Arial"/>
          <w:color w:val="000000" w:themeColor="text1"/>
          <w:sz w:val="16"/>
          <w:szCs w:val="16"/>
          <w:lang w:val="es-ES"/>
        </w:rPr>
        <w:t xml:space="preserve"> podrán declarar el incumplimiento, cuantificando los perjuicios del mismo, imponer las multas y sanciones pactadas en el contrato, y hacer efectiva la cláusula penal</w:t>
      </w:r>
      <w:r>
        <w:rPr>
          <w:rFonts w:ascii="Verdana" w:hAnsi="Verdana" w:cs="Arial"/>
          <w:color w:val="000000" w:themeColor="text1"/>
          <w:sz w:val="16"/>
          <w:szCs w:val="16"/>
          <w:lang w:val="es-ES"/>
        </w:rPr>
        <w:t xml:space="preserve"> (…)</w:t>
      </w:r>
      <w:r w:rsidRPr="003E2347">
        <w:rPr>
          <w:rFonts w:ascii="Verdana" w:hAnsi="Verdana" w:cs="Arial"/>
          <w:color w:val="000000" w:themeColor="text1"/>
          <w:sz w:val="16"/>
          <w:szCs w:val="16"/>
          <w:lang w:val="es-ES"/>
        </w:rPr>
        <w:t xml:space="preserve">. </w:t>
      </w:r>
    </w:p>
    <w:p w14:paraId="1980974B" w14:textId="77777777" w:rsidR="00E11DD9" w:rsidRPr="003E2347" w:rsidRDefault="00E11DD9" w:rsidP="00E11DD9">
      <w:pPr>
        <w:pStyle w:val="Textonotapie"/>
        <w:ind w:firstLine="709"/>
        <w:jc w:val="both"/>
        <w:rPr>
          <w:rFonts w:ascii="Verdana" w:hAnsi="Verdana" w:cs="Arial"/>
          <w:color w:val="000000" w:themeColor="text1"/>
          <w:sz w:val="16"/>
          <w:szCs w:val="16"/>
          <w:lang w:val="es-ES"/>
        </w:rPr>
      </w:pPr>
    </w:p>
  </w:footnote>
  <w:footnote w:id="6">
    <w:p w14:paraId="7538D1CA" w14:textId="77777777" w:rsidR="00E11DD9" w:rsidRPr="00CB471F" w:rsidRDefault="00E11DD9" w:rsidP="00E11DD9">
      <w:pPr>
        <w:pStyle w:val="Textonotapie"/>
        <w:ind w:firstLine="709"/>
        <w:jc w:val="both"/>
        <w:rPr>
          <w:rFonts w:ascii="Verdana" w:hAnsi="Verdana" w:cs="Arial"/>
          <w:color w:val="000000" w:themeColor="text1"/>
          <w:sz w:val="16"/>
          <w:szCs w:val="16"/>
          <w:lang w:val="es-ES"/>
        </w:rPr>
      </w:pPr>
      <w:r w:rsidRPr="00CB471F">
        <w:rPr>
          <w:rStyle w:val="Refdenotaalpie"/>
          <w:rFonts w:ascii="Verdana" w:hAnsi="Verdana" w:cs="Arial"/>
          <w:color w:val="000000" w:themeColor="text1"/>
          <w:sz w:val="16"/>
          <w:szCs w:val="16"/>
        </w:rPr>
        <w:footnoteRef/>
      </w:r>
      <w:r w:rsidRPr="00CB471F">
        <w:rPr>
          <w:rFonts w:ascii="Verdana" w:hAnsi="Verdana" w:cs="Arial"/>
          <w:color w:val="000000" w:themeColor="text1"/>
          <w:sz w:val="16"/>
          <w:szCs w:val="16"/>
        </w:rPr>
        <w:t xml:space="preserve"> </w:t>
      </w:r>
      <w:r w:rsidRPr="00CB471F">
        <w:rPr>
          <w:rFonts w:ascii="Verdana" w:hAnsi="Verdana" w:cs="Arial"/>
          <w:color w:val="000000" w:themeColor="text1"/>
          <w:sz w:val="16"/>
          <w:szCs w:val="16"/>
          <w:lang w:val="es-ES"/>
        </w:rPr>
        <w:t>Debe recordarse que las entidades sometidas al Estatuto General de Contratación de la Administración Pública son las que se señalan en el artículo 2 de la Ley 80 de 1993. Esta disposición establece: “Para los solos efectos de esta ley:</w:t>
      </w:r>
    </w:p>
    <w:p w14:paraId="1FD51F68" w14:textId="77777777" w:rsidR="00E11DD9" w:rsidRPr="00CB471F" w:rsidRDefault="00E11DD9" w:rsidP="00E11DD9">
      <w:pPr>
        <w:pStyle w:val="Textonotapie"/>
        <w:ind w:firstLine="709"/>
        <w:jc w:val="both"/>
        <w:rPr>
          <w:rFonts w:ascii="Verdana" w:hAnsi="Verdana" w:cs="Arial"/>
          <w:color w:val="000000" w:themeColor="text1"/>
          <w:sz w:val="16"/>
          <w:szCs w:val="16"/>
          <w:lang w:val="es-ES"/>
        </w:rPr>
      </w:pPr>
      <w:r w:rsidRPr="00CB471F">
        <w:rPr>
          <w:rFonts w:ascii="Verdana" w:hAnsi="Verdana" w:cs="Arial"/>
          <w:color w:val="000000" w:themeColor="text1"/>
          <w:sz w:val="16"/>
          <w:szCs w:val="16"/>
          <w:lang w:val="es-ES"/>
        </w:rPr>
        <w:t>1o. Se denominan entidades estatales:</w:t>
      </w:r>
    </w:p>
    <w:p w14:paraId="4E229759" w14:textId="77777777" w:rsidR="00E11DD9" w:rsidRPr="00CB471F" w:rsidRDefault="00E11DD9" w:rsidP="00E11DD9">
      <w:pPr>
        <w:pStyle w:val="Textonotapie"/>
        <w:ind w:firstLine="709"/>
        <w:jc w:val="both"/>
        <w:rPr>
          <w:rFonts w:ascii="Verdana" w:hAnsi="Verdana" w:cs="Arial"/>
          <w:color w:val="000000" w:themeColor="text1"/>
          <w:sz w:val="16"/>
          <w:szCs w:val="16"/>
          <w:lang w:val="es-ES"/>
        </w:rPr>
      </w:pPr>
      <w:r w:rsidRPr="00CB471F">
        <w:rPr>
          <w:rFonts w:ascii="Verdana" w:hAnsi="Verdana" w:cs="Arial"/>
          <w:color w:val="000000" w:themeColor="text1"/>
          <w:sz w:val="16"/>
          <w:szCs w:val="16"/>
          <w:lang w:val="es-ES"/>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w:t>
      </w:r>
      <w:r w:rsidRPr="00CB471F">
        <w:rPr>
          <w:rFonts w:ascii="Verdana" w:hAnsi="Verdana"/>
          <w:sz w:val="16"/>
          <w:szCs w:val="16"/>
        </w:rPr>
        <w:t>i</w:t>
      </w:r>
      <w:r w:rsidRPr="00CB471F">
        <w:rPr>
          <w:rFonts w:ascii="Verdana" w:hAnsi="Verdana" w:cs="Arial"/>
          <w:color w:val="000000" w:themeColor="text1"/>
          <w:sz w:val="16"/>
          <w:szCs w:val="16"/>
          <w:lang w:val="es-ES"/>
        </w:rPr>
        <w:t>cha participación pública mayoritaria, cualquiera sea la denominación que ellas adopten, en todos los órdenes y niveles.</w:t>
      </w:r>
    </w:p>
    <w:p w14:paraId="2014FE83" w14:textId="77777777" w:rsidR="00E11DD9" w:rsidRPr="00CB471F" w:rsidRDefault="00E11DD9" w:rsidP="00E11DD9">
      <w:pPr>
        <w:pStyle w:val="Textonotapie"/>
        <w:ind w:firstLine="709"/>
        <w:jc w:val="both"/>
        <w:rPr>
          <w:rFonts w:ascii="Verdana" w:hAnsi="Verdana" w:cs="Arial"/>
          <w:color w:val="000000" w:themeColor="text1"/>
          <w:sz w:val="16"/>
          <w:szCs w:val="16"/>
          <w:lang w:val="es-ES"/>
        </w:rPr>
      </w:pPr>
      <w:r w:rsidRPr="00CB471F">
        <w:rPr>
          <w:rFonts w:ascii="Verdana" w:hAnsi="Verdana" w:cs="Arial"/>
          <w:color w:val="000000" w:themeColor="text1"/>
          <w:sz w:val="16"/>
          <w:szCs w:val="16"/>
          <w:lang w:val="es-ES"/>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p w14:paraId="60749E83" w14:textId="77777777" w:rsidR="00E11DD9" w:rsidRPr="00CB471F" w:rsidRDefault="00E11DD9" w:rsidP="00E11DD9">
      <w:pPr>
        <w:pStyle w:val="Textonotapie"/>
        <w:ind w:firstLine="709"/>
        <w:jc w:val="both"/>
        <w:rPr>
          <w:rFonts w:ascii="Verdana" w:hAnsi="Verdana" w:cs="Arial"/>
          <w:color w:val="000000" w:themeColor="text1"/>
          <w:sz w:val="16"/>
          <w:szCs w:val="16"/>
          <w:lang w:val="es-ES"/>
        </w:rPr>
      </w:pPr>
    </w:p>
  </w:footnote>
  <w:footnote w:id="7">
    <w:p w14:paraId="74F1E6E5" w14:textId="77777777" w:rsidR="00E11DD9" w:rsidRPr="00CB471F" w:rsidRDefault="00E11DD9" w:rsidP="00E11DD9">
      <w:pPr>
        <w:pStyle w:val="Textonotapie"/>
        <w:ind w:firstLine="709"/>
        <w:jc w:val="both"/>
        <w:rPr>
          <w:rFonts w:ascii="Verdana" w:hAnsi="Verdana" w:cs="Arial"/>
          <w:color w:val="000000" w:themeColor="text1"/>
          <w:sz w:val="16"/>
          <w:szCs w:val="16"/>
          <w:lang w:val="es-ES"/>
        </w:rPr>
      </w:pPr>
      <w:r w:rsidRPr="00CB471F">
        <w:rPr>
          <w:rStyle w:val="Refdenotaalpie"/>
          <w:rFonts w:ascii="Verdana" w:hAnsi="Verdana" w:cs="Arial"/>
          <w:color w:val="000000" w:themeColor="text1"/>
          <w:sz w:val="16"/>
          <w:szCs w:val="16"/>
        </w:rPr>
        <w:footnoteRef/>
      </w:r>
      <w:r w:rsidRPr="00CB471F">
        <w:rPr>
          <w:rFonts w:ascii="Verdana" w:hAnsi="Verdana" w:cs="Arial"/>
          <w:color w:val="000000" w:themeColor="text1"/>
          <w:sz w:val="16"/>
          <w:szCs w:val="16"/>
        </w:rPr>
        <w:t xml:space="preserve"> </w:t>
      </w:r>
      <w:r w:rsidRPr="00CB471F">
        <w:rPr>
          <w:rFonts w:ascii="Verdana" w:hAnsi="Verdana" w:cs="Arial"/>
          <w:color w:val="000000" w:themeColor="text1"/>
          <w:sz w:val="16"/>
          <w:szCs w:val="16"/>
          <w:lang w:val="es-ES"/>
        </w:rPr>
        <w:t>El artículo 31 de la Ley 142 de 1994, modificado por el artículo 3 de la Ley 689 de 2001, indica: “Los contratos que celebren las entidades estatales que prestan los servicios públicos a los que se refiere esta ley no estarán sujetos a las disposiciones del Estatuto General de Contratación de la Administración Pública, salvo en lo que la presente ley disponga otra cosa.</w:t>
      </w:r>
    </w:p>
    <w:p w14:paraId="7F33E130" w14:textId="77777777" w:rsidR="00E11DD9" w:rsidRPr="00CB471F" w:rsidRDefault="00E11DD9" w:rsidP="00E11DD9">
      <w:pPr>
        <w:pStyle w:val="Textonotapie"/>
        <w:ind w:firstLine="709"/>
        <w:jc w:val="both"/>
        <w:rPr>
          <w:rFonts w:ascii="Verdana" w:hAnsi="Verdana" w:cs="Arial"/>
          <w:color w:val="000000" w:themeColor="text1"/>
          <w:sz w:val="16"/>
          <w:szCs w:val="16"/>
          <w:lang w:val="es-ES"/>
        </w:rPr>
      </w:pPr>
      <w:r w:rsidRPr="00CB471F">
        <w:rPr>
          <w:rFonts w:ascii="Verdana" w:hAnsi="Verdana" w:cs="Arial"/>
          <w:color w:val="000000" w:themeColor="text1"/>
          <w:sz w:val="16"/>
          <w:szCs w:val="16"/>
          <w:lang w:val="es-ES"/>
        </w:rPr>
        <w:t>Las Comisiones de Regulación podrán hacer obligatoria la inclusión, en ciertos tipos de contratos de cualquier empresa de servicios públicos, de cláusulas exorbitantes y podrán facultar, previa consulta expresa por parte de las empresas de servicios públicos domiciliarios, que se incluyan en los demás. Cuando la inclusión sea forzosa, todo lo relativo a tales cláusulas se regirá, en cuanto sea pertinente, por lo dispuesto en la Ley 80 de 1993, y los actos y contratos en los que se utilicen esas cláusulas y/o se ejerciten esas facultades estarán sujetos al control de la jurisdicción contencioso administrativa. Las Comisiones de Regulación contarán con quince (15) días para responder las solicitudes elevadas por las empresas de servicios públicos domiciliarios sobre la inclusión de las cláusulas excepcionales en los respectivos contratos, transcurrido este término operará el silencio administrativo positivo.</w:t>
      </w:r>
    </w:p>
    <w:p w14:paraId="0452F457" w14:textId="77777777" w:rsidR="00E11DD9" w:rsidRPr="00CB471F" w:rsidRDefault="00E11DD9" w:rsidP="00E11DD9">
      <w:pPr>
        <w:pStyle w:val="Textonotapie"/>
        <w:ind w:firstLine="709"/>
        <w:jc w:val="both"/>
        <w:rPr>
          <w:rFonts w:ascii="Verdana" w:hAnsi="Verdana" w:cs="Arial"/>
          <w:color w:val="000000" w:themeColor="text1"/>
          <w:sz w:val="16"/>
          <w:szCs w:val="16"/>
          <w:lang w:val="es-ES"/>
        </w:rPr>
      </w:pPr>
      <w:r w:rsidRPr="00CB471F">
        <w:rPr>
          <w:rFonts w:ascii="Verdana" w:hAnsi="Verdana" w:cs="Arial"/>
          <w:color w:val="000000" w:themeColor="text1"/>
          <w:sz w:val="16"/>
          <w:szCs w:val="16"/>
          <w:lang w:val="es-ES"/>
        </w:rPr>
        <w:t>Parágrafo. Los contratos que celebren los entes territoriales con las empresas de servicios públicos con el objeto de que estas últimas asuman la prestación de uno o de varios servicios públicos domiciliarios, o para que sustituyan en la prestación a otra que entre en causal de disolución o liquidación, se regirán para todos sus efectos por el Estatuto General de Contratación de la Administración Pública, en todo caso la selección siempre deberá realizarse previa licitación pública, de conformidad con la Ley 80 de 1993”.</w:t>
      </w:r>
    </w:p>
    <w:p w14:paraId="7D74517E" w14:textId="77777777" w:rsidR="00E11DD9" w:rsidRPr="00CB471F" w:rsidRDefault="00E11DD9" w:rsidP="00E11DD9">
      <w:pPr>
        <w:pStyle w:val="Textonotapie"/>
        <w:ind w:firstLine="709"/>
        <w:jc w:val="both"/>
        <w:rPr>
          <w:rFonts w:ascii="Verdana" w:hAnsi="Verdana" w:cs="Arial"/>
          <w:color w:val="000000" w:themeColor="text1"/>
          <w:sz w:val="16"/>
          <w:szCs w:val="16"/>
          <w:lang w:val="es-ES"/>
        </w:rPr>
      </w:pPr>
    </w:p>
  </w:footnote>
  <w:footnote w:id="8">
    <w:p w14:paraId="72674F33" w14:textId="77777777" w:rsidR="00E11DD9" w:rsidRPr="00CB471F" w:rsidRDefault="00E11DD9" w:rsidP="00E11DD9">
      <w:pPr>
        <w:pStyle w:val="Textonotapie"/>
        <w:ind w:firstLine="709"/>
        <w:jc w:val="both"/>
        <w:rPr>
          <w:rFonts w:ascii="Verdana" w:hAnsi="Verdana" w:cs="Arial"/>
          <w:color w:val="000000" w:themeColor="text1"/>
          <w:sz w:val="16"/>
          <w:szCs w:val="16"/>
          <w:lang w:val="es-ES"/>
        </w:rPr>
      </w:pPr>
      <w:r w:rsidRPr="00CB471F">
        <w:rPr>
          <w:rStyle w:val="Refdenotaalpie"/>
          <w:rFonts w:ascii="Verdana" w:hAnsi="Verdana" w:cs="Arial"/>
          <w:color w:val="000000" w:themeColor="text1"/>
          <w:sz w:val="16"/>
          <w:szCs w:val="16"/>
        </w:rPr>
        <w:footnoteRef/>
      </w:r>
      <w:r w:rsidRPr="00CB471F">
        <w:rPr>
          <w:rFonts w:ascii="Verdana" w:hAnsi="Verdana" w:cs="Arial"/>
          <w:color w:val="000000" w:themeColor="text1"/>
          <w:sz w:val="16"/>
          <w:szCs w:val="16"/>
        </w:rPr>
        <w:t xml:space="preserve"> </w:t>
      </w:r>
      <w:r w:rsidRPr="00CB471F">
        <w:rPr>
          <w:rFonts w:ascii="Verdana" w:hAnsi="Verdana" w:cs="Arial"/>
          <w:color w:val="000000" w:themeColor="text1"/>
          <w:sz w:val="16"/>
          <w:szCs w:val="16"/>
          <w:lang w:val="es-ES"/>
        </w:rPr>
        <w:t>El artículo 195, numeral 6 de la Ley 100 de 1993 establece que las empresas sociales del Estado: “En materia contractual se regirá por el derecho privado, pero podrá discrecionalmente utilizar las cláusulas exorbitantes previstas en el estatuto general de contratación de la administración pública”.</w:t>
      </w:r>
    </w:p>
    <w:p w14:paraId="00563E42" w14:textId="77777777" w:rsidR="00E11DD9" w:rsidRPr="003E2347" w:rsidRDefault="00E11DD9" w:rsidP="00E11DD9">
      <w:pPr>
        <w:pStyle w:val="Textonotapie"/>
        <w:ind w:firstLine="709"/>
        <w:jc w:val="both"/>
        <w:rPr>
          <w:rFonts w:ascii="Verdana" w:hAnsi="Verdana" w:cs="Arial"/>
          <w:color w:val="000000" w:themeColor="text1"/>
          <w:sz w:val="16"/>
          <w:szCs w:val="16"/>
          <w:lang w:val="es-ES"/>
        </w:rPr>
      </w:pPr>
    </w:p>
  </w:footnote>
  <w:footnote w:id="9">
    <w:p w14:paraId="079F1EA8" w14:textId="77777777" w:rsidR="00E11DD9" w:rsidRPr="003E2347" w:rsidRDefault="00E11DD9" w:rsidP="00E11DD9">
      <w:pPr>
        <w:ind w:firstLine="709"/>
        <w:jc w:val="both"/>
        <w:rPr>
          <w:rFonts w:ascii="Verdana" w:hAnsi="Verdana" w:cs="Arial"/>
          <w:color w:val="000000" w:themeColor="text1"/>
          <w:sz w:val="16"/>
          <w:szCs w:val="16"/>
          <w:lang w:val="es-ES_tradnl"/>
        </w:rPr>
      </w:pPr>
      <w:r w:rsidRPr="003E2347">
        <w:rPr>
          <w:rStyle w:val="Refdenotaalpie"/>
          <w:rFonts w:ascii="Verdana" w:hAnsi="Verdana" w:cs="Arial"/>
          <w:color w:val="000000" w:themeColor="text1"/>
          <w:sz w:val="16"/>
          <w:szCs w:val="16"/>
        </w:rPr>
        <w:footnoteRef/>
      </w:r>
      <w:r w:rsidRPr="003E2347">
        <w:rPr>
          <w:rFonts w:ascii="Verdana" w:hAnsi="Verdana" w:cs="Arial"/>
          <w:color w:val="000000" w:themeColor="text1"/>
          <w:sz w:val="16"/>
          <w:szCs w:val="16"/>
        </w:rPr>
        <w:t xml:space="preserve"> </w:t>
      </w:r>
      <w:r w:rsidRPr="003E2347">
        <w:rPr>
          <w:rFonts w:ascii="Verdana" w:hAnsi="Verdana" w:cs="Arial"/>
          <w:color w:val="000000" w:themeColor="text1"/>
          <w:sz w:val="16"/>
          <w:szCs w:val="16"/>
          <w:lang w:val="es-ES"/>
        </w:rPr>
        <w:t xml:space="preserve">Providencias que avalaron dicha tesis fueron las siguientes: Consejo de Estado. </w:t>
      </w:r>
      <w:r>
        <w:rPr>
          <w:rFonts w:ascii="Verdana" w:hAnsi="Verdana" w:cs="Arial"/>
          <w:color w:val="000000" w:themeColor="text1"/>
          <w:sz w:val="16"/>
          <w:szCs w:val="16"/>
          <w:lang w:val="es-ES"/>
        </w:rPr>
        <w:t xml:space="preserve">Sala de lo Contencioso Administrativo. </w:t>
      </w:r>
      <w:r w:rsidRPr="003E2347">
        <w:rPr>
          <w:rFonts w:ascii="Verdana" w:hAnsi="Verdana" w:cs="Arial"/>
          <w:color w:val="000000" w:themeColor="text1"/>
          <w:sz w:val="16"/>
          <w:szCs w:val="16"/>
          <w:lang w:val="es-ES"/>
        </w:rPr>
        <w:t xml:space="preserve">Sección Tercera. </w:t>
      </w:r>
      <w:r>
        <w:rPr>
          <w:rFonts w:ascii="Verdana" w:hAnsi="Verdana" w:cs="Arial"/>
          <w:color w:val="000000" w:themeColor="text1"/>
          <w:sz w:val="16"/>
          <w:szCs w:val="16"/>
          <w:lang w:val="es-ES"/>
        </w:rPr>
        <w:t xml:space="preserve">Subsección C. </w:t>
      </w:r>
      <w:r w:rsidRPr="003E2347">
        <w:rPr>
          <w:rFonts w:ascii="Verdana" w:hAnsi="Verdana" w:cs="Arial"/>
          <w:color w:val="000000" w:themeColor="text1"/>
          <w:sz w:val="16"/>
          <w:szCs w:val="16"/>
          <w:lang w:val="es-ES"/>
        </w:rPr>
        <w:t xml:space="preserve">Sentencias del 20 de febrero de 2017. Consejero Ponente: Jaime Orlando Santofimio Gamboa. Expedientes: </w:t>
      </w:r>
      <w:r w:rsidRPr="003E2347">
        <w:rPr>
          <w:rFonts w:ascii="Verdana" w:hAnsi="Verdana" w:cs="Arial"/>
          <w:color w:val="000000" w:themeColor="text1"/>
          <w:sz w:val="16"/>
          <w:szCs w:val="16"/>
          <w:lang w:val="es-ES_tradnl"/>
        </w:rPr>
        <w:t>56939 y 56562. En cambio, la consideración de que las entidades de régimen especial, por regla general, no pueden ejercer esta potestad sancionatoria, se plantea en las sentencias del Consejo de Estado.</w:t>
      </w:r>
      <w:r>
        <w:rPr>
          <w:rFonts w:ascii="Verdana" w:hAnsi="Verdana" w:cs="Arial"/>
          <w:color w:val="000000" w:themeColor="text1"/>
          <w:sz w:val="16"/>
          <w:szCs w:val="16"/>
          <w:lang w:val="es-ES_tradnl"/>
        </w:rPr>
        <w:t xml:space="preserve"> Sala de lo Contencioso Administrativo. </w:t>
      </w:r>
      <w:r w:rsidRPr="003E2347">
        <w:rPr>
          <w:rFonts w:ascii="Verdana" w:hAnsi="Verdana" w:cs="Arial"/>
          <w:color w:val="000000" w:themeColor="text1"/>
          <w:sz w:val="16"/>
          <w:szCs w:val="16"/>
          <w:lang w:val="es-ES_tradnl"/>
        </w:rPr>
        <w:t>Sección Tercera.</w:t>
      </w:r>
      <w:r>
        <w:rPr>
          <w:rFonts w:ascii="Verdana" w:hAnsi="Verdana" w:cs="Arial"/>
          <w:color w:val="000000" w:themeColor="text1"/>
          <w:sz w:val="16"/>
          <w:szCs w:val="16"/>
          <w:lang w:val="es-ES_tradnl"/>
        </w:rPr>
        <w:t xml:space="preserve"> Subsección B. </w:t>
      </w:r>
      <w:r w:rsidRPr="003E2347">
        <w:rPr>
          <w:rFonts w:ascii="Verdana" w:hAnsi="Verdana" w:cs="Arial"/>
          <w:color w:val="000000" w:themeColor="text1"/>
          <w:sz w:val="16"/>
          <w:szCs w:val="16"/>
          <w:lang w:val="es-ES_tradnl"/>
        </w:rPr>
        <w:t>1 de agosto de 2018. Consejera Ponente: Stella Conto Díaz del Castillo. Expediente: 39277</w:t>
      </w:r>
      <w:r>
        <w:rPr>
          <w:rFonts w:ascii="Verdana" w:hAnsi="Verdana" w:cs="Arial"/>
          <w:color w:val="000000" w:themeColor="text1"/>
          <w:sz w:val="16"/>
          <w:szCs w:val="16"/>
          <w:lang w:val="es-ES_tradnl"/>
        </w:rPr>
        <w:t>.</w:t>
      </w:r>
      <w:r w:rsidRPr="003E2347">
        <w:rPr>
          <w:rFonts w:ascii="Verdana" w:hAnsi="Verdana" w:cs="Arial"/>
          <w:color w:val="000000" w:themeColor="text1"/>
          <w:sz w:val="16"/>
          <w:szCs w:val="16"/>
          <w:lang w:val="es-ES_tradnl"/>
        </w:rPr>
        <w:t xml:space="preserve"> Consejo de Estado.</w:t>
      </w:r>
      <w:r>
        <w:rPr>
          <w:rFonts w:ascii="Verdana" w:hAnsi="Verdana" w:cs="Arial"/>
          <w:color w:val="000000" w:themeColor="text1"/>
          <w:sz w:val="16"/>
          <w:szCs w:val="16"/>
          <w:lang w:val="es-ES_tradnl"/>
        </w:rPr>
        <w:t xml:space="preserve"> Sala de lo Contencioso Administrativo. </w:t>
      </w:r>
      <w:r w:rsidRPr="003E2347">
        <w:rPr>
          <w:rFonts w:ascii="Verdana" w:hAnsi="Verdana" w:cs="Arial"/>
          <w:color w:val="000000" w:themeColor="text1"/>
          <w:sz w:val="16"/>
          <w:szCs w:val="16"/>
          <w:lang w:val="es-ES_tradnl"/>
        </w:rPr>
        <w:t>Sección Tercera.</w:t>
      </w:r>
      <w:r>
        <w:rPr>
          <w:rFonts w:ascii="Verdana" w:hAnsi="Verdana" w:cs="Arial"/>
          <w:color w:val="000000" w:themeColor="text1"/>
          <w:sz w:val="16"/>
          <w:szCs w:val="16"/>
          <w:lang w:val="es-ES_tradnl"/>
        </w:rPr>
        <w:t xml:space="preserve"> Subsección B</w:t>
      </w:r>
      <w:r w:rsidRPr="003E2347">
        <w:rPr>
          <w:rFonts w:ascii="Verdana" w:hAnsi="Verdana" w:cs="Arial"/>
          <w:color w:val="000000" w:themeColor="text1"/>
          <w:sz w:val="16"/>
          <w:szCs w:val="16"/>
          <w:lang w:val="es-ES_tradnl"/>
        </w:rPr>
        <w:t xml:space="preserve"> </w:t>
      </w:r>
      <w:r>
        <w:rPr>
          <w:rFonts w:ascii="Verdana" w:hAnsi="Verdana" w:cs="Arial"/>
          <w:color w:val="000000" w:themeColor="text1"/>
          <w:sz w:val="16"/>
          <w:szCs w:val="16"/>
          <w:lang w:val="es-ES_tradnl"/>
        </w:rPr>
        <w:t xml:space="preserve">sentencia </w:t>
      </w:r>
      <w:r w:rsidRPr="003E2347">
        <w:rPr>
          <w:rFonts w:ascii="Verdana" w:hAnsi="Verdana" w:cs="Arial"/>
          <w:color w:val="000000" w:themeColor="text1"/>
          <w:sz w:val="16"/>
          <w:szCs w:val="16"/>
          <w:lang w:val="es-ES_tradnl"/>
        </w:rPr>
        <w:t>del 14 de febrero de 2019. Consejero Ponente: Carlos Alberto Zambrano Barrera. Expediente: 38937.</w:t>
      </w:r>
    </w:p>
    <w:p w14:paraId="7E67BABE" w14:textId="77777777" w:rsidR="00E11DD9" w:rsidRPr="003E2347" w:rsidRDefault="00E11DD9" w:rsidP="00E11DD9">
      <w:pPr>
        <w:pStyle w:val="Textonotapie"/>
        <w:jc w:val="both"/>
        <w:rPr>
          <w:rFonts w:ascii="Verdana" w:hAnsi="Verdana" w:cs="Arial"/>
          <w:color w:val="000000" w:themeColor="text1"/>
          <w:sz w:val="16"/>
          <w:szCs w:val="16"/>
          <w:lang w:val="es-ES_tradnl"/>
        </w:rPr>
      </w:pPr>
    </w:p>
  </w:footnote>
  <w:footnote w:id="10">
    <w:p w14:paraId="6C73FD94" w14:textId="77777777" w:rsidR="00E11DD9" w:rsidRPr="003E2347" w:rsidRDefault="00E11DD9" w:rsidP="00E11DD9">
      <w:pPr>
        <w:pStyle w:val="Textonotapie"/>
        <w:ind w:firstLine="708"/>
        <w:jc w:val="both"/>
        <w:rPr>
          <w:rFonts w:ascii="Verdana" w:hAnsi="Verdana"/>
          <w:sz w:val="16"/>
          <w:szCs w:val="16"/>
        </w:rPr>
      </w:pPr>
      <w:r w:rsidRPr="003E2347">
        <w:rPr>
          <w:rStyle w:val="Refdenotaalpie"/>
          <w:rFonts w:ascii="Verdana" w:hAnsi="Verdana"/>
          <w:sz w:val="16"/>
          <w:szCs w:val="16"/>
        </w:rPr>
        <w:footnoteRef/>
      </w:r>
      <w:r w:rsidRPr="003E2347">
        <w:rPr>
          <w:rFonts w:ascii="Verdana" w:hAnsi="Verdana"/>
          <w:sz w:val="16"/>
          <w:szCs w:val="16"/>
        </w:rPr>
        <w:t xml:space="preserve"> C</w:t>
      </w:r>
      <w:r>
        <w:rPr>
          <w:rFonts w:ascii="Verdana" w:hAnsi="Verdana"/>
          <w:sz w:val="16"/>
          <w:szCs w:val="16"/>
        </w:rPr>
        <w:t>onsejo de Estado</w:t>
      </w:r>
      <w:r w:rsidRPr="003E2347">
        <w:rPr>
          <w:rFonts w:ascii="Verdana" w:hAnsi="Verdana"/>
          <w:sz w:val="16"/>
          <w:szCs w:val="16"/>
        </w:rPr>
        <w:t xml:space="preserve">. </w:t>
      </w:r>
      <w:r>
        <w:rPr>
          <w:rFonts w:ascii="Verdana" w:hAnsi="Verdana"/>
          <w:sz w:val="16"/>
          <w:szCs w:val="16"/>
        </w:rPr>
        <w:t xml:space="preserve">Sala Plena. </w:t>
      </w:r>
      <w:r w:rsidRPr="003E2347">
        <w:rPr>
          <w:rFonts w:ascii="Verdana" w:hAnsi="Verdana"/>
          <w:sz w:val="16"/>
          <w:szCs w:val="16"/>
        </w:rPr>
        <w:t>Sección Tercera</w:t>
      </w:r>
      <w:r>
        <w:rPr>
          <w:rFonts w:ascii="Verdana" w:hAnsi="Verdana"/>
          <w:sz w:val="16"/>
          <w:szCs w:val="16"/>
        </w:rPr>
        <w:t xml:space="preserve">. </w:t>
      </w:r>
      <w:r w:rsidRPr="003E2347">
        <w:rPr>
          <w:rFonts w:ascii="Verdana" w:hAnsi="Verdana"/>
          <w:sz w:val="16"/>
          <w:szCs w:val="16"/>
        </w:rPr>
        <w:t>Sentencia de Unificación del 9 de mayo de 2024, C.P. José Roberto Sáchica Méndez, Exp. No. 53.962.</w:t>
      </w:r>
    </w:p>
    <w:p w14:paraId="38D3FD58" w14:textId="77777777" w:rsidR="00E11DD9" w:rsidRPr="003E2347" w:rsidRDefault="00E11DD9" w:rsidP="00E11DD9">
      <w:pPr>
        <w:pStyle w:val="Textonotapie"/>
        <w:ind w:firstLine="708"/>
        <w:jc w:val="both"/>
        <w:rPr>
          <w:rFonts w:ascii="Verdana" w:hAnsi="Verdana"/>
          <w:sz w:val="16"/>
          <w:szCs w:val="16"/>
        </w:rPr>
      </w:pPr>
      <w:r w:rsidRPr="003E2347">
        <w:rPr>
          <w:rFonts w:ascii="Verdana" w:hAnsi="Verdana"/>
          <w:sz w:val="16"/>
          <w:szCs w:val="16"/>
        </w:rPr>
        <w:t xml:space="preserve">  </w:t>
      </w:r>
    </w:p>
  </w:footnote>
  <w:footnote w:id="11">
    <w:p w14:paraId="37AAE612" w14:textId="77777777" w:rsidR="00E11DD9" w:rsidRPr="00CB471F" w:rsidRDefault="00E11DD9" w:rsidP="00E11DD9">
      <w:pPr>
        <w:pStyle w:val="Textonotapie"/>
        <w:ind w:firstLine="708"/>
        <w:jc w:val="both"/>
        <w:rPr>
          <w:rFonts w:ascii="Verdana" w:hAnsi="Verdana"/>
          <w:sz w:val="16"/>
          <w:szCs w:val="16"/>
        </w:rPr>
      </w:pPr>
      <w:r w:rsidRPr="00CB471F">
        <w:rPr>
          <w:rStyle w:val="Refdenotaalpie"/>
          <w:rFonts w:ascii="Verdana" w:hAnsi="Verdana"/>
          <w:sz w:val="16"/>
          <w:szCs w:val="16"/>
        </w:rPr>
        <w:footnoteRef/>
      </w:r>
      <w:r w:rsidRPr="00CB471F">
        <w:rPr>
          <w:rFonts w:ascii="Verdana" w:hAnsi="Verdana"/>
          <w:sz w:val="16"/>
          <w:szCs w:val="16"/>
        </w:rPr>
        <w:t xml:space="preserve"> </w:t>
      </w:r>
      <w:r w:rsidRPr="00CB471F">
        <w:rPr>
          <w:rFonts w:ascii="Verdana" w:hAnsi="Verdana"/>
          <w:sz w:val="16"/>
          <w:szCs w:val="16"/>
          <w:lang w:val="es-CO"/>
        </w:rPr>
        <w:t xml:space="preserve">Consejo de Estado. Sala de lo Contenciosos Administrativo. Sección Tercera. Subsección B, sentencia del 19 de junio de 2019, Exp. No. 39.800.  </w:t>
      </w:r>
      <w:r w:rsidRPr="00CB471F">
        <w:rPr>
          <w:rFonts w:ascii="Verdana" w:hAnsi="Verdana"/>
          <w:sz w:val="16"/>
          <w:szCs w:val="16"/>
        </w:rPr>
        <w:t xml:space="preserve"> </w:t>
      </w:r>
    </w:p>
    <w:p w14:paraId="324916DC" w14:textId="77777777" w:rsidR="00E11DD9" w:rsidRPr="00CB471F" w:rsidRDefault="00E11DD9" w:rsidP="00E11DD9">
      <w:pPr>
        <w:pStyle w:val="Textonotapie"/>
        <w:ind w:firstLine="708"/>
        <w:jc w:val="both"/>
        <w:rPr>
          <w:rFonts w:ascii="Verdana" w:hAnsi="Verdana"/>
          <w:sz w:val="16"/>
          <w:szCs w:val="16"/>
        </w:rPr>
      </w:pPr>
    </w:p>
  </w:footnote>
  <w:footnote w:id="12">
    <w:p w14:paraId="38FEB2FD" w14:textId="77777777" w:rsidR="00E11DD9" w:rsidRPr="00CB471F" w:rsidRDefault="00E11DD9" w:rsidP="00E11DD9">
      <w:pPr>
        <w:pStyle w:val="Textonotapie"/>
        <w:ind w:firstLine="708"/>
        <w:jc w:val="both"/>
        <w:rPr>
          <w:rFonts w:ascii="Verdana" w:hAnsi="Verdana"/>
          <w:sz w:val="16"/>
          <w:szCs w:val="16"/>
        </w:rPr>
      </w:pPr>
      <w:r w:rsidRPr="00CB471F">
        <w:rPr>
          <w:rStyle w:val="Refdenotaalpie"/>
          <w:rFonts w:ascii="Verdana" w:hAnsi="Verdana"/>
          <w:sz w:val="16"/>
          <w:szCs w:val="16"/>
        </w:rPr>
        <w:footnoteRef/>
      </w:r>
      <w:r w:rsidRPr="00CB471F">
        <w:rPr>
          <w:rFonts w:ascii="Verdana" w:hAnsi="Verdana"/>
          <w:sz w:val="16"/>
          <w:szCs w:val="16"/>
        </w:rPr>
        <w:t xml:space="preserve"> </w:t>
      </w:r>
      <w:r w:rsidRPr="00CB471F">
        <w:rPr>
          <w:rFonts w:ascii="Verdana" w:hAnsi="Verdana"/>
          <w:sz w:val="16"/>
          <w:szCs w:val="16"/>
          <w:lang w:val="es-CO"/>
        </w:rPr>
        <w:t xml:space="preserve"> Consejo de Estado. Sala de lo Contenciosos Administrativo. Sección Tercera. Subsección B, sentencia del 23 de noviembre de 2022, Exp. No. 66.700.  </w:t>
      </w:r>
    </w:p>
  </w:footnote>
  <w:footnote w:id="13">
    <w:p w14:paraId="1E256F2D" w14:textId="77777777" w:rsidR="00E11DD9" w:rsidRPr="00CB471F" w:rsidRDefault="00E11DD9" w:rsidP="00E11DD9">
      <w:pPr>
        <w:pStyle w:val="Textonotapie"/>
        <w:ind w:firstLine="708"/>
        <w:jc w:val="both"/>
        <w:rPr>
          <w:rFonts w:ascii="Verdana" w:hAnsi="Verdana"/>
          <w:sz w:val="16"/>
          <w:szCs w:val="16"/>
        </w:rPr>
      </w:pPr>
    </w:p>
    <w:p w14:paraId="1D26CDF8" w14:textId="77777777" w:rsidR="00E11DD9" w:rsidRPr="00CB471F" w:rsidRDefault="00E11DD9" w:rsidP="00E11DD9">
      <w:pPr>
        <w:pStyle w:val="Textonotapie"/>
        <w:ind w:firstLine="708"/>
        <w:jc w:val="both"/>
        <w:rPr>
          <w:rFonts w:ascii="Verdana" w:hAnsi="Verdana"/>
          <w:sz w:val="16"/>
          <w:szCs w:val="16"/>
        </w:rPr>
      </w:pPr>
      <w:r w:rsidRPr="00CB471F">
        <w:rPr>
          <w:rStyle w:val="Refdenotaalpie"/>
          <w:rFonts w:ascii="Verdana" w:hAnsi="Verdana"/>
          <w:sz w:val="16"/>
          <w:szCs w:val="16"/>
        </w:rPr>
        <w:footnoteRef/>
      </w:r>
      <w:r w:rsidRPr="00CB471F">
        <w:rPr>
          <w:rFonts w:ascii="Verdana" w:hAnsi="Verdana"/>
          <w:sz w:val="16"/>
          <w:szCs w:val="16"/>
        </w:rPr>
        <w:t xml:space="preserve"> </w:t>
      </w:r>
      <w:r w:rsidRPr="00CB471F">
        <w:rPr>
          <w:rFonts w:ascii="Verdana" w:hAnsi="Verdana"/>
          <w:sz w:val="16"/>
          <w:szCs w:val="16"/>
          <w:lang w:val="es-CO"/>
        </w:rPr>
        <w:t>Consejo de Estado. Sala de lo Contenciosos Administrativo. Sección Tercera, Subsección C, sentencia del 21 de octubre de 2021, Exp. No. 36697.</w:t>
      </w:r>
    </w:p>
  </w:footnote>
  <w:footnote w:id="14">
    <w:p w14:paraId="74B8548B" w14:textId="77777777" w:rsidR="00E11DD9" w:rsidRPr="00CB471F" w:rsidRDefault="00E11DD9" w:rsidP="00E11DD9">
      <w:pPr>
        <w:pStyle w:val="Textonotapie"/>
        <w:ind w:firstLine="708"/>
        <w:jc w:val="both"/>
        <w:rPr>
          <w:rFonts w:ascii="Verdana" w:hAnsi="Verdana"/>
          <w:sz w:val="16"/>
          <w:szCs w:val="16"/>
        </w:rPr>
      </w:pPr>
    </w:p>
    <w:p w14:paraId="5E905433" w14:textId="77777777" w:rsidR="00E11DD9" w:rsidRPr="00CB471F" w:rsidRDefault="00E11DD9" w:rsidP="00E11DD9">
      <w:pPr>
        <w:pStyle w:val="Textonotapie"/>
        <w:ind w:firstLine="708"/>
        <w:jc w:val="both"/>
        <w:rPr>
          <w:rFonts w:ascii="Verdana" w:hAnsi="Verdana"/>
          <w:sz w:val="16"/>
          <w:szCs w:val="16"/>
        </w:rPr>
      </w:pPr>
      <w:r w:rsidRPr="00CB471F">
        <w:rPr>
          <w:rStyle w:val="Refdenotaalpie"/>
          <w:rFonts w:ascii="Verdana" w:hAnsi="Verdana"/>
          <w:sz w:val="16"/>
          <w:szCs w:val="16"/>
        </w:rPr>
        <w:footnoteRef/>
      </w:r>
      <w:r w:rsidRPr="00CB471F">
        <w:rPr>
          <w:rFonts w:ascii="Verdana" w:hAnsi="Verdana"/>
          <w:sz w:val="16"/>
          <w:szCs w:val="16"/>
        </w:rPr>
        <w:t xml:space="preserve"> </w:t>
      </w:r>
      <w:r w:rsidRPr="00CB471F">
        <w:rPr>
          <w:rFonts w:ascii="Verdana" w:hAnsi="Verdana"/>
          <w:sz w:val="16"/>
          <w:szCs w:val="16"/>
          <w:lang w:val="es-CO"/>
        </w:rPr>
        <w:t xml:space="preserve">Consejo de Estado. Sala de lo Contenciosos Administrativo. Sección Tercera, Subsección A, Sentencia del 24 de septiembre de 2020, Exp. No. 44707.  </w:t>
      </w:r>
    </w:p>
  </w:footnote>
  <w:footnote w:id="15">
    <w:p w14:paraId="61FB2488" w14:textId="77777777" w:rsidR="00E11DD9" w:rsidRPr="00CB471F" w:rsidRDefault="00E11DD9" w:rsidP="00E11DD9">
      <w:pPr>
        <w:pStyle w:val="Textonotapie"/>
        <w:jc w:val="both"/>
        <w:rPr>
          <w:rFonts w:ascii="Verdana" w:hAnsi="Verdana"/>
          <w:sz w:val="16"/>
          <w:szCs w:val="16"/>
        </w:rPr>
      </w:pPr>
    </w:p>
    <w:p w14:paraId="7AB566D8" w14:textId="77777777" w:rsidR="00E11DD9" w:rsidRPr="00CB471F" w:rsidRDefault="00E11DD9" w:rsidP="00E11DD9">
      <w:pPr>
        <w:pStyle w:val="Textonotapie"/>
        <w:ind w:firstLine="708"/>
        <w:jc w:val="both"/>
        <w:rPr>
          <w:rFonts w:ascii="Verdana" w:hAnsi="Verdana"/>
          <w:sz w:val="16"/>
          <w:szCs w:val="16"/>
        </w:rPr>
      </w:pPr>
      <w:r w:rsidRPr="00CB471F">
        <w:rPr>
          <w:rStyle w:val="Refdenotaalpie"/>
          <w:rFonts w:ascii="Verdana" w:hAnsi="Verdana"/>
          <w:sz w:val="16"/>
          <w:szCs w:val="16"/>
        </w:rPr>
        <w:footnoteRef/>
      </w:r>
      <w:r w:rsidRPr="00CB471F">
        <w:rPr>
          <w:rFonts w:ascii="Verdana" w:hAnsi="Verdana"/>
          <w:sz w:val="16"/>
          <w:szCs w:val="16"/>
        </w:rPr>
        <w:t xml:space="preserve"> </w:t>
      </w:r>
      <w:r w:rsidRPr="00CB471F">
        <w:rPr>
          <w:rFonts w:ascii="Verdana" w:hAnsi="Verdana"/>
          <w:sz w:val="16"/>
          <w:szCs w:val="16"/>
          <w:lang w:val="es-CO"/>
        </w:rPr>
        <w:t xml:space="preserve">Consejo de Estado. Sala de lo Contenciosos Administrativo. Tercera, Subsección A, Sentencia del 21 de mayo de 2021, Exp. No. 57822.  </w:t>
      </w:r>
    </w:p>
  </w:footnote>
  <w:footnote w:id="16">
    <w:p w14:paraId="1C376CD3" w14:textId="77777777" w:rsidR="00E11DD9" w:rsidRPr="00CB471F" w:rsidRDefault="00E11DD9" w:rsidP="00E11DD9">
      <w:pPr>
        <w:pStyle w:val="Textonotapie"/>
        <w:ind w:firstLine="708"/>
        <w:jc w:val="both"/>
        <w:rPr>
          <w:rFonts w:ascii="Verdana" w:hAnsi="Verdana"/>
          <w:sz w:val="16"/>
          <w:szCs w:val="16"/>
        </w:rPr>
      </w:pPr>
    </w:p>
  </w:footnote>
  <w:footnote w:id="17">
    <w:p w14:paraId="155693FA" w14:textId="77777777" w:rsidR="00E11DD9" w:rsidRPr="009C400E" w:rsidRDefault="00E11DD9" w:rsidP="00E11DD9">
      <w:pPr>
        <w:pStyle w:val="Textonotapie"/>
        <w:ind w:firstLine="709"/>
        <w:jc w:val="both"/>
        <w:rPr>
          <w:rFonts w:ascii="Verdana" w:hAnsi="Verdana" w:cs="Arial"/>
          <w:color w:val="000000" w:themeColor="text1"/>
          <w:sz w:val="16"/>
          <w:szCs w:val="16"/>
          <w:lang w:val="pt-PT"/>
        </w:rPr>
      </w:pPr>
      <w:r w:rsidRPr="00CB471F">
        <w:rPr>
          <w:rStyle w:val="Refdenotaalpie"/>
          <w:rFonts w:ascii="Verdana" w:hAnsi="Verdana" w:cs="Arial"/>
          <w:color w:val="000000" w:themeColor="text1"/>
          <w:sz w:val="16"/>
          <w:szCs w:val="16"/>
        </w:rPr>
        <w:footnoteRef/>
      </w:r>
      <w:r w:rsidRPr="00CB471F">
        <w:rPr>
          <w:rFonts w:ascii="Verdana" w:hAnsi="Verdana" w:cs="Arial"/>
          <w:color w:val="000000" w:themeColor="text1"/>
          <w:sz w:val="16"/>
          <w:szCs w:val="16"/>
        </w:rPr>
        <w:t xml:space="preserve"> </w:t>
      </w:r>
      <w:r w:rsidRPr="00CB471F">
        <w:rPr>
          <w:rFonts w:ascii="Verdana" w:hAnsi="Verdana" w:cs="Arial"/>
          <w:color w:val="000000" w:themeColor="text1"/>
          <w:sz w:val="16"/>
          <w:szCs w:val="16"/>
          <w:lang w:val="es-ES"/>
        </w:rPr>
        <w:t xml:space="preserve">Consejo de Estado. Sala de lo Contencioso Administrativo. Sección Tercera. Auto del 12 de diciembre de 2017. </w:t>
      </w:r>
      <w:r w:rsidRPr="009C400E">
        <w:rPr>
          <w:rFonts w:ascii="Verdana" w:hAnsi="Verdana" w:cs="Arial"/>
          <w:color w:val="000000" w:themeColor="text1"/>
          <w:sz w:val="16"/>
          <w:szCs w:val="16"/>
          <w:lang w:val="pt-PT"/>
        </w:rPr>
        <w:t>Exp. 60.477. C.P. Jaime Orlando Santofimio Gamboa.</w:t>
      </w:r>
    </w:p>
    <w:p w14:paraId="35778F93" w14:textId="77777777" w:rsidR="00E11DD9" w:rsidRPr="009C400E" w:rsidRDefault="00E11DD9" w:rsidP="00E11DD9">
      <w:pPr>
        <w:pStyle w:val="Textonotapie"/>
        <w:ind w:firstLine="709"/>
        <w:jc w:val="both"/>
        <w:rPr>
          <w:rFonts w:ascii="Verdana" w:hAnsi="Verdana" w:cs="Arial"/>
          <w:color w:val="000000" w:themeColor="text1"/>
          <w:sz w:val="16"/>
          <w:szCs w:val="16"/>
          <w:lang w:val="pt-PT"/>
        </w:rPr>
      </w:pPr>
    </w:p>
  </w:footnote>
  <w:footnote w:id="18">
    <w:p w14:paraId="46CBC541" w14:textId="77777777" w:rsidR="00E11DD9" w:rsidRPr="00375291" w:rsidRDefault="00E11DD9" w:rsidP="00E11DD9">
      <w:pPr>
        <w:pStyle w:val="Textonotapie"/>
        <w:ind w:firstLine="709"/>
        <w:jc w:val="both"/>
        <w:rPr>
          <w:rFonts w:ascii="Verdana" w:hAnsi="Verdana" w:cs="Arial"/>
          <w:sz w:val="16"/>
          <w:szCs w:val="16"/>
        </w:rPr>
      </w:pPr>
      <w:r w:rsidRPr="00375291">
        <w:rPr>
          <w:rStyle w:val="Refdenotaalpie"/>
          <w:rFonts w:ascii="Verdana" w:hAnsi="Verdana" w:cs="Arial"/>
          <w:sz w:val="16"/>
          <w:szCs w:val="16"/>
        </w:rPr>
        <w:footnoteRef/>
      </w:r>
      <w:r w:rsidRPr="009C400E">
        <w:rPr>
          <w:rFonts w:ascii="Verdana" w:hAnsi="Verdana" w:cs="Arial"/>
          <w:sz w:val="16"/>
          <w:szCs w:val="16"/>
          <w:lang w:val="pt-PT"/>
        </w:rPr>
        <w:t xml:space="preserve"> Corte Suprema de Justicia. </w:t>
      </w:r>
      <w:r w:rsidRPr="00375291">
        <w:rPr>
          <w:rFonts w:ascii="Verdana" w:hAnsi="Verdana" w:cs="Arial"/>
          <w:sz w:val="16"/>
          <w:szCs w:val="16"/>
        </w:rPr>
        <w:t>Sala de Casación Civil, sentencia de 30 de agosto de 2011, expediente 11001-3103-012-1999-01957-01</w:t>
      </w:r>
      <w:r>
        <w:rPr>
          <w:rFonts w:ascii="Verdana" w:hAnsi="Verdana" w:cs="Arial"/>
          <w:sz w:val="16"/>
          <w:szCs w:val="16"/>
        </w:rPr>
        <w:t>.</w:t>
      </w:r>
    </w:p>
  </w:footnote>
  <w:footnote w:id="19">
    <w:p w14:paraId="50ADB60B" w14:textId="77777777" w:rsidR="00C93CFD" w:rsidRPr="008F5C76" w:rsidRDefault="00C93CFD" w:rsidP="00C93CFD">
      <w:pPr>
        <w:spacing w:after="0"/>
        <w:ind w:firstLine="707"/>
        <w:jc w:val="both"/>
        <w:rPr>
          <w:rFonts w:ascii="Verdana" w:hAnsi="Verdana" w:cs="Arial"/>
          <w:sz w:val="18"/>
          <w:szCs w:val="18"/>
        </w:rPr>
      </w:pPr>
      <w:r w:rsidRPr="008F5C76">
        <w:rPr>
          <w:rStyle w:val="Refdenotaalpie"/>
          <w:rFonts w:ascii="Verdana" w:hAnsi="Verdana" w:cs="Arial"/>
          <w:sz w:val="18"/>
          <w:szCs w:val="18"/>
        </w:rPr>
        <w:footnoteRef/>
      </w:r>
      <w:r w:rsidRPr="008F5C76">
        <w:rPr>
          <w:rFonts w:ascii="Verdana" w:hAnsi="Verdana" w:cs="Arial"/>
          <w:sz w:val="18"/>
          <w:szCs w:val="18"/>
        </w:rPr>
        <w:t xml:space="preserve"> </w:t>
      </w:r>
      <w:r w:rsidRPr="008F5C76">
        <w:rPr>
          <w:rFonts w:ascii="Verdana" w:hAnsi="Verdana" w:cs="Arial"/>
          <w:position w:val="6"/>
          <w:sz w:val="18"/>
          <w:szCs w:val="18"/>
        </w:rPr>
        <w:t xml:space="preserve"> “</w:t>
      </w:r>
      <w:r w:rsidRPr="008F5C76">
        <w:rPr>
          <w:rFonts w:ascii="Verdana" w:hAnsi="Verdana" w:cs="Arial"/>
          <w:sz w:val="18"/>
          <w:szCs w:val="18"/>
        </w:rPr>
        <w:t>Artículo 1740. Es nulo todo acto o contrato a que falta alguno de los requisitos que la ley prescribe para el valor del mismo acto o contrato según se especie y la calidad o estado de las partes. La nulidad puede ser absoluta o relativa”.</w:t>
      </w:r>
    </w:p>
    <w:p w14:paraId="332DAA20" w14:textId="77777777" w:rsidR="00C93CFD" w:rsidRPr="008F5C76" w:rsidRDefault="00C93CFD" w:rsidP="00C93CFD">
      <w:pPr>
        <w:pStyle w:val="Textonotapie"/>
        <w:jc w:val="both"/>
        <w:rPr>
          <w:rFonts w:ascii="Verdana" w:hAnsi="Verdana" w:cs="Arial"/>
          <w:sz w:val="18"/>
          <w:szCs w:val="18"/>
          <w:lang w:val="es-CO"/>
        </w:rPr>
      </w:pPr>
    </w:p>
  </w:footnote>
  <w:footnote w:id="20">
    <w:p w14:paraId="79E45734" w14:textId="77777777" w:rsidR="00C93CFD" w:rsidRPr="008F5C76" w:rsidRDefault="00C93CFD" w:rsidP="00C93CFD">
      <w:pPr>
        <w:pStyle w:val="Textoindependiente1"/>
        <w:spacing w:after="0"/>
        <w:ind w:firstLine="720"/>
        <w:jc w:val="both"/>
        <w:rPr>
          <w:rFonts w:ascii="Verdana" w:hAnsi="Verdana" w:cs="Times New Roman"/>
          <w:sz w:val="18"/>
          <w:szCs w:val="18"/>
        </w:rPr>
      </w:pPr>
      <w:r w:rsidRPr="008F5C76">
        <w:rPr>
          <w:rStyle w:val="Refdenotaalpie"/>
          <w:rFonts w:ascii="Verdana" w:hAnsi="Verdana"/>
          <w:sz w:val="18"/>
          <w:szCs w:val="18"/>
        </w:rPr>
        <w:footnoteRef/>
      </w:r>
      <w:r w:rsidRPr="008F5C76">
        <w:rPr>
          <w:rFonts w:ascii="Verdana" w:hAnsi="Verdana"/>
          <w:sz w:val="18"/>
          <w:szCs w:val="18"/>
        </w:rPr>
        <w:t xml:space="preserve"> Código de Comercio. Artículo 899.</w:t>
      </w:r>
    </w:p>
    <w:p w14:paraId="47F24DF7" w14:textId="77777777" w:rsidR="00C93CFD" w:rsidRPr="008F5C76" w:rsidRDefault="00C93CFD" w:rsidP="00C93CFD">
      <w:pPr>
        <w:pStyle w:val="Textonotapie"/>
        <w:jc w:val="both"/>
        <w:rPr>
          <w:rFonts w:ascii="Verdana" w:hAnsi="Verdana" w:cs="Arial"/>
          <w:sz w:val="18"/>
          <w:szCs w:val="18"/>
          <w:lang w:val="es-CO"/>
        </w:rPr>
      </w:pPr>
    </w:p>
  </w:footnote>
  <w:footnote w:id="21">
    <w:p w14:paraId="35A5E21C" w14:textId="77777777" w:rsidR="00C93CFD" w:rsidRPr="008F5C76" w:rsidRDefault="00C93CFD" w:rsidP="00C93CFD">
      <w:pPr>
        <w:pStyle w:val="Textoindependiente2"/>
        <w:spacing w:after="0"/>
        <w:ind w:firstLine="720"/>
        <w:jc w:val="both"/>
        <w:rPr>
          <w:rFonts w:ascii="Verdana" w:hAnsi="Verdana" w:cs="Times New Roman"/>
          <w:sz w:val="18"/>
          <w:szCs w:val="18"/>
        </w:rPr>
      </w:pPr>
      <w:r w:rsidRPr="008F5C76">
        <w:rPr>
          <w:rStyle w:val="Refdenotaalpie"/>
          <w:rFonts w:ascii="Verdana" w:hAnsi="Verdana"/>
          <w:sz w:val="18"/>
          <w:szCs w:val="18"/>
        </w:rPr>
        <w:footnoteRef/>
      </w:r>
      <w:r w:rsidRPr="008F5C76">
        <w:rPr>
          <w:rFonts w:ascii="Verdana" w:hAnsi="Verdana"/>
          <w:sz w:val="18"/>
          <w:szCs w:val="18"/>
        </w:rPr>
        <w:t xml:space="preserve"> </w:t>
      </w:r>
      <w:r w:rsidRPr="008F5C76">
        <w:rPr>
          <w:rFonts w:ascii="Verdana" w:hAnsi="Verdana"/>
          <w:position w:val="6"/>
          <w:sz w:val="18"/>
          <w:szCs w:val="18"/>
        </w:rPr>
        <w:t xml:space="preserve"> </w:t>
      </w:r>
      <w:r w:rsidRPr="008F5C76">
        <w:rPr>
          <w:rFonts w:ascii="Verdana" w:hAnsi="Verdana"/>
          <w:sz w:val="18"/>
          <w:szCs w:val="18"/>
        </w:rPr>
        <w:t>Código Civil. “Artículo 1741. La nulidad producida por un objeto o causa ilícita y la nulidad producida por la omisión de algún requisito o formalidad que las leyes prescriben para el valor de ciertos actos o contratos en consideración a la naturaleza de ellos, y no a la calidad o estado de las personas que los ejecutan o acuerdan, son nulidades absolutas.</w:t>
      </w:r>
    </w:p>
    <w:p w14:paraId="37E01CCC" w14:textId="77777777" w:rsidR="00C93CFD" w:rsidRPr="008F5C76" w:rsidRDefault="00C93CFD" w:rsidP="00C93CFD">
      <w:pPr>
        <w:spacing w:after="0"/>
        <w:ind w:firstLine="708"/>
        <w:jc w:val="both"/>
        <w:rPr>
          <w:rFonts w:ascii="Verdana" w:hAnsi="Verdana" w:cs="Arial"/>
          <w:sz w:val="18"/>
          <w:szCs w:val="18"/>
        </w:rPr>
      </w:pPr>
      <w:r w:rsidRPr="008F5C76">
        <w:rPr>
          <w:rFonts w:ascii="Verdana" w:hAnsi="Verdana" w:cs="Arial"/>
          <w:sz w:val="18"/>
          <w:szCs w:val="18"/>
        </w:rPr>
        <w:t>Hay asimismo nulidad absoluta en los actos y contratos de personas absolutamente incapaces.</w:t>
      </w:r>
    </w:p>
    <w:p w14:paraId="2BBD82AC" w14:textId="77777777" w:rsidR="00C93CFD" w:rsidRPr="008F5C76" w:rsidRDefault="00C93CFD" w:rsidP="00C93CFD">
      <w:pPr>
        <w:pStyle w:val="Textoindependiente2"/>
        <w:spacing w:after="0"/>
        <w:ind w:firstLine="720"/>
        <w:jc w:val="both"/>
        <w:rPr>
          <w:rFonts w:ascii="Verdana" w:hAnsi="Verdana" w:cs="Times New Roman"/>
          <w:sz w:val="18"/>
          <w:szCs w:val="18"/>
        </w:rPr>
      </w:pPr>
      <w:r w:rsidRPr="008F5C76">
        <w:rPr>
          <w:rFonts w:ascii="Verdana" w:hAnsi="Verdana"/>
          <w:sz w:val="18"/>
          <w:szCs w:val="18"/>
        </w:rPr>
        <w:t>Código de Comercio. Artículo 899. Nulidad absoluta. Será nulo absolutamente el negocio jurídico en los siguientes casos:</w:t>
      </w:r>
    </w:p>
    <w:p w14:paraId="204ABBAE" w14:textId="77777777" w:rsidR="00C93CFD" w:rsidRPr="008F5C76" w:rsidRDefault="00C93CFD" w:rsidP="00C93CFD">
      <w:pPr>
        <w:spacing w:after="0"/>
        <w:ind w:firstLine="708"/>
        <w:jc w:val="both"/>
        <w:rPr>
          <w:rFonts w:ascii="Verdana" w:hAnsi="Verdana" w:cs="Arial"/>
          <w:sz w:val="18"/>
          <w:szCs w:val="18"/>
        </w:rPr>
      </w:pPr>
      <w:r w:rsidRPr="008F5C76">
        <w:rPr>
          <w:rFonts w:ascii="Verdana" w:hAnsi="Verdana" w:cs="Arial"/>
          <w:sz w:val="18"/>
          <w:szCs w:val="18"/>
        </w:rPr>
        <w:t>1) Cuando contraría una norma imperativa, salvo que la ley disponga otra cosa;</w:t>
      </w:r>
    </w:p>
    <w:p w14:paraId="6E0EC8B7" w14:textId="77777777" w:rsidR="00C93CFD" w:rsidRPr="008F5C76" w:rsidRDefault="00C93CFD" w:rsidP="00C93CFD">
      <w:pPr>
        <w:spacing w:after="0"/>
        <w:ind w:firstLine="708"/>
        <w:jc w:val="both"/>
        <w:rPr>
          <w:rFonts w:ascii="Verdana" w:hAnsi="Verdana" w:cs="Arial"/>
          <w:sz w:val="18"/>
          <w:szCs w:val="18"/>
        </w:rPr>
      </w:pPr>
      <w:r w:rsidRPr="008F5C76">
        <w:rPr>
          <w:rFonts w:ascii="Verdana" w:hAnsi="Verdana" w:cs="Arial"/>
          <w:sz w:val="18"/>
          <w:szCs w:val="18"/>
        </w:rPr>
        <w:t>2) Cuando tenga causa u objeto ilícitos, y</w:t>
      </w:r>
    </w:p>
    <w:p w14:paraId="483711C3" w14:textId="77777777" w:rsidR="00C93CFD" w:rsidRPr="008F5C76" w:rsidRDefault="00C93CFD" w:rsidP="00C93CFD">
      <w:pPr>
        <w:spacing w:after="0"/>
        <w:ind w:firstLine="707"/>
        <w:jc w:val="both"/>
        <w:rPr>
          <w:rFonts w:ascii="Verdana" w:hAnsi="Verdana" w:cs="Arial"/>
          <w:sz w:val="18"/>
          <w:szCs w:val="18"/>
        </w:rPr>
      </w:pPr>
      <w:r w:rsidRPr="008F5C76">
        <w:rPr>
          <w:rFonts w:ascii="Verdana" w:hAnsi="Verdana" w:cs="Arial"/>
          <w:sz w:val="18"/>
          <w:szCs w:val="18"/>
        </w:rPr>
        <w:t>3) Cuando se haya celebrado por persona absolutamente incapaz”.</w:t>
      </w:r>
    </w:p>
    <w:p w14:paraId="03B1344B" w14:textId="77777777" w:rsidR="00C93CFD" w:rsidRPr="008F5C76" w:rsidRDefault="00C93CFD" w:rsidP="00C93CFD">
      <w:pPr>
        <w:pStyle w:val="Textonotapie"/>
        <w:jc w:val="both"/>
        <w:rPr>
          <w:rFonts w:ascii="Verdana" w:hAnsi="Verdana" w:cs="Arial"/>
          <w:sz w:val="18"/>
          <w:szCs w:val="18"/>
          <w:lang w:val="es-CO"/>
        </w:rPr>
      </w:pPr>
    </w:p>
  </w:footnote>
  <w:footnote w:id="22">
    <w:p w14:paraId="402FDB8A" w14:textId="77777777" w:rsidR="00C93CFD" w:rsidRPr="008F5C76" w:rsidRDefault="00C93CFD" w:rsidP="00C93CFD">
      <w:pPr>
        <w:spacing w:after="0"/>
        <w:ind w:firstLine="707"/>
        <w:jc w:val="both"/>
        <w:rPr>
          <w:rFonts w:ascii="Verdana" w:hAnsi="Verdana" w:cs="Arial"/>
          <w:sz w:val="18"/>
          <w:szCs w:val="18"/>
        </w:rPr>
      </w:pPr>
      <w:r w:rsidRPr="008F5C76">
        <w:rPr>
          <w:rStyle w:val="Refdenotaalpie"/>
          <w:rFonts w:ascii="Verdana" w:hAnsi="Verdana" w:cs="Arial"/>
          <w:sz w:val="18"/>
          <w:szCs w:val="18"/>
        </w:rPr>
        <w:footnoteRef/>
      </w:r>
      <w:r w:rsidRPr="008F5C76">
        <w:rPr>
          <w:rFonts w:ascii="Verdana" w:hAnsi="Verdana" w:cs="Arial"/>
          <w:sz w:val="18"/>
          <w:szCs w:val="18"/>
        </w:rPr>
        <w:t xml:space="preserve"> “Artículo 44. Los contratos del Estado son absolutamente nulos en los casos previstos en el derecho común y además cuando:</w:t>
      </w:r>
    </w:p>
    <w:p w14:paraId="0706231D" w14:textId="77777777" w:rsidR="00C93CFD" w:rsidRPr="008F5C76" w:rsidRDefault="00C93CFD" w:rsidP="00C93CFD">
      <w:pPr>
        <w:spacing w:after="0"/>
        <w:ind w:firstLine="708"/>
        <w:jc w:val="both"/>
        <w:rPr>
          <w:rFonts w:ascii="Verdana" w:hAnsi="Verdana" w:cs="Arial"/>
          <w:sz w:val="18"/>
          <w:szCs w:val="18"/>
        </w:rPr>
      </w:pPr>
      <w:r w:rsidRPr="008F5C76">
        <w:rPr>
          <w:rFonts w:ascii="Verdana" w:hAnsi="Verdana" w:cs="Arial"/>
          <w:sz w:val="18"/>
          <w:szCs w:val="18"/>
        </w:rPr>
        <w:t>1o. Se celebren con personas incursas en causales de inhabilidad o incompatibilidad previstas en la Constitución y la ley;</w:t>
      </w:r>
    </w:p>
    <w:p w14:paraId="117DCB2E" w14:textId="77777777" w:rsidR="00C93CFD" w:rsidRPr="008F5C76" w:rsidRDefault="00C93CFD" w:rsidP="00C93CFD">
      <w:pPr>
        <w:spacing w:after="0"/>
        <w:ind w:firstLine="708"/>
        <w:jc w:val="both"/>
        <w:rPr>
          <w:rFonts w:ascii="Verdana" w:hAnsi="Verdana" w:cs="Arial"/>
          <w:sz w:val="18"/>
          <w:szCs w:val="18"/>
        </w:rPr>
      </w:pPr>
      <w:r w:rsidRPr="008F5C76">
        <w:rPr>
          <w:rFonts w:ascii="Verdana" w:hAnsi="Verdana" w:cs="Arial"/>
          <w:sz w:val="18"/>
          <w:szCs w:val="18"/>
        </w:rPr>
        <w:t xml:space="preserve">2o. Se celebren contra expresa prohibición constitucional o legal; </w:t>
      </w:r>
    </w:p>
    <w:p w14:paraId="21E86DAB" w14:textId="77777777" w:rsidR="00C93CFD" w:rsidRPr="008F5C76" w:rsidRDefault="00C93CFD" w:rsidP="00C93CFD">
      <w:pPr>
        <w:spacing w:after="0"/>
        <w:ind w:firstLine="708"/>
        <w:jc w:val="both"/>
        <w:rPr>
          <w:rFonts w:ascii="Verdana" w:hAnsi="Verdana" w:cs="Arial"/>
          <w:sz w:val="18"/>
          <w:szCs w:val="18"/>
        </w:rPr>
      </w:pPr>
      <w:r w:rsidRPr="008F5C76">
        <w:rPr>
          <w:rFonts w:ascii="Verdana" w:hAnsi="Verdana" w:cs="Arial"/>
          <w:sz w:val="18"/>
          <w:szCs w:val="18"/>
        </w:rPr>
        <w:t>3o. Se celebren con abuso o desviación de poder;</w:t>
      </w:r>
    </w:p>
    <w:p w14:paraId="6CC3F74F" w14:textId="77777777" w:rsidR="00C93CFD" w:rsidRPr="008F5C76" w:rsidRDefault="00C93CFD" w:rsidP="00C93CFD">
      <w:pPr>
        <w:spacing w:after="0"/>
        <w:ind w:firstLine="708"/>
        <w:jc w:val="both"/>
        <w:rPr>
          <w:rFonts w:ascii="Verdana" w:hAnsi="Verdana" w:cs="Arial"/>
          <w:sz w:val="18"/>
          <w:szCs w:val="18"/>
        </w:rPr>
      </w:pPr>
      <w:r w:rsidRPr="008F5C76">
        <w:rPr>
          <w:rFonts w:ascii="Verdana" w:hAnsi="Verdana" w:cs="Arial"/>
          <w:sz w:val="18"/>
          <w:szCs w:val="18"/>
        </w:rPr>
        <w:t>4o. Se declaren nulos los actos administrativos en que se fundamenten; y</w:t>
      </w:r>
    </w:p>
    <w:p w14:paraId="34F388C3" w14:textId="77777777" w:rsidR="00C93CFD" w:rsidRPr="008F5C76" w:rsidRDefault="00C93CFD" w:rsidP="00C93CFD">
      <w:pPr>
        <w:spacing w:after="0"/>
        <w:ind w:firstLine="708"/>
        <w:jc w:val="both"/>
        <w:rPr>
          <w:rFonts w:ascii="Verdana" w:hAnsi="Verdana" w:cs="Arial"/>
          <w:sz w:val="18"/>
          <w:szCs w:val="18"/>
        </w:rPr>
      </w:pPr>
      <w:r w:rsidRPr="008F5C76">
        <w:rPr>
          <w:rFonts w:ascii="Verdana" w:hAnsi="Verdana" w:cs="Arial"/>
          <w:sz w:val="18"/>
          <w:szCs w:val="18"/>
        </w:rPr>
        <w:t>5o. Se hubieren celebrado con desconocimiento de los criterios previstos en el artículo 21 sobre tratamiento de ofertas nacionales y extranjeras o con violación de la reciprocidad de que trata esta ley”.</w:t>
      </w:r>
    </w:p>
    <w:p w14:paraId="7DD26C70" w14:textId="77777777" w:rsidR="00C93CFD" w:rsidRPr="008F5C76" w:rsidRDefault="00C93CFD" w:rsidP="00C93CFD">
      <w:pPr>
        <w:pStyle w:val="Textonotapie"/>
        <w:jc w:val="both"/>
        <w:rPr>
          <w:rFonts w:ascii="Verdana" w:hAnsi="Verdana" w:cs="Arial"/>
          <w:sz w:val="18"/>
          <w:szCs w:val="18"/>
          <w:lang w:val="es-CO"/>
        </w:rPr>
      </w:pPr>
    </w:p>
  </w:footnote>
  <w:footnote w:id="23">
    <w:p w14:paraId="0C970F75" w14:textId="77777777" w:rsidR="00C93CFD" w:rsidRPr="008F5C76" w:rsidRDefault="00C93CFD" w:rsidP="00C93CFD">
      <w:pPr>
        <w:spacing w:after="0"/>
        <w:ind w:firstLine="708"/>
        <w:jc w:val="both"/>
        <w:rPr>
          <w:rFonts w:ascii="Verdana" w:hAnsi="Verdana" w:cs="Arial"/>
          <w:sz w:val="18"/>
          <w:szCs w:val="18"/>
        </w:rPr>
      </w:pPr>
      <w:r w:rsidRPr="008F5C76">
        <w:rPr>
          <w:rStyle w:val="Refdenotaalpie"/>
          <w:rFonts w:ascii="Verdana" w:hAnsi="Verdana" w:cs="Arial"/>
          <w:sz w:val="18"/>
          <w:szCs w:val="18"/>
        </w:rPr>
        <w:footnoteRef/>
      </w:r>
      <w:r w:rsidRPr="008F5C76">
        <w:rPr>
          <w:rFonts w:ascii="Verdana" w:hAnsi="Verdana" w:cs="Arial"/>
          <w:sz w:val="18"/>
          <w:szCs w:val="18"/>
        </w:rPr>
        <w:t xml:space="preserve"> “Artículo 46. de la nulidad relativa. Los demás vicios que se presenten en los contratos y que conforme al </w:t>
      </w:r>
      <w:r w:rsidRPr="008F5C76">
        <w:rPr>
          <w:rFonts w:ascii="Verdana" w:hAnsi="Verdana" w:cs="Arial"/>
          <w:i/>
          <w:sz w:val="18"/>
          <w:szCs w:val="18"/>
        </w:rPr>
        <w:t>derecho común</w:t>
      </w:r>
      <w:r w:rsidRPr="008F5C76">
        <w:rPr>
          <w:rFonts w:ascii="Verdana" w:hAnsi="Verdana" w:cs="Arial"/>
          <w:sz w:val="18"/>
          <w:szCs w:val="18"/>
        </w:rPr>
        <w:t xml:space="preserve"> constituyen causales de nulidad relativa, pueden sanearse por ratificación expresa de los interesados o por el transcurso de dos (2) años contados a partir de la ocurrencia del hecho generador del vicio”. [Énfasis fuera del texto].</w:t>
      </w:r>
    </w:p>
    <w:p w14:paraId="1A38BE45" w14:textId="77777777" w:rsidR="00C93CFD" w:rsidRPr="008F5C76" w:rsidRDefault="00C93CFD" w:rsidP="00C93CFD">
      <w:pPr>
        <w:pStyle w:val="Textonotapie"/>
        <w:jc w:val="both"/>
        <w:rPr>
          <w:rFonts w:ascii="Verdana" w:hAnsi="Verdana" w:cs="Arial"/>
          <w:sz w:val="18"/>
          <w:szCs w:val="18"/>
          <w:lang w:val="es-ES"/>
        </w:rPr>
      </w:pPr>
    </w:p>
  </w:footnote>
  <w:footnote w:id="24">
    <w:p w14:paraId="0DE80A7A" w14:textId="77777777" w:rsidR="00C93CFD" w:rsidRPr="008F5C76" w:rsidRDefault="00C93CFD" w:rsidP="00C93CFD">
      <w:pPr>
        <w:pStyle w:val="Textonotapie"/>
        <w:ind w:firstLine="708"/>
        <w:jc w:val="both"/>
        <w:rPr>
          <w:rFonts w:ascii="Verdana" w:hAnsi="Verdana" w:cs="Arial"/>
          <w:sz w:val="18"/>
          <w:szCs w:val="18"/>
        </w:rPr>
      </w:pPr>
      <w:r w:rsidRPr="008F5C76">
        <w:rPr>
          <w:rStyle w:val="Refdenotaalpie"/>
          <w:rFonts w:ascii="Verdana" w:hAnsi="Verdana" w:cs="Arial"/>
          <w:sz w:val="18"/>
          <w:szCs w:val="18"/>
        </w:rPr>
        <w:footnoteRef/>
      </w:r>
      <w:r w:rsidRPr="008F5C76">
        <w:rPr>
          <w:rFonts w:ascii="Verdana" w:hAnsi="Verdana" w:cs="Arial"/>
          <w:sz w:val="18"/>
          <w:szCs w:val="18"/>
        </w:rPr>
        <w:t xml:space="preserve"> “Artículo 1741. nulidad absoluta y relativa. La nulidad producida por un objeto o causa ilícita, y la nulidad producida por la omisión de algún requisito o formalidad que las leyes prescriben para el valor de ciertos actos o contratos en consideración a la naturaleza de ellos, y no a la calidad o estado de las personas que los ejecutan o acuerdan, son nulidades absolutas.</w:t>
      </w:r>
    </w:p>
    <w:p w14:paraId="19E6A0A5" w14:textId="77777777" w:rsidR="00C93CFD" w:rsidRPr="008F5C76" w:rsidRDefault="00C93CFD" w:rsidP="00C93CFD">
      <w:pPr>
        <w:pStyle w:val="Textonotapie"/>
        <w:ind w:firstLine="708"/>
        <w:jc w:val="both"/>
        <w:rPr>
          <w:rFonts w:ascii="Verdana" w:hAnsi="Verdana" w:cs="Arial"/>
          <w:sz w:val="18"/>
          <w:szCs w:val="18"/>
        </w:rPr>
      </w:pPr>
      <w:r w:rsidRPr="008F5C76">
        <w:rPr>
          <w:rFonts w:ascii="Verdana" w:hAnsi="Verdana" w:cs="Arial"/>
          <w:sz w:val="18"/>
          <w:szCs w:val="18"/>
        </w:rPr>
        <w:t>Hay así mismo nulidad absoluta en los actos y contratos de personas absolutamente incapaces.</w:t>
      </w:r>
    </w:p>
    <w:p w14:paraId="3FADA7DE" w14:textId="77777777" w:rsidR="00C93CFD" w:rsidRPr="008F5C76" w:rsidRDefault="00C93CFD" w:rsidP="00C93CFD">
      <w:pPr>
        <w:pStyle w:val="Textonotapie"/>
        <w:jc w:val="both"/>
        <w:rPr>
          <w:rFonts w:ascii="Verdana" w:hAnsi="Verdana" w:cs="Arial"/>
          <w:sz w:val="18"/>
          <w:szCs w:val="18"/>
        </w:rPr>
      </w:pPr>
      <w:r w:rsidRPr="008F5C76">
        <w:rPr>
          <w:rFonts w:ascii="Verdana" w:hAnsi="Verdana" w:cs="Arial"/>
          <w:i/>
          <w:sz w:val="18"/>
          <w:szCs w:val="18"/>
        </w:rPr>
        <w:t>Cualquiera otra especie de vicio produce nulidad relativa,</w:t>
      </w:r>
      <w:r w:rsidRPr="008F5C76">
        <w:rPr>
          <w:rFonts w:ascii="Verdana" w:hAnsi="Verdana" w:cs="Arial"/>
          <w:sz w:val="18"/>
          <w:szCs w:val="18"/>
        </w:rPr>
        <w:t xml:space="preserve"> y da derecho a la rescisión del acto o contrato” [Énfasis fuera del texto].</w:t>
      </w:r>
    </w:p>
    <w:p w14:paraId="040DC5E5" w14:textId="77777777" w:rsidR="00C93CFD" w:rsidRPr="008F5C76" w:rsidRDefault="00C93CFD" w:rsidP="00C93CFD">
      <w:pPr>
        <w:pStyle w:val="Textonotapie"/>
        <w:jc w:val="both"/>
        <w:rPr>
          <w:rFonts w:ascii="Verdana" w:hAnsi="Verdana" w:cs="Arial"/>
          <w:sz w:val="18"/>
          <w:szCs w:val="18"/>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1.4pt;height:11.4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6FC2E5D"/>
    <w:multiLevelType w:val="hybridMultilevel"/>
    <w:tmpl w:val="C32C22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4F783EC8"/>
    <w:lvl w:ilvl="0" w:tplc="018A45BA">
      <w:start w:val="1"/>
      <w:numFmt w:val="bullet"/>
      <w:lvlText w:val=""/>
      <w:lvlJc w:val="left"/>
      <w:pPr>
        <w:ind w:left="720" w:hanging="360"/>
      </w:pPr>
      <w:rPr>
        <w:rFonts w:ascii="Symbol" w:hAnsi="Symbol" w:hint="default"/>
        <w:color w:val="auto"/>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0BB14FE"/>
    <w:multiLevelType w:val="hybridMultilevel"/>
    <w:tmpl w:val="E16EB446"/>
    <w:lvl w:ilvl="0" w:tplc="E4EA88CE">
      <w:start w:val="1"/>
      <w:numFmt w:val="lowerRoman"/>
      <w:lvlText w:val="%1)"/>
      <w:lvlJc w:val="left"/>
      <w:pPr>
        <w:ind w:left="1145" w:hanging="720"/>
      </w:pPr>
      <w:rPr>
        <w:rFonts w:eastAsiaTheme="minorHAnsi" w:hint="default"/>
        <w:color w:val="auto"/>
      </w:rPr>
    </w:lvl>
    <w:lvl w:ilvl="1" w:tplc="240A0019" w:tentative="1">
      <w:start w:val="1"/>
      <w:numFmt w:val="lowerLetter"/>
      <w:lvlText w:val="%2."/>
      <w:lvlJc w:val="left"/>
      <w:pPr>
        <w:ind w:left="1505" w:hanging="360"/>
      </w:pPr>
    </w:lvl>
    <w:lvl w:ilvl="2" w:tplc="240A001B" w:tentative="1">
      <w:start w:val="1"/>
      <w:numFmt w:val="lowerRoman"/>
      <w:lvlText w:val="%3."/>
      <w:lvlJc w:val="right"/>
      <w:pPr>
        <w:ind w:left="2225" w:hanging="180"/>
      </w:pPr>
    </w:lvl>
    <w:lvl w:ilvl="3" w:tplc="240A000F" w:tentative="1">
      <w:start w:val="1"/>
      <w:numFmt w:val="decimal"/>
      <w:lvlText w:val="%4."/>
      <w:lvlJc w:val="left"/>
      <w:pPr>
        <w:ind w:left="2945" w:hanging="360"/>
      </w:pPr>
    </w:lvl>
    <w:lvl w:ilvl="4" w:tplc="240A0019" w:tentative="1">
      <w:start w:val="1"/>
      <w:numFmt w:val="lowerLetter"/>
      <w:lvlText w:val="%5."/>
      <w:lvlJc w:val="left"/>
      <w:pPr>
        <w:ind w:left="3665" w:hanging="360"/>
      </w:pPr>
    </w:lvl>
    <w:lvl w:ilvl="5" w:tplc="240A001B" w:tentative="1">
      <w:start w:val="1"/>
      <w:numFmt w:val="lowerRoman"/>
      <w:lvlText w:val="%6."/>
      <w:lvlJc w:val="right"/>
      <w:pPr>
        <w:ind w:left="4385" w:hanging="180"/>
      </w:pPr>
    </w:lvl>
    <w:lvl w:ilvl="6" w:tplc="240A000F" w:tentative="1">
      <w:start w:val="1"/>
      <w:numFmt w:val="decimal"/>
      <w:lvlText w:val="%7."/>
      <w:lvlJc w:val="left"/>
      <w:pPr>
        <w:ind w:left="5105" w:hanging="360"/>
      </w:pPr>
    </w:lvl>
    <w:lvl w:ilvl="7" w:tplc="240A0019" w:tentative="1">
      <w:start w:val="1"/>
      <w:numFmt w:val="lowerLetter"/>
      <w:lvlText w:val="%8."/>
      <w:lvlJc w:val="left"/>
      <w:pPr>
        <w:ind w:left="5825" w:hanging="360"/>
      </w:pPr>
    </w:lvl>
    <w:lvl w:ilvl="8" w:tplc="240A001B" w:tentative="1">
      <w:start w:val="1"/>
      <w:numFmt w:val="lowerRoman"/>
      <w:lvlText w:val="%9."/>
      <w:lvlJc w:val="right"/>
      <w:pPr>
        <w:ind w:left="6545" w:hanging="180"/>
      </w:pPr>
    </w:lvl>
  </w:abstractNum>
  <w:abstractNum w:abstractNumId="12" w15:restartNumberingAfterBreak="0">
    <w:nsid w:val="4A5D086A"/>
    <w:multiLevelType w:val="hybridMultilevel"/>
    <w:tmpl w:val="0A84C6B2"/>
    <w:lvl w:ilvl="0" w:tplc="4348B772">
      <w:start w:val="1"/>
      <w:numFmt w:val="lowerRoman"/>
      <w:lvlText w:val="%1)"/>
      <w:lvlJc w:val="left"/>
      <w:pPr>
        <w:ind w:left="1440" w:hanging="72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3" w15:restartNumberingAfterBreak="0">
    <w:nsid w:val="51E463C4"/>
    <w:multiLevelType w:val="hybridMultilevel"/>
    <w:tmpl w:val="2F4A9DAC"/>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1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7"/>
  </w:num>
  <w:num w:numId="7" w16cid:durableId="1946422806">
    <w:abstractNumId w:val="6"/>
  </w:num>
  <w:num w:numId="8" w16cid:durableId="152644682">
    <w:abstractNumId w:val="16"/>
  </w:num>
  <w:num w:numId="9" w16cid:durableId="1317221377">
    <w:abstractNumId w:val="8"/>
  </w:num>
  <w:num w:numId="10" w16cid:durableId="1471245386">
    <w:abstractNumId w:val="15"/>
  </w:num>
  <w:num w:numId="11" w16cid:durableId="289172385">
    <w:abstractNumId w:val="9"/>
  </w:num>
  <w:num w:numId="12" w16cid:durableId="1470781324">
    <w:abstractNumId w:val="1"/>
  </w:num>
  <w:num w:numId="13" w16cid:durableId="1512908409">
    <w:abstractNumId w:val="4"/>
  </w:num>
  <w:num w:numId="14" w16cid:durableId="895897244">
    <w:abstractNumId w:val="18"/>
  </w:num>
  <w:num w:numId="15" w16cid:durableId="390349800">
    <w:abstractNumId w:val="14"/>
  </w:num>
  <w:num w:numId="16" w16cid:durableId="341274352">
    <w:abstractNumId w:val="0"/>
  </w:num>
  <w:num w:numId="17" w16cid:durableId="679089576">
    <w:abstractNumId w:val="10"/>
  </w:num>
  <w:num w:numId="18" w16cid:durableId="1872646036">
    <w:abstractNumId w:val="12"/>
  </w:num>
  <w:num w:numId="19" w16cid:durableId="823012014">
    <w:abstractNumId w:val="3"/>
  </w:num>
  <w:num w:numId="20" w16cid:durableId="1540901204">
    <w:abstractNumId w:val="11"/>
  </w:num>
  <w:num w:numId="21" w16cid:durableId="609059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0B25"/>
    <w:rsid w:val="000A683E"/>
    <w:rsid w:val="000B19B9"/>
    <w:rsid w:val="000D0334"/>
    <w:rsid w:val="000F6486"/>
    <w:rsid w:val="001216FD"/>
    <w:rsid w:val="00125105"/>
    <w:rsid w:val="00127233"/>
    <w:rsid w:val="00141963"/>
    <w:rsid w:val="001458EB"/>
    <w:rsid w:val="001511A0"/>
    <w:rsid w:val="00164C38"/>
    <w:rsid w:val="001702D6"/>
    <w:rsid w:val="001C54E1"/>
    <w:rsid w:val="001E4177"/>
    <w:rsid w:val="001F3A5C"/>
    <w:rsid w:val="001F7DC6"/>
    <w:rsid w:val="002421BB"/>
    <w:rsid w:val="0025796E"/>
    <w:rsid w:val="0027052D"/>
    <w:rsid w:val="002707A2"/>
    <w:rsid w:val="00276F03"/>
    <w:rsid w:val="0027795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465CF"/>
    <w:rsid w:val="004536AA"/>
    <w:rsid w:val="004A1847"/>
    <w:rsid w:val="004A305D"/>
    <w:rsid w:val="004F0211"/>
    <w:rsid w:val="004F21C4"/>
    <w:rsid w:val="004F685F"/>
    <w:rsid w:val="00530FC5"/>
    <w:rsid w:val="005566E8"/>
    <w:rsid w:val="00574867"/>
    <w:rsid w:val="00591460"/>
    <w:rsid w:val="00597AB2"/>
    <w:rsid w:val="005B3816"/>
    <w:rsid w:val="005C3777"/>
    <w:rsid w:val="005C5CDC"/>
    <w:rsid w:val="005D476C"/>
    <w:rsid w:val="005E440A"/>
    <w:rsid w:val="005E6AE2"/>
    <w:rsid w:val="00601D68"/>
    <w:rsid w:val="006219F8"/>
    <w:rsid w:val="00665D70"/>
    <w:rsid w:val="006900D9"/>
    <w:rsid w:val="006A2497"/>
    <w:rsid w:val="006C1950"/>
    <w:rsid w:val="006E75F3"/>
    <w:rsid w:val="006F26A1"/>
    <w:rsid w:val="00706C16"/>
    <w:rsid w:val="007442BC"/>
    <w:rsid w:val="00756841"/>
    <w:rsid w:val="007649AB"/>
    <w:rsid w:val="00771D0C"/>
    <w:rsid w:val="007833AC"/>
    <w:rsid w:val="007920AE"/>
    <w:rsid w:val="007B268C"/>
    <w:rsid w:val="007B7171"/>
    <w:rsid w:val="007C0C0F"/>
    <w:rsid w:val="007C3DC2"/>
    <w:rsid w:val="007E5497"/>
    <w:rsid w:val="007F1C94"/>
    <w:rsid w:val="00806F5F"/>
    <w:rsid w:val="00820278"/>
    <w:rsid w:val="008219B8"/>
    <w:rsid w:val="00867F95"/>
    <w:rsid w:val="008843B6"/>
    <w:rsid w:val="008865D9"/>
    <w:rsid w:val="00891928"/>
    <w:rsid w:val="008A446D"/>
    <w:rsid w:val="008A68D7"/>
    <w:rsid w:val="008D180B"/>
    <w:rsid w:val="008F0EA7"/>
    <w:rsid w:val="00923EEF"/>
    <w:rsid w:val="00924CB9"/>
    <w:rsid w:val="009345EC"/>
    <w:rsid w:val="00941758"/>
    <w:rsid w:val="009419F9"/>
    <w:rsid w:val="0095685E"/>
    <w:rsid w:val="00961B09"/>
    <w:rsid w:val="00965334"/>
    <w:rsid w:val="0097093E"/>
    <w:rsid w:val="00986AC5"/>
    <w:rsid w:val="009A0DFA"/>
    <w:rsid w:val="009B2D26"/>
    <w:rsid w:val="009C400E"/>
    <w:rsid w:val="009C71FA"/>
    <w:rsid w:val="009C72E7"/>
    <w:rsid w:val="009D3058"/>
    <w:rsid w:val="009E0C6B"/>
    <w:rsid w:val="009F3A13"/>
    <w:rsid w:val="00A122D3"/>
    <w:rsid w:val="00A17F13"/>
    <w:rsid w:val="00A20739"/>
    <w:rsid w:val="00A33C78"/>
    <w:rsid w:val="00A5519A"/>
    <w:rsid w:val="00A60BF5"/>
    <w:rsid w:val="00A739D2"/>
    <w:rsid w:val="00A96C27"/>
    <w:rsid w:val="00AB0ADB"/>
    <w:rsid w:val="00AE5C4C"/>
    <w:rsid w:val="00B01B1A"/>
    <w:rsid w:val="00B34FFF"/>
    <w:rsid w:val="00B66319"/>
    <w:rsid w:val="00B72CD3"/>
    <w:rsid w:val="00B72FFF"/>
    <w:rsid w:val="00BC3D36"/>
    <w:rsid w:val="00BD7F72"/>
    <w:rsid w:val="00C04FB3"/>
    <w:rsid w:val="00C216F1"/>
    <w:rsid w:val="00C275EA"/>
    <w:rsid w:val="00C330EB"/>
    <w:rsid w:val="00C36C0C"/>
    <w:rsid w:val="00C41061"/>
    <w:rsid w:val="00C430F4"/>
    <w:rsid w:val="00C61891"/>
    <w:rsid w:val="00C678F0"/>
    <w:rsid w:val="00C679EE"/>
    <w:rsid w:val="00C754BE"/>
    <w:rsid w:val="00C76B1C"/>
    <w:rsid w:val="00C93CFD"/>
    <w:rsid w:val="00CB6357"/>
    <w:rsid w:val="00CC1B26"/>
    <w:rsid w:val="00D423A2"/>
    <w:rsid w:val="00D520D8"/>
    <w:rsid w:val="00D6138F"/>
    <w:rsid w:val="00D63AC2"/>
    <w:rsid w:val="00D6475D"/>
    <w:rsid w:val="00D7383B"/>
    <w:rsid w:val="00DA231B"/>
    <w:rsid w:val="00DB0276"/>
    <w:rsid w:val="00DC39FC"/>
    <w:rsid w:val="00DC73C0"/>
    <w:rsid w:val="00DF5254"/>
    <w:rsid w:val="00E11DD9"/>
    <w:rsid w:val="00E16408"/>
    <w:rsid w:val="00E20894"/>
    <w:rsid w:val="00E245AB"/>
    <w:rsid w:val="00E2764C"/>
    <w:rsid w:val="00E27F2E"/>
    <w:rsid w:val="00E4235A"/>
    <w:rsid w:val="00E50AFE"/>
    <w:rsid w:val="00E63FA0"/>
    <w:rsid w:val="00E75C92"/>
    <w:rsid w:val="00E771DC"/>
    <w:rsid w:val="00E8772A"/>
    <w:rsid w:val="00E90F6B"/>
    <w:rsid w:val="00E92C27"/>
    <w:rsid w:val="00EA0E3D"/>
    <w:rsid w:val="00EA2D6F"/>
    <w:rsid w:val="00EC38A7"/>
    <w:rsid w:val="00ED7384"/>
    <w:rsid w:val="00EE1AA8"/>
    <w:rsid w:val="00EF22DD"/>
    <w:rsid w:val="00F240B3"/>
    <w:rsid w:val="00F31EDC"/>
    <w:rsid w:val="00F4418A"/>
    <w:rsid w:val="00F462B3"/>
    <w:rsid w:val="00F5664F"/>
    <w:rsid w:val="00F57AB4"/>
    <w:rsid w:val="00F666C4"/>
    <w:rsid w:val="00F76AFC"/>
    <w:rsid w:val="00FA47C0"/>
    <w:rsid w:val="00FB5DD1"/>
    <w:rsid w:val="00FC2B5D"/>
    <w:rsid w:val="00FF1449"/>
    <w:rsid w:val="09FEE39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11DD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11DD9"/>
    <w:rPr>
      <w:rFonts w:ascii="Geomanist Light" w:hAnsi="Geomanist Light"/>
      <w:lang w:val="es-ES"/>
    </w:rPr>
  </w:style>
  <w:style w:type="paragraph" w:customStyle="1" w:styleId="estilo1">
    <w:name w:val="estilo1"/>
    <w:basedOn w:val="Normal"/>
    <w:rsid w:val="00E11DD9"/>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Textoindependiente1">
    <w:name w:val="Texto independiente1"/>
    <w:basedOn w:val="Normal"/>
    <w:next w:val="Textoindependiente"/>
    <w:link w:val="TextoindependienteCar"/>
    <w:uiPriority w:val="99"/>
    <w:semiHidden/>
    <w:unhideWhenUsed/>
    <w:rsid w:val="00C93CFD"/>
    <w:pPr>
      <w:spacing w:after="120"/>
    </w:pPr>
    <w:rPr>
      <w:kern w:val="2"/>
      <w:sz w:val="24"/>
      <w:szCs w:val="24"/>
      <w14:ligatures w14:val="standardContextual"/>
    </w:rPr>
  </w:style>
  <w:style w:type="character" w:customStyle="1" w:styleId="TextoindependienteCar">
    <w:name w:val="Texto independiente Car"/>
    <w:basedOn w:val="Fuentedeprrafopredeter"/>
    <w:link w:val="Textoindependiente1"/>
    <w:uiPriority w:val="99"/>
    <w:semiHidden/>
    <w:rsid w:val="00C93CFD"/>
    <w:rPr>
      <w:kern w:val="2"/>
      <w:sz w:val="24"/>
      <w:szCs w:val="24"/>
      <w14:ligatures w14:val="standardContextual"/>
    </w:rPr>
  </w:style>
  <w:style w:type="paragraph" w:customStyle="1" w:styleId="Textoindependiente2">
    <w:name w:val="Texto independiente2"/>
    <w:basedOn w:val="Normal"/>
    <w:next w:val="Textoindependiente"/>
    <w:uiPriority w:val="99"/>
    <w:semiHidden/>
    <w:unhideWhenUsed/>
    <w:rsid w:val="00C93CFD"/>
    <w:pPr>
      <w:spacing w:after="120"/>
    </w:pPr>
  </w:style>
  <w:style w:type="paragraph" w:styleId="Textoindependiente">
    <w:name w:val="Body Text"/>
    <w:basedOn w:val="Normal"/>
    <w:link w:val="TextoindependienteCar1"/>
    <w:uiPriority w:val="99"/>
    <w:semiHidden/>
    <w:unhideWhenUsed/>
    <w:rsid w:val="00C93CFD"/>
    <w:pPr>
      <w:spacing w:after="120"/>
    </w:pPr>
  </w:style>
  <w:style w:type="character" w:customStyle="1" w:styleId="TextoindependienteCar1">
    <w:name w:val="Texto independiente Car1"/>
    <w:basedOn w:val="Fuentedeprrafopredeter"/>
    <w:link w:val="Textoindependiente"/>
    <w:uiPriority w:val="99"/>
    <w:semiHidden/>
    <w:rsid w:val="00C93C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991444834">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803495989">
      <w:bodyDiv w:val="1"/>
      <w:marLeft w:val="0"/>
      <w:marRight w:val="0"/>
      <w:marTop w:val="0"/>
      <w:marBottom w:val="0"/>
      <w:divBdr>
        <w:top w:val="none" w:sz="0" w:space="0" w:color="auto"/>
        <w:left w:val="none" w:sz="0" w:space="0" w:color="auto"/>
        <w:bottom w:val="none" w:sz="0" w:space="0" w:color="auto"/>
        <w:right w:val="none" w:sz="0" w:space="0" w:color="auto"/>
      </w:divBdr>
    </w:div>
    <w:div w:id="1862745469">
      <w:bodyDiv w:val="1"/>
      <w:marLeft w:val="0"/>
      <w:marRight w:val="0"/>
      <w:marTop w:val="0"/>
      <w:marBottom w:val="0"/>
      <w:divBdr>
        <w:top w:val="none" w:sz="0" w:space="0" w:color="auto"/>
        <w:left w:val="none" w:sz="0" w:space="0" w:color="auto"/>
        <w:bottom w:val="none" w:sz="0" w:space="0" w:color="auto"/>
        <w:right w:val="none" w:sz="0" w:space="0" w:color="auto"/>
      </w:divBdr>
      <w:divsChild>
        <w:div w:id="23987872">
          <w:marLeft w:val="0"/>
          <w:marRight w:val="0"/>
          <w:marTop w:val="0"/>
          <w:marBottom w:val="0"/>
          <w:divBdr>
            <w:top w:val="none" w:sz="0" w:space="0" w:color="auto"/>
            <w:left w:val="none" w:sz="0" w:space="0" w:color="auto"/>
            <w:bottom w:val="none" w:sz="0" w:space="0" w:color="auto"/>
            <w:right w:val="none" w:sz="0" w:space="0" w:color="auto"/>
          </w:divBdr>
        </w:div>
        <w:div w:id="668481212">
          <w:marLeft w:val="0"/>
          <w:marRight w:val="0"/>
          <w:marTop w:val="240"/>
          <w:marBottom w:val="240"/>
          <w:divBdr>
            <w:top w:val="none" w:sz="0" w:space="0" w:color="auto"/>
            <w:left w:val="none" w:sz="0" w:space="0" w:color="auto"/>
            <w:bottom w:val="none" w:sz="0" w:space="0" w:color="auto"/>
            <w:right w:val="none" w:sz="0" w:space="0" w:color="auto"/>
          </w:divBdr>
        </w:div>
      </w:divsChild>
    </w:div>
    <w:div w:id="1896773650">
      <w:bodyDiv w:val="1"/>
      <w:marLeft w:val="0"/>
      <w:marRight w:val="0"/>
      <w:marTop w:val="0"/>
      <w:marBottom w:val="0"/>
      <w:divBdr>
        <w:top w:val="none" w:sz="0" w:space="0" w:color="auto"/>
        <w:left w:val="none" w:sz="0" w:space="0" w:color="auto"/>
        <w:bottom w:val="none" w:sz="0" w:space="0" w:color="auto"/>
        <w:right w:val="none" w:sz="0" w:space="0" w:color="auto"/>
      </w:divBdr>
      <w:divsChild>
        <w:div w:id="1353068503">
          <w:marLeft w:val="0"/>
          <w:marRight w:val="0"/>
          <w:marTop w:val="0"/>
          <w:marBottom w:val="0"/>
          <w:divBdr>
            <w:top w:val="none" w:sz="0" w:space="0" w:color="auto"/>
            <w:left w:val="none" w:sz="0" w:space="0" w:color="auto"/>
            <w:bottom w:val="none" w:sz="0" w:space="0" w:color="auto"/>
            <w:right w:val="none" w:sz="0" w:space="0" w:color="auto"/>
          </w:divBdr>
        </w:div>
        <w:div w:id="1945770466">
          <w:marLeft w:val="0"/>
          <w:marRight w:val="0"/>
          <w:marTop w:val="240"/>
          <w:marBottom w:val="24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manuales-guias-y-pliegos-tipo/manuales-y-guia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mconsultoresespecilizados@outlook.com" TargetMode="External"/><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wp-content%2Fuploads%2F2025%2F05%2FGUIA-DE-LINEAMIENTOS-DE-TRANSPARENCIA-Y-SELECCION-OBJETIVA-1.0.pdf&amp;data=05%7C02%7Cmartha.romero%40colombiacompra.gov.co%7C7cfff6dece924643582c08dd97bfed90%7C7b09041e245149d08cb179d5e3d8c1be%7C0%7C0%7C638833572791173646%7CUnknown%7CTWFpbGZsb3d8eyJFbXB0eU1hcGkiOnRydWUsIlYiOiIwLjAuMDAwMCIsIlAiOiJXaW4zMiIsIkFOIjoiTWFpbCIsIldUIjoyfQ%3D%3D%7C0%7C%7C%7C&amp;sdata=xjeGONrYgxKs6jPsJIIrHU6gZ%2FJ6c0BSlAcmLtdVvBw%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CDC2DB-E425-45ED-AF99-E0A2DBBCE9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FEBA6F0F-E648-4847-A368-36C1EFE17A2C}">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22</Pages>
  <Words>6303</Words>
  <Characters>34667</Characters>
  <Application>Microsoft Office Word</Application>
  <DocSecurity>0</DocSecurity>
  <Lines>288</Lines>
  <Paragraphs>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Carolina Blanco Rodriguez</cp:lastModifiedBy>
  <cp:revision>5</cp:revision>
  <cp:lastPrinted>2023-01-10T21:18:00Z</cp:lastPrinted>
  <dcterms:created xsi:type="dcterms:W3CDTF">2025-06-03T20:48:00Z</dcterms:created>
  <dcterms:modified xsi:type="dcterms:W3CDTF">2025-08-15T02:38:00Z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