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7D58E" w14:textId="77777777" w:rsidR="008D3390" w:rsidRPr="008D3390" w:rsidRDefault="008D3390" w:rsidP="008D3390">
      <w:pPr>
        <w:spacing w:after="0" w:line="240" w:lineRule="auto"/>
        <w:jc w:val="right"/>
        <w:rPr>
          <w:rFonts w:ascii="Arial" w:eastAsia="Times New Roman" w:hAnsi="Arial" w:cs="Arial"/>
          <w:b/>
          <w:color w:val="000000" w:themeColor="text1"/>
          <w:sz w:val="16"/>
          <w:szCs w:val="16"/>
          <w:lang w:eastAsia="es-ES"/>
        </w:rPr>
      </w:pPr>
      <w:r w:rsidRPr="008D3390">
        <w:rPr>
          <w:rFonts w:ascii="Arial" w:eastAsia="Times New Roman" w:hAnsi="Arial" w:cs="Arial"/>
          <w:b/>
          <w:color w:val="000000" w:themeColor="text1"/>
          <w:sz w:val="16"/>
          <w:szCs w:val="16"/>
          <w:lang w:eastAsia="es-ES"/>
        </w:rPr>
        <w:tab/>
        <w:t>CCE-DES-FM-17</w:t>
      </w:r>
    </w:p>
    <w:p w14:paraId="41E8595D" w14:textId="77777777" w:rsidR="008D3390" w:rsidRPr="008D3390" w:rsidRDefault="008D3390" w:rsidP="008D3390">
      <w:pPr>
        <w:spacing w:after="0" w:line="240" w:lineRule="auto"/>
        <w:jc w:val="both"/>
        <w:rPr>
          <w:rFonts w:ascii="Arial" w:eastAsia="Calibri" w:hAnsi="Arial" w:cs="Arial"/>
          <w:b/>
          <w:bCs/>
          <w:color w:val="000000" w:themeColor="text1"/>
          <w:sz w:val="20"/>
          <w:szCs w:val="20"/>
          <w:highlight w:val="yellow"/>
          <w:lang w:val="es-ES_tradnl"/>
        </w:rPr>
      </w:pPr>
    </w:p>
    <w:p w14:paraId="09B92825" w14:textId="77777777" w:rsidR="008D3390" w:rsidRPr="008D3390" w:rsidRDefault="008D3390" w:rsidP="008D3390">
      <w:pPr>
        <w:spacing w:after="0" w:line="240" w:lineRule="auto"/>
        <w:jc w:val="both"/>
        <w:rPr>
          <w:rFonts w:ascii="Arial" w:eastAsia="Calibri" w:hAnsi="Arial" w:cs="Arial"/>
          <w:b/>
          <w:szCs w:val="24"/>
          <w:lang w:val="es-ES_tradnl" w:eastAsia="en-GB"/>
        </w:rPr>
      </w:pPr>
      <w:r w:rsidRPr="008D3390">
        <w:rPr>
          <w:rFonts w:ascii="Arial" w:eastAsia="Calibri" w:hAnsi="Arial" w:cs="Arial"/>
          <w:b/>
          <w:szCs w:val="24"/>
          <w:lang w:val="es-ES_tradnl" w:eastAsia="en-GB"/>
        </w:rPr>
        <w:t>DOCUMENTOS TIPO – Obligatoriedad – Inalterabilidad</w:t>
      </w:r>
    </w:p>
    <w:p w14:paraId="1F45C160" w14:textId="77777777" w:rsidR="008D3390" w:rsidRPr="008D3390" w:rsidRDefault="008D3390" w:rsidP="008D3390">
      <w:pPr>
        <w:spacing w:after="0" w:line="240" w:lineRule="auto"/>
        <w:jc w:val="both"/>
        <w:rPr>
          <w:rFonts w:ascii="Arial" w:eastAsia="Calibri" w:hAnsi="Arial" w:cs="Arial"/>
          <w:sz w:val="20"/>
          <w:szCs w:val="20"/>
          <w:lang w:val="es-ES_tradnl" w:eastAsia="en-GB"/>
        </w:rPr>
      </w:pPr>
    </w:p>
    <w:p w14:paraId="61648A53" w14:textId="77777777" w:rsidR="00D83F98" w:rsidRPr="00D83F98" w:rsidRDefault="008D3390" w:rsidP="00D83F98">
      <w:pPr>
        <w:spacing w:after="0" w:line="240" w:lineRule="auto"/>
        <w:jc w:val="both"/>
        <w:rPr>
          <w:rFonts w:ascii="Arial" w:eastAsia="Calibri" w:hAnsi="Arial" w:cs="Arial"/>
          <w:sz w:val="20"/>
          <w:szCs w:val="20"/>
          <w:lang w:eastAsia="en-GB"/>
        </w:rPr>
      </w:pPr>
      <w:r w:rsidRPr="00D83F98">
        <w:rPr>
          <w:rFonts w:ascii="Arial" w:eastAsia="Calibri" w:hAnsi="Arial" w:cs="Arial"/>
          <w:sz w:val="20"/>
          <w:szCs w:val="20"/>
          <w:lang w:eastAsia="en-GB"/>
        </w:rPr>
        <w:t xml:space="preserve">[…] </w:t>
      </w:r>
      <w:r w:rsidR="00D83F98" w:rsidRPr="00D83F98">
        <w:rPr>
          <w:rFonts w:ascii="Arial" w:eastAsia="Calibri" w:hAnsi="Arial" w:cs="Arial"/>
          <w:sz w:val="20"/>
          <w:szCs w:val="20"/>
          <w:lang w:eastAsia="en-GB"/>
        </w:rPr>
        <w:t xml:space="preserve">la Ley 2022 de 2020 señala que los documentos tipo adoptados por la Agencia Nacional de Contratación Pública son de </w:t>
      </w:r>
      <w:r w:rsidR="00D83F98" w:rsidRPr="00D83F98">
        <w:rPr>
          <w:rFonts w:ascii="Arial" w:eastAsia="Calibri" w:hAnsi="Arial" w:cs="Arial"/>
          <w:i/>
          <w:sz w:val="20"/>
          <w:szCs w:val="20"/>
          <w:lang w:eastAsia="en-GB"/>
        </w:rPr>
        <w:t>obligatorio</w:t>
      </w:r>
      <w:r w:rsidR="00D83F98" w:rsidRPr="00D83F98">
        <w:rPr>
          <w:rFonts w:ascii="Arial" w:eastAsia="Calibri" w:hAnsi="Arial" w:cs="Arial"/>
          <w:sz w:val="20"/>
          <w:szCs w:val="20"/>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o en lugares en que expresamente los documentos tipo admitan su modificación.</w:t>
      </w:r>
    </w:p>
    <w:p w14:paraId="07739E7B" w14:textId="77777777" w:rsidR="008D3390" w:rsidRPr="008D3390" w:rsidRDefault="008D3390" w:rsidP="00D83F98">
      <w:pPr>
        <w:spacing w:after="0" w:line="240" w:lineRule="auto"/>
        <w:jc w:val="both"/>
        <w:rPr>
          <w:rFonts w:ascii="Arial" w:eastAsia="Calibri" w:hAnsi="Arial" w:cs="Arial"/>
          <w:b/>
        </w:rPr>
      </w:pPr>
    </w:p>
    <w:p w14:paraId="7993872F" w14:textId="77777777" w:rsidR="008D3390" w:rsidRPr="008D3390" w:rsidRDefault="008D3390" w:rsidP="00D83F98">
      <w:pPr>
        <w:spacing w:after="0" w:line="240" w:lineRule="auto"/>
        <w:jc w:val="both"/>
        <w:rPr>
          <w:rFonts w:ascii="Arial" w:eastAsia="Calibri" w:hAnsi="Arial" w:cs="Arial"/>
          <w:b/>
        </w:rPr>
      </w:pPr>
      <w:r w:rsidRPr="008D3390">
        <w:rPr>
          <w:rFonts w:ascii="Arial" w:eastAsia="Calibri" w:hAnsi="Arial" w:cs="Arial"/>
          <w:b/>
          <w:bCs/>
          <w:szCs w:val="24"/>
          <w:lang w:val="es-ES_tradnl" w:eastAsia="en-GB"/>
        </w:rPr>
        <w:t>DOCUMENTOS TIPO – Infraestructura social – Sectores – Educativo – Salud – Cultura, recreación y deporte</w:t>
      </w:r>
    </w:p>
    <w:p w14:paraId="2BB60040" w14:textId="77777777" w:rsidR="008D3390" w:rsidRPr="008D3390" w:rsidRDefault="008D3390" w:rsidP="00D83F98">
      <w:pPr>
        <w:spacing w:after="0" w:line="240" w:lineRule="auto"/>
        <w:jc w:val="both"/>
        <w:rPr>
          <w:rFonts w:ascii="Arial" w:eastAsia="Calibri" w:hAnsi="Arial" w:cs="Arial"/>
          <w:sz w:val="20"/>
          <w:szCs w:val="20"/>
        </w:rPr>
      </w:pPr>
    </w:p>
    <w:p w14:paraId="192D8EE2" w14:textId="77777777" w:rsidR="00D83F98" w:rsidRPr="00D83F98" w:rsidRDefault="008D3390" w:rsidP="00D83F98">
      <w:pPr>
        <w:spacing w:after="120" w:line="240" w:lineRule="auto"/>
        <w:jc w:val="both"/>
        <w:rPr>
          <w:rFonts w:ascii="Arial" w:eastAsia="Times New Roman" w:hAnsi="Arial" w:cs="Arial"/>
          <w:sz w:val="20"/>
          <w:szCs w:val="20"/>
          <w:lang w:val="es-ES" w:eastAsia="en-GB"/>
        </w:rPr>
      </w:pPr>
      <w:r w:rsidRPr="00D83F98">
        <w:rPr>
          <w:rFonts w:ascii="Arial" w:eastAsia="Calibri" w:hAnsi="Arial" w:cs="Arial"/>
          <w:bCs/>
          <w:sz w:val="20"/>
          <w:szCs w:val="20"/>
          <w:lang w:val="es-ES" w:eastAsia="en-GB"/>
        </w:rPr>
        <w:t xml:space="preserve">[…] </w:t>
      </w:r>
      <w:r w:rsidR="00D83F98" w:rsidRPr="00D83F98">
        <w:rPr>
          <w:rFonts w:ascii="Arial" w:eastAsia="Times New Roman" w:hAnsi="Arial" w:cs="Arial"/>
          <w:sz w:val="20"/>
          <w:szCs w:val="20"/>
          <w:lang w:val="es-ES" w:eastAsia="en-GB"/>
        </w:rPr>
        <w:t xml:space="preserve">en materia de infraestructura social debe tenerse en cuenta que existen dos (2) clases de documentos tipo que se integran en cada proceso:  i) los documentos </w:t>
      </w:r>
      <w:r w:rsidR="00D83F98" w:rsidRPr="00D83F98">
        <w:rPr>
          <w:rFonts w:ascii="Arial" w:eastAsia="Times New Roman" w:hAnsi="Arial" w:cs="Arial"/>
          <w:i/>
          <w:sz w:val="20"/>
          <w:szCs w:val="20"/>
          <w:lang w:val="es-ES" w:eastAsia="en-GB"/>
        </w:rPr>
        <w:t>transversales</w:t>
      </w:r>
      <w:r w:rsidR="00D83F98" w:rsidRPr="00D83F98">
        <w:rPr>
          <w:rFonts w:ascii="Arial" w:eastAsia="Times New Roman" w:hAnsi="Arial" w:cs="Arial"/>
          <w:sz w:val="20"/>
          <w:szCs w:val="20"/>
          <w:lang w:val="es-ES" w:eastAsia="en-GB"/>
        </w:rPr>
        <w:t xml:space="preserve"> a todos los sectores de infraestructura social, es decir, el documento base, los anexos, los formatos, los formularios y las matrices adoptados mediante la Resolución No. 219 de 2021; y </w:t>
      </w:r>
      <w:proofErr w:type="spellStart"/>
      <w:r w:rsidR="00D83F98" w:rsidRPr="00D83F98">
        <w:rPr>
          <w:rFonts w:ascii="Arial" w:eastAsia="Times New Roman" w:hAnsi="Arial" w:cs="Arial"/>
          <w:sz w:val="20"/>
          <w:szCs w:val="20"/>
          <w:lang w:val="es-ES" w:eastAsia="en-GB"/>
        </w:rPr>
        <w:t>ii</w:t>
      </w:r>
      <w:proofErr w:type="spellEnd"/>
      <w:r w:rsidR="00D83F98" w:rsidRPr="00D83F98">
        <w:rPr>
          <w:rFonts w:ascii="Arial" w:eastAsia="Times New Roman" w:hAnsi="Arial" w:cs="Arial"/>
          <w:sz w:val="20"/>
          <w:szCs w:val="20"/>
          <w:lang w:val="es-ES" w:eastAsia="en-GB"/>
        </w:rPr>
        <w:t xml:space="preserve">) los documentos tipo </w:t>
      </w:r>
      <w:r w:rsidR="00D83F98" w:rsidRPr="00D83F98">
        <w:rPr>
          <w:rFonts w:ascii="Arial" w:eastAsia="Times New Roman" w:hAnsi="Arial" w:cs="Arial"/>
          <w:i/>
          <w:sz w:val="20"/>
          <w:szCs w:val="20"/>
          <w:lang w:val="es-ES" w:eastAsia="en-GB"/>
        </w:rPr>
        <w:t>complementarios</w:t>
      </w:r>
      <w:r w:rsidR="00D83F98" w:rsidRPr="00D83F98">
        <w:rPr>
          <w:rFonts w:ascii="Arial" w:eastAsia="Times New Roman" w:hAnsi="Arial" w:cs="Arial"/>
          <w:iCs/>
          <w:sz w:val="20"/>
          <w:szCs w:val="20"/>
          <w:lang w:val="es-ES" w:eastAsia="en-GB"/>
        </w:rPr>
        <w:t>,</w:t>
      </w:r>
      <w:r w:rsidR="00D83F98" w:rsidRPr="00D83F98">
        <w:rPr>
          <w:rFonts w:ascii="Arial" w:eastAsia="Times New Roman" w:hAnsi="Arial" w:cs="Arial"/>
          <w:i/>
          <w:sz w:val="20"/>
          <w:szCs w:val="20"/>
          <w:lang w:val="es-ES" w:eastAsia="en-GB"/>
        </w:rPr>
        <w:t xml:space="preserve"> </w:t>
      </w:r>
      <w:r w:rsidR="00D83F98" w:rsidRPr="00D83F98">
        <w:rPr>
          <w:rFonts w:ascii="Arial" w:eastAsia="Times New Roman" w:hAnsi="Arial" w:cs="Arial"/>
          <w:sz w:val="20"/>
          <w:szCs w:val="20"/>
          <w:lang w:val="es-ES" w:eastAsia="en-GB"/>
        </w:rPr>
        <w:t>referentes a la matriz de experiencia y el glosario, los cuales han sido adoptados en la resolución para cada sector específico.</w:t>
      </w:r>
    </w:p>
    <w:p w14:paraId="03CF2A47" w14:textId="77777777" w:rsidR="00D83F98" w:rsidRPr="00D83F98" w:rsidRDefault="00D83F98" w:rsidP="00D83F98">
      <w:pPr>
        <w:spacing w:after="120" w:line="240" w:lineRule="auto"/>
        <w:jc w:val="both"/>
        <w:rPr>
          <w:rFonts w:ascii="Arial" w:eastAsia="Times New Roman" w:hAnsi="Arial" w:cs="Arial"/>
          <w:i/>
          <w:iCs/>
          <w:sz w:val="20"/>
          <w:szCs w:val="20"/>
        </w:rPr>
      </w:pPr>
      <w:r w:rsidRPr="00D83F98">
        <w:rPr>
          <w:rFonts w:ascii="Arial" w:eastAsia="Times New Roman" w:hAnsi="Arial" w:cs="Arial"/>
          <w:sz w:val="20"/>
          <w:szCs w:val="20"/>
        </w:rPr>
        <w:t>De esta forma, esta Agencia expidió distintos actos administrativos a partir de los cuales se adoptaron la «Matriz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D83F98">
        <w:rPr>
          <w:rFonts w:ascii="Arial" w:eastAsia="Times New Roman" w:hAnsi="Arial" w:cs="Arial"/>
          <w:i/>
          <w:iCs/>
          <w:sz w:val="20"/>
          <w:szCs w:val="20"/>
        </w:rPr>
        <w:t xml:space="preserve"> </w:t>
      </w:r>
      <w:proofErr w:type="spellStart"/>
      <w:r w:rsidRPr="00D83F98">
        <w:rPr>
          <w:rFonts w:ascii="Arial" w:eastAsia="Times New Roman" w:hAnsi="Arial" w:cs="Arial"/>
          <w:sz w:val="20"/>
          <w:szCs w:val="20"/>
        </w:rPr>
        <w:t>ii</w:t>
      </w:r>
      <w:proofErr w:type="spellEnd"/>
      <w:r w:rsidRPr="00D83F98">
        <w:rPr>
          <w:rFonts w:ascii="Arial" w:eastAsia="Times New Roman" w:hAnsi="Arial" w:cs="Arial"/>
          <w:sz w:val="20"/>
          <w:szCs w:val="20"/>
        </w:rPr>
        <w:t>)</w:t>
      </w:r>
      <w:r w:rsidRPr="00D83F98">
        <w:rPr>
          <w:rFonts w:ascii="Arial" w:eastAsia="Times New Roman" w:hAnsi="Arial" w:cs="Arial"/>
          <w:i/>
          <w:iCs/>
          <w:sz w:val="20"/>
          <w:szCs w:val="20"/>
        </w:rPr>
        <w:t xml:space="preserve"> </w:t>
      </w:r>
      <w:r w:rsidRPr="00D83F98">
        <w:rPr>
          <w:rFonts w:ascii="Arial" w:eastAsia="Times New Roman" w:hAnsi="Arial" w:cs="Arial"/>
          <w:sz w:val="20"/>
          <w:szCs w:val="20"/>
        </w:rPr>
        <w:t xml:space="preserve">la Resolución 392 del 18 de noviembre de 2021, «Por la cual se adoptan los documentos tipo complementarios para los procesos de licitación de obra pública de infraestructura social relacionados con el sector salud»; y </w:t>
      </w:r>
      <w:proofErr w:type="spellStart"/>
      <w:r w:rsidRPr="00D83F98">
        <w:rPr>
          <w:rFonts w:ascii="Arial" w:eastAsia="Times New Roman" w:hAnsi="Arial" w:cs="Arial"/>
          <w:sz w:val="20"/>
          <w:szCs w:val="20"/>
        </w:rPr>
        <w:t>iii</w:t>
      </w:r>
      <w:proofErr w:type="spellEnd"/>
      <w:r w:rsidRPr="00D83F98">
        <w:rPr>
          <w:rFonts w:ascii="Arial" w:eastAsia="Times New Roman" w:hAnsi="Arial" w:cs="Arial"/>
          <w:sz w:val="20"/>
          <w:szCs w:val="20"/>
        </w:rPr>
        <w:t>) la Resolución 454 del 16 de diciembre de 2021,</w:t>
      </w:r>
      <w:r w:rsidRPr="00D83F98">
        <w:rPr>
          <w:sz w:val="20"/>
          <w:szCs w:val="20"/>
        </w:rPr>
        <w:t xml:space="preserve"> </w:t>
      </w:r>
      <w:r w:rsidRPr="00D83F98">
        <w:rPr>
          <w:rFonts w:ascii="Arial" w:eastAsia="Times New Roman" w:hAnsi="Arial" w:cs="Arial"/>
          <w:sz w:val="20"/>
          <w:szCs w:val="20"/>
        </w:rPr>
        <w:t>«Por la cual se adoptan los documentos tipo complementarios para los procesos de licitación de obra pública de infraestructura social relacionados con el sector cultura, recreación y deporte»</w:t>
      </w:r>
      <w:r w:rsidRPr="00D83F98">
        <w:rPr>
          <w:rFonts w:ascii="Arial" w:eastAsia="Times New Roman" w:hAnsi="Arial" w:cs="Arial"/>
          <w:i/>
          <w:iCs/>
          <w:sz w:val="20"/>
          <w:szCs w:val="20"/>
        </w:rPr>
        <w:t>.</w:t>
      </w:r>
    </w:p>
    <w:p w14:paraId="474A7144" w14:textId="77777777" w:rsidR="008D3390" w:rsidRPr="008D3390" w:rsidRDefault="008D3390" w:rsidP="008D3390">
      <w:pPr>
        <w:spacing w:after="0" w:line="240" w:lineRule="auto"/>
        <w:jc w:val="both"/>
        <w:rPr>
          <w:rFonts w:ascii="Arial" w:eastAsia="Times New Roman" w:hAnsi="Arial" w:cs="Arial"/>
          <w:i/>
          <w:iCs/>
          <w:sz w:val="20"/>
          <w:szCs w:val="20"/>
        </w:rPr>
      </w:pPr>
    </w:p>
    <w:p w14:paraId="5AE7100C" w14:textId="77777777" w:rsidR="00AE2EBB" w:rsidRPr="00583AED" w:rsidRDefault="00AE2EBB" w:rsidP="00AE2EBB">
      <w:pPr>
        <w:spacing w:after="0"/>
        <w:jc w:val="both"/>
        <w:rPr>
          <w:rFonts w:ascii="Arial" w:hAnsi="Arial" w:cs="Arial"/>
          <w:b/>
          <w:bCs/>
        </w:rPr>
      </w:pPr>
      <w:r w:rsidRPr="00583AED">
        <w:rPr>
          <w:rFonts w:ascii="Arial" w:hAnsi="Arial" w:cs="Arial"/>
          <w:b/>
          <w:bCs/>
        </w:rPr>
        <w:t>DOCUMENTOS TIPO – Decreto 1860 de 2021</w:t>
      </w:r>
      <w:r>
        <w:rPr>
          <w:rFonts w:ascii="Arial" w:hAnsi="Arial" w:cs="Arial"/>
          <w:b/>
          <w:bCs/>
        </w:rPr>
        <w:t xml:space="preserve"> –</w:t>
      </w:r>
      <w:r w:rsidRPr="00583AED">
        <w:rPr>
          <w:rFonts w:ascii="Arial" w:hAnsi="Arial" w:cs="Arial"/>
          <w:b/>
          <w:bCs/>
        </w:rPr>
        <w:t xml:space="preserve"> Criterios diferenciales – </w:t>
      </w:r>
      <w:proofErr w:type="spellStart"/>
      <w:r w:rsidRPr="00583AED">
        <w:rPr>
          <w:rFonts w:ascii="Arial" w:hAnsi="Arial" w:cs="Arial"/>
          <w:b/>
          <w:bCs/>
        </w:rPr>
        <w:t>Mipymes</w:t>
      </w:r>
      <w:proofErr w:type="spellEnd"/>
    </w:p>
    <w:p w14:paraId="6D5F86FB" w14:textId="77777777" w:rsidR="00AE2EBB" w:rsidRPr="00FD6DFE" w:rsidRDefault="00AE2EBB" w:rsidP="00AE2EBB">
      <w:pPr>
        <w:spacing w:after="0"/>
        <w:jc w:val="both"/>
        <w:rPr>
          <w:rFonts w:ascii="Arial" w:hAnsi="Arial" w:cs="Arial"/>
        </w:rPr>
      </w:pPr>
    </w:p>
    <w:p w14:paraId="6FC5BB8E" w14:textId="77777777" w:rsidR="00D83F98" w:rsidRPr="00D83F98" w:rsidRDefault="00D83F98" w:rsidP="00D83F98">
      <w:pPr>
        <w:spacing w:after="120" w:line="240" w:lineRule="auto"/>
        <w:jc w:val="both"/>
        <w:rPr>
          <w:rFonts w:ascii="Arial" w:eastAsia="Arial" w:hAnsi="Arial" w:cs="Arial"/>
          <w:sz w:val="20"/>
          <w:szCs w:val="20"/>
          <w:lang w:eastAsia="es-MX"/>
        </w:rPr>
      </w:pPr>
      <w:r w:rsidRPr="00D83F98">
        <w:rPr>
          <w:rFonts w:ascii="Arial" w:eastAsia="Times New Roman" w:hAnsi="Arial" w:cs="Arial"/>
          <w:color w:val="000000" w:themeColor="text1"/>
          <w:sz w:val="20"/>
          <w:szCs w:val="20"/>
          <w:lang w:eastAsia="es-MX"/>
        </w:rPr>
        <w:t xml:space="preserve">El artículo 3 del Decreto 1860 de 2021, que adicionó </w:t>
      </w:r>
      <w:r w:rsidRPr="00D83F98">
        <w:rPr>
          <w:rFonts w:ascii="Arial" w:eastAsia="Times New Roman" w:hAnsi="Arial" w:cs="Arial"/>
          <w:bCs/>
          <w:color w:val="000000" w:themeColor="text1"/>
          <w:sz w:val="20"/>
          <w:szCs w:val="20"/>
          <w:lang w:eastAsia="es-MX"/>
        </w:rPr>
        <w:t xml:space="preserve">el artículo 2.2.1.2.4.2.18 al </w:t>
      </w:r>
      <w:r w:rsidRPr="00D83F98">
        <w:rPr>
          <w:rFonts w:ascii="Arial" w:eastAsia="Times New Roman" w:hAnsi="Arial" w:cs="Arial"/>
          <w:sz w:val="20"/>
          <w:szCs w:val="20"/>
          <w:lang w:eastAsia="es-MX"/>
        </w:rPr>
        <w:t xml:space="preserve">Decreto 1082 de 2015 regula los criterios diferenciales para </w:t>
      </w:r>
      <w:proofErr w:type="spellStart"/>
      <w:r w:rsidRPr="00D83F98">
        <w:rPr>
          <w:rFonts w:ascii="Arial" w:eastAsia="Times New Roman" w:hAnsi="Arial" w:cs="Arial"/>
          <w:sz w:val="20"/>
          <w:szCs w:val="20"/>
          <w:lang w:eastAsia="es-MX"/>
        </w:rPr>
        <w:t>Mipyme</w:t>
      </w:r>
      <w:proofErr w:type="spellEnd"/>
      <w:r w:rsidRPr="00D83F98">
        <w:rPr>
          <w:rFonts w:ascii="Arial" w:eastAsia="Times New Roman" w:hAnsi="Arial" w:cs="Arial"/>
          <w:sz w:val="20"/>
          <w:szCs w:val="20"/>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D83F98">
        <w:rPr>
          <w:rFonts w:ascii="Arial" w:eastAsia="Times New Roman" w:hAnsi="Arial" w:cs="Arial"/>
          <w:sz w:val="20"/>
          <w:szCs w:val="20"/>
          <w:lang w:eastAsia="es-MX"/>
        </w:rPr>
        <w:t>Mipyme</w:t>
      </w:r>
      <w:proofErr w:type="spellEnd"/>
      <w:r w:rsidRPr="00D83F98">
        <w:rPr>
          <w:rFonts w:ascii="Arial" w:eastAsia="Times New Roman" w:hAnsi="Arial" w:cs="Arial"/>
          <w:sz w:val="20"/>
          <w:szCs w:val="20"/>
          <w:lang w:eastAsia="es-MX"/>
        </w:rPr>
        <w:t xml:space="preserve"> domiciliadas en Colombia. </w:t>
      </w:r>
    </w:p>
    <w:p w14:paraId="0FB91E11" w14:textId="63AE38B3" w:rsidR="00D83F98" w:rsidRPr="00D83F98" w:rsidRDefault="00D83F98" w:rsidP="00D83F98">
      <w:pPr>
        <w:spacing w:after="120" w:line="240" w:lineRule="auto"/>
        <w:jc w:val="both"/>
        <w:rPr>
          <w:rFonts w:ascii="Arial" w:eastAsia="Times New Roman" w:hAnsi="Arial" w:cs="Arial"/>
          <w:color w:val="000000" w:themeColor="text1"/>
          <w:sz w:val="20"/>
          <w:szCs w:val="20"/>
          <w:lang w:eastAsia="es-MX"/>
        </w:rPr>
      </w:pPr>
      <w:r w:rsidRPr="00D83F98">
        <w:rPr>
          <w:rFonts w:ascii="Arial" w:eastAsia="Times New Roman" w:hAnsi="Arial" w:cs="Arial"/>
          <w:sz w:val="20"/>
          <w:szCs w:val="20"/>
          <w:lang w:eastAsia="es-MX"/>
        </w:rPr>
        <w:t xml:space="preserve">Estos criterios en favor de las </w:t>
      </w:r>
      <w:proofErr w:type="spellStart"/>
      <w:r w:rsidRPr="00D83F98">
        <w:rPr>
          <w:rFonts w:ascii="Arial" w:eastAsia="Times New Roman" w:hAnsi="Arial" w:cs="Arial"/>
          <w:sz w:val="20"/>
          <w:szCs w:val="20"/>
          <w:lang w:eastAsia="es-MX"/>
        </w:rPr>
        <w:t>Mipyme</w:t>
      </w:r>
      <w:proofErr w:type="spellEnd"/>
      <w:r w:rsidRPr="00D83F98">
        <w:rPr>
          <w:rFonts w:ascii="Arial" w:eastAsia="Times New Roman" w:hAnsi="Arial" w:cs="Arial"/>
          <w:sz w:val="20"/>
          <w:szCs w:val="20"/>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D83F98">
        <w:rPr>
          <w:rFonts w:ascii="Arial" w:eastAsia="Times New Roman" w:hAnsi="Arial" w:cs="Arial"/>
          <w:sz w:val="20"/>
          <w:szCs w:val="20"/>
          <w:lang w:eastAsia="es-MX"/>
        </w:rPr>
        <w:t>Mipyme</w:t>
      </w:r>
      <w:proofErr w:type="spellEnd"/>
      <w:r w:rsidRPr="00D83F98">
        <w:rPr>
          <w:rFonts w:ascii="Arial" w:eastAsia="Times New Roman" w:hAnsi="Arial" w:cs="Arial"/>
          <w:sz w:val="20"/>
          <w:szCs w:val="20"/>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D83F98">
        <w:rPr>
          <w:rFonts w:ascii="Arial" w:eastAsia="Times New Roman" w:hAnsi="Arial" w:cs="Arial"/>
          <w:color w:val="000000" w:themeColor="text1"/>
          <w:sz w:val="20"/>
          <w:szCs w:val="20"/>
          <w:lang w:eastAsia="es-MX"/>
        </w:rPr>
        <w:t xml:space="preserve">requisitos habilitantes diferenciales relacionados con alguno o algunos de los </w:t>
      </w:r>
      <w:r w:rsidRPr="00D83F98">
        <w:rPr>
          <w:rFonts w:ascii="Arial" w:eastAsia="Times New Roman" w:hAnsi="Arial" w:cs="Arial"/>
          <w:color w:val="000000" w:themeColor="text1"/>
          <w:sz w:val="20"/>
          <w:szCs w:val="20"/>
          <w:lang w:eastAsia="es-MX"/>
        </w:rPr>
        <w:lastRenderedPageBreak/>
        <w:t xml:space="preserve">siguientes aspectos: i) tiempo de experiencia, </w:t>
      </w:r>
      <w:proofErr w:type="spellStart"/>
      <w:r w:rsidRPr="00D83F98">
        <w:rPr>
          <w:rFonts w:ascii="Arial" w:eastAsia="Times New Roman" w:hAnsi="Arial" w:cs="Arial"/>
          <w:color w:val="000000" w:themeColor="text1"/>
          <w:sz w:val="20"/>
          <w:szCs w:val="20"/>
          <w:lang w:eastAsia="es-MX"/>
        </w:rPr>
        <w:t>ii</w:t>
      </w:r>
      <w:proofErr w:type="spellEnd"/>
      <w:r w:rsidRPr="00D83F98">
        <w:rPr>
          <w:rFonts w:ascii="Arial" w:eastAsia="Times New Roman" w:hAnsi="Arial" w:cs="Arial"/>
          <w:color w:val="000000" w:themeColor="text1"/>
          <w:sz w:val="20"/>
          <w:szCs w:val="20"/>
          <w:lang w:eastAsia="es-MX"/>
        </w:rPr>
        <w:t xml:space="preserve">) número de contratos para la acreditación de la experiencia, </w:t>
      </w:r>
      <w:proofErr w:type="spellStart"/>
      <w:r w:rsidRPr="00D83F98">
        <w:rPr>
          <w:rFonts w:ascii="Arial" w:eastAsia="Times New Roman" w:hAnsi="Arial" w:cs="Arial"/>
          <w:color w:val="000000" w:themeColor="text1"/>
          <w:sz w:val="20"/>
          <w:szCs w:val="20"/>
          <w:lang w:eastAsia="es-MX"/>
        </w:rPr>
        <w:t>iii</w:t>
      </w:r>
      <w:proofErr w:type="spellEnd"/>
      <w:r w:rsidRPr="00D83F98">
        <w:rPr>
          <w:rFonts w:ascii="Arial" w:eastAsia="Times New Roman" w:hAnsi="Arial" w:cs="Arial"/>
          <w:color w:val="000000" w:themeColor="text1"/>
          <w:sz w:val="20"/>
          <w:szCs w:val="20"/>
          <w:lang w:eastAsia="es-MX"/>
        </w:rPr>
        <w:t xml:space="preserve">) índices de capacidad financiera, </w:t>
      </w:r>
      <w:proofErr w:type="spellStart"/>
      <w:r w:rsidRPr="00D83F98">
        <w:rPr>
          <w:rFonts w:ascii="Arial" w:eastAsia="Times New Roman" w:hAnsi="Arial" w:cs="Arial"/>
          <w:color w:val="000000" w:themeColor="text1"/>
          <w:sz w:val="20"/>
          <w:szCs w:val="20"/>
          <w:lang w:eastAsia="es-MX"/>
        </w:rPr>
        <w:t>iv</w:t>
      </w:r>
      <w:proofErr w:type="spellEnd"/>
      <w:r w:rsidRPr="00D83F98">
        <w:rPr>
          <w:rFonts w:ascii="Arial" w:eastAsia="Times New Roman" w:hAnsi="Arial" w:cs="Arial"/>
          <w:color w:val="000000" w:themeColor="text1"/>
          <w:sz w:val="20"/>
          <w:szCs w:val="20"/>
          <w:lang w:eastAsia="es-MX"/>
        </w:rPr>
        <w:t xml:space="preserve">) índices de capacidad organizacional y v) valor de la garantía de seriedad de la oferta. </w:t>
      </w:r>
    </w:p>
    <w:p w14:paraId="4BC31FCF" w14:textId="77777777" w:rsidR="00D83F98" w:rsidRPr="00D83F98" w:rsidRDefault="00D83F98" w:rsidP="00D83F98">
      <w:pPr>
        <w:spacing w:after="0" w:line="240" w:lineRule="auto"/>
        <w:jc w:val="both"/>
        <w:rPr>
          <w:rFonts w:ascii="Arial" w:eastAsia="Times New Roman" w:hAnsi="Arial" w:cs="Arial"/>
          <w:sz w:val="20"/>
          <w:szCs w:val="20"/>
          <w:lang w:eastAsia="es-MX"/>
        </w:rPr>
      </w:pPr>
      <w:r w:rsidRPr="00D83F98">
        <w:rPr>
          <w:rFonts w:ascii="Arial" w:eastAsia="Times New Roman" w:hAnsi="Arial" w:cs="Arial"/>
          <w:color w:val="000000" w:themeColor="text1"/>
          <w:sz w:val="20"/>
          <w:szCs w:val="20"/>
          <w:lang w:eastAsia="es-MX"/>
        </w:rPr>
        <w:t xml:space="preserve">Lo anterior significa que para la determinación de los criterios diferenciales para </w:t>
      </w:r>
      <w:proofErr w:type="spellStart"/>
      <w:r w:rsidRPr="00D83F98">
        <w:rPr>
          <w:rFonts w:ascii="Arial" w:eastAsia="Times New Roman" w:hAnsi="Arial" w:cs="Arial"/>
          <w:color w:val="000000" w:themeColor="text1"/>
          <w:sz w:val="20"/>
          <w:szCs w:val="20"/>
          <w:lang w:eastAsia="es-MX"/>
        </w:rPr>
        <w:t>Mipyme</w:t>
      </w:r>
      <w:proofErr w:type="spellEnd"/>
      <w:r w:rsidRPr="00D83F98">
        <w:rPr>
          <w:rFonts w:ascii="Arial" w:eastAsia="Times New Roman" w:hAnsi="Arial" w:cs="Arial"/>
          <w:color w:val="000000" w:themeColor="text1"/>
          <w:sz w:val="20"/>
          <w:szCs w:val="20"/>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D83F98">
        <w:rPr>
          <w:rFonts w:ascii="Arial" w:eastAsia="Times New Roman" w:hAnsi="Arial" w:cs="Arial"/>
          <w:color w:val="000000" w:themeColor="text1"/>
          <w:sz w:val="20"/>
          <w:szCs w:val="20"/>
          <w:lang w:eastAsia="es-MX"/>
        </w:rPr>
        <w:t>Mipyme</w:t>
      </w:r>
      <w:proofErr w:type="spellEnd"/>
      <w:r w:rsidRPr="00D83F98">
        <w:rPr>
          <w:rFonts w:ascii="Arial" w:eastAsia="Times New Roman" w:hAnsi="Arial" w:cs="Arial"/>
          <w:color w:val="000000" w:themeColor="text1"/>
          <w:sz w:val="20"/>
          <w:szCs w:val="20"/>
          <w:lang w:eastAsia="es-MX"/>
        </w:rPr>
        <w:t xml:space="preserve">. </w:t>
      </w:r>
    </w:p>
    <w:p w14:paraId="24FB99C6" w14:textId="77777777" w:rsidR="00AE2EBB" w:rsidRDefault="00AE2EBB" w:rsidP="00D83F98">
      <w:pPr>
        <w:spacing w:after="0" w:line="240" w:lineRule="auto"/>
        <w:jc w:val="both"/>
        <w:rPr>
          <w:rFonts w:ascii="Arial" w:hAnsi="Arial" w:cs="Arial"/>
        </w:rPr>
      </w:pPr>
    </w:p>
    <w:p w14:paraId="634701AA" w14:textId="77777777" w:rsidR="00AE2EBB" w:rsidRPr="00583AED" w:rsidRDefault="00AE2EBB" w:rsidP="00D83F98">
      <w:pPr>
        <w:spacing w:after="0" w:line="240" w:lineRule="auto"/>
        <w:jc w:val="both"/>
        <w:rPr>
          <w:rFonts w:ascii="Arial" w:hAnsi="Arial" w:cs="Arial"/>
          <w:b/>
          <w:bCs/>
        </w:rPr>
      </w:pPr>
      <w:r w:rsidRPr="00583AED">
        <w:rPr>
          <w:rFonts w:ascii="Arial" w:hAnsi="Arial" w:cs="Arial"/>
          <w:b/>
          <w:bCs/>
        </w:rPr>
        <w:t>DOCUMENTOS TIPO – Decreto 1860 de 2021</w:t>
      </w:r>
      <w:r>
        <w:rPr>
          <w:rFonts w:ascii="Arial" w:hAnsi="Arial" w:cs="Arial"/>
          <w:b/>
          <w:bCs/>
        </w:rPr>
        <w:t xml:space="preserve"> –</w:t>
      </w:r>
      <w:r w:rsidRPr="00583AED">
        <w:rPr>
          <w:rFonts w:ascii="Arial" w:hAnsi="Arial" w:cs="Arial"/>
          <w:b/>
          <w:bCs/>
        </w:rPr>
        <w:t xml:space="preserve"> Criterios diferenciales – Empresas y emprendimientos de mujeres</w:t>
      </w:r>
    </w:p>
    <w:p w14:paraId="3617D490" w14:textId="77777777" w:rsidR="00AE2EBB" w:rsidRDefault="00AE2EBB" w:rsidP="00AE2EBB">
      <w:pPr>
        <w:spacing w:after="0" w:line="240" w:lineRule="auto"/>
        <w:jc w:val="both"/>
        <w:rPr>
          <w:rFonts w:ascii="Arial" w:hAnsi="Arial" w:cs="Arial"/>
        </w:rPr>
      </w:pPr>
    </w:p>
    <w:p w14:paraId="22E29DD6" w14:textId="77777777" w:rsidR="00D83F98" w:rsidRPr="00D83F98" w:rsidRDefault="00AE2EBB" w:rsidP="00D83F98">
      <w:pPr>
        <w:spacing w:after="120" w:line="240" w:lineRule="auto"/>
        <w:jc w:val="both"/>
        <w:rPr>
          <w:rFonts w:ascii="Arial" w:eastAsia="Arial" w:hAnsi="Arial" w:cs="Arial"/>
          <w:sz w:val="20"/>
          <w:szCs w:val="20"/>
          <w:lang w:eastAsia="es-MX"/>
        </w:rPr>
      </w:pPr>
      <w:r w:rsidRPr="00D83F98">
        <w:rPr>
          <w:rFonts w:ascii="Arial" w:eastAsia="Arial" w:hAnsi="Arial" w:cs="Arial"/>
          <w:sz w:val="20"/>
          <w:szCs w:val="20"/>
          <w:lang w:eastAsia="es-MX"/>
        </w:rPr>
        <w:t xml:space="preserve">[…] </w:t>
      </w:r>
      <w:r w:rsidR="00D83F98" w:rsidRPr="00D83F98">
        <w:rPr>
          <w:rFonts w:ascii="Arial" w:eastAsia="Arial" w:hAnsi="Arial" w:cs="Arial"/>
          <w:sz w:val="20"/>
          <w:szCs w:val="20"/>
          <w:lang w:eastAsia="es-MX"/>
        </w:rPr>
        <w:t xml:space="preserve">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6ACDE3B8" w14:textId="6DE9D8E6" w:rsidR="00D83F98" w:rsidRPr="00D83F98" w:rsidRDefault="00D83F98" w:rsidP="00D83F98">
      <w:pPr>
        <w:spacing w:after="0" w:line="240" w:lineRule="auto"/>
        <w:jc w:val="both"/>
        <w:rPr>
          <w:rFonts w:ascii="Arial" w:eastAsia="Times New Roman" w:hAnsi="Arial" w:cs="Arial"/>
          <w:sz w:val="20"/>
          <w:szCs w:val="20"/>
          <w:lang w:eastAsia="es-MX"/>
        </w:rPr>
      </w:pPr>
      <w:r w:rsidRPr="00D83F98">
        <w:rPr>
          <w:rFonts w:ascii="Arial" w:eastAsia="Times New Roman" w:hAnsi="Arial" w:cs="Arial"/>
          <w:color w:val="000000" w:themeColor="text1"/>
          <w:sz w:val="20"/>
          <w:szCs w:val="20"/>
          <w:lang w:eastAsia="es-MX"/>
        </w:rPr>
        <w:t xml:space="preserve">Por otro lado, el artículo 3 del Decreto 1860 de 2021 adicionó </w:t>
      </w:r>
      <w:r w:rsidRPr="00D83F98">
        <w:rPr>
          <w:rFonts w:ascii="Arial" w:eastAsia="Times New Roman" w:hAnsi="Arial" w:cs="Arial"/>
          <w:bCs/>
          <w:color w:val="000000" w:themeColor="text1"/>
          <w:sz w:val="20"/>
          <w:szCs w:val="20"/>
          <w:lang w:eastAsia="es-MX"/>
        </w:rPr>
        <w:t xml:space="preserve">el artículo 2.2.1.2.4.2.15 al </w:t>
      </w:r>
      <w:r w:rsidRPr="00D83F98">
        <w:rPr>
          <w:rFonts w:ascii="Arial" w:eastAsia="Times New Roman" w:hAnsi="Arial" w:cs="Arial"/>
          <w:sz w:val="20"/>
          <w:szCs w:val="20"/>
          <w:lang w:eastAsia="es-MX"/>
        </w:rPr>
        <w:t xml:space="preserve">Decreto 1082 de 2015 que estableció </w:t>
      </w:r>
      <w:r w:rsidRPr="00D83F98">
        <w:rPr>
          <w:rFonts w:ascii="Arial" w:eastAsia="Times New Roman" w:hAnsi="Arial" w:cs="Arial"/>
          <w:color w:val="000000" w:themeColor="text1"/>
          <w:sz w:val="20"/>
          <w:szCs w:val="20"/>
          <w:lang w:eastAsia="es-MX"/>
        </w:rPr>
        <w:t xml:space="preserve">unas reglas objetivas que garantizan una aplicación uniforme de los criterios diferenciales a favor de empresas y emprendimientos de mujeres. </w:t>
      </w:r>
      <w:r w:rsidRPr="00D83F98">
        <w:rPr>
          <w:rFonts w:ascii="Arial" w:eastAsia="Times New Roman" w:hAnsi="Arial" w:cs="Arial"/>
          <w:sz w:val="20"/>
          <w:szCs w:val="20"/>
          <w:lang w:eastAsia="es-MX"/>
        </w:rPr>
        <w:t xml:space="preserve">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w:t>
      </w:r>
    </w:p>
    <w:p w14:paraId="4FCC97EA" w14:textId="77777777" w:rsidR="00AE2EBB" w:rsidRPr="006B6658" w:rsidRDefault="00AE2EBB" w:rsidP="00D83F98">
      <w:pPr>
        <w:spacing w:after="0" w:line="276" w:lineRule="auto"/>
        <w:jc w:val="both"/>
        <w:rPr>
          <w:rFonts w:ascii="Arial" w:eastAsia="Times New Roman" w:hAnsi="Arial" w:cs="Arial"/>
          <w:szCs w:val="24"/>
          <w:lang w:eastAsia="es-MX"/>
        </w:rPr>
      </w:pPr>
    </w:p>
    <w:p w14:paraId="76ECDBB9" w14:textId="77777777" w:rsidR="00AE2EBB" w:rsidRPr="00583AED" w:rsidRDefault="00AE2EBB" w:rsidP="00AE2EBB">
      <w:pPr>
        <w:spacing w:after="0"/>
        <w:jc w:val="both"/>
        <w:rPr>
          <w:rFonts w:ascii="Arial" w:hAnsi="Arial" w:cs="Arial"/>
          <w:b/>
          <w:bCs/>
        </w:rPr>
      </w:pPr>
      <w:r w:rsidRPr="00583AED">
        <w:rPr>
          <w:rFonts w:ascii="Arial" w:hAnsi="Arial" w:cs="Arial"/>
          <w:b/>
          <w:bCs/>
        </w:rPr>
        <w:t>DOCUMENTOS TIPO – Decreto 1860 de 2021</w:t>
      </w:r>
      <w:r>
        <w:rPr>
          <w:rFonts w:ascii="Arial" w:hAnsi="Arial" w:cs="Arial"/>
          <w:b/>
          <w:bCs/>
        </w:rPr>
        <w:t xml:space="preserve"> – </w:t>
      </w:r>
      <w:r w:rsidRPr="00583AED">
        <w:rPr>
          <w:rFonts w:ascii="Arial" w:hAnsi="Arial" w:cs="Arial"/>
          <w:b/>
          <w:bCs/>
        </w:rPr>
        <w:t>Vigencia</w:t>
      </w:r>
    </w:p>
    <w:p w14:paraId="77B641BD" w14:textId="77777777" w:rsidR="00AE2EBB" w:rsidRDefault="00AE2EBB" w:rsidP="00AE2EBB">
      <w:pPr>
        <w:spacing w:after="0"/>
        <w:jc w:val="both"/>
        <w:rPr>
          <w:rFonts w:ascii="Arial" w:hAnsi="Arial" w:cs="Arial"/>
        </w:rPr>
      </w:pPr>
    </w:p>
    <w:p w14:paraId="77CA8B8C" w14:textId="416C66E4" w:rsidR="00D83F98" w:rsidRPr="00D83F98" w:rsidRDefault="00D83F98" w:rsidP="00D83F98">
      <w:pPr>
        <w:spacing w:after="120" w:line="240" w:lineRule="auto"/>
        <w:jc w:val="both"/>
        <w:rPr>
          <w:rFonts w:ascii="Arial" w:eastAsia="Arial" w:hAnsi="Arial" w:cs="Arial"/>
          <w:sz w:val="20"/>
          <w:szCs w:val="20"/>
          <w:lang w:val="es-ES" w:eastAsia="es-CO"/>
        </w:rPr>
      </w:pPr>
      <w:r w:rsidRPr="00D83F98">
        <w:rPr>
          <w:rFonts w:ascii="Arial" w:eastAsia="Times New Roman" w:hAnsi="Arial" w:cs="Arial"/>
          <w:sz w:val="20"/>
          <w:szCs w:val="20"/>
          <w:lang w:eastAsia="es-MX"/>
        </w:rPr>
        <w:t>Para aplicar las disposiciones contenidas en el Decreto 1860 de 2021, el artículo 8 de dicho decreto estableció el momento a partir del cual sus disposiciones surtirían efectos.</w:t>
      </w:r>
      <w:r w:rsidRPr="00D83F98">
        <w:rPr>
          <w:rFonts w:ascii="Arial" w:eastAsia="Calibri" w:hAnsi="Arial" w:cs="Arial"/>
          <w:sz w:val="20"/>
          <w:szCs w:val="20"/>
        </w:rPr>
        <w:t xml:space="preserve"> De esta forma, se estableció que estas </w:t>
      </w:r>
      <w:r w:rsidRPr="00D83F98">
        <w:rPr>
          <w:rFonts w:ascii="Arial" w:eastAsia="Arial" w:hAnsi="Arial" w:cs="Arial"/>
          <w:sz w:val="20"/>
          <w:szCs w:val="20"/>
          <w:lang w:val="es-ES" w:eastAsia="es-CO"/>
        </w:rPr>
        <w:t xml:space="preserve">aplicarán a los procesos de selección cuya invitación, aviso de convocatoria o documento equivalente –según corresponda–, se publique después de los tres (3) meses de su expedición. </w:t>
      </w:r>
    </w:p>
    <w:p w14:paraId="30585FEA" w14:textId="77777777" w:rsidR="00D83F98" w:rsidRPr="00D83F98" w:rsidRDefault="00D83F98" w:rsidP="00D83F98">
      <w:pPr>
        <w:autoSpaceDE w:val="0"/>
        <w:autoSpaceDN w:val="0"/>
        <w:adjustRightInd w:val="0"/>
        <w:spacing w:after="120" w:line="240" w:lineRule="auto"/>
        <w:jc w:val="both"/>
        <w:rPr>
          <w:rFonts w:ascii="Arial" w:eastAsia="Arial" w:hAnsi="Arial" w:cs="Arial"/>
          <w:sz w:val="20"/>
          <w:szCs w:val="20"/>
          <w:lang w:eastAsia="es-MX"/>
        </w:rPr>
      </w:pPr>
      <w:r w:rsidRPr="00D83F98">
        <w:rPr>
          <w:rFonts w:ascii="Arial" w:eastAsia="Arial" w:hAnsi="Arial" w:cs="Arial"/>
          <w:sz w:val="20"/>
          <w:szCs w:val="20"/>
          <w:lang w:val="es-ES" w:eastAsia="es-CO"/>
        </w:rPr>
        <w:t xml:space="preserve">No obstante, en relación con los procesos de contratación que se rijan por los Documentos Tipo, en el parágrafo del artículo se dispuso que las disposiciones contenidas en el Decreto no se aplicarían a dichos procesos hasta que la Agencia Nacional de Contratación Pública − Colombia Compra Eficiente incorpore en estos documentos las modificaciones pertinentes. Para el efecto, se señaló que la Agencia tendría un plazo de seis (6) meses contados a partir de la expedición del reglamento para adecuar los documentos tipo a las disposiciones del Decreto. En este sentido, hasta que la adecuación no ocurra se continuarán aplicando los instrumentos y </w:t>
      </w:r>
      <w:r w:rsidRPr="00D83F98">
        <w:rPr>
          <w:rFonts w:ascii="Arial" w:eastAsia="Arial" w:hAnsi="Arial" w:cs="Arial"/>
          <w:sz w:val="20"/>
          <w:szCs w:val="20"/>
          <w:lang w:eastAsia="es-MX"/>
        </w:rPr>
        <w:t>las normas vigentes anteriores a la expedición del reglamento, conforme a la regulación contenida en los Documentos Tipo vigentes.</w:t>
      </w:r>
    </w:p>
    <w:p w14:paraId="496456C5" w14:textId="77777777" w:rsidR="00D83F98" w:rsidRPr="00D83F98" w:rsidRDefault="00D83F98" w:rsidP="00D83F98">
      <w:pPr>
        <w:spacing w:after="120" w:line="240" w:lineRule="auto"/>
        <w:jc w:val="both"/>
        <w:rPr>
          <w:rFonts w:ascii="Arial" w:eastAsia="Arial" w:hAnsi="Arial" w:cs="Arial"/>
          <w:sz w:val="20"/>
          <w:szCs w:val="20"/>
          <w:lang w:val="es-ES" w:eastAsia="es-CO"/>
        </w:rPr>
      </w:pPr>
      <w:r w:rsidRPr="00D83F98">
        <w:rPr>
          <w:rFonts w:ascii="Arial" w:eastAsia="Arial" w:hAnsi="Arial" w:cs="Arial"/>
          <w:sz w:val="20"/>
          <w:szCs w:val="20"/>
          <w:lang w:val="es-ES" w:eastAsia="es-CO"/>
        </w:rPr>
        <w:t xml:space="preserve">Sin perjuicio de lo anterior, el segundo inciso del parágrafo señala una regla distinta en relación con la </w:t>
      </w:r>
      <w:proofErr w:type="gramStart"/>
      <w:r w:rsidRPr="00D83F98">
        <w:rPr>
          <w:rFonts w:ascii="Arial" w:eastAsia="Arial" w:hAnsi="Arial" w:cs="Arial"/>
          <w:sz w:val="20"/>
          <w:szCs w:val="20"/>
          <w:lang w:val="es-ES" w:eastAsia="es-CO"/>
        </w:rPr>
        <w:t>entrada en vigencia</w:t>
      </w:r>
      <w:proofErr w:type="gramEnd"/>
      <w:r w:rsidRPr="00D83F98">
        <w:rPr>
          <w:rFonts w:ascii="Arial" w:eastAsia="Arial" w:hAnsi="Arial" w:cs="Arial"/>
          <w:sz w:val="20"/>
          <w:szCs w:val="20"/>
          <w:lang w:val="es-ES" w:eastAsia="es-CO"/>
        </w:rPr>
        <w:t xml:space="preserve"> del artículo 5 del reglamento, en relación con los procesos regidos por documentos tipo. De esta forma se previó que este entrará a regir en aquellos procesos en los que </w:t>
      </w:r>
      <w:r w:rsidRPr="00D83F98">
        <w:rPr>
          <w:rFonts w:ascii="Arial" w:hAnsi="Arial" w:cs="Arial"/>
          <w:sz w:val="20"/>
          <w:szCs w:val="20"/>
        </w:rPr>
        <w:t xml:space="preserve">la publicación del aviso de convocatoria o </w:t>
      </w:r>
      <w:r w:rsidRPr="00D83F98">
        <w:rPr>
          <w:rFonts w:ascii="Arial" w:eastAsia="Arial" w:hAnsi="Arial" w:cs="Arial"/>
          <w:sz w:val="20"/>
          <w:szCs w:val="20"/>
          <w:lang w:val="es-ES" w:eastAsia="es-CO"/>
        </w:rPr>
        <w:t>la invitación −según corresponda−, se realice a los tres (3) meses de la expedición del Decreto.</w:t>
      </w:r>
    </w:p>
    <w:p w14:paraId="29619757" w14:textId="77777777" w:rsidR="00D83F98" w:rsidRPr="00D83F98" w:rsidRDefault="00D83F98" w:rsidP="00D83F98">
      <w:pPr>
        <w:spacing w:after="120" w:line="240" w:lineRule="auto"/>
        <w:jc w:val="both"/>
        <w:rPr>
          <w:rFonts w:ascii="Arial" w:eastAsia="Times New Roman" w:hAnsi="Arial" w:cs="Arial"/>
          <w:color w:val="000000" w:themeColor="text1"/>
          <w:sz w:val="20"/>
          <w:szCs w:val="20"/>
          <w:lang w:eastAsia="es-MX"/>
        </w:rPr>
      </w:pPr>
      <w:r w:rsidRPr="00D83F98">
        <w:rPr>
          <w:rFonts w:ascii="Arial" w:eastAsia="Times New Roman" w:hAnsi="Arial" w:cs="Arial"/>
          <w:color w:val="000000" w:themeColor="text1"/>
          <w:sz w:val="20"/>
          <w:szCs w:val="20"/>
          <w:lang w:eastAsia="es-MX"/>
        </w:rPr>
        <w:t xml:space="preserve">Conforme con el contenido del parágrafo, la </w:t>
      </w:r>
      <w:proofErr w:type="gramStart"/>
      <w:r w:rsidRPr="00D83F98">
        <w:rPr>
          <w:rFonts w:ascii="Arial" w:eastAsia="Times New Roman" w:hAnsi="Arial" w:cs="Arial"/>
          <w:color w:val="000000" w:themeColor="text1"/>
          <w:sz w:val="20"/>
          <w:szCs w:val="20"/>
          <w:lang w:eastAsia="es-MX"/>
        </w:rPr>
        <w:t>entrada en vigencia</w:t>
      </w:r>
      <w:proofErr w:type="gramEnd"/>
      <w:r w:rsidRPr="00D83F98">
        <w:rPr>
          <w:rFonts w:ascii="Arial" w:eastAsia="Times New Roman" w:hAnsi="Arial" w:cs="Arial"/>
          <w:color w:val="000000" w:themeColor="text1"/>
          <w:sz w:val="20"/>
          <w:szCs w:val="20"/>
          <w:lang w:eastAsia="es-MX"/>
        </w:rPr>
        <w:t xml:space="preserve"> del Decreto 1860 de 2021, en relación con los procesos contractuales regidos documentos tipo, dependerá de si se trata del artículo 5 del Decreto o de cualquier otro. De esta forma, en el primer supuesto, </w:t>
      </w:r>
      <w:r w:rsidRPr="00D83F98">
        <w:rPr>
          <w:rFonts w:ascii="Arial" w:eastAsia="Arial" w:hAnsi="Arial" w:cs="Arial"/>
          <w:sz w:val="20"/>
          <w:szCs w:val="20"/>
          <w:lang w:val="es-ES" w:eastAsia="es-CO"/>
        </w:rPr>
        <w:t xml:space="preserve">teniendo en cuenta que el Decreto fue expedido el 24 de diciembre de 2021, las disposiciones contenidas en el artículo 5 relacionadas con la limitación a </w:t>
      </w:r>
      <w:proofErr w:type="spellStart"/>
      <w:r w:rsidRPr="00D83F98">
        <w:rPr>
          <w:rFonts w:ascii="Arial" w:eastAsia="Arial" w:hAnsi="Arial" w:cs="Arial"/>
          <w:sz w:val="20"/>
          <w:szCs w:val="20"/>
          <w:lang w:val="es-ES" w:eastAsia="es-CO"/>
        </w:rPr>
        <w:t>Mipymes</w:t>
      </w:r>
      <w:proofErr w:type="spellEnd"/>
      <w:r w:rsidRPr="00D83F98">
        <w:rPr>
          <w:rFonts w:ascii="Arial" w:eastAsia="Arial" w:hAnsi="Arial" w:cs="Arial"/>
          <w:sz w:val="20"/>
          <w:szCs w:val="20"/>
          <w:lang w:val="es-ES" w:eastAsia="es-CO"/>
        </w:rPr>
        <w:t xml:space="preserve">, son obligatorias desde </w:t>
      </w:r>
      <w:r w:rsidRPr="00D83F98">
        <w:rPr>
          <w:rFonts w:ascii="Arial" w:hAnsi="Arial" w:cs="Arial"/>
          <w:sz w:val="20"/>
          <w:szCs w:val="20"/>
        </w:rPr>
        <w:t xml:space="preserve">el 24 de marzo de </w:t>
      </w:r>
      <w:r w:rsidRPr="00D83F98">
        <w:rPr>
          <w:rFonts w:ascii="Arial" w:hAnsi="Arial" w:cs="Arial"/>
          <w:sz w:val="20"/>
          <w:szCs w:val="20"/>
        </w:rPr>
        <w:lastRenderedPageBreak/>
        <w:t>2022.</w:t>
      </w:r>
      <w:r w:rsidRPr="00D83F98">
        <w:rPr>
          <w:rFonts w:ascii="Arial" w:eastAsia="Times New Roman" w:hAnsi="Arial" w:cs="Arial"/>
          <w:color w:val="000000" w:themeColor="text1"/>
          <w:sz w:val="20"/>
          <w:szCs w:val="20"/>
          <w:lang w:eastAsia="es-MX"/>
        </w:rPr>
        <w:t xml:space="preserve"> No obstante, si se trata de los otros artículos del Decreto, su </w:t>
      </w:r>
      <w:proofErr w:type="gramStart"/>
      <w:r w:rsidRPr="00D83F98">
        <w:rPr>
          <w:rFonts w:ascii="Arial" w:eastAsia="Times New Roman" w:hAnsi="Arial" w:cs="Arial"/>
          <w:color w:val="000000" w:themeColor="text1"/>
          <w:sz w:val="20"/>
          <w:szCs w:val="20"/>
          <w:lang w:eastAsia="es-MX"/>
        </w:rPr>
        <w:t>entrada en vigencia</w:t>
      </w:r>
      <w:proofErr w:type="gramEnd"/>
      <w:r w:rsidRPr="00D83F98">
        <w:rPr>
          <w:rFonts w:ascii="Arial" w:eastAsia="Times New Roman" w:hAnsi="Arial" w:cs="Arial"/>
          <w:color w:val="000000" w:themeColor="text1"/>
          <w:sz w:val="20"/>
          <w:szCs w:val="20"/>
          <w:lang w:eastAsia="es-MX"/>
        </w:rPr>
        <w:t xml:space="preserve"> está condicionada a la modificación de los documentos tipo por parte de la Agencia Nacional de Contratación Pública – Colombia Compra Eficiente.</w:t>
      </w:r>
    </w:p>
    <w:p w14:paraId="06284571" w14:textId="779607B4" w:rsidR="008D3390" w:rsidRPr="008D3390" w:rsidRDefault="008D3390" w:rsidP="008D3390">
      <w:pPr>
        <w:widowControl w:val="0"/>
        <w:autoSpaceDE w:val="0"/>
        <w:autoSpaceDN w:val="0"/>
        <w:spacing w:after="0" w:line="276" w:lineRule="auto"/>
        <w:jc w:val="right"/>
        <w:rPr>
          <w:rFonts w:ascii="Arial" w:eastAsia="Times New Roman" w:hAnsi="Arial" w:cs="Arial"/>
          <w:lang w:val="es-ES" w:eastAsia="es-ES"/>
        </w:rPr>
      </w:pPr>
    </w:p>
    <w:p w14:paraId="74148D72" w14:textId="4F845E1A" w:rsidR="008D3390" w:rsidRPr="008D3390" w:rsidRDefault="000644D8" w:rsidP="000644D8">
      <w:pPr>
        <w:widowControl w:val="0"/>
        <w:autoSpaceDE w:val="0"/>
        <w:autoSpaceDN w:val="0"/>
        <w:spacing w:after="0" w:line="276" w:lineRule="auto"/>
        <w:jc w:val="right"/>
        <w:rPr>
          <w:rFonts w:ascii="Arial" w:eastAsia="Times New Roman" w:hAnsi="Arial" w:cs="Arial"/>
          <w:lang w:val="es-ES" w:eastAsia="es-ES"/>
        </w:rPr>
      </w:pPr>
      <w:r>
        <w:rPr>
          <w:noProof/>
        </w:rPr>
        <w:drawing>
          <wp:inline distT="0" distB="0" distL="0" distR="0" wp14:anchorId="241AF70B" wp14:editId="23336E02">
            <wp:extent cx="3511216" cy="981075"/>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rotWithShape="1">
                    <a:blip r:embed="rId8"/>
                    <a:srcRect l="59619" t="34996" r="4398" b="48918"/>
                    <a:stretch/>
                  </pic:blipFill>
                  <pic:spPr bwMode="auto">
                    <a:xfrm>
                      <a:off x="0" y="0"/>
                      <a:ext cx="3516410" cy="982526"/>
                    </a:xfrm>
                    <a:prstGeom prst="rect">
                      <a:avLst/>
                    </a:prstGeom>
                    <a:ln>
                      <a:noFill/>
                    </a:ln>
                    <a:extLst>
                      <a:ext uri="{53640926-AAD7-44D8-BBD7-CCE9431645EC}">
                        <a14:shadowObscured xmlns:a14="http://schemas.microsoft.com/office/drawing/2010/main"/>
                      </a:ext>
                    </a:extLst>
                  </pic:spPr>
                </pic:pic>
              </a:graphicData>
            </a:graphic>
          </wp:inline>
        </w:drawing>
      </w:r>
    </w:p>
    <w:p w14:paraId="0A9E77FB" w14:textId="77777777" w:rsidR="000644D8" w:rsidRDefault="000644D8" w:rsidP="008D3390">
      <w:pPr>
        <w:spacing w:after="0" w:line="276" w:lineRule="auto"/>
        <w:rPr>
          <w:rFonts w:ascii="Arial" w:eastAsia="Calibri" w:hAnsi="Arial" w:cs="Arial"/>
          <w:color w:val="000000" w:themeColor="text1"/>
          <w:szCs w:val="24"/>
          <w:lang w:eastAsia="es-MX"/>
        </w:rPr>
      </w:pPr>
      <w:bookmarkStart w:id="0" w:name="_Hlk110839819"/>
    </w:p>
    <w:p w14:paraId="10A7EEAD" w14:textId="0E087BA7" w:rsidR="000644D8" w:rsidRPr="000644D8" w:rsidRDefault="000644D8" w:rsidP="008D3390">
      <w:pPr>
        <w:spacing w:after="0" w:line="276" w:lineRule="auto"/>
        <w:rPr>
          <w:rFonts w:ascii="Arial" w:eastAsia="Calibri" w:hAnsi="Arial" w:cs="Arial"/>
          <w:color w:val="000000" w:themeColor="text1"/>
          <w:szCs w:val="24"/>
          <w:lang w:eastAsia="es-MX"/>
        </w:rPr>
      </w:pPr>
      <w:r w:rsidRPr="000644D8">
        <w:rPr>
          <w:rFonts w:ascii="Arial" w:hAnsi="Arial" w:cs="Arial"/>
        </w:rPr>
        <w:t xml:space="preserve">Bogotá, 08 </w:t>
      </w:r>
      <w:proofErr w:type="gramStart"/>
      <w:r w:rsidRPr="000644D8">
        <w:rPr>
          <w:rFonts w:ascii="Arial" w:hAnsi="Arial" w:cs="Arial"/>
        </w:rPr>
        <w:t>Agosto</w:t>
      </w:r>
      <w:proofErr w:type="gramEnd"/>
      <w:r w:rsidRPr="000644D8">
        <w:rPr>
          <w:rFonts w:ascii="Arial" w:hAnsi="Arial" w:cs="Arial"/>
        </w:rPr>
        <w:t xml:space="preserve"> 2022</w:t>
      </w:r>
    </w:p>
    <w:p w14:paraId="53464D46" w14:textId="77777777" w:rsidR="000644D8" w:rsidRDefault="000644D8" w:rsidP="008D3390">
      <w:pPr>
        <w:spacing w:after="0" w:line="276" w:lineRule="auto"/>
        <w:rPr>
          <w:rFonts w:ascii="Arial" w:eastAsia="Calibri" w:hAnsi="Arial" w:cs="Arial"/>
          <w:color w:val="000000" w:themeColor="text1"/>
          <w:szCs w:val="24"/>
          <w:lang w:eastAsia="es-MX"/>
        </w:rPr>
      </w:pPr>
    </w:p>
    <w:p w14:paraId="538347DF" w14:textId="157C0E89" w:rsidR="008D3390" w:rsidRPr="008D3390" w:rsidRDefault="008D3390" w:rsidP="008D3390">
      <w:pPr>
        <w:spacing w:after="0" w:line="276" w:lineRule="auto"/>
        <w:rPr>
          <w:rFonts w:ascii="Arial" w:eastAsia="Calibri" w:hAnsi="Arial" w:cs="Arial"/>
          <w:color w:val="000000" w:themeColor="text1"/>
          <w:szCs w:val="24"/>
          <w:lang w:eastAsia="es-MX"/>
        </w:rPr>
      </w:pPr>
      <w:r w:rsidRPr="008D3390">
        <w:rPr>
          <w:rFonts w:ascii="Arial" w:eastAsia="Calibri" w:hAnsi="Arial" w:cs="Arial"/>
          <w:color w:val="000000" w:themeColor="text1"/>
          <w:szCs w:val="24"/>
          <w:lang w:eastAsia="es-MX"/>
        </w:rPr>
        <w:t>Señor</w:t>
      </w:r>
      <w:r>
        <w:rPr>
          <w:rFonts w:ascii="Arial" w:eastAsia="Calibri" w:hAnsi="Arial" w:cs="Arial"/>
          <w:color w:val="000000" w:themeColor="text1"/>
          <w:szCs w:val="24"/>
          <w:lang w:eastAsia="es-MX"/>
        </w:rPr>
        <w:t>a</w:t>
      </w:r>
    </w:p>
    <w:p w14:paraId="06D56C55" w14:textId="0BF440E2" w:rsidR="008D3390" w:rsidRDefault="008D3390" w:rsidP="008D3390">
      <w:pPr>
        <w:spacing w:after="0" w:line="240" w:lineRule="auto"/>
        <w:rPr>
          <w:rFonts w:ascii="Arial" w:hAnsi="Arial" w:cs="Arial"/>
          <w:b/>
          <w:bCs/>
        </w:rPr>
      </w:pPr>
      <w:r>
        <w:rPr>
          <w:rFonts w:ascii="Arial" w:hAnsi="Arial" w:cs="Arial"/>
          <w:b/>
          <w:bCs/>
        </w:rPr>
        <w:t>Ximena Londoño</w:t>
      </w:r>
    </w:p>
    <w:p w14:paraId="3469E177" w14:textId="2A599BC3" w:rsidR="008D3390" w:rsidRPr="008D3390" w:rsidRDefault="008D3390" w:rsidP="008D3390">
      <w:pPr>
        <w:spacing w:after="0" w:line="240" w:lineRule="auto"/>
        <w:rPr>
          <w:rFonts w:ascii="Arial" w:hAnsi="Arial" w:cs="Arial"/>
        </w:rPr>
      </w:pPr>
      <w:r w:rsidRPr="008D3390">
        <w:rPr>
          <w:rFonts w:ascii="Arial" w:hAnsi="Arial" w:cs="Arial"/>
        </w:rPr>
        <w:t>Alcaldía de Jamundí</w:t>
      </w:r>
    </w:p>
    <w:p w14:paraId="4AB95EAE" w14:textId="3E541684" w:rsidR="008D3390" w:rsidRPr="008D3390" w:rsidRDefault="008D3390" w:rsidP="008D3390">
      <w:pPr>
        <w:spacing w:after="0" w:line="240" w:lineRule="auto"/>
        <w:rPr>
          <w:rFonts w:ascii="Arial" w:hAnsi="Arial" w:cs="Arial"/>
        </w:rPr>
      </w:pPr>
      <w:r w:rsidRPr="008D3390">
        <w:rPr>
          <w:rFonts w:ascii="Arial" w:hAnsi="Arial" w:cs="Arial"/>
        </w:rPr>
        <w:t>Jamundí, Valle del Cauca</w:t>
      </w:r>
    </w:p>
    <w:p w14:paraId="3AF0AE2E" w14:textId="77777777" w:rsidR="008D3390" w:rsidRPr="008D3390" w:rsidRDefault="008D3390" w:rsidP="008D3390">
      <w:pPr>
        <w:spacing w:after="0" w:line="240" w:lineRule="auto"/>
        <w:rPr>
          <w:rFonts w:ascii="Arial" w:eastAsia="Calibri" w:hAnsi="Arial" w:cs="Arial"/>
          <w:b/>
          <w:color w:val="000000" w:themeColor="text1"/>
          <w:szCs w:val="24"/>
          <w:lang w:eastAsia="es-MX"/>
        </w:rPr>
      </w:pPr>
    </w:p>
    <w:p w14:paraId="44A9A8AF" w14:textId="072EB0E1" w:rsidR="008D3390" w:rsidRPr="008D3390" w:rsidRDefault="008D3390" w:rsidP="008D3390">
      <w:pPr>
        <w:spacing w:after="0" w:line="240" w:lineRule="auto"/>
        <w:rPr>
          <w:rFonts w:ascii="Arial" w:eastAsia="Calibri" w:hAnsi="Arial" w:cs="Arial"/>
          <w:b/>
          <w:color w:val="000000" w:themeColor="text1"/>
          <w:szCs w:val="24"/>
          <w:lang w:eastAsia="es-MX"/>
        </w:rPr>
      </w:pPr>
      <w:r w:rsidRPr="008D3390">
        <w:rPr>
          <w:rFonts w:ascii="Arial" w:eastAsia="Calibri" w:hAnsi="Arial" w:cs="Arial"/>
          <w:b/>
          <w:color w:val="000000" w:themeColor="text1"/>
          <w:szCs w:val="24"/>
          <w:lang w:eastAsia="es-MX"/>
        </w:rPr>
        <w:t xml:space="preserve">                                        Concepto C – </w:t>
      </w:r>
      <w:r>
        <w:rPr>
          <w:rFonts w:ascii="Arial" w:eastAsia="Calibri" w:hAnsi="Arial" w:cs="Arial"/>
          <w:b/>
          <w:color w:val="000000" w:themeColor="text1"/>
          <w:szCs w:val="24"/>
          <w:lang w:eastAsia="es-MX"/>
        </w:rPr>
        <w:t>509</w:t>
      </w:r>
      <w:r w:rsidRPr="008D3390">
        <w:rPr>
          <w:rFonts w:ascii="Arial" w:eastAsia="Calibri" w:hAnsi="Arial" w:cs="Arial"/>
          <w:b/>
          <w:color w:val="000000" w:themeColor="text1"/>
          <w:szCs w:val="24"/>
          <w:lang w:eastAsia="es-MX"/>
        </w:rPr>
        <w:t xml:space="preserve"> de 2022 </w:t>
      </w:r>
    </w:p>
    <w:p w14:paraId="3BB91711" w14:textId="77777777" w:rsidR="008D3390" w:rsidRPr="008D3390" w:rsidRDefault="008D3390" w:rsidP="008D3390">
      <w:pPr>
        <w:spacing w:after="0" w:line="240" w:lineRule="auto"/>
        <w:rPr>
          <w:rFonts w:ascii="Arial" w:eastAsia="Calibri" w:hAnsi="Arial" w:cs="Arial"/>
          <w:b/>
          <w:color w:val="000000" w:themeColor="text1"/>
          <w:szCs w:val="24"/>
          <w:lang w:eastAsia="es-MX"/>
        </w:rPr>
      </w:pPr>
    </w:p>
    <w:tbl>
      <w:tblPr>
        <w:tblStyle w:val="Tablaconcuadrcula"/>
        <w:tblW w:w="8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272"/>
      </w:tblGrid>
      <w:tr w:rsidR="008D3390" w:rsidRPr="008D3390" w14:paraId="6F4968E8" w14:textId="77777777" w:rsidTr="002C68F4">
        <w:trPr>
          <w:trHeight w:val="1120"/>
        </w:trPr>
        <w:tc>
          <w:tcPr>
            <w:tcW w:w="2410" w:type="dxa"/>
          </w:tcPr>
          <w:p w14:paraId="46B6CAAE" w14:textId="77777777" w:rsidR="008D3390" w:rsidRPr="008D3390" w:rsidRDefault="008D3390" w:rsidP="008D3390">
            <w:pPr>
              <w:widowControl w:val="0"/>
              <w:autoSpaceDE w:val="0"/>
              <w:autoSpaceDN w:val="0"/>
              <w:spacing w:line="276" w:lineRule="auto"/>
              <w:jc w:val="both"/>
              <w:rPr>
                <w:rFonts w:ascii="Arial" w:eastAsia="Calibri" w:hAnsi="Arial" w:cs="Arial"/>
                <w:b/>
                <w:bCs/>
              </w:rPr>
            </w:pPr>
            <w:r w:rsidRPr="008D3390">
              <w:rPr>
                <w:rFonts w:ascii="Arial" w:eastAsia="Calibri" w:hAnsi="Arial" w:cs="Arial"/>
                <w:b/>
                <w:color w:val="000000" w:themeColor="text1"/>
              </w:rPr>
              <w:t>Temas:</w:t>
            </w:r>
            <w:r w:rsidRPr="008D3390">
              <w:rPr>
                <w:rFonts w:ascii="Arial" w:eastAsia="Calibri" w:hAnsi="Arial" w:cs="Arial"/>
                <w:color w:val="000000" w:themeColor="text1"/>
                <w:sz w:val="20"/>
                <w:szCs w:val="20"/>
              </w:rPr>
              <w:t xml:space="preserve">   </w:t>
            </w:r>
          </w:p>
        </w:tc>
        <w:tc>
          <w:tcPr>
            <w:tcW w:w="6272" w:type="dxa"/>
          </w:tcPr>
          <w:p w14:paraId="64AD6669" w14:textId="77777777" w:rsidR="006A53C9" w:rsidRPr="00583AED" w:rsidRDefault="008D3390" w:rsidP="006A53C9">
            <w:pPr>
              <w:jc w:val="both"/>
              <w:rPr>
                <w:rFonts w:ascii="Arial" w:hAnsi="Arial" w:cs="Arial"/>
                <w:b/>
                <w:bCs/>
              </w:rPr>
            </w:pPr>
            <w:r w:rsidRPr="008D3390">
              <w:rPr>
                <w:rFonts w:ascii="Arial" w:eastAsia="Calibri" w:hAnsi="Arial" w:cs="Arial"/>
                <w:bCs/>
                <w:szCs w:val="24"/>
                <w:lang w:val="es-ES_tradnl" w:eastAsia="en-GB"/>
              </w:rPr>
              <w:t xml:space="preserve">DOCUMENTOS TIPO – Obligatoriedad – Inalterabilidad / DOCUMENTOS TIPO – Infraestructura social – Sectores – Educativo – Salud – Cultura, recreación y deporte / </w:t>
            </w:r>
            <w:r w:rsidR="006A53C9" w:rsidRPr="006A53C9">
              <w:rPr>
                <w:rFonts w:ascii="Arial" w:hAnsi="Arial" w:cs="Arial"/>
              </w:rPr>
              <w:t xml:space="preserve">DOCUMENTOS TIPO – Decreto 1860 de 2021 – Criterios diferenciales – </w:t>
            </w:r>
            <w:proofErr w:type="spellStart"/>
            <w:r w:rsidR="006A53C9" w:rsidRPr="006A53C9">
              <w:rPr>
                <w:rFonts w:ascii="Arial" w:hAnsi="Arial" w:cs="Arial"/>
              </w:rPr>
              <w:t>Mipymes</w:t>
            </w:r>
            <w:proofErr w:type="spellEnd"/>
            <w:r w:rsidR="006A53C9" w:rsidRPr="006A53C9">
              <w:rPr>
                <w:rFonts w:ascii="Arial" w:hAnsi="Arial" w:cs="Arial"/>
              </w:rPr>
              <w:t xml:space="preserve"> / DOCUMENTOS TIPO – Decreto 1860 de 2021 – Criterios diferenciales – Empresas y emprendimientos de mujeres / DOCUMENTOS TIPO – Decreto 1860 de 2021 – Vigencia</w:t>
            </w:r>
          </w:p>
          <w:p w14:paraId="6D8A5771" w14:textId="0862D894" w:rsidR="008D3390" w:rsidRPr="006A53C9" w:rsidRDefault="008D3390" w:rsidP="006A53C9">
            <w:pPr>
              <w:jc w:val="both"/>
              <w:rPr>
                <w:rFonts w:ascii="Arial" w:hAnsi="Arial" w:cs="Arial"/>
                <w:b/>
                <w:bCs/>
              </w:rPr>
            </w:pPr>
          </w:p>
        </w:tc>
      </w:tr>
      <w:tr w:rsidR="008D3390" w:rsidRPr="008D3390" w14:paraId="171B005E" w14:textId="77777777" w:rsidTr="002C68F4">
        <w:trPr>
          <w:trHeight w:val="126"/>
        </w:trPr>
        <w:tc>
          <w:tcPr>
            <w:tcW w:w="2410" w:type="dxa"/>
          </w:tcPr>
          <w:p w14:paraId="6E4A8AFC" w14:textId="77777777" w:rsidR="008D3390" w:rsidRPr="008D3390" w:rsidRDefault="008D3390" w:rsidP="008D3390">
            <w:pPr>
              <w:jc w:val="both"/>
              <w:rPr>
                <w:rFonts w:ascii="Arial" w:eastAsia="Calibri" w:hAnsi="Arial" w:cs="Arial"/>
                <w:color w:val="000000" w:themeColor="text1"/>
                <w:lang w:eastAsia="es-MX"/>
              </w:rPr>
            </w:pPr>
            <w:r w:rsidRPr="008D3390">
              <w:rPr>
                <w:rFonts w:ascii="Arial" w:eastAsia="Calibri" w:hAnsi="Arial" w:cs="Arial"/>
                <w:b/>
                <w:color w:val="000000" w:themeColor="text1"/>
                <w:lang w:eastAsia="es-MX"/>
              </w:rPr>
              <w:t>Radicación:</w:t>
            </w:r>
            <w:r w:rsidRPr="008D3390">
              <w:rPr>
                <w:rFonts w:ascii="Arial" w:eastAsia="Calibri" w:hAnsi="Arial" w:cs="Arial"/>
                <w:color w:val="000000" w:themeColor="text1"/>
                <w:lang w:eastAsia="es-MX"/>
              </w:rPr>
              <w:t xml:space="preserve">                              </w:t>
            </w:r>
          </w:p>
        </w:tc>
        <w:tc>
          <w:tcPr>
            <w:tcW w:w="6272" w:type="dxa"/>
          </w:tcPr>
          <w:p w14:paraId="3CC2C561" w14:textId="1EBE1209" w:rsidR="008D3390" w:rsidRPr="008D3390" w:rsidRDefault="008D3390" w:rsidP="008D3390">
            <w:pPr>
              <w:jc w:val="both"/>
              <w:rPr>
                <w:rFonts w:ascii="Arial" w:eastAsia="Calibri" w:hAnsi="Arial" w:cs="Arial"/>
                <w:color w:val="000000" w:themeColor="text1"/>
                <w:lang w:eastAsia="es-MX"/>
              </w:rPr>
            </w:pPr>
            <w:r w:rsidRPr="008D3390">
              <w:rPr>
                <w:rFonts w:ascii="Arial" w:eastAsia="Calibri" w:hAnsi="Arial" w:cs="Arial"/>
                <w:color w:val="000000" w:themeColor="text1"/>
                <w:lang w:eastAsia="es-MX"/>
              </w:rPr>
              <w:t xml:space="preserve">Respuesta a consulta </w:t>
            </w:r>
            <w:r w:rsidR="00190D84" w:rsidRPr="00190D84">
              <w:rPr>
                <w:rFonts w:ascii="Arial" w:eastAsia="Calibri" w:hAnsi="Arial" w:cs="Arial"/>
                <w:color w:val="000000" w:themeColor="text1"/>
                <w:lang w:eastAsia="es-MX"/>
              </w:rPr>
              <w:t>P20220623006250</w:t>
            </w:r>
          </w:p>
        </w:tc>
      </w:tr>
    </w:tbl>
    <w:p w14:paraId="01E9DFBB" w14:textId="77777777" w:rsidR="008D3390" w:rsidRPr="008D3390" w:rsidRDefault="008D3390" w:rsidP="008D3390">
      <w:pPr>
        <w:spacing w:after="0" w:line="276" w:lineRule="auto"/>
        <w:rPr>
          <w:rFonts w:ascii="Times New Roman" w:eastAsia="Times New Roman" w:hAnsi="Times New Roman" w:cs="Times New Roman"/>
          <w:sz w:val="24"/>
          <w:szCs w:val="24"/>
          <w:lang w:eastAsia="es-MX"/>
        </w:rPr>
      </w:pPr>
    </w:p>
    <w:p w14:paraId="0438CAA6" w14:textId="13CFC343" w:rsidR="008D3390" w:rsidRPr="008D3390" w:rsidRDefault="008D3390" w:rsidP="008D3390">
      <w:pPr>
        <w:tabs>
          <w:tab w:val="left" w:pos="3736"/>
        </w:tabs>
        <w:spacing w:after="0" w:line="276" w:lineRule="auto"/>
        <w:rPr>
          <w:rFonts w:ascii="Arial" w:eastAsia="Calibri" w:hAnsi="Arial" w:cs="Arial"/>
          <w:color w:val="000000" w:themeColor="text1"/>
          <w:szCs w:val="24"/>
          <w:lang w:eastAsia="es-MX"/>
        </w:rPr>
      </w:pPr>
      <w:r w:rsidRPr="008D3390">
        <w:rPr>
          <w:rFonts w:ascii="Arial" w:eastAsia="Calibri" w:hAnsi="Arial" w:cs="Arial"/>
          <w:color w:val="000000" w:themeColor="text1"/>
          <w:szCs w:val="24"/>
          <w:lang w:eastAsia="es-MX"/>
        </w:rPr>
        <w:t>Estimad</w:t>
      </w:r>
      <w:r>
        <w:rPr>
          <w:rFonts w:ascii="Arial" w:eastAsia="Calibri" w:hAnsi="Arial" w:cs="Arial"/>
          <w:color w:val="000000" w:themeColor="text1"/>
          <w:szCs w:val="24"/>
          <w:lang w:eastAsia="es-MX"/>
        </w:rPr>
        <w:t>a</w:t>
      </w:r>
      <w:r w:rsidRPr="008D3390">
        <w:rPr>
          <w:rFonts w:ascii="Arial" w:eastAsia="Calibri" w:hAnsi="Arial" w:cs="Arial"/>
          <w:color w:val="000000" w:themeColor="text1"/>
          <w:szCs w:val="24"/>
          <w:lang w:eastAsia="es-MX"/>
        </w:rPr>
        <w:t xml:space="preserve"> Señor</w:t>
      </w:r>
      <w:r w:rsidRPr="008D3390">
        <w:rPr>
          <w:rFonts w:ascii="Arial" w:hAnsi="Arial" w:cs="Arial"/>
        </w:rPr>
        <w:t>a Londoño</w:t>
      </w:r>
      <w:r w:rsidRPr="008D3390">
        <w:rPr>
          <w:rFonts w:ascii="Arial" w:eastAsia="Calibri" w:hAnsi="Arial" w:cs="Arial"/>
          <w:color w:val="000000" w:themeColor="text1"/>
          <w:szCs w:val="24"/>
          <w:lang w:eastAsia="es-MX"/>
        </w:rPr>
        <w:t xml:space="preserve">: </w:t>
      </w:r>
      <w:r w:rsidRPr="008D3390">
        <w:rPr>
          <w:rFonts w:ascii="Arial" w:eastAsia="Calibri" w:hAnsi="Arial" w:cs="Arial"/>
          <w:color w:val="000000" w:themeColor="text1"/>
          <w:szCs w:val="24"/>
          <w:lang w:eastAsia="es-MX"/>
        </w:rPr>
        <w:tab/>
      </w:r>
    </w:p>
    <w:p w14:paraId="11C30140" w14:textId="77777777" w:rsidR="008D3390" w:rsidRPr="008D3390" w:rsidRDefault="008D3390" w:rsidP="008D3390">
      <w:pPr>
        <w:spacing w:after="0" w:line="276" w:lineRule="auto"/>
        <w:rPr>
          <w:rFonts w:ascii="Arial" w:eastAsia="Calibri" w:hAnsi="Arial" w:cs="Arial"/>
          <w:color w:val="000000" w:themeColor="text1"/>
          <w:lang w:eastAsia="es-MX"/>
        </w:rPr>
      </w:pPr>
    </w:p>
    <w:p w14:paraId="0113AE8A" w14:textId="3CD2043D" w:rsidR="008D3390" w:rsidRPr="008D3390" w:rsidRDefault="008D3390" w:rsidP="008D3390">
      <w:pPr>
        <w:spacing w:after="0" w:line="276" w:lineRule="auto"/>
        <w:jc w:val="both"/>
        <w:rPr>
          <w:rFonts w:ascii="Arial" w:eastAsia="Calibri" w:hAnsi="Arial" w:cs="Arial"/>
          <w:color w:val="000000" w:themeColor="text1"/>
          <w:lang w:eastAsia="es-MX"/>
        </w:rPr>
      </w:pPr>
      <w:r w:rsidRPr="008D3390">
        <w:rPr>
          <w:rFonts w:ascii="Arial" w:eastAsia="Calibri" w:hAnsi="Arial" w:cs="Arial"/>
          <w:lang w:val="es-MX" w:eastAsia="es-MX"/>
        </w:rPr>
        <w:t>En ejercicio de la competencia otorgada por los artículos 11, numeral 8º, y 3º, numeral 5º, del Decreto Ley 4170 de 2011,</w:t>
      </w:r>
      <w:r w:rsidRPr="008D3390">
        <w:rPr>
          <w:rFonts w:ascii="Arial" w:eastAsia="Calibri" w:hAnsi="Arial" w:cs="Arial"/>
          <w:color w:val="000000" w:themeColor="text1"/>
          <w:lang w:val="es-ES_tradnl" w:eastAsia="es-MX"/>
        </w:rPr>
        <w:t xml:space="preserve"> </w:t>
      </w:r>
      <w:r w:rsidRPr="008D3390">
        <w:rPr>
          <w:rFonts w:ascii="Arial" w:eastAsia="Calibri" w:hAnsi="Arial" w:cs="Arial"/>
          <w:lang w:val="es-MX" w:eastAsia="es-MX"/>
        </w:rPr>
        <w:t xml:space="preserve">la Agencia Nacional de Contratación Pública − Colombia Compra Eficiente responde su consulta </w:t>
      </w:r>
      <w:r w:rsidRPr="008D3390">
        <w:rPr>
          <w:rFonts w:ascii="Arial" w:eastAsia="Calibri" w:hAnsi="Arial" w:cs="Arial"/>
          <w:color w:val="000000" w:themeColor="text1"/>
          <w:lang w:eastAsia="es-MX"/>
        </w:rPr>
        <w:t xml:space="preserve">del </w:t>
      </w:r>
      <w:r>
        <w:rPr>
          <w:rFonts w:ascii="Arial" w:eastAsia="Calibri" w:hAnsi="Arial" w:cs="Arial"/>
          <w:color w:val="000000" w:themeColor="text1"/>
          <w:lang w:eastAsia="es-MX"/>
        </w:rPr>
        <w:t>22</w:t>
      </w:r>
      <w:r w:rsidRPr="008D3390">
        <w:rPr>
          <w:rFonts w:ascii="Arial" w:eastAsia="Calibri" w:hAnsi="Arial" w:cs="Arial"/>
          <w:color w:val="000000" w:themeColor="text1"/>
          <w:lang w:eastAsia="es-MX"/>
        </w:rPr>
        <w:t xml:space="preserve"> de </w:t>
      </w:r>
      <w:r>
        <w:rPr>
          <w:rFonts w:ascii="Arial" w:eastAsia="Calibri" w:hAnsi="Arial" w:cs="Arial"/>
          <w:color w:val="000000" w:themeColor="text1"/>
          <w:lang w:eastAsia="es-MX"/>
        </w:rPr>
        <w:t>junio</w:t>
      </w:r>
      <w:r w:rsidRPr="008D3390">
        <w:rPr>
          <w:rFonts w:ascii="Arial" w:eastAsia="Calibri" w:hAnsi="Arial" w:cs="Arial"/>
          <w:color w:val="000000" w:themeColor="text1"/>
          <w:lang w:eastAsia="es-MX"/>
        </w:rPr>
        <w:t xml:space="preserve"> de 2022. </w:t>
      </w:r>
    </w:p>
    <w:p w14:paraId="6B1B947F" w14:textId="77777777" w:rsidR="008D3390" w:rsidRPr="008D3390" w:rsidRDefault="008D3390" w:rsidP="008D3390">
      <w:pPr>
        <w:spacing w:after="0" w:line="276" w:lineRule="auto"/>
        <w:contextualSpacing/>
        <w:rPr>
          <w:rFonts w:ascii="Arial" w:eastAsia="Calibri" w:hAnsi="Arial" w:cs="Arial"/>
          <w:color w:val="000000" w:themeColor="text1"/>
          <w:lang w:val="es-MX"/>
        </w:rPr>
      </w:pPr>
    </w:p>
    <w:p w14:paraId="1C1CC2B7" w14:textId="77777777" w:rsidR="008D3390" w:rsidRPr="008D3390" w:rsidRDefault="008D3390" w:rsidP="008D3390">
      <w:pPr>
        <w:tabs>
          <w:tab w:val="left" w:pos="0"/>
        </w:tabs>
        <w:spacing w:after="0" w:line="276" w:lineRule="auto"/>
        <w:jc w:val="both"/>
        <w:rPr>
          <w:rFonts w:ascii="Arial" w:eastAsia="Calibri" w:hAnsi="Arial" w:cs="Arial"/>
          <w:b/>
          <w:color w:val="000000" w:themeColor="text1"/>
          <w:szCs w:val="24"/>
          <w:lang w:eastAsia="es-MX"/>
        </w:rPr>
      </w:pPr>
      <w:r w:rsidRPr="008D3390">
        <w:rPr>
          <w:rFonts w:ascii="Arial" w:eastAsia="Calibri" w:hAnsi="Arial" w:cs="Arial"/>
          <w:b/>
          <w:color w:val="000000" w:themeColor="text1"/>
          <w:szCs w:val="24"/>
          <w:lang w:eastAsia="es-MX"/>
        </w:rPr>
        <w:t>1. Problemas planteados</w:t>
      </w:r>
    </w:p>
    <w:p w14:paraId="1666A366" w14:textId="77777777" w:rsidR="008D3390" w:rsidRPr="008D3390" w:rsidRDefault="008D3390" w:rsidP="008D3390">
      <w:pPr>
        <w:spacing w:after="0" w:line="240" w:lineRule="auto"/>
        <w:rPr>
          <w:rFonts w:ascii="Arial" w:eastAsia="Calibri" w:hAnsi="Arial" w:cs="Arial"/>
          <w:color w:val="000000" w:themeColor="text1"/>
          <w:szCs w:val="24"/>
          <w:lang w:eastAsia="es-MX"/>
        </w:rPr>
      </w:pPr>
    </w:p>
    <w:p w14:paraId="6894DAF1" w14:textId="457EA600" w:rsidR="008D3390" w:rsidRDefault="008D3390" w:rsidP="008D3390">
      <w:pPr>
        <w:spacing w:after="0" w:line="276" w:lineRule="auto"/>
        <w:jc w:val="both"/>
        <w:rPr>
          <w:rFonts w:ascii="Arial" w:hAnsi="Arial" w:cs="Arial"/>
        </w:rPr>
      </w:pPr>
      <w:r w:rsidRPr="008D3390">
        <w:rPr>
          <w:rFonts w:ascii="Arial" w:hAnsi="Arial" w:cs="Arial"/>
        </w:rPr>
        <w:t xml:space="preserve">En relación con los documentos tipo de licitación de obra pública de infraestructura social, usted </w:t>
      </w:r>
      <w:r>
        <w:rPr>
          <w:rFonts w:ascii="Arial" w:hAnsi="Arial" w:cs="Arial"/>
        </w:rPr>
        <w:t>menciona lo siguiente:</w:t>
      </w:r>
    </w:p>
    <w:p w14:paraId="45DEBC80" w14:textId="0CF25445" w:rsidR="008D3390" w:rsidRDefault="008D3390" w:rsidP="008D3390">
      <w:pPr>
        <w:spacing w:after="0" w:line="276" w:lineRule="auto"/>
        <w:jc w:val="both"/>
        <w:rPr>
          <w:rFonts w:ascii="Arial" w:hAnsi="Arial" w:cs="Arial"/>
        </w:rPr>
      </w:pPr>
    </w:p>
    <w:p w14:paraId="47979669" w14:textId="2F4D863C" w:rsidR="008D3390" w:rsidRDefault="008D3390" w:rsidP="008D3390">
      <w:pPr>
        <w:spacing w:after="0" w:line="240" w:lineRule="auto"/>
        <w:ind w:left="709" w:right="709"/>
        <w:jc w:val="both"/>
        <w:rPr>
          <w:rFonts w:ascii="Arial" w:hAnsi="Arial" w:cs="Arial"/>
          <w:sz w:val="21"/>
          <w:szCs w:val="21"/>
        </w:rPr>
      </w:pPr>
      <w:r w:rsidRPr="008D3390">
        <w:rPr>
          <w:rFonts w:ascii="Arial" w:hAnsi="Arial" w:cs="Arial"/>
          <w:sz w:val="21"/>
          <w:szCs w:val="21"/>
        </w:rPr>
        <w:t xml:space="preserve">«Teniendo en cuenta lo señalado en la Resolución 336 de 2021, la cual señala en el artículo primero, la modificación a la Resolución 219 del 6 de agosto de 2021 en cuanto a la vigencia de la norma en el numeral tercero se señaló: 3. Las entidades del sector central y del sector descentralizado del </w:t>
      </w:r>
      <w:r w:rsidRPr="008D3390">
        <w:rPr>
          <w:rFonts w:ascii="Arial" w:hAnsi="Arial" w:cs="Arial"/>
          <w:sz w:val="21"/>
          <w:szCs w:val="21"/>
        </w:rPr>
        <w:lastRenderedPageBreak/>
        <w:t>nivel departamental, así como las de los municipios de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w:t>
      </w:r>
      <w:r w:rsidR="003606CF">
        <w:rPr>
          <w:rFonts w:ascii="Arial" w:hAnsi="Arial" w:cs="Arial"/>
          <w:sz w:val="21"/>
          <w:szCs w:val="21"/>
        </w:rPr>
        <w:t xml:space="preserve"> </w:t>
      </w:r>
      <w:r w:rsidRPr="008D3390">
        <w:rPr>
          <w:rFonts w:ascii="Arial" w:hAnsi="Arial" w:cs="Arial"/>
          <w:sz w:val="21"/>
          <w:szCs w:val="21"/>
        </w:rPr>
        <w:t xml:space="preserve">Esto significa que para un municipio de categoría 2 a partir del 01 de marzo de 2022, se hizo obligatorio el uso de los pliegos tipo para las obras de infraestructura social sector educación. Situación que, al revisar los pliegos tipo establecidos para dar cumplimiento al mandato normativo, se identificó que ACTUALMENTE NO CONTEMPLA la forma de evaluar los factores diferenciales para </w:t>
      </w:r>
      <w:proofErr w:type="spellStart"/>
      <w:r w:rsidRPr="008D3390">
        <w:rPr>
          <w:rFonts w:ascii="Arial" w:hAnsi="Arial" w:cs="Arial"/>
          <w:sz w:val="21"/>
          <w:szCs w:val="21"/>
        </w:rPr>
        <w:t>Mípymes</w:t>
      </w:r>
      <w:proofErr w:type="spellEnd"/>
      <w:r w:rsidRPr="008D3390">
        <w:rPr>
          <w:rFonts w:ascii="Arial" w:hAnsi="Arial" w:cs="Arial"/>
          <w:sz w:val="21"/>
          <w:szCs w:val="21"/>
        </w:rPr>
        <w:t>; ni los emprendimientos o empresas de mujeres; que SON OBLIGATORIOS de conformidad con lo señalado en el Decreto 1860 de 2021, que modifica el Decreto 1082 de 2015».</w:t>
      </w:r>
    </w:p>
    <w:p w14:paraId="190D3198" w14:textId="77777777" w:rsidR="003606CF" w:rsidRDefault="003606CF" w:rsidP="007C3E49">
      <w:pPr>
        <w:spacing w:after="0" w:line="240" w:lineRule="auto"/>
        <w:jc w:val="both"/>
        <w:rPr>
          <w:rFonts w:ascii="Arial" w:hAnsi="Arial" w:cs="Arial"/>
        </w:rPr>
      </w:pPr>
    </w:p>
    <w:p w14:paraId="26629C50" w14:textId="1E7C13B8" w:rsidR="007C3E49" w:rsidRPr="007C3E49" w:rsidRDefault="008D3390" w:rsidP="007C3E49">
      <w:pPr>
        <w:spacing w:after="0" w:line="240" w:lineRule="auto"/>
        <w:jc w:val="both"/>
        <w:rPr>
          <w:rFonts w:ascii="Arial" w:hAnsi="Arial" w:cs="Arial"/>
        </w:rPr>
      </w:pPr>
      <w:r w:rsidRPr="007C3E49">
        <w:rPr>
          <w:rFonts w:ascii="Arial" w:hAnsi="Arial" w:cs="Arial"/>
        </w:rPr>
        <w:t>En relación con lo transcrito, usted pregunta</w:t>
      </w:r>
      <w:r w:rsidR="007C3E49" w:rsidRPr="007C3E49">
        <w:rPr>
          <w:rFonts w:ascii="Arial" w:hAnsi="Arial" w:cs="Arial"/>
        </w:rPr>
        <w:t xml:space="preserve"> si «[…] el Municipio de Jamundí para poder dar aplicación a estas últimas normas»</w:t>
      </w:r>
      <w:r w:rsidR="00620E52">
        <w:rPr>
          <w:rFonts w:ascii="Arial" w:hAnsi="Arial" w:cs="Arial"/>
        </w:rPr>
        <w:t>:</w:t>
      </w:r>
    </w:p>
    <w:p w14:paraId="73F4133B" w14:textId="77777777" w:rsidR="007C3E49" w:rsidRDefault="007C3E49" w:rsidP="008D3390">
      <w:pPr>
        <w:spacing w:after="0" w:line="240" w:lineRule="auto"/>
        <w:ind w:right="709"/>
        <w:jc w:val="both"/>
      </w:pPr>
    </w:p>
    <w:p w14:paraId="173B60E6" w14:textId="5C01196A" w:rsidR="007C3E49" w:rsidRPr="007C3E49" w:rsidRDefault="007C3E49" w:rsidP="00FE0699">
      <w:pPr>
        <w:pStyle w:val="Prrafodelista"/>
        <w:numPr>
          <w:ilvl w:val="0"/>
          <w:numId w:val="1"/>
        </w:numPr>
        <w:spacing w:after="120" w:line="240" w:lineRule="auto"/>
        <w:ind w:left="709" w:right="709" w:firstLine="0"/>
        <w:contextualSpacing w:val="0"/>
        <w:jc w:val="both"/>
        <w:rPr>
          <w:rFonts w:ascii="Arial" w:hAnsi="Arial" w:cs="Arial"/>
          <w:sz w:val="21"/>
          <w:szCs w:val="21"/>
        </w:rPr>
      </w:pPr>
      <w:bookmarkStart w:id="1" w:name="_Hlk109719373"/>
      <w:r w:rsidRPr="007C3E49">
        <w:rPr>
          <w:rFonts w:ascii="Arial" w:hAnsi="Arial" w:cs="Arial"/>
          <w:sz w:val="21"/>
          <w:szCs w:val="21"/>
        </w:rPr>
        <w:t>«¿podría adelantar un proceso de selección de licitación de obra pública de educación con los pliegos diseños por el ente territorial, mientras Colombia Compra adecua los pliegos tipo con las nuevas condición evaluación en cumplimiento de su propia normativa?» y</w:t>
      </w:r>
    </w:p>
    <w:p w14:paraId="7CCC7378" w14:textId="54412584" w:rsidR="007C3E49" w:rsidRPr="007C3E49" w:rsidRDefault="007C3E49" w:rsidP="00FE0699">
      <w:pPr>
        <w:pStyle w:val="Prrafodelista"/>
        <w:numPr>
          <w:ilvl w:val="0"/>
          <w:numId w:val="1"/>
        </w:numPr>
        <w:spacing w:after="0" w:line="240" w:lineRule="auto"/>
        <w:ind w:left="709" w:right="709" w:firstLine="0"/>
        <w:contextualSpacing w:val="0"/>
        <w:jc w:val="both"/>
        <w:rPr>
          <w:rFonts w:ascii="Arial" w:hAnsi="Arial" w:cs="Arial"/>
          <w:sz w:val="21"/>
          <w:szCs w:val="21"/>
        </w:rPr>
      </w:pPr>
      <w:r w:rsidRPr="007C3E49">
        <w:rPr>
          <w:rFonts w:ascii="Arial" w:hAnsi="Arial" w:cs="Arial"/>
          <w:sz w:val="21"/>
          <w:szCs w:val="21"/>
        </w:rPr>
        <w:t xml:space="preserve">«De no ser posible, ¿cuál sería la forma correcta de emplear el pliego tipo e incorporar las nuevas órdenes imperativas para evaluar las condiciones diferenciales de </w:t>
      </w:r>
      <w:proofErr w:type="spellStart"/>
      <w:r w:rsidRPr="007C3E49">
        <w:rPr>
          <w:rFonts w:ascii="Arial" w:hAnsi="Arial" w:cs="Arial"/>
          <w:sz w:val="21"/>
          <w:szCs w:val="21"/>
        </w:rPr>
        <w:t>Mipymes</w:t>
      </w:r>
      <w:proofErr w:type="spellEnd"/>
      <w:r w:rsidRPr="007C3E49">
        <w:rPr>
          <w:rFonts w:ascii="Arial" w:hAnsi="Arial" w:cs="Arial"/>
          <w:sz w:val="21"/>
          <w:szCs w:val="21"/>
        </w:rPr>
        <w:t xml:space="preserve"> y emprendimiento de mujeres para llevar a cabo el proceso contractual?»</w:t>
      </w:r>
    </w:p>
    <w:bookmarkEnd w:id="1"/>
    <w:p w14:paraId="19806D77" w14:textId="77777777" w:rsidR="008D3390" w:rsidRPr="008D3390" w:rsidRDefault="008D3390" w:rsidP="007C3E49">
      <w:pPr>
        <w:spacing w:after="0" w:line="276" w:lineRule="auto"/>
        <w:jc w:val="both"/>
        <w:rPr>
          <w:rFonts w:ascii="Arial" w:eastAsia="Calibri" w:hAnsi="Arial" w:cs="Arial"/>
          <w:lang w:eastAsia="es-MX"/>
        </w:rPr>
      </w:pPr>
    </w:p>
    <w:p w14:paraId="6EF41F02" w14:textId="77777777" w:rsidR="008D3390" w:rsidRPr="008D3390" w:rsidRDefault="008D3390" w:rsidP="008D3390">
      <w:pPr>
        <w:spacing w:after="0" w:line="276" w:lineRule="auto"/>
        <w:jc w:val="both"/>
        <w:rPr>
          <w:rFonts w:ascii="Arial" w:eastAsia="Calibri" w:hAnsi="Arial" w:cs="Arial"/>
          <w:color w:val="000000" w:themeColor="text1"/>
          <w:szCs w:val="24"/>
          <w:lang w:eastAsia="es-MX"/>
        </w:rPr>
      </w:pPr>
      <w:r w:rsidRPr="008D3390">
        <w:rPr>
          <w:rFonts w:ascii="Arial" w:eastAsia="Calibri" w:hAnsi="Arial" w:cs="Arial"/>
          <w:b/>
          <w:color w:val="000000" w:themeColor="text1"/>
          <w:szCs w:val="24"/>
          <w:lang w:eastAsia="es-MX"/>
        </w:rPr>
        <w:t>2. Consideraciones</w:t>
      </w:r>
    </w:p>
    <w:p w14:paraId="26567315" w14:textId="1765AC09" w:rsidR="008D3390" w:rsidRDefault="008D3390" w:rsidP="008D3390">
      <w:pPr>
        <w:spacing w:after="0" w:line="276" w:lineRule="auto"/>
        <w:jc w:val="both"/>
        <w:rPr>
          <w:rFonts w:ascii="Arial" w:eastAsia="Calibri" w:hAnsi="Arial" w:cs="Arial"/>
          <w:color w:val="000000" w:themeColor="text1"/>
          <w:szCs w:val="24"/>
          <w:lang w:eastAsia="es-MX"/>
        </w:rPr>
      </w:pPr>
    </w:p>
    <w:p w14:paraId="325DDF17" w14:textId="0BA22555" w:rsidR="00216146" w:rsidRDefault="007C3E49" w:rsidP="00216146">
      <w:pPr>
        <w:spacing w:after="120"/>
        <w:jc w:val="both"/>
      </w:pPr>
      <w:r>
        <w:rPr>
          <w:rFonts w:ascii="Arial" w:eastAsia="Calibri" w:hAnsi="Arial" w:cs="Arial"/>
          <w:color w:val="000000" w:themeColor="text1"/>
          <w:szCs w:val="24"/>
          <w:lang w:eastAsia="es-MX"/>
        </w:rPr>
        <w:t>Para responder a su consulta se estudiar</w:t>
      </w:r>
      <w:r w:rsidR="003606CF">
        <w:rPr>
          <w:rFonts w:ascii="Arial" w:eastAsia="Calibri" w:hAnsi="Arial" w:cs="Arial"/>
          <w:color w:val="000000" w:themeColor="text1"/>
          <w:szCs w:val="24"/>
          <w:lang w:eastAsia="es-MX"/>
        </w:rPr>
        <w:t>á</w:t>
      </w:r>
      <w:r>
        <w:rPr>
          <w:rFonts w:ascii="Arial" w:eastAsia="Calibri" w:hAnsi="Arial" w:cs="Arial"/>
          <w:color w:val="000000" w:themeColor="text1"/>
          <w:szCs w:val="24"/>
          <w:lang w:eastAsia="es-MX"/>
        </w:rPr>
        <w:t>n los siguientes temas:</w:t>
      </w:r>
      <w:r w:rsidR="008D3390" w:rsidRPr="008D3390">
        <w:rPr>
          <w:rFonts w:ascii="Arial" w:eastAsia="Calibri" w:hAnsi="Arial" w:cs="Arial"/>
          <w:color w:val="000000" w:themeColor="text1"/>
          <w:lang w:val="es-ES"/>
        </w:rPr>
        <w:t xml:space="preserve"> </w:t>
      </w:r>
      <w:r w:rsidR="008D3390" w:rsidRPr="008D3390">
        <w:rPr>
          <w:rFonts w:ascii="Arial" w:eastAsia="Calibri" w:hAnsi="Arial" w:cs="Arial"/>
          <w:szCs w:val="24"/>
          <w:lang w:eastAsia="en-GB"/>
        </w:rPr>
        <w:t xml:space="preserve">i) ámbito de aplicación, obligatoriedad e inalterabilidad de los documentos tipo, </w:t>
      </w:r>
      <w:proofErr w:type="spellStart"/>
      <w:r w:rsidR="008D3390" w:rsidRPr="008D3390">
        <w:rPr>
          <w:rFonts w:ascii="Arial" w:eastAsia="Calibri" w:hAnsi="Arial" w:cs="Arial"/>
          <w:szCs w:val="24"/>
          <w:lang w:eastAsia="en-GB"/>
        </w:rPr>
        <w:t>ii</w:t>
      </w:r>
      <w:proofErr w:type="spellEnd"/>
      <w:r w:rsidR="008D3390" w:rsidRPr="008D3390">
        <w:rPr>
          <w:rFonts w:ascii="Arial" w:eastAsia="Calibri" w:hAnsi="Arial" w:cs="Arial"/>
          <w:szCs w:val="24"/>
          <w:lang w:eastAsia="en-GB"/>
        </w:rPr>
        <w:t>) documentos tipo complementarios para los procesos de licitación de obra pública de infraestructura social relacionados con el sector educativo, salud y cultura</w:t>
      </w:r>
      <w:r w:rsidR="00DC64BE">
        <w:rPr>
          <w:rFonts w:ascii="Arial" w:eastAsia="Calibri" w:hAnsi="Arial" w:cs="Arial"/>
          <w:szCs w:val="24"/>
          <w:lang w:eastAsia="en-GB"/>
        </w:rPr>
        <w:t xml:space="preserve"> – </w:t>
      </w:r>
      <w:r w:rsidR="008D3390" w:rsidRPr="008D3390">
        <w:rPr>
          <w:rFonts w:ascii="Arial" w:eastAsia="Calibri" w:hAnsi="Arial" w:cs="Arial"/>
          <w:szCs w:val="24"/>
          <w:lang w:eastAsia="en-GB"/>
        </w:rPr>
        <w:t>recreación</w:t>
      </w:r>
      <w:r w:rsidR="00DC64BE">
        <w:rPr>
          <w:rFonts w:ascii="Arial" w:eastAsia="Calibri" w:hAnsi="Arial" w:cs="Arial"/>
          <w:szCs w:val="24"/>
          <w:lang w:eastAsia="en-GB"/>
        </w:rPr>
        <w:t xml:space="preserve"> –</w:t>
      </w:r>
      <w:r w:rsidR="008D3390" w:rsidRPr="008D3390">
        <w:rPr>
          <w:rFonts w:ascii="Arial" w:eastAsia="Calibri" w:hAnsi="Arial" w:cs="Arial"/>
          <w:szCs w:val="24"/>
          <w:lang w:eastAsia="en-GB"/>
        </w:rPr>
        <w:t xml:space="preserve"> deporte</w:t>
      </w:r>
      <w:r w:rsidR="00DC64BE">
        <w:rPr>
          <w:rFonts w:ascii="Arial" w:eastAsia="Calibri" w:hAnsi="Arial" w:cs="Arial"/>
          <w:szCs w:val="24"/>
          <w:lang w:eastAsia="en-GB"/>
        </w:rPr>
        <w:t xml:space="preserve"> y su entrada en vigencia, </w:t>
      </w:r>
      <w:proofErr w:type="spellStart"/>
      <w:r w:rsidR="009C7E4E">
        <w:rPr>
          <w:rFonts w:ascii="Arial" w:eastAsia="Calibri" w:hAnsi="Arial" w:cs="Arial"/>
          <w:szCs w:val="24"/>
          <w:lang w:eastAsia="en-GB"/>
        </w:rPr>
        <w:t>iii</w:t>
      </w:r>
      <w:proofErr w:type="spellEnd"/>
      <w:r w:rsidR="009C7E4E">
        <w:rPr>
          <w:rFonts w:ascii="Arial" w:eastAsia="Calibri" w:hAnsi="Arial" w:cs="Arial"/>
          <w:szCs w:val="24"/>
          <w:lang w:eastAsia="en-GB"/>
        </w:rPr>
        <w:t>)</w:t>
      </w:r>
      <w:r w:rsidR="00323F0F">
        <w:rPr>
          <w:rFonts w:ascii="Arial" w:eastAsia="Calibri" w:hAnsi="Arial" w:cs="Arial"/>
          <w:szCs w:val="24"/>
          <w:lang w:eastAsia="en-GB"/>
        </w:rPr>
        <w:t xml:space="preserve"> </w:t>
      </w:r>
      <w:r w:rsidR="009C7E4E" w:rsidRPr="00216146">
        <w:rPr>
          <w:rFonts w:ascii="Arial" w:hAnsi="Arial" w:cs="Arial"/>
          <w:lang w:eastAsia="es-CO"/>
        </w:rPr>
        <w:t>expedición del Decreto 1860 de 2021</w:t>
      </w:r>
      <w:r w:rsidR="009C7E4E" w:rsidRPr="00216146">
        <w:rPr>
          <w:rFonts w:ascii="Arial" w:eastAsia="Arial" w:hAnsi="Arial" w:cs="Arial"/>
          <w:lang w:val="es-ES" w:eastAsia="es-MX"/>
        </w:rPr>
        <w:t xml:space="preserve"> </w:t>
      </w:r>
      <w:r w:rsidR="009C7E4E" w:rsidRPr="00216146">
        <w:rPr>
          <w:rFonts w:ascii="Arial" w:hAnsi="Arial" w:cs="Arial"/>
          <w:lang w:eastAsia="es-CO"/>
        </w:rPr>
        <w:t xml:space="preserve">que incorpora una reglamentación detallada de los artículos 31 y 32 de la Ley 2069 de 2020, </w:t>
      </w:r>
      <w:proofErr w:type="spellStart"/>
      <w:r w:rsidR="009C7E4E" w:rsidRPr="00216146">
        <w:rPr>
          <w:rFonts w:ascii="Arial" w:hAnsi="Arial" w:cs="Arial"/>
          <w:lang w:eastAsia="es-CO"/>
        </w:rPr>
        <w:t>iv</w:t>
      </w:r>
      <w:proofErr w:type="spellEnd"/>
      <w:r w:rsidR="009C7E4E" w:rsidRPr="00216146">
        <w:rPr>
          <w:rFonts w:ascii="Arial" w:hAnsi="Arial" w:cs="Arial"/>
          <w:lang w:eastAsia="es-CO"/>
        </w:rPr>
        <w:t xml:space="preserve">) </w:t>
      </w:r>
      <w:r w:rsidR="00216146" w:rsidRPr="00216146">
        <w:rPr>
          <w:rFonts w:ascii="Arial" w:hAnsi="Arial" w:cs="Arial"/>
          <w:lang w:val="es-ES"/>
        </w:rPr>
        <w:t xml:space="preserve">regulación de los criterios diferenciales en favor de las </w:t>
      </w:r>
      <w:proofErr w:type="spellStart"/>
      <w:r w:rsidR="00216146" w:rsidRPr="00216146">
        <w:rPr>
          <w:rFonts w:ascii="Arial" w:hAnsi="Arial" w:cs="Arial"/>
          <w:lang w:val="es-ES"/>
        </w:rPr>
        <w:t>Mipyme</w:t>
      </w:r>
      <w:proofErr w:type="spellEnd"/>
      <w:r w:rsidR="00216146" w:rsidRPr="00216146">
        <w:rPr>
          <w:rFonts w:ascii="Arial" w:hAnsi="Arial" w:cs="Arial"/>
          <w:lang w:val="es-ES"/>
        </w:rPr>
        <w:t xml:space="preserve"> nacionales en el Decreto 1860 de 2021, v) regulación de los criterios diferenciales en favor de los emprendimientos y empresas de mujeres en el Decreto 1860 de 2021 y vi) </w:t>
      </w:r>
      <w:r w:rsidR="00216146" w:rsidRPr="00216146">
        <w:rPr>
          <w:rFonts w:ascii="Arial" w:hAnsi="Arial" w:cs="Arial"/>
        </w:rPr>
        <w:t>vigencia del Decreto 1860 de 2021</w:t>
      </w:r>
      <w:r w:rsidR="00216146">
        <w:rPr>
          <w:rFonts w:ascii="Arial" w:hAnsi="Arial" w:cs="Arial"/>
        </w:rPr>
        <w:t>.</w:t>
      </w:r>
    </w:p>
    <w:p w14:paraId="5A6D0C19" w14:textId="58A38400" w:rsidR="008D3390" w:rsidRPr="008D3390" w:rsidRDefault="008D3390" w:rsidP="00216146">
      <w:pPr>
        <w:spacing w:after="120" w:line="276" w:lineRule="auto"/>
        <w:ind w:firstLine="708"/>
        <w:jc w:val="both"/>
        <w:rPr>
          <w:rFonts w:ascii="Arial" w:eastAsia="Calibri" w:hAnsi="Arial" w:cs="Arial"/>
          <w:lang w:val="es-ES_tradnl" w:eastAsia="es-ES_tradnl"/>
        </w:rPr>
      </w:pPr>
      <w:r w:rsidRPr="008D3390">
        <w:rPr>
          <w:rFonts w:ascii="Arial" w:eastAsia="Calibri" w:hAnsi="Arial" w:cs="Arial"/>
          <w:lang w:val="es-ES_tradnl" w:eastAsia="es-ES_tradnl"/>
        </w:rPr>
        <w:t xml:space="preserve">La Agencia Nacional de Contratación Pública – Colombia Compra Eficiente analizó el fundamento normativo de los pliegos de condiciones tipo en la contratación estatal, entre otros, en los siguientes conceptos: </w:t>
      </w:r>
      <w:r w:rsidRPr="008D3390">
        <w:rPr>
          <w:rFonts w:ascii="Arial" w:eastAsia="Times New Roman" w:hAnsi="Arial" w:cs="Arial"/>
          <w:lang w:val="es-ES_tradnl" w:eastAsia="es-ES_tradnl"/>
        </w:rPr>
        <w:t xml:space="preserve">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w:t>
      </w:r>
      <w:r w:rsidRPr="008D3390">
        <w:rPr>
          <w:rFonts w:ascii="Arial" w:eastAsia="Times New Roman" w:hAnsi="Arial" w:cs="Arial"/>
          <w:lang w:val="es-ES_tradnl" w:eastAsia="es-ES_tradnl"/>
        </w:rPr>
        <w:lastRenderedPageBreak/>
        <w:t>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8D3390">
        <w:rPr>
          <w:rFonts w:ascii="Arial" w:eastAsia="Calibri" w:hAnsi="Arial" w:cs="Arial"/>
          <w:lang w:val="es-ES_tradnl" w:eastAsia="es-ES_tradnl"/>
        </w:rPr>
        <w:t>,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 C-690 del 27 de diciembre de 2022, C-706 del 17 de enero de 2022, C-679 del 24 de enero de 2022, C-066 del 28 de enero de 2022, C-705 del 5 de enero de 2022, C-753 del 6 de febrero de 2022, C-011 del 18 de febrero de 2022, C-033 del 4 de marzo de 2022, C-060 del 10 de marzo de 2022, C-086 del 15 de marzo de 2022, C-130 del 22 de marzo de 2022, C-110 del 23 de marzo de 2022, C-137 del 29 de marzo de 2022, C-311 del 16 de mayo de 2022</w:t>
      </w:r>
      <w:r w:rsidR="00CB379E">
        <w:rPr>
          <w:rFonts w:ascii="Arial" w:eastAsia="Calibri" w:hAnsi="Arial" w:cs="Arial"/>
          <w:lang w:val="es-ES_tradnl" w:eastAsia="es-ES_tradnl"/>
        </w:rPr>
        <w:t xml:space="preserve">, </w:t>
      </w:r>
      <w:r w:rsidRPr="008D3390">
        <w:rPr>
          <w:rFonts w:ascii="Arial" w:eastAsia="Calibri" w:hAnsi="Arial" w:cs="Arial"/>
          <w:lang w:val="es-ES_tradnl" w:eastAsia="es-ES_tradnl"/>
        </w:rPr>
        <w:t>C-344 del 9 de junio de 2022</w:t>
      </w:r>
      <w:r w:rsidR="00CB379E">
        <w:rPr>
          <w:rFonts w:ascii="Arial" w:eastAsia="Calibri" w:hAnsi="Arial" w:cs="Arial"/>
          <w:lang w:val="es-ES_tradnl" w:eastAsia="es-ES_tradnl"/>
        </w:rPr>
        <w:t xml:space="preserve">, C-419 del </w:t>
      </w:r>
      <w:r w:rsidR="00261B84">
        <w:rPr>
          <w:rFonts w:ascii="Arial" w:eastAsia="Calibri" w:hAnsi="Arial" w:cs="Arial"/>
          <w:lang w:val="es-ES_tradnl" w:eastAsia="es-ES_tradnl"/>
        </w:rPr>
        <w:t xml:space="preserve">05 de julio de 2022 y C-436 </w:t>
      </w:r>
      <w:r w:rsidR="00493E11">
        <w:rPr>
          <w:rFonts w:ascii="Arial" w:eastAsia="Calibri" w:hAnsi="Arial" w:cs="Arial"/>
          <w:lang w:val="es-ES_tradnl" w:eastAsia="es-ES_tradnl"/>
        </w:rPr>
        <w:t>del 6 de julio de 2022.</w:t>
      </w:r>
    </w:p>
    <w:p w14:paraId="247600D6" w14:textId="5B2038E9" w:rsidR="008D3390" w:rsidRPr="008D3390" w:rsidRDefault="008D3390" w:rsidP="00132E72">
      <w:pPr>
        <w:spacing w:after="0"/>
        <w:ind w:firstLine="708"/>
        <w:jc w:val="both"/>
        <w:rPr>
          <w:rFonts w:ascii="Arial" w:eastAsia="Calibri" w:hAnsi="Arial" w:cs="Arial"/>
        </w:rPr>
      </w:pPr>
      <w:r w:rsidRPr="008D3390">
        <w:rPr>
          <w:rFonts w:ascii="Arial" w:eastAsia="Times New Roman" w:hAnsi="Arial" w:cs="Arial"/>
          <w:noProof/>
          <w:color w:val="000000"/>
          <w:szCs w:val="24"/>
          <w:lang w:val="es-MX" w:eastAsia="es-ES_tradnl"/>
        </w:rPr>
        <w:t xml:space="preserve">De otra parte, </w:t>
      </w:r>
      <w:r w:rsidRPr="008D3390">
        <w:rPr>
          <w:rFonts w:ascii="Arial" w:eastAsia="Calibri" w:hAnsi="Arial" w:cs="Arial"/>
          <w:color w:val="000000" w:themeColor="text1"/>
          <w:lang w:val="es-ES_tradnl"/>
        </w:rPr>
        <w:t xml:space="preserve"> la Agencia Nacional de Contratación Pública – Colombia Compra Eficiente en los conceptos C-375 del 27 de septiembre de 2021, C-536 del 29 de septiembre de 2021, </w:t>
      </w:r>
      <w:r w:rsidRPr="008D3390">
        <w:rPr>
          <w:rFonts w:ascii="Arial" w:eastAsia="Calibri" w:hAnsi="Arial" w:cs="Arial"/>
          <w:color w:val="000000" w:themeColor="text1"/>
        </w:rPr>
        <w:t>P20210826007696 del 6 de octubre de 2021, C-729 del 24 de enero de 2022, C-090 del 16 de marzo de 2022</w:t>
      </w:r>
      <w:r w:rsidR="00AD589F">
        <w:rPr>
          <w:rFonts w:ascii="Arial" w:eastAsia="Calibri" w:hAnsi="Arial" w:cs="Arial"/>
          <w:lang w:val="es-ES_tradnl" w:eastAsia="es-ES_tradnl"/>
        </w:rPr>
        <w:t xml:space="preserve">, </w:t>
      </w:r>
      <w:r w:rsidR="00F744F1">
        <w:rPr>
          <w:rFonts w:ascii="Arial" w:eastAsia="Calibri" w:hAnsi="Arial" w:cs="Arial"/>
          <w:lang w:val="es-ES_tradnl" w:eastAsia="es-ES_tradnl"/>
        </w:rPr>
        <w:t xml:space="preserve">C-347 del 9 de junio de 2022, </w:t>
      </w:r>
      <w:r w:rsidR="00AD589F">
        <w:rPr>
          <w:rFonts w:ascii="Arial" w:eastAsia="Calibri" w:hAnsi="Arial" w:cs="Arial"/>
          <w:lang w:val="es-ES_tradnl" w:eastAsia="es-ES_tradnl"/>
        </w:rPr>
        <w:t xml:space="preserve">C-419 del 05 de julio de 2022 y C-436 del 6 de julio de 2022, </w:t>
      </w:r>
      <w:r w:rsidRPr="008D3390">
        <w:rPr>
          <w:rFonts w:ascii="Arial" w:eastAsia="Calibri" w:hAnsi="Arial" w:cs="Arial"/>
          <w:color w:val="000000" w:themeColor="text1"/>
        </w:rPr>
        <w:t xml:space="preserve">analizó la aplicación de </w:t>
      </w:r>
      <w:r w:rsidR="00F744F1">
        <w:rPr>
          <w:rFonts w:ascii="Arial" w:eastAsia="Calibri" w:hAnsi="Arial" w:cs="Arial"/>
          <w:color w:val="000000" w:themeColor="text1"/>
        </w:rPr>
        <w:t>l</w:t>
      </w:r>
      <w:r w:rsidRPr="008D3390">
        <w:rPr>
          <w:rFonts w:ascii="Arial" w:eastAsia="Calibri" w:hAnsi="Arial" w:cs="Arial"/>
          <w:color w:val="000000" w:themeColor="text1"/>
        </w:rPr>
        <w:t xml:space="preserve">os documentos tipo </w:t>
      </w:r>
      <w:r w:rsidRPr="008D3390">
        <w:rPr>
          <w:rFonts w:ascii="Arial" w:eastAsia="Calibri" w:hAnsi="Arial" w:cs="Arial"/>
        </w:rPr>
        <w:t>complementarios para los procesos de licitación de obra pública de infraestructura social.</w:t>
      </w:r>
      <w:r w:rsidRPr="008D3390">
        <w:rPr>
          <w:rFonts w:ascii="Arial" w:eastAsia="Calibri" w:hAnsi="Arial" w:cs="Arial"/>
          <w:color w:val="000000" w:themeColor="text1"/>
          <w:lang w:val="es-ES_tradnl"/>
        </w:rPr>
        <w:t xml:space="preserve"> </w:t>
      </w:r>
      <w:r w:rsidR="00E9373B">
        <w:rPr>
          <w:rFonts w:ascii="Arial" w:eastAsia="Calibri" w:hAnsi="Arial" w:cs="Arial"/>
          <w:color w:val="000000" w:themeColor="text1"/>
          <w:lang w:val="es-ES_tradnl"/>
        </w:rPr>
        <w:t>Por otra parte, en los conceptos C-</w:t>
      </w:r>
      <w:r w:rsidR="00475D3D">
        <w:rPr>
          <w:rFonts w:ascii="Arial" w:eastAsia="Calibri" w:hAnsi="Arial" w:cs="Arial"/>
          <w:color w:val="000000" w:themeColor="text1"/>
          <w:lang w:val="es-ES_tradnl"/>
        </w:rPr>
        <w:t>344</w:t>
      </w:r>
      <w:r w:rsidR="0098741A">
        <w:rPr>
          <w:rFonts w:ascii="Arial" w:eastAsia="Calibri" w:hAnsi="Arial" w:cs="Arial"/>
          <w:color w:val="000000" w:themeColor="text1"/>
          <w:lang w:val="es-ES_tradnl"/>
        </w:rPr>
        <w:t xml:space="preserve"> </w:t>
      </w:r>
      <w:r w:rsidR="00475D3D">
        <w:rPr>
          <w:rFonts w:ascii="Arial" w:eastAsia="Calibri" w:hAnsi="Arial" w:cs="Arial"/>
          <w:color w:val="000000" w:themeColor="text1"/>
          <w:lang w:val="es-ES_tradnl"/>
        </w:rPr>
        <w:t>del 9 de junio</w:t>
      </w:r>
      <w:r w:rsidR="00F744F1">
        <w:rPr>
          <w:rFonts w:ascii="Arial" w:eastAsia="Calibri" w:hAnsi="Arial" w:cs="Arial"/>
          <w:color w:val="000000" w:themeColor="text1"/>
          <w:lang w:val="es-ES_tradnl"/>
        </w:rPr>
        <w:t xml:space="preserve"> y C-386 del </w:t>
      </w:r>
      <w:r w:rsidR="00B33003" w:rsidRPr="006E2D96">
        <w:rPr>
          <w:rFonts w:ascii="Arial" w:eastAsia="Calibri" w:hAnsi="Arial" w:cs="Arial"/>
          <w:color w:val="000000" w:themeColor="text1"/>
          <w:lang w:val="es-ES_tradnl"/>
        </w:rPr>
        <w:t>15 de junio de 2022</w:t>
      </w:r>
      <w:r w:rsidR="0098741A" w:rsidRPr="006E2D96">
        <w:rPr>
          <w:rFonts w:ascii="Arial" w:eastAsia="Calibri" w:hAnsi="Arial" w:cs="Arial"/>
          <w:color w:val="000000" w:themeColor="text1"/>
          <w:lang w:val="es-ES_tradnl"/>
        </w:rPr>
        <w:t xml:space="preserve">, analizó </w:t>
      </w:r>
      <w:r w:rsidR="00346576" w:rsidRPr="006E2D96">
        <w:rPr>
          <w:rFonts w:ascii="Arial" w:eastAsia="Calibri" w:hAnsi="Arial" w:cs="Arial"/>
          <w:color w:val="000000" w:themeColor="text1"/>
          <w:lang w:val="es-ES_tradnl"/>
        </w:rPr>
        <w:t xml:space="preserve">la </w:t>
      </w:r>
      <w:r w:rsidR="00346576" w:rsidRPr="006E2D96">
        <w:rPr>
          <w:rFonts w:ascii="Arial" w:hAnsi="Arial" w:cs="Arial"/>
          <w:lang w:val="es-ES"/>
        </w:rPr>
        <w:t>r</w:t>
      </w:r>
      <w:r w:rsidR="008069BA" w:rsidRPr="006E2D96">
        <w:rPr>
          <w:rFonts w:ascii="Arial" w:hAnsi="Arial" w:cs="Arial"/>
          <w:lang w:val="es-ES"/>
        </w:rPr>
        <w:t xml:space="preserve">egulación de los criterios diferenciales en favor de las </w:t>
      </w:r>
      <w:proofErr w:type="spellStart"/>
      <w:r w:rsidR="008069BA" w:rsidRPr="006E2D96">
        <w:rPr>
          <w:rFonts w:ascii="Arial" w:hAnsi="Arial" w:cs="Arial"/>
          <w:lang w:val="es-ES"/>
        </w:rPr>
        <w:t>Mipyme</w:t>
      </w:r>
      <w:proofErr w:type="spellEnd"/>
      <w:r w:rsidR="008069BA" w:rsidRPr="006E2D96">
        <w:rPr>
          <w:rFonts w:ascii="Arial" w:hAnsi="Arial" w:cs="Arial"/>
          <w:lang w:val="es-ES"/>
        </w:rPr>
        <w:t xml:space="preserve"> nacionales</w:t>
      </w:r>
      <w:r w:rsidR="006E2D96">
        <w:rPr>
          <w:rFonts w:ascii="Arial" w:hAnsi="Arial" w:cs="Arial"/>
          <w:lang w:val="es-ES"/>
        </w:rPr>
        <w:t xml:space="preserve">, los </w:t>
      </w:r>
      <w:r w:rsidR="004158F3" w:rsidRPr="006E2D96">
        <w:rPr>
          <w:rFonts w:ascii="Arial" w:hAnsi="Arial" w:cs="Arial"/>
          <w:lang w:val="es-ES"/>
        </w:rPr>
        <w:t>criterios diferenciales en favor de los emprendimientos y empresas de mujeres en el Decreto 1860 de 2021</w:t>
      </w:r>
      <w:r w:rsidR="006E2D96" w:rsidRPr="006E2D96">
        <w:rPr>
          <w:rFonts w:ascii="Arial" w:hAnsi="Arial" w:cs="Arial"/>
          <w:lang w:val="es-ES"/>
        </w:rPr>
        <w:t xml:space="preserve"> y la </w:t>
      </w:r>
      <w:r w:rsidR="00A56088" w:rsidRPr="006E2D96">
        <w:rPr>
          <w:rFonts w:ascii="Arial" w:hAnsi="Arial" w:cs="Arial"/>
        </w:rPr>
        <w:t>Vigencia de</w:t>
      </w:r>
      <w:r w:rsidR="00132E72">
        <w:rPr>
          <w:rFonts w:ascii="Arial" w:hAnsi="Arial" w:cs="Arial"/>
        </w:rPr>
        <w:t xml:space="preserve"> dicho reglamento</w:t>
      </w:r>
      <w:r w:rsidR="006E2D96" w:rsidRPr="006E2D96">
        <w:rPr>
          <w:rFonts w:ascii="Arial" w:hAnsi="Arial" w:cs="Arial"/>
        </w:rPr>
        <w:t xml:space="preserve">. </w:t>
      </w:r>
      <w:r w:rsidRPr="006E2D96">
        <w:rPr>
          <w:rFonts w:ascii="Arial" w:eastAsia="Calibri" w:hAnsi="Arial" w:cs="Arial"/>
        </w:rPr>
        <w:t>Las tesis expuestas en los anteriores conceptos se reiteran a continuación y se complementan en lo pertinente:</w:t>
      </w:r>
      <w:r w:rsidRPr="008D3390">
        <w:rPr>
          <w:rFonts w:ascii="Arial" w:eastAsia="Calibri" w:hAnsi="Arial" w:cs="Arial"/>
        </w:rPr>
        <w:t xml:space="preserve"> </w:t>
      </w:r>
    </w:p>
    <w:p w14:paraId="5E0ADED8" w14:textId="77777777" w:rsidR="008D3390" w:rsidRPr="008D3390" w:rsidRDefault="008D3390" w:rsidP="00AD589F">
      <w:pPr>
        <w:spacing w:after="0" w:line="276" w:lineRule="auto"/>
        <w:ind w:firstLine="709"/>
        <w:jc w:val="both"/>
        <w:rPr>
          <w:rFonts w:ascii="Arial" w:eastAsia="Calibri" w:hAnsi="Arial" w:cs="Arial"/>
        </w:rPr>
      </w:pPr>
    </w:p>
    <w:p w14:paraId="6213DAC9" w14:textId="77777777" w:rsidR="008D3390" w:rsidRPr="008D3390" w:rsidRDefault="008D3390" w:rsidP="008D3390">
      <w:pPr>
        <w:spacing w:after="0" w:line="240" w:lineRule="auto"/>
        <w:jc w:val="both"/>
        <w:rPr>
          <w:rFonts w:ascii="Arial" w:eastAsia="Times New Roman" w:hAnsi="Arial" w:cs="Arial"/>
          <w:color w:val="0D0D0D"/>
          <w:szCs w:val="24"/>
          <w:bdr w:val="none" w:sz="0" w:space="0" w:color="auto" w:frame="1"/>
          <w:lang w:eastAsia="es-CO"/>
        </w:rPr>
      </w:pPr>
      <w:r w:rsidRPr="008D3390">
        <w:rPr>
          <w:rFonts w:ascii="Arial" w:eastAsia="Calibri" w:hAnsi="Arial" w:cs="Arial"/>
          <w:b/>
          <w:szCs w:val="24"/>
          <w:lang w:eastAsia="en-GB"/>
        </w:rPr>
        <w:t xml:space="preserve">2.1. Ámbito de aplicación, obligatoriedad e inalterabilidad de los documentos tipo </w:t>
      </w:r>
    </w:p>
    <w:p w14:paraId="2EBD3473" w14:textId="77777777" w:rsidR="008D3390" w:rsidRPr="008D3390" w:rsidRDefault="008D3390" w:rsidP="008D3390">
      <w:pPr>
        <w:spacing w:after="0" w:line="240" w:lineRule="auto"/>
        <w:jc w:val="both"/>
        <w:rPr>
          <w:rFonts w:ascii="Arial" w:eastAsia="Calibri" w:hAnsi="Arial" w:cs="Arial"/>
          <w:b/>
          <w:szCs w:val="24"/>
          <w:lang w:eastAsia="en-GB"/>
        </w:rPr>
      </w:pPr>
    </w:p>
    <w:p w14:paraId="2B91FB0B" w14:textId="77777777" w:rsidR="008D3390" w:rsidRPr="008D3390" w:rsidRDefault="008D3390" w:rsidP="008D3390">
      <w:pPr>
        <w:spacing w:after="0" w:line="276" w:lineRule="auto"/>
        <w:jc w:val="both"/>
        <w:rPr>
          <w:rFonts w:ascii="Arial" w:eastAsia="Times New Roman" w:hAnsi="Arial" w:cs="Arial"/>
          <w:color w:val="0D0D0D"/>
          <w:szCs w:val="24"/>
          <w:bdr w:val="none" w:sz="0" w:space="0" w:color="auto" w:frame="1"/>
          <w:lang w:eastAsia="es-CO"/>
        </w:rPr>
      </w:pPr>
      <w:r w:rsidRPr="008D3390">
        <w:rPr>
          <w:rFonts w:ascii="Arial" w:eastAsia="Times New Roman" w:hAnsi="Arial" w:cs="Arial"/>
          <w:color w:val="0D0D0D"/>
          <w:szCs w:val="24"/>
          <w:bdr w:val="none" w:sz="0" w:space="0" w:color="auto" w:frame="1"/>
          <w:lang w:eastAsia="es-CO"/>
        </w:rPr>
        <w:t xml:space="preserve">Los documentos tipo surgen con la expedición de la Ley 1150 de 2007 cuando el legislador facultó al Gobierno Nacional para adoptarlos en la compra o suministro de </w:t>
      </w:r>
      <w:r w:rsidRPr="008D3390">
        <w:rPr>
          <w:rFonts w:ascii="Arial" w:eastAsia="Times New Roman" w:hAnsi="Arial" w:cs="Arial"/>
          <w:color w:val="0D0D0D"/>
          <w:szCs w:val="24"/>
          <w:bdr w:val="none" w:sz="0" w:space="0" w:color="auto" w:frame="1"/>
          <w:lang w:eastAsia="es-CO"/>
        </w:rPr>
        <w:lastRenderedPageBreak/>
        <w:t>bienes y servicios de características técnicas uniformes</w:t>
      </w:r>
      <w:r w:rsidRPr="008D3390">
        <w:rPr>
          <w:rFonts w:ascii="Arial" w:eastAsia="Times New Roman" w:hAnsi="Arial" w:cs="Arial"/>
          <w:color w:val="0D0D0D"/>
          <w:szCs w:val="24"/>
          <w:bdr w:val="none" w:sz="0" w:space="0" w:color="auto" w:frame="1"/>
          <w:vertAlign w:val="superscript"/>
          <w:lang w:eastAsia="es-CO"/>
        </w:rPr>
        <w:footnoteReference w:id="1"/>
      </w:r>
      <w:r w:rsidRPr="008D3390">
        <w:rPr>
          <w:rFonts w:ascii="Arial" w:eastAsia="Times New Roman" w:hAnsi="Arial" w:cs="Arial"/>
          <w:color w:val="0D0D0D"/>
          <w:szCs w:val="24"/>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1A58919E" w14:textId="77777777" w:rsidR="008D3390" w:rsidRPr="008D3390" w:rsidRDefault="008D3390" w:rsidP="008D3390">
      <w:pPr>
        <w:shd w:val="clear" w:color="auto" w:fill="FFFFFF"/>
        <w:spacing w:after="0" w:line="276" w:lineRule="auto"/>
        <w:ind w:firstLine="709"/>
        <w:jc w:val="both"/>
        <w:rPr>
          <w:rFonts w:ascii="Arial" w:eastAsia="Times New Roman" w:hAnsi="Arial" w:cs="Arial"/>
          <w:color w:val="0D0D0D"/>
          <w:szCs w:val="24"/>
          <w:bdr w:val="none" w:sz="0" w:space="0" w:color="auto" w:frame="1"/>
          <w:lang w:eastAsia="es-CO"/>
        </w:rPr>
      </w:pPr>
    </w:p>
    <w:p w14:paraId="52D70BDA" w14:textId="77777777" w:rsidR="008D3390" w:rsidRPr="008D3390" w:rsidRDefault="008D3390" w:rsidP="008D3390">
      <w:pPr>
        <w:shd w:val="clear" w:color="auto" w:fill="FFFFFF"/>
        <w:spacing w:after="0" w:line="240" w:lineRule="auto"/>
        <w:ind w:left="709" w:right="709"/>
        <w:jc w:val="both"/>
        <w:rPr>
          <w:rFonts w:ascii="Arial" w:eastAsia="Times New Roman" w:hAnsi="Arial" w:cs="Arial"/>
          <w:color w:val="0D0D0D"/>
          <w:sz w:val="21"/>
          <w:szCs w:val="21"/>
          <w:bdr w:val="none" w:sz="0" w:space="0" w:color="auto" w:frame="1"/>
          <w:lang w:eastAsia="es-CO"/>
        </w:rPr>
      </w:pPr>
      <w:r w:rsidRPr="008D3390">
        <w:rPr>
          <w:rFonts w:ascii="Arial" w:eastAsia="Times New Roman"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8D3390">
        <w:rPr>
          <w:rFonts w:ascii="Arial" w:eastAsia="Times New Roman"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8D3390">
        <w:rPr>
          <w:rFonts w:ascii="Arial" w:eastAsia="Times New Roman" w:hAnsi="Arial" w:cs="Arial"/>
          <w:color w:val="0D0D0D"/>
          <w:sz w:val="21"/>
          <w:szCs w:val="21"/>
          <w:bdr w:val="none" w:sz="0" w:space="0" w:color="auto" w:frame="1"/>
          <w:lang w:eastAsia="es-CO"/>
        </w:rPr>
        <w:t> […] </w:t>
      </w:r>
      <w:r w:rsidRPr="008D3390">
        <w:rPr>
          <w:rFonts w:ascii="Arial" w:eastAsia="Times New Roman" w:hAnsi="Arial" w:cs="Arial"/>
          <w:i/>
          <w:iCs/>
          <w:color w:val="0D0D0D"/>
          <w:sz w:val="21"/>
          <w:szCs w:val="21"/>
          <w:bdr w:val="none" w:sz="0" w:space="0" w:color="auto" w:frame="1"/>
          <w:lang w:eastAsia="es-CO"/>
        </w:rPr>
        <w:t>teniendo en cuenta la naturaleza y cuantía de los contratos</w:t>
      </w:r>
      <w:r w:rsidRPr="008D3390">
        <w:rPr>
          <w:rFonts w:ascii="Arial" w:eastAsia="Times New Roman" w:hAnsi="Arial" w:cs="Arial"/>
          <w:color w:val="0D0D0D"/>
          <w:sz w:val="21"/>
          <w:szCs w:val="21"/>
          <w:bdr w:val="none" w:sz="0" w:space="0" w:color="auto" w:frame="1"/>
          <w:lang w:eastAsia="es-CO"/>
        </w:rPr>
        <w:t> […] (Énfasis fuera de texto). </w:t>
      </w:r>
    </w:p>
    <w:p w14:paraId="1EEE7F8A" w14:textId="77777777" w:rsidR="008D3390" w:rsidRPr="008D3390" w:rsidRDefault="008D3390" w:rsidP="008D3390">
      <w:pPr>
        <w:spacing w:after="0" w:line="276" w:lineRule="auto"/>
        <w:jc w:val="both"/>
        <w:rPr>
          <w:rFonts w:ascii="Arial" w:eastAsia="Calibri" w:hAnsi="Arial" w:cs="Arial"/>
          <w:szCs w:val="24"/>
          <w:lang w:val="es-ES" w:eastAsia="en-GB"/>
        </w:rPr>
      </w:pPr>
      <w:r w:rsidRPr="008D3390">
        <w:rPr>
          <w:rFonts w:ascii="Arial" w:eastAsia="Calibri" w:hAnsi="Arial" w:cs="Arial"/>
          <w:szCs w:val="24"/>
          <w:lang w:val="es-ES" w:eastAsia="en-GB"/>
        </w:rPr>
        <w:tab/>
      </w:r>
    </w:p>
    <w:p w14:paraId="3E9FA6B4" w14:textId="77777777" w:rsidR="008D3390" w:rsidRPr="008D3390" w:rsidRDefault="008D3390" w:rsidP="008D3390">
      <w:pPr>
        <w:spacing w:after="120" w:line="276" w:lineRule="auto"/>
        <w:ind w:firstLine="708"/>
        <w:jc w:val="both"/>
        <w:rPr>
          <w:rFonts w:ascii="Arial" w:eastAsia="Calibri" w:hAnsi="Arial" w:cs="Arial"/>
          <w:color w:val="0D0D0D"/>
          <w:szCs w:val="24"/>
          <w:lang w:val="es-ES" w:eastAsia="en-GB"/>
        </w:rPr>
      </w:pPr>
      <w:r w:rsidRPr="008D3390">
        <w:rPr>
          <w:rFonts w:ascii="Arial" w:eastAsia="Calibri" w:hAnsi="Arial" w:cs="Arial"/>
          <w:szCs w:val="24"/>
          <w:lang w:val="es-ES" w:eastAsia="en-GB"/>
        </w:rPr>
        <w:t>La redacción original del artículo 4 de la Ley 1882 de 2018 establecía que al Gobierno Nacional le correspondía adoptar los documentos tipo, pero p</w:t>
      </w:r>
      <w:r w:rsidRPr="008D3390">
        <w:rPr>
          <w:rFonts w:ascii="Arial" w:eastAsia="Calibri" w:hAnsi="Arial" w:cs="Arial"/>
          <w:color w:val="0D0D0D"/>
          <w:szCs w:val="24"/>
          <w:lang w:val="es-ES" w:eastAsia="en-GB"/>
        </w:rPr>
        <w:t xml:space="preserve">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w:t>
      </w:r>
      <w:proofErr w:type="spellStart"/>
      <w:r w:rsidRPr="008D3390">
        <w:rPr>
          <w:rFonts w:ascii="Arial" w:eastAsia="Calibri" w:hAnsi="Arial" w:cs="Arial"/>
          <w:color w:val="0D0D0D"/>
          <w:szCs w:val="24"/>
          <w:lang w:val="es-ES" w:eastAsia="en-GB"/>
        </w:rPr>
        <w:t>ii</w:t>
      </w:r>
      <w:proofErr w:type="spellEnd"/>
      <w:r w:rsidRPr="008D3390">
        <w:rPr>
          <w:rFonts w:ascii="Arial" w:eastAsia="Calibri" w:hAnsi="Arial" w:cs="Arial"/>
          <w:color w:val="0D0D0D"/>
          <w:szCs w:val="24"/>
          <w:lang w:val="es-ES" w:eastAsia="en-GB"/>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8D3390">
        <w:rPr>
          <w:rFonts w:ascii="Arial" w:eastAsia="Calibri" w:hAnsi="Arial" w:cs="Arial"/>
          <w:color w:val="0D0D0D"/>
          <w:szCs w:val="24"/>
          <w:lang w:val="es-ES" w:eastAsia="en-GB"/>
        </w:rPr>
        <w:t>iii</w:t>
      </w:r>
      <w:proofErr w:type="spellEnd"/>
      <w:r w:rsidRPr="008D3390">
        <w:rPr>
          <w:rFonts w:ascii="Arial" w:eastAsia="Calibri" w:hAnsi="Arial" w:cs="Arial"/>
          <w:color w:val="0D0D0D"/>
          <w:szCs w:val="24"/>
          <w:lang w:val="es-ES" w:eastAsia="en-GB"/>
        </w:rPr>
        <w:t xml:space="preserve">) la implementación de procesos de capacitación en los municipios para la utilización de los documentos tipo buscando el desarrollo de la economía local; y </w:t>
      </w:r>
      <w:proofErr w:type="spellStart"/>
      <w:r w:rsidRPr="008D3390">
        <w:rPr>
          <w:rFonts w:ascii="Arial" w:eastAsia="Calibri" w:hAnsi="Arial" w:cs="Arial"/>
          <w:color w:val="0D0D0D"/>
          <w:szCs w:val="24"/>
          <w:lang w:val="es-ES" w:eastAsia="en-GB"/>
        </w:rPr>
        <w:t>iv</w:t>
      </w:r>
      <w:proofErr w:type="spellEnd"/>
      <w:r w:rsidRPr="008D3390">
        <w:rPr>
          <w:rFonts w:ascii="Arial" w:eastAsia="Calibri" w:hAnsi="Arial" w:cs="Arial"/>
          <w:color w:val="0D0D0D"/>
          <w:szCs w:val="24"/>
          <w:lang w:val="es-ES" w:eastAsia="en-GB"/>
        </w:rPr>
        <w:t>)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8D3390">
        <w:rPr>
          <w:rFonts w:ascii="Arial" w:eastAsia="Calibri" w:hAnsi="Arial" w:cs="Arial"/>
          <w:color w:val="0D0D0D"/>
          <w:szCs w:val="24"/>
          <w:vertAlign w:val="superscript"/>
          <w:lang w:val="es-ES" w:eastAsia="en-GB"/>
        </w:rPr>
        <w:footnoteReference w:id="2"/>
      </w:r>
      <w:r w:rsidRPr="008D3390">
        <w:rPr>
          <w:rFonts w:ascii="Arial" w:eastAsia="Calibri" w:hAnsi="Arial" w:cs="Arial"/>
          <w:color w:val="0D0D0D"/>
          <w:szCs w:val="24"/>
          <w:lang w:val="es-ES" w:eastAsia="en-GB"/>
        </w:rPr>
        <w:t xml:space="preserve">. </w:t>
      </w:r>
    </w:p>
    <w:p w14:paraId="0DCB0B81" w14:textId="457026B5" w:rsidR="008D3390" w:rsidRPr="008D3390" w:rsidRDefault="008D3390" w:rsidP="008D3390">
      <w:pPr>
        <w:spacing w:before="120" w:after="120" w:line="276" w:lineRule="auto"/>
        <w:ind w:firstLine="708"/>
        <w:jc w:val="both"/>
        <w:rPr>
          <w:rFonts w:ascii="Arial" w:eastAsia="Calibri" w:hAnsi="Arial" w:cs="Arial"/>
          <w:szCs w:val="24"/>
          <w:lang w:eastAsia="en-GB"/>
        </w:rPr>
      </w:pPr>
      <w:r w:rsidRPr="008D3390">
        <w:rPr>
          <w:rFonts w:ascii="Arial" w:eastAsia="Calibri" w:hAnsi="Arial" w:cs="Arial"/>
          <w:szCs w:val="24"/>
          <w:lang w:eastAsia="en-GB"/>
        </w:rPr>
        <w:lastRenderedPageBreak/>
        <w:t xml:space="preserve">Además, la Ley 2022 de 2020 señala que los documentos tipo adoptados por la Agencia Nacional de Contratación Pública son de </w:t>
      </w:r>
      <w:r w:rsidRPr="008D3390">
        <w:rPr>
          <w:rFonts w:ascii="Arial" w:eastAsia="Calibri" w:hAnsi="Arial" w:cs="Arial"/>
          <w:i/>
          <w:szCs w:val="24"/>
          <w:lang w:eastAsia="en-GB"/>
        </w:rPr>
        <w:t>obligatorio</w:t>
      </w:r>
      <w:r w:rsidRPr="008D3390">
        <w:rPr>
          <w:rFonts w:ascii="Arial" w:eastAsia="Calibri" w:hAnsi="Arial" w:cs="Arial"/>
          <w:szCs w:val="24"/>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r w:rsidR="003606CF">
        <w:rPr>
          <w:rFonts w:ascii="Arial" w:eastAsia="Calibri" w:hAnsi="Arial" w:cs="Arial"/>
          <w:szCs w:val="24"/>
          <w:lang w:eastAsia="en-GB"/>
        </w:rPr>
        <w:t xml:space="preserve"> o en lugares en que expresamente </w:t>
      </w:r>
      <w:r w:rsidR="000E0AD4">
        <w:rPr>
          <w:rFonts w:ascii="Arial" w:eastAsia="Calibri" w:hAnsi="Arial" w:cs="Arial"/>
          <w:szCs w:val="24"/>
          <w:lang w:eastAsia="en-GB"/>
        </w:rPr>
        <w:t>los documentos tipo</w:t>
      </w:r>
      <w:r w:rsidR="003606CF">
        <w:rPr>
          <w:rFonts w:ascii="Arial" w:eastAsia="Calibri" w:hAnsi="Arial" w:cs="Arial"/>
          <w:szCs w:val="24"/>
          <w:lang w:eastAsia="en-GB"/>
        </w:rPr>
        <w:t xml:space="preserve"> admita</w:t>
      </w:r>
      <w:r w:rsidR="000E0AD4">
        <w:rPr>
          <w:rFonts w:ascii="Arial" w:eastAsia="Calibri" w:hAnsi="Arial" w:cs="Arial"/>
          <w:szCs w:val="24"/>
          <w:lang w:eastAsia="en-GB"/>
        </w:rPr>
        <w:t>n</w:t>
      </w:r>
      <w:r w:rsidR="003606CF">
        <w:rPr>
          <w:rFonts w:ascii="Arial" w:eastAsia="Calibri" w:hAnsi="Arial" w:cs="Arial"/>
          <w:szCs w:val="24"/>
          <w:lang w:eastAsia="en-GB"/>
        </w:rPr>
        <w:t xml:space="preserve"> su modificación.</w:t>
      </w:r>
    </w:p>
    <w:p w14:paraId="41850B9C" w14:textId="77777777" w:rsidR="008D3390" w:rsidRPr="008D3390" w:rsidRDefault="008D3390" w:rsidP="008D3390">
      <w:pPr>
        <w:spacing w:before="120" w:after="120" w:line="276" w:lineRule="auto"/>
        <w:ind w:firstLine="708"/>
        <w:jc w:val="both"/>
        <w:rPr>
          <w:rFonts w:ascii="Arial" w:eastAsia="Calibri" w:hAnsi="Arial" w:cs="Arial"/>
          <w:color w:val="000000"/>
          <w:szCs w:val="24"/>
          <w:lang w:val="es-ES_tradnl" w:eastAsia="en-GB"/>
        </w:rPr>
      </w:pPr>
      <w:r w:rsidRPr="008D3390">
        <w:rPr>
          <w:rFonts w:ascii="Arial" w:eastAsia="Calibri" w:hAnsi="Arial" w:cs="Arial"/>
          <w:color w:val="000000"/>
          <w:szCs w:val="24"/>
          <w:lang w:eastAsia="en-GB"/>
        </w:rPr>
        <w:t>Esta es una regla que está consagrada en la</w:t>
      </w:r>
      <w:r w:rsidRPr="008D3390">
        <w:rPr>
          <w:rFonts w:ascii="Arial" w:eastAsia="Calibri" w:hAnsi="Arial" w:cs="Arial"/>
          <w:color w:val="000000"/>
          <w:szCs w:val="24"/>
          <w:lang w:val="es-ES_tradnl" w:eastAsia="en-GB"/>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8D3390">
        <w:rPr>
          <w:rFonts w:ascii="Arial" w:eastAsia="Calibri" w:hAnsi="Arial" w:cs="Arial"/>
          <w:i/>
          <w:iCs/>
          <w:color w:val="000000"/>
          <w:szCs w:val="24"/>
          <w:lang w:val="es-ES_tradnl" w:eastAsia="en-GB"/>
        </w:rPr>
        <w:t>Documentos del Proceso</w:t>
      </w:r>
      <w:r w:rsidRPr="008D3390">
        <w:rPr>
          <w:rFonts w:ascii="Arial" w:eastAsia="Calibri" w:hAnsi="Arial" w:cs="Arial"/>
          <w:color w:val="000000"/>
          <w:szCs w:val="24"/>
          <w:lang w:val="es-ES_tradnl" w:eastAsia="en-GB"/>
        </w:rPr>
        <w:t xml:space="preserve"> las condiciones habilitantes, los factores técnicos y económicos de escogencia y los sistemas de ponderación distintos a los señalados en los documentos tipo.  </w:t>
      </w:r>
    </w:p>
    <w:p w14:paraId="281B3EE8" w14:textId="7A89CC63" w:rsidR="008D3390" w:rsidRPr="008D3390" w:rsidRDefault="008D3390" w:rsidP="008D3390">
      <w:pPr>
        <w:spacing w:after="0" w:line="276" w:lineRule="auto"/>
        <w:ind w:firstLine="708"/>
        <w:jc w:val="both"/>
        <w:rPr>
          <w:rFonts w:ascii="Arial" w:eastAsia="Calibri" w:hAnsi="Arial" w:cs="Arial"/>
          <w:color w:val="000000"/>
          <w:szCs w:val="24"/>
          <w:lang w:val="es-ES_tradnl" w:eastAsia="en-GB"/>
        </w:rPr>
      </w:pPr>
      <w:r w:rsidRPr="008D3390">
        <w:rPr>
          <w:rFonts w:ascii="Arial" w:eastAsia="Calibri" w:hAnsi="Arial" w:cs="Arial"/>
          <w:color w:val="000000"/>
          <w:szCs w:val="24"/>
          <w:lang w:val="es-ES_tradnl" w:eastAsia="en-GB"/>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38491EF3" w14:textId="77777777" w:rsidR="008D3390" w:rsidRPr="008D3390" w:rsidRDefault="008D3390" w:rsidP="008D3390">
      <w:pPr>
        <w:spacing w:after="0" w:line="276" w:lineRule="auto"/>
        <w:ind w:firstLine="708"/>
        <w:jc w:val="both"/>
        <w:rPr>
          <w:rFonts w:ascii="Arial" w:eastAsia="Calibri" w:hAnsi="Arial" w:cs="Arial"/>
          <w:color w:val="000000"/>
          <w:szCs w:val="24"/>
          <w:lang w:val="es-ES_tradnl" w:eastAsia="en-GB"/>
        </w:rPr>
      </w:pPr>
    </w:p>
    <w:p w14:paraId="683533DB" w14:textId="542EAE49" w:rsidR="008D3390" w:rsidRPr="008D3390" w:rsidRDefault="008D3390" w:rsidP="008D3390">
      <w:pPr>
        <w:spacing w:after="0" w:line="240" w:lineRule="auto"/>
        <w:jc w:val="both"/>
        <w:rPr>
          <w:rFonts w:ascii="Arial" w:eastAsia="Calibri" w:hAnsi="Arial" w:cs="Arial"/>
          <w:b/>
          <w:bCs/>
          <w:szCs w:val="24"/>
          <w:lang w:eastAsia="en-GB"/>
        </w:rPr>
      </w:pPr>
      <w:r w:rsidRPr="008D3390">
        <w:rPr>
          <w:rFonts w:ascii="Arial" w:eastAsia="Calibri" w:hAnsi="Arial" w:cs="Arial"/>
          <w:b/>
          <w:szCs w:val="24"/>
          <w:lang w:eastAsia="en-GB"/>
        </w:rPr>
        <w:lastRenderedPageBreak/>
        <w:t xml:space="preserve">2.2. </w:t>
      </w:r>
      <w:r w:rsidRPr="008D3390">
        <w:rPr>
          <w:rFonts w:ascii="Arial" w:eastAsia="Calibri" w:hAnsi="Arial" w:cs="Arial"/>
          <w:b/>
          <w:bCs/>
          <w:szCs w:val="24"/>
          <w:lang w:eastAsia="en-GB"/>
        </w:rPr>
        <w:t>Documentos tipo complementarios para los procesos de licitación de obra pública de infraestructura social relacionados con el sector educativo</w:t>
      </w:r>
      <w:r w:rsidR="003606CF">
        <w:rPr>
          <w:rFonts w:ascii="Arial" w:eastAsia="Calibri" w:hAnsi="Arial" w:cs="Arial"/>
          <w:b/>
          <w:bCs/>
          <w:szCs w:val="24"/>
          <w:lang w:eastAsia="en-GB"/>
        </w:rPr>
        <w:t>;</w:t>
      </w:r>
      <w:r w:rsidRPr="008D3390">
        <w:rPr>
          <w:rFonts w:ascii="Arial" w:eastAsia="Calibri" w:hAnsi="Arial" w:cs="Arial"/>
          <w:b/>
          <w:bCs/>
          <w:szCs w:val="24"/>
          <w:lang w:eastAsia="en-GB"/>
        </w:rPr>
        <w:t xml:space="preserve"> salud</w:t>
      </w:r>
      <w:r w:rsidR="003606CF">
        <w:rPr>
          <w:rFonts w:ascii="Arial" w:eastAsia="Calibri" w:hAnsi="Arial" w:cs="Arial"/>
          <w:b/>
          <w:bCs/>
          <w:szCs w:val="24"/>
          <w:lang w:eastAsia="en-GB"/>
        </w:rPr>
        <w:t>;</w:t>
      </w:r>
      <w:r w:rsidRPr="008D3390">
        <w:rPr>
          <w:rFonts w:ascii="Arial" w:eastAsia="Calibri" w:hAnsi="Arial" w:cs="Arial"/>
          <w:b/>
          <w:bCs/>
          <w:szCs w:val="24"/>
          <w:lang w:eastAsia="en-GB"/>
        </w:rPr>
        <w:t xml:space="preserve"> y cultura</w:t>
      </w:r>
      <w:r w:rsidR="003606CF">
        <w:rPr>
          <w:rFonts w:ascii="Arial" w:eastAsia="Calibri" w:hAnsi="Arial" w:cs="Arial"/>
          <w:b/>
          <w:bCs/>
          <w:szCs w:val="24"/>
          <w:lang w:eastAsia="en-GB"/>
        </w:rPr>
        <w:t>,</w:t>
      </w:r>
      <w:r w:rsidR="00CB12EE">
        <w:rPr>
          <w:rFonts w:ascii="Arial" w:eastAsia="Calibri" w:hAnsi="Arial" w:cs="Arial"/>
          <w:b/>
          <w:bCs/>
          <w:szCs w:val="24"/>
          <w:lang w:eastAsia="en-GB"/>
        </w:rPr>
        <w:t xml:space="preserve"> </w:t>
      </w:r>
      <w:r w:rsidRPr="008D3390">
        <w:rPr>
          <w:rFonts w:ascii="Arial" w:eastAsia="Calibri" w:hAnsi="Arial" w:cs="Arial"/>
          <w:b/>
          <w:bCs/>
          <w:szCs w:val="24"/>
          <w:lang w:eastAsia="en-GB"/>
        </w:rPr>
        <w:t xml:space="preserve">recreación </w:t>
      </w:r>
      <w:r w:rsidR="003606CF">
        <w:rPr>
          <w:rFonts w:ascii="Arial" w:eastAsia="Calibri" w:hAnsi="Arial" w:cs="Arial"/>
          <w:b/>
          <w:bCs/>
          <w:szCs w:val="24"/>
          <w:lang w:eastAsia="en-GB"/>
        </w:rPr>
        <w:t>y</w:t>
      </w:r>
      <w:r w:rsidR="00CB12EE">
        <w:rPr>
          <w:rFonts w:ascii="Arial" w:eastAsia="Calibri" w:hAnsi="Arial" w:cs="Arial"/>
          <w:b/>
          <w:bCs/>
          <w:szCs w:val="24"/>
          <w:lang w:eastAsia="en-GB"/>
        </w:rPr>
        <w:t xml:space="preserve"> </w:t>
      </w:r>
      <w:r w:rsidRPr="008D3390">
        <w:rPr>
          <w:rFonts w:ascii="Arial" w:eastAsia="Calibri" w:hAnsi="Arial" w:cs="Arial"/>
          <w:b/>
          <w:bCs/>
          <w:szCs w:val="24"/>
          <w:lang w:eastAsia="en-GB"/>
        </w:rPr>
        <w:t>deporte</w:t>
      </w:r>
      <w:r w:rsidR="003606CF">
        <w:rPr>
          <w:rFonts w:ascii="Arial" w:eastAsia="Calibri" w:hAnsi="Arial" w:cs="Arial"/>
          <w:b/>
          <w:bCs/>
          <w:szCs w:val="24"/>
          <w:lang w:eastAsia="en-GB"/>
        </w:rPr>
        <w:t>,</w:t>
      </w:r>
      <w:r w:rsidR="00C76B26">
        <w:rPr>
          <w:rFonts w:ascii="Arial" w:eastAsia="Calibri" w:hAnsi="Arial" w:cs="Arial"/>
          <w:b/>
          <w:bCs/>
          <w:szCs w:val="24"/>
          <w:lang w:eastAsia="en-GB"/>
        </w:rPr>
        <w:t xml:space="preserve"> y su </w:t>
      </w:r>
      <w:proofErr w:type="gramStart"/>
      <w:r w:rsidR="00C76B26">
        <w:rPr>
          <w:rFonts w:ascii="Arial" w:eastAsia="Calibri" w:hAnsi="Arial" w:cs="Arial"/>
          <w:b/>
          <w:bCs/>
          <w:szCs w:val="24"/>
          <w:lang w:eastAsia="en-GB"/>
        </w:rPr>
        <w:t>entrada en vigencia</w:t>
      </w:r>
      <w:proofErr w:type="gramEnd"/>
    </w:p>
    <w:p w14:paraId="5C1341C2" w14:textId="77777777" w:rsidR="008D3390" w:rsidRPr="008D3390" w:rsidRDefault="008D3390" w:rsidP="008D3390">
      <w:pPr>
        <w:spacing w:after="0" w:line="240" w:lineRule="auto"/>
        <w:jc w:val="both"/>
        <w:rPr>
          <w:rFonts w:ascii="Arial" w:eastAsia="Calibri" w:hAnsi="Arial" w:cs="Arial"/>
          <w:b/>
          <w:szCs w:val="24"/>
          <w:lang w:eastAsia="en-GB"/>
        </w:rPr>
      </w:pPr>
    </w:p>
    <w:p w14:paraId="69CE8A36" w14:textId="77777777" w:rsidR="008D3390" w:rsidRPr="008D3390" w:rsidRDefault="008D3390" w:rsidP="008D3390">
      <w:pPr>
        <w:spacing w:after="0" w:line="276" w:lineRule="auto"/>
        <w:jc w:val="both"/>
        <w:rPr>
          <w:rFonts w:ascii="Arial" w:eastAsia="Times New Roman" w:hAnsi="Arial" w:cs="Arial"/>
          <w:szCs w:val="24"/>
          <w:lang w:val="es-ES" w:eastAsia="en-GB"/>
        </w:rPr>
      </w:pPr>
      <w:r w:rsidRPr="008D3390">
        <w:rPr>
          <w:rFonts w:ascii="Arial" w:eastAsia="Calibri" w:hAnsi="Arial" w:cs="Arial"/>
          <w:szCs w:val="24"/>
          <w:lang w:eastAsia="en-GB"/>
        </w:rPr>
        <w:t xml:space="preserve">En desarrollo de la Ley 2022 de 2020, la Agencia Nacional de Contratación Pública – Colombia Compra Eficiente expidió la Resolución 219 </w:t>
      </w:r>
      <w:r w:rsidRPr="008D3390">
        <w:rPr>
          <w:rFonts w:ascii="Arial" w:eastAsia="Times New Roman" w:hAnsi="Arial" w:cs="Arial"/>
          <w:bCs/>
          <w:color w:val="000000"/>
          <w:szCs w:val="24"/>
          <w:lang w:eastAsia="es-ES_tradnl"/>
        </w:rPr>
        <w:t xml:space="preserve">del 6 de agosto </w:t>
      </w:r>
      <w:r w:rsidRPr="008D3390">
        <w:rPr>
          <w:rFonts w:ascii="Arial" w:eastAsia="Calibri" w:hAnsi="Arial" w:cs="Arial"/>
          <w:szCs w:val="24"/>
          <w:lang w:eastAsia="en-GB"/>
        </w:rPr>
        <w:t>de 2021, «Por la cual se adoptan los documentos tipo para los procesos de licitación de obra pública de infraestructura social». Dentro de esta categoría fue incluida la infraestructura asociada a los sectores de la salud, el educativo y el de cultura, recreación y deporte,</w:t>
      </w:r>
      <w:r w:rsidRPr="008D3390">
        <w:rPr>
          <w:rFonts w:ascii="Arial" w:eastAsia="Times New Roman" w:hAnsi="Arial" w:cs="Arial"/>
          <w:szCs w:val="24"/>
          <w:lang w:val="es-ES" w:eastAsia="en-GB"/>
        </w:rPr>
        <w:t xml:space="preserve"> tal como lo establece</w:t>
      </w:r>
      <w:r w:rsidRPr="008D3390">
        <w:rPr>
          <w:rFonts w:ascii="Arial" w:eastAsia="Times New Roman" w:hAnsi="Arial" w:cs="Arial"/>
          <w:color w:val="000000"/>
          <w:szCs w:val="24"/>
          <w:lang w:val="es-ES" w:eastAsia="en-GB"/>
        </w:rPr>
        <w:t xml:space="preserve"> </w:t>
      </w:r>
      <w:r w:rsidRPr="008D3390">
        <w:rPr>
          <w:rFonts w:ascii="Arial" w:eastAsia="Times New Roman" w:hAnsi="Arial" w:cs="Arial"/>
          <w:szCs w:val="24"/>
          <w:lang w:val="es-ES" w:eastAsia="en-GB"/>
        </w:rPr>
        <w:t xml:space="preserve">el parágrafo 2 del artículo 2 de la resolución indicada, de la siguiente manera: </w:t>
      </w:r>
    </w:p>
    <w:p w14:paraId="3399388C" w14:textId="77777777" w:rsidR="008D3390" w:rsidRPr="008D3390" w:rsidRDefault="008D3390" w:rsidP="008D3390">
      <w:pPr>
        <w:spacing w:after="0" w:line="240" w:lineRule="auto"/>
        <w:jc w:val="both"/>
        <w:rPr>
          <w:rFonts w:ascii="Arial" w:eastAsia="Times New Roman" w:hAnsi="Arial" w:cs="Arial"/>
          <w:szCs w:val="24"/>
          <w:lang w:val="es-ES" w:eastAsia="en-GB"/>
        </w:rPr>
      </w:pPr>
    </w:p>
    <w:p w14:paraId="181B212A" w14:textId="77777777" w:rsidR="008D3390" w:rsidRPr="008D3390" w:rsidRDefault="008D3390" w:rsidP="008D3390">
      <w:pPr>
        <w:spacing w:after="0" w:line="240" w:lineRule="auto"/>
        <w:ind w:left="709" w:right="709"/>
        <w:jc w:val="both"/>
        <w:rPr>
          <w:rFonts w:ascii="Arial" w:eastAsia="Times New Roman" w:hAnsi="Arial" w:cs="Arial"/>
          <w:sz w:val="21"/>
          <w:szCs w:val="21"/>
          <w:lang w:val="es-ES" w:eastAsia="en-GB"/>
        </w:rPr>
      </w:pPr>
      <w:r w:rsidRPr="008D3390">
        <w:rPr>
          <w:rFonts w:ascii="Arial" w:eastAsia="Times New Roman" w:hAnsi="Arial" w:cs="Arial"/>
          <w:sz w:val="21"/>
          <w:szCs w:val="21"/>
          <w:lang w:val="es-ES" w:eastAsia="en-GB"/>
        </w:rPr>
        <w:t xml:space="preserve">Estos documentos tipo aplicarán a los proyectos de infraestructura social, tales como, </w:t>
      </w:r>
      <w:r w:rsidRPr="008D3390">
        <w:rPr>
          <w:rFonts w:ascii="Arial" w:eastAsia="Times New Roman" w:hAnsi="Arial" w:cs="Arial"/>
          <w:i/>
          <w:iCs/>
          <w:sz w:val="21"/>
          <w:szCs w:val="21"/>
          <w:lang w:val="es-ES" w:eastAsia="en-GB"/>
        </w:rPr>
        <w:t>sector educativo</w:t>
      </w:r>
      <w:r w:rsidRPr="008D3390">
        <w:rPr>
          <w:rFonts w:ascii="Arial" w:eastAsia="Times New Roman" w:hAnsi="Arial" w:cs="Arial"/>
          <w:sz w:val="21"/>
          <w:szCs w:val="21"/>
          <w:lang w:val="es-ES" w:eastAsia="en-GB"/>
        </w:rPr>
        <w:t xml:space="preserve">, sector salud y sector cultural, recreación y deporte, </w:t>
      </w:r>
      <w:r w:rsidRPr="008D3390">
        <w:rPr>
          <w:rFonts w:ascii="Arial" w:eastAsia="Times New Roman" w:hAnsi="Arial" w:cs="Arial"/>
          <w:i/>
          <w:iCs/>
          <w:sz w:val="21"/>
          <w:szCs w:val="21"/>
          <w:lang w:val="es-ES" w:eastAsia="en-GB"/>
        </w:rPr>
        <w:t>de conformidad con cada una de las resoluciones que expida la Agencia Nacional de Contratación Pública -Colombia Compra Eficiente-</w:t>
      </w:r>
      <w:r w:rsidRPr="008D3390">
        <w:rPr>
          <w:rFonts w:ascii="Arial" w:eastAsia="Times New Roman" w:hAnsi="Arial" w:cs="Arial"/>
          <w:sz w:val="21"/>
          <w:szCs w:val="21"/>
          <w:lang w:val="es-ES" w:eastAsia="en-GB"/>
        </w:rPr>
        <w:t>, donde se precisará el alcance concreto de estos documentos tipo; sin perjuicio de que se incluyan otros tipos de infraestructura social. (Énfasis fuera del texto)</w:t>
      </w:r>
    </w:p>
    <w:p w14:paraId="63D3F49D" w14:textId="77777777" w:rsidR="008D3390" w:rsidRPr="008D3390" w:rsidRDefault="008D3390" w:rsidP="008D3390">
      <w:pPr>
        <w:spacing w:after="0" w:line="276" w:lineRule="auto"/>
        <w:jc w:val="both"/>
        <w:rPr>
          <w:rFonts w:ascii="Arial" w:eastAsia="Times New Roman" w:hAnsi="Arial" w:cs="Arial"/>
          <w:szCs w:val="24"/>
          <w:lang w:val="es-ES" w:eastAsia="en-GB"/>
        </w:rPr>
      </w:pPr>
      <w:r w:rsidRPr="008D3390">
        <w:rPr>
          <w:rFonts w:ascii="Arial" w:eastAsia="Times New Roman" w:hAnsi="Arial" w:cs="Arial"/>
          <w:szCs w:val="24"/>
          <w:lang w:val="es-ES" w:eastAsia="en-GB"/>
        </w:rPr>
        <w:tab/>
      </w:r>
    </w:p>
    <w:p w14:paraId="555C1941" w14:textId="77777777" w:rsidR="008D3390" w:rsidRPr="008D3390" w:rsidRDefault="008D3390" w:rsidP="008D3390">
      <w:pPr>
        <w:spacing w:after="0" w:line="276" w:lineRule="auto"/>
        <w:ind w:firstLine="708"/>
        <w:jc w:val="both"/>
        <w:rPr>
          <w:rFonts w:ascii="Arial" w:eastAsia="Times New Roman" w:hAnsi="Arial" w:cs="Arial"/>
          <w:szCs w:val="24"/>
          <w:lang w:val="es-ES" w:eastAsia="en-GB"/>
        </w:rPr>
      </w:pPr>
      <w:r w:rsidRPr="008D3390">
        <w:rPr>
          <w:rFonts w:ascii="Arial" w:eastAsia="Times New Roman" w:hAnsi="Arial" w:cs="Arial"/>
          <w:szCs w:val="24"/>
          <w:lang w:val="es-ES" w:eastAsia="en-GB"/>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4941B3DF" w14:textId="77777777" w:rsidR="008D3390" w:rsidRPr="008D3390" w:rsidRDefault="008D3390" w:rsidP="008D3390">
      <w:pPr>
        <w:spacing w:before="120" w:after="120" w:line="276" w:lineRule="auto"/>
        <w:ind w:firstLine="708"/>
        <w:jc w:val="both"/>
        <w:rPr>
          <w:rFonts w:ascii="Arial" w:eastAsia="Times New Roman" w:hAnsi="Arial" w:cs="Arial"/>
          <w:bCs/>
          <w:color w:val="000000"/>
          <w:szCs w:val="24"/>
          <w:lang w:val="es-ES" w:eastAsia="es-ES_tradnl"/>
        </w:rPr>
      </w:pPr>
      <w:r w:rsidRPr="008D3390">
        <w:rPr>
          <w:rFonts w:ascii="Arial" w:eastAsia="Times New Roman" w:hAnsi="Arial" w:cs="Arial"/>
          <w:lang w:val="es-ES" w:eastAsia="en-GB"/>
        </w:rPr>
        <w:t>Así lo señala el parágrafo 3 del artículo 2 que dispone lo siguiente:</w:t>
      </w:r>
      <w:r w:rsidRPr="008D3390">
        <w:rPr>
          <w:rFonts w:ascii="Arial" w:eastAsia="Calibri" w:hAnsi="Arial" w:cs="Arial"/>
          <w:lang w:eastAsia="en-GB"/>
        </w:rPr>
        <w:t xml:space="preserve"> «</w:t>
      </w:r>
      <w:r w:rsidRPr="008D3390">
        <w:rPr>
          <w:rFonts w:ascii="Arial" w:eastAsia="Times New Roman" w:hAnsi="Arial" w:cs="Arial"/>
          <w:lang w:val="es-ES" w:eastAsia="en-GB"/>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8D3390">
        <w:rPr>
          <w:rFonts w:ascii="Arial" w:eastAsia="Calibri" w:hAnsi="Arial" w:cs="Arial"/>
          <w:lang w:eastAsia="en-GB"/>
        </w:rPr>
        <w:t>».</w:t>
      </w:r>
      <w:r w:rsidRPr="008D3390">
        <w:rPr>
          <w:rFonts w:ascii="Arial" w:eastAsia="Times New Roman" w:hAnsi="Arial" w:cs="Arial"/>
          <w:lang w:val="es-ES" w:eastAsia="en-GB"/>
        </w:rPr>
        <w:t xml:space="preserve"> En concordancia, el «Documento Base» de </w:t>
      </w:r>
      <w:r w:rsidRPr="008D3390">
        <w:rPr>
          <w:rFonts w:ascii="Arial" w:eastAsia="Calibri" w:hAnsi="Arial" w:cs="Arial"/>
          <w:lang w:eastAsia="en-GB"/>
        </w:rPr>
        <w:t>licitación de obra pública de infraestructura social</w:t>
      </w:r>
      <w:r w:rsidRPr="008D3390">
        <w:rPr>
          <w:rFonts w:ascii="Arial" w:eastAsia="Times New Roman" w:hAnsi="Arial" w:cs="Arial"/>
          <w:vertAlign w:val="superscript"/>
          <w:lang w:val="es-ES" w:eastAsia="en-GB"/>
        </w:rPr>
        <w:footnoteReference w:id="3"/>
      </w:r>
      <w:r w:rsidRPr="008D3390">
        <w:rPr>
          <w:rFonts w:ascii="Arial" w:eastAsia="Calibri" w:hAnsi="Arial" w:cs="Arial"/>
          <w:lang w:eastAsia="en-GB"/>
        </w:rPr>
        <w:t xml:space="preserve"> prescribe en la parte introductoria que «</w:t>
      </w:r>
      <w:r w:rsidRPr="008D3390">
        <w:rPr>
          <w:rFonts w:ascii="Arial" w:eastAsia="Times New Roman" w:hAnsi="Arial" w:cs="Arial"/>
          <w:bCs/>
          <w:color w:val="000000"/>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8D3390">
        <w:rPr>
          <w:rFonts w:ascii="Arial" w:eastAsia="Calibri" w:hAnsi="Arial" w:cs="Arial"/>
          <w:lang w:eastAsia="en-GB"/>
        </w:rPr>
        <w:t>».</w:t>
      </w:r>
    </w:p>
    <w:p w14:paraId="789E4302" w14:textId="77777777" w:rsidR="008D3390" w:rsidRPr="008D3390" w:rsidRDefault="008D3390" w:rsidP="008D3390">
      <w:pPr>
        <w:spacing w:before="120" w:after="120" w:line="276" w:lineRule="auto"/>
        <w:ind w:firstLine="708"/>
        <w:jc w:val="both"/>
        <w:rPr>
          <w:rFonts w:ascii="Arial" w:eastAsia="Times New Roman" w:hAnsi="Arial" w:cs="Arial"/>
          <w:szCs w:val="24"/>
          <w:lang w:val="es-ES" w:eastAsia="en-GB"/>
        </w:rPr>
      </w:pPr>
      <w:r w:rsidRPr="008D3390">
        <w:rPr>
          <w:rFonts w:ascii="Arial" w:eastAsia="Times New Roman" w:hAnsi="Arial" w:cs="Arial"/>
          <w:bCs/>
          <w:color w:val="000000"/>
          <w:szCs w:val="24"/>
          <w:lang w:val="es-ES" w:eastAsia="es-ES_tradnl"/>
        </w:rPr>
        <w:t xml:space="preserve">Cabe anotar que </w:t>
      </w:r>
      <w:r w:rsidRPr="008D3390">
        <w:rPr>
          <w:rFonts w:ascii="Arial" w:eastAsia="Times New Roman" w:hAnsi="Arial" w:cs="Arial"/>
          <w:bCs/>
          <w:color w:val="000000"/>
          <w:szCs w:val="24"/>
          <w:lang w:eastAsia="es-ES_tradnl"/>
        </w:rPr>
        <w:t xml:space="preserve">la Resolución 219 del 6 de agosto de 2021 contiene los documentos tipo que aplican </w:t>
      </w:r>
      <w:r w:rsidRPr="008D3390">
        <w:rPr>
          <w:rFonts w:ascii="Arial" w:eastAsia="Times New Roman" w:hAnsi="Arial" w:cs="Arial"/>
          <w:szCs w:val="24"/>
          <w:lang w:val="es-ES" w:eastAsia="en-GB"/>
        </w:rPr>
        <w:t xml:space="preserve">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w:t>
      </w:r>
      <w:r w:rsidRPr="008D3390">
        <w:rPr>
          <w:rFonts w:ascii="Arial" w:eastAsia="Times New Roman" w:hAnsi="Arial" w:cs="Arial"/>
          <w:szCs w:val="24"/>
          <w:lang w:val="es-ES" w:eastAsia="en-GB"/>
        </w:rPr>
        <w:lastRenderedPageBreak/>
        <w:t>de experiencia y los anexos de glosario para cada uno de los sectores, definiendo así su alcance y vigencia.</w:t>
      </w:r>
    </w:p>
    <w:p w14:paraId="6A7D8B20" w14:textId="77777777" w:rsidR="008D3390" w:rsidRPr="008D3390" w:rsidRDefault="008D3390" w:rsidP="008D3390">
      <w:pPr>
        <w:spacing w:before="120" w:after="120" w:line="276" w:lineRule="auto"/>
        <w:ind w:firstLine="708"/>
        <w:jc w:val="both"/>
        <w:rPr>
          <w:rFonts w:ascii="Arial" w:eastAsia="Times New Roman" w:hAnsi="Arial" w:cs="Arial"/>
          <w:szCs w:val="24"/>
          <w:lang w:val="es-ES" w:eastAsia="en-GB"/>
        </w:rPr>
      </w:pPr>
      <w:r w:rsidRPr="008D3390">
        <w:rPr>
          <w:rFonts w:ascii="Arial" w:eastAsia="Times New Roman" w:hAnsi="Arial" w:cs="Arial"/>
          <w:szCs w:val="24"/>
          <w:lang w:val="es-ES" w:eastAsia="en-GB"/>
        </w:rPr>
        <w:t xml:space="preserve">En consecuencia, en materia de infraestructura social debe tenerse en cuenta que existen dos (2) clases de documentos tipo que se integran en cada proceso:  i) los documentos </w:t>
      </w:r>
      <w:r w:rsidRPr="008D3390">
        <w:rPr>
          <w:rFonts w:ascii="Arial" w:eastAsia="Times New Roman" w:hAnsi="Arial" w:cs="Arial"/>
          <w:i/>
          <w:szCs w:val="24"/>
          <w:lang w:val="es-ES" w:eastAsia="en-GB"/>
        </w:rPr>
        <w:t>transversales</w:t>
      </w:r>
      <w:r w:rsidRPr="008D3390">
        <w:rPr>
          <w:rFonts w:ascii="Arial" w:eastAsia="Times New Roman" w:hAnsi="Arial" w:cs="Arial"/>
          <w:szCs w:val="24"/>
          <w:lang w:val="es-ES" w:eastAsia="en-GB"/>
        </w:rPr>
        <w:t xml:space="preserve"> a todos los sectores de infraestructura social, es decir, el documento base, los anexos, los formatos, los formularios y las matrices adoptados mediante la Resolución No. 219 de 2021; y </w:t>
      </w:r>
      <w:proofErr w:type="spellStart"/>
      <w:r w:rsidRPr="008D3390">
        <w:rPr>
          <w:rFonts w:ascii="Arial" w:eastAsia="Times New Roman" w:hAnsi="Arial" w:cs="Arial"/>
          <w:szCs w:val="24"/>
          <w:lang w:val="es-ES" w:eastAsia="en-GB"/>
        </w:rPr>
        <w:t>ii</w:t>
      </w:r>
      <w:proofErr w:type="spellEnd"/>
      <w:r w:rsidRPr="008D3390">
        <w:rPr>
          <w:rFonts w:ascii="Arial" w:eastAsia="Times New Roman" w:hAnsi="Arial" w:cs="Arial"/>
          <w:szCs w:val="24"/>
          <w:lang w:val="es-ES" w:eastAsia="en-GB"/>
        </w:rPr>
        <w:t xml:space="preserve">) los documentos tipo </w:t>
      </w:r>
      <w:r w:rsidRPr="008D3390">
        <w:rPr>
          <w:rFonts w:ascii="Arial" w:eastAsia="Times New Roman" w:hAnsi="Arial" w:cs="Arial"/>
          <w:i/>
          <w:szCs w:val="24"/>
          <w:lang w:val="es-ES" w:eastAsia="en-GB"/>
        </w:rPr>
        <w:t>complementarios</w:t>
      </w:r>
      <w:r w:rsidRPr="008D3390">
        <w:rPr>
          <w:rFonts w:ascii="Arial" w:eastAsia="Times New Roman" w:hAnsi="Arial" w:cs="Arial"/>
          <w:iCs/>
          <w:szCs w:val="24"/>
          <w:lang w:val="es-ES" w:eastAsia="en-GB"/>
        </w:rPr>
        <w:t>,</w:t>
      </w:r>
      <w:r w:rsidRPr="008D3390">
        <w:rPr>
          <w:rFonts w:ascii="Arial" w:eastAsia="Times New Roman" w:hAnsi="Arial" w:cs="Arial"/>
          <w:i/>
          <w:szCs w:val="24"/>
          <w:lang w:val="es-ES" w:eastAsia="en-GB"/>
        </w:rPr>
        <w:t xml:space="preserve"> </w:t>
      </w:r>
      <w:r w:rsidRPr="008D3390">
        <w:rPr>
          <w:rFonts w:ascii="Arial" w:eastAsia="Times New Roman" w:hAnsi="Arial" w:cs="Arial"/>
          <w:szCs w:val="24"/>
          <w:lang w:val="es-ES" w:eastAsia="en-GB"/>
        </w:rPr>
        <w:t>referentes a la matriz de experiencia y el glosario, los cuales han sido adoptados en la resolución para cada sector específico.</w:t>
      </w:r>
    </w:p>
    <w:p w14:paraId="6D4F3DF0" w14:textId="1A134C82" w:rsidR="008D3390" w:rsidRDefault="008D3390" w:rsidP="00340D2E">
      <w:pPr>
        <w:spacing w:after="120" w:line="276" w:lineRule="auto"/>
        <w:ind w:firstLine="709"/>
        <w:jc w:val="both"/>
        <w:rPr>
          <w:rFonts w:ascii="Arial" w:eastAsia="Times New Roman" w:hAnsi="Arial" w:cs="Arial"/>
          <w:i/>
          <w:iCs/>
        </w:rPr>
      </w:pPr>
      <w:r w:rsidRPr="008D3390">
        <w:rPr>
          <w:rFonts w:ascii="Arial" w:eastAsia="Times New Roman" w:hAnsi="Arial" w:cs="Arial"/>
        </w:rPr>
        <w:t>De esta forma, esta Agencia expidió distintos actos administrativos a partir de los cuales se adoptaron la</w:t>
      </w:r>
      <w:r w:rsidRPr="008D3390">
        <w:rPr>
          <w:rFonts w:ascii="Arial" w:eastAsia="Times New Roman" w:hAnsi="Arial" w:cs="Arial"/>
          <w:sz w:val="20"/>
          <w:szCs w:val="20"/>
        </w:rPr>
        <w:t xml:space="preserve"> </w:t>
      </w:r>
      <w:r w:rsidRPr="008D3390">
        <w:rPr>
          <w:rFonts w:ascii="Arial" w:eastAsia="Times New Roman" w:hAnsi="Arial" w:cs="Arial"/>
        </w:rPr>
        <w:t>«Matriz – Experiencia» y el «Anexo – Glosario». Así las cosas, la Agencia expidió: i) la Resolución 220 del 6 de agosto de 2021, «Por la cual se adoptan los documentos tipo complementarios para los procesos de licitación de obra pública de infraestructura social relacionados con el sector educativo»;</w:t>
      </w:r>
      <w:r w:rsidRPr="008D3390">
        <w:rPr>
          <w:rFonts w:ascii="Arial" w:eastAsia="Times New Roman" w:hAnsi="Arial" w:cs="Arial"/>
          <w:i/>
          <w:iCs/>
        </w:rPr>
        <w:t xml:space="preserve"> </w:t>
      </w:r>
      <w:proofErr w:type="spellStart"/>
      <w:r w:rsidRPr="008D3390">
        <w:rPr>
          <w:rFonts w:ascii="Arial" w:eastAsia="Times New Roman" w:hAnsi="Arial" w:cs="Arial"/>
        </w:rPr>
        <w:t>ii</w:t>
      </w:r>
      <w:proofErr w:type="spellEnd"/>
      <w:r w:rsidRPr="008D3390">
        <w:rPr>
          <w:rFonts w:ascii="Arial" w:eastAsia="Times New Roman" w:hAnsi="Arial" w:cs="Arial"/>
        </w:rPr>
        <w:t>)</w:t>
      </w:r>
      <w:r w:rsidRPr="008D3390">
        <w:rPr>
          <w:rFonts w:ascii="Arial" w:eastAsia="Times New Roman" w:hAnsi="Arial" w:cs="Arial"/>
          <w:i/>
          <w:iCs/>
        </w:rPr>
        <w:t xml:space="preserve"> </w:t>
      </w:r>
      <w:r w:rsidRPr="008D3390">
        <w:rPr>
          <w:rFonts w:ascii="Arial" w:eastAsia="Times New Roman" w:hAnsi="Arial" w:cs="Arial"/>
        </w:rPr>
        <w:t xml:space="preserve">la Resolución 392 del 18 de noviembre de 2021, «Por la cual se adoptan los documentos tipo complementarios para los procesos de licitación de obra pública de infraestructura social relacionados con el sector salud»; y </w:t>
      </w:r>
      <w:proofErr w:type="spellStart"/>
      <w:r w:rsidRPr="008D3390">
        <w:rPr>
          <w:rFonts w:ascii="Arial" w:eastAsia="Times New Roman" w:hAnsi="Arial" w:cs="Arial"/>
        </w:rPr>
        <w:t>iii</w:t>
      </w:r>
      <w:proofErr w:type="spellEnd"/>
      <w:r w:rsidRPr="008D3390">
        <w:rPr>
          <w:rFonts w:ascii="Arial" w:eastAsia="Times New Roman" w:hAnsi="Arial" w:cs="Arial"/>
        </w:rPr>
        <w:t>) la Resolución 454 del 16 de diciembre de 2021,</w:t>
      </w:r>
      <w:r w:rsidRPr="008D3390">
        <w:t xml:space="preserve"> </w:t>
      </w:r>
      <w:r w:rsidRPr="008D3390">
        <w:rPr>
          <w:rFonts w:ascii="Arial" w:eastAsia="Times New Roman" w:hAnsi="Arial" w:cs="Arial"/>
        </w:rPr>
        <w:t>«Por la cual se adoptan los documentos tipo complementarios para los procesos de licitación de obra pública de infraestructura social relacionados con el sector cultura, recreación y deporte»</w:t>
      </w:r>
      <w:r w:rsidRPr="008D3390">
        <w:rPr>
          <w:rFonts w:ascii="Arial" w:eastAsia="Times New Roman" w:hAnsi="Arial" w:cs="Arial"/>
          <w:i/>
          <w:iCs/>
        </w:rPr>
        <w:t>.</w:t>
      </w:r>
    </w:p>
    <w:p w14:paraId="65EF196B" w14:textId="1DE11531" w:rsidR="0017409A" w:rsidRPr="0017409A" w:rsidRDefault="0017409A" w:rsidP="00FE0699">
      <w:pPr>
        <w:spacing w:after="120" w:line="276" w:lineRule="auto"/>
        <w:ind w:firstLine="708"/>
        <w:jc w:val="both"/>
        <w:rPr>
          <w:rFonts w:ascii="Arial" w:eastAsia="Calibri" w:hAnsi="Arial" w:cs="Arial"/>
        </w:rPr>
      </w:pPr>
      <w:r w:rsidRPr="0017409A">
        <w:rPr>
          <w:rFonts w:ascii="Arial" w:eastAsia="Times New Roman" w:hAnsi="Arial" w:cs="Arial"/>
        </w:rPr>
        <w:t xml:space="preserve">Es preciso aclarar que, en relación con la </w:t>
      </w:r>
      <w:proofErr w:type="gramStart"/>
      <w:r w:rsidRPr="0017409A">
        <w:rPr>
          <w:rFonts w:ascii="Arial" w:eastAsia="Times New Roman" w:hAnsi="Arial" w:cs="Arial"/>
        </w:rPr>
        <w:t>entrada en vigencia</w:t>
      </w:r>
      <w:proofErr w:type="gramEnd"/>
      <w:r w:rsidRPr="0017409A">
        <w:rPr>
          <w:rFonts w:ascii="Arial" w:eastAsia="Times New Roman" w:hAnsi="Arial" w:cs="Arial"/>
        </w:rPr>
        <w:t xml:space="preserve"> de los documentos tipo de infraestructura social, </w:t>
      </w:r>
      <w:r w:rsidRPr="0017409A">
        <w:rPr>
          <w:rFonts w:ascii="Arial" w:eastAsia="Calibri" w:hAnsi="Arial" w:cs="Arial"/>
        </w:rPr>
        <w:t>en principio, el artículo 6 de la Resolución 219 de 2021, dispuso la fecha de 30 de agosto de 2021</w:t>
      </w:r>
      <w:r w:rsidR="007C51E7">
        <w:rPr>
          <w:rFonts w:ascii="Arial" w:eastAsia="Calibri" w:hAnsi="Arial" w:cs="Arial"/>
        </w:rPr>
        <w:t>;</w:t>
      </w:r>
      <w:r w:rsidRPr="0017409A">
        <w:rPr>
          <w:rFonts w:ascii="Arial" w:eastAsia="Calibri" w:hAnsi="Arial" w:cs="Arial"/>
        </w:rPr>
        <w:t xml:space="preserve"> no obstante, esta fue posteriormente modificada por la Resolución 336 de 2 de noviembre de 2021. En este sentido, el </w:t>
      </w:r>
      <w:r w:rsidRPr="0017409A">
        <w:rPr>
          <w:rFonts w:ascii="Arial" w:eastAsia="Times New Roman" w:hAnsi="Arial" w:cs="Arial"/>
          <w:color w:val="000000"/>
        </w:rPr>
        <w:t>artículo 6 de la Resolución 219 de 2021, con las modificaciones incorporadas por la Resolución 336 de 2 de noviembre de 2021, establece que la aplicación de los documentos tipo complementarios se realizará de manera gradual y progresiva de acuerdo con un cronograma que atienda la categorización de las entidades estatales</w:t>
      </w:r>
      <w:r w:rsidRPr="0017409A">
        <w:rPr>
          <w:rFonts w:ascii="Arial" w:eastAsia="Times New Roman" w:hAnsi="Arial" w:cs="Arial"/>
          <w:color w:val="000000"/>
          <w:vertAlign w:val="superscript"/>
        </w:rPr>
        <w:footnoteReference w:id="4"/>
      </w:r>
      <w:r w:rsidRPr="0017409A">
        <w:rPr>
          <w:rFonts w:ascii="Arial" w:eastAsia="Times New Roman" w:hAnsi="Arial" w:cs="Arial"/>
          <w:color w:val="000000"/>
        </w:rPr>
        <w:t xml:space="preserve">. </w:t>
      </w:r>
    </w:p>
    <w:p w14:paraId="20AEFFBB" w14:textId="77777777" w:rsidR="0017409A" w:rsidRPr="0017409A" w:rsidRDefault="0017409A" w:rsidP="00FE0699">
      <w:pPr>
        <w:autoSpaceDE w:val="0"/>
        <w:autoSpaceDN w:val="0"/>
        <w:adjustRightInd w:val="0"/>
        <w:spacing w:after="120" w:line="276" w:lineRule="auto"/>
        <w:ind w:firstLine="708"/>
        <w:jc w:val="both"/>
        <w:rPr>
          <w:rFonts w:ascii="Arial" w:eastAsia="Times New Roman" w:hAnsi="Arial" w:cs="Arial"/>
          <w:color w:val="000000"/>
        </w:rPr>
      </w:pPr>
      <w:r w:rsidRPr="0017409A">
        <w:rPr>
          <w:rFonts w:ascii="Arial" w:eastAsia="Calibri" w:hAnsi="Arial" w:cs="Arial"/>
        </w:rPr>
        <w:lastRenderedPageBreak/>
        <w:t xml:space="preserve">En concordancia con esto, el artículo 4 de la Resolución 220 </w:t>
      </w:r>
      <w:r w:rsidRPr="0017409A">
        <w:rPr>
          <w:rFonts w:ascii="Arial" w:eastAsia="Times New Roman" w:hAnsi="Arial" w:cs="Arial"/>
          <w:color w:val="000000"/>
        </w:rPr>
        <w:t xml:space="preserve">del 6 de agosto de 2021 −modificado por el artículo 2 de la Resolución 336 del 2 de noviembre de 2021−, dispuso que los documentos tipo complementarios del sector educativo, aplicarían a los procedimientos de selección de licitación de obra pública de infraestructura social relacionados con el sector educativo, de acuerdo con los grupos de entidades y fechas señaladas en el artículo 6 de la Resolución 219 de 2021. </w:t>
      </w:r>
    </w:p>
    <w:p w14:paraId="749564F3" w14:textId="5EF6B724" w:rsidR="0017409A" w:rsidRPr="0017409A" w:rsidRDefault="0017409A" w:rsidP="00FE0699">
      <w:pPr>
        <w:autoSpaceDE w:val="0"/>
        <w:autoSpaceDN w:val="0"/>
        <w:adjustRightInd w:val="0"/>
        <w:spacing w:after="120" w:line="276" w:lineRule="auto"/>
        <w:ind w:firstLine="708"/>
        <w:jc w:val="both"/>
        <w:rPr>
          <w:rFonts w:ascii="Arial" w:eastAsia="Times New Roman" w:hAnsi="Arial" w:cs="Arial"/>
          <w:color w:val="000000"/>
          <w:lang w:val="es-ES_tradnl"/>
        </w:rPr>
      </w:pPr>
      <w:r w:rsidRPr="0017409A">
        <w:rPr>
          <w:rFonts w:ascii="Arial" w:eastAsia="Times New Roman" w:hAnsi="Arial" w:cs="Arial"/>
          <w:color w:val="000000"/>
        </w:rPr>
        <w:t xml:space="preserve">Por su parte, el artículo 4 de la Resolución </w:t>
      </w:r>
      <w:r w:rsidRPr="0017409A">
        <w:rPr>
          <w:rFonts w:ascii="Arial" w:eastAsia="Calibri" w:hAnsi="Arial" w:cs="Arial"/>
          <w:lang w:val="es-ES_tradnl"/>
        </w:rPr>
        <w:t xml:space="preserve">392 del 18 de noviembre de 2021 estableció que los documentos tipo complementarios del sector salud aplicarán para los procesos de licitación de obra pública de infraestructura social relacionados con el sector salud en los términos definidos en el artículo 6 de la Resolución 219 de 2021 </w:t>
      </w:r>
      <w:r w:rsidRPr="0017409A">
        <w:rPr>
          <w:rFonts w:ascii="Arial" w:eastAsia="Times New Roman" w:hAnsi="Arial" w:cs="Arial"/>
          <w:color w:val="000000"/>
        </w:rPr>
        <w:t>−modificado por el artículo 1 de la Resolución 336 de 2021</w:t>
      </w:r>
      <w:r w:rsidR="007C51E7">
        <w:rPr>
          <w:rFonts w:ascii="Arial" w:eastAsia="Times New Roman" w:hAnsi="Arial" w:cs="Arial"/>
          <w:color w:val="000000"/>
        </w:rPr>
        <w:t>–</w:t>
      </w:r>
      <w:r w:rsidRPr="0017409A">
        <w:rPr>
          <w:rFonts w:ascii="Arial" w:eastAsia="Times New Roman" w:hAnsi="Arial" w:cs="Arial"/>
          <w:color w:val="000000"/>
        </w:rPr>
        <w:t xml:space="preserve">. Esto significa que la implementación de estos documentos tipo también se ha venido realizando de manera progresiva, de acuerdo con los grupos de entidades y las fechas previamente definidas. En todo caso, el parágrafo de este artículo definió que </w:t>
      </w:r>
      <w:r w:rsidRPr="0017409A">
        <w:rPr>
          <w:rFonts w:ascii="Arial" w:eastAsia="Times New Roman" w:hAnsi="Arial" w:cs="Arial"/>
          <w:color w:val="000000"/>
          <w:lang w:val="es-ES_tradnl"/>
        </w:rPr>
        <w:t>las entidades de los sectores central y descentralizado de la Rama ejecutiva del orden nacional deberán aplicar estos documentos tipo a los procedimientos de selección cuyo aviso de convocatoria sea publicado a partir del 3 de enero de 2022.</w:t>
      </w:r>
    </w:p>
    <w:p w14:paraId="224EAB13" w14:textId="77777777" w:rsidR="0017409A" w:rsidRPr="0017409A" w:rsidRDefault="0017409A" w:rsidP="00FE0699">
      <w:pPr>
        <w:spacing w:after="120" w:line="276" w:lineRule="auto"/>
        <w:ind w:firstLine="708"/>
        <w:jc w:val="both"/>
        <w:rPr>
          <w:rFonts w:ascii="Arial" w:eastAsia="Times New Roman" w:hAnsi="Arial" w:cs="Arial"/>
          <w:lang w:eastAsia="es-CO"/>
        </w:rPr>
      </w:pPr>
      <w:r w:rsidRPr="0017409A">
        <w:rPr>
          <w:rFonts w:ascii="Arial" w:eastAsia="Times New Roman" w:hAnsi="Arial" w:cs="Arial"/>
          <w:lang w:eastAsia="es-CO"/>
        </w:rPr>
        <w:t>Finalmente, el artículo 4 de la Resolución 454 del 16 de diciembre de 2021 también definió que la implementación de los documentos tipo complementarios para los procesos de cultura, recreación y deporte sería gradual de acuerdo con un cronograma que determina las fechas atendiendo unos grupos de entidades</w:t>
      </w:r>
      <w:r w:rsidRPr="0017409A">
        <w:rPr>
          <w:rFonts w:ascii="Arial" w:eastAsia="Times New Roman" w:hAnsi="Arial" w:cs="Arial"/>
          <w:vertAlign w:val="superscript"/>
          <w:lang w:eastAsia="es-CO"/>
        </w:rPr>
        <w:footnoteReference w:id="5"/>
      </w:r>
      <w:r w:rsidRPr="0017409A">
        <w:rPr>
          <w:rFonts w:ascii="Arial" w:eastAsia="Times New Roman" w:hAnsi="Arial" w:cs="Arial"/>
          <w:lang w:eastAsia="es-CO"/>
        </w:rPr>
        <w:t xml:space="preserve">. Estas </w:t>
      </w:r>
      <w:r w:rsidRPr="0017409A">
        <w:rPr>
          <w:rFonts w:ascii="Arial" w:eastAsia="Times New Roman" w:hAnsi="Arial" w:cs="Arial"/>
          <w:lang w:eastAsia="es-CO"/>
        </w:rPr>
        <w:lastRenderedPageBreak/>
        <w:t xml:space="preserve">fechas para estos documentos tipo fueron distintas a las definidas para el sector educación y salud. </w:t>
      </w:r>
    </w:p>
    <w:p w14:paraId="3F05C7DA" w14:textId="19B1075B" w:rsidR="0017409A" w:rsidRPr="0017409A" w:rsidRDefault="0017409A" w:rsidP="00FE0699">
      <w:pPr>
        <w:spacing w:after="120" w:line="276" w:lineRule="auto"/>
        <w:ind w:firstLine="708"/>
        <w:jc w:val="both"/>
        <w:rPr>
          <w:rFonts w:ascii="Arial" w:hAnsi="Arial" w:cs="Arial"/>
        </w:rPr>
      </w:pPr>
      <w:r w:rsidRPr="0017409A">
        <w:rPr>
          <w:rFonts w:ascii="Arial" w:hAnsi="Arial" w:cs="Arial"/>
        </w:rPr>
        <w:t xml:space="preserve">Conforme con lo anterior, es posible concluir que, los documentos tipo de licitación de obra pública de infraestructura social asociados </w:t>
      </w:r>
      <w:r w:rsidRPr="0017409A">
        <w:rPr>
          <w:rFonts w:ascii="Arial" w:eastAsia="Times New Roman" w:hAnsi="Arial" w:cs="Arial"/>
          <w:color w:val="000000"/>
        </w:rPr>
        <w:t xml:space="preserve">con los sectores educación, salud y cultura, recreación y deporte, </w:t>
      </w:r>
      <w:r w:rsidRPr="0017409A">
        <w:rPr>
          <w:rFonts w:ascii="Arial" w:hAnsi="Arial" w:cs="Arial"/>
        </w:rPr>
        <w:t xml:space="preserve">comenzaron a ser obligatorios para el desarrollo de Procesos de Contratación en la modalidad de licitación pública, para la contratación de obras públicas en los mencionados sectores, por las entidades estatales señaladas en las resoluciones antes mencionadas, en las fechas que allí se establecen. </w:t>
      </w:r>
    </w:p>
    <w:p w14:paraId="5BD0C8C4" w14:textId="0E10A04A" w:rsidR="0017409A" w:rsidRPr="0017409A" w:rsidRDefault="0017409A" w:rsidP="00FE0699">
      <w:pPr>
        <w:spacing w:after="120" w:line="276" w:lineRule="auto"/>
        <w:ind w:firstLine="708"/>
        <w:jc w:val="both"/>
        <w:rPr>
          <w:rFonts w:ascii="Arial" w:hAnsi="Arial" w:cs="Arial"/>
        </w:rPr>
      </w:pPr>
      <w:r w:rsidRPr="0017409A">
        <w:rPr>
          <w:rFonts w:ascii="Arial" w:hAnsi="Arial" w:cs="Arial"/>
        </w:rPr>
        <w:t>En el marco de este esquema de implementación, las resoluciones que adoptaron los documentos tipo complementarios establecieron las fechas a partir de las cuales comenzar</w:t>
      </w:r>
      <w:r w:rsidR="00A456E5">
        <w:rPr>
          <w:rFonts w:ascii="Arial" w:hAnsi="Arial" w:cs="Arial"/>
        </w:rPr>
        <w:t xml:space="preserve">on </w:t>
      </w:r>
      <w:r w:rsidRPr="0017409A">
        <w:rPr>
          <w:rFonts w:ascii="Arial" w:hAnsi="Arial" w:cs="Arial"/>
        </w:rPr>
        <w:t xml:space="preserve">a ser obligatorios dentro de los respectivos sectores. Para estos efectos, la Agencia conformó cuatro (4) grupos de entidades estatales que se replican en cada una de las resoluciones complementarias, los cuales están asociados a determinadas fechas a partir de las </w:t>
      </w:r>
      <w:r w:rsidR="00A456E5">
        <w:rPr>
          <w:rFonts w:ascii="Arial" w:hAnsi="Arial" w:cs="Arial"/>
        </w:rPr>
        <w:t xml:space="preserve">cuales </w:t>
      </w:r>
      <w:r w:rsidRPr="0017409A">
        <w:rPr>
          <w:rFonts w:ascii="Arial" w:hAnsi="Arial" w:cs="Arial"/>
        </w:rPr>
        <w:t>comenz</w:t>
      </w:r>
      <w:r w:rsidR="00A456E5">
        <w:rPr>
          <w:rFonts w:ascii="Arial" w:hAnsi="Arial" w:cs="Arial"/>
        </w:rPr>
        <w:t>ó</w:t>
      </w:r>
      <w:r w:rsidRPr="0017409A">
        <w:rPr>
          <w:rFonts w:ascii="Arial" w:hAnsi="Arial" w:cs="Arial"/>
        </w:rPr>
        <w:t xml:space="preserve"> la aplicación forzosa de los documentos tipo aquí referidos.  </w:t>
      </w:r>
    </w:p>
    <w:p w14:paraId="73B2E77C" w14:textId="45799B5A" w:rsidR="0017409A" w:rsidRPr="0017409A" w:rsidRDefault="0017409A" w:rsidP="00FE0699">
      <w:pPr>
        <w:spacing w:after="0" w:line="276" w:lineRule="auto"/>
        <w:ind w:firstLine="708"/>
        <w:jc w:val="both"/>
        <w:rPr>
          <w:rFonts w:ascii="Arial" w:eastAsia="Times New Roman" w:hAnsi="Arial" w:cs="Arial"/>
          <w:color w:val="000000"/>
        </w:rPr>
      </w:pPr>
      <w:r w:rsidRPr="0017409A">
        <w:rPr>
          <w:rFonts w:ascii="Arial" w:hAnsi="Arial" w:cs="Arial"/>
        </w:rPr>
        <w:t xml:space="preserve">En este sentido, consultado el contenido del artículo 6 de la Resolución 219 de 2021, el artículo </w:t>
      </w:r>
      <w:r w:rsidRPr="0017409A">
        <w:rPr>
          <w:rFonts w:ascii="Arial" w:eastAsia="Calibri" w:hAnsi="Arial" w:cs="Arial"/>
        </w:rPr>
        <w:t>4 de la Resolución 220</w:t>
      </w:r>
      <w:r w:rsidRPr="0017409A">
        <w:rPr>
          <w:rFonts w:ascii="Arial" w:eastAsia="Times New Roman" w:hAnsi="Arial" w:cs="Arial"/>
          <w:color w:val="000000"/>
        </w:rPr>
        <w:t xml:space="preserve"> de 2021 −modificado por el artículo 2 de la Resolución 336 del 2 de noviembre de 2021–, el artículo 4 de la Resolución 392 de 2021 y el artículo 4 de la Resolución 454 de 2021 es posible concluir que los mencionados grupos de entidades se encuentran conformados de la manera que a continuación se indican. Cada una de las entidades que cumplan con los criterios para pertenecer a estos grupos han debido implementar los documentos tipo de infraestructura social en las licitaciones de obra pública cuyos avisos de convocatoria se hayan publicado o se publiquen a partir de las fechas que inmediatamente se indican: </w:t>
      </w:r>
    </w:p>
    <w:p w14:paraId="6748F01B" w14:textId="77777777" w:rsidR="0017409A" w:rsidRPr="0017409A" w:rsidRDefault="0017409A" w:rsidP="00F35C35">
      <w:pPr>
        <w:spacing w:after="0" w:line="276" w:lineRule="auto"/>
        <w:jc w:val="both"/>
        <w:rPr>
          <w:rFonts w:ascii="Arial" w:eastAsia="Times New Roman" w:hAnsi="Arial" w:cs="Arial"/>
          <w:color w:val="000000"/>
        </w:rPr>
      </w:pPr>
    </w:p>
    <w:tbl>
      <w:tblPr>
        <w:tblStyle w:val="Tablaconcuadrcula"/>
        <w:tblW w:w="8392" w:type="dxa"/>
        <w:tblInd w:w="108" w:type="dxa"/>
        <w:tblBorders>
          <w:insideH w:val="dotted" w:sz="4" w:space="0" w:color="auto"/>
          <w:insideV w:val="dotted" w:sz="4" w:space="0" w:color="auto"/>
        </w:tblBorders>
        <w:tblLook w:val="04A0" w:firstRow="1" w:lastRow="0" w:firstColumn="1" w:lastColumn="0" w:noHBand="0" w:noVBand="1"/>
      </w:tblPr>
      <w:tblGrid>
        <w:gridCol w:w="333"/>
        <w:gridCol w:w="2898"/>
        <w:gridCol w:w="1660"/>
        <w:gridCol w:w="1045"/>
        <w:gridCol w:w="742"/>
        <w:gridCol w:w="1714"/>
      </w:tblGrid>
      <w:tr w:rsidR="0017409A" w:rsidRPr="0017409A" w14:paraId="76D1CF69" w14:textId="77777777" w:rsidTr="002C68F4">
        <w:tc>
          <w:tcPr>
            <w:tcW w:w="8392" w:type="dxa"/>
            <w:gridSpan w:val="6"/>
            <w:tcBorders>
              <w:top w:val="single" w:sz="4" w:space="0" w:color="auto"/>
              <w:left w:val="single" w:sz="4" w:space="0" w:color="auto"/>
              <w:bottom w:val="single" w:sz="4" w:space="0" w:color="auto"/>
              <w:right w:val="single" w:sz="4" w:space="0" w:color="auto"/>
            </w:tcBorders>
            <w:shd w:val="clear" w:color="auto" w:fill="696969"/>
          </w:tcPr>
          <w:p w14:paraId="74302A40"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FFFFFF" w:themeColor="background1"/>
                <w:sz w:val="21"/>
                <w:szCs w:val="21"/>
              </w:rPr>
            </w:pPr>
            <w:r w:rsidRPr="0017409A">
              <w:rPr>
                <w:rFonts w:ascii="Arial" w:eastAsia="Times New Roman" w:hAnsi="Arial" w:cs="Arial"/>
                <w:b/>
                <w:bCs/>
                <w:color w:val="FFFFFF" w:themeColor="background1"/>
                <w:sz w:val="21"/>
                <w:szCs w:val="21"/>
              </w:rPr>
              <w:t>Fechas de implementación</w:t>
            </w:r>
          </w:p>
        </w:tc>
      </w:tr>
      <w:tr w:rsidR="0017409A" w:rsidRPr="0017409A" w14:paraId="5E919794" w14:textId="77777777" w:rsidTr="002C68F4">
        <w:tc>
          <w:tcPr>
            <w:tcW w:w="3231" w:type="dxa"/>
            <w:gridSpan w:val="2"/>
            <w:tcBorders>
              <w:top w:val="single" w:sz="4" w:space="0" w:color="auto"/>
              <w:left w:val="single" w:sz="4" w:space="0" w:color="auto"/>
              <w:bottom w:val="single" w:sz="4" w:space="0" w:color="auto"/>
              <w:right w:val="nil"/>
            </w:tcBorders>
            <w:shd w:val="clear" w:color="auto" w:fill="696969"/>
            <w:vAlign w:val="center"/>
          </w:tcPr>
          <w:p w14:paraId="6A0EDA37"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FFFFFF" w:themeColor="background1"/>
                <w:sz w:val="21"/>
                <w:szCs w:val="21"/>
              </w:rPr>
            </w:pPr>
            <w:r w:rsidRPr="0017409A">
              <w:rPr>
                <w:rFonts w:ascii="Arial" w:eastAsia="Times New Roman" w:hAnsi="Arial" w:cs="Arial"/>
                <w:b/>
                <w:bCs/>
                <w:color w:val="FFFFFF" w:themeColor="background1"/>
                <w:sz w:val="21"/>
                <w:szCs w:val="21"/>
              </w:rPr>
              <w:t>Grupo</w:t>
            </w:r>
          </w:p>
        </w:tc>
        <w:tc>
          <w:tcPr>
            <w:tcW w:w="1660" w:type="dxa"/>
            <w:tcBorders>
              <w:top w:val="single" w:sz="4" w:space="0" w:color="auto"/>
              <w:left w:val="nil"/>
              <w:bottom w:val="single" w:sz="4" w:space="0" w:color="auto"/>
              <w:right w:val="nil"/>
            </w:tcBorders>
            <w:shd w:val="clear" w:color="auto" w:fill="696969"/>
            <w:vAlign w:val="center"/>
          </w:tcPr>
          <w:p w14:paraId="56D65F8C"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FFFFFF" w:themeColor="background1"/>
                <w:sz w:val="21"/>
                <w:szCs w:val="21"/>
              </w:rPr>
            </w:pPr>
            <w:r w:rsidRPr="0017409A">
              <w:rPr>
                <w:rFonts w:ascii="Arial" w:eastAsia="Times New Roman" w:hAnsi="Arial" w:cs="Arial"/>
                <w:b/>
                <w:bCs/>
                <w:color w:val="FFFFFF" w:themeColor="background1"/>
                <w:sz w:val="21"/>
                <w:szCs w:val="21"/>
              </w:rPr>
              <w:t>Educación</w:t>
            </w:r>
          </w:p>
        </w:tc>
        <w:tc>
          <w:tcPr>
            <w:tcW w:w="1045" w:type="dxa"/>
            <w:tcBorders>
              <w:top w:val="single" w:sz="4" w:space="0" w:color="auto"/>
              <w:left w:val="nil"/>
              <w:bottom w:val="single" w:sz="4" w:space="0" w:color="auto"/>
              <w:right w:val="nil"/>
            </w:tcBorders>
            <w:shd w:val="clear" w:color="auto" w:fill="696969"/>
            <w:vAlign w:val="center"/>
          </w:tcPr>
          <w:p w14:paraId="791C6974"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FFFFFF" w:themeColor="background1"/>
                <w:sz w:val="21"/>
                <w:szCs w:val="21"/>
              </w:rPr>
            </w:pPr>
            <w:r w:rsidRPr="0017409A">
              <w:rPr>
                <w:rFonts w:ascii="Arial" w:eastAsia="Times New Roman" w:hAnsi="Arial" w:cs="Arial"/>
                <w:b/>
                <w:bCs/>
                <w:color w:val="FFFFFF" w:themeColor="background1"/>
                <w:sz w:val="21"/>
                <w:szCs w:val="21"/>
              </w:rPr>
              <w:t>Salud</w:t>
            </w:r>
          </w:p>
        </w:tc>
        <w:tc>
          <w:tcPr>
            <w:tcW w:w="2456" w:type="dxa"/>
            <w:gridSpan w:val="2"/>
            <w:tcBorders>
              <w:top w:val="single" w:sz="4" w:space="0" w:color="auto"/>
              <w:left w:val="nil"/>
              <w:bottom w:val="single" w:sz="4" w:space="0" w:color="auto"/>
              <w:right w:val="single" w:sz="4" w:space="0" w:color="auto"/>
            </w:tcBorders>
            <w:shd w:val="clear" w:color="auto" w:fill="696969"/>
            <w:vAlign w:val="center"/>
          </w:tcPr>
          <w:p w14:paraId="5206810C" w14:textId="1C46ED80" w:rsidR="0017409A" w:rsidRPr="0017409A" w:rsidRDefault="007C51E7" w:rsidP="0017409A">
            <w:pPr>
              <w:autoSpaceDE w:val="0"/>
              <w:autoSpaceDN w:val="0"/>
              <w:adjustRightInd w:val="0"/>
              <w:spacing w:after="120" w:line="276" w:lineRule="auto"/>
              <w:ind w:left="286" w:hanging="286"/>
              <w:jc w:val="center"/>
              <w:rPr>
                <w:rFonts w:ascii="Arial" w:eastAsia="Times New Roman" w:hAnsi="Arial" w:cs="Arial"/>
                <w:b/>
                <w:bCs/>
                <w:color w:val="FFFFFF" w:themeColor="background1"/>
                <w:sz w:val="21"/>
                <w:szCs w:val="21"/>
              </w:rPr>
            </w:pPr>
            <w:r>
              <w:rPr>
                <w:rFonts w:ascii="Arial" w:eastAsia="Times New Roman" w:hAnsi="Arial" w:cs="Arial"/>
                <w:b/>
                <w:bCs/>
                <w:color w:val="FFFFFF" w:themeColor="background1"/>
                <w:sz w:val="21"/>
                <w:szCs w:val="21"/>
              </w:rPr>
              <w:t xml:space="preserve">      </w:t>
            </w:r>
            <w:r w:rsidR="0017409A" w:rsidRPr="0017409A">
              <w:rPr>
                <w:rFonts w:ascii="Arial" w:eastAsia="Times New Roman" w:hAnsi="Arial" w:cs="Arial"/>
                <w:b/>
                <w:bCs/>
                <w:color w:val="FFFFFF" w:themeColor="background1"/>
                <w:sz w:val="21"/>
                <w:szCs w:val="21"/>
              </w:rPr>
              <w:t>Recreación Cultura y deporte</w:t>
            </w:r>
          </w:p>
        </w:tc>
      </w:tr>
      <w:tr w:rsidR="0017409A" w:rsidRPr="0017409A" w14:paraId="362D723D" w14:textId="77777777" w:rsidTr="002C68F4">
        <w:tc>
          <w:tcPr>
            <w:tcW w:w="333" w:type="dxa"/>
            <w:tcBorders>
              <w:top w:val="single" w:sz="4" w:space="0" w:color="auto"/>
            </w:tcBorders>
            <w:vAlign w:val="center"/>
          </w:tcPr>
          <w:p w14:paraId="1270EA07"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000000"/>
                <w:sz w:val="21"/>
                <w:szCs w:val="21"/>
              </w:rPr>
            </w:pPr>
            <w:r w:rsidRPr="0017409A">
              <w:rPr>
                <w:rFonts w:ascii="Arial" w:eastAsia="Times New Roman" w:hAnsi="Arial" w:cs="Arial"/>
                <w:b/>
                <w:bCs/>
                <w:color w:val="000000"/>
                <w:sz w:val="21"/>
                <w:szCs w:val="21"/>
              </w:rPr>
              <w:t>1</w:t>
            </w:r>
          </w:p>
        </w:tc>
        <w:tc>
          <w:tcPr>
            <w:tcW w:w="2898" w:type="dxa"/>
            <w:tcBorders>
              <w:top w:val="single" w:sz="4" w:space="0" w:color="auto"/>
            </w:tcBorders>
          </w:tcPr>
          <w:p w14:paraId="10CEB92E" w14:textId="77777777" w:rsidR="0017409A" w:rsidRPr="0017409A" w:rsidRDefault="0017409A" w:rsidP="0017409A">
            <w:pPr>
              <w:autoSpaceDE w:val="0"/>
              <w:autoSpaceDN w:val="0"/>
              <w:adjustRightInd w:val="0"/>
              <w:spacing w:after="120" w:line="276" w:lineRule="auto"/>
              <w:jc w:val="both"/>
              <w:rPr>
                <w:rFonts w:ascii="Arial" w:eastAsia="Times New Roman" w:hAnsi="Arial" w:cs="Arial"/>
                <w:color w:val="000000"/>
                <w:sz w:val="21"/>
                <w:szCs w:val="21"/>
              </w:rPr>
            </w:pPr>
            <w:r w:rsidRPr="0017409A">
              <w:rPr>
                <w:rFonts w:ascii="Arial" w:eastAsia="Times New Roman" w:hAnsi="Arial" w:cs="Arial"/>
                <w:color w:val="000000"/>
                <w:sz w:val="21"/>
                <w:szCs w:val="21"/>
              </w:rPr>
              <w:t>Entidades del sector central y descentralizado de la Rama Ejecutiva del orden nacional;</w:t>
            </w:r>
          </w:p>
        </w:tc>
        <w:tc>
          <w:tcPr>
            <w:tcW w:w="1660" w:type="dxa"/>
            <w:tcBorders>
              <w:top w:val="single" w:sz="4" w:space="0" w:color="auto"/>
            </w:tcBorders>
            <w:vAlign w:val="center"/>
          </w:tcPr>
          <w:p w14:paraId="65A2DABF"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eastAsia="Times New Roman" w:hAnsi="Arial" w:cs="Arial"/>
                <w:color w:val="000000"/>
                <w:sz w:val="21"/>
                <w:szCs w:val="21"/>
              </w:rPr>
              <w:t>2 de noviembre de 2021</w:t>
            </w:r>
          </w:p>
        </w:tc>
        <w:tc>
          <w:tcPr>
            <w:tcW w:w="1787" w:type="dxa"/>
            <w:gridSpan w:val="2"/>
            <w:tcBorders>
              <w:top w:val="single" w:sz="4" w:space="0" w:color="auto"/>
            </w:tcBorders>
            <w:vAlign w:val="center"/>
          </w:tcPr>
          <w:p w14:paraId="33AEC4B4"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eastAsia="Times New Roman" w:hAnsi="Arial" w:cs="Arial"/>
                <w:color w:val="000000"/>
                <w:sz w:val="21"/>
                <w:szCs w:val="21"/>
              </w:rPr>
              <w:t>3 de enero de 2022</w:t>
            </w:r>
          </w:p>
        </w:tc>
        <w:tc>
          <w:tcPr>
            <w:tcW w:w="1714" w:type="dxa"/>
            <w:tcBorders>
              <w:top w:val="single" w:sz="4" w:space="0" w:color="auto"/>
            </w:tcBorders>
            <w:vAlign w:val="center"/>
          </w:tcPr>
          <w:p w14:paraId="52BCF5C5"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hAnsi="Arial" w:cs="Arial"/>
                <w:sz w:val="21"/>
                <w:szCs w:val="21"/>
              </w:rPr>
              <w:t>1 de febrero de 2022</w:t>
            </w:r>
          </w:p>
        </w:tc>
      </w:tr>
      <w:tr w:rsidR="0017409A" w:rsidRPr="0017409A" w14:paraId="2F422CD4" w14:textId="77777777" w:rsidTr="002C68F4">
        <w:tc>
          <w:tcPr>
            <w:tcW w:w="333" w:type="dxa"/>
            <w:vAlign w:val="center"/>
          </w:tcPr>
          <w:p w14:paraId="088468AD"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000000"/>
                <w:sz w:val="21"/>
                <w:szCs w:val="21"/>
              </w:rPr>
            </w:pPr>
            <w:r w:rsidRPr="0017409A">
              <w:rPr>
                <w:rFonts w:ascii="Arial" w:eastAsia="Times New Roman" w:hAnsi="Arial" w:cs="Arial"/>
                <w:b/>
                <w:bCs/>
                <w:color w:val="000000"/>
                <w:sz w:val="21"/>
                <w:szCs w:val="21"/>
              </w:rPr>
              <w:lastRenderedPageBreak/>
              <w:t>2</w:t>
            </w:r>
          </w:p>
        </w:tc>
        <w:tc>
          <w:tcPr>
            <w:tcW w:w="2898" w:type="dxa"/>
          </w:tcPr>
          <w:p w14:paraId="5AB07882" w14:textId="77777777" w:rsidR="0017409A" w:rsidRPr="0017409A" w:rsidRDefault="0017409A" w:rsidP="0017409A">
            <w:pPr>
              <w:autoSpaceDE w:val="0"/>
              <w:autoSpaceDN w:val="0"/>
              <w:adjustRightInd w:val="0"/>
              <w:spacing w:after="120" w:line="276" w:lineRule="auto"/>
              <w:jc w:val="both"/>
              <w:rPr>
                <w:rFonts w:ascii="Arial" w:eastAsia="Times New Roman" w:hAnsi="Arial" w:cs="Arial"/>
                <w:color w:val="000000"/>
                <w:sz w:val="21"/>
                <w:szCs w:val="21"/>
              </w:rPr>
            </w:pPr>
            <w:r w:rsidRPr="0017409A">
              <w:rPr>
                <w:rFonts w:ascii="Arial" w:eastAsia="Times New Roman" w:hAnsi="Arial" w:cs="Arial"/>
                <w:color w:val="000000"/>
                <w:sz w:val="21"/>
                <w:szCs w:val="21"/>
              </w:rPr>
              <w:t>Entidades del sector central y del sector descentralizado de los niveles municipal y distrital de los municipios y distritos que sean capitales de departamentos;</w:t>
            </w:r>
          </w:p>
        </w:tc>
        <w:tc>
          <w:tcPr>
            <w:tcW w:w="1660" w:type="dxa"/>
            <w:vAlign w:val="center"/>
          </w:tcPr>
          <w:p w14:paraId="3F0BEDE4" w14:textId="77777777" w:rsidR="0017409A" w:rsidRPr="0017409A" w:rsidRDefault="0017409A" w:rsidP="0017409A">
            <w:pPr>
              <w:jc w:val="center"/>
              <w:rPr>
                <w:rFonts w:ascii="Arial" w:hAnsi="Arial" w:cs="Arial"/>
                <w:sz w:val="21"/>
                <w:szCs w:val="21"/>
              </w:rPr>
            </w:pPr>
            <w:r w:rsidRPr="0017409A">
              <w:rPr>
                <w:rFonts w:ascii="Arial" w:hAnsi="Arial" w:cs="Arial"/>
                <w:sz w:val="21"/>
                <w:szCs w:val="21"/>
              </w:rPr>
              <w:t>1 de febrero de 2022.</w:t>
            </w:r>
          </w:p>
          <w:p w14:paraId="47B2156D" w14:textId="77777777" w:rsidR="0017409A" w:rsidRPr="0017409A" w:rsidRDefault="0017409A" w:rsidP="0017409A">
            <w:pPr>
              <w:ind w:firstLine="708"/>
              <w:jc w:val="center"/>
              <w:rPr>
                <w:rFonts w:ascii="Arial" w:hAnsi="Arial" w:cs="Arial"/>
                <w:sz w:val="21"/>
                <w:szCs w:val="21"/>
              </w:rPr>
            </w:pPr>
          </w:p>
          <w:p w14:paraId="15ECC906"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p>
        </w:tc>
        <w:tc>
          <w:tcPr>
            <w:tcW w:w="1787" w:type="dxa"/>
            <w:gridSpan w:val="2"/>
            <w:vAlign w:val="center"/>
          </w:tcPr>
          <w:p w14:paraId="37E8972A" w14:textId="77777777" w:rsidR="0017409A" w:rsidRPr="0017409A" w:rsidRDefault="0017409A" w:rsidP="0017409A">
            <w:pPr>
              <w:jc w:val="center"/>
              <w:rPr>
                <w:rFonts w:ascii="Arial" w:hAnsi="Arial" w:cs="Arial"/>
                <w:sz w:val="21"/>
                <w:szCs w:val="21"/>
              </w:rPr>
            </w:pPr>
            <w:r w:rsidRPr="0017409A">
              <w:rPr>
                <w:rFonts w:ascii="Arial" w:hAnsi="Arial" w:cs="Arial"/>
                <w:sz w:val="21"/>
                <w:szCs w:val="21"/>
              </w:rPr>
              <w:t>1 de febrero de 2022</w:t>
            </w:r>
          </w:p>
          <w:p w14:paraId="70FBF1A2" w14:textId="77777777" w:rsidR="0017409A" w:rsidRPr="0017409A" w:rsidRDefault="0017409A" w:rsidP="0017409A">
            <w:pPr>
              <w:ind w:firstLine="708"/>
              <w:jc w:val="center"/>
              <w:rPr>
                <w:rFonts w:ascii="Arial" w:hAnsi="Arial" w:cs="Arial"/>
                <w:sz w:val="21"/>
                <w:szCs w:val="21"/>
              </w:rPr>
            </w:pPr>
            <w:r w:rsidRPr="0017409A">
              <w:rPr>
                <w:rFonts w:ascii="Arial" w:hAnsi="Arial" w:cs="Arial"/>
                <w:sz w:val="21"/>
                <w:szCs w:val="21"/>
              </w:rPr>
              <w:t>.</w:t>
            </w:r>
          </w:p>
          <w:p w14:paraId="0C71C9B8"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p>
        </w:tc>
        <w:tc>
          <w:tcPr>
            <w:tcW w:w="1714" w:type="dxa"/>
            <w:vAlign w:val="center"/>
          </w:tcPr>
          <w:p w14:paraId="045440AF"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hAnsi="Arial" w:cs="Arial"/>
                <w:sz w:val="21"/>
                <w:szCs w:val="21"/>
              </w:rPr>
              <w:t>1 de marzo de 2022</w:t>
            </w:r>
          </w:p>
        </w:tc>
      </w:tr>
      <w:tr w:rsidR="0017409A" w:rsidRPr="0017409A" w14:paraId="701A6034" w14:textId="77777777" w:rsidTr="002C68F4">
        <w:tc>
          <w:tcPr>
            <w:tcW w:w="333" w:type="dxa"/>
            <w:vAlign w:val="center"/>
          </w:tcPr>
          <w:p w14:paraId="18BE7DC9"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000000"/>
                <w:sz w:val="21"/>
                <w:szCs w:val="21"/>
              </w:rPr>
            </w:pPr>
            <w:r w:rsidRPr="0017409A">
              <w:rPr>
                <w:rFonts w:ascii="Arial" w:eastAsia="Times New Roman" w:hAnsi="Arial" w:cs="Arial"/>
                <w:b/>
                <w:bCs/>
                <w:color w:val="000000"/>
                <w:sz w:val="21"/>
                <w:szCs w:val="21"/>
              </w:rPr>
              <w:t>3</w:t>
            </w:r>
          </w:p>
        </w:tc>
        <w:tc>
          <w:tcPr>
            <w:tcW w:w="2898" w:type="dxa"/>
          </w:tcPr>
          <w:p w14:paraId="5EEC4768" w14:textId="77777777" w:rsidR="0017409A" w:rsidRPr="0017409A" w:rsidRDefault="0017409A" w:rsidP="0017409A">
            <w:pPr>
              <w:autoSpaceDE w:val="0"/>
              <w:autoSpaceDN w:val="0"/>
              <w:adjustRightInd w:val="0"/>
              <w:spacing w:after="120" w:line="276" w:lineRule="auto"/>
              <w:jc w:val="both"/>
              <w:rPr>
                <w:rFonts w:ascii="Arial" w:eastAsia="Times New Roman" w:hAnsi="Arial" w:cs="Arial"/>
                <w:color w:val="000000"/>
                <w:sz w:val="21"/>
                <w:szCs w:val="21"/>
              </w:rPr>
            </w:pPr>
            <w:r w:rsidRPr="0017409A">
              <w:rPr>
                <w:rFonts w:ascii="Arial" w:eastAsia="Times New Roman" w:hAnsi="Arial" w:cs="Arial"/>
                <w:color w:val="000000"/>
                <w:sz w:val="21"/>
                <w:szCs w:val="21"/>
              </w:rPr>
              <w:t>Entidades del sector central y del sector descentralizado del nivel departamental, así como las de los municipios de categorías especial,1, 2 y 3, no cobijadas por los numerales anteriores;</w:t>
            </w:r>
          </w:p>
        </w:tc>
        <w:tc>
          <w:tcPr>
            <w:tcW w:w="1660" w:type="dxa"/>
            <w:vAlign w:val="center"/>
          </w:tcPr>
          <w:p w14:paraId="297C543F" w14:textId="77777777" w:rsidR="0017409A" w:rsidRPr="0017409A" w:rsidRDefault="0017409A" w:rsidP="0017409A">
            <w:pPr>
              <w:jc w:val="center"/>
              <w:rPr>
                <w:rFonts w:ascii="Arial" w:hAnsi="Arial" w:cs="Arial"/>
                <w:sz w:val="21"/>
                <w:szCs w:val="21"/>
              </w:rPr>
            </w:pPr>
            <w:r w:rsidRPr="0017409A">
              <w:rPr>
                <w:rFonts w:ascii="Arial" w:hAnsi="Arial" w:cs="Arial"/>
                <w:sz w:val="21"/>
                <w:szCs w:val="21"/>
              </w:rPr>
              <w:t>1 de marzo de 2022</w:t>
            </w:r>
          </w:p>
          <w:p w14:paraId="21B8CB35"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p>
        </w:tc>
        <w:tc>
          <w:tcPr>
            <w:tcW w:w="1787" w:type="dxa"/>
            <w:gridSpan w:val="2"/>
            <w:vAlign w:val="center"/>
          </w:tcPr>
          <w:p w14:paraId="49586D52" w14:textId="77777777" w:rsidR="0017409A" w:rsidRPr="0017409A" w:rsidRDefault="0017409A" w:rsidP="0017409A">
            <w:pPr>
              <w:jc w:val="center"/>
              <w:rPr>
                <w:rFonts w:ascii="Arial" w:hAnsi="Arial" w:cs="Arial"/>
                <w:sz w:val="21"/>
                <w:szCs w:val="21"/>
              </w:rPr>
            </w:pPr>
            <w:r w:rsidRPr="0017409A">
              <w:rPr>
                <w:rFonts w:ascii="Arial" w:hAnsi="Arial" w:cs="Arial"/>
                <w:sz w:val="21"/>
                <w:szCs w:val="21"/>
              </w:rPr>
              <w:t>1 de marzo de 2022</w:t>
            </w:r>
          </w:p>
          <w:p w14:paraId="6066BE0D"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p>
        </w:tc>
        <w:tc>
          <w:tcPr>
            <w:tcW w:w="1714" w:type="dxa"/>
            <w:vAlign w:val="center"/>
          </w:tcPr>
          <w:p w14:paraId="6095DBB4"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eastAsia="Times New Roman" w:hAnsi="Arial" w:cs="Arial"/>
                <w:color w:val="000000"/>
                <w:sz w:val="21"/>
                <w:szCs w:val="21"/>
              </w:rPr>
              <w:t>1 de abril de 2022</w:t>
            </w:r>
          </w:p>
        </w:tc>
      </w:tr>
      <w:tr w:rsidR="0017409A" w:rsidRPr="0017409A" w14:paraId="264E2335" w14:textId="77777777" w:rsidTr="002C68F4">
        <w:tc>
          <w:tcPr>
            <w:tcW w:w="333" w:type="dxa"/>
            <w:vAlign w:val="center"/>
          </w:tcPr>
          <w:p w14:paraId="3EE9A699"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b/>
                <w:bCs/>
                <w:color w:val="000000"/>
                <w:sz w:val="21"/>
                <w:szCs w:val="21"/>
              </w:rPr>
            </w:pPr>
            <w:r w:rsidRPr="0017409A">
              <w:rPr>
                <w:rFonts w:ascii="Arial" w:eastAsia="Times New Roman" w:hAnsi="Arial" w:cs="Arial"/>
                <w:b/>
                <w:bCs/>
                <w:color w:val="000000"/>
                <w:sz w:val="21"/>
                <w:szCs w:val="21"/>
              </w:rPr>
              <w:t>4</w:t>
            </w:r>
          </w:p>
        </w:tc>
        <w:tc>
          <w:tcPr>
            <w:tcW w:w="2898" w:type="dxa"/>
          </w:tcPr>
          <w:p w14:paraId="24A9113A" w14:textId="77777777" w:rsidR="0017409A" w:rsidRPr="0017409A" w:rsidRDefault="0017409A" w:rsidP="0017409A">
            <w:pPr>
              <w:autoSpaceDE w:val="0"/>
              <w:autoSpaceDN w:val="0"/>
              <w:adjustRightInd w:val="0"/>
              <w:spacing w:after="120" w:line="276" w:lineRule="auto"/>
              <w:jc w:val="both"/>
              <w:rPr>
                <w:rFonts w:ascii="Arial" w:eastAsia="Times New Roman" w:hAnsi="Arial" w:cs="Arial"/>
                <w:color w:val="000000"/>
                <w:sz w:val="21"/>
                <w:szCs w:val="21"/>
              </w:rPr>
            </w:pPr>
            <w:r w:rsidRPr="0017409A">
              <w:rPr>
                <w:rFonts w:ascii="Arial" w:eastAsia="Times New Roman" w:hAnsi="Arial" w:cs="Arial"/>
                <w:color w:val="000000"/>
                <w:sz w:val="21"/>
                <w:szCs w:val="21"/>
              </w:rPr>
              <w:t>Entidades del sector central y del sector descentralizado del nivel municipal, en las categorías 4, 5 y 6, al igual que las demás entidades estatales regidas por el Estatuto General de la Administración Pública no cobijadas por los anteriores numerales;</w:t>
            </w:r>
          </w:p>
        </w:tc>
        <w:tc>
          <w:tcPr>
            <w:tcW w:w="1660" w:type="dxa"/>
            <w:vAlign w:val="center"/>
          </w:tcPr>
          <w:p w14:paraId="0506A927"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hAnsi="Arial" w:cs="Arial"/>
                <w:sz w:val="21"/>
                <w:szCs w:val="21"/>
              </w:rPr>
              <w:t>1 de abril de 2022</w:t>
            </w:r>
          </w:p>
        </w:tc>
        <w:tc>
          <w:tcPr>
            <w:tcW w:w="1787" w:type="dxa"/>
            <w:gridSpan w:val="2"/>
            <w:vAlign w:val="center"/>
          </w:tcPr>
          <w:p w14:paraId="6B93F0CB"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hAnsi="Arial" w:cs="Arial"/>
                <w:sz w:val="21"/>
                <w:szCs w:val="21"/>
              </w:rPr>
              <w:t>1 de abril de 2022</w:t>
            </w:r>
          </w:p>
        </w:tc>
        <w:tc>
          <w:tcPr>
            <w:tcW w:w="1714" w:type="dxa"/>
            <w:vAlign w:val="center"/>
          </w:tcPr>
          <w:p w14:paraId="25897B5B" w14:textId="77777777" w:rsidR="0017409A" w:rsidRPr="0017409A" w:rsidRDefault="0017409A" w:rsidP="0017409A">
            <w:pPr>
              <w:autoSpaceDE w:val="0"/>
              <w:autoSpaceDN w:val="0"/>
              <w:adjustRightInd w:val="0"/>
              <w:spacing w:after="120" w:line="276" w:lineRule="auto"/>
              <w:jc w:val="center"/>
              <w:rPr>
                <w:rFonts w:ascii="Arial" w:eastAsia="Times New Roman" w:hAnsi="Arial" w:cs="Arial"/>
                <w:color w:val="000000"/>
                <w:sz w:val="21"/>
                <w:szCs w:val="21"/>
              </w:rPr>
            </w:pPr>
            <w:r w:rsidRPr="0017409A">
              <w:rPr>
                <w:rFonts w:ascii="Arial" w:eastAsia="Times New Roman" w:hAnsi="Arial" w:cs="Arial"/>
                <w:color w:val="000000"/>
                <w:sz w:val="21"/>
                <w:szCs w:val="21"/>
              </w:rPr>
              <w:t>2 de mayo de 2022</w:t>
            </w:r>
          </w:p>
        </w:tc>
      </w:tr>
    </w:tbl>
    <w:p w14:paraId="1EA9773B" w14:textId="77777777" w:rsidR="0017409A" w:rsidRPr="0017409A" w:rsidRDefault="0017409A" w:rsidP="0017409A">
      <w:pPr>
        <w:spacing w:after="0" w:line="276" w:lineRule="auto"/>
        <w:jc w:val="both"/>
        <w:rPr>
          <w:rFonts w:ascii="Arial" w:hAnsi="Arial" w:cs="Arial"/>
        </w:rPr>
      </w:pPr>
    </w:p>
    <w:p w14:paraId="664FD724" w14:textId="39DCBEB7" w:rsidR="0017409A" w:rsidRDefault="0017409A" w:rsidP="00145F4B">
      <w:pPr>
        <w:autoSpaceDE w:val="0"/>
        <w:autoSpaceDN w:val="0"/>
        <w:adjustRightInd w:val="0"/>
        <w:spacing w:after="0" w:line="276" w:lineRule="auto"/>
        <w:ind w:firstLine="708"/>
        <w:jc w:val="both"/>
        <w:rPr>
          <w:rFonts w:ascii="Arial" w:hAnsi="Arial" w:cs="Arial"/>
        </w:rPr>
      </w:pPr>
      <w:r w:rsidRPr="0017409A">
        <w:rPr>
          <w:rFonts w:ascii="Arial" w:hAnsi="Arial" w:cs="Arial"/>
        </w:rPr>
        <w:t>Como se aprecia, estos grupos están conformados en función de criterios asociados a la naturaleza jurídica y administrativa de las entidades, como lo son su pertenencia al sector central o descentralizado, su clasificación en los niveles municipal, distrital o departamental, la condición de capital de departamento, la categorización municipal y unos criterios residuales. En atención a esto, para establecer si determinada entidad estatal est</w:t>
      </w:r>
      <w:r w:rsidR="007C51E7">
        <w:rPr>
          <w:rFonts w:ascii="Arial" w:hAnsi="Arial" w:cs="Arial"/>
        </w:rPr>
        <w:t>aba</w:t>
      </w:r>
      <w:r w:rsidRPr="0017409A">
        <w:rPr>
          <w:rFonts w:ascii="Arial" w:hAnsi="Arial" w:cs="Arial"/>
        </w:rPr>
        <w:t xml:space="preserve"> a la fecha obligada a implementar documentos tipo en sus procesos de licitación de obra pública de infraestructura social, debe determinarse el grupo y los criterios en los que se ubica la entidad. </w:t>
      </w:r>
      <w:r w:rsidR="00111CB4">
        <w:rPr>
          <w:rFonts w:ascii="Arial" w:hAnsi="Arial" w:cs="Arial"/>
        </w:rPr>
        <w:t>Lo anterior, sin perjuicio de precisar que, de acuerdo con las fechas explicadas, actualmente dichos documentos tipo son obligatorios para todas las entidades sometidas a su contenido.</w:t>
      </w:r>
    </w:p>
    <w:p w14:paraId="1A29596F" w14:textId="77777777" w:rsidR="00145F4B" w:rsidRPr="0017409A" w:rsidRDefault="00145F4B" w:rsidP="00145F4B">
      <w:pPr>
        <w:autoSpaceDE w:val="0"/>
        <w:autoSpaceDN w:val="0"/>
        <w:adjustRightInd w:val="0"/>
        <w:spacing w:after="0" w:line="276" w:lineRule="auto"/>
        <w:ind w:firstLine="708"/>
        <w:jc w:val="both"/>
        <w:rPr>
          <w:rFonts w:ascii="Arial" w:hAnsi="Arial" w:cs="Arial"/>
        </w:rPr>
      </w:pPr>
    </w:p>
    <w:p w14:paraId="651B1FCB" w14:textId="77777777" w:rsidR="006C5583" w:rsidRPr="00727F2C" w:rsidRDefault="006C5583" w:rsidP="00145F4B">
      <w:pPr>
        <w:spacing w:after="0"/>
        <w:jc w:val="both"/>
        <w:rPr>
          <w:rFonts w:ascii="Arial" w:hAnsi="Arial" w:cs="Arial"/>
          <w:b/>
          <w:bCs/>
          <w:lang w:val="es-ES" w:eastAsia="es-CO"/>
        </w:rPr>
      </w:pPr>
      <w:r w:rsidRPr="00727F2C">
        <w:rPr>
          <w:rFonts w:ascii="Arial" w:hAnsi="Arial" w:cs="Arial"/>
          <w:b/>
          <w:bCs/>
          <w:lang w:val="es-ES" w:eastAsia="es-CO"/>
        </w:rPr>
        <w:t xml:space="preserve">2.3.  </w:t>
      </w:r>
      <w:r w:rsidRPr="00727F2C">
        <w:rPr>
          <w:rFonts w:ascii="Arial" w:hAnsi="Arial" w:cs="Arial"/>
          <w:b/>
          <w:bCs/>
          <w:lang w:eastAsia="es-CO"/>
        </w:rPr>
        <w:t>La expedición del Decreto 1860 de 2021</w:t>
      </w:r>
      <w:r w:rsidRPr="00727F2C">
        <w:rPr>
          <w:rFonts w:ascii="Arial" w:eastAsia="Arial" w:hAnsi="Arial" w:cs="Arial"/>
          <w:b/>
          <w:bCs/>
          <w:lang w:val="es-ES" w:eastAsia="es-MX"/>
        </w:rPr>
        <w:t xml:space="preserve"> </w:t>
      </w:r>
      <w:r w:rsidRPr="00727F2C">
        <w:rPr>
          <w:rFonts w:ascii="Arial" w:hAnsi="Arial" w:cs="Arial"/>
          <w:b/>
          <w:bCs/>
          <w:lang w:eastAsia="es-CO"/>
        </w:rPr>
        <w:t>que incorpora una reglamentación detallada de los artículos 31</w:t>
      </w:r>
      <w:r>
        <w:rPr>
          <w:rFonts w:ascii="Arial" w:hAnsi="Arial" w:cs="Arial"/>
          <w:b/>
          <w:bCs/>
          <w:lang w:eastAsia="es-CO"/>
        </w:rPr>
        <w:t xml:space="preserve"> y </w:t>
      </w:r>
      <w:r w:rsidRPr="00727F2C">
        <w:rPr>
          <w:rFonts w:ascii="Arial" w:hAnsi="Arial" w:cs="Arial"/>
          <w:b/>
          <w:bCs/>
          <w:lang w:eastAsia="es-CO"/>
        </w:rPr>
        <w:t>32</w:t>
      </w:r>
      <w:r>
        <w:rPr>
          <w:rFonts w:ascii="Arial" w:hAnsi="Arial" w:cs="Arial"/>
          <w:b/>
          <w:bCs/>
          <w:lang w:eastAsia="es-CO"/>
        </w:rPr>
        <w:t xml:space="preserve"> de la </w:t>
      </w:r>
      <w:r w:rsidRPr="00727F2C">
        <w:rPr>
          <w:rFonts w:ascii="Arial" w:hAnsi="Arial" w:cs="Arial"/>
          <w:b/>
          <w:bCs/>
          <w:lang w:eastAsia="es-CO"/>
        </w:rPr>
        <w:t>Ley 2069 de 2020</w:t>
      </w:r>
    </w:p>
    <w:p w14:paraId="5C9FA4D5" w14:textId="77777777" w:rsidR="006C5583" w:rsidRPr="00727F2C" w:rsidRDefault="006C5583" w:rsidP="00145F4B">
      <w:pPr>
        <w:spacing w:after="0" w:line="276" w:lineRule="auto"/>
        <w:ind w:right="51"/>
        <w:jc w:val="both"/>
        <w:rPr>
          <w:rFonts w:ascii="Arial" w:eastAsia="Arial" w:hAnsi="Arial" w:cs="Arial"/>
          <w:color w:val="000000" w:themeColor="text1"/>
          <w:lang w:val="es-ES" w:eastAsia="es-CO"/>
        </w:rPr>
      </w:pPr>
    </w:p>
    <w:p w14:paraId="73836368" w14:textId="77777777" w:rsidR="006C5583" w:rsidRPr="00727F2C" w:rsidRDefault="006C5583" w:rsidP="00145F4B">
      <w:pPr>
        <w:spacing w:after="120" w:line="276" w:lineRule="auto"/>
        <w:jc w:val="both"/>
        <w:rPr>
          <w:rFonts w:ascii="Arial" w:eastAsia="Arial" w:hAnsi="Arial" w:cs="Arial"/>
          <w:bCs/>
          <w:szCs w:val="24"/>
          <w:lang w:val="es-ES" w:eastAsia="es-CO"/>
        </w:rPr>
      </w:pPr>
      <w:r w:rsidRPr="00727F2C">
        <w:rPr>
          <w:rFonts w:ascii="Arial" w:eastAsia="Arial" w:hAnsi="Arial" w:cs="Arial"/>
          <w:szCs w:val="24"/>
          <w:lang w:val="es-ES" w:eastAsia="es-CO"/>
        </w:rPr>
        <w:t>El Congreso de la República</w:t>
      </w:r>
      <w:r w:rsidRPr="00727F2C">
        <w:rPr>
          <w:rFonts w:ascii="Arial" w:eastAsia="Arial" w:hAnsi="Arial" w:cs="Arial"/>
          <w:szCs w:val="24"/>
          <w:lang w:eastAsia="es-MX"/>
        </w:rPr>
        <w:t xml:space="preserve"> </w:t>
      </w:r>
      <w:r w:rsidRPr="00727F2C">
        <w:rPr>
          <w:rFonts w:ascii="Arial" w:eastAsia="Arial" w:hAnsi="Arial" w:cs="Arial"/>
          <w:szCs w:val="24"/>
          <w:lang w:val="es-ES" w:eastAsia="es-CO"/>
        </w:rPr>
        <w:t>expidió la Ley 2069 d</w:t>
      </w:r>
      <w:r w:rsidRPr="00727F2C">
        <w:rPr>
          <w:rFonts w:ascii="Arial" w:eastAsia="Arial" w:hAnsi="Arial" w:cs="Arial"/>
          <w:szCs w:val="24"/>
          <w:lang w:eastAsia="es-CO"/>
        </w:rPr>
        <w:t>el 31 de diciembre de 2020,</w:t>
      </w:r>
      <w:r w:rsidRPr="00727F2C">
        <w:rPr>
          <w:rFonts w:ascii="Arial" w:eastAsia="Arial" w:hAnsi="Arial" w:cs="Arial"/>
          <w:szCs w:val="24"/>
          <w:lang w:val="es-ES" w:eastAsia="es-CO"/>
        </w:rPr>
        <w:t xml:space="preserve"> </w:t>
      </w:r>
      <w:r>
        <w:rPr>
          <w:rFonts w:ascii="Arial" w:eastAsia="Arial" w:hAnsi="Arial" w:cs="Arial"/>
          <w:szCs w:val="24"/>
          <w:lang w:val="es-ES" w:eastAsia="es-CO"/>
        </w:rPr>
        <w:t>«</w:t>
      </w:r>
      <w:r w:rsidRPr="00727F2C">
        <w:rPr>
          <w:rFonts w:ascii="Arial" w:eastAsia="Arial" w:hAnsi="Arial" w:cs="Arial"/>
          <w:szCs w:val="24"/>
          <w:lang w:val="es-ES" w:eastAsia="es-CO"/>
        </w:rPr>
        <w:t>Por medio de la cual se impulsa el emprendimiento en Colombia</w:t>
      </w:r>
      <w:r>
        <w:rPr>
          <w:rFonts w:ascii="Arial" w:eastAsia="Arial" w:hAnsi="Arial" w:cs="Arial"/>
          <w:szCs w:val="24"/>
          <w:lang w:val="es-ES" w:eastAsia="es-CO"/>
        </w:rPr>
        <w:t>»</w:t>
      </w:r>
      <w:r w:rsidRPr="00727F2C">
        <w:rPr>
          <w:rFonts w:ascii="Arial" w:eastAsia="Arial" w:hAnsi="Arial" w:cs="Arial"/>
          <w:szCs w:val="24"/>
          <w:lang w:val="es-ES" w:eastAsia="es-CO"/>
        </w:rPr>
        <w:t xml:space="preserve">, </w:t>
      </w:r>
      <w:r>
        <w:rPr>
          <w:rFonts w:ascii="Arial" w:eastAsia="Arial" w:hAnsi="Arial" w:cs="Arial"/>
          <w:szCs w:val="24"/>
          <w:lang w:val="es-ES" w:eastAsia="es-CO"/>
        </w:rPr>
        <w:t xml:space="preserve">en esta se </w:t>
      </w:r>
      <w:r w:rsidRPr="00727F2C">
        <w:rPr>
          <w:rFonts w:ascii="Arial" w:eastAsia="Arial" w:hAnsi="Arial" w:cs="Arial"/>
          <w:szCs w:val="24"/>
          <w:lang w:val="es-ES" w:eastAsia="es-CO"/>
        </w:rPr>
        <w:t xml:space="preserve">establece un marco regulatorio que propicia el emprendimiento, el crecimiento, la consolidación y la sostenibilidad de las empresas, con el fin de aumentar el bienestar social y generar </w:t>
      </w:r>
      <w:r w:rsidRPr="00727F2C">
        <w:rPr>
          <w:rFonts w:ascii="Arial" w:eastAsia="Arial" w:hAnsi="Arial" w:cs="Arial"/>
          <w:szCs w:val="24"/>
          <w:lang w:val="es-ES" w:eastAsia="es-CO"/>
        </w:rPr>
        <w:lastRenderedPageBreak/>
        <w:t xml:space="preserve">equidad. Concretamente, </w:t>
      </w:r>
      <w:r w:rsidRPr="00727F2C">
        <w:rPr>
          <w:rFonts w:ascii="Arial" w:eastAsia="Arial" w:hAnsi="Arial" w:cs="Arial"/>
          <w:bCs/>
          <w:szCs w:val="24"/>
          <w:lang w:val="es-ES" w:eastAsia="es-CO"/>
        </w:rPr>
        <w:t xml:space="preserve">el «Capítulo III- Compras públicas» de la Ley 2069 de 2020 </w:t>
      </w:r>
      <w:r w:rsidRPr="00727F2C">
        <w:rPr>
          <w:rFonts w:ascii="Arial" w:eastAsia="Times New Roman" w:hAnsi="Arial" w:cs="Arial"/>
          <w:szCs w:val="24"/>
          <w:lang w:eastAsia="es-MX"/>
        </w:rPr>
        <w:t>–artículos 3</w:t>
      </w:r>
      <w:r>
        <w:rPr>
          <w:rFonts w:ascii="Arial" w:eastAsia="Times New Roman" w:hAnsi="Arial" w:cs="Arial"/>
          <w:szCs w:val="24"/>
          <w:lang w:eastAsia="es-MX"/>
        </w:rPr>
        <w:t xml:space="preserve">1 y 32− </w:t>
      </w:r>
      <w:r w:rsidRPr="00727F2C">
        <w:rPr>
          <w:rFonts w:ascii="Arial" w:eastAsia="Times New Roman" w:hAnsi="Arial" w:cs="Arial"/>
          <w:szCs w:val="24"/>
          <w:lang w:eastAsia="es-MX"/>
        </w:rPr>
        <w:t>contiene</w:t>
      </w:r>
      <w:r>
        <w:rPr>
          <w:rFonts w:ascii="Arial" w:eastAsia="Times New Roman" w:hAnsi="Arial" w:cs="Arial"/>
          <w:szCs w:val="24"/>
          <w:lang w:eastAsia="es-MX"/>
        </w:rPr>
        <w:t>n</w:t>
      </w:r>
      <w:r w:rsidRPr="00727F2C">
        <w:rPr>
          <w:rFonts w:ascii="Arial" w:eastAsia="Times New Roman" w:hAnsi="Arial" w:cs="Arial"/>
          <w:szCs w:val="24"/>
          <w:lang w:eastAsia="es-MX"/>
        </w:rPr>
        <w:t xml:space="preserve"> normas que modifican</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algunos</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aspectos</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de</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la</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contratación</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estatal</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para</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promover</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el</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emprendimiento,</w:t>
      </w:r>
      <w:r>
        <w:rPr>
          <w:rFonts w:ascii="Arial" w:eastAsia="Times New Roman" w:hAnsi="Arial" w:cs="Arial"/>
          <w:szCs w:val="24"/>
          <w:lang w:eastAsia="es-MX"/>
        </w:rPr>
        <w:t xml:space="preserve"> en su orden disponen de</w:t>
      </w:r>
      <w:r w:rsidRPr="00727F2C">
        <w:rPr>
          <w:rFonts w:ascii="Arial" w:eastAsia="Times New Roman" w:hAnsi="Arial" w:cs="Arial"/>
          <w:szCs w:val="24"/>
          <w:lang w:eastAsia="es-MX"/>
        </w:rPr>
        <w:t>:</w:t>
      </w:r>
      <w:r w:rsidRPr="00727F2C">
        <w:rPr>
          <w:rFonts w:ascii="Arial" w:eastAsia="Arial" w:hAnsi="Arial" w:cs="Arial"/>
          <w:bCs/>
          <w:szCs w:val="24"/>
          <w:lang w:eastAsia="es-CO"/>
        </w:rPr>
        <w:t xml:space="preserve"> i) criterios diferenciales para las </w:t>
      </w:r>
      <w:proofErr w:type="spellStart"/>
      <w:r w:rsidRPr="00727F2C">
        <w:rPr>
          <w:rFonts w:ascii="Arial" w:eastAsia="Arial" w:hAnsi="Arial" w:cs="Arial"/>
          <w:bCs/>
          <w:szCs w:val="24"/>
          <w:lang w:eastAsia="es-CO"/>
        </w:rPr>
        <w:t>Mipyme</w:t>
      </w:r>
      <w:proofErr w:type="spellEnd"/>
      <w:r w:rsidRPr="00727F2C">
        <w:rPr>
          <w:rFonts w:ascii="Arial" w:eastAsia="Arial" w:hAnsi="Arial" w:cs="Arial"/>
          <w:bCs/>
          <w:szCs w:val="24"/>
          <w:lang w:eastAsia="es-CO"/>
        </w:rPr>
        <w:t xml:space="preserve"> en el sistema de compras públicas</w:t>
      </w:r>
      <w:r>
        <w:rPr>
          <w:rFonts w:ascii="Arial" w:eastAsia="Arial" w:hAnsi="Arial" w:cs="Arial"/>
          <w:bCs/>
          <w:szCs w:val="24"/>
          <w:lang w:eastAsia="es-CO"/>
        </w:rPr>
        <w:t xml:space="preserve"> y</w:t>
      </w:r>
      <w:r w:rsidRPr="00727F2C">
        <w:rPr>
          <w:rFonts w:ascii="Arial" w:eastAsia="Arial" w:hAnsi="Arial" w:cs="Arial"/>
          <w:bCs/>
          <w:szCs w:val="24"/>
          <w:lang w:eastAsia="es-CO"/>
        </w:rPr>
        <w:t xml:space="preserve"> </w:t>
      </w:r>
      <w:proofErr w:type="spellStart"/>
      <w:r w:rsidRPr="00727F2C">
        <w:rPr>
          <w:rFonts w:ascii="Arial" w:eastAsia="Arial" w:hAnsi="Arial" w:cs="Arial"/>
          <w:bCs/>
          <w:szCs w:val="24"/>
          <w:lang w:eastAsia="es-CO"/>
        </w:rPr>
        <w:t>ii</w:t>
      </w:r>
      <w:proofErr w:type="spellEnd"/>
      <w:r w:rsidRPr="00727F2C">
        <w:rPr>
          <w:rFonts w:ascii="Arial" w:eastAsia="Arial" w:hAnsi="Arial" w:cs="Arial"/>
          <w:bCs/>
          <w:szCs w:val="24"/>
          <w:lang w:eastAsia="es-CO"/>
        </w:rPr>
        <w:t>) criterios diferenciales para los emprendimientos y empresas de mujeres en el sistema de compras públicas</w:t>
      </w:r>
      <w:r>
        <w:rPr>
          <w:rFonts w:ascii="Arial" w:eastAsia="Arial" w:hAnsi="Arial" w:cs="Arial"/>
          <w:bCs/>
          <w:szCs w:val="24"/>
          <w:lang w:eastAsia="es-CO"/>
        </w:rPr>
        <w:t xml:space="preserve">. </w:t>
      </w:r>
    </w:p>
    <w:p w14:paraId="1289796E" w14:textId="77777777" w:rsidR="006C5583" w:rsidRPr="00727F2C" w:rsidRDefault="006C5583" w:rsidP="00145F4B">
      <w:pPr>
        <w:spacing w:after="120" w:line="276" w:lineRule="auto"/>
        <w:ind w:firstLine="708"/>
        <w:jc w:val="both"/>
        <w:rPr>
          <w:rFonts w:ascii="Arial" w:eastAsia="Arial" w:hAnsi="Arial" w:cs="Arial"/>
          <w:szCs w:val="24"/>
          <w:lang w:eastAsia="es-CO"/>
        </w:rPr>
      </w:pPr>
      <w:r w:rsidRPr="00727F2C">
        <w:rPr>
          <w:rFonts w:ascii="Arial" w:eastAsia="Arial" w:hAnsi="Arial" w:cs="Arial"/>
          <w:szCs w:val="24"/>
          <w:lang w:val="es-ES" w:eastAsia="es-CO"/>
        </w:rPr>
        <w:t>De esta forma, el artículo 31 de la Ley 2069 de 2020</w:t>
      </w:r>
      <w:r w:rsidRPr="00727F2C">
        <w:rPr>
          <w:rFonts w:ascii="Arial" w:eastAsia="Arial" w:hAnsi="Arial" w:cs="Arial"/>
          <w:szCs w:val="24"/>
          <w:lang w:eastAsia="es-CO"/>
        </w:rPr>
        <w:t xml:space="preserve"> </w:t>
      </w:r>
      <w:r w:rsidRPr="00727F2C">
        <w:rPr>
          <w:rFonts w:ascii="Arial" w:eastAsia="Arial" w:hAnsi="Arial" w:cs="Arial"/>
          <w:bCs/>
          <w:szCs w:val="24"/>
          <w:lang w:val="es-MX" w:eastAsia="es-CO"/>
        </w:rPr>
        <w:t xml:space="preserve">introduce criterios diferenciales para el acceso de las </w:t>
      </w:r>
      <w:proofErr w:type="spellStart"/>
      <w:r w:rsidRPr="00727F2C">
        <w:rPr>
          <w:rFonts w:ascii="Arial" w:eastAsia="Arial" w:hAnsi="Arial" w:cs="Arial"/>
          <w:bCs/>
          <w:szCs w:val="24"/>
          <w:lang w:val="es-MX" w:eastAsia="es-CO"/>
        </w:rPr>
        <w:t>Mipyme</w:t>
      </w:r>
      <w:proofErr w:type="spellEnd"/>
      <w:r w:rsidRPr="00727F2C">
        <w:rPr>
          <w:rFonts w:ascii="Arial" w:eastAsia="Arial" w:hAnsi="Arial" w:cs="Arial"/>
          <w:bCs/>
          <w:szCs w:val="24"/>
          <w:lang w:val="es-MX" w:eastAsia="es-CO"/>
        </w:rPr>
        <w:t xml:space="preserve"> al sistema de compras y contratación pública. Para estos efectos, el inciso primero dispone que «Las Entidades Estatales de acuerdo con el análisis de Sector </w:t>
      </w:r>
      <w:bookmarkStart w:id="2" w:name="_Hlk63767562"/>
      <w:r w:rsidRPr="00727F2C">
        <w:rPr>
          <w:rFonts w:ascii="Arial" w:eastAsia="Arial" w:hAnsi="Arial" w:cs="Arial"/>
          <w:bCs/>
          <w:szCs w:val="24"/>
          <w:lang w:val="es-MX" w:eastAsia="es-CO"/>
        </w:rPr>
        <w:t>podrán incluir, en los Documentos del Proceso, requisitos diferenciales y puntajes adicionales</w:t>
      </w:r>
      <w:bookmarkEnd w:id="2"/>
      <w:r w:rsidRPr="00727F2C">
        <w:rPr>
          <w:rFonts w:ascii="Arial" w:eastAsia="Arial" w:hAnsi="Arial" w:cs="Arial"/>
          <w:bCs/>
          <w:szCs w:val="24"/>
          <w:lang w:val="es-MX"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Esta norma </w:t>
      </w:r>
      <w:r w:rsidRPr="00727F2C">
        <w:rPr>
          <w:rFonts w:ascii="Arial" w:eastAsia="Arial" w:hAnsi="Arial" w:cs="Arial"/>
          <w:szCs w:val="24"/>
          <w:lang w:eastAsia="es-CO"/>
        </w:rPr>
        <w:t>dispone que el Gobierno Nacional reglamentará la definición de los criterios diferenciales</w:t>
      </w:r>
      <w:r w:rsidRPr="00727F2C">
        <w:rPr>
          <w:rFonts w:ascii="Arial" w:eastAsia="Arial" w:hAnsi="Arial" w:cs="Arial"/>
          <w:szCs w:val="24"/>
          <w:lang w:val="es-ES" w:eastAsia="es-CO"/>
        </w:rPr>
        <w:t xml:space="preserve"> para promover y facilitar el acceso de las </w:t>
      </w:r>
      <w:proofErr w:type="spellStart"/>
      <w:r w:rsidRPr="00727F2C">
        <w:rPr>
          <w:rFonts w:ascii="Arial" w:eastAsia="Arial" w:hAnsi="Arial" w:cs="Arial"/>
          <w:szCs w:val="24"/>
          <w:lang w:val="es-ES" w:eastAsia="es-CO"/>
        </w:rPr>
        <w:t>Mipyme</w:t>
      </w:r>
      <w:proofErr w:type="spellEnd"/>
      <w:r w:rsidRPr="00727F2C">
        <w:rPr>
          <w:rFonts w:ascii="Arial" w:eastAsia="Arial" w:hAnsi="Arial" w:cs="Arial"/>
          <w:szCs w:val="24"/>
          <w:lang w:val="es-ES" w:eastAsia="es-CO"/>
        </w:rPr>
        <w:t xml:space="preserve"> al mercado de compras públicas</w:t>
      </w:r>
      <w:r w:rsidRPr="00727F2C">
        <w:rPr>
          <w:rFonts w:ascii="Arial" w:eastAsia="Arial" w:hAnsi="Arial" w:cs="Arial"/>
          <w:szCs w:val="24"/>
          <w:lang w:eastAsia="es-CO"/>
        </w:rPr>
        <w:t xml:space="preserve">, estableciendo reglas objetivas para su implementación, las cuales priorizarán la contratación de producción nacional, sin perjuicio de los compromisos comerciales adquiridos con otros Estados. </w:t>
      </w:r>
    </w:p>
    <w:p w14:paraId="3F04331F" w14:textId="77777777" w:rsidR="006C5583" w:rsidRPr="00727F2C" w:rsidRDefault="006C5583" w:rsidP="006C5583">
      <w:pPr>
        <w:spacing w:after="120" w:line="276" w:lineRule="auto"/>
        <w:ind w:firstLine="708"/>
        <w:jc w:val="both"/>
        <w:rPr>
          <w:rFonts w:ascii="Arial" w:eastAsia="Arial" w:hAnsi="Arial" w:cs="Arial"/>
          <w:bCs/>
          <w:szCs w:val="24"/>
          <w:lang w:val="es-MX" w:eastAsia="es-CO"/>
        </w:rPr>
      </w:pPr>
      <w:r>
        <w:rPr>
          <w:rFonts w:ascii="Arial" w:eastAsia="Arial" w:hAnsi="Arial" w:cs="Arial"/>
          <w:szCs w:val="24"/>
          <w:lang w:eastAsia="es-CO"/>
        </w:rPr>
        <w:t>Por su parte, e</w:t>
      </w:r>
      <w:r w:rsidRPr="00727F2C">
        <w:rPr>
          <w:rFonts w:ascii="Arial" w:eastAsia="Arial" w:hAnsi="Arial" w:cs="Arial"/>
          <w:szCs w:val="24"/>
          <w:lang w:eastAsia="es-CO"/>
        </w:rPr>
        <w:t xml:space="preserve">l artículo 32, de manera análoga a los dispuesto en el artículo anterior, </w:t>
      </w:r>
      <w:r w:rsidRPr="00727F2C">
        <w:rPr>
          <w:rFonts w:ascii="Arial" w:eastAsia="Times New Roman" w:hAnsi="Arial" w:cs="Arial"/>
          <w:szCs w:val="24"/>
          <w:lang w:eastAsia="es-MX"/>
        </w:rPr>
        <w:t xml:space="preserve">regula criterios diferenciales para los </w:t>
      </w:r>
      <w:r>
        <w:rPr>
          <w:rFonts w:ascii="Arial" w:eastAsia="Times New Roman" w:hAnsi="Arial" w:cs="Arial"/>
          <w:szCs w:val="24"/>
          <w:lang w:eastAsia="es-MX"/>
        </w:rPr>
        <w:t>«</w:t>
      </w:r>
      <w:r w:rsidRPr="00727F2C">
        <w:rPr>
          <w:rFonts w:ascii="Arial" w:eastAsia="Times New Roman" w:hAnsi="Arial" w:cs="Arial"/>
          <w:szCs w:val="24"/>
          <w:lang w:eastAsia="es-MX"/>
        </w:rPr>
        <w:t>emprendimientos y empresas de mujeres</w:t>
      </w:r>
      <w:r>
        <w:rPr>
          <w:rFonts w:ascii="Arial" w:eastAsia="Times New Roman" w:hAnsi="Arial" w:cs="Arial"/>
          <w:szCs w:val="24"/>
          <w:lang w:eastAsia="es-MX"/>
        </w:rPr>
        <w:t>»</w:t>
      </w:r>
      <w:r w:rsidRPr="00727F2C">
        <w:rPr>
          <w:rFonts w:ascii="Arial" w:eastAsia="Times New Roman" w:hAnsi="Arial" w:cs="Arial"/>
          <w:szCs w:val="24"/>
          <w:lang w:eastAsia="es-MX"/>
        </w:rPr>
        <w:t xml:space="preserve"> en el sistema de compras y contratación pública y establece la necesidad de reglamentación de la definición de </w:t>
      </w:r>
      <w:r>
        <w:rPr>
          <w:rFonts w:ascii="Arial" w:eastAsia="Times New Roman" w:hAnsi="Arial" w:cs="Arial"/>
          <w:szCs w:val="24"/>
          <w:lang w:eastAsia="es-MX"/>
        </w:rPr>
        <w:t>«</w:t>
      </w:r>
      <w:r w:rsidRPr="00727F2C">
        <w:rPr>
          <w:rFonts w:ascii="Arial" w:eastAsia="Times New Roman" w:hAnsi="Arial" w:cs="Arial"/>
          <w:szCs w:val="24"/>
          <w:lang w:eastAsia="es-MX"/>
        </w:rPr>
        <w:t>emprendimientos y empresas de mujeres</w:t>
      </w:r>
      <w:r>
        <w:rPr>
          <w:rFonts w:ascii="Arial" w:eastAsia="Times New Roman" w:hAnsi="Arial" w:cs="Arial"/>
          <w:szCs w:val="24"/>
          <w:lang w:eastAsia="es-MX"/>
        </w:rPr>
        <w:t>»</w:t>
      </w:r>
      <w:r w:rsidRPr="00727F2C">
        <w:rPr>
          <w:rFonts w:ascii="Arial" w:eastAsia="Times New Roman" w:hAnsi="Arial" w:cs="Arial"/>
          <w:szCs w:val="24"/>
          <w:lang w:eastAsia="es-MX"/>
        </w:rPr>
        <w:t xml:space="preserve"> por parte del Gobierno Nacional</w:t>
      </w:r>
      <w:r w:rsidRPr="00727F2C">
        <w:rPr>
          <w:rFonts w:ascii="Arial" w:eastAsia="Arial" w:hAnsi="Arial" w:cs="Arial"/>
          <w:bCs/>
          <w:szCs w:val="24"/>
          <w:lang w:val="es-MX" w:eastAsia="es-CO"/>
        </w:rPr>
        <w:t>. Estos criterios diferenciales –que incluyen tanto los requisitos diferenciales como los puntajes adicionales– aplican a los procesos de licitación pública, selección abreviada de menor cuantía y concurso de méritos, excluyendo las demás modalidades de selección del artículo 2 de la Ley 1150 de 2007</w:t>
      </w:r>
      <w:r>
        <w:rPr>
          <w:rFonts w:ascii="Arial" w:eastAsia="Arial" w:hAnsi="Arial" w:cs="Arial"/>
          <w:bCs/>
          <w:szCs w:val="24"/>
          <w:lang w:val="es-MX" w:eastAsia="es-CO"/>
        </w:rPr>
        <w:t xml:space="preserve"> −</w:t>
      </w:r>
      <w:r w:rsidRPr="00727F2C">
        <w:rPr>
          <w:rFonts w:ascii="Arial" w:eastAsia="Arial" w:hAnsi="Arial" w:cs="Arial"/>
          <w:bCs/>
          <w:szCs w:val="24"/>
          <w:lang w:val="es-MX" w:eastAsia="es-CO"/>
        </w:rPr>
        <w:t>esto es a los procesos de mínima cuantía y a la contratación directa</w:t>
      </w:r>
      <w:r>
        <w:rPr>
          <w:rFonts w:ascii="Arial" w:eastAsia="Arial" w:hAnsi="Arial" w:cs="Arial"/>
          <w:bCs/>
          <w:szCs w:val="24"/>
          <w:lang w:val="es-MX" w:eastAsia="es-CO"/>
        </w:rPr>
        <w:t>−</w:t>
      </w:r>
      <w:r w:rsidRPr="00727F2C">
        <w:rPr>
          <w:rFonts w:ascii="Arial" w:eastAsia="Arial" w:hAnsi="Arial" w:cs="Arial"/>
          <w:bCs/>
          <w:szCs w:val="24"/>
          <w:lang w:val="es-MX" w:eastAsia="es-CO"/>
        </w:rPr>
        <w:t xml:space="preserve">. La norma en comento también se extiende a todos los procedimientos competitivos previstos en el manual de las Entidades excluidas de la Ley 80 de 1993.  </w:t>
      </w:r>
    </w:p>
    <w:p w14:paraId="1F2A1504" w14:textId="77777777" w:rsidR="006C5583" w:rsidRPr="00727F2C" w:rsidRDefault="006C5583" w:rsidP="006C5583">
      <w:pPr>
        <w:spacing w:after="120" w:line="276" w:lineRule="auto"/>
        <w:ind w:firstLine="708"/>
        <w:jc w:val="both"/>
        <w:rPr>
          <w:rFonts w:ascii="Arial" w:eastAsia="Arial" w:hAnsi="Arial" w:cs="Arial"/>
          <w:szCs w:val="24"/>
          <w:lang w:val="es-ES" w:eastAsia="es-CO"/>
        </w:rPr>
      </w:pPr>
      <w:r w:rsidRPr="00727F2C">
        <w:rPr>
          <w:rFonts w:ascii="Arial" w:eastAsia="Arial" w:hAnsi="Arial" w:cs="Arial"/>
          <w:szCs w:val="24"/>
          <w:lang w:val="es-ES" w:eastAsia="es-CO"/>
        </w:rPr>
        <w:t xml:space="preserve">En todo caso, es conveniente resaltar que, de igual forma a como se previó para los criterios diferenciales de </w:t>
      </w:r>
      <w:proofErr w:type="spellStart"/>
      <w:r w:rsidRPr="00727F2C">
        <w:rPr>
          <w:rFonts w:ascii="Arial" w:eastAsia="Arial" w:hAnsi="Arial" w:cs="Arial"/>
          <w:szCs w:val="24"/>
          <w:lang w:val="es-ES" w:eastAsia="es-CO"/>
        </w:rPr>
        <w:t>Mipyme</w:t>
      </w:r>
      <w:proofErr w:type="spellEnd"/>
      <w:r w:rsidRPr="00727F2C">
        <w:rPr>
          <w:rFonts w:ascii="Arial" w:eastAsia="Arial" w:hAnsi="Arial" w:cs="Arial"/>
          <w:szCs w:val="24"/>
          <w:lang w:val="es-ES" w:eastAsia="es-CO"/>
        </w:rPr>
        <w:t xml:space="preserve">, estos criterios se crearon con el propósito de incentivar los emprendimientos y empresas de mujeres en el sistema de compras públicas, sin perjuicio de los compromisos adquiridos por Colombia en los acuerdos comerciales en vigor. </w:t>
      </w:r>
    </w:p>
    <w:p w14:paraId="2C74EB62" w14:textId="77777777" w:rsidR="006C5583" w:rsidRPr="00727F2C" w:rsidRDefault="006C5583" w:rsidP="006C5583">
      <w:pPr>
        <w:spacing w:after="120" w:line="276" w:lineRule="auto"/>
        <w:jc w:val="both"/>
        <w:rPr>
          <w:rFonts w:ascii="Arial" w:eastAsia="Arial" w:hAnsi="Arial" w:cs="Arial"/>
          <w:szCs w:val="24"/>
          <w:lang w:eastAsia="es-CO"/>
        </w:rPr>
      </w:pPr>
      <w:r>
        <w:rPr>
          <w:rFonts w:ascii="Arial" w:eastAsia="Arial" w:hAnsi="Arial" w:cs="Arial"/>
          <w:szCs w:val="24"/>
          <w:lang w:val="es-ES" w:eastAsia="es-CO"/>
        </w:rPr>
        <w:tab/>
      </w:r>
      <w:r w:rsidRPr="00727F2C">
        <w:rPr>
          <w:rFonts w:ascii="Arial" w:eastAsia="Arial" w:hAnsi="Arial" w:cs="Arial"/>
          <w:szCs w:val="24"/>
          <w:lang w:val="es-ES" w:eastAsia="es-CO"/>
        </w:rPr>
        <w:t>Con fundamento en lo anterior, el Gobierno Nacional expidió el Decreto 1860 de 2021 que</w:t>
      </w:r>
      <w:r w:rsidRPr="00727F2C">
        <w:rPr>
          <w:rFonts w:ascii="Arial" w:eastAsia="Arial" w:hAnsi="Arial"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w:t>
      </w:r>
      <w:r w:rsidRPr="00727F2C">
        <w:rPr>
          <w:rFonts w:ascii="Arial" w:eastAsia="Arial" w:hAnsi="Arial" w:cs="Arial"/>
          <w:szCs w:val="24"/>
          <w:lang w:eastAsia="es-CO"/>
        </w:rPr>
        <w:lastRenderedPageBreak/>
        <w:t xml:space="preserve">sistema de compras y contratación pública, </w:t>
      </w:r>
      <w:r w:rsidRPr="00727F2C">
        <w:rPr>
          <w:rFonts w:ascii="Arial" w:eastAsia="Times New Roman" w:hAnsi="Arial" w:cs="Arial"/>
          <w:szCs w:val="24"/>
          <w:lang w:eastAsia="es-MX"/>
        </w:rPr>
        <w:t>además de incluir algunas disposiciones adicionales para la reglamentación efectiva de la citada Ley</w:t>
      </w:r>
      <w:r w:rsidRPr="00727F2C">
        <w:rPr>
          <w:rFonts w:ascii="Arial" w:eastAsia="Times New Roman" w:hAnsi="Arial" w:cs="Arial"/>
          <w:szCs w:val="24"/>
          <w:vertAlign w:val="superscript"/>
          <w:lang w:eastAsia="es-MX"/>
        </w:rPr>
        <w:footnoteReference w:id="6"/>
      </w:r>
      <w:r w:rsidRPr="00727F2C">
        <w:rPr>
          <w:rFonts w:ascii="Arial" w:eastAsia="Times New Roman" w:hAnsi="Arial" w:cs="Arial"/>
          <w:szCs w:val="24"/>
          <w:lang w:eastAsia="es-MX"/>
        </w:rPr>
        <w:t>.</w:t>
      </w:r>
      <w:r w:rsidRPr="00727F2C">
        <w:rPr>
          <w:rFonts w:ascii="Arial" w:eastAsia="Arial" w:hAnsi="Arial" w:cs="Arial"/>
          <w:szCs w:val="24"/>
          <w:lang w:eastAsia="es-CO"/>
        </w:rPr>
        <w:t xml:space="preserve"> </w:t>
      </w:r>
    </w:p>
    <w:p w14:paraId="1C76D988" w14:textId="77777777" w:rsidR="006C5583" w:rsidRPr="00727F2C" w:rsidRDefault="006C5583" w:rsidP="006C5583">
      <w:pPr>
        <w:spacing w:after="120" w:line="276" w:lineRule="auto"/>
        <w:ind w:firstLine="708"/>
        <w:jc w:val="both"/>
        <w:rPr>
          <w:rFonts w:ascii="Arial" w:eastAsia="Arial" w:hAnsi="Arial" w:cs="Arial"/>
          <w:bCs/>
          <w:szCs w:val="24"/>
          <w:lang w:val="es-ES" w:eastAsia="es-CO"/>
        </w:rPr>
      </w:pPr>
      <w:r w:rsidRPr="00727F2C">
        <w:rPr>
          <w:rFonts w:ascii="Arial" w:eastAsia="Arial" w:hAnsi="Arial" w:cs="Arial"/>
          <w:szCs w:val="24"/>
          <w:lang w:val="es-ES" w:eastAsia="es-CO"/>
        </w:rPr>
        <w:t xml:space="preserve">De esta manera, el artículo 3 del Decreto 1860 de 2021, adicionó </w:t>
      </w:r>
      <w:r w:rsidRPr="00727F2C">
        <w:rPr>
          <w:rFonts w:ascii="Arial" w:eastAsia="Arial" w:hAnsi="Arial" w:cs="Arial"/>
          <w:bCs/>
          <w:szCs w:val="24"/>
          <w:lang w:val="es-ES" w:eastAsia="es-CO"/>
        </w:rPr>
        <w:t xml:space="preserve">los artículos </w:t>
      </w:r>
      <w:r w:rsidRPr="00727F2C">
        <w:rPr>
          <w:rFonts w:ascii="Arial" w:eastAsia="Arial" w:hAnsi="Arial" w:cs="Arial"/>
          <w:bCs/>
          <w:szCs w:val="24"/>
          <w:lang w:eastAsia="es-CO"/>
        </w:rPr>
        <w:t>2.2.1.2.4.2.14, 2.2.1.2.4.2.15</w:t>
      </w:r>
      <w:r>
        <w:rPr>
          <w:rFonts w:ascii="Arial" w:eastAsia="Arial" w:hAnsi="Arial" w:cs="Arial"/>
          <w:bCs/>
          <w:szCs w:val="24"/>
          <w:lang w:val="es-ES" w:eastAsia="es-CO"/>
        </w:rPr>
        <w:t xml:space="preserve"> </w:t>
      </w:r>
      <w:r w:rsidRPr="00727F2C">
        <w:rPr>
          <w:rFonts w:ascii="Arial" w:eastAsia="Arial" w:hAnsi="Arial" w:cs="Arial"/>
          <w:szCs w:val="24"/>
          <w:lang w:eastAsia="es-CO"/>
        </w:rPr>
        <w:t>y</w:t>
      </w:r>
      <w:r w:rsidRPr="00727F2C">
        <w:rPr>
          <w:rFonts w:ascii="Arial" w:eastAsia="Arial" w:hAnsi="Arial" w:cs="Arial"/>
          <w:b/>
          <w:bCs/>
          <w:szCs w:val="24"/>
          <w:lang w:eastAsia="es-CO"/>
        </w:rPr>
        <w:t xml:space="preserve"> </w:t>
      </w:r>
      <w:r w:rsidRPr="00727F2C">
        <w:rPr>
          <w:rFonts w:ascii="Arial" w:eastAsia="Arial" w:hAnsi="Arial" w:cs="Arial"/>
          <w:szCs w:val="24"/>
          <w:lang w:eastAsia="es-CO"/>
        </w:rPr>
        <w:t>2.2.1.2.4.2.18</w:t>
      </w:r>
      <w:r w:rsidRPr="00727F2C">
        <w:rPr>
          <w:rFonts w:ascii="Arial" w:eastAsia="Arial" w:hAnsi="Arial" w:cs="Arial"/>
          <w:b/>
          <w:bCs/>
          <w:szCs w:val="24"/>
          <w:lang w:eastAsia="es-CO"/>
        </w:rPr>
        <w:t xml:space="preserve"> </w:t>
      </w:r>
      <w:r w:rsidRPr="00727F2C">
        <w:rPr>
          <w:rFonts w:ascii="Arial" w:eastAsia="Arial" w:hAnsi="Arial" w:cs="Arial"/>
          <w:bCs/>
          <w:szCs w:val="24"/>
          <w:lang w:val="es-ES" w:eastAsia="es-CO"/>
        </w:rPr>
        <w:t xml:space="preserve">al Decreto 1082 de 2015 </w:t>
      </w:r>
      <w:r>
        <w:rPr>
          <w:rFonts w:ascii="Arial" w:eastAsia="Arial" w:hAnsi="Arial" w:cs="Arial"/>
          <w:bCs/>
          <w:szCs w:val="24"/>
          <w:lang w:val="es-ES" w:eastAsia="es-CO"/>
        </w:rPr>
        <w:t>reglamentando</w:t>
      </w:r>
      <w:r w:rsidRPr="00727F2C">
        <w:rPr>
          <w:rFonts w:ascii="Arial" w:eastAsia="Arial" w:hAnsi="Arial" w:cs="Arial"/>
          <w:bCs/>
          <w:szCs w:val="24"/>
          <w:lang w:val="es-ES" w:eastAsia="es-CO"/>
        </w:rPr>
        <w:t xml:space="preserve">, en su orden, los siguientes aspectos: </w:t>
      </w:r>
      <w:r w:rsidRPr="00727F2C">
        <w:rPr>
          <w:rFonts w:ascii="Arial" w:eastAsia="Arial" w:hAnsi="Arial" w:cs="Arial"/>
          <w:szCs w:val="24"/>
          <w:lang w:val="es-ES" w:eastAsia="es-CO"/>
        </w:rPr>
        <w:t xml:space="preserve">i) </w:t>
      </w:r>
      <w:r w:rsidRPr="00727F2C">
        <w:rPr>
          <w:rFonts w:ascii="Arial" w:eastAsia="Arial" w:hAnsi="Arial" w:cs="Arial"/>
          <w:bCs/>
          <w:szCs w:val="24"/>
          <w:lang w:val="es-ES" w:eastAsia="es-CO"/>
        </w:rPr>
        <w:t xml:space="preserve">la definición de </w:t>
      </w:r>
      <w:r>
        <w:rPr>
          <w:rFonts w:ascii="Arial" w:eastAsia="Arial" w:hAnsi="Arial" w:cs="Arial"/>
          <w:bCs/>
          <w:i/>
          <w:iCs/>
          <w:szCs w:val="24"/>
          <w:lang w:val="es-ES" w:eastAsia="es-CO"/>
        </w:rPr>
        <w:t>«</w:t>
      </w:r>
      <w:r w:rsidRPr="00727F2C">
        <w:rPr>
          <w:rFonts w:ascii="Arial" w:eastAsia="Arial" w:hAnsi="Arial" w:cs="Arial"/>
          <w:bCs/>
          <w:i/>
          <w:iCs/>
          <w:szCs w:val="24"/>
          <w:lang w:val="es-ES" w:eastAsia="es-CO"/>
        </w:rPr>
        <w:t>emprendimientos y empresas de mujeres</w:t>
      </w:r>
      <w:r>
        <w:rPr>
          <w:rFonts w:ascii="Arial" w:eastAsia="Arial" w:hAnsi="Arial" w:cs="Arial"/>
          <w:bCs/>
          <w:i/>
          <w:iCs/>
          <w:szCs w:val="24"/>
          <w:lang w:val="es-ES" w:eastAsia="es-CO"/>
        </w:rPr>
        <w:t>»</w:t>
      </w:r>
      <w:r w:rsidRPr="00727F2C">
        <w:rPr>
          <w:rFonts w:ascii="Arial" w:eastAsia="Arial" w:hAnsi="Arial" w:cs="Arial"/>
          <w:bCs/>
          <w:szCs w:val="24"/>
          <w:lang w:val="es-ES" w:eastAsia="es-CO"/>
        </w:rPr>
        <w:t xml:space="preserve"> en el sistema de compras y contratación pública y la forma de acreditación en cada caso, </w:t>
      </w:r>
      <w:proofErr w:type="spellStart"/>
      <w:r w:rsidRPr="00727F2C">
        <w:rPr>
          <w:rFonts w:ascii="Arial" w:eastAsia="Arial" w:hAnsi="Arial" w:cs="Arial"/>
          <w:bCs/>
          <w:szCs w:val="24"/>
          <w:lang w:val="es-ES" w:eastAsia="es-CO"/>
        </w:rPr>
        <w:t>ii</w:t>
      </w:r>
      <w:proofErr w:type="spellEnd"/>
      <w:r w:rsidRPr="00727F2C">
        <w:rPr>
          <w:rFonts w:ascii="Arial" w:eastAsia="Arial" w:hAnsi="Arial" w:cs="Arial"/>
          <w:bCs/>
          <w:szCs w:val="24"/>
          <w:lang w:val="es-ES" w:eastAsia="es-CO"/>
        </w:rPr>
        <w:t xml:space="preserve">) los criterios diferenciales en favor de estos </w:t>
      </w:r>
      <w:r>
        <w:rPr>
          <w:rFonts w:ascii="Arial" w:eastAsia="Arial" w:hAnsi="Arial" w:cs="Arial"/>
          <w:bCs/>
          <w:i/>
          <w:iCs/>
          <w:szCs w:val="24"/>
          <w:lang w:val="es-ES" w:eastAsia="es-CO"/>
        </w:rPr>
        <w:t>«</w:t>
      </w:r>
      <w:r w:rsidRPr="00727F2C">
        <w:rPr>
          <w:rFonts w:ascii="Arial" w:eastAsia="Arial" w:hAnsi="Arial" w:cs="Arial"/>
          <w:bCs/>
          <w:i/>
          <w:iCs/>
          <w:szCs w:val="24"/>
          <w:lang w:val="es-ES" w:eastAsia="es-CO"/>
        </w:rPr>
        <w:t>emprendimientos y empresas de mujeres</w:t>
      </w:r>
      <w:r>
        <w:rPr>
          <w:rFonts w:ascii="Arial" w:eastAsia="Arial" w:hAnsi="Arial" w:cs="Arial"/>
          <w:bCs/>
          <w:i/>
          <w:iCs/>
          <w:szCs w:val="24"/>
          <w:lang w:val="es-ES" w:eastAsia="es-CO"/>
        </w:rPr>
        <w:t>»</w:t>
      </w:r>
      <w:r w:rsidRPr="00727F2C">
        <w:rPr>
          <w:rFonts w:ascii="Arial" w:eastAsia="Arial" w:hAnsi="Arial" w:cs="Arial"/>
          <w:bCs/>
          <w:szCs w:val="24"/>
          <w:lang w:val="es-ES" w:eastAsia="es-CO"/>
        </w:rPr>
        <w:t xml:space="preserve"> </w:t>
      </w:r>
      <w:r>
        <w:rPr>
          <w:rFonts w:ascii="Arial" w:eastAsia="Arial" w:hAnsi="Arial" w:cs="Arial"/>
          <w:bCs/>
          <w:szCs w:val="24"/>
          <w:lang w:val="es-ES" w:eastAsia="es-CO"/>
        </w:rPr>
        <w:t xml:space="preserve">y </w:t>
      </w:r>
      <w:proofErr w:type="spellStart"/>
      <w:r w:rsidRPr="006B6658">
        <w:rPr>
          <w:rFonts w:ascii="Arial" w:eastAsia="Arial" w:hAnsi="Arial" w:cs="Arial"/>
          <w:bCs/>
          <w:szCs w:val="24"/>
          <w:lang w:val="es-ES" w:eastAsia="es-CO"/>
        </w:rPr>
        <w:t>i</w:t>
      </w:r>
      <w:r>
        <w:rPr>
          <w:rFonts w:ascii="Arial" w:eastAsia="Arial" w:hAnsi="Arial" w:cs="Arial"/>
          <w:bCs/>
          <w:szCs w:val="24"/>
          <w:lang w:val="es-ES" w:eastAsia="es-CO"/>
        </w:rPr>
        <w:t>i</w:t>
      </w:r>
      <w:r w:rsidRPr="006B6658">
        <w:rPr>
          <w:rFonts w:ascii="Arial" w:eastAsia="Arial" w:hAnsi="Arial" w:cs="Arial"/>
          <w:bCs/>
          <w:szCs w:val="24"/>
          <w:lang w:val="es-ES" w:eastAsia="es-CO"/>
        </w:rPr>
        <w:t>i</w:t>
      </w:r>
      <w:proofErr w:type="spellEnd"/>
      <w:r w:rsidRPr="003579A9">
        <w:rPr>
          <w:rFonts w:ascii="Arial" w:eastAsia="Arial" w:hAnsi="Arial" w:cs="Arial"/>
          <w:bCs/>
          <w:szCs w:val="24"/>
          <w:lang w:val="es-ES" w:eastAsia="es-CO"/>
        </w:rPr>
        <w:t xml:space="preserve">) los criterios diferenciales en favor de las </w:t>
      </w:r>
      <w:proofErr w:type="spellStart"/>
      <w:r w:rsidRPr="003579A9">
        <w:rPr>
          <w:rFonts w:ascii="Arial" w:eastAsia="Arial" w:hAnsi="Arial" w:cs="Arial"/>
          <w:bCs/>
          <w:szCs w:val="24"/>
          <w:lang w:val="es-ES" w:eastAsia="es-CO"/>
        </w:rPr>
        <w:t>Mipyme</w:t>
      </w:r>
      <w:proofErr w:type="spellEnd"/>
      <w:r w:rsidRPr="003579A9">
        <w:rPr>
          <w:rFonts w:ascii="Arial" w:eastAsia="Arial" w:hAnsi="Arial" w:cs="Arial"/>
          <w:bCs/>
          <w:szCs w:val="24"/>
          <w:lang w:val="es-ES" w:eastAsia="es-CO"/>
        </w:rPr>
        <w:t xml:space="preserve"> domiciliadas en Colombia.</w:t>
      </w:r>
      <w:r w:rsidRPr="00727F2C">
        <w:rPr>
          <w:rFonts w:ascii="Arial" w:eastAsia="Arial" w:hAnsi="Arial" w:cs="Arial"/>
          <w:bCs/>
          <w:szCs w:val="24"/>
          <w:lang w:val="es-ES" w:eastAsia="es-CO"/>
        </w:rPr>
        <w:t xml:space="preserve"> </w:t>
      </w:r>
    </w:p>
    <w:p w14:paraId="16840276" w14:textId="77777777" w:rsidR="006C5583" w:rsidRPr="006B6658" w:rsidRDefault="006C5583" w:rsidP="006C5583">
      <w:pPr>
        <w:spacing w:after="0" w:line="276" w:lineRule="auto"/>
        <w:jc w:val="both"/>
        <w:rPr>
          <w:rFonts w:ascii="Arial" w:eastAsia="Times New Roman" w:hAnsi="Arial" w:cs="Arial"/>
          <w:lang w:eastAsia="es-MX"/>
        </w:rPr>
      </w:pPr>
      <w:r>
        <w:rPr>
          <w:rFonts w:ascii="Arial" w:eastAsia="Arial" w:hAnsi="Arial" w:cs="Arial"/>
          <w:szCs w:val="24"/>
          <w:lang w:val="es-ES" w:eastAsia="es-CO"/>
        </w:rPr>
        <w:tab/>
      </w:r>
      <w:r w:rsidRPr="006B6658">
        <w:rPr>
          <w:rFonts w:ascii="Arial" w:eastAsia="Times New Roman" w:hAnsi="Arial" w:cs="Arial"/>
          <w:lang w:eastAsia="es-MX"/>
        </w:rPr>
        <w:t xml:space="preserve">Así las cosas, en </w:t>
      </w:r>
      <w:r>
        <w:rPr>
          <w:rFonts w:ascii="Arial" w:eastAsia="Times New Roman" w:hAnsi="Arial" w:cs="Arial"/>
          <w:lang w:eastAsia="es-MX"/>
        </w:rPr>
        <w:t>los</w:t>
      </w:r>
      <w:r w:rsidRPr="006B6658">
        <w:rPr>
          <w:rFonts w:ascii="Arial" w:eastAsia="Times New Roman" w:hAnsi="Arial" w:cs="Arial"/>
          <w:lang w:eastAsia="es-MX"/>
        </w:rPr>
        <w:t xml:space="preserve"> </w:t>
      </w:r>
      <w:r>
        <w:rPr>
          <w:rFonts w:ascii="Arial" w:eastAsia="Times New Roman" w:hAnsi="Arial" w:cs="Arial"/>
          <w:lang w:eastAsia="es-MX"/>
        </w:rPr>
        <w:t xml:space="preserve">siguiente </w:t>
      </w:r>
      <w:r w:rsidRPr="006B6658">
        <w:rPr>
          <w:rFonts w:ascii="Arial" w:eastAsia="Times New Roman" w:hAnsi="Arial" w:cs="Arial"/>
          <w:lang w:eastAsia="es-MX"/>
        </w:rPr>
        <w:t>numeral</w:t>
      </w:r>
      <w:r>
        <w:rPr>
          <w:rFonts w:ascii="Arial" w:eastAsia="Times New Roman" w:hAnsi="Arial" w:cs="Arial"/>
          <w:lang w:eastAsia="es-MX"/>
        </w:rPr>
        <w:t>es</w:t>
      </w:r>
      <w:r w:rsidRPr="006B6658">
        <w:rPr>
          <w:rFonts w:ascii="Arial" w:eastAsia="Times New Roman" w:hAnsi="Arial" w:cs="Arial"/>
          <w:lang w:eastAsia="es-MX"/>
        </w:rPr>
        <w:t xml:space="preserve"> se explicará</w:t>
      </w:r>
      <w:r>
        <w:rPr>
          <w:rFonts w:ascii="Arial" w:eastAsia="Times New Roman" w:hAnsi="Arial" w:cs="Arial"/>
          <w:lang w:eastAsia="es-MX"/>
        </w:rPr>
        <w:t>,</w:t>
      </w:r>
      <w:r w:rsidRPr="006B6658">
        <w:rPr>
          <w:rFonts w:ascii="Arial" w:eastAsia="Times New Roman" w:hAnsi="Arial" w:cs="Arial"/>
          <w:lang w:eastAsia="es-MX"/>
        </w:rPr>
        <w:t xml:space="preserve"> </w:t>
      </w:r>
      <w:r>
        <w:rPr>
          <w:rFonts w:ascii="Arial" w:eastAsia="Times New Roman" w:hAnsi="Arial" w:cs="Arial"/>
          <w:lang w:eastAsia="es-MX"/>
        </w:rPr>
        <w:t xml:space="preserve">por una parte, </w:t>
      </w:r>
      <w:r w:rsidRPr="006B6658">
        <w:rPr>
          <w:rFonts w:ascii="Arial" w:eastAsia="Times New Roman" w:hAnsi="Arial" w:cs="Arial"/>
          <w:lang w:eastAsia="es-MX"/>
        </w:rPr>
        <w:t>la reglamentación del Decreto 1860 de 2021</w:t>
      </w:r>
      <w:r>
        <w:rPr>
          <w:rFonts w:ascii="Arial" w:eastAsia="Times New Roman" w:hAnsi="Arial" w:cs="Arial"/>
          <w:lang w:eastAsia="es-MX"/>
        </w:rPr>
        <w:t xml:space="preserve"> en relación con los siguientes aspectos: </w:t>
      </w:r>
      <w:r w:rsidRPr="006B6658">
        <w:rPr>
          <w:rFonts w:ascii="Arial" w:eastAsia="Times New Roman" w:hAnsi="Arial" w:cs="Arial"/>
          <w:lang w:eastAsia="es-MX"/>
        </w:rPr>
        <w:t xml:space="preserve">i) la regulación de los criterios diferenciales en favor de las </w:t>
      </w:r>
      <w:proofErr w:type="spellStart"/>
      <w:r w:rsidRPr="006B6658">
        <w:rPr>
          <w:rFonts w:ascii="Arial" w:eastAsia="Times New Roman" w:hAnsi="Arial" w:cs="Arial"/>
          <w:lang w:eastAsia="es-MX"/>
        </w:rPr>
        <w:t>Mipyme</w:t>
      </w:r>
      <w:proofErr w:type="spellEnd"/>
      <w:r w:rsidRPr="006B6658">
        <w:rPr>
          <w:rFonts w:ascii="Arial" w:eastAsia="Times New Roman" w:hAnsi="Arial" w:cs="Arial"/>
          <w:lang w:eastAsia="es-MX"/>
        </w:rPr>
        <w:t xml:space="preserve"> nacionales</w:t>
      </w:r>
      <w:r>
        <w:rPr>
          <w:rFonts w:ascii="Arial" w:eastAsia="Times New Roman" w:hAnsi="Arial" w:cs="Arial"/>
          <w:lang w:eastAsia="es-MX"/>
        </w:rPr>
        <w:t xml:space="preserve"> y </w:t>
      </w:r>
      <w:proofErr w:type="spellStart"/>
      <w:r w:rsidRPr="006B6658">
        <w:rPr>
          <w:rFonts w:ascii="Arial" w:eastAsia="Times New Roman" w:hAnsi="Arial" w:cs="Arial"/>
          <w:lang w:eastAsia="es-MX"/>
        </w:rPr>
        <w:t>ii</w:t>
      </w:r>
      <w:proofErr w:type="spellEnd"/>
      <w:r w:rsidRPr="006B6658">
        <w:rPr>
          <w:rFonts w:ascii="Arial" w:eastAsia="Times New Roman" w:hAnsi="Arial" w:cs="Arial"/>
          <w:lang w:eastAsia="es-MX"/>
        </w:rPr>
        <w:t>) la regulación de los criterios diferenciales en favor de los emprendimientos y empresas de mujeres</w:t>
      </w:r>
      <w:r>
        <w:rPr>
          <w:rFonts w:ascii="Arial" w:eastAsia="Times New Roman" w:hAnsi="Arial" w:cs="Arial"/>
          <w:lang w:eastAsia="es-MX"/>
        </w:rPr>
        <w:t xml:space="preserve">. </w:t>
      </w:r>
      <w:r w:rsidRPr="002F1A35">
        <w:rPr>
          <w:rFonts w:ascii="Arial" w:eastAsia="Times New Roman" w:hAnsi="Arial" w:cs="Arial"/>
          <w:lang w:eastAsia="es-MX"/>
        </w:rPr>
        <w:t xml:space="preserve">Por otra parte, se hará referencia a la </w:t>
      </w:r>
      <w:proofErr w:type="gramStart"/>
      <w:r w:rsidRPr="002F1A35">
        <w:rPr>
          <w:rFonts w:ascii="Arial" w:eastAsia="Times New Roman" w:hAnsi="Arial" w:cs="Arial"/>
          <w:lang w:eastAsia="es-MX"/>
        </w:rPr>
        <w:t>entrada en vigencia</w:t>
      </w:r>
      <w:proofErr w:type="gramEnd"/>
      <w:r w:rsidRPr="002F1A35">
        <w:rPr>
          <w:rFonts w:ascii="Arial" w:eastAsia="Times New Roman" w:hAnsi="Arial" w:cs="Arial"/>
          <w:lang w:eastAsia="es-MX"/>
        </w:rPr>
        <w:t xml:space="preserve"> del Decreto 1860 de 2021.</w:t>
      </w:r>
      <w:r>
        <w:rPr>
          <w:rFonts w:ascii="Arial" w:eastAsia="Times New Roman" w:hAnsi="Arial" w:cs="Arial"/>
          <w:lang w:eastAsia="es-MX"/>
        </w:rPr>
        <w:t xml:space="preserve"> </w:t>
      </w:r>
    </w:p>
    <w:p w14:paraId="615F2A5A" w14:textId="77777777" w:rsidR="006C5583" w:rsidRPr="00727F2C" w:rsidRDefault="006C5583" w:rsidP="006C5583">
      <w:pPr>
        <w:spacing w:after="0" w:line="240" w:lineRule="auto"/>
        <w:jc w:val="both"/>
        <w:rPr>
          <w:rFonts w:ascii="Geomanist Light" w:eastAsia="Arial" w:hAnsi="Geomanist Light" w:cs="Times New Roman"/>
          <w:szCs w:val="24"/>
          <w:lang w:eastAsia="es-MX"/>
        </w:rPr>
      </w:pPr>
    </w:p>
    <w:p w14:paraId="1AE8B576" w14:textId="77777777" w:rsidR="006C5583" w:rsidRPr="00FD76D5" w:rsidRDefault="006C5583" w:rsidP="006C5583">
      <w:pPr>
        <w:spacing w:after="0" w:line="276" w:lineRule="auto"/>
        <w:jc w:val="both"/>
        <w:rPr>
          <w:rFonts w:ascii="Arial" w:hAnsi="Arial" w:cs="Arial"/>
          <w:b/>
          <w:bCs/>
          <w:lang w:val="es-ES"/>
        </w:rPr>
      </w:pPr>
      <w:r>
        <w:rPr>
          <w:rFonts w:ascii="Arial" w:hAnsi="Arial" w:cs="Arial"/>
          <w:b/>
          <w:bCs/>
          <w:lang w:val="es-ES"/>
        </w:rPr>
        <w:t xml:space="preserve">2.3.1.  </w:t>
      </w:r>
      <w:r w:rsidRPr="00FD76D5">
        <w:rPr>
          <w:rFonts w:ascii="Arial" w:hAnsi="Arial" w:cs="Arial"/>
          <w:b/>
          <w:bCs/>
          <w:lang w:val="es-ES"/>
        </w:rPr>
        <w:t xml:space="preserve">Regulación de los criterios diferenciales en favor de las </w:t>
      </w:r>
      <w:proofErr w:type="spellStart"/>
      <w:r w:rsidRPr="00FD76D5">
        <w:rPr>
          <w:rFonts w:ascii="Arial" w:hAnsi="Arial" w:cs="Arial"/>
          <w:b/>
          <w:bCs/>
          <w:lang w:val="es-ES"/>
        </w:rPr>
        <w:t>Mipyme</w:t>
      </w:r>
      <w:proofErr w:type="spellEnd"/>
      <w:r w:rsidRPr="00FD76D5">
        <w:rPr>
          <w:rFonts w:ascii="Arial" w:hAnsi="Arial" w:cs="Arial"/>
          <w:b/>
          <w:bCs/>
          <w:lang w:val="es-ES"/>
        </w:rPr>
        <w:t xml:space="preserve"> nacionales en el Decreto 1860 de 2021</w:t>
      </w:r>
    </w:p>
    <w:p w14:paraId="6C861F85" w14:textId="77777777" w:rsidR="006C5583" w:rsidRDefault="006C5583" w:rsidP="006C5583">
      <w:pPr>
        <w:spacing w:after="0" w:line="276" w:lineRule="auto"/>
        <w:jc w:val="both"/>
        <w:rPr>
          <w:rFonts w:ascii="Arial" w:eastAsia="Times New Roman" w:hAnsi="Arial" w:cs="Arial"/>
          <w:color w:val="000000" w:themeColor="text1"/>
          <w:lang w:eastAsia="es-MX"/>
        </w:rPr>
      </w:pPr>
    </w:p>
    <w:p w14:paraId="70741F3C" w14:textId="77777777" w:rsidR="006C5583" w:rsidRPr="006B6658" w:rsidRDefault="006C5583" w:rsidP="006C5583">
      <w:pPr>
        <w:spacing w:after="120" w:line="276" w:lineRule="auto"/>
        <w:jc w:val="both"/>
        <w:rPr>
          <w:rFonts w:ascii="Arial" w:eastAsia="Arial" w:hAnsi="Arial" w:cs="Arial"/>
          <w:lang w:eastAsia="es-MX"/>
        </w:rPr>
      </w:pPr>
      <w:bookmarkStart w:id="3" w:name="_Hlk110840316"/>
      <w:r w:rsidRPr="006B6658">
        <w:rPr>
          <w:rFonts w:ascii="Arial" w:eastAsia="Times New Roman" w:hAnsi="Arial" w:cs="Arial"/>
          <w:color w:val="000000" w:themeColor="text1"/>
          <w:lang w:eastAsia="es-MX"/>
        </w:rPr>
        <w:t xml:space="preserve">El artículo 3 del Decreto 1860 de 2021, que adicionó </w:t>
      </w:r>
      <w:r w:rsidRPr="006B6658">
        <w:rPr>
          <w:rFonts w:ascii="Arial" w:eastAsia="Times New Roman" w:hAnsi="Arial" w:cs="Arial"/>
          <w:bCs/>
          <w:color w:val="000000" w:themeColor="text1"/>
          <w:lang w:eastAsia="es-MX"/>
        </w:rPr>
        <w:t xml:space="preserve">el artículo 2.2.1.2.4.2.18 al </w:t>
      </w:r>
      <w:r w:rsidRPr="006B6658">
        <w:rPr>
          <w:rFonts w:ascii="Arial" w:eastAsia="Times New Roman" w:hAnsi="Arial" w:cs="Arial"/>
          <w:lang w:eastAsia="es-MX"/>
        </w:rPr>
        <w:t xml:space="preserve">Decreto 1082 de 2015 regula los criterios diferenciales para </w:t>
      </w:r>
      <w:proofErr w:type="spellStart"/>
      <w:r w:rsidRPr="006B6658">
        <w:rPr>
          <w:rFonts w:ascii="Arial" w:eastAsia="Times New Roman" w:hAnsi="Arial" w:cs="Arial"/>
          <w:lang w:eastAsia="es-MX"/>
        </w:rPr>
        <w:t>Mipyme</w:t>
      </w:r>
      <w:proofErr w:type="spellEnd"/>
      <w:r w:rsidRPr="006B6658">
        <w:rPr>
          <w:rFonts w:ascii="Arial" w:eastAsia="Times New Roman" w:hAnsi="Arial" w:cs="Arial"/>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6B6658">
        <w:rPr>
          <w:rFonts w:ascii="Arial" w:eastAsia="Times New Roman" w:hAnsi="Arial" w:cs="Arial"/>
          <w:lang w:eastAsia="es-MX"/>
        </w:rPr>
        <w:t>Mipyme</w:t>
      </w:r>
      <w:proofErr w:type="spellEnd"/>
      <w:r w:rsidRPr="006B6658">
        <w:rPr>
          <w:rFonts w:ascii="Arial" w:eastAsia="Times New Roman" w:hAnsi="Arial" w:cs="Arial"/>
          <w:lang w:eastAsia="es-MX"/>
        </w:rPr>
        <w:t xml:space="preserve"> domiciliadas en Colombia. </w:t>
      </w:r>
    </w:p>
    <w:p w14:paraId="31DF2C9F" w14:textId="77777777" w:rsidR="006C5583" w:rsidRDefault="006C5583" w:rsidP="006C5583">
      <w:pPr>
        <w:spacing w:after="120" w:line="276" w:lineRule="auto"/>
        <w:jc w:val="both"/>
        <w:rPr>
          <w:rFonts w:ascii="Arial" w:eastAsia="Times New Roman" w:hAnsi="Arial" w:cs="Arial"/>
          <w:color w:val="000000" w:themeColor="text1"/>
          <w:lang w:eastAsia="es-MX"/>
        </w:rPr>
      </w:pPr>
      <w:r>
        <w:rPr>
          <w:rFonts w:ascii="Arial" w:eastAsia="Arial" w:hAnsi="Arial" w:cs="Arial"/>
          <w:lang w:eastAsia="es-MX"/>
        </w:rPr>
        <w:tab/>
      </w:r>
      <w:r w:rsidRPr="006B6658">
        <w:rPr>
          <w:rFonts w:ascii="Arial" w:eastAsia="Times New Roman" w:hAnsi="Arial" w:cs="Arial"/>
          <w:lang w:eastAsia="es-MX"/>
        </w:rPr>
        <w:t xml:space="preserve">Estos criterios en favor de las </w:t>
      </w:r>
      <w:proofErr w:type="spellStart"/>
      <w:r w:rsidRPr="006B6658">
        <w:rPr>
          <w:rFonts w:ascii="Arial" w:eastAsia="Times New Roman" w:hAnsi="Arial" w:cs="Arial"/>
          <w:lang w:eastAsia="es-MX"/>
        </w:rPr>
        <w:t>Mipyme</w:t>
      </w:r>
      <w:proofErr w:type="spellEnd"/>
      <w:r w:rsidRPr="006B6658">
        <w:rPr>
          <w:rFonts w:ascii="Arial" w:eastAsia="Times New Roman" w:hAnsi="Arial" w:cs="Arial"/>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6B6658">
        <w:rPr>
          <w:rFonts w:ascii="Arial" w:eastAsia="Times New Roman" w:hAnsi="Arial" w:cs="Arial"/>
          <w:lang w:eastAsia="es-MX"/>
        </w:rPr>
        <w:t>Mipyme</w:t>
      </w:r>
      <w:proofErr w:type="spellEnd"/>
      <w:r w:rsidRPr="006B6658">
        <w:rPr>
          <w:rFonts w:ascii="Arial" w:eastAsia="Times New Roman" w:hAnsi="Arial" w:cs="Arial"/>
          <w:lang w:eastAsia="es-MX"/>
        </w:rPr>
        <w:t xml:space="preserve"> domiciliadas en Colombia. Para estos efectos, el artículo </w:t>
      </w:r>
      <w:r w:rsidRPr="005B759B">
        <w:rPr>
          <w:rFonts w:ascii="Arial" w:eastAsia="Times New Roman" w:hAnsi="Arial" w:cs="Arial"/>
          <w:lang w:eastAsia="es-MX"/>
        </w:rPr>
        <w:t xml:space="preserve">2.2.1.2.4.2.18 del </w:t>
      </w:r>
      <w:r w:rsidRPr="006B6658">
        <w:rPr>
          <w:rFonts w:ascii="Arial" w:eastAsia="Times New Roman" w:hAnsi="Arial" w:cs="Arial"/>
          <w:lang w:eastAsia="es-MX"/>
        </w:rPr>
        <w:t xml:space="preserve">Decreto 1082 de 2015 estableció que, </w:t>
      </w:r>
      <w:r w:rsidRPr="005B759B">
        <w:rPr>
          <w:rFonts w:ascii="Arial" w:eastAsia="Times New Roman" w:hAnsi="Arial" w:cs="Arial"/>
          <w:lang w:eastAsia="es-MX"/>
        </w:rPr>
        <w:t xml:space="preserve">según los resultados del análisis del sector, </w:t>
      </w:r>
      <w:r w:rsidRPr="006B6658">
        <w:rPr>
          <w:rFonts w:ascii="Arial" w:eastAsia="Times New Roman" w:hAnsi="Arial" w:cs="Arial"/>
          <w:lang w:eastAsia="es-MX"/>
        </w:rPr>
        <w:t xml:space="preserve">en función de los criterios de clasificación empresarial, los documentos del proceso deberán incorporar </w:t>
      </w:r>
      <w:r w:rsidRPr="006B6658">
        <w:rPr>
          <w:rFonts w:ascii="Arial" w:eastAsia="Times New Roman" w:hAnsi="Arial" w:cs="Arial"/>
          <w:color w:val="000000" w:themeColor="text1"/>
          <w:lang w:eastAsia="es-MX"/>
        </w:rPr>
        <w:t xml:space="preserve">requisitos habilitantes diferenciales relacionados con alguno o algunos de los siguientes aspectos: i) tiempo de experiencia, </w:t>
      </w:r>
      <w:proofErr w:type="spellStart"/>
      <w:r w:rsidRPr="006B6658">
        <w:rPr>
          <w:rFonts w:ascii="Arial" w:eastAsia="Times New Roman" w:hAnsi="Arial" w:cs="Arial"/>
          <w:color w:val="000000" w:themeColor="text1"/>
          <w:lang w:eastAsia="es-MX"/>
        </w:rPr>
        <w:lastRenderedPageBreak/>
        <w:t>ii</w:t>
      </w:r>
      <w:proofErr w:type="spellEnd"/>
      <w:r w:rsidRPr="006B6658">
        <w:rPr>
          <w:rFonts w:ascii="Arial" w:eastAsia="Times New Roman" w:hAnsi="Arial" w:cs="Arial"/>
          <w:color w:val="000000" w:themeColor="text1"/>
          <w:lang w:eastAsia="es-MX"/>
        </w:rPr>
        <w:t xml:space="preserve">) número de contratos para la acreditación de la experiencia, </w:t>
      </w:r>
      <w:proofErr w:type="spellStart"/>
      <w:r w:rsidRPr="006B6658">
        <w:rPr>
          <w:rFonts w:ascii="Arial" w:eastAsia="Times New Roman" w:hAnsi="Arial" w:cs="Arial"/>
          <w:color w:val="000000" w:themeColor="text1"/>
          <w:lang w:eastAsia="es-MX"/>
        </w:rPr>
        <w:t>iii</w:t>
      </w:r>
      <w:proofErr w:type="spellEnd"/>
      <w:r w:rsidRPr="006B6658">
        <w:rPr>
          <w:rFonts w:ascii="Arial" w:eastAsia="Times New Roman" w:hAnsi="Arial" w:cs="Arial"/>
          <w:color w:val="000000" w:themeColor="text1"/>
          <w:lang w:eastAsia="es-MX"/>
        </w:rPr>
        <w:t xml:space="preserve">) índices de capacidad financiera, </w:t>
      </w:r>
      <w:proofErr w:type="spellStart"/>
      <w:r w:rsidRPr="006B6658">
        <w:rPr>
          <w:rFonts w:ascii="Arial" w:eastAsia="Times New Roman" w:hAnsi="Arial" w:cs="Arial"/>
          <w:color w:val="000000" w:themeColor="text1"/>
          <w:lang w:eastAsia="es-MX"/>
        </w:rPr>
        <w:t>iv</w:t>
      </w:r>
      <w:proofErr w:type="spellEnd"/>
      <w:r w:rsidRPr="006B6658">
        <w:rPr>
          <w:rFonts w:ascii="Arial" w:eastAsia="Times New Roman" w:hAnsi="Arial" w:cs="Arial"/>
          <w:color w:val="000000" w:themeColor="text1"/>
          <w:lang w:eastAsia="es-MX"/>
        </w:rPr>
        <w:t xml:space="preserve">) índices de capacidad organizacional y v) valor de la garantía de seriedad de la oferta. </w:t>
      </w:r>
    </w:p>
    <w:p w14:paraId="59BF91EC" w14:textId="77777777" w:rsidR="006C5583" w:rsidRPr="006B6658" w:rsidRDefault="006C5583" w:rsidP="006C5583">
      <w:pPr>
        <w:spacing w:after="120" w:line="276" w:lineRule="auto"/>
        <w:ind w:firstLine="708"/>
        <w:jc w:val="both"/>
        <w:rPr>
          <w:rFonts w:ascii="Arial" w:eastAsia="Times New Roman" w:hAnsi="Arial" w:cs="Arial"/>
          <w:lang w:eastAsia="es-MX"/>
        </w:rPr>
      </w:pPr>
      <w:r>
        <w:rPr>
          <w:rFonts w:ascii="Arial" w:eastAsia="Times New Roman" w:hAnsi="Arial" w:cs="Arial"/>
          <w:color w:val="000000" w:themeColor="text1"/>
          <w:lang w:eastAsia="es-MX"/>
        </w:rPr>
        <w:t xml:space="preserve">Lo anterior </w:t>
      </w:r>
      <w:r w:rsidRPr="006B6658">
        <w:rPr>
          <w:rFonts w:ascii="Arial" w:eastAsia="Times New Roman" w:hAnsi="Arial" w:cs="Arial"/>
          <w:color w:val="000000" w:themeColor="text1"/>
          <w:lang w:eastAsia="es-MX"/>
        </w:rPr>
        <w:t xml:space="preserve">significa que para la determinación de los criterios diferenciales para </w:t>
      </w:r>
      <w:proofErr w:type="spellStart"/>
      <w:r w:rsidRPr="006B6658">
        <w:rPr>
          <w:rFonts w:ascii="Arial" w:eastAsia="Times New Roman" w:hAnsi="Arial" w:cs="Arial"/>
          <w:color w:val="000000" w:themeColor="text1"/>
          <w:lang w:eastAsia="es-MX"/>
        </w:rPr>
        <w:t>Mipyme</w:t>
      </w:r>
      <w:proofErr w:type="spellEnd"/>
      <w:r w:rsidRPr="006B6658">
        <w:rPr>
          <w:rFonts w:ascii="Arial" w:eastAsia="Times New Roman" w:hAnsi="Arial" w:cs="Arial"/>
          <w:color w:val="000000" w:themeColor="text1"/>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6B6658">
        <w:rPr>
          <w:rFonts w:ascii="Arial" w:eastAsia="Times New Roman" w:hAnsi="Arial" w:cs="Arial"/>
          <w:color w:val="000000" w:themeColor="text1"/>
          <w:lang w:eastAsia="es-MX"/>
        </w:rPr>
        <w:t>Mipyme</w:t>
      </w:r>
      <w:proofErr w:type="spellEnd"/>
      <w:r w:rsidRPr="006B6658">
        <w:rPr>
          <w:rFonts w:ascii="Arial" w:eastAsia="Times New Roman" w:hAnsi="Arial" w:cs="Arial"/>
          <w:color w:val="000000" w:themeColor="text1"/>
          <w:lang w:eastAsia="es-MX"/>
        </w:rPr>
        <w:t xml:space="preserve">. </w:t>
      </w:r>
    </w:p>
    <w:bookmarkEnd w:id="3"/>
    <w:p w14:paraId="254DF37C" w14:textId="77777777" w:rsidR="006C5583" w:rsidRPr="006B6658" w:rsidRDefault="006C5583" w:rsidP="006C5583">
      <w:pPr>
        <w:spacing w:after="120" w:line="276" w:lineRule="auto"/>
        <w:ind w:firstLine="708"/>
        <w:jc w:val="both"/>
        <w:rPr>
          <w:rFonts w:ascii="Arial" w:eastAsia="Times New Roman" w:hAnsi="Arial" w:cs="Arial"/>
          <w:color w:val="000000" w:themeColor="text1"/>
          <w:lang w:eastAsia="es-MX"/>
        </w:rPr>
      </w:pPr>
      <w:r w:rsidRPr="006B6658">
        <w:rPr>
          <w:rFonts w:ascii="Arial" w:eastAsia="Times New Roman" w:hAnsi="Arial" w:cs="Arial"/>
          <w:lang w:eastAsia="es-MX"/>
        </w:rPr>
        <w:t xml:space="preserve">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w:t>
      </w:r>
      <w:r w:rsidRPr="006B6658">
        <w:rPr>
          <w:rFonts w:ascii="Arial" w:eastAsia="Times New Roman" w:hAnsi="Arial" w:cs="Arial"/>
          <w:color w:val="000000" w:themeColor="text1"/>
          <w:lang w:eastAsia="es-MX"/>
        </w:rPr>
        <w:t xml:space="preserve">Esto con el objeto de que la aplicación del incentivo no vaya en desmedro de la escogencia de la oferta más favorable para la entidad, conforme el deber de selección objetiva exige, </w:t>
      </w:r>
      <w:r>
        <w:rPr>
          <w:rFonts w:ascii="Arial" w:eastAsia="Times New Roman" w:hAnsi="Arial" w:cs="Arial"/>
          <w:color w:val="000000" w:themeColor="text1"/>
          <w:lang w:eastAsia="es-MX"/>
        </w:rPr>
        <w:t>por</w:t>
      </w:r>
      <w:r w:rsidRPr="006B6658">
        <w:rPr>
          <w:rFonts w:ascii="Arial" w:eastAsia="Times New Roman" w:hAnsi="Arial" w:cs="Arial"/>
          <w:color w:val="000000" w:themeColor="text1"/>
          <w:lang w:eastAsia="es-MX"/>
        </w:rPr>
        <w:t xml:space="preserve"> lo que </w:t>
      </w:r>
      <w:r>
        <w:rPr>
          <w:rFonts w:ascii="Arial" w:eastAsia="Times New Roman" w:hAnsi="Arial" w:cs="Arial"/>
          <w:color w:val="000000" w:themeColor="text1"/>
          <w:lang w:eastAsia="es-MX"/>
        </w:rPr>
        <w:t xml:space="preserve">el reglamento estimó como </w:t>
      </w:r>
      <w:r w:rsidRPr="006B6658">
        <w:rPr>
          <w:rFonts w:ascii="Arial" w:eastAsia="Times New Roman" w:hAnsi="Arial" w:cs="Arial"/>
          <w:color w:val="000000" w:themeColor="text1"/>
          <w:lang w:eastAsia="es-MX"/>
        </w:rPr>
        <w:t xml:space="preserve">adecuado el porcentaje señalado. </w:t>
      </w:r>
    </w:p>
    <w:p w14:paraId="3A82B357" w14:textId="77777777" w:rsidR="006C5583" w:rsidRDefault="006C5583" w:rsidP="006C5583">
      <w:pPr>
        <w:spacing w:after="0" w:line="276" w:lineRule="auto"/>
        <w:ind w:firstLine="708"/>
        <w:jc w:val="both"/>
        <w:rPr>
          <w:rFonts w:ascii="Arial" w:eastAsia="Times New Roman" w:hAnsi="Arial" w:cs="Arial"/>
          <w:color w:val="000000" w:themeColor="text1"/>
          <w:lang w:eastAsia="es-MX"/>
        </w:rPr>
      </w:pPr>
      <w:r w:rsidRPr="006B6658">
        <w:rPr>
          <w:rFonts w:ascii="Arial" w:eastAsia="Times New Roman" w:hAnsi="Arial"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6B6658">
        <w:rPr>
          <w:rFonts w:ascii="Arial" w:eastAsia="Times New Roman" w:hAnsi="Arial" w:cs="Arial"/>
          <w:lang w:eastAsia="es-MX"/>
        </w:rPr>
        <w:t>Mipyme</w:t>
      </w:r>
      <w:proofErr w:type="spellEnd"/>
      <w:r w:rsidRPr="006B6658">
        <w:rPr>
          <w:rFonts w:ascii="Arial" w:eastAsia="Times New Roman" w:hAnsi="Arial" w:cs="Arial"/>
          <w:lang w:eastAsia="es-MX"/>
        </w:rPr>
        <w:t xml:space="preserve"> y tiene una participación igual o superior al diez por ciento (10%) en el consorcio o en la unión temporal.</w:t>
      </w:r>
      <w:r>
        <w:rPr>
          <w:rFonts w:ascii="Arial" w:eastAsia="Times New Roman" w:hAnsi="Arial" w:cs="Arial"/>
          <w:lang w:eastAsia="es-MX"/>
        </w:rPr>
        <w:t xml:space="preserve"> Así mismo, </w:t>
      </w:r>
      <w:r w:rsidRPr="006B6658">
        <w:rPr>
          <w:rFonts w:ascii="Arial" w:eastAsia="Times New Roman" w:hAnsi="Arial" w:cs="Arial"/>
          <w:lang w:eastAsia="es-MX"/>
        </w:rPr>
        <w:t xml:space="preserve">de conformidad con el parágrafo 3 del artículo </w:t>
      </w:r>
      <w:r w:rsidRPr="006B6658">
        <w:rPr>
          <w:rFonts w:ascii="Arial" w:eastAsia="Times New Roman" w:hAnsi="Arial" w:cs="Arial"/>
          <w:bCs/>
          <w:lang w:eastAsia="es-MX"/>
        </w:rPr>
        <w:t xml:space="preserve">2.2.1.2.4.2.18 del </w:t>
      </w:r>
      <w:r w:rsidRPr="006B6658">
        <w:rPr>
          <w:rFonts w:ascii="Arial" w:eastAsia="Times New Roman" w:hAnsi="Arial" w:cs="Arial"/>
          <w:lang w:eastAsia="es-MX"/>
        </w:rPr>
        <w:t>Decreto 1082 de 2015 los criterios diferenciales y puntajes adicionales en favor de las micro, pequeñas y medianas empresas no</w:t>
      </w:r>
      <w:r w:rsidRPr="006B6658">
        <w:rPr>
          <w:rFonts w:ascii="Arial" w:eastAsia="Times New Roman" w:hAnsi="Arial" w:cs="Arial"/>
          <w:color w:val="000000" w:themeColor="text1"/>
          <w:lang w:eastAsia="es-MX"/>
        </w:rPr>
        <w:t xml:space="preserve"> se aplicarán cuando se limiten las convocatorias a </w:t>
      </w:r>
      <w:proofErr w:type="spellStart"/>
      <w:r w:rsidRPr="006B6658">
        <w:rPr>
          <w:rFonts w:ascii="Arial" w:eastAsia="Times New Roman" w:hAnsi="Arial" w:cs="Arial"/>
          <w:color w:val="000000" w:themeColor="text1"/>
          <w:lang w:eastAsia="es-MX"/>
        </w:rPr>
        <w:t>Mipyme</w:t>
      </w:r>
      <w:proofErr w:type="spellEnd"/>
      <w:r w:rsidRPr="006B6658">
        <w:rPr>
          <w:rFonts w:ascii="Arial" w:eastAsia="Times New Roman" w:hAnsi="Arial" w:cs="Arial"/>
          <w:color w:val="000000" w:themeColor="text1"/>
          <w:lang w:eastAsia="es-MX"/>
        </w:rPr>
        <w:t xml:space="preserve"> en los términos de los artículos 2.2.1.2.4.2.2 y 2.2.1.2.4.2.3 de este Decreto. </w:t>
      </w:r>
    </w:p>
    <w:p w14:paraId="4326DB89" w14:textId="77777777" w:rsidR="006C5583" w:rsidRPr="006B6658" w:rsidRDefault="006C5583" w:rsidP="006C5583">
      <w:pPr>
        <w:spacing w:after="0" w:line="276" w:lineRule="auto"/>
        <w:ind w:firstLine="708"/>
        <w:jc w:val="both"/>
        <w:rPr>
          <w:rFonts w:ascii="Arial" w:eastAsia="Times New Roman" w:hAnsi="Arial" w:cs="Arial"/>
          <w:color w:val="000000" w:themeColor="text1"/>
          <w:lang w:eastAsia="es-MX"/>
        </w:rPr>
      </w:pPr>
    </w:p>
    <w:p w14:paraId="44C0E2D2" w14:textId="77777777" w:rsidR="006C5583" w:rsidRPr="005B759B" w:rsidRDefault="006C5583" w:rsidP="006C5583">
      <w:pPr>
        <w:spacing w:after="0"/>
        <w:jc w:val="both"/>
        <w:rPr>
          <w:rFonts w:ascii="Arial" w:hAnsi="Arial" w:cs="Arial"/>
          <w:b/>
          <w:lang w:val="es-ES"/>
        </w:rPr>
      </w:pPr>
      <w:r>
        <w:rPr>
          <w:rFonts w:ascii="Arial" w:hAnsi="Arial" w:cs="Arial"/>
          <w:b/>
          <w:lang w:val="es-ES"/>
        </w:rPr>
        <w:t xml:space="preserve">2.3.2. </w:t>
      </w:r>
      <w:r w:rsidRPr="005B759B">
        <w:rPr>
          <w:rFonts w:ascii="Arial" w:hAnsi="Arial" w:cs="Arial"/>
          <w:b/>
          <w:lang w:val="es-ES"/>
        </w:rPr>
        <w:t>La regulación de los criterios diferenciales en favor de los emprendimientos y empresas de mujeres en el Decreto 1860 de 2021</w:t>
      </w:r>
    </w:p>
    <w:p w14:paraId="36CA7A24" w14:textId="77777777" w:rsidR="006C5583" w:rsidRPr="00727F2C" w:rsidRDefault="006C5583" w:rsidP="006C5583">
      <w:pPr>
        <w:spacing w:after="0" w:line="240" w:lineRule="auto"/>
        <w:jc w:val="both"/>
        <w:rPr>
          <w:rFonts w:ascii="Geomanist Light" w:eastAsia="Calibri" w:hAnsi="Geomanist Light" w:cs="Calibri"/>
          <w:b/>
          <w:color w:val="002060"/>
          <w:sz w:val="24"/>
          <w:lang w:val="es-ES" w:eastAsia="es-CO"/>
        </w:rPr>
      </w:pPr>
    </w:p>
    <w:p w14:paraId="10BC877B" w14:textId="77777777" w:rsidR="006C5583" w:rsidRPr="006B6658" w:rsidRDefault="006C5583" w:rsidP="006C5583">
      <w:pPr>
        <w:spacing w:after="120" w:line="276" w:lineRule="auto"/>
        <w:jc w:val="both"/>
        <w:rPr>
          <w:rFonts w:ascii="Arial" w:eastAsia="Arial" w:hAnsi="Arial" w:cs="Arial"/>
          <w:szCs w:val="24"/>
          <w:lang w:eastAsia="es-MX"/>
        </w:rPr>
      </w:pPr>
      <w:bookmarkStart w:id="4" w:name="_Hlk99965062"/>
      <w:r w:rsidRPr="006B6658">
        <w:rPr>
          <w:rFonts w:ascii="Arial" w:eastAsia="Times New Roman" w:hAnsi="Arial" w:cs="Arial"/>
          <w:szCs w:val="24"/>
          <w:lang w:eastAsia="es-MX"/>
        </w:rPr>
        <w:t xml:space="preserve">Como primer presupuesto para la regulación de los criterios diferenciales </w:t>
      </w:r>
      <w:r>
        <w:rPr>
          <w:rFonts w:ascii="Arial" w:eastAsia="Times New Roman" w:hAnsi="Arial" w:cs="Arial"/>
          <w:szCs w:val="24"/>
          <w:lang w:eastAsia="es-MX"/>
        </w:rPr>
        <w:t>en</w:t>
      </w:r>
      <w:r w:rsidRPr="006B6658">
        <w:rPr>
          <w:rFonts w:ascii="Arial" w:eastAsia="Times New Roman" w:hAnsi="Arial" w:cs="Arial"/>
          <w:szCs w:val="24"/>
          <w:lang w:eastAsia="es-MX"/>
        </w:rPr>
        <w:t xml:space="preserve"> favor de los </w:t>
      </w:r>
      <w:r w:rsidRPr="006B6658">
        <w:rPr>
          <w:rFonts w:ascii="Arial" w:eastAsia="Times New Roman" w:hAnsi="Arial" w:cs="Arial"/>
          <w:color w:val="000000" w:themeColor="text1"/>
          <w:szCs w:val="24"/>
          <w:lang w:eastAsia="es-MX"/>
        </w:rPr>
        <w:t>emprendimientos y empresas de mujeres, el artículo el 3 del Decreto 1860 de 2021, que adicionó el artículo 2.2.1.2.4.2.14</w:t>
      </w:r>
      <w:r>
        <w:rPr>
          <w:rStyle w:val="Refdenotaalpie"/>
          <w:rFonts w:ascii="Arial" w:eastAsia="Times New Roman" w:hAnsi="Arial" w:cs="Arial"/>
          <w:color w:val="000000" w:themeColor="text1"/>
          <w:szCs w:val="24"/>
          <w:lang w:eastAsia="es-MX"/>
        </w:rPr>
        <w:footnoteReference w:id="7"/>
      </w:r>
      <w:r w:rsidRPr="006B6658">
        <w:rPr>
          <w:rFonts w:ascii="Arial" w:eastAsia="Times New Roman" w:hAnsi="Arial" w:cs="Arial"/>
          <w:color w:val="000000" w:themeColor="text1"/>
          <w:szCs w:val="24"/>
          <w:lang w:eastAsia="es-MX"/>
        </w:rPr>
        <w:t xml:space="preserve"> a</w:t>
      </w:r>
      <w:bookmarkStart w:id="5" w:name="_Hlk95815294"/>
      <w:r w:rsidRPr="006B6658">
        <w:rPr>
          <w:rFonts w:ascii="Arial" w:eastAsia="Times New Roman" w:hAnsi="Arial" w:cs="Arial"/>
          <w:color w:val="000000" w:themeColor="text1"/>
          <w:szCs w:val="24"/>
          <w:lang w:eastAsia="es-MX"/>
        </w:rPr>
        <w:t xml:space="preserve">l </w:t>
      </w:r>
      <w:r w:rsidRPr="006B6658">
        <w:rPr>
          <w:rFonts w:ascii="Arial" w:eastAsia="Times New Roman" w:hAnsi="Arial" w:cs="Arial"/>
          <w:szCs w:val="24"/>
          <w:lang w:eastAsia="es-MX"/>
        </w:rPr>
        <w:t>Decreto 1082 de 2015</w:t>
      </w:r>
      <w:bookmarkEnd w:id="5"/>
      <w:r w:rsidRPr="006B6658">
        <w:rPr>
          <w:rFonts w:ascii="Arial" w:eastAsia="Times New Roman" w:hAnsi="Arial" w:cs="Arial"/>
          <w:szCs w:val="24"/>
          <w:lang w:eastAsia="es-MX"/>
        </w:rPr>
        <w:t xml:space="preserve">, </w:t>
      </w:r>
      <w:r w:rsidRPr="006B6658">
        <w:rPr>
          <w:rFonts w:ascii="Arial" w:eastAsia="Times New Roman" w:hAnsi="Arial" w:cs="Arial"/>
          <w:color w:val="000000" w:themeColor="text1"/>
          <w:szCs w:val="24"/>
          <w:lang w:eastAsia="es-MX"/>
        </w:rPr>
        <w:t xml:space="preserve">incorpora la definición </w:t>
      </w:r>
      <w:r w:rsidRPr="006B6658">
        <w:rPr>
          <w:rFonts w:ascii="Arial" w:eastAsia="Times New Roman" w:hAnsi="Arial" w:cs="Arial"/>
          <w:color w:val="000000" w:themeColor="text1"/>
          <w:szCs w:val="24"/>
          <w:lang w:eastAsia="es-MX"/>
        </w:rPr>
        <w:lastRenderedPageBreak/>
        <w:t xml:space="preserve">de emprendimientos y empresas de mujeres para que puedan aplicarse los criterios diferenciales. </w:t>
      </w:r>
      <w:r w:rsidRPr="006B6658">
        <w:rPr>
          <w:rFonts w:ascii="Arial" w:eastAsia="Arial" w:hAnsi="Arial" w:cs="Arial"/>
          <w:szCs w:val="24"/>
          <w:lang w:eastAsia="es-MX"/>
        </w:rPr>
        <w:t xml:space="preserve">De esta manera,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2BA62957" w14:textId="77777777" w:rsidR="006C5583" w:rsidRPr="006B6658" w:rsidRDefault="006C5583" w:rsidP="006C5583">
      <w:pPr>
        <w:spacing w:after="120" w:line="276" w:lineRule="auto"/>
        <w:ind w:firstLine="708"/>
        <w:jc w:val="both"/>
        <w:rPr>
          <w:rFonts w:ascii="Arial" w:eastAsia="Times New Roman" w:hAnsi="Arial" w:cs="Arial"/>
          <w:szCs w:val="24"/>
          <w:lang w:eastAsia="es-MX"/>
        </w:rPr>
      </w:pPr>
      <w:r w:rsidRPr="006B6658">
        <w:rPr>
          <w:rFonts w:ascii="Arial" w:eastAsia="Times New Roman" w:hAnsi="Arial" w:cs="Arial"/>
          <w:color w:val="000000" w:themeColor="text1"/>
          <w:szCs w:val="24"/>
          <w:lang w:eastAsia="es-MX"/>
        </w:rPr>
        <w:t xml:space="preserve">Por otro lado, el artículo 3 del Decreto 1860 de 2021 adicionó </w:t>
      </w:r>
      <w:r w:rsidRPr="006B6658">
        <w:rPr>
          <w:rFonts w:ascii="Arial" w:eastAsia="Times New Roman" w:hAnsi="Arial" w:cs="Arial"/>
          <w:bCs/>
          <w:color w:val="000000" w:themeColor="text1"/>
          <w:szCs w:val="24"/>
          <w:lang w:eastAsia="es-MX"/>
        </w:rPr>
        <w:t>el artículo 2.2.1.2.4.2.15</w:t>
      </w:r>
      <w:r>
        <w:rPr>
          <w:rStyle w:val="Refdenotaalpie"/>
          <w:rFonts w:ascii="Arial" w:eastAsia="Times New Roman" w:hAnsi="Arial" w:cs="Arial"/>
          <w:bCs/>
          <w:color w:val="000000" w:themeColor="text1"/>
          <w:szCs w:val="24"/>
          <w:lang w:eastAsia="es-MX"/>
        </w:rPr>
        <w:footnoteReference w:id="8"/>
      </w:r>
      <w:r w:rsidRPr="006B6658">
        <w:rPr>
          <w:rFonts w:ascii="Arial" w:eastAsia="Times New Roman" w:hAnsi="Arial" w:cs="Arial"/>
          <w:bCs/>
          <w:color w:val="000000" w:themeColor="text1"/>
          <w:szCs w:val="24"/>
          <w:lang w:eastAsia="es-MX"/>
        </w:rPr>
        <w:t xml:space="preserve"> al </w:t>
      </w:r>
      <w:r w:rsidRPr="006B6658">
        <w:rPr>
          <w:rFonts w:ascii="Arial" w:eastAsia="Times New Roman" w:hAnsi="Arial" w:cs="Arial"/>
          <w:szCs w:val="24"/>
          <w:lang w:eastAsia="es-MX"/>
        </w:rPr>
        <w:t xml:space="preserve">Decreto 1082 de 2015 que estableció </w:t>
      </w:r>
      <w:r w:rsidRPr="006B6658">
        <w:rPr>
          <w:rFonts w:ascii="Arial" w:eastAsia="Times New Roman" w:hAnsi="Arial" w:cs="Arial"/>
          <w:color w:val="000000" w:themeColor="text1"/>
          <w:szCs w:val="24"/>
          <w:lang w:eastAsia="es-MX"/>
        </w:rPr>
        <w:t xml:space="preserve">unas reglas objetivas que </w:t>
      </w:r>
      <w:r w:rsidRPr="006B6658">
        <w:rPr>
          <w:rFonts w:ascii="Arial" w:eastAsia="Times New Roman" w:hAnsi="Arial" w:cs="Arial"/>
          <w:color w:val="000000" w:themeColor="text1"/>
          <w:szCs w:val="24"/>
          <w:lang w:eastAsia="es-MX"/>
        </w:rPr>
        <w:lastRenderedPageBreak/>
        <w:t xml:space="preserve">garantizan una aplicación uniforme de los criterios diferenciales a favor de empresas y emprendimientos de mujeres. </w:t>
      </w:r>
      <w:r>
        <w:rPr>
          <w:rFonts w:ascii="Arial" w:eastAsia="Times New Roman" w:hAnsi="Arial" w:cs="Arial"/>
          <w:szCs w:val="24"/>
          <w:lang w:eastAsia="es-MX"/>
        </w:rPr>
        <w:t>De esta forma, se dispuso de</w:t>
      </w:r>
      <w:r w:rsidRPr="006B6658">
        <w:rPr>
          <w:rFonts w:ascii="Arial" w:eastAsia="Times New Roman" w:hAnsi="Arial" w:cs="Arial"/>
          <w:szCs w:val="24"/>
          <w:lang w:eastAsia="es-MX"/>
        </w:rPr>
        <w:t xml:space="preserve"> criterios diferenciales que incluyen tanto las condiciones habilitantes como los puntajes adicionales </w:t>
      </w:r>
      <w:r>
        <w:rPr>
          <w:rFonts w:ascii="Arial" w:eastAsia="Times New Roman" w:hAnsi="Arial" w:cs="Arial"/>
          <w:szCs w:val="24"/>
          <w:lang w:eastAsia="es-MX"/>
        </w:rPr>
        <w:t xml:space="preserve">que </w:t>
      </w:r>
      <w:r w:rsidRPr="006B6658">
        <w:rPr>
          <w:rFonts w:ascii="Arial" w:eastAsia="Times New Roman" w:hAnsi="Arial" w:cs="Arial"/>
          <w:szCs w:val="24"/>
          <w:lang w:eastAsia="es-MX"/>
        </w:rPr>
        <w:t xml:space="preserve">aplican a los procesos de licitación pública, selección abreviada de menor cuantía y concurso de méritos, excluyendo las demás modalidades de selección del artículo 2 de la Ley 1150 de 2007, esto es, a la mínima cuantía y a la contratación directa. </w:t>
      </w:r>
    </w:p>
    <w:p w14:paraId="208CB62A" w14:textId="77777777" w:rsidR="006C5583" w:rsidRDefault="006C5583" w:rsidP="006C5583">
      <w:pPr>
        <w:spacing w:after="120" w:line="276" w:lineRule="auto"/>
        <w:ind w:firstLine="708"/>
        <w:jc w:val="both"/>
        <w:rPr>
          <w:rFonts w:ascii="Arial" w:eastAsia="Times New Roman" w:hAnsi="Arial" w:cs="Arial"/>
          <w:szCs w:val="24"/>
          <w:lang w:eastAsia="es-MX"/>
        </w:rPr>
      </w:pPr>
      <w:r w:rsidRPr="006B6658">
        <w:rPr>
          <w:rFonts w:ascii="Arial" w:eastAsia="Times New Roman" w:hAnsi="Arial" w:cs="Arial"/>
          <w:szCs w:val="24"/>
          <w:lang w:eastAsia="es-MX"/>
        </w:rPr>
        <w:t xml:space="preserve">En este sentido, de manera análoga a lo dispuesto en la regulación de los criterios diferenciales para </w:t>
      </w:r>
      <w:proofErr w:type="spellStart"/>
      <w:r w:rsidRPr="006B6658">
        <w:rPr>
          <w:rFonts w:ascii="Arial" w:eastAsia="Times New Roman" w:hAnsi="Arial" w:cs="Arial"/>
          <w:szCs w:val="24"/>
          <w:lang w:eastAsia="es-MX"/>
        </w:rPr>
        <w:t>Mipyme</w:t>
      </w:r>
      <w:proofErr w:type="spellEnd"/>
      <w:r w:rsidRPr="006B6658">
        <w:rPr>
          <w:rFonts w:ascii="Arial" w:eastAsia="Times New Roman" w:hAnsi="Arial" w:cs="Arial"/>
          <w:szCs w:val="24"/>
          <w:lang w:eastAsia="es-MX"/>
        </w:rPr>
        <w:t xml:space="preserve">, se determinó que en los documentos del proceso </w:t>
      </w:r>
      <w:r>
        <w:rPr>
          <w:rFonts w:ascii="Arial" w:eastAsia="Times New Roman" w:hAnsi="Arial" w:cs="Arial"/>
          <w:szCs w:val="24"/>
          <w:lang w:eastAsia="es-MX"/>
        </w:rPr>
        <w:t xml:space="preserve">se </w:t>
      </w:r>
      <w:r w:rsidRPr="006B6658">
        <w:rPr>
          <w:rFonts w:ascii="Arial" w:eastAsia="Times New Roman" w:hAnsi="Arial" w:cs="Arial"/>
          <w:szCs w:val="24"/>
          <w:lang w:eastAsia="es-MX"/>
        </w:rPr>
        <w:t xml:space="preserve">deben incorporar requisitos habilitantes diferenciales para los emprendimientos y empresas de mujeres relacionados con alguno o algunos de los siguientes aspectos: i) tiempo de experiencia, </w:t>
      </w:r>
      <w:proofErr w:type="spellStart"/>
      <w:r w:rsidRPr="006B6658">
        <w:rPr>
          <w:rFonts w:ascii="Arial" w:eastAsia="Times New Roman" w:hAnsi="Arial" w:cs="Arial"/>
          <w:szCs w:val="24"/>
          <w:lang w:eastAsia="es-MX"/>
        </w:rPr>
        <w:t>ii</w:t>
      </w:r>
      <w:proofErr w:type="spellEnd"/>
      <w:r w:rsidRPr="006B6658">
        <w:rPr>
          <w:rFonts w:ascii="Arial" w:eastAsia="Times New Roman" w:hAnsi="Arial" w:cs="Arial"/>
          <w:szCs w:val="24"/>
          <w:lang w:eastAsia="es-MX"/>
        </w:rPr>
        <w:t xml:space="preserve">) número de contratos para la acreditación de la experiencia, </w:t>
      </w:r>
      <w:proofErr w:type="spellStart"/>
      <w:r w:rsidRPr="006B6658">
        <w:rPr>
          <w:rFonts w:ascii="Arial" w:eastAsia="Times New Roman" w:hAnsi="Arial" w:cs="Arial"/>
          <w:szCs w:val="24"/>
          <w:lang w:eastAsia="es-MX"/>
        </w:rPr>
        <w:t>iii</w:t>
      </w:r>
      <w:proofErr w:type="spellEnd"/>
      <w:r w:rsidRPr="006B6658">
        <w:rPr>
          <w:rFonts w:ascii="Arial" w:eastAsia="Times New Roman" w:hAnsi="Arial" w:cs="Arial"/>
          <w:szCs w:val="24"/>
          <w:lang w:eastAsia="es-MX"/>
        </w:rPr>
        <w:t xml:space="preserve">) índices de capacidad financiera, </w:t>
      </w:r>
      <w:proofErr w:type="spellStart"/>
      <w:r w:rsidRPr="006B6658">
        <w:rPr>
          <w:rFonts w:ascii="Arial" w:eastAsia="Times New Roman" w:hAnsi="Arial" w:cs="Arial"/>
          <w:szCs w:val="24"/>
          <w:lang w:eastAsia="es-MX"/>
        </w:rPr>
        <w:t>iv</w:t>
      </w:r>
      <w:proofErr w:type="spellEnd"/>
      <w:r w:rsidRPr="006B6658">
        <w:rPr>
          <w:rFonts w:ascii="Arial" w:eastAsia="Times New Roman" w:hAnsi="Arial" w:cs="Arial"/>
          <w:szCs w:val="24"/>
          <w:lang w:eastAsia="es-MX"/>
        </w:rPr>
        <w:t xml:space="preserve">) índices de capacidad organizacional y v) valor de la garantía de seriedad de la oferta. </w:t>
      </w:r>
      <w:bookmarkEnd w:id="4"/>
    </w:p>
    <w:p w14:paraId="51352EA4" w14:textId="77777777" w:rsidR="006C5583" w:rsidRPr="006B6658" w:rsidRDefault="006C5583" w:rsidP="006C5583">
      <w:pPr>
        <w:spacing w:after="120" w:line="276" w:lineRule="auto"/>
        <w:ind w:firstLine="708"/>
        <w:jc w:val="both"/>
        <w:rPr>
          <w:rFonts w:ascii="Arial" w:eastAsia="Times New Roman" w:hAnsi="Arial" w:cs="Arial"/>
          <w:color w:val="000000" w:themeColor="text1"/>
          <w:szCs w:val="24"/>
          <w:lang w:eastAsia="es-MX"/>
        </w:rPr>
      </w:pPr>
      <w:r w:rsidRPr="006B6658">
        <w:rPr>
          <w:rFonts w:ascii="Arial" w:eastAsia="Times New Roman" w:hAnsi="Arial" w:cs="Arial"/>
          <w:szCs w:val="24"/>
          <w:lang w:eastAsia="es-MX"/>
        </w:rPr>
        <w:t xml:space="preserve">Igualmente, el decreto dispone que, con excepción de los procedimientos de selección donde el menor precio ofrecido sea el único factor de evaluación, las entidades otorgarán un puntaje adicional hasta el cero punto veinticinco por ciento (0.25%) del valor total de los puntos establecidos en los pliegos de condiciones o documentos </w:t>
      </w:r>
      <w:r w:rsidRPr="006B6658">
        <w:rPr>
          <w:rFonts w:ascii="Arial" w:eastAsia="Times New Roman" w:hAnsi="Arial" w:cs="Arial"/>
          <w:szCs w:val="24"/>
          <w:lang w:eastAsia="es-MX"/>
        </w:rPr>
        <w:lastRenderedPageBreak/>
        <w:t xml:space="preserve">equivalentes, a los proponentes que acrediten alguno de los supuestos señalados en el artículo </w:t>
      </w:r>
      <w:r w:rsidRPr="006B6658">
        <w:rPr>
          <w:rFonts w:ascii="Arial" w:eastAsia="Arial" w:hAnsi="Arial" w:cs="Arial"/>
          <w:szCs w:val="24"/>
          <w:lang w:eastAsia="es-MX"/>
        </w:rPr>
        <w:t>2.2.1.2.4.2.14 del Decreto 1082 de 2015</w:t>
      </w:r>
      <w:r w:rsidRPr="006B6658">
        <w:rPr>
          <w:rFonts w:ascii="Arial" w:eastAsia="Times New Roman" w:hAnsi="Arial" w:cs="Arial"/>
          <w:szCs w:val="24"/>
          <w:lang w:eastAsia="es-MX"/>
        </w:rPr>
        <w:t xml:space="preserve">. </w:t>
      </w:r>
    </w:p>
    <w:p w14:paraId="004B2B10" w14:textId="77777777" w:rsidR="006C5583" w:rsidRPr="006B6658" w:rsidRDefault="006C5583" w:rsidP="006C5583">
      <w:pPr>
        <w:spacing w:after="120" w:line="276" w:lineRule="auto"/>
        <w:ind w:firstLine="708"/>
        <w:jc w:val="both"/>
        <w:rPr>
          <w:rFonts w:ascii="Arial" w:eastAsia="Times New Roman" w:hAnsi="Arial" w:cs="Arial"/>
          <w:color w:val="000000" w:themeColor="text1"/>
          <w:szCs w:val="24"/>
          <w:lang w:eastAsia="es-MX"/>
        </w:rPr>
      </w:pPr>
      <w:r w:rsidRPr="006B6658">
        <w:rPr>
          <w:rFonts w:ascii="Arial" w:eastAsia="Times New Roman" w:hAnsi="Arial" w:cs="Arial"/>
          <w:szCs w:val="24"/>
          <w:lang w:eastAsia="es-MX"/>
        </w:rPr>
        <w:t xml:space="preserve">En lo relativo a la aplicación de los criterios y puntajes diferenciales para proponentes plurales en los que participen empresas y emprendimientos de mujeres, el decreto </w:t>
      </w:r>
      <w:r>
        <w:rPr>
          <w:rFonts w:ascii="Arial" w:eastAsia="Times New Roman" w:hAnsi="Arial" w:cs="Arial"/>
          <w:szCs w:val="24"/>
          <w:lang w:eastAsia="es-MX"/>
        </w:rPr>
        <w:t xml:space="preserve">señala </w:t>
      </w:r>
      <w:r w:rsidRPr="006B6658">
        <w:rPr>
          <w:rFonts w:ascii="Arial" w:eastAsia="Times New Roman" w:hAnsi="Arial" w:cs="Arial"/>
          <w:szCs w:val="24"/>
          <w:lang w:eastAsia="es-MX"/>
        </w:rPr>
        <w:t>que los requisitos y criterios diferenciales solo se aplicarán cuando por lo menos uno de los integrantes acredit</w:t>
      </w:r>
      <w:r>
        <w:rPr>
          <w:rFonts w:ascii="Arial" w:eastAsia="Times New Roman" w:hAnsi="Arial" w:cs="Arial"/>
          <w:szCs w:val="24"/>
          <w:lang w:eastAsia="es-MX"/>
        </w:rPr>
        <w:t>e</w:t>
      </w:r>
      <w:r w:rsidRPr="006B6658">
        <w:rPr>
          <w:rFonts w:ascii="Arial" w:eastAsia="Times New Roman" w:hAnsi="Arial" w:cs="Arial"/>
          <w:szCs w:val="24"/>
          <w:lang w:eastAsia="es-MX"/>
        </w:rPr>
        <w:t xml:space="preserve"> </w:t>
      </w:r>
      <w:r>
        <w:rPr>
          <w:rFonts w:ascii="Arial" w:eastAsia="Times New Roman" w:hAnsi="Arial" w:cs="Arial"/>
          <w:szCs w:val="24"/>
          <w:lang w:eastAsia="es-MX"/>
        </w:rPr>
        <w:t>dicha condición</w:t>
      </w:r>
      <w:r w:rsidRPr="006B6658">
        <w:rPr>
          <w:rFonts w:ascii="Arial" w:eastAsia="Times New Roman" w:hAnsi="Arial" w:cs="Arial"/>
          <w:szCs w:val="24"/>
          <w:lang w:eastAsia="es-MX"/>
        </w:rPr>
        <w:t xml:space="preserve"> y </w:t>
      </w:r>
      <w:r>
        <w:rPr>
          <w:rFonts w:ascii="Arial" w:eastAsia="Times New Roman" w:hAnsi="Arial" w:cs="Arial"/>
          <w:szCs w:val="24"/>
          <w:lang w:eastAsia="es-MX"/>
        </w:rPr>
        <w:t>tenga</w:t>
      </w:r>
      <w:r w:rsidRPr="006B6658">
        <w:rPr>
          <w:rFonts w:ascii="Arial" w:eastAsia="Times New Roman" w:hAnsi="Arial" w:cs="Arial"/>
          <w:szCs w:val="24"/>
          <w:lang w:eastAsia="es-MX"/>
        </w:rPr>
        <w:t xml:space="preserve"> una participación de al menos el diez por ciento (10%) en la estructura plural. De esta manera, los emprendimientos y empresas de mujeres se verán beneficiados de los referidos in</w:t>
      </w:r>
      <w:r w:rsidRPr="006B6658">
        <w:rPr>
          <w:rFonts w:ascii="Arial" w:eastAsia="Times New Roman" w:hAnsi="Arial" w:cs="Arial"/>
          <w:color w:val="000000" w:themeColor="text1"/>
          <w:szCs w:val="24"/>
          <w:lang w:eastAsia="es-MX"/>
        </w:rPr>
        <w:t xml:space="preserve">centivos por la presentación de ofertas </w:t>
      </w:r>
      <w:r>
        <w:rPr>
          <w:rFonts w:ascii="Arial" w:eastAsia="Times New Roman" w:hAnsi="Arial" w:cs="Arial"/>
          <w:color w:val="000000" w:themeColor="text1"/>
          <w:szCs w:val="24"/>
          <w:lang w:eastAsia="es-MX"/>
        </w:rPr>
        <w:t>mediante</w:t>
      </w:r>
      <w:r w:rsidRPr="006B6658">
        <w:rPr>
          <w:rFonts w:ascii="Arial" w:eastAsia="Times New Roman" w:hAnsi="Arial" w:cs="Arial"/>
          <w:color w:val="000000" w:themeColor="text1"/>
          <w:szCs w:val="24"/>
          <w:lang w:eastAsia="es-MX"/>
        </w:rPr>
        <w:t xml:space="preserve"> proponentes plurales, en los que pueden asociarse con otras empresas o proponentes que fortalezcan sus capacidades y experiencia.</w:t>
      </w:r>
    </w:p>
    <w:p w14:paraId="5EBFC45A" w14:textId="77777777" w:rsidR="006C5583" w:rsidRPr="006B6658" w:rsidRDefault="006C5583" w:rsidP="006C5583">
      <w:pPr>
        <w:spacing w:after="120" w:line="276" w:lineRule="auto"/>
        <w:ind w:firstLine="708"/>
        <w:jc w:val="both"/>
        <w:rPr>
          <w:rFonts w:ascii="Arial" w:eastAsia="Times New Roman" w:hAnsi="Arial" w:cs="Arial"/>
          <w:szCs w:val="24"/>
          <w:lang w:val="es-ES" w:eastAsia="es-MX"/>
        </w:rPr>
      </w:pPr>
      <w:r w:rsidRPr="006B6658">
        <w:rPr>
          <w:rFonts w:ascii="Arial" w:eastAsia="Times New Roman" w:hAnsi="Arial" w:cs="Arial"/>
          <w:szCs w:val="24"/>
          <w:lang w:eastAsia="es-MX"/>
        </w:rPr>
        <w:t>Según la norma en comento</w:t>
      </w:r>
      <w:r>
        <w:rPr>
          <w:rFonts w:ascii="Arial" w:eastAsia="Times New Roman" w:hAnsi="Arial" w:cs="Arial"/>
          <w:szCs w:val="24"/>
          <w:lang w:eastAsia="es-MX"/>
        </w:rPr>
        <w:t>,</w:t>
      </w:r>
      <w:r w:rsidRPr="006B6658">
        <w:rPr>
          <w:rFonts w:ascii="Arial" w:eastAsia="Times New Roman" w:hAnsi="Arial" w:cs="Arial"/>
          <w:szCs w:val="24"/>
          <w:lang w:eastAsia="es-MX"/>
        </w:rPr>
        <w:t xml:space="preserv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7DDC8BBB" w14:textId="77777777" w:rsidR="006C5583" w:rsidRPr="006B6658" w:rsidRDefault="006C5583" w:rsidP="006C5583">
      <w:pPr>
        <w:spacing w:after="0" w:line="276" w:lineRule="auto"/>
        <w:ind w:firstLine="708"/>
        <w:jc w:val="both"/>
        <w:rPr>
          <w:rFonts w:ascii="Arial" w:eastAsia="Times New Roman" w:hAnsi="Arial" w:cs="Arial"/>
          <w:szCs w:val="24"/>
          <w:lang w:eastAsia="es-MX"/>
        </w:rPr>
      </w:pPr>
      <w:r w:rsidRPr="006B6658">
        <w:rPr>
          <w:rFonts w:ascii="Arial" w:eastAsia="Times New Roman" w:hAnsi="Arial" w:cs="Arial"/>
          <w:szCs w:val="24"/>
          <w:lang w:eastAsia="es-MX"/>
        </w:rPr>
        <w:t xml:space="preserve">Finalmente, el </w:t>
      </w:r>
      <w:r w:rsidRPr="006B6658">
        <w:rPr>
          <w:rFonts w:ascii="Arial" w:eastAsia="Times New Roman" w:hAnsi="Arial" w:cs="Arial"/>
          <w:bCs/>
          <w:szCs w:val="24"/>
          <w:lang w:eastAsia="es-MX"/>
        </w:rPr>
        <w:t xml:space="preserve">artículo 2.2.1.2.4.2.15 del </w:t>
      </w:r>
      <w:r w:rsidRPr="006B6658">
        <w:rPr>
          <w:rFonts w:ascii="Arial" w:eastAsia="Times New Roman" w:hAnsi="Arial" w:cs="Arial"/>
          <w:szCs w:val="24"/>
          <w:lang w:eastAsia="es-MX"/>
        </w:rPr>
        <w:t xml:space="preserve">Decreto 1082 de 2015 señala que los incentivos contractuales para las empresas y emprendimientos de mujeres no excluyen la aplicación de los criterios diferenciales para </w:t>
      </w:r>
      <w:proofErr w:type="spellStart"/>
      <w:r w:rsidRPr="006B6658">
        <w:rPr>
          <w:rFonts w:ascii="Arial" w:eastAsia="Times New Roman" w:hAnsi="Arial" w:cs="Arial"/>
          <w:szCs w:val="24"/>
          <w:lang w:eastAsia="es-MX"/>
        </w:rPr>
        <w:t>Mipyme</w:t>
      </w:r>
      <w:proofErr w:type="spellEnd"/>
      <w:r w:rsidRPr="006B6658">
        <w:rPr>
          <w:rFonts w:ascii="Arial" w:eastAsia="Times New Roman" w:hAnsi="Arial" w:cs="Arial"/>
          <w:szCs w:val="24"/>
          <w:lang w:eastAsia="es-MX"/>
        </w:rPr>
        <w:t xml:space="preserve"> en el sistema de compras públicas. Esto significa que los criterios diferenciales que favorezcan a los proponentes que acrediten la calidad de emprendimiento y empresas de mujeres se acumulan con los criterios diferenciales establecidos en favor de aquellos que también ostentan la calidad de </w:t>
      </w:r>
      <w:proofErr w:type="spellStart"/>
      <w:r w:rsidRPr="006B6658">
        <w:rPr>
          <w:rFonts w:ascii="Arial" w:eastAsia="Times New Roman" w:hAnsi="Arial" w:cs="Arial"/>
          <w:szCs w:val="24"/>
          <w:lang w:eastAsia="es-MX"/>
        </w:rPr>
        <w:t>Mipyme</w:t>
      </w:r>
      <w:proofErr w:type="spellEnd"/>
      <w:r w:rsidRPr="006B6658">
        <w:rPr>
          <w:rFonts w:ascii="Arial" w:eastAsia="Times New Roman" w:hAnsi="Arial" w:cs="Arial"/>
          <w:szCs w:val="24"/>
          <w:lang w:eastAsia="es-MX"/>
        </w:rPr>
        <w:t xml:space="preserve">. </w:t>
      </w:r>
    </w:p>
    <w:p w14:paraId="10E987C3" w14:textId="77777777" w:rsidR="006C5583" w:rsidRDefault="006C5583" w:rsidP="006C5583">
      <w:pPr>
        <w:spacing w:after="0" w:line="276" w:lineRule="auto"/>
        <w:jc w:val="both"/>
        <w:rPr>
          <w:rFonts w:ascii="Arial" w:eastAsia="Times New Roman" w:hAnsi="Arial" w:cs="Arial"/>
          <w:szCs w:val="24"/>
          <w:lang w:eastAsia="es-MX"/>
        </w:rPr>
      </w:pPr>
      <w:r>
        <w:rPr>
          <w:rFonts w:ascii="Arial" w:eastAsia="Times New Roman" w:hAnsi="Arial" w:cs="Arial"/>
          <w:szCs w:val="24"/>
          <w:lang w:eastAsia="es-MX"/>
        </w:rPr>
        <w:tab/>
      </w:r>
    </w:p>
    <w:p w14:paraId="6A09FD02" w14:textId="77777777" w:rsidR="006C5583" w:rsidRPr="005B759B" w:rsidRDefault="006C5583" w:rsidP="006C5583">
      <w:pPr>
        <w:spacing w:after="0" w:line="276" w:lineRule="auto"/>
        <w:jc w:val="both"/>
        <w:rPr>
          <w:rFonts w:ascii="Arial" w:eastAsia="Times New Roman" w:hAnsi="Arial" w:cs="Arial"/>
          <w:b/>
          <w:bCs/>
          <w:lang w:eastAsia="es-MX"/>
        </w:rPr>
      </w:pPr>
      <w:r>
        <w:rPr>
          <w:rFonts w:ascii="Arial" w:hAnsi="Arial" w:cs="Arial"/>
          <w:b/>
          <w:bCs/>
        </w:rPr>
        <w:t xml:space="preserve">2.3.3. </w:t>
      </w:r>
      <w:r w:rsidRPr="005B759B">
        <w:rPr>
          <w:rFonts w:ascii="Arial" w:hAnsi="Arial" w:cs="Arial"/>
          <w:b/>
          <w:bCs/>
        </w:rPr>
        <w:t>Vigencia del Decreto 1860 de 2021</w:t>
      </w:r>
    </w:p>
    <w:p w14:paraId="1C3C2645" w14:textId="77777777" w:rsidR="006C5583" w:rsidRDefault="006C5583" w:rsidP="006C5583">
      <w:pPr>
        <w:spacing w:after="0" w:line="276" w:lineRule="auto"/>
        <w:jc w:val="both"/>
        <w:rPr>
          <w:rFonts w:ascii="Arial" w:eastAsia="Times New Roman" w:hAnsi="Arial" w:cs="Arial"/>
          <w:szCs w:val="24"/>
          <w:lang w:eastAsia="es-MX"/>
        </w:rPr>
      </w:pPr>
    </w:p>
    <w:p w14:paraId="4A94F829" w14:textId="77777777" w:rsidR="006C5583" w:rsidRDefault="006C5583" w:rsidP="006C5583">
      <w:pPr>
        <w:spacing w:after="120" w:line="276" w:lineRule="auto"/>
        <w:jc w:val="both"/>
        <w:rPr>
          <w:rFonts w:ascii="Arial" w:eastAsia="Arial" w:hAnsi="Arial" w:cs="Arial"/>
          <w:lang w:val="es-ES" w:eastAsia="es-CO"/>
        </w:rPr>
      </w:pPr>
      <w:bookmarkStart w:id="6" w:name="_Hlk105683807"/>
      <w:r>
        <w:rPr>
          <w:rFonts w:ascii="Arial" w:eastAsia="Times New Roman" w:hAnsi="Arial" w:cs="Arial"/>
          <w:szCs w:val="24"/>
          <w:lang w:eastAsia="es-MX"/>
        </w:rPr>
        <w:t>Para aplicar las disposiciones contenidas en el Decreto 1860 de 2021, el artículo 8</w:t>
      </w:r>
      <w:r>
        <w:rPr>
          <w:rStyle w:val="Refdenotaalpie"/>
          <w:rFonts w:ascii="Arial" w:eastAsia="Times New Roman" w:hAnsi="Arial" w:cs="Arial"/>
          <w:szCs w:val="24"/>
          <w:lang w:eastAsia="es-MX"/>
        </w:rPr>
        <w:footnoteReference w:id="9"/>
      </w:r>
      <w:r>
        <w:rPr>
          <w:rFonts w:ascii="Arial" w:eastAsia="Times New Roman" w:hAnsi="Arial" w:cs="Arial"/>
          <w:szCs w:val="24"/>
          <w:lang w:eastAsia="es-MX"/>
        </w:rPr>
        <w:t xml:space="preserve"> de dicho decreto estableció el momento a partir del cual sus disposiciones surtirían efectos.</w:t>
      </w:r>
      <w:r>
        <w:rPr>
          <w:rFonts w:ascii="Arial" w:eastAsia="Calibri" w:hAnsi="Arial" w:cs="Arial"/>
        </w:rPr>
        <w:t xml:space="preserve"> </w:t>
      </w:r>
      <w:r>
        <w:rPr>
          <w:rFonts w:ascii="Arial" w:eastAsia="Calibri" w:hAnsi="Arial" w:cs="Arial"/>
        </w:rPr>
        <w:lastRenderedPageBreak/>
        <w:t xml:space="preserve">De esta forma, se estableció que estas </w:t>
      </w:r>
      <w:r>
        <w:rPr>
          <w:rFonts w:ascii="Arial" w:eastAsia="Arial" w:hAnsi="Arial" w:cs="Arial"/>
          <w:lang w:val="es-ES" w:eastAsia="es-CO"/>
        </w:rPr>
        <w:t xml:space="preserve">aplicarán a los procesos de selección cuya invitación, aviso de convocatoria o documento equivalente –según corresponda–, se publique después de los tres (3) meses de su expedición. </w:t>
      </w:r>
    </w:p>
    <w:p w14:paraId="50012797" w14:textId="77777777" w:rsidR="006C5583" w:rsidRDefault="006C5583" w:rsidP="006C5583">
      <w:pPr>
        <w:autoSpaceDE w:val="0"/>
        <w:autoSpaceDN w:val="0"/>
        <w:adjustRightInd w:val="0"/>
        <w:spacing w:after="120" w:line="276" w:lineRule="auto"/>
        <w:ind w:firstLine="708"/>
        <w:jc w:val="both"/>
        <w:rPr>
          <w:rFonts w:ascii="Arial" w:eastAsia="Arial" w:hAnsi="Arial" w:cs="Arial"/>
          <w:lang w:eastAsia="es-MX"/>
        </w:rPr>
      </w:pPr>
      <w:r>
        <w:rPr>
          <w:rFonts w:ascii="Arial" w:eastAsia="Arial" w:hAnsi="Arial" w:cs="Arial"/>
          <w:lang w:val="es-ES" w:eastAsia="es-CO"/>
        </w:rPr>
        <w:t xml:space="preserve">No obstante, en relación con </w:t>
      </w:r>
      <w:r w:rsidRPr="008D1D26">
        <w:rPr>
          <w:rFonts w:ascii="Arial" w:eastAsia="Arial" w:hAnsi="Arial" w:cs="Arial"/>
          <w:lang w:val="es-ES" w:eastAsia="es-CO"/>
        </w:rPr>
        <w:t xml:space="preserve">los procesos de contratación que se </w:t>
      </w:r>
      <w:r>
        <w:rPr>
          <w:rFonts w:ascii="Arial" w:eastAsia="Arial" w:hAnsi="Arial" w:cs="Arial"/>
          <w:lang w:val="es-ES" w:eastAsia="es-CO"/>
        </w:rPr>
        <w:t xml:space="preserve">rijan por los </w:t>
      </w:r>
      <w:r w:rsidRPr="008D1D26">
        <w:rPr>
          <w:rFonts w:ascii="Arial" w:eastAsia="Arial" w:hAnsi="Arial" w:cs="Arial"/>
          <w:lang w:val="es-ES" w:eastAsia="es-CO"/>
        </w:rPr>
        <w:t xml:space="preserve">Documentos </w:t>
      </w:r>
      <w:r>
        <w:rPr>
          <w:rFonts w:ascii="Arial" w:eastAsia="Arial" w:hAnsi="Arial" w:cs="Arial"/>
          <w:lang w:val="es-ES" w:eastAsia="es-CO"/>
        </w:rPr>
        <w:t>T</w:t>
      </w:r>
      <w:r w:rsidRPr="008D1D26">
        <w:rPr>
          <w:rFonts w:ascii="Arial" w:eastAsia="Arial" w:hAnsi="Arial" w:cs="Arial"/>
          <w:lang w:val="es-ES" w:eastAsia="es-CO"/>
        </w:rPr>
        <w:t>ipo</w:t>
      </w:r>
      <w:r>
        <w:rPr>
          <w:rFonts w:ascii="Arial" w:eastAsia="Arial" w:hAnsi="Arial" w:cs="Arial"/>
          <w:lang w:val="es-ES" w:eastAsia="es-CO"/>
        </w:rPr>
        <w:t xml:space="preserve">, en el parágrafo del artículo se dispuso que </w:t>
      </w:r>
      <w:r w:rsidRPr="008D1D26">
        <w:rPr>
          <w:rFonts w:ascii="Arial" w:eastAsia="Arial" w:hAnsi="Arial" w:cs="Arial"/>
          <w:lang w:val="es-ES" w:eastAsia="es-CO"/>
        </w:rPr>
        <w:t>las disposiciones contenidas en el</w:t>
      </w:r>
      <w:r>
        <w:rPr>
          <w:rFonts w:ascii="Arial" w:eastAsia="Arial" w:hAnsi="Arial" w:cs="Arial"/>
          <w:lang w:val="es-ES" w:eastAsia="es-CO"/>
        </w:rPr>
        <w:t xml:space="preserve"> Decreto</w:t>
      </w:r>
      <w:r w:rsidRPr="008D1D26">
        <w:rPr>
          <w:rFonts w:ascii="Arial" w:eastAsia="Arial" w:hAnsi="Arial" w:cs="Arial"/>
          <w:lang w:val="es-ES" w:eastAsia="es-CO"/>
        </w:rPr>
        <w:t xml:space="preserve"> no se aplicar</w:t>
      </w:r>
      <w:r>
        <w:rPr>
          <w:rFonts w:ascii="Arial" w:eastAsia="Arial" w:hAnsi="Arial" w:cs="Arial"/>
          <w:lang w:val="es-ES" w:eastAsia="es-CO"/>
        </w:rPr>
        <w:t>í</w:t>
      </w:r>
      <w:r w:rsidRPr="008D1D26">
        <w:rPr>
          <w:rFonts w:ascii="Arial" w:eastAsia="Arial" w:hAnsi="Arial" w:cs="Arial"/>
          <w:lang w:val="es-ES" w:eastAsia="es-CO"/>
        </w:rPr>
        <w:t xml:space="preserve">an a </w:t>
      </w:r>
      <w:r>
        <w:rPr>
          <w:rFonts w:ascii="Arial" w:eastAsia="Arial" w:hAnsi="Arial" w:cs="Arial"/>
          <w:lang w:val="es-ES" w:eastAsia="es-CO"/>
        </w:rPr>
        <w:t>dichos</w:t>
      </w:r>
      <w:r w:rsidRPr="008D1D26">
        <w:rPr>
          <w:rFonts w:ascii="Arial" w:eastAsia="Arial" w:hAnsi="Arial" w:cs="Arial"/>
          <w:lang w:val="es-ES" w:eastAsia="es-CO"/>
        </w:rPr>
        <w:t xml:space="preserve"> procesos hasta que </w:t>
      </w:r>
      <w:r>
        <w:rPr>
          <w:rFonts w:ascii="Arial" w:eastAsia="Arial" w:hAnsi="Arial" w:cs="Arial"/>
          <w:lang w:val="es-ES" w:eastAsia="es-CO"/>
        </w:rPr>
        <w:t xml:space="preserve">la </w:t>
      </w:r>
      <w:r w:rsidRPr="008D1D26">
        <w:rPr>
          <w:rFonts w:ascii="Arial" w:eastAsia="Arial" w:hAnsi="Arial" w:cs="Arial"/>
          <w:lang w:val="es-ES" w:eastAsia="es-CO"/>
        </w:rPr>
        <w:t>Agencia</w:t>
      </w:r>
      <w:r>
        <w:rPr>
          <w:rFonts w:ascii="Arial" w:eastAsia="Arial" w:hAnsi="Arial" w:cs="Arial"/>
          <w:lang w:val="es-ES" w:eastAsia="es-CO"/>
        </w:rPr>
        <w:t xml:space="preserve"> Nacional de Contratación Pública − Colombia Compra Eficiente</w:t>
      </w:r>
      <w:r w:rsidRPr="008D1D26">
        <w:rPr>
          <w:rFonts w:ascii="Arial" w:eastAsia="Arial" w:hAnsi="Arial" w:cs="Arial"/>
          <w:lang w:val="es-ES" w:eastAsia="es-CO"/>
        </w:rPr>
        <w:t xml:space="preserve"> incorpore</w:t>
      </w:r>
      <w:r>
        <w:rPr>
          <w:rFonts w:ascii="Arial" w:eastAsia="Arial" w:hAnsi="Arial" w:cs="Arial"/>
          <w:lang w:val="es-ES" w:eastAsia="es-CO"/>
        </w:rPr>
        <w:t xml:space="preserve"> en estos documentos </w:t>
      </w:r>
      <w:r w:rsidRPr="008D1D26">
        <w:rPr>
          <w:rFonts w:ascii="Arial" w:eastAsia="Arial" w:hAnsi="Arial" w:cs="Arial"/>
          <w:lang w:val="es-ES" w:eastAsia="es-CO"/>
        </w:rPr>
        <w:t>las modificaciones pertinentes</w:t>
      </w:r>
      <w:r>
        <w:rPr>
          <w:rFonts w:ascii="Arial" w:eastAsia="Arial" w:hAnsi="Arial" w:cs="Arial"/>
          <w:lang w:val="es-ES" w:eastAsia="es-CO"/>
        </w:rPr>
        <w:t>. Para el efecto, se señaló que la Agencia tendría un plazo de seis (6) meses contados a partir de la expedición del reglamento para adecuar los documentos tipo a las disposiciones del Decreto</w:t>
      </w:r>
      <w:r w:rsidRPr="008D1D26">
        <w:rPr>
          <w:rFonts w:ascii="Arial" w:eastAsia="Arial" w:hAnsi="Arial" w:cs="Arial"/>
          <w:lang w:val="es-ES" w:eastAsia="es-CO"/>
        </w:rPr>
        <w:t>.</w:t>
      </w:r>
      <w:r>
        <w:rPr>
          <w:rFonts w:ascii="Arial" w:eastAsia="Arial" w:hAnsi="Arial" w:cs="Arial"/>
          <w:lang w:val="es-ES" w:eastAsia="es-CO"/>
        </w:rPr>
        <w:t xml:space="preserve"> En este sentido, hasta que la adecuación no ocurra</w:t>
      </w:r>
      <w:r w:rsidRPr="008D1D26">
        <w:rPr>
          <w:rFonts w:ascii="Arial" w:eastAsia="Arial" w:hAnsi="Arial" w:cs="Arial"/>
          <w:lang w:val="es-ES" w:eastAsia="es-CO"/>
        </w:rPr>
        <w:t xml:space="preserve"> se continuarán aplicando los instrumentos y </w:t>
      </w:r>
      <w:r w:rsidRPr="008D1D26">
        <w:rPr>
          <w:rFonts w:ascii="Arial" w:eastAsia="Arial" w:hAnsi="Arial" w:cs="Arial"/>
          <w:lang w:eastAsia="es-MX"/>
        </w:rPr>
        <w:t>las normas vigentes anteriores a la expedición del</w:t>
      </w:r>
      <w:r>
        <w:rPr>
          <w:rFonts w:ascii="Arial" w:eastAsia="Arial" w:hAnsi="Arial" w:cs="Arial"/>
          <w:lang w:eastAsia="es-MX"/>
        </w:rPr>
        <w:t xml:space="preserve"> reglamento, conforme a la regulación contenida en los Documentos Tipo vigentes.</w:t>
      </w:r>
    </w:p>
    <w:p w14:paraId="5758BEDF" w14:textId="77777777" w:rsidR="006C5583" w:rsidRDefault="006C5583" w:rsidP="006C5583">
      <w:pPr>
        <w:spacing w:after="120" w:line="276" w:lineRule="auto"/>
        <w:ind w:firstLine="708"/>
        <w:jc w:val="both"/>
        <w:rPr>
          <w:rFonts w:ascii="Arial" w:eastAsia="Arial" w:hAnsi="Arial" w:cs="Arial"/>
          <w:lang w:val="es-ES" w:eastAsia="es-CO"/>
        </w:rPr>
      </w:pPr>
      <w:r w:rsidRPr="00B31310">
        <w:rPr>
          <w:rFonts w:ascii="Arial" w:eastAsia="Arial" w:hAnsi="Arial" w:cs="Arial"/>
          <w:lang w:val="es-ES" w:eastAsia="es-CO"/>
        </w:rPr>
        <w:t xml:space="preserve">Sin perjuicio de lo anterior, el segundo inciso del parágrafo señala una regla distinta en relación con la </w:t>
      </w:r>
      <w:proofErr w:type="gramStart"/>
      <w:r w:rsidRPr="00B31310">
        <w:rPr>
          <w:rFonts w:ascii="Arial" w:eastAsia="Arial" w:hAnsi="Arial" w:cs="Arial"/>
          <w:lang w:val="es-ES" w:eastAsia="es-CO"/>
        </w:rPr>
        <w:t>entrada en vigencia</w:t>
      </w:r>
      <w:proofErr w:type="gramEnd"/>
      <w:r w:rsidRPr="00B31310">
        <w:rPr>
          <w:rFonts w:ascii="Arial" w:eastAsia="Arial" w:hAnsi="Arial" w:cs="Arial"/>
          <w:lang w:val="es-ES" w:eastAsia="es-CO"/>
        </w:rPr>
        <w:t xml:space="preserve"> del artículo 5 del reglamento</w:t>
      </w:r>
      <w:r>
        <w:rPr>
          <w:rFonts w:ascii="Arial" w:eastAsia="Arial" w:hAnsi="Arial" w:cs="Arial"/>
          <w:lang w:val="es-ES" w:eastAsia="es-CO"/>
        </w:rPr>
        <w:t>, en relación con los procesos regidos por documentos tipo</w:t>
      </w:r>
      <w:r w:rsidRPr="00B31310">
        <w:rPr>
          <w:rFonts w:ascii="Arial" w:eastAsia="Arial" w:hAnsi="Arial" w:cs="Arial"/>
          <w:lang w:val="es-ES" w:eastAsia="es-CO"/>
        </w:rPr>
        <w:t xml:space="preserve">. </w:t>
      </w:r>
      <w:r>
        <w:rPr>
          <w:rFonts w:ascii="Arial" w:eastAsia="Arial" w:hAnsi="Arial" w:cs="Arial"/>
          <w:lang w:val="es-ES" w:eastAsia="es-CO"/>
        </w:rPr>
        <w:t xml:space="preserve">De esta forma se previó que este entrará a regir </w:t>
      </w:r>
      <w:r w:rsidRPr="002C1B8D">
        <w:rPr>
          <w:rFonts w:ascii="Arial" w:eastAsia="Arial" w:hAnsi="Arial" w:cs="Arial"/>
          <w:lang w:val="es-ES" w:eastAsia="es-CO"/>
        </w:rPr>
        <w:t xml:space="preserve">en aquellos </w:t>
      </w:r>
      <w:r>
        <w:rPr>
          <w:rFonts w:ascii="Arial" w:eastAsia="Arial" w:hAnsi="Arial" w:cs="Arial"/>
          <w:lang w:val="es-ES" w:eastAsia="es-CO"/>
        </w:rPr>
        <w:t>procesos</w:t>
      </w:r>
      <w:r w:rsidRPr="002C1B8D">
        <w:rPr>
          <w:rFonts w:ascii="Arial" w:eastAsia="Arial" w:hAnsi="Arial" w:cs="Arial"/>
          <w:lang w:val="es-ES" w:eastAsia="es-CO"/>
        </w:rPr>
        <w:t xml:space="preserve"> en los que </w:t>
      </w:r>
      <w:r w:rsidRPr="002C1B8D">
        <w:rPr>
          <w:rFonts w:ascii="Arial" w:hAnsi="Arial" w:cs="Arial"/>
        </w:rPr>
        <w:t>la</w:t>
      </w:r>
      <w:r w:rsidRPr="00B31310">
        <w:rPr>
          <w:rFonts w:ascii="Arial" w:hAnsi="Arial" w:cs="Arial"/>
        </w:rPr>
        <w:t xml:space="preserve"> publicación del aviso de convocatoria o </w:t>
      </w:r>
      <w:r w:rsidRPr="00B31310">
        <w:rPr>
          <w:rFonts w:ascii="Arial" w:eastAsia="Arial" w:hAnsi="Arial" w:cs="Arial"/>
          <w:lang w:val="es-ES" w:eastAsia="es-CO"/>
        </w:rPr>
        <w:t>la invitación −según corresponda−, se realice a los tres (3) meses de la expedición del</w:t>
      </w:r>
      <w:r>
        <w:rPr>
          <w:rFonts w:ascii="Arial" w:eastAsia="Arial" w:hAnsi="Arial" w:cs="Arial"/>
          <w:lang w:val="es-ES" w:eastAsia="es-CO"/>
        </w:rPr>
        <w:t xml:space="preserve"> Decreto</w:t>
      </w:r>
      <w:r w:rsidRPr="00B31310">
        <w:rPr>
          <w:rFonts w:ascii="Arial" w:eastAsia="Arial" w:hAnsi="Arial" w:cs="Arial"/>
          <w:lang w:val="es-ES" w:eastAsia="es-CO"/>
        </w:rPr>
        <w:t>.</w:t>
      </w:r>
    </w:p>
    <w:p w14:paraId="029F43E3" w14:textId="77777777" w:rsidR="006C5583" w:rsidRDefault="006C5583" w:rsidP="006C5583">
      <w:pPr>
        <w:spacing w:after="120" w:line="276" w:lineRule="auto"/>
        <w:ind w:firstLine="708"/>
        <w:jc w:val="both"/>
        <w:rPr>
          <w:rFonts w:ascii="Arial" w:eastAsia="Times New Roman" w:hAnsi="Arial" w:cs="Arial"/>
          <w:color w:val="000000" w:themeColor="text1"/>
          <w:lang w:eastAsia="es-MX"/>
        </w:rPr>
      </w:pPr>
      <w:r>
        <w:rPr>
          <w:rFonts w:ascii="Arial" w:eastAsia="Times New Roman" w:hAnsi="Arial" w:cs="Arial"/>
          <w:color w:val="000000" w:themeColor="text1"/>
          <w:lang w:eastAsia="es-MX"/>
        </w:rPr>
        <w:t xml:space="preserve">Conforme con el contenido del parágrafo, la </w:t>
      </w:r>
      <w:proofErr w:type="gramStart"/>
      <w:r>
        <w:rPr>
          <w:rFonts w:ascii="Arial" w:eastAsia="Times New Roman" w:hAnsi="Arial" w:cs="Arial"/>
          <w:color w:val="000000" w:themeColor="text1"/>
          <w:lang w:eastAsia="es-MX"/>
        </w:rPr>
        <w:t>entrada en vigencia</w:t>
      </w:r>
      <w:proofErr w:type="gramEnd"/>
      <w:r>
        <w:rPr>
          <w:rFonts w:ascii="Arial" w:eastAsia="Times New Roman" w:hAnsi="Arial" w:cs="Arial"/>
          <w:color w:val="000000" w:themeColor="text1"/>
          <w:lang w:eastAsia="es-MX"/>
        </w:rPr>
        <w:t xml:space="preserve"> del Decreto 1860 de 2021, en relación con los procesos contractuales regidos documentos tipo, dependerá de si se trata del artículo 5 del Decreto o de cualquier otro. De esta forma, en el primer supuesto, </w:t>
      </w:r>
      <w:r>
        <w:rPr>
          <w:rFonts w:ascii="Arial" w:eastAsia="Arial" w:hAnsi="Arial" w:cs="Arial"/>
          <w:lang w:val="es-ES" w:eastAsia="es-CO"/>
        </w:rPr>
        <w:t>t</w:t>
      </w:r>
      <w:r w:rsidRPr="00B31310">
        <w:rPr>
          <w:rFonts w:ascii="Arial" w:eastAsia="Arial" w:hAnsi="Arial" w:cs="Arial"/>
          <w:lang w:val="es-ES" w:eastAsia="es-CO"/>
        </w:rPr>
        <w:t xml:space="preserve">eniendo en cuenta que el Decreto fue expedido el 24 de diciembre de 2021, las disposiciones contenidas en el artículo 5 </w:t>
      </w:r>
      <w:r>
        <w:rPr>
          <w:rFonts w:ascii="Arial" w:eastAsia="Arial" w:hAnsi="Arial" w:cs="Arial"/>
          <w:lang w:val="es-ES" w:eastAsia="es-CO"/>
        </w:rPr>
        <w:t xml:space="preserve">relacionadas con la limitación a </w:t>
      </w:r>
      <w:proofErr w:type="spellStart"/>
      <w:r>
        <w:rPr>
          <w:rFonts w:ascii="Arial" w:eastAsia="Arial" w:hAnsi="Arial" w:cs="Arial"/>
          <w:lang w:val="es-ES" w:eastAsia="es-CO"/>
        </w:rPr>
        <w:t>Mipymes</w:t>
      </w:r>
      <w:proofErr w:type="spellEnd"/>
      <w:r>
        <w:rPr>
          <w:rFonts w:ascii="Arial" w:eastAsia="Arial" w:hAnsi="Arial" w:cs="Arial"/>
          <w:lang w:val="es-ES" w:eastAsia="es-CO"/>
        </w:rPr>
        <w:t xml:space="preserve">, </w:t>
      </w:r>
      <w:r w:rsidRPr="00B31310">
        <w:rPr>
          <w:rFonts w:ascii="Arial" w:eastAsia="Arial" w:hAnsi="Arial" w:cs="Arial"/>
          <w:lang w:val="es-ES" w:eastAsia="es-CO"/>
        </w:rPr>
        <w:t xml:space="preserve">son obligatorias desde </w:t>
      </w:r>
      <w:r w:rsidRPr="00B31310">
        <w:rPr>
          <w:rFonts w:ascii="Arial" w:hAnsi="Arial" w:cs="Arial"/>
        </w:rPr>
        <w:t>el 24 de marzo de 2022</w:t>
      </w:r>
      <w:r>
        <w:rPr>
          <w:rFonts w:ascii="Arial" w:hAnsi="Arial" w:cs="Arial"/>
        </w:rPr>
        <w:t>.</w:t>
      </w:r>
      <w:r>
        <w:rPr>
          <w:rFonts w:ascii="Arial" w:eastAsia="Times New Roman" w:hAnsi="Arial" w:cs="Arial"/>
          <w:color w:val="000000" w:themeColor="text1"/>
          <w:lang w:eastAsia="es-MX"/>
        </w:rPr>
        <w:t xml:space="preserve"> No obstante, si se trata de los otros artículos del Decreto, su </w:t>
      </w:r>
      <w:proofErr w:type="gramStart"/>
      <w:r>
        <w:rPr>
          <w:rFonts w:ascii="Arial" w:eastAsia="Times New Roman" w:hAnsi="Arial" w:cs="Arial"/>
          <w:color w:val="000000" w:themeColor="text1"/>
          <w:lang w:eastAsia="es-MX"/>
        </w:rPr>
        <w:t>entrada en vigencia</w:t>
      </w:r>
      <w:proofErr w:type="gramEnd"/>
      <w:r>
        <w:rPr>
          <w:rFonts w:ascii="Arial" w:eastAsia="Times New Roman" w:hAnsi="Arial" w:cs="Arial"/>
          <w:color w:val="000000" w:themeColor="text1"/>
          <w:lang w:eastAsia="es-MX"/>
        </w:rPr>
        <w:t xml:space="preserve"> está condicionada a la modificación de los documentos tipo por parte de la Agencia Nacional de Contratación Pública – Colombia Compra Eficiente.</w:t>
      </w:r>
    </w:p>
    <w:p w14:paraId="32FC0AE5" w14:textId="1656D7C9" w:rsidR="006C5583" w:rsidRDefault="006C5583" w:rsidP="006C5583">
      <w:pPr>
        <w:spacing w:after="120"/>
        <w:ind w:firstLine="709"/>
        <w:jc w:val="both"/>
        <w:rPr>
          <w:rFonts w:ascii="Arial" w:hAnsi="Arial" w:cs="Arial"/>
        </w:rPr>
      </w:pPr>
      <w:r>
        <w:rPr>
          <w:rFonts w:ascii="Arial" w:eastAsia="Times New Roman" w:hAnsi="Arial" w:cs="Arial"/>
          <w:color w:val="000000" w:themeColor="text1"/>
          <w:lang w:eastAsia="es-MX"/>
        </w:rPr>
        <w:t xml:space="preserve">Este último supuesto, es el caso del </w:t>
      </w:r>
      <w:r w:rsidRPr="00322504">
        <w:rPr>
          <w:rFonts w:ascii="Arial" w:eastAsia="Times New Roman" w:hAnsi="Arial" w:cs="Arial"/>
          <w:color w:val="000000" w:themeColor="text1"/>
          <w:lang w:eastAsia="es-MX"/>
        </w:rPr>
        <w:t xml:space="preserve">artículo 3 del Decreto 1860 de 2021, que adicionó </w:t>
      </w:r>
      <w:r w:rsidRPr="00322504">
        <w:rPr>
          <w:rFonts w:ascii="Arial" w:eastAsia="Times New Roman" w:hAnsi="Arial" w:cs="Arial"/>
          <w:bCs/>
          <w:color w:val="000000" w:themeColor="text1"/>
          <w:lang w:eastAsia="es-MX"/>
        </w:rPr>
        <w:t xml:space="preserve">el artículo </w:t>
      </w:r>
      <w:r w:rsidRPr="00322504">
        <w:rPr>
          <w:rFonts w:ascii="Arial" w:eastAsia="Times New Roman" w:hAnsi="Arial" w:cs="Arial"/>
          <w:bCs/>
          <w:color w:val="000000" w:themeColor="text1"/>
          <w:szCs w:val="24"/>
          <w:lang w:eastAsia="es-MX"/>
        </w:rPr>
        <w:t>2.2.1.2.4.2.15</w:t>
      </w:r>
      <w:r w:rsidRPr="00E10E70">
        <w:rPr>
          <w:rFonts w:ascii="Arial" w:eastAsia="Times New Roman" w:hAnsi="Arial" w:cs="Arial"/>
          <w:bCs/>
          <w:color w:val="000000" w:themeColor="text1"/>
          <w:szCs w:val="24"/>
          <w:lang w:eastAsia="es-MX"/>
        </w:rPr>
        <w:t xml:space="preserve"> y </w:t>
      </w:r>
      <w:r w:rsidRPr="00322504">
        <w:rPr>
          <w:rFonts w:ascii="Arial" w:eastAsia="Times New Roman" w:hAnsi="Arial" w:cs="Arial"/>
          <w:bCs/>
          <w:color w:val="000000" w:themeColor="text1"/>
          <w:lang w:eastAsia="es-MX"/>
        </w:rPr>
        <w:t xml:space="preserve">2.2.1.2.4.2.18 al </w:t>
      </w:r>
      <w:r w:rsidRPr="00322504">
        <w:rPr>
          <w:rFonts w:ascii="Arial" w:eastAsia="Times New Roman" w:hAnsi="Arial" w:cs="Arial"/>
          <w:lang w:eastAsia="es-MX"/>
        </w:rPr>
        <w:t>Decreto 1082 de 2015</w:t>
      </w:r>
      <w:r w:rsidRPr="00E10E70">
        <w:rPr>
          <w:rFonts w:ascii="Arial" w:eastAsia="Times New Roman" w:hAnsi="Arial" w:cs="Arial"/>
          <w:lang w:eastAsia="es-MX"/>
        </w:rPr>
        <w:t xml:space="preserve">, en los que se establecen </w:t>
      </w:r>
      <w:r>
        <w:rPr>
          <w:rFonts w:ascii="Arial" w:eastAsia="Times New Roman" w:hAnsi="Arial" w:cs="Arial"/>
          <w:lang w:eastAsia="es-MX"/>
        </w:rPr>
        <w:t>−</w:t>
      </w:r>
      <w:r w:rsidRPr="00E10E70">
        <w:rPr>
          <w:rFonts w:ascii="Arial" w:eastAsia="Times New Roman" w:hAnsi="Arial" w:cs="Arial"/>
          <w:lang w:eastAsia="es-MX"/>
        </w:rPr>
        <w:t>respectivamente</w:t>
      </w:r>
      <w:r>
        <w:rPr>
          <w:rFonts w:ascii="Arial" w:eastAsia="Times New Roman" w:hAnsi="Arial" w:cs="Arial"/>
          <w:lang w:eastAsia="es-MX"/>
        </w:rPr>
        <w:t>−</w:t>
      </w:r>
      <w:r w:rsidRPr="00E10E70">
        <w:rPr>
          <w:rFonts w:ascii="Arial" w:eastAsia="Times New Roman" w:hAnsi="Arial" w:cs="Arial"/>
          <w:lang w:eastAsia="es-MX"/>
        </w:rPr>
        <w:t xml:space="preserve"> </w:t>
      </w:r>
      <w:r w:rsidRPr="00322504">
        <w:rPr>
          <w:rFonts w:ascii="Arial" w:eastAsia="Times New Roman" w:hAnsi="Arial" w:cs="Arial"/>
          <w:color w:val="000000" w:themeColor="text1"/>
          <w:szCs w:val="24"/>
          <w:lang w:eastAsia="es-MX"/>
        </w:rPr>
        <w:t xml:space="preserve">criterios diferenciales a favor de empresas y </w:t>
      </w:r>
      <w:r w:rsidRPr="00E10E70">
        <w:rPr>
          <w:rFonts w:ascii="Arial" w:eastAsia="Times New Roman" w:hAnsi="Arial" w:cs="Arial"/>
          <w:color w:val="000000" w:themeColor="text1"/>
          <w:szCs w:val="24"/>
          <w:lang w:eastAsia="es-MX"/>
        </w:rPr>
        <w:t>e</w:t>
      </w:r>
      <w:r w:rsidRPr="00322504">
        <w:rPr>
          <w:rFonts w:ascii="Arial" w:eastAsia="Times New Roman" w:hAnsi="Arial" w:cs="Arial"/>
          <w:color w:val="000000" w:themeColor="text1"/>
          <w:szCs w:val="24"/>
          <w:lang w:eastAsia="es-MX"/>
        </w:rPr>
        <w:t>mprendimientos de mujere</w:t>
      </w:r>
      <w:r w:rsidRPr="00E10E70">
        <w:rPr>
          <w:rFonts w:ascii="Arial" w:eastAsia="Times New Roman" w:hAnsi="Arial" w:cs="Arial"/>
          <w:color w:val="000000" w:themeColor="text1"/>
          <w:szCs w:val="24"/>
          <w:lang w:eastAsia="es-MX"/>
        </w:rPr>
        <w:t xml:space="preserve">s y </w:t>
      </w:r>
      <w:r w:rsidRPr="00322504">
        <w:rPr>
          <w:rFonts w:ascii="Arial" w:eastAsia="Times New Roman" w:hAnsi="Arial" w:cs="Arial"/>
          <w:lang w:eastAsia="es-MX"/>
        </w:rPr>
        <w:t xml:space="preserve">criterios diferenciales para </w:t>
      </w:r>
      <w:proofErr w:type="spellStart"/>
      <w:r w:rsidRPr="00322504">
        <w:rPr>
          <w:rFonts w:ascii="Arial" w:eastAsia="Times New Roman" w:hAnsi="Arial" w:cs="Arial"/>
          <w:lang w:eastAsia="es-MX"/>
        </w:rPr>
        <w:t>Mipyme</w:t>
      </w:r>
      <w:proofErr w:type="spellEnd"/>
      <w:r w:rsidRPr="00322504">
        <w:rPr>
          <w:rFonts w:ascii="Arial" w:eastAsia="Times New Roman" w:hAnsi="Arial" w:cs="Arial"/>
          <w:lang w:eastAsia="es-MX"/>
        </w:rPr>
        <w:t xml:space="preserve"> en el sistema de compras públicas</w:t>
      </w:r>
      <w:r>
        <w:rPr>
          <w:rFonts w:ascii="Arial" w:eastAsia="Times New Roman" w:hAnsi="Arial" w:cs="Arial"/>
          <w:lang w:eastAsia="es-MX"/>
        </w:rPr>
        <w:t xml:space="preserve">. De esta forma, su </w:t>
      </w:r>
      <w:proofErr w:type="gramStart"/>
      <w:r>
        <w:rPr>
          <w:rFonts w:ascii="Arial" w:eastAsia="Times New Roman" w:hAnsi="Arial" w:cs="Arial"/>
          <w:lang w:eastAsia="es-MX"/>
        </w:rPr>
        <w:t>entrada en vigencia</w:t>
      </w:r>
      <w:proofErr w:type="gramEnd"/>
      <w:r>
        <w:rPr>
          <w:rFonts w:ascii="Arial" w:eastAsia="Times New Roman" w:hAnsi="Arial" w:cs="Arial"/>
          <w:lang w:eastAsia="es-MX"/>
        </w:rPr>
        <w:t xml:space="preserve"> está supeditada a que la Agencia realice su incorporación en los </w:t>
      </w:r>
      <w:r w:rsidRPr="00E10E70">
        <w:rPr>
          <w:rFonts w:ascii="Arial" w:eastAsia="Arial" w:hAnsi="Arial" w:cs="Arial"/>
          <w:lang w:val="es-ES" w:eastAsia="es-CO"/>
        </w:rPr>
        <w:t>documentos tipo</w:t>
      </w:r>
      <w:r>
        <w:rPr>
          <w:rFonts w:ascii="Arial" w:hAnsi="Arial" w:cs="Arial"/>
        </w:rPr>
        <w:t>.</w:t>
      </w:r>
    </w:p>
    <w:p w14:paraId="2E54D849" w14:textId="2DB3D06D" w:rsidR="007D5E76" w:rsidRDefault="009957AB" w:rsidP="00954CF7">
      <w:pPr>
        <w:spacing w:after="120" w:line="276" w:lineRule="auto"/>
        <w:ind w:firstLine="708"/>
        <w:jc w:val="both"/>
        <w:rPr>
          <w:rFonts w:ascii="Arial" w:hAnsi="Arial" w:cs="Arial"/>
          <w:lang w:val="es-ES"/>
        </w:rPr>
      </w:pPr>
      <w:r>
        <w:rPr>
          <w:rFonts w:ascii="Arial" w:hAnsi="Arial" w:cs="Arial"/>
        </w:rPr>
        <w:t>Así las cosas, a</w:t>
      </w:r>
      <w:r w:rsidR="00B2727B">
        <w:rPr>
          <w:rFonts w:ascii="Arial" w:hAnsi="Arial" w:cs="Arial"/>
        </w:rPr>
        <w:t xml:space="preserve">tendiendo al mandato contenido en el </w:t>
      </w:r>
      <w:r w:rsidR="008127F1">
        <w:rPr>
          <w:rFonts w:ascii="Arial" w:hAnsi="Arial" w:cs="Arial"/>
        </w:rPr>
        <w:t>inciso segundo del parágrafo del artículo 8 del Decreto 1860 de 2021, la Agencia Nacional de Contratación Pública – Colombia Compra Eficiente expidió la Resolución 275 del 24 de junio de 202</w:t>
      </w:r>
      <w:r w:rsidR="00456617">
        <w:rPr>
          <w:rFonts w:ascii="Arial" w:hAnsi="Arial" w:cs="Arial"/>
        </w:rPr>
        <w:t>2</w:t>
      </w:r>
      <w:r w:rsidR="008127F1">
        <w:rPr>
          <w:rFonts w:ascii="Arial" w:hAnsi="Arial" w:cs="Arial"/>
        </w:rPr>
        <w:t xml:space="preserve"> </w:t>
      </w:r>
      <w:r w:rsidR="00BB4F0F" w:rsidRPr="00EE4086">
        <w:rPr>
          <w:rFonts w:ascii="Arial" w:hAnsi="Arial" w:cs="Arial"/>
          <w:i/>
          <w:iCs/>
          <w:lang w:val="es-ES"/>
        </w:rPr>
        <w:t>«</w:t>
      </w:r>
      <w:r w:rsidR="00BB4F0F" w:rsidRPr="0065729D">
        <w:rPr>
          <w:rFonts w:ascii="Arial" w:hAnsi="Arial" w:cs="Arial"/>
          <w:i/>
          <w:iCs/>
        </w:rPr>
        <w:t xml:space="preserve">Por la cual se modifican los documentos tipo adoptados por la Agencia Nacional de </w:t>
      </w:r>
      <w:r w:rsidR="00BB4F0F" w:rsidRPr="0065729D">
        <w:rPr>
          <w:rFonts w:ascii="Arial" w:hAnsi="Arial" w:cs="Arial"/>
          <w:i/>
          <w:iCs/>
        </w:rPr>
        <w:lastRenderedPageBreak/>
        <w:t>Contratación Pública − Colombia Compra Eficiente</w:t>
      </w:r>
      <w:r w:rsidR="00BB4F0F" w:rsidRPr="00EE4086">
        <w:rPr>
          <w:rFonts w:ascii="Arial" w:hAnsi="Arial" w:cs="Arial"/>
          <w:i/>
          <w:iCs/>
          <w:lang w:val="es-ES"/>
        </w:rPr>
        <w:t>»</w:t>
      </w:r>
      <w:r w:rsidR="00C9018A">
        <w:rPr>
          <w:rStyle w:val="Refdenotaalpie"/>
          <w:rFonts w:ascii="Arial" w:hAnsi="Arial" w:cs="Arial"/>
          <w:i/>
          <w:iCs/>
          <w:lang w:val="es-ES"/>
        </w:rPr>
        <w:footnoteReference w:id="10"/>
      </w:r>
      <w:r w:rsidR="00CF766C">
        <w:rPr>
          <w:rFonts w:ascii="Arial" w:hAnsi="Arial" w:cs="Arial"/>
          <w:i/>
          <w:iCs/>
          <w:lang w:val="es-ES"/>
        </w:rPr>
        <w:t xml:space="preserve">. </w:t>
      </w:r>
      <w:r w:rsidR="000D08E9">
        <w:rPr>
          <w:rFonts w:ascii="Arial" w:hAnsi="Arial" w:cs="Arial"/>
          <w:lang w:val="es-ES"/>
        </w:rPr>
        <w:t>De esa forma, mediante la</w:t>
      </w:r>
      <w:r w:rsidR="00A40EB7">
        <w:rPr>
          <w:rFonts w:ascii="Arial" w:hAnsi="Arial" w:cs="Arial"/>
          <w:lang w:val="es-ES"/>
        </w:rPr>
        <w:t xml:space="preserve"> citada resolución, se modificaron los </w:t>
      </w:r>
      <w:r w:rsidR="000D08E9">
        <w:rPr>
          <w:rFonts w:ascii="Arial" w:hAnsi="Arial" w:cs="Arial"/>
          <w:lang w:val="es-ES"/>
        </w:rPr>
        <w:t xml:space="preserve">documentos tipo </w:t>
      </w:r>
      <w:r w:rsidR="00A40EB7">
        <w:rPr>
          <w:rFonts w:ascii="Arial" w:hAnsi="Arial" w:cs="Arial"/>
          <w:lang w:val="es-ES"/>
        </w:rPr>
        <w:t>p</w:t>
      </w:r>
      <w:r w:rsidR="00A40EB7" w:rsidRPr="0065729D">
        <w:rPr>
          <w:rFonts w:ascii="Arial" w:hAnsi="Arial" w:cs="Arial"/>
          <w:lang w:val="es-ES"/>
        </w:rPr>
        <w:t>ara proyectos de obra pública de infraestructura de transporte adelantados bajo la modalidad de licitación pública</w:t>
      </w:r>
      <w:r w:rsidR="007F29B0">
        <w:rPr>
          <w:rFonts w:ascii="Arial" w:hAnsi="Arial" w:cs="Arial"/>
          <w:lang w:val="es-ES"/>
        </w:rPr>
        <w:t xml:space="preserve">, </w:t>
      </w:r>
      <w:r w:rsidR="00A40EB7" w:rsidRPr="0065729D">
        <w:rPr>
          <w:rFonts w:ascii="Arial" w:hAnsi="Arial" w:cs="Arial"/>
          <w:lang w:val="es-ES"/>
        </w:rPr>
        <w:t>de selección abreviada de menor cuantía</w:t>
      </w:r>
      <w:r w:rsidR="007F29B0">
        <w:rPr>
          <w:rFonts w:ascii="Arial" w:hAnsi="Arial" w:cs="Arial"/>
          <w:lang w:val="es-ES"/>
        </w:rPr>
        <w:t xml:space="preserve">, de </w:t>
      </w:r>
      <w:r w:rsidR="00A40EB7" w:rsidRPr="0065729D">
        <w:rPr>
          <w:rFonts w:ascii="Arial" w:hAnsi="Arial" w:cs="Arial"/>
          <w:lang w:val="es-ES"/>
        </w:rPr>
        <w:t>consultoría de estudios de ingeniería de infraestructura de transporte</w:t>
      </w:r>
      <w:r w:rsidR="007F29B0">
        <w:rPr>
          <w:rFonts w:ascii="Arial" w:hAnsi="Arial" w:cs="Arial"/>
          <w:lang w:val="es-ES"/>
        </w:rPr>
        <w:t>,</w:t>
      </w:r>
      <w:r w:rsidR="00A40EB7" w:rsidRPr="0065729D">
        <w:rPr>
          <w:rFonts w:ascii="Arial" w:hAnsi="Arial" w:cs="Arial"/>
          <w:lang w:val="es-ES"/>
        </w:rPr>
        <w:t xml:space="preserve"> de licitación de obra pública para proyectos de agua potable y saneamiento básico y su modalidad de llave en mano y los documentos tipo de licitación de obra pública de infraestructura social</w:t>
      </w:r>
      <w:r w:rsidR="00EC66D7">
        <w:rPr>
          <w:rFonts w:ascii="Arial" w:hAnsi="Arial" w:cs="Arial"/>
          <w:lang w:val="es-ES"/>
        </w:rPr>
        <w:t>, con ocasión a la expedición del Decreto 1860 de 2021 y la Ley 2069 del 2020.</w:t>
      </w:r>
    </w:p>
    <w:p w14:paraId="436F8A41" w14:textId="126A2BFD" w:rsidR="00774FB8" w:rsidRDefault="00AF21E4" w:rsidP="003767F5">
      <w:pPr>
        <w:autoSpaceDE w:val="0"/>
        <w:autoSpaceDN w:val="0"/>
        <w:adjustRightInd w:val="0"/>
        <w:spacing w:after="120" w:line="276" w:lineRule="auto"/>
        <w:jc w:val="both"/>
        <w:rPr>
          <w:rFonts w:ascii="Arial" w:hAnsi="Arial" w:cs="Arial"/>
        </w:rPr>
      </w:pPr>
      <w:r>
        <w:rPr>
          <w:rFonts w:ascii="Arial" w:hAnsi="Arial" w:cs="Arial"/>
          <w:lang w:val="es-ES"/>
        </w:rPr>
        <w:tab/>
      </w:r>
      <w:r w:rsidR="00456617" w:rsidRPr="00954CF7">
        <w:rPr>
          <w:rFonts w:ascii="Arial" w:hAnsi="Arial" w:cs="Arial"/>
          <w:lang w:val="es-ES"/>
        </w:rPr>
        <w:t xml:space="preserve">Ahora bien, en cuanto a la vigencia de la Resolución 275 de 2022, el artículo </w:t>
      </w:r>
      <w:r w:rsidR="00954CF7" w:rsidRPr="00954CF7">
        <w:rPr>
          <w:rFonts w:ascii="Arial" w:hAnsi="Arial" w:cs="Arial"/>
          <w:lang w:val="es-ES"/>
        </w:rPr>
        <w:t xml:space="preserve">179 dispuso que </w:t>
      </w:r>
      <w:r w:rsidR="00954CF7" w:rsidRPr="00954CF7">
        <w:rPr>
          <w:rFonts w:ascii="Arial" w:hAnsi="Arial" w:cs="Arial"/>
        </w:rPr>
        <w:t>esta «[…]</w:t>
      </w:r>
      <w:r w:rsidR="001D38BB">
        <w:rPr>
          <w:rFonts w:ascii="Arial" w:hAnsi="Arial" w:cs="Arial"/>
        </w:rPr>
        <w:t xml:space="preserve"> </w:t>
      </w:r>
      <w:r w:rsidR="00456617" w:rsidRPr="00954CF7">
        <w:rPr>
          <w:rFonts w:ascii="Arial" w:hAnsi="Arial" w:cs="Arial"/>
        </w:rPr>
        <w:t>rige a partir de su publicación y aplicará a los Procesos de Contratación cuyo aviso de convocatoria se publique a partir del 29 de agosto de 2022</w:t>
      </w:r>
      <w:r w:rsidR="00954CF7" w:rsidRPr="00954CF7">
        <w:rPr>
          <w:rFonts w:ascii="Arial" w:hAnsi="Arial" w:cs="Arial"/>
        </w:rPr>
        <w:t>»</w:t>
      </w:r>
      <w:r w:rsidR="00456617" w:rsidRPr="00954CF7">
        <w:rPr>
          <w:rFonts w:ascii="Arial" w:hAnsi="Arial" w:cs="Arial"/>
        </w:rPr>
        <w:t xml:space="preserve">. </w:t>
      </w:r>
      <w:r w:rsidR="003767F5">
        <w:rPr>
          <w:rFonts w:ascii="Arial" w:hAnsi="Arial" w:cs="Arial"/>
        </w:rPr>
        <w:t xml:space="preserve">De esta forma, la entidad estatal </w:t>
      </w:r>
      <w:r w:rsidR="00F5310E">
        <w:rPr>
          <w:rFonts w:ascii="Arial" w:hAnsi="Arial" w:cs="Arial"/>
        </w:rPr>
        <w:t>que pretenda adelantar un proceso de selección mediante la utilización de los documentos tipo de licitación de obra pública de infraestructura social</w:t>
      </w:r>
      <w:r w:rsidR="00E45F6A">
        <w:rPr>
          <w:rFonts w:ascii="Arial" w:hAnsi="Arial" w:cs="Arial"/>
        </w:rPr>
        <w:t>, asociados a los sectores salud</w:t>
      </w:r>
      <w:r w:rsidR="00F3743D">
        <w:rPr>
          <w:rFonts w:ascii="Arial" w:hAnsi="Arial" w:cs="Arial"/>
        </w:rPr>
        <w:t>;</w:t>
      </w:r>
      <w:r w:rsidR="00E45F6A">
        <w:rPr>
          <w:rFonts w:ascii="Arial" w:hAnsi="Arial" w:cs="Arial"/>
        </w:rPr>
        <w:t xml:space="preserve"> educativo</w:t>
      </w:r>
      <w:r w:rsidR="00F3743D">
        <w:rPr>
          <w:rFonts w:ascii="Arial" w:hAnsi="Arial" w:cs="Arial"/>
        </w:rPr>
        <w:t>;</w:t>
      </w:r>
      <w:r w:rsidR="00E45F6A">
        <w:rPr>
          <w:rFonts w:ascii="Arial" w:hAnsi="Arial" w:cs="Arial"/>
        </w:rPr>
        <w:t xml:space="preserve"> y cultura, recreación y deporte, </w:t>
      </w:r>
      <w:r w:rsidR="003767F5">
        <w:rPr>
          <w:rFonts w:ascii="Arial" w:hAnsi="Arial" w:cs="Arial"/>
        </w:rPr>
        <w:t xml:space="preserve">estarán obligadas a </w:t>
      </w:r>
      <w:r w:rsidR="00D120D8">
        <w:rPr>
          <w:rFonts w:ascii="Arial" w:hAnsi="Arial" w:cs="Arial"/>
        </w:rPr>
        <w:t>aplicar las modificaciones realizadas mediante la Resolución 275 de 2022</w:t>
      </w:r>
      <w:r w:rsidR="00F275F0">
        <w:rPr>
          <w:rFonts w:ascii="Arial" w:hAnsi="Arial" w:cs="Arial"/>
        </w:rPr>
        <w:t>,</w:t>
      </w:r>
      <w:r w:rsidR="00D120D8">
        <w:rPr>
          <w:rFonts w:ascii="Arial" w:hAnsi="Arial" w:cs="Arial"/>
        </w:rPr>
        <w:t xml:space="preserve"> </w:t>
      </w:r>
      <w:r w:rsidR="003767F5">
        <w:rPr>
          <w:rFonts w:ascii="Arial" w:hAnsi="Arial" w:cs="Arial"/>
        </w:rPr>
        <w:t xml:space="preserve">si la publicación del aviso de convocatoria se realiza a partir </w:t>
      </w:r>
      <w:r w:rsidR="00F275F0">
        <w:rPr>
          <w:rFonts w:ascii="Arial" w:hAnsi="Arial" w:cs="Arial"/>
        </w:rPr>
        <w:t>d</w:t>
      </w:r>
      <w:r w:rsidR="00774FB8">
        <w:rPr>
          <w:rFonts w:ascii="Arial" w:hAnsi="Arial" w:cs="Arial"/>
        </w:rPr>
        <w:t>el 29 de agosto de 2022</w:t>
      </w:r>
      <w:r w:rsidR="00D120D8">
        <w:rPr>
          <w:rFonts w:ascii="Arial" w:hAnsi="Arial" w:cs="Arial"/>
        </w:rPr>
        <w:t>.</w:t>
      </w:r>
    </w:p>
    <w:p w14:paraId="422C88FF" w14:textId="3DA071C2" w:rsidR="003767F5" w:rsidRPr="000F6C95" w:rsidRDefault="00C15B83" w:rsidP="00F90F5D">
      <w:pPr>
        <w:autoSpaceDE w:val="0"/>
        <w:autoSpaceDN w:val="0"/>
        <w:adjustRightInd w:val="0"/>
        <w:spacing w:after="0" w:line="276" w:lineRule="auto"/>
        <w:ind w:firstLine="708"/>
        <w:jc w:val="both"/>
        <w:rPr>
          <w:rFonts w:ascii="Arial" w:eastAsia="Times New Roman" w:hAnsi="Arial" w:cs="Arial"/>
          <w:lang w:eastAsia="es-CO"/>
        </w:rPr>
      </w:pPr>
      <w:r>
        <w:rPr>
          <w:rFonts w:ascii="Arial" w:hAnsi="Arial" w:cs="Arial"/>
        </w:rPr>
        <w:t xml:space="preserve">Lo anterior </w:t>
      </w:r>
      <w:r w:rsidR="003767F5">
        <w:rPr>
          <w:rFonts w:ascii="Arial" w:hAnsi="Arial" w:cs="Arial"/>
        </w:rPr>
        <w:t xml:space="preserve">significa que </w:t>
      </w:r>
      <w:r w:rsidR="003767F5">
        <w:rPr>
          <w:rFonts w:ascii="Arial" w:eastAsia="Times New Roman" w:hAnsi="Arial" w:cs="Arial"/>
          <w:lang w:eastAsia="es-CO"/>
        </w:rPr>
        <w:t>si la entidad estatal</w:t>
      </w:r>
      <w:r w:rsidR="003767F5" w:rsidRPr="000F6C95">
        <w:rPr>
          <w:rFonts w:ascii="Arial" w:eastAsia="Times New Roman" w:hAnsi="Arial" w:cs="Arial"/>
          <w:lang w:eastAsia="es-CO"/>
        </w:rPr>
        <w:t xml:space="preserve"> </w:t>
      </w:r>
      <w:r w:rsidR="003767F5">
        <w:rPr>
          <w:rFonts w:ascii="Arial" w:eastAsia="Times New Roman" w:hAnsi="Arial" w:cs="Arial"/>
          <w:lang w:eastAsia="es-CO"/>
        </w:rPr>
        <w:t xml:space="preserve">publica </w:t>
      </w:r>
      <w:r w:rsidR="003767F5" w:rsidRPr="000F6C95">
        <w:rPr>
          <w:rFonts w:ascii="Arial" w:eastAsia="Times New Roman" w:hAnsi="Arial" w:cs="Arial"/>
          <w:lang w:eastAsia="es-CO"/>
        </w:rPr>
        <w:t xml:space="preserve">su aviso de convocatoria a partir de la fecha </w:t>
      </w:r>
      <w:r w:rsidR="003767F5">
        <w:rPr>
          <w:rFonts w:ascii="Arial" w:eastAsia="Times New Roman" w:hAnsi="Arial" w:cs="Arial"/>
          <w:lang w:eastAsia="es-CO"/>
        </w:rPr>
        <w:t xml:space="preserve">allí </w:t>
      </w:r>
      <w:r w:rsidR="003767F5" w:rsidRPr="000F6C95">
        <w:rPr>
          <w:rFonts w:ascii="Arial" w:eastAsia="Times New Roman" w:hAnsi="Arial" w:cs="Arial"/>
          <w:lang w:eastAsia="es-CO"/>
        </w:rPr>
        <w:t>determinada</w:t>
      </w:r>
      <w:r w:rsidR="003767F5">
        <w:rPr>
          <w:rFonts w:ascii="Arial" w:eastAsia="Times New Roman" w:hAnsi="Arial" w:cs="Arial"/>
          <w:lang w:eastAsia="es-CO"/>
        </w:rPr>
        <w:t xml:space="preserve"> </w:t>
      </w:r>
      <w:r w:rsidR="003767F5" w:rsidRPr="000F6C95">
        <w:rPr>
          <w:rFonts w:ascii="Arial" w:eastAsia="Times New Roman" w:hAnsi="Arial" w:cs="Arial"/>
          <w:lang w:eastAsia="es-CO"/>
        </w:rPr>
        <w:t>estaría obligada</w:t>
      </w:r>
      <w:r w:rsidR="003767F5">
        <w:rPr>
          <w:rFonts w:ascii="Arial" w:eastAsia="Times New Roman" w:hAnsi="Arial" w:cs="Arial"/>
          <w:lang w:eastAsia="es-CO"/>
        </w:rPr>
        <w:t xml:space="preserve"> </w:t>
      </w:r>
      <w:r w:rsidR="003767F5" w:rsidRPr="000F6C95">
        <w:rPr>
          <w:rFonts w:ascii="Arial" w:eastAsia="Times New Roman" w:hAnsi="Arial" w:cs="Arial"/>
          <w:lang w:eastAsia="es-CO"/>
        </w:rPr>
        <w:t>a utilizar los documentos tipo</w:t>
      </w:r>
      <w:r w:rsidR="003767F5">
        <w:rPr>
          <w:rFonts w:ascii="Arial" w:eastAsia="Times New Roman" w:hAnsi="Arial" w:cs="Arial"/>
          <w:lang w:eastAsia="es-CO"/>
        </w:rPr>
        <w:t xml:space="preserve"> de infraestructura social, particularmente, en los procesos de selección cuyo objeto consista en </w:t>
      </w:r>
      <w:r w:rsidR="003767F5">
        <w:rPr>
          <w:rFonts w:ascii="Arial" w:eastAsia="Times New Roman" w:hAnsi="Arial" w:cs="Arial"/>
          <w:color w:val="000000"/>
        </w:rPr>
        <w:t xml:space="preserve">realizar la </w:t>
      </w:r>
      <w:r w:rsidR="003767F5">
        <w:rPr>
          <w:rFonts w:ascii="Arial" w:hAnsi="Arial" w:cs="Arial"/>
        </w:rPr>
        <w:t>contratación de obras públicas en los sectores de educación</w:t>
      </w:r>
      <w:r w:rsidR="00D120D8">
        <w:rPr>
          <w:rFonts w:ascii="Arial" w:hAnsi="Arial" w:cs="Arial"/>
        </w:rPr>
        <w:t>;</w:t>
      </w:r>
      <w:r w:rsidR="003767F5">
        <w:rPr>
          <w:rFonts w:ascii="Arial" w:hAnsi="Arial" w:cs="Arial"/>
        </w:rPr>
        <w:t xml:space="preserve"> salud</w:t>
      </w:r>
      <w:r w:rsidR="00D120D8">
        <w:rPr>
          <w:rFonts w:ascii="Arial" w:hAnsi="Arial" w:cs="Arial"/>
        </w:rPr>
        <w:t>;</w:t>
      </w:r>
      <w:r w:rsidR="003767F5">
        <w:rPr>
          <w:rFonts w:ascii="Arial" w:hAnsi="Arial" w:cs="Arial"/>
        </w:rPr>
        <w:t xml:space="preserve"> y cultura, recreación y deporte</w:t>
      </w:r>
      <w:r w:rsidR="00C30FB7">
        <w:rPr>
          <w:rFonts w:ascii="Arial" w:hAnsi="Arial" w:cs="Arial"/>
        </w:rPr>
        <w:t>, con las modificaciones contenidas en la Resolución 275 de 2022.</w:t>
      </w:r>
      <w:r w:rsidR="003767F5" w:rsidRPr="00BC0F9B">
        <w:rPr>
          <w:rFonts w:ascii="Arial" w:hAnsi="Arial" w:cs="Arial"/>
        </w:rPr>
        <w:t xml:space="preserve"> </w:t>
      </w:r>
      <w:r w:rsidR="003767F5">
        <w:rPr>
          <w:rFonts w:ascii="Arial" w:eastAsia="Times New Roman" w:hAnsi="Arial" w:cs="Arial"/>
          <w:lang w:eastAsia="es-CO"/>
        </w:rPr>
        <w:t xml:space="preserve">Por el contrario, en los procesos de contratación cuyo aviso de convocatoria se publique antes de la </w:t>
      </w:r>
      <w:r w:rsidR="003767F5">
        <w:rPr>
          <w:rFonts w:ascii="Arial" w:hAnsi="Arial" w:cs="Arial"/>
        </w:rPr>
        <w:t>fecha señalada</w:t>
      </w:r>
      <w:r w:rsidR="00F6452F">
        <w:rPr>
          <w:rFonts w:ascii="Arial" w:hAnsi="Arial" w:cs="Arial"/>
        </w:rPr>
        <w:t xml:space="preserve">, </w:t>
      </w:r>
      <w:r w:rsidR="003767F5">
        <w:rPr>
          <w:rFonts w:ascii="Arial" w:hAnsi="Arial" w:cs="Arial"/>
        </w:rPr>
        <w:t xml:space="preserve">la entidad estatal no </w:t>
      </w:r>
      <w:r w:rsidR="003767F5">
        <w:rPr>
          <w:rFonts w:ascii="Arial" w:eastAsia="Times New Roman" w:hAnsi="Arial" w:cs="Arial"/>
          <w:lang w:eastAsia="es-CO"/>
        </w:rPr>
        <w:t xml:space="preserve">estaría obligada a utilizar estos documentos tipo </w:t>
      </w:r>
      <w:r w:rsidR="00F6452F">
        <w:rPr>
          <w:rFonts w:ascii="Arial" w:eastAsia="Times New Roman" w:hAnsi="Arial" w:cs="Arial"/>
          <w:lang w:eastAsia="es-CO"/>
        </w:rPr>
        <w:t xml:space="preserve">con las </w:t>
      </w:r>
      <w:r w:rsidR="00231A0F">
        <w:rPr>
          <w:rFonts w:ascii="Arial" w:eastAsia="Times New Roman" w:hAnsi="Arial" w:cs="Arial"/>
          <w:lang w:eastAsia="es-CO"/>
        </w:rPr>
        <w:t>modificaciones contenidas</w:t>
      </w:r>
      <w:r w:rsidR="00F6452F">
        <w:rPr>
          <w:rFonts w:ascii="Arial" w:eastAsia="Times New Roman" w:hAnsi="Arial" w:cs="Arial"/>
          <w:lang w:eastAsia="es-CO"/>
        </w:rPr>
        <w:t xml:space="preserve"> en la citada resolución</w:t>
      </w:r>
      <w:r w:rsidR="00D120D8">
        <w:rPr>
          <w:rFonts w:ascii="Arial" w:eastAsia="Times New Roman" w:hAnsi="Arial" w:cs="Arial"/>
          <w:lang w:eastAsia="es-CO"/>
        </w:rPr>
        <w:t>; sino los vigentes</w:t>
      </w:r>
      <w:r w:rsidR="00F275F0">
        <w:rPr>
          <w:rFonts w:ascii="Arial" w:eastAsia="Times New Roman" w:hAnsi="Arial" w:cs="Arial"/>
          <w:lang w:eastAsia="es-CO"/>
        </w:rPr>
        <w:t xml:space="preserve"> antes de la expedición de la Resolución 275 de 2022, sin que tenga que realizar alguna modificación a los pliegos de condiciones.</w:t>
      </w:r>
      <w:r w:rsidR="003767F5">
        <w:rPr>
          <w:rFonts w:ascii="Arial" w:eastAsia="Times New Roman" w:hAnsi="Arial" w:cs="Arial"/>
          <w:lang w:eastAsia="es-CO"/>
        </w:rPr>
        <w:t xml:space="preserve"> </w:t>
      </w:r>
    </w:p>
    <w:bookmarkEnd w:id="6"/>
    <w:p w14:paraId="43308393" w14:textId="77777777" w:rsidR="008D3390" w:rsidRPr="008D3390" w:rsidRDefault="008D3390" w:rsidP="00F90F5D">
      <w:pPr>
        <w:spacing w:after="0" w:line="276" w:lineRule="auto"/>
        <w:ind w:firstLine="709"/>
        <w:jc w:val="both"/>
        <w:rPr>
          <w:rFonts w:ascii="Arial" w:eastAsia="Times New Roman" w:hAnsi="Arial" w:cs="Arial"/>
          <w:color w:val="0D0D0D"/>
          <w:szCs w:val="24"/>
          <w:bdr w:val="none" w:sz="0" w:space="0" w:color="auto" w:frame="1"/>
          <w:lang w:eastAsia="es-CO"/>
        </w:rPr>
      </w:pPr>
    </w:p>
    <w:p w14:paraId="37347CBD" w14:textId="76A9AD40" w:rsidR="008D3390" w:rsidRDefault="008D3390" w:rsidP="00A12E1F">
      <w:pPr>
        <w:spacing w:after="0" w:line="276" w:lineRule="auto"/>
        <w:jc w:val="both"/>
        <w:rPr>
          <w:rFonts w:ascii="Arial" w:eastAsia="Times New Roman" w:hAnsi="Arial" w:cs="Arial"/>
          <w:b/>
          <w:bCs/>
          <w:lang w:eastAsia="es-MX"/>
        </w:rPr>
      </w:pPr>
      <w:r w:rsidRPr="008D3390">
        <w:rPr>
          <w:rFonts w:ascii="Arial" w:eastAsia="Times New Roman" w:hAnsi="Arial" w:cs="Arial"/>
          <w:b/>
          <w:bCs/>
          <w:lang w:eastAsia="es-MX"/>
        </w:rPr>
        <w:t xml:space="preserve">3. Respuesta: </w:t>
      </w:r>
    </w:p>
    <w:p w14:paraId="66685E2B" w14:textId="77777777" w:rsidR="00A12E1F" w:rsidRPr="008D3390" w:rsidRDefault="00A12E1F" w:rsidP="00A12E1F">
      <w:pPr>
        <w:spacing w:after="0" w:line="276" w:lineRule="auto"/>
        <w:jc w:val="both"/>
        <w:rPr>
          <w:rFonts w:ascii="Arial" w:eastAsia="Times New Roman" w:hAnsi="Arial" w:cs="Arial"/>
          <w:b/>
          <w:bCs/>
          <w:lang w:eastAsia="es-MX"/>
        </w:rPr>
      </w:pPr>
    </w:p>
    <w:p w14:paraId="73A22C6F" w14:textId="77777777" w:rsidR="008D3390" w:rsidRPr="008D3390" w:rsidRDefault="008D3390" w:rsidP="00A12E1F">
      <w:pPr>
        <w:spacing w:after="0" w:line="240" w:lineRule="auto"/>
        <w:ind w:left="709" w:right="709"/>
        <w:jc w:val="both"/>
        <w:rPr>
          <w:rFonts w:ascii="Arial" w:hAnsi="Arial" w:cs="Arial"/>
          <w:sz w:val="16"/>
          <w:szCs w:val="16"/>
        </w:rPr>
      </w:pPr>
    </w:p>
    <w:p w14:paraId="1431E95F" w14:textId="4C9A5B5E" w:rsidR="00F90F5D" w:rsidRDefault="00F90F5D" w:rsidP="00FE0699">
      <w:pPr>
        <w:pStyle w:val="Prrafodelista"/>
        <w:numPr>
          <w:ilvl w:val="0"/>
          <w:numId w:val="4"/>
        </w:numPr>
        <w:spacing w:after="0" w:line="240" w:lineRule="auto"/>
        <w:ind w:left="709" w:right="709" w:firstLine="0"/>
        <w:contextualSpacing w:val="0"/>
        <w:jc w:val="both"/>
        <w:rPr>
          <w:rFonts w:ascii="Arial" w:hAnsi="Arial" w:cs="Arial"/>
          <w:sz w:val="21"/>
          <w:szCs w:val="21"/>
        </w:rPr>
      </w:pPr>
      <w:r w:rsidRPr="007C3E49">
        <w:rPr>
          <w:rFonts w:ascii="Arial" w:hAnsi="Arial" w:cs="Arial"/>
          <w:sz w:val="21"/>
          <w:szCs w:val="21"/>
        </w:rPr>
        <w:t>«¿podría adelantar un proceso de selección de licitación de obra pública de educación con los pliegos diseños por el ente territorial, mientras Colombia Compra adecua los pliegos tipo con las nuevas condición evaluación en cumplimiento de su propia normativa?» y</w:t>
      </w:r>
    </w:p>
    <w:p w14:paraId="551FBA7A" w14:textId="77777777" w:rsidR="00CB24DE" w:rsidRDefault="00CB24DE" w:rsidP="00A12E1F">
      <w:pPr>
        <w:spacing w:after="0" w:line="276" w:lineRule="auto"/>
        <w:jc w:val="both"/>
        <w:rPr>
          <w:rFonts w:ascii="Arial" w:eastAsia="Calibri" w:hAnsi="Arial" w:cs="Arial"/>
          <w:szCs w:val="24"/>
          <w:lang w:eastAsia="en-GB"/>
        </w:rPr>
      </w:pPr>
    </w:p>
    <w:p w14:paraId="602C5CDD" w14:textId="29709B53" w:rsidR="00CB24DE" w:rsidRPr="00CB24DE" w:rsidRDefault="00CB24DE" w:rsidP="00340D2E">
      <w:pPr>
        <w:spacing w:after="0" w:line="276" w:lineRule="auto"/>
        <w:jc w:val="both"/>
        <w:rPr>
          <w:rFonts w:ascii="Arial" w:eastAsia="Calibri" w:hAnsi="Arial" w:cs="Arial"/>
          <w:szCs w:val="24"/>
          <w:lang w:eastAsia="en-GB"/>
        </w:rPr>
      </w:pPr>
      <w:r w:rsidRPr="00CB24DE">
        <w:rPr>
          <w:rFonts w:ascii="Arial" w:eastAsia="Calibri" w:hAnsi="Arial" w:cs="Arial"/>
          <w:szCs w:val="24"/>
          <w:lang w:eastAsia="en-GB"/>
        </w:rPr>
        <w:t xml:space="preserve">Ley 2022 de 2020 señala que los documentos tipo adoptados por la Agencia Nacional de Contratación Pública son de </w:t>
      </w:r>
      <w:r w:rsidRPr="00CB24DE">
        <w:rPr>
          <w:rFonts w:ascii="Arial" w:eastAsia="Calibri" w:hAnsi="Arial" w:cs="Arial"/>
          <w:i/>
          <w:szCs w:val="24"/>
          <w:lang w:eastAsia="en-GB"/>
        </w:rPr>
        <w:t>obligatorio</w:t>
      </w:r>
      <w:r w:rsidRPr="00CB24DE">
        <w:rPr>
          <w:rFonts w:ascii="Arial" w:eastAsia="Calibri" w:hAnsi="Arial" w:cs="Arial"/>
          <w:szCs w:val="24"/>
          <w:lang w:eastAsia="en-GB"/>
        </w:rPr>
        <w:t xml:space="preserve"> cumplimiento por todas las entidades </w:t>
      </w:r>
      <w:r w:rsidRPr="00CB24DE">
        <w:rPr>
          <w:rFonts w:ascii="Arial" w:eastAsia="Calibri" w:hAnsi="Arial" w:cs="Arial"/>
          <w:szCs w:val="24"/>
          <w:lang w:eastAsia="en-GB"/>
        </w:rPr>
        <w:lastRenderedPageBreak/>
        <w:t>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r w:rsidR="000E0AD4">
        <w:rPr>
          <w:rFonts w:ascii="Arial" w:eastAsia="Calibri" w:hAnsi="Arial" w:cs="Arial"/>
          <w:szCs w:val="24"/>
          <w:lang w:eastAsia="en-GB"/>
        </w:rPr>
        <w:t xml:space="preserve"> o en lugares en que expresamente los documentos tipo admitan su modificación.</w:t>
      </w:r>
    </w:p>
    <w:p w14:paraId="20F3707D" w14:textId="77777777" w:rsidR="00CB24DE" w:rsidRPr="00CB24DE" w:rsidRDefault="00CB24DE" w:rsidP="00CB24DE">
      <w:pPr>
        <w:spacing w:before="120" w:after="120" w:line="276" w:lineRule="auto"/>
        <w:ind w:firstLine="708"/>
        <w:jc w:val="both"/>
        <w:rPr>
          <w:rFonts w:ascii="Arial" w:eastAsia="Calibri" w:hAnsi="Arial" w:cs="Arial"/>
          <w:color w:val="000000"/>
          <w:szCs w:val="24"/>
          <w:lang w:val="es-ES_tradnl" w:eastAsia="en-GB"/>
        </w:rPr>
      </w:pPr>
      <w:r w:rsidRPr="00CB24DE">
        <w:rPr>
          <w:rFonts w:ascii="Arial" w:eastAsia="Calibri" w:hAnsi="Arial" w:cs="Arial"/>
          <w:color w:val="000000"/>
          <w:szCs w:val="24"/>
          <w:lang w:eastAsia="en-GB"/>
        </w:rPr>
        <w:t>Esta es una regla que está consagrada en la</w:t>
      </w:r>
      <w:r w:rsidRPr="00CB24DE">
        <w:rPr>
          <w:rFonts w:ascii="Arial" w:eastAsia="Calibri" w:hAnsi="Arial" w:cs="Arial"/>
          <w:color w:val="000000"/>
          <w:szCs w:val="24"/>
          <w:lang w:val="es-ES_tradnl" w:eastAsia="en-GB"/>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CB24DE">
        <w:rPr>
          <w:rFonts w:ascii="Arial" w:eastAsia="Calibri" w:hAnsi="Arial" w:cs="Arial"/>
          <w:i/>
          <w:iCs/>
          <w:color w:val="000000"/>
          <w:szCs w:val="24"/>
          <w:lang w:val="es-ES_tradnl" w:eastAsia="en-GB"/>
        </w:rPr>
        <w:t>Documentos del Proceso</w:t>
      </w:r>
      <w:r w:rsidRPr="00CB24DE">
        <w:rPr>
          <w:rFonts w:ascii="Arial" w:eastAsia="Calibri" w:hAnsi="Arial" w:cs="Arial"/>
          <w:color w:val="000000"/>
          <w:szCs w:val="24"/>
          <w:lang w:val="es-ES_tradnl" w:eastAsia="en-GB"/>
        </w:rPr>
        <w:t xml:space="preserve"> las condiciones habilitantes, los factores técnicos y económicos de escogencia y los sistemas de ponderación distintos a los señalados en los documentos tipo.  </w:t>
      </w:r>
    </w:p>
    <w:p w14:paraId="362F3BF6" w14:textId="01E67E6B" w:rsidR="00CB24DE" w:rsidRPr="00CB24DE" w:rsidRDefault="00CB24DE" w:rsidP="00CB24DE">
      <w:pPr>
        <w:spacing w:after="0" w:line="276" w:lineRule="auto"/>
        <w:ind w:firstLine="708"/>
        <w:jc w:val="both"/>
        <w:rPr>
          <w:rFonts w:ascii="Arial" w:eastAsia="Calibri" w:hAnsi="Arial" w:cs="Arial"/>
          <w:color w:val="000000"/>
          <w:szCs w:val="24"/>
          <w:lang w:val="es-ES_tradnl" w:eastAsia="en-GB"/>
        </w:rPr>
      </w:pPr>
      <w:r w:rsidRPr="00CB24DE">
        <w:rPr>
          <w:rFonts w:ascii="Arial" w:eastAsia="Calibri" w:hAnsi="Arial" w:cs="Arial"/>
          <w:color w:val="000000"/>
          <w:szCs w:val="24"/>
          <w:lang w:val="es-ES_tradnl" w:eastAsia="en-GB"/>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58B0091A" w14:textId="77777777" w:rsidR="006C35DE" w:rsidRPr="006C35DE" w:rsidRDefault="006C35DE" w:rsidP="006C35DE">
      <w:pPr>
        <w:spacing w:after="120" w:line="240" w:lineRule="auto"/>
        <w:ind w:right="709"/>
        <w:jc w:val="both"/>
        <w:rPr>
          <w:rFonts w:ascii="Arial" w:hAnsi="Arial" w:cs="Arial"/>
          <w:sz w:val="21"/>
          <w:szCs w:val="21"/>
        </w:rPr>
      </w:pPr>
    </w:p>
    <w:p w14:paraId="59D2A5D8" w14:textId="6FEDB6CB" w:rsidR="00F90F5D" w:rsidRDefault="00F90F5D" w:rsidP="00FE0699">
      <w:pPr>
        <w:pStyle w:val="Prrafodelista"/>
        <w:numPr>
          <w:ilvl w:val="0"/>
          <w:numId w:val="4"/>
        </w:numPr>
        <w:spacing w:after="0" w:line="240" w:lineRule="auto"/>
        <w:ind w:left="709" w:right="709" w:firstLine="0"/>
        <w:contextualSpacing w:val="0"/>
        <w:jc w:val="both"/>
        <w:rPr>
          <w:rFonts w:ascii="Arial" w:hAnsi="Arial" w:cs="Arial"/>
          <w:sz w:val="21"/>
          <w:szCs w:val="21"/>
        </w:rPr>
      </w:pPr>
      <w:r w:rsidRPr="007C3E49">
        <w:rPr>
          <w:rFonts w:ascii="Arial" w:hAnsi="Arial" w:cs="Arial"/>
          <w:sz w:val="21"/>
          <w:szCs w:val="21"/>
        </w:rPr>
        <w:t xml:space="preserve">«De no ser posible, ¿cuál sería la forma correcta de emplear el pliego tipo e incorporar las nuevas órdenes imperativas para evaluar las condiciones diferenciales de </w:t>
      </w:r>
      <w:proofErr w:type="spellStart"/>
      <w:r w:rsidRPr="007C3E49">
        <w:rPr>
          <w:rFonts w:ascii="Arial" w:hAnsi="Arial" w:cs="Arial"/>
          <w:sz w:val="21"/>
          <w:szCs w:val="21"/>
        </w:rPr>
        <w:t>Mipymes</w:t>
      </w:r>
      <w:proofErr w:type="spellEnd"/>
      <w:r w:rsidRPr="007C3E49">
        <w:rPr>
          <w:rFonts w:ascii="Arial" w:hAnsi="Arial" w:cs="Arial"/>
          <w:sz w:val="21"/>
          <w:szCs w:val="21"/>
        </w:rPr>
        <w:t xml:space="preserve"> y emprendimiento de mujeres para llevar a cabo el proceso contractual?»</w:t>
      </w:r>
    </w:p>
    <w:p w14:paraId="0D8A88C1" w14:textId="77777777" w:rsidR="00AC38F3" w:rsidRPr="007C3E49" w:rsidRDefault="00AC38F3" w:rsidP="00AC38F3">
      <w:pPr>
        <w:pStyle w:val="Prrafodelista"/>
        <w:spacing w:after="0" w:line="240" w:lineRule="auto"/>
        <w:ind w:left="1429" w:right="709"/>
        <w:contextualSpacing w:val="0"/>
        <w:jc w:val="both"/>
        <w:rPr>
          <w:rFonts w:ascii="Arial" w:hAnsi="Arial" w:cs="Arial"/>
          <w:sz w:val="21"/>
          <w:szCs w:val="21"/>
        </w:rPr>
      </w:pPr>
    </w:p>
    <w:p w14:paraId="712CD175" w14:textId="1496E212" w:rsidR="00AC38F3" w:rsidRPr="00AC38F3" w:rsidRDefault="00AC38F3" w:rsidP="00340D2E">
      <w:pPr>
        <w:spacing w:after="120" w:line="276" w:lineRule="auto"/>
        <w:jc w:val="both"/>
        <w:rPr>
          <w:rFonts w:ascii="Arial" w:hAnsi="Arial" w:cs="Arial"/>
        </w:rPr>
      </w:pPr>
      <w:r w:rsidRPr="00AC38F3">
        <w:rPr>
          <w:rFonts w:ascii="Arial" w:hAnsi="Arial" w:cs="Arial"/>
        </w:rPr>
        <w:t xml:space="preserve">Para aplicar las disposiciones contenidas en el Decreto 1860 de 2021, el artículo 8 de dicho decreto estableció el momento a partir del cual sus disposiciones surtirían efectos. De esta forma, se estableció que estas aplicarán a los procesos de selección cuya invitación, aviso de convocatoria o documento equivalente –según corresponda–, se publique después de los tres (3) meses de su expedición. </w:t>
      </w:r>
    </w:p>
    <w:p w14:paraId="5F6C6AC4" w14:textId="77777777" w:rsidR="00AC38F3" w:rsidRPr="00AC38F3" w:rsidRDefault="00AC38F3" w:rsidP="006755B5">
      <w:pPr>
        <w:spacing w:after="120" w:line="276" w:lineRule="auto"/>
        <w:ind w:firstLine="708"/>
        <w:jc w:val="both"/>
        <w:rPr>
          <w:rFonts w:ascii="Arial" w:hAnsi="Arial" w:cs="Arial"/>
        </w:rPr>
      </w:pPr>
      <w:r w:rsidRPr="00AC38F3">
        <w:rPr>
          <w:rFonts w:ascii="Arial" w:hAnsi="Arial" w:cs="Arial"/>
        </w:rPr>
        <w:t xml:space="preserve">No obstante, en relación con los procesos de contratación que se rijan por los Documentos Tipo, en el parágrafo del artículo se dispuso que las disposiciones contenidas en el Decreto no se aplicarían a dichos procesos hasta que la Agencia Nacional de Contratación Pública − Colombia Compra Eficiente incorpore en estos documentos las modificaciones pertinentes. Para el efecto, se señaló que la Agencia tendría un plazo de seis (6) meses contados a partir de la expedición del reglamento para adecuar los documentos tipo a las disposiciones del Decreto. En este sentido, hasta que la adecuación no ocurra se continuarán aplicando los instrumentos y las </w:t>
      </w:r>
      <w:r w:rsidRPr="00AC38F3">
        <w:rPr>
          <w:rFonts w:ascii="Arial" w:hAnsi="Arial" w:cs="Arial"/>
        </w:rPr>
        <w:lastRenderedPageBreak/>
        <w:t>normas vigentes anteriores a la expedición del reglamento, conforme a la regulación contenida en los Documentos Tipo vigentes.</w:t>
      </w:r>
    </w:p>
    <w:p w14:paraId="5D48C561" w14:textId="77777777" w:rsidR="00AC38F3" w:rsidRPr="00AC38F3" w:rsidRDefault="00AC38F3" w:rsidP="006755B5">
      <w:pPr>
        <w:spacing w:after="120" w:line="276" w:lineRule="auto"/>
        <w:ind w:firstLine="708"/>
        <w:jc w:val="both"/>
        <w:rPr>
          <w:rFonts w:ascii="Arial" w:hAnsi="Arial" w:cs="Arial"/>
        </w:rPr>
      </w:pPr>
      <w:r w:rsidRPr="00AC38F3">
        <w:rPr>
          <w:rFonts w:ascii="Arial" w:hAnsi="Arial" w:cs="Arial"/>
        </w:rPr>
        <w:t xml:space="preserve">Sin perjuicio de lo anterior, el segundo inciso del parágrafo señala una regla distinta en relación con la </w:t>
      </w:r>
      <w:proofErr w:type="gramStart"/>
      <w:r w:rsidRPr="00AC38F3">
        <w:rPr>
          <w:rFonts w:ascii="Arial" w:hAnsi="Arial" w:cs="Arial"/>
        </w:rPr>
        <w:t>entrada en vigencia</w:t>
      </w:r>
      <w:proofErr w:type="gramEnd"/>
      <w:r w:rsidRPr="00AC38F3">
        <w:rPr>
          <w:rFonts w:ascii="Arial" w:hAnsi="Arial" w:cs="Arial"/>
        </w:rPr>
        <w:t xml:space="preserve"> del artículo 5 del reglamento, en relación con los procesos regidos por documentos tipo. De esta forma se previó que este entrará a regir en aquellos procesos en los que la publicación del aviso de convocatoria o la invitación −según corresponda−, se realice a los tres (3) meses de la expedición del Decreto.</w:t>
      </w:r>
    </w:p>
    <w:p w14:paraId="4BC914D2" w14:textId="77777777" w:rsidR="00AC38F3" w:rsidRPr="00AC38F3" w:rsidRDefault="00AC38F3" w:rsidP="006755B5">
      <w:pPr>
        <w:spacing w:after="120" w:line="276" w:lineRule="auto"/>
        <w:ind w:firstLine="708"/>
        <w:jc w:val="both"/>
        <w:rPr>
          <w:rFonts w:ascii="Arial" w:hAnsi="Arial" w:cs="Arial"/>
        </w:rPr>
      </w:pPr>
      <w:r w:rsidRPr="00AC38F3">
        <w:rPr>
          <w:rFonts w:ascii="Arial" w:hAnsi="Arial" w:cs="Arial"/>
        </w:rPr>
        <w:t xml:space="preserve">Conforme con el contenido del parágrafo, la </w:t>
      </w:r>
      <w:proofErr w:type="gramStart"/>
      <w:r w:rsidRPr="00AC38F3">
        <w:rPr>
          <w:rFonts w:ascii="Arial" w:hAnsi="Arial" w:cs="Arial"/>
        </w:rPr>
        <w:t>entrada en vigencia</w:t>
      </w:r>
      <w:proofErr w:type="gramEnd"/>
      <w:r w:rsidRPr="00AC38F3">
        <w:rPr>
          <w:rFonts w:ascii="Arial" w:hAnsi="Arial" w:cs="Arial"/>
        </w:rPr>
        <w:t xml:space="preserve"> del Decreto 1860 de 2021, en relación con los procesos contractuales regidos documentos tipo, dependerá de si se trata del artículo 5 del Decreto o de cualquier otro. De esta forma, en el primer supuesto, teniendo en cuenta que el Decreto fue expedido el 24 de diciembre de 2021, las disposiciones contenidas en el artículo 5 relacionadas con la limitación a </w:t>
      </w:r>
      <w:proofErr w:type="spellStart"/>
      <w:r w:rsidRPr="00AC38F3">
        <w:rPr>
          <w:rFonts w:ascii="Arial" w:hAnsi="Arial" w:cs="Arial"/>
        </w:rPr>
        <w:t>Mipymes</w:t>
      </w:r>
      <w:proofErr w:type="spellEnd"/>
      <w:r w:rsidRPr="00AC38F3">
        <w:rPr>
          <w:rFonts w:ascii="Arial" w:hAnsi="Arial" w:cs="Arial"/>
        </w:rPr>
        <w:t xml:space="preserve">, son obligatorias desde el 24 de marzo de 2022. No obstante, si se trata de los otros artículos del Decreto, su </w:t>
      </w:r>
      <w:proofErr w:type="gramStart"/>
      <w:r w:rsidRPr="00AC38F3">
        <w:rPr>
          <w:rFonts w:ascii="Arial" w:hAnsi="Arial" w:cs="Arial"/>
        </w:rPr>
        <w:t>entrada en vigencia</w:t>
      </w:r>
      <w:proofErr w:type="gramEnd"/>
      <w:r w:rsidRPr="00AC38F3">
        <w:rPr>
          <w:rFonts w:ascii="Arial" w:hAnsi="Arial" w:cs="Arial"/>
        </w:rPr>
        <w:t xml:space="preserve"> está condicionada a la modificación de los documentos tipo por parte de la Agencia Nacional de Contratación Pública – Colombia Compra Eficiente.</w:t>
      </w:r>
    </w:p>
    <w:p w14:paraId="3120D10E" w14:textId="7C309C6B" w:rsidR="008D3390" w:rsidRPr="00F90F5D" w:rsidRDefault="00AC38F3" w:rsidP="006755B5">
      <w:pPr>
        <w:spacing w:after="120" w:line="276" w:lineRule="auto"/>
        <w:ind w:firstLine="708"/>
        <w:jc w:val="both"/>
        <w:rPr>
          <w:rFonts w:ascii="Arial" w:hAnsi="Arial" w:cs="Arial"/>
        </w:rPr>
      </w:pPr>
      <w:r w:rsidRPr="00AC38F3">
        <w:rPr>
          <w:rFonts w:ascii="Arial" w:hAnsi="Arial" w:cs="Arial"/>
        </w:rPr>
        <w:t xml:space="preserve">Este último supuesto, es el caso del artículo 3 del Decreto 1860 de 2021, que adicionó el artículo 2.2.1.2.4.2.15 y 2.2.1.2.4.2.18 al Decreto 1082 de 2015, en los que se establecen −respectivamente− criterios diferenciales a favor de empresas y emprendimientos de mujeres y criterios diferenciales para </w:t>
      </w:r>
      <w:proofErr w:type="spellStart"/>
      <w:r w:rsidRPr="00AC38F3">
        <w:rPr>
          <w:rFonts w:ascii="Arial" w:hAnsi="Arial" w:cs="Arial"/>
        </w:rPr>
        <w:t>Mipyme</w:t>
      </w:r>
      <w:proofErr w:type="spellEnd"/>
      <w:r w:rsidRPr="00AC38F3">
        <w:rPr>
          <w:rFonts w:ascii="Arial" w:hAnsi="Arial" w:cs="Arial"/>
        </w:rPr>
        <w:t xml:space="preserve"> en el sistema de compras públicas. De esta forma, su </w:t>
      </w:r>
      <w:proofErr w:type="gramStart"/>
      <w:r w:rsidRPr="00AC38F3">
        <w:rPr>
          <w:rFonts w:ascii="Arial" w:hAnsi="Arial" w:cs="Arial"/>
        </w:rPr>
        <w:t>entrada en vigencia</w:t>
      </w:r>
      <w:proofErr w:type="gramEnd"/>
      <w:r w:rsidRPr="00AC38F3">
        <w:rPr>
          <w:rFonts w:ascii="Arial" w:hAnsi="Arial" w:cs="Arial"/>
        </w:rPr>
        <w:t xml:space="preserve"> está supeditada a que la Agencia realice su incorporación en los documentos tipo.</w:t>
      </w:r>
    </w:p>
    <w:p w14:paraId="0FD0CA81" w14:textId="39C95D6D" w:rsidR="006755B5" w:rsidRDefault="006755B5" w:rsidP="006755B5">
      <w:pPr>
        <w:spacing w:after="120" w:line="276" w:lineRule="auto"/>
        <w:ind w:firstLine="708"/>
        <w:jc w:val="both"/>
        <w:rPr>
          <w:rFonts w:ascii="Arial" w:hAnsi="Arial" w:cs="Arial"/>
          <w:lang w:val="es-ES"/>
        </w:rPr>
      </w:pPr>
      <w:r>
        <w:rPr>
          <w:rFonts w:ascii="Arial" w:hAnsi="Arial" w:cs="Arial"/>
        </w:rPr>
        <w:t xml:space="preserve">Así las cosas, atendiendo al mandato contenido en el inciso segundo del parágrafo del artículo 8 del Decreto 1860 de 2021, la Agencia Nacional de Contratación Pública – Colombia Compra Eficiente expidió la Resolución 275 del 24 de junio de 2022 </w:t>
      </w:r>
      <w:r w:rsidRPr="00EE4086">
        <w:rPr>
          <w:rFonts w:ascii="Arial" w:hAnsi="Arial" w:cs="Arial"/>
          <w:i/>
          <w:iCs/>
          <w:lang w:val="es-ES"/>
        </w:rPr>
        <w:t>«</w:t>
      </w:r>
      <w:r w:rsidRPr="0065729D">
        <w:rPr>
          <w:rFonts w:ascii="Arial" w:hAnsi="Arial" w:cs="Arial"/>
          <w:i/>
          <w:iCs/>
        </w:rPr>
        <w:t>Por la cual se modifican los documentos tipo adoptados por la Agencia Nacional de Contratación Pública − Colombia Compra Eficiente</w:t>
      </w:r>
      <w:r w:rsidRPr="00EE4086">
        <w:rPr>
          <w:rFonts w:ascii="Arial" w:hAnsi="Arial" w:cs="Arial"/>
          <w:i/>
          <w:iCs/>
          <w:lang w:val="es-ES"/>
        </w:rPr>
        <w:t>»</w:t>
      </w:r>
      <w:r>
        <w:rPr>
          <w:rFonts w:ascii="Arial" w:hAnsi="Arial" w:cs="Arial"/>
          <w:i/>
          <w:iCs/>
          <w:lang w:val="es-ES"/>
        </w:rPr>
        <w:t xml:space="preserve">. </w:t>
      </w:r>
      <w:r>
        <w:rPr>
          <w:rFonts w:ascii="Arial" w:hAnsi="Arial" w:cs="Arial"/>
          <w:lang w:val="es-ES"/>
        </w:rPr>
        <w:t>De esa forma, mediante la citada resolución, se modificaron los documentos tipo p</w:t>
      </w:r>
      <w:r w:rsidRPr="0065729D">
        <w:rPr>
          <w:rFonts w:ascii="Arial" w:hAnsi="Arial" w:cs="Arial"/>
          <w:lang w:val="es-ES"/>
        </w:rPr>
        <w:t>ara proyectos de obra pública de infraestructura de transporte adelantados bajo la modalidad de licitación pública</w:t>
      </w:r>
      <w:r>
        <w:rPr>
          <w:rFonts w:ascii="Arial" w:hAnsi="Arial" w:cs="Arial"/>
          <w:lang w:val="es-ES"/>
        </w:rPr>
        <w:t xml:space="preserve">, </w:t>
      </w:r>
      <w:r w:rsidRPr="0065729D">
        <w:rPr>
          <w:rFonts w:ascii="Arial" w:hAnsi="Arial" w:cs="Arial"/>
          <w:lang w:val="es-ES"/>
        </w:rPr>
        <w:t>de selección abreviada de menor cuantía</w:t>
      </w:r>
      <w:r>
        <w:rPr>
          <w:rFonts w:ascii="Arial" w:hAnsi="Arial" w:cs="Arial"/>
          <w:lang w:val="es-ES"/>
        </w:rPr>
        <w:t xml:space="preserve">, de </w:t>
      </w:r>
      <w:r w:rsidRPr="0065729D">
        <w:rPr>
          <w:rFonts w:ascii="Arial" w:hAnsi="Arial" w:cs="Arial"/>
          <w:lang w:val="es-ES"/>
        </w:rPr>
        <w:t>consultoría de estudios de ingeniería de infraestructura de transporte</w:t>
      </w:r>
      <w:r>
        <w:rPr>
          <w:rFonts w:ascii="Arial" w:hAnsi="Arial" w:cs="Arial"/>
          <w:lang w:val="es-ES"/>
        </w:rPr>
        <w:t>,</w:t>
      </w:r>
      <w:r w:rsidRPr="0065729D">
        <w:rPr>
          <w:rFonts w:ascii="Arial" w:hAnsi="Arial" w:cs="Arial"/>
          <w:lang w:val="es-ES"/>
        </w:rPr>
        <w:t xml:space="preserve"> de licitación de obra pública para proyectos de agua potable y saneamiento básico y su modalidad de llave en mano y los documentos tipo de licitación de obra pública de infraestructura social</w:t>
      </w:r>
      <w:r>
        <w:rPr>
          <w:rFonts w:ascii="Arial" w:hAnsi="Arial" w:cs="Arial"/>
          <w:lang w:val="es-ES"/>
        </w:rPr>
        <w:t>, con ocasión a la expedición del Decreto 1860 de 2021 y la Ley 2069 del 2020.</w:t>
      </w:r>
    </w:p>
    <w:p w14:paraId="45807FF0" w14:textId="77777777" w:rsidR="00F275F0" w:rsidRDefault="006755B5" w:rsidP="00F275F0">
      <w:pPr>
        <w:autoSpaceDE w:val="0"/>
        <w:autoSpaceDN w:val="0"/>
        <w:adjustRightInd w:val="0"/>
        <w:spacing w:after="120" w:line="276" w:lineRule="auto"/>
        <w:jc w:val="both"/>
        <w:rPr>
          <w:rFonts w:ascii="Arial" w:hAnsi="Arial" w:cs="Arial"/>
        </w:rPr>
      </w:pPr>
      <w:r>
        <w:rPr>
          <w:rFonts w:ascii="Arial" w:hAnsi="Arial" w:cs="Arial"/>
          <w:lang w:val="es-ES"/>
        </w:rPr>
        <w:tab/>
      </w:r>
      <w:r w:rsidR="00F275F0" w:rsidRPr="00954CF7">
        <w:rPr>
          <w:rFonts w:ascii="Arial" w:hAnsi="Arial" w:cs="Arial"/>
          <w:lang w:val="es-ES"/>
        </w:rPr>
        <w:t xml:space="preserve">Ahora bien, en cuanto a la vigencia de la Resolución 275 de 2022, el artículo 179 dispuso que </w:t>
      </w:r>
      <w:r w:rsidR="00F275F0" w:rsidRPr="00954CF7">
        <w:rPr>
          <w:rFonts w:ascii="Arial" w:hAnsi="Arial" w:cs="Arial"/>
        </w:rPr>
        <w:t>esta «[…]</w:t>
      </w:r>
      <w:r w:rsidR="00F275F0">
        <w:rPr>
          <w:rFonts w:ascii="Arial" w:hAnsi="Arial" w:cs="Arial"/>
        </w:rPr>
        <w:t xml:space="preserve"> </w:t>
      </w:r>
      <w:r w:rsidR="00F275F0" w:rsidRPr="00954CF7">
        <w:rPr>
          <w:rFonts w:ascii="Arial" w:hAnsi="Arial" w:cs="Arial"/>
        </w:rPr>
        <w:t xml:space="preserve">rige a partir de su publicación y aplicará a los Procesos de Contratación cuyo aviso de convocatoria se publique a partir del 29 de agosto de 2022». </w:t>
      </w:r>
      <w:r w:rsidR="00F275F0">
        <w:rPr>
          <w:rFonts w:ascii="Arial" w:hAnsi="Arial" w:cs="Arial"/>
        </w:rPr>
        <w:t xml:space="preserve">De esta forma, la entidad estatal que pretenda adelantar un proceso de selección mediante la utilización de los documentos tipo de licitación de obra pública de </w:t>
      </w:r>
      <w:r w:rsidR="00F275F0">
        <w:rPr>
          <w:rFonts w:ascii="Arial" w:hAnsi="Arial" w:cs="Arial"/>
        </w:rPr>
        <w:lastRenderedPageBreak/>
        <w:t>infraestructura social, asociados a los sectores salud; educativo; y cultura, recreación y deporte, estarán obligadas a aplicar las modificaciones realizadas mediante la Resolución 275 de 2022, si la publicación del aviso de convocatoria se realiza a partir del 29 de agosto de 2022.</w:t>
      </w:r>
    </w:p>
    <w:p w14:paraId="6DB8FFA3" w14:textId="77777777" w:rsidR="00F275F0" w:rsidRPr="000F6C95" w:rsidRDefault="00F275F0" w:rsidP="00F275F0">
      <w:pPr>
        <w:autoSpaceDE w:val="0"/>
        <w:autoSpaceDN w:val="0"/>
        <w:adjustRightInd w:val="0"/>
        <w:spacing w:after="0" w:line="276" w:lineRule="auto"/>
        <w:ind w:firstLine="708"/>
        <w:jc w:val="both"/>
        <w:rPr>
          <w:rFonts w:ascii="Arial" w:eastAsia="Times New Roman" w:hAnsi="Arial" w:cs="Arial"/>
          <w:lang w:eastAsia="es-CO"/>
        </w:rPr>
      </w:pPr>
      <w:r>
        <w:rPr>
          <w:rFonts w:ascii="Arial" w:hAnsi="Arial" w:cs="Arial"/>
        </w:rPr>
        <w:t xml:space="preserve">Lo anterior significa que </w:t>
      </w:r>
      <w:r>
        <w:rPr>
          <w:rFonts w:ascii="Arial" w:eastAsia="Times New Roman" w:hAnsi="Arial" w:cs="Arial"/>
          <w:lang w:eastAsia="es-CO"/>
        </w:rPr>
        <w:t>si la entidad estatal</w:t>
      </w:r>
      <w:r w:rsidRPr="000F6C95">
        <w:rPr>
          <w:rFonts w:ascii="Arial" w:eastAsia="Times New Roman" w:hAnsi="Arial" w:cs="Arial"/>
          <w:lang w:eastAsia="es-CO"/>
        </w:rPr>
        <w:t xml:space="preserve"> </w:t>
      </w:r>
      <w:r>
        <w:rPr>
          <w:rFonts w:ascii="Arial" w:eastAsia="Times New Roman" w:hAnsi="Arial" w:cs="Arial"/>
          <w:lang w:eastAsia="es-CO"/>
        </w:rPr>
        <w:t xml:space="preserve">publica </w:t>
      </w:r>
      <w:r w:rsidRPr="000F6C95">
        <w:rPr>
          <w:rFonts w:ascii="Arial" w:eastAsia="Times New Roman" w:hAnsi="Arial" w:cs="Arial"/>
          <w:lang w:eastAsia="es-CO"/>
        </w:rPr>
        <w:t xml:space="preserve">su aviso de convocatoria a partir de la fecha </w:t>
      </w:r>
      <w:r>
        <w:rPr>
          <w:rFonts w:ascii="Arial" w:eastAsia="Times New Roman" w:hAnsi="Arial" w:cs="Arial"/>
          <w:lang w:eastAsia="es-CO"/>
        </w:rPr>
        <w:t xml:space="preserve">allí </w:t>
      </w:r>
      <w:r w:rsidRPr="000F6C95">
        <w:rPr>
          <w:rFonts w:ascii="Arial" w:eastAsia="Times New Roman" w:hAnsi="Arial" w:cs="Arial"/>
          <w:lang w:eastAsia="es-CO"/>
        </w:rPr>
        <w:t>determinada</w:t>
      </w:r>
      <w:r>
        <w:rPr>
          <w:rFonts w:ascii="Arial" w:eastAsia="Times New Roman" w:hAnsi="Arial" w:cs="Arial"/>
          <w:lang w:eastAsia="es-CO"/>
        </w:rPr>
        <w:t xml:space="preserve"> </w:t>
      </w:r>
      <w:r w:rsidRPr="000F6C95">
        <w:rPr>
          <w:rFonts w:ascii="Arial" w:eastAsia="Times New Roman" w:hAnsi="Arial" w:cs="Arial"/>
          <w:lang w:eastAsia="es-CO"/>
        </w:rPr>
        <w:t>estaría obligada</w:t>
      </w:r>
      <w:r>
        <w:rPr>
          <w:rFonts w:ascii="Arial" w:eastAsia="Times New Roman" w:hAnsi="Arial" w:cs="Arial"/>
          <w:lang w:eastAsia="es-CO"/>
        </w:rPr>
        <w:t xml:space="preserve"> </w:t>
      </w:r>
      <w:r w:rsidRPr="000F6C95">
        <w:rPr>
          <w:rFonts w:ascii="Arial" w:eastAsia="Times New Roman" w:hAnsi="Arial" w:cs="Arial"/>
          <w:lang w:eastAsia="es-CO"/>
        </w:rPr>
        <w:t>a utilizar los documentos tipo</w:t>
      </w:r>
      <w:r>
        <w:rPr>
          <w:rFonts w:ascii="Arial" w:eastAsia="Times New Roman" w:hAnsi="Arial" w:cs="Arial"/>
          <w:lang w:eastAsia="es-CO"/>
        </w:rPr>
        <w:t xml:space="preserve"> de infraestructura social, particularmente, en los procesos de selección cuyo objeto consista en </w:t>
      </w:r>
      <w:r>
        <w:rPr>
          <w:rFonts w:ascii="Arial" w:eastAsia="Times New Roman" w:hAnsi="Arial" w:cs="Arial"/>
          <w:color w:val="000000"/>
        </w:rPr>
        <w:t xml:space="preserve">realizar la </w:t>
      </w:r>
      <w:r>
        <w:rPr>
          <w:rFonts w:ascii="Arial" w:hAnsi="Arial" w:cs="Arial"/>
        </w:rPr>
        <w:t>contratación de obras públicas en los sectores de educación; salud; y cultura, recreación y deporte, con las modificaciones contenidas en la Resolución 275 de 2022.</w:t>
      </w:r>
      <w:r w:rsidRPr="00BC0F9B">
        <w:rPr>
          <w:rFonts w:ascii="Arial" w:hAnsi="Arial" w:cs="Arial"/>
        </w:rPr>
        <w:t xml:space="preserve"> </w:t>
      </w:r>
      <w:r>
        <w:rPr>
          <w:rFonts w:ascii="Arial" w:eastAsia="Times New Roman" w:hAnsi="Arial" w:cs="Arial"/>
          <w:lang w:eastAsia="es-CO"/>
        </w:rPr>
        <w:t xml:space="preserve">Por el contrario, en los procesos de contratación cuyo aviso de convocatoria se publique antes de la </w:t>
      </w:r>
      <w:r>
        <w:rPr>
          <w:rFonts w:ascii="Arial" w:hAnsi="Arial" w:cs="Arial"/>
        </w:rPr>
        <w:t xml:space="preserve">fecha señalada, la entidad estatal no </w:t>
      </w:r>
      <w:r>
        <w:rPr>
          <w:rFonts w:ascii="Arial" w:eastAsia="Times New Roman" w:hAnsi="Arial" w:cs="Arial"/>
          <w:lang w:eastAsia="es-CO"/>
        </w:rPr>
        <w:t xml:space="preserve">estaría obligada a utilizar estos documentos tipo con las modificaciones contenidas en la citada resolución; sino los vigentes antes de la expedición de la Resolución 275 de 2022, sin que tenga que realizar alguna modificación a los pliegos de condiciones. </w:t>
      </w:r>
    </w:p>
    <w:p w14:paraId="63409617" w14:textId="75157F74" w:rsidR="008D3390" w:rsidRDefault="008D3390" w:rsidP="00F275F0">
      <w:pPr>
        <w:autoSpaceDE w:val="0"/>
        <w:autoSpaceDN w:val="0"/>
        <w:adjustRightInd w:val="0"/>
        <w:spacing w:after="120" w:line="276" w:lineRule="auto"/>
        <w:jc w:val="both"/>
        <w:rPr>
          <w:rFonts w:ascii="Arial" w:eastAsia="Times New Roman" w:hAnsi="Arial" w:cs="Arial"/>
          <w:color w:val="000000" w:themeColor="text1"/>
          <w:sz w:val="14"/>
          <w:szCs w:val="16"/>
          <w:lang w:eastAsia="es-CO"/>
        </w:rPr>
      </w:pPr>
    </w:p>
    <w:p w14:paraId="0447FED2" w14:textId="77777777" w:rsidR="00EA0392" w:rsidRPr="00B749D1" w:rsidRDefault="00EA0392" w:rsidP="00EA0392">
      <w:pPr>
        <w:spacing w:after="0" w:line="276" w:lineRule="auto"/>
        <w:jc w:val="both"/>
        <w:rPr>
          <w:rFonts w:ascii="Arial" w:eastAsia="Calibri" w:hAnsi="Arial" w:cs="Arial"/>
          <w:color w:val="000000"/>
          <w:lang w:val="es-ES_tradnl"/>
        </w:rPr>
      </w:pPr>
      <w:r w:rsidRPr="00B749D1">
        <w:rPr>
          <w:rFonts w:ascii="Arial" w:eastAsia="Calibri" w:hAnsi="Arial" w:cs="Arial"/>
          <w:color w:val="000000"/>
          <w:lang w:val="es-ES_tradnl"/>
        </w:rPr>
        <w:t>Este concepto tiene el alcance previsto en el artículo 28 del Código de Procedimiento Administrativo y de lo Contencioso Administrativo.</w:t>
      </w:r>
    </w:p>
    <w:p w14:paraId="54C77E60" w14:textId="77777777" w:rsidR="00EA0392" w:rsidRPr="008D3390" w:rsidRDefault="00EA0392" w:rsidP="008D3390">
      <w:pPr>
        <w:spacing w:after="0" w:line="276" w:lineRule="auto"/>
        <w:jc w:val="both"/>
        <w:rPr>
          <w:rFonts w:ascii="Arial" w:eastAsia="Times New Roman" w:hAnsi="Arial" w:cs="Arial"/>
          <w:color w:val="000000" w:themeColor="text1"/>
          <w:sz w:val="14"/>
          <w:szCs w:val="16"/>
          <w:lang w:eastAsia="es-CO"/>
        </w:rPr>
      </w:pPr>
    </w:p>
    <w:p w14:paraId="3FCAD882" w14:textId="77777777" w:rsidR="008D3390" w:rsidRPr="008D3390" w:rsidRDefault="008D3390" w:rsidP="008D3390">
      <w:pPr>
        <w:spacing w:line="276" w:lineRule="auto"/>
        <w:jc w:val="both"/>
        <w:rPr>
          <w:rFonts w:ascii="Arial" w:eastAsia="Times New Roman" w:hAnsi="Arial" w:cs="Arial"/>
          <w:color w:val="000000" w:themeColor="text1"/>
          <w:szCs w:val="24"/>
          <w:lang w:eastAsia="es-CO"/>
        </w:rPr>
      </w:pPr>
      <w:r w:rsidRPr="008D3390">
        <w:rPr>
          <w:rFonts w:ascii="Arial" w:eastAsia="Times New Roman" w:hAnsi="Arial" w:cs="Arial"/>
          <w:color w:val="000000" w:themeColor="text1"/>
          <w:szCs w:val="24"/>
          <w:lang w:eastAsia="es-CO"/>
        </w:rPr>
        <w:t>Atentamente,</w:t>
      </w:r>
    </w:p>
    <w:p w14:paraId="63E0B922" w14:textId="237C6DD9" w:rsidR="008D3390" w:rsidRDefault="00D83F98" w:rsidP="008D3390">
      <w:pPr>
        <w:spacing w:after="0" w:line="240" w:lineRule="auto"/>
        <w:jc w:val="center"/>
        <w:rPr>
          <w:rFonts w:ascii="Arial" w:eastAsia="Times New Roman" w:hAnsi="Arial" w:cs="Arial"/>
          <w:color w:val="000000" w:themeColor="text1"/>
          <w:sz w:val="18"/>
          <w:szCs w:val="20"/>
          <w:lang w:eastAsia="es-CO"/>
        </w:rPr>
      </w:pPr>
      <w:r>
        <w:rPr>
          <w:rFonts w:ascii="Arial" w:hAnsi="Arial" w:cs="Arial"/>
          <w:noProof/>
          <w:color w:val="1A1A1A" w:themeColor="background1" w:themeShade="1A"/>
        </w:rPr>
        <w:drawing>
          <wp:inline distT="0" distB="0" distL="0" distR="0" wp14:anchorId="778EF50C" wp14:editId="425BB7AF">
            <wp:extent cx="2135580" cy="826935"/>
            <wp:effectExtent l="0" t="0" r="0" b="0"/>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4205" cy="838019"/>
                    </a:xfrm>
                    <a:prstGeom prst="rect">
                      <a:avLst/>
                    </a:prstGeom>
                    <a:noFill/>
                    <a:ln>
                      <a:noFill/>
                    </a:ln>
                  </pic:spPr>
                </pic:pic>
              </a:graphicData>
            </a:graphic>
          </wp:inline>
        </w:drawing>
      </w:r>
    </w:p>
    <w:p w14:paraId="5631A608" w14:textId="77777777" w:rsidR="00E33407" w:rsidRPr="008D3390" w:rsidRDefault="00E33407" w:rsidP="008D3390">
      <w:pPr>
        <w:spacing w:after="0" w:line="240" w:lineRule="auto"/>
        <w:jc w:val="center"/>
        <w:rPr>
          <w:rFonts w:ascii="Arial" w:eastAsia="Times New Roman" w:hAnsi="Arial" w:cs="Arial"/>
          <w:color w:val="000000" w:themeColor="text1"/>
          <w:sz w:val="18"/>
          <w:szCs w:val="20"/>
          <w:lang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D3390" w:rsidRPr="008D3390" w14:paraId="7CDDC892" w14:textId="77777777" w:rsidTr="002C68F4">
        <w:trPr>
          <w:trHeight w:val="315"/>
        </w:trPr>
        <w:tc>
          <w:tcPr>
            <w:tcW w:w="812" w:type="dxa"/>
            <w:vAlign w:val="center"/>
            <w:hideMark/>
          </w:tcPr>
          <w:p w14:paraId="3F2B3940" w14:textId="77777777" w:rsidR="008D3390" w:rsidRPr="008D3390" w:rsidRDefault="008D3390" w:rsidP="008D3390">
            <w:pPr>
              <w:rPr>
                <w:rFonts w:ascii="Arial" w:eastAsia="Calibri" w:hAnsi="Arial" w:cs="Arial"/>
                <w:sz w:val="16"/>
                <w:szCs w:val="16"/>
                <w:lang w:val="es-ES_tradnl" w:eastAsia="es-ES"/>
              </w:rPr>
            </w:pPr>
            <w:r w:rsidRPr="008D3390">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7840154D" w14:textId="77777777" w:rsidR="008D3390" w:rsidRPr="008D3390" w:rsidRDefault="008D3390" w:rsidP="008D3390">
            <w:pPr>
              <w:rPr>
                <w:rFonts w:ascii="Arial" w:eastAsia="Calibri" w:hAnsi="Arial" w:cs="Arial"/>
                <w:sz w:val="16"/>
                <w:szCs w:val="16"/>
                <w:lang w:val="es-ES_tradnl" w:eastAsia="es-ES"/>
              </w:rPr>
            </w:pPr>
            <w:r w:rsidRPr="008D3390">
              <w:rPr>
                <w:rFonts w:ascii="Arial" w:eastAsia="Calibri" w:hAnsi="Arial" w:cs="Arial"/>
                <w:sz w:val="16"/>
                <w:szCs w:val="16"/>
                <w:lang w:val="es-ES_tradnl" w:eastAsia="es-ES"/>
              </w:rPr>
              <w:t>Carlos Mario Castrillón Endo</w:t>
            </w:r>
          </w:p>
          <w:p w14:paraId="4D7E2EFF" w14:textId="77777777" w:rsidR="008D3390" w:rsidRPr="008D3390" w:rsidRDefault="008D3390" w:rsidP="008D3390">
            <w:pPr>
              <w:rPr>
                <w:rFonts w:ascii="Arial" w:eastAsia="Calibri" w:hAnsi="Arial" w:cs="Arial"/>
                <w:sz w:val="16"/>
                <w:szCs w:val="16"/>
                <w:lang w:val="es-ES_tradnl" w:eastAsia="es-ES"/>
              </w:rPr>
            </w:pPr>
            <w:r w:rsidRPr="008D3390">
              <w:rPr>
                <w:rFonts w:ascii="Arial" w:eastAsia="Calibri" w:hAnsi="Arial" w:cs="Arial"/>
                <w:sz w:val="16"/>
                <w:szCs w:val="16"/>
                <w:lang w:val="es-ES_tradnl" w:eastAsia="es-ES"/>
              </w:rPr>
              <w:t>Contratista de la Subdirección de Gestión Contractual</w:t>
            </w:r>
          </w:p>
        </w:tc>
      </w:tr>
      <w:tr w:rsidR="008D3390" w:rsidRPr="008D3390" w14:paraId="5EA2D069" w14:textId="77777777" w:rsidTr="002C68F4">
        <w:trPr>
          <w:trHeight w:val="330"/>
        </w:trPr>
        <w:tc>
          <w:tcPr>
            <w:tcW w:w="812" w:type="dxa"/>
            <w:vAlign w:val="center"/>
            <w:hideMark/>
          </w:tcPr>
          <w:p w14:paraId="6364845F" w14:textId="77777777" w:rsidR="008D3390" w:rsidRPr="008D3390" w:rsidRDefault="008D3390" w:rsidP="008D3390">
            <w:pPr>
              <w:rPr>
                <w:rFonts w:ascii="Arial" w:eastAsia="Calibri" w:hAnsi="Arial" w:cs="Arial"/>
                <w:sz w:val="16"/>
                <w:szCs w:val="16"/>
                <w:lang w:val="es-ES_tradnl" w:eastAsia="es-ES"/>
              </w:rPr>
            </w:pPr>
            <w:r w:rsidRPr="008D3390">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20FCBCDF" w14:textId="77777777" w:rsidR="00397414" w:rsidRDefault="00397414" w:rsidP="00397414">
            <w:pPr>
              <w:rPr>
                <w:rFonts w:ascii="Arial" w:eastAsia="Calibri" w:hAnsi="Arial" w:cs="Arial"/>
                <w:sz w:val="16"/>
                <w:szCs w:val="16"/>
                <w:lang w:val="es-ES_tradnl" w:eastAsia="es-ES"/>
              </w:rPr>
            </w:pPr>
            <w:r>
              <w:rPr>
                <w:rFonts w:ascii="Arial" w:eastAsia="Calibri" w:hAnsi="Arial" w:cs="Arial"/>
                <w:sz w:val="16"/>
                <w:szCs w:val="16"/>
                <w:lang w:val="es-ES_tradnl" w:eastAsia="es-ES"/>
              </w:rPr>
              <w:t xml:space="preserve">Sebastián Ramírez Grisales </w:t>
            </w:r>
          </w:p>
          <w:p w14:paraId="347DF167" w14:textId="1AE6737B" w:rsidR="008D3390" w:rsidRPr="008D3390" w:rsidRDefault="00397414" w:rsidP="00397414">
            <w:pPr>
              <w:rPr>
                <w:rFonts w:ascii="Arial" w:eastAsia="Calibri" w:hAnsi="Arial" w:cs="Arial"/>
                <w:sz w:val="16"/>
                <w:szCs w:val="16"/>
                <w:lang w:val="es-ES_tradnl" w:eastAsia="es-ES"/>
              </w:rPr>
            </w:pPr>
            <w:r>
              <w:rPr>
                <w:rFonts w:ascii="Arial" w:hAnsi="Arial" w:cs="Arial"/>
                <w:color w:val="000000" w:themeColor="text1"/>
                <w:sz w:val="16"/>
                <w:szCs w:val="16"/>
                <w:lang w:val="es-ES_tradnl" w:eastAsia="es-ES"/>
              </w:rPr>
              <w:t>Contratista</w:t>
            </w:r>
            <w:r w:rsidRPr="00827918">
              <w:rPr>
                <w:rFonts w:ascii="Arial" w:hAnsi="Arial" w:cs="Arial"/>
                <w:color w:val="000000" w:themeColor="text1"/>
                <w:sz w:val="16"/>
                <w:szCs w:val="16"/>
                <w:lang w:val="es-ES_tradnl" w:eastAsia="es-ES"/>
              </w:rPr>
              <w:t xml:space="preserve"> de la Subdirección de Gestión Contractual  </w:t>
            </w:r>
          </w:p>
        </w:tc>
      </w:tr>
      <w:tr w:rsidR="008D3390" w:rsidRPr="008D3390" w14:paraId="7BB829CC" w14:textId="77777777" w:rsidTr="002C68F4">
        <w:trPr>
          <w:trHeight w:val="300"/>
        </w:trPr>
        <w:tc>
          <w:tcPr>
            <w:tcW w:w="812" w:type="dxa"/>
            <w:vAlign w:val="center"/>
            <w:hideMark/>
          </w:tcPr>
          <w:p w14:paraId="27223DBD" w14:textId="77777777" w:rsidR="008D3390" w:rsidRPr="008D3390" w:rsidRDefault="008D3390" w:rsidP="008D3390">
            <w:pPr>
              <w:rPr>
                <w:rFonts w:ascii="Arial" w:eastAsia="Calibri" w:hAnsi="Arial" w:cs="Arial"/>
                <w:sz w:val="16"/>
                <w:szCs w:val="16"/>
                <w:lang w:val="es-ES_tradnl" w:eastAsia="es-ES"/>
              </w:rPr>
            </w:pPr>
            <w:r w:rsidRPr="008D3390">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7A73D38" w14:textId="77777777" w:rsidR="008D3390" w:rsidRPr="008D3390" w:rsidRDefault="008D3390" w:rsidP="008D3390">
            <w:pPr>
              <w:rPr>
                <w:rFonts w:ascii="Arial" w:eastAsia="Calibri" w:hAnsi="Arial" w:cs="Arial"/>
                <w:sz w:val="16"/>
                <w:szCs w:val="16"/>
                <w:lang w:val="pt-BR" w:eastAsia="es-ES"/>
              </w:rPr>
            </w:pPr>
            <w:r w:rsidRPr="008D3390">
              <w:rPr>
                <w:rFonts w:ascii="Arial" w:eastAsia="Calibri" w:hAnsi="Arial" w:cs="Arial"/>
                <w:sz w:val="16"/>
                <w:szCs w:val="16"/>
                <w:lang w:val="pt-BR" w:eastAsia="es-ES"/>
              </w:rPr>
              <w:t>Juan David Marín López</w:t>
            </w:r>
          </w:p>
          <w:p w14:paraId="15E48B14" w14:textId="77777777" w:rsidR="008D3390" w:rsidRPr="008D3390" w:rsidRDefault="008D3390" w:rsidP="008D3390">
            <w:pPr>
              <w:rPr>
                <w:rFonts w:ascii="Arial" w:eastAsia="Calibri" w:hAnsi="Arial" w:cs="Arial"/>
                <w:sz w:val="16"/>
                <w:szCs w:val="16"/>
                <w:lang w:val="pt-BR" w:eastAsia="es-ES"/>
              </w:rPr>
            </w:pPr>
            <w:proofErr w:type="spellStart"/>
            <w:r w:rsidRPr="008D3390">
              <w:rPr>
                <w:rFonts w:ascii="Arial" w:eastAsia="Calibri" w:hAnsi="Arial" w:cs="Arial"/>
                <w:sz w:val="16"/>
                <w:szCs w:val="16"/>
                <w:lang w:val="pt-BR" w:eastAsia="es-ES"/>
              </w:rPr>
              <w:t>Subdirector</w:t>
            </w:r>
            <w:proofErr w:type="spellEnd"/>
            <w:r w:rsidRPr="008D3390">
              <w:rPr>
                <w:rFonts w:ascii="Arial" w:eastAsia="Calibri" w:hAnsi="Arial" w:cs="Arial"/>
                <w:sz w:val="16"/>
                <w:szCs w:val="16"/>
                <w:lang w:val="pt-BR" w:eastAsia="es-ES"/>
              </w:rPr>
              <w:t xml:space="preserve"> de Gestión Contractual ANCP – CCE (E)</w:t>
            </w:r>
          </w:p>
        </w:tc>
      </w:tr>
      <w:bookmarkEnd w:id="0"/>
    </w:tbl>
    <w:p w14:paraId="65DF2FB3" w14:textId="77777777" w:rsidR="00FB347B" w:rsidRDefault="00FB347B" w:rsidP="00193555"/>
    <w:sectPr w:rsidR="00FB347B" w:rsidSect="00C734A4">
      <w:headerReference w:type="default" r:id="rId10"/>
      <w:footerReference w:type="default" r:id="rId11"/>
      <w:headerReference w:type="first" r:id="rId12"/>
      <w:footerReference w:type="first" r:id="rId13"/>
      <w:pgSz w:w="11906" w:h="16838" w:code="9"/>
      <w:pgMar w:top="1417" w:right="1701" w:bottom="1417" w:left="170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EB9BF" w14:textId="77777777" w:rsidR="00EA4AB4" w:rsidRDefault="00EA4AB4" w:rsidP="008D3390">
      <w:pPr>
        <w:spacing w:after="0" w:line="240" w:lineRule="auto"/>
      </w:pPr>
      <w:r>
        <w:separator/>
      </w:r>
    </w:p>
  </w:endnote>
  <w:endnote w:type="continuationSeparator" w:id="0">
    <w:p w14:paraId="60E57112" w14:textId="77777777" w:rsidR="00EA4AB4" w:rsidRDefault="00EA4AB4" w:rsidP="008D3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12AF" w14:textId="29260114" w:rsidR="00C734A4" w:rsidRDefault="00000000" w:rsidP="00C734A4">
    <w:pPr>
      <w:pStyle w:val="Piedepgina"/>
      <w:jc w:val="right"/>
      <w:rPr>
        <w:color w:val="7F7F7F" w:themeColor="text1" w:themeTint="80"/>
        <w:sz w:val="16"/>
        <w:szCs w:val="16"/>
      </w:rPr>
    </w:pPr>
  </w:p>
  <w:p w14:paraId="320437E7" w14:textId="77777777" w:rsidR="00D83F98" w:rsidRPr="001A35B9" w:rsidRDefault="00D83F98" w:rsidP="00C734A4">
    <w:pPr>
      <w:pStyle w:val="Piedepgina"/>
      <w:jc w:val="right"/>
      <w:rPr>
        <w:color w:val="7F7F7F" w:themeColor="text1" w:themeTint="80"/>
        <w:sz w:val="16"/>
        <w:szCs w:val="16"/>
      </w:rPr>
    </w:pPr>
  </w:p>
  <w:p w14:paraId="407BCD11" w14:textId="77777777" w:rsidR="00C734A4" w:rsidRDefault="00193555" w:rsidP="00C734A4">
    <w:pPr>
      <w:pStyle w:val="Piedepgina"/>
      <w:jc w:val="center"/>
    </w:pPr>
    <w:r>
      <w:rPr>
        <w:noProof/>
      </w:rPr>
      <w:drawing>
        <wp:inline distT="0" distB="0" distL="0" distR="0" wp14:anchorId="7DAACBCD" wp14:editId="1C598564">
          <wp:extent cx="5400040" cy="757643"/>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400040" cy="757643"/>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418"/>
      <w:gridCol w:w="836"/>
      <w:gridCol w:w="1897"/>
      <w:gridCol w:w="694"/>
      <w:gridCol w:w="2454"/>
      <w:gridCol w:w="1334"/>
    </w:tblGrid>
    <w:tr w:rsidR="00A278E7" w:rsidRPr="00761634" w14:paraId="68BFC4DD" w14:textId="77777777" w:rsidTr="00411765">
      <w:trPr>
        <w:trHeight w:val="229"/>
        <w:jc w:val="center"/>
      </w:trPr>
      <w:tc>
        <w:tcPr>
          <w:tcW w:w="866"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876EB00" w14:textId="77777777" w:rsidR="00A278E7" w:rsidRPr="004D6961" w:rsidRDefault="00193555" w:rsidP="00A278E7">
          <w:pPr>
            <w:pStyle w:val="Piedepgina"/>
            <w:jc w:val="center"/>
            <w:rPr>
              <w:sz w:val="18"/>
              <w:szCs w:val="18"/>
            </w:rPr>
          </w:pPr>
          <w:r w:rsidRPr="004D6961">
            <w:rPr>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522596F" w14:textId="77777777" w:rsidR="00A278E7" w:rsidRPr="004D6961" w:rsidRDefault="00193555" w:rsidP="00A278E7">
          <w:pPr>
            <w:pStyle w:val="Piedepgina"/>
            <w:jc w:val="center"/>
            <w:rPr>
              <w:sz w:val="18"/>
              <w:szCs w:val="18"/>
            </w:rPr>
          </w:pPr>
          <w:r w:rsidRPr="004D6961">
            <w:rPr>
              <w:sz w:val="18"/>
              <w:szCs w:val="18"/>
            </w:rPr>
            <w:t>0</w:t>
          </w:r>
          <w:r>
            <w:rPr>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1CDC986" w14:textId="77777777" w:rsidR="00A278E7" w:rsidRPr="004D6961" w:rsidRDefault="00193555" w:rsidP="00A278E7">
          <w:pPr>
            <w:pStyle w:val="Piedepgina"/>
            <w:jc w:val="center"/>
            <w:rPr>
              <w:sz w:val="18"/>
              <w:szCs w:val="18"/>
            </w:rPr>
          </w:pPr>
          <w:r w:rsidRPr="004D6961">
            <w:rPr>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EB8D71F" w14:textId="77777777" w:rsidR="00A278E7" w:rsidRPr="004D6961" w:rsidRDefault="00193555" w:rsidP="00A278E7">
          <w:pPr>
            <w:pStyle w:val="Encabezado"/>
            <w:tabs>
              <w:tab w:val="center" w:pos="5400"/>
            </w:tabs>
            <w:jc w:val="right"/>
            <w:rPr>
              <w:color w:val="404040" w:themeColor="text1" w:themeTint="BF"/>
              <w:sz w:val="18"/>
              <w:szCs w:val="18"/>
            </w:rPr>
          </w:pPr>
          <w:r w:rsidRPr="004D6961">
            <w:rPr>
              <w:color w:val="404040" w:themeColor="text1" w:themeTint="BF"/>
              <w:sz w:val="18"/>
              <w:szCs w:val="18"/>
            </w:rPr>
            <w:t>CCE-DES-FM-17</w:t>
          </w:r>
        </w:p>
      </w:tc>
      <w:tc>
        <w:tcPr>
          <w:tcW w:w="241"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4219802" w14:textId="77777777" w:rsidR="00A278E7" w:rsidRPr="004D6961" w:rsidRDefault="00193555" w:rsidP="00A278E7">
          <w:pPr>
            <w:pStyle w:val="Piedepgina"/>
            <w:jc w:val="center"/>
            <w:rPr>
              <w:sz w:val="18"/>
              <w:szCs w:val="18"/>
            </w:rPr>
          </w:pPr>
          <w:r w:rsidRPr="004D6961">
            <w:rPr>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7D143BE" w14:textId="77777777" w:rsidR="00A278E7" w:rsidRPr="004D6961" w:rsidRDefault="00193555" w:rsidP="00A278E7">
          <w:pPr>
            <w:pStyle w:val="Piedepgina"/>
            <w:jc w:val="center"/>
            <w:rPr>
              <w:sz w:val="18"/>
              <w:szCs w:val="18"/>
            </w:rPr>
          </w:pPr>
          <w:r>
            <w:rPr>
              <w:sz w:val="18"/>
              <w:szCs w:val="18"/>
            </w:rPr>
            <w:t>03</w:t>
          </w:r>
          <w:r w:rsidRPr="004D6961">
            <w:rPr>
              <w:sz w:val="18"/>
              <w:szCs w:val="18"/>
            </w:rPr>
            <w:t xml:space="preserve"> de </w:t>
          </w:r>
          <w:r>
            <w:rPr>
              <w:sz w:val="18"/>
              <w:szCs w:val="18"/>
            </w:rPr>
            <w:t>noviembre</w:t>
          </w:r>
          <w:r w:rsidRPr="004D6961">
            <w:rPr>
              <w:sz w:val="18"/>
              <w:szCs w:val="18"/>
            </w:rPr>
            <w:t xml:space="preserve"> de 2021</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220A0A5" w14:textId="77777777" w:rsidR="00A278E7" w:rsidRPr="004D6961" w:rsidRDefault="00193555" w:rsidP="00A278E7">
          <w:pPr>
            <w:pStyle w:val="Piedepgina"/>
            <w:jc w:val="right"/>
            <w:rPr>
              <w:sz w:val="18"/>
              <w:szCs w:val="18"/>
            </w:rPr>
          </w:pPr>
          <w:r w:rsidRPr="004D6961">
            <w:rPr>
              <w:sz w:val="18"/>
              <w:szCs w:val="18"/>
            </w:rPr>
            <w:t xml:space="preserve">Página </w:t>
          </w:r>
          <w:r w:rsidRPr="004D6961">
            <w:rPr>
              <w:b/>
              <w:bCs/>
              <w:sz w:val="18"/>
              <w:szCs w:val="18"/>
            </w:rPr>
            <w:fldChar w:fldCharType="begin"/>
          </w:r>
          <w:r w:rsidRPr="004D6961">
            <w:rPr>
              <w:b/>
              <w:bCs/>
              <w:sz w:val="18"/>
              <w:szCs w:val="18"/>
            </w:rPr>
            <w:instrText>PAGE  \* Arabic  \* MERGEFORMAT</w:instrText>
          </w:r>
          <w:r w:rsidRPr="004D6961">
            <w:rPr>
              <w:b/>
              <w:bCs/>
              <w:sz w:val="18"/>
              <w:szCs w:val="18"/>
            </w:rPr>
            <w:fldChar w:fldCharType="separate"/>
          </w:r>
          <w:r w:rsidRPr="004D6961">
            <w:rPr>
              <w:b/>
              <w:bCs/>
              <w:sz w:val="18"/>
              <w:szCs w:val="18"/>
            </w:rPr>
            <w:t>1</w:t>
          </w:r>
          <w:r w:rsidRPr="004D6961">
            <w:rPr>
              <w:b/>
              <w:bCs/>
              <w:sz w:val="18"/>
              <w:szCs w:val="18"/>
            </w:rPr>
            <w:fldChar w:fldCharType="end"/>
          </w:r>
          <w:r w:rsidRPr="004D6961">
            <w:rPr>
              <w:sz w:val="18"/>
              <w:szCs w:val="18"/>
            </w:rPr>
            <w:t xml:space="preserve"> de </w:t>
          </w:r>
          <w:r>
            <w:rPr>
              <w:b/>
              <w:bCs/>
              <w:sz w:val="18"/>
              <w:szCs w:val="18"/>
            </w:rPr>
            <w:t>1</w:t>
          </w:r>
        </w:p>
      </w:tc>
    </w:tr>
  </w:tbl>
  <w:p w14:paraId="1FF033EB" w14:textId="77777777" w:rsidR="00A278E7" w:rsidRDefault="00000000" w:rsidP="00C734A4">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676F" w14:textId="77777777" w:rsidR="00C734A4" w:rsidRDefault="00193555" w:rsidP="00C734A4">
    <w:pPr>
      <w:pStyle w:val="Piedepgina"/>
      <w:jc w:val="center"/>
    </w:pPr>
    <w:r>
      <w:rPr>
        <w:noProof/>
      </w:rPr>
      <w:drawing>
        <wp:inline distT="0" distB="0" distL="0" distR="0" wp14:anchorId="411CE2DE" wp14:editId="0C3832DF">
          <wp:extent cx="1562642" cy="365821"/>
          <wp:effectExtent l="0" t="0" r="0"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449FEC09" w14:textId="77777777" w:rsidR="00C734A4" w:rsidRPr="009A67BC" w:rsidRDefault="00193555" w:rsidP="00C734A4">
    <w:pPr>
      <w:pStyle w:val="Piedepgina"/>
    </w:pPr>
    <w:r>
      <w:rPr>
        <w:noProof/>
      </w:rPr>
      <w:drawing>
        <wp:inline distT="0" distB="0" distL="0" distR="0" wp14:anchorId="63044EC8" wp14:editId="374F2A38">
          <wp:extent cx="5607050" cy="362585"/>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2">
                    <a:extLst>
                      <a:ext uri="{28A0092B-C50C-407E-A947-70E740481C1C}">
                        <a14:useLocalDpi xmlns:a14="http://schemas.microsoft.com/office/drawing/2010/main" val="0"/>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0F54" w14:textId="77777777" w:rsidR="00EA4AB4" w:rsidRDefault="00EA4AB4" w:rsidP="008D3390">
      <w:pPr>
        <w:spacing w:after="0" w:line="240" w:lineRule="auto"/>
      </w:pPr>
      <w:r>
        <w:separator/>
      </w:r>
    </w:p>
  </w:footnote>
  <w:footnote w:type="continuationSeparator" w:id="0">
    <w:p w14:paraId="067F058B" w14:textId="77777777" w:rsidR="00EA4AB4" w:rsidRDefault="00EA4AB4" w:rsidP="008D3390">
      <w:pPr>
        <w:spacing w:after="0" w:line="240" w:lineRule="auto"/>
      </w:pPr>
      <w:r>
        <w:continuationSeparator/>
      </w:r>
    </w:p>
  </w:footnote>
  <w:footnote w:id="1">
    <w:p w14:paraId="73137ED5" w14:textId="77777777" w:rsidR="008D3390" w:rsidRPr="00C2278F" w:rsidRDefault="008D3390" w:rsidP="008D3390">
      <w:pPr>
        <w:pStyle w:val="Textonotapie"/>
        <w:ind w:firstLine="709"/>
        <w:jc w:val="both"/>
        <w:rPr>
          <w:rFonts w:ascii="Arial" w:hAnsi="Arial" w:cs="Arial"/>
          <w:sz w:val="19"/>
          <w:szCs w:val="19"/>
        </w:rPr>
      </w:pPr>
      <w:r w:rsidRPr="00C2278F">
        <w:rPr>
          <w:rStyle w:val="Refdenotaalpie"/>
          <w:rFonts w:ascii="Arial" w:hAnsi="Arial" w:cs="Arial"/>
          <w:sz w:val="19"/>
          <w:szCs w:val="19"/>
        </w:rPr>
        <w:footnoteRef/>
      </w:r>
      <w:r w:rsidRPr="00C2278F">
        <w:rPr>
          <w:rFonts w:ascii="Arial" w:hAnsi="Arial" w:cs="Arial"/>
          <w:sz w:val="19"/>
          <w:szCs w:val="19"/>
        </w:rPr>
        <w:t xml:space="preserve"> </w:t>
      </w:r>
      <w:r w:rsidRPr="00C2278F">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2">
    <w:p w14:paraId="4DF59F13" w14:textId="77777777" w:rsidR="008D3390" w:rsidRPr="00C2278F" w:rsidRDefault="008D3390" w:rsidP="008D3390">
      <w:pPr>
        <w:pStyle w:val="Textonotapie"/>
        <w:ind w:firstLine="708"/>
        <w:jc w:val="both"/>
        <w:rPr>
          <w:rFonts w:ascii="Arial" w:hAnsi="Arial" w:cs="Arial"/>
          <w:sz w:val="19"/>
          <w:szCs w:val="19"/>
        </w:rPr>
      </w:pPr>
      <w:r w:rsidRPr="00C2278F">
        <w:rPr>
          <w:rStyle w:val="Refdenotaalpie"/>
          <w:rFonts w:ascii="Arial" w:hAnsi="Arial" w:cs="Arial"/>
          <w:sz w:val="19"/>
          <w:szCs w:val="19"/>
        </w:rPr>
        <w:footnoteRef/>
      </w:r>
      <w:r w:rsidRPr="00C2278F">
        <w:rPr>
          <w:rFonts w:ascii="Arial" w:hAnsi="Arial" w:cs="Arial"/>
          <w:sz w:val="19"/>
          <w:szCs w:val="19"/>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2E472BE" w14:textId="77777777" w:rsidR="008D3390" w:rsidRPr="00C2278F" w:rsidRDefault="008D3390" w:rsidP="008D3390">
      <w:pPr>
        <w:pStyle w:val="Textonotapie"/>
        <w:ind w:firstLine="708"/>
        <w:jc w:val="both"/>
        <w:rPr>
          <w:rFonts w:ascii="Arial" w:hAnsi="Arial" w:cs="Arial"/>
          <w:sz w:val="19"/>
          <w:szCs w:val="19"/>
        </w:rPr>
      </w:pPr>
      <w:r w:rsidRPr="00C2278F">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112D0DE" w14:textId="77777777" w:rsidR="008D3390" w:rsidRPr="00C2278F" w:rsidRDefault="008D3390" w:rsidP="008D3390">
      <w:pPr>
        <w:pStyle w:val="Textonotapie"/>
        <w:ind w:firstLine="708"/>
        <w:jc w:val="both"/>
        <w:rPr>
          <w:rFonts w:ascii="Arial" w:hAnsi="Arial" w:cs="Arial"/>
          <w:sz w:val="19"/>
          <w:szCs w:val="19"/>
        </w:rPr>
      </w:pPr>
      <w:r w:rsidRPr="00C2278F">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9E3B96C" w14:textId="77777777" w:rsidR="008D3390" w:rsidRPr="00C2278F" w:rsidRDefault="008D3390" w:rsidP="008D3390">
      <w:pPr>
        <w:pStyle w:val="Textonotapie"/>
        <w:ind w:firstLine="708"/>
        <w:jc w:val="both"/>
        <w:rPr>
          <w:rFonts w:ascii="Arial" w:hAnsi="Arial" w:cs="Arial"/>
          <w:sz w:val="19"/>
          <w:szCs w:val="19"/>
        </w:rPr>
      </w:pPr>
      <w:r w:rsidRPr="00C2278F">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04D7047" w14:textId="77777777" w:rsidR="008D3390" w:rsidRPr="00C2278F" w:rsidRDefault="008D3390" w:rsidP="008D3390">
      <w:pPr>
        <w:pStyle w:val="Textonotapie"/>
        <w:ind w:firstLine="708"/>
        <w:jc w:val="both"/>
        <w:rPr>
          <w:rFonts w:ascii="Arial" w:hAnsi="Arial" w:cs="Arial"/>
          <w:sz w:val="19"/>
          <w:szCs w:val="19"/>
          <w:lang w:val="es-ES"/>
        </w:rPr>
      </w:pPr>
      <w:r w:rsidRPr="00C2278F">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25D91A01" w14:textId="77777777" w:rsidR="008D3390" w:rsidRPr="00C2278F" w:rsidRDefault="008D3390" w:rsidP="008D3390">
      <w:pPr>
        <w:pStyle w:val="Textonotapie"/>
        <w:ind w:firstLine="708"/>
        <w:jc w:val="both"/>
        <w:rPr>
          <w:rFonts w:ascii="Arial" w:hAnsi="Arial" w:cs="Arial"/>
          <w:sz w:val="19"/>
          <w:szCs w:val="19"/>
          <w:lang w:val="es-ES"/>
        </w:rPr>
      </w:pPr>
      <w:r w:rsidRPr="00C2278F">
        <w:rPr>
          <w:rStyle w:val="Refdenotaalpie"/>
          <w:rFonts w:ascii="Arial" w:hAnsi="Arial" w:cs="Arial"/>
          <w:sz w:val="19"/>
          <w:szCs w:val="19"/>
        </w:rPr>
        <w:footnoteRef/>
      </w:r>
      <w:r w:rsidRPr="00C2278F">
        <w:rPr>
          <w:rFonts w:ascii="Arial" w:hAnsi="Arial" w:cs="Arial"/>
          <w:sz w:val="19"/>
          <w:szCs w:val="19"/>
        </w:rPr>
        <w:t xml:space="preserve"> Código: CCE-EICP-GI-14. Versión 1</w:t>
      </w:r>
    </w:p>
  </w:footnote>
  <w:footnote w:id="4">
    <w:p w14:paraId="29F52FCA" w14:textId="77777777" w:rsidR="0017409A" w:rsidRPr="009374A8" w:rsidRDefault="0017409A" w:rsidP="0017409A">
      <w:pPr>
        <w:pStyle w:val="Textonotapie"/>
        <w:ind w:firstLine="708"/>
        <w:jc w:val="both"/>
        <w:rPr>
          <w:rFonts w:ascii="Arial" w:hAnsi="Arial" w:cs="Arial"/>
          <w:sz w:val="19"/>
          <w:szCs w:val="19"/>
        </w:rPr>
      </w:pPr>
      <w:r w:rsidRPr="009374A8">
        <w:rPr>
          <w:rStyle w:val="Refdenotaalpie"/>
          <w:rFonts w:ascii="Arial" w:hAnsi="Arial" w:cs="Arial"/>
          <w:sz w:val="19"/>
          <w:szCs w:val="19"/>
        </w:rPr>
        <w:footnoteRef/>
      </w:r>
      <w:r w:rsidRPr="009374A8">
        <w:rPr>
          <w:rFonts w:ascii="Arial" w:hAnsi="Arial" w:cs="Arial"/>
          <w:sz w:val="19"/>
          <w:szCs w:val="19"/>
        </w:rPr>
        <w:t xml:space="preserve"> «Artículo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3E371FCA" w14:textId="31EBCA38" w:rsidR="0017409A" w:rsidRPr="009374A8" w:rsidRDefault="007C51E7" w:rsidP="0017409A">
      <w:pPr>
        <w:pStyle w:val="Textonotapie"/>
        <w:ind w:firstLine="708"/>
        <w:jc w:val="both"/>
        <w:rPr>
          <w:rFonts w:ascii="Arial" w:hAnsi="Arial" w:cs="Arial"/>
          <w:sz w:val="19"/>
          <w:szCs w:val="19"/>
        </w:rPr>
      </w:pPr>
      <w:r>
        <w:rPr>
          <w:rFonts w:ascii="Arial" w:hAnsi="Arial" w:cs="Arial"/>
          <w:sz w:val="19"/>
          <w:szCs w:val="19"/>
        </w:rPr>
        <w:t>»</w:t>
      </w:r>
      <w:r w:rsidR="0017409A" w:rsidRPr="009374A8">
        <w:rPr>
          <w:rFonts w:ascii="Arial" w:hAnsi="Arial" w:cs="Arial"/>
          <w:sz w:val="19"/>
          <w:szCs w:val="19"/>
        </w:rPr>
        <w:t xml:space="preserve">1. Las entidades de los sectores central y descentralizado de la Rama Ejecutiva del orden nacional deberán aplicar lo dispuesto en esta resolución en los procedimientos de selección de licitación de obra pública de infraestructura social, cuyo aviso de convocatoria sea publicado a partir del 2 de noviembre de 2021. </w:t>
      </w:r>
    </w:p>
    <w:p w14:paraId="63CB6631" w14:textId="3125D908" w:rsidR="0017409A" w:rsidRPr="009374A8" w:rsidRDefault="007C51E7" w:rsidP="0017409A">
      <w:pPr>
        <w:pStyle w:val="Textonotapie"/>
        <w:ind w:firstLine="708"/>
        <w:jc w:val="both"/>
        <w:rPr>
          <w:rFonts w:ascii="Arial" w:hAnsi="Arial" w:cs="Arial"/>
          <w:sz w:val="19"/>
          <w:szCs w:val="19"/>
        </w:rPr>
      </w:pPr>
      <w:r>
        <w:rPr>
          <w:rFonts w:ascii="Arial" w:hAnsi="Arial" w:cs="Arial"/>
          <w:sz w:val="19"/>
          <w:szCs w:val="19"/>
        </w:rPr>
        <w:t>»</w:t>
      </w:r>
      <w:r w:rsidR="0017409A" w:rsidRPr="009374A8">
        <w:rPr>
          <w:rFonts w:ascii="Arial" w:hAnsi="Arial" w:cs="Arial"/>
          <w:sz w:val="19"/>
          <w:szCs w:val="19"/>
        </w:rPr>
        <w:t xml:space="preserve">2. Las entidades del sector central y del sector descentralizado de los niveles municipales y distrital de los municipios y distritos que sean capitales de departamento deberán aplicar lo dispuesto en esta resolución en los procedimientos de selección de licitación de obra pública de infraestructura social, cuyo aviso de convocatoria sea publicado a partir del 1 de febrero de 2022. </w:t>
      </w:r>
    </w:p>
    <w:p w14:paraId="0D1C4F87" w14:textId="0B6F5A08" w:rsidR="0017409A" w:rsidRPr="009374A8" w:rsidRDefault="007C51E7" w:rsidP="0017409A">
      <w:pPr>
        <w:pStyle w:val="Textonotapie"/>
        <w:ind w:firstLine="708"/>
        <w:jc w:val="both"/>
        <w:rPr>
          <w:rFonts w:ascii="Arial" w:hAnsi="Arial" w:cs="Arial"/>
          <w:sz w:val="19"/>
          <w:szCs w:val="19"/>
        </w:rPr>
      </w:pPr>
      <w:r>
        <w:rPr>
          <w:rFonts w:ascii="Arial" w:hAnsi="Arial" w:cs="Arial"/>
          <w:sz w:val="19"/>
          <w:szCs w:val="19"/>
        </w:rPr>
        <w:t>»</w:t>
      </w:r>
      <w:r w:rsidR="0017409A" w:rsidRPr="009374A8">
        <w:rPr>
          <w:rFonts w:ascii="Arial" w:hAnsi="Arial" w:cs="Arial"/>
          <w:sz w:val="19"/>
          <w:szCs w:val="19"/>
        </w:rPr>
        <w:t>3. Las entidades del sector central y del sector descentralizado del nivel departamental, así como las de los municipios de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w:t>
      </w:r>
    </w:p>
    <w:p w14:paraId="1223ACD6" w14:textId="77953080" w:rsidR="0017409A" w:rsidRPr="009374A8" w:rsidRDefault="007C51E7" w:rsidP="0017409A">
      <w:pPr>
        <w:pStyle w:val="Textonotapie"/>
        <w:ind w:firstLine="708"/>
        <w:jc w:val="both"/>
        <w:rPr>
          <w:rFonts w:ascii="Arial" w:hAnsi="Arial" w:cs="Arial"/>
          <w:sz w:val="19"/>
          <w:szCs w:val="19"/>
        </w:rPr>
      </w:pPr>
      <w:r>
        <w:rPr>
          <w:rFonts w:ascii="Arial" w:hAnsi="Arial" w:cs="Arial"/>
          <w:sz w:val="19"/>
          <w:szCs w:val="19"/>
        </w:rPr>
        <w:t>»</w:t>
      </w:r>
      <w:r w:rsidR="0017409A" w:rsidRPr="009374A8">
        <w:rPr>
          <w:rFonts w:ascii="Arial" w:hAnsi="Arial" w:cs="Arial"/>
          <w:sz w:val="19"/>
          <w:szCs w:val="19"/>
        </w:rPr>
        <w:t>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w:t>
      </w:r>
    </w:p>
    <w:p w14:paraId="7DAA4975" w14:textId="20A85AFE" w:rsidR="0017409A" w:rsidRPr="009374A8" w:rsidRDefault="007C51E7" w:rsidP="00340D2E">
      <w:pPr>
        <w:pStyle w:val="Textonotapie"/>
        <w:ind w:firstLine="708"/>
        <w:jc w:val="both"/>
        <w:rPr>
          <w:rFonts w:ascii="Arial" w:hAnsi="Arial" w:cs="Arial"/>
          <w:sz w:val="19"/>
          <w:szCs w:val="19"/>
        </w:rPr>
      </w:pPr>
      <w:r>
        <w:rPr>
          <w:rFonts w:ascii="Arial" w:hAnsi="Arial" w:cs="Arial"/>
          <w:sz w:val="19"/>
          <w:szCs w:val="19"/>
        </w:rPr>
        <w:t>»</w:t>
      </w:r>
      <w:r w:rsidR="0017409A" w:rsidRPr="009374A8">
        <w:rPr>
          <w:rFonts w:ascii="Arial" w:hAnsi="Arial" w:cs="Arial"/>
          <w:sz w:val="19"/>
          <w:szCs w:val="19"/>
        </w:rPr>
        <w:t>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p w14:paraId="08D104CB" w14:textId="77777777" w:rsidR="0017409A" w:rsidRPr="009374A8" w:rsidRDefault="0017409A" w:rsidP="0017409A">
      <w:pPr>
        <w:pStyle w:val="Textonotapie"/>
        <w:rPr>
          <w:rFonts w:ascii="Arial" w:hAnsi="Arial" w:cs="Arial"/>
          <w:sz w:val="19"/>
          <w:szCs w:val="19"/>
        </w:rPr>
      </w:pPr>
    </w:p>
  </w:footnote>
  <w:footnote w:id="5">
    <w:p w14:paraId="55B199D1" w14:textId="77777777" w:rsidR="0017409A" w:rsidRPr="00CC0111" w:rsidRDefault="0017409A" w:rsidP="0017409A">
      <w:pPr>
        <w:pStyle w:val="Textonotapie"/>
        <w:ind w:firstLine="708"/>
        <w:jc w:val="both"/>
        <w:rPr>
          <w:rFonts w:ascii="Arial" w:hAnsi="Arial" w:cs="Arial"/>
          <w:sz w:val="18"/>
          <w:szCs w:val="18"/>
        </w:rPr>
      </w:pPr>
      <w:r w:rsidRPr="009374A8">
        <w:rPr>
          <w:rStyle w:val="Refdenotaalpie"/>
          <w:rFonts w:ascii="Arial" w:hAnsi="Arial" w:cs="Arial"/>
          <w:sz w:val="19"/>
          <w:szCs w:val="19"/>
        </w:rPr>
        <w:footnoteRef/>
      </w:r>
      <w:r w:rsidRPr="009374A8">
        <w:rPr>
          <w:rFonts w:ascii="Arial" w:hAnsi="Arial" w:cs="Arial"/>
          <w:sz w:val="19"/>
          <w:szCs w:val="19"/>
        </w:rPr>
        <w:t xml:space="preserve"> </w:t>
      </w:r>
      <w:r w:rsidRPr="00CC0111">
        <w:rPr>
          <w:rFonts w:ascii="Arial" w:hAnsi="Arial" w:cs="Arial"/>
          <w:sz w:val="18"/>
          <w:szCs w:val="18"/>
        </w:rPr>
        <w:t xml:space="preserve">«Artículo 4. Vigencia. La presente resolución rige a partir de su publicación y comenzará a aplicarse, de manera gradual y progresiva, en los procedimientos de selección de licitación de obra pública de infraestructura social asociados al sector de cultura, recreación y deporte, de acuerdo con el siguiente cronograma: </w:t>
      </w:r>
    </w:p>
    <w:p w14:paraId="1966B800" w14:textId="77777777" w:rsidR="0017409A" w:rsidRPr="00CC0111" w:rsidRDefault="0017409A" w:rsidP="0017409A">
      <w:pPr>
        <w:pStyle w:val="Textonotapie"/>
        <w:ind w:firstLine="708"/>
        <w:jc w:val="both"/>
        <w:rPr>
          <w:rFonts w:ascii="Arial" w:hAnsi="Arial" w:cs="Arial"/>
          <w:sz w:val="18"/>
          <w:szCs w:val="18"/>
        </w:rPr>
      </w:pPr>
      <w:r w:rsidRPr="00CC0111">
        <w:rPr>
          <w:rFonts w:ascii="Arial" w:hAnsi="Arial" w:cs="Arial"/>
          <w:sz w:val="18"/>
          <w:szCs w:val="18"/>
        </w:rPr>
        <w:t xml:space="preserve">1. Las entidades del sector central y descentralizado de la Rama Ejecutiva del orden nacional deberán aplicar lo dispuesto en esta resolución en los procedimientos de selección de licitación de obra pública, cuyo aviso de convocatoria sea publicado a partir del 1 de febrero de 2022. </w:t>
      </w:r>
    </w:p>
    <w:p w14:paraId="14ADA002" w14:textId="77777777" w:rsidR="0017409A" w:rsidRPr="00CC0111" w:rsidRDefault="0017409A" w:rsidP="0017409A">
      <w:pPr>
        <w:pStyle w:val="Textonotapie"/>
        <w:ind w:firstLine="708"/>
        <w:jc w:val="both"/>
        <w:rPr>
          <w:rFonts w:ascii="Arial" w:hAnsi="Arial" w:cs="Arial"/>
          <w:sz w:val="18"/>
          <w:szCs w:val="18"/>
        </w:rPr>
      </w:pPr>
      <w:r w:rsidRPr="00CC0111">
        <w:rPr>
          <w:rFonts w:ascii="Arial" w:hAnsi="Arial" w:cs="Arial"/>
          <w:sz w:val="18"/>
          <w:szCs w:val="18"/>
        </w:rPr>
        <w:t>2. Las entidades del sector central y del sector descentralizado de los niveles municipal y distrital de los municipios y distritos que sean capitales de departamentos deberán aplicar lo dispuesto en esta resolución en los procedimientos de selección de licitación de obra pública, cuyo aviso de convocatoria sea publicado a partir del 1 de marzo de 2022.</w:t>
      </w:r>
    </w:p>
    <w:p w14:paraId="63E0358E" w14:textId="77777777" w:rsidR="0017409A" w:rsidRPr="00CC0111" w:rsidRDefault="0017409A" w:rsidP="0017409A">
      <w:pPr>
        <w:pStyle w:val="Textonotapie"/>
        <w:ind w:firstLine="708"/>
        <w:jc w:val="both"/>
        <w:rPr>
          <w:rFonts w:ascii="Arial" w:hAnsi="Arial" w:cs="Arial"/>
          <w:sz w:val="18"/>
          <w:szCs w:val="18"/>
        </w:rPr>
      </w:pPr>
      <w:r w:rsidRPr="00CC0111">
        <w:rPr>
          <w:rFonts w:ascii="Arial" w:hAnsi="Arial" w:cs="Arial"/>
          <w:sz w:val="18"/>
          <w:szCs w:val="18"/>
        </w:rPr>
        <w:t xml:space="preserve">3. Las entidades del sector central y del sector descentralizado del nivel departamental, así como las de los municipios de categorías especial,1, 2 y 3, no cobijadas por los numerales anteriores del presente artículo, deberán aplicar lo dispuesto en esta resolución en los procedimientos de licitación de obra pública, cuyo aviso de convocatoria sea publicado a partir del 1 de abril de 2022. </w:t>
      </w:r>
    </w:p>
    <w:p w14:paraId="2B7377B5" w14:textId="77777777" w:rsidR="0017409A" w:rsidRPr="00CC0111" w:rsidRDefault="0017409A" w:rsidP="0017409A">
      <w:pPr>
        <w:pStyle w:val="Textonotapie"/>
        <w:ind w:firstLine="708"/>
        <w:jc w:val="both"/>
        <w:rPr>
          <w:rFonts w:ascii="Arial" w:hAnsi="Arial" w:cs="Arial"/>
          <w:sz w:val="18"/>
          <w:szCs w:val="18"/>
        </w:rPr>
      </w:pPr>
      <w:r w:rsidRPr="00CC0111">
        <w:rPr>
          <w:rFonts w:ascii="Arial" w:hAnsi="Arial" w:cs="Arial"/>
          <w:sz w:val="18"/>
          <w:szCs w:val="18"/>
        </w:rPr>
        <w:t>4. Las entidades del sector central y del sector descentralizado del nivel municipal, en las categorías 4, 5 y 6, al igual que las demás entidades estatales regidas por el Estatuto General de la Administración Pública no cobijadas por los anteriores numerales del presente artículo, deberán aplicar lo dispuesto en esta resolución en los procedimientos de selección de licitación de obra pública, cuyo aviso de convocatoria sea publicado a partir del 2 de mayo de 2022 […]».</w:t>
      </w:r>
    </w:p>
    <w:p w14:paraId="07C41C8B" w14:textId="77777777" w:rsidR="0017409A" w:rsidRPr="00CC0111" w:rsidRDefault="0017409A" w:rsidP="0017409A">
      <w:pPr>
        <w:pStyle w:val="Textonotapie"/>
        <w:ind w:firstLine="708"/>
        <w:jc w:val="both"/>
        <w:rPr>
          <w:rFonts w:ascii="Arial" w:hAnsi="Arial" w:cs="Arial"/>
          <w:sz w:val="18"/>
          <w:szCs w:val="18"/>
        </w:rPr>
      </w:pPr>
    </w:p>
  </w:footnote>
  <w:footnote w:id="6">
    <w:p w14:paraId="0CB8F602" w14:textId="77777777" w:rsidR="006C5583" w:rsidRPr="00E74C09" w:rsidRDefault="006C5583" w:rsidP="006C5583">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1" w:history="1">
        <w:r w:rsidRPr="00E74C09">
          <w:rPr>
            <w:rFonts w:ascii="Arial" w:hAnsi="Arial" w:cs="Arial"/>
            <w:sz w:val="19"/>
            <w:szCs w:val="19"/>
          </w:rPr>
          <w:t>https://www.colombiacompra.gov.co/content/08-modificacion-los-documentos-tipo-para-los-procesos-de-obra-publica-de-infraestructura-de</w:t>
        </w:r>
      </w:hyperlink>
      <w:r w:rsidRPr="00E74C09">
        <w:rPr>
          <w:rFonts w:ascii="Arial" w:hAnsi="Arial" w:cs="Arial"/>
          <w:sz w:val="19"/>
          <w:szCs w:val="19"/>
        </w:rPr>
        <w:t xml:space="preserve"> </w:t>
      </w:r>
    </w:p>
  </w:footnote>
  <w:footnote w:id="7">
    <w:p w14:paraId="2EC25BA8" w14:textId="77777777" w:rsidR="006C5583" w:rsidRPr="00E74C09" w:rsidRDefault="006C5583" w:rsidP="006C5583">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Style w:val="Refdenotaalpie"/>
          <w:rFonts w:ascii="Arial" w:hAnsi="Arial" w:cs="Arial"/>
          <w:color w:val="auto"/>
          <w:sz w:val="19"/>
          <w:szCs w:val="19"/>
        </w:rPr>
        <w:footnoteRef/>
      </w:r>
      <w:r w:rsidRPr="00E74C09">
        <w:rPr>
          <w:rFonts w:ascii="Arial" w:hAnsi="Arial" w:cs="Arial"/>
          <w:color w:val="auto"/>
          <w:sz w:val="19"/>
          <w:szCs w:val="19"/>
        </w:rPr>
        <w:t xml:space="preserve"> «ARTÍCULO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714306F5"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36ED76C"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E4B0BCC"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60106879"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7084E237"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34E74647"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277FD3A8" w14:textId="77777777" w:rsidR="006C5583" w:rsidRPr="00E74C09" w:rsidRDefault="006C5583" w:rsidP="006C5583">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6DE7A0E8" w14:textId="77777777" w:rsidR="006C5583" w:rsidRPr="00E74C09" w:rsidRDefault="006C5583" w:rsidP="006C5583">
      <w:pPr>
        <w:shd w:val="clear" w:color="auto" w:fill="FFFFFF"/>
        <w:spacing w:after="0" w:line="240" w:lineRule="auto"/>
        <w:ind w:firstLine="708"/>
        <w:jc w:val="both"/>
        <w:rPr>
          <w:rFonts w:ascii="Arial" w:hAnsi="Arial" w:cs="Arial"/>
          <w:sz w:val="19"/>
          <w:szCs w:val="19"/>
        </w:rPr>
      </w:pPr>
      <w:r w:rsidRPr="00E74C09">
        <w:rPr>
          <w:rFonts w:ascii="Arial" w:eastAsia="Times New Roman" w:hAnsi="Arial" w:cs="Arial"/>
          <w:sz w:val="19"/>
          <w:szCs w:val="19"/>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footnote>
  <w:footnote w:id="8">
    <w:p w14:paraId="6A14CC0E"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E74C09">
        <w:rPr>
          <w:rFonts w:ascii="Arial" w:eastAsia="Arial" w:hAnsi="Arial" w:cs="Arial"/>
          <w:sz w:val="19"/>
          <w:szCs w:val="19"/>
          <w:lang w:eastAsia="es-CO"/>
        </w:rPr>
        <w:t>«Artículo 2.2.1.2.4.2.15. Criterios diferenciales para emprendimientos y empresas de mujeres en el sistema de compras públicas</w:t>
      </w:r>
      <w:r w:rsidRPr="00E74C09">
        <w:rPr>
          <w:rFonts w:ascii="Arial" w:eastAsia="Arial" w:hAnsi="Arial" w:cs="Arial"/>
          <w:i/>
          <w:iCs/>
          <w:sz w:val="19"/>
          <w:szCs w:val="19"/>
          <w:lang w:eastAsia="es-CO"/>
        </w:rPr>
        <w:t xml:space="preserve">. </w:t>
      </w:r>
      <w:r w:rsidRPr="00E74C09">
        <w:rPr>
          <w:rFonts w:ascii="Arial" w:eastAsia="Arial" w:hAnsi="Arial" w:cs="Arial"/>
          <w:sz w:val="19"/>
          <w:szCs w:val="19"/>
          <w:lang w:val="es-ES" w:eastAsia="es-CO"/>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3AE524F4"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 xml:space="preserve">»1. Tiempo de experiencia. </w:t>
      </w:r>
    </w:p>
    <w:p w14:paraId="03C785C0"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 xml:space="preserve">»2. Número de contratos para la acreditación de la experiencia. </w:t>
      </w:r>
    </w:p>
    <w:p w14:paraId="1862D9D0"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 xml:space="preserve">»3. Índices de capacidad financiera. </w:t>
      </w:r>
    </w:p>
    <w:p w14:paraId="234AC9D8"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 xml:space="preserve">»4. Índices de capacidad organizacional. </w:t>
      </w:r>
    </w:p>
    <w:p w14:paraId="072E2FAD"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»5. Valor de la garantía de seriedad de la oferta.</w:t>
      </w:r>
    </w:p>
    <w:p w14:paraId="11E7A8E9" w14:textId="77777777" w:rsidR="006C5583" w:rsidRPr="00E74C09" w:rsidRDefault="006C5583" w:rsidP="006C5583">
      <w:pPr>
        <w:spacing w:after="0" w:line="240" w:lineRule="auto"/>
        <w:ind w:firstLine="708"/>
        <w:jc w:val="both"/>
        <w:rPr>
          <w:rFonts w:ascii="Arial" w:eastAsia="Arial" w:hAnsi="Arial" w:cs="Arial"/>
          <w:sz w:val="19"/>
          <w:szCs w:val="19"/>
          <w:lang w:eastAsia="es-CO"/>
        </w:rPr>
      </w:pPr>
      <w:r w:rsidRPr="00E74C09">
        <w:rPr>
          <w:rFonts w:ascii="Arial" w:eastAsia="Arial" w:hAnsi="Arial" w:cs="Arial"/>
          <w:sz w:val="19"/>
          <w:szCs w:val="19"/>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7F47BACC"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7DD6213C" w14:textId="77777777" w:rsidR="006C5583" w:rsidRPr="00E74C09" w:rsidRDefault="006C5583" w:rsidP="006C5583">
      <w:pPr>
        <w:spacing w:after="0" w:line="240" w:lineRule="auto"/>
        <w:ind w:firstLine="708"/>
        <w:jc w:val="both"/>
        <w:rPr>
          <w:rFonts w:ascii="Arial" w:eastAsia="Times New Roman" w:hAnsi="Arial" w:cs="Arial"/>
          <w:sz w:val="19"/>
          <w:szCs w:val="19"/>
          <w:lang w:eastAsia="es-MX"/>
        </w:rPr>
      </w:pPr>
      <w:r w:rsidRPr="00E74C09">
        <w:rPr>
          <w:rFonts w:ascii="Arial" w:eastAsia="Times New Roman" w:hAnsi="Arial" w:cs="Arial"/>
          <w:sz w:val="19"/>
          <w:szCs w:val="19"/>
          <w:lang w:eastAsia="es-MX"/>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1AC60830"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3A34E9FC" w14:textId="77777777" w:rsidR="006C5583" w:rsidRPr="00E74C09" w:rsidRDefault="006C5583" w:rsidP="006C5583">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 xml:space="preserve">»Parágrafo 2. Los incentivos contractuales para las empresas y emprendimientos de mujeres no excluyen la aplicación de los criterios diferenciales para Mipyme en el sistema de compras públicas». </w:t>
      </w:r>
    </w:p>
    <w:p w14:paraId="1B014C81" w14:textId="77777777" w:rsidR="006C5583" w:rsidRPr="00E74C09" w:rsidRDefault="006C5583" w:rsidP="006C5583">
      <w:pPr>
        <w:pStyle w:val="Textonotapie"/>
        <w:jc w:val="both"/>
        <w:rPr>
          <w:rFonts w:ascii="Arial" w:hAnsi="Arial" w:cs="Arial"/>
          <w:sz w:val="19"/>
          <w:szCs w:val="19"/>
          <w:lang w:val="es-CO"/>
        </w:rPr>
      </w:pPr>
    </w:p>
  </w:footnote>
  <w:footnote w:id="9">
    <w:p w14:paraId="1BE0B02E" w14:textId="77777777" w:rsidR="006C5583" w:rsidRPr="00E74C09" w:rsidRDefault="006C5583" w:rsidP="006C5583">
      <w:pPr>
        <w:pStyle w:val="NormalWeb"/>
        <w:shd w:val="clear" w:color="auto" w:fill="FFFFFF"/>
        <w:spacing w:before="0" w:beforeAutospacing="0" w:after="0" w:afterAutospacing="0"/>
        <w:ind w:firstLine="708"/>
        <w:jc w:val="both"/>
        <w:rPr>
          <w:rFonts w:ascii="Arial" w:hAnsi="Arial" w:cs="Arial"/>
          <w:color w:val="auto"/>
          <w:sz w:val="19"/>
          <w:szCs w:val="19"/>
        </w:rPr>
      </w:pPr>
      <w:r w:rsidRPr="005B759B">
        <w:rPr>
          <w:rStyle w:val="Refdenotaalpie"/>
          <w:rFonts w:ascii="Arial" w:hAnsi="Arial" w:cs="Arial"/>
          <w:sz w:val="19"/>
          <w:szCs w:val="19"/>
        </w:rPr>
        <w:footnoteRef/>
      </w:r>
      <w:r w:rsidRPr="005B759B">
        <w:rPr>
          <w:rFonts w:ascii="Arial" w:hAnsi="Arial" w:cs="Arial"/>
          <w:sz w:val="19"/>
          <w:szCs w:val="19"/>
        </w:rPr>
        <w:t xml:space="preserve"> «</w:t>
      </w:r>
      <w:r w:rsidRPr="00E74C09">
        <w:rPr>
          <w:rFonts w:ascii="Arial" w:hAnsi="Arial" w:cs="Arial"/>
          <w:color w:val="auto"/>
          <w:sz w:val="19"/>
          <w:szCs w:val="19"/>
        </w:rPr>
        <w:t>ARTÍCULO </w:t>
      </w:r>
      <w:bookmarkStart w:id="7" w:name="8"/>
      <w:r w:rsidRPr="00E74C09">
        <w:rPr>
          <w:rFonts w:ascii="Arial" w:hAnsi="Arial" w:cs="Arial"/>
          <w:color w:val="auto"/>
          <w:sz w:val="19"/>
          <w:szCs w:val="19"/>
        </w:rPr>
        <w:t> </w:t>
      </w:r>
      <w:bookmarkEnd w:id="7"/>
      <w:r w:rsidRPr="00E74C09">
        <w:rPr>
          <w:rFonts w:ascii="Arial" w:hAnsi="Arial" w:cs="Arial"/>
          <w:color w:val="auto"/>
          <w:sz w:val="19"/>
          <w:szCs w:val="19"/>
        </w:rPr>
        <w:t>8. Vigencia y derogatorias</w:t>
      </w:r>
      <w:r w:rsidRPr="00E74C09">
        <w:rPr>
          <w:rFonts w:ascii="Arial" w:hAnsi="Arial" w:cs="Arial"/>
          <w:b/>
          <w:bCs/>
          <w:color w:val="auto"/>
          <w:sz w:val="19"/>
          <w:szCs w:val="19"/>
        </w:rPr>
        <w:t>.</w:t>
      </w:r>
      <w:r w:rsidRPr="00E74C09">
        <w:rPr>
          <w:rFonts w:ascii="Arial" w:hAnsi="Arial" w:cs="Arial"/>
          <w:color w:val="auto"/>
          <w:sz w:val="19"/>
          <w:szCs w:val="19"/>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E74C09">
          <w:rPr>
            <w:rStyle w:val="Hipervnculo"/>
            <w:rFonts w:ascii="Arial" w:hAnsi="Arial" w:cs="Arial"/>
            <w:color w:val="auto"/>
            <w:sz w:val="19"/>
            <w:szCs w:val="19"/>
          </w:rPr>
          <w:t>5 </w:t>
        </w:r>
      </w:hyperlink>
      <w:r w:rsidRPr="00E74C09">
        <w:rPr>
          <w:rFonts w:ascii="Arial" w:hAnsi="Arial" w:cs="Arial"/>
          <w:color w:val="auto"/>
          <w:sz w:val="19"/>
          <w:szCs w:val="19"/>
        </w:rPr>
        <w:t>de la Sección 1 del Capítulo 2 del Título 1 de la Parte 2 del Libro 2, así como los artículos </w:t>
      </w:r>
      <w:hyperlink r:id="rId3" w:anchor="2.2.1.2.4.2.2" w:history="1">
        <w:r w:rsidRPr="00E74C09">
          <w:rPr>
            <w:rStyle w:val="Hipervnculo"/>
            <w:rFonts w:ascii="Arial" w:hAnsi="Arial" w:cs="Arial"/>
            <w:color w:val="auto"/>
            <w:sz w:val="19"/>
            <w:szCs w:val="19"/>
          </w:rPr>
          <w:t>2.2.1.2.4.2.2</w:t>
        </w:r>
      </w:hyperlink>
      <w:r w:rsidRPr="00E74C09">
        <w:rPr>
          <w:rFonts w:ascii="Arial" w:hAnsi="Arial" w:cs="Arial"/>
          <w:color w:val="auto"/>
          <w:sz w:val="19"/>
          <w:szCs w:val="19"/>
        </w:rPr>
        <w:t>., </w:t>
      </w:r>
      <w:hyperlink r:id="rId4" w:anchor="2.2.1.2.4.2.3" w:history="1">
        <w:r w:rsidRPr="00E74C09">
          <w:rPr>
            <w:rStyle w:val="Hipervnculo"/>
            <w:rFonts w:ascii="Arial" w:hAnsi="Arial" w:cs="Arial"/>
            <w:color w:val="auto"/>
            <w:sz w:val="19"/>
            <w:szCs w:val="19"/>
          </w:rPr>
          <w:t>2.2.1.2.4.2.3</w:t>
        </w:r>
      </w:hyperlink>
      <w:r w:rsidRPr="00E74C09">
        <w:rPr>
          <w:rFonts w:ascii="Arial" w:hAnsi="Arial" w:cs="Arial"/>
          <w:color w:val="auto"/>
          <w:sz w:val="19"/>
          <w:szCs w:val="19"/>
        </w:rPr>
        <w:t>., </w:t>
      </w:r>
      <w:hyperlink r:id="rId5" w:anchor="2.2.1.2.4.2.4" w:history="1">
        <w:r w:rsidRPr="00E74C09">
          <w:rPr>
            <w:rStyle w:val="Hipervnculo"/>
            <w:rFonts w:ascii="Arial" w:hAnsi="Arial" w:cs="Arial"/>
            <w:color w:val="auto"/>
            <w:sz w:val="19"/>
            <w:szCs w:val="19"/>
          </w:rPr>
          <w:t>2.2.1.2.4.2.4</w:t>
        </w:r>
      </w:hyperlink>
      <w:r w:rsidRPr="00E74C09">
        <w:rPr>
          <w:rFonts w:ascii="Arial" w:hAnsi="Arial" w:cs="Arial"/>
          <w:color w:val="auto"/>
          <w:sz w:val="19"/>
          <w:szCs w:val="19"/>
        </w:rPr>
        <w:t>., </w:t>
      </w:r>
      <w:hyperlink r:id="rId6" w:anchor="2.2.1.2.1.2.2" w:history="1">
        <w:r w:rsidRPr="00E74C09">
          <w:rPr>
            <w:rStyle w:val="Hipervnculo"/>
            <w:rFonts w:ascii="Arial" w:hAnsi="Arial" w:cs="Arial"/>
            <w:color w:val="auto"/>
            <w:sz w:val="19"/>
            <w:szCs w:val="19"/>
          </w:rPr>
          <w:t>2.2.1.2.1.2.2</w:t>
        </w:r>
      </w:hyperlink>
      <w:r w:rsidRPr="00E74C09">
        <w:rPr>
          <w:rFonts w:ascii="Arial" w:hAnsi="Arial" w:cs="Arial"/>
          <w:color w:val="auto"/>
          <w:sz w:val="19"/>
          <w:szCs w:val="19"/>
        </w:rPr>
        <w:t>. y </w:t>
      </w:r>
      <w:hyperlink r:id="rId7" w:anchor="2.2.1.2.4.2.8" w:history="1">
        <w:r w:rsidRPr="00E74C09">
          <w:rPr>
            <w:rStyle w:val="Hipervnculo"/>
            <w:rFonts w:ascii="Arial" w:hAnsi="Arial" w:cs="Arial"/>
            <w:color w:val="auto"/>
            <w:sz w:val="19"/>
            <w:szCs w:val="19"/>
          </w:rPr>
          <w:t>2.2.1.2.4.2.8</w:t>
        </w:r>
      </w:hyperlink>
      <w:r w:rsidRPr="00E74C09">
        <w:rPr>
          <w:rFonts w:ascii="Arial" w:hAnsi="Arial" w:cs="Arial"/>
          <w:color w:val="auto"/>
          <w:sz w:val="19"/>
          <w:szCs w:val="19"/>
        </w:rPr>
        <w:t>.; adiciona los artículos </w:t>
      </w:r>
      <w:hyperlink r:id="rId8" w:anchor="2.2.1.2.4.2.14" w:history="1">
        <w:r w:rsidRPr="00E74C09">
          <w:rPr>
            <w:rStyle w:val="Hipervnculo"/>
            <w:rFonts w:ascii="Arial" w:hAnsi="Arial" w:cs="Arial"/>
            <w:color w:val="auto"/>
            <w:sz w:val="19"/>
            <w:szCs w:val="19"/>
          </w:rPr>
          <w:t>2.2.1.2.4.2.14</w:t>
        </w:r>
      </w:hyperlink>
      <w:r w:rsidRPr="00E74C09">
        <w:rPr>
          <w:rFonts w:ascii="Arial" w:hAnsi="Arial" w:cs="Arial"/>
          <w:color w:val="auto"/>
          <w:sz w:val="19"/>
          <w:szCs w:val="19"/>
        </w:rPr>
        <w:t>., </w:t>
      </w:r>
      <w:hyperlink r:id="rId9" w:anchor="2.2.1.2.4.2.15" w:history="1">
        <w:r w:rsidRPr="00E74C09">
          <w:rPr>
            <w:rStyle w:val="Hipervnculo"/>
            <w:rFonts w:ascii="Arial" w:hAnsi="Arial" w:cs="Arial"/>
            <w:color w:val="auto"/>
            <w:sz w:val="19"/>
            <w:szCs w:val="19"/>
          </w:rPr>
          <w:t>2.2.1.2.4.2.15</w:t>
        </w:r>
      </w:hyperlink>
      <w:r w:rsidRPr="00E74C09">
        <w:rPr>
          <w:rFonts w:ascii="Arial" w:hAnsi="Arial" w:cs="Arial"/>
          <w:color w:val="auto"/>
          <w:sz w:val="19"/>
          <w:szCs w:val="19"/>
        </w:rPr>
        <w:t>., </w:t>
      </w:r>
      <w:hyperlink r:id="rId10" w:anchor="2.2.1.2.4.2.16" w:history="1">
        <w:r w:rsidRPr="00E74C09">
          <w:rPr>
            <w:rStyle w:val="Hipervnculo"/>
            <w:rFonts w:ascii="Arial" w:hAnsi="Arial" w:cs="Arial"/>
            <w:color w:val="auto"/>
            <w:sz w:val="19"/>
            <w:szCs w:val="19"/>
          </w:rPr>
          <w:t>2.2.1.2.4.2.16</w:t>
        </w:r>
      </w:hyperlink>
      <w:r w:rsidRPr="00E74C09">
        <w:rPr>
          <w:rFonts w:ascii="Arial" w:hAnsi="Arial" w:cs="Arial"/>
          <w:color w:val="auto"/>
          <w:sz w:val="19"/>
          <w:szCs w:val="19"/>
        </w:rPr>
        <w:t>., </w:t>
      </w:r>
      <w:hyperlink r:id="rId11" w:anchor="2.2.1.2.4.2.17" w:history="1">
        <w:r w:rsidRPr="00E74C09">
          <w:rPr>
            <w:rStyle w:val="Hipervnculo"/>
            <w:rFonts w:ascii="Arial" w:hAnsi="Arial" w:cs="Arial"/>
            <w:color w:val="auto"/>
            <w:sz w:val="19"/>
            <w:szCs w:val="19"/>
          </w:rPr>
          <w:t>2.2.1.2.4.2.17</w:t>
        </w:r>
      </w:hyperlink>
      <w:r w:rsidRPr="00E74C09">
        <w:rPr>
          <w:rFonts w:ascii="Arial" w:hAnsi="Arial" w:cs="Arial"/>
          <w:color w:val="auto"/>
          <w:sz w:val="19"/>
          <w:szCs w:val="19"/>
        </w:rPr>
        <w:t>. y </w:t>
      </w:r>
      <w:hyperlink r:id="rId12" w:anchor="2.2.1.2.4.2.18" w:history="1">
        <w:r w:rsidRPr="00E74C09">
          <w:rPr>
            <w:rStyle w:val="Hipervnculo"/>
            <w:rFonts w:ascii="Arial" w:hAnsi="Arial" w:cs="Arial"/>
            <w:color w:val="auto"/>
            <w:sz w:val="19"/>
            <w:szCs w:val="19"/>
          </w:rPr>
          <w:t>2.2.1.2.4.2.18</w:t>
        </w:r>
      </w:hyperlink>
      <w:r w:rsidRPr="00E74C09">
        <w:rPr>
          <w:rFonts w:ascii="Arial" w:hAnsi="Arial" w:cs="Arial"/>
          <w:color w:val="auto"/>
          <w:sz w:val="19"/>
          <w:szCs w:val="19"/>
        </w:rPr>
        <w:t>.; adiciona un </w:t>
      </w:r>
      <w:hyperlink r:id="rId13" w:anchor="2.2.1.2.3.1.9.p" w:history="1">
        <w:r w:rsidRPr="00E74C09">
          <w:rPr>
            <w:rStyle w:val="Hipervnculo"/>
            <w:rFonts w:ascii="Arial" w:hAnsi="Arial" w:cs="Arial"/>
            <w:color w:val="auto"/>
            <w:sz w:val="19"/>
            <w:szCs w:val="19"/>
          </w:rPr>
          <w:t>parágrafo </w:t>
        </w:r>
      </w:hyperlink>
      <w:r w:rsidRPr="00E74C09">
        <w:rPr>
          <w:rFonts w:ascii="Arial" w:hAnsi="Arial" w:cs="Arial"/>
          <w:color w:val="auto"/>
          <w:sz w:val="19"/>
          <w:szCs w:val="19"/>
        </w:rPr>
        <w:t>al artículo </w:t>
      </w:r>
      <w:hyperlink r:id="rId14" w:anchor="2.2.1.2.3.1.9" w:history="1">
        <w:r w:rsidRPr="00E74C09">
          <w:rPr>
            <w:rStyle w:val="Hipervnculo"/>
            <w:rFonts w:ascii="Arial" w:hAnsi="Arial" w:cs="Arial"/>
            <w:color w:val="auto"/>
            <w:sz w:val="19"/>
            <w:szCs w:val="19"/>
          </w:rPr>
          <w:t>2.2.1.2.3.1.9</w:t>
        </w:r>
      </w:hyperlink>
      <w:r w:rsidRPr="00E74C09">
        <w:rPr>
          <w:rFonts w:ascii="Arial" w:hAnsi="Arial" w:cs="Arial"/>
          <w:color w:val="auto"/>
          <w:sz w:val="19"/>
          <w:szCs w:val="19"/>
        </w:rPr>
        <w:t>; y deroga el artículo </w:t>
      </w:r>
      <w:hyperlink r:id="rId15" w:anchor="2.2.1.1.2.2.9" w:history="1">
        <w:r w:rsidRPr="00E74C09">
          <w:rPr>
            <w:rStyle w:val="Hipervnculo"/>
            <w:rFonts w:ascii="Arial" w:hAnsi="Arial" w:cs="Arial"/>
            <w:color w:val="auto"/>
            <w:sz w:val="19"/>
            <w:szCs w:val="19"/>
          </w:rPr>
          <w:t>2.2.1.1.2.2.9</w:t>
        </w:r>
      </w:hyperlink>
      <w:r w:rsidRPr="00E74C09">
        <w:rPr>
          <w:rFonts w:ascii="Arial" w:hAnsi="Arial" w:cs="Arial"/>
          <w:color w:val="auto"/>
          <w:sz w:val="19"/>
          <w:szCs w:val="19"/>
        </w:rPr>
        <w:t>. del Decreto 1082 de 2015, Único Reglamentario del Sector Administrativo de Planeación Nacional.</w:t>
      </w:r>
    </w:p>
    <w:p w14:paraId="15D39AD9" w14:textId="77777777" w:rsidR="006C5583" w:rsidRPr="00E74C09" w:rsidRDefault="006C5583" w:rsidP="006C5583">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Fonts w:ascii="Arial" w:hAnsi="Arial" w:cs="Arial"/>
          <w:color w:val="auto"/>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1E82AE8" w14:textId="77777777" w:rsidR="006C5583" w:rsidRPr="00E74C09" w:rsidRDefault="006C5583" w:rsidP="006C5583">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Fonts w:ascii="Arial" w:hAnsi="Arial" w:cs="Arial"/>
          <w:color w:val="auto"/>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72C2E955" w14:textId="77777777" w:rsidR="006C5583" w:rsidRPr="005B759B" w:rsidRDefault="006C5583" w:rsidP="006C5583">
      <w:pPr>
        <w:pStyle w:val="Textonotapie"/>
        <w:jc w:val="both"/>
        <w:rPr>
          <w:rFonts w:ascii="Arial" w:hAnsi="Arial" w:cs="Arial"/>
          <w:sz w:val="19"/>
          <w:szCs w:val="19"/>
          <w:lang w:val="es-CO"/>
        </w:rPr>
      </w:pPr>
    </w:p>
  </w:footnote>
  <w:footnote w:id="10">
    <w:p w14:paraId="664FA489" w14:textId="18506CDC" w:rsidR="00C9018A" w:rsidRPr="00A12E1F" w:rsidRDefault="00C9018A" w:rsidP="00A12E1F">
      <w:pPr>
        <w:pStyle w:val="Textonotapie"/>
        <w:ind w:firstLine="708"/>
        <w:jc w:val="both"/>
        <w:rPr>
          <w:rFonts w:ascii="Arial" w:hAnsi="Arial" w:cs="Arial"/>
          <w:sz w:val="19"/>
          <w:szCs w:val="19"/>
          <w:lang w:val="es-CO"/>
        </w:rPr>
      </w:pPr>
      <w:r>
        <w:rPr>
          <w:rStyle w:val="Refdenotaalpie"/>
        </w:rPr>
        <w:footnoteRef/>
      </w:r>
      <w:r>
        <w:t xml:space="preserve"> </w:t>
      </w:r>
      <w:r w:rsidRPr="00A12E1F">
        <w:rPr>
          <w:rFonts w:ascii="Arial" w:hAnsi="Arial" w:cs="Arial"/>
          <w:sz w:val="19"/>
          <w:szCs w:val="19"/>
          <w:lang w:val="es-CO"/>
        </w:rPr>
        <w:t xml:space="preserve">Esta Resolución se encuentra publicada en la página web de la Agencia Nacional de Contratación Pública – Colombia Compra Eficiente en el siguiente enlace: </w:t>
      </w:r>
      <w:hyperlink r:id="rId16" w:history="1">
        <w:r w:rsidR="00A12E1F" w:rsidRPr="00A12E1F">
          <w:rPr>
            <w:rStyle w:val="Hipervnculo"/>
            <w:rFonts w:ascii="Arial" w:hAnsi="Arial" w:cs="Arial"/>
            <w:sz w:val="19"/>
            <w:szCs w:val="19"/>
            <w:lang w:val="es-CO"/>
          </w:rPr>
          <w:t>https://www.colombiacompra.gov.co/content/modificacion-los-documentos-tipo-adoptados-por-la-agencia-nacional-de-contratacion-publica</w:t>
        </w:r>
      </w:hyperlink>
    </w:p>
    <w:p w14:paraId="70B1BA51" w14:textId="77777777" w:rsidR="00A12E1F" w:rsidRPr="00C9018A" w:rsidRDefault="00A12E1F" w:rsidP="00C9018A">
      <w:pPr>
        <w:pStyle w:val="Textonotapie"/>
        <w:ind w:firstLine="7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5375" w14:textId="77777777" w:rsidR="00A278E7" w:rsidRDefault="00193555">
    <w:pPr>
      <w:pStyle w:val="Encabezado"/>
    </w:pPr>
    <w:r>
      <w:rPr>
        <w:noProof/>
      </w:rPr>
      <w:drawing>
        <wp:anchor distT="0" distB="0" distL="114300" distR="114300" simplePos="0" relativeHeight="251659264" behindDoc="0" locked="0" layoutInCell="1" allowOverlap="1" wp14:anchorId="6FE3EC99" wp14:editId="15F89CF9">
          <wp:simplePos x="0" y="0"/>
          <wp:positionH relativeFrom="column">
            <wp:posOffset>2357054</wp:posOffset>
          </wp:positionH>
          <wp:positionV relativeFrom="paragraph">
            <wp:posOffset>-356870</wp:posOffset>
          </wp:positionV>
          <wp:extent cx="3157855" cy="713105"/>
          <wp:effectExtent l="0" t="0" r="444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D6A2" w14:textId="77777777" w:rsidR="00C734A4" w:rsidRDefault="00193555" w:rsidP="00C734A4">
    <w:pPr>
      <w:pStyle w:val="Encabezado"/>
      <w:jc w:val="right"/>
      <w:rPr>
        <w:b/>
      </w:rPr>
    </w:pPr>
    <w:r>
      <w:rPr>
        <w:noProof/>
        <w:lang w:val="es-419" w:eastAsia="es-419"/>
      </w:rPr>
      <w:drawing>
        <wp:inline distT="0" distB="0" distL="0" distR="0" wp14:anchorId="315F0201" wp14:editId="24DCAE71">
          <wp:extent cx="1500803" cy="616644"/>
          <wp:effectExtent l="0" t="0" r="4445"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4DB7AD50" w14:textId="77777777" w:rsidR="00C734A4" w:rsidRPr="006D761F" w:rsidRDefault="00193555" w:rsidP="00C734A4">
    <w:pPr>
      <w:pStyle w:val="Ttulo1"/>
      <w:rPr>
        <w:sz w:val="24"/>
        <w:szCs w:val="24"/>
      </w:rPr>
    </w:pPr>
    <w:r w:rsidRPr="006D761F">
      <w:rPr>
        <w:sz w:val="24"/>
        <w:szCs w:val="24"/>
      </w:rPr>
      <w:t>TÍTULO DEL DOCUMENTO</w:t>
    </w:r>
  </w:p>
  <w:p w14:paraId="1A80B333" w14:textId="77777777" w:rsidR="00C734A4" w:rsidRPr="00B30435" w:rsidRDefault="00193555" w:rsidP="00C734A4">
    <w:pPr>
      <w:rPr>
        <w:color w:val="E7E6E6" w:themeColor="background2"/>
      </w:rPr>
    </w:pPr>
    <w:r w:rsidRPr="006D761F">
      <w:rPr>
        <w:color w:val="E7E6E6"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1CD4"/>
    <w:multiLevelType w:val="hybridMultilevel"/>
    <w:tmpl w:val="4ABC83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887C54"/>
    <w:multiLevelType w:val="hybridMultilevel"/>
    <w:tmpl w:val="4ABC83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1386F91"/>
    <w:multiLevelType w:val="hybridMultilevel"/>
    <w:tmpl w:val="4ABC8396"/>
    <w:lvl w:ilvl="0" w:tplc="A05C7E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7DDF33BD"/>
    <w:multiLevelType w:val="hybridMultilevel"/>
    <w:tmpl w:val="22DA4BCC"/>
    <w:lvl w:ilvl="0" w:tplc="BFC230EC">
      <w:start w:val="1"/>
      <w:numFmt w:val="decimal"/>
      <w:lvlText w:val="Artículo %1 –"/>
      <w:lvlJc w:val="left"/>
      <w:pPr>
        <w:ind w:left="1210" w:hanging="360"/>
      </w:pPr>
      <w:rPr>
        <w:rFonts w:ascii="Arial Narrow" w:hAnsi="Arial Narrow" w:hint="default"/>
        <w:b/>
        <w:bCs/>
        <w:i w:val="0"/>
        <w:iCs w:val="0"/>
        <w:sz w:val="22"/>
        <w:szCs w:val="22"/>
        <w:lang w:val="es-CO"/>
      </w:rPr>
    </w:lvl>
    <w:lvl w:ilvl="1" w:tplc="240A0019">
      <w:start w:val="1"/>
      <w:numFmt w:val="lowerLetter"/>
      <w:lvlText w:val="%2."/>
      <w:lvlJc w:val="left"/>
      <w:pPr>
        <w:ind w:left="1877" w:hanging="360"/>
      </w:pPr>
    </w:lvl>
    <w:lvl w:ilvl="2" w:tplc="240A001B" w:tentative="1">
      <w:start w:val="1"/>
      <w:numFmt w:val="lowerRoman"/>
      <w:lvlText w:val="%3."/>
      <w:lvlJc w:val="right"/>
      <w:pPr>
        <w:ind w:left="2597" w:hanging="180"/>
      </w:pPr>
    </w:lvl>
    <w:lvl w:ilvl="3" w:tplc="240A000F" w:tentative="1">
      <w:start w:val="1"/>
      <w:numFmt w:val="decimal"/>
      <w:lvlText w:val="%4."/>
      <w:lvlJc w:val="left"/>
      <w:pPr>
        <w:ind w:left="3317" w:hanging="360"/>
      </w:pPr>
    </w:lvl>
    <w:lvl w:ilvl="4" w:tplc="240A0019" w:tentative="1">
      <w:start w:val="1"/>
      <w:numFmt w:val="lowerLetter"/>
      <w:lvlText w:val="%5."/>
      <w:lvlJc w:val="left"/>
      <w:pPr>
        <w:ind w:left="4037" w:hanging="360"/>
      </w:pPr>
    </w:lvl>
    <w:lvl w:ilvl="5" w:tplc="240A001B" w:tentative="1">
      <w:start w:val="1"/>
      <w:numFmt w:val="lowerRoman"/>
      <w:lvlText w:val="%6."/>
      <w:lvlJc w:val="right"/>
      <w:pPr>
        <w:ind w:left="4757" w:hanging="180"/>
      </w:pPr>
    </w:lvl>
    <w:lvl w:ilvl="6" w:tplc="240A000F" w:tentative="1">
      <w:start w:val="1"/>
      <w:numFmt w:val="decimal"/>
      <w:lvlText w:val="%7."/>
      <w:lvlJc w:val="left"/>
      <w:pPr>
        <w:ind w:left="5477" w:hanging="360"/>
      </w:pPr>
    </w:lvl>
    <w:lvl w:ilvl="7" w:tplc="240A0019" w:tentative="1">
      <w:start w:val="1"/>
      <w:numFmt w:val="lowerLetter"/>
      <w:lvlText w:val="%8."/>
      <w:lvlJc w:val="left"/>
      <w:pPr>
        <w:ind w:left="6197" w:hanging="360"/>
      </w:pPr>
    </w:lvl>
    <w:lvl w:ilvl="8" w:tplc="240A001B" w:tentative="1">
      <w:start w:val="1"/>
      <w:numFmt w:val="lowerRoman"/>
      <w:lvlText w:val="%9."/>
      <w:lvlJc w:val="right"/>
      <w:pPr>
        <w:ind w:left="6917" w:hanging="180"/>
      </w:pPr>
    </w:lvl>
  </w:abstractNum>
  <w:num w:numId="1" w16cid:durableId="579759002">
    <w:abstractNumId w:val="2"/>
  </w:num>
  <w:num w:numId="2" w16cid:durableId="392394304">
    <w:abstractNumId w:val="3"/>
  </w:num>
  <w:num w:numId="3" w16cid:durableId="112335483">
    <w:abstractNumId w:val="1"/>
  </w:num>
  <w:num w:numId="4" w16cid:durableId="37581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90"/>
    <w:rsid w:val="000644D8"/>
    <w:rsid w:val="00081A2B"/>
    <w:rsid w:val="000D08E9"/>
    <w:rsid w:val="000E0AD4"/>
    <w:rsid w:val="00111CB4"/>
    <w:rsid w:val="00132E72"/>
    <w:rsid w:val="001425C6"/>
    <w:rsid w:val="00145F4B"/>
    <w:rsid w:val="0017409A"/>
    <w:rsid w:val="00181A0F"/>
    <w:rsid w:val="00190D84"/>
    <w:rsid w:val="00193555"/>
    <w:rsid w:val="001A5C14"/>
    <w:rsid w:val="001D38BB"/>
    <w:rsid w:val="00216146"/>
    <w:rsid w:val="00231A0F"/>
    <w:rsid w:val="00261B84"/>
    <w:rsid w:val="002B1C56"/>
    <w:rsid w:val="00323F0F"/>
    <w:rsid w:val="00325AB6"/>
    <w:rsid w:val="00340D2E"/>
    <w:rsid w:val="00346576"/>
    <w:rsid w:val="003606CF"/>
    <w:rsid w:val="003767F5"/>
    <w:rsid w:val="00397414"/>
    <w:rsid w:val="003E61B7"/>
    <w:rsid w:val="004158F3"/>
    <w:rsid w:val="00456617"/>
    <w:rsid w:val="00461192"/>
    <w:rsid w:val="00475D3D"/>
    <w:rsid w:val="00493E11"/>
    <w:rsid w:val="004956A1"/>
    <w:rsid w:val="005910BB"/>
    <w:rsid w:val="005A3892"/>
    <w:rsid w:val="00620E52"/>
    <w:rsid w:val="006755B5"/>
    <w:rsid w:val="006A53C9"/>
    <w:rsid w:val="006C35DE"/>
    <w:rsid w:val="006C5583"/>
    <w:rsid w:val="006E2D96"/>
    <w:rsid w:val="00743D1C"/>
    <w:rsid w:val="007462B9"/>
    <w:rsid w:val="00774FB8"/>
    <w:rsid w:val="007C3E49"/>
    <w:rsid w:val="007C51E7"/>
    <w:rsid w:val="007D5E76"/>
    <w:rsid w:val="007F29B0"/>
    <w:rsid w:val="008069BA"/>
    <w:rsid w:val="008127F1"/>
    <w:rsid w:val="0081773F"/>
    <w:rsid w:val="008B6A07"/>
    <w:rsid w:val="008C3924"/>
    <w:rsid w:val="008C3D0C"/>
    <w:rsid w:val="008D3390"/>
    <w:rsid w:val="00954CF7"/>
    <w:rsid w:val="00955110"/>
    <w:rsid w:val="0098741A"/>
    <w:rsid w:val="009957AB"/>
    <w:rsid w:val="009C7E4E"/>
    <w:rsid w:val="00A12E1F"/>
    <w:rsid w:val="00A40EB7"/>
    <w:rsid w:val="00A456E5"/>
    <w:rsid w:val="00A56088"/>
    <w:rsid w:val="00AC38F3"/>
    <w:rsid w:val="00AD589F"/>
    <w:rsid w:val="00AE2EBB"/>
    <w:rsid w:val="00AF21E4"/>
    <w:rsid w:val="00B02029"/>
    <w:rsid w:val="00B2727B"/>
    <w:rsid w:val="00B33003"/>
    <w:rsid w:val="00BB4F0F"/>
    <w:rsid w:val="00C15B83"/>
    <w:rsid w:val="00C30FB7"/>
    <w:rsid w:val="00C7084A"/>
    <w:rsid w:val="00C754ED"/>
    <w:rsid w:val="00C76B26"/>
    <w:rsid w:val="00C9018A"/>
    <w:rsid w:val="00CB12EE"/>
    <w:rsid w:val="00CB24DE"/>
    <w:rsid w:val="00CB379E"/>
    <w:rsid w:val="00CF766C"/>
    <w:rsid w:val="00D120D8"/>
    <w:rsid w:val="00D83F98"/>
    <w:rsid w:val="00DC64BE"/>
    <w:rsid w:val="00E33407"/>
    <w:rsid w:val="00E45F6A"/>
    <w:rsid w:val="00E5527A"/>
    <w:rsid w:val="00E9373B"/>
    <w:rsid w:val="00EA0392"/>
    <w:rsid w:val="00EA4AB4"/>
    <w:rsid w:val="00EC66D7"/>
    <w:rsid w:val="00F275F0"/>
    <w:rsid w:val="00F35C35"/>
    <w:rsid w:val="00F3743D"/>
    <w:rsid w:val="00F5310E"/>
    <w:rsid w:val="00F6452F"/>
    <w:rsid w:val="00F744F1"/>
    <w:rsid w:val="00F90F5D"/>
    <w:rsid w:val="00FB347B"/>
    <w:rsid w:val="00FE06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B994"/>
  <w15:chartTrackingRefBased/>
  <w15:docId w15:val="{CAEA3911-AEDB-4D1E-9F6B-DC6FD481A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F98"/>
  </w:style>
  <w:style w:type="paragraph" w:styleId="Ttulo1">
    <w:name w:val="heading 1"/>
    <w:basedOn w:val="Normal"/>
    <w:next w:val="Normal"/>
    <w:link w:val="Ttulo1Car"/>
    <w:uiPriority w:val="9"/>
    <w:qFormat/>
    <w:rsid w:val="008D33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3390"/>
    <w:rPr>
      <w:rFonts w:asciiTheme="majorHAnsi" w:eastAsiaTheme="majorEastAsia" w:hAnsiTheme="majorHAnsi" w:cstheme="majorBidi"/>
      <w:color w:val="2F5496" w:themeColor="accent1" w:themeShade="BF"/>
      <w:sz w:val="32"/>
      <w:szCs w:val="32"/>
    </w:rPr>
  </w:style>
  <w:style w:type="paragraph" w:styleId="Encabezado">
    <w:name w:val="header"/>
    <w:basedOn w:val="Normal"/>
    <w:link w:val="EncabezadoCar"/>
    <w:uiPriority w:val="99"/>
    <w:unhideWhenUsed/>
    <w:rsid w:val="008D3390"/>
    <w:pPr>
      <w:tabs>
        <w:tab w:val="center" w:pos="4419"/>
        <w:tab w:val="right" w:pos="8838"/>
      </w:tabs>
      <w:spacing w:after="0" w:line="240" w:lineRule="auto"/>
    </w:pPr>
    <w:rPr>
      <w:sz w:val="20"/>
    </w:rPr>
  </w:style>
  <w:style w:type="character" w:customStyle="1" w:styleId="EncabezadoCar">
    <w:name w:val="Encabezado Car"/>
    <w:basedOn w:val="Fuentedeprrafopredeter"/>
    <w:link w:val="Encabezado"/>
    <w:uiPriority w:val="99"/>
    <w:rsid w:val="008D3390"/>
    <w:rPr>
      <w:sz w:val="20"/>
    </w:rPr>
  </w:style>
  <w:style w:type="paragraph" w:styleId="Piedepgina">
    <w:name w:val="footer"/>
    <w:basedOn w:val="Normal"/>
    <w:link w:val="PiedepginaCar"/>
    <w:uiPriority w:val="99"/>
    <w:unhideWhenUsed/>
    <w:rsid w:val="008D3390"/>
    <w:pPr>
      <w:tabs>
        <w:tab w:val="center" w:pos="4419"/>
        <w:tab w:val="right" w:pos="8838"/>
      </w:tabs>
      <w:spacing w:after="0" w:line="240" w:lineRule="auto"/>
    </w:pPr>
    <w:rPr>
      <w:sz w:val="20"/>
    </w:rPr>
  </w:style>
  <w:style w:type="character" w:customStyle="1" w:styleId="PiedepginaCar">
    <w:name w:val="Pie de página Car"/>
    <w:basedOn w:val="Fuentedeprrafopredeter"/>
    <w:link w:val="Piedepgina"/>
    <w:uiPriority w:val="99"/>
    <w:rsid w:val="008D3390"/>
    <w:rPr>
      <w:sz w:val="20"/>
    </w:rPr>
  </w:style>
  <w:style w:type="table" w:styleId="Tablaconcuadrcula">
    <w:name w:val="Table Grid"/>
    <w:basedOn w:val="Tablanormal"/>
    <w:uiPriority w:val="39"/>
    <w:qFormat/>
    <w:rsid w:val="008D339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D339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D3390"/>
    <w:pPr>
      <w:spacing w:after="0" w:line="240" w:lineRule="auto"/>
    </w:pPr>
    <w:rPr>
      <w:sz w:val="20"/>
      <w:szCs w:val="20"/>
      <w:lang w:val="es-MX"/>
    </w:rPr>
  </w:style>
  <w:style w:type="character" w:customStyle="1" w:styleId="TextonotapieCar1">
    <w:name w:val="Texto nota pie Car1"/>
    <w:basedOn w:val="Fuentedeprrafopredeter"/>
    <w:uiPriority w:val="99"/>
    <w:semiHidden/>
    <w:rsid w:val="008D3390"/>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D3390"/>
    <w:rPr>
      <w:vertAlign w:val="superscript"/>
    </w:rPr>
  </w:style>
  <w:style w:type="paragraph" w:customStyle="1" w:styleId="Appelnotedebasde">
    <w:name w:val="Appel note de bas de..."/>
    <w:basedOn w:val="Normal"/>
    <w:link w:val="Refdenotaalpie"/>
    <w:uiPriority w:val="99"/>
    <w:rsid w:val="008D3390"/>
    <w:pPr>
      <w:spacing w:line="240" w:lineRule="exact"/>
    </w:pPr>
    <w:rPr>
      <w:vertAlign w:val="superscript"/>
    </w:rPr>
  </w:style>
  <w:style w:type="table" w:customStyle="1" w:styleId="Tablaconcuadrcula1">
    <w:name w:val="Tabla con cuadrícula1"/>
    <w:basedOn w:val="Tablanormal"/>
    <w:next w:val="Tablaconcuadrcula"/>
    <w:uiPriority w:val="39"/>
    <w:rsid w:val="008D33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ullet List,FooterText,List Paragraph1,numbered,Paragraphe de liste1,Bulletr List Paragraph,Foot,列出段落,列出段落1,List Paragraph2,List Paragraph21,Párrafo de lista1,Parágrafo da Lista1,リスト段落1,Listeafsnit1,lp1,Scitum normal,NORMAL,Elabora,Ha,H"/>
    <w:basedOn w:val="Normal"/>
    <w:link w:val="PrrafodelistaCar"/>
    <w:uiPriority w:val="34"/>
    <w:qFormat/>
    <w:rsid w:val="007C3E49"/>
    <w:pPr>
      <w:ind w:left="720"/>
      <w:contextualSpacing/>
    </w:pPr>
  </w:style>
  <w:style w:type="paragraph" w:styleId="Revisin">
    <w:name w:val="Revision"/>
    <w:hidden/>
    <w:uiPriority w:val="99"/>
    <w:semiHidden/>
    <w:rsid w:val="0017409A"/>
    <w:pPr>
      <w:spacing w:after="0" w:line="240" w:lineRule="auto"/>
    </w:pPr>
  </w:style>
  <w:style w:type="paragraph" w:styleId="NormalWeb">
    <w:name w:val="Normal (Web)"/>
    <w:basedOn w:val="Normal"/>
    <w:uiPriority w:val="99"/>
    <w:unhideWhenUsed/>
    <w:rsid w:val="006C5583"/>
    <w:pPr>
      <w:spacing w:before="100" w:beforeAutospacing="1" w:after="100" w:afterAutospacing="1" w:line="240" w:lineRule="auto"/>
    </w:pPr>
    <w:rPr>
      <w:rFonts w:ascii="Times New Roman" w:eastAsia="Times New Roman" w:hAnsi="Times New Roman" w:cs="Times New Roman"/>
      <w:color w:val="002060"/>
      <w:sz w:val="24"/>
      <w:szCs w:val="24"/>
      <w:lang w:eastAsia="es-CO"/>
    </w:rPr>
  </w:style>
  <w:style w:type="character" w:styleId="Hipervnculo">
    <w:name w:val="Hyperlink"/>
    <w:basedOn w:val="Fuentedeprrafopredeter"/>
    <w:uiPriority w:val="99"/>
    <w:unhideWhenUsed/>
    <w:rsid w:val="006C5583"/>
    <w:rPr>
      <w:color w:val="0000FF"/>
      <w:u w:val="single"/>
    </w:rPr>
  </w:style>
  <w:style w:type="character" w:customStyle="1" w:styleId="PrrafodelistaCar">
    <w:name w:val="Párrafo de lista Car"/>
    <w:aliases w:val="Bullet List Car,FooterText Car,List Paragraph1 Car,numbered Car,Paragraphe de liste1 Car,Bulletr List Paragraph Car,Foot Car,列出段落 Car,列出段落1 Car,List Paragraph2 Car,List Paragraph21 Car,Párrafo de lista1 Car,Parágrafo da Lista1 Car"/>
    <w:link w:val="Prrafodelista"/>
    <w:uiPriority w:val="34"/>
    <w:qFormat/>
    <w:locked/>
    <w:rsid w:val="00456617"/>
  </w:style>
  <w:style w:type="character" w:styleId="Mencinsinresolver">
    <w:name w:val="Unresolved Mention"/>
    <w:basedOn w:val="Fuentedeprrafopredeter"/>
    <w:uiPriority w:val="99"/>
    <w:semiHidden/>
    <w:unhideWhenUsed/>
    <w:rsid w:val="00A12E1F"/>
    <w:rPr>
      <w:color w:val="605E5C"/>
      <w:shd w:val="clear" w:color="auto" w:fill="E1DFDD"/>
    </w:rPr>
  </w:style>
  <w:style w:type="character" w:styleId="Refdecomentario">
    <w:name w:val="annotation reference"/>
    <w:basedOn w:val="Fuentedeprrafopredeter"/>
    <w:uiPriority w:val="99"/>
    <w:semiHidden/>
    <w:unhideWhenUsed/>
    <w:rsid w:val="00743D1C"/>
    <w:rPr>
      <w:sz w:val="16"/>
      <w:szCs w:val="16"/>
    </w:rPr>
  </w:style>
  <w:style w:type="paragraph" w:styleId="Textocomentario">
    <w:name w:val="annotation text"/>
    <w:basedOn w:val="Normal"/>
    <w:link w:val="TextocomentarioCar"/>
    <w:uiPriority w:val="99"/>
    <w:unhideWhenUsed/>
    <w:rsid w:val="00743D1C"/>
    <w:pPr>
      <w:spacing w:line="240" w:lineRule="auto"/>
    </w:pPr>
    <w:rPr>
      <w:sz w:val="20"/>
      <w:szCs w:val="20"/>
    </w:rPr>
  </w:style>
  <w:style w:type="character" w:customStyle="1" w:styleId="TextocomentarioCar">
    <w:name w:val="Texto comentario Car"/>
    <w:basedOn w:val="Fuentedeprrafopredeter"/>
    <w:link w:val="Textocomentario"/>
    <w:uiPriority w:val="99"/>
    <w:rsid w:val="00743D1C"/>
    <w:rPr>
      <w:sz w:val="20"/>
      <w:szCs w:val="20"/>
    </w:rPr>
  </w:style>
  <w:style w:type="paragraph" w:styleId="Asuntodelcomentario">
    <w:name w:val="annotation subject"/>
    <w:basedOn w:val="Textocomentario"/>
    <w:next w:val="Textocomentario"/>
    <w:link w:val="AsuntodelcomentarioCar"/>
    <w:uiPriority w:val="99"/>
    <w:semiHidden/>
    <w:unhideWhenUsed/>
    <w:rsid w:val="00743D1C"/>
    <w:rPr>
      <w:b/>
      <w:bCs/>
    </w:rPr>
  </w:style>
  <w:style w:type="character" w:customStyle="1" w:styleId="AsuntodelcomentarioCar">
    <w:name w:val="Asunto del comentario Car"/>
    <w:basedOn w:val="TextocomentarioCar"/>
    <w:link w:val="Asuntodelcomentario"/>
    <w:uiPriority w:val="99"/>
    <w:semiHidden/>
    <w:rsid w:val="00743D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colombiacompra.gov.co/content/modificacion-los-documentos-tipo-adoptados-por-la-agencia-nacional-de-contratacion-publica" TargetMode="External"/><Relationship Id="rId1" Type="http://schemas.openxmlformats.org/officeDocument/2006/relationships/hyperlink" Target="https://www.colombiacompra.gov.co/content/08-modificacion-los-documentos-tipo-para-los-procesos-de-obra-publica-de-infraestructura-de"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2E96C9-7A90-41E7-9E0F-CF2BD7B15447}">
  <ds:schemaRefs>
    <ds:schemaRef ds:uri="http://schemas.openxmlformats.org/officeDocument/2006/bibliography"/>
  </ds:schemaRefs>
</ds:datastoreItem>
</file>

<file path=customXml/itemProps2.xml><?xml version="1.0" encoding="utf-8"?>
<ds:datastoreItem xmlns:ds="http://schemas.openxmlformats.org/officeDocument/2006/customXml" ds:itemID="{FC1A9548-A4E7-4B0C-828B-4000AD7FB5FF}"/>
</file>

<file path=customXml/itemProps3.xml><?xml version="1.0" encoding="utf-8"?>
<ds:datastoreItem xmlns:ds="http://schemas.openxmlformats.org/officeDocument/2006/customXml" ds:itemID="{4857F9CF-ADC6-479A-9F99-F2E264C2EA8D}"/>
</file>

<file path=customXml/itemProps4.xml><?xml version="1.0" encoding="utf-8"?>
<ds:datastoreItem xmlns:ds="http://schemas.openxmlformats.org/officeDocument/2006/customXml" ds:itemID="{6FDC82DA-EA20-44A3-B50D-E3C0512DEEBF}"/>
</file>

<file path=docProps/app.xml><?xml version="1.0" encoding="utf-8"?>
<Properties xmlns="http://schemas.openxmlformats.org/officeDocument/2006/extended-properties" xmlns:vt="http://schemas.openxmlformats.org/officeDocument/2006/docPropsVTypes">
  <Template>Normal</Template>
  <TotalTime>0</TotalTime>
  <Pages>23</Pages>
  <Words>8678</Words>
  <Characters>47734</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2</cp:revision>
  <dcterms:created xsi:type="dcterms:W3CDTF">2022-08-08T13:41:00Z</dcterms:created>
  <dcterms:modified xsi:type="dcterms:W3CDTF">2022-08-08T13:41:00Z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