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95FB1E" w14:textId="77777777" w:rsidR="002B2434" w:rsidRPr="00EB54FE" w:rsidRDefault="002B2434" w:rsidP="002B2434">
      <w:pPr>
        <w:jc w:val="right"/>
        <w:rPr>
          <w:rFonts w:ascii="Arial" w:hAnsi="Arial" w:cs="Arial"/>
          <w:b/>
          <w:sz w:val="16"/>
          <w:szCs w:val="16"/>
          <w:lang w:eastAsia="es-ES"/>
        </w:rPr>
      </w:pPr>
      <w:bookmarkStart w:id="0" w:name="_Hlk34141372"/>
      <w:bookmarkStart w:id="1" w:name="_Hlk28946138"/>
      <w:bookmarkStart w:id="2" w:name="_Hlk29548183"/>
      <w:bookmarkStart w:id="3" w:name="_Hlk29890381"/>
      <w:bookmarkEnd w:id="0"/>
      <w:r w:rsidRPr="00EB54FE">
        <w:rPr>
          <w:rFonts w:ascii="Arial" w:hAnsi="Arial" w:cs="Arial"/>
          <w:b/>
          <w:sz w:val="16"/>
          <w:szCs w:val="16"/>
          <w:lang w:eastAsia="es-ES"/>
        </w:rPr>
        <w:t>CCE-DES-FM-17</w:t>
      </w:r>
    </w:p>
    <w:bookmarkEnd w:id="1"/>
    <w:bookmarkEnd w:id="2"/>
    <w:p w14:paraId="30CF8E08" w14:textId="77777777" w:rsidR="002B2434" w:rsidRPr="00977F4C" w:rsidRDefault="002B2434" w:rsidP="002B2434">
      <w:pPr>
        <w:jc w:val="both"/>
        <w:rPr>
          <w:rFonts w:ascii="Arial" w:eastAsia="Calibri" w:hAnsi="Arial" w:cs="Arial"/>
          <w:sz w:val="16"/>
          <w:szCs w:val="16"/>
          <w:lang w:val="es-ES"/>
        </w:rPr>
      </w:pPr>
    </w:p>
    <w:p w14:paraId="558AF314" w14:textId="147284EC" w:rsidR="00270098" w:rsidRPr="00A32895" w:rsidRDefault="00270098" w:rsidP="006B276B">
      <w:pPr>
        <w:jc w:val="both"/>
        <w:rPr>
          <w:rFonts w:ascii="Arial" w:eastAsia="Calibri" w:hAnsi="Arial" w:cs="Arial"/>
          <w:b/>
          <w:noProof/>
          <w:sz w:val="22"/>
          <w:lang w:val="es-ES"/>
        </w:rPr>
      </w:pPr>
      <w:r w:rsidRPr="00A32895">
        <w:rPr>
          <w:rFonts w:ascii="Arial" w:eastAsia="Calibri" w:hAnsi="Arial" w:cs="Arial"/>
          <w:b/>
          <w:noProof/>
          <w:sz w:val="22"/>
          <w:lang w:val="es-ES"/>
        </w:rPr>
        <w:t xml:space="preserve">DECRETO 092 DE 2017 – Contrato de colaboración – </w:t>
      </w:r>
      <w:r w:rsidR="009A6EEF" w:rsidRPr="00A32895">
        <w:rPr>
          <w:rFonts w:ascii="Arial" w:eastAsia="Calibri" w:hAnsi="Arial" w:cs="Arial"/>
          <w:b/>
          <w:noProof/>
          <w:sz w:val="22"/>
          <w:lang w:val="es-ES"/>
        </w:rPr>
        <w:t>Suspensión provisional</w:t>
      </w:r>
    </w:p>
    <w:p w14:paraId="4E9C2367" w14:textId="77777777" w:rsidR="00270098" w:rsidRPr="00282352" w:rsidRDefault="00270098" w:rsidP="006B276B">
      <w:pPr>
        <w:jc w:val="both"/>
        <w:rPr>
          <w:rFonts w:ascii="Arial" w:hAnsi="Arial" w:cs="Arial"/>
          <w:noProof/>
          <w:sz w:val="20"/>
          <w:szCs w:val="20"/>
          <w:highlight w:val="yellow"/>
          <w:lang w:val="es-ES"/>
        </w:rPr>
      </w:pPr>
    </w:p>
    <w:p w14:paraId="744ADC6F" w14:textId="080A3B6A" w:rsidR="00B14FF9" w:rsidRDefault="006B276B" w:rsidP="00282352">
      <w:pPr>
        <w:pStyle w:val="Prrafodelista"/>
        <w:spacing w:after="120"/>
        <w:ind w:left="0"/>
        <w:jc w:val="both"/>
        <w:rPr>
          <w:noProof/>
          <w:lang w:val="es-ES"/>
        </w:rPr>
      </w:pPr>
      <w:r w:rsidRPr="006B276B">
        <w:rPr>
          <w:rFonts w:ascii="Arial" w:eastAsia="Calibri" w:hAnsi="Arial" w:cs="Arial"/>
          <w:noProof/>
          <w:sz w:val="20"/>
          <w:lang w:val="es-ES"/>
        </w:rPr>
        <w:t>En este orden de ideas, el Consejo de Estado suspendió provisionalmente el literal a), por lo cual el objeto de los contratos debe ser acorde con los planes nacionales o seccionales de desarrollo; y no necesariamente estar previstos directamente en ellos, además no solo se pueden celebrar contratos para los objetos específicos señalados en el Decreto 092 de 2017.</w:t>
      </w:r>
      <w:r>
        <w:rPr>
          <w:rFonts w:ascii="Arial" w:eastAsia="Calibri" w:hAnsi="Arial" w:cs="Arial"/>
          <w:noProof/>
          <w:sz w:val="20"/>
          <w:lang w:val="es-ES"/>
        </w:rPr>
        <w:t xml:space="preserve"> […] </w:t>
      </w:r>
      <w:r w:rsidRPr="006B276B">
        <w:rPr>
          <w:rFonts w:ascii="Arial" w:eastAsia="Calibri" w:hAnsi="Arial" w:cs="Arial"/>
          <w:noProof/>
          <w:sz w:val="20"/>
          <w:lang w:val="es-ES"/>
        </w:rPr>
        <w:t>Así las cosas, se suspendió provisionalmente el literal c) y el inciso 5º del artículo 2 del Decreto 092 de 2017, razón por la cual los procesos de contratación con entidades privadas sin ánimo de lucro no quedan condicionados a la inexistencia de oferta en el mercado de bienes y servicios, ni a que la ESAL garantice la mejor oferta y la optimización de los recursos públicos, pues estas condiciones son propias de la contratación del Estatuto General de Contratación de la Administración Pública y no del régimen jurídico especial que establece el artículo 355 de la Constitución Política.</w:t>
      </w:r>
    </w:p>
    <w:p w14:paraId="47AFBE9E" w14:textId="1B11E6F1" w:rsidR="00B14FF9" w:rsidRDefault="00B14FF9" w:rsidP="00B14FF9">
      <w:pPr>
        <w:jc w:val="both"/>
        <w:rPr>
          <w:rFonts w:ascii="Arial" w:eastAsia="Calibri" w:hAnsi="Arial" w:cs="Arial"/>
          <w:noProof/>
          <w:sz w:val="20"/>
          <w:lang w:val="es-ES"/>
        </w:rPr>
      </w:pPr>
      <w:r>
        <w:rPr>
          <w:rFonts w:ascii="Arial" w:eastAsia="Calibri" w:hAnsi="Arial" w:cs="Arial"/>
          <w:noProof/>
          <w:sz w:val="20"/>
          <w:lang w:val="es-ES"/>
        </w:rPr>
        <w:t xml:space="preserve">[…] </w:t>
      </w:r>
      <w:r w:rsidRPr="00B14FF9">
        <w:rPr>
          <w:rFonts w:ascii="Arial" w:eastAsia="Calibri" w:hAnsi="Arial" w:cs="Arial"/>
          <w:noProof/>
          <w:sz w:val="20"/>
          <w:lang w:val="es-ES"/>
        </w:rPr>
        <w:t>se suspendió provisionalmente el inciso final del artículo 4, por violar el principio de igualdad, por lo tanto, la contratación para la ejecución de actividades y programas de interés público debe realizarse a través de un proceso competitivo para escoger a la entidad sin ánimo de lucro.</w:t>
      </w:r>
      <w:r>
        <w:rPr>
          <w:rFonts w:ascii="Arial" w:eastAsia="Calibri" w:hAnsi="Arial" w:cs="Arial"/>
          <w:noProof/>
          <w:sz w:val="20"/>
          <w:lang w:val="es-ES"/>
        </w:rPr>
        <w:t xml:space="preserve"> […] </w:t>
      </w:r>
      <w:r w:rsidRPr="00B14FF9">
        <w:rPr>
          <w:rFonts w:ascii="Arial" w:eastAsia="Calibri" w:hAnsi="Arial" w:cs="Arial"/>
          <w:noProof/>
          <w:sz w:val="20"/>
          <w:lang w:val="es-ES"/>
        </w:rPr>
        <w:t>En consecuencia, hasta tanto se emita una sentencia definitiva en el proceso reseñado, no es posible aplicar el «beneficio» al que se refiere el inciso final del artículo 4 del Decreto 092 de 2017.</w:t>
      </w:r>
    </w:p>
    <w:p w14:paraId="435D58AD" w14:textId="77777777" w:rsidR="006B276B" w:rsidRPr="006E6C25" w:rsidRDefault="006B276B" w:rsidP="006B276B">
      <w:pPr>
        <w:pStyle w:val="Prrafodelista"/>
        <w:ind w:left="0"/>
        <w:jc w:val="both"/>
        <w:rPr>
          <w:rFonts w:ascii="Arial" w:eastAsia="Calibri" w:hAnsi="Arial" w:cs="Arial"/>
          <w:noProof/>
          <w:sz w:val="20"/>
          <w:szCs w:val="20"/>
          <w:highlight w:val="yellow"/>
          <w:lang w:val="es-ES"/>
        </w:rPr>
      </w:pPr>
    </w:p>
    <w:p w14:paraId="23ADBD0D" w14:textId="1CFC5F10" w:rsidR="00270098" w:rsidRPr="00A32895" w:rsidRDefault="00270098" w:rsidP="006B276B">
      <w:pPr>
        <w:pStyle w:val="Prrafodelista"/>
        <w:ind w:left="0"/>
        <w:jc w:val="both"/>
        <w:rPr>
          <w:rFonts w:ascii="Arial" w:eastAsia="Calibri" w:hAnsi="Arial" w:cs="Arial"/>
          <w:b/>
          <w:noProof/>
          <w:sz w:val="22"/>
          <w:szCs w:val="20"/>
          <w:lang w:val="es-ES"/>
        </w:rPr>
      </w:pPr>
      <w:r w:rsidRPr="00A32895">
        <w:rPr>
          <w:rFonts w:ascii="Arial" w:eastAsia="Calibri" w:hAnsi="Arial" w:cs="Arial"/>
          <w:b/>
          <w:noProof/>
          <w:sz w:val="22"/>
          <w:szCs w:val="20"/>
          <w:lang w:val="es-ES"/>
        </w:rPr>
        <w:t xml:space="preserve">DECRETO 092 DE 2017 – Convenio de asociación </w:t>
      </w:r>
      <w:r w:rsidRPr="00A32895">
        <w:rPr>
          <w:rFonts w:ascii="Arial" w:eastAsia="Calibri" w:hAnsi="Arial" w:cs="Arial"/>
          <w:b/>
          <w:noProof/>
          <w:sz w:val="22"/>
          <w:lang w:val="es-ES"/>
        </w:rPr>
        <w:t xml:space="preserve">– </w:t>
      </w:r>
      <w:r w:rsidR="001B7275" w:rsidRPr="00A32895">
        <w:rPr>
          <w:rFonts w:ascii="Arial" w:eastAsia="Calibri" w:hAnsi="Arial" w:cs="Arial"/>
          <w:b/>
          <w:noProof/>
          <w:sz w:val="22"/>
          <w:lang w:val="es-ES"/>
        </w:rPr>
        <w:t>Procedencia</w:t>
      </w:r>
    </w:p>
    <w:p w14:paraId="5B3A65FA" w14:textId="77777777" w:rsidR="00270098" w:rsidRPr="006E6C25" w:rsidRDefault="00270098" w:rsidP="006B276B">
      <w:pPr>
        <w:pStyle w:val="Prrafodelista"/>
        <w:ind w:left="0"/>
        <w:jc w:val="both"/>
        <w:rPr>
          <w:rFonts w:ascii="Arial" w:eastAsia="Calibri" w:hAnsi="Arial" w:cs="Arial"/>
          <w:noProof/>
          <w:sz w:val="20"/>
          <w:szCs w:val="20"/>
          <w:highlight w:val="yellow"/>
          <w:lang w:val="es-ES"/>
        </w:rPr>
      </w:pPr>
    </w:p>
    <w:p w14:paraId="33F16692" w14:textId="174C3DDC" w:rsidR="001C5AAF" w:rsidRPr="00CE0D99" w:rsidRDefault="00A32895" w:rsidP="002B2434">
      <w:pPr>
        <w:jc w:val="both"/>
        <w:rPr>
          <w:rFonts w:ascii="Arial" w:eastAsia="Calibri" w:hAnsi="Arial" w:cs="Arial"/>
          <w:sz w:val="22"/>
          <w:lang w:val="es-ES"/>
        </w:rPr>
      </w:pPr>
      <w:r w:rsidRPr="00A32895">
        <w:rPr>
          <w:rFonts w:ascii="Arial" w:eastAsia="Calibri" w:hAnsi="Arial" w:cs="Arial"/>
          <w:noProof/>
          <w:sz w:val="20"/>
          <w:lang w:val="es-ES"/>
        </w:rPr>
        <w:t>Por último, en quinto lugar, el Consejo de Estado analizó la solicitud de suspensión del artículo 5 del Decreto 092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w:t>
      </w:r>
      <w:r w:rsidRPr="00A32895">
        <w:t xml:space="preserve"> </w:t>
      </w:r>
      <w:r>
        <w:rPr>
          <w:rFonts w:ascii="Arial" w:eastAsia="Calibri" w:hAnsi="Arial" w:cs="Arial"/>
          <w:noProof/>
          <w:sz w:val="20"/>
          <w:lang w:val="es-ES"/>
        </w:rPr>
        <w:t xml:space="preserve">[…] </w:t>
      </w:r>
      <w:r w:rsidRPr="00A32895">
        <w:rPr>
          <w:rFonts w:ascii="Arial" w:eastAsia="Calibri" w:hAnsi="Arial" w:cs="Arial"/>
          <w:noProof/>
          <w:sz w:val="20"/>
          <w:lang w:val="es-ES"/>
        </w:rPr>
        <w:t>Para los convenios de asociación, como se dijo, el artículo 5 del citado Decreto establece que el proceso para la selección de la ESAL, por regla general, debe estar sujeto a competencia; salvo en aquellos casos en que una entidad sin ánimo de lucro comprometa recursos en dinero por un valor igual o superior al 30% del valor total del convenio , y siempre que la entidad estatal verifique previamente que no existe ninguna otra entidad sin ánimo de lucro que ofrezca aportes iguales o superiores al 30%.</w:t>
      </w:r>
    </w:p>
    <w:p w14:paraId="7536EBDE" w14:textId="62EDE495" w:rsidR="00A11D6A" w:rsidRPr="00EB54FE" w:rsidRDefault="00A11D6A" w:rsidP="002B2434">
      <w:pPr>
        <w:pStyle w:val="NormalWeb"/>
        <w:spacing w:before="0" w:beforeAutospacing="0" w:after="0" w:afterAutospacing="0"/>
        <w:jc w:val="both"/>
        <w:rPr>
          <w:rFonts w:ascii="Arial" w:eastAsia="Calibri" w:hAnsi="Arial" w:cs="Arial"/>
          <w:sz w:val="20"/>
          <w:szCs w:val="20"/>
          <w:lang w:val="es-ES" w:eastAsia="en-US"/>
        </w:rPr>
      </w:pPr>
    </w:p>
    <w:p w14:paraId="5B6702CA" w14:textId="77777777" w:rsidR="00A32895" w:rsidRPr="00EB54FE" w:rsidRDefault="00A32895" w:rsidP="002B2434">
      <w:pPr>
        <w:pStyle w:val="NormalWeb"/>
        <w:spacing w:before="0" w:beforeAutospacing="0" w:after="0" w:afterAutospacing="0"/>
        <w:jc w:val="both"/>
        <w:rPr>
          <w:rFonts w:ascii="Arial" w:eastAsia="Calibri" w:hAnsi="Arial" w:cs="Arial"/>
          <w:sz w:val="20"/>
          <w:szCs w:val="20"/>
          <w:lang w:val="es-ES" w:eastAsia="en-US"/>
        </w:rPr>
      </w:pPr>
    </w:p>
    <w:p w14:paraId="13950F93" w14:textId="2814432C" w:rsidR="00E570E8" w:rsidRPr="00977F4C" w:rsidRDefault="00E570E8" w:rsidP="006C13E7">
      <w:pPr>
        <w:pStyle w:val="Default"/>
        <w:rPr>
          <w:b/>
          <w:sz w:val="22"/>
          <w:lang w:val="es-ES"/>
        </w:rPr>
      </w:pPr>
      <w:r w:rsidRPr="00977F4C">
        <w:rPr>
          <w:sz w:val="22"/>
          <w:lang w:val="es-ES"/>
        </w:rPr>
        <w:t xml:space="preserve">Bogotá D.C., </w:t>
      </w:r>
      <w:r w:rsidR="007F56E4">
        <w:rPr>
          <w:b/>
          <w:sz w:val="22"/>
          <w:lang w:val="es-ES"/>
        </w:rPr>
        <w:t>30/07/2020</w:t>
      </w:r>
      <w:r w:rsidR="006C13E7">
        <w:rPr>
          <w:b/>
          <w:sz w:val="22"/>
          <w:lang w:val="es-ES"/>
        </w:rPr>
        <w:t xml:space="preserve"> </w:t>
      </w:r>
      <w:r w:rsidR="006C13E7">
        <w:rPr>
          <w:b/>
          <w:bCs/>
          <w:sz w:val="22"/>
          <w:szCs w:val="22"/>
        </w:rPr>
        <w:t>Hora 16:52:19s</w:t>
      </w:r>
    </w:p>
    <w:p w14:paraId="588326D5" w14:textId="132B2F84" w:rsidR="00E570E8" w:rsidRPr="00977F4C" w:rsidRDefault="00E570E8" w:rsidP="00E570E8">
      <w:pPr>
        <w:spacing w:line="276" w:lineRule="auto"/>
        <w:jc w:val="right"/>
        <w:rPr>
          <w:rFonts w:ascii="Arial" w:hAnsi="Arial" w:cs="Arial"/>
          <w:b/>
          <w:sz w:val="22"/>
          <w:lang w:val="es-ES"/>
        </w:rPr>
      </w:pPr>
      <w:proofErr w:type="spellStart"/>
      <w:r w:rsidRPr="00977F4C">
        <w:rPr>
          <w:rFonts w:ascii="Arial" w:hAnsi="Arial" w:cs="Arial"/>
          <w:b/>
          <w:sz w:val="22"/>
          <w:lang w:val="es-ES"/>
        </w:rPr>
        <w:t>N°</w:t>
      </w:r>
      <w:proofErr w:type="spellEnd"/>
      <w:r w:rsidRPr="00977F4C">
        <w:rPr>
          <w:rFonts w:ascii="Arial" w:hAnsi="Arial" w:cs="Arial"/>
          <w:b/>
          <w:sz w:val="22"/>
          <w:lang w:val="es-ES"/>
        </w:rPr>
        <w:t xml:space="preserve"> Radicado: </w:t>
      </w:r>
      <w:r w:rsidR="007F56E4" w:rsidRPr="007F56E4">
        <w:rPr>
          <w:rFonts w:ascii="Arial" w:hAnsi="Arial" w:cs="Arial"/>
          <w:b/>
          <w:sz w:val="22"/>
          <w:lang w:val="es-ES"/>
        </w:rPr>
        <w:t>2202013000006908</w:t>
      </w:r>
    </w:p>
    <w:p w14:paraId="68C91449" w14:textId="65B3B354" w:rsidR="00CF465F" w:rsidRDefault="00CF465F" w:rsidP="002B2434">
      <w:pPr>
        <w:rPr>
          <w:rFonts w:ascii="Arial" w:eastAsia="Calibri" w:hAnsi="Arial" w:cs="Arial"/>
          <w:sz w:val="22"/>
        </w:rPr>
      </w:pPr>
    </w:p>
    <w:p w14:paraId="39F3897D" w14:textId="77777777" w:rsidR="008F677F" w:rsidRPr="00977F4C" w:rsidRDefault="008F677F" w:rsidP="002B2434">
      <w:pPr>
        <w:rPr>
          <w:rFonts w:ascii="Arial" w:eastAsia="Calibri" w:hAnsi="Arial" w:cs="Arial"/>
          <w:sz w:val="22"/>
        </w:rPr>
      </w:pPr>
    </w:p>
    <w:p w14:paraId="47B14734" w14:textId="2458D37D" w:rsidR="002B2434" w:rsidRPr="00977F4C" w:rsidRDefault="002B2434" w:rsidP="002B2434">
      <w:pPr>
        <w:rPr>
          <w:rFonts w:ascii="Arial" w:eastAsia="Calibri" w:hAnsi="Arial" w:cs="Arial"/>
          <w:sz w:val="22"/>
        </w:rPr>
      </w:pPr>
      <w:r w:rsidRPr="00977F4C">
        <w:rPr>
          <w:rFonts w:ascii="Arial" w:eastAsia="Calibri" w:hAnsi="Arial" w:cs="Arial"/>
          <w:sz w:val="22"/>
        </w:rPr>
        <w:t>Señor</w:t>
      </w:r>
    </w:p>
    <w:p w14:paraId="77057D5D" w14:textId="346E121B" w:rsidR="002B2434" w:rsidRPr="00977F4C" w:rsidRDefault="006E6C25" w:rsidP="002B2434">
      <w:pPr>
        <w:rPr>
          <w:rFonts w:ascii="Arial" w:eastAsia="Calibri" w:hAnsi="Arial" w:cs="Arial"/>
          <w:b/>
          <w:sz w:val="22"/>
        </w:rPr>
      </w:pPr>
      <w:r>
        <w:rPr>
          <w:rFonts w:ascii="Arial" w:eastAsia="Calibri" w:hAnsi="Arial" w:cs="Arial"/>
          <w:b/>
          <w:sz w:val="22"/>
        </w:rPr>
        <w:t>Iván Elizalde</w:t>
      </w:r>
    </w:p>
    <w:p w14:paraId="28A75312" w14:textId="12653611" w:rsidR="002B2434" w:rsidRDefault="006E6C25" w:rsidP="002B2434">
      <w:pPr>
        <w:rPr>
          <w:rFonts w:ascii="Arial" w:eastAsia="Calibri" w:hAnsi="Arial" w:cs="Arial"/>
          <w:sz w:val="22"/>
        </w:rPr>
      </w:pPr>
      <w:r>
        <w:rPr>
          <w:rFonts w:ascii="Arial" w:eastAsia="Calibri" w:hAnsi="Arial" w:cs="Arial"/>
          <w:sz w:val="22"/>
        </w:rPr>
        <w:t>Ciudad</w:t>
      </w:r>
    </w:p>
    <w:p w14:paraId="5FCD654A" w14:textId="77777777" w:rsidR="008F677F" w:rsidRDefault="008F677F" w:rsidP="002B2434">
      <w:pPr>
        <w:rPr>
          <w:rFonts w:ascii="Arial" w:eastAsia="Calibri" w:hAnsi="Arial" w:cs="Arial"/>
          <w:sz w:val="22"/>
        </w:rPr>
      </w:pPr>
    </w:p>
    <w:p w14:paraId="1BF48729" w14:textId="0784CF53" w:rsidR="002B2434" w:rsidRPr="00977F4C" w:rsidRDefault="00CF465F" w:rsidP="00CE0D99">
      <w:pPr>
        <w:rPr>
          <w:rFonts w:ascii="Arial" w:eastAsia="Calibri" w:hAnsi="Arial" w:cs="Arial"/>
          <w:b/>
          <w:bCs/>
          <w:sz w:val="22"/>
        </w:rPr>
      </w:pPr>
      <w:r>
        <w:rPr>
          <w:rFonts w:ascii="Arial" w:eastAsia="Calibri" w:hAnsi="Arial" w:cs="Arial"/>
          <w:b/>
          <w:bCs/>
          <w:sz w:val="22"/>
        </w:rPr>
        <w:t xml:space="preserve">                                            </w:t>
      </w:r>
      <w:r w:rsidR="002B2434" w:rsidRPr="00977F4C">
        <w:rPr>
          <w:rFonts w:ascii="Arial" w:eastAsia="Calibri" w:hAnsi="Arial" w:cs="Arial"/>
          <w:b/>
          <w:bCs/>
          <w:sz w:val="22"/>
        </w:rPr>
        <w:t>Concepto C</w:t>
      </w:r>
      <w:r w:rsidR="0054600C">
        <w:rPr>
          <w:rFonts w:ascii="Arial" w:eastAsia="Calibri" w:hAnsi="Arial" w:cs="Arial"/>
          <w:b/>
          <w:bCs/>
          <w:sz w:val="22"/>
        </w:rPr>
        <w:t xml:space="preserve"> </w:t>
      </w:r>
      <w:r w:rsidR="002B2434" w:rsidRPr="00977F4C">
        <w:rPr>
          <w:rFonts w:ascii="Arial" w:eastAsia="Calibri" w:hAnsi="Arial" w:cs="Arial"/>
          <w:b/>
          <w:bCs/>
          <w:sz w:val="22"/>
        </w:rPr>
        <w:t xml:space="preserve">‒ </w:t>
      </w:r>
      <w:r w:rsidR="00282352">
        <w:rPr>
          <w:rFonts w:ascii="Arial" w:eastAsia="Calibri" w:hAnsi="Arial" w:cs="Arial"/>
          <w:b/>
          <w:bCs/>
          <w:sz w:val="22"/>
        </w:rPr>
        <w:t>513</w:t>
      </w:r>
      <w:r w:rsidR="002B2434" w:rsidRPr="00977F4C">
        <w:rPr>
          <w:rFonts w:ascii="Arial" w:eastAsia="Calibri" w:hAnsi="Arial" w:cs="Arial"/>
          <w:b/>
          <w:bCs/>
          <w:sz w:val="22"/>
        </w:rPr>
        <w:t xml:space="preserve"> de 2020</w:t>
      </w:r>
    </w:p>
    <w:p w14:paraId="0EF1E087" w14:textId="77777777" w:rsidR="002B2434" w:rsidRPr="00977F4C" w:rsidRDefault="002B2434" w:rsidP="002B2434">
      <w:pPr>
        <w:jc w:val="center"/>
        <w:rPr>
          <w:rFonts w:ascii="Arial" w:eastAsia="Calibri" w:hAnsi="Arial" w:cs="Arial"/>
          <w:b/>
          <w:bCs/>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77F4C" w:rsidRPr="00977F4C" w14:paraId="2DCD101B" w14:textId="77777777" w:rsidTr="053AE529">
        <w:tc>
          <w:tcPr>
            <w:tcW w:w="2689" w:type="dxa"/>
          </w:tcPr>
          <w:p w14:paraId="703F4A18" w14:textId="77777777" w:rsidR="002B2434" w:rsidRPr="00977F4C" w:rsidRDefault="002B2434" w:rsidP="00133737">
            <w:pPr>
              <w:rPr>
                <w:rFonts w:ascii="Arial" w:eastAsia="Calibri" w:hAnsi="Arial" w:cs="Arial"/>
                <w:b/>
                <w:sz w:val="22"/>
              </w:rPr>
            </w:pPr>
          </w:p>
          <w:p w14:paraId="470A7D9E" w14:textId="77777777" w:rsidR="002B2434" w:rsidRPr="00977F4C" w:rsidRDefault="002B2434" w:rsidP="00133737">
            <w:pPr>
              <w:rPr>
                <w:rFonts w:ascii="Arial" w:eastAsia="Calibri" w:hAnsi="Arial" w:cs="Arial"/>
                <w:sz w:val="22"/>
              </w:rPr>
            </w:pPr>
            <w:r w:rsidRPr="00977F4C">
              <w:rPr>
                <w:rFonts w:ascii="Arial" w:eastAsia="Calibri" w:hAnsi="Arial" w:cs="Arial"/>
                <w:b/>
                <w:sz w:val="22"/>
              </w:rPr>
              <w:t>Temas:</w:t>
            </w:r>
            <w:r w:rsidRPr="00977F4C">
              <w:rPr>
                <w:rFonts w:ascii="Arial" w:eastAsia="Calibri" w:hAnsi="Arial" w:cs="Arial"/>
                <w:sz w:val="22"/>
              </w:rPr>
              <w:t xml:space="preserve">                                      </w:t>
            </w:r>
          </w:p>
        </w:tc>
        <w:tc>
          <w:tcPr>
            <w:tcW w:w="6237" w:type="dxa"/>
          </w:tcPr>
          <w:p w14:paraId="7881FCD3" w14:textId="2BAB410B" w:rsidR="002B2434" w:rsidRPr="00977F4C" w:rsidRDefault="00D87CA5" w:rsidP="00D87CA5">
            <w:pPr>
              <w:spacing w:after="120"/>
              <w:jc w:val="both"/>
              <w:rPr>
                <w:rFonts w:ascii="Arial" w:eastAsia="Calibri" w:hAnsi="Arial" w:cs="Arial"/>
                <w:b/>
                <w:bCs/>
                <w:sz w:val="22"/>
              </w:rPr>
            </w:pPr>
            <w:r w:rsidRPr="00D87CA5">
              <w:rPr>
                <w:rFonts w:ascii="Arial" w:eastAsia="Calibri" w:hAnsi="Arial" w:cs="Arial"/>
                <w:sz w:val="22"/>
              </w:rPr>
              <w:t xml:space="preserve">DECRETO 092 DE 2017 – Contrato de colaboración – Suspensión provisional </w:t>
            </w:r>
            <w:r w:rsidR="002B2434" w:rsidRPr="00D87CA5">
              <w:rPr>
                <w:rFonts w:ascii="Arial" w:eastAsia="Calibri" w:hAnsi="Arial" w:cs="Arial"/>
                <w:sz w:val="22"/>
              </w:rPr>
              <w:t xml:space="preserve">/ </w:t>
            </w:r>
            <w:r w:rsidRPr="00D87CA5">
              <w:rPr>
                <w:rFonts w:ascii="Arial" w:eastAsia="Calibri" w:hAnsi="Arial" w:cs="Arial"/>
                <w:sz w:val="22"/>
              </w:rPr>
              <w:t>DECRETO 092 DE 2017 – Convenio de asociación – Procedencia</w:t>
            </w:r>
          </w:p>
        </w:tc>
      </w:tr>
      <w:tr w:rsidR="002B2434" w:rsidRPr="00977F4C" w14:paraId="5E4C2545" w14:textId="77777777" w:rsidTr="053AE529">
        <w:tc>
          <w:tcPr>
            <w:tcW w:w="2689" w:type="dxa"/>
          </w:tcPr>
          <w:p w14:paraId="2EEFB38D" w14:textId="77777777" w:rsidR="002B2434" w:rsidRPr="00977F4C" w:rsidRDefault="002B2434" w:rsidP="00133737">
            <w:pPr>
              <w:rPr>
                <w:rFonts w:ascii="Arial" w:eastAsia="Calibri" w:hAnsi="Arial" w:cs="Arial"/>
                <w:b/>
                <w:sz w:val="22"/>
              </w:rPr>
            </w:pPr>
            <w:r w:rsidRPr="00977F4C">
              <w:rPr>
                <w:rFonts w:ascii="Arial" w:eastAsia="Calibri" w:hAnsi="Arial" w:cs="Arial"/>
                <w:b/>
                <w:sz w:val="22"/>
              </w:rPr>
              <w:t>Radicación:</w:t>
            </w:r>
            <w:r w:rsidRPr="00977F4C">
              <w:rPr>
                <w:rFonts w:ascii="Arial" w:eastAsia="Calibri" w:hAnsi="Arial" w:cs="Arial"/>
                <w:sz w:val="22"/>
              </w:rPr>
              <w:t xml:space="preserve">                              </w:t>
            </w:r>
          </w:p>
        </w:tc>
        <w:tc>
          <w:tcPr>
            <w:tcW w:w="6237" w:type="dxa"/>
          </w:tcPr>
          <w:p w14:paraId="3CC7F699" w14:textId="2D4382AF" w:rsidR="002B2434" w:rsidRPr="00977F4C" w:rsidRDefault="002B2434" w:rsidP="00133737">
            <w:pPr>
              <w:jc w:val="both"/>
              <w:rPr>
                <w:rFonts w:ascii="Arial" w:eastAsia="Calibri" w:hAnsi="Arial" w:cs="Arial"/>
                <w:sz w:val="22"/>
              </w:rPr>
            </w:pPr>
            <w:r w:rsidRPr="00977F4C">
              <w:rPr>
                <w:rFonts w:ascii="Arial" w:eastAsia="Calibri" w:hAnsi="Arial" w:cs="Arial"/>
                <w:sz w:val="22"/>
              </w:rPr>
              <w:t>Respuesta</w:t>
            </w:r>
            <w:r w:rsidR="003200CC" w:rsidRPr="00977F4C">
              <w:rPr>
                <w:rFonts w:ascii="Arial" w:eastAsia="Calibri" w:hAnsi="Arial" w:cs="Arial"/>
                <w:sz w:val="22"/>
              </w:rPr>
              <w:t xml:space="preserve"> </w:t>
            </w:r>
            <w:r w:rsidRPr="00977F4C">
              <w:rPr>
                <w:rFonts w:ascii="Arial" w:eastAsia="Calibri" w:hAnsi="Arial" w:cs="Arial"/>
                <w:sz w:val="22"/>
              </w:rPr>
              <w:t>consulta</w:t>
            </w:r>
            <w:r w:rsidR="00270098">
              <w:rPr>
                <w:rFonts w:ascii="Arial" w:eastAsia="Calibri" w:hAnsi="Arial" w:cs="Arial"/>
                <w:sz w:val="22"/>
              </w:rPr>
              <w:t xml:space="preserve"> </w:t>
            </w:r>
            <w:r w:rsidRPr="00977F4C">
              <w:rPr>
                <w:rFonts w:ascii="Arial" w:eastAsia="Calibri" w:hAnsi="Arial" w:cs="Arial"/>
                <w:sz w:val="22"/>
              </w:rPr>
              <w:t xml:space="preserve"># </w:t>
            </w:r>
            <w:r w:rsidR="0098728E" w:rsidRPr="00977F4C">
              <w:rPr>
                <w:rFonts w:ascii="Arial" w:eastAsia="Calibri" w:hAnsi="Arial" w:cs="Arial"/>
                <w:sz w:val="22"/>
              </w:rPr>
              <w:t>4202013000006</w:t>
            </w:r>
            <w:r w:rsidR="006E6C25">
              <w:rPr>
                <w:rFonts w:ascii="Arial" w:eastAsia="Calibri" w:hAnsi="Arial" w:cs="Arial"/>
                <w:sz w:val="22"/>
              </w:rPr>
              <w:t>395</w:t>
            </w:r>
          </w:p>
        </w:tc>
      </w:tr>
    </w:tbl>
    <w:p w14:paraId="0C51B64F" w14:textId="5C6B88F7" w:rsidR="002B2434" w:rsidRPr="00977F4C" w:rsidRDefault="002B2434" w:rsidP="002B2434">
      <w:pPr>
        <w:rPr>
          <w:rFonts w:ascii="Arial" w:eastAsia="Calibri" w:hAnsi="Arial" w:cs="Arial"/>
          <w:sz w:val="22"/>
        </w:rPr>
      </w:pPr>
      <w:r w:rsidRPr="00977F4C">
        <w:rPr>
          <w:rFonts w:ascii="Arial" w:eastAsia="Calibri" w:hAnsi="Arial" w:cs="Arial"/>
          <w:sz w:val="22"/>
        </w:rPr>
        <w:lastRenderedPageBreak/>
        <w:t>Estimad</w:t>
      </w:r>
      <w:r w:rsidR="006E6C25">
        <w:rPr>
          <w:rFonts w:ascii="Arial" w:eastAsia="Calibri" w:hAnsi="Arial" w:cs="Arial"/>
          <w:sz w:val="22"/>
        </w:rPr>
        <w:t>o</w:t>
      </w:r>
      <w:r w:rsidRPr="00977F4C">
        <w:rPr>
          <w:rFonts w:ascii="Arial" w:eastAsia="Calibri" w:hAnsi="Arial" w:cs="Arial"/>
          <w:sz w:val="22"/>
        </w:rPr>
        <w:t xml:space="preserve"> señor</w:t>
      </w:r>
      <w:r w:rsidR="0098728E" w:rsidRPr="00977F4C">
        <w:rPr>
          <w:rFonts w:ascii="Arial" w:eastAsia="Calibri" w:hAnsi="Arial" w:cs="Arial"/>
          <w:sz w:val="22"/>
        </w:rPr>
        <w:t xml:space="preserve"> </w:t>
      </w:r>
      <w:r w:rsidR="006E6C25">
        <w:rPr>
          <w:rFonts w:ascii="Arial" w:eastAsia="Calibri" w:hAnsi="Arial" w:cs="Arial"/>
          <w:sz w:val="22"/>
        </w:rPr>
        <w:t>Elizalde</w:t>
      </w:r>
      <w:r w:rsidRPr="00977F4C">
        <w:rPr>
          <w:rFonts w:ascii="Arial" w:eastAsia="Calibri" w:hAnsi="Arial" w:cs="Arial"/>
          <w:sz w:val="22"/>
        </w:rPr>
        <w:t>:</w:t>
      </w:r>
    </w:p>
    <w:p w14:paraId="35CBA122" w14:textId="77777777" w:rsidR="002B2434" w:rsidRPr="00977F4C" w:rsidRDefault="002B2434" w:rsidP="002B2434">
      <w:pPr>
        <w:rPr>
          <w:rFonts w:ascii="Arial" w:eastAsia="Calibri" w:hAnsi="Arial" w:cs="Arial"/>
          <w:sz w:val="22"/>
        </w:rPr>
      </w:pPr>
    </w:p>
    <w:p w14:paraId="5FF1642D" w14:textId="20D87E61" w:rsidR="002B2434" w:rsidRPr="00977F4C" w:rsidRDefault="002B2434" w:rsidP="002B2434">
      <w:pPr>
        <w:spacing w:line="276" w:lineRule="auto"/>
        <w:jc w:val="both"/>
        <w:rPr>
          <w:rFonts w:ascii="Arial" w:eastAsia="Calibri" w:hAnsi="Arial" w:cs="Arial"/>
          <w:sz w:val="22"/>
        </w:rPr>
      </w:pPr>
      <w:r w:rsidRPr="00977F4C">
        <w:rPr>
          <w:rFonts w:ascii="Arial" w:eastAsia="Calibri" w:hAnsi="Arial"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E570E8" w:rsidRPr="00977F4C">
        <w:rPr>
          <w:rFonts w:ascii="Arial" w:eastAsia="Calibri" w:hAnsi="Arial" w:cs="Arial"/>
          <w:sz w:val="22"/>
        </w:rPr>
        <w:t>2</w:t>
      </w:r>
      <w:r w:rsidR="006E6C25">
        <w:rPr>
          <w:rFonts w:ascii="Arial" w:eastAsia="Calibri" w:hAnsi="Arial" w:cs="Arial"/>
          <w:sz w:val="22"/>
        </w:rPr>
        <w:t>8</w:t>
      </w:r>
      <w:r w:rsidRPr="00977F4C">
        <w:rPr>
          <w:rFonts w:ascii="Arial" w:eastAsia="Calibri" w:hAnsi="Arial" w:cs="Arial"/>
          <w:sz w:val="22"/>
        </w:rPr>
        <w:t xml:space="preserve"> de julio del año 2020. </w:t>
      </w:r>
    </w:p>
    <w:p w14:paraId="4A9CEF7C" w14:textId="77777777" w:rsidR="002B2434" w:rsidRPr="00977F4C" w:rsidRDefault="002B2434" w:rsidP="002B2434">
      <w:pPr>
        <w:spacing w:line="276" w:lineRule="auto"/>
        <w:jc w:val="both"/>
        <w:rPr>
          <w:rFonts w:ascii="Arial" w:eastAsia="Calibri" w:hAnsi="Arial" w:cs="Arial"/>
          <w:b/>
          <w:sz w:val="22"/>
        </w:rPr>
      </w:pPr>
    </w:p>
    <w:p w14:paraId="019C396C" w14:textId="1FDEF930" w:rsidR="002B2434" w:rsidRPr="00977F4C" w:rsidRDefault="002B2434" w:rsidP="002B2434">
      <w:pPr>
        <w:pStyle w:val="Prrafodelista"/>
        <w:tabs>
          <w:tab w:val="left" w:pos="0"/>
          <w:tab w:val="left" w:pos="142"/>
          <w:tab w:val="left" w:pos="284"/>
        </w:tabs>
        <w:spacing w:line="276" w:lineRule="auto"/>
        <w:ind w:left="0"/>
        <w:jc w:val="both"/>
        <w:rPr>
          <w:rFonts w:ascii="Arial" w:eastAsia="Calibri" w:hAnsi="Arial" w:cs="Arial"/>
          <w:b/>
          <w:sz w:val="22"/>
        </w:rPr>
      </w:pPr>
      <w:r w:rsidRPr="00977F4C">
        <w:rPr>
          <w:rFonts w:ascii="Arial" w:eastAsia="Calibri" w:hAnsi="Arial" w:cs="Arial"/>
          <w:b/>
          <w:sz w:val="22"/>
        </w:rPr>
        <w:t>1. Problema</w:t>
      </w:r>
      <w:r w:rsidR="006E6C25">
        <w:rPr>
          <w:rFonts w:ascii="Arial" w:eastAsia="Calibri" w:hAnsi="Arial" w:cs="Arial"/>
          <w:b/>
          <w:sz w:val="22"/>
        </w:rPr>
        <w:t>s</w:t>
      </w:r>
      <w:r w:rsidRPr="00977F4C">
        <w:rPr>
          <w:rFonts w:ascii="Arial" w:eastAsia="Calibri" w:hAnsi="Arial" w:cs="Arial"/>
          <w:b/>
          <w:sz w:val="22"/>
        </w:rPr>
        <w:t xml:space="preserve"> planteado</w:t>
      </w:r>
      <w:r w:rsidR="006E6C25">
        <w:rPr>
          <w:rFonts w:ascii="Arial" w:eastAsia="Calibri" w:hAnsi="Arial" w:cs="Arial"/>
          <w:b/>
          <w:sz w:val="22"/>
        </w:rPr>
        <w:t>s</w:t>
      </w:r>
    </w:p>
    <w:p w14:paraId="6153A1C0" w14:textId="77777777" w:rsidR="002B2434" w:rsidRPr="00977F4C" w:rsidRDefault="002B2434" w:rsidP="002B2434">
      <w:pPr>
        <w:tabs>
          <w:tab w:val="left" w:pos="426"/>
        </w:tabs>
        <w:spacing w:line="276" w:lineRule="auto"/>
        <w:jc w:val="both"/>
        <w:rPr>
          <w:rFonts w:ascii="Arial" w:eastAsia="Calibri" w:hAnsi="Arial" w:cs="Arial"/>
          <w:b/>
          <w:sz w:val="22"/>
        </w:rPr>
      </w:pPr>
    </w:p>
    <w:p w14:paraId="5A01298A" w14:textId="5CE547AD" w:rsidR="002B2434" w:rsidRPr="00977F4C" w:rsidRDefault="002B2434" w:rsidP="00CF59F3">
      <w:pPr>
        <w:tabs>
          <w:tab w:val="left" w:pos="426"/>
        </w:tabs>
        <w:spacing w:line="276" w:lineRule="auto"/>
        <w:jc w:val="both"/>
        <w:rPr>
          <w:rFonts w:ascii="Arial" w:eastAsia="Calibri" w:hAnsi="Arial" w:cs="Arial"/>
          <w:sz w:val="22"/>
        </w:rPr>
      </w:pPr>
      <w:r w:rsidRPr="00977F4C">
        <w:rPr>
          <w:rFonts w:ascii="Arial" w:eastAsia="Calibri" w:hAnsi="Arial" w:cs="Arial"/>
          <w:sz w:val="22"/>
        </w:rPr>
        <w:t>Usted realiza la</w:t>
      </w:r>
      <w:r w:rsidR="00D105C4">
        <w:rPr>
          <w:rFonts w:ascii="Arial" w:eastAsia="Calibri" w:hAnsi="Arial" w:cs="Arial"/>
          <w:sz w:val="22"/>
        </w:rPr>
        <w:t>s</w:t>
      </w:r>
      <w:r w:rsidRPr="00977F4C">
        <w:rPr>
          <w:rFonts w:ascii="Arial" w:eastAsia="Calibri" w:hAnsi="Arial" w:cs="Arial"/>
          <w:sz w:val="22"/>
        </w:rPr>
        <w:t xml:space="preserve"> siguiente</w:t>
      </w:r>
      <w:r w:rsidR="00D105C4">
        <w:rPr>
          <w:rFonts w:ascii="Arial" w:eastAsia="Calibri" w:hAnsi="Arial" w:cs="Arial"/>
          <w:sz w:val="22"/>
        </w:rPr>
        <w:t>s</w:t>
      </w:r>
      <w:r w:rsidRPr="00977F4C">
        <w:rPr>
          <w:rFonts w:ascii="Arial" w:eastAsia="Calibri" w:hAnsi="Arial" w:cs="Arial"/>
          <w:sz w:val="22"/>
        </w:rPr>
        <w:t xml:space="preserve"> </w:t>
      </w:r>
      <w:r w:rsidR="007F25CC">
        <w:rPr>
          <w:rFonts w:ascii="Arial" w:eastAsia="Calibri" w:hAnsi="Arial" w:cs="Arial"/>
          <w:sz w:val="22"/>
        </w:rPr>
        <w:t>consulta</w:t>
      </w:r>
      <w:r w:rsidR="00D105C4">
        <w:rPr>
          <w:rFonts w:ascii="Arial" w:eastAsia="Calibri" w:hAnsi="Arial" w:cs="Arial"/>
          <w:sz w:val="22"/>
        </w:rPr>
        <w:t>s</w:t>
      </w:r>
      <w:r w:rsidRPr="00977F4C">
        <w:rPr>
          <w:rFonts w:ascii="Arial" w:eastAsia="Calibri" w:hAnsi="Arial" w:cs="Arial"/>
          <w:sz w:val="22"/>
        </w:rPr>
        <w:t xml:space="preserve">: </w:t>
      </w:r>
      <w:r w:rsidR="000D3DA1">
        <w:rPr>
          <w:rFonts w:ascii="Arial" w:eastAsia="Calibri" w:hAnsi="Arial" w:cs="Arial"/>
          <w:sz w:val="22"/>
        </w:rPr>
        <w:t xml:space="preserve">i) </w:t>
      </w:r>
      <w:r w:rsidRPr="00977F4C">
        <w:rPr>
          <w:rFonts w:ascii="Arial" w:eastAsia="Calibri" w:hAnsi="Arial" w:cs="Arial"/>
          <w:sz w:val="22"/>
        </w:rPr>
        <w:t>«</w:t>
      </w:r>
      <w:r w:rsidR="00D105C4" w:rsidRPr="00D105C4">
        <w:rPr>
          <w:rFonts w:ascii="Arial" w:eastAsia="Calibri" w:hAnsi="Arial" w:cs="Arial"/>
          <w:sz w:val="22"/>
        </w:rPr>
        <w:t>Puede una entidad pública adelantar un convenio con una ESAL para capacitar, formar, educar (pagar especialización) a un grupo de personas en el marco de unos acuerdos en el marco del plan nacional de desarrollo?</w:t>
      </w:r>
      <w:r w:rsidR="000D3DA1">
        <w:rPr>
          <w:rFonts w:ascii="Arial" w:eastAsia="Calibri" w:hAnsi="Arial" w:cs="Arial"/>
          <w:sz w:val="22"/>
        </w:rPr>
        <w:t>»</w:t>
      </w:r>
      <w:r w:rsidR="00D105C4" w:rsidRPr="00D105C4">
        <w:rPr>
          <w:rFonts w:ascii="Arial" w:eastAsia="Calibri" w:hAnsi="Arial" w:cs="Arial"/>
          <w:sz w:val="22"/>
        </w:rPr>
        <w:t xml:space="preserve"> </w:t>
      </w:r>
      <w:r w:rsidR="000D3DA1">
        <w:rPr>
          <w:rFonts w:ascii="Arial" w:eastAsia="Calibri" w:hAnsi="Arial" w:cs="Arial"/>
          <w:sz w:val="22"/>
        </w:rPr>
        <w:t xml:space="preserve">y </w:t>
      </w:r>
      <w:proofErr w:type="spellStart"/>
      <w:r w:rsidR="000D3DA1">
        <w:rPr>
          <w:rFonts w:ascii="Arial" w:eastAsia="Calibri" w:hAnsi="Arial" w:cs="Arial"/>
          <w:sz w:val="22"/>
        </w:rPr>
        <w:t>ii</w:t>
      </w:r>
      <w:proofErr w:type="spellEnd"/>
      <w:r w:rsidR="000D3DA1">
        <w:rPr>
          <w:rFonts w:ascii="Arial" w:eastAsia="Calibri" w:hAnsi="Arial" w:cs="Arial"/>
          <w:sz w:val="22"/>
        </w:rPr>
        <w:t>)</w:t>
      </w:r>
      <w:r w:rsidR="00D105C4" w:rsidRPr="00D105C4">
        <w:rPr>
          <w:rFonts w:ascii="Arial" w:eastAsia="Calibri" w:hAnsi="Arial" w:cs="Arial"/>
          <w:sz w:val="22"/>
        </w:rPr>
        <w:t xml:space="preserve">. </w:t>
      </w:r>
      <w:r w:rsidR="000D3DA1">
        <w:rPr>
          <w:rFonts w:ascii="Arial" w:eastAsia="Calibri" w:hAnsi="Arial" w:cs="Arial"/>
          <w:sz w:val="22"/>
        </w:rPr>
        <w:t>«</w:t>
      </w:r>
      <w:r w:rsidR="00D105C4" w:rsidRPr="00D105C4">
        <w:rPr>
          <w:rFonts w:ascii="Arial" w:eastAsia="Calibri" w:hAnsi="Arial" w:cs="Arial"/>
          <w:sz w:val="22"/>
        </w:rPr>
        <w:t>El consejo de estado tiene suspendido unos incisos de los artículos del Decreto 092 de 2017, se puede adelantar convenios de colaboración o asociación</w:t>
      </w:r>
      <w:r w:rsidR="0098728E" w:rsidRPr="00977F4C">
        <w:rPr>
          <w:rFonts w:ascii="Arial" w:eastAsia="Calibri" w:hAnsi="Arial" w:cs="Arial"/>
          <w:sz w:val="22"/>
        </w:rPr>
        <w:t>?</w:t>
      </w:r>
      <w:r w:rsidRPr="00977F4C">
        <w:rPr>
          <w:rFonts w:ascii="Arial" w:eastAsia="Calibri" w:hAnsi="Arial" w:cs="Arial"/>
          <w:sz w:val="22"/>
        </w:rPr>
        <w:t>».</w:t>
      </w:r>
    </w:p>
    <w:p w14:paraId="79A36913" w14:textId="77777777" w:rsidR="002B2434" w:rsidRPr="00977F4C" w:rsidRDefault="002B2434" w:rsidP="002B2434">
      <w:pPr>
        <w:tabs>
          <w:tab w:val="left" w:pos="426"/>
        </w:tabs>
        <w:jc w:val="both"/>
        <w:rPr>
          <w:rFonts w:ascii="Arial" w:eastAsia="Calibri" w:hAnsi="Arial" w:cs="Arial"/>
          <w:sz w:val="22"/>
        </w:rPr>
      </w:pPr>
    </w:p>
    <w:p w14:paraId="0D02E4DB" w14:textId="77777777" w:rsidR="002B2434" w:rsidRPr="00977F4C" w:rsidRDefault="002B2434" w:rsidP="002B2434">
      <w:pPr>
        <w:pStyle w:val="Prrafodelista"/>
        <w:tabs>
          <w:tab w:val="left" w:pos="0"/>
          <w:tab w:val="left" w:pos="284"/>
        </w:tabs>
        <w:ind w:left="0"/>
        <w:rPr>
          <w:rFonts w:ascii="Arial" w:eastAsia="Calibri" w:hAnsi="Arial" w:cs="Arial"/>
          <w:b/>
          <w:sz w:val="22"/>
        </w:rPr>
      </w:pPr>
      <w:r w:rsidRPr="00977F4C">
        <w:rPr>
          <w:rFonts w:ascii="Arial" w:eastAsia="Calibri" w:hAnsi="Arial" w:cs="Arial"/>
          <w:b/>
          <w:sz w:val="22"/>
        </w:rPr>
        <w:t>2. Consideraciones</w:t>
      </w:r>
    </w:p>
    <w:p w14:paraId="43126F37" w14:textId="77777777" w:rsidR="002B2434" w:rsidRPr="00977F4C" w:rsidRDefault="002B2434" w:rsidP="002B2434">
      <w:pPr>
        <w:pStyle w:val="Prrafodelista"/>
        <w:tabs>
          <w:tab w:val="left" w:pos="0"/>
          <w:tab w:val="left" w:pos="284"/>
        </w:tabs>
        <w:ind w:left="0"/>
        <w:rPr>
          <w:rFonts w:ascii="Arial" w:eastAsia="Calibri" w:hAnsi="Arial" w:cs="Arial"/>
          <w:b/>
          <w:sz w:val="22"/>
        </w:rPr>
      </w:pPr>
    </w:p>
    <w:p w14:paraId="0D5284BB" w14:textId="1BFBC38D" w:rsidR="009D27BD" w:rsidRPr="00297B28" w:rsidRDefault="009D27BD" w:rsidP="006E6C25">
      <w:pPr>
        <w:spacing w:after="120" w:line="276" w:lineRule="auto"/>
        <w:jc w:val="both"/>
        <w:rPr>
          <w:rFonts w:ascii="Arial" w:hAnsi="Arial" w:cs="Arial"/>
          <w:sz w:val="22"/>
        </w:rPr>
      </w:pPr>
      <w:r w:rsidRPr="00297B28">
        <w:rPr>
          <w:rFonts w:ascii="Arial" w:hAnsi="Arial" w:cs="Arial"/>
          <w:sz w:val="22"/>
        </w:rPr>
        <w:t xml:space="preserve">Esta entidad se pronunció respecto de la suspensión provisional de algunos apartes del Decreto </w:t>
      </w:r>
      <w:r w:rsidR="00320CEB">
        <w:rPr>
          <w:rFonts w:ascii="Arial" w:hAnsi="Arial" w:cs="Arial"/>
          <w:sz w:val="22"/>
        </w:rPr>
        <w:t>0</w:t>
      </w:r>
      <w:r w:rsidRPr="00297B28">
        <w:rPr>
          <w:rFonts w:ascii="Arial" w:hAnsi="Arial" w:cs="Arial"/>
          <w:sz w:val="22"/>
        </w:rPr>
        <w:t xml:space="preserve">92 de 2017 en el concepto No. </w:t>
      </w:r>
      <w:r w:rsidRPr="00297B28">
        <w:rPr>
          <w:rFonts w:ascii="Arial" w:eastAsia="Calibri" w:hAnsi="Arial" w:cs="Arial"/>
          <w:sz w:val="22"/>
        </w:rPr>
        <w:t>2201913000006512</w:t>
      </w:r>
      <w:r w:rsidRPr="00297B28">
        <w:rPr>
          <w:rFonts w:ascii="Arial" w:hAnsi="Arial" w:cs="Arial"/>
          <w:sz w:val="22"/>
        </w:rPr>
        <w:t xml:space="preserve"> del 3 de septiembre de 2019, cuyas consideraciones se reiteraron en los conceptos No. </w:t>
      </w:r>
      <w:r w:rsidR="006E6C25" w:rsidRPr="006E6C25">
        <w:rPr>
          <w:rFonts w:ascii="Arial" w:hAnsi="Arial" w:cs="Arial"/>
          <w:sz w:val="22"/>
        </w:rPr>
        <w:t>2201913000006681</w:t>
      </w:r>
      <w:r w:rsidRPr="00297B28">
        <w:rPr>
          <w:rFonts w:ascii="Arial" w:hAnsi="Arial" w:cs="Arial"/>
          <w:sz w:val="22"/>
        </w:rPr>
        <w:t xml:space="preserve"> del 9 de septiembre de 2019,</w:t>
      </w:r>
      <w:r w:rsidR="00F21FC8" w:rsidRPr="00F21FC8">
        <w:t xml:space="preserve"> </w:t>
      </w:r>
      <w:r w:rsidR="00F21FC8" w:rsidRPr="00F21FC8">
        <w:rPr>
          <w:rFonts w:ascii="Arial" w:hAnsi="Arial" w:cs="Arial"/>
          <w:sz w:val="22"/>
        </w:rPr>
        <w:t>2201913000006804</w:t>
      </w:r>
      <w:r w:rsidRPr="00297B28">
        <w:rPr>
          <w:rFonts w:ascii="Arial" w:hAnsi="Arial" w:cs="Arial"/>
          <w:sz w:val="22"/>
        </w:rPr>
        <w:t xml:space="preserve"> </w:t>
      </w:r>
      <w:r w:rsidR="00F21FC8">
        <w:rPr>
          <w:rFonts w:ascii="Arial" w:hAnsi="Arial" w:cs="Arial"/>
          <w:sz w:val="22"/>
        </w:rPr>
        <w:t xml:space="preserve">del 13 de septiembre de 2019, </w:t>
      </w:r>
      <w:r w:rsidRPr="00297B28">
        <w:rPr>
          <w:rFonts w:ascii="Arial" w:hAnsi="Arial" w:cs="Arial"/>
          <w:sz w:val="22"/>
        </w:rPr>
        <w:t>2201913000006843 del 16 de septiembre de 2019,</w:t>
      </w:r>
      <w:r w:rsidR="008831E6">
        <w:rPr>
          <w:rFonts w:ascii="Arial" w:hAnsi="Arial" w:cs="Arial"/>
          <w:sz w:val="22"/>
        </w:rPr>
        <w:t xml:space="preserve"> </w:t>
      </w:r>
      <w:r w:rsidR="00622535">
        <w:rPr>
          <w:rFonts w:ascii="Arial" w:hAnsi="Arial" w:cs="Arial"/>
          <w:sz w:val="22"/>
        </w:rPr>
        <w:t>2</w:t>
      </w:r>
      <w:r w:rsidR="008831E6" w:rsidRPr="008831E6">
        <w:rPr>
          <w:rFonts w:ascii="Arial" w:hAnsi="Arial" w:cs="Arial"/>
          <w:sz w:val="22"/>
        </w:rPr>
        <w:t>201913000007343</w:t>
      </w:r>
      <w:r w:rsidR="008831E6">
        <w:rPr>
          <w:rFonts w:ascii="Arial" w:hAnsi="Arial" w:cs="Arial"/>
          <w:sz w:val="22"/>
        </w:rPr>
        <w:t xml:space="preserve"> del 3 de octubre de 2019,</w:t>
      </w:r>
      <w:r w:rsidR="008831E6">
        <w:t xml:space="preserve"> </w:t>
      </w:r>
      <w:r w:rsidR="008831E6" w:rsidRPr="008831E6">
        <w:rPr>
          <w:rFonts w:ascii="Arial" w:hAnsi="Arial" w:cs="Arial"/>
          <w:sz w:val="22"/>
        </w:rPr>
        <w:t>2201913000007532</w:t>
      </w:r>
      <w:r w:rsidR="008831E6">
        <w:rPr>
          <w:rFonts w:ascii="Arial" w:hAnsi="Arial" w:cs="Arial"/>
          <w:sz w:val="22"/>
        </w:rPr>
        <w:t xml:space="preserve"> del 8 de octubre de 2019,</w:t>
      </w:r>
      <w:r w:rsidRPr="00297B28">
        <w:rPr>
          <w:rFonts w:ascii="Arial" w:hAnsi="Arial" w:cs="Arial"/>
          <w:sz w:val="22"/>
        </w:rPr>
        <w:t xml:space="preserve"> </w:t>
      </w:r>
      <w:r w:rsidRPr="00297B28">
        <w:rPr>
          <w:rFonts w:ascii="Arial" w:eastAsia="Calibri" w:hAnsi="Arial" w:cs="Arial"/>
          <w:sz w:val="22"/>
        </w:rPr>
        <w:t>2201913000009198 del 12 de diciembre de 2019</w:t>
      </w:r>
      <w:r w:rsidR="00F21FC8">
        <w:rPr>
          <w:rFonts w:ascii="Arial" w:eastAsia="Calibri" w:hAnsi="Arial" w:cs="Arial"/>
          <w:sz w:val="22"/>
        </w:rPr>
        <w:t>,</w:t>
      </w:r>
      <w:r w:rsidRPr="00297B28">
        <w:rPr>
          <w:rFonts w:ascii="Arial" w:eastAsia="Calibri" w:hAnsi="Arial" w:cs="Arial"/>
          <w:sz w:val="22"/>
        </w:rPr>
        <w:t xml:space="preserve"> 2201913000009567 del 24 de diciembre de 2019</w:t>
      </w:r>
      <w:r w:rsidR="00F21FC8">
        <w:rPr>
          <w:rFonts w:ascii="Arial" w:eastAsia="Calibri" w:hAnsi="Arial" w:cs="Arial"/>
          <w:sz w:val="22"/>
        </w:rPr>
        <w:t>, C</w:t>
      </w:r>
      <w:r w:rsidR="006A3CC1">
        <w:rPr>
          <w:rFonts w:ascii="Arial" w:eastAsia="Calibri" w:hAnsi="Arial" w:cs="Arial"/>
          <w:sz w:val="22"/>
        </w:rPr>
        <w:t>-</w:t>
      </w:r>
      <w:r w:rsidR="00F21FC8">
        <w:rPr>
          <w:rFonts w:ascii="Arial" w:eastAsia="Calibri" w:hAnsi="Arial" w:cs="Arial"/>
          <w:sz w:val="22"/>
        </w:rPr>
        <w:t>215 del 31 de marzo de 2020 y C</w:t>
      </w:r>
      <w:r w:rsidR="006A3CC1">
        <w:rPr>
          <w:rFonts w:ascii="Arial" w:eastAsia="Calibri" w:hAnsi="Arial" w:cs="Arial"/>
          <w:sz w:val="22"/>
        </w:rPr>
        <w:t>-</w:t>
      </w:r>
      <w:r w:rsidR="00F21FC8">
        <w:rPr>
          <w:rFonts w:ascii="Arial" w:eastAsia="Calibri" w:hAnsi="Arial" w:cs="Arial"/>
          <w:sz w:val="22"/>
        </w:rPr>
        <w:t>498 del 27 de julio de 2020</w:t>
      </w:r>
      <w:r w:rsidRPr="00297B28">
        <w:rPr>
          <w:rFonts w:ascii="Arial" w:eastAsia="Calibri" w:hAnsi="Arial" w:cs="Arial"/>
          <w:sz w:val="22"/>
        </w:rPr>
        <w:t xml:space="preserve">. </w:t>
      </w:r>
      <w:r w:rsidRPr="00297B28">
        <w:rPr>
          <w:rFonts w:ascii="Arial" w:hAnsi="Arial" w:cs="Arial"/>
          <w:sz w:val="22"/>
        </w:rPr>
        <w:t xml:space="preserve">La tesis propuesta en estos conceptos se </w:t>
      </w:r>
      <w:r w:rsidR="006A3CC1">
        <w:rPr>
          <w:rFonts w:ascii="Arial" w:hAnsi="Arial" w:cs="Arial"/>
          <w:sz w:val="22"/>
        </w:rPr>
        <w:t>reitera</w:t>
      </w:r>
      <w:r w:rsidR="006A3CC1" w:rsidRPr="00297B28">
        <w:rPr>
          <w:rFonts w:ascii="Arial" w:hAnsi="Arial" w:cs="Arial"/>
          <w:sz w:val="22"/>
        </w:rPr>
        <w:t xml:space="preserve"> </w:t>
      </w:r>
      <w:r w:rsidRPr="00297B28">
        <w:rPr>
          <w:rFonts w:ascii="Arial" w:hAnsi="Arial" w:cs="Arial"/>
          <w:sz w:val="22"/>
        </w:rPr>
        <w:t>a continuación</w:t>
      </w:r>
      <w:r>
        <w:rPr>
          <w:rFonts w:ascii="Arial" w:hAnsi="Arial" w:cs="Arial"/>
          <w:sz w:val="22"/>
        </w:rPr>
        <w:t>:</w:t>
      </w:r>
    </w:p>
    <w:p w14:paraId="31BABA60" w14:textId="7B3099FB" w:rsidR="009D27BD" w:rsidRPr="00297B28" w:rsidRDefault="009D27BD" w:rsidP="009D27BD">
      <w:pPr>
        <w:spacing w:before="120" w:line="276" w:lineRule="auto"/>
        <w:ind w:firstLine="708"/>
        <w:jc w:val="both"/>
        <w:rPr>
          <w:rFonts w:ascii="Arial" w:eastAsia="Calibri" w:hAnsi="Arial" w:cs="Arial"/>
          <w:sz w:val="22"/>
        </w:rPr>
      </w:pPr>
      <w:r w:rsidRPr="00297B28">
        <w:rPr>
          <w:rFonts w:ascii="Arial" w:eastAsia="Calibri" w:hAnsi="Arial" w:cs="Arial"/>
          <w:sz w:val="22"/>
        </w:rPr>
        <w:t>El Consejo de Estado, en el Auto del 6 de agosto de 2019 de la Sección Tercera, Subsección A, Consejero Ponente Carlos Alberto Zambrano Barrera –</w:t>
      </w:r>
      <w:proofErr w:type="spellStart"/>
      <w:r w:rsidRPr="00297B28">
        <w:rPr>
          <w:rFonts w:ascii="Arial" w:eastAsia="Calibri" w:hAnsi="Arial" w:cs="Arial"/>
          <w:sz w:val="22"/>
        </w:rPr>
        <w:t>Exp</w:t>
      </w:r>
      <w:proofErr w:type="spellEnd"/>
      <w:r w:rsidRPr="00297B28">
        <w:rPr>
          <w:rFonts w:ascii="Arial" w:eastAsia="Calibri" w:hAnsi="Arial" w:cs="Arial"/>
          <w:sz w:val="22"/>
        </w:rPr>
        <w:t>. 62.003–, estudió la solicitud de suspensión provisional</w:t>
      </w:r>
      <w:r w:rsidRPr="00297B28">
        <w:rPr>
          <w:rStyle w:val="Refdenotaalpie"/>
          <w:rFonts w:ascii="Arial" w:eastAsia="Calibri" w:hAnsi="Arial" w:cs="Arial"/>
          <w:sz w:val="22"/>
        </w:rPr>
        <w:footnoteReference w:id="1"/>
      </w:r>
      <w:r w:rsidRPr="00297B28">
        <w:rPr>
          <w:rFonts w:ascii="Arial" w:eastAsia="Calibri" w:hAnsi="Arial" w:cs="Arial"/>
          <w:sz w:val="22"/>
        </w:rPr>
        <w:t xml:space="preserve"> del inciso 2 del artículo 1, literales a y c del artículo 2, inciso 5 del artículo 2, inciso 2 del artículo 3, inciso final del artículo 4 y artículo 5 del Decreto </w:t>
      </w:r>
      <w:r w:rsidR="00320CEB">
        <w:rPr>
          <w:rFonts w:ascii="Arial" w:eastAsia="Calibri" w:hAnsi="Arial" w:cs="Arial"/>
          <w:sz w:val="22"/>
        </w:rPr>
        <w:t>0</w:t>
      </w:r>
      <w:r w:rsidRPr="00297B28">
        <w:rPr>
          <w:rFonts w:ascii="Arial" w:eastAsia="Calibri" w:hAnsi="Arial" w:cs="Arial"/>
          <w:sz w:val="22"/>
        </w:rPr>
        <w:t xml:space="preserve">92 de 2017. </w:t>
      </w:r>
    </w:p>
    <w:p w14:paraId="638CB071" w14:textId="7AE1CC0D" w:rsidR="009D27BD" w:rsidRPr="00297B28" w:rsidRDefault="009D27BD" w:rsidP="009D27BD">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La </w:t>
      </w:r>
      <w:r w:rsidRPr="00297B28">
        <w:rPr>
          <w:rFonts w:ascii="Arial" w:eastAsia="Calibri" w:hAnsi="Arial" w:cs="Arial"/>
          <w:i/>
          <w:iCs/>
          <w:sz w:val="22"/>
        </w:rPr>
        <w:t>primera</w:t>
      </w:r>
      <w:r w:rsidRPr="00297B28">
        <w:rPr>
          <w:rFonts w:ascii="Arial" w:eastAsia="Calibri" w:hAnsi="Arial" w:cs="Arial"/>
          <w:sz w:val="22"/>
        </w:rPr>
        <w:t xml:space="preserve"> norma que estudió el Consejo de Estado fue el inciso 2 del artículo 1 del Decreto </w:t>
      </w:r>
      <w:r w:rsidR="00320CEB">
        <w:rPr>
          <w:rFonts w:ascii="Arial" w:eastAsia="Calibri" w:hAnsi="Arial" w:cs="Arial"/>
          <w:sz w:val="22"/>
        </w:rPr>
        <w:t>0</w:t>
      </w:r>
      <w:r w:rsidRPr="00297B28">
        <w:rPr>
          <w:rFonts w:ascii="Arial" w:eastAsia="Calibri" w:hAnsi="Arial" w:cs="Arial"/>
          <w:sz w:val="22"/>
        </w:rPr>
        <w:t xml:space="preserve">92 de 2017, el cual establece que la interpretación de las expresiones que se encuentran en mayúsculas en el Decreto </w:t>
      </w:r>
      <w:r w:rsidR="00320CEB">
        <w:rPr>
          <w:rFonts w:ascii="Arial" w:eastAsia="Calibri" w:hAnsi="Arial" w:cs="Arial"/>
          <w:sz w:val="22"/>
        </w:rPr>
        <w:t>0</w:t>
      </w:r>
      <w:r w:rsidRPr="00297B28">
        <w:rPr>
          <w:rFonts w:ascii="Arial" w:eastAsia="Calibri" w:hAnsi="Arial" w:cs="Arial"/>
          <w:sz w:val="22"/>
        </w:rPr>
        <w:t xml:space="preserve">92 de 2017 se harían de conformidad con la </w:t>
      </w:r>
      <w:r w:rsidRPr="00297B28">
        <w:rPr>
          <w:rFonts w:ascii="Arial" w:eastAsia="Calibri" w:hAnsi="Arial" w:cs="Arial"/>
          <w:sz w:val="22"/>
        </w:rPr>
        <w:lastRenderedPageBreak/>
        <w:t>guía que expida la Agencia Nacional de Contratación Pública</w:t>
      </w:r>
      <w:r w:rsidRPr="00297B28">
        <w:rPr>
          <w:rStyle w:val="Refdenotaalpie"/>
          <w:rFonts w:ascii="Arial" w:eastAsia="Calibri" w:hAnsi="Arial" w:cs="Arial"/>
          <w:sz w:val="22"/>
        </w:rPr>
        <w:footnoteReference w:id="2"/>
      </w:r>
      <w:r w:rsidRPr="00297B28">
        <w:rPr>
          <w:rFonts w:ascii="Arial" w:eastAsia="Calibri" w:hAnsi="Arial" w:cs="Arial"/>
          <w:sz w:val="22"/>
        </w:rPr>
        <w:t xml:space="preserve">. Señaló que esta disposición, así como el inciso segundo del artículo 3 del Decreto </w:t>
      </w:r>
      <w:r w:rsidR="00320CEB">
        <w:rPr>
          <w:rFonts w:ascii="Arial" w:eastAsia="Calibri" w:hAnsi="Arial" w:cs="Arial"/>
          <w:sz w:val="22"/>
        </w:rPr>
        <w:t>0</w:t>
      </w:r>
      <w:r w:rsidRPr="00297B28">
        <w:rPr>
          <w:rFonts w:ascii="Arial" w:eastAsia="Calibri" w:hAnsi="Arial" w:cs="Arial"/>
          <w:sz w:val="22"/>
        </w:rPr>
        <w:t>92 de 2017</w:t>
      </w:r>
      <w:r w:rsidRPr="00297B28">
        <w:rPr>
          <w:rStyle w:val="Refdenotaalpie"/>
          <w:rFonts w:ascii="Arial" w:eastAsia="Calibri" w:hAnsi="Arial" w:cs="Arial"/>
          <w:sz w:val="22"/>
        </w:rPr>
        <w:footnoteReference w:id="3"/>
      </w:r>
      <w:r w:rsidRPr="00297B28">
        <w:rPr>
          <w:rFonts w:ascii="Arial" w:eastAsia="Calibri" w:hAnsi="Arial" w:cs="Arial"/>
          <w:sz w:val="22"/>
        </w:rPr>
        <w:t xml:space="preserve">, exceden la potestad reglamentaria, que está exclusivamente asignada al Presidente de la República, toda vez que la esencia de la facultad reglamentaria es de carácter permanente, inalienable, intransferible e irrenunciable, y el Presidente no la puede delegar en una entidad como la Agencia Nacional de Contratación Pública – Colombia Compra Eficiente, para que a través de una guía reglamente los vacíos de un Decreto. Al respecto señala: </w:t>
      </w:r>
    </w:p>
    <w:p w14:paraId="2759C867" w14:textId="77777777" w:rsidR="009D27BD" w:rsidRPr="00297B28" w:rsidRDefault="009D27BD" w:rsidP="009D27BD">
      <w:pPr>
        <w:spacing w:line="276" w:lineRule="auto"/>
        <w:jc w:val="both"/>
        <w:rPr>
          <w:rFonts w:ascii="Arial" w:eastAsia="Calibri" w:hAnsi="Arial" w:cs="Arial"/>
          <w:sz w:val="22"/>
        </w:rPr>
      </w:pPr>
    </w:p>
    <w:p w14:paraId="3A69D9BB" w14:textId="77777777" w:rsidR="009D27BD" w:rsidRPr="00297B28" w:rsidRDefault="009D27BD" w:rsidP="009D27BD">
      <w:pPr>
        <w:tabs>
          <w:tab w:val="left" w:pos="8789"/>
        </w:tabs>
        <w:ind w:left="708" w:right="709"/>
        <w:jc w:val="both"/>
        <w:rPr>
          <w:rFonts w:ascii="Arial" w:eastAsia="Calibri" w:hAnsi="Arial" w:cs="Arial"/>
          <w:sz w:val="21"/>
          <w:szCs w:val="21"/>
        </w:rPr>
      </w:pPr>
      <w:r w:rsidRPr="00297B28">
        <w:rPr>
          <w:rFonts w:ascii="Arial" w:eastAsia="Calibri" w:hAnsi="Arial" w:cs="Arial"/>
          <w:sz w:val="21"/>
          <w:szCs w:val="21"/>
        </w:rPr>
        <w:t>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 constituyente.</w:t>
      </w:r>
    </w:p>
    <w:p w14:paraId="09D2AB43" w14:textId="77777777" w:rsidR="009D27BD" w:rsidRPr="00297B28" w:rsidRDefault="009D27BD" w:rsidP="009D27BD">
      <w:pPr>
        <w:spacing w:line="276" w:lineRule="auto"/>
        <w:jc w:val="both"/>
        <w:rPr>
          <w:rFonts w:ascii="Arial" w:eastAsia="Calibri" w:hAnsi="Arial" w:cs="Arial"/>
          <w:sz w:val="22"/>
        </w:rPr>
      </w:pPr>
    </w:p>
    <w:p w14:paraId="7200D206" w14:textId="25B38FE5" w:rsidR="009D27BD" w:rsidRPr="00297B28" w:rsidRDefault="009D27BD" w:rsidP="009D27BD">
      <w:pPr>
        <w:spacing w:line="276" w:lineRule="auto"/>
        <w:ind w:firstLine="709"/>
        <w:jc w:val="both"/>
        <w:rPr>
          <w:rFonts w:ascii="Arial" w:eastAsia="Calibri" w:hAnsi="Arial" w:cs="Arial"/>
          <w:sz w:val="22"/>
        </w:rPr>
      </w:pPr>
      <w:r w:rsidRPr="00297B28">
        <w:rPr>
          <w:rFonts w:ascii="Arial" w:eastAsia="Calibri" w:hAnsi="Arial" w:cs="Arial"/>
          <w:sz w:val="22"/>
        </w:rPr>
        <w:t>En virtud de este análisis, el Consejo de Estado suspendió provisionalmente el inciso 2 del artículo primero y el inciso 2 del artículo 3, lo que significa que los contratos celebrados con entidades sin ánimo de lucro no tienen que aplicar la «Guía para la contratación con entidades privadas sin ánimo de lucro y de reconocida idoneidad», expedida por la Agencia Nacional de Contratación Pública</w:t>
      </w:r>
      <w:r w:rsidR="00BF0B7D">
        <w:rPr>
          <w:rFonts w:ascii="Arial" w:eastAsia="Calibri" w:hAnsi="Arial" w:cs="Arial"/>
          <w:sz w:val="22"/>
        </w:rPr>
        <w:t xml:space="preserve"> </w:t>
      </w:r>
      <w:r w:rsidRPr="00297B28">
        <w:rPr>
          <w:rFonts w:ascii="Arial" w:eastAsia="Calibri" w:hAnsi="Arial" w:cs="Arial"/>
          <w:sz w:val="22"/>
        </w:rPr>
        <w:t>–</w:t>
      </w:r>
      <w:r w:rsidR="00BF0B7D">
        <w:rPr>
          <w:rFonts w:ascii="Arial" w:eastAsia="Calibri" w:hAnsi="Arial" w:cs="Arial"/>
          <w:sz w:val="22"/>
        </w:rPr>
        <w:t xml:space="preserve"> </w:t>
      </w:r>
      <w:r w:rsidRPr="00297B28">
        <w:rPr>
          <w:rFonts w:ascii="Arial" w:eastAsia="Calibri" w:hAnsi="Arial" w:cs="Arial"/>
          <w:sz w:val="22"/>
        </w:rPr>
        <w:t xml:space="preserve">Colombia Compra Eficiente. </w:t>
      </w:r>
    </w:p>
    <w:p w14:paraId="24862239" w14:textId="435E1392" w:rsidR="009D27BD" w:rsidRPr="00297B28" w:rsidRDefault="009D27BD" w:rsidP="009D27BD">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La </w:t>
      </w:r>
      <w:r w:rsidRPr="00297B28">
        <w:rPr>
          <w:rFonts w:ascii="Arial" w:eastAsia="Calibri" w:hAnsi="Arial" w:cs="Arial"/>
          <w:i/>
          <w:iCs/>
          <w:sz w:val="22"/>
        </w:rPr>
        <w:t>segunda</w:t>
      </w:r>
      <w:r w:rsidRPr="00297B28">
        <w:rPr>
          <w:rFonts w:ascii="Arial" w:eastAsia="Calibri" w:hAnsi="Arial" w:cs="Arial"/>
          <w:sz w:val="22"/>
        </w:rPr>
        <w:t xml:space="preserve"> norma que analizó el Consejo de Estado fue el literal a), del artículo 2, del Decreto </w:t>
      </w:r>
      <w:r w:rsidR="00320CEB">
        <w:rPr>
          <w:rFonts w:ascii="Arial" w:eastAsia="Calibri" w:hAnsi="Arial" w:cs="Arial"/>
          <w:sz w:val="22"/>
        </w:rPr>
        <w:t>0</w:t>
      </w:r>
      <w:r w:rsidRPr="00297B28">
        <w:rPr>
          <w:rFonts w:ascii="Arial" w:eastAsia="Calibri" w:hAnsi="Arial" w:cs="Arial"/>
          <w:sz w:val="22"/>
        </w:rPr>
        <w:t xml:space="preserve">92,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w:t>
      </w:r>
      <w:r w:rsidRPr="00297B28">
        <w:rPr>
          <w:rFonts w:ascii="Arial" w:eastAsia="Calibri" w:hAnsi="Arial" w:cs="Arial"/>
          <w:sz w:val="22"/>
        </w:rPr>
        <w:lastRenderedPageBreak/>
        <w:t>la diversidad étnica colombiana</w:t>
      </w:r>
      <w:r w:rsidRPr="00297B28">
        <w:rPr>
          <w:rStyle w:val="Refdenotaalpie"/>
          <w:rFonts w:ascii="Arial" w:hAnsi="Arial" w:cs="Arial"/>
          <w:sz w:val="22"/>
        </w:rPr>
        <w:footnoteReference w:id="4"/>
      </w:r>
      <w:r w:rsidRPr="00297B28">
        <w:rPr>
          <w:rFonts w:ascii="Arial" w:eastAsia="Calibri" w:hAnsi="Arial" w:cs="Arial"/>
          <w:sz w:val="22"/>
        </w:rPr>
        <w:t xml:space="preserve">. En relación con esta norma, encontró que el literal a) del artículo 2 establece dos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En relación con lo anterior, el auto del Consejo de Estado señala: </w:t>
      </w:r>
    </w:p>
    <w:p w14:paraId="48DBA9DE" w14:textId="77777777" w:rsidR="009D27BD" w:rsidRPr="00297B28" w:rsidRDefault="009D27BD" w:rsidP="009D27BD">
      <w:pPr>
        <w:spacing w:line="276" w:lineRule="auto"/>
        <w:jc w:val="both"/>
        <w:rPr>
          <w:rFonts w:ascii="Arial" w:eastAsia="Calibri" w:hAnsi="Arial" w:cs="Arial"/>
          <w:sz w:val="22"/>
        </w:rPr>
      </w:pPr>
    </w:p>
    <w:p w14:paraId="2E10763A" w14:textId="77777777" w:rsidR="009D27BD" w:rsidRPr="00297B28" w:rsidRDefault="009D27BD" w:rsidP="009D27BD">
      <w:pPr>
        <w:ind w:left="708" w:right="709"/>
        <w:jc w:val="both"/>
        <w:rPr>
          <w:rFonts w:ascii="Arial" w:eastAsia="Calibri" w:hAnsi="Arial" w:cs="Arial"/>
          <w:sz w:val="21"/>
          <w:szCs w:val="21"/>
        </w:rPr>
      </w:pPr>
      <w:r w:rsidRPr="00297B28">
        <w:rPr>
          <w:rFonts w:ascii="Arial" w:eastAsia="Calibri" w:hAnsi="Arial" w:cs="Arial"/>
          <w:sz w:val="21"/>
          <w:szCs w:val="21"/>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14:paraId="48945AF9" w14:textId="77777777" w:rsidR="009D27BD" w:rsidRPr="00297B28" w:rsidRDefault="009D27BD" w:rsidP="009D27BD">
      <w:pPr>
        <w:spacing w:line="276" w:lineRule="auto"/>
        <w:jc w:val="both"/>
        <w:rPr>
          <w:rFonts w:ascii="Arial" w:eastAsia="Calibri" w:hAnsi="Arial" w:cs="Arial"/>
          <w:sz w:val="22"/>
        </w:rPr>
      </w:pPr>
    </w:p>
    <w:p w14:paraId="7E72DC5E" w14:textId="77777777" w:rsidR="009D27BD" w:rsidRPr="00297B28" w:rsidRDefault="009D27BD" w:rsidP="009D27BD">
      <w:pPr>
        <w:spacing w:line="276" w:lineRule="auto"/>
        <w:ind w:firstLine="708"/>
        <w:jc w:val="both"/>
        <w:rPr>
          <w:rFonts w:ascii="Arial" w:eastAsia="Calibri" w:hAnsi="Arial" w:cs="Arial"/>
          <w:sz w:val="22"/>
        </w:rPr>
      </w:pPr>
      <w:r w:rsidRPr="00297B28">
        <w:rPr>
          <w:rFonts w:ascii="Arial" w:eastAsia="Calibri" w:hAnsi="Arial" w:cs="Arial"/>
          <w:sz w:val="22"/>
        </w:rPr>
        <w:t xml:space="preserve">Así 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14:paraId="177D0128" w14:textId="77777777" w:rsidR="009D27BD" w:rsidRPr="00297B28" w:rsidRDefault="009D27BD" w:rsidP="009D27BD">
      <w:pPr>
        <w:spacing w:line="276" w:lineRule="auto"/>
        <w:jc w:val="both"/>
        <w:rPr>
          <w:rFonts w:ascii="Arial" w:eastAsia="Calibri" w:hAnsi="Arial" w:cs="Arial"/>
          <w:sz w:val="22"/>
        </w:rPr>
      </w:pPr>
    </w:p>
    <w:p w14:paraId="31A20A83" w14:textId="77777777" w:rsidR="009D27BD" w:rsidRPr="00297B28" w:rsidRDefault="009D27BD" w:rsidP="009D27BD">
      <w:pPr>
        <w:tabs>
          <w:tab w:val="left" w:pos="8080"/>
        </w:tabs>
        <w:ind w:left="708" w:right="709"/>
        <w:jc w:val="both"/>
        <w:rPr>
          <w:rFonts w:ascii="Arial" w:eastAsia="Calibri" w:hAnsi="Arial" w:cs="Arial"/>
          <w:sz w:val="21"/>
          <w:szCs w:val="21"/>
        </w:rPr>
      </w:pPr>
      <w:r w:rsidRPr="00297B28">
        <w:rPr>
          <w:rFonts w:ascii="Arial" w:eastAsia="Calibri" w:hAnsi="Arial" w:cs="Arial"/>
          <w:sz w:val="21"/>
          <w:szCs w:val="21"/>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14:paraId="307A1929" w14:textId="77777777" w:rsidR="009D27BD" w:rsidRPr="00297B28" w:rsidRDefault="009D27BD" w:rsidP="009D27BD">
      <w:pPr>
        <w:spacing w:line="276" w:lineRule="auto"/>
        <w:jc w:val="both"/>
        <w:rPr>
          <w:rFonts w:ascii="Arial" w:eastAsia="Calibri" w:hAnsi="Arial" w:cs="Arial"/>
          <w:sz w:val="22"/>
        </w:rPr>
      </w:pPr>
      <w:r w:rsidRPr="00297B28">
        <w:rPr>
          <w:rFonts w:ascii="Arial" w:eastAsia="Calibri" w:hAnsi="Arial" w:cs="Arial"/>
          <w:sz w:val="22"/>
        </w:rPr>
        <w:t xml:space="preserve"> </w:t>
      </w:r>
    </w:p>
    <w:p w14:paraId="5723FE01" w14:textId="0B21A3D4" w:rsidR="009D27BD" w:rsidRPr="00297B28" w:rsidRDefault="009D27BD" w:rsidP="00282352">
      <w:pPr>
        <w:spacing w:line="276" w:lineRule="auto"/>
        <w:ind w:firstLine="708"/>
        <w:jc w:val="both"/>
        <w:rPr>
          <w:rFonts w:ascii="Arial" w:eastAsia="Calibri" w:hAnsi="Arial" w:cs="Arial"/>
          <w:sz w:val="22"/>
        </w:rPr>
      </w:pPr>
      <w:r w:rsidRPr="00297B28">
        <w:rPr>
          <w:rFonts w:ascii="Arial" w:eastAsia="Calibri" w:hAnsi="Arial" w:cs="Arial"/>
          <w:sz w:val="22"/>
        </w:rPr>
        <w:lastRenderedPageBreak/>
        <w:t xml:space="preserve">En este orden de ideas, el Consejo de Estado suspendió provisionalmente el literal a), por lo cual el objeto de los contratos debe ser acorde con los planes nacionales o seccionales de desarrollo; y no necesariamente estar previstos directamente en ellos, además no solo se pueden celebrar contratos para los objetos específicos señalados en el Decreto </w:t>
      </w:r>
      <w:r w:rsidR="00320CEB">
        <w:rPr>
          <w:rFonts w:ascii="Arial" w:eastAsia="Calibri" w:hAnsi="Arial" w:cs="Arial"/>
          <w:sz w:val="22"/>
        </w:rPr>
        <w:t>0</w:t>
      </w:r>
      <w:r w:rsidRPr="00297B28">
        <w:rPr>
          <w:rFonts w:ascii="Arial" w:eastAsia="Calibri" w:hAnsi="Arial" w:cs="Arial"/>
          <w:sz w:val="22"/>
        </w:rPr>
        <w:t>92 de 2017.</w:t>
      </w:r>
    </w:p>
    <w:p w14:paraId="1AD44A7A" w14:textId="77777777" w:rsidR="009D27BD" w:rsidRPr="00297B28" w:rsidRDefault="009D27BD" w:rsidP="009D27BD">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El Consejo de Estado, en </w:t>
      </w:r>
      <w:r w:rsidRPr="00297B28">
        <w:rPr>
          <w:rFonts w:ascii="Arial" w:eastAsia="Calibri" w:hAnsi="Arial" w:cs="Arial"/>
          <w:i/>
          <w:iCs/>
          <w:sz w:val="22"/>
        </w:rPr>
        <w:t>tercer</w:t>
      </w:r>
      <w:r w:rsidRPr="00297B28">
        <w:rPr>
          <w:rFonts w:ascii="Arial" w:eastAsia="Calibri" w:hAnsi="Arial" w:cs="Arial"/>
          <w:sz w:val="22"/>
        </w:rPr>
        <w:t xml:space="preserve"> lugar, examinó el literal c) y el inciso 5 del artículo 2 del Decreto</w:t>
      </w:r>
      <w:r w:rsidRPr="00297B28">
        <w:rPr>
          <w:rStyle w:val="Refdenotaalpie"/>
          <w:rFonts w:ascii="Arial" w:eastAsia="Calibri" w:hAnsi="Arial" w:cs="Arial"/>
          <w:sz w:val="22"/>
        </w:rPr>
        <w:footnoteReference w:id="5"/>
      </w:r>
      <w:r w:rsidRPr="00297B28">
        <w:rPr>
          <w:rFonts w:ascii="Arial" w:eastAsia="Calibri" w:hAnsi="Arial" w:cs="Arial"/>
          <w:sz w:val="22"/>
        </w:rPr>
        <w:t xml:space="preserve">, señalando que contraría la norma constitucional al condicionar que los contratos solo se pueden celebrar cuando no exista oferta en el mercado, sometiendo su celebración a que, de existir oferta, la contratación con las entidades sin ánimo de lucro represente la optimización de los recursos públicos en términos de eficiencia, eficacia, economía y manejo del riesgo, toda vez que se desconocería la naturaleza de las entidades sin ánimo de lucro que implica que ellas no participan en el mercado de bienes y servicios de la misma forma que las demás sociedades. En este sentido, el Consejo de Estado manifestó: </w:t>
      </w:r>
    </w:p>
    <w:p w14:paraId="5D39E330" w14:textId="77777777" w:rsidR="009D27BD" w:rsidRPr="00297B28" w:rsidRDefault="009D27BD" w:rsidP="009D27BD">
      <w:pPr>
        <w:spacing w:line="276" w:lineRule="auto"/>
        <w:jc w:val="both"/>
        <w:rPr>
          <w:rFonts w:ascii="Arial" w:eastAsia="Calibri" w:hAnsi="Arial" w:cs="Arial"/>
          <w:sz w:val="22"/>
        </w:rPr>
      </w:pPr>
    </w:p>
    <w:p w14:paraId="10CDA379" w14:textId="77777777" w:rsidR="009D27BD" w:rsidRPr="00297B28" w:rsidRDefault="009D27BD" w:rsidP="009D27BD">
      <w:pPr>
        <w:ind w:left="708" w:right="709"/>
        <w:jc w:val="both"/>
        <w:rPr>
          <w:rFonts w:ascii="Arial" w:eastAsia="Calibri" w:hAnsi="Arial" w:cs="Arial"/>
          <w:sz w:val="21"/>
          <w:szCs w:val="21"/>
        </w:rPr>
      </w:pPr>
      <w:r w:rsidRPr="00297B28">
        <w:rPr>
          <w:rFonts w:ascii="Arial" w:eastAsia="Calibri" w:hAnsi="Arial" w:cs="Arial"/>
          <w:sz w:val="21"/>
          <w:szCs w:val="21"/>
        </w:rPr>
        <w:t>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w:t>
      </w:r>
      <w:proofErr w:type="spellStart"/>
      <w:r w:rsidRPr="00297B28">
        <w:rPr>
          <w:rFonts w:ascii="Arial" w:eastAsia="Calibri" w:hAnsi="Arial" w:cs="Arial"/>
          <w:sz w:val="21"/>
          <w:szCs w:val="21"/>
        </w:rPr>
        <w:t>ii</w:t>
      </w:r>
      <w:proofErr w:type="spellEnd"/>
      <w:r w:rsidRPr="00297B28">
        <w:rPr>
          <w:rFonts w:ascii="Arial" w:eastAsia="Calibri" w:hAnsi="Arial" w:cs="Arial"/>
          <w:sz w:val="21"/>
          <w:szCs w:val="21"/>
        </w:rPr>
        <w:t>) desarrollan programas y actividades de interés público con reconocida idoneidad. No son, entonces, entidades creadas para competir en el mercado.</w:t>
      </w:r>
    </w:p>
    <w:p w14:paraId="3C05162D" w14:textId="77777777" w:rsidR="009D27BD" w:rsidRPr="00297B28" w:rsidRDefault="009D27BD" w:rsidP="009D27BD">
      <w:pPr>
        <w:spacing w:line="276" w:lineRule="auto"/>
        <w:jc w:val="both"/>
        <w:rPr>
          <w:rFonts w:ascii="Arial" w:eastAsia="Calibri" w:hAnsi="Arial" w:cs="Arial"/>
          <w:sz w:val="22"/>
        </w:rPr>
      </w:pPr>
    </w:p>
    <w:p w14:paraId="2A307F2F" w14:textId="0608C389" w:rsidR="009D27BD" w:rsidRPr="00297B28" w:rsidRDefault="009D27BD" w:rsidP="00282352">
      <w:pPr>
        <w:spacing w:line="276" w:lineRule="auto"/>
        <w:ind w:firstLine="708"/>
        <w:jc w:val="both"/>
        <w:rPr>
          <w:rFonts w:ascii="Arial" w:eastAsia="Calibri" w:hAnsi="Arial" w:cs="Arial"/>
          <w:sz w:val="22"/>
        </w:rPr>
      </w:pPr>
      <w:r w:rsidRPr="00297B28">
        <w:rPr>
          <w:rFonts w:ascii="Arial" w:eastAsia="Calibri" w:hAnsi="Arial" w:cs="Arial"/>
          <w:sz w:val="22"/>
        </w:rPr>
        <w:t xml:space="preserve">Así las cosas, suspendió provisionalmente el literal c) y el inciso 5º del artículo 2 del Decreto </w:t>
      </w:r>
      <w:r w:rsidR="00320CEB">
        <w:rPr>
          <w:rFonts w:ascii="Arial" w:eastAsia="Calibri" w:hAnsi="Arial" w:cs="Arial"/>
          <w:sz w:val="22"/>
        </w:rPr>
        <w:t>0</w:t>
      </w:r>
      <w:r w:rsidRPr="00297B28">
        <w:rPr>
          <w:rFonts w:ascii="Arial" w:eastAsia="Calibri" w:hAnsi="Arial" w:cs="Arial"/>
          <w:sz w:val="22"/>
        </w:rPr>
        <w:t>92 de 2017, razón por la cual los procesos de contratación con entidades privadas sin ánimo de lucro no quedan condicionados a la inexistencia de oferta en el mercado de bienes y servicios, ni a que la ESAL garantice la mejor oferta y la optimización de los recursos públicos, pues estas condiciones son propias de la contratación del Estatuto General de Contratación de la Administración Pública y no del régimen jurídico especial que establece el artículo 355 de la Constitución Política.</w:t>
      </w:r>
    </w:p>
    <w:p w14:paraId="218C08D1" w14:textId="46C584B1" w:rsidR="009D27BD" w:rsidRPr="00297B28" w:rsidRDefault="009D27BD" w:rsidP="009D27BD">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La </w:t>
      </w:r>
      <w:r w:rsidRPr="00297B28">
        <w:rPr>
          <w:rFonts w:ascii="Arial" w:eastAsia="Calibri" w:hAnsi="Arial" w:cs="Arial"/>
          <w:i/>
          <w:iCs/>
          <w:sz w:val="22"/>
        </w:rPr>
        <w:t>cuarta</w:t>
      </w:r>
      <w:r w:rsidRPr="00297B28">
        <w:rPr>
          <w:rFonts w:ascii="Arial" w:eastAsia="Calibri" w:hAnsi="Arial" w:cs="Arial"/>
          <w:sz w:val="22"/>
        </w:rPr>
        <w:t xml:space="preserve"> norma que estudió el Consejo de Estado fue el inciso final del artículo 4 del Decreto </w:t>
      </w:r>
      <w:r w:rsidR="00320CEB">
        <w:rPr>
          <w:rFonts w:ascii="Arial" w:eastAsia="Calibri" w:hAnsi="Arial" w:cs="Arial"/>
          <w:sz w:val="22"/>
        </w:rPr>
        <w:t>0</w:t>
      </w:r>
      <w:r w:rsidRPr="00297B28">
        <w:rPr>
          <w:rFonts w:ascii="Arial" w:eastAsia="Calibri" w:hAnsi="Arial" w:cs="Arial"/>
          <w:sz w:val="22"/>
        </w:rPr>
        <w:t xml:space="preserve">92 de 2017, el cual hace referencia a la posibilidad de contratar directamente cuando el objeto del contrato esté relacionado con actividades artísticas, culturales, </w:t>
      </w:r>
      <w:r w:rsidRPr="00297B28">
        <w:rPr>
          <w:rFonts w:ascii="Arial" w:eastAsia="Calibri" w:hAnsi="Arial" w:cs="Arial"/>
          <w:sz w:val="22"/>
        </w:rPr>
        <w:lastRenderedPageBreak/>
        <w:t>deportivas y de promoción de la diversidad étnica colombiana, que únicamente pueden ejecutar determinadas personas jurídicas o naturales</w:t>
      </w:r>
      <w:r w:rsidRPr="00297B28">
        <w:rPr>
          <w:rStyle w:val="Refdenotaalpie"/>
          <w:rFonts w:ascii="Arial" w:eastAsia="Calibri" w:hAnsi="Arial" w:cs="Arial"/>
          <w:sz w:val="22"/>
        </w:rPr>
        <w:footnoteReference w:id="6"/>
      </w:r>
      <w:r w:rsidRPr="00297B28">
        <w:rPr>
          <w:rFonts w:ascii="Arial" w:eastAsia="Calibri" w:hAnsi="Arial" w:cs="Arial"/>
          <w:sz w:val="22"/>
        </w:rPr>
        <w:t>. Para la Sala, esta norma vulnera el principio de igualdad, por establecer un privilegio para determinadas personas jurídicas o naturales que ejecutaran únicamente las actividades allí previstas, contratándolas sin realizar un proceso competitivo. Por consiguiente, se suspendió provisionalmente el inciso final del artículo 4, por violar el principio de igualdad, por lo tanto, la contratación para la ejecución de actividades y programas de interés público debe realizarse a través de un proceso competitivo para escoger a la entidad sin ánimo de lucro.</w:t>
      </w:r>
    </w:p>
    <w:p w14:paraId="143AEC21" w14:textId="66CE426A" w:rsidR="009D27BD" w:rsidRPr="00297B28" w:rsidRDefault="009D27BD" w:rsidP="009D27BD">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En consecuencia, hasta tanto se emita una sentencia definitiva en el proceso reseñado, no es posible aplicar el «beneficio» al que se refiere el inciso </w:t>
      </w:r>
      <w:r w:rsidR="006B276B">
        <w:rPr>
          <w:rFonts w:ascii="Arial" w:eastAsia="Calibri" w:hAnsi="Arial" w:cs="Arial"/>
          <w:sz w:val="22"/>
        </w:rPr>
        <w:t>final</w:t>
      </w:r>
      <w:r w:rsidRPr="00297B28">
        <w:rPr>
          <w:rFonts w:ascii="Arial" w:eastAsia="Calibri" w:hAnsi="Arial" w:cs="Arial"/>
          <w:sz w:val="22"/>
        </w:rPr>
        <w:t xml:space="preserve"> del artículo 4 del Decreto </w:t>
      </w:r>
      <w:r w:rsidR="00320CEB">
        <w:rPr>
          <w:rFonts w:ascii="Arial" w:eastAsia="Calibri" w:hAnsi="Arial" w:cs="Arial"/>
          <w:sz w:val="22"/>
        </w:rPr>
        <w:t>0</w:t>
      </w:r>
      <w:r w:rsidRPr="00297B28">
        <w:rPr>
          <w:rFonts w:ascii="Arial" w:eastAsia="Calibri" w:hAnsi="Arial" w:cs="Arial"/>
          <w:sz w:val="22"/>
        </w:rPr>
        <w:t xml:space="preserve">92 de 2017. En estos procesos, entonces, se debe acudir a los criterios aplicables a los otros negocios jurídicos que regula el Decreto </w:t>
      </w:r>
      <w:r w:rsidR="00320CEB">
        <w:rPr>
          <w:rFonts w:ascii="Arial" w:eastAsia="Calibri" w:hAnsi="Arial" w:cs="Arial"/>
          <w:sz w:val="22"/>
        </w:rPr>
        <w:t>0</w:t>
      </w:r>
      <w:r w:rsidRPr="00297B28">
        <w:rPr>
          <w:rFonts w:ascii="Arial" w:eastAsia="Calibri" w:hAnsi="Arial" w:cs="Arial"/>
          <w:sz w:val="22"/>
        </w:rPr>
        <w:t xml:space="preserve">92 de 2017, particularmente las exigencias del artículo 2 </w:t>
      </w:r>
      <w:r w:rsidRPr="00297B28">
        <w:rPr>
          <w:rFonts w:ascii="Arial" w:eastAsia="Calibri" w:hAnsi="Arial" w:cs="Arial"/>
          <w:i/>
          <w:iCs/>
          <w:sz w:val="22"/>
        </w:rPr>
        <w:t>ibidem</w:t>
      </w:r>
      <w:r w:rsidRPr="00297B28">
        <w:rPr>
          <w:rFonts w:ascii="Arial" w:eastAsia="Calibri" w:hAnsi="Arial" w:cs="Arial"/>
          <w:sz w:val="22"/>
        </w:rPr>
        <w:t xml:space="preserve">. Incluso, habría lugar </w:t>
      </w:r>
      <w:r w:rsidR="007D1B49" w:rsidRPr="00297B28">
        <w:rPr>
          <w:rFonts w:ascii="Arial" w:eastAsia="Calibri" w:hAnsi="Arial" w:cs="Arial"/>
          <w:sz w:val="22"/>
        </w:rPr>
        <w:t>para</w:t>
      </w:r>
      <w:r w:rsidRPr="00297B28">
        <w:rPr>
          <w:rFonts w:ascii="Arial" w:eastAsia="Calibri" w:hAnsi="Arial" w:cs="Arial"/>
          <w:sz w:val="22"/>
        </w:rPr>
        <w:t xml:space="preserve"> tener en cuenta las exigencias del inciso 2 del artículo 4 </w:t>
      </w:r>
      <w:proofErr w:type="spellStart"/>
      <w:r w:rsidRPr="00297B28">
        <w:rPr>
          <w:rFonts w:ascii="Arial" w:eastAsia="Calibri" w:hAnsi="Arial" w:cs="Arial"/>
          <w:i/>
          <w:iCs/>
          <w:sz w:val="22"/>
        </w:rPr>
        <w:t>íbídem</w:t>
      </w:r>
      <w:proofErr w:type="spellEnd"/>
      <w:r w:rsidRPr="00297B28">
        <w:rPr>
          <w:rFonts w:ascii="Arial" w:eastAsia="Calibri" w:hAnsi="Arial" w:cs="Arial"/>
          <w:sz w:val="22"/>
        </w:rPr>
        <w:t>, claro está, siempre que se configuren los supuestos de aplicación de dicha normativa, esto es, siempre que «</w:t>
      </w:r>
      <w:proofErr w:type="spellStart"/>
      <w:r w:rsidRPr="00297B28">
        <w:rPr>
          <w:rFonts w:ascii="Arial" w:eastAsia="Calibri" w:hAnsi="Arial" w:cs="Arial"/>
          <w:sz w:val="22"/>
        </w:rPr>
        <w:t>exist</w:t>
      </w:r>
      <w:proofErr w:type="spellEnd"/>
      <w:r w:rsidRPr="00297B28">
        <w:rPr>
          <w:rFonts w:ascii="Arial" w:eastAsia="Calibri" w:hAnsi="Arial" w:cs="Arial"/>
          <w:sz w:val="22"/>
        </w:rPr>
        <w:t>[a] más de una entidad sin ánimo de lucro de reconocida idoneidad».</w:t>
      </w:r>
    </w:p>
    <w:p w14:paraId="33817C4A" w14:textId="60B0D9DF" w:rsidR="009D27BD" w:rsidRPr="00297B28" w:rsidRDefault="009D27BD" w:rsidP="009D27BD">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Por último, en </w:t>
      </w:r>
      <w:r w:rsidRPr="00297B28">
        <w:rPr>
          <w:rFonts w:ascii="Arial" w:eastAsia="Calibri" w:hAnsi="Arial" w:cs="Arial"/>
          <w:i/>
          <w:iCs/>
          <w:sz w:val="22"/>
        </w:rPr>
        <w:t xml:space="preserve">quinto </w:t>
      </w:r>
      <w:r w:rsidRPr="00297B28">
        <w:rPr>
          <w:rFonts w:ascii="Arial" w:eastAsia="Calibri" w:hAnsi="Arial" w:cs="Arial"/>
          <w:sz w:val="22"/>
        </w:rPr>
        <w:t xml:space="preserve">lugar, el Consejo de Estado analizó la solicitud de suspensión del artículo 5 del Decreto </w:t>
      </w:r>
      <w:r w:rsidR="00320CEB">
        <w:rPr>
          <w:rFonts w:ascii="Arial" w:eastAsia="Calibri" w:hAnsi="Arial" w:cs="Arial"/>
          <w:sz w:val="22"/>
        </w:rPr>
        <w:t>0</w:t>
      </w:r>
      <w:r w:rsidRPr="00297B28">
        <w:rPr>
          <w:rFonts w:ascii="Arial" w:eastAsia="Calibri" w:hAnsi="Arial" w:cs="Arial"/>
          <w:sz w:val="22"/>
        </w:rPr>
        <w:t xml:space="preserve">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w:t>
      </w:r>
    </w:p>
    <w:p w14:paraId="0989F59B" w14:textId="7BA32B3B" w:rsidR="009D27BD" w:rsidRPr="00297B28" w:rsidRDefault="009D27BD" w:rsidP="009D27BD">
      <w:pPr>
        <w:spacing w:before="120" w:line="276" w:lineRule="auto"/>
        <w:ind w:firstLine="708"/>
        <w:jc w:val="both"/>
        <w:rPr>
          <w:rFonts w:ascii="Arial" w:eastAsia="Calibri" w:hAnsi="Arial" w:cs="Arial"/>
          <w:sz w:val="22"/>
        </w:rPr>
      </w:pPr>
      <w:r w:rsidRPr="00297B28">
        <w:rPr>
          <w:rFonts w:ascii="Arial" w:hAnsi="Arial" w:cs="Arial"/>
          <w:sz w:val="22"/>
        </w:rPr>
        <w:t xml:space="preserve">En este orden de ideas, la contratación con entidades sin ánimo de lucro se sigue rigiendo por el Decreto </w:t>
      </w:r>
      <w:r w:rsidR="00320CEB">
        <w:rPr>
          <w:rFonts w:ascii="Arial" w:hAnsi="Arial" w:cs="Arial"/>
          <w:sz w:val="22"/>
        </w:rPr>
        <w:t>0</w:t>
      </w:r>
      <w:r w:rsidRPr="00297B28">
        <w:rPr>
          <w:rFonts w:ascii="Arial" w:hAnsi="Arial" w:cs="Arial"/>
          <w:sz w:val="22"/>
        </w:rPr>
        <w:t xml:space="preserve">92 de 2017, salvo lo que fue objeto de suspensión provisional. Por lo tanto, las entidades públicas que desean celebrar contratos de interés público, en los términos del artículo 355 de la Constitución Política, deben contratar con ESAL de reconocida idoneidad, como ya se dijo, realizando un proceso competitivo, y teniendo en cuenta, se insiste, las siguientes características: i) no se debe condicionar el proceso de contratación a la inexistencia de oferta en el mercado de bienes y servicios; </w:t>
      </w:r>
      <w:proofErr w:type="spellStart"/>
      <w:r w:rsidRPr="00297B28">
        <w:rPr>
          <w:rFonts w:ascii="Arial" w:hAnsi="Arial" w:cs="Arial"/>
          <w:sz w:val="22"/>
        </w:rPr>
        <w:t>ii</w:t>
      </w:r>
      <w:proofErr w:type="spellEnd"/>
      <w:r w:rsidRPr="00297B28">
        <w:rPr>
          <w:rFonts w:ascii="Arial" w:hAnsi="Arial" w:cs="Arial"/>
          <w:sz w:val="22"/>
        </w:rPr>
        <w:t xml:space="preserve">) tampoco se debe condicionar a que la contratación con las ESAL garantice la optimización de los recursos públicos en términos de eficiencia, eficacia, economía y manejo del riesgo; </w:t>
      </w:r>
      <w:proofErr w:type="spellStart"/>
      <w:r w:rsidRPr="00297B28">
        <w:rPr>
          <w:rFonts w:ascii="Arial" w:hAnsi="Arial" w:cs="Arial"/>
          <w:sz w:val="22"/>
        </w:rPr>
        <w:t>iii</w:t>
      </w:r>
      <w:proofErr w:type="spellEnd"/>
      <w:r w:rsidRPr="00297B28">
        <w:rPr>
          <w:rFonts w:ascii="Arial" w:hAnsi="Arial" w:cs="Arial"/>
          <w:sz w:val="22"/>
        </w:rPr>
        <w:t xml:space="preserve">) el objeto del contrato debe estar acorde con el plan nacional o seccional de desarrollo; </w:t>
      </w:r>
      <w:proofErr w:type="spellStart"/>
      <w:r w:rsidRPr="00297B28">
        <w:rPr>
          <w:rFonts w:ascii="Arial" w:hAnsi="Arial" w:cs="Arial"/>
          <w:sz w:val="22"/>
        </w:rPr>
        <w:t>iv</w:t>
      </w:r>
      <w:proofErr w:type="spellEnd"/>
      <w:r w:rsidRPr="00297B28">
        <w:rPr>
          <w:rFonts w:ascii="Arial" w:hAnsi="Arial" w:cs="Arial"/>
          <w:sz w:val="22"/>
        </w:rPr>
        <w:t xml:space="preserve">) no se puede condicionar únicamente que las actividades o programas correspondan </w:t>
      </w:r>
      <w:r w:rsidRPr="00297B28">
        <w:rPr>
          <w:rFonts w:ascii="Arial" w:hAnsi="Arial" w:cs="Arial"/>
          <w:sz w:val="22"/>
        </w:rPr>
        <w:lastRenderedPageBreak/>
        <w:t>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297B28">
        <w:rPr>
          <w:rFonts w:ascii="Arial" w:hAnsi="Arial" w:cs="Arial"/>
          <w:sz w:val="22"/>
        </w:rPr>
        <w:t>iii</w:t>
      </w:r>
      <w:proofErr w:type="spellEnd"/>
      <w:r w:rsidRPr="00297B28">
        <w:rPr>
          <w:rFonts w:ascii="Arial" w:hAnsi="Arial" w:cs="Arial"/>
          <w:sz w:val="22"/>
        </w:rPr>
        <w:t>); y v) el contrato no establezca una relación conmutativa en el cual haya una contraprestación directa a favor de la entidad, ni instrucciones precisas dadas por esta al contratista para cumplir con el objeto del contrato.</w:t>
      </w:r>
    </w:p>
    <w:p w14:paraId="0CA0032B" w14:textId="3DBE73DD" w:rsidR="009D27BD" w:rsidRPr="00297B28" w:rsidRDefault="009D27BD" w:rsidP="009D27BD">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Ahora, si se pretende realizar un </w:t>
      </w:r>
      <w:r w:rsidRPr="00297B28">
        <w:rPr>
          <w:rFonts w:ascii="Arial" w:eastAsia="Calibri" w:hAnsi="Arial" w:cs="Arial"/>
          <w:i/>
          <w:iCs/>
          <w:sz w:val="22"/>
        </w:rPr>
        <w:t>convenio de asociación</w:t>
      </w:r>
      <w:r w:rsidRPr="00297B28">
        <w:rPr>
          <w:rFonts w:ascii="Arial" w:eastAsia="Calibri" w:hAnsi="Arial" w:cs="Arial"/>
          <w:sz w:val="22"/>
        </w:rPr>
        <w:t xml:space="preserve"> con ESAL de reconocida idoneidad para el cumplimiento de las funciones que la ley les asigna a las entidades públicas, deben aplicar lo dispuesto en el artículo 5 del Decreto </w:t>
      </w:r>
      <w:r w:rsidR="00320CEB">
        <w:rPr>
          <w:rFonts w:ascii="Arial" w:eastAsia="Calibri" w:hAnsi="Arial" w:cs="Arial"/>
          <w:sz w:val="22"/>
        </w:rPr>
        <w:t>0</w:t>
      </w:r>
      <w:r w:rsidRPr="00297B28">
        <w:rPr>
          <w:rFonts w:ascii="Arial" w:eastAsia="Calibri" w:hAnsi="Arial" w:cs="Arial"/>
          <w:sz w:val="22"/>
        </w:rPr>
        <w:t xml:space="preserve">92 de 2017. </w:t>
      </w:r>
    </w:p>
    <w:p w14:paraId="71A64383" w14:textId="77777777" w:rsidR="009D27BD" w:rsidRPr="00297B28" w:rsidRDefault="009D27BD" w:rsidP="009D27BD">
      <w:pPr>
        <w:spacing w:before="120" w:line="276" w:lineRule="auto"/>
        <w:ind w:firstLine="708"/>
        <w:jc w:val="both"/>
        <w:rPr>
          <w:rFonts w:ascii="Arial" w:eastAsia="Calibri" w:hAnsi="Arial" w:cs="Arial"/>
          <w:sz w:val="22"/>
        </w:rPr>
      </w:pPr>
      <w:r w:rsidRPr="00297B28">
        <w:rPr>
          <w:rFonts w:ascii="Arial" w:eastAsia="Calibri" w:hAnsi="Arial" w:cs="Arial"/>
          <w:sz w:val="22"/>
        </w:rPr>
        <w:t>Para los convenios de asociación, como se dijo, el artículo 5 del citado Decreto establece que el proceso para la selección de la ESAL, por regla general, debe estar sujeto a competencia; salvo en aquellos casos en que una entidad sin ánimo de lucro comprometa recursos en dinero por un valor igual o superior al 30% del valor total del convenio</w:t>
      </w:r>
      <w:r w:rsidRPr="00297B28">
        <w:rPr>
          <w:rStyle w:val="Refdenotaalpie"/>
          <w:rFonts w:ascii="Arial" w:hAnsi="Arial" w:cs="Arial"/>
          <w:sz w:val="20"/>
          <w:szCs w:val="20"/>
        </w:rPr>
        <w:footnoteReference w:id="7"/>
      </w:r>
      <w:r w:rsidRPr="00297B28">
        <w:rPr>
          <w:rFonts w:ascii="Arial" w:eastAsia="Calibri" w:hAnsi="Arial" w:cs="Arial"/>
          <w:sz w:val="22"/>
        </w:rPr>
        <w:t>, y siempre que la entidad estatal verifique previamente que no existe ninguna otra entidad sin ánimo de lucro que ofrezca aportes iguales o superiores al 30%.</w:t>
      </w:r>
    </w:p>
    <w:p w14:paraId="1278EFF4" w14:textId="4E6FC1D2" w:rsidR="009D27BD" w:rsidRPr="00297B28" w:rsidRDefault="009D27BD" w:rsidP="009D27BD">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Finalmente, el artículo 9 del Decreto </w:t>
      </w:r>
      <w:r w:rsidR="00320CEB">
        <w:rPr>
          <w:rFonts w:ascii="Arial" w:eastAsia="Calibri" w:hAnsi="Arial" w:cs="Arial"/>
          <w:sz w:val="22"/>
        </w:rPr>
        <w:t>0</w:t>
      </w:r>
      <w:r w:rsidRPr="00297B28">
        <w:rPr>
          <w:rFonts w:ascii="Arial" w:eastAsia="Calibri" w:hAnsi="Arial" w:cs="Arial"/>
          <w:sz w:val="22"/>
        </w:rPr>
        <w:t>92 de 2017 exige a las ESAL de reconocida idoneidad estar inscritas en el SECOP para celebrar convenios con las entidades públicas, razón por la que se debe usar únicamente el SECOP II, pues es la única plataforma que por funcionalidad permite el registro de proveedores</w:t>
      </w:r>
      <w:r w:rsidRPr="00297B28">
        <w:rPr>
          <w:rStyle w:val="Refdenotaalpie"/>
          <w:rFonts w:ascii="Arial" w:eastAsia="Calibri" w:hAnsi="Arial" w:cs="Arial"/>
          <w:sz w:val="22"/>
        </w:rPr>
        <w:footnoteReference w:id="8"/>
      </w:r>
      <w:r w:rsidRPr="00297B28">
        <w:rPr>
          <w:rFonts w:ascii="Arial" w:eastAsia="Calibri" w:hAnsi="Arial" w:cs="Arial"/>
          <w:sz w:val="22"/>
        </w:rPr>
        <w:t xml:space="preserve">. </w:t>
      </w:r>
    </w:p>
    <w:p w14:paraId="1A077346" w14:textId="77777777" w:rsidR="00270098" w:rsidRPr="00FC3D14" w:rsidRDefault="00270098" w:rsidP="00270098">
      <w:pPr>
        <w:pStyle w:val="NormalWeb"/>
        <w:spacing w:before="0" w:beforeAutospacing="0" w:after="0" w:afterAutospacing="0" w:line="276" w:lineRule="auto"/>
        <w:ind w:firstLine="708"/>
        <w:jc w:val="both"/>
        <w:rPr>
          <w:rFonts w:ascii="Arial" w:eastAsiaTheme="minorHAnsi" w:hAnsi="Arial" w:cs="Arial"/>
          <w:sz w:val="20"/>
          <w:szCs w:val="20"/>
          <w:lang w:val="es-MX" w:eastAsia="en-US"/>
        </w:rPr>
      </w:pPr>
    </w:p>
    <w:p w14:paraId="5FFEE6F7" w14:textId="480A7A6F" w:rsidR="002B2434" w:rsidRPr="00977F4C" w:rsidRDefault="002B2434" w:rsidP="00BC01DE">
      <w:pPr>
        <w:tabs>
          <w:tab w:val="left" w:pos="0"/>
        </w:tabs>
        <w:spacing w:line="276" w:lineRule="auto"/>
        <w:jc w:val="both"/>
        <w:rPr>
          <w:rFonts w:ascii="Arial" w:eastAsia="Calibri" w:hAnsi="Arial" w:cs="Arial"/>
          <w:b/>
          <w:sz w:val="22"/>
          <w:lang w:val="es-ES"/>
        </w:rPr>
      </w:pPr>
      <w:r w:rsidRPr="00977F4C">
        <w:rPr>
          <w:rFonts w:ascii="Arial" w:eastAsia="Calibri" w:hAnsi="Arial" w:cs="Arial"/>
          <w:b/>
          <w:sz w:val="22"/>
          <w:lang w:val="es-ES"/>
        </w:rPr>
        <w:t>3. Respuesta</w:t>
      </w:r>
      <w:r w:rsidR="006E6C25">
        <w:rPr>
          <w:rFonts w:ascii="Arial" w:eastAsia="Calibri" w:hAnsi="Arial" w:cs="Arial"/>
          <w:b/>
          <w:sz w:val="22"/>
          <w:lang w:val="es-ES"/>
        </w:rPr>
        <w:t>s</w:t>
      </w:r>
    </w:p>
    <w:p w14:paraId="50EF87F7" w14:textId="77777777" w:rsidR="002B2434" w:rsidRPr="00977F4C" w:rsidRDefault="002B2434" w:rsidP="00BC01DE">
      <w:pPr>
        <w:tabs>
          <w:tab w:val="left" w:pos="0"/>
        </w:tabs>
        <w:spacing w:line="276" w:lineRule="auto"/>
        <w:jc w:val="both"/>
        <w:rPr>
          <w:rFonts w:ascii="Arial" w:eastAsia="Calibri" w:hAnsi="Arial" w:cs="Arial"/>
          <w:sz w:val="20"/>
          <w:szCs w:val="20"/>
          <w:lang w:val="es-ES"/>
        </w:rPr>
      </w:pPr>
    </w:p>
    <w:p w14:paraId="7CA2E7B6" w14:textId="19421984" w:rsidR="002B2434" w:rsidRPr="00391304" w:rsidRDefault="00BF0B7D" w:rsidP="002B2434">
      <w:pPr>
        <w:tabs>
          <w:tab w:val="left" w:pos="426"/>
        </w:tabs>
        <w:ind w:left="709" w:right="758"/>
        <w:jc w:val="both"/>
        <w:rPr>
          <w:rFonts w:ascii="Arial" w:eastAsia="Calibri" w:hAnsi="Arial" w:cs="Arial"/>
          <w:sz w:val="21"/>
          <w:szCs w:val="21"/>
        </w:rPr>
      </w:pPr>
      <w:r>
        <w:rPr>
          <w:rFonts w:ascii="Arial" w:eastAsia="Calibri" w:hAnsi="Arial" w:cs="Arial"/>
          <w:sz w:val="21"/>
          <w:szCs w:val="21"/>
        </w:rPr>
        <w:t>i. «</w:t>
      </w:r>
      <w:r w:rsidR="00D105C4" w:rsidRPr="00D105C4">
        <w:rPr>
          <w:rFonts w:ascii="Arial" w:eastAsia="Calibri" w:hAnsi="Arial" w:cs="Arial"/>
          <w:sz w:val="21"/>
          <w:szCs w:val="21"/>
        </w:rPr>
        <w:t>Puede una entidad pública adelantar un convenio con una ESAL para capacitar, formar, educar (pagar especialización) a un grupo de personas en el marco de unos acuerdos en el marco del plan nacional de desarrollo</w:t>
      </w:r>
      <w:r w:rsidR="0098728E" w:rsidRPr="00391304">
        <w:rPr>
          <w:rFonts w:ascii="Arial" w:eastAsia="Calibri" w:hAnsi="Arial" w:cs="Arial"/>
          <w:sz w:val="21"/>
          <w:szCs w:val="21"/>
        </w:rPr>
        <w:t>?»</w:t>
      </w:r>
      <w:r>
        <w:rPr>
          <w:rFonts w:ascii="Arial" w:eastAsia="Calibri" w:hAnsi="Arial" w:cs="Arial"/>
          <w:sz w:val="21"/>
          <w:szCs w:val="21"/>
        </w:rPr>
        <w:t>.</w:t>
      </w:r>
    </w:p>
    <w:p w14:paraId="10A01C58" w14:textId="77777777" w:rsidR="002B2434" w:rsidRPr="00977F4C" w:rsidRDefault="002B2434" w:rsidP="002B2434">
      <w:pPr>
        <w:tabs>
          <w:tab w:val="left" w:pos="426"/>
        </w:tabs>
        <w:ind w:right="758"/>
        <w:jc w:val="both"/>
        <w:rPr>
          <w:rFonts w:ascii="Arial" w:eastAsia="Calibri" w:hAnsi="Arial" w:cs="Arial"/>
          <w:sz w:val="21"/>
          <w:szCs w:val="21"/>
          <w:highlight w:val="yellow"/>
        </w:rPr>
      </w:pPr>
    </w:p>
    <w:p w14:paraId="348AB4AB" w14:textId="77777777" w:rsidR="00DD233E" w:rsidRDefault="00DD233E" w:rsidP="00DD233E">
      <w:pPr>
        <w:spacing w:after="120" w:line="276" w:lineRule="auto"/>
        <w:ind w:firstLine="708"/>
        <w:jc w:val="both"/>
        <w:rPr>
          <w:rFonts w:ascii="Arial" w:hAnsi="Arial" w:cs="Arial"/>
          <w:sz w:val="22"/>
        </w:rPr>
      </w:pPr>
      <w:bookmarkStart w:id="4" w:name="_Hlk45453685"/>
      <w:r>
        <w:rPr>
          <w:rFonts w:ascii="Arial" w:hAnsi="Arial" w:cs="Arial"/>
          <w:sz w:val="22"/>
        </w:rPr>
        <w:t xml:space="preserve">De conformidad con la competencia otorgada por el numeral 5 del artículo 3 y el numeral 8 del artículo 11 del Decreto 4170 de 2011, la Agencia Nacional de Contratación Pública - Colombia Compra Eficiente tiene competencia para atender consultas relativas a temas contractuales, pero solo para «absolver consultas sobre la aplicación de normas de </w:t>
      </w:r>
      <w:r>
        <w:rPr>
          <w:rFonts w:ascii="Arial" w:hAnsi="Arial" w:cs="Arial"/>
          <w:sz w:val="22"/>
        </w:rPr>
        <w:lastRenderedPageBreak/>
        <w:t>carácter general</w:t>
      </w:r>
      <w:r>
        <w:rPr>
          <w:rFonts w:ascii="Arial" w:eastAsia="Calibri" w:hAnsi="Arial" w:cs="Arial"/>
          <w:sz w:val="22"/>
        </w:rPr>
        <w:t>»</w:t>
      </w:r>
      <w:r>
        <w:rPr>
          <w:rStyle w:val="Refdenotaalpie"/>
          <w:rFonts w:ascii="Arial" w:hAnsi="Arial" w:cs="Arial"/>
          <w:sz w:val="22"/>
        </w:rPr>
        <w:footnoteReference w:id="9"/>
      </w:r>
      <w:r>
        <w:rPr>
          <w:rFonts w:ascii="Arial" w:hAnsi="Arial" w:cs="Arial"/>
          <w:sz w:val="22"/>
        </w:rPr>
        <w:t xml:space="preserve">. Esto significa que no podemos pronunciarnos sobre situaciones o casos particulares. </w:t>
      </w:r>
    </w:p>
    <w:p w14:paraId="4841D14C" w14:textId="3ED34D6C" w:rsidR="00DD233E" w:rsidRDefault="00DD233E" w:rsidP="00DD233E">
      <w:pPr>
        <w:spacing w:before="120" w:after="120" w:line="276" w:lineRule="auto"/>
        <w:ind w:firstLine="709"/>
        <w:jc w:val="both"/>
        <w:rPr>
          <w:rFonts w:ascii="Arial" w:hAnsi="Arial" w:cs="Arial"/>
          <w:sz w:val="22"/>
        </w:rPr>
      </w:pPr>
      <w:bookmarkStart w:id="5" w:name="_Hlk45453940"/>
      <w:bookmarkEnd w:id="4"/>
      <w:r>
        <w:rPr>
          <w:rFonts w:ascii="Arial" w:hAnsi="Arial" w:cs="Arial"/>
          <w:sz w:val="22"/>
        </w:rPr>
        <w:t xml:space="preserve">Teniendo en cuenta que su pregunta está dirigida a establecer la posibilidad de que una entidad adelante una contratación específica, la Agencia Nacional de Contratación Pública – Colombia Compra Eficiente no puede responder, toda vez que su consulta no se refiere a la aplicación de una norma de carácter general sino a una situación específica, de carácter particular, pues su petición está relacionada con un procedimiento de contratación específico. En efecto, no se solicita que se absuelvan dudas sobre la aplicación de una norma de carácter general en materia de compras y contratación pública, sino que se solucione un problema jurídico, cuya resolución desborda la competencia consultiva de esta entidad. </w:t>
      </w:r>
    </w:p>
    <w:bookmarkEnd w:id="5"/>
    <w:p w14:paraId="20072DE6" w14:textId="77777777" w:rsidR="00DD233E" w:rsidRDefault="00DD233E" w:rsidP="00DD233E">
      <w:pPr>
        <w:spacing w:before="120" w:after="120" w:line="276" w:lineRule="auto"/>
        <w:ind w:firstLine="709"/>
        <w:jc w:val="both"/>
        <w:rPr>
          <w:rFonts w:ascii="Arial" w:hAnsi="Arial" w:cs="Arial"/>
          <w:sz w:val="22"/>
        </w:rPr>
      </w:pPr>
      <w:r>
        <w:rPr>
          <w:rFonts w:ascii="Arial" w:hAnsi="Arial" w:cs="Arial"/>
          <w:sz w:val="22"/>
        </w:rPr>
        <w:t>Se reitera que la competencia consultiva de esta entidad fue acotada de manera precisa por el numeral 5 del artículo 3 y el numeral 8 del artículo 11 del Decreto 4170 de 2011 y debe ser ejercida en esos términos, pues admitir dudas de todo tipo, esto es, casos particulares o preguntas jurídicas abstractas que no involucran la aplicación o interpretación de una norma, no sólo implicaría actuar por fuera de la competencia asignada por el legislador sino, además, desnaturalizaría el objetivo institucional de servir de «guía a los administradores públicos en la gestión y ejecución de recursos, que permita que su quehacer institucional pueda ser medido, monitoreado y evaluado y genere mayor transparencia en las compras y la contratación pública</w:t>
      </w:r>
      <w:r>
        <w:rPr>
          <w:rFonts w:ascii="Arial" w:eastAsia="Calibri" w:hAnsi="Arial" w:cs="Arial"/>
          <w:sz w:val="22"/>
        </w:rPr>
        <w:t>»</w:t>
      </w:r>
      <w:r>
        <w:rPr>
          <w:rFonts w:ascii="Arial" w:hAnsi="Arial" w:cs="Arial"/>
          <w:vertAlign w:val="superscript"/>
        </w:rPr>
        <w:footnoteReference w:id="10"/>
      </w:r>
      <w:r>
        <w:rPr>
          <w:rFonts w:ascii="Arial" w:hAnsi="Arial" w:cs="Arial"/>
          <w:sz w:val="22"/>
        </w:rPr>
        <w:t>.</w:t>
      </w:r>
    </w:p>
    <w:p w14:paraId="4E788980" w14:textId="34617AF4" w:rsidR="00DD233E" w:rsidRDefault="00DD233E" w:rsidP="00320CEB">
      <w:pPr>
        <w:spacing w:line="276" w:lineRule="auto"/>
        <w:ind w:firstLine="709"/>
        <w:jc w:val="both"/>
        <w:rPr>
          <w:rFonts w:ascii="Arial" w:hAnsi="Arial" w:cs="Arial"/>
          <w:sz w:val="22"/>
        </w:rPr>
      </w:pPr>
      <w:r>
        <w:rPr>
          <w:rFonts w:ascii="Arial" w:hAnsi="Arial" w:cs="Arial"/>
          <w:sz w:val="22"/>
        </w:rPr>
        <w:t>De otro lado, si bien el artículo 21 de la Ley 1437 de 2011 señala que si la autoridad a quien se dirige la petición no es la competente, se informará al interesado dentro de los cinco (5) días siguientes a la recepción, si obró por escrito, y remitirá la petición al competente con copia del oficio remisorio al peticionario; pero en caso de no existir funcionario competente así se lo comunicará. Precisamente, teniendo en cuenta que no existe alguna autoridad que tenga el deber de resolver su caso, le comunicamos que no es posible remitir la petición a otra entidad.</w:t>
      </w:r>
    </w:p>
    <w:p w14:paraId="34E404D3" w14:textId="77777777" w:rsidR="00DD233E" w:rsidRDefault="00DD233E" w:rsidP="00320CEB">
      <w:pPr>
        <w:spacing w:line="276" w:lineRule="auto"/>
        <w:ind w:firstLine="708"/>
        <w:jc w:val="both"/>
        <w:rPr>
          <w:rFonts w:ascii="Arial" w:hAnsi="Arial" w:cs="Arial"/>
          <w:color w:val="000000" w:themeColor="text1"/>
          <w:sz w:val="22"/>
        </w:rPr>
      </w:pPr>
    </w:p>
    <w:p w14:paraId="10F2B625" w14:textId="17D9A004" w:rsidR="00DD233E" w:rsidRPr="007D1B49" w:rsidRDefault="006527DB" w:rsidP="00320CEB">
      <w:pPr>
        <w:tabs>
          <w:tab w:val="left" w:pos="426"/>
        </w:tabs>
        <w:ind w:left="709" w:right="758"/>
        <w:jc w:val="both"/>
        <w:rPr>
          <w:rFonts w:ascii="Arial" w:eastAsia="Calibri" w:hAnsi="Arial" w:cs="Arial"/>
          <w:sz w:val="21"/>
          <w:szCs w:val="21"/>
        </w:rPr>
      </w:pPr>
      <w:proofErr w:type="spellStart"/>
      <w:r>
        <w:rPr>
          <w:rFonts w:ascii="Arial" w:eastAsia="Calibri" w:hAnsi="Arial" w:cs="Arial"/>
          <w:sz w:val="21"/>
          <w:szCs w:val="21"/>
        </w:rPr>
        <w:t>ii</w:t>
      </w:r>
      <w:proofErr w:type="spellEnd"/>
      <w:r>
        <w:rPr>
          <w:rFonts w:ascii="Arial" w:eastAsia="Calibri" w:hAnsi="Arial" w:cs="Arial"/>
          <w:sz w:val="21"/>
          <w:szCs w:val="21"/>
        </w:rPr>
        <w:t>)</w:t>
      </w:r>
      <w:r w:rsidR="00DD233E" w:rsidRPr="007D1B49">
        <w:rPr>
          <w:rFonts w:ascii="Arial" w:eastAsia="Calibri" w:hAnsi="Arial" w:cs="Arial"/>
          <w:sz w:val="21"/>
          <w:szCs w:val="21"/>
        </w:rPr>
        <w:t xml:space="preserve"> </w:t>
      </w:r>
      <w:r>
        <w:rPr>
          <w:rFonts w:ascii="Arial" w:eastAsia="Calibri" w:hAnsi="Arial" w:cs="Arial"/>
          <w:sz w:val="21"/>
          <w:szCs w:val="21"/>
        </w:rPr>
        <w:t>«</w:t>
      </w:r>
      <w:r w:rsidR="00DD233E" w:rsidRPr="007D1B49">
        <w:rPr>
          <w:rFonts w:ascii="Arial" w:eastAsia="Calibri" w:hAnsi="Arial" w:cs="Arial"/>
          <w:sz w:val="21"/>
          <w:szCs w:val="21"/>
        </w:rPr>
        <w:t>El consejo de estado tiene suspendido unos incisos de los artículos del Decreto 092 de 2017, se puede adelantar convenios de colaboración o asociación?»</w:t>
      </w:r>
      <w:r>
        <w:rPr>
          <w:rFonts w:ascii="Arial" w:eastAsia="Calibri" w:hAnsi="Arial" w:cs="Arial"/>
          <w:sz w:val="21"/>
          <w:szCs w:val="21"/>
        </w:rPr>
        <w:t>.</w:t>
      </w:r>
    </w:p>
    <w:p w14:paraId="4A425413" w14:textId="77777777" w:rsidR="00DD233E" w:rsidRPr="00282352" w:rsidRDefault="00DD233E" w:rsidP="00320CEB">
      <w:pPr>
        <w:tabs>
          <w:tab w:val="left" w:pos="426"/>
        </w:tabs>
        <w:ind w:right="758"/>
        <w:jc w:val="both"/>
        <w:rPr>
          <w:rFonts w:ascii="Arial" w:eastAsia="Calibri" w:hAnsi="Arial" w:cs="Arial"/>
          <w:sz w:val="22"/>
          <w:highlight w:val="yellow"/>
        </w:rPr>
      </w:pPr>
    </w:p>
    <w:p w14:paraId="67FB2DC2" w14:textId="2478FC90" w:rsidR="00320CEB" w:rsidRDefault="00622535" w:rsidP="00320CEB">
      <w:pPr>
        <w:spacing w:after="120" w:line="276" w:lineRule="auto"/>
        <w:ind w:firstLine="709"/>
        <w:jc w:val="both"/>
        <w:rPr>
          <w:rFonts w:ascii="Arial" w:hAnsi="Arial" w:cs="Arial"/>
          <w:sz w:val="22"/>
        </w:rPr>
      </w:pPr>
      <w:r w:rsidRPr="00622535">
        <w:rPr>
          <w:rFonts w:ascii="Arial" w:hAnsi="Arial" w:cs="Arial"/>
          <w:sz w:val="22"/>
        </w:rPr>
        <w:t>El Decreto 092 de 2017</w:t>
      </w:r>
      <w:r w:rsidR="006527DB">
        <w:rPr>
          <w:rFonts w:ascii="Arial" w:hAnsi="Arial" w:cs="Arial"/>
          <w:sz w:val="22"/>
        </w:rPr>
        <w:t xml:space="preserve"> desarrolló los contratos </w:t>
      </w:r>
      <w:r w:rsidR="00BB0EDE">
        <w:rPr>
          <w:rFonts w:ascii="Arial" w:hAnsi="Arial" w:cs="Arial"/>
          <w:sz w:val="22"/>
        </w:rPr>
        <w:t>d</w:t>
      </w:r>
      <w:r w:rsidR="006527DB">
        <w:rPr>
          <w:rFonts w:ascii="Arial" w:hAnsi="Arial" w:cs="Arial"/>
          <w:sz w:val="22"/>
        </w:rPr>
        <w:t>el artículo 355</w:t>
      </w:r>
      <w:r w:rsidR="009B3063">
        <w:rPr>
          <w:rFonts w:ascii="Arial" w:hAnsi="Arial" w:cs="Arial"/>
          <w:sz w:val="22"/>
        </w:rPr>
        <w:t>, inciso segundo,</w:t>
      </w:r>
      <w:r w:rsidR="006527DB">
        <w:rPr>
          <w:rFonts w:ascii="Arial" w:hAnsi="Arial" w:cs="Arial"/>
          <w:sz w:val="22"/>
        </w:rPr>
        <w:t xml:space="preserve"> de la Constitución Política</w:t>
      </w:r>
      <w:r w:rsidR="00BB0EDE">
        <w:rPr>
          <w:rFonts w:ascii="Arial" w:hAnsi="Arial" w:cs="Arial"/>
          <w:sz w:val="22"/>
        </w:rPr>
        <w:t xml:space="preserve"> así como los convenios de asociación del artículo 96 de la Ley 489 de 1998</w:t>
      </w:r>
      <w:r>
        <w:rPr>
          <w:rFonts w:ascii="Arial" w:hAnsi="Arial" w:cs="Arial"/>
          <w:sz w:val="22"/>
        </w:rPr>
        <w:t>.</w:t>
      </w:r>
      <w:r w:rsidR="007D1B49">
        <w:rPr>
          <w:rFonts w:ascii="Arial" w:hAnsi="Arial" w:cs="Arial"/>
          <w:sz w:val="22"/>
        </w:rPr>
        <w:t xml:space="preserve"> </w:t>
      </w:r>
      <w:r w:rsidRPr="00622535">
        <w:rPr>
          <w:rFonts w:ascii="Arial" w:hAnsi="Arial" w:cs="Arial"/>
          <w:sz w:val="22"/>
        </w:rPr>
        <w:t>Actualmente el Decreto 092 de 2017 se encuentra suspendido</w:t>
      </w:r>
      <w:r w:rsidR="007D1B49">
        <w:rPr>
          <w:rFonts w:ascii="Arial" w:hAnsi="Arial" w:cs="Arial"/>
          <w:sz w:val="22"/>
        </w:rPr>
        <w:t xml:space="preserve"> </w:t>
      </w:r>
      <w:r w:rsidRPr="00622535">
        <w:rPr>
          <w:rFonts w:ascii="Arial" w:hAnsi="Arial" w:cs="Arial"/>
          <w:sz w:val="22"/>
        </w:rPr>
        <w:t>provisionalmente en los</w:t>
      </w:r>
      <w:r>
        <w:rPr>
          <w:rFonts w:ascii="Arial" w:hAnsi="Arial" w:cs="Arial"/>
          <w:sz w:val="22"/>
        </w:rPr>
        <w:t xml:space="preserve"> </w:t>
      </w:r>
      <w:r w:rsidRPr="00622535">
        <w:rPr>
          <w:rFonts w:ascii="Arial" w:hAnsi="Arial" w:cs="Arial"/>
          <w:sz w:val="22"/>
        </w:rPr>
        <w:t>artículos 1</w:t>
      </w:r>
      <w:r w:rsidR="009B3063">
        <w:rPr>
          <w:rFonts w:ascii="Arial" w:hAnsi="Arial" w:cs="Arial"/>
          <w:sz w:val="22"/>
        </w:rPr>
        <w:t>,</w:t>
      </w:r>
      <w:r w:rsidRPr="00622535">
        <w:rPr>
          <w:rFonts w:ascii="Arial" w:hAnsi="Arial" w:cs="Arial"/>
          <w:sz w:val="22"/>
        </w:rPr>
        <w:t xml:space="preserve"> inciso segundo</w:t>
      </w:r>
      <w:r w:rsidR="009B3063">
        <w:rPr>
          <w:rFonts w:ascii="Arial" w:hAnsi="Arial" w:cs="Arial"/>
          <w:sz w:val="22"/>
        </w:rPr>
        <w:t>;</w:t>
      </w:r>
      <w:r w:rsidRPr="00622535">
        <w:rPr>
          <w:rFonts w:ascii="Arial" w:hAnsi="Arial" w:cs="Arial"/>
          <w:sz w:val="22"/>
        </w:rPr>
        <w:t xml:space="preserve"> </w:t>
      </w:r>
      <w:r w:rsidR="007D1B49" w:rsidRPr="00622535">
        <w:rPr>
          <w:rFonts w:ascii="Arial" w:hAnsi="Arial" w:cs="Arial"/>
          <w:sz w:val="22"/>
        </w:rPr>
        <w:t>art</w:t>
      </w:r>
      <w:r w:rsidR="007D1B49">
        <w:rPr>
          <w:rFonts w:ascii="Arial" w:hAnsi="Arial" w:cs="Arial"/>
          <w:sz w:val="22"/>
        </w:rPr>
        <w:t>í</w:t>
      </w:r>
      <w:r w:rsidR="007D1B49" w:rsidRPr="00622535">
        <w:rPr>
          <w:rFonts w:ascii="Arial" w:hAnsi="Arial" w:cs="Arial"/>
          <w:sz w:val="22"/>
        </w:rPr>
        <w:t>culo 2</w:t>
      </w:r>
      <w:r w:rsidR="009B3063">
        <w:rPr>
          <w:rFonts w:ascii="Arial" w:hAnsi="Arial" w:cs="Arial"/>
          <w:sz w:val="22"/>
        </w:rPr>
        <w:t>,</w:t>
      </w:r>
      <w:r w:rsidR="007D1B49" w:rsidRPr="00622535">
        <w:rPr>
          <w:rFonts w:ascii="Arial" w:hAnsi="Arial" w:cs="Arial"/>
          <w:sz w:val="22"/>
        </w:rPr>
        <w:t xml:space="preserve"> literal</w:t>
      </w:r>
      <w:r w:rsidR="009B3063">
        <w:rPr>
          <w:rFonts w:ascii="Arial" w:hAnsi="Arial" w:cs="Arial"/>
          <w:sz w:val="22"/>
        </w:rPr>
        <w:t>es</w:t>
      </w:r>
      <w:r w:rsidR="007D1B49" w:rsidRPr="00622535">
        <w:rPr>
          <w:rFonts w:ascii="Arial" w:hAnsi="Arial" w:cs="Arial"/>
          <w:sz w:val="22"/>
        </w:rPr>
        <w:t xml:space="preserve"> a</w:t>
      </w:r>
      <w:r w:rsidR="009B3063">
        <w:rPr>
          <w:rFonts w:ascii="Arial" w:hAnsi="Arial" w:cs="Arial"/>
          <w:sz w:val="22"/>
        </w:rPr>
        <w:t>)</w:t>
      </w:r>
      <w:r w:rsidR="007D1B49" w:rsidRPr="00622535">
        <w:rPr>
          <w:rFonts w:ascii="Arial" w:hAnsi="Arial" w:cs="Arial"/>
          <w:sz w:val="22"/>
        </w:rPr>
        <w:t xml:space="preserve"> y c</w:t>
      </w:r>
      <w:r w:rsidR="009B3063">
        <w:rPr>
          <w:rFonts w:ascii="Arial" w:hAnsi="Arial" w:cs="Arial"/>
          <w:sz w:val="22"/>
        </w:rPr>
        <w:t>)</w:t>
      </w:r>
      <w:r w:rsidR="007D1B49" w:rsidRPr="00622535">
        <w:rPr>
          <w:rFonts w:ascii="Arial" w:hAnsi="Arial" w:cs="Arial"/>
          <w:sz w:val="22"/>
        </w:rPr>
        <w:t xml:space="preserve"> </w:t>
      </w:r>
      <w:r w:rsidR="009B3063">
        <w:rPr>
          <w:rFonts w:ascii="Arial" w:hAnsi="Arial" w:cs="Arial"/>
          <w:sz w:val="22"/>
        </w:rPr>
        <w:t>así como el</w:t>
      </w:r>
      <w:r w:rsidR="007D1B49" w:rsidRPr="00622535">
        <w:rPr>
          <w:rFonts w:ascii="Arial" w:hAnsi="Arial" w:cs="Arial"/>
          <w:sz w:val="22"/>
        </w:rPr>
        <w:t xml:space="preserve"> inciso</w:t>
      </w:r>
      <w:r w:rsidR="007D1B49">
        <w:rPr>
          <w:rFonts w:ascii="Arial" w:hAnsi="Arial" w:cs="Arial"/>
          <w:sz w:val="22"/>
        </w:rPr>
        <w:t xml:space="preserve"> </w:t>
      </w:r>
      <w:r w:rsidR="007D1B49" w:rsidRPr="00622535">
        <w:rPr>
          <w:rFonts w:ascii="Arial" w:hAnsi="Arial" w:cs="Arial"/>
          <w:sz w:val="22"/>
        </w:rPr>
        <w:t>quinto</w:t>
      </w:r>
      <w:r w:rsidR="009B3063">
        <w:rPr>
          <w:rFonts w:ascii="Arial" w:hAnsi="Arial" w:cs="Arial"/>
          <w:sz w:val="22"/>
        </w:rPr>
        <w:t>;</w:t>
      </w:r>
      <w:r w:rsidR="007D1B49">
        <w:rPr>
          <w:rFonts w:ascii="Arial" w:hAnsi="Arial" w:cs="Arial"/>
          <w:sz w:val="22"/>
        </w:rPr>
        <w:t xml:space="preserve"> </w:t>
      </w:r>
      <w:r w:rsidRPr="00622535">
        <w:rPr>
          <w:rFonts w:ascii="Arial" w:hAnsi="Arial" w:cs="Arial"/>
          <w:sz w:val="22"/>
        </w:rPr>
        <w:t>artículo 3</w:t>
      </w:r>
      <w:r w:rsidR="009B3063">
        <w:rPr>
          <w:rFonts w:ascii="Arial" w:hAnsi="Arial" w:cs="Arial"/>
          <w:sz w:val="22"/>
        </w:rPr>
        <w:t>,</w:t>
      </w:r>
      <w:r w:rsidRPr="00622535">
        <w:rPr>
          <w:rFonts w:ascii="Arial" w:hAnsi="Arial" w:cs="Arial"/>
          <w:sz w:val="22"/>
        </w:rPr>
        <w:t xml:space="preserve"> inciso segundo</w:t>
      </w:r>
      <w:r w:rsidR="009B3063">
        <w:rPr>
          <w:rFonts w:ascii="Arial" w:hAnsi="Arial" w:cs="Arial"/>
          <w:sz w:val="22"/>
        </w:rPr>
        <w:t>;</w:t>
      </w:r>
      <w:r w:rsidRPr="00622535">
        <w:rPr>
          <w:rFonts w:ascii="Arial" w:hAnsi="Arial" w:cs="Arial"/>
          <w:sz w:val="22"/>
        </w:rPr>
        <w:t xml:space="preserve"> y </w:t>
      </w:r>
      <w:r w:rsidR="00320CEB">
        <w:rPr>
          <w:rFonts w:ascii="Arial" w:hAnsi="Arial" w:cs="Arial"/>
          <w:sz w:val="22"/>
        </w:rPr>
        <w:t xml:space="preserve">el inciso final del </w:t>
      </w:r>
      <w:r w:rsidRPr="00622535">
        <w:rPr>
          <w:rFonts w:ascii="Arial" w:hAnsi="Arial" w:cs="Arial"/>
          <w:sz w:val="22"/>
        </w:rPr>
        <w:t>art</w:t>
      </w:r>
      <w:r w:rsidR="007D1B49">
        <w:rPr>
          <w:rFonts w:ascii="Arial" w:hAnsi="Arial" w:cs="Arial"/>
          <w:sz w:val="22"/>
        </w:rPr>
        <w:t>í</w:t>
      </w:r>
      <w:r w:rsidRPr="00622535">
        <w:rPr>
          <w:rFonts w:ascii="Arial" w:hAnsi="Arial" w:cs="Arial"/>
          <w:sz w:val="22"/>
        </w:rPr>
        <w:t>culo 4.</w:t>
      </w:r>
      <w:r w:rsidR="00DD233E">
        <w:rPr>
          <w:rFonts w:ascii="Arial" w:hAnsi="Arial" w:cs="Arial"/>
          <w:sz w:val="22"/>
        </w:rPr>
        <w:t xml:space="preserve"> </w:t>
      </w:r>
      <w:r w:rsidR="007D1B49">
        <w:rPr>
          <w:rFonts w:ascii="Arial" w:hAnsi="Arial" w:cs="Arial"/>
          <w:sz w:val="22"/>
        </w:rPr>
        <w:t xml:space="preserve">Por tanto, respecto </w:t>
      </w:r>
      <w:r w:rsidR="00C30789">
        <w:rPr>
          <w:rFonts w:ascii="Arial" w:hAnsi="Arial" w:cs="Arial"/>
          <w:sz w:val="22"/>
        </w:rPr>
        <w:t>a</w:t>
      </w:r>
      <w:r w:rsidR="009B3063">
        <w:rPr>
          <w:rFonts w:ascii="Arial" w:hAnsi="Arial" w:cs="Arial"/>
          <w:sz w:val="22"/>
        </w:rPr>
        <w:t xml:space="preserve"> los contratos de que trata el inciso segundo del artículo 355 superior</w:t>
      </w:r>
      <w:r w:rsidR="007D1B49">
        <w:rPr>
          <w:rFonts w:ascii="Arial" w:hAnsi="Arial" w:cs="Arial"/>
          <w:sz w:val="22"/>
        </w:rPr>
        <w:t>, se debe tener en cuenta que las entidades los pueden celebrar</w:t>
      </w:r>
      <w:r w:rsidR="009B3063">
        <w:rPr>
          <w:rFonts w:ascii="Arial" w:hAnsi="Arial" w:cs="Arial"/>
          <w:sz w:val="22"/>
        </w:rPr>
        <w:t>,</w:t>
      </w:r>
      <w:r w:rsidR="007D1B49">
        <w:rPr>
          <w:rFonts w:ascii="Arial" w:hAnsi="Arial" w:cs="Arial"/>
          <w:sz w:val="22"/>
        </w:rPr>
        <w:t xml:space="preserve"> pero </w:t>
      </w:r>
      <w:r w:rsidR="009B3063">
        <w:rPr>
          <w:rFonts w:ascii="Arial" w:hAnsi="Arial" w:cs="Arial"/>
          <w:sz w:val="22"/>
        </w:rPr>
        <w:t>–</w:t>
      </w:r>
      <w:r w:rsidR="007D1B49">
        <w:rPr>
          <w:rFonts w:ascii="Arial" w:hAnsi="Arial" w:cs="Arial"/>
          <w:sz w:val="22"/>
        </w:rPr>
        <w:t>al estar regulados en los artículos 2, 3 y 4</w:t>
      </w:r>
      <w:r w:rsidR="009B3063">
        <w:rPr>
          <w:rFonts w:ascii="Arial" w:hAnsi="Arial" w:cs="Arial"/>
          <w:sz w:val="22"/>
        </w:rPr>
        <w:t>–</w:t>
      </w:r>
      <w:r w:rsidR="007D1B49">
        <w:rPr>
          <w:rFonts w:ascii="Arial" w:hAnsi="Arial" w:cs="Arial"/>
          <w:sz w:val="22"/>
        </w:rPr>
        <w:t xml:space="preserve"> no es posible aplicar los apartes suspendidos </w:t>
      </w:r>
      <w:r w:rsidR="009B3063">
        <w:rPr>
          <w:rFonts w:ascii="Arial" w:hAnsi="Arial" w:cs="Arial"/>
          <w:sz w:val="22"/>
        </w:rPr>
        <w:t>en estas disposiciones</w:t>
      </w:r>
      <w:r w:rsidR="007D1B49">
        <w:rPr>
          <w:rFonts w:ascii="Arial" w:hAnsi="Arial" w:cs="Arial"/>
          <w:sz w:val="22"/>
        </w:rPr>
        <w:t>.</w:t>
      </w:r>
    </w:p>
    <w:p w14:paraId="4FAC3269" w14:textId="3936239A" w:rsidR="00320CEB" w:rsidRDefault="00320CEB" w:rsidP="00320CEB">
      <w:pPr>
        <w:spacing w:after="120" w:line="276" w:lineRule="auto"/>
        <w:ind w:firstLine="709"/>
        <w:jc w:val="both"/>
        <w:rPr>
          <w:rFonts w:ascii="Arial" w:hAnsi="Arial" w:cs="Arial"/>
          <w:sz w:val="22"/>
        </w:rPr>
      </w:pPr>
      <w:r w:rsidRPr="00320CEB">
        <w:rPr>
          <w:rFonts w:ascii="Arial" w:hAnsi="Arial" w:cs="Arial"/>
          <w:sz w:val="22"/>
        </w:rPr>
        <w:t>En lo que se refiere</w:t>
      </w:r>
      <w:r w:rsidR="007D1B49">
        <w:rPr>
          <w:rFonts w:ascii="Arial" w:hAnsi="Arial" w:cs="Arial"/>
          <w:sz w:val="22"/>
        </w:rPr>
        <w:t xml:space="preserve"> a los convenios de asociación, estos están regulados en el a</w:t>
      </w:r>
      <w:r w:rsidRPr="00320CEB">
        <w:rPr>
          <w:rFonts w:ascii="Arial" w:hAnsi="Arial" w:cs="Arial"/>
          <w:sz w:val="22"/>
        </w:rPr>
        <w:t>rtículo 5 del Decreto 092 de 2017,</w:t>
      </w:r>
      <w:r w:rsidR="007D1B49">
        <w:rPr>
          <w:rFonts w:ascii="Arial" w:hAnsi="Arial" w:cs="Arial"/>
          <w:sz w:val="22"/>
        </w:rPr>
        <w:t xml:space="preserve"> y sobre su ámbito de aplicación</w:t>
      </w:r>
      <w:r w:rsidRPr="00320CEB">
        <w:rPr>
          <w:rFonts w:ascii="Arial" w:hAnsi="Arial" w:cs="Arial"/>
          <w:sz w:val="22"/>
        </w:rPr>
        <w:t xml:space="preserve"> es</w:t>
      </w:r>
      <w:r>
        <w:rPr>
          <w:rFonts w:ascii="Arial" w:hAnsi="Arial" w:cs="Arial"/>
          <w:sz w:val="22"/>
        </w:rPr>
        <w:t xml:space="preserve"> </w:t>
      </w:r>
      <w:r w:rsidRPr="00320CEB">
        <w:rPr>
          <w:rFonts w:ascii="Arial" w:hAnsi="Arial" w:cs="Arial"/>
          <w:sz w:val="22"/>
        </w:rPr>
        <w:t xml:space="preserve">importante señalar que es diferente respecto de los demás artículos del </w:t>
      </w:r>
      <w:r w:rsidR="00C30789">
        <w:rPr>
          <w:rFonts w:ascii="Arial" w:hAnsi="Arial" w:cs="Arial"/>
          <w:sz w:val="22"/>
        </w:rPr>
        <w:t>reglamento autónomo</w:t>
      </w:r>
      <w:r w:rsidRPr="00320CEB">
        <w:rPr>
          <w:rFonts w:ascii="Arial" w:hAnsi="Arial" w:cs="Arial"/>
          <w:sz w:val="22"/>
        </w:rPr>
        <w:t>, porqu</w:t>
      </w:r>
      <w:r>
        <w:rPr>
          <w:rFonts w:ascii="Arial" w:hAnsi="Arial" w:cs="Arial"/>
          <w:sz w:val="22"/>
        </w:rPr>
        <w:t xml:space="preserve">e </w:t>
      </w:r>
      <w:r w:rsidR="00C30789">
        <w:rPr>
          <w:rFonts w:ascii="Arial" w:hAnsi="Arial" w:cs="Arial"/>
          <w:sz w:val="22"/>
        </w:rPr>
        <w:t>no están sujetos a competencia cuando</w:t>
      </w:r>
      <w:r w:rsidRPr="00320CEB">
        <w:rPr>
          <w:rFonts w:ascii="Arial" w:hAnsi="Arial" w:cs="Arial"/>
          <w:sz w:val="22"/>
        </w:rPr>
        <w:t xml:space="preserve"> las entidades sin ánimo de lucro comprometan</w:t>
      </w:r>
      <w:r>
        <w:rPr>
          <w:rFonts w:ascii="Arial" w:hAnsi="Arial" w:cs="Arial"/>
          <w:sz w:val="22"/>
        </w:rPr>
        <w:t xml:space="preserve"> </w:t>
      </w:r>
      <w:r w:rsidRPr="00320CEB">
        <w:rPr>
          <w:rFonts w:ascii="Arial" w:hAnsi="Arial" w:cs="Arial"/>
          <w:sz w:val="22"/>
        </w:rPr>
        <w:t>recursos en dinero propios o provenientes de cooperación internacional para la ejecución</w:t>
      </w:r>
      <w:r>
        <w:rPr>
          <w:rFonts w:ascii="Arial" w:hAnsi="Arial" w:cs="Arial"/>
          <w:sz w:val="22"/>
        </w:rPr>
        <w:t xml:space="preserve"> </w:t>
      </w:r>
      <w:r w:rsidRPr="00320CEB">
        <w:rPr>
          <w:rFonts w:ascii="Arial" w:hAnsi="Arial" w:cs="Arial"/>
          <w:sz w:val="22"/>
        </w:rPr>
        <w:t>de esas actividades en una participación que no sea menor al 30% del valor total del</w:t>
      </w:r>
      <w:r>
        <w:rPr>
          <w:rFonts w:ascii="Arial" w:hAnsi="Arial" w:cs="Arial"/>
          <w:sz w:val="22"/>
        </w:rPr>
        <w:t xml:space="preserve"> </w:t>
      </w:r>
      <w:r w:rsidRPr="00320CEB">
        <w:rPr>
          <w:rFonts w:ascii="Arial" w:hAnsi="Arial" w:cs="Arial"/>
          <w:sz w:val="22"/>
        </w:rPr>
        <w:t>convenio.</w:t>
      </w:r>
      <w:r>
        <w:rPr>
          <w:rFonts w:ascii="Arial" w:hAnsi="Arial" w:cs="Arial"/>
          <w:sz w:val="22"/>
        </w:rPr>
        <w:t xml:space="preserve"> </w:t>
      </w:r>
    </w:p>
    <w:p w14:paraId="6DA0444D" w14:textId="34FB237D" w:rsidR="00DD233E" w:rsidRDefault="00320CEB" w:rsidP="001B7275">
      <w:pPr>
        <w:spacing w:line="276" w:lineRule="auto"/>
        <w:ind w:firstLine="708"/>
        <w:jc w:val="both"/>
        <w:rPr>
          <w:rFonts w:ascii="Arial" w:hAnsi="Arial" w:cs="Arial"/>
          <w:sz w:val="22"/>
        </w:rPr>
      </w:pPr>
      <w:r w:rsidRPr="00320CEB">
        <w:rPr>
          <w:rFonts w:ascii="Arial" w:hAnsi="Arial" w:cs="Arial"/>
          <w:sz w:val="22"/>
        </w:rPr>
        <w:t>Sin embargo, si hay más de una entidad sin ánimo de lucro que ofrezca el compromiso de</w:t>
      </w:r>
      <w:r>
        <w:rPr>
          <w:rFonts w:ascii="Arial" w:hAnsi="Arial" w:cs="Arial"/>
          <w:sz w:val="22"/>
        </w:rPr>
        <w:t xml:space="preserve"> </w:t>
      </w:r>
      <w:r w:rsidRPr="00320CEB">
        <w:rPr>
          <w:rFonts w:ascii="Arial" w:hAnsi="Arial" w:cs="Arial"/>
          <w:sz w:val="22"/>
        </w:rPr>
        <w:t>los recursos en los términos antes descritos, la entidad estatal deberá seleccionar de forma</w:t>
      </w:r>
      <w:r>
        <w:rPr>
          <w:rFonts w:ascii="Arial" w:hAnsi="Arial" w:cs="Arial"/>
          <w:sz w:val="22"/>
        </w:rPr>
        <w:t xml:space="preserve"> </w:t>
      </w:r>
      <w:r w:rsidRPr="00320CEB">
        <w:rPr>
          <w:rFonts w:ascii="Arial" w:hAnsi="Arial" w:cs="Arial"/>
          <w:sz w:val="22"/>
        </w:rPr>
        <w:t>objetiva a la entidad y justificar los criterios para la selección</w:t>
      </w:r>
      <w:r w:rsidR="007E751D">
        <w:rPr>
          <w:rFonts w:ascii="Arial" w:hAnsi="Arial" w:cs="Arial"/>
          <w:sz w:val="22"/>
        </w:rPr>
        <w:t>, lo que</w:t>
      </w:r>
      <w:r w:rsidRPr="00320CEB">
        <w:rPr>
          <w:rFonts w:ascii="Arial" w:hAnsi="Arial" w:cs="Arial"/>
          <w:sz w:val="22"/>
        </w:rPr>
        <w:t xml:space="preserve"> aplica</w:t>
      </w:r>
      <w:r>
        <w:rPr>
          <w:rFonts w:ascii="Arial" w:hAnsi="Arial" w:cs="Arial"/>
          <w:sz w:val="22"/>
        </w:rPr>
        <w:t xml:space="preserve"> </w:t>
      </w:r>
      <w:r w:rsidRPr="00320CEB">
        <w:rPr>
          <w:rFonts w:ascii="Arial" w:hAnsi="Arial" w:cs="Arial"/>
          <w:sz w:val="22"/>
        </w:rPr>
        <w:t xml:space="preserve">igualmente cuando el compromiso en dinero de las entidades sin ánimo de lucro </w:t>
      </w:r>
      <w:r w:rsidR="00D352F6">
        <w:rPr>
          <w:rFonts w:ascii="Arial" w:hAnsi="Arial" w:cs="Arial"/>
          <w:sz w:val="22"/>
        </w:rPr>
        <w:t>no sea</w:t>
      </w:r>
      <w:r w:rsidRPr="00320CEB">
        <w:rPr>
          <w:rFonts w:ascii="Arial" w:hAnsi="Arial" w:cs="Arial"/>
          <w:sz w:val="22"/>
        </w:rPr>
        <w:t xml:space="preserve"> inferior</w:t>
      </w:r>
      <w:r>
        <w:rPr>
          <w:rFonts w:ascii="Arial" w:hAnsi="Arial" w:cs="Arial"/>
          <w:sz w:val="22"/>
        </w:rPr>
        <w:t xml:space="preserve"> </w:t>
      </w:r>
      <w:r w:rsidRPr="00320CEB">
        <w:rPr>
          <w:rFonts w:ascii="Arial" w:hAnsi="Arial" w:cs="Arial"/>
          <w:sz w:val="22"/>
        </w:rPr>
        <w:t>al 30%.</w:t>
      </w:r>
      <w:r w:rsidR="001B7275">
        <w:rPr>
          <w:rFonts w:ascii="Arial" w:hAnsi="Arial" w:cs="Arial"/>
          <w:sz w:val="22"/>
        </w:rPr>
        <w:t xml:space="preserve"> En ese sentido, teniendo en cuenta que el artículo 5 del Decreto 092 de 2017 no fue objeto de suspensión provisional, las entidades pueden celebrar convenios de asociación de acuerdo con lo </w:t>
      </w:r>
      <w:r w:rsidR="007E751D">
        <w:rPr>
          <w:rFonts w:ascii="Arial" w:hAnsi="Arial" w:cs="Arial"/>
          <w:sz w:val="22"/>
        </w:rPr>
        <w:t>previsto en la norma</w:t>
      </w:r>
      <w:r w:rsidR="001B7275">
        <w:rPr>
          <w:rFonts w:ascii="Arial" w:hAnsi="Arial" w:cs="Arial"/>
          <w:sz w:val="22"/>
        </w:rPr>
        <w:t xml:space="preserve">. </w:t>
      </w:r>
    </w:p>
    <w:p w14:paraId="41823EB7" w14:textId="77777777" w:rsidR="00DD233E" w:rsidRPr="00977F4C" w:rsidRDefault="00DD233E" w:rsidP="00282352">
      <w:pPr>
        <w:spacing w:after="120" w:line="276" w:lineRule="auto"/>
        <w:jc w:val="both"/>
        <w:rPr>
          <w:rFonts w:ascii="Arial" w:eastAsia="Calibri" w:hAnsi="Arial" w:cs="Arial"/>
          <w:sz w:val="22"/>
          <w:lang w:val="es-ES"/>
        </w:rPr>
      </w:pPr>
    </w:p>
    <w:p w14:paraId="6D955199" w14:textId="218D5073" w:rsidR="002B2434" w:rsidRPr="00977F4C" w:rsidRDefault="002B2434" w:rsidP="001B7275">
      <w:pPr>
        <w:spacing w:line="276" w:lineRule="auto"/>
        <w:jc w:val="both"/>
        <w:rPr>
          <w:rFonts w:ascii="Arial" w:hAnsi="Arial" w:cs="Arial"/>
          <w:sz w:val="22"/>
        </w:rPr>
      </w:pPr>
      <w:r w:rsidRPr="00977F4C">
        <w:rPr>
          <w:rFonts w:ascii="Arial" w:hAnsi="Arial" w:cs="Arial"/>
          <w:sz w:val="22"/>
        </w:rPr>
        <w:t>Este concepto tiene el alcance previsto en el artículo 28 del Código de Procedimiento Administrativo y de lo Contencioso Administrativo.</w:t>
      </w:r>
    </w:p>
    <w:p w14:paraId="031EFACE" w14:textId="77777777" w:rsidR="002B2434" w:rsidRPr="00282352" w:rsidRDefault="002B2434" w:rsidP="002B2434">
      <w:pPr>
        <w:pStyle w:val="NormalWeb"/>
        <w:spacing w:before="0" w:beforeAutospacing="0" w:after="0" w:afterAutospacing="0" w:line="276" w:lineRule="auto"/>
        <w:jc w:val="both"/>
        <w:rPr>
          <w:rFonts w:ascii="Arial" w:hAnsi="Arial" w:cs="Arial"/>
          <w:sz w:val="22"/>
          <w:szCs w:val="22"/>
          <w:lang w:val="es-MX"/>
        </w:rPr>
      </w:pPr>
    </w:p>
    <w:p w14:paraId="56887505" w14:textId="77777777" w:rsidR="002B2434" w:rsidRPr="00977F4C" w:rsidRDefault="002B2434" w:rsidP="002B2434">
      <w:pPr>
        <w:pStyle w:val="NormalWeb"/>
        <w:spacing w:before="0" w:beforeAutospacing="0" w:after="0" w:afterAutospacing="0" w:line="276" w:lineRule="auto"/>
        <w:jc w:val="both"/>
        <w:rPr>
          <w:rFonts w:ascii="Arial" w:hAnsi="Arial" w:cs="Arial"/>
          <w:sz w:val="22"/>
          <w:szCs w:val="22"/>
          <w:lang w:val="es-MX"/>
        </w:rPr>
      </w:pPr>
      <w:r w:rsidRPr="00977F4C">
        <w:rPr>
          <w:rFonts w:ascii="Arial" w:hAnsi="Arial" w:cs="Arial"/>
          <w:sz w:val="22"/>
          <w:szCs w:val="22"/>
          <w:lang w:val="es-MX"/>
        </w:rPr>
        <w:t>Atentamente,</w:t>
      </w:r>
    </w:p>
    <w:p w14:paraId="4BFE25E6" w14:textId="77777777" w:rsidR="002B2434" w:rsidRPr="00977F4C" w:rsidRDefault="002B2434" w:rsidP="002B2434">
      <w:pPr>
        <w:jc w:val="center"/>
        <w:rPr>
          <w:rFonts w:ascii="Arial" w:eastAsia="Times New Roman" w:hAnsi="Arial" w:cs="Arial"/>
          <w:sz w:val="18"/>
          <w:szCs w:val="20"/>
          <w:lang w:eastAsia="es-CO"/>
        </w:rPr>
      </w:pPr>
    </w:p>
    <w:p w14:paraId="7000B44E" w14:textId="560BFE9B" w:rsidR="002B2434" w:rsidRPr="00977F4C" w:rsidRDefault="00436689" w:rsidP="002B2434">
      <w:pPr>
        <w:jc w:val="center"/>
        <w:rPr>
          <w:rFonts w:ascii="Arial" w:eastAsia="Times New Roman" w:hAnsi="Arial" w:cs="Arial"/>
          <w:sz w:val="18"/>
          <w:szCs w:val="20"/>
          <w:lang w:eastAsia="es-CO"/>
        </w:rPr>
      </w:pPr>
      <w:r>
        <w:rPr>
          <w:noProof/>
        </w:rPr>
        <w:drawing>
          <wp:inline distT="0" distB="0" distL="0" distR="0" wp14:anchorId="25336311" wp14:editId="3F6C4616">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661206AD" w14:textId="77777777" w:rsidR="002B2434" w:rsidRPr="00977F4C" w:rsidRDefault="002B2434" w:rsidP="002B2434">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77F4C" w:rsidRPr="00977F4C" w14:paraId="3DF79681" w14:textId="77777777" w:rsidTr="00133737">
        <w:trPr>
          <w:trHeight w:val="315"/>
        </w:trPr>
        <w:tc>
          <w:tcPr>
            <w:tcW w:w="812" w:type="dxa"/>
            <w:vAlign w:val="center"/>
            <w:hideMark/>
          </w:tcPr>
          <w:p w14:paraId="5C96FBE1" w14:textId="77777777" w:rsidR="002B2434" w:rsidRPr="00977F4C" w:rsidRDefault="002B2434" w:rsidP="00133737">
            <w:pPr>
              <w:rPr>
                <w:rFonts w:ascii="Arial" w:eastAsia="Times New Roman" w:hAnsi="Arial" w:cs="Arial"/>
                <w:sz w:val="16"/>
                <w:szCs w:val="16"/>
                <w:lang w:eastAsia="es-ES"/>
              </w:rPr>
            </w:pPr>
            <w:r w:rsidRPr="00977F4C">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749C932" w14:textId="77777777" w:rsidR="002B2434" w:rsidRPr="00977F4C" w:rsidRDefault="002B2434" w:rsidP="00133737">
            <w:pPr>
              <w:rPr>
                <w:rFonts w:ascii="Arial" w:eastAsia="Times New Roman" w:hAnsi="Arial" w:cs="Arial"/>
                <w:sz w:val="16"/>
                <w:szCs w:val="16"/>
                <w:lang w:eastAsia="es-ES"/>
              </w:rPr>
            </w:pPr>
            <w:r w:rsidRPr="00977F4C">
              <w:rPr>
                <w:rFonts w:ascii="Arial" w:eastAsia="Times New Roman" w:hAnsi="Arial" w:cs="Arial"/>
                <w:sz w:val="16"/>
                <w:szCs w:val="16"/>
                <w:lang w:eastAsia="es-ES"/>
              </w:rPr>
              <w:t>Ximena Ríos López</w:t>
            </w:r>
          </w:p>
          <w:p w14:paraId="54B85090" w14:textId="77777777" w:rsidR="002B2434" w:rsidRPr="00977F4C" w:rsidRDefault="002B2434" w:rsidP="00133737">
            <w:pPr>
              <w:rPr>
                <w:rFonts w:ascii="Arial" w:eastAsia="Times New Roman" w:hAnsi="Arial" w:cs="Arial"/>
                <w:sz w:val="16"/>
                <w:szCs w:val="16"/>
                <w:lang w:eastAsia="es-ES"/>
              </w:rPr>
            </w:pPr>
            <w:r w:rsidRPr="00977F4C">
              <w:rPr>
                <w:rFonts w:ascii="Arial" w:eastAsia="Times New Roman" w:hAnsi="Arial" w:cs="Arial"/>
                <w:sz w:val="16"/>
                <w:szCs w:val="16"/>
                <w:lang w:eastAsia="es-ES"/>
              </w:rPr>
              <w:t>Gestor T1-11</w:t>
            </w:r>
          </w:p>
        </w:tc>
      </w:tr>
      <w:tr w:rsidR="00977F4C" w:rsidRPr="00977F4C" w14:paraId="35B56876" w14:textId="77777777" w:rsidTr="00133737">
        <w:trPr>
          <w:trHeight w:val="330"/>
        </w:trPr>
        <w:tc>
          <w:tcPr>
            <w:tcW w:w="812" w:type="dxa"/>
            <w:vAlign w:val="center"/>
            <w:hideMark/>
          </w:tcPr>
          <w:p w14:paraId="5E55A5CF" w14:textId="77777777" w:rsidR="002B2434" w:rsidRPr="00977F4C" w:rsidRDefault="002B2434" w:rsidP="00133737">
            <w:pPr>
              <w:rPr>
                <w:rFonts w:ascii="Arial" w:eastAsia="Times New Roman" w:hAnsi="Arial" w:cs="Arial"/>
                <w:sz w:val="16"/>
                <w:szCs w:val="16"/>
                <w:lang w:eastAsia="es-ES"/>
              </w:rPr>
            </w:pPr>
            <w:r w:rsidRPr="00977F4C">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A379BA3" w14:textId="4553FDAE" w:rsidR="00270098" w:rsidRPr="00977F4C" w:rsidRDefault="00D352F6" w:rsidP="00270098">
            <w:pPr>
              <w:rPr>
                <w:rFonts w:ascii="Arial" w:eastAsia="Times New Roman" w:hAnsi="Arial" w:cs="Arial"/>
                <w:sz w:val="16"/>
                <w:szCs w:val="16"/>
                <w:lang w:eastAsia="es-ES"/>
              </w:rPr>
            </w:pPr>
            <w:r>
              <w:rPr>
                <w:rFonts w:ascii="Arial" w:eastAsia="Times New Roman" w:hAnsi="Arial" w:cs="Arial"/>
                <w:sz w:val="16"/>
                <w:szCs w:val="16"/>
                <w:lang w:eastAsia="es-ES"/>
              </w:rPr>
              <w:t>Juan David Montoya Penagos</w:t>
            </w:r>
          </w:p>
          <w:p w14:paraId="6497FC42" w14:textId="4237D500" w:rsidR="002B2434" w:rsidRPr="00977F4C" w:rsidRDefault="00D352F6" w:rsidP="00270098">
            <w:pPr>
              <w:rPr>
                <w:rFonts w:ascii="Arial" w:eastAsia="Times New Roman" w:hAnsi="Arial" w:cs="Arial"/>
                <w:sz w:val="16"/>
                <w:szCs w:val="16"/>
                <w:lang w:eastAsia="es-ES"/>
              </w:rPr>
            </w:pPr>
            <w:r>
              <w:rPr>
                <w:rFonts w:ascii="Arial" w:eastAsia="Times New Roman" w:hAnsi="Arial" w:cs="Arial"/>
                <w:sz w:val="16"/>
                <w:szCs w:val="16"/>
                <w:lang w:eastAsia="es-ES"/>
              </w:rPr>
              <w:t xml:space="preserve">Contratista de la </w:t>
            </w:r>
            <w:r w:rsidR="00270098" w:rsidRPr="00977F4C">
              <w:rPr>
                <w:rFonts w:ascii="Arial" w:eastAsia="Times New Roman" w:hAnsi="Arial" w:cs="Arial"/>
                <w:sz w:val="16"/>
                <w:szCs w:val="16"/>
                <w:lang w:eastAsia="es-ES"/>
              </w:rPr>
              <w:t>Subdirec</w:t>
            </w:r>
            <w:r>
              <w:rPr>
                <w:rFonts w:ascii="Arial" w:eastAsia="Times New Roman" w:hAnsi="Arial" w:cs="Arial"/>
                <w:sz w:val="16"/>
                <w:szCs w:val="16"/>
                <w:lang w:eastAsia="es-ES"/>
              </w:rPr>
              <w:t>ción</w:t>
            </w:r>
            <w:r w:rsidR="00270098" w:rsidRPr="00977F4C">
              <w:rPr>
                <w:rFonts w:ascii="Arial" w:eastAsia="Times New Roman" w:hAnsi="Arial" w:cs="Arial"/>
                <w:sz w:val="16"/>
                <w:szCs w:val="16"/>
                <w:lang w:eastAsia="es-ES"/>
              </w:rPr>
              <w:t xml:space="preserve"> de Gestión Contractual</w:t>
            </w:r>
          </w:p>
        </w:tc>
      </w:tr>
      <w:tr w:rsidR="002B2434" w:rsidRPr="00977F4C" w14:paraId="3BA0BF3F" w14:textId="77777777" w:rsidTr="00133737">
        <w:trPr>
          <w:trHeight w:val="300"/>
        </w:trPr>
        <w:tc>
          <w:tcPr>
            <w:tcW w:w="812" w:type="dxa"/>
            <w:vAlign w:val="center"/>
            <w:hideMark/>
          </w:tcPr>
          <w:p w14:paraId="0B7553B5" w14:textId="77777777" w:rsidR="002B2434" w:rsidRPr="00977F4C" w:rsidRDefault="002B2434" w:rsidP="00133737">
            <w:pPr>
              <w:rPr>
                <w:rFonts w:ascii="Arial" w:eastAsia="Times New Roman" w:hAnsi="Arial" w:cs="Arial"/>
                <w:sz w:val="16"/>
                <w:szCs w:val="16"/>
                <w:lang w:eastAsia="es-ES"/>
              </w:rPr>
            </w:pPr>
            <w:r w:rsidRPr="00977F4C">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F18FC41" w14:textId="77777777" w:rsidR="002B2434" w:rsidRPr="00977F4C" w:rsidRDefault="002B2434" w:rsidP="00133737">
            <w:pPr>
              <w:rPr>
                <w:rFonts w:ascii="Arial" w:eastAsia="Times New Roman" w:hAnsi="Arial" w:cs="Arial"/>
                <w:sz w:val="16"/>
                <w:szCs w:val="16"/>
                <w:lang w:eastAsia="es-ES"/>
              </w:rPr>
            </w:pPr>
            <w:r w:rsidRPr="00977F4C">
              <w:rPr>
                <w:rFonts w:ascii="Arial" w:eastAsia="Times New Roman" w:hAnsi="Arial" w:cs="Arial"/>
                <w:sz w:val="16"/>
                <w:szCs w:val="16"/>
                <w:lang w:eastAsia="es-ES"/>
              </w:rPr>
              <w:t>Fabián Gonzalo Marín Cortés</w:t>
            </w:r>
          </w:p>
          <w:p w14:paraId="6C92179C" w14:textId="77777777" w:rsidR="002B2434" w:rsidRPr="00977F4C" w:rsidRDefault="002B2434" w:rsidP="00133737">
            <w:pPr>
              <w:rPr>
                <w:rFonts w:ascii="Arial" w:eastAsia="Times New Roman" w:hAnsi="Arial" w:cs="Arial"/>
                <w:sz w:val="16"/>
                <w:szCs w:val="16"/>
                <w:lang w:eastAsia="es-ES"/>
              </w:rPr>
            </w:pPr>
            <w:r w:rsidRPr="00977F4C">
              <w:rPr>
                <w:rFonts w:ascii="Arial" w:eastAsia="Times New Roman" w:hAnsi="Arial" w:cs="Arial"/>
                <w:sz w:val="16"/>
                <w:szCs w:val="16"/>
                <w:lang w:eastAsia="es-ES"/>
              </w:rPr>
              <w:t>Subdirector de Gestión Contractual</w:t>
            </w:r>
          </w:p>
        </w:tc>
      </w:tr>
      <w:bookmarkEnd w:id="3"/>
    </w:tbl>
    <w:p w14:paraId="7EBF297E" w14:textId="77777777" w:rsidR="007B0854" w:rsidRPr="00977F4C" w:rsidRDefault="007B0854" w:rsidP="007C0A24"/>
    <w:sectPr w:rsidR="007B0854" w:rsidRPr="00977F4C"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24665A" w14:textId="77777777" w:rsidR="00C926BE" w:rsidRDefault="00C926BE">
      <w:r>
        <w:separator/>
      </w:r>
    </w:p>
  </w:endnote>
  <w:endnote w:type="continuationSeparator" w:id="0">
    <w:p w14:paraId="1013DC0F" w14:textId="77777777" w:rsidR="00C926BE" w:rsidRDefault="00C92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133737" w:rsidRDefault="00133737" w:rsidP="007B0854">
    <w:pPr>
      <w:pStyle w:val="Sinespaciado"/>
      <w:jc w:val="center"/>
      <w:rPr>
        <w:rFonts w:ascii="Arial" w:hAnsi="Arial" w:cs="Arial"/>
        <w:sz w:val="18"/>
        <w:szCs w:val="18"/>
      </w:rPr>
    </w:pPr>
  </w:p>
  <w:p w14:paraId="312C4A14" w14:textId="1CC17C36" w:rsidR="00133737" w:rsidRPr="005A79FE" w:rsidRDefault="00133737"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133737" w:rsidRDefault="00133737" w:rsidP="007B0854">
    <w:pPr>
      <w:pStyle w:val="Piedepgina"/>
      <w:jc w:val="center"/>
      <w:rPr>
        <w:lang w:val="es-ES"/>
      </w:rPr>
    </w:pPr>
    <w:r>
      <w:rPr>
        <w:noProof/>
      </w:rPr>
      <w:drawing>
        <wp:inline distT="0" distB="0" distL="0" distR="0" wp14:anchorId="608B196D" wp14:editId="2F407531">
          <wp:extent cx="4241994" cy="595165"/>
          <wp:effectExtent l="0" t="0" r="6350" b="0"/>
          <wp:docPr id="141394418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133737" w:rsidRPr="007B0854" w:rsidRDefault="00133737"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3FE472" w14:textId="77777777" w:rsidR="00C926BE" w:rsidRDefault="00C926BE">
      <w:r>
        <w:separator/>
      </w:r>
    </w:p>
  </w:footnote>
  <w:footnote w:type="continuationSeparator" w:id="0">
    <w:p w14:paraId="77F3780F" w14:textId="77777777" w:rsidR="00C926BE" w:rsidRDefault="00C926BE">
      <w:r>
        <w:continuationSeparator/>
      </w:r>
    </w:p>
  </w:footnote>
  <w:footnote w:id="1">
    <w:p w14:paraId="449A24C1" w14:textId="77777777" w:rsidR="009D27BD" w:rsidRPr="005C742E" w:rsidRDefault="009D27BD" w:rsidP="009D27BD">
      <w:pPr>
        <w:pStyle w:val="Textonotapie"/>
        <w:ind w:firstLine="708"/>
        <w:jc w:val="both"/>
        <w:rPr>
          <w:rFonts w:ascii="Arial" w:hAnsi="Arial" w:cs="Arial"/>
          <w:color w:val="000000" w:themeColor="text1"/>
          <w:sz w:val="19"/>
          <w:szCs w:val="19"/>
        </w:rPr>
      </w:pPr>
      <w:r w:rsidRPr="005C742E">
        <w:rPr>
          <w:rStyle w:val="Refdenotaalpie"/>
          <w:rFonts w:ascii="Arial" w:hAnsi="Arial" w:cs="Arial"/>
          <w:color w:val="000000" w:themeColor="text1"/>
          <w:sz w:val="19"/>
          <w:szCs w:val="19"/>
        </w:rPr>
        <w:footnoteRef/>
      </w:r>
      <w:r w:rsidRPr="005C742E">
        <w:rPr>
          <w:rFonts w:ascii="Arial" w:hAnsi="Arial" w:cs="Arial"/>
          <w:color w:val="000000" w:themeColor="text1"/>
          <w:sz w:val="19"/>
          <w:szCs w:val="19"/>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6880D408" w14:textId="77777777" w:rsidR="009D27BD" w:rsidRPr="005C742E" w:rsidRDefault="009D27BD" w:rsidP="009D27BD">
      <w:pPr>
        <w:pStyle w:val="Textonotapie"/>
        <w:ind w:firstLine="708"/>
        <w:jc w:val="both"/>
        <w:rPr>
          <w:rFonts w:ascii="Arial" w:hAnsi="Arial" w:cs="Arial"/>
          <w:color w:val="000000" w:themeColor="text1"/>
          <w:sz w:val="19"/>
          <w:szCs w:val="19"/>
          <w:lang w:val="es-ES"/>
        </w:rPr>
      </w:pPr>
    </w:p>
  </w:footnote>
  <w:footnote w:id="2">
    <w:p w14:paraId="31532188" w14:textId="77777777" w:rsidR="009D27BD" w:rsidRPr="005C742E" w:rsidRDefault="009D27BD" w:rsidP="009D27BD">
      <w:pPr>
        <w:pStyle w:val="Textonotapie"/>
        <w:ind w:firstLine="708"/>
        <w:jc w:val="both"/>
        <w:rPr>
          <w:rFonts w:ascii="Arial" w:eastAsia="Calibri" w:hAnsi="Arial" w:cs="Arial"/>
          <w:color w:val="000000" w:themeColor="text1"/>
          <w:sz w:val="19"/>
          <w:szCs w:val="19"/>
        </w:rPr>
      </w:pPr>
      <w:r w:rsidRPr="005C742E">
        <w:rPr>
          <w:rStyle w:val="Refdenotaalpie"/>
          <w:rFonts w:ascii="Arial" w:hAnsi="Arial" w:cs="Arial"/>
          <w:color w:val="000000" w:themeColor="text1"/>
          <w:sz w:val="19"/>
          <w:szCs w:val="19"/>
        </w:rPr>
        <w:footnoteRef/>
      </w:r>
      <w:r w:rsidRPr="005C742E">
        <w:rPr>
          <w:rFonts w:ascii="Arial" w:hAnsi="Arial" w:cs="Arial"/>
          <w:color w:val="000000" w:themeColor="text1"/>
          <w:sz w:val="19"/>
          <w:szCs w:val="19"/>
        </w:rPr>
        <w:t xml:space="preserve"> </w:t>
      </w:r>
      <w:r w:rsidRPr="005C742E">
        <w:rPr>
          <w:rFonts w:ascii="Arial" w:eastAsia="Calibri" w:hAnsi="Arial" w:cs="Arial"/>
          <w:color w:val="000000" w:themeColor="text1"/>
          <w:sz w:val="19"/>
          <w:szCs w:val="19"/>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p w14:paraId="5D3A2417" w14:textId="77777777" w:rsidR="009D27BD" w:rsidRPr="005C742E" w:rsidRDefault="009D27BD" w:rsidP="009D27BD">
      <w:pPr>
        <w:pStyle w:val="Textonotapie"/>
        <w:ind w:firstLine="708"/>
        <w:jc w:val="both"/>
        <w:rPr>
          <w:rFonts w:ascii="Arial" w:hAnsi="Arial" w:cs="Arial"/>
          <w:color w:val="000000" w:themeColor="text1"/>
          <w:sz w:val="19"/>
          <w:szCs w:val="19"/>
          <w:lang w:val="es-ES"/>
        </w:rPr>
      </w:pPr>
    </w:p>
  </w:footnote>
  <w:footnote w:id="3">
    <w:p w14:paraId="1A875D5A" w14:textId="77777777" w:rsidR="009D27BD" w:rsidRPr="005C742E" w:rsidRDefault="009D27BD" w:rsidP="009D27BD">
      <w:pPr>
        <w:pStyle w:val="Textonotapie"/>
        <w:ind w:firstLine="708"/>
        <w:jc w:val="both"/>
        <w:rPr>
          <w:rFonts w:ascii="Arial" w:hAnsi="Arial" w:cs="Arial"/>
          <w:color w:val="000000" w:themeColor="text1"/>
          <w:sz w:val="19"/>
          <w:szCs w:val="19"/>
          <w:lang w:val="es-ES"/>
        </w:rPr>
      </w:pPr>
      <w:r w:rsidRPr="005C742E">
        <w:rPr>
          <w:rStyle w:val="Refdenotaalpie"/>
          <w:rFonts w:ascii="Arial" w:hAnsi="Arial" w:cs="Arial"/>
          <w:color w:val="000000" w:themeColor="text1"/>
          <w:sz w:val="19"/>
          <w:szCs w:val="19"/>
        </w:rPr>
        <w:footnoteRef/>
      </w:r>
      <w:r w:rsidRPr="005C742E">
        <w:rPr>
          <w:rFonts w:ascii="Arial" w:hAnsi="Arial" w:cs="Arial"/>
          <w:color w:val="000000" w:themeColor="text1"/>
          <w:sz w:val="19"/>
          <w:szCs w:val="19"/>
        </w:rPr>
        <w:t xml:space="preserve"> </w:t>
      </w:r>
      <w:r w:rsidRPr="005C742E">
        <w:rPr>
          <w:rFonts w:ascii="Arial" w:eastAsia="Calibri" w:hAnsi="Arial" w:cs="Arial"/>
          <w:color w:val="000000" w:themeColor="text1"/>
          <w:sz w:val="19"/>
          <w:szCs w:val="19"/>
        </w:rPr>
        <w:t>Decreto 092 de 2017, artículo 3, inciso 2: «</w:t>
      </w:r>
      <w:r w:rsidRPr="005C742E">
        <w:rPr>
          <w:rFonts w:ascii="Arial" w:hAnsi="Arial" w:cs="Arial"/>
          <w:color w:val="000000" w:themeColor="text1"/>
          <w:sz w:val="19"/>
          <w:szCs w:val="19"/>
        </w:rPr>
        <w:t>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footnote>
  <w:footnote w:id="4">
    <w:p w14:paraId="5614F4C0" w14:textId="77777777" w:rsidR="009D27BD" w:rsidRPr="005C742E" w:rsidRDefault="009D27BD" w:rsidP="009D27BD">
      <w:pPr>
        <w:ind w:firstLine="708"/>
        <w:jc w:val="both"/>
        <w:rPr>
          <w:rFonts w:ascii="Arial" w:hAnsi="Arial" w:cs="Arial"/>
          <w:color w:val="000000" w:themeColor="text1"/>
          <w:sz w:val="19"/>
          <w:szCs w:val="19"/>
        </w:rPr>
      </w:pPr>
      <w:r w:rsidRPr="005C742E">
        <w:rPr>
          <w:rStyle w:val="Refdenotaalpie"/>
          <w:rFonts w:ascii="Arial" w:hAnsi="Arial" w:cs="Arial"/>
          <w:color w:val="000000" w:themeColor="text1"/>
          <w:sz w:val="19"/>
          <w:szCs w:val="19"/>
        </w:rPr>
        <w:footnoteRef/>
      </w:r>
      <w:r w:rsidRPr="005C742E">
        <w:rPr>
          <w:rFonts w:ascii="Arial" w:hAnsi="Arial" w:cs="Arial"/>
          <w:color w:val="000000" w:themeColor="text1"/>
          <w:sz w:val="19"/>
          <w:szCs w:val="19"/>
        </w:rPr>
        <w:t xml:space="preserve"> Decreto 092 de 2017, Artículo 2, literal a: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p w14:paraId="7CFE4648" w14:textId="77777777" w:rsidR="009D27BD" w:rsidRPr="005C742E" w:rsidRDefault="009D27BD" w:rsidP="009D27BD">
      <w:pPr>
        <w:ind w:firstLine="708"/>
        <w:jc w:val="both"/>
        <w:rPr>
          <w:rFonts w:ascii="Arial" w:hAnsi="Arial" w:cs="Arial"/>
          <w:color w:val="000000" w:themeColor="text1"/>
          <w:sz w:val="19"/>
          <w:szCs w:val="19"/>
        </w:rPr>
      </w:pPr>
    </w:p>
  </w:footnote>
  <w:footnote w:id="5">
    <w:p w14:paraId="41DB44DF" w14:textId="77777777" w:rsidR="009D27BD" w:rsidRPr="005C742E" w:rsidRDefault="009D27BD" w:rsidP="009D27BD">
      <w:pPr>
        <w:pStyle w:val="Textonotapie"/>
        <w:ind w:firstLine="708"/>
        <w:jc w:val="both"/>
        <w:rPr>
          <w:rFonts w:ascii="Arial" w:hAnsi="Arial" w:cs="Arial"/>
          <w:color w:val="000000" w:themeColor="text1"/>
          <w:sz w:val="19"/>
          <w:szCs w:val="19"/>
        </w:rPr>
      </w:pPr>
      <w:r w:rsidRPr="005C742E">
        <w:rPr>
          <w:rStyle w:val="Refdenotaalpie"/>
          <w:rFonts w:ascii="Arial" w:hAnsi="Arial" w:cs="Arial"/>
          <w:color w:val="000000" w:themeColor="text1"/>
          <w:sz w:val="19"/>
          <w:szCs w:val="19"/>
        </w:rPr>
        <w:footnoteRef/>
      </w:r>
      <w:r w:rsidRPr="005C742E">
        <w:rPr>
          <w:rFonts w:ascii="Arial" w:hAnsi="Arial" w:cs="Arial"/>
          <w:color w:val="000000" w:themeColor="text1"/>
          <w:sz w:val="19"/>
          <w:szCs w:val="19"/>
        </w:rPr>
        <w:t xml:space="preserve"> Decreto 092 de 2017, Artículo 2, literal a: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p w14:paraId="13EDFDA6" w14:textId="77777777" w:rsidR="009D27BD" w:rsidRPr="005C742E" w:rsidRDefault="009D27BD" w:rsidP="009D27BD">
      <w:pPr>
        <w:pStyle w:val="Textonotapie"/>
        <w:ind w:firstLine="708"/>
        <w:jc w:val="both"/>
        <w:rPr>
          <w:rFonts w:ascii="Arial" w:hAnsi="Arial" w:cs="Arial"/>
          <w:color w:val="000000" w:themeColor="text1"/>
          <w:sz w:val="19"/>
          <w:szCs w:val="19"/>
          <w:lang w:val="es-ES"/>
        </w:rPr>
      </w:pPr>
    </w:p>
  </w:footnote>
  <w:footnote w:id="6">
    <w:p w14:paraId="2C288C98" w14:textId="77777777" w:rsidR="009D27BD" w:rsidRPr="005C742E" w:rsidRDefault="009D27BD" w:rsidP="009D27BD">
      <w:pPr>
        <w:pStyle w:val="Textonotapie"/>
        <w:ind w:firstLine="708"/>
        <w:jc w:val="both"/>
        <w:rPr>
          <w:rFonts w:ascii="Arial" w:hAnsi="Arial" w:cs="Arial"/>
          <w:color w:val="000000" w:themeColor="text1"/>
          <w:sz w:val="19"/>
          <w:szCs w:val="19"/>
          <w:lang w:val="es-ES"/>
        </w:rPr>
      </w:pPr>
      <w:r w:rsidRPr="005C742E">
        <w:rPr>
          <w:rStyle w:val="Refdenotaalpie"/>
          <w:rFonts w:ascii="Arial" w:hAnsi="Arial" w:cs="Arial"/>
          <w:color w:val="000000" w:themeColor="text1"/>
          <w:sz w:val="19"/>
          <w:szCs w:val="19"/>
        </w:rPr>
        <w:footnoteRef/>
      </w:r>
      <w:r w:rsidRPr="005C742E">
        <w:rPr>
          <w:rFonts w:ascii="Arial" w:hAnsi="Arial" w:cs="Arial"/>
          <w:color w:val="000000" w:themeColor="text1"/>
          <w:sz w:val="19"/>
          <w:szCs w:val="19"/>
        </w:rPr>
        <w:t xml:space="preserve"> 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footnote>
  <w:footnote w:id="7">
    <w:p w14:paraId="2AA65B0B" w14:textId="77777777" w:rsidR="009D27BD" w:rsidRPr="005C742E" w:rsidRDefault="009D27BD" w:rsidP="009D27BD">
      <w:pPr>
        <w:pStyle w:val="Textonotapie"/>
        <w:ind w:firstLine="708"/>
        <w:jc w:val="both"/>
        <w:rPr>
          <w:rFonts w:ascii="Arial" w:hAnsi="Arial" w:cs="Arial"/>
          <w:color w:val="000000" w:themeColor="text1"/>
          <w:sz w:val="19"/>
          <w:szCs w:val="19"/>
        </w:rPr>
      </w:pPr>
      <w:r w:rsidRPr="005C742E">
        <w:rPr>
          <w:rStyle w:val="Refdenotaalpie"/>
          <w:rFonts w:ascii="Arial" w:hAnsi="Arial" w:cs="Arial"/>
          <w:color w:val="000000" w:themeColor="text1"/>
          <w:sz w:val="19"/>
          <w:szCs w:val="19"/>
        </w:rPr>
        <w:footnoteRef/>
      </w:r>
      <w:r w:rsidRPr="005C742E">
        <w:rPr>
          <w:rFonts w:ascii="Arial" w:hAnsi="Arial" w:cs="Arial"/>
          <w:color w:val="000000" w:themeColor="text1"/>
          <w:sz w:val="19"/>
          <w:szCs w:val="19"/>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4AFF74D6" w14:textId="77777777" w:rsidR="009D27BD" w:rsidRPr="005C742E" w:rsidRDefault="009D27BD" w:rsidP="009D27BD">
      <w:pPr>
        <w:pStyle w:val="Textonotapie"/>
        <w:jc w:val="both"/>
        <w:rPr>
          <w:rFonts w:ascii="Arial" w:hAnsi="Arial" w:cs="Arial"/>
          <w:color w:val="000000" w:themeColor="text1"/>
          <w:sz w:val="19"/>
          <w:szCs w:val="19"/>
          <w:lang w:val="es-ES"/>
        </w:rPr>
      </w:pPr>
    </w:p>
  </w:footnote>
  <w:footnote w:id="8">
    <w:p w14:paraId="2B2828D7" w14:textId="72F34434" w:rsidR="009D27BD" w:rsidRPr="005C742E" w:rsidRDefault="009D27BD" w:rsidP="00BF0B7D">
      <w:pPr>
        <w:pStyle w:val="Textonotapie"/>
        <w:ind w:firstLine="708"/>
        <w:jc w:val="both"/>
        <w:rPr>
          <w:rFonts w:ascii="Arial" w:hAnsi="Arial" w:cs="Arial"/>
          <w:color w:val="000000" w:themeColor="text1"/>
          <w:sz w:val="19"/>
          <w:szCs w:val="19"/>
          <w:lang w:val="es-ES"/>
        </w:rPr>
      </w:pPr>
      <w:r w:rsidRPr="005C742E">
        <w:rPr>
          <w:rStyle w:val="Refdenotaalpie"/>
          <w:rFonts w:ascii="Arial" w:hAnsi="Arial" w:cs="Arial"/>
          <w:color w:val="000000" w:themeColor="text1"/>
          <w:sz w:val="19"/>
          <w:szCs w:val="19"/>
        </w:rPr>
        <w:footnoteRef/>
      </w:r>
      <w:r w:rsidRPr="005C742E">
        <w:rPr>
          <w:rFonts w:ascii="Arial" w:hAnsi="Arial" w:cs="Arial"/>
          <w:color w:val="000000" w:themeColor="text1"/>
          <w:sz w:val="19"/>
          <w:szCs w:val="19"/>
        </w:rPr>
        <w:t xml:space="preserve"> Agencia Nacional de Contratación Pública - Colombia Compra eficiente, Circular externa Única, numeral 1.3: SECOP II: Plataforma transaccional para gestionar en línea todos los Procesos de Contratación, con cuentas para entidades y proveedores; y vista pública para cualquier tercero interesado en hacer seguimiento a la contratación pública.</w:t>
      </w:r>
    </w:p>
  </w:footnote>
  <w:footnote w:id="9">
    <w:p w14:paraId="013FCF24" w14:textId="77777777" w:rsidR="00DD233E" w:rsidRDefault="00DD233E" w:rsidP="00DD233E">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«Artículo 3°. Funciones. La Agencia Nacional de Contratación Pública –Colombia Compra Eficiente– ejercerá las siguientes funciones: </w:t>
      </w:r>
      <w:r>
        <w:rPr>
          <w:rFonts w:ascii="Arial" w:hAnsi="Arial" w:cs="Arial"/>
          <w:sz w:val="19"/>
          <w:szCs w:val="19"/>
          <w:lang w:val="es-ES"/>
        </w:rPr>
        <w:t>(...)</w:t>
      </w:r>
    </w:p>
    <w:p w14:paraId="07FA512D" w14:textId="77777777" w:rsidR="00DD233E" w:rsidRDefault="00DD233E" w:rsidP="00DD233E">
      <w:pPr>
        <w:pStyle w:val="Textonotapie"/>
        <w:ind w:firstLine="708"/>
        <w:jc w:val="both"/>
        <w:rPr>
          <w:rFonts w:ascii="Arial" w:hAnsi="Arial" w:cs="Arial"/>
          <w:sz w:val="19"/>
          <w:szCs w:val="19"/>
          <w:lang w:val="es-ES"/>
        </w:rPr>
      </w:pPr>
      <w:r>
        <w:rPr>
          <w:rFonts w:ascii="Arial" w:hAnsi="Arial" w:cs="Arial"/>
          <w:sz w:val="19"/>
          <w:szCs w:val="19"/>
          <w:lang w:val="es-ES"/>
        </w:rPr>
        <w:t>»5. Absolver consultas sobre la aplicación de normas de carácter general y expedir circulares externas en materia de compras y contratación pública.”</w:t>
      </w:r>
    </w:p>
    <w:p w14:paraId="2908EE90" w14:textId="77777777" w:rsidR="00DD233E" w:rsidRDefault="00DD233E" w:rsidP="00DD233E">
      <w:pPr>
        <w:pStyle w:val="Textonotapie"/>
        <w:ind w:firstLine="708"/>
        <w:jc w:val="both"/>
        <w:rPr>
          <w:rFonts w:ascii="Arial" w:hAnsi="Arial" w:cs="Arial"/>
          <w:sz w:val="19"/>
          <w:szCs w:val="19"/>
          <w:lang w:val="es-ES"/>
        </w:rPr>
      </w:pPr>
      <w:r>
        <w:rPr>
          <w:rFonts w:ascii="Arial" w:hAnsi="Arial" w:cs="Arial"/>
          <w:sz w:val="19"/>
          <w:szCs w:val="19"/>
          <w:lang w:val="es-ES"/>
        </w:rPr>
        <w:t>»Artículo 11. Subdirección de Gestión Contractual. Son funciones de la Subdirección de Gestión Contractual las siguientes:</w:t>
      </w:r>
    </w:p>
    <w:p w14:paraId="56B4C6AB" w14:textId="77777777" w:rsidR="00DD233E" w:rsidRDefault="00DD233E" w:rsidP="00DD233E">
      <w:pPr>
        <w:pStyle w:val="Textonotapie"/>
        <w:ind w:left="1416" w:hanging="1416"/>
        <w:jc w:val="both"/>
        <w:rPr>
          <w:rFonts w:ascii="Arial" w:hAnsi="Arial" w:cs="Arial"/>
          <w:sz w:val="19"/>
          <w:szCs w:val="19"/>
          <w:lang w:val="es-ES"/>
        </w:rPr>
      </w:pPr>
      <w:r>
        <w:rPr>
          <w:rFonts w:ascii="Arial" w:hAnsi="Arial" w:cs="Arial"/>
          <w:sz w:val="19"/>
          <w:szCs w:val="19"/>
          <w:lang w:val="es-ES"/>
        </w:rPr>
        <w:t>(...)</w:t>
      </w:r>
    </w:p>
    <w:p w14:paraId="703660BA" w14:textId="77777777" w:rsidR="00DD233E" w:rsidRDefault="00DD233E" w:rsidP="00DD233E">
      <w:pPr>
        <w:pStyle w:val="Textonotapie"/>
        <w:ind w:firstLine="708"/>
        <w:jc w:val="both"/>
        <w:rPr>
          <w:rFonts w:ascii="Arial" w:hAnsi="Arial" w:cs="Arial"/>
          <w:sz w:val="19"/>
          <w:szCs w:val="19"/>
          <w:lang w:val="es-ES"/>
        </w:rPr>
      </w:pPr>
      <w:r>
        <w:rPr>
          <w:rFonts w:ascii="Arial" w:hAnsi="Arial" w:cs="Arial"/>
          <w:sz w:val="19"/>
          <w:szCs w:val="19"/>
          <w:lang w:val="es-ES"/>
        </w:rPr>
        <w:t>»8. Absolver consultas sobre la aplicación de normas de carácter general.»</w:t>
      </w:r>
    </w:p>
    <w:p w14:paraId="7129B68E" w14:textId="77777777" w:rsidR="00DD233E" w:rsidRDefault="00DD233E" w:rsidP="00DD233E">
      <w:pPr>
        <w:pStyle w:val="Textonotapie"/>
        <w:jc w:val="both"/>
        <w:rPr>
          <w:rFonts w:ascii="Arial" w:hAnsi="Arial" w:cs="Arial"/>
          <w:sz w:val="19"/>
          <w:szCs w:val="19"/>
          <w:lang w:val="es-ES"/>
        </w:rPr>
      </w:pPr>
    </w:p>
  </w:footnote>
  <w:footnote w:id="10">
    <w:p w14:paraId="684D5082" w14:textId="77777777" w:rsidR="00DD233E" w:rsidRDefault="00DD233E" w:rsidP="00DD233E">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shd w:val="clear" w:color="auto" w:fill="FFFFFF"/>
        </w:rPr>
        <w:t>Motivación del Decreto 4170 de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133737" w:rsidRDefault="00133737">
    <w:pPr>
      <w:pStyle w:val="Encabezado"/>
    </w:pPr>
  </w:p>
  <w:p w14:paraId="6A4C7F2C" w14:textId="7D093DBB" w:rsidR="00133737" w:rsidRDefault="00133737">
    <w:pPr>
      <w:pStyle w:val="Encabezado"/>
    </w:pPr>
  </w:p>
  <w:p w14:paraId="055F2E1F" w14:textId="0B935ADD" w:rsidR="00133737" w:rsidRDefault="00133737">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133737" w:rsidRDefault="00133737">
    <w:pPr>
      <w:pStyle w:val="Encabezado"/>
    </w:pPr>
  </w:p>
  <w:p w14:paraId="3D323BDB" w14:textId="04AF0DE6" w:rsidR="00133737" w:rsidRDefault="00133737">
    <w:pPr>
      <w:pStyle w:val="Encabezado"/>
    </w:pPr>
  </w:p>
  <w:p w14:paraId="6520770B" w14:textId="18EB07B5" w:rsidR="00133737" w:rsidRDefault="001337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20C75"/>
    <w:rsid w:val="000509BB"/>
    <w:rsid w:val="00060960"/>
    <w:rsid w:val="000846BD"/>
    <w:rsid w:val="000942EB"/>
    <w:rsid w:val="000B103F"/>
    <w:rsid w:val="000D3DA1"/>
    <w:rsid w:val="000F14E8"/>
    <w:rsid w:val="00103915"/>
    <w:rsid w:val="00122B23"/>
    <w:rsid w:val="00133737"/>
    <w:rsid w:val="00137FFA"/>
    <w:rsid w:val="00143340"/>
    <w:rsid w:val="00154C55"/>
    <w:rsid w:val="001B7275"/>
    <w:rsid w:val="001C5AAF"/>
    <w:rsid w:val="00212294"/>
    <w:rsid w:val="00234B50"/>
    <w:rsid w:val="00234B84"/>
    <w:rsid w:val="00234C06"/>
    <w:rsid w:val="00270098"/>
    <w:rsid w:val="00276348"/>
    <w:rsid w:val="00282352"/>
    <w:rsid w:val="00282A6C"/>
    <w:rsid w:val="00282F03"/>
    <w:rsid w:val="002A6A89"/>
    <w:rsid w:val="002B2434"/>
    <w:rsid w:val="003033BA"/>
    <w:rsid w:val="003073EE"/>
    <w:rsid w:val="00310058"/>
    <w:rsid w:val="003200CC"/>
    <w:rsid w:val="003207EC"/>
    <w:rsid w:val="00320CEB"/>
    <w:rsid w:val="0034680A"/>
    <w:rsid w:val="00350434"/>
    <w:rsid w:val="00386456"/>
    <w:rsid w:val="00391304"/>
    <w:rsid w:val="003A0056"/>
    <w:rsid w:val="003A581E"/>
    <w:rsid w:val="00433EB3"/>
    <w:rsid w:val="00436689"/>
    <w:rsid w:val="004413D2"/>
    <w:rsid w:val="004422D6"/>
    <w:rsid w:val="00446106"/>
    <w:rsid w:val="00474AFD"/>
    <w:rsid w:val="004A34D2"/>
    <w:rsid w:val="004C3B80"/>
    <w:rsid w:val="0051074C"/>
    <w:rsid w:val="00513AF2"/>
    <w:rsid w:val="0054413A"/>
    <w:rsid w:val="0054600C"/>
    <w:rsid w:val="005564CA"/>
    <w:rsid w:val="005A3C24"/>
    <w:rsid w:val="005A79FE"/>
    <w:rsid w:val="005C01C9"/>
    <w:rsid w:val="005C18A5"/>
    <w:rsid w:val="005D7A33"/>
    <w:rsid w:val="005F047D"/>
    <w:rsid w:val="00622535"/>
    <w:rsid w:val="00622644"/>
    <w:rsid w:val="00642E4B"/>
    <w:rsid w:val="006527DB"/>
    <w:rsid w:val="00655371"/>
    <w:rsid w:val="0067441C"/>
    <w:rsid w:val="00697665"/>
    <w:rsid w:val="006A3CC1"/>
    <w:rsid w:val="006A7FD0"/>
    <w:rsid w:val="006B276B"/>
    <w:rsid w:val="006C13E7"/>
    <w:rsid w:val="006D7687"/>
    <w:rsid w:val="006E0572"/>
    <w:rsid w:val="006E6C25"/>
    <w:rsid w:val="00705631"/>
    <w:rsid w:val="00730917"/>
    <w:rsid w:val="00732B31"/>
    <w:rsid w:val="00742DD2"/>
    <w:rsid w:val="0075647A"/>
    <w:rsid w:val="007634AD"/>
    <w:rsid w:val="00766BDC"/>
    <w:rsid w:val="00773ADC"/>
    <w:rsid w:val="0078122E"/>
    <w:rsid w:val="00796054"/>
    <w:rsid w:val="007B0854"/>
    <w:rsid w:val="007C0A24"/>
    <w:rsid w:val="007D1B49"/>
    <w:rsid w:val="007E751D"/>
    <w:rsid w:val="007F25CC"/>
    <w:rsid w:val="007F56E4"/>
    <w:rsid w:val="007F72CB"/>
    <w:rsid w:val="0083119B"/>
    <w:rsid w:val="00836EAB"/>
    <w:rsid w:val="0085092D"/>
    <w:rsid w:val="008831E6"/>
    <w:rsid w:val="008B6B18"/>
    <w:rsid w:val="008E1C15"/>
    <w:rsid w:val="008F677F"/>
    <w:rsid w:val="009047C5"/>
    <w:rsid w:val="0095090F"/>
    <w:rsid w:val="0095385A"/>
    <w:rsid w:val="00977F4C"/>
    <w:rsid w:val="0098186B"/>
    <w:rsid w:val="0098728E"/>
    <w:rsid w:val="009A6EEF"/>
    <w:rsid w:val="009B3063"/>
    <w:rsid w:val="009D27BD"/>
    <w:rsid w:val="00A11D6A"/>
    <w:rsid w:val="00A24560"/>
    <w:rsid w:val="00A30EC7"/>
    <w:rsid w:val="00A32895"/>
    <w:rsid w:val="00A34538"/>
    <w:rsid w:val="00A71696"/>
    <w:rsid w:val="00A97824"/>
    <w:rsid w:val="00AA0020"/>
    <w:rsid w:val="00AA442B"/>
    <w:rsid w:val="00AA569B"/>
    <w:rsid w:val="00B14FF9"/>
    <w:rsid w:val="00B1688D"/>
    <w:rsid w:val="00B22E22"/>
    <w:rsid w:val="00B37983"/>
    <w:rsid w:val="00B525CB"/>
    <w:rsid w:val="00B63CB2"/>
    <w:rsid w:val="00BB0EDE"/>
    <w:rsid w:val="00BB42D2"/>
    <w:rsid w:val="00BC01DE"/>
    <w:rsid w:val="00BD49C8"/>
    <w:rsid w:val="00BD78FE"/>
    <w:rsid w:val="00BE2F0E"/>
    <w:rsid w:val="00BF0B7D"/>
    <w:rsid w:val="00BF3A9E"/>
    <w:rsid w:val="00C30789"/>
    <w:rsid w:val="00C410E9"/>
    <w:rsid w:val="00C65732"/>
    <w:rsid w:val="00C71B09"/>
    <w:rsid w:val="00C7406D"/>
    <w:rsid w:val="00C8006B"/>
    <w:rsid w:val="00C926BE"/>
    <w:rsid w:val="00CA287E"/>
    <w:rsid w:val="00CC00CD"/>
    <w:rsid w:val="00CE0D99"/>
    <w:rsid w:val="00CF465F"/>
    <w:rsid w:val="00CF59F3"/>
    <w:rsid w:val="00D105C4"/>
    <w:rsid w:val="00D1258A"/>
    <w:rsid w:val="00D131BB"/>
    <w:rsid w:val="00D16E39"/>
    <w:rsid w:val="00D352F6"/>
    <w:rsid w:val="00D42616"/>
    <w:rsid w:val="00D631F3"/>
    <w:rsid w:val="00D72E9D"/>
    <w:rsid w:val="00D82CE5"/>
    <w:rsid w:val="00D87CA5"/>
    <w:rsid w:val="00DA4610"/>
    <w:rsid w:val="00DA5AB1"/>
    <w:rsid w:val="00DC479B"/>
    <w:rsid w:val="00DC62E5"/>
    <w:rsid w:val="00DD233E"/>
    <w:rsid w:val="00DD3BDB"/>
    <w:rsid w:val="00DD735D"/>
    <w:rsid w:val="00DE3119"/>
    <w:rsid w:val="00DF236B"/>
    <w:rsid w:val="00E13AB8"/>
    <w:rsid w:val="00E1532A"/>
    <w:rsid w:val="00E31381"/>
    <w:rsid w:val="00E33B62"/>
    <w:rsid w:val="00E42794"/>
    <w:rsid w:val="00E570E8"/>
    <w:rsid w:val="00E63BC8"/>
    <w:rsid w:val="00E74966"/>
    <w:rsid w:val="00E76B75"/>
    <w:rsid w:val="00EB54FE"/>
    <w:rsid w:val="00EF078D"/>
    <w:rsid w:val="00EF5435"/>
    <w:rsid w:val="00F21FC8"/>
    <w:rsid w:val="00F25248"/>
    <w:rsid w:val="00F53BED"/>
    <w:rsid w:val="00F70789"/>
    <w:rsid w:val="00F81F01"/>
    <w:rsid w:val="00F8375C"/>
    <w:rsid w:val="00F84899"/>
    <w:rsid w:val="00F859F0"/>
    <w:rsid w:val="00FC3D14"/>
    <w:rsid w:val="00FD38DE"/>
    <w:rsid w:val="00FE141E"/>
    <w:rsid w:val="053AE529"/>
    <w:rsid w:val="629F60CE"/>
    <w:rsid w:val="6D62B44F"/>
    <w:rsid w:val="796D7D6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link w:val="Appelnotedebasde"/>
    <w:uiPriority w:val="99"/>
    <w:unhideWhenUsed/>
    <w:qFormat/>
    <w:rsid w:val="007B0854"/>
    <w:rPr>
      <w:vertAlign w:val="superscript"/>
    </w:rPr>
  </w:style>
  <w:style w:type="paragraph" w:customStyle="1" w:styleId="Appelnotedebasde">
    <w:name w:val="Appel note de bas de..."/>
    <w:basedOn w:val="Normal"/>
    <w:link w:val="Refdenotaalpie"/>
    <w:uiPriority w:val="99"/>
    <w:rsid w:val="00270098"/>
    <w:pPr>
      <w:spacing w:after="160" w:line="240" w:lineRule="exact"/>
    </w:pPr>
    <w:rPr>
      <w:sz w:val="22"/>
      <w:vertAlign w:val="superscript"/>
      <w:lang w:val="es-CO"/>
    </w:rPr>
  </w:style>
  <w:style w:type="paragraph" w:customStyle="1" w:styleId="Default">
    <w:name w:val="Default"/>
    <w:rsid w:val="006C13E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53476129">
      <w:bodyDiv w:val="1"/>
      <w:marLeft w:val="0"/>
      <w:marRight w:val="0"/>
      <w:marTop w:val="0"/>
      <w:marBottom w:val="0"/>
      <w:divBdr>
        <w:top w:val="none" w:sz="0" w:space="0" w:color="auto"/>
        <w:left w:val="none" w:sz="0" w:space="0" w:color="auto"/>
        <w:bottom w:val="none" w:sz="0" w:space="0" w:color="auto"/>
        <w:right w:val="none" w:sz="0" w:space="0" w:color="auto"/>
      </w:divBdr>
    </w:div>
    <w:div w:id="905534361">
      <w:bodyDiv w:val="1"/>
      <w:marLeft w:val="0"/>
      <w:marRight w:val="0"/>
      <w:marTop w:val="0"/>
      <w:marBottom w:val="0"/>
      <w:divBdr>
        <w:top w:val="none" w:sz="0" w:space="0" w:color="auto"/>
        <w:left w:val="none" w:sz="0" w:space="0" w:color="auto"/>
        <w:bottom w:val="none" w:sz="0" w:space="0" w:color="auto"/>
        <w:right w:val="none" w:sz="0" w:space="0" w:color="auto"/>
      </w:divBdr>
    </w:div>
    <w:div w:id="190895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2.xml><?xml version="1.0" encoding="utf-8"?>
<ds:datastoreItem xmlns:ds="http://schemas.openxmlformats.org/officeDocument/2006/customXml" ds:itemID="{3BE58F50-30E1-4470-9305-62D82B876918}">
  <ds:schemaRefs>
    <ds:schemaRef ds:uri="http://schemas.openxmlformats.org/officeDocument/2006/bibliography"/>
  </ds:schemaRefs>
</ds:datastoreItem>
</file>

<file path=customXml/itemProps3.xml><?xml version="1.0" encoding="utf-8"?>
<ds:datastoreItem xmlns:ds="http://schemas.openxmlformats.org/officeDocument/2006/customXml" ds:itemID="{48E6F517-D6A0-4EA6-9D9B-89D6A1AE88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9</Pages>
  <Words>3463</Words>
  <Characters>19047</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5</cp:revision>
  <dcterms:created xsi:type="dcterms:W3CDTF">2020-07-30T21:54:00Z</dcterms:created>
  <dcterms:modified xsi:type="dcterms:W3CDTF">2020-08-10T20:53:00Z</dcterms:modified>
</cp:coreProperties>
</file>