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00B7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00B70">
        <w:rPr>
          <w:rFonts w:ascii="Arial" w:hAnsi="Arial" w:cs="Arial"/>
          <w:bCs/>
          <w:color w:val="000000" w:themeColor="text1"/>
          <w:sz w:val="16"/>
          <w:szCs w:val="16"/>
          <w:lang w:val="es-ES_tradnl" w:eastAsia="es-ES"/>
        </w:rPr>
        <w:t>CCE-DES-FM-17</w:t>
      </w:r>
      <w:bookmarkEnd w:id="0"/>
      <w:bookmarkEnd w:id="1"/>
    </w:p>
    <w:p w14:paraId="5D703D6E" w14:textId="77777777" w:rsidR="00041B2B" w:rsidRPr="00041B2B" w:rsidRDefault="00041B2B" w:rsidP="00041B2B">
      <w:pPr>
        <w:tabs>
          <w:tab w:val="left" w:pos="426"/>
        </w:tabs>
        <w:spacing w:line="276" w:lineRule="auto"/>
        <w:jc w:val="both"/>
        <w:rPr>
          <w:rFonts w:ascii="Arial" w:eastAsia="Calibri" w:hAnsi="Arial" w:cs="Arial"/>
          <w:b/>
          <w:color w:val="000000" w:themeColor="text1"/>
          <w:sz w:val="20"/>
          <w:szCs w:val="20"/>
        </w:rPr>
      </w:pPr>
      <w:bookmarkStart w:id="2" w:name="_Hlk70346847"/>
    </w:p>
    <w:p w14:paraId="2C4801F1" w14:textId="7FA44ECE" w:rsidR="00041B2B" w:rsidRPr="00D134F7" w:rsidRDefault="00041B2B" w:rsidP="00041B2B">
      <w:pPr>
        <w:tabs>
          <w:tab w:val="left" w:pos="426"/>
        </w:tabs>
        <w:spacing w:line="276" w:lineRule="auto"/>
        <w:jc w:val="both"/>
        <w:rPr>
          <w:rFonts w:ascii="Arial" w:eastAsia="Calibri" w:hAnsi="Arial" w:cs="Arial"/>
          <w:b/>
          <w:color w:val="000000" w:themeColor="text1"/>
          <w:sz w:val="22"/>
          <w:szCs w:val="22"/>
        </w:rPr>
      </w:pPr>
      <w:r w:rsidRPr="00D134F7">
        <w:rPr>
          <w:rFonts w:ascii="Arial" w:eastAsia="Calibri" w:hAnsi="Arial" w:cs="Arial"/>
          <w:b/>
          <w:color w:val="000000" w:themeColor="text1"/>
          <w:sz w:val="22"/>
          <w:szCs w:val="22"/>
        </w:rPr>
        <w:t>LEY DE EMPRENDIMIENTO – Impacto − Contratación estatal − Incentivos</w:t>
      </w:r>
    </w:p>
    <w:bookmarkEnd w:id="2"/>
    <w:p w14:paraId="617F4F25" w14:textId="77777777" w:rsidR="00041B2B" w:rsidRDefault="00041B2B" w:rsidP="00041B2B">
      <w:pPr>
        <w:tabs>
          <w:tab w:val="left" w:pos="426"/>
        </w:tabs>
        <w:spacing w:line="276" w:lineRule="auto"/>
        <w:jc w:val="both"/>
        <w:rPr>
          <w:rFonts w:ascii="Arial" w:eastAsia="Calibri" w:hAnsi="Arial" w:cs="Arial"/>
          <w:b/>
          <w:color w:val="000000" w:themeColor="text1"/>
          <w:sz w:val="22"/>
        </w:rPr>
      </w:pPr>
    </w:p>
    <w:p w14:paraId="6C0C1B0D" w14:textId="251889AB" w:rsidR="00041B2B" w:rsidRPr="00E83929" w:rsidRDefault="00E83929" w:rsidP="00E83929">
      <w:pPr>
        <w:tabs>
          <w:tab w:val="left" w:pos="709"/>
        </w:tabs>
        <w:jc w:val="both"/>
        <w:rPr>
          <w:rFonts w:ascii="Arial" w:eastAsia="Calibri" w:hAnsi="Arial" w:cs="Arial"/>
          <w:bCs/>
          <w:color w:val="000000" w:themeColor="text1"/>
          <w:sz w:val="20"/>
          <w:szCs w:val="20"/>
        </w:rPr>
      </w:pPr>
      <w:r w:rsidRPr="008915A6">
        <w:rPr>
          <w:rFonts w:ascii="Arial" w:eastAsia="Calibri" w:hAnsi="Arial" w:cs="Arial"/>
          <w:bCs/>
          <w:color w:val="000000"/>
          <w:sz w:val="20"/>
          <w:szCs w:val="20"/>
          <w:lang w:eastAsia="en-US"/>
        </w:rPr>
        <w:t xml:space="preserve">Por ello, la ley impulsa medidas para i) reducir cargas y trámites para los emprendedores del país; </w:t>
      </w:r>
      <w:proofErr w:type="spellStart"/>
      <w:r w:rsidRPr="008915A6">
        <w:rPr>
          <w:rFonts w:ascii="Arial" w:eastAsia="Calibri" w:hAnsi="Arial" w:cs="Arial"/>
          <w:bCs/>
          <w:color w:val="000000"/>
          <w:sz w:val="20"/>
          <w:szCs w:val="20"/>
          <w:lang w:eastAsia="en-US"/>
        </w:rPr>
        <w:t>ii</w:t>
      </w:r>
      <w:proofErr w:type="spellEnd"/>
      <w:r w:rsidRPr="008915A6">
        <w:rPr>
          <w:rFonts w:ascii="Arial" w:eastAsia="Calibri" w:hAnsi="Arial" w:cs="Arial"/>
          <w:bCs/>
          <w:color w:val="000000"/>
          <w:sz w:val="20"/>
          <w:szCs w:val="20"/>
          <w:lang w:eastAsia="en-US"/>
        </w:rPr>
        <w:t xml:space="preserve">) facilitar su acceso al sistema de compras y contratación pública; </w:t>
      </w:r>
      <w:proofErr w:type="spellStart"/>
      <w:r w:rsidRPr="008915A6">
        <w:rPr>
          <w:rFonts w:ascii="Arial" w:eastAsia="Calibri" w:hAnsi="Arial" w:cs="Arial"/>
          <w:bCs/>
          <w:color w:val="000000"/>
          <w:sz w:val="20"/>
          <w:szCs w:val="20"/>
          <w:lang w:eastAsia="en-US"/>
        </w:rPr>
        <w:t>iii</w:t>
      </w:r>
      <w:proofErr w:type="spellEnd"/>
      <w:r w:rsidRPr="008915A6">
        <w:rPr>
          <w:rFonts w:ascii="Arial" w:eastAsia="Calibri" w:hAnsi="Arial" w:cs="Arial"/>
          <w:bCs/>
          <w:color w:val="000000"/>
          <w:sz w:val="20"/>
          <w:szCs w:val="20"/>
          <w:lang w:eastAsia="en-US"/>
        </w:rPr>
        <w:t xml:space="preserve">) incentivar el crecimiento económico con la llegada de más actores al ecosistema de inversión y financiación; </w:t>
      </w:r>
      <w:proofErr w:type="spellStart"/>
      <w:r w:rsidRPr="008915A6">
        <w:rPr>
          <w:rFonts w:ascii="Arial" w:eastAsia="Calibri" w:hAnsi="Arial" w:cs="Arial"/>
          <w:bCs/>
          <w:color w:val="000000"/>
          <w:sz w:val="20"/>
          <w:szCs w:val="20"/>
          <w:lang w:eastAsia="en-US"/>
        </w:rPr>
        <w:t>iv</w:t>
      </w:r>
      <w:proofErr w:type="spellEnd"/>
      <w:r w:rsidRPr="008915A6">
        <w:rPr>
          <w:rFonts w:ascii="Arial" w:eastAsia="Calibri" w:hAnsi="Arial" w:cs="Arial"/>
          <w:bCs/>
          <w:color w:val="000000"/>
          <w:sz w:val="20"/>
          <w:szCs w:val="20"/>
          <w:lang w:eastAsia="en-US"/>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39BADD99" w14:textId="77777777" w:rsidR="00810E33" w:rsidRPr="00D134F7" w:rsidRDefault="00810E33" w:rsidP="003C4970">
      <w:pPr>
        <w:jc w:val="both"/>
        <w:rPr>
          <w:rFonts w:ascii="Arial" w:eastAsia="Calibri" w:hAnsi="Arial" w:cs="Arial"/>
          <w:b/>
          <w:bCs/>
          <w:color w:val="000000" w:themeColor="text1"/>
          <w:sz w:val="22"/>
          <w:szCs w:val="22"/>
          <w:lang w:val="es-ES_tradnl" w:eastAsia="en-US"/>
        </w:rPr>
      </w:pPr>
    </w:p>
    <w:p w14:paraId="4A8391D8" w14:textId="1B7EE8FE" w:rsidR="00FF0FEE" w:rsidRDefault="00FF0FEE" w:rsidP="003C4970">
      <w:pPr>
        <w:jc w:val="both"/>
        <w:rPr>
          <w:rFonts w:ascii="Arial" w:hAnsi="Arial" w:cs="Arial"/>
          <w:b/>
          <w:color w:val="000000"/>
          <w:sz w:val="22"/>
          <w:szCs w:val="22"/>
        </w:rPr>
      </w:pPr>
      <w:r w:rsidRPr="00D134F7">
        <w:rPr>
          <w:rFonts w:ascii="Arial" w:eastAsia="Calibri" w:hAnsi="Arial" w:cs="Arial"/>
          <w:b/>
          <w:bCs/>
          <w:color w:val="000000" w:themeColor="text1"/>
          <w:sz w:val="22"/>
          <w:szCs w:val="22"/>
          <w:lang w:val="es-ES_tradnl" w:eastAsia="en-US"/>
        </w:rPr>
        <w:t>DECRETO 1860 DE 2021</w:t>
      </w:r>
      <w:r w:rsidR="00DA1CA8" w:rsidRPr="00D134F7">
        <w:rPr>
          <w:rFonts w:ascii="Arial" w:eastAsia="Calibri" w:hAnsi="Arial" w:cs="Arial"/>
          <w:b/>
          <w:bCs/>
          <w:color w:val="000000" w:themeColor="text1"/>
          <w:sz w:val="22"/>
          <w:szCs w:val="22"/>
          <w:lang w:val="es-ES_tradnl" w:eastAsia="en-US"/>
        </w:rPr>
        <w:t xml:space="preserve"> – </w:t>
      </w:r>
      <w:r w:rsidRPr="00D134F7">
        <w:rPr>
          <w:rFonts w:ascii="Arial" w:hAnsi="Arial" w:cs="Arial"/>
          <w:b/>
          <w:color w:val="000000"/>
          <w:sz w:val="22"/>
          <w:szCs w:val="22"/>
          <w:lang w:val="es-ES_tradnl"/>
        </w:rPr>
        <w:t>P</w:t>
      </w:r>
      <w:proofErr w:type="spellStart"/>
      <w:r w:rsidRPr="00D134F7">
        <w:rPr>
          <w:rFonts w:ascii="Arial" w:hAnsi="Arial" w:cs="Arial"/>
          <w:b/>
          <w:color w:val="000000"/>
          <w:sz w:val="22"/>
          <w:szCs w:val="22"/>
        </w:rPr>
        <w:t>rovisión</w:t>
      </w:r>
      <w:proofErr w:type="spellEnd"/>
      <w:r w:rsidRPr="00D134F7">
        <w:rPr>
          <w:rFonts w:ascii="Arial" w:hAnsi="Arial" w:cs="Arial"/>
          <w:b/>
          <w:color w:val="000000"/>
          <w:sz w:val="22"/>
          <w:szCs w:val="22"/>
        </w:rPr>
        <w:t xml:space="preserve"> de bienes y servicios </w:t>
      </w:r>
      <w:r w:rsidRPr="00D134F7">
        <w:rPr>
          <w:rFonts w:ascii="Arial" w:eastAsia="Calibri" w:hAnsi="Arial" w:cs="Arial"/>
          <w:b/>
          <w:bCs/>
          <w:color w:val="000000" w:themeColor="text1"/>
          <w:sz w:val="22"/>
          <w:szCs w:val="22"/>
          <w:lang w:val="es-ES_tradnl" w:eastAsia="en-US"/>
        </w:rPr>
        <w:t>– P</w:t>
      </w:r>
      <w:r w:rsidRPr="00D134F7">
        <w:rPr>
          <w:rFonts w:ascii="Arial" w:hAnsi="Arial" w:cs="Arial"/>
          <w:b/>
          <w:color w:val="000000"/>
          <w:sz w:val="22"/>
          <w:szCs w:val="22"/>
        </w:rPr>
        <w:t xml:space="preserve">oblación en pobreza extrema </w:t>
      </w:r>
      <w:r w:rsidRPr="00D134F7">
        <w:rPr>
          <w:rFonts w:ascii="Arial" w:eastAsia="Calibri" w:hAnsi="Arial" w:cs="Arial"/>
          <w:b/>
          <w:bCs/>
          <w:color w:val="000000" w:themeColor="text1"/>
          <w:sz w:val="22"/>
          <w:szCs w:val="22"/>
          <w:lang w:val="es-ES_tradnl" w:eastAsia="en-US"/>
        </w:rPr>
        <w:t>–</w:t>
      </w:r>
      <w:r w:rsidRPr="00D134F7">
        <w:rPr>
          <w:rFonts w:ascii="Arial" w:hAnsi="Arial" w:cs="Arial"/>
          <w:b/>
          <w:color w:val="000000"/>
          <w:sz w:val="22"/>
          <w:szCs w:val="22"/>
        </w:rPr>
        <w:t xml:space="preserve"> Desplazados por la violencia </w:t>
      </w:r>
      <w:r w:rsidRPr="00D134F7">
        <w:rPr>
          <w:rFonts w:ascii="Arial" w:eastAsia="Calibri" w:hAnsi="Arial" w:cs="Arial"/>
          <w:b/>
          <w:bCs/>
          <w:color w:val="000000" w:themeColor="text1"/>
          <w:sz w:val="22"/>
          <w:szCs w:val="22"/>
          <w:lang w:val="es-ES_tradnl" w:eastAsia="en-US"/>
        </w:rPr>
        <w:t>– P</w:t>
      </w:r>
      <w:proofErr w:type="spellStart"/>
      <w:r w:rsidRPr="00D134F7">
        <w:rPr>
          <w:rFonts w:ascii="Arial" w:hAnsi="Arial" w:cs="Arial"/>
          <w:b/>
          <w:color w:val="000000"/>
          <w:sz w:val="22"/>
          <w:szCs w:val="22"/>
        </w:rPr>
        <w:t>ersonas</w:t>
      </w:r>
      <w:proofErr w:type="spellEnd"/>
      <w:r w:rsidRPr="00D134F7">
        <w:rPr>
          <w:rFonts w:ascii="Arial" w:hAnsi="Arial" w:cs="Arial"/>
          <w:b/>
          <w:color w:val="000000"/>
          <w:sz w:val="22"/>
          <w:szCs w:val="22"/>
        </w:rPr>
        <w:t xml:space="preserve"> en proceso de reintegración o reincorporación –</w:t>
      </w:r>
      <w:r w:rsidRPr="00D134F7">
        <w:rPr>
          <w:rFonts w:ascii="Arial" w:eastAsia="Calibri" w:hAnsi="Arial" w:cs="Arial"/>
          <w:b/>
          <w:bCs/>
          <w:color w:val="000000" w:themeColor="text1"/>
          <w:sz w:val="22"/>
          <w:szCs w:val="22"/>
          <w:lang w:val="es-ES_tradnl" w:eastAsia="en-US"/>
        </w:rPr>
        <w:t>S</w:t>
      </w:r>
      <w:proofErr w:type="spellStart"/>
      <w:r w:rsidRPr="00D134F7">
        <w:rPr>
          <w:rFonts w:ascii="Arial" w:hAnsi="Arial" w:cs="Arial"/>
          <w:b/>
          <w:color w:val="000000"/>
          <w:sz w:val="22"/>
          <w:szCs w:val="22"/>
        </w:rPr>
        <w:t>ujetos</w:t>
      </w:r>
      <w:proofErr w:type="spellEnd"/>
      <w:r w:rsidRPr="00D134F7">
        <w:rPr>
          <w:rFonts w:ascii="Arial" w:hAnsi="Arial" w:cs="Arial"/>
          <w:b/>
          <w:color w:val="000000"/>
          <w:sz w:val="22"/>
          <w:szCs w:val="22"/>
        </w:rPr>
        <w:t xml:space="preserve"> de especial protección constitucional</w:t>
      </w:r>
    </w:p>
    <w:p w14:paraId="6EBD21DA" w14:textId="77777777" w:rsidR="003C4970" w:rsidRPr="008915A6" w:rsidRDefault="003C4970" w:rsidP="003C4970">
      <w:pPr>
        <w:jc w:val="both"/>
        <w:rPr>
          <w:rFonts w:ascii="Arial" w:hAnsi="Arial" w:cs="Arial"/>
          <w:color w:val="000000"/>
          <w:sz w:val="20"/>
          <w:szCs w:val="20"/>
        </w:rPr>
      </w:pPr>
    </w:p>
    <w:p w14:paraId="77474FDD" w14:textId="1C818D35" w:rsidR="0072056F" w:rsidRPr="00E83929" w:rsidRDefault="00E83929" w:rsidP="003C4970">
      <w:pPr>
        <w:jc w:val="both"/>
        <w:rPr>
          <w:rFonts w:ascii="Arial" w:eastAsia="Calibri" w:hAnsi="Arial" w:cs="Arial"/>
          <w:color w:val="000000" w:themeColor="text1"/>
          <w:sz w:val="20"/>
          <w:szCs w:val="20"/>
          <w:lang w:val="es-ES_tradnl"/>
        </w:rPr>
      </w:pPr>
      <w:r w:rsidRPr="008915A6">
        <w:rPr>
          <w:rFonts w:ascii="Arial" w:eastAsia="Calibri" w:hAnsi="Arial" w:cs="Arial"/>
          <w:color w:val="000000"/>
          <w:sz w:val="20"/>
          <w:szCs w:val="20"/>
          <w:lang w:val="es-ES_tradnl" w:eastAsia="en-US"/>
        </w:rPr>
        <w:t>[…] El artículo 3 del Decreto 1860 de 2021, que adicionó el artículo 2.2.1.2.4.2.16 del Decreto 1082 de 2015, consagra el deber de las entidades estatales de incorporar las obligaciones para el cumplimiento del objeto contractual tendientes a la provisión de bienes y servicios por parte de población en pobreza extrema, desplazados por la violencia, personas en proceso de reintegración o reincorporación y sujetos de especial protección constitucional, en los pliegos de condiciones o documento equivalente, garantizando las condiciones de calidad y sin perjuicio de los acuerdos comerciales vigentes.  Esto aplica a las entidades estatales indistintamente de su régimen de contratación, los patrimonios autónomos constituidos por Entidades Estatales y los particulares que ejecuten recursos públicos.</w:t>
      </w:r>
      <w:r w:rsidR="0072056F" w:rsidRPr="00E83929">
        <w:rPr>
          <w:rFonts w:ascii="Arial" w:eastAsia="Calibri" w:hAnsi="Arial" w:cs="Arial"/>
          <w:color w:val="000000" w:themeColor="text1"/>
          <w:sz w:val="20"/>
          <w:szCs w:val="20"/>
          <w:lang w:val="es-ES_tradnl"/>
        </w:rPr>
        <w:tab/>
      </w:r>
    </w:p>
    <w:p w14:paraId="322B97F1" w14:textId="77777777" w:rsidR="003C4970" w:rsidRDefault="003C4970" w:rsidP="003C4970">
      <w:pPr>
        <w:jc w:val="both"/>
        <w:rPr>
          <w:rFonts w:ascii="Arial" w:eastAsia="Calibri" w:hAnsi="Arial" w:cs="Arial"/>
          <w:color w:val="000000" w:themeColor="text1"/>
          <w:sz w:val="20"/>
          <w:szCs w:val="20"/>
          <w:lang w:val="es-ES_tradnl"/>
        </w:rPr>
      </w:pPr>
    </w:p>
    <w:p w14:paraId="0D824B58" w14:textId="4B0BF9FF" w:rsidR="00810E33" w:rsidRPr="00D134F7" w:rsidRDefault="00810E33" w:rsidP="003C4970">
      <w:pPr>
        <w:tabs>
          <w:tab w:val="left" w:pos="426"/>
        </w:tabs>
        <w:spacing w:line="276" w:lineRule="auto"/>
        <w:jc w:val="both"/>
        <w:rPr>
          <w:rFonts w:ascii="Arial" w:eastAsia="Calibri" w:hAnsi="Arial" w:cs="Arial"/>
          <w:b/>
          <w:color w:val="000000" w:themeColor="text1"/>
          <w:sz w:val="22"/>
          <w:szCs w:val="22"/>
        </w:rPr>
      </w:pPr>
      <w:r w:rsidRPr="00D134F7">
        <w:rPr>
          <w:rFonts w:ascii="Arial" w:eastAsia="Calibri" w:hAnsi="Arial" w:cs="Arial"/>
          <w:b/>
          <w:color w:val="000000" w:themeColor="text1"/>
          <w:sz w:val="22"/>
          <w:szCs w:val="22"/>
        </w:rPr>
        <w:t xml:space="preserve">CONTRATACIÓN DIRECTA – Modalidad no competitiva </w:t>
      </w:r>
    </w:p>
    <w:p w14:paraId="46F95FB2" w14:textId="6CE1C08E" w:rsidR="00810E33" w:rsidRPr="00D134F7" w:rsidRDefault="00810E33" w:rsidP="003C4970">
      <w:pPr>
        <w:jc w:val="both"/>
        <w:rPr>
          <w:rFonts w:ascii="Arial" w:eastAsia="Calibri" w:hAnsi="Arial" w:cs="Arial"/>
          <w:color w:val="000000" w:themeColor="text1"/>
          <w:sz w:val="22"/>
          <w:szCs w:val="22"/>
        </w:rPr>
      </w:pPr>
    </w:p>
    <w:p w14:paraId="076CA26A" w14:textId="77777777" w:rsidR="00810E33" w:rsidRPr="00810E33" w:rsidRDefault="00810E33" w:rsidP="00810E33">
      <w:pPr>
        <w:spacing w:after="120"/>
        <w:jc w:val="both"/>
        <w:rPr>
          <w:rFonts w:ascii="Arial" w:eastAsia="Calibri" w:hAnsi="Arial" w:cs="Arial"/>
          <w:color w:val="000000" w:themeColor="text1"/>
          <w:sz w:val="20"/>
          <w:szCs w:val="20"/>
          <w:lang w:val="es-MX"/>
        </w:rPr>
      </w:pPr>
      <w:r w:rsidRPr="00810E33">
        <w:rPr>
          <w:rFonts w:ascii="Arial" w:eastAsia="Calibri" w:hAnsi="Arial" w:cs="Arial"/>
          <w:color w:val="000000" w:themeColor="text1"/>
          <w:sz w:val="20"/>
          <w:szCs w:val="20"/>
          <w:lang w:val="es-MX"/>
        </w:rPr>
        <w:t xml:space="preserve">Ahora bien, las modalidades de selección se pueden dividir doctrinariamente en i) competitivas y </w:t>
      </w:r>
      <w:proofErr w:type="spellStart"/>
      <w:r w:rsidRPr="00810E33">
        <w:rPr>
          <w:rFonts w:ascii="Arial" w:eastAsia="Calibri" w:hAnsi="Arial" w:cs="Arial"/>
          <w:color w:val="000000" w:themeColor="text1"/>
          <w:sz w:val="20"/>
          <w:szCs w:val="20"/>
          <w:lang w:val="es-MX"/>
        </w:rPr>
        <w:t>ii</w:t>
      </w:r>
      <w:proofErr w:type="spellEnd"/>
      <w:r w:rsidRPr="00810E33">
        <w:rPr>
          <w:rFonts w:ascii="Arial" w:eastAsia="Calibri" w:hAnsi="Arial" w:cs="Arial"/>
          <w:color w:val="000000" w:themeColor="text1"/>
          <w:sz w:val="20"/>
          <w:szCs w:val="20"/>
          <w:lang w:val="es-MX"/>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6D9F7873" w14:textId="77777777" w:rsidR="00810E33" w:rsidRPr="00810E33" w:rsidRDefault="00810E33" w:rsidP="00810E33">
      <w:pPr>
        <w:spacing w:after="120"/>
        <w:jc w:val="both"/>
        <w:rPr>
          <w:rFonts w:ascii="Arial" w:eastAsia="Calibri" w:hAnsi="Arial" w:cs="Arial"/>
          <w:color w:val="000000" w:themeColor="text1"/>
          <w:sz w:val="20"/>
          <w:szCs w:val="20"/>
          <w:lang w:val="es-MX"/>
        </w:rPr>
      </w:pPr>
      <w:r w:rsidRPr="00810E33">
        <w:rPr>
          <w:rFonts w:ascii="Arial" w:eastAsia="Calibri" w:hAnsi="Arial" w:cs="Arial"/>
          <w:color w:val="000000" w:themeColor="text1"/>
          <w:sz w:val="20"/>
          <w:szCs w:val="20"/>
          <w:lang w:val="es-MX"/>
        </w:rPr>
        <w:t xml:space="preserve">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de acuerdo con las reglas definidas en el pliego de condiciones o documento equivalente. Esto permite que todas las personas interesadas concurran al proceso en igualdad de condiciones y compitan en el mismo. </w:t>
      </w:r>
    </w:p>
    <w:p w14:paraId="2BA4FB47" w14:textId="4C6D7CAB" w:rsidR="00810E33" w:rsidRDefault="00810E33" w:rsidP="00E83929">
      <w:pPr>
        <w:jc w:val="both"/>
        <w:rPr>
          <w:rFonts w:ascii="Arial" w:eastAsia="Calibri" w:hAnsi="Arial" w:cs="Arial"/>
          <w:color w:val="000000" w:themeColor="text1"/>
          <w:sz w:val="20"/>
          <w:szCs w:val="20"/>
          <w:lang w:val="es-MX"/>
        </w:rPr>
      </w:pPr>
      <w:r w:rsidRPr="00810E33">
        <w:rPr>
          <w:rFonts w:ascii="Arial" w:eastAsia="Calibri" w:hAnsi="Arial" w:cs="Arial"/>
          <w:color w:val="000000" w:themeColor="text1"/>
          <w:sz w:val="20"/>
          <w:szCs w:val="20"/>
          <w:lang w:val="es-MX"/>
        </w:rPr>
        <w:t>Lo contrario es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1F54860A" w14:textId="77777777" w:rsidR="00E83929" w:rsidRDefault="00E83929" w:rsidP="008915A6">
      <w:pPr>
        <w:jc w:val="both"/>
        <w:rPr>
          <w:rFonts w:ascii="Arial" w:eastAsia="Calibri" w:hAnsi="Arial" w:cs="Arial"/>
          <w:color w:val="000000" w:themeColor="text1"/>
          <w:sz w:val="20"/>
          <w:szCs w:val="20"/>
          <w:lang w:val="es-MX"/>
        </w:rPr>
      </w:pPr>
    </w:p>
    <w:p w14:paraId="3E022D6D" w14:textId="2B558F79" w:rsidR="00325640" w:rsidRDefault="00325640" w:rsidP="00325640">
      <w:pPr>
        <w:tabs>
          <w:tab w:val="left" w:pos="426"/>
        </w:tabs>
        <w:jc w:val="both"/>
        <w:rPr>
          <w:rFonts w:ascii="Arial" w:eastAsia="Calibri" w:hAnsi="Arial" w:cs="Arial"/>
          <w:b/>
          <w:color w:val="000000" w:themeColor="text1"/>
          <w:sz w:val="22"/>
          <w:szCs w:val="22"/>
        </w:rPr>
      </w:pPr>
      <w:r w:rsidRPr="00325640">
        <w:rPr>
          <w:rFonts w:ascii="Arial" w:eastAsia="Calibri" w:hAnsi="Arial" w:cs="Arial"/>
          <w:b/>
          <w:color w:val="000000" w:themeColor="text1"/>
          <w:sz w:val="22"/>
          <w:szCs w:val="22"/>
        </w:rPr>
        <w:t>ARTÍCULO 2.2.1.2.4.2.16 DEL DECRETO 1082 DE 2015</w:t>
      </w:r>
      <w:r>
        <w:rPr>
          <w:rFonts w:ascii="Arial" w:eastAsia="Calibri" w:hAnsi="Arial" w:cs="Arial"/>
          <w:b/>
          <w:color w:val="000000" w:themeColor="text1"/>
          <w:sz w:val="22"/>
          <w:szCs w:val="22"/>
        </w:rPr>
        <w:t xml:space="preserve"> – No aplicación – Contratación directa – Ausencia de pliego de condiciones o documento equivalente</w:t>
      </w:r>
    </w:p>
    <w:p w14:paraId="0C6DE13D" w14:textId="5CCC9CF7" w:rsidR="00325640" w:rsidRDefault="00325640" w:rsidP="00325640">
      <w:pPr>
        <w:tabs>
          <w:tab w:val="left" w:pos="426"/>
        </w:tabs>
        <w:jc w:val="both"/>
        <w:rPr>
          <w:rFonts w:ascii="Arial" w:eastAsia="Calibri" w:hAnsi="Arial" w:cs="Arial"/>
          <w:b/>
          <w:color w:val="000000" w:themeColor="text1"/>
          <w:sz w:val="22"/>
          <w:szCs w:val="22"/>
        </w:rPr>
      </w:pPr>
    </w:p>
    <w:p w14:paraId="51964C5A" w14:textId="3004BC55" w:rsidR="00E83929" w:rsidRPr="008915A6" w:rsidRDefault="00E83929" w:rsidP="008915A6">
      <w:pPr>
        <w:spacing w:after="120"/>
        <w:jc w:val="both"/>
        <w:rPr>
          <w:rFonts w:ascii="Arial" w:eastAsia="Calibri" w:hAnsi="Arial" w:cs="Arial"/>
          <w:color w:val="000000"/>
          <w:sz w:val="20"/>
          <w:szCs w:val="20"/>
          <w:lang w:val="es-ES_tradnl" w:eastAsia="en-US"/>
        </w:rPr>
      </w:pPr>
      <w:r w:rsidRPr="008915A6">
        <w:rPr>
          <w:rFonts w:ascii="Arial" w:hAnsi="Arial" w:cs="Arial"/>
          <w:color w:val="000000"/>
          <w:sz w:val="20"/>
          <w:szCs w:val="20"/>
        </w:rPr>
        <w:lastRenderedPageBreak/>
        <w:t xml:space="preserve">[…] Pese a que el artículo </w:t>
      </w:r>
      <w:r w:rsidRPr="008915A6">
        <w:rPr>
          <w:rFonts w:ascii="Arial" w:eastAsia="Calibri" w:hAnsi="Arial" w:cs="Arial"/>
          <w:color w:val="000000"/>
          <w:sz w:val="20"/>
          <w:szCs w:val="20"/>
          <w:lang w:val="es-ES_tradnl" w:eastAsia="en-US"/>
        </w:rPr>
        <w:t xml:space="preserve">2.2.1.2.4.2.16 del Decreto 1082 de 2015 </w:t>
      </w:r>
      <w:r w:rsidRPr="008915A6">
        <w:rPr>
          <w:rFonts w:ascii="Arial" w:hAnsi="Arial" w:cs="Arial"/>
          <w:color w:val="000000"/>
          <w:sz w:val="20"/>
          <w:szCs w:val="20"/>
        </w:rPr>
        <w:t xml:space="preserve">no señala de forma pormenorizada en qué modalidades de selección tienen aplicación los mecanismos que fomenten en la ejecución de los contratos estatales la provisión de bienes y servicios por población en pobreza extrema, desplazados por la violencia, personas en proceso de reintegración o reincorporación y, sujetos de especial protección constitucional, se considera importante resaltar que en el marco de la finalidad de la Ley de emprendimiento, el </w:t>
      </w:r>
      <w:r w:rsidRPr="008915A6">
        <w:rPr>
          <w:rFonts w:ascii="Arial" w:eastAsia="Calibri" w:hAnsi="Arial" w:cs="Arial"/>
          <w:color w:val="000000"/>
          <w:sz w:val="20"/>
          <w:szCs w:val="20"/>
          <w:lang w:val="es-ES_tradnl" w:eastAsia="en-US"/>
        </w:rPr>
        <w:t xml:space="preserve">artículo 3 del Decreto 1860 de 2021, que adicionó el artículo 2.2.1.2.4.2.16 del Decreto 1082 de 2015, consagra el deber de las entidades estatales de incorporar las obligaciones para el cumplimiento del objeto contractual tendientes a dicha medida de fomento en los </w:t>
      </w:r>
      <w:r w:rsidRPr="008915A6">
        <w:rPr>
          <w:rFonts w:ascii="Arial" w:eastAsia="Calibri" w:hAnsi="Arial" w:cs="Arial"/>
          <w:i/>
          <w:color w:val="000000"/>
          <w:sz w:val="20"/>
          <w:szCs w:val="20"/>
          <w:lang w:val="es-ES_tradnl" w:eastAsia="en-US"/>
        </w:rPr>
        <w:t>pliegos de condiciones o documento equivalente</w:t>
      </w:r>
      <w:r w:rsidRPr="008915A6">
        <w:rPr>
          <w:rFonts w:ascii="Arial" w:eastAsia="Calibri" w:hAnsi="Arial" w:cs="Arial"/>
          <w:iCs/>
          <w:color w:val="000000"/>
          <w:sz w:val="20"/>
          <w:szCs w:val="20"/>
          <w:lang w:val="es-ES_tradnl" w:eastAsia="en-US"/>
        </w:rPr>
        <w:t>. Esto, unido al contenido del inciso cuarto del artículo 12 de la Ley 1150 de 2007 –modificado por el artículo 34 de la Ley 2069 de 2020–</w:t>
      </w:r>
      <w:r w:rsidRPr="008915A6">
        <w:rPr>
          <w:rFonts w:ascii="Arial" w:eastAsia="Calibri" w:hAnsi="Arial" w:cs="Arial"/>
          <w:color w:val="000000"/>
          <w:sz w:val="20"/>
          <w:szCs w:val="20"/>
          <w:lang w:val="es-ES_tradnl" w:eastAsia="en-US"/>
        </w:rPr>
        <w:t xml:space="preserve"> permite inferir que se refiere a los procesos de contratación competitivos, los cuales se caracterizan por la presencia de un pliego de condiciones o documento equivalente, como lo es la invitación pública en la modalidad de mínima cuantía. Además, se considera que cuando la norma alude al pliego de condiciones </w:t>
      </w:r>
      <w:r w:rsidRPr="008915A6">
        <w:rPr>
          <w:rFonts w:ascii="Arial" w:eastAsia="Calibri" w:hAnsi="Arial" w:cs="Arial"/>
          <w:i/>
          <w:iCs/>
          <w:color w:val="000000"/>
          <w:sz w:val="20"/>
          <w:szCs w:val="20"/>
          <w:lang w:val="es-ES_tradnl" w:eastAsia="en-US"/>
        </w:rPr>
        <w:t>o documento equivalente,</w:t>
      </w:r>
      <w:r w:rsidRPr="008915A6">
        <w:rPr>
          <w:rFonts w:ascii="Arial" w:eastAsia="Calibri" w:hAnsi="Arial" w:cs="Arial"/>
          <w:color w:val="000000"/>
          <w:sz w:val="20"/>
          <w:szCs w:val="20"/>
          <w:lang w:val="es-ES_tradnl" w:eastAsia="en-US"/>
        </w:rPr>
        <w:t xml:space="preserve"> debe entenderse referido al documento equivalente al pliego de condiciones que elaboran las entidades estatales exceptuadas del Estatuto General de Contratación de la Administración Pública, toda vez que el artículo 2.2.1.2.4.2.16. del Decreto 1082 de 2015 señala que su contenido aplica frente a las «Entidades Estatales indistintamente de su régimen de contratación, los patrimonios autónomos constituidos por Entidades Estatales y los particulares que ejecuten recursos públicos».</w:t>
      </w:r>
    </w:p>
    <w:p w14:paraId="0DFC0711" w14:textId="7D9849EF" w:rsidR="00E83929" w:rsidRPr="008915A6" w:rsidRDefault="00E83929" w:rsidP="008915A6">
      <w:pPr>
        <w:spacing w:after="120"/>
        <w:jc w:val="both"/>
        <w:rPr>
          <w:rFonts w:ascii="Arial" w:eastAsia="Calibri" w:hAnsi="Arial" w:cs="Arial"/>
          <w:color w:val="000000"/>
          <w:sz w:val="20"/>
          <w:szCs w:val="20"/>
          <w:lang w:val="es-ES_tradnl" w:eastAsia="en-US"/>
        </w:rPr>
      </w:pPr>
      <w:r w:rsidRPr="008915A6">
        <w:rPr>
          <w:rFonts w:ascii="Arial" w:eastAsia="Calibri" w:hAnsi="Arial" w:cs="Arial"/>
          <w:color w:val="000000"/>
          <w:sz w:val="20"/>
          <w:szCs w:val="20"/>
          <w:lang w:val="es-ES_tradnl" w:eastAsia="en-US"/>
        </w:rPr>
        <w:t>Además, cabe resaltar que la incorporación de estas estipulaciones dependerá del previo análisis de oportunidad y conveniencia que realice la entidad en los documentos del proceso, teniendo en cuenta el objeto contractual y el alcance de las obligaciones para garantizar el cumplimiento del contrato.</w:t>
      </w:r>
    </w:p>
    <w:p w14:paraId="30AE8646" w14:textId="55E231AB" w:rsidR="00E83929" w:rsidRPr="008915A6" w:rsidRDefault="00E83929" w:rsidP="008915A6">
      <w:pPr>
        <w:tabs>
          <w:tab w:val="left" w:pos="426"/>
        </w:tabs>
        <w:spacing w:after="120"/>
        <w:jc w:val="both"/>
        <w:rPr>
          <w:rFonts w:ascii="Arial" w:eastAsia="Calibri" w:hAnsi="Arial" w:cs="Arial"/>
          <w:b/>
          <w:color w:val="000000" w:themeColor="text1"/>
          <w:sz w:val="20"/>
          <w:szCs w:val="20"/>
        </w:rPr>
      </w:pPr>
      <w:r w:rsidRPr="008915A6">
        <w:rPr>
          <w:rFonts w:ascii="Arial" w:hAnsi="Arial" w:cs="Arial"/>
          <w:color w:val="000000"/>
          <w:sz w:val="20"/>
          <w:szCs w:val="20"/>
        </w:rPr>
        <w:t xml:space="preserve">En armonía con lo anterior, esta Agencia considera que el artículo 2.2.1.2.4.2.16 del Decreto 1082 de 2015 no aplica en los procesos de contratación que se adelanten mediante la modalidad de contratación directa, por no existir en dichos procesos un pliego de condiciones o documento equivalente al pliego de condiciones. Ello sin perjuicio de que las entidades estatales en ejercicio de su autonomía administrativa, y de acuerdo con su análisis de oportunidad y conveniencia </w:t>
      </w:r>
      <w:r w:rsidRPr="008915A6">
        <w:rPr>
          <w:rFonts w:ascii="Arial" w:eastAsia="Calibri" w:hAnsi="Arial" w:cs="Arial"/>
          <w:color w:val="000000"/>
          <w:sz w:val="20"/>
          <w:szCs w:val="20"/>
          <w:lang w:val="es-ES_tradnl" w:eastAsia="en-US"/>
        </w:rPr>
        <w:t>teniendo en cuenta el objeto contractual y el alcance de las obligaciones, decidan incluirlas en la minuta del contrato como una buena práctica contractual, tratándose de procesos de contratación directa.</w:t>
      </w:r>
    </w:p>
    <w:p w14:paraId="0A16F304" w14:textId="77777777" w:rsidR="00325640" w:rsidRPr="008915A6" w:rsidRDefault="00325640" w:rsidP="008915A6">
      <w:pPr>
        <w:tabs>
          <w:tab w:val="left" w:pos="426"/>
        </w:tabs>
        <w:jc w:val="both"/>
        <w:rPr>
          <w:rFonts w:ascii="Arial" w:eastAsia="Calibri" w:hAnsi="Arial" w:cs="Arial"/>
          <w:b/>
          <w:color w:val="000000" w:themeColor="text1"/>
          <w:sz w:val="22"/>
          <w:szCs w:val="22"/>
        </w:rPr>
      </w:pPr>
    </w:p>
    <w:p w14:paraId="6D657D78" w14:textId="49758EA1" w:rsidR="00E83929" w:rsidRDefault="00E83929">
      <w:pPr>
        <w:spacing w:after="200" w:line="276" w:lineRule="auto"/>
        <w:rPr>
          <w:rFonts w:ascii="Arial" w:eastAsia="Calibri" w:hAnsi="Arial" w:cs="Arial"/>
          <w:color w:val="000000" w:themeColor="text1"/>
          <w:sz w:val="20"/>
          <w:szCs w:val="20"/>
          <w:lang w:val="es-MX"/>
        </w:rPr>
      </w:pPr>
      <w:r>
        <w:rPr>
          <w:rFonts w:ascii="Arial" w:eastAsia="Calibri" w:hAnsi="Arial" w:cs="Arial"/>
          <w:color w:val="000000" w:themeColor="text1"/>
          <w:sz w:val="20"/>
          <w:szCs w:val="20"/>
          <w:lang w:val="es-MX"/>
        </w:rPr>
        <w:br w:type="page"/>
      </w:r>
    </w:p>
    <w:p w14:paraId="3DED90DA" w14:textId="7EBDCF26" w:rsidR="00325640" w:rsidRPr="00810E33" w:rsidRDefault="004F68AC" w:rsidP="004F68AC">
      <w:pPr>
        <w:spacing w:after="120"/>
        <w:jc w:val="right"/>
        <w:rPr>
          <w:rFonts w:ascii="Arial" w:eastAsia="Calibri" w:hAnsi="Arial" w:cs="Arial"/>
          <w:color w:val="000000" w:themeColor="text1"/>
          <w:sz w:val="20"/>
          <w:szCs w:val="20"/>
          <w:lang w:val="es-MX"/>
        </w:rPr>
      </w:pPr>
      <w:r w:rsidRPr="00B709DD">
        <w:rPr>
          <w:rFonts w:ascii="Arial" w:hAnsi="Arial" w:cs="Arial"/>
          <w:b/>
          <w:sz w:val="22"/>
        </w:rPr>
        <w:lastRenderedPageBreak/>
        <w:drawing>
          <wp:inline distT="0" distB="0" distL="0" distR="0" wp14:anchorId="52C0EFDF" wp14:editId="4EBF1CA5">
            <wp:extent cx="3181794" cy="72400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3181794" cy="724001"/>
                    </a:xfrm>
                    <a:prstGeom prst="rect">
                      <a:avLst/>
                    </a:prstGeom>
                  </pic:spPr>
                </pic:pic>
              </a:graphicData>
            </a:graphic>
          </wp:inline>
        </w:drawing>
      </w:r>
    </w:p>
    <w:p w14:paraId="6DA82C45" w14:textId="2EF24189" w:rsidR="0072384D" w:rsidRDefault="0072384D" w:rsidP="0072384D">
      <w:pPr>
        <w:widowControl w:val="0"/>
        <w:spacing w:after="120"/>
        <w:rPr>
          <w:rFonts w:ascii="Arial" w:hAnsi="Arial" w:cs="Arial"/>
          <w:b/>
          <w:sz w:val="22"/>
        </w:rPr>
      </w:pPr>
      <w:r w:rsidRPr="00B86532">
        <w:rPr>
          <w:rFonts w:ascii="Arial" w:hAnsi="Arial" w:cs="Arial"/>
          <w:sz w:val="22"/>
        </w:rPr>
        <w:t xml:space="preserve">Bogotá D.C., </w:t>
      </w:r>
      <w:r w:rsidR="00BC0BFB">
        <w:rPr>
          <w:rFonts w:ascii="Arial" w:hAnsi="Arial" w:cs="Arial"/>
          <w:b/>
          <w:sz w:val="22"/>
        </w:rPr>
        <w:t xml:space="preserve">11 de agosto </w:t>
      </w:r>
      <w:r w:rsidR="00B709DD">
        <w:rPr>
          <w:rFonts w:ascii="Arial" w:hAnsi="Arial" w:cs="Arial"/>
          <w:b/>
          <w:sz w:val="22"/>
        </w:rPr>
        <w:t>de 2022</w:t>
      </w:r>
    </w:p>
    <w:p w14:paraId="67B73752" w14:textId="77777777" w:rsidR="0072384D" w:rsidRDefault="0072384D" w:rsidP="0072384D">
      <w:pPr>
        <w:rPr>
          <w:rFonts w:ascii="Arial" w:hAnsi="Arial" w:cs="Arial"/>
          <w:b/>
          <w:sz w:val="22"/>
        </w:rPr>
      </w:pPr>
    </w:p>
    <w:p w14:paraId="6A275592" w14:textId="46D96D88" w:rsidR="0072384D" w:rsidRPr="00567086" w:rsidRDefault="0072384D" w:rsidP="00B709DD">
      <w:pPr>
        <w:jc w:val="right"/>
        <w:rPr>
          <w:rFonts w:ascii="Arial" w:eastAsia="Calibri" w:hAnsi="Arial" w:cs="Arial"/>
          <w:noProof/>
          <w:color w:val="000000" w:themeColor="text1"/>
          <w:sz w:val="22"/>
          <w:szCs w:val="22"/>
        </w:rPr>
      </w:pPr>
      <w:r>
        <w:rPr>
          <w:rFonts w:ascii="Arial" w:hAnsi="Arial" w:cs="Arial"/>
          <w:b/>
          <w:sz w:val="22"/>
        </w:rPr>
        <w:t xml:space="preserve">                                                                                    </w:t>
      </w:r>
    </w:p>
    <w:p w14:paraId="53240399" w14:textId="67A17D93" w:rsidR="007C3CC4" w:rsidRDefault="007C3CC4" w:rsidP="007C3CC4">
      <w:pPr>
        <w:jc w:val="right"/>
      </w:pPr>
      <w:r>
        <w:fldChar w:fldCharType="begin"/>
      </w:r>
      <w:r w:rsidR="004371F5">
        <w:instrText xml:space="preserve"> INCLUDEPICTURE "C:\\var\\folders\\tb\\0fmk9b510f57pz5rwhv8lnpw0000gp\\T\\com.microsoft.Word\\WebArchiveCopyPasteTempFiles\\page1image26317696" \* MERGEFORMAT </w:instrText>
      </w:r>
      <w:r>
        <w:fldChar w:fldCharType="end"/>
      </w:r>
    </w:p>
    <w:p w14:paraId="6B2EBA68" w14:textId="77777777" w:rsidR="007C3CC4" w:rsidRDefault="007C3CC4" w:rsidP="00C50168">
      <w:pPr>
        <w:jc w:val="both"/>
        <w:rPr>
          <w:rFonts w:ascii="Arial" w:eastAsia="Calibri" w:hAnsi="Arial" w:cs="Arial"/>
          <w:color w:val="000000" w:themeColor="text1"/>
          <w:sz w:val="22"/>
          <w:szCs w:val="22"/>
        </w:rPr>
      </w:pPr>
    </w:p>
    <w:p w14:paraId="0493090C" w14:textId="1CA0EF02" w:rsidR="00C50168" w:rsidRPr="00910945" w:rsidRDefault="00C50168" w:rsidP="00C50168">
      <w:pPr>
        <w:jc w:val="both"/>
        <w:rPr>
          <w:rFonts w:ascii="Arial" w:eastAsia="Calibri" w:hAnsi="Arial" w:cs="Arial"/>
          <w:color w:val="000000" w:themeColor="text1"/>
          <w:sz w:val="22"/>
          <w:szCs w:val="22"/>
        </w:rPr>
      </w:pPr>
      <w:bookmarkStart w:id="3" w:name="_Hlk111108814"/>
      <w:r w:rsidRPr="00910945">
        <w:rPr>
          <w:rFonts w:ascii="Arial" w:eastAsia="Calibri" w:hAnsi="Arial" w:cs="Arial"/>
          <w:color w:val="000000" w:themeColor="text1"/>
          <w:sz w:val="22"/>
          <w:szCs w:val="22"/>
        </w:rPr>
        <w:t>Señor</w:t>
      </w:r>
    </w:p>
    <w:p w14:paraId="099A11AD" w14:textId="13738873" w:rsidR="007712E4" w:rsidRDefault="0060591D" w:rsidP="00C50168">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Miguel Cruz Ramírez</w:t>
      </w:r>
    </w:p>
    <w:p w14:paraId="6F739F9A" w14:textId="73F37483" w:rsidR="009F2C6F" w:rsidRPr="009F2C6F" w:rsidRDefault="0060591D" w:rsidP="00C50168">
      <w:pPr>
        <w:jc w:val="both"/>
        <w:rPr>
          <w:rFonts w:ascii="Arial" w:eastAsia="Calibri" w:hAnsi="Arial" w:cs="Arial"/>
          <w:bCs/>
          <w:color w:val="000000" w:themeColor="text1"/>
          <w:sz w:val="22"/>
          <w:szCs w:val="22"/>
        </w:rPr>
      </w:pPr>
      <w:r>
        <w:rPr>
          <w:rFonts w:ascii="Arial" w:eastAsia="Calibri" w:hAnsi="Arial" w:cs="Arial"/>
          <w:bCs/>
          <w:color w:val="000000" w:themeColor="text1"/>
          <w:sz w:val="22"/>
          <w:szCs w:val="22"/>
        </w:rPr>
        <w:t>Bogotá D.C</w:t>
      </w:r>
    </w:p>
    <w:p w14:paraId="1A4D2548" w14:textId="77777777" w:rsidR="00C50168" w:rsidRPr="00910945" w:rsidRDefault="00C50168" w:rsidP="00C50168">
      <w:pPr>
        <w:jc w:val="both"/>
        <w:rPr>
          <w:rFonts w:ascii="Arial" w:eastAsia="Calibri" w:hAnsi="Arial" w:cs="Arial"/>
          <w:color w:val="000000" w:themeColor="text1"/>
          <w:sz w:val="22"/>
          <w:szCs w:val="22"/>
        </w:rPr>
      </w:pPr>
    </w:p>
    <w:p w14:paraId="1C9BFC6C" w14:textId="77777777" w:rsidR="00C50168" w:rsidRPr="00910945" w:rsidRDefault="00C50168" w:rsidP="00C50168">
      <w:pPr>
        <w:jc w:val="both"/>
        <w:rPr>
          <w:rFonts w:ascii="Arial" w:eastAsia="Calibri" w:hAnsi="Arial" w:cs="Arial"/>
          <w:color w:val="000000" w:themeColor="text1"/>
          <w:sz w:val="22"/>
          <w:szCs w:val="22"/>
        </w:rPr>
      </w:pPr>
    </w:p>
    <w:p w14:paraId="272F76BB" w14:textId="2D99ACCC" w:rsidR="00C50168" w:rsidRPr="00910945" w:rsidRDefault="00C50168" w:rsidP="00C50168">
      <w:pPr>
        <w:rPr>
          <w:rFonts w:ascii="Arial" w:eastAsia="Calibri" w:hAnsi="Arial" w:cs="Arial"/>
          <w:b/>
          <w:bCs/>
          <w:color w:val="000000" w:themeColor="text1"/>
          <w:sz w:val="22"/>
          <w:szCs w:val="22"/>
          <w:lang w:val="es-ES_tradnl"/>
        </w:rPr>
      </w:pPr>
      <w:r w:rsidRPr="00910945">
        <w:rPr>
          <w:rFonts w:ascii="Arial" w:eastAsia="Calibri" w:hAnsi="Arial" w:cs="Arial"/>
          <w:b/>
          <w:bCs/>
          <w:color w:val="000000" w:themeColor="text1"/>
          <w:sz w:val="22"/>
          <w:szCs w:val="22"/>
        </w:rPr>
        <w:t xml:space="preserve">                                            </w:t>
      </w:r>
      <w:r w:rsidRPr="00910945">
        <w:rPr>
          <w:rFonts w:ascii="Arial" w:eastAsia="Calibri" w:hAnsi="Arial" w:cs="Arial"/>
          <w:b/>
          <w:bCs/>
          <w:color w:val="000000" w:themeColor="text1"/>
          <w:sz w:val="22"/>
          <w:szCs w:val="22"/>
          <w:lang w:val="es-ES_tradnl"/>
        </w:rPr>
        <w:t>Concepto C</w:t>
      </w:r>
      <w:r w:rsidR="00AD300A">
        <w:rPr>
          <w:rFonts w:ascii="Arial" w:eastAsia="Calibri" w:hAnsi="Arial" w:cs="Arial"/>
          <w:b/>
          <w:bCs/>
          <w:color w:val="000000" w:themeColor="text1"/>
          <w:sz w:val="22"/>
          <w:szCs w:val="22"/>
          <w:lang w:val="es-ES_tradnl"/>
        </w:rPr>
        <w:t>–</w:t>
      </w:r>
      <w:r w:rsidR="0060591D">
        <w:rPr>
          <w:rFonts w:ascii="Arial" w:eastAsia="Calibri" w:hAnsi="Arial" w:cs="Arial"/>
          <w:b/>
          <w:bCs/>
          <w:color w:val="000000" w:themeColor="text1"/>
          <w:sz w:val="22"/>
          <w:szCs w:val="22"/>
          <w:lang w:val="es-ES_tradnl"/>
        </w:rPr>
        <w:t>513</w:t>
      </w:r>
      <w:r w:rsidRPr="00910945">
        <w:rPr>
          <w:rFonts w:ascii="Arial" w:eastAsia="Calibri" w:hAnsi="Arial" w:cs="Arial"/>
          <w:b/>
          <w:bCs/>
          <w:color w:val="000000" w:themeColor="text1"/>
          <w:sz w:val="22"/>
          <w:szCs w:val="22"/>
          <w:lang w:val="es-ES_tradnl"/>
        </w:rPr>
        <w:t xml:space="preserve"> de 2022</w:t>
      </w:r>
    </w:p>
    <w:p w14:paraId="1BD594F9" w14:textId="77777777" w:rsidR="00B95C30" w:rsidRPr="00910945" w:rsidRDefault="00B95C30" w:rsidP="00B95C30">
      <w:pPr>
        <w:jc w:val="both"/>
        <w:rPr>
          <w:rFonts w:ascii="Arial" w:eastAsia="Calibri" w:hAnsi="Arial" w:cs="Arial"/>
          <w:color w:val="000000" w:themeColor="text1"/>
          <w:sz w:val="22"/>
          <w:lang w:val="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A36D47" w:rsidRPr="003D4FC2" w14:paraId="19DFC051" w14:textId="765F9007" w:rsidTr="00A36D47">
        <w:tc>
          <w:tcPr>
            <w:tcW w:w="2689" w:type="dxa"/>
          </w:tcPr>
          <w:p w14:paraId="6BC0D1AC" w14:textId="77777777" w:rsidR="00A36D47" w:rsidRPr="00D972C7" w:rsidRDefault="00A36D47" w:rsidP="0015145A">
            <w:pPr>
              <w:jc w:val="both"/>
              <w:rPr>
                <w:rFonts w:ascii="Arial" w:eastAsia="Calibri" w:hAnsi="Arial" w:cs="Arial"/>
                <w:color w:val="000000" w:themeColor="text1"/>
                <w:sz w:val="22"/>
                <w:szCs w:val="22"/>
                <w:lang w:val="es-ES_tradnl"/>
              </w:rPr>
            </w:pPr>
            <w:r w:rsidRPr="00D972C7">
              <w:rPr>
                <w:rFonts w:ascii="Arial" w:eastAsia="Calibri" w:hAnsi="Arial" w:cs="Arial"/>
                <w:b/>
                <w:color w:val="000000" w:themeColor="text1"/>
                <w:sz w:val="22"/>
                <w:szCs w:val="22"/>
                <w:lang w:val="es-ES_tradnl"/>
              </w:rPr>
              <w:t>Temas:</w:t>
            </w:r>
            <w:r w:rsidRPr="00D972C7">
              <w:rPr>
                <w:rFonts w:ascii="Arial" w:eastAsia="Calibri" w:hAnsi="Arial" w:cs="Arial"/>
                <w:color w:val="000000" w:themeColor="text1"/>
                <w:sz w:val="22"/>
                <w:szCs w:val="22"/>
                <w:lang w:val="es-ES_tradnl"/>
              </w:rPr>
              <w:t xml:space="preserve">                                      </w:t>
            </w:r>
          </w:p>
        </w:tc>
        <w:tc>
          <w:tcPr>
            <w:tcW w:w="6237" w:type="dxa"/>
          </w:tcPr>
          <w:p w14:paraId="66C19686" w14:textId="2E75C1E7" w:rsidR="00B17084" w:rsidRPr="00E83929" w:rsidRDefault="00041B2B" w:rsidP="00D972C7">
            <w:pPr>
              <w:jc w:val="both"/>
              <w:rPr>
                <w:rFonts w:ascii="Arial" w:eastAsia="Calibri" w:hAnsi="Arial" w:cs="Arial"/>
                <w:bCs/>
                <w:sz w:val="22"/>
                <w:szCs w:val="22"/>
              </w:rPr>
            </w:pPr>
            <w:r w:rsidRPr="00D972C7">
              <w:rPr>
                <w:rFonts w:ascii="Arial" w:eastAsia="Calibri" w:hAnsi="Arial" w:cs="Arial"/>
                <w:bCs/>
                <w:color w:val="000000" w:themeColor="text1"/>
                <w:sz w:val="22"/>
                <w:szCs w:val="22"/>
              </w:rPr>
              <w:t xml:space="preserve">LEY DE EMPRENDIMIENTO – Impacto − Contratación estatal – Incentivos / </w:t>
            </w:r>
            <w:r w:rsidR="00810E33" w:rsidRPr="00810E33">
              <w:rPr>
                <w:rFonts w:ascii="Arial" w:eastAsia="Calibri" w:hAnsi="Arial" w:cs="Arial"/>
                <w:bCs/>
                <w:sz w:val="22"/>
                <w:szCs w:val="22"/>
                <w:lang w:val="es-ES_tradnl"/>
              </w:rPr>
              <w:t>DECRETO 1860 DE 2021 – Provisión de bienes y servicios – Población en pobreza extrema – Desplazados por la violencia – Personas en proceso de reintegración o reincorporación –</w:t>
            </w:r>
            <w:r w:rsidR="003C4970">
              <w:rPr>
                <w:rFonts w:ascii="Arial" w:eastAsia="Calibri" w:hAnsi="Arial" w:cs="Arial"/>
                <w:bCs/>
                <w:sz w:val="22"/>
                <w:szCs w:val="22"/>
                <w:lang w:val="es-ES_tradnl"/>
              </w:rPr>
              <w:t xml:space="preserve"> </w:t>
            </w:r>
            <w:r w:rsidR="00810E33" w:rsidRPr="00810E33">
              <w:rPr>
                <w:rFonts w:ascii="Arial" w:eastAsia="Calibri" w:hAnsi="Arial" w:cs="Arial"/>
                <w:bCs/>
                <w:sz w:val="22"/>
                <w:szCs w:val="22"/>
                <w:lang w:val="es-ES_tradnl"/>
              </w:rPr>
              <w:t>Sujetos de especial protección constitucional</w:t>
            </w:r>
            <w:r w:rsidR="00994E68">
              <w:rPr>
                <w:rFonts w:ascii="Arial" w:eastAsia="Calibri" w:hAnsi="Arial" w:cs="Arial"/>
                <w:bCs/>
                <w:sz w:val="22"/>
                <w:szCs w:val="22"/>
                <w:lang w:val="es-ES_tradnl"/>
              </w:rPr>
              <w:t xml:space="preserve"> / </w:t>
            </w:r>
            <w:r w:rsidR="00994E68" w:rsidRPr="00994E68">
              <w:rPr>
                <w:rFonts w:ascii="Arial" w:eastAsia="Calibri" w:hAnsi="Arial" w:cs="Arial"/>
                <w:bCs/>
                <w:sz w:val="22"/>
                <w:szCs w:val="22"/>
                <w:lang w:val="es-ES_tradnl"/>
              </w:rPr>
              <w:t>CONTRATACIÓN DIRECTA – Modalidad no competitiva</w:t>
            </w:r>
            <w:r w:rsidR="00E83929">
              <w:rPr>
                <w:rFonts w:ascii="Arial" w:eastAsia="Calibri" w:hAnsi="Arial" w:cs="Arial"/>
                <w:bCs/>
                <w:sz w:val="22"/>
                <w:szCs w:val="22"/>
                <w:lang w:val="es-ES_tradnl"/>
              </w:rPr>
              <w:t xml:space="preserve"> / </w:t>
            </w:r>
            <w:r w:rsidR="00E83929" w:rsidRPr="008915A6">
              <w:rPr>
                <w:rFonts w:ascii="Arial" w:eastAsia="Calibri" w:hAnsi="Arial" w:cs="Arial"/>
                <w:bCs/>
                <w:color w:val="000000" w:themeColor="text1"/>
                <w:sz w:val="22"/>
                <w:szCs w:val="22"/>
              </w:rPr>
              <w:t>ARTÍCULO 2.2.1.2.4.2.16 DEL DECRETO 1082 DE 2015 – No aplicación – Contratación directa – Ausencia de pliego de condiciones o documento equivalente</w:t>
            </w:r>
          </w:p>
          <w:p w14:paraId="5F389CAF" w14:textId="5372660B" w:rsidR="00810E33" w:rsidRPr="00810E33" w:rsidRDefault="00810E33" w:rsidP="00D972C7">
            <w:pPr>
              <w:jc w:val="both"/>
              <w:rPr>
                <w:rFonts w:ascii="Arial" w:eastAsia="Calibri" w:hAnsi="Arial" w:cs="Arial"/>
                <w:b/>
                <w:sz w:val="22"/>
                <w:szCs w:val="22"/>
              </w:rPr>
            </w:pPr>
          </w:p>
        </w:tc>
        <w:tc>
          <w:tcPr>
            <w:tcW w:w="6237" w:type="dxa"/>
          </w:tcPr>
          <w:p w14:paraId="4B2565E3" w14:textId="77777777" w:rsidR="00A36D47" w:rsidRPr="003D4FC2" w:rsidRDefault="00A36D47" w:rsidP="00B117EC">
            <w:pPr>
              <w:jc w:val="both"/>
              <w:rPr>
                <w:rFonts w:ascii="Arial" w:eastAsia="Calibri" w:hAnsi="Arial" w:cs="Arial"/>
                <w:bCs/>
                <w:color w:val="000000" w:themeColor="text1"/>
                <w:sz w:val="22"/>
                <w:lang w:val="es-ES_tradnl"/>
              </w:rPr>
            </w:pPr>
          </w:p>
        </w:tc>
      </w:tr>
      <w:tr w:rsidR="00C50168" w:rsidRPr="003D4FC2" w14:paraId="2211B1AE" w14:textId="77777777" w:rsidTr="002C0EE4">
        <w:trPr>
          <w:gridAfter w:val="1"/>
          <w:wAfter w:w="6237" w:type="dxa"/>
          <w:trHeight w:val="391"/>
        </w:trPr>
        <w:tc>
          <w:tcPr>
            <w:tcW w:w="2689" w:type="dxa"/>
          </w:tcPr>
          <w:p w14:paraId="3CB5D473" w14:textId="77777777" w:rsidR="00C50168" w:rsidRPr="00D972C7" w:rsidRDefault="00C50168" w:rsidP="003D4FC2">
            <w:pPr>
              <w:jc w:val="both"/>
              <w:rPr>
                <w:rFonts w:ascii="Arial" w:eastAsia="Calibri" w:hAnsi="Arial" w:cs="Arial"/>
                <w:color w:val="000000" w:themeColor="text1"/>
                <w:sz w:val="22"/>
                <w:szCs w:val="22"/>
                <w:lang w:val="es-ES_tradnl"/>
              </w:rPr>
            </w:pPr>
            <w:r w:rsidRPr="00D972C7">
              <w:rPr>
                <w:rFonts w:ascii="Arial" w:eastAsia="Calibri" w:hAnsi="Arial" w:cs="Arial"/>
                <w:b/>
                <w:color w:val="000000" w:themeColor="text1"/>
                <w:sz w:val="22"/>
                <w:szCs w:val="22"/>
                <w:lang w:val="es-ES_tradnl"/>
              </w:rPr>
              <w:t>Radicación</w:t>
            </w:r>
            <w:r w:rsidRPr="00D972C7">
              <w:rPr>
                <w:rFonts w:ascii="Arial" w:eastAsia="Calibri" w:hAnsi="Arial" w:cs="Arial"/>
                <w:color w:val="000000" w:themeColor="text1"/>
                <w:sz w:val="22"/>
                <w:szCs w:val="22"/>
                <w:lang w:val="es-ES_tradnl"/>
              </w:rPr>
              <w:t xml:space="preserve">:                              </w:t>
            </w:r>
          </w:p>
        </w:tc>
        <w:tc>
          <w:tcPr>
            <w:tcW w:w="6237" w:type="dxa"/>
          </w:tcPr>
          <w:p w14:paraId="046D869D" w14:textId="5FCED44E" w:rsidR="00D2223F" w:rsidRPr="00D972C7" w:rsidRDefault="00C50168" w:rsidP="007712E4">
            <w:pPr>
              <w:pStyle w:val="Sinespaciado"/>
              <w:jc w:val="both"/>
              <w:rPr>
                <w:rFonts w:ascii="Arial" w:hAnsi="Arial" w:cs="Arial"/>
                <w:sz w:val="22"/>
                <w:lang w:val="es-ES"/>
              </w:rPr>
            </w:pPr>
            <w:r w:rsidRPr="00D972C7">
              <w:rPr>
                <w:rFonts w:ascii="Arial" w:eastAsia="Calibri" w:hAnsi="Arial" w:cs="Arial"/>
                <w:color w:val="000000" w:themeColor="text1"/>
                <w:sz w:val="22"/>
                <w:lang w:val="es-ES_tradnl"/>
              </w:rPr>
              <w:t xml:space="preserve">Respuesta a consulta </w:t>
            </w:r>
            <w:r w:rsidR="0060591D" w:rsidRPr="0060591D">
              <w:rPr>
                <w:rFonts w:ascii="Arial" w:hAnsi="Arial" w:cs="Arial"/>
                <w:sz w:val="22"/>
                <w:lang w:val="es-ES"/>
              </w:rPr>
              <w:t>P20220628006365</w:t>
            </w:r>
          </w:p>
          <w:p w14:paraId="00499625" w14:textId="78D1E61C" w:rsidR="00C50168" w:rsidRPr="00D972C7" w:rsidRDefault="00C50168" w:rsidP="003D4FC2">
            <w:pPr>
              <w:jc w:val="both"/>
              <w:rPr>
                <w:rFonts w:ascii="Arial" w:eastAsia="Calibri" w:hAnsi="Arial" w:cs="Arial"/>
                <w:color w:val="000000" w:themeColor="text1"/>
                <w:sz w:val="22"/>
                <w:szCs w:val="22"/>
                <w:lang w:val="es-ES_tradnl"/>
              </w:rPr>
            </w:pPr>
          </w:p>
        </w:tc>
      </w:tr>
    </w:tbl>
    <w:p w14:paraId="1BDA2872" w14:textId="77777777" w:rsidR="00C50168" w:rsidRPr="003D4FC2" w:rsidRDefault="00C50168" w:rsidP="00C50168">
      <w:pPr>
        <w:jc w:val="both"/>
        <w:rPr>
          <w:rFonts w:ascii="Arial" w:eastAsia="Calibri" w:hAnsi="Arial" w:cs="Arial"/>
          <w:color w:val="000000" w:themeColor="text1"/>
          <w:sz w:val="22"/>
          <w:lang w:val="es-ES_tradnl"/>
        </w:rPr>
      </w:pPr>
    </w:p>
    <w:p w14:paraId="1B4E632D" w14:textId="05DEAD37" w:rsidR="00C50168" w:rsidRPr="003D4FC2" w:rsidRDefault="00C50168" w:rsidP="00C50168">
      <w:pPr>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Estimad</w:t>
      </w:r>
      <w:r w:rsidR="0060591D">
        <w:rPr>
          <w:rFonts w:ascii="Arial" w:eastAsia="Calibri" w:hAnsi="Arial" w:cs="Arial"/>
          <w:color w:val="000000" w:themeColor="text1"/>
          <w:sz w:val="22"/>
          <w:lang w:val="es-ES_tradnl"/>
        </w:rPr>
        <w:t>o</w:t>
      </w:r>
      <w:r w:rsidR="00535D23">
        <w:rPr>
          <w:rFonts w:ascii="Arial" w:eastAsia="Calibri" w:hAnsi="Arial" w:cs="Arial"/>
          <w:color w:val="000000" w:themeColor="text1"/>
          <w:sz w:val="22"/>
          <w:lang w:val="es-ES_tradnl"/>
        </w:rPr>
        <w:t xml:space="preserve"> señor</w:t>
      </w:r>
      <w:r w:rsidR="007712E4">
        <w:rPr>
          <w:rFonts w:ascii="Arial" w:eastAsia="Calibri" w:hAnsi="Arial" w:cs="Arial"/>
          <w:color w:val="000000" w:themeColor="text1"/>
          <w:sz w:val="22"/>
          <w:lang w:val="es-ES_tradnl"/>
        </w:rPr>
        <w:t xml:space="preserve"> </w:t>
      </w:r>
      <w:r w:rsidR="0060591D">
        <w:rPr>
          <w:rFonts w:ascii="Arial" w:eastAsia="Calibri" w:hAnsi="Arial" w:cs="Arial"/>
          <w:color w:val="000000" w:themeColor="text1"/>
          <w:sz w:val="22"/>
          <w:lang w:val="es-ES_tradnl"/>
        </w:rPr>
        <w:t>Cruz</w:t>
      </w:r>
      <w:r w:rsidR="00535D23">
        <w:rPr>
          <w:rFonts w:ascii="Arial" w:eastAsia="Calibri" w:hAnsi="Arial" w:cs="Arial"/>
          <w:color w:val="000000" w:themeColor="text1"/>
          <w:sz w:val="22"/>
          <w:lang w:val="es-ES_tradnl"/>
        </w:rPr>
        <w:t xml:space="preserve">: </w:t>
      </w:r>
    </w:p>
    <w:p w14:paraId="293F6CF2" w14:textId="77777777" w:rsidR="00C50168" w:rsidRPr="003D4FC2" w:rsidRDefault="00C50168" w:rsidP="00C50168">
      <w:pPr>
        <w:jc w:val="both"/>
        <w:rPr>
          <w:rFonts w:ascii="Arial" w:eastAsia="Calibri" w:hAnsi="Arial" w:cs="Arial"/>
          <w:color w:val="000000" w:themeColor="text1"/>
          <w:sz w:val="22"/>
          <w:lang w:val="es-ES_tradnl"/>
        </w:rPr>
      </w:pPr>
    </w:p>
    <w:p w14:paraId="01435137" w14:textId="4A0BED50" w:rsidR="00C50168" w:rsidRPr="003D4FC2" w:rsidRDefault="00C50168" w:rsidP="00C50168">
      <w:pPr>
        <w:spacing w:line="276" w:lineRule="auto"/>
        <w:jc w:val="both"/>
        <w:rPr>
          <w:rFonts w:ascii="Arial" w:eastAsia="Calibri" w:hAnsi="Arial" w:cs="Arial"/>
          <w:color w:val="000000" w:themeColor="text1"/>
          <w:sz w:val="22"/>
          <w:lang w:val="es-ES_tradnl"/>
        </w:rPr>
      </w:pPr>
      <w:r w:rsidRPr="003D4FC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a su consulta</w:t>
      </w:r>
      <w:r w:rsidR="00520702">
        <w:rPr>
          <w:rFonts w:ascii="Arial" w:eastAsia="Calibri" w:hAnsi="Arial" w:cs="Arial"/>
          <w:color w:val="000000" w:themeColor="text1"/>
          <w:sz w:val="22"/>
          <w:lang w:val="es-ES_tradnl"/>
        </w:rPr>
        <w:t xml:space="preserve"> d</w:t>
      </w:r>
      <w:r w:rsidRPr="003D4FC2">
        <w:rPr>
          <w:rFonts w:ascii="Arial" w:eastAsia="Calibri" w:hAnsi="Arial" w:cs="Arial"/>
          <w:color w:val="000000" w:themeColor="text1"/>
          <w:sz w:val="22"/>
          <w:lang w:val="es-ES_tradnl"/>
        </w:rPr>
        <w:t xml:space="preserve">el </w:t>
      </w:r>
      <w:r w:rsidR="0060591D">
        <w:rPr>
          <w:rFonts w:ascii="Arial" w:eastAsia="Calibri" w:hAnsi="Arial" w:cs="Arial"/>
          <w:color w:val="000000" w:themeColor="text1"/>
          <w:sz w:val="22"/>
          <w:lang w:val="es-ES_tradnl"/>
        </w:rPr>
        <w:t>28</w:t>
      </w:r>
      <w:r w:rsidR="009A3C52">
        <w:rPr>
          <w:rFonts w:ascii="Arial" w:eastAsia="Calibri" w:hAnsi="Arial" w:cs="Arial"/>
          <w:color w:val="000000" w:themeColor="text1"/>
          <w:sz w:val="22"/>
          <w:lang w:val="es-ES_tradnl"/>
        </w:rPr>
        <w:t xml:space="preserve"> </w:t>
      </w:r>
      <w:r w:rsidRPr="003D4FC2">
        <w:rPr>
          <w:rFonts w:ascii="Arial" w:eastAsia="Calibri" w:hAnsi="Arial" w:cs="Arial"/>
          <w:color w:val="000000" w:themeColor="text1"/>
          <w:sz w:val="22"/>
          <w:lang w:val="es-ES_tradnl"/>
        </w:rPr>
        <w:t xml:space="preserve">de </w:t>
      </w:r>
      <w:r w:rsidR="0060591D">
        <w:rPr>
          <w:rFonts w:ascii="Arial" w:eastAsia="Calibri" w:hAnsi="Arial" w:cs="Arial"/>
          <w:color w:val="000000" w:themeColor="text1"/>
          <w:sz w:val="22"/>
          <w:lang w:val="es-ES_tradnl"/>
        </w:rPr>
        <w:t>junio</w:t>
      </w:r>
      <w:r w:rsidR="009A3C52">
        <w:rPr>
          <w:rFonts w:ascii="Arial" w:eastAsia="Calibri" w:hAnsi="Arial" w:cs="Arial"/>
          <w:color w:val="000000" w:themeColor="text1"/>
          <w:sz w:val="22"/>
          <w:lang w:val="es-ES_tradnl"/>
        </w:rPr>
        <w:t xml:space="preserve"> </w:t>
      </w:r>
      <w:r w:rsidRPr="003D4FC2">
        <w:rPr>
          <w:rFonts w:ascii="Arial" w:eastAsia="Calibri" w:hAnsi="Arial" w:cs="Arial"/>
          <w:color w:val="000000" w:themeColor="text1"/>
          <w:sz w:val="22"/>
          <w:lang w:val="es-ES_tradnl"/>
        </w:rPr>
        <w:t xml:space="preserve">de 2022. </w:t>
      </w:r>
    </w:p>
    <w:p w14:paraId="6153F413" w14:textId="77777777" w:rsidR="0064414A" w:rsidRPr="003D4FC2" w:rsidRDefault="0064414A" w:rsidP="00DF76A2">
      <w:pPr>
        <w:spacing w:line="276" w:lineRule="auto"/>
        <w:jc w:val="both"/>
        <w:rPr>
          <w:rFonts w:ascii="Arial" w:eastAsia="Calibri" w:hAnsi="Arial" w:cs="Arial"/>
          <w:b/>
          <w:color w:val="000000" w:themeColor="text1"/>
          <w:sz w:val="22"/>
          <w:lang w:val="es-ES_tradnl"/>
        </w:rPr>
      </w:pPr>
    </w:p>
    <w:p w14:paraId="7701FCC7" w14:textId="77777777" w:rsidR="00DD5B04" w:rsidRPr="003D4FC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t xml:space="preserve">Problema planteado </w:t>
      </w:r>
    </w:p>
    <w:p w14:paraId="224B43D3" w14:textId="77777777" w:rsidR="00DD5B04" w:rsidRPr="003D4FC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112FB54" w:rsidR="00443B55" w:rsidRPr="003D4FC2" w:rsidRDefault="00EE5710"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la comunicación remitida a esta Agencia</w:t>
      </w:r>
      <w:r w:rsidR="003C4970">
        <w:rPr>
          <w:rFonts w:ascii="Arial" w:hAnsi="Arial" w:cs="Arial"/>
          <w:color w:val="000000" w:themeColor="text1"/>
          <w:sz w:val="22"/>
          <w:lang w:val="es-ES_tradnl"/>
        </w:rPr>
        <w:t>,</w:t>
      </w:r>
      <w:r>
        <w:rPr>
          <w:rFonts w:ascii="Arial" w:hAnsi="Arial" w:cs="Arial"/>
          <w:color w:val="000000" w:themeColor="text1"/>
          <w:sz w:val="22"/>
          <w:lang w:val="es-ES_tradnl"/>
        </w:rPr>
        <w:t xml:space="preserve"> manifiesta la siguiente inquietud</w:t>
      </w:r>
      <w:r w:rsidR="00B422C0" w:rsidRPr="003D4FC2">
        <w:rPr>
          <w:rFonts w:ascii="Arial" w:hAnsi="Arial" w:cs="Arial"/>
          <w:color w:val="000000" w:themeColor="text1"/>
          <w:sz w:val="22"/>
          <w:lang w:val="es-ES_tradnl"/>
        </w:rPr>
        <w:t>:</w:t>
      </w:r>
      <w:r w:rsidR="007E18DF" w:rsidRPr="003D4FC2">
        <w:rPr>
          <w:rFonts w:ascii="Arial" w:hAnsi="Arial" w:cs="Arial"/>
          <w:color w:val="000000" w:themeColor="text1"/>
          <w:sz w:val="22"/>
          <w:lang w:val="es-ES_tradnl"/>
        </w:rPr>
        <w:t xml:space="preserve"> </w:t>
      </w:r>
    </w:p>
    <w:p w14:paraId="7199305E" w14:textId="77777777" w:rsidR="0060591D" w:rsidRDefault="0060591D" w:rsidP="0060591D">
      <w:pPr>
        <w:pStyle w:val="Sinespaciado"/>
        <w:ind w:left="709" w:right="709"/>
        <w:jc w:val="both"/>
        <w:rPr>
          <w:rFonts w:ascii="Arial" w:hAnsi="Arial" w:cs="Arial"/>
          <w:sz w:val="21"/>
          <w:szCs w:val="21"/>
        </w:rPr>
      </w:pPr>
    </w:p>
    <w:p w14:paraId="6FE19F9B" w14:textId="40408D86" w:rsidR="0060591D" w:rsidRPr="0072056F" w:rsidRDefault="0060591D" w:rsidP="0060591D">
      <w:pPr>
        <w:pStyle w:val="Sinespaciado"/>
        <w:ind w:left="709" w:right="709"/>
        <w:jc w:val="both"/>
        <w:rPr>
          <w:rFonts w:ascii="Arial" w:hAnsi="Arial" w:cs="Arial"/>
          <w:sz w:val="21"/>
          <w:szCs w:val="21"/>
        </w:rPr>
      </w:pPr>
      <w:r w:rsidRPr="0072056F">
        <w:rPr>
          <w:rFonts w:ascii="Arial" w:hAnsi="Arial" w:cs="Arial"/>
          <w:sz w:val="21"/>
          <w:szCs w:val="21"/>
        </w:rPr>
        <w:t>«</w:t>
      </w:r>
      <w:r w:rsidRPr="007A5ECA">
        <w:t>¿</w:t>
      </w:r>
      <w:r w:rsidRPr="007A5ECA">
        <w:rPr>
          <w:rFonts w:ascii="Arial" w:hAnsi="Arial" w:cs="Arial"/>
          <w:sz w:val="21"/>
          <w:szCs w:val="21"/>
        </w:rPr>
        <w:t>El artículo 2.2.1.2.4.2.16. del Decreto 1860 de 2021 aplica para la</w:t>
      </w:r>
      <w:r w:rsidR="003C4970">
        <w:rPr>
          <w:rFonts w:ascii="Arial" w:hAnsi="Arial" w:cs="Arial"/>
          <w:sz w:val="21"/>
          <w:szCs w:val="21"/>
        </w:rPr>
        <w:t xml:space="preserve"> </w:t>
      </w:r>
      <w:r w:rsidRPr="007A5ECA">
        <w:rPr>
          <w:rFonts w:ascii="Arial" w:hAnsi="Arial" w:cs="Arial"/>
          <w:sz w:val="21"/>
          <w:szCs w:val="21"/>
        </w:rPr>
        <w:t>modalidad de contratación directa?</w:t>
      </w:r>
      <w:r w:rsidRPr="0072056F">
        <w:rPr>
          <w:rFonts w:ascii="Arial" w:hAnsi="Arial" w:cs="Arial"/>
          <w:sz w:val="21"/>
          <w:szCs w:val="21"/>
        </w:rPr>
        <w:t xml:space="preserve">» </w:t>
      </w:r>
    </w:p>
    <w:p w14:paraId="3DB4EB61" w14:textId="77777777" w:rsidR="0060591D" w:rsidRPr="0072056F" w:rsidRDefault="0060591D" w:rsidP="0060591D">
      <w:pPr>
        <w:spacing w:line="276" w:lineRule="auto"/>
        <w:jc w:val="both"/>
        <w:rPr>
          <w:rFonts w:ascii="Arial" w:hAnsi="Arial" w:cs="Arial"/>
          <w:color w:val="000000" w:themeColor="text1"/>
          <w:sz w:val="22"/>
          <w:szCs w:val="22"/>
          <w:lang w:val="es-ES"/>
        </w:rPr>
      </w:pPr>
    </w:p>
    <w:p w14:paraId="4E86570E" w14:textId="7DC44C3C" w:rsidR="000A0DF7" w:rsidRPr="003D4FC2"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D4FC2">
        <w:rPr>
          <w:rFonts w:ascii="Arial" w:eastAsia="Calibri" w:hAnsi="Arial" w:cs="Arial"/>
          <w:b/>
          <w:color w:val="000000" w:themeColor="text1"/>
          <w:sz w:val="22"/>
          <w:lang w:val="es-ES_tradnl"/>
        </w:rPr>
        <w:lastRenderedPageBreak/>
        <w:t>Consideraciones</w:t>
      </w:r>
    </w:p>
    <w:p w14:paraId="6EADA7B5" w14:textId="77777777" w:rsidR="009F2C6F" w:rsidRPr="003D4FC2" w:rsidRDefault="009F2C6F" w:rsidP="009F2C6F">
      <w:pPr>
        <w:pStyle w:val="Prrafodelista"/>
        <w:tabs>
          <w:tab w:val="left" w:pos="0"/>
          <w:tab w:val="left" w:pos="284"/>
        </w:tabs>
        <w:ind w:left="0"/>
        <w:jc w:val="both"/>
        <w:rPr>
          <w:rFonts w:ascii="Arial" w:eastAsia="Calibri" w:hAnsi="Arial" w:cs="Arial"/>
          <w:b/>
          <w:color w:val="000000" w:themeColor="text1"/>
          <w:sz w:val="22"/>
          <w:lang w:val="es-ES_tradnl"/>
        </w:rPr>
      </w:pPr>
    </w:p>
    <w:p w14:paraId="0B1F1C1E" w14:textId="7E50FE4D" w:rsidR="0090648C" w:rsidRPr="003D4FC2" w:rsidRDefault="0060591D" w:rsidP="008915A6">
      <w:pPr>
        <w:spacing w:line="276" w:lineRule="auto"/>
        <w:jc w:val="both"/>
        <w:rPr>
          <w:rFonts w:ascii="Arial" w:eastAsia="Calibri" w:hAnsi="Arial" w:cs="Arial"/>
          <w:color w:val="000000" w:themeColor="text1"/>
          <w:sz w:val="22"/>
          <w:lang w:val="es-ES_tradnl"/>
        </w:rPr>
      </w:pPr>
      <w:r w:rsidRPr="00E858D2">
        <w:rPr>
          <w:rFonts w:ascii="Arial" w:eastAsia="Calibri" w:hAnsi="Arial" w:cs="Arial"/>
          <w:sz w:val="22"/>
          <w:szCs w:val="22"/>
          <w:lang w:val="es-ES_tradnl"/>
        </w:rPr>
        <w:t xml:space="preserve">Para responder su solicitud, </w:t>
      </w:r>
      <w:r w:rsidRPr="00E858D2">
        <w:rPr>
          <w:rFonts w:ascii="Arial" w:eastAsia="Calibri" w:hAnsi="Arial" w:cs="Arial"/>
          <w:sz w:val="22"/>
          <w:lang w:val="es-ES_tradnl"/>
        </w:rPr>
        <w:t>la Subdirección</w:t>
      </w:r>
      <w:r>
        <w:rPr>
          <w:rFonts w:ascii="Arial" w:eastAsia="Calibri" w:hAnsi="Arial" w:cs="Arial"/>
          <w:sz w:val="22"/>
          <w:szCs w:val="22"/>
          <w:lang w:val="es-ES_tradnl"/>
        </w:rPr>
        <w:t xml:space="preserve"> analizará los siguientes temas</w:t>
      </w:r>
      <w:r w:rsidR="00B87F7B">
        <w:rPr>
          <w:rFonts w:ascii="Arial" w:eastAsia="Calibri" w:hAnsi="Arial" w:cs="Arial"/>
          <w:sz w:val="22"/>
          <w:szCs w:val="22"/>
          <w:lang w:val="es-ES_tradnl" w:eastAsia="en-US"/>
        </w:rPr>
        <w:t xml:space="preserve">: </w:t>
      </w:r>
      <w:r w:rsidR="00EF44A6" w:rsidRPr="003D4FC2">
        <w:rPr>
          <w:rFonts w:ascii="Arial" w:eastAsia="Calibri" w:hAnsi="Arial" w:cs="Arial"/>
          <w:color w:val="000000" w:themeColor="text1"/>
          <w:sz w:val="22"/>
          <w:szCs w:val="22"/>
          <w:lang w:val="es-ES_tradnl"/>
        </w:rPr>
        <w:t xml:space="preserve">i) </w:t>
      </w:r>
      <w:r w:rsidR="00520702">
        <w:rPr>
          <w:rFonts w:ascii="Arial" w:eastAsia="Calibri" w:hAnsi="Arial" w:cs="Arial"/>
          <w:color w:val="000000" w:themeColor="text1"/>
          <w:sz w:val="22"/>
          <w:szCs w:val="22"/>
          <w:lang w:val="es-ES_tradnl"/>
        </w:rPr>
        <w:t>i</w:t>
      </w:r>
      <w:r w:rsidR="009C34B5">
        <w:rPr>
          <w:rFonts w:ascii="Arial" w:eastAsia="Calibri" w:hAnsi="Arial" w:cs="Arial"/>
          <w:color w:val="000000" w:themeColor="text1"/>
          <w:sz w:val="22"/>
          <w:szCs w:val="22"/>
          <w:lang w:val="es-ES_tradnl"/>
        </w:rPr>
        <w:t>mpacto de la Ley 2069 de 2020 en la contratación estatal</w:t>
      </w:r>
      <w:r w:rsidR="0072384D">
        <w:rPr>
          <w:rFonts w:ascii="Arial" w:eastAsia="Calibri" w:hAnsi="Arial" w:cs="Arial"/>
          <w:color w:val="000000" w:themeColor="text1"/>
          <w:sz w:val="22"/>
          <w:szCs w:val="22"/>
          <w:lang w:val="es-ES_tradnl"/>
        </w:rPr>
        <w:t xml:space="preserve">, </w:t>
      </w:r>
      <w:proofErr w:type="spellStart"/>
      <w:r w:rsidR="0072384D">
        <w:rPr>
          <w:rFonts w:ascii="Arial" w:eastAsia="Calibri" w:hAnsi="Arial" w:cs="Arial"/>
          <w:color w:val="000000" w:themeColor="text1"/>
          <w:sz w:val="22"/>
          <w:szCs w:val="22"/>
          <w:lang w:val="es-ES_tradnl"/>
        </w:rPr>
        <w:t>ii</w:t>
      </w:r>
      <w:proofErr w:type="spellEnd"/>
      <w:r w:rsidR="0072384D">
        <w:rPr>
          <w:rFonts w:ascii="Arial" w:eastAsia="Calibri" w:hAnsi="Arial" w:cs="Arial"/>
          <w:color w:val="000000" w:themeColor="text1"/>
          <w:sz w:val="22"/>
          <w:szCs w:val="22"/>
          <w:lang w:val="es-ES_tradnl"/>
        </w:rPr>
        <w:t>) f</w:t>
      </w:r>
      <w:r w:rsidR="0072384D" w:rsidRPr="0072384D">
        <w:rPr>
          <w:rFonts w:ascii="Arial" w:eastAsia="Calibri" w:hAnsi="Arial" w:cs="Arial"/>
          <w:color w:val="000000" w:themeColor="text1"/>
          <w:sz w:val="22"/>
          <w:szCs w:val="22"/>
          <w:lang w:val="es-ES_tradnl"/>
        </w:rPr>
        <w:t>omento en la ejecución de los contratos estatales la provisión de bienes y servicios por sujetos de especial protección constitucional</w:t>
      </w:r>
      <w:r w:rsidR="00041B2B" w:rsidRPr="0072384D">
        <w:rPr>
          <w:rFonts w:ascii="Arial" w:eastAsia="Calibri" w:hAnsi="Arial" w:cs="Arial"/>
          <w:color w:val="000000" w:themeColor="text1"/>
          <w:sz w:val="22"/>
          <w:szCs w:val="22"/>
          <w:lang w:val="es-ES_tradnl"/>
        </w:rPr>
        <w:t xml:space="preserve"> y</w:t>
      </w:r>
      <w:r w:rsidR="009C34B5" w:rsidRPr="0072384D">
        <w:rPr>
          <w:rFonts w:ascii="Arial" w:eastAsia="Calibri" w:hAnsi="Arial" w:cs="Arial"/>
          <w:color w:val="000000" w:themeColor="text1"/>
          <w:sz w:val="22"/>
          <w:szCs w:val="22"/>
          <w:lang w:val="es-ES_tradnl"/>
        </w:rPr>
        <w:t xml:space="preserve"> </w:t>
      </w:r>
      <w:proofErr w:type="spellStart"/>
      <w:r w:rsidR="009C34B5" w:rsidRPr="0072384D">
        <w:rPr>
          <w:rFonts w:ascii="Arial" w:eastAsia="Calibri" w:hAnsi="Arial" w:cs="Arial"/>
          <w:color w:val="000000" w:themeColor="text1"/>
          <w:sz w:val="22"/>
          <w:szCs w:val="22"/>
          <w:lang w:val="es-ES_tradnl"/>
        </w:rPr>
        <w:t>ii</w:t>
      </w:r>
      <w:r w:rsidR="0072384D" w:rsidRPr="0072384D">
        <w:rPr>
          <w:rFonts w:ascii="Arial" w:eastAsia="Calibri" w:hAnsi="Arial" w:cs="Arial"/>
          <w:color w:val="000000" w:themeColor="text1"/>
          <w:sz w:val="22"/>
          <w:szCs w:val="22"/>
          <w:lang w:val="es-ES_tradnl"/>
        </w:rPr>
        <w:t>i</w:t>
      </w:r>
      <w:proofErr w:type="spellEnd"/>
      <w:r w:rsidR="009C34B5" w:rsidRPr="0072384D">
        <w:rPr>
          <w:rFonts w:ascii="Arial" w:eastAsia="Calibri" w:hAnsi="Arial" w:cs="Arial"/>
          <w:color w:val="000000" w:themeColor="text1"/>
          <w:sz w:val="22"/>
          <w:szCs w:val="22"/>
          <w:lang w:val="es-ES_tradnl"/>
        </w:rPr>
        <w:t xml:space="preserve">) </w:t>
      </w:r>
      <w:r w:rsidR="0072384D" w:rsidRPr="0072384D">
        <w:rPr>
          <w:rFonts w:ascii="Arial" w:eastAsia="Calibri" w:hAnsi="Arial" w:cs="Arial"/>
          <w:color w:val="000000"/>
          <w:sz w:val="22"/>
          <w:szCs w:val="22"/>
          <w:lang w:val="es-ES_tradnl" w:eastAsia="en-US"/>
        </w:rPr>
        <w:t>generalidades sobre la contratación directa como modalidad para la selección objetiva del contratista</w:t>
      </w:r>
      <w:r w:rsidR="009C34B5" w:rsidRPr="0072384D">
        <w:rPr>
          <w:rFonts w:ascii="Arial" w:eastAsia="Calibri" w:hAnsi="Arial" w:cs="Arial"/>
          <w:color w:val="000000"/>
          <w:sz w:val="22"/>
          <w:szCs w:val="22"/>
          <w:lang w:val="es-ES_tradnl" w:eastAsia="en-US"/>
        </w:rPr>
        <w:t>.</w:t>
      </w:r>
    </w:p>
    <w:p w14:paraId="1ACBF382" w14:textId="4C1D3DE9" w:rsidR="0072384D" w:rsidRDefault="00FB7312" w:rsidP="0072384D">
      <w:pPr>
        <w:tabs>
          <w:tab w:val="left" w:pos="426"/>
        </w:tabs>
        <w:spacing w:before="120" w:line="276" w:lineRule="auto"/>
        <w:jc w:val="both"/>
        <w:rPr>
          <w:rFonts w:ascii="Arial" w:eastAsia="Calibri" w:hAnsi="Arial" w:cs="Arial"/>
          <w:b/>
          <w:color w:val="000000"/>
          <w:sz w:val="22"/>
          <w:lang w:eastAsia="en-US"/>
        </w:rPr>
      </w:pPr>
      <w:r>
        <w:rPr>
          <w:rFonts w:ascii="Arial" w:eastAsia="Calibri" w:hAnsi="Arial" w:cs="Arial"/>
          <w:bCs/>
          <w:color w:val="000000" w:themeColor="text1"/>
          <w:sz w:val="22"/>
        </w:rPr>
        <w:tab/>
        <w:t>La Agencia Nacional de Contratación Pública – Colombia Compra Eficiente</w:t>
      </w:r>
      <w:r w:rsidR="00175778">
        <w:rPr>
          <w:rFonts w:ascii="Arial" w:eastAsia="Calibri" w:hAnsi="Arial" w:cs="Arial"/>
          <w:bCs/>
          <w:color w:val="000000" w:themeColor="text1"/>
          <w:sz w:val="22"/>
        </w:rPr>
        <w:t xml:space="preserve"> </w:t>
      </w:r>
      <w:r w:rsidR="00175778">
        <w:rPr>
          <w:rFonts w:ascii="Arial" w:eastAsia="Calibri" w:hAnsi="Arial" w:cs="Arial"/>
          <w:bCs/>
          <w:color w:val="000000" w:themeColor="text1"/>
          <w:sz w:val="22"/>
          <w:szCs w:val="22"/>
        </w:rPr>
        <w:t>analizó</w:t>
      </w:r>
      <w:r w:rsidR="00175778" w:rsidRPr="000210E0">
        <w:rPr>
          <w:rFonts w:ascii="Arial" w:eastAsia="Calibri" w:hAnsi="Arial" w:cs="Arial"/>
          <w:bCs/>
          <w:color w:val="000000" w:themeColor="text1"/>
          <w:sz w:val="22"/>
          <w:szCs w:val="22"/>
        </w:rPr>
        <w:t xml:space="preserve"> algunos aspectos sobre la aplicación de la Ley de Emprendimiento</w:t>
      </w:r>
      <w:r>
        <w:rPr>
          <w:rFonts w:ascii="Arial" w:eastAsia="Calibri" w:hAnsi="Arial" w:cs="Arial"/>
          <w:bCs/>
          <w:color w:val="000000" w:themeColor="text1"/>
          <w:sz w:val="22"/>
        </w:rPr>
        <w:t xml:space="preserve"> en los Conceptos C-009, 012, 013, 015, 016, 026 del 4 de febrero de 2021, así como en los Conceptos C-006 del 5 de febrero de 2021, C-043 del 9 de febrero </w:t>
      </w:r>
      <w:r w:rsidRPr="000210E0">
        <w:rPr>
          <w:rFonts w:ascii="Arial" w:eastAsia="Calibri" w:hAnsi="Arial" w:cs="Arial"/>
          <w:bCs/>
          <w:color w:val="000000" w:themeColor="text1"/>
          <w:sz w:val="22"/>
          <w:szCs w:val="22"/>
        </w:rPr>
        <w:t xml:space="preserve">de 2021, </w:t>
      </w:r>
      <w:r w:rsidRPr="000210E0">
        <w:rPr>
          <w:rFonts w:ascii="Arial" w:eastAsia="Calibri" w:hAnsi="Arial" w:cs="Arial"/>
          <w:color w:val="000000" w:themeColor="text1"/>
          <w:sz w:val="22"/>
          <w:szCs w:val="22"/>
          <w:lang w:val="es-ES_tradnl"/>
        </w:rPr>
        <w:t xml:space="preserve">C-028, C-029 del 23 de febrero de 2021, C-040 del 2 de marzo de 2021, </w:t>
      </w:r>
      <w:r w:rsidRPr="000210E0">
        <w:rPr>
          <w:rFonts w:ascii="Arial" w:hAnsi="Arial" w:cs="Arial"/>
          <w:sz w:val="22"/>
          <w:szCs w:val="22"/>
        </w:rPr>
        <w:t>C-056 del 8 de marzo de 2021, C-058, C-061 del 11 de marzo de 2021, C-069 del 12 de marzo de 2021, C-081, C-087, C-098 del 23 de marzo de 2021, C-101 del 24 de marzo de 2021, C-117 del 26 de marzo de 2021, C-137, C-138, C-139, C-158 del 15 de abril de 2021, C-160 de 2021 del 20 de abril de 2021, C-162 del 13 de abril de 2021, C-163, C-164,  C-165 del 13 de abril de 2021</w:t>
      </w:r>
      <w:r w:rsidR="00175778">
        <w:rPr>
          <w:rFonts w:ascii="Arial" w:hAnsi="Arial" w:cs="Arial"/>
          <w:sz w:val="22"/>
          <w:szCs w:val="22"/>
        </w:rPr>
        <w:t>,</w:t>
      </w:r>
      <w:r w:rsidRPr="000210E0">
        <w:rPr>
          <w:rFonts w:ascii="Arial" w:hAnsi="Arial" w:cs="Arial"/>
          <w:sz w:val="22"/>
          <w:szCs w:val="22"/>
        </w:rPr>
        <w:t xml:space="preserve"> C-176 del 19 de abril de 2021</w:t>
      </w:r>
      <w:r w:rsidR="00175778">
        <w:rPr>
          <w:rFonts w:ascii="Arial" w:eastAsia="Calibri" w:hAnsi="Arial" w:cs="Arial"/>
          <w:bCs/>
          <w:color w:val="000000" w:themeColor="text1"/>
          <w:sz w:val="22"/>
          <w:szCs w:val="22"/>
        </w:rPr>
        <w:t xml:space="preserve">, </w:t>
      </w:r>
      <w:r w:rsidRPr="000210E0">
        <w:rPr>
          <w:rFonts w:ascii="Arial" w:eastAsia="Calibri" w:hAnsi="Arial" w:cs="Arial"/>
          <w:color w:val="000000" w:themeColor="text1"/>
          <w:sz w:val="22"/>
          <w:szCs w:val="22"/>
          <w:lang w:val="es-ES_tradnl"/>
        </w:rPr>
        <w:t>C-043 del 9 de febrero de 2021, C-005 del 16 de febrero</w:t>
      </w:r>
      <w:r w:rsidR="00175778">
        <w:rPr>
          <w:rFonts w:ascii="Arial" w:eastAsia="Calibri" w:hAnsi="Arial" w:cs="Arial"/>
          <w:color w:val="000000" w:themeColor="text1"/>
          <w:sz w:val="22"/>
          <w:szCs w:val="22"/>
          <w:lang w:val="es-ES_tradnl"/>
        </w:rPr>
        <w:t>,</w:t>
      </w:r>
      <w:r w:rsidRPr="000210E0">
        <w:rPr>
          <w:rFonts w:ascii="Arial" w:eastAsia="Calibri" w:hAnsi="Arial" w:cs="Arial"/>
          <w:color w:val="000000" w:themeColor="text1"/>
          <w:sz w:val="22"/>
          <w:szCs w:val="22"/>
          <w:lang w:val="es-ES_tradnl"/>
        </w:rPr>
        <w:t xml:space="preserve"> C-081</w:t>
      </w:r>
      <w:r w:rsidR="00175778">
        <w:rPr>
          <w:rFonts w:ascii="Arial" w:eastAsia="Calibri" w:hAnsi="Arial" w:cs="Arial"/>
          <w:color w:val="000000" w:themeColor="text1"/>
          <w:sz w:val="22"/>
          <w:szCs w:val="22"/>
          <w:lang w:val="es-ES_tradnl"/>
        </w:rPr>
        <w:t xml:space="preserve"> y</w:t>
      </w:r>
      <w:r w:rsidRPr="000210E0">
        <w:rPr>
          <w:rFonts w:ascii="Arial" w:eastAsia="Calibri" w:hAnsi="Arial" w:cs="Arial"/>
          <w:color w:val="000000" w:themeColor="text1"/>
          <w:sz w:val="22"/>
          <w:szCs w:val="22"/>
          <w:lang w:val="es-ES_tradnl"/>
        </w:rPr>
        <w:t xml:space="preserve"> C-087 del 23 de febrero, </w:t>
      </w:r>
      <w:r w:rsidRPr="000210E0">
        <w:rPr>
          <w:rFonts w:ascii="Arial" w:hAnsi="Arial" w:cs="Arial"/>
          <w:sz w:val="22"/>
          <w:szCs w:val="22"/>
        </w:rPr>
        <w:t>C-102 del 25 de marzo de 2021, C-126</w:t>
      </w:r>
      <w:r w:rsidR="00175778">
        <w:rPr>
          <w:rFonts w:ascii="Arial" w:hAnsi="Arial" w:cs="Arial"/>
          <w:sz w:val="22"/>
          <w:szCs w:val="22"/>
        </w:rPr>
        <w:t xml:space="preserve"> y</w:t>
      </w:r>
      <w:r>
        <w:rPr>
          <w:rFonts w:ascii="Arial" w:hAnsi="Arial" w:cs="Arial"/>
          <w:sz w:val="22"/>
          <w:szCs w:val="22"/>
        </w:rPr>
        <w:t xml:space="preserve"> C-</w:t>
      </w:r>
      <w:r w:rsidRPr="000210E0">
        <w:rPr>
          <w:rFonts w:ascii="Arial" w:hAnsi="Arial" w:cs="Arial"/>
          <w:sz w:val="22"/>
          <w:szCs w:val="22"/>
        </w:rPr>
        <w:t>127 del 6 de abril de 2021, C-130</w:t>
      </w:r>
      <w:r>
        <w:rPr>
          <w:rFonts w:ascii="Arial" w:hAnsi="Arial" w:cs="Arial"/>
          <w:sz w:val="22"/>
          <w:szCs w:val="22"/>
        </w:rPr>
        <w:t xml:space="preserve"> y </w:t>
      </w:r>
      <w:r w:rsidRPr="000210E0">
        <w:rPr>
          <w:rFonts w:ascii="Arial" w:hAnsi="Arial" w:cs="Arial"/>
          <w:sz w:val="22"/>
          <w:szCs w:val="22"/>
        </w:rPr>
        <w:t>C-144 del 7 de abril de 2021</w:t>
      </w:r>
      <w:r>
        <w:rPr>
          <w:rFonts w:ascii="Arial" w:hAnsi="Arial" w:cs="Arial"/>
          <w:sz w:val="22"/>
          <w:szCs w:val="22"/>
        </w:rPr>
        <w:t xml:space="preserve">. </w:t>
      </w:r>
      <w:r w:rsidR="0072384D">
        <w:rPr>
          <w:rFonts w:ascii="Arial" w:eastAsia="Arial" w:hAnsi="Arial" w:cs="Arial"/>
          <w:sz w:val="22"/>
          <w:szCs w:val="22"/>
        </w:rPr>
        <w:t xml:space="preserve">De igual manera, se ha referido a la contratación directa como modalidad de selección de contratistas y a la aplicación de los principios generales de la contratación pública, entre otros, en los Conceptos C-418 del 18 de agosto de 2021, C-561 del 8 de octubre de 2021 y C-687 del 14 de enero de 2022. </w:t>
      </w:r>
      <w:r w:rsidR="0072384D" w:rsidRPr="00DD5F33">
        <w:rPr>
          <w:rFonts w:ascii="Arial" w:hAnsi="Arial" w:cs="Arial"/>
          <w:color w:val="000000" w:themeColor="text1"/>
          <w:sz w:val="22"/>
          <w:lang w:val="es-ES_tradnl"/>
        </w:rPr>
        <w:t>Las ideas expuestas en los conceptos mencionados se reiteran a continuación y se complementan en lo pertinente</w:t>
      </w:r>
      <w:r w:rsidR="0072384D">
        <w:rPr>
          <w:rFonts w:ascii="Arial" w:hAnsi="Arial" w:cs="Arial"/>
          <w:color w:val="000000" w:themeColor="text1"/>
          <w:sz w:val="22"/>
          <w:lang w:val="es-ES_tradnl"/>
        </w:rPr>
        <w:t>.</w:t>
      </w:r>
      <w:r w:rsidR="0072384D" w:rsidRPr="002B1A7C">
        <w:rPr>
          <w:rFonts w:ascii="Arial" w:eastAsia="Calibri" w:hAnsi="Arial" w:cs="Arial"/>
          <w:b/>
          <w:color w:val="000000"/>
          <w:sz w:val="22"/>
          <w:lang w:eastAsia="en-US"/>
        </w:rPr>
        <w:t xml:space="preserve"> </w:t>
      </w:r>
    </w:p>
    <w:p w14:paraId="751E38F0" w14:textId="77777777" w:rsidR="0072384D" w:rsidRDefault="0072384D" w:rsidP="002B1A7C">
      <w:pPr>
        <w:tabs>
          <w:tab w:val="left" w:pos="426"/>
        </w:tabs>
        <w:spacing w:line="276" w:lineRule="auto"/>
        <w:jc w:val="both"/>
        <w:rPr>
          <w:rFonts w:ascii="Arial" w:eastAsia="Calibri" w:hAnsi="Arial" w:cs="Arial"/>
          <w:b/>
          <w:color w:val="000000"/>
          <w:sz w:val="22"/>
          <w:lang w:eastAsia="en-US"/>
        </w:rPr>
      </w:pPr>
    </w:p>
    <w:p w14:paraId="39ABB4CB" w14:textId="5B8AC115" w:rsidR="002B1A7C" w:rsidRPr="002B1A7C" w:rsidRDefault="002B1A7C" w:rsidP="002B1A7C">
      <w:pPr>
        <w:tabs>
          <w:tab w:val="left" w:pos="426"/>
        </w:tabs>
        <w:spacing w:line="276" w:lineRule="auto"/>
        <w:jc w:val="both"/>
        <w:rPr>
          <w:rFonts w:ascii="Arial" w:eastAsia="Calibri" w:hAnsi="Arial" w:cs="Arial"/>
          <w:b/>
          <w:color w:val="000000"/>
          <w:sz w:val="22"/>
          <w:lang w:eastAsia="en-US"/>
        </w:rPr>
      </w:pPr>
      <w:r w:rsidRPr="002B1A7C">
        <w:rPr>
          <w:rFonts w:ascii="Arial" w:eastAsia="Calibri" w:hAnsi="Arial" w:cs="Arial"/>
          <w:b/>
          <w:color w:val="000000"/>
          <w:sz w:val="22"/>
          <w:lang w:eastAsia="en-US"/>
        </w:rPr>
        <w:t>2.1. Impacto de la Ley 2069 de 2020 en la contratación estatal</w:t>
      </w:r>
    </w:p>
    <w:p w14:paraId="0B43980E" w14:textId="77777777" w:rsidR="002B1A7C" w:rsidRPr="002B1A7C" w:rsidRDefault="002B1A7C" w:rsidP="002B1A7C">
      <w:pPr>
        <w:tabs>
          <w:tab w:val="left" w:pos="426"/>
        </w:tabs>
        <w:spacing w:line="276" w:lineRule="auto"/>
        <w:jc w:val="both"/>
        <w:rPr>
          <w:rFonts w:ascii="Arial" w:eastAsia="Calibri" w:hAnsi="Arial" w:cs="Arial"/>
          <w:b/>
          <w:color w:val="000000"/>
          <w:sz w:val="22"/>
          <w:lang w:eastAsia="en-US"/>
        </w:rPr>
      </w:pPr>
    </w:p>
    <w:p w14:paraId="3B2D0F6D" w14:textId="77777777" w:rsidR="002B1A7C" w:rsidRPr="002B1A7C" w:rsidRDefault="002B1A7C" w:rsidP="002B1A7C">
      <w:pPr>
        <w:tabs>
          <w:tab w:val="left" w:pos="709"/>
        </w:tabs>
        <w:spacing w:after="120" w:line="276" w:lineRule="auto"/>
        <w:jc w:val="both"/>
        <w:rPr>
          <w:rFonts w:ascii="Arial" w:eastAsia="Calibri" w:hAnsi="Arial" w:cs="Arial"/>
          <w:bCs/>
          <w:color w:val="000000"/>
          <w:sz w:val="21"/>
          <w:szCs w:val="21"/>
          <w:lang w:eastAsia="en-US"/>
        </w:rPr>
      </w:pPr>
      <w:bookmarkStart w:id="4" w:name="_Hlk63883948"/>
      <w:bookmarkStart w:id="5" w:name="_Hlk69144089"/>
      <w:r w:rsidRPr="002B1A7C">
        <w:rPr>
          <w:rFonts w:ascii="Arial" w:eastAsia="Calibri" w:hAnsi="Arial" w:cs="Arial"/>
          <w:bCs/>
          <w:color w:val="000000"/>
          <w:sz w:val="22"/>
          <w:lang w:eastAsia="en-US"/>
        </w:rPr>
        <w:t xml:space="preserve">El pasado 31 de diciembre, en congruencia con el «Pacto por el emprendimiento, la formalización y la productividad» del Plan Nacional de Desarrollo 2018-2022, el </w:t>
      </w:r>
      <w:proofErr w:type="gramStart"/>
      <w:r w:rsidRPr="002B1A7C">
        <w:rPr>
          <w:rFonts w:ascii="Arial" w:eastAsia="Calibri" w:hAnsi="Arial" w:cs="Arial"/>
          <w:bCs/>
          <w:color w:val="000000"/>
          <w:sz w:val="22"/>
          <w:lang w:eastAsia="en-US"/>
        </w:rPr>
        <w:t>Presidente</w:t>
      </w:r>
      <w:proofErr w:type="gramEnd"/>
      <w:r w:rsidRPr="002B1A7C">
        <w:rPr>
          <w:rFonts w:ascii="Arial" w:eastAsia="Calibri" w:hAnsi="Arial" w:cs="Arial"/>
          <w:bCs/>
          <w:color w:val="000000"/>
          <w:sz w:val="22"/>
          <w:lang w:eastAsia="en-US"/>
        </w:rPr>
        <w:t xml:space="preserve"> de la República sancionó la Ley 2069 de 2020 para impulsar el nacimiento de nuevas empresas que incentiven la generación de empleo en país. Esta ley busca generar la reactivación de la economía y fomentar la actividad emprendedora, y tiene como uno de sus propósitos propiciar un entorno para ayudar al crecimiento, consolidación y sostenibilidad de esas iniciativas, generando mayor desarrollo social, creación de las empresas y mejoras tanto en la productividad como en la competitividad</w:t>
      </w:r>
      <w:r w:rsidRPr="002B1A7C">
        <w:rPr>
          <w:rFonts w:ascii="Arial" w:eastAsia="Calibri" w:hAnsi="Arial" w:cs="Arial"/>
          <w:bCs/>
          <w:color w:val="000000"/>
          <w:sz w:val="22"/>
          <w:vertAlign w:val="superscript"/>
          <w:lang w:eastAsia="en-US"/>
        </w:rPr>
        <w:footnoteReference w:id="2"/>
      </w:r>
      <w:r w:rsidRPr="002B1A7C">
        <w:rPr>
          <w:rFonts w:ascii="Arial" w:eastAsia="Calibri" w:hAnsi="Arial" w:cs="Arial"/>
          <w:bCs/>
          <w:color w:val="000000"/>
          <w:sz w:val="22"/>
          <w:lang w:eastAsia="en-US"/>
        </w:rPr>
        <w:t xml:space="preserve">. De esta manera, </w:t>
      </w:r>
      <w:r w:rsidRPr="002B1A7C">
        <w:rPr>
          <w:rFonts w:ascii="Arial" w:eastAsia="Calibri" w:hAnsi="Arial" w:cs="Arial"/>
          <w:bCs/>
          <w:color w:val="000000"/>
          <w:sz w:val="22"/>
          <w:lang w:eastAsia="en-US"/>
        </w:rPr>
        <w:lastRenderedPageBreak/>
        <w:t xml:space="preserve">la ley en comento también concreta la </w:t>
      </w:r>
      <w:bookmarkStart w:id="6" w:name="_Hlk63692496"/>
      <w:r w:rsidRPr="002B1A7C">
        <w:rPr>
          <w:rFonts w:ascii="Arial" w:eastAsia="Calibri" w:hAnsi="Arial" w:cs="Arial"/>
          <w:bCs/>
          <w:color w:val="000000"/>
          <w:sz w:val="22"/>
          <w:lang w:eastAsia="en-US"/>
        </w:rPr>
        <w:t>«Política de formalización empresarial»</w:t>
      </w:r>
      <w:bookmarkEnd w:id="6"/>
      <w:r w:rsidRPr="002B1A7C">
        <w:rPr>
          <w:rFonts w:ascii="Arial" w:eastAsia="Calibri" w:hAnsi="Arial" w:cs="Arial"/>
          <w:bCs/>
          <w:color w:val="000000"/>
          <w:sz w:val="22"/>
          <w:lang w:eastAsia="en-US"/>
        </w:rPr>
        <w:t xml:space="preserve"> del Documento CONPES 3956 del 8 de enero de 2019</w:t>
      </w:r>
      <w:r w:rsidRPr="002B1A7C">
        <w:rPr>
          <w:rFonts w:ascii="Arial" w:eastAsia="Calibri" w:hAnsi="Arial" w:cs="Arial"/>
          <w:bCs/>
          <w:color w:val="000000"/>
          <w:sz w:val="22"/>
          <w:vertAlign w:val="superscript"/>
          <w:lang w:eastAsia="en-US"/>
        </w:rPr>
        <w:footnoteReference w:id="3"/>
      </w:r>
      <w:r w:rsidRPr="002B1A7C">
        <w:rPr>
          <w:rFonts w:ascii="Arial" w:eastAsia="Calibri" w:hAnsi="Arial" w:cs="Arial"/>
          <w:bCs/>
          <w:color w:val="000000"/>
          <w:sz w:val="22"/>
          <w:lang w:eastAsia="en-US"/>
        </w:rPr>
        <w:t>.</w:t>
      </w:r>
      <w:bookmarkEnd w:id="4"/>
    </w:p>
    <w:bookmarkEnd w:id="5"/>
    <w:p w14:paraId="4AB5A73B" w14:textId="77777777" w:rsidR="002B1A7C" w:rsidRPr="002B1A7C" w:rsidRDefault="002B1A7C" w:rsidP="002B1A7C">
      <w:pPr>
        <w:tabs>
          <w:tab w:val="left" w:pos="709"/>
        </w:tabs>
        <w:spacing w:after="120" w:line="276" w:lineRule="auto"/>
        <w:jc w:val="both"/>
        <w:rPr>
          <w:rFonts w:ascii="Arial" w:eastAsia="Calibri" w:hAnsi="Arial" w:cs="Arial"/>
          <w:bCs/>
          <w:color w:val="000000"/>
          <w:sz w:val="22"/>
          <w:lang w:eastAsia="en-US"/>
        </w:rPr>
      </w:pPr>
      <w:r w:rsidRPr="002B1A7C">
        <w:rPr>
          <w:rFonts w:ascii="Arial" w:eastAsia="Calibri" w:hAnsi="Arial" w:cs="Arial"/>
          <w:bCs/>
          <w:color w:val="000000"/>
          <w:sz w:val="22"/>
          <w:lang w:eastAsia="en-US"/>
        </w:rPr>
        <w:tab/>
        <w:t xml:space="preserve">Por ello, la ley impulsa medidas para i) reducir cargas y trámites para los emprendedores del país; </w:t>
      </w:r>
      <w:proofErr w:type="spellStart"/>
      <w:r w:rsidRPr="002B1A7C">
        <w:rPr>
          <w:rFonts w:ascii="Arial" w:eastAsia="Calibri" w:hAnsi="Arial" w:cs="Arial"/>
          <w:bCs/>
          <w:color w:val="000000"/>
          <w:sz w:val="22"/>
          <w:lang w:eastAsia="en-US"/>
        </w:rPr>
        <w:t>ii</w:t>
      </w:r>
      <w:proofErr w:type="spellEnd"/>
      <w:r w:rsidRPr="002B1A7C">
        <w:rPr>
          <w:rFonts w:ascii="Arial" w:eastAsia="Calibri" w:hAnsi="Arial" w:cs="Arial"/>
          <w:bCs/>
          <w:color w:val="000000"/>
          <w:sz w:val="22"/>
          <w:lang w:eastAsia="en-US"/>
        </w:rPr>
        <w:t xml:space="preserve">) facilitar su acceso al sistema de compras y contratación pública; </w:t>
      </w:r>
      <w:proofErr w:type="spellStart"/>
      <w:r w:rsidRPr="002B1A7C">
        <w:rPr>
          <w:rFonts w:ascii="Arial" w:eastAsia="Calibri" w:hAnsi="Arial" w:cs="Arial"/>
          <w:bCs/>
          <w:color w:val="000000"/>
          <w:sz w:val="22"/>
          <w:lang w:eastAsia="en-US"/>
        </w:rPr>
        <w:t>iii</w:t>
      </w:r>
      <w:proofErr w:type="spellEnd"/>
      <w:r w:rsidRPr="002B1A7C">
        <w:rPr>
          <w:rFonts w:ascii="Arial" w:eastAsia="Calibri" w:hAnsi="Arial" w:cs="Arial"/>
          <w:bCs/>
          <w:color w:val="000000"/>
          <w:sz w:val="22"/>
          <w:lang w:eastAsia="en-US"/>
        </w:rPr>
        <w:t xml:space="preserve">) incentivar el crecimiento económico con la llegada de más actores al ecosistema de inversión y financiación; </w:t>
      </w:r>
      <w:proofErr w:type="spellStart"/>
      <w:r w:rsidRPr="002B1A7C">
        <w:rPr>
          <w:rFonts w:ascii="Arial" w:eastAsia="Calibri" w:hAnsi="Arial" w:cs="Arial"/>
          <w:bCs/>
          <w:color w:val="000000"/>
          <w:sz w:val="22"/>
          <w:lang w:eastAsia="en-US"/>
        </w:rPr>
        <w:t>iv</w:t>
      </w:r>
      <w:proofErr w:type="spellEnd"/>
      <w:r w:rsidRPr="002B1A7C">
        <w:rPr>
          <w:rFonts w:ascii="Arial" w:eastAsia="Calibri" w:hAnsi="Arial" w:cs="Arial"/>
          <w:bCs/>
          <w:color w:val="000000"/>
          <w:sz w:val="22"/>
          <w:lang w:eastAsia="en-US"/>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2B1A7C">
        <w:rPr>
          <w:rFonts w:ascii="Arial" w:eastAsia="Calibri" w:hAnsi="Arial" w:cs="Arial"/>
          <w:bCs/>
          <w:color w:val="000000"/>
          <w:sz w:val="22"/>
          <w:vertAlign w:val="superscript"/>
          <w:lang w:eastAsia="en-US"/>
        </w:rPr>
        <w:footnoteReference w:id="4"/>
      </w:r>
      <w:r w:rsidRPr="002B1A7C">
        <w:rPr>
          <w:rFonts w:ascii="Arial" w:eastAsia="Calibri" w:hAnsi="Arial" w:cs="Arial"/>
          <w:bCs/>
          <w:color w:val="000000"/>
          <w:sz w:val="22"/>
          <w:lang w:eastAsia="en-US"/>
        </w:rPr>
        <w:t>.</w:t>
      </w:r>
    </w:p>
    <w:p w14:paraId="35DD6C15" w14:textId="4755B823" w:rsidR="002B1A7C" w:rsidRPr="002B1A7C" w:rsidRDefault="002B1A7C" w:rsidP="002B1A7C">
      <w:pPr>
        <w:tabs>
          <w:tab w:val="left" w:pos="709"/>
        </w:tabs>
        <w:spacing w:line="276" w:lineRule="auto"/>
        <w:jc w:val="both"/>
        <w:rPr>
          <w:rFonts w:ascii="Arial" w:eastAsia="Calibri" w:hAnsi="Arial" w:cs="Arial"/>
          <w:bCs/>
          <w:color w:val="000000"/>
          <w:sz w:val="22"/>
          <w:lang w:eastAsia="en-US"/>
        </w:rPr>
      </w:pPr>
      <w:r w:rsidRPr="002B1A7C">
        <w:rPr>
          <w:rFonts w:ascii="Arial" w:eastAsia="Calibri" w:hAnsi="Arial" w:cs="Arial"/>
          <w:bCs/>
          <w:color w:val="000000"/>
          <w:sz w:val="22"/>
          <w:lang w:eastAsia="en-US"/>
        </w:rPr>
        <w:tab/>
        <w:t xml:space="preserve">Así las cosas, </w:t>
      </w:r>
      <w:bookmarkStart w:id="8" w:name="_Hlk63848566"/>
      <w:r w:rsidRPr="002B1A7C">
        <w:rPr>
          <w:rFonts w:ascii="Arial" w:eastAsia="Calibri" w:hAnsi="Arial" w:cs="Arial"/>
          <w:bCs/>
          <w:color w:val="000000"/>
          <w:sz w:val="22"/>
          <w:lang w:eastAsia="en-US"/>
        </w:rPr>
        <w:t>los artículos 30, 31, 32, 33, 34, 35 y 36 de la Ley 2069 de 2020</w:t>
      </w:r>
      <w:bookmarkEnd w:id="8"/>
      <w:r w:rsidRPr="002B1A7C">
        <w:rPr>
          <w:rFonts w:ascii="Arial" w:eastAsia="Calibri" w:hAnsi="Arial" w:cs="Arial"/>
          <w:bCs/>
          <w:color w:val="000000"/>
          <w:sz w:val="22"/>
          <w:lang w:eastAsia="en-US"/>
        </w:rPr>
        <w:t xml:space="preserve"> crean una serie de incentivos para las personas interesadas en celebrar contratos con el Estado. Particularmente, conforme a la exposición de motivos, «</w:t>
      </w:r>
      <w:r w:rsidRPr="002B1A7C">
        <w:rPr>
          <w:rFonts w:ascii="Arial" w:eastAsia="Calibri" w:hAnsi="Arial" w:cs="Arial"/>
          <w:sz w:val="22"/>
          <w:lang w:eastAsia="en-US"/>
        </w:rPr>
        <w:t xml:space="preserve">[…] </w:t>
      </w:r>
      <w:r w:rsidRPr="002B1A7C">
        <w:rPr>
          <w:rFonts w:ascii="Arial" w:eastAsia="Calibri" w:hAnsi="Arial" w:cs="Arial"/>
          <w:bCs/>
          <w:color w:val="000000"/>
          <w:sz w:val="22"/>
          <w:lang w:eastAsia="en-US"/>
        </w:rPr>
        <w:t>propone facilitar el acceso de las Mipymes a la modalidad de contratación de mínima cuantía, la limitación de estos procesos a Mipymes, define la posibilidad de establecer criterios diferenciales a favor de las Mipymes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Pr="002B1A7C">
        <w:rPr>
          <w:rFonts w:ascii="Arial" w:eastAsia="Calibri" w:hAnsi="Arial" w:cs="Arial"/>
          <w:bCs/>
          <w:color w:val="000000"/>
          <w:sz w:val="22"/>
          <w:vertAlign w:val="superscript"/>
          <w:lang w:eastAsia="en-US"/>
        </w:rPr>
        <w:footnoteReference w:id="5"/>
      </w:r>
      <w:r w:rsidRPr="002B1A7C">
        <w:rPr>
          <w:rFonts w:ascii="Arial" w:eastAsia="Calibri" w:hAnsi="Arial" w:cs="Arial"/>
          <w:bCs/>
          <w:color w:val="000000"/>
          <w:sz w:val="22"/>
          <w:lang w:eastAsia="en-US"/>
        </w:rPr>
        <w:t xml:space="preserve">. </w:t>
      </w:r>
      <w:r w:rsidR="00872FC9">
        <w:rPr>
          <w:rFonts w:ascii="Arial" w:eastAsia="Calibri" w:hAnsi="Arial" w:cs="Arial"/>
          <w:bCs/>
          <w:color w:val="000000"/>
          <w:sz w:val="22"/>
          <w:lang w:eastAsia="en-US"/>
        </w:rPr>
        <w:t xml:space="preserve">Entre estas disposiciones, resulta relevante </w:t>
      </w:r>
      <w:r w:rsidR="00872FC9">
        <w:rPr>
          <w:rFonts w:ascii="Arial" w:eastAsia="Calibri" w:hAnsi="Arial" w:cs="Arial"/>
          <w:bCs/>
          <w:color w:val="000000"/>
          <w:sz w:val="22"/>
          <w:lang w:eastAsia="en-US"/>
        </w:rPr>
        <w:lastRenderedPageBreak/>
        <w:t xml:space="preserve">destacar el artículo 34 de la Ley 2069 de 2020 </w:t>
      </w:r>
      <w:r w:rsidR="008C3A98">
        <w:rPr>
          <w:rFonts w:ascii="Arial" w:eastAsia="Calibri" w:hAnsi="Arial" w:cs="Arial"/>
          <w:bCs/>
          <w:color w:val="000000"/>
          <w:sz w:val="22"/>
          <w:lang w:eastAsia="en-US"/>
        </w:rPr>
        <w:t>–</w:t>
      </w:r>
      <w:r w:rsidR="00872FC9">
        <w:rPr>
          <w:rFonts w:ascii="Arial" w:eastAsia="Calibri" w:hAnsi="Arial" w:cs="Arial"/>
          <w:bCs/>
          <w:color w:val="000000"/>
          <w:sz w:val="22"/>
          <w:lang w:eastAsia="en-US"/>
        </w:rPr>
        <w:t>que modificó el artículo 12 de la Ley 1150 de 2007</w:t>
      </w:r>
      <w:r w:rsidR="008C3A98">
        <w:rPr>
          <w:rFonts w:ascii="Arial" w:eastAsia="Calibri" w:hAnsi="Arial" w:cs="Arial"/>
          <w:bCs/>
          <w:color w:val="000000"/>
          <w:sz w:val="22"/>
          <w:lang w:eastAsia="en-US"/>
        </w:rPr>
        <w:t>–</w:t>
      </w:r>
      <w:r w:rsidR="00872FC9">
        <w:rPr>
          <w:rFonts w:ascii="Arial" w:eastAsia="Calibri" w:hAnsi="Arial" w:cs="Arial"/>
          <w:bCs/>
          <w:color w:val="000000"/>
          <w:sz w:val="22"/>
          <w:lang w:eastAsia="en-US"/>
        </w:rPr>
        <w:t xml:space="preserve"> y su reglamentación realizada mediante el Decreto 1860 de 2021, en lo relacionado con el f</w:t>
      </w:r>
      <w:r w:rsidR="00872FC9" w:rsidRPr="00872FC9">
        <w:rPr>
          <w:rFonts w:ascii="Arial" w:eastAsia="Calibri" w:hAnsi="Arial" w:cs="Arial"/>
          <w:bCs/>
          <w:color w:val="000000"/>
          <w:sz w:val="22"/>
          <w:lang w:eastAsia="en-US"/>
        </w:rPr>
        <w:t>omento en la ejecución de los contratos estatales la provisión de bienes y servicios por sujetos de especial protección constitucional</w:t>
      </w:r>
      <w:r w:rsidR="00872FC9">
        <w:rPr>
          <w:rFonts w:ascii="Arial" w:eastAsia="Calibri" w:hAnsi="Arial" w:cs="Arial"/>
          <w:bCs/>
          <w:color w:val="000000"/>
          <w:sz w:val="22"/>
          <w:lang w:eastAsia="en-US"/>
        </w:rPr>
        <w:t>.</w:t>
      </w:r>
    </w:p>
    <w:p w14:paraId="0A883FD1" w14:textId="77777777" w:rsidR="002B1A7C" w:rsidRPr="002B1A7C" w:rsidRDefault="002B1A7C" w:rsidP="002B1A7C">
      <w:pPr>
        <w:spacing w:line="276" w:lineRule="auto"/>
        <w:jc w:val="both"/>
        <w:rPr>
          <w:rFonts w:ascii="Arial" w:eastAsia="Calibri" w:hAnsi="Arial" w:cs="Arial"/>
          <w:bCs/>
          <w:color w:val="000000"/>
          <w:sz w:val="22"/>
          <w:lang w:eastAsia="en-US"/>
        </w:rPr>
      </w:pPr>
    </w:p>
    <w:p w14:paraId="2804F4C4" w14:textId="0D4F9AB5" w:rsidR="002B1A7C" w:rsidRPr="002B1A7C" w:rsidRDefault="002B1A7C" w:rsidP="002B1A7C">
      <w:pPr>
        <w:spacing w:line="276" w:lineRule="auto"/>
        <w:jc w:val="both"/>
        <w:rPr>
          <w:rFonts w:ascii="Arial" w:eastAsia="Calibri" w:hAnsi="Arial" w:cs="Arial"/>
          <w:b/>
          <w:bCs/>
          <w:color w:val="000000"/>
          <w:sz w:val="22"/>
          <w:szCs w:val="22"/>
          <w:lang w:val="es-ES_tradnl" w:eastAsia="en-US"/>
        </w:rPr>
      </w:pPr>
      <w:r w:rsidRPr="002B1A7C">
        <w:rPr>
          <w:rFonts w:ascii="Arial" w:eastAsia="Calibri" w:hAnsi="Arial" w:cs="Arial"/>
          <w:b/>
          <w:bCs/>
          <w:color w:val="000000"/>
          <w:sz w:val="22"/>
          <w:szCs w:val="22"/>
          <w:lang w:val="es-ES_tradnl" w:eastAsia="en-US"/>
        </w:rPr>
        <w:t xml:space="preserve">2.2. </w:t>
      </w:r>
      <w:r w:rsidR="0060591D">
        <w:rPr>
          <w:rFonts w:ascii="Arial" w:eastAsia="Calibri" w:hAnsi="Arial" w:cs="Arial"/>
          <w:b/>
          <w:bCs/>
          <w:color w:val="000000"/>
          <w:sz w:val="22"/>
          <w:szCs w:val="22"/>
          <w:lang w:val="es-ES_tradnl" w:eastAsia="en-US"/>
        </w:rPr>
        <w:t xml:space="preserve">Fomento en la ejecución </w:t>
      </w:r>
      <w:r w:rsidR="00FC7945" w:rsidRPr="00FC7945">
        <w:rPr>
          <w:rFonts w:ascii="Arial" w:eastAsia="Calibri" w:hAnsi="Arial" w:cs="Arial"/>
          <w:b/>
          <w:bCs/>
          <w:color w:val="000000"/>
          <w:sz w:val="22"/>
          <w:szCs w:val="22"/>
          <w:lang w:val="es-ES_tradnl" w:eastAsia="en-US"/>
        </w:rPr>
        <w:t>de los contratos estatales la provisión de bienes y servicios por sujetos de especial protección constitucional</w:t>
      </w:r>
    </w:p>
    <w:p w14:paraId="612ED3C0" w14:textId="77777777" w:rsidR="002B1A7C" w:rsidRPr="002B1A7C" w:rsidRDefault="002B1A7C" w:rsidP="002B1A7C">
      <w:pPr>
        <w:spacing w:line="276" w:lineRule="auto"/>
        <w:jc w:val="both"/>
        <w:rPr>
          <w:rFonts w:ascii="Arial" w:eastAsia="Calibri" w:hAnsi="Arial" w:cs="Arial"/>
          <w:bCs/>
          <w:color w:val="000000"/>
          <w:sz w:val="22"/>
          <w:lang w:eastAsia="en-US"/>
        </w:rPr>
      </w:pPr>
    </w:p>
    <w:p w14:paraId="0B94E01C" w14:textId="5DA52002" w:rsidR="008C3A98" w:rsidRDefault="008C3A98" w:rsidP="008915A6">
      <w:pPr>
        <w:spacing w:line="276" w:lineRule="auto"/>
        <w:jc w:val="both"/>
        <w:rPr>
          <w:rFonts w:ascii="Arial" w:eastAsia="Calibri" w:hAnsi="Arial" w:cs="Arial"/>
          <w:color w:val="000000"/>
          <w:sz w:val="22"/>
          <w:szCs w:val="22"/>
          <w:lang w:val="es-ES_tradnl" w:eastAsia="en-US"/>
        </w:rPr>
      </w:pPr>
      <w:bookmarkStart w:id="9" w:name="_Hlk69144591"/>
      <w:r>
        <w:rPr>
          <w:rFonts w:ascii="Arial" w:eastAsia="Calibri" w:hAnsi="Arial" w:cs="Arial"/>
          <w:color w:val="000000"/>
          <w:sz w:val="22"/>
          <w:szCs w:val="22"/>
          <w:lang w:val="es-ES_tradnl" w:eastAsia="en-US"/>
        </w:rPr>
        <w:t>El artículo 12 de la Ley 1150 de 2007, modificado por el artículo 34 de la Ley 2069 de 2020, establece en su inciso cuarto el f</w:t>
      </w:r>
      <w:r w:rsidRPr="008C3A98">
        <w:rPr>
          <w:rFonts w:ascii="Arial" w:eastAsia="Calibri" w:hAnsi="Arial" w:cs="Arial"/>
          <w:color w:val="000000"/>
          <w:sz w:val="22"/>
          <w:szCs w:val="22"/>
          <w:lang w:val="es-ES_tradnl" w:eastAsia="en-US"/>
        </w:rPr>
        <w:t xml:space="preserve">omento en la ejecución de los contratos estatales la provisión de bienes y servicios por </w:t>
      </w:r>
      <w:r>
        <w:rPr>
          <w:rFonts w:ascii="Arial" w:eastAsia="Calibri" w:hAnsi="Arial" w:cs="Arial"/>
          <w:color w:val="000000"/>
          <w:sz w:val="22"/>
          <w:szCs w:val="22"/>
          <w:lang w:val="es-ES_tradnl" w:eastAsia="en-US"/>
        </w:rPr>
        <w:t xml:space="preserve">parte de determinados grupos poblacionales y por parte de sujetos de especial protección constitucional. En este sentido, </w:t>
      </w:r>
      <w:r w:rsidR="00386C6C">
        <w:rPr>
          <w:rFonts w:ascii="Arial" w:eastAsia="Calibri" w:hAnsi="Arial" w:cs="Arial"/>
          <w:color w:val="000000"/>
          <w:sz w:val="22"/>
          <w:szCs w:val="22"/>
          <w:lang w:val="es-ES_tradnl" w:eastAsia="en-US"/>
        </w:rPr>
        <w:t>el artículo establece:</w:t>
      </w:r>
    </w:p>
    <w:p w14:paraId="59244B25" w14:textId="77777777" w:rsidR="008C3A98" w:rsidRDefault="008C3A98" w:rsidP="008915A6">
      <w:pPr>
        <w:spacing w:line="276" w:lineRule="auto"/>
        <w:jc w:val="both"/>
        <w:rPr>
          <w:rFonts w:ascii="Arial" w:eastAsia="Calibri" w:hAnsi="Arial" w:cs="Arial"/>
          <w:color w:val="000000"/>
          <w:sz w:val="22"/>
          <w:szCs w:val="22"/>
          <w:lang w:val="es-ES_tradnl" w:eastAsia="en-US"/>
        </w:rPr>
      </w:pPr>
    </w:p>
    <w:p w14:paraId="32D2018D"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r w:rsidRPr="008915A6">
        <w:rPr>
          <w:rFonts w:ascii="Arial" w:eastAsia="Calibri" w:hAnsi="Arial" w:cs="Arial"/>
          <w:color w:val="000000"/>
          <w:sz w:val="21"/>
          <w:szCs w:val="21"/>
          <w:lang w:val="es-ES_tradnl" w:eastAsia="en-US"/>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3D925EE1"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p>
    <w:p w14:paraId="334EC3B7"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r w:rsidRPr="008915A6">
        <w:rPr>
          <w:rFonts w:ascii="Arial" w:eastAsia="Calibri" w:hAnsi="Arial" w:cs="Arial"/>
          <w:color w:val="000000"/>
          <w:sz w:val="21"/>
          <w:szCs w:val="21"/>
          <w:lang w:val="es-ES_tradnl" w:eastAsia="en-US"/>
        </w:rPr>
        <w:t>Asimismo, el reglamento podrá establecer condiciones preferenciales en favor de la oferta de bienes y servicios producidos por las Mipyme, respetando los montos y las condiciones contenidas en los compromisos internacionales vigentes, cuando sean aplicables.</w:t>
      </w:r>
    </w:p>
    <w:p w14:paraId="6FB7257C"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p>
    <w:p w14:paraId="6025F65D"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r w:rsidRPr="008915A6">
        <w:rPr>
          <w:rFonts w:ascii="Arial" w:eastAsia="Calibri" w:hAnsi="Arial" w:cs="Arial"/>
          <w:color w:val="000000"/>
          <w:sz w:val="21"/>
          <w:szCs w:val="21"/>
          <w:lang w:val="es-ES_tradnl" w:eastAsia="en-US"/>
        </w:rPr>
        <w:t>En todo caso, se deberá garantizar la satisfacción de las condiciones técnicas y económicas requeridas en el Proceso de Contratación.</w:t>
      </w:r>
    </w:p>
    <w:p w14:paraId="2B69326A" w14:textId="77777777" w:rsidR="00386C6C" w:rsidRPr="008915A6" w:rsidRDefault="00386C6C" w:rsidP="008915A6">
      <w:pPr>
        <w:ind w:left="709" w:right="709"/>
        <w:jc w:val="both"/>
        <w:rPr>
          <w:rFonts w:ascii="Arial" w:eastAsia="Calibri" w:hAnsi="Arial" w:cs="Arial"/>
          <w:color w:val="000000"/>
          <w:sz w:val="21"/>
          <w:szCs w:val="21"/>
          <w:lang w:val="es-ES_tradnl" w:eastAsia="en-US"/>
        </w:rPr>
      </w:pPr>
    </w:p>
    <w:p w14:paraId="3502FA50" w14:textId="7E206232" w:rsidR="008C3A98" w:rsidRDefault="00386C6C" w:rsidP="00386C6C">
      <w:pPr>
        <w:ind w:left="709" w:right="709"/>
        <w:jc w:val="both"/>
        <w:rPr>
          <w:rFonts w:ascii="Arial" w:eastAsia="Calibri" w:hAnsi="Arial" w:cs="Arial"/>
          <w:i/>
          <w:iCs/>
          <w:color w:val="000000"/>
          <w:sz w:val="21"/>
          <w:szCs w:val="21"/>
          <w:lang w:val="es-ES_tradnl" w:eastAsia="en-US"/>
        </w:rPr>
      </w:pPr>
      <w:r w:rsidRPr="008915A6">
        <w:rPr>
          <w:rFonts w:ascii="Arial" w:eastAsia="Calibri" w:hAnsi="Arial" w:cs="Arial"/>
          <w:i/>
          <w:iCs/>
          <w:color w:val="000000"/>
          <w:sz w:val="21"/>
          <w:szCs w:val="21"/>
          <w:lang w:val="es-ES_tradnl" w:eastAsia="en-US"/>
        </w:rPr>
        <w:t xml:space="preserve">De igual forma, en </w:t>
      </w:r>
      <w:r w:rsidRPr="008915A6">
        <w:rPr>
          <w:rFonts w:ascii="Arial" w:eastAsia="Calibri" w:hAnsi="Arial" w:cs="Arial"/>
          <w:b/>
          <w:bCs/>
          <w:i/>
          <w:iCs/>
          <w:color w:val="000000"/>
          <w:sz w:val="21"/>
          <w:szCs w:val="21"/>
          <w:lang w:val="es-ES_tradnl" w:eastAsia="en-US"/>
        </w:rPr>
        <w:t>los pliegos de condiciones</w:t>
      </w:r>
      <w:r w:rsidRPr="008915A6">
        <w:rPr>
          <w:rFonts w:ascii="Arial" w:eastAsia="Calibri" w:hAnsi="Arial" w:cs="Arial"/>
          <w:i/>
          <w:iCs/>
          <w:color w:val="000000"/>
          <w:sz w:val="21"/>
          <w:szCs w:val="21"/>
          <w:lang w:val="es-ES_tradnl" w:eastAsia="en-US"/>
        </w:rPr>
        <w:t xml:space="preserve">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B6407BC" w14:textId="4FBF1959" w:rsidR="00386C6C" w:rsidRPr="008915A6" w:rsidRDefault="00386C6C" w:rsidP="008915A6">
      <w:pPr>
        <w:ind w:left="709" w:right="709"/>
        <w:jc w:val="both"/>
        <w:rPr>
          <w:rFonts w:ascii="Arial" w:eastAsia="Calibri" w:hAnsi="Arial" w:cs="Arial"/>
          <w:color w:val="000000"/>
          <w:sz w:val="21"/>
          <w:szCs w:val="21"/>
          <w:lang w:val="es-ES_tradnl" w:eastAsia="en-US"/>
        </w:rPr>
      </w:pPr>
      <w:r>
        <w:rPr>
          <w:rFonts w:ascii="Arial" w:eastAsia="Calibri" w:hAnsi="Arial" w:cs="Arial"/>
          <w:color w:val="000000"/>
          <w:sz w:val="21"/>
          <w:szCs w:val="21"/>
          <w:lang w:val="es-ES_tradnl" w:eastAsia="en-US"/>
        </w:rPr>
        <w:t>[…] (Destacado fuera del original)</w:t>
      </w:r>
    </w:p>
    <w:p w14:paraId="21734087" w14:textId="77777777" w:rsidR="00386C6C" w:rsidRDefault="00386C6C" w:rsidP="008915A6">
      <w:pPr>
        <w:jc w:val="both"/>
        <w:rPr>
          <w:rFonts w:ascii="Arial" w:eastAsia="Calibri" w:hAnsi="Arial" w:cs="Arial"/>
          <w:color w:val="000000"/>
          <w:sz w:val="22"/>
          <w:szCs w:val="22"/>
          <w:lang w:val="es-ES_tradnl" w:eastAsia="en-US"/>
        </w:rPr>
      </w:pPr>
    </w:p>
    <w:p w14:paraId="08C20F12" w14:textId="0FE2DDF8" w:rsidR="00921A73" w:rsidRDefault="00921A73" w:rsidP="00386C6C">
      <w:pPr>
        <w:spacing w:after="120" w:line="276" w:lineRule="auto"/>
        <w:ind w:firstLine="708"/>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 xml:space="preserve">Teniendo en cuenta la pregunta del peticionario, conviene destacar que la norma de orden legal, que fundamentó la expedición del Decreto 1860 de 2021 hace referencia a que el </w:t>
      </w:r>
      <w:r w:rsidRPr="00921A73">
        <w:rPr>
          <w:rFonts w:ascii="Arial" w:eastAsia="Calibri" w:hAnsi="Arial" w:cs="Arial"/>
          <w:color w:val="000000"/>
          <w:sz w:val="22"/>
          <w:szCs w:val="22"/>
          <w:lang w:val="es-ES_tradnl" w:eastAsia="en-US"/>
        </w:rPr>
        <w:t>foment</w:t>
      </w:r>
      <w:r>
        <w:rPr>
          <w:rFonts w:ascii="Arial" w:eastAsia="Calibri" w:hAnsi="Arial" w:cs="Arial"/>
          <w:color w:val="000000"/>
          <w:sz w:val="22"/>
          <w:szCs w:val="22"/>
          <w:lang w:val="es-ES_tradnl" w:eastAsia="en-US"/>
        </w:rPr>
        <w:t>o</w:t>
      </w:r>
      <w:r w:rsidRPr="00921A73">
        <w:rPr>
          <w:rFonts w:ascii="Arial" w:eastAsia="Calibri" w:hAnsi="Arial" w:cs="Arial"/>
          <w:color w:val="000000"/>
          <w:sz w:val="22"/>
          <w:szCs w:val="22"/>
          <w:lang w:val="es-ES_tradnl" w:eastAsia="en-US"/>
        </w:rPr>
        <w:t xml:space="preserve"> en la ejecución de los contratos estatales la provisión de bienes y servicios</w:t>
      </w:r>
      <w:r>
        <w:rPr>
          <w:rFonts w:ascii="Arial" w:eastAsia="Calibri" w:hAnsi="Arial" w:cs="Arial"/>
          <w:color w:val="000000"/>
          <w:sz w:val="22"/>
          <w:szCs w:val="22"/>
          <w:lang w:val="es-ES_tradnl" w:eastAsia="en-US"/>
        </w:rPr>
        <w:t xml:space="preserve"> por </w:t>
      </w:r>
      <w:r>
        <w:rPr>
          <w:rFonts w:ascii="Arial" w:eastAsia="Calibri" w:hAnsi="Arial" w:cs="Arial"/>
          <w:color w:val="000000"/>
          <w:sz w:val="22"/>
          <w:szCs w:val="22"/>
          <w:lang w:val="es-ES_tradnl" w:eastAsia="en-US"/>
        </w:rPr>
        <w:lastRenderedPageBreak/>
        <w:t xml:space="preserve">parte de ciertos grupos poblacionales y de sujetos de especial protección constitucional se realizará </w:t>
      </w:r>
      <w:r>
        <w:rPr>
          <w:rFonts w:ascii="Arial" w:eastAsia="Calibri" w:hAnsi="Arial" w:cs="Arial"/>
          <w:i/>
          <w:iCs/>
          <w:color w:val="000000"/>
          <w:sz w:val="22"/>
          <w:szCs w:val="22"/>
          <w:lang w:val="es-ES_tradnl" w:eastAsia="en-US"/>
        </w:rPr>
        <w:t>en los pliegos de condiciones</w:t>
      </w:r>
      <w:r>
        <w:rPr>
          <w:rFonts w:ascii="Arial" w:eastAsia="Calibri" w:hAnsi="Arial" w:cs="Arial"/>
          <w:color w:val="000000"/>
          <w:sz w:val="22"/>
          <w:szCs w:val="22"/>
          <w:lang w:val="es-ES_tradnl" w:eastAsia="en-US"/>
        </w:rPr>
        <w:t>, de acuerdo con las condiciones que señale el reglamento.</w:t>
      </w:r>
    </w:p>
    <w:p w14:paraId="3D090932" w14:textId="297FF61F" w:rsidR="005769E5" w:rsidRDefault="00921A73" w:rsidP="008915A6">
      <w:pPr>
        <w:spacing w:after="120" w:line="276" w:lineRule="auto"/>
        <w:ind w:firstLine="708"/>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En armonía con lo anterior, e</w:t>
      </w:r>
      <w:r w:rsidR="00A664D1">
        <w:rPr>
          <w:rFonts w:ascii="Arial" w:eastAsia="Calibri" w:hAnsi="Arial" w:cs="Arial"/>
          <w:color w:val="000000"/>
          <w:sz w:val="22"/>
          <w:szCs w:val="22"/>
          <w:lang w:val="es-ES_tradnl" w:eastAsia="en-US"/>
        </w:rPr>
        <w:t xml:space="preserve">l artículo 3 del Decreto 1860 de 2021, que adicionó el artículo </w:t>
      </w:r>
      <w:r w:rsidR="00496CAC" w:rsidRPr="00496CAC">
        <w:rPr>
          <w:rFonts w:ascii="Arial" w:eastAsia="Calibri" w:hAnsi="Arial" w:cs="Arial"/>
          <w:color w:val="000000"/>
          <w:sz w:val="22"/>
          <w:szCs w:val="22"/>
          <w:lang w:val="es-ES_tradnl" w:eastAsia="en-US"/>
        </w:rPr>
        <w:t>2.2.1.2.4.2.16</w:t>
      </w:r>
      <w:r w:rsidR="00A664D1">
        <w:rPr>
          <w:rFonts w:ascii="Arial" w:eastAsia="Calibri" w:hAnsi="Arial" w:cs="Arial"/>
          <w:color w:val="000000"/>
          <w:sz w:val="22"/>
          <w:szCs w:val="22"/>
          <w:lang w:val="es-ES_tradnl" w:eastAsia="en-US"/>
        </w:rPr>
        <w:t xml:space="preserve"> del Decreto 1082 de 2015, consagra el deber de las entidades estatales de incorporar las obligaciones para el cumplimiento del objeto contractual tendientes a la provisión de bienes y servicios por parte de población </w:t>
      </w:r>
      <w:r w:rsidR="005769E5" w:rsidRPr="005769E5">
        <w:rPr>
          <w:rFonts w:ascii="Arial" w:eastAsia="Calibri" w:hAnsi="Arial" w:cs="Arial"/>
          <w:color w:val="000000"/>
          <w:sz w:val="22"/>
          <w:szCs w:val="22"/>
          <w:lang w:val="es-ES_tradnl" w:eastAsia="en-US"/>
        </w:rPr>
        <w:t>en pobreza extrema, desplazados por la violencia, personas en proceso de reintegración o reincorporación y sujetos de esp</w:t>
      </w:r>
      <w:r w:rsidR="005769E5">
        <w:rPr>
          <w:rFonts w:ascii="Arial" w:eastAsia="Calibri" w:hAnsi="Arial" w:cs="Arial"/>
          <w:color w:val="000000"/>
          <w:sz w:val="22"/>
          <w:szCs w:val="22"/>
          <w:lang w:val="es-ES_tradnl" w:eastAsia="en-US"/>
        </w:rPr>
        <w:t>ecial protección constitucional, en los pliegos de condiciones o documento equivalente, garantizando las condiciones de calidad y sin perjuicio de los acuerdos comerciales vigentes</w:t>
      </w:r>
      <w:r w:rsidR="00690DAF">
        <w:rPr>
          <w:rStyle w:val="Refdenotaalpie"/>
          <w:rFonts w:ascii="Arial" w:eastAsia="Calibri" w:hAnsi="Arial" w:cs="Arial"/>
          <w:color w:val="000000"/>
          <w:sz w:val="22"/>
          <w:szCs w:val="22"/>
          <w:lang w:val="es-ES_tradnl" w:eastAsia="en-US"/>
        </w:rPr>
        <w:footnoteReference w:id="6"/>
      </w:r>
      <w:r w:rsidR="00175778">
        <w:rPr>
          <w:rFonts w:ascii="Arial" w:eastAsia="Calibri" w:hAnsi="Arial" w:cs="Arial"/>
          <w:color w:val="000000"/>
          <w:sz w:val="22"/>
          <w:szCs w:val="22"/>
          <w:lang w:val="es-ES_tradnl" w:eastAsia="en-US"/>
        </w:rPr>
        <w:t>.</w:t>
      </w:r>
      <w:r w:rsidR="005769E5">
        <w:rPr>
          <w:rFonts w:ascii="Arial" w:eastAsia="Calibri" w:hAnsi="Arial" w:cs="Arial"/>
          <w:color w:val="000000"/>
          <w:sz w:val="22"/>
          <w:szCs w:val="22"/>
          <w:lang w:val="es-ES_tradnl" w:eastAsia="en-US"/>
        </w:rPr>
        <w:t xml:space="preserve">  E</w:t>
      </w:r>
      <w:r w:rsidR="00690DAF">
        <w:rPr>
          <w:rFonts w:ascii="Arial" w:eastAsia="Calibri" w:hAnsi="Arial" w:cs="Arial"/>
          <w:color w:val="000000"/>
          <w:sz w:val="22"/>
          <w:szCs w:val="22"/>
          <w:lang w:val="es-ES_tradnl" w:eastAsia="en-US"/>
        </w:rPr>
        <w:t>sto aplica a</w:t>
      </w:r>
      <w:r w:rsidR="005769E5">
        <w:rPr>
          <w:rFonts w:ascii="Arial" w:eastAsia="Calibri" w:hAnsi="Arial" w:cs="Arial"/>
          <w:color w:val="000000"/>
          <w:sz w:val="22"/>
          <w:szCs w:val="22"/>
          <w:lang w:val="es-ES_tradnl" w:eastAsia="en-US"/>
        </w:rPr>
        <w:t xml:space="preserve"> las entidades estatales indistintamente de su régimen de contratación, los patrimonios autónomos </w:t>
      </w:r>
      <w:r w:rsidR="005769E5" w:rsidRPr="005769E5">
        <w:rPr>
          <w:rFonts w:ascii="Arial" w:eastAsia="Calibri" w:hAnsi="Arial" w:cs="Arial"/>
          <w:color w:val="000000"/>
          <w:sz w:val="22"/>
          <w:szCs w:val="22"/>
          <w:lang w:val="es-ES_tradnl" w:eastAsia="en-US"/>
        </w:rPr>
        <w:t>constituidos por Entidades Estatales y los particulares que ejecuten recursos públicos</w:t>
      </w:r>
      <w:r>
        <w:rPr>
          <w:rStyle w:val="Refdenotaalpie"/>
          <w:rFonts w:ascii="Arial" w:eastAsia="Calibri" w:hAnsi="Arial" w:cs="Arial"/>
          <w:color w:val="000000"/>
          <w:sz w:val="22"/>
          <w:szCs w:val="22"/>
          <w:lang w:val="es-ES_tradnl" w:eastAsia="en-US"/>
        </w:rPr>
        <w:footnoteReference w:id="7"/>
      </w:r>
      <w:r w:rsidR="005769E5" w:rsidRPr="005769E5">
        <w:rPr>
          <w:rFonts w:ascii="Arial" w:eastAsia="Calibri" w:hAnsi="Arial" w:cs="Arial"/>
          <w:color w:val="000000"/>
          <w:sz w:val="22"/>
          <w:szCs w:val="22"/>
          <w:lang w:val="es-ES_tradnl" w:eastAsia="en-US"/>
        </w:rPr>
        <w:t>.</w:t>
      </w:r>
    </w:p>
    <w:p w14:paraId="623F5874" w14:textId="2D11DDB4" w:rsidR="005769E5" w:rsidRDefault="005769E5" w:rsidP="005769E5">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lastRenderedPageBreak/>
        <w:t>Como se evidencia, este artículo busca que las entidades estatales incluyan en los pliegos de condiciones o documento equivalente, disposiciones que garanticen que los bienes y servicios requeridos por el contratista para la ejecución del objeto contractual, sean prove</w:t>
      </w:r>
      <w:r w:rsidR="00690DAF">
        <w:rPr>
          <w:rFonts w:ascii="Arial" w:eastAsia="Calibri" w:hAnsi="Arial" w:cs="Arial"/>
          <w:color w:val="000000"/>
          <w:sz w:val="22"/>
          <w:szCs w:val="22"/>
          <w:lang w:val="es-ES_tradnl" w:eastAsia="en-US"/>
        </w:rPr>
        <w:t>í</w:t>
      </w:r>
      <w:r>
        <w:rPr>
          <w:rFonts w:ascii="Arial" w:eastAsia="Calibri" w:hAnsi="Arial" w:cs="Arial"/>
          <w:color w:val="000000"/>
          <w:sz w:val="22"/>
          <w:szCs w:val="22"/>
          <w:lang w:val="es-ES_tradnl" w:eastAsia="en-US"/>
        </w:rPr>
        <w:t>dos por sujetos de especial protección constitucional. Para estos efectos</w:t>
      </w:r>
      <w:r w:rsidR="00175778">
        <w:rPr>
          <w:rFonts w:ascii="Arial" w:eastAsia="Calibri" w:hAnsi="Arial" w:cs="Arial"/>
          <w:color w:val="000000"/>
          <w:sz w:val="22"/>
          <w:szCs w:val="22"/>
          <w:lang w:val="es-ES_tradnl" w:eastAsia="en-US"/>
        </w:rPr>
        <w:t>,</w:t>
      </w:r>
      <w:r>
        <w:rPr>
          <w:rFonts w:ascii="Arial" w:eastAsia="Calibri" w:hAnsi="Arial" w:cs="Arial"/>
          <w:color w:val="000000"/>
          <w:sz w:val="22"/>
          <w:szCs w:val="22"/>
          <w:lang w:val="es-ES_tradnl" w:eastAsia="en-US"/>
        </w:rPr>
        <w:t xml:space="preserve"> la norma precisa que la participación de los sujetos mencionados se fomentará previo análisis de oportunidad y conveniencia en los documentos del proceso, teniendo en cuenta el objeto contractual y el alcance de las obligaciones</w:t>
      </w:r>
      <w:r w:rsidR="004371F5">
        <w:rPr>
          <w:rFonts w:ascii="Arial" w:eastAsia="Calibri" w:hAnsi="Arial" w:cs="Arial"/>
          <w:color w:val="000000"/>
          <w:sz w:val="22"/>
          <w:szCs w:val="22"/>
          <w:lang w:val="es-ES_tradnl" w:eastAsia="en-US"/>
        </w:rPr>
        <w:t xml:space="preserve">.  Este parámetro asegura que el mecanismo implementado no atente contra el cabal cumplimiento del contrato, de tal manera que el </w:t>
      </w:r>
      <w:r w:rsidR="00690DAF">
        <w:rPr>
          <w:rFonts w:ascii="Arial" w:eastAsia="Calibri" w:hAnsi="Arial" w:cs="Arial"/>
          <w:color w:val="000000"/>
          <w:sz w:val="22"/>
          <w:szCs w:val="22"/>
          <w:lang w:val="es-ES_tradnl" w:eastAsia="en-US"/>
        </w:rPr>
        <w:t>acatamiento</w:t>
      </w:r>
      <w:r w:rsidR="004371F5">
        <w:rPr>
          <w:rFonts w:ascii="Arial" w:eastAsia="Calibri" w:hAnsi="Arial" w:cs="Arial"/>
          <w:color w:val="000000"/>
          <w:sz w:val="22"/>
          <w:szCs w:val="22"/>
          <w:lang w:val="es-ES_tradnl" w:eastAsia="en-US"/>
        </w:rPr>
        <w:t xml:space="preserve"> de lo dispuesto no </w:t>
      </w:r>
      <w:r w:rsidR="00690DAF">
        <w:rPr>
          <w:rFonts w:ascii="Arial" w:eastAsia="Calibri" w:hAnsi="Arial" w:cs="Arial"/>
          <w:color w:val="000000"/>
          <w:sz w:val="22"/>
          <w:szCs w:val="22"/>
          <w:lang w:val="es-ES_tradnl" w:eastAsia="en-US"/>
        </w:rPr>
        <w:t>devenga</w:t>
      </w:r>
      <w:r w:rsidR="004371F5">
        <w:rPr>
          <w:rFonts w:ascii="Arial" w:eastAsia="Calibri" w:hAnsi="Arial" w:cs="Arial"/>
          <w:color w:val="000000"/>
          <w:sz w:val="22"/>
          <w:szCs w:val="22"/>
          <w:lang w:val="es-ES_tradnl" w:eastAsia="en-US"/>
        </w:rPr>
        <w:t xml:space="preserve"> en el incumplimiento del contrato ni la desmejora de la calidad requerida</w:t>
      </w:r>
      <w:r w:rsidR="00690DAF">
        <w:rPr>
          <w:rStyle w:val="Refdenotaalpie"/>
          <w:rFonts w:ascii="Arial" w:eastAsia="Calibri" w:hAnsi="Arial" w:cs="Arial"/>
          <w:color w:val="000000"/>
          <w:sz w:val="22"/>
          <w:szCs w:val="22"/>
          <w:lang w:val="es-ES_tradnl" w:eastAsia="en-US"/>
        </w:rPr>
        <w:footnoteReference w:id="8"/>
      </w:r>
      <w:r w:rsidR="00175778">
        <w:rPr>
          <w:rFonts w:ascii="Arial" w:eastAsia="Calibri" w:hAnsi="Arial" w:cs="Arial"/>
          <w:color w:val="000000"/>
          <w:sz w:val="22"/>
          <w:szCs w:val="22"/>
          <w:lang w:val="es-ES_tradnl" w:eastAsia="en-US"/>
        </w:rPr>
        <w:t>.</w:t>
      </w:r>
    </w:p>
    <w:p w14:paraId="75A9FCB6" w14:textId="53B0A76A" w:rsidR="004371F5" w:rsidRPr="005769E5" w:rsidRDefault="004371F5" w:rsidP="005769E5">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El parágrafo 1 del artículo</w:t>
      </w:r>
      <w:r w:rsidR="00690DAF">
        <w:rPr>
          <w:rFonts w:ascii="Arial" w:eastAsia="Calibri" w:hAnsi="Arial" w:cs="Arial"/>
          <w:color w:val="000000"/>
          <w:sz w:val="22"/>
          <w:szCs w:val="22"/>
          <w:lang w:val="es-ES_tradnl" w:eastAsia="en-US"/>
        </w:rPr>
        <w:t xml:space="preserve"> </w:t>
      </w:r>
      <w:r w:rsidR="00690DAF" w:rsidRPr="00496CAC">
        <w:rPr>
          <w:rFonts w:ascii="Arial" w:eastAsia="Calibri" w:hAnsi="Arial" w:cs="Arial"/>
          <w:color w:val="000000"/>
          <w:sz w:val="22"/>
          <w:szCs w:val="22"/>
          <w:lang w:val="es-ES_tradnl" w:eastAsia="en-US"/>
        </w:rPr>
        <w:t>2.2.1.2.4.2.16</w:t>
      </w:r>
      <w:r w:rsidR="00690DAF">
        <w:rPr>
          <w:rFonts w:ascii="Arial" w:eastAsia="Calibri" w:hAnsi="Arial" w:cs="Arial"/>
          <w:color w:val="000000"/>
          <w:sz w:val="22"/>
          <w:szCs w:val="22"/>
          <w:lang w:val="es-ES_tradnl" w:eastAsia="en-US"/>
        </w:rPr>
        <w:t xml:space="preserve"> define</w:t>
      </w:r>
      <w:r>
        <w:rPr>
          <w:rFonts w:ascii="Arial" w:eastAsia="Calibri" w:hAnsi="Arial" w:cs="Arial"/>
          <w:color w:val="000000"/>
          <w:sz w:val="22"/>
          <w:szCs w:val="22"/>
          <w:lang w:val="es-ES_tradnl" w:eastAsia="en-US"/>
        </w:rPr>
        <w:t xml:space="preserve"> </w:t>
      </w:r>
      <w:r w:rsidR="00175778">
        <w:rPr>
          <w:rFonts w:ascii="Arial" w:eastAsia="Calibri" w:hAnsi="Arial" w:cs="Arial"/>
          <w:color w:val="000000"/>
          <w:sz w:val="22"/>
          <w:szCs w:val="22"/>
          <w:lang w:val="es-ES_tradnl" w:eastAsia="en-US"/>
        </w:rPr>
        <w:t xml:space="preserve">algunos de los </w:t>
      </w:r>
      <w:r>
        <w:rPr>
          <w:rFonts w:ascii="Arial" w:eastAsia="Calibri" w:hAnsi="Arial" w:cs="Arial"/>
          <w:color w:val="000000"/>
          <w:sz w:val="22"/>
          <w:szCs w:val="22"/>
          <w:lang w:val="es-ES_tradnl" w:eastAsia="en-US"/>
        </w:rPr>
        <w:t>sujetos de especial protección constitucional</w:t>
      </w:r>
      <w:r w:rsidR="00175778">
        <w:rPr>
          <w:rFonts w:ascii="Arial" w:eastAsia="Calibri" w:hAnsi="Arial" w:cs="Arial"/>
          <w:color w:val="000000"/>
          <w:sz w:val="22"/>
          <w:szCs w:val="22"/>
          <w:lang w:val="es-ES_tradnl" w:eastAsia="en-US"/>
        </w:rPr>
        <w:t>,</w:t>
      </w:r>
      <w:r>
        <w:rPr>
          <w:rFonts w:ascii="Arial" w:eastAsia="Calibri" w:hAnsi="Arial" w:cs="Arial"/>
          <w:color w:val="000000"/>
          <w:sz w:val="22"/>
          <w:szCs w:val="22"/>
          <w:lang w:val="es-ES_tradnl" w:eastAsia="en-US"/>
        </w:rPr>
        <w:t xml:space="preserve"> señalando que su acreditación se realizará en las condiciones que disponga la ley o el </w:t>
      </w:r>
      <w:r w:rsidR="00690DAF">
        <w:rPr>
          <w:rFonts w:ascii="Arial" w:eastAsia="Calibri" w:hAnsi="Arial" w:cs="Arial"/>
          <w:color w:val="000000"/>
          <w:sz w:val="22"/>
          <w:szCs w:val="22"/>
          <w:lang w:val="es-ES_tradnl" w:eastAsia="en-US"/>
        </w:rPr>
        <w:t>reglamento</w:t>
      </w:r>
      <w:r>
        <w:rPr>
          <w:rFonts w:ascii="Arial" w:eastAsia="Calibri" w:hAnsi="Arial" w:cs="Arial"/>
          <w:color w:val="000000"/>
          <w:sz w:val="22"/>
          <w:szCs w:val="22"/>
          <w:lang w:val="es-ES_tradnl" w:eastAsia="en-US"/>
        </w:rPr>
        <w:t xml:space="preserve">, </w:t>
      </w:r>
      <w:r w:rsidR="00690DAF">
        <w:rPr>
          <w:rFonts w:ascii="Arial" w:eastAsia="Calibri" w:hAnsi="Arial" w:cs="Arial"/>
          <w:color w:val="000000"/>
          <w:sz w:val="22"/>
          <w:szCs w:val="22"/>
          <w:lang w:val="es-ES_tradnl" w:eastAsia="en-US"/>
        </w:rPr>
        <w:t>aplicando</w:t>
      </w:r>
      <w:r>
        <w:rPr>
          <w:rFonts w:ascii="Arial" w:eastAsia="Calibri" w:hAnsi="Arial" w:cs="Arial"/>
          <w:color w:val="000000"/>
          <w:sz w:val="22"/>
          <w:szCs w:val="22"/>
          <w:lang w:val="es-ES_tradnl" w:eastAsia="en-US"/>
        </w:rPr>
        <w:t xml:space="preserve"> en lo pertinente lo indicado en el artículo</w:t>
      </w:r>
      <w:r w:rsidR="00690DAF">
        <w:rPr>
          <w:rFonts w:ascii="Arial" w:eastAsia="Calibri" w:hAnsi="Arial" w:cs="Arial"/>
          <w:color w:val="000000"/>
          <w:sz w:val="22"/>
          <w:szCs w:val="22"/>
          <w:lang w:val="es-ES_tradnl" w:eastAsia="en-US"/>
        </w:rPr>
        <w:t xml:space="preserve"> </w:t>
      </w:r>
      <w:r w:rsidR="00690DAF" w:rsidRPr="00690DAF">
        <w:rPr>
          <w:rFonts w:ascii="Arial" w:eastAsia="Calibri" w:hAnsi="Arial" w:cs="Arial"/>
          <w:color w:val="000000"/>
          <w:sz w:val="22"/>
          <w:szCs w:val="22"/>
          <w:lang w:val="es-ES_tradnl" w:eastAsia="en-US"/>
        </w:rPr>
        <w:t>2.2.1.2.4.2.17</w:t>
      </w:r>
      <w:r w:rsidRPr="00690DAF">
        <w:rPr>
          <w:rFonts w:ascii="Arial" w:eastAsia="Calibri" w:hAnsi="Arial" w:cs="Arial"/>
          <w:color w:val="000000"/>
          <w:sz w:val="22"/>
          <w:szCs w:val="22"/>
          <w:lang w:val="es-ES_tradnl" w:eastAsia="en-US"/>
        </w:rPr>
        <w:t>.</w:t>
      </w:r>
      <w:r>
        <w:rPr>
          <w:rFonts w:ascii="Arial" w:eastAsia="Calibri" w:hAnsi="Arial" w:cs="Arial"/>
          <w:color w:val="000000"/>
          <w:sz w:val="22"/>
          <w:szCs w:val="22"/>
          <w:lang w:val="es-ES_tradnl" w:eastAsia="en-US"/>
        </w:rPr>
        <w:t xml:space="preserve"> En ausencia de una condición especial prevista en la normativa vigente, se </w:t>
      </w:r>
      <w:r w:rsidR="00690DAF">
        <w:rPr>
          <w:rFonts w:ascii="Arial" w:eastAsia="Calibri" w:hAnsi="Arial" w:cs="Arial"/>
          <w:color w:val="000000"/>
          <w:sz w:val="22"/>
          <w:szCs w:val="22"/>
          <w:lang w:val="es-ES_tradnl" w:eastAsia="en-US"/>
        </w:rPr>
        <w:t>acreditarán</w:t>
      </w:r>
      <w:r>
        <w:rPr>
          <w:rFonts w:ascii="Arial" w:eastAsia="Calibri" w:hAnsi="Arial" w:cs="Arial"/>
          <w:color w:val="000000"/>
          <w:sz w:val="22"/>
          <w:szCs w:val="22"/>
          <w:lang w:val="es-ES_tradnl" w:eastAsia="en-US"/>
        </w:rPr>
        <w:t xml:space="preserve"> en los términos que determine el pliego de condiciones o documento equivalente</w:t>
      </w:r>
      <w:r w:rsidR="00690DAF">
        <w:rPr>
          <w:rStyle w:val="Refdenotaalpie"/>
          <w:rFonts w:ascii="Arial" w:eastAsia="Calibri" w:hAnsi="Arial" w:cs="Arial"/>
          <w:color w:val="000000"/>
          <w:sz w:val="22"/>
          <w:szCs w:val="22"/>
          <w:lang w:val="es-ES_tradnl" w:eastAsia="en-US"/>
        </w:rPr>
        <w:footnoteReference w:id="9"/>
      </w:r>
      <w:r w:rsidR="00175778">
        <w:rPr>
          <w:rFonts w:ascii="Arial" w:eastAsia="Calibri" w:hAnsi="Arial" w:cs="Arial"/>
          <w:color w:val="000000"/>
          <w:sz w:val="22"/>
          <w:szCs w:val="22"/>
          <w:lang w:val="es-ES_tradnl" w:eastAsia="en-US"/>
        </w:rPr>
        <w:t>.</w:t>
      </w:r>
    </w:p>
    <w:p w14:paraId="05D124FF" w14:textId="3B135EBB" w:rsidR="00ED4A5E" w:rsidRDefault="00690DAF" w:rsidP="00D368D9">
      <w:pPr>
        <w:spacing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La norma simplemente señala que este deber se debe cumplir en los procesos de contratación, por lo</w:t>
      </w:r>
      <w:r w:rsidR="0033063C">
        <w:rPr>
          <w:rFonts w:ascii="Arial" w:eastAsia="Calibri" w:hAnsi="Arial" w:cs="Arial"/>
          <w:color w:val="000000"/>
          <w:sz w:val="22"/>
          <w:szCs w:val="22"/>
          <w:lang w:val="es-ES_tradnl" w:eastAsia="en-US"/>
        </w:rPr>
        <w:t xml:space="preserve"> que</w:t>
      </w:r>
      <w:r w:rsidR="0033063C" w:rsidRPr="0033063C">
        <w:rPr>
          <w:rFonts w:ascii="Arial" w:eastAsia="Calibri" w:hAnsi="Arial" w:cs="Arial"/>
          <w:color w:val="000000"/>
          <w:sz w:val="22"/>
          <w:szCs w:val="22"/>
          <w:lang w:val="es-ES_tradnl" w:eastAsia="en-US"/>
        </w:rPr>
        <w:t xml:space="preserve">, por ser especialmente relevante para resolver la consulta </w:t>
      </w:r>
      <w:r w:rsidR="0033063C">
        <w:rPr>
          <w:rFonts w:ascii="Arial" w:eastAsia="Calibri" w:hAnsi="Arial" w:cs="Arial"/>
          <w:color w:val="000000"/>
          <w:sz w:val="22"/>
          <w:szCs w:val="22"/>
          <w:lang w:val="es-ES_tradnl" w:eastAsia="en-US"/>
        </w:rPr>
        <w:t>planteada</w:t>
      </w:r>
      <w:r w:rsidR="0033063C" w:rsidRPr="0033063C">
        <w:rPr>
          <w:rFonts w:ascii="Arial" w:eastAsia="Calibri" w:hAnsi="Arial" w:cs="Arial"/>
          <w:color w:val="000000"/>
          <w:sz w:val="22"/>
          <w:szCs w:val="22"/>
          <w:lang w:val="es-ES_tradnl" w:eastAsia="en-US"/>
        </w:rPr>
        <w:t>, conviene precisar</w:t>
      </w:r>
      <w:r w:rsidRPr="0033063C">
        <w:rPr>
          <w:rFonts w:ascii="Arial" w:eastAsia="Calibri" w:hAnsi="Arial" w:cs="Arial"/>
          <w:color w:val="000000"/>
          <w:sz w:val="22"/>
          <w:szCs w:val="22"/>
          <w:lang w:val="es-ES_tradnl" w:eastAsia="en-US"/>
        </w:rPr>
        <w:t xml:space="preserve"> </w:t>
      </w:r>
      <w:r>
        <w:rPr>
          <w:rFonts w:ascii="Arial" w:eastAsia="Calibri" w:hAnsi="Arial" w:cs="Arial"/>
          <w:color w:val="000000"/>
          <w:sz w:val="22"/>
          <w:szCs w:val="22"/>
          <w:lang w:val="es-ES_tradnl" w:eastAsia="en-US"/>
        </w:rPr>
        <w:t xml:space="preserve">si comprende </w:t>
      </w:r>
      <w:r w:rsidR="00911CAE">
        <w:rPr>
          <w:rFonts w:ascii="Arial" w:eastAsia="Calibri" w:hAnsi="Arial" w:cs="Arial"/>
          <w:color w:val="000000"/>
          <w:sz w:val="22"/>
          <w:szCs w:val="22"/>
          <w:lang w:val="es-ES_tradnl" w:eastAsia="en-US"/>
        </w:rPr>
        <w:t xml:space="preserve">en </w:t>
      </w:r>
      <w:r>
        <w:rPr>
          <w:rFonts w:ascii="Arial" w:eastAsia="Calibri" w:hAnsi="Arial" w:cs="Arial"/>
          <w:color w:val="000000"/>
          <w:sz w:val="22"/>
          <w:szCs w:val="22"/>
          <w:lang w:val="es-ES_tradnl" w:eastAsia="en-US"/>
        </w:rPr>
        <w:t>aquellos que se adelanten mediante la modalidad de contratación directa</w:t>
      </w:r>
      <w:r w:rsidR="00911CAE">
        <w:rPr>
          <w:rFonts w:ascii="Arial" w:eastAsia="Calibri" w:hAnsi="Arial" w:cs="Arial"/>
          <w:color w:val="000000"/>
          <w:sz w:val="22"/>
          <w:szCs w:val="22"/>
          <w:lang w:val="es-ES_tradnl" w:eastAsia="en-US"/>
        </w:rPr>
        <w:t xml:space="preserve">, para lo cual se analizarán algunas </w:t>
      </w:r>
      <w:r w:rsidR="00093AE5">
        <w:rPr>
          <w:rFonts w:ascii="Arial" w:eastAsia="Calibri" w:hAnsi="Arial" w:cs="Arial"/>
          <w:color w:val="000000"/>
          <w:sz w:val="22"/>
          <w:szCs w:val="22"/>
          <w:lang w:val="es-ES_tradnl" w:eastAsia="en-US"/>
        </w:rPr>
        <w:t>generalidades de esta modalidad de selección, para finalmente responder la problemática concreta planteada por el peticionario.</w:t>
      </w:r>
    </w:p>
    <w:p w14:paraId="2FF772B6" w14:textId="77777777" w:rsidR="00D368D9" w:rsidRPr="005769E5" w:rsidRDefault="00D368D9" w:rsidP="008915A6">
      <w:pPr>
        <w:spacing w:line="276" w:lineRule="auto"/>
        <w:ind w:firstLine="709"/>
        <w:jc w:val="both"/>
        <w:rPr>
          <w:rFonts w:ascii="Arial" w:eastAsia="Calibri" w:hAnsi="Arial" w:cs="Arial"/>
          <w:color w:val="000000"/>
          <w:sz w:val="22"/>
          <w:szCs w:val="22"/>
          <w:lang w:val="es-ES_tradnl" w:eastAsia="en-US"/>
        </w:rPr>
      </w:pPr>
    </w:p>
    <w:bookmarkEnd w:id="9"/>
    <w:p w14:paraId="62483EBC" w14:textId="7BC1B37B" w:rsidR="00690DAF" w:rsidRDefault="0033063C" w:rsidP="0072384D">
      <w:pPr>
        <w:tabs>
          <w:tab w:val="left" w:pos="426"/>
        </w:tabs>
        <w:spacing w:line="276" w:lineRule="auto"/>
        <w:jc w:val="both"/>
        <w:rPr>
          <w:rFonts w:ascii="Arial" w:eastAsia="Arial" w:hAnsi="Arial" w:cs="Arial"/>
          <w:b/>
          <w:sz w:val="22"/>
          <w:szCs w:val="22"/>
          <w:lang w:val="es-MX" w:eastAsia="es-ES_tradnl"/>
        </w:rPr>
      </w:pPr>
      <w:r>
        <w:rPr>
          <w:rFonts w:ascii="Arial" w:eastAsia="Arial" w:hAnsi="Arial" w:cs="Arial"/>
          <w:b/>
          <w:sz w:val="22"/>
          <w:szCs w:val="22"/>
          <w:lang w:val="es-MX" w:eastAsia="es-ES_tradnl"/>
        </w:rPr>
        <w:t>2.</w:t>
      </w:r>
      <w:r w:rsidR="00FC7945">
        <w:rPr>
          <w:rFonts w:ascii="Arial" w:eastAsia="Arial" w:hAnsi="Arial" w:cs="Arial"/>
          <w:b/>
          <w:sz w:val="22"/>
          <w:szCs w:val="22"/>
          <w:lang w:val="es-MX" w:eastAsia="es-ES_tradnl"/>
        </w:rPr>
        <w:t>3</w:t>
      </w:r>
      <w:r w:rsidR="00690DAF" w:rsidRPr="00690DAF">
        <w:rPr>
          <w:rFonts w:ascii="Arial" w:eastAsia="Arial" w:hAnsi="Arial" w:cs="Arial"/>
          <w:b/>
          <w:sz w:val="22"/>
          <w:szCs w:val="22"/>
          <w:lang w:val="es-MX" w:eastAsia="es-ES_tradnl"/>
        </w:rPr>
        <w:t>. Generalidades sobre la contratación directa como modalidad para la selección objetiva del contratista</w:t>
      </w:r>
      <w:r w:rsidR="00D368D9">
        <w:rPr>
          <w:rFonts w:ascii="Arial" w:eastAsia="Arial" w:hAnsi="Arial" w:cs="Arial"/>
          <w:b/>
          <w:sz w:val="22"/>
          <w:szCs w:val="22"/>
          <w:lang w:val="es-MX" w:eastAsia="es-ES_tradnl"/>
        </w:rPr>
        <w:t>. Ausencia de pliego de condiciones o documento equivalente</w:t>
      </w:r>
    </w:p>
    <w:p w14:paraId="521CEC59" w14:textId="77777777" w:rsidR="0072384D" w:rsidRPr="00690DAF" w:rsidRDefault="0072384D" w:rsidP="0072384D">
      <w:pPr>
        <w:tabs>
          <w:tab w:val="left" w:pos="426"/>
        </w:tabs>
        <w:spacing w:line="276" w:lineRule="auto"/>
        <w:jc w:val="both"/>
        <w:rPr>
          <w:rFonts w:ascii="Arial" w:eastAsia="Arial" w:hAnsi="Arial" w:cs="Arial"/>
          <w:sz w:val="22"/>
          <w:szCs w:val="22"/>
          <w:lang w:val="es-MX" w:eastAsia="es-ES_tradnl"/>
        </w:rPr>
      </w:pPr>
    </w:p>
    <w:p w14:paraId="089B9056" w14:textId="77777777" w:rsidR="00690DAF" w:rsidRPr="00690DAF" w:rsidRDefault="00690DAF" w:rsidP="00690DAF">
      <w:pPr>
        <w:spacing w:after="120" w:line="276" w:lineRule="auto"/>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lastRenderedPageBreak/>
        <w:t>Como se dijo en concepto previo de esta Agencia</w:t>
      </w:r>
      <w:r w:rsidRPr="00690DAF">
        <w:rPr>
          <w:rFonts w:ascii="Arial" w:eastAsia="Arial" w:hAnsi="Arial" w:cs="Arial"/>
          <w:sz w:val="22"/>
          <w:szCs w:val="22"/>
          <w:vertAlign w:val="superscript"/>
          <w:lang w:val="es-MX" w:eastAsia="es-ES_tradnl"/>
        </w:rPr>
        <w:footnoteReference w:id="10"/>
      </w:r>
      <w:r w:rsidRPr="00690DAF">
        <w:rPr>
          <w:rFonts w:ascii="Arial" w:eastAsia="Arial" w:hAnsi="Arial" w:cs="Arial"/>
          <w:sz w:val="22"/>
          <w:szCs w:val="22"/>
          <w:lang w:val="es-MX" w:eastAsia="es-ES_tradnl"/>
        </w:rPr>
        <w:t>, la Ley 1150 de 2007, en el artículo 2, establece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52FCE525" w14:textId="77777777" w:rsidR="00690DAF" w:rsidRPr="00690DAF" w:rsidRDefault="00690DAF" w:rsidP="00690DAF">
      <w:pPr>
        <w:spacing w:after="120" w:line="276" w:lineRule="auto"/>
        <w:ind w:firstLine="709"/>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 xml:space="preserve">Ahora bien, las modalidades de selección se pueden dividir doctrinariamente en i) competitivas y </w:t>
      </w:r>
      <w:proofErr w:type="spellStart"/>
      <w:r w:rsidRPr="00690DAF">
        <w:rPr>
          <w:rFonts w:ascii="Arial" w:eastAsia="Arial" w:hAnsi="Arial" w:cs="Arial"/>
          <w:sz w:val="22"/>
          <w:szCs w:val="22"/>
          <w:lang w:val="es-MX" w:eastAsia="es-ES_tradnl"/>
        </w:rPr>
        <w:t>ii</w:t>
      </w:r>
      <w:proofErr w:type="spellEnd"/>
      <w:r w:rsidRPr="00690DAF">
        <w:rPr>
          <w:rFonts w:ascii="Arial" w:eastAsia="Arial" w:hAnsi="Arial" w:cs="Arial"/>
          <w:sz w:val="22"/>
          <w:szCs w:val="22"/>
          <w:lang w:val="es-MX" w:eastAsia="es-ES_tradnl"/>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4AEF953B" w14:textId="536BA605" w:rsidR="00690DAF" w:rsidRPr="00690DAF" w:rsidRDefault="00690DAF" w:rsidP="00690DAF">
      <w:pPr>
        <w:spacing w:after="120" w:line="276" w:lineRule="auto"/>
        <w:ind w:firstLine="709"/>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w:t>
      </w:r>
      <w:r w:rsidR="0033063C">
        <w:rPr>
          <w:rFonts w:ascii="Arial" w:eastAsia="Arial" w:hAnsi="Arial" w:cs="Arial"/>
          <w:sz w:val="22"/>
          <w:szCs w:val="22"/>
          <w:lang w:val="es-MX" w:eastAsia="es-ES_tradnl"/>
        </w:rPr>
        <w:t>ón de ofertas de acuerdo con las reglas definidas en el pliego de condiciones o documento equivalente.</w:t>
      </w:r>
      <w:r w:rsidRPr="00690DAF">
        <w:rPr>
          <w:rFonts w:ascii="Arial" w:eastAsia="Arial" w:hAnsi="Arial" w:cs="Arial"/>
          <w:sz w:val="22"/>
          <w:szCs w:val="22"/>
          <w:lang w:val="es-MX" w:eastAsia="es-ES_tradnl"/>
        </w:rPr>
        <w:t xml:space="preserve"> Esto permite que todas las personas interesadas concurran al proceso en igualdad de condiciones y compitan en el mismo. </w:t>
      </w:r>
    </w:p>
    <w:p w14:paraId="643CDBA3" w14:textId="77777777" w:rsidR="00690DAF" w:rsidRPr="00690DAF" w:rsidRDefault="00690DAF" w:rsidP="00690DAF">
      <w:pPr>
        <w:spacing w:after="120" w:line="276" w:lineRule="auto"/>
        <w:ind w:firstLine="709"/>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Lo contrario es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0DC2E8F0" w14:textId="77777777" w:rsidR="00690DAF" w:rsidRPr="00690DAF" w:rsidRDefault="00690DAF" w:rsidP="00690DAF">
      <w:pPr>
        <w:spacing w:after="120" w:line="276" w:lineRule="auto"/>
        <w:ind w:firstLine="708"/>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 xml:space="preserve">Lo anterior se complementa con lo expuesto por la Corte Constitucional, en Sentencia C-713 de 2009, donde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096F082C" w14:textId="77777777" w:rsidR="00690DAF" w:rsidRPr="00690DAF" w:rsidRDefault="00690DAF" w:rsidP="00690DAF">
      <w:pPr>
        <w:spacing w:after="120" w:line="276" w:lineRule="auto"/>
        <w:ind w:firstLine="708"/>
        <w:jc w:val="both"/>
        <w:rPr>
          <w:rFonts w:ascii="Arial" w:eastAsia="Arial" w:hAnsi="Arial" w:cs="Arial"/>
          <w:sz w:val="21"/>
          <w:szCs w:val="21"/>
          <w:lang w:val="es-MX" w:eastAsia="es-ES_tradnl"/>
        </w:rPr>
      </w:pPr>
      <w:r w:rsidRPr="00690DAF">
        <w:rPr>
          <w:rFonts w:ascii="Arial" w:eastAsia="Arial" w:hAnsi="Arial" w:cs="Arial"/>
          <w:sz w:val="22"/>
          <w:szCs w:val="22"/>
          <w:lang w:val="es-MX" w:eastAsia="es-ES_tradnl"/>
        </w:rPr>
        <w:t xml:space="preserve">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w:t>
      </w:r>
      <w:r w:rsidRPr="00690DAF">
        <w:rPr>
          <w:rFonts w:ascii="Arial" w:eastAsia="Arial" w:hAnsi="Arial" w:cs="Arial"/>
          <w:sz w:val="22"/>
          <w:szCs w:val="22"/>
          <w:lang w:val="es-MX" w:eastAsia="es-ES_tradnl"/>
        </w:rPr>
        <w:lastRenderedPageBreak/>
        <w:t>transparencia del procedimiento como, por ejemplo, la existencia de las inhabilidades e incompatibilidades que también aplican en los supuestos de contratación directa</w:t>
      </w:r>
      <w:r w:rsidRPr="00690DAF">
        <w:rPr>
          <w:rFonts w:ascii="Arial" w:eastAsia="Arial" w:hAnsi="Arial" w:cs="Arial"/>
          <w:sz w:val="21"/>
          <w:szCs w:val="21"/>
          <w:vertAlign w:val="superscript"/>
          <w:lang w:val="es-MX" w:eastAsia="es-ES_tradnl"/>
        </w:rPr>
        <w:footnoteReference w:id="11"/>
      </w:r>
      <w:r w:rsidRPr="00690DAF">
        <w:rPr>
          <w:rFonts w:ascii="Arial" w:eastAsia="Arial" w:hAnsi="Arial" w:cs="Arial"/>
          <w:sz w:val="21"/>
          <w:szCs w:val="21"/>
          <w:lang w:val="es-MX" w:eastAsia="es-ES_tradnl"/>
        </w:rPr>
        <w:t>.</w:t>
      </w:r>
    </w:p>
    <w:p w14:paraId="03993051" w14:textId="77777777" w:rsidR="00690DAF" w:rsidRPr="00690DAF" w:rsidRDefault="00690DAF" w:rsidP="00690DAF">
      <w:pPr>
        <w:spacing w:after="120" w:line="276" w:lineRule="auto"/>
        <w:ind w:firstLine="708"/>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 xml:space="preserve">En relación con la contratación directa, es importante señalar que esta modalidad de contratación es de aplicación restrictiva, esto es, solo procede por las causales señaladas taxativamente en el numeral 4 del artículo 2 de la Ley 1150 de 2007. Además, es una excepción al principio de libre concurrencia y competencia que aplica en los procesos de contratación, para que cualquier persona interesada en satisfacer la necesidad de una entidad pueda presentar una oferta. </w:t>
      </w:r>
    </w:p>
    <w:p w14:paraId="26DF4CF9" w14:textId="77777777" w:rsidR="00690DAF" w:rsidRPr="00690DAF" w:rsidRDefault="00690DAF" w:rsidP="00690DAF">
      <w:pPr>
        <w:spacing w:after="200" w:line="276" w:lineRule="auto"/>
        <w:ind w:firstLine="708"/>
        <w:jc w:val="both"/>
        <w:rPr>
          <w:lang w:val="es-MX" w:eastAsia="es-ES_tradnl"/>
        </w:rPr>
      </w:pPr>
      <w:r w:rsidRPr="00690DAF">
        <w:rPr>
          <w:rFonts w:ascii="Arial" w:eastAsia="Arial" w:hAnsi="Arial" w:cs="Arial"/>
          <w:sz w:val="22"/>
          <w:szCs w:val="22"/>
          <w:lang w:val="es-MX" w:eastAsia="es-ES_tradnl"/>
        </w:rPr>
        <w:t xml:space="preserve">Según el numeral 4 del artículo 2 de la Ley 1150 de 2007, las causales para acudir a la modalidad de selección de contratación directa son: i) la urgencia manifiesta. </w:t>
      </w:r>
      <w:proofErr w:type="spellStart"/>
      <w:r w:rsidRPr="00690DAF">
        <w:rPr>
          <w:rFonts w:ascii="Arial" w:eastAsia="Arial" w:hAnsi="Arial" w:cs="Arial"/>
          <w:sz w:val="22"/>
          <w:szCs w:val="22"/>
          <w:lang w:val="es-MX" w:eastAsia="es-ES_tradnl"/>
        </w:rPr>
        <w:t>ii</w:t>
      </w:r>
      <w:proofErr w:type="spellEnd"/>
      <w:r w:rsidRPr="00690DAF">
        <w:rPr>
          <w:rFonts w:ascii="Arial" w:eastAsia="Arial" w:hAnsi="Arial" w:cs="Arial"/>
          <w:sz w:val="22"/>
          <w:szCs w:val="22"/>
          <w:lang w:val="es-MX" w:eastAsia="es-ES_tradnl"/>
        </w:rPr>
        <w:t xml:space="preserve">) La contratación entre entidades estatales. </w:t>
      </w:r>
      <w:proofErr w:type="spellStart"/>
      <w:r w:rsidRPr="00690DAF">
        <w:rPr>
          <w:rFonts w:ascii="Arial" w:eastAsia="Arial" w:hAnsi="Arial" w:cs="Arial"/>
          <w:sz w:val="22"/>
          <w:szCs w:val="22"/>
          <w:lang w:val="es-MX" w:eastAsia="es-ES_tradnl"/>
        </w:rPr>
        <w:t>iii</w:t>
      </w:r>
      <w:proofErr w:type="spellEnd"/>
      <w:r w:rsidRPr="00690DAF">
        <w:rPr>
          <w:rFonts w:ascii="Arial" w:eastAsia="Arial" w:hAnsi="Arial" w:cs="Arial"/>
          <w:sz w:val="22"/>
          <w:szCs w:val="22"/>
          <w:lang w:val="es-MX" w:eastAsia="es-ES_tradnl"/>
        </w:rPr>
        <w:t>) Cuando no exista pluralidad de oferentes</w:t>
      </w:r>
      <w:r w:rsidRPr="00690DAF">
        <w:rPr>
          <w:rFonts w:ascii="Arial" w:eastAsia="Arial" w:hAnsi="Arial" w:cs="Arial"/>
          <w:sz w:val="22"/>
          <w:szCs w:val="22"/>
          <w:vertAlign w:val="superscript"/>
          <w:lang w:val="es-MX" w:eastAsia="es-ES_tradnl"/>
        </w:rPr>
        <w:footnoteReference w:id="12"/>
      </w:r>
      <w:r w:rsidRPr="00690DAF">
        <w:rPr>
          <w:rFonts w:ascii="Arial" w:eastAsia="Arial" w:hAnsi="Arial" w:cs="Arial"/>
          <w:sz w:val="22"/>
          <w:szCs w:val="22"/>
          <w:lang w:val="es-MX" w:eastAsia="es-ES_tradnl"/>
        </w:rPr>
        <w:t xml:space="preserve">. </w:t>
      </w:r>
      <w:proofErr w:type="spellStart"/>
      <w:r w:rsidRPr="00690DAF">
        <w:rPr>
          <w:rFonts w:ascii="Arial" w:eastAsia="Arial" w:hAnsi="Arial" w:cs="Arial"/>
          <w:sz w:val="22"/>
          <w:szCs w:val="22"/>
          <w:lang w:val="es-MX" w:eastAsia="es-ES_tradnl"/>
        </w:rPr>
        <w:t>iv</w:t>
      </w:r>
      <w:proofErr w:type="spellEnd"/>
      <w:r w:rsidRPr="00690DAF">
        <w:rPr>
          <w:rFonts w:ascii="Arial" w:eastAsia="Arial" w:hAnsi="Arial" w:cs="Arial"/>
          <w:sz w:val="22"/>
          <w:szCs w:val="22"/>
          <w:lang w:val="es-MX" w:eastAsia="es-ES_tradnl"/>
        </w:rPr>
        <w:t>) Contratos de prestación de servicios profesionales y de apoyo a la gestión</w:t>
      </w:r>
      <w:r w:rsidRPr="00690DAF">
        <w:rPr>
          <w:rFonts w:ascii="Arial" w:eastAsia="Arial" w:hAnsi="Arial" w:cs="Arial"/>
          <w:sz w:val="22"/>
          <w:szCs w:val="22"/>
          <w:vertAlign w:val="superscript"/>
          <w:lang w:val="es-MX" w:eastAsia="es-ES_tradnl"/>
        </w:rPr>
        <w:footnoteReference w:id="13"/>
      </w:r>
      <w:r w:rsidRPr="00690DAF">
        <w:rPr>
          <w:rFonts w:ascii="Arial" w:eastAsia="Arial" w:hAnsi="Arial" w:cs="Arial"/>
          <w:sz w:val="22"/>
          <w:szCs w:val="22"/>
          <w:lang w:val="es-MX" w:eastAsia="es-ES_tradnl"/>
        </w:rPr>
        <w:t xml:space="preserve">. v) Contratos para la ejecución de contratos artísticos que sólo pueden encomendarse a determinadas personas naturales. vi) Adquisición y arrendamiento de bienes inmuebles. </w:t>
      </w:r>
      <w:proofErr w:type="spellStart"/>
      <w:r w:rsidRPr="00690DAF">
        <w:rPr>
          <w:rFonts w:ascii="Arial" w:eastAsia="Arial" w:hAnsi="Arial" w:cs="Arial"/>
          <w:sz w:val="22"/>
          <w:szCs w:val="22"/>
          <w:lang w:val="es-MX" w:eastAsia="es-ES_tradnl"/>
        </w:rPr>
        <w:t>vii</w:t>
      </w:r>
      <w:proofErr w:type="spellEnd"/>
      <w:r w:rsidRPr="00690DAF">
        <w:rPr>
          <w:rFonts w:ascii="Arial" w:eastAsia="Arial" w:hAnsi="Arial" w:cs="Arial"/>
          <w:sz w:val="22"/>
          <w:szCs w:val="22"/>
          <w:lang w:val="es-MX" w:eastAsia="es-ES_tradnl"/>
        </w:rPr>
        <w:t xml:space="preserve">) Contratos de empréstitos. </w:t>
      </w:r>
      <w:proofErr w:type="spellStart"/>
      <w:r w:rsidRPr="00690DAF">
        <w:rPr>
          <w:rFonts w:ascii="Arial" w:eastAsia="Arial" w:hAnsi="Arial" w:cs="Arial"/>
          <w:sz w:val="22"/>
          <w:szCs w:val="22"/>
          <w:lang w:val="es-MX" w:eastAsia="es-ES_tradnl"/>
        </w:rPr>
        <w:t>viii</w:t>
      </w:r>
      <w:proofErr w:type="spellEnd"/>
      <w:r w:rsidRPr="00690DAF">
        <w:rPr>
          <w:rFonts w:ascii="Arial" w:eastAsia="Arial" w:hAnsi="Arial" w:cs="Arial"/>
          <w:sz w:val="22"/>
          <w:szCs w:val="22"/>
          <w:lang w:val="es-MX" w:eastAsia="es-ES_tradnl"/>
        </w:rPr>
        <w:t xml:space="preserve">) Contratación de bienes y servicios del sector defensa que requieran reserva. </w:t>
      </w:r>
      <w:proofErr w:type="spellStart"/>
      <w:r w:rsidRPr="00690DAF">
        <w:rPr>
          <w:rFonts w:ascii="Arial" w:eastAsia="Arial" w:hAnsi="Arial" w:cs="Arial"/>
          <w:sz w:val="22"/>
          <w:szCs w:val="22"/>
          <w:lang w:val="es-MX" w:eastAsia="es-ES_tradnl"/>
        </w:rPr>
        <w:t>ix</w:t>
      </w:r>
      <w:proofErr w:type="spellEnd"/>
      <w:r w:rsidRPr="00690DAF">
        <w:rPr>
          <w:rFonts w:ascii="Arial" w:eastAsia="Arial" w:hAnsi="Arial" w:cs="Arial"/>
          <w:sz w:val="22"/>
          <w:szCs w:val="22"/>
          <w:lang w:val="es-MX" w:eastAsia="es-ES_tradnl"/>
        </w:rPr>
        <w:t>) Contratos para el desarrollo de actividades científicas y tecnológicas. x) Contratos de encargo fiduciario que celebren las entidades territoriales cuando inicien el acuerdo de reestructuración de pasivos. xi)</w:t>
      </w:r>
      <w:r w:rsidRPr="00690DAF">
        <w:rPr>
          <w:rFonts w:ascii="Arial" w:eastAsia="Arial" w:hAnsi="Arial" w:cs="Arial"/>
          <w:color w:val="000000"/>
          <w:sz w:val="22"/>
          <w:szCs w:val="22"/>
          <w:lang w:val="es-MX" w:eastAsia="es-ES_tradnl"/>
        </w:rPr>
        <w:t xml:space="preserve"> La contratación de bienes y servicios de la Dirección Nacional de Inteligencia (DNI), que requieran reserva para su adquisición. </w:t>
      </w:r>
      <w:proofErr w:type="spellStart"/>
      <w:r w:rsidRPr="00690DAF">
        <w:rPr>
          <w:rFonts w:ascii="Arial" w:eastAsia="Arial" w:hAnsi="Arial" w:cs="Arial"/>
          <w:color w:val="000000"/>
          <w:sz w:val="22"/>
          <w:szCs w:val="22"/>
          <w:lang w:val="es-MX" w:eastAsia="es-ES_tradnl"/>
        </w:rPr>
        <w:t>xii</w:t>
      </w:r>
      <w:proofErr w:type="spellEnd"/>
      <w:r w:rsidRPr="00690DAF">
        <w:rPr>
          <w:rFonts w:ascii="Arial" w:eastAsia="Arial" w:hAnsi="Arial" w:cs="Arial"/>
          <w:color w:val="000000"/>
          <w:sz w:val="22"/>
          <w:szCs w:val="22"/>
          <w:lang w:val="es-MX" w:eastAsia="es-ES_tradnl"/>
        </w:rPr>
        <w:t xml:space="preserve">) La selección de peritos expertos o asesores técnicos para presentar o contradecir el dictamen pericial en procesos judiciales. </w:t>
      </w:r>
      <w:proofErr w:type="spellStart"/>
      <w:r w:rsidRPr="00690DAF">
        <w:rPr>
          <w:rFonts w:ascii="Arial" w:eastAsia="Arial" w:hAnsi="Arial" w:cs="Arial"/>
          <w:color w:val="000000"/>
          <w:sz w:val="22"/>
          <w:szCs w:val="22"/>
          <w:lang w:val="es-MX" w:eastAsia="es-ES_tradnl"/>
        </w:rPr>
        <w:t>xiii</w:t>
      </w:r>
      <w:proofErr w:type="spellEnd"/>
      <w:r w:rsidRPr="00690DAF">
        <w:rPr>
          <w:rFonts w:ascii="Arial" w:eastAsia="Arial" w:hAnsi="Arial" w:cs="Arial"/>
          <w:color w:val="000000"/>
          <w:sz w:val="22"/>
          <w:szCs w:val="22"/>
          <w:lang w:val="es-MX" w:eastAsia="es-ES_tradnl"/>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Pr="00690DAF">
        <w:rPr>
          <w:rFonts w:ascii="Arial" w:eastAsia="Arial" w:hAnsi="Arial" w:cs="Arial"/>
          <w:color w:val="000000"/>
          <w:sz w:val="22"/>
          <w:szCs w:val="22"/>
          <w:lang w:val="es-MX" w:eastAsia="es-ES_tradnl"/>
        </w:rPr>
        <w:t>xiv</w:t>
      </w:r>
      <w:proofErr w:type="spellEnd"/>
      <w:r w:rsidRPr="00690DAF">
        <w:rPr>
          <w:rFonts w:ascii="Arial" w:eastAsia="Arial" w:hAnsi="Arial" w:cs="Arial"/>
          <w:color w:val="000000"/>
          <w:sz w:val="22"/>
          <w:szCs w:val="22"/>
          <w:lang w:val="es-MX" w:eastAsia="es-ES_tradnl"/>
        </w:rPr>
        <w:t xml:space="preserve">)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w:t>
      </w:r>
      <w:proofErr w:type="spellStart"/>
      <w:r w:rsidRPr="00690DAF">
        <w:rPr>
          <w:rFonts w:ascii="Arial" w:eastAsia="Arial" w:hAnsi="Arial" w:cs="Arial"/>
          <w:color w:val="000000"/>
          <w:sz w:val="22"/>
          <w:szCs w:val="22"/>
          <w:lang w:val="es-MX" w:eastAsia="es-ES_tradnl"/>
        </w:rPr>
        <w:t>xv</w:t>
      </w:r>
      <w:proofErr w:type="spellEnd"/>
      <w:r w:rsidRPr="00690DAF">
        <w:rPr>
          <w:rFonts w:ascii="Arial" w:eastAsia="Arial" w:hAnsi="Arial" w:cs="Arial"/>
          <w:color w:val="000000"/>
          <w:sz w:val="22"/>
          <w:szCs w:val="22"/>
          <w:lang w:val="es-MX" w:eastAsia="es-ES_tradnl"/>
        </w:rPr>
        <w:t xml:space="preserve">) Los contratos que las entidades estatales suscriban con las organizaciones de base de  </w:t>
      </w:r>
      <w:r w:rsidRPr="00690DAF">
        <w:rPr>
          <w:rFonts w:ascii="Arial" w:eastAsia="Arial" w:hAnsi="Arial" w:cs="Arial"/>
          <w:color w:val="000000"/>
          <w:sz w:val="22"/>
          <w:szCs w:val="22"/>
          <w:lang w:val="es-MX" w:eastAsia="es-ES_tradnl"/>
        </w:rPr>
        <w:lastRenderedPageBreak/>
        <w:t>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690DAF">
        <w:rPr>
          <w:rFonts w:ascii="Arial" w:eastAsia="Arial" w:hAnsi="Arial" w:cs="Arial"/>
          <w:color w:val="000000"/>
          <w:sz w:val="22"/>
          <w:szCs w:val="22"/>
          <w:vertAlign w:val="superscript"/>
          <w:lang w:val="es-MX" w:eastAsia="es-ES_tradnl"/>
        </w:rPr>
        <w:footnoteReference w:id="14"/>
      </w:r>
      <w:r w:rsidRPr="00690DAF">
        <w:rPr>
          <w:rFonts w:ascii="Arial" w:eastAsia="Arial" w:hAnsi="Arial" w:cs="Arial"/>
          <w:color w:val="000000"/>
          <w:sz w:val="22"/>
          <w:szCs w:val="22"/>
          <w:lang w:val="es-MX" w:eastAsia="es-ES_tradnl"/>
        </w:rPr>
        <w:t>.</w:t>
      </w:r>
    </w:p>
    <w:p w14:paraId="5F98B31D" w14:textId="77777777" w:rsidR="00690DAF" w:rsidRPr="00690DAF" w:rsidRDefault="00690DAF" w:rsidP="00690DAF">
      <w:pPr>
        <w:spacing w:after="120" w:line="276" w:lineRule="auto"/>
        <w:ind w:firstLine="708"/>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En la contratación directa no es necesario que la entidad reciba más de una oferta, la cual proviene de la persona que la entidad escoge directamente y, por ende, invita a ofertar el bien o servicio que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001C4465" w14:textId="77777777" w:rsidR="00690DAF" w:rsidRPr="00690DAF" w:rsidRDefault="00690DAF" w:rsidP="00690DAF">
      <w:pPr>
        <w:spacing w:after="200" w:line="276" w:lineRule="auto"/>
        <w:ind w:firstLine="708"/>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 xml:space="preserve">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 </w:t>
      </w:r>
    </w:p>
    <w:p w14:paraId="57787689" w14:textId="77777777" w:rsidR="00690DAF" w:rsidRPr="00690DAF" w:rsidRDefault="00690DAF" w:rsidP="00690DAF">
      <w:pPr>
        <w:spacing w:after="200"/>
        <w:ind w:left="708" w:right="709"/>
        <w:jc w:val="both"/>
        <w:rPr>
          <w:rFonts w:ascii="Calibri" w:eastAsia="Calibri" w:hAnsi="Calibri" w:cs="Calibri"/>
          <w:lang w:val="es-MX" w:eastAsia="es-ES_tradnl"/>
        </w:rPr>
      </w:pPr>
      <w:r w:rsidRPr="00690DAF">
        <w:rPr>
          <w:rFonts w:ascii="Arial" w:eastAsia="Arial" w:hAnsi="Arial" w:cs="Arial"/>
          <w:sz w:val="21"/>
          <w:szCs w:val="21"/>
          <w:lang w:val="es-MX" w:eastAsia="es-ES_tradnl"/>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690DAF">
        <w:rPr>
          <w:rFonts w:ascii="Arial" w:eastAsia="Arial" w:hAnsi="Arial" w:cs="Arial"/>
          <w:sz w:val="21"/>
          <w:szCs w:val="21"/>
          <w:lang w:val="es-MX" w:eastAsia="es-ES_tradnl"/>
        </w:rPr>
        <w:t>en razón del</w:t>
      </w:r>
      <w:proofErr w:type="gramEnd"/>
      <w:r w:rsidRPr="00690DAF">
        <w:rPr>
          <w:rFonts w:ascii="Arial" w:eastAsia="Arial" w:hAnsi="Arial" w:cs="Arial"/>
          <w:sz w:val="21"/>
          <w:szCs w:val="21"/>
          <w:lang w:val="es-MX" w:eastAsia="es-ES_tradnl"/>
        </w:rPr>
        <w:t xml:space="preserve"> objeto del contrato o del órgano que contrata</w:t>
      </w:r>
      <w:r w:rsidRPr="00690DAF">
        <w:rPr>
          <w:rFonts w:ascii="Arial" w:eastAsia="Arial" w:hAnsi="Arial" w:cs="Arial"/>
          <w:sz w:val="21"/>
          <w:szCs w:val="21"/>
          <w:vertAlign w:val="superscript"/>
          <w:lang w:val="es-MX" w:eastAsia="es-ES_tradnl"/>
        </w:rPr>
        <w:footnoteReference w:id="15"/>
      </w:r>
      <w:r w:rsidRPr="00690DAF">
        <w:rPr>
          <w:rFonts w:ascii="Arial" w:eastAsia="Arial" w:hAnsi="Arial" w:cs="Arial"/>
          <w:sz w:val="21"/>
          <w:szCs w:val="21"/>
          <w:lang w:val="es-MX" w:eastAsia="es-ES_tradnl"/>
        </w:rPr>
        <w:t>.</w:t>
      </w:r>
    </w:p>
    <w:p w14:paraId="4368472E" w14:textId="06A72031" w:rsidR="00690DAF" w:rsidRPr="00690DAF" w:rsidRDefault="00690DAF" w:rsidP="00690DAF">
      <w:pPr>
        <w:spacing w:after="120" w:line="276" w:lineRule="auto"/>
        <w:ind w:firstLine="708"/>
        <w:jc w:val="both"/>
        <w:rPr>
          <w:rFonts w:ascii="Calibri" w:eastAsia="Calibri" w:hAnsi="Calibri" w:cs="Calibri"/>
          <w:lang w:val="es-MX" w:eastAsia="es-ES_tradnl"/>
        </w:rPr>
      </w:pPr>
      <w:r w:rsidRPr="00690DAF">
        <w:rPr>
          <w:rFonts w:ascii="Arial" w:eastAsia="Arial" w:hAnsi="Arial" w:cs="Arial"/>
          <w:sz w:val="22"/>
          <w:szCs w:val="22"/>
          <w:lang w:val="es-MX" w:eastAsia="es-ES_tradnl"/>
        </w:rPr>
        <w:t>Por consiguiente, en la contratación directa la entidad no establece puntaje para ponderar ofertas, porque se presenta una sola, que corresponde a la de la persona a quien la entidad invitó y seleccionó en forma directa.</w:t>
      </w:r>
      <w:r w:rsidR="007A5ECA">
        <w:rPr>
          <w:rFonts w:ascii="Arial" w:eastAsia="Arial" w:hAnsi="Arial" w:cs="Arial"/>
          <w:sz w:val="22"/>
          <w:szCs w:val="22"/>
          <w:lang w:val="es-MX" w:eastAsia="es-ES_tradnl"/>
        </w:rPr>
        <w:t xml:space="preserve"> De igual modo, esta modalidad de contratación no exige la elaboración de un pliego de condiciones, puesto que no se trata de una modalidad competitiva.</w:t>
      </w:r>
    </w:p>
    <w:p w14:paraId="127F76AC" w14:textId="77777777" w:rsidR="00690DAF" w:rsidRPr="00690DAF" w:rsidRDefault="00690DAF" w:rsidP="00690DAF">
      <w:pPr>
        <w:spacing w:after="120" w:line="276" w:lineRule="auto"/>
        <w:ind w:firstLine="720"/>
        <w:jc w:val="both"/>
        <w:rPr>
          <w:rFonts w:ascii="Calibri" w:eastAsia="Calibri" w:hAnsi="Calibri" w:cs="Calibri"/>
          <w:lang w:val="es-MX" w:eastAsia="es-ES_tradnl"/>
        </w:rPr>
      </w:pPr>
      <w:r w:rsidRPr="00690DAF">
        <w:rPr>
          <w:rFonts w:ascii="Arial" w:eastAsia="Arial" w:hAnsi="Arial" w:cs="Arial"/>
          <w:sz w:val="22"/>
          <w:szCs w:val="22"/>
          <w:lang w:val="es-MX" w:eastAsia="es-ES_tradnl"/>
        </w:rPr>
        <w:t xml:space="preserve">Como se enunció anteriormente, la realización del procedimiento administrativo de selección de contratación directa en manera alguna exime a la entidad de aplicar los principios que irradian a la contratación con el Estado; aunque, a lo sumo, dichos principios </w:t>
      </w:r>
      <w:r w:rsidRPr="00690DAF">
        <w:rPr>
          <w:rFonts w:ascii="Arial" w:eastAsia="Arial" w:hAnsi="Arial" w:cs="Arial"/>
          <w:sz w:val="22"/>
          <w:szCs w:val="22"/>
          <w:lang w:val="es-MX" w:eastAsia="es-ES_tradnl"/>
        </w:rPr>
        <w:lastRenderedPageBreak/>
        <w:t xml:space="preserve">quizás se morigeran o modulan frente a la naturaleza y finalidades especiales de tal procedimiento de selección, pero en ningún momento se anulan o excepcionan. </w:t>
      </w:r>
    </w:p>
    <w:p w14:paraId="3EF8587C" w14:textId="77777777" w:rsidR="00690DAF" w:rsidRPr="00690DAF" w:rsidRDefault="00690DAF" w:rsidP="00690DAF">
      <w:pPr>
        <w:spacing w:after="120" w:line="276" w:lineRule="auto"/>
        <w:ind w:firstLine="720"/>
        <w:jc w:val="both"/>
        <w:rPr>
          <w:rFonts w:ascii="Calibri" w:eastAsia="Calibri" w:hAnsi="Calibri" w:cs="Calibri"/>
          <w:lang w:val="es-MX" w:eastAsia="es-ES_tradnl"/>
        </w:rPr>
      </w:pPr>
      <w:r w:rsidRPr="00690DAF">
        <w:rPr>
          <w:rFonts w:ascii="Arial" w:eastAsia="Arial" w:hAnsi="Arial" w:cs="Arial"/>
          <w:sz w:val="22"/>
          <w:szCs w:val="22"/>
          <w:lang w:val="es-MX" w:eastAsia="es-ES_tradnl"/>
        </w:rPr>
        <w:t>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que en el procedimiento aplicable a cada una de las modalidades de selección de contratistas, «deberá[n] observarse los principios de transparencia, economía, responsabilidad»</w:t>
      </w:r>
      <w:r w:rsidRPr="00690DAF">
        <w:rPr>
          <w:rFonts w:ascii="Arial" w:eastAsia="Arial" w:hAnsi="Arial" w:cs="Arial"/>
          <w:sz w:val="22"/>
          <w:szCs w:val="22"/>
          <w:vertAlign w:val="superscript"/>
          <w:lang w:val="es-MX" w:eastAsia="es-ES_tradnl"/>
        </w:rPr>
        <w:footnoteReference w:id="16"/>
      </w:r>
      <w:r w:rsidRPr="00690DAF">
        <w:rPr>
          <w:rFonts w:ascii="Arial" w:eastAsia="Arial" w:hAnsi="Arial" w:cs="Arial"/>
          <w:sz w:val="22"/>
          <w:szCs w:val="22"/>
          <w:lang w:val="es-MX" w:eastAsia="es-ES_tradnl"/>
        </w:rPr>
        <w:t>.</w:t>
      </w:r>
    </w:p>
    <w:p w14:paraId="58676922" w14:textId="77777777" w:rsidR="00690DAF" w:rsidRPr="00690DAF" w:rsidRDefault="00690DAF" w:rsidP="00690DAF">
      <w:pPr>
        <w:spacing w:after="120" w:line="276" w:lineRule="auto"/>
        <w:ind w:firstLine="708"/>
        <w:jc w:val="both"/>
        <w:rPr>
          <w:rFonts w:ascii="Arial" w:eastAsia="Arial" w:hAnsi="Arial" w:cs="Arial"/>
          <w:sz w:val="22"/>
          <w:szCs w:val="22"/>
          <w:lang w:val="es-MX" w:eastAsia="es-ES_tradnl"/>
        </w:rPr>
      </w:pPr>
      <w:bookmarkStart w:id="10" w:name="_1fob9te" w:colFirst="0" w:colLast="0"/>
      <w:bookmarkEnd w:id="10"/>
      <w:r w:rsidRPr="00690DAF">
        <w:rPr>
          <w:rFonts w:ascii="Arial" w:eastAsia="Arial" w:hAnsi="Arial" w:cs="Arial"/>
          <w:sz w:val="22"/>
          <w:szCs w:val="22"/>
          <w:lang w:val="es-MX" w:eastAsia="es-ES_tradnl"/>
        </w:rPr>
        <w:t xml:space="preserve">De esta manera, es lógico que el deber de planeación que debe guiar la actividad contractual del Estado, también resulte exigible en la contratación directa, como lo ha dejado claro esta Agencia, entre otros, en el Concepto C–418 de 2021 –arriba citado–, al indicar que 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12392043" w14:textId="77777777" w:rsidR="00690DAF" w:rsidRPr="00690DAF" w:rsidRDefault="00690DAF" w:rsidP="00690DAF">
      <w:pPr>
        <w:spacing w:after="120" w:line="276" w:lineRule="auto"/>
        <w:ind w:firstLine="708"/>
        <w:jc w:val="both"/>
        <w:rPr>
          <w:rFonts w:ascii="Arial" w:eastAsia="Arial" w:hAnsi="Arial" w:cs="Arial"/>
          <w:lang w:val="es-MX" w:eastAsia="es-ES_tradnl"/>
        </w:rPr>
      </w:pPr>
      <w:r w:rsidRPr="00690DAF">
        <w:rPr>
          <w:rFonts w:ascii="Arial" w:eastAsia="Arial" w:hAnsi="Arial" w:cs="Arial"/>
          <w:sz w:val="22"/>
          <w:szCs w:val="22"/>
          <w:lang w:val="es-MX" w:eastAsia="es-ES_tradnl"/>
        </w:rPr>
        <w:t>Así, una debida planeación debe conducir a una escogencia diligente de la mejor oferta, para beneficiar los intereses y fines públicos inmersos en la contratación de las entidades estatales, buscando siempre la correcta ejecución del contrato</w:t>
      </w:r>
      <w:r w:rsidRPr="00690DAF">
        <w:rPr>
          <w:rFonts w:ascii="Arial" w:eastAsia="Arial" w:hAnsi="Arial" w:cs="Arial"/>
          <w:vertAlign w:val="superscript"/>
          <w:lang w:val="es-MX" w:eastAsia="es-ES_tradnl"/>
        </w:rPr>
        <w:footnoteReference w:id="17"/>
      </w:r>
      <w:r w:rsidRPr="00690DAF">
        <w:rPr>
          <w:rFonts w:ascii="Arial" w:eastAsia="Arial" w:hAnsi="Arial" w:cs="Arial"/>
          <w:sz w:val="22"/>
          <w:szCs w:val="22"/>
          <w:lang w:val="es-MX" w:eastAsia="es-ES_tradnl"/>
        </w:rPr>
        <w:t>.</w:t>
      </w:r>
      <w:r w:rsidRPr="00690DAF">
        <w:rPr>
          <w:rFonts w:ascii="Arial" w:eastAsia="Arial" w:hAnsi="Arial" w:cs="Arial"/>
          <w:lang w:val="es-MX" w:eastAsia="es-ES_tradnl"/>
        </w:rPr>
        <w:t xml:space="preserve"> </w:t>
      </w:r>
    </w:p>
    <w:p w14:paraId="349754D3" w14:textId="77777777" w:rsidR="00690DAF" w:rsidRPr="00690DAF" w:rsidRDefault="00690DAF" w:rsidP="00690DAF">
      <w:pPr>
        <w:spacing w:after="120" w:line="276" w:lineRule="auto"/>
        <w:ind w:firstLine="708"/>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lastRenderedPageBreak/>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 En relación con el principio de economía, se tienen las siguientes reglas derivadas de su aplicación, lo cual está previsto en el artículo 25 de la Ley 80 de 1993: </w:t>
      </w:r>
    </w:p>
    <w:p w14:paraId="2C9DFC1E" w14:textId="77777777" w:rsidR="00690DAF" w:rsidRPr="00690DAF" w:rsidRDefault="00690DAF" w:rsidP="00690DAF">
      <w:pPr>
        <w:spacing w:after="200"/>
        <w:ind w:left="709" w:right="709"/>
        <w:jc w:val="both"/>
        <w:rPr>
          <w:rFonts w:ascii="Calibri" w:eastAsia="Calibri" w:hAnsi="Calibri" w:cs="Calibri"/>
          <w:lang w:val="es-MX" w:eastAsia="es-ES_tradnl"/>
        </w:rPr>
      </w:pPr>
      <w:r w:rsidRPr="00690DAF">
        <w:rPr>
          <w:rFonts w:ascii="Arial" w:eastAsia="Arial" w:hAnsi="Arial" w:cs="Arial"/>
          <w:sz w:val="21"/>
          <w:szCs w:val="21"/>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43DDE018" w14:textId="77777777" w:rsidR="00690DAF" w:rsidRPr="00690DAF" w:rsidRDefault="00690DAF" w:rsidP="00690DAF">
      <w:pPr>
        <w:spacing w:after="120"/>
        <w:ind w:left="709" w:right="709"/>
        <w:jc w:val="both"/>
        <w:rPr>
          <w:rFonts w:ascii="Calibri" w:eastAsia="Calibri" w:hAnsi="Calibri" w:cs="Calibri"/>
          <w:lang w:val="es-MX" w:eastAsia="es-ES_tradnl"/>
        </w:rPr>
      </w:pPr>
      <w:r w:rsidRPr="00690DAF">
        <w:rPr>
          <w:rFonts w:ascii="Arial" w:eastAsia="Arial" w:hAnsi="Arial" w:cs="Arial"/>
          <w:sz w:val="21"/>
          <w:szCs w:val="21"/>
          <w:lang w:val="es-MX" w:eastAsia="es-ES_tradnl"/>
        </w:rPr>
        <w:t>[…]</w:t>
      </w:r>
    </w:p>
    <w:p w14:paraId="31EAC05A" w14:textId="77777777" w:rsidR="00690DAF" w:rsidRPr="00690DAF" w:rsidRDefault="00690DAF" w:rsidP="00690DAF">
      <w:pPr>
        <w:spacing w:after="200"/>
        <w:ind w:left="709" w:right="709"/>
        <w:jc w:val="both"/>
        <w:rPr>
          <w:rFonts w:ascii="Calibri" w:eastAsia="Calibri" w:hAnsi="Calibri" w:cs="Calibri"/>
          <w:lang w:val="es-MX" w:eastAsia="es-ES_tradnl"/>
        </w:rPr>
      </w:pPr>
      <w:r w:rsidRPr="00690DAF">
        <w:rPr>
          <w:rFonts w:ascii="Arial" w:eastAsia="Arial" w:hAnsi="Arial" w:cs="Arial"/>
          <w:sz w:val="21"/>
          <w:szCs w:val="21"/>
          <w:lang w:val="es-MX" w:eastAsia="es-ES_tradnl"/>
        </w:rPr>
        <w:t xml:space="preserve">12. Previo a la apertura de un proceso de selección, o a la firma del contrato en el caso en que la </w:t>
      </w:r>
      <w:r w:rsidRPr="00690DAF">
        <w:rPr>
          <w:rFonts w:ascii="Arial" w:eastAsia="Arial" w:hAnsi="Arial" w:cs="Arial"/>
          <w:i/>
          <w:sz w:val="21"/>
          <w:szCs w:val="21"/>
          <w:lang w:val="es-MX" w:eastAsia="es-ES_tradnl"/>
        </w:rPr>
        <w:t>modalidad de selección sea contratación directa</w:t>
      </w:r>
      <w:r w:rsidRPr="00690DAF">
        <w:rPr>
          <w:rFonts w:ascii="Arial" w:eastAsia="Arial" w:hAnsi="Arial" w:cs="Arial"/>
          <w:sz w:val="21"/>
          <w:szCs w:val="21"/>
          <w:lang w:val="es-MX" w:eastAsia="es-ES_tradnl"/>
        </w:rPr>
        <w:t>, deberán elaborarse los estudios, diseños y proyectos requeridos, y los pliegos de condiciones, según corresponda. (Cursivas propias)</w:t>
      </w:r>
    </w:p>
    <w:p w14:paraId="15E2090D" w14:textId="3169C1EA" w:rsidR="00690DAF" w:rsidRDefault="00690DAF" w:rsidP="00690DAF">
      <w:pPr>
        <w:spacing w:after="120" w:line="276" w:lineRule="auto"/>
        <w:ind w:firstLine="709"/>
        <w:jc w:val="both"/>
        <w:rPr>
          <w:rFonts w:ascii="Arial" w:eastAsia="Arial" w:hAnsi="Arial" w:cs="Arial"/>
          <w:sz w:val="22"/>
          <w:szCs w:val="22"/>
          <w:lang w:val="es-MX" w:eastAsia="es-ES_tradnl"/>
        </w:rPr>
      </w:pPr>
      <w:r w:rsidRPr="00690DAF">
        <w:rPr>
          <w:rFonts w:ascii="Arial" w:eastAsia="Arial" w:hAnsi="Arial" w:cs="Arial"/>
          <w:sz w:val="22"/>
          <w:szCs w:val="22"/>
          <w:lang w:val="es-MX" w:eastAsia="es-ES_tradnl"/>
        </w:rPr>
        <w:t xml:space="preserve">De las normas citadas se resalta que, en virtud del principio de economía, para iniciar un proceso de contratación, </w:t>
      </w:r>
      <w:r w:rsidRPr="00690DAF">
        <w:rPr>
          <w:rFonts w:ascii="Arial" w:eastAsia="Arial" w:hAnsi="Arial" w:cs="Arial"/>
          <w:i/>
          <w:sz w:val="22"/>
          <w:szCs w:val="22"/>
          <w:lang w:val="es-MX" w:eastAsia="es-ES_tradnl"/>
        </w:rPr>
        <w:t>inclusive de contratación directa</w:t>
      </w:r>
      <w:r w:rsidRPr="00690DAF">
        <w:rPr>
          <w:rFonts w:ascii="Arial" w:eastAsia="Arial" w:hAnsi="Arial" w:cs="Arial"/>
          <w:sz w:val="22"/>
          <w:szCs w:val="22"/>
          <w:lang w:val="es-MX" w:eastAsia="es-ES_tradnl"/>
        </w:rPr>
        <w:t xml:space="preserve">, se requieren unos estudios previos.  Con ellos, se estructuran, concretan y viabilizan los aspectos esenciales del futuro contrato, dentro de los cuales se encuentran su objeto y valor estimado, entre otros elementos. </w:t>
      </w:r>
      <w:r w:rsidR="007A5ECA">
        <w:rPr>
          <w:rFonts w:ascii="Arial" w:eastAsia="Arial" w:hAnsi="Arial" w:cs="Arial"/>
          <w:sz w:val="22"/>
          <w:szCs w:val="22"/>
          <w:lang w:val="es-MX" w:eastAsia="es-ES_tradnl"/>
        </w:rPr>
        <w:t xml:space="preserve"> </w:t>
      </w:r>
    </w:p>
    <w:p w14:paraId="4140EBC0" w14:textId="44A87C5C" w:rsidR="00911CAE" w:rsidRDefault="00911CAE" w:rsidP="00690DAF">
      <w:pPr>
        <w:spacing w:after="120" w:line="276" w:lineRule="auto"/>
        <w:ind w:firstLine="709"/>
        <w:jc w:val="both"/>
        <w:rPr>
          <w:rFonts w:ascii="Arial" w:eastAsia="Arial" w:hAnsi="Arial" w:cs="Arial"/>
          <w:sz w:val="22"/>
          <w:szCs w:val="22"/>
          <w:lang w:val="es-MX" w:eastAsia="es-ES_tradnl"/>
        </w:rPr>
      </w:pPr>
      <w:r>
        <w:rPr>
          <w:rFonts w:ascii="Arial" w:eastAsia="Arial" w:hAnsi="Arial" w:cs="Arial"/>
          <w:sz w:val="22"/>
          <w:szCs w:val="22"/>
          <w:lang w:val="es-MX" w:eastAsia="es-ES_tradnl"/>
        </w:rPr>
        <w:lastRenderedPageBreak/>
        <w:t>Ahora bien, como se señaló en el desarrollo de este numeral, dadas las características de esta modalidad de selección, en ella no se exige elaborar un pliego de condiciones, toda vez que no se trata de un proceso competitivo; sino que la entidad estatal está habilitada para seleccionar directamente a su contratista, sin perjuicio del respeto a los principios que se señalaron anteriormente.</w:t>
      </w:r>
    </w:p>
    <w:p w14:paraId="67551779" w14:textId="77777777" w:rsidR="00E83929" w:rsidRDefault="007A0281" w:rsidP="00E83929">
      <w:pPr>
        <w:spacing w:line="276" w:lineRule="auto"/>
        <w:jc w:val="both"/>
        <w:rPr>
          <w:rFonts w:ascii="Arial" w:eastAsia="Calibri" w:hAnsi="Arial" w:cs="Arial"/>
          <w:color w:val="000000"/>
          <w:sz w:val="22"/>
          <w:szCs w:val="22"/>
          <w:lang w:val="es-ES_tradnl" w:eastAsia="en-US"/>
        </w:rPr>
      </w:pPr>
      <w:r>
        <w:rPr>
          <w:rFonts w:ascii="Arial" w:hAnsi="Arial" w:cs="Arial"/>
          <w:color w:val="000000"/>
          <w:sz w:val="22"/>
          <w:szCs w:val="22"/>
        </w:rPr>
        <w:t xml:space="preserve">Partiendo de lo anterior, atendiendo a la pregunta del peticionario, </w:t>
      </w:r>
      <w:r w:rsidR="00E83929">
        <w:rPr>
          <w:rFonts w:ascii="Arial" w:hAnsi="Arial" w:cs="Arial"/>
          <w:color w:val="000000"/>
          <w:sz w:val="22"/>
          <w:szCs w:val="22"/>
        </w:rPr>
        <w:t xml:space="preserve">pese a que el artículo </w:t>
      </w:r>
      <w:r w:rsidR="00E83929" w:rsidRPr="00496CAC">
        <w:rPr>
          <w:rFonts w:ascii="Arial" w:eastAsia="Calibri" w:hAnsi="Arial" w:cs="Arial"/>
          <w:color w:val="000000"/>
          <w:sz w:val="22"/>
          <w:szCs w:val="22"/>
          <w:lang w:val="es-ES_tradnl" w:eastAsia="en-US"/>
        </w:rPr>
        <w:t>2.2.1.2.4.2.16</w:t>
      </w:r>
      <w:r w:rsidR="00E83929">
        <w:rPr>
          <w:rFonts w:ascii="Arial" w:eastAsia="Calibri" w:hAnsi="Arial" w:cs="Arial"/>
          <w:color w:val="000000"/>
          <w:sz w:val="22"/>
          <w:szCs w:val="22"/>
          <w:lang w:val="es-ES_tradnl" w:eastAsia="en-US"/>
        </w:rPr>
        <w:t xml:space="preserve"> del Decreto 1082 de 2015 </w:t>
      </w:r>
      <w:r w:rsidR="00E83929">
        <w:rPr>
          <w:rFonts w:ascii="Arial" w:hAnsi="Arial" w:cs="Arial"/>
          <w:color w:val="000000"/>
          <w:sz w:val="22"/>
          <w:szCs w:val="22"/>
        </w:rPr>
        <w:t xml:space="preserve">no señala de forma pormenorizada en qué modalidades de selección tienen aplicación los </w:t>
      </w:r>
      <w:r w:rsidR="00E83929" w:rsidRPr="0059718B">
        <w:rPr>
          <w:rFonts w:ascii="Arial" w:hAnsi="Arial" w:cs="Arial"/>
          <w:color w:val="000000"/>
          <w:sz w:val="22"/>
          <w:szCs w:val="22"/>
        </w:rPr>
        <w:t>mecanismos que fomenten en la ejecución de los contratos estatales la provisión de bienes y servicios por población en pobreza extrema, desplazados por la violencia, personas en proceso de reintegración o reincorporación y, sujetos de especial protección constitucional</w:t>
      </w:r>
      <w:r w:rsidR="00E83929">
        <w:rPr>
          <w:rFonts w:ascii="Arial" w:hAnsi="Arial" w:cs="Arial"/>
          <w:color w:val="000000"/>
          <w:sz w:val="22"/>
          <w:szCs w:val="22"/>
        </w:rPr>
        <w:t>,</w:t>
      </w:r>
      <w:r w:rsidR="00E83929" w:rsidRPr="0059718B">
        <w:rPr>
          <w:rFonts w:ascii="Arial" w:hAnsi="Arial" w:cs="Arial"/>
          <w:color w:val="000000"/>
          <w:sz w:val="22"/>
          <w:szCs w:val="22"/>
        </w:rPr>
        <w:t xml:space="preserve"> </w:t>
      </w:r>
      <w:r w:rsidR="00E83929">
        <w:rPr>
          <w:rFonts w:ascii="Arial" w:hAnsi="Arial" w:cs="Arial"/>
          <w:color w:val="000000"/>
          <w:sz w:val="22"/>
          <w:szCs w:val="22"/>
        </w:rPr>
        <w:t xml:space="preserve">se </w:t>
      </w:r>
      <w:r w:rsidR="00E83929" w:rsidRPr="0072056F">
        <w:rPr>
          <w:rFonts w:ascii="Arial" w:hAnsi="Arial" w:cs="Arial"/>
          <w:color w:val="000000"/>
          <w:sz w:val="22"/>
          <w:szCs w:val="22"/>
        </w:rPr>
        <w:t>considera importante resaltar que en el marco de la finalidad d</w:t>
      </w:r>
      <w:r w:rsidR="00E83929">
        <w:rPr>
          <w:rFonts w:ascii="Arial" w:hAnsi="Arial" w:cs="Arial"/>
          <w:color w:val="000000"/>
          <w:sz w:val="22"/>
          <w:szCs w:val="22"/>
        </w:rPr>
        <w:t xml:space="preserve">e la Ley de emprendimiento, el </w:t>
      </w:r>
      <w:r w:rsidR="00E83929">
        <w:rPr>
          <w:rFonts w:ascii="Arial" w:eastAsia="Calibri" w:hAnsi="Arial" w:cs="Arial"/>
          <w:color w:val="000000"/>
          <w:sz w:val="22"/>
          <w:szCs w:val="22"/>
          <w:lang w:val="es-ES_tradnl" w:eastAsia="en-US"/>
        </w:rPr>
        <w:t xml:space="preserve">artículo 3 del Decreto 1860 de 2021, que adicionó el artículo </w:t>
      </w:r>
      <w:r w:rsidR="00E83929" w:rsidRPr="00496CAC">
        <w:rPr>
          <w:rFonts w:ascii="Arial" w:eastAsia="Calibri" w:hAnsi="Arial" w:cs="Arial"/>
          <w:color w:val="000000"/>
          <w:sz w:val="22"/>
          <w:szCs w:val="22"/>
          <w:lang w:val="es-ES_tradnl" w:eastAsia="en-US"/>
        </w:rPr>
        <w:t>2.2.1.2.4.2.16</w:t>
      </w:r>
      <w:r w:rsidR="00E83929">
        <w:rPr>
          <w:rFonts w:ascii="Arial" w:eastAsia="Calibri" w:hAnsi="Arial" w:cs="Arial"/>
          <w:color w:val="000000"/>
          <w:sz w:val="22"/>
          <w:szCs w:val="22"/>
          <w:lang w:val="es-ES_tradnl" w:eastAsia="en-US"/>
        </w:rPr>
        <w:t xml:space="preserve"> del Decreto 1082 de 2015, consagra el deber de las entidades estatales de incorporar las obligaciones para el cumplimiento del objeto contractual tendientes a dicha medida de fomento en los </w:t>
      </w:r>
      <w:r w:rsidR="00E83929" w:rsidRPr="00BD4D58">
        <w:rPr>
          <w:rFonts w:ascii="Arial" w:eastAsia="Calibri" w:hAnsi="Arial" w:cs="Arial"/>
          <w:i/>
          <w:color w:val="000000"/>
          <w:sz w:val="22"/>
          <w:szCs w:val="22"/>
          <w:lang w:val="es-ES_tradnl" w:eastAsia="en-US"/>
        </w:rPr>
        <w:t>pliegos de condiciones o documento equivalente</w:t>
      </w:r>
      <w:r w:rsidR="00E83929">
        <w:rPr>
          <w:rFonts w:ascii="Arial" w:eastAsia="Calibri" w:hAnsi="Arial" w:cs="Arial"/>
          <w:iCs/>
          <w:color w:val="000000"/>
          <w:sz w:val="22"/>
          <w:szCs w:val="22"/>
          <w:lang w:val="es-ES_tradnl" w:eastAsia="en-US"/>
        </w:rPr>
        <w:t>. Esto, unido al contenido del inciso cuarto del artículo 12 de la Ley 1150 de 2007 –modificado por el artículo 34 de la Ley 2069 de 2020–</w:t>
      </w:r>
      <w:r w:rsidR="00E83929" w:rsidRPr="00BD4D58">
        <w:rPr>
          <w:rFonts w:ascii="Arial" w:eastAsia="Calibri" w:hAnsi="Arial" w:cs="Arial"/>
          <w:color w:val="000000"/>
          <w:sz w:val="22"/>
          <w:szCs w:val="22"/>
          <w:lang w:val="es-ES_tradnl" w:eastAsia="en-US"/>
        </w:rPr>
        <w:t xml:space="preserve"> permite inferir que </w:t>
      </w:r>
      <w:r w:rsidR="00E83929">
        <w:rPr>
          <w:rFonts w:ascii="Arial" w:eastAsia="Calibri" w:hAnsi="Arial" w:cs="Arial"/>
          <w:color w:val="000000"/>
          <w:sz w:val="22"/>
          <w:szCs w:val="22"/>
          <w:lang w:val="es-ES_tradnl" w:eastAsia="en-US"/>
        </w:rPr>
        <w:t>se refiere a</w:t>
      </w:r>
      <w:r w:rsidR="00E83929" w:rsidRPr="00BD4D58">
        <w:rPr>
          <w:rFonts w:ascii="Arial" w:eastAsia="Calibri" w:hAnsi="Arial" w:cs="Arial"/>
          <w:color w:val="000000"/>
          <w:sz w:val="22"/>
          <w:szCs w:val="22"/>
          <w:lang w:val="es-ES_tradnl" w:eastAsia="en-US"/>
        </w:rPr>
        <w:t xml:space="preserve"> los procesos de contratación competitivos</w:t>
      </w:r>
      <w:r w:rsidR="00E83929">
        <w:rPr>
          <w:rFonts w:ascii="Arial" w:eastAsia="Calibri" w:hAnsi="Arial" w:cs="Arial"/>
          <w:color w:val="000000"/>
          <w:sz w:val="22"/>
          <w:szCs w:val="22"/>
          <w:lang w:val="es-ES_tradnl" w:eastAsia="en-US"/>
        </w:rPr>
        <w:t xml:space="preserve">, los cuales se caracterizan por la presencia de un pliego de condiciones o documento equivalente, como lo es la invitación pública en la modalidad de mínima cuantía. Además, se considera que cuando la norma alude al pliego de condiciones </w:t>
      </w:r>
      <w:r w:rsidR="00E83929">
        <w:rPr>
          <w:rFonts w:ascii="Arial" w:eastAsia="Calibri" w:hAnsi="Arial" w:cs="Arial"/>
          <w:i/>
          <w:iCs/>
          <w:color w:val="000000"/>
          <w:sz w:val="22"/>
          <w:szCs w:val="22"/>
          <w:lang w:val="es-ES_tradnl" w:eastAsia="en-US"/>
        </w:rPr>
        <w:t>o documento equivalente,</w:t>
      </w:r>
      <w:r w:rsidR="00E83929">
        <w:rPr>
          <w:rFonts w:ascii="Arial" w:eastAsia="Calibri" w:hAnsi="Arial" w:cs="Arial"/>
          <w:color w:val="000000"/>
          <w:sz w:val="22"/>
          <w:szCs w:val="22"/>
          <w:lang w:val="es-ES_tradnl" w:eastAsia="en-US"/>
        </w:rPr>
        <w:t xml:space="preserve"> debe entenderse referido al documento equivalente al pliego de condiciones que elaboran las entidades estatales exceptuadas del Estatuto General de Contratación de la Administración Pública, toda vez que el artículo </w:t>
      </w:r>
      <w:r w:rsidR="00E83929" w:rsidRPr="00BA500E">
        <w:rPr>
          <w:rFonts w:ascii="Arial" w:eastAsia="Calibri" w:hAnsi="Arial" w:cs="Arial"/>
          <w:color w:val="000000"/>
          <w:sz w:val="22"/>
          <w:szCs w:val="22"/>
          <w:lang w:val="es-ES_tradnl" w:eastAsia="en-US"/>
        </w:rPr>
        <w:t>2.2.1.2.4.2.16.</w:t>
      </w:r>
      <w:r w:rsidR="00E83929">
        <w:rPr>
          <w:rFonts w:ascii="Arial" w:eastAsia="Calibri" w:hAnsi="Arial" w:cs="Arial"/>
          <w:color w:val="000000"/>
          <w:sz w:val="22"/>
          <w:szCs w:val="22"/>
          <w:lang w:val="es-ES_tradnl" w:eastAsia="en-US"/>
        </w:rPr>
        <w:t xml:space="preserve"> del Decreto 1082 de 2015 señala que su contenido aplica frente a las «</w:t>
      </w:r>
      <w:r w:rsidR="00E83929" w:rsidRPr="005F0B02">
        <w:rPr>
          <w:rFonts w:ascii="Arial" w:eastAsia="Calibri" w:hAnsi="Arial" w:cs="Arial"/>
          <w:color w:val="000000"/>
          <w:sz w:val="22"/>
          <w:szCs w:val="22"/>
          <w:lang w:val="es-ES_tradnl" w:eastAsia="en-US"/>
        </w:rPr>
        <w:t>Entidades Estatales indistintamente de su régimen de contratación, los patrimonios autónomos constituidos por Entidades Estatales y los particulares que ejecuten recursos públicos</w:t>
      </w:r>
      <w:r w:rsidR="00E83929">
        <w:rPr>
          <w:rFonts w:ascii="Arial" w:eastAsia="Calibri" w:hAnsi="Arial" w:cs="Arial"/>
          <w:color w:val="000000"/>
          <w:sz w:val="22"/>
          <w:szCs w:val="22"/>
          <w:lang w:val="es-ES_tradnl" w:eastAsia="en-US"/>
        </w:rPr>
        <w:t>».</w:t>
      </w:r>
    </w:p>
    <w:p w14:paraId="4672645C" w14:textId="77777777" w:rsidR="00E83929" w:rsidRPr="00AD55A1" w:rsidRDefault="00E83929" w:rsidP="00E83929">
      <w:pPr>
        <w:spacing w:before="120" w:after="120" w:line="276" w:lineRule="auto"/>
        <w:ind w:firstLine="708"/>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 xml:space="preserve">Además, cabe resaltar que la incorporación de estas estipulaciones dependerá del </w:t>
      </w:r>
      <w:r w:rsidRPr="00AD55A1">
        <w:rPr>
          <w:rFonts w:ascii="Arial" w:eastAsia="Calibri" w:hAnsi="Arial" w:cs="Arial"/>
          <w:color w:val="000000"/>
          <w:sz w:val="22"/>
          <w:szCs w:val="22"/>
          <w:lang w:val="es-ES_tradnl" w:eastAsia="en-US"/>
        </w:rPr>
        <w:t xml:space="preserve">previo análisis de oportunidad y conveniencia </w:t>
      </w:r>
      <w:r>
        <w:rPr>
          <w:rFonts w:ascii="Arial" w:eastAsia="Calibri" w:hAnsi="Arial" w:cs="Arial"/>
          <w:color w:val="000000"/>
          <w:sz w:val="22"/>
          <w:szCs w:val="22"/>
          <w:lang w:val="es-ES_tradnl" w:eastAsia="en-US"/>
        </w:rPr>
        <w:t xml:space="preserve">que realice la entidad </w:t>
      </w:r>
      <w:r w:rsidRPr="00AD55A1">
        <w:rPr>
          <w:rFonts w:ascii="Arial" w:eastAsia="Calibri" w:hAnsi="Arial" w:cs="Arial"/>
          <w:color w:val="000000"/>
          <w:sz w:val="22"/>
          <w:szCs w:val="22"/>
          <w:lang w:val="es-ES_tradnl" w:eastAsia="en-US"/>
        </w:rPr>
        <w:t>en los documentos del proceso, teniendo en cuenta el objeto contractual y el alcance de las obligaciones</w:t>
      </w:r>
      <w:r>
        <w:rPr>
          <w:rFonts w:ascii="Arial" w:eastAsia="Calibri" w:hAnsi="Arial" w:cs="Arial"/>
          <w:color w:val="000000"/>
          <w:sz w:val="22"/>
          <w:szCs w:val="22"/>
          <w:lang w:val="es-ES_tradnl" w:eastAsia="en-US"/>
        </w:rPr>
        <w:t xml:space="preserve"> para garantizar el cumplimiento del contrato.</w:t>
      </w:r>
    </w:p>
    <w:p w14:paraId="557F5EE9" w14:textId="2D80EA60" w:rsidR="007A0281" w:rsidRDefault="00E83929" w:rsidP="008915A6">
      <w:pPr>
        <w:spacing w:line="276" w:lineRule="auto"/>
        <w:ind w:firstLine="708"/>
        <w:jc w:val="both"/>
        <w:rPr>
          <w:rFonts w:ascii="Arial" w:hAnsi="Arial" w:cs="Arial"/>
          <w:color w:val="000000"/>
          <w:sz w:val="22"/>
          <w:szCs w:val="22"/>
        </w:rPr>
      </w:pPr>
      <w:r w:rsidRPr="0072056F">
        <w:rPr>
          <w:rFonts w:ascii="Arial" w:hAnsi="Arial" w:cs="Arial"/>
          <w:color w:val="000000"/>
          <w:sz w:val="22"/>
          <w:szCs w:val="22"/>
        </w:rPr>
        <w:tab/>
        <w:t xml:space="preserve"> En armonía con lo anterior, </w:t>
      </w:r>
      <w:r>
        <w:rPr>
          <w:rFonts w:ascii="Arial" w:hAnsi="Arial" w:cs="Arial"/>
          <w:color w:val="000000"/>
          <w:sz w:val="22"/>
          <w:szCs w:val="22"/>
        </w:rPr>
        <w:t xml:space="preserve">esta Agencia considera que el artículo </w:t>
      </w:r>
      <w:r w:rsidRPr="005F0B02">
        <w:rPr>
          <w:rFonts w:ascii="Arial" w:hAnsi="Arial" w:cs="Arial"/>
          <w:color w:val="000000"/>
          <w:sz w:val="22"/>
          <w:szCs w:val="22"/>
        </w:rPr>
        <w:t>2.2.1.2.4.2.16 del Decreto 1082 de 2015</w:t>
      </w:r>
      <w:r>
        <w:rPr>
          <w:rFonts w:ascii="Arial" w:hAnsi="Arial" w:cs="Arial"/>
          <w:color w:val="000000"/>
          <w:sz w:val="22"/>
          <w:szCs w:val="22"/>
        </w:rPr>
        <w:t xml:space="preserve"> no aplica en los procesos de contratación que se adelanten mediante la modalidad de contratación directa, por no existir en dichos procesos un pliego de condiciones o documento equivalente al pliego de condiciones. Ello sin perjuicio de que las entidades estatales en ejercicio de su autonomía administrativa, y de acuerdo con su análisis de oportunidad y conveniencia </w:t>
      </w:r>
      <w:r w:rsidRPr="00AD55A1">
        <w:rPr>
          <w:rFonts w:ascii="Arial" w:eastAsia="Calibri" w:hAnsi="Arial" w:cs="Arial"/>
          <w:color w:val="000000"/>
          <w:sz w:val="22"/>
          <w:szCs w:val="22"/>
          <w:lang w:val="es-ES_tradnl" w:eastAsia="en-US"/>
        </w:rPr>
        <w:t xml:space="preserve">teniendo en cuenta el objeto </w:t>
      </w:r>
      <w:r w:rsidRPr="00AD55A1">
        <w:rPr>
          <w:rFonts w:ascii="Arial" w:eastAsia="Calibri" w:hAnsi="Arial" w:cs="Arial"/>
          <w:color w:val="000000"/>
          <w:sz w:val="22"/>
          <w:szCs w:val="22"/>
          <w:lang w:val="es-ES_tradnl" w:eastAsia="en-US"/>
        </w:rPr>
        <w:lastRenderedPageBreak/>
        <w:t>contractual y el alcance de las obligaciones</w:t>
      </w:r>
      <w:r>
        <w:rPr>
          <w:rFonts w:ascii="Arial" w:eastAsia="Calibri" w:hAnsi="Arial" w:cs="Arial"/>
          <w:color w:val="000000"/>
          <w:sz w:val="22"/>
          <w:szCs w:val="22"/>
          <w:lang w:val="es-ES_tradnl" w:eastAsia="en-US"/>
        </w:rPr>
        <w:t>, decidan incluirlas en la minuta del contrato como una buena práctica contractual, tratándose de procesos de contratación directa.</w:t>
      </w:r>
    </w:p>
    <w:p w14:paraId="3ED84034" w14:textId="77777777" w:rsidR="004F0A4B" w:rsidRPr="00690DAF" w:rsidRDefault="004F0A4B" w:rsidP="000A0DF7">
      <w:pPr>
        <w:tabs>
          <w:tab w:val="left" w:pos="0"/>
        </w:tabs>
        <w:jc w:val="both"/>
        <w:rPr>
          <w:rFonts w:ascii="Arial" w:eastAsia="Calibri" w:hAnsi="Arial" w:cs="Arial"/>
          <w:b/>
          <w:color w:val="000000" w:themeColor="text1"/>
          <w:sz w:val="22"/>
        </w:rPr>
      </w:pPr>
    </w:p>
    <w:p w14:paraId="05F5364A" w14:textId="16BCE618" w:rsidR="000A0DF7" w:rsidRPr="0072056F" w:rsidRDefault="000A0DF7" w:rsidP="000A0DF7">
      <w:pPr>
        <w:tabs>
          <w:tab w:val="left" w:pos="0"/>
        </w:tabs>
        <w:jc w:val="both"/>
        <w:rPr>
          <w:rFonts w:ascii="Arial" w:eastAsia="Calibri" w:hAnsi="Arial" w:cs="Arial"/>
          <w:b/>
          <w:color w:val="000000" w:themeColor="text1"/>
          <w:sz w:val="22"/>
          <w:lang w:val="es-ES_tradnl"/>
        </w:rPr>
      </w:pPr>
      <w:r w:rsidRPr="0072056F">
        <w:rPr>
          <w:rFonts w:ascii="Arial" w:eastAsia="Calibri" w:hAnsi="Arial" w:cs="Arial"/>
          <w:b/>
          <w:color w:val="000000" w:themeColor="text1"/>
          <w:sz w:val="22"/>
          <w:lang w:val="es-ES_tradnl"/>
        </w:rPr>
        <w:t>3. Respuesta</w:t>
      </w:r>
    </w:p>
    <w:p w14:paraId="2B3071BA" w14:textId="77777777" w:rsidR="000A0DF7" w:rsidRPr="0072056F" w:rsidRDefault="000A0DF7" w:rsidP="000A0DF7">
      <w:pPr>
        <w:tabs>
          <w:tab w:val="left" w:pos="0"/>
        </w:tabs>
        <w:jc w:val="both"/>
        <w:rPr>
          <w:rFonts w:ascii="Arial" w:eastAsia="Calibri" w:hAnsi="Arial" w:cs="Arial"/>
          <w:color w:val="000000" w:themeColor="text1"/>
          <w:sz w:val="21"/>
          <w:szCs w:val="21"/>
          <w:lang w:val="es-ES_tradnl"/>
        </w:rPr>
      </w:pPr>
    </w:p>
    <w:p w14:paraId="734DCFDB" w14:textId="510F81CC" w:rsidR="0024762E" w:rsidRPr="00D368D9" w:rsidRDefault="007A5ECA" w:rsidP="007A5ECA">
      <w:pPr>
        <w:pStyle w:val="Sinespaciado"/>
        <w:ind w:left="709" w:right="709"/>
        <w:jc w:val="both"/>
        <w:rPr>
          <w:rFonts w:ascii="Arial" w:hAnsi="Arial" w:cs="Arial"/>
          <w:sz w:val="21"/>
          <w:szCs w:val="21"/>
        </w:rPr>
      </w:pPr>
      <w:r w:rsidRPr="00D368D9">
        <w:rPr>
          <w:rFonts w:ascii="Arial" w:hAnsi="Arial" w:cs="Arial"/>
          <w:sz w:val="21"/>
          <w:szCs w:val="21"/>
        </w:rPr>
        <w:t>«</w:t>
      </w:r>
      <w:r w:rsidRPr="008915A6">
        <w:rPr>
          <w:rFonts w:ascii="Arial" w:hAnsi="Arial" w:cs="Arial"/>
          <w:sz w:val="21"/>
          <w:szCs w:val="21"/>
        </w:rPr>
        <w:t>¿</w:t>
      </w:r>
      <w:r w:rsidRPr="00D368D9">
        <w:rPr>
          <w:rFonts w:ascii="Arial" w:hAnsi="Arial" w:cs="Arial"/>
          <w:sz w:val="21"/>
          <w:szCs w:val="21"/>
        </w:rPr>
        <w:t>El artículo 2.2.1.2.4.2.16. del Decreto 1860 de 2021 aplica para la</w:t>
      </w:r>
      <w:r w:rsidR="00D368D9" w:rsidRPr="00D368D9">
        <w:rPr>
          <w:rFonts w:ascii="Arial" w:hAnsi="Arial" w:cs="Arial"/>
          <w:sz w:val="21"/>
          <w:szCs w:val="21"/>
        </w:rPr>
        <w:t xml:space="preserve"> </w:t>
      </w:r>
      <w:r w:rsidRPr="00D368D9">
        <w:rPr>
          <w:rFonts w:ascii="Arial" w:hAnsi="Arial" w:cs="Arial"/>
          <w:sz w:val="21"/>
          <w:szCs w:val="21"/>
        </w:rPr>
        <w:t>modalidad de contratación directa?</w:t>
      </w:r>
      <w:r w:rsidR="0024762E" w:rsidRPr="00D368D9">
        <w:rPr>
          <w:rFonts w:ascii="Arial" w:hAnsi="Arial" w:cs="Arial"/>
          <w:sz w:val="21"/>
          <w:szCs w:val="21"/>
        </w:rPr>
        <w:t xml:space="preserve">» </w:t>
      </w:r>
    </w:p>
    <w:p w14:paraId="39AC92C4" w14:textId="77777777" w:rsidR="00303974" w:rsidRPr="0072056F" w:rsidRDefault="00303974" w:rsidP="00303974">
      <w:pPr>
        <w:spacing w:line="276" w:lineRule="auto"/>
        <w:jc w:val="both"/>
        <w:rPr>
          <w:rFonts w:ascii="Arial" w:hAnsi="Arial" w:cs="Arial"/>
          <w:color w:val="000000" w:themeColor="text1"/>
          <w:sz w:val="22"/>
          <w:szCs w:val="22"/>
          <w:lang w:val="es-ES"/>
        </w:rPr>
      </w:pPr>
    </w:p>
    <w:p w14:paraId="6EA64595" w14:textId="6F46ADDB" w:rsidR="00C0056F" w:rsidRDefault="007812CC" w:rsidP="008915A6">
      <w:pPr>
        <w:spacing w:line="276" w:lineRule="auto"/>
        <w:jc w:val="both"/>
        <w:rPr>
          <w:rFonts w:ascii="Arial" w:eastAsia="Calibri" w:hAnsi="Arial" w:cs="Arial"/>
          <w:color w:val="000000"/>
          <w:sz w:val="22"/>
          <w:szCs w:val="22"/>
          <w:lang w:val="es-ES_tradnl" w:eastAsia="en-US"/>
        </w:rPr>
      </w:pPr>
      <w:r w:rsidRPr="0072056F">
        <w:rPr>
          <w:rFonts w:ascii="Arial" w:hAnsi="Arial" w:cs="Arial"/>
          <w:color w:val="000000"/>
          <w:sz w:val="22"/>
          <w:szCs w:val="22"/>
        </w:rPr>
        <w:t>De acuerdo con las consideraciones</w:t>
      </w:r>
      <w:r w:rsidR="00BD4D58">
        <w:rPr>
          <w:rFonts w:ascii="Arial" w:hAnsi="Arial" w:cs="Arial"/>
          <w:color w:val="000000"/>
          <w:sz w:val="22"/>
          <w:szCs w:val="22"/>
        </w:rPr>
        <w:t xml:space="preserve"> expuestas, </w:t>
      </w:r>
      <w:r w:rsidR="00C0056F">
        <w:rPr>
          <w:rFonts w:ascii="Arial" w:hAnsi="Arial" w:cs="Arial"/>
          <w:color w:val="000000"/>
          <w:sz w:val="22"/>
          <w:szCs w:val="22"/>
        </w:rPr>
        <w:t xml:space="preserve">pese a que el artículo </w:t>
      </w:r>
      <w:r w:rsidR="00C0056F" w:rsidRPr="00496CAC">
        <w:rPr>
          <w:rFonts w:ascii="Arial" w:eastAsia="Calibri" w:hAnsi="Arial" w:cs="Arial"/>
          <w:color w:val="000000"/>
          <w:sz w:val="22"/>
          <w:szCs w:val="22"/>
          <w:lang w:val="es-ES_tradnl" w:eastAsia="en-US"/>
        </w:rPr>
        <w:t>2.2.1.2.4.2.16</w:t>
      </w:r>
      <w:r w:rsidR="00C0056F">
        <w:rPr>
          <w:rFonts w:ascii="Arial" w:eastAsia="Calibri" w:hAnsi="Arial" w:cs="Arial"/>
          <w:color w:val="000000"/>
          <w:sz w:val="22"/>
          <w:szCs w:val="22"/>
          <w:lang w:val="es-ES_tradnl" w:eastAsia="en-US"/>
        </w:rPr>
        <w:t xml:space="preserve"> del Decreto 1082 de 2015 </w:t>
      </w:r>
      <w:r w:rsidR="00C0056F">
        <w:rPr>
          <w:rFonts w:ascii="Arial" w:hAnsi="Arial" w:cs="Arial"/>
          <w:color w:val="000000"/>
          <w:sz w:val="22"/>
          <w:szCs w:val="22"/>
        </w:rPr>
        <w:t xml:space="preserve">no señala de forma pormenorizada en qué modalidades de selección tienen aplicación los </w:t>
      </w:r>
      <w:r w:rsidR="00C0056F" w:rsidRPr="0059718B">
        <w:rPr>
          <w:rFonts w:ascii="Arial" w:hAnsi="Arial" w:cs="Arial"/>
          <w:color w:val="000000"/>
          <w:sz w:val="22"/>
          <w:szCs w:val="22"/>
        </w:rPr>
        <w:t>mecanismos que fomenten en la ejecución de los contratos estatales la provisión de bienes y servicios por población en pobreza extrema, desplazados por la violencia, personas en proceso de reintegración o reincorporación y, sujetos de especial protección constitucional</w:t>
      </w:r>
      <w:r w:rsidR="00C0056F">
        <w:rPr>
          <w:rFonts w:ascii="Arial" w:hAnsi="Arial" w:cs="Arial"/>
          <w:color w:val="000000"/>
          <w:sz w:val="22"/>
          <w:szCs w:val="22"/>
        </w:rPr>
        <w:t>,</w:t>
      </w:r>
      <w:r w:rsidR="00C0056F" w:rsidRPr="0059718B">
        <w:rPr>
          <w:rFonts w:ascii="Arial" w:hAnsi="Arial" w:cs="Arial"/>
          <w:color w:val="000000"/>
          <w:sz w:val="22"/>
          <w:szCs w:val="22"/>
        </w:rPr>
        <w:t xml:space="preserve"> </w:t>
      </w:r>
      <w:r w:rsidR="00C0056F">
        <w:rPr>
          <w:rFonts w:ascii="Arial" w:hAnsi="Arial" w:cs="Arial"/>
          <w:color w:val="000000"/>
          <w:sz w:val="22"/>
          <w:szCs w:val="22"/>
        </w:rPr>
        <w:t xml:space="preserve">se </w:t>
      </w:r>
      <w:r w:rsidR="00C0056F" w:rsidRPr="0072056F">
        <w:rPr>
          <w:rFonts w:ascii="Arial" w:hAnsi="Arial" w:cs="Arial"/>
          <w:color w:val="000000"/>
          <w:sz w:val="22"/>
          <w:szCs w:val="22"/>
        </w:rPr>
        <w:t>considera importante resaltar que en el marco de la finalidad d</w:t>
      </w:r>
      <w:r w:rsidR="00C0056F">
        <w:rPr>
          <w:rFonts w:ascii="Arial" w:hAnsi="Arial" w:cs="Arial"/>
          <w:color w:val="000000"/>
          <w:sz w:val="22"/>
          <w:szCs w:val="22"/>
        </w:rPr>
        <w:t xml:space="preserve">e la Ley de emprendimiento, el </w:t>
      </w:r>
      <w:r w:rsidR="00C0056F">
        <w:rPr>
          <w:rFonts w:ascii="Arial" w:eastAsia="Calibri" w:hAnsi="Arial" w:cs="Arial"/>
          <w:color w:val="000000"/>
          <w:sz w:val="22"/>
          <w:szCs w:val="22"/>
          <w:lang w:val="es-ES_tradnl" w:eastAsia="en-US"/>
        </w:rPr>
        <w:t xml:space="preserve">artículo 3 del Decreto 1860 de 2021, que adicionó el artículo </w:t>
      </w:r>
      <w:r w:rsidR="00C0056F" w:rsidRPr="00496CAC">
        <w:rPr>
          <w:rFonts w:ascii="Arial" w:eastAsia="Calibri" w:hAnsi="Arial" w:cs="Arial"/>
          <w:color w:val="000000"/>
          <w:sz w:val="22"/>
          <w:szCs w:val="22"/>
          <w:lang w:val="es-ES_tradnl" w:eastAsia="en-US"/>
        </w:rPr>
        <w:t>2.2.1.2.4.2.16</w:t>
      </w:r>
      <w:r w:rsidR="00C0056F">
        <w:rPr>
          <w:rFonts w:ascii="Arial" w:eastAsia="Calibri" w:hAnsi="Arial" w:cs="Arial"/>
          <w:color w:val="000000"/>
          <w:sz w:val="22"/>
          <w:szCs w:val="22"/>
          <w:lang w:val="es-ES_tradnl" w:eastAsia="en-US"/>
        </w:rPr>
        <w:t xml:space="preserve"> del Decreto 1082 de 2015, consagra el deber de las entidades estatales de incorporar las obligaciones para el cumplimiento del objeto contractual tendientes a dicha medida de fomento en los </w:t>
      </w:r>
      <w:r w:rsidR="00C0056F" w:rsidRPr="00BD4D58">
        <w:rPr>
          <w:rFonts w:ascii="Arial" w:eastAsia="Calibri" w:hAnsi="Arial" w:cs="Arial"/>
          <w:i/>
          <w:color w:val="000000"/>
          <w:sz w:val="22"/>
          <w:szCs w:val="22"/>
          <w:lang w:val="es-ES_tradnl" w:eastAsia="en-US"/>
        </w:rPr>
        <w:t>pliegos de condiciones o documento equivalente</w:t>
      </w:r>
      <w:r w:rsidR="00C0056F">
        <w:rPr>
          <w:rFonts w:ascii="Arial" w:eastAsia="Calibri" w:hAnsi="Arial" w:cs="Arial"/>
          <w:iCs/>
          <w:color w:val="000000"/>
          <w:sz w:val="22"/>
          <w:szCs w:val="22"/>
          <w:lang w:val="es-ES_tradnl" w:eastAsia="en-US"/>
        </w:rPr>
        <w:t>. Esto, unido al contenido del inciso cuarto del artículo 12 de la Ley 1150 de 2007 –modificado por el artículo 34 de la Ley 2069 de 2020–</w:t>
      </w:r>
      <w:r w:rsidR="00C0056F" w:rsidRPr="00BD4D58">
        <w:rPr>
          <w:rFonts w:ascii="Arial" w:eastAsia="Calibri" w:hAnsi="Arial" w:cs="Arial"/>
          <w:color w:val="000000"/>
          <w:sz w:val="22"/>
          <w:szCs w:val="22"/>
          <w:lang w:val="es-ES_tradnl" w:eastAsia="en-US"/>
        </w:rPr>
        <w:t xml:space="preserve"> permite inferir que </w:t>
      </w:r>
      <w:r w:rsidR="00C0056F">
        <w:rPr>
          <w:rFonts w:ascii="Arial" w:eastAsia="Calibri" w:hAnsi="Arial" w:cs="Arial"/>
          <w:color w:val="000000"/>
          <w:sz w:val="22"/>
          <w:szCs w:val="22"/>
          <w:lang w:val="es-ES_tradnl" w:eastAsia="en-US"/>
        </w:rPr>
        <w:t>se refiere a</w:t>
      </w:r>
      <w:r w:rsidR="00C0056F" w:rsidRPr="00BD4D58">
        <w:rPr>
          <w:rFonts w:ascii="Arial" w:eastAsia="Calibri" w:hAnsi="Arial" w:cs="Arial"/>
          <w:color w:val="000000"/>
          <w:sz w:val="22"/>
          <w:szCs w:val="22"/>
          <w:lang w:val="es-ES_tradnl" w:eastAsia="en-US"/>
        </w:rPr>
        <w:t xml:space="preserve"> los procesos de contratación competitivos</w:t>
      </w:r>
      <w:r w:rsidR="00C0056F">
        <w:rPr>
          <w:rFonts w:ascii="Arial" w:eastAsia="Calibri" w:hAnsi="Arial" w:cs="Arial"/>
          <w:color w:val="000000"/>
          <w:sz w:val="22"/>
          <w:szCs w:val="22"/>
          <w:lang w:val="es-ES_tradnl" w:eastAsia="en-US"/>
        </w:rPr>
        <w:t xml:space="preserve">, los cuales se caracterizan por la presencia de un pliego de condiciones o documento equivalente, como lo es la invitación pública en la modalidad de mínima cuantía. Además, se considera que cuando la norma alude al pliego de condiciones </w:t>
      </w:r>
      <w:r w:rsidR="00C0056F">
        <w:rPr>
          <w:rFonts w:ascii="Arial" w:eastAsia="Calibri" w:hAnsi="Arial" w:cs="Arial"/>
          <w:i/>
          <w:iCs/>
          <w:color w:val="000000"/>
          <w:sz w:val="22"/>
          <w:szCs w:val="22"/>
          <w:lang w:val="es-ES_tradnl" w:eastAsia="en-US"/>
        </w:rPr>
        <w:t>o documento equivalente</w:t>
      </w:r>
      <w:r w:rsidR="00325640">
        <w:rPr>
          <w:rFonts w:ascii="Arial" w:eastAsia="Calibri" w:hAnsi="Arial" w:cs="Arial"/>
          <w:i/>
          <w:iCs/>
          <w:color w:val="000000"/>
          <w:sz w:val="22"/>
          <w:szCs w:val="22"/>
          <w:lang w:val="es-ES_tradnl" w:eastAsia="en-US"/>
        </w:rPr>
        <w:t>,</w:t>
      </w:r>
      <w:r w:rsidR="00C0056F">
        <w:rPr>
          <w:rFonts w:ascii="Arial" w:eastAsia="Calibri" w:hAnsi="Arial" w:cs="Arial"/>
          <w:color w:val="000000"/>
          <w:sz w:val="22"/>
          <w:szCs w:val="22"/>
          <w:lang w:val="es-ES_tradnl" w:eastAsia="en-US"/>
        </w:rPr>
        <w:t xml:space="preserve"> debe entenderse referido al documento equivalente al pliego de condiciones que elaboran las entidades estatales exceptuadas del Estatuto General de Contratación de la Administración Pública, toda vez que el artículo </w:t>
      </w:r>
      <w:r w:rsidR="00C0056F" w:rsidRPr="00BA500E">
        <w:rPr>
          <w:rFonts w:ascii="Arial" w:eastAsia="Calibri" w:hAnsi="Arial" w:cs="Arial"/>
          <w:color w:val="000000"/>
          <w:sz w:val="22"/>
          <w:szCs w:val="22"/>
          <w:lang w:val="es-ES_tradnl" w:eastAsia="en-US"/>
        </w:rPr>
        <w:t>2.2.1.2.4.2.16.</w:t>
      </w:r>
      <w:r w:rsidR="00C0056F">
        <w:rPr>
          <w:rFonts w:ascii="Arial" w:eastAsia="Calibri" w:hAnsi="Arial" w:cs="Arial"/>
          <w:color w:val="000000"/>
          <w:sz w:val="22"/>
          <w:szCs w:val="22"/>
          <w:lang w:val="es-ES_tradnl" w:eastAsia="en-US"/>
        </w:rPr>
        <w:t xml:space="preserve"> del Decreto 1082 de 2015 señala que su contenido aplica frente a las «</w:t>
      </w:r>
      <w:r w:rsidR="00C0056F" w:rsidRPr="005F0B02">
        <w:rPr>
          <w:rFonts w:ascii="Arial" w:eastAsia="Calibri" w:hAnsi="Arial" w:cs="Arial"/>
          <w:color w:val="000000"/>
          <w:sz w:val="22"/>
          <w:szCs w:val="22"/>
          <w:lang w:val="es-ES_tradnl" w:eastAsia="en-US"/>
        </w:rPr>
        <w:t>Entidades Estatales indistintamente de su régimen de contratación, los patrimonios autónomos constituidos por Entidades Estatales y los particulares que ejecuten recursos públicos</w:t>
      </w:r>
      <w:r w:rsidR="00C0056F">
        <w:rPr>
          <w:rFonts w:ascii="Arial" w:eastAsia="Calibri" w:hAnsi="Arial" w:cs="Arial"/>
          <w:color w:val="000000"/>
          <w:sz w:val="22"/>
          <w:szCs w:val="22"/>
          <w:lang w:val="es-ES_tradnl" w:eastAsia="en-US"/>
        </w:rPr>
        <w:t>».</w:t>
      </w:r>
    </w:p>
    <w:p w14:paraId="7BC85EA9" w14:textId="77777777" w:rsidR="00C0056F" w:rsidRPr="00AD55A1" w:rsidRDefault="00C0056F" w:rsidP="00C0056F">
      <w:pPr>
        <w:spacing w:before="120" w:after="120" w:line="276" w:lineRule="auto"/>
        <w:ind w:firstLine="708"/>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 xml:space="preserve">Además, cabe resaltar que la incorporación de estas estipulaciones dependerá del </w:t>
      </w:r>
      <w:r w:rsidRPr="00AD55A1">
        <w:rPr>
          <w:rFonts w:ascii="Arial" w:eastAsia="Calibri" w:hAnsi="Arial" w:cs="Arial"/>
          <w:color w:val="000000"/>
          <w:sz w:val="22"/>
          <w:szCs w:val="22"/>
          <w:lang w:val="es-ES_tradnl" w:eastAsia="en-US"/>
        </w:rPr>
        <w:t xml:space="preserve">previo análisis de oportunidad y conveniencia </w:t>
      </w:r>
      <w:r>
        <w:rPr>
          <w:rFonts w:ascii="Arial" w:eastAsia="Calibri" w:hAnsi="Arial" w:cs="Arial"/>
          <w:color w:val="000000"/>
          <w:sz w:val="22"/>
          <w:szCs w:val="22"/>
          <w:lang w:val="es-ES_tradnl" w:eastAsia="en-US"/>
        </w:rPr>
        <w:t xml:space="preserve">que realice la entidad </w:t>
      </w:r>
      <w:r w:rsidRPr="00AD55A1">
        <w:rPr>
          <w:rFonts w:ascii="Arial" w:eastAsia="Calibri" w:hAnsi="Arial" w:cs="Arial"/>
          <w:color w:val="000000"/>
          <w:sz w:val="22"/>
          <w:szCs w:val="22"/>
          <w:lang w:val="es-ES_tradnl" w:eastAsia="en-US"/>
        </w:rPr>
        <w:t>en los documentos del proceso, teniendo en cuenta el objeto contractual y el alcance de las obligaciones</w:t>
      </w:r>
      <w:r>
        <w:rPr>
          <w:rFonts w:ascii="Arial" w:eastAsia="Calibri" w:hAnsi="Arial" w:cs="Arial"/>
          <w:color w:val="000000"/>
          <w:sz w:val="22"/>
          <w:szCs w:val="22"/>
          <w:lang w:val="es-ES_tradnl" w:eastAsia="en-US"/>
        </w:rPr>
        <w:t xml:space="preserve"> para garantizar el cumplimiento del contrato.</w:t>
      </w:r>
    </w:p>
    <w:p w14:paraId="6AE6D1FB" w14:textId="4C39EEC6" w:rsidR="00325640" w:rsidRPr="00AD55A1" w:rsidRDefault="00C0056F" w:rsidP="00325640">
      <w:pPr>
        <w:spacing w:before="120" w:after="120" w:line="276" w:lineRule="auto"/>
        <w:jc w:val="both"/>
        <w:rPr>
          <w:rFonts w:ascii="Arial" w:eastAsia="Calibri" w:hAnsi="Arial" w:cs="Arial"/>
          <w:color w:val="000000"/>
          <w:sz w:val="22"/>
          <w:szCs w:val="22"/>
          <w:lang w:val="es-ES_tradnl" w:eastAsia="en-US"/>
        </w:rPr>
      </w:pPr>
      <w:r w:rsidRPr="0072056F">
        <w:rPr>
          <w:rFonts w:ascii="Arial" w:hAnsi="Arial" w:cs="Arial"/>
          <w:color w:val="000000"/>
          <w:sz w:val="22"/>
          <w:szCs w:val="22"/>
        </w:rPr>
        <w:tab/>
        <w:t xml:space="preserve"> En armonía con lo anterior, </w:t>
      </w:r>
      <w:r>
        <w:rPr>
          <w:rFonts w:ascii="Arial" w:hAnsi="Arial" w:cs="Arial"/>
          <w:color w:val="000000"/>
          <w:sz w:val="22"/>
          <w:szCs w:val="22"/>
        </w:rPr>
        <w:t xml:space="preserve">esta Agencia considera que </w:t>
      </w:r>
      <w:r w:rsidR="00325640">
        <w:rPr>
          <w:rFonts w:ascii="Arial" w:hAnsi="Arial" w:cs="Arial"/>
          <w:color w:val="000000"/>
          <w:sz w:val="22"/>
          <w:szCs w:val="22"/>
        </w:rPr>
        <w:t xml:space="preserve">el artículo </w:t>
      </w:r>
      <w:r w:rsidR="00325640" w:rsidRPr="008915A6">
        <w:rPr>
          <w:rFonts w:ascii="Arial" w:hAnsi="Arial" w:cs="Arial"/>
          <w:color w:val="000000"/>
          <w:sz w:val="22"/>
          <w:szCs w:val="22"/>
        </w:rPr>
        <w:t>2.2.1.2.4.2.16 del Decreto 1082 de 2015</w:t>
      </w:r>
      <w:r>
        <w:rPr>
          <w:rFonts w:ascii="Arial" w:hAnsi="Arial" w:cs="Arial"/>
          <w:color w:val="000000"/>
          <w:sz w:val="22"/>
          <w:szCs w:val="22"/>
        </w:rPr>
        <w:t xml:space="preserve"> no </w:t>
      </w:r>
      <w:r w:rsidR="00325640">
        <w:rPr>
          <w:rFonts w:ascii="Arial" w:hAnsi="Arial" w:cs="Arial"/>
          <w:color w:val="000000"/>
          <w:sz w:val="22"/>
          <w:szCs w:val="22"/>
        </w:rPr>
        <w:t>aplica</w:t>
      </w:r>
      <w:r>
        <w:rPr>
          <w:rFonts w:ascii="Arial" w:hAnsi="Arial" w:cs="Arial"/>
          <w:color w:val="000000"/>
          <w:sz w:val="22"/>
          <w:szCs w:val="22"/>
        </w:rPr>
        <w:t xml:space="preserve"> en los procesos de contratación que se adelanten mediante la modalidad de contratación directa, por no existir en dichos procesos un pliego de condiciones o documento equivalente al pliego de condiciones. Ello sin perjuicio de que las entidades estatales en ejercicio de su autonomía administrativa, y de acuerdo con su análisis de oportunidad y conveniencia </w:t>
      </w:r>
      <w:r w:rsidRPr="00AD55A1">
        <w:rPr>
          <w:rFonts w:ascii="Arial" w:eastAsia="Calibri" w:hAnsi="Arial" w:cs="Arial"/>
          <w:color w:val="000000"/>
          <w:sz w:val="22"/>
          <w:szCs w:val="22"/>
          <w:lang w:val="es-ES_tradnl" w:eastAsia="en-US"/>
        </w:rPr>
        <w:t xml:space="preserve">teniendo en cuenta el objeto contractual y el alcance </w:t>
      </w:r>
      <w:r w:rsidRPr="00AD55A1">
        <w:rPr>
          <w:rFonts w:ascii="Arial" w:eastAsia="Calibri" w:hAnsi="Arial" w:cs="Arial"/>
          <w:color w:val="000000"/>
          <w:sz w:val="22"/>
          <w:szCs w:val="22"/>
          <w:lang w:val="es-ES_tradnl" w:eastAsia="en-US"/>
        </w:rPr>
        <w:lastRenderedPageBreak/>
        <w:t>de las obligaciones</w:t>
      </w:r>
      <w:r>
        <w:rPr>
          <w:rFonts w:ascii="Arial" w:eastAsia="Calibri" w:hAnsi="Arial" w:cs="Arial"/>
          <w:color w:val="000000"/>
          <w:sz w:val="22"/>
          <w:szCs w:val="22"/>
          <w:lang w:val="es-ES_tradnl" w:eastAsia="en-US"/>
        </w:rPr>
        <w:t>, decidan incluirlas en la minuta del contrato como una buena práctica contractual, tratándose de procesos de contratación directa.</w:t>
      </w:r>
    </w:p>
    <w:p w14:paraId="4C32B760" w14:textId="74640847" w:rsidR="00AD55A1" w:rsidRDefault="00AD55A1" w:rsidP="00C0056F">
      <w:pPr>
        <w:spacing w:before="120" w:after="120" w:line="276" w:lineRule="auto"/>
        <w:jc w:val="both"/>
        <w:rPr>
          <w:rFonts w:ascii="Arial" w:hAnsi="Arial" w:cs="Arial"/>
          <w:color w:val="000000"/>
          <w:sz w:val="22"/>
          <w:szCs w:val="22"/>
        </w:rPr>
      </w:pPr>
    </w:p>
    <w:p w14:paraId="0A7BABD1" w14:textId="27250C6D" w:rsidR="000A0DF7" w:rsidRPr="00910945" w:rsidRDefault="000A0DF7" w:rsidP="00A84099">
      <w:pPr>
        <w:spacing w:before="120" w:after="120" w:line="276" w:lineRule="auto"/>
        <w:jc w:val="both"/>
        <w:rPr>
          <w:rFonts w:ascii="Arial" w:eastAsia="Calibri" w:hAnsi="Arial" w:cs="Arial"/>
          <w:color w:val="000000" w:themeColor="text1"/>
          <w:sz w:val="22"/>
          <w:szCs w:val="22"/>
          <w:lang w:val="es-ES_tradnl" w:eastAsia="en-US"/>
        </w:rPr>
      </w:pPr>
      <w:r w:rsidRPr="00400B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400B70"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629F94D" w14:textId="77777777" w:rsidR="00AD55A1" w:rsidRPr="00DD5F33" w:rsidRDefault="00AD55A1" w:rsidP="00AD55A1">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5F33">
        <w:rPr>
          <w:rFonts w:ascii="Arial" w:hAnsi="Arial" w:cs="Arial"/>
          <w:color w:val="000000" w:themeColor="text1"/>
          <w:sz w:val="22"/>
          <w:szCs w:val="22"/>
          <w:lang w:val="es-ES_tradnl"/>
        </w:rPr>
        <w:t>Atentamente,</w:t>
      </w:r>
    </w:p>
    <w:p w14:paraId="034DD19F" w14:textId="77777777" w:rsidR="00AD55A1" w:rsidRPr="00DD5F33" w:rsidRDefault="00AD55A1" w:rsidP="00AD55A1">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B6F81A6" w14:textId="725E65B4" w:rsidR="00AD55A1" w:rsidRPr="00DD5F33" w:rsidRDefault="00792749" w:rsidP="008915A6">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68020A">
        <w:rPr>
          <w:rFonts w:ascii="Arial" w:hAnsi="Arial" w:cs="Arial"/>
          <w:noProof/>
          <w:sz w:val="20"/>
          <w:szCs w:val="20"/>
        </w:rPr>
        <w:drawing>
          <wp:inline distT="0" distB="0" distL="0" distR="0" wp14:anchorId="3E783310" wp14:editId="2A708DD2">
            <wp:extent cx="2990850" cy="11620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0850" cy="1162050"/>
                    </a:xfrm>
                    <a:prstGeom prst="rect">
                      <a:avLst/>
                    </a:prstGeom>
                    <a:noFill/>
                    <a:ln>
                      <a:noFill/>
                    </a:ln>
                  </pic:spPr>
                </pic:pic>
              </a:graphicData>
            </a:graphic>
          </wp:inline>
        </w:drawing>
      </w:r>
    </w:p>
    <w:p w14:paraId="5FCDA2AF" w14:textId="238F2C80" w:rsidR="00AD55A1" w:rsidRPr="00DD5F33" w:rsidRDefault="00AD55A1" w:rsidP="00AD55A1">
      <w:pPr>
        <w:pStyle w:val="NormalWeb"/>
        <w:spacing w:before="0" w:beforeAutospacing="0" w:after="0" w:afterAutospacing="0" w:line="276" w:lineRule="auto"/>
        <w:jc w:val="center"/>
        <w:rPr>
          <w:rFonts w:ascii="Arial" w:hAnsi="Arial" w:cs="Arial"/>
          <w:color w:val="000000" w:themeColor="text1"/>
          <w:lang w:val="es-ES_tradnl"/>
        </w:rPr>
      </w:pPr>
    </w:p>
    <w:p w14:paraId="6EE6FB33" w14:textId="77777777" w:rsidR="00AD55A1" w:rsidRPr="00DD5F33" w:rsidRDefault="00AD55A1" w:rsidP="00AD55A1">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D55A1" w:rsidRPr="00DD5F33" w14:paraId="06C967EB" w14:textId="77777777" w:rsidTr="0038371E">
        <w:trPr>
          <w:trHeight w:val="315"/>
        </w:trPr>
        <w:tc>
          <w:tcPr>
            <w:tcW w:w="812" w:type="dxa"/>
            <w:vAlign w:val="center"/>
            <w:hideMark/>
          </w:tcPr>
          <w:p w14:paraId="2E3FB563" w14:textId="77777777" w:rsidR="00AD55A1" w:rsidRPr="00DD5F33" w:rsidRDefault="00AD55A1" w:rsidP="0038371E">
            <w:pPr>
              <w:jc w:val="both"/>
              <w:rPr>
                <w:rFonts w:ascii="Arial" w:hAnsi="Arial" w:cs="Arial"/>
                <w:color w:val="000000" w:themeColor="text1"/>
                <w:sz w:val="16"/>
                <w:szCs w:val="16"/>
                <w:lang w:val="es-ES_tradnl" w:eastAsia="es-ES"/>
              </w:rPr>
            </w:pPr>
            <w:r w:rsidRPr="00DD5F3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D1E5321" w14:textId="77777777" w:rsidR="00AD55A1" w:rsidRPr="00DD5F33" w:rsidRDefault="00AD55A1" w:rsidP="0038371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Guillermo Escolar Flórez</w:t>
            </w:r>
          </w:p>
          <w:p w14:paraId="6F6813B8" w14:textId="77777777" w:rsidR="00AD55A1" w:rsidRPr="00DD5F33" w:rsidRDefault="00AD55A1" w:rsidP="0038371E">
            <w:pPr>
              <w:jc w:val="both"/>
              <w:rPr>
                <w:rFonts w:ascii="Arial" w:hAnsi="Arial" w:cs="Arial"/>
                <w:color w:val="000000" w:themeColor="text1"/>
                <w:sz w:val="16"/>
                <w:szCs w:val="16"/>
                <w:lang w:val="es-ES_tradnl" w:eastAsia="es-ES"/>
              </w:rPr>
            </w:pPr>
            <w:r w:rsidRPr="00DD5F33">
              <w:rPr>
                <w:rFonts w:ascii="Arial" w:hAnsi="Arial" w:cs="Arial"/>
                <w:color w:val="000000" w:themeColor="text1"/>
                <w:sz w:val="16"/>
                <w:szCs w:val="16"/>
                <w:lang w:val="es-ES_tradnl" w:eastAsia="es-ES"/>
              </w:rPr>
              <w:t>Contratista de la Subdirección de Gestión Contractual</w:t>
            </w:r>
          </w:p>
        </w:tc>
      </w:tr>
      <w:tr w:rsidR="00AD55A1" w:rsidRPr="00DD5F33" w14:paraId="61AC7F79" w14:textId="77777777" w:rsidTr="0038371E">
        <w:trPr>
          <w:trHeight w:val="330"/>
        </w:trPr>
        <w:tc>
          <w:tcPr>
            <w:tcW w:w="812" w:type="dxa"/>
            <w:vAlign w:val="center"/>
            <w:hideMark/>
          </w:tcPr>
          <w:p w14:paraId="77A44F66" w14:textId="77777777" w:rsidR="00AD55A1" w:rsidRPr="00DD5F33" w:rsidRDefault="00AD55A1" w:rsidP="0038371E">
            <w:pPr>
              <w:jc w:val="both"/>
              <w:rPr>
                <w:rFonts w:ascii="Arial" w:hAnsi="Arial" w:cs="Arial"/>
                <w:color w:val="000000" w:themeColor="text1"/>
                <w:sz w:val="16"/>
                <w:szCs w:val="16"/>
                <w:lang w:val="es-ES_tradnl" w:eastAsia="es-ES"/>
              </w:rPr>
            </w:pPr>
            <w:r w:rsidRPr="00DD5F3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87029F" w14:textId="605FB07B" w:rsidR="00AD55A1" w:rsidRPr="00DD5F33" w:rsidRDefault="00AD55A1" w:rsidP="0038371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577C96A8" w14:textId="539F87F7" w:rsidR="00AD55A1" w:rsidRPr="00DD5F33" w:rsidRDefault="00AD55A1" w:rsidP="0038371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w:t>
            </w:r>
            <w:r w:rsidRPr="00DD5F33">
              <w:rPr>
                <w:rFonts w:ascii="Arial" w:hAnsi="Arial" w:cs="Arial"/>
                <w:color w:val="000000" w:themeColor="text1"/>
                <w:sz w:val="16"/>
                <w:szCs w:val="16"/>
                <w:lang w:val="es-ES_tradnl" w:eastAsia="es-ES"/>
              </w:rPr>
              <w:t>de la Subdirección de Gestión Contractual</w:t>
            </w:r>
          </w:p>
        </w:tc>
      </w:tr>
      <w:tr w:rsidR="00AD55A1" w:rsidRPr="005D75C1" w14:paraId="5DC5EF30" w14:textId="77777777" w:rsidTr="0038371E">
        <w:trPr>
          <w:trHeight w:val="300"/>
        </w:trPr>
        <w:tc>
          <w:tcPr>
            <w:tcW w:w="812" w:type="dxa"/>
            <w:vAlign w:val="center"/>
            <w:hideMark/>
          </w:tcPr>
          <w:p w14:paraId="31A339FF" w14:textId="77777777" w:rsidR="00AD55A1" w:rsidRPr="00DD5F33" w:rsidRDefault="00AD55A1" w:rsidP="0038371E">
            <w:pPr>
              <w:jc w:val="both"/>
              <w:rPr>
                <w:rFonts w:ascii="Arial" w:hAnsi="Arial" w:cs="Arial"/>
                <w:color w:val="000000" w:themeColor="text1"/>
                <w:sz w:val="16"/>
                <w:szCs w:val="16"/>
                <w:lang w:val="es-ES_tradnl" w:eastAsia="es-ES"/>
              </w:rPr>
            </w:pPr>
            <w:r w:rsidRPr="00DD5F3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C0F701" w14:textId="77777777" w:rsidR="00D368D9" w:rsidRPr="00691AAC" w:rsidRDefault="00D368D9" w:rsidP="00D368D9">
            <w:pPr>
              <w:rPr>
                <w:rFonts w:ascii="Arial" w:hAnsi="Arial" w:cs="Arial"/>
                <w:sz w:val="16"/>
                <w:szCs w:val="16"/>
              </w:rPr>
            </w:pPr>
            <w:r>
              <w:rPr>
                <w:rFonts w:ascii="Arial" w:hAnsi="Arial" w:cs="Arial"/>
                <w:sz w:val="16"/>
                <w:szCs w:val="16"/>
              </w:rPr>
              <w:t>Juan David Marín López</w:t>
            </w:r>
          </w:p>
          <w:p w14:paraId="10B07D5C" w14:textId="08258EB0" w:rsidR="00AD55A1" w:rsidRPr="005D75C1" w:rsidRDefault="00D368D9" w:rsidP="0038371E">
            <w:pPr>
              <w:jc w:val="both"/>
              <w:rPr>
                <w:rFonts w:ascii="Arial" w:hAnsi="Arial" w:cs="Arial"/>
                <w:color w:val="000000" w:themeColor="text1"/>
                <w:sz w:val="16"/>
                <w:szCs w:val="16"/>
                <w:lang w:val="es-ES_tradnl" w:eastAsia="es-ES"/>
              </w:rPr>
            </w:pPr>
            <w:r w:rsidRPr="006C2816">
              <w:rPr>
                <w:rFonts w:ascii="Arial" w:hAnsi="Arial" w:cs="Arial"/>
                <w:sz w:val="16"/>
                <w:szCs w:val="16"/>
              </w:rPr>
              <w:t xml:space="preserve">Subdirector de Gestión Contractual </w:t>
            </w:r>
            <w:r>
              <w:rPr>
                <w:rFonts w:ascii="Arial" w:hAnsi="Arial" w:cs="Arial"/>
                <w:sz w:val="16"/>
                <w:szCs w:val="16"/>
              </w:rPr>
              <w:t>(E)</w:t>
            </w:r>
          </w:p>
        </w:tc>
      </w:tr>
      <w:bookmarkEnd w:id="3"/>
    </w:tbl>
    <w:p w14:paraId="725DB761" w14:textId="5335B235" w:rsidR="62C4790C" w:rsidRDefault="62C4790C" w:rsidP="00AD55A1">
      <w:pPr>
        <w:pStyle w:val="NormalWeb"/>
        <w:spacing w:before="0" w:beforeAutospacing="0" w:after="0" w:afterAutospacing="0" w:line="276" w:lineRule="auto"/>
        <w:jc w:val="both"/>
      </w:pPr>
    </w:p>
    <w:sectPr w:rsidR="62C4790C" w:rsidSect="005D4824">
      <w:headerReference w:type="default" r:id="rId13"/>
      <w:footerReference w:type="default" r:id="rId14"/>
      <w:pgSz w:w="12240" w:h="15840"/>
      <w:pgMar w:top="1701" w:right="1701" w:bottom="1418" w:left="1701"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56628" w14:textId="77777777" w:rsidR="003C116F" w:rsidRDefault="003C116F">
      <w:r>
        <w:separator/>
      </w:r>
    </w:p>
  </w:endnote>
  <w:endnote w:type="continuationSeparator" w:id="0">
    <w:p w14:paraId="03D952AD" w14:textId="77777777" w:rsidR="003C116F" w:rsidRDefault="003C116F">
      <w:r>
        <w:continuationSeparator/>
      </w:r>
    </w:p>
  </w:endnote>
  <w:endnote w:type="continuationNotice" w:id="1">
    <w:p w14:paraId="5635848B" w14:textId="77777777" w:rsidR="003C116F" w:rsidRDefault="003C1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eomanist Light">
    <w:panose1 w:val="020005030000000200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A7CD" w14:textId="77777777" w:rsidR="00810792" w:rsidRDefault="00810792" w:rsidP="00810792">
    <w:pPr>
      <w:pStyle w:val="Piedepgina"/>
    </w:pPr>
    <w:r>
      <w:rPr>
        <w:noProof/>
      </w:rPr>
      <w:drawing>
        <wp:inline distT="0" distB="0" distL="0" distR="0" wp14:anchorId="4173A72D" wp14:editId="19E66ED8">
          <wp:extent cx="5626100" cy="914400"/>
          <wp:effectExtent l="0" t="0" r="0" b="0"/>
          <wp:docPr id="6" name="Imagen 6"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629024"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420"/>
      <w:gridCol w:w="844"/>
      <w:gridCol w:w="1969"/>
      <w:gridCol w:w="720"/>
      <w:gridCol w:w="2134"/>
      <w:gridCol w:w="1743"/>
    </w:tblGrid>
    <w:tr w:rsidR="00810792" w:rsidRPr="00080DA3" w14:paraId="5FEDD0E4" w14:textId="77777777" w:rsidTr="00810792">
      <w:trPr>
        <w:trHeight w:val="229"/>
        <w:jc w:val="center"/>
      </w:trPr>
      <w:tc>
        <w:tcPr>
          <w:tcW w:w="99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4B911A2" w14:textId="77777777" w:rsidR="00810792" w:rsidRPr="00080DA3" w:rsidRDefault="00810792" w:rsidP="0081079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0"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AE62322" w14:textId="77777777" w:rsidR="00810792" w:rsidRPr="00080DA3" w:rsidRDefault="00810792" w:rsidP="0081079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9DE9A6D" w14:textId="77777777" w:rsidR="00810792" w:rsidRPr="00080DA3" w:rsidRDefault="00810792" w:rsidP="0081079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71"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6BD747F3" w14:textId="77777777" w:rsidR="00810792" w:rsidRPr="00080DA3" w:rsidRDefault="00810792" w:rsidP="00810792">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CF014F6" w14:textId="77777777" w:rsidR="00810792" w:rsidRPr="00080DA3" w:rsidRDefault="00810792" w:rsidP="0081079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136"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160F98E" w14:textId="77777777" w:rsidR="00810792" w:rsidRPr="00080DA3" w:rsidRDefault="00810792" w:rsidP="00810792">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745"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052B4C5" w14:textId="77777777" w:rsidR="00810792" w:rsidRPr="00080DA3" w:rsidRDefault="00810792" w:rsidP="00810792">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3</w:t>
          </w:r>
          <w:r w:rsidRPr="00080DA3">
            <w:rPr>
              <w:rFonts w:ascii="Geomanist Light" w:hAnsi="Geomanist Light"/>
              <w:b/>
              <w:bCs/>
              <w:sz w:val="18"/>
              <w:szCs w:val="18"/>
            </w:rPr>
            <w:fldChar w:fldCharType="end"/>
          </w:r>
        </w:p>
      </w:tc>
    </w:tr>
  </w:tbl>
  <w:p w14:paraId="6C0EFC49" w14:textId="77777777" w:rsidR="0015145A" w:rsidRPr="00810792" w:rsidRDefault="0015145A" w:rsidP="0081079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80B0" w14:textId="77777777" w:rsidR="003C116F" w:rsidRDefault="003C116F">
      <w:r>
        <w:separator/>
      </w:r>
    </w:p>
  </w:footnote>
  <w:footnote w:type="continuationSeparator" w:id="0">
    <w:p w14:paraId="4EE0C9A2" w14:textId="77777777" w:rsidR="003C116F" w:rsidRDefault="003C116F">
      <w:r>
        <w:continuationSeparator/>
      </w:r>
    </w:p>
  </w:footnote>
  <w:footnote w:type="continuationNotice" w:id="1">
    <w:p w14:paraId="55801AE0" w14:textId="77777777" w:rsidR="003C116F" w:rsidRDefault="003C116F"/>
  </w:footnote>
  <w:footnote w:id="2">
    <w:p w14:paraId="5D5970DF" w14:textId="77777777" w:rsidR="002B1A7C" w:rsidRPr="00921A73" w:rsidRDefault="002B1A7C" w:rsidP="00921A73">
      <w:pPr>
        <w:pStyle w:val="Textonotapie"/>
        <w:ind w:firstLine="708"/>
        <w:jc w:val="both"/>
        <w:rPr>
          <w:rFonts w:ascii="Arial" w:hAnsi="Arial" w:cs="Arial"/>
          <w:sz w:val="19"/>
          <w:szCs w:val="19"/>
        </w:rPr>
      </w:pPr>
      <w:r w:rsidRPr="00921A73">
        <w:rPr>
          <w:rStyle w:val="Refdenotaalpie"/>
          <w:rFonts w:ascii="Arial" w:hAnsi="Arial" w:cs="Arial"/>
          <w:sz w:val="19"/>
          <w:szCs w:val="19"/>
        </w:rPr>
        <w:footnoteRef/>
      </w:r>
      <w:r w:rsidRPr="00921A73">
        <w:rPr>
          <w:rFonts w:ascii="Arial" w:hAnsi="Arial" w:cs="Arial"/>
          <w:sz w:val="19"/>
          <w:szCs w:val="19"/>
        </w:rPr>
        <w:t xml:space="preserve"> Conforme al artículo 1 de la Ley 2064 de 2020, «La presente Ley tiene por objeto establecer un marco regulatorio que propicie el emprendimiento y el crecimiento, consolidación y sostenibilidad de las empresas, con el fin de aumentar el bienestar social y generar equidad.</w:t>
      </w:r>
    </w:p>
    <w:p w14:paraId="4B4C09AE" w14:textId="77777777" w:rsidR="002B1A7C" w:rsidRPr="00921A73" w:rsidRDefault="002B1A7C" w:rsidP="00921A73">
      <w:pPr>
        <w:pStyle w:val="Textonotapie"/>
        <w:ind w:firstLine="708"/>
        <w:jc w:val="both"/>
        <w:rPr>
          <w:rFonts w:ascii="Arial" w:hAnsi="Arial" w:cs="Arial"/>
          <w:sz w:val="19"/>
          <w:szCs w:val="19"/>
        </w:rPr>
      </w:pPr>
      <w:proofErr w:type="gramStart"/>
      <w:r w:rsidRPr="00921A73">
        <w:rPr>
          <w:rFonts w:ascii="Arial" w:hAnsi="Arial" w:cs="Arial"/>
          <w:sz w:val="19"/>
          <w:szCs w:val="19"/>
        </w:rPr>
        <w:t>»Dicho</w:t>
      </w:r>
      <w:proofErr w:type="gramEnd"/>
      <w:r w:rsidRPr="00921A73">
        <w:rPr>
          <w:rFonts w:ascii="Arial" w:hAnsi="Arial" w:cs="Arial"/>
          <w:sz w:val="19"/>
          <w:szCs w:val="19"/>
        </w:rPr>
        <w:t xml:space="preserve"> marco delineará un enfoque regionalizado de acuerdo a las realidades socioeconómicos de cada región».</w:t>
      </w:r>
    </w:p>
    <w:p w14:paraId="3F1C3CEA" w14:textId="77777777" w:rsidR="002B1A7C" w:rsidRPr="00921A73" w:rsidRDefault="002B1A7C" w:rsidP="00921A73">
      <w:pPr>
        <w:pStyle w:val="Textonotapie"/>
        <w:ind w:firstLine="708"/>
        <w:jc w:val="both"/>
        <w:rPr>
          <w:rFonts w:ascii="Arial" w:hAnsi="Arial" w:cs="Arial"/>
          <w:sz w:val="19"/>
          <w:szCs w:val="19"/>
          <w:lang w:val="es-ES"/>
        </w:rPr>
      </w:pPr>
    </w:p>
  </w:footnote>
  <w:footnote w:id="3">
    <w:p w14:paraId="3959BBA5" w14:textId="77777777" w:rsidR="002B1A7C" w:rsidRPr="00921A73" w:rsidRDefault="002B1A7C" w:rsidP="00921A73">
      <w:pPr>
        <w:pStyle w:val="Textonotapie"/>
        <w:ind w:firstLine="708"/>
        <w:jc w:val="both"/>
        <w:rPr>
          <w:rFonts w:ascii="Arial" w:hAnsi="Arial" w:cs="Arial"/>
          <w:bCs/>
          <w:sz w:val="19"/>
          <w:szCs w:val="19"/>
        </w:rPr>
      </w:pPr>
      <w:r w:rsidRPr="00921A73">
        <w:rPr>
          <w:rStyle w:val="Refdenotaalpie"/>
          <w:rFonts w:ascii="Arial" w:hAnsi="Arial" w:cs="Arial"/>
          <w:sz w:val="19"/>
          <w:szCs w:val="19"/>
        </w:rPr>
        <w:footnoteRef/>
      </w:r>
      <w:r w:rsidRPr="00921A73">
        <w:rPr>
          <w:rFonts w:ascii="Arial" w:hAnsi="Arial" w:cs="Arial"/>
          <w:sz w:val="19"/>
          <w:szCs w:val="19"/>
        </w:rPr>
        <w:t xml:space="preserve"> </w:t>
      </w:r>
      <w:r w:rsidRPr="00921A73">
        <w:rPr>
          <w:rFonts w:ascii="Arial" w:hAnsi="Arial" w:cs="Arial"/>
          <w:bCs/>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921A73">
        <w:rPr>
          <w:rFonts w:ascii="Arial" w:hAnsi="Arial" w:cs="Arial"/>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8915A6">
          <w:rPr>
            <w:rStyle w:val="Hipervnculo"/>
            <w:rFonts w:ascii="Arial" w:hAnsi="Arial" w:cs="Arial"/>
            <w:color w:val="000000" w:themeColor="text1"/>
            <w:sz w:val="19"/>
            <w:szCs w:val="19"/>
          </w:rPr>
          <w:t>https://colaboracion.dnp.gov.co/CDT/Conpes/Econ%C3%B3micos/3956.pdf</w:t>
        </w:r>
      </w:hyperlink>
      <w:r w:rsidRPr="008915A6">
        <w:rPr>
          <w:rFonts w:ascii="Arial" w:hAnsi="Arial" w:cs="Arial"/>
          <w:color w:val="000000" w:themeColor="text1"/>
          <w:sz w:val="19"/>
          <w:szCs w:val="19"/>
        </w:rPr>
        <w:t xml:space="preserve">).  </w:t>
      </w:r>
    </w:p>
    <w:p w14:paraId="42806C3A" w14:textId="77777777" w:rsidR="002B1A7C" w:rsidRPr="00921A73" w:rsidRDefault="002B1A7C" w:rsidP="00921A73">
      <w:pPr>
        <w:pStyle w:val="Textonotapie"/>
        <w:ind w:firstLine="708"/>
        <w:jc w:val="both"/>
        <w:rPr>
          <w:rFonts w:ascii="Arial" w:hAnsi="Arial" w:cs="Arial"/>
          <w:sz w:val="19"/>
          <w:szCs w:val="19"/>
          <w:lang w:val="es-ES"/>
        </w:rPr>
      </w:pPr>
    </w:p>
  </w:footnote>
  <w:footnote w:id="4">
    <w:p w14:paraId="53C4CB41" w14:textId="53675965" w:rsidR="002B1A7C" w:rsidRPr="00921A73" w:rsidRDefault="002B1A7C" w:rsidP="00921A73">
      <w:pPr>
        <w:pStyle w:val="Textonotapie"/>
        <w:ind w:firstLine="708"/>
        <w:jc w:val="both"/>
        <w:rPr>
          <w:rFonts w:ascii="Arial" w:hAnsi="Arial" w:cs="Arial"/>
          <w:sz w:val="19"/>
          <w:szCs w:val="19"/>
        </w:rPr>
      </w:pPr>
      <w:r w:rsidRPr="00921A73">
        <w:rPr>
          <w:rStyle w:val="Refdenotaalpie"/>
          <w:rFonts w:ascii="Arial" w:hAnsi="Arial" w:cs="Arial"/>
          <w:sz w:val="19"/>
          <w:szCs w:val="19"/>
        </w:rPr>
        <w:footnoteRef/>
      </w:r>
      <w:r w:rsidRPr="00921A73">
        <w:rPr>
          <w:rFonts w:ascii="Arial" w:hAnsi="Arial" w:cs="Arial"/>
          <w:sz w:val="19"/>
          <w:szCs w:val="19"/>
        </w:rPr>
        <w:t xml:space="preserve"> </w:t>
      </w:r>
      <w:bookmarkStart w:id="7" w:name="_Hlk63862868"/>
      <w:r w:rsidRPr="00921A73">
        <w:rPr>
          <w:rFonts w:ascii="Arial" w:hAnsi="Arial" w:cs="Arial"/>
          <w:sz w:val="19"/>
          <w:szCs w:val="19"/>
        </w:rPr>
        <w:t xml:space="preserve">CONGRESO DE LA REPÚBLICA. Gaceta No. 670 del 11 de agosto de 2020. Exposición de motivos del Proyecto de Ley No. 122 de 2020 Cámara. p. 13. </w:t>
      </w:r>
    </w:p>
    <w:p w14:paraId="3EDD5C2C" w14:textId="77777777" w:rsidR="00386C6C" w:rsidRPr="00921A73" w:rsidRDefault="00386C6C" w:rsidP="00921A73">
      <w:pPr>
        <w:pStyle w:val="Textonotapie"/>
        <w:ind w:firstLine="708"/>
        <w:jc w:val="both"/>
        <w:rPr>
          <w:rFonts w:ascii="Arial" w:hAnsi="Arial" w:cs="Arial"/>
          <w:sz w:val="19"/>
          <w:szCs w:val="19"/>
          <w:lang w:val="es-ES"/>
        </w:rPr>
      </w:pPr>
    </w:p>
    <w:bookmarkEnd w:id="7"/>
  </w:footnote>
  <w:footnote w:id="5">
    <w:p w14:paraId="3FB662D1" w14:textId="77777777" w:rsidR="002B1A7C" w:rsidRPr="00921A73" w:rsidRDefault="002B1A7C" w:rsidP="00921A73">
      <w:pPr>
        <w:pStyle w:val="Textonotapie"/>
        <w:ind w:firstLine="708"/>
        <w:jc w:val="both"/>
        <w:rPr>
          <w:rFonts w:ascii="Arial" w:hAnsi="Arial" w:cs="Arial"/>
          <w:sz w:val="19"/>
          <w:szCs w:val="19"/>
        </w:rPr>
      </w:pPr>
      <w:r w:rsidRPr="00921A73">
        <w:rPr>
          <w:rStyle w:val="Refdenotaalpie"/>
          <w:rFonts w:ascii="Arial" w:hAnsi="Arial" w:cs="Arial"/>
          <w:sz w:val="19"/>
          <w:szCs w:val="19"/>
        </w:rPr>
        <w:footnoteRef/>
      </w:r>
      <w:r w:rsidRPr="00921A73">
        <w:rPr>
          <w:rFonts w:ascii="Arial" w:hAnsi="Arial" w:cs="Arial"/>
          <w:sz w:val="19"/>
          <w:szCs w:val="19"/>
        </w:rPr>
        <w:t xml:space="preserve"> </w:t>
      </w:r>
      <w:r w:rsidRPr="00921A73">
        <w:rPr>
          <w:rFonts w:ascii="Arial" w:hAnsi="Arial" w:cs="Arial"/>
          <w:i/>
          <w:iCs/>
          <w:sz w:val="19"/>
          <w:szCs w:val="19"/>
        </w:rPr>
        <w:t>Ibidem</w:t>
      </w:r>
      <w:r w:rsidRPr="00921A73">
        <w:rPr>
          <w:rFonts w:ascii="Arial" w:hAnsi="Arial" w:cs="Arial"/>
          <w:sz w:val="19"/>
          <w:szCs w:val="19"/>
        </w:rPr>
        <w:t>. p. 18.</w:t>
      </w:r>
    </w:p>
    <w:p w14:paraId="52F9BC79" w14:textId="77777777" w:rsidR="002B1A7C" w:rsidRPr="00921A73" w:rsidRDefault="002B1A7C" w:rsidP="00921A73">
      <w:pPr>
        <w:pStyle w:val="Textonotapie"/>
        <w:ind w:firstLine="708"/>
        <w:jc w:val="both"/>
        <w:rPr>
          <w:rFonts w:ascii="Arial" w:hAnsi="Arial" w:cs="Arial"/>
          <w:sz w:val="19"/>
          <w:szCs w:val="19"/>
          <w:lang w:val="es-ES"/>
        </w:rPr>
      </w:pPr>
    </w:p>
  </w:footnote>
  <w:footnote w:id="6">
    <w:p w14:paraId="067D53C5" w14:textId="4DB2BA27" w:rsidR="00690DAF" w:rsidRPr="008915A6" w:rsidRDefault="00690DAF" w:rsidP="00921A73">
      <w:pPr>
        <w:pStyle w:val="Textonotapie"/>
        <w:ind w:firstLine="708"/>
        <w:jc w:val="both"/>
        <w:rPr>
          <w:rFonts w:ascii="Arial" w:hAnsi="Arial" w:cs="Arial"/>
          <w:sz w:val="19"/>
          <w:szCs w:val="19"/>
          <w:lang w:val="es-ES"/>
        </w:rPr>
      </w:pPr>
      <w:r w:rsidRPr="008915A6">
        <w:rPr>
          <w:rStyle w:val="Refdenotaalpie"/>
          <w:rFonts w:ascii="Arial" w:hAnsi="Arial" w:cs="Arial"/>
          <w:sz w:val="19"/>
          <w:szCs w:val="19"/>
        </w:rPr>
        <w:footnoteRef/>
      </w:r>
      <w:r w:rsidRPr="008915A6">
        <w:rPr>
          <w:rFonts w:ascii="Arial" w:hAnsi="Arial" w:cs="Arial"/>
          <w:sz w:val="19"/>
          <w:szCs w:val="19"/>
        </w:rPr>
        <w:t xml:space="preserve"> </w:t>
      </w:r>
      <w:r w:rsidRPr="00921A73">
        <w:rPr>
          <w:rFonts w:ascii="Arial" w:hAnsi="Arial" w:cs="Arial"/>
          <w:sz w:val="19"/>
          <w:szCs w:val="19"/>
          <w:lang w:val="es-ES"/>
        </w:rPr>
        <w:t>Memoria justificativa</w:t>
      </w:r>
      <w:r w:rsidR="00FC7945" w:rsidRPr="00921A73">
        <w:rPr>
          <w:rFonts w:ascii="Arial" w:hAnsi="Arial" w:cs="Arial"/>
          <w:sz w:val="19"/>
          <w:szCs w:val="19"/>
          <w:lang w:val="es-ES"/>
        </w:rPr>
        <w:t xml:space="preserve"> de la Resolución 275 de 2022 expedida por Colombia Compra Eficiente.</w:t>
      </w:r>
    </w:p>
  </w:footnote>
  <w:footnote w:id="7">
    <w:p w14:paraId="414C9143" w14:textId="69049CD3" w:rsidR="00921A73" w:rsidRPr="008915A6" w:rsidRDefault="00921A73" w:rsidP="008915A6">
      <w:pPr>
        <w:pStyle w:val="Textonotapie"/>
        <w:ind w:firstLine="708"/>
        <w:jc w:val="both"/>
        <w:rPr>
          <w:rFonts w:ascii="Arial" w:hAnsi="Arial" w:cs="Arial"/>
          <w:sz w:val="19"/>
          <w:szCs w:val="19"/>
        </w:rPr>
      </w:pPr>
      <w:r w:rsidRPr="008915A6">
        <w:rPr>
          <w:rStyle w:val="Refdenotaalpie"/>
          <w:rFonts w:ascii="Arial" w:hAnsi="Arial" w:cs="Arial"/>
          <w:sz w:val="19"/>
          <w:szCs w:val="19"/>
        </w:rPr>
        <w:footnoteRef/>
      </w:r>
      <w:r w:rsidRPr="008915A6">
        <w:rPr>
          <w:rFonts w:ascii="Arial" w:hAnsi="Arial" w:cs="Arial"/>
          <w:sz w:val="19"/>
          <w:szCs w:val="19"/>
        </w:rPr>
        <w:t xml:space="preserve"> </w:t>
      </w:r>
      <w:r>
        <w:rPr>
          <w:rFonts w:ascii="Arial" w:hAnsi="Arial" w:cs="Arial"/>
          <w:sz w:val="19"/>
          <w:szCs w:val="19"/>
        </w:rPr>
        <w:t>Decreto 1082 de 2015</w:t>
      </w:r>
      <w:r w:rsidR="00ED5B74">
        <w:rPr>
          <w:rFonts w:ascii="Arial" w:hAnsi="Arial" w:cs="Arial"/>
          <w:sz w:val="19"/>
          <w:szCs w:val="19"/>
        </w:rPr>
        <w:t xml:space="preserve"> –de acuerdo con la modificación realizada por el Decreto 1860 de 2021– </w:t>
      </w:r>
      <w:r>
        <w:rPr>
          <w:rFonts w:ascii="Arial" w:hAnsi="Arial" w:cs="Arial"/>
          <w:sz w:val="19"/>
          <w:szCs w:val="19"/>
        </w:rPr>
        <w:t>:</w:t>
      </w:r>
      <w:r w:rsidRPr="008915A6">
        <w:rPr>
          <w:rFonts w:ascii="Arial" w:hAnsi="Arial" w:cs="Arial"/>
          <w:sz w:val="19"/>
          <w:szCs w:val="19"/>
        </w:rPr>
        <w:t xml:space="preserve"> </w:t>
      </w:r>
      <w:r>
        <w:rPr>
          <w:rFonts w:ascii="Arial" w:hAnsi="Arial" w:cs="Arial"/>
          <w:sz w:val="19"/>
          <w:szCs w:val="19"/>
        </w:rPr>
        <w:t>«</w:t>
      </w:r>
      <w:r w:rsidRPr="008915A6">
        <w:rPr>
          <w:rFonts w:ascii="Arial" w:hAnsi="Arial" w:cs="Arial"/>
          <w:sz w:val="19"/>
          <w:szCs w:val="19"/>
        </w:rPr>
        <w:t>Artículo 2.2.1.2.4.2.16. Fomento a la ejecución de contratos estatales por parte de población en pobreza extrema, desplazados por la violencia, personas en proceso de reintegración o reincorporación y sujetos de especial protección constitucional.</w:t>
      </w:r>
      <w:r w:rsidR="00ED5B74">
        <w:rPr>
          <w:rFonts w:ascii="Arial" w:hAnsi="Arial" w:cs="Arial"/>
          <w:sz w:val="19"/>
          <w:szCs w:val="19"/>
        </w:rPr>
        <w:t xml:space="preserve"> </w:t>
      </w:r>
      <w:r w:rsidRPr="008915A6">
        <w:rPr>
          <w:rFonts w:ascii="Arial" w:hAnsi="Arial" w:cs="Arial"/>
          <w:sz w:val="19"/>
          <w:szCs w:val="19"/>
        </w:rPr>
        <w:t xml:space="preserve">En los Procesos de Contratación, las Entidades Estatales indistintamente de su régimen de contratación, los patrimonios autónomos constituidos por Entidades Estatales y los particulares que ejecuten recursos públicos fomentarán </w:t>
      </w:r>
      <w:r w:rsidRPr="008915A6">
        <w:rPr>
          <w:rFonts w:ascii="Arial" w:hAnsi="Arial" w:cs="Arial"/>
          <w:b/>
          <w:bCs/>
          <w:sz w:val="19"/>
          <w:szCs w:val="19"/>
        </w:rPr>
        <w:t>en los pliegos de condiciones o documento equivalente</w:t>
      </w:r>
      <w:r w:rsidRPr="008915A6">
        <w:rPr>
          <w:rFonts w:ascii="Arial" w:hAnsi="Arial" w:cs="Arial"/>
          <w:sz w:val="19"/>
          <w:szCs w:val="19"/>
        </w:rPr>
        <w:t xml:space="preserv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55A64984" w14:textId="7F599367"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sz w:val="19"/>
          <w:szCs w:val="19"/>
        </w:rPr>
        <w:t>La participación de los sujetos anteriormente mencionados en la ejecución del contrato se fomentará previo análisis de su oportunidad y conveniencia en los Documentos del Proceso, teniendo en cuenta el objeto contractual y el alcance de las obligaciones.</w:t>
      </w:r>
    </w:p>
    <w:p w14:paraId="4B45AA0D" w14:textId="18476D80"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sz w:val="19"/>
          <w:szCs w:val="19"/>
        </w:rPr>
        <w:t>Esta provisión se establecerá en un porcentaje que no será superior al diez por ciento (10%) ni inferior al cinco por ciento (5%) de los bienes o servicios requeridos para la ejecución del contrato, de manera que no se ponga en riesgo su cumplimiento adecuado.</w:t>
      </w:r>
    </w:p>
    <w:p w14:paraId="019169E2" w14:textId="5198C6D9"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b/>
          <w:bCs/>
          <w:sz w:val="19"/>
          <w:szCs w:val="19"/>
        </w:rPr>
        <w:t>Previo análisis de oportunidad y conveniencia, la Entidad Estatal incorporará esta obligación en la minuta del contrato del pliego de condiciones o documento equivalente</w:t>
      </w:r>
      <w:r w:rsidRPr="008915A6">
        <w:rPr>
          <w:rFonts w:ascii="Arial" w:hAnsi="Arial" w:cs="Arial"/>
          <w:sz w:val="19"/>
          <w:szCs w:val="19"/>
        </w:rPr>
        <w:t>, precisando las sanciones pecuniarias producto del incumplimiento injustificado de esta a través de las causales de multa que estime pertinentes.</w:t>
      </w:r>
    </w:p>
    <w:p w14:paraId="50F960CD" w14:textId="3909CA4B"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sz w:val="19"/>
          <w:szCs w:val="19"/>
        </w:rPr>
        <w:t>El supervisor o el interventor, según el caso, realizará el seguimiento y verificará que las personas vinculadas al inicio y durante la ejecución del contrato pertenezcan a los grupos poblacionales enunciados anteriormente.</w:t>
      </w:r>
    </w:p>
    <w:p w14:paraId="41BB136F" w14:textId="7197E01E"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sz w:val="19"/>
          <w:szCs w:val="19"/>
        </w:rPr>
        <w:t xml:space="preserve">PARÁGRAFO 1. Para los efectos previstos en el presente artículo, los sujetos de especial protección constitucional 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w:t>
      </w:r>
      <w:proofErr w:type="spellStart"/>
      <w:r w:rsidRPr="008915A6">
        <w:rPr>
          <w:rFonts w:ascii="Arial" w:hAnsi="Arial" w:cs="Arial"/>
          <w:sz w:val="19"/>
          <w:szCs w:val="19"/>
        </w:rPr>
        <w:t>Rrom</w:t>
      </w:r>
      <w:proofErr w:type="spellEnd"/>
      <w:r w:rsidRPr="008915A6">
        <w:rPr>
          <w:rFonts w:ascii="Arial" w:hAnsi="Arial" w:cs="Arial"/>
          <w:sz w:val="19"/>
          <w:szCs w:val="19"/>
        </w:rPr>
        <w:t xml:space="preserve"> o gitanas.</w:t>
      </w:r>
    </w:p>
    <w:p w14:paraId="38B5CF7A" w14:textId="30A22E2A" w:rsidR="00921A73" w:rsidRPr="008915A6" w:rsidRDefault="00921A73" w:rsidP="008915A6">
      <w:pPr>
        <w:pStyle w:val="Textonotapie"/>
        <w:ind w:firstLine="708"/>
        <w:jc w:val="both"/>
        <w:rPr>
          <w:rFonts w:ascii="Arial" w:hAnsi="Arial" w:cs="Arial"/>
          <w:sz w:val="19"/>
          <w:szCs w:val="19"/>
        </w:rPr>
      </w:pPr>
      <w:r>
        <w:rPr>
          <w:rFonts w:ascii="Arial" w:hAnsi="Arial" w:cs="Arial"/>
          <w:sz w:val="19"/>
          <w:szCs w:val="19"/>
        </w:rPr>
        <w:t>»</w:t>
      </w:r>
      <w:r w:rsidRPr="008915A6">
        <w:rPr>
          <w:rFonts w:ascii="Arial" w:hAnsi="Arial" w:cs="Arial"/>
          <w:sz w:val="19"/>
          <w:szCs w:val="19"/>
        </w:rPr>
        <w:t xml:space="preserve">Estas circunstancias se acreditarán en las condiciones que disponga la ley o el reglamento, aplicando en lo pertinente lo definido en el artículo 2.2.1.2.4.2.17 del presente Decreto. </w:t>
      </w:r>
      <w:r w:rsidRPr="008915A6">
        <w:rPr>
          <w:rFonts w:ascii="Arial" w:hAnsi="Arial" w:cs="Arial"/>
          <w:b/>
          <w:bCs/>
          <w:sz w:val="19"/>
          <w:szCs w:val="19"/>
        </w:rPr>
        <w:t>En ausencia de una condición especial prevista en la normativa vigente, se acreditarán en los términos que defina el pliego de condiciones o documento equivalente</w:t>
      </w:r>
      <w:r w:rsidRPr="008915A6">
        <w:rPr>
          <w:rFonts w:ascii="Arial" w:hAnsi="Arial" w:cs="Arial"/>
          <w:sz w:val="19"/>
          <w:szCs w:val="19"/>
        </w:rPr>
        <w:t>.</w:t>
      </w:r>
    </w:p>
    <w:p w14:paraId="4B0E7490" w14:textId="388A0D5F" w:rsidR="00921A73" w:rsidRPr="008915A6" w:rsidRDefault="00921A73" w:rsidP="008915A6">
      <w:pPr>
        <w:pStyle w:val="Textonotapie"/>
        <w:ind w:firstLine="708"/>
        <w:jc w:val="both"/>
        <w:rPr>
          <w:rFonts w:ascii="Arial" w:hAnsi="Arial" w:cs="Arial"/>
          <w:sz w:val="19"/>
          <w:szCs w:val="19"/>
          <w:lang w:val="es-CO"/>
        </w:rPr>
      </w:pPr>
      <w:r>
        <w:rPr>
          <w:rFonts w:ascii="Arial" w:hAnsi="Arial" w:cs="Arial"/>
          <w:sz w:val="19"/>
          <w:szCs w:val="19"/>
        </w:rPr>
        <w:t>»</w:t>
      </w:r>
      <w:r w:rsidRPr="008915A6">
        <w:rPr>
          <w:rFonts w:ascii="Arial" w:hAnsi="Arial" w:cs="Arial"/>
          <w:sz w:val="19"/>
          <w:szCs w:val="19"/>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r>
        <w:rPr>
          <w:rFonts w:ascii="Arial" w:hAnsi="Arial" w:cs="Arial"/>
          <w:sz w:val="19"/>
          <w:szCs w:val="19"/>
        </w:rPr>
        <w:t>»</w:t>
      </w:r>
      <w:r w:rsidRPr="008915A6">
        <w:rPr>
          <w:rFonts w:ascii="Arial" w:hAnsi="Arial" w:cs="Arial"/>
          <w:sz w:val="19"/>
          <w:szCs w:val="19"/>
        </w:rPr>
        <w:t>.</w:t>
      </w:r>
      <w:r w:rsidR="00ED5B74">
        <w:rPr>
          <w:rFonts w:ascii="Arial" w:hAnsi="Arial" w:cs="Arial"/>
          <w:sz w:val="19"/>
          <w:szCs w:val="19"/>
        </w:rPr>
        <w:t xml:space="preserve"> (Negrilla fuera del original).</w:t>
      </w:r>
    </w:p>
  </w:footnote>
  <w:footnote w:id="8">
    <w:p w14:paraId="527C5892" w14:textId="54071C12" w:rsidR="00690DAF" w:rsidRPr="00921A73" w:rsidRDefault="00690DAF" w:rsidP="008915A6">
      <w:pPr>
        <w:pBdr>
          <w:top w:val="nil"/>
          <w:left w:val="nil"/>
          <w:bottom w:val="nil"/>
          <w:right w:val="nil"/>
          <w:between w:val="nil"/>
        </w:pBdr>
        <w:ind w:firstLine="708"/>
        <w:jc w:val="both"/>
        <w:rPr>
          <w:rFonts w:ascii="Arial" w:hAnsi="Arial" w:cs="Arial"/>
          <w:i/>
          <w:sz w:val="19"/>
          <w:szCs w:val="19"/>
          <w:lang w:val="es-ES"/>
        </w:rPr>
      </w:pPr>
      <w:r w:rsidRPr="00921A73">
        <w:rPr>
          <w:rStyle w:val="Refdenotaalpie"/>
          <w:rFonts w:ascii="Arial" w:hAnsi="Arial" w:cs="Arial"/>
          <w:i/>
          <w:sz w:val="19"/>
          <w:szCs w:val="19"/>
        </w:rPr>
        <w:footnoteRef/>
      </w:r>
      <w:r w:rsidRPr="00921A73">
        <w:rPr>
          <w:rFonts w:ascii="Arial" w:hAnsi="Arial" w:cs="Arial"/>
          <w:i/>
          <w:sz w:val="19"/>
          <w:szCs w:val="19"/>
        </w:rPr>
        <w:t xml:space="preserve"> </w:t>
      </w:r>
      <w:proofErr w:type="spellStart"/>
      <w:r w:rsidR="0072384D" w:rsidRPr="00921A73">
        <w:rPr>
          <w:rFonts w:ascii="Arial" w:hAnsi="Arial" w:cs="Arial"/>
          <w:i/>
          <w:sz w:val="19"/>
          <w:szCs w:val="19"/>
          <w:lang w:val="es-ES"/>
        </w:rPr>
        <w:t>I</w:t>
      </w:r>
      <w:r w:rsidRPr="00921A73">
        <w:rPr>
          <w:rFonts w:ascii="Arial" w:hAnsi="Arial" w:cs="Arial"/>
          <w:i/>
          <w:sz w:val="19"/>
          <w:szCs w:val="19"/>
          <w:lang w:val="es-ES"/>
        </w:rPr>
        <w:t>bídem</w:t>
      </w:r>
      <w:proofErr w:type="spellEnd"/>
    </w:p>
  </w:footnote>
  <w:footnote w:id="9">
    <w:p w14:paraId="4ACEAD12" w14:textId="5C3A3FE7" w:rsidR="00690DAF" w:rsidRPr="00921A73" w:rsidRDefault="00690DAF" w:rsidP="008915A6">
      <w:pPr>
        <w:pBdr>
          <w:top w:val="nil"/>
          <w:left w:val="nil"/>
          <w:bottom w:val="nil"/>
          <w:right w:val="nil"/>
          <w:between w:val="nil"/>
        </w:pBdr>
        <w:ind w:firstLine="708"/>
        <w:jc w:val="both"/>
        <w:rPr>
          <w:rFonts w:ascii="Arial" w:hAnsi="Arial" w:cs="Arial"/>
          <w:i/>
          <w:sz w:val="19"/>
          <w:szCs w:val="19"/>
          <w:lang w:val="es-ES"/>
        </w:rPr>
      </w:pPr>
      <w:r w:rsidRPr="00921A73">
        <w:rPr>
          <w:rStyle w:val="Refdenotaalpie"/>
          <w:rFonts w:ascii="Arial" w:hAnsi="Arial" w:cs="Arial"/>
          <w:i/>
          <w:sz w:val="19"/>
          <w:szCs w:val="19"/>
        </w:rPr>
        <w:footnoteRef/>
      </w:r>
      <w:r w:rsidRPr="00921A73">
        <w:rPr>
          <w:rFonts w:ascii="Arial" w:hAnsi="Arial" w:cs="Arial"/>
          <w:i/>
          <w:sz w:val="19"/>
          <w:szCs w:val="19"/>
        </w:rPr>
        <w:t xml:space="preserve"> </w:t>
      </w:r>
      <w:proofErr w:type="spellStart"/>
      <w:r w:rsidR="0072384D" w:rsidRPr="00921A73">
        <w:rPr>
          <w:rFonts w:ascii="Arial" w:hAnsi="Arial" w:cs="Arial"/>
          <w:i/>
          <w:sz w:val="19"/>
          <w:szCs w:val="19"/>
          <w:lang w:val="es-ES"/>
        </w:rPr>
        <w:t>I</w:t>
      </w:r>
      <w:r w:rsidRPr="00921A73">
        <w:rPr>
          <w:rFonts w:ascii="Arial" w:hAnsi="Arial" w:cs="Arial"/>
          <w:i/>
          <w:sz w:val="19"/>
          <w:szCs w:val="19"/>
          <w:lang w:val="es-ES"/>
        </w:rPr>
        <w:t>bídem</w:t>
      </w:r>
      <w:proofErr w:type="spellEnd"/>
    </w:p>
  </w:footnote>
  <w:footnote w:id="10">
    <w:p w14:paraId="34B78812" w14:textId="77777777" w:rsidR="00690DAF" w:rsidRPr="008915A6" w:rsidRDefault="00690DAF" w:rsidP="008915A6">
      <w:pPr>
        <w:pBdr>
          <w:top w:val="nil"/>
          <w:left w:val="nil"/>
          <w:bottom w:val="nil"/>
          <w:right w:val="nil"/>
          <w:between w:val="nil"/>
        </w:pBdr>
        <w:ind w:firstLine="708"/>
        <w:jc w:val="both"/>
        <w:rPr>
          <w:rFonts w:ascii="Arial" w:hAnsi="Arial" w:cs="Arial"/>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Concepto C-418 del 18 de agosto de 2021.</w:t>
      </w:r>
    </w:p>
  </w:footnote>
  <w:footnote w:id="11">
    <w:p w14:paraId="7FEBE9BC" w14:textId="77777777" w:rsidR="00690DAF" w:rsidRPr="00921A73" w:rsidRDefault="00690DAF" w:rsidP="008915A6">
      <w:pPr>
        <w:pBdr>
          <w:top w:val="nil"/>
          <w:left w:val="nil"/>
          <w:bottom w:val="nil"/>
          <w:right w:val="nil"/>
          <w:between w:val="nil"/>
        </w:pBdr>
        <w:ind w:firstLine="708"/>
        <w:jc w:val="both"/>
        <w:rPr>
          <w:rFonts w:ascii="Arial" w:eastAsia="Arial" w:hAnsi="Arial" w:cs="Arial"/>
          <w:color w:val="000000"/>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Corte Constitucional. Sentencia C-713 de 2009. M.P. María Victoria Calle Correa.</w:t>
      </w:r>
    </w:p>
    <w:p w14:paraId="1872D147" w14:textId="77777777" w:rsidR="00690DAF" w:rsidRPr="00921A73" w:rsidRDefault="00690DAF" w:rsidP="008915A6">
      <w:pPr>
        <w:pBdr>
          <w:top w:val="nil"/>
          <w:left w:val="nil"/>
          <w:bottom w:val="nil"/>
          <w:right w:val="nil"/>
          <w:between w:val="nil"/>
        </w:pBdr>
        <w:ind w:firstLine="708"/>
        <w:jc w:val="both"/>
        <w:rPr>
          <w:rFonts w:ascii="Arial" w:eastAsia="Arial" w:hAnsi="Arial" w:cs="Arial"/>
          <w:color w:val="000000"/>
          <w:sz w:val="19"/>
          <w:szCs w:val="19"/>
        </w:rPr>
      </w:pPr>
    </w:p>
  </w:footnote>
  <w:footnote w:id="12">
    <w:p w14:paraId="07D34D90" w14:textId="77777777" w:rsidR="00690DAF" w:rsidRPr="008915A6" w:rsidRDefault="00690DAF" w:rsidP="008915A6">
      <w:pPr>
        <w:ind w:firstLine="707"/>
        <w:jc w:val="both"/>
        <w:rPr>
          <w:rFonts w:ascii="Arial" w:hAnsi="Arial" w:cs="Arial"/>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13">
    <w:p w14:paraId="50534CB3" w14:textId="77777777" w:rsidR="00690DAF" w:rsidRPr="008915A6" w:rsidRDefault="00690DAF" w:rsidP="008915A6">
      <w:pPr>
        <w:ind w:firstLine="707"/>
        <w:jc w:val="both"/>
        <w:rPr>
          <w:rFonts w:ascii="Arial" w:hAnsi="Arial" w:cs="Arial"/>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14:paraId="26B2627E" w14:textId="77777777" w:rsidR="00690DAF" w:rsidRPr="008915A6" w:rsidRDefault="00690DAF" w:rsidP="008915A6">
      <w:pPr>
        <w:pBdr>
          <w:top w:val="nil"/>
          <w:left w:val="nil"/>
          <w:bottom w:val="nil"/>
          <w:right w:val="nil"/>
          <w:between w:val="nil"/>
        </w:pBdr>
        <w:jc w:val="both"/>
        <w:rPr>
          <w:rFonts w:ascii="Arial" w:hAnsi="Arial" w:cs="Arial"/>
          <w:sz w:val="19"/>
          <w:szCs w:val="19"/>
        </w:rPr>
      </w:pPr>
    </w:p>
  </w:footnote>
  <w:footnote w:id="14">
    <w:p w14:paraId="24795218" w14:textId="77777777" w:rsidR="00690DAF" w:rsidRPr="00921A73" w:rsidRDefault="00690DAF" w:rsidP="008915A6">
      <w:pPr>
        <w:pBdr>
          <w:top w:val="nil"/>
          <w:left w:val="nil"/>
          <w:bottom w:val="nil"/>
          <w:right w:val="nil"/>
          <w:between w:val="nil"/>
        </w:pBdr>
        <w:ind w:firstLine="707"/>
        <w:jc w:val="both"/>
        <w:rPr>
          <w:rFonts w:ascii="Arial" w:hAnsi="Arial" w:cs="Arial"/>
          <w:color w:val="000000"/>
          <w:sz w:val="19"/>
          <w:szCs w:val="19"/>
        </w:rPr>
      </w:pPr>
      <w:r w:rsidRPr="00921A73">
        <w:rPr>
          <w:rFonts w:ascii="Arial" w:hAnsi="Arial" w:cs="Arial"/>
          <w:sz w:val="19"/>
          <w:szCs w:val="19"/>
          <w:vertAlign w:val="superscript"/>
        </w:rPr>
        <w:footnoteRef/>
      </w:r>
      <w:r w:rsidRPr="00921A73">
        <w:rPr>
          <w:rFonts w:ascii="Arial" w:hAnsi="Arial" w:cs="Arial"/>
          <w:color w:val="000000"/>
          <w:sz w:val="19"/>
          <w:szCs w:val="19"/>
        </w:rPr>
        <w:t xml:space="preserve"> Las 3 últimas causales fueron creadas por la Ley 2160 del 25 de noviembre de 2021.</w:t>
      </w:r>
    </w:p>
    <w:p w14:paraId="5D4F1FC9" w14:textId="77777777" w:rsidR="00690DAF" w:rsidRPr="008915A6" w:rsidRDefault="00690DAF" w:rsidP="008915A6">
      <w:pPr>
        <w:pBdr>
          <w:top w:val="nil"/>
          <w:left w:val="nil"/>
          <w:bottom w:val="nil"/>
          <w:right w:val="nil"/>
          <w:between w:val="nil"/>
        </w:pBdr>
        <w:jc w:val="both"/>
        <w:rPr>
          <w:rFonts w:ascii="Arial" w:hAnsi="Arial" w:cs="Arial"/>
          <w:color w:val="000000"/>
          <w:sz w:val="19"/>
          <w:szCs w:val="19"/>
        </w:rPr>
      </w:pPr>
    </w:p>
  </w:footnote>
  <w:footnote w:id="15">
    <w:p w14:paraId="3F833D48" w14:textId="77777777" w:rsidR="00690DAF" w:rsidRPr="00921A73" w:rsidRDefault="00690DAF" w:rsidP="008915A6">
      <w:pPr>
        <w:pBdr>
          <w:top w:val="nil"/>
          <w:left w:val="nil"/>
          <w:bottom w:val="nil"/>
          <w:right w:val="nil"/>
          <w:between w:val="nil"/>
        </w:pBdr>
        <w:ind w:firstLine="708"/>
        <w:jc w:val="both"/>
        <w:rPr>
          <w:rFonts w:ascii="Arial" w:eastAsia="Arial" w:hAnsi="Arial" w:cs="Arial"/>
          <w:color w:val="000000"/>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Consejo de Estado. Sala de consulta y servicio civil. Sentencia del 20 de febrero de 2006. </w:t>
      </w:r>
      <w:proofErr w:type="spellStart"/>
      <w:r w:rsidRPr="00921A73">
        <w:rPr>
          <w:rFonts w:ascii="Arial" w:eastAsia="Arial" w:hAnsi="Arial" w:cs="Arial"/>
          <w:color w:val="000000"/>
          <w:sz w:val="19"/>
          <w:szCs w:val="19"/>
        </w:rPr>
        <w:t>Exp</w:t>
      </w:r>
      <w:proofErr w:type="spellEnd"/>
      <w:r w:rsidRPr="00921A73">
        <w:rPr>
          <w:rFonts w:ascii="Arial" w:eastAsia="Arial" w:hAnsi="Arial" w:cs="Arial"/>
          <w:color w:val="000000"/>
          <w:sz w:val="19"/>
          <w:szCs w:val="19"/>
        </w:rPr>
        <w:t>. 1.727. C.P. Enrique José Arboleda Perdomo.</w:t>
      </w:r>
    </w:p>
  </w:footnote>
  <w:footnote w:id="16">
    <w:p w14:paraId="28D2D623" w14:textId="77777777" w:rsidR="00690DAF" w:rsidRPr="008915A6" w:rsidRDefault="00690DAF" w:rsidP="008915A6">
      <w:pPr>
        <w:pBdr>
          <w:top w:val="nil"/>
          <w:left w:val="nil"/>
          <w:bottom w:val="nil"/>
          <w:right w:val="nil"/>
          <w:between w:val="nil"/>
        </w:pBdr>
        <w:ind w:firstLine="708"/>
        <w:jc w:val="both"/>
        <w:rPr>
          <w:rFonts w:ascii="Arial" w:hAnsi="Arial" w:cs="Arial"/>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Agencia Nacional de Contratación Pública </w:t>
      </w:r>
      <w:r w:rsidRPr="008915A6">
        <w:rPr>
          <w:rFonts w:ascii="Arial" w:eastAsia="Arial" w:hAnsi="Arial" w:cs="Arial"/>
          <w:sz w:val="19"/>
          <w:szCs w:val="19"/>
        </w:rPr>
        <w:t xml:space="preserve">– </w:t>
      </w:r>
      <w:r w:rsidRPr="00921A73">
        <w:rPr>
          <w:rFonts w:ascii="Arial" w:eastAsia="Arial" w:hAnsi="Arial" w:cs="Arial"/>
          <w:color w:val="000000"/>
          <w:sz w:val="19"/>
          <w:szCs w:val="19"/>
        </w:rPr>
        <w:t>Colombia Compra Eficiente, Concepto C-561 del 8 de octubre de 2021.</w:t>
      </w:r>
    </w:p>
  </w:footnote>
  <w:footnote w:id="17">
    <w:p w14:paraId="3B6DD488" w14:textId="77777777" w:rsidR="00690DAF" w:rsidRPr="008915A6" w:rsidRDefault="00690DAF" w:rsidP="008915A6">
      <w:pPr>
        <w:pBdr>
          <w:top w:val="nil"/>
          <w:left w:val="nil"/>
          <w:bottom w:val="nil"/>
          <w:right w:val="nil"/>
          <w:between w:val="nil"/>
        </w:pBdr>
        <w:ind w:firstLine="707"/>
        <w:jc w:val="both"/>
        <w:rPr>
          <w:rFonts w:ascii="Arial" w:hAnsi="Arial" w:cs="Arial"/>
          <w:sz w:val="19"/>
          <w:szCs w:val="19"/>
        </w:rPr>
      </w:pPr>
      <w:r w:rsidRPr="008915A6">
        <w:rPr>
          <w:rFonts w:ascii="Arial" w:hAnsi="Arial" w:cs="Arial"/>
          <w:sz w:val="19"/>
          <w:szCs w:val="19"/>
          <w:vertAlign w:val="superscript"/>
        </w:rPr>
        <w:footnoteRef/>
      </w:r>
      <w:r w:rsidRPr="00921A73">
        <w:rPr>
          <w:rFonts w:ascii="Arial" w:eastAsia="Arial" w:hAnsi="Arial" w:cs="Arial"/>
          <w:color w:val="000000"/>
          <w:sz w:val="19"/>
          <w:szCs w:val="19"/>
        </w:rPr>
        <w:t xml:space="preserve"> La Corte Constitucional, en Sentencia C-300 de 2012 M.P. Jorge Ignacio Pretel </w:t>
      </w:r>
      <w:proofErr w:type="spellStart"/>
      <w:r w:rsidRPr="00921A73">
        <w:rPr>
          <w:rFonts w:ascii="Arial" w:eastAsia="Arial" w:hAnsi="Arial" w:cs="Arial"/>
          <w:color w:val="000000"/>
          <w:sz w:val="19"/>
          <w:szCs w:val="19"/>
        </w:rPr>
        <w:t>Chabljub</w:t>
      </w:r>
      <w:proofErr w:type="spellEnd"/>
      <w:r w:rsidRPr="00921A73">
        <w:rPr>
          <w:rFonts w:ascii="Arial" w:eastAsia="Arial" w:hAnsi="Arial" w:cs="Arial"/>
          <w:color w:val="000000"/>
          <w:sz w:val="19"/>
          <w:szCs w:val="19"/>
        </w:rPr>
        <w:t>,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7F7F3ABF" w14:textId="77777777" w:rsidR="00690DAF" w:rsidRPr="008915A6" w:rsidRDefault="00690DAF" w:rsidP="00921A73">
      <w:pPr>
        <w:pBdr>
          <w:top w:val="nil"/>
          <w:left w:val="nil"/>
          <w:bottom w:val="nil"/>
          <w:right w:val="nil"/>
          <w:between w:val="nil"/>
        </w:pBdr>
        <w:ind w:firstLine="608"/>
        <w:jc w:val="both"/>
        <w:rPr>
          <w:rFonts w:ascii="Arial" w:hAnsi="Arial" w:cs="Arial"/>
          <w:sz w:val="19"/>
          <w:szCs w:val="19"/>
        </w:rPr>
      </w:pPr>
      <w:r w:rsidRPr="00921A73">
        <w:rPr>
          <w:rFonts w:ascii="Arial" w:eastAsia="Arial" w:hAnsi="Arial" w:cs="Arial"/>
          <w:color w:val="000000"/>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4EFDAD51" w14:textId="77777777" w:rsidR="00690DAF" w:rsidRPr="008915A6" w:rsidRDefault="00690DAF" w:rsidP="00921A73">
      <w:pPr>
        <w:pBdr>
          <w:top w:val="nil"/>
          <w:left w:val="nil"/>
          <w:bottom w:val="nil"/>
          <w:right w:val="nil"/>
          <w:between w:val="nil"/>
        </w:pBdr>
        <w:ind w:firstLine="608"/>
        <w:jc w:val="both"/>
        <w:rPr>
          <w:rFonts w:ascii="Arial" w:hAnsi="Arial" w:cs="Arial"/>
          <w:sz w:val="19"/>
          <w:szCs w:val="19"/>
        </w:rPr>
      </w:pPr>
      <w:r w:rsidRPr="00921A73">
        <w:rPr>
          <w:rFonts w:ascii="Arial" w:eastAsia="Arial" w:hAnsi="Arial" w:cs="Arial"/>
          <w:color w:val="000000"/>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74EEE70C" w14:textId="77777777" w:rsidR="00690DAF" w:rsidRPr="008915A6" w:rsidRDefault="00690DAF" w:rsidP="008915A6">
      <w:pPr>
        <w:pBdr>
          <w:top w:val="nil"/>
          <w:left w:val="nil"/>
          <w:bottom w:val="nil"/>
          <w:right w:val="nil"/>
          <w:between w:val="nil"/>
        </w:pBdr>
        <w:jc w:val="both"/>
        <w:rPr>
          <w:rFonts w:ascii="Arial" w:hAnsi="Arial" w:cs="Arial"/>
          <w:sz w:val="19"/>
          <w:szCs w:val="19"/>
        </w:rPr>
      </w:pPr>
    </w:p>
    <w:p w14:paraId="0C22A369" w14:textId="77777777" w:rsidR="00690DAF" w:rsidRPr="00921A73" w:rsidRDefault="00690DAF" w:rsidP="008915A6">
      <w:pPr>
        <w:pBdr>
          <w:top w:val="nil"/>
          <w:left w:val="nil"/>
          <w:bottom w:val="nil"/>
          <w:right w:val="nil"/>
          <w:between w:val="nil"/>
        </w:pBdr>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64DA1EC5" w:rsidR="0015145A" w:rsidRDefault="005D4824">
    <w:pPr>
      <w:pStyle w:val="Encabezado"/>
    </w:pPr>
    <w:r>
      <w:rPr>
        <w:noProof/>
      </w:rPr>
      <w:drawing>
        <wp:anchor distT="0" distB="0" distL="114300" distR="114300" simplePos="0" relativeHeight="251659264" behindDoc="0" locked="0" layoutInCell="1" allowOverlap="1" wp14:anchorId="1EDB5657" wp14:editId="11EE8813">
          <wp:simplePos x="0" y="0"/>
          <wp:positionH relativeFrom="margin">
            <wp:posOffset>3968750</wp:posOffset>
          </wp:positionH>
          <wp:positionV relativeFrom="paragraph">
            <wp:posOffset>-178435</wp:posOffset>
          </wp:positionV>
          <wp:extent cx="1688592" cy="701040"/>
          <wp:effectExtent l="0" t="0" r="6985" b="381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364015351">
    <w:abstractNumId w:val="9"/>
  </w:num>
  <w:num w:numId="2" w16cid:durableId="1481003033">
    <w:abstractNumId w:val="7"/>
  </w:num>
  <w:num w:numId="3" w16cid:durableId="903639656">
    <w:abstractNumId w:val="12"/>
  </w:num>
  <w:num w:numId="4" w16cid:durableId="18241051">
    <w:abstractNumId w:val="16"/>
  </w:num>
  <w:num w:numId="5" w16cid:durableId="1499998340">
    <w:abstractNumId w:val="20"/>
  </w:num>
  <w:num w:numId="6" w16cid:durableId="98600894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1612701">
    <w:abstractNumId w:val="18"/>
  </w:num>
  <w:num w:numId="8" w16cid:durableId="996494002">
    <w:abstractNumId w:val="0"/>
  </w:num>
  <w:num w:numId="9" w16cid:durableId="2015377783">
    <w:abstractNumId w:val="3"/>
  </w:num>
  <w:num w:numId="10" w16cid:durableId="1287154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7077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1594391">
    <w:abstractNumId w:val="8"/>
  </w:num>
  <w:num w:numId="13" w16cid:durableId="97335482">
    <w:abstractNumId w:val="11"/>
  </w:num>
  <w:num w:numId="14" w16cid:durableId="1426417511">
    <w:abstractNumId w:val="6"/>
  </w:num>
  <w:num w:numId="15" w16cid:durableId="120444567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87473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1137190">
    <w:abstractNumId w:val="22"/>
  </w:num>
  <w:num w:numId="18" w16cid:durableId="1695109831">
    <w:abstractNumId w:val="13"/>
  </w:num>
  <w:num w:numId="19" w16cid:durableId="117725053">
    <w:abstractNumId w:val="2"/>
  </w:num>
  <w:num w:numId="20" w16cid:durableId="159472280">
    <w:abstractNumId w:val="23"/>
  </w:num>
  <w:num w:numId="21" w16cid:durableId="1685283334">
    <w:abstractNumId w:val="14"/>
  </w:num>
  <w:num w:numId="22" w16cid:durableId="1587764527">
    <w:abstractNumId w:val="5"/>
  </w:num>
  <w:num w:numId="23" w16cid:durableId="2118479594">
    <w:abstractNumId w:val="4"/>
  </w:num>
  <w:num w:numId="24" w16cid:durableId="1357191410">
    <w:abstractNumId w:val="21"/>
  </w:num>
  <w:num w:numId="25" w16cid:durableId="427316853">
    <w:abstractNumId w:val="17"/>
  </w:num>
  <w:num w:numId="26" w16cid:durableId="543098304">
    <w:abstractNumId w:val="24"/>
  </w:num>
  <w:num w:numId="27" w16cid:durableId="14900571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B58"/>
    <w:rsid w:val="00033D07"/>
    <w:rsid w:val="000341F2"/>
    <w:rsid w:val="00035046"/>
    <w:rsid w:val="000351F2"/>
    <w:rsid w:val="00036D53"/>
    <w:rsid w:val="00036E03"/>
    <w:rsid w:val="00037553"/>
    <w:rsid w:val="000406DB"/>
    <w:rsid w:val="0004094D"/>
    <w:rsid w:val="00041029"/>
    <w:rsid w:val="000411C6"/>
    <w:rsid w:val="0004149B"/>
    <w:rsid w:val="00041B2B"/>
    <w:rsid w:val="0004234D"/>
    <w:rsid w:val="00042961"/>
    <w:rsid w:val="00042C25"/>
    <w:rsid w:val="00042D03"/>
    <w:rsid w:val="00042F9C"/>
    <w:rsid w:val="00043086"/>
    <w:rsid w:val="000430A0"/>
    <w:rsid w:val="0004392F"/>
    <w:rsid w:val="00043D3B"/>
    <w:rsid w:val="0004418C"/>
    <w:rsid w:val="00044204"/>
    <w:rsid w:val="000449D4"/>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2F8B"/>
    <w:rsid w:val="000536A7"/>
    <w:rsid w:val="000536E3"/>
    <w:rsid w:val="00053896"/>
    <w:rsid w:val="0005474D"/>
    <w:rsid w:val="00055CB9"/>
    <w:rsid w:val="00056F66"/>
    <w:rsid w:val="0005702F"/>
    <w:rsid w:val="00061010"/>
    <w:rsid w:val="0006120E"/>
    <w:rsid w:val="00061D06"/>
    <w:rsid w:val="00062407"/>
    <w:rsid w:val="00062CDD"/>
    <w:rsid w:val="00062F1A"/>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AE5"/>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ADE"/>
    <w:rsid w:val="000B6D08"/>
    <w:rsid w:val="000C0185"/>
    <w:rsid w:val="000C01D5"/>
    <w:rsid w:val="000C063D"/>
    <w:rsid w:val="000C0F81"/>
    <w:rsid w:val="000C128D"/>
    <w:rsid w:val="000C179F"/>
    <w:rsid w:val="000C17A3"/>
    <w:rsid w:val="000C1D4B"/>
    <w:rsid w:val="000C2DC4"/>
    <w:rsid w:val="000C3260"/>
    <w:rsid w:val="000C3B77"/>
    <w:rsid w:val="000C3F6D"/>
    <w:rsid w:val="000C4720"/>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D7C34"/>
    <w:rsid w:val="000E0259"/>
    <w:rsid w:val="000E047D"/>
    <w:rsid w:val="000E0A36"/>
    <w:rsid w:val="000E22CF"/>
    <w:rsid w:val="000E27B9"/>
    <w:rsid w:val="000E2977"/>
    <w:rsid w:val="000E2CC0"/>
    <w:rsid w:val="000E3075"/>
    <w:rsid w:val="000E30AC"/>
    <w:rsid w:val="000E36C2"/>
    <w:rsid w:val="000E39A2"/>
    <w:rsid w:val="000E39E8"/>
    <w:rsid w:val="000E3B46"/>
    <w:rsid w:val="000E3E11"/>
    <w:rsid w:val="000E4596"/>
    <w:rsid w:val="000E5768"/>
    <w:rsid w:val="000E5843"/>
    <w:rsid w:val="000E6139"/>
    <w:rsid w:val="000E6BE1"/>
    <w:rsid w:val="000E7E0B"/>
    <w:rsid w:val="000E7E1A"/>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A52"/>
    <w:rsid w:val="000F4DFC"/>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161"/>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6EFA"/>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7CB"/>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A58"/>
    <w:rsid w:val="00160401"/>
    <w:rsid w:val="00160D4E"/>
    <w:rsid w:val="00160DF9"/>
    <w:rsid w:val="00161DDA"/>
    <w:rsid w:val="00161E62"/>
    <w:rsid w:val="00161F1C"/>
    <w:rsid w:val="0016200B"/>
    <w:rsid w:val="00162013"/>
    <w:rsid w:val="001625C8"/>
    <w:rsid w:val="00163102"/>
    <w:rsid w:val="00163BCF"/>
    <w:rsid w:val="00163C66"/>
    <w:rsid w:val="00163D7A"/>
    <w:rsid w:val="00164281"/>
    <w:rsid w:val="00164ACE"/>
    <w:rsid w:val="00165703"/>
    <w:rsid w:val="001662D8"/>
    <w:rsid w:val="0016685F"/>
    <w:rsid w:val="001669F1"/>
    <w:rsid w:val="0016712F"/>
    <w:rsid w:val="00167503"/>
    <w:rsid w:val="001676A9"/>
    <w:rsid w:val="00167A15"/>
    <w:rsid w:val="00167A50"/>
    <w:rsid w:val="00167DF5"/>
    <w:rsid w:val="00170001"/>
    <w:rsid w:val="00172198"/>
    <w:rsid w:val="001724F5"/>
    <w:rsid w:val="00172612"/>
    <w:rsid w:val="00172817"/>
    <w:rsid w:val="001734E3"/>
    <w:rsid w:val="001742BF"/>
    <w:rsid w:val="00175567"/>
    <w:rsid w:val="00175778"/>
    <w:rsid w:val="00175E49"/>
    <w:rsid w:val="0017649F"/>
    <w:rsid w:val="0017655D"/>
    <w:rsid w:val="00177B7C"/>
    <w:rsid w:val="001805C1"/>
    <w:rsid w:val="00180A2E"/>
    <w:rsid w:val="001813AF"/>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97C09"/>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546"/>
    <w:rsid w:val="001B4AA2"/>
    <w:rsid w:val="001B4ADE"/>
    <w:rsid w:val="001B5EF8"/>
    <w:rsid w:val="001B615D"/>
    <w:rsid w:val="001B61E9"/>
    <w:rsid w:val="001B6791"/>
    <w:rsid w:val="001B731A"/>
    <w:rsid w:val="001C07C6"/>
    <w:rsid w:val="001C19CD"/>
    <w:rsid w:val="001C22D5"/>
    <w:rsid w:val="001C250A"/>
    <w:rsid w:val="001C2515"/>
    <w:rsid w:val="001C26FB"/>
    <w:rsid w:val="001C2BE4"/>
    <w:rsid w:val="001C33C1"/>
    <w:rsid w:val="001C3E30"/>
    <w:rsid w:val="001C3E5C"/>
    <w:rsid w:val="001C48D9"/>
    <w:rsid w:val="001C5072"/>
    <w:rsid w:val="001C5B2A"/>
    <w:rsid w:val="001C600B"/>
    <w:rsid w:val="001C6306"/>
    <w:rsid w:val="001C65AA"/>
    <w:rsid w:val="001C6898"/>
    <w:rsid w:val="001C6DD8"/>
    <w:rsid w:val="001C702D"/>
    <w:rsid w:val="001C7C7B"/>
    <w:rsid w:val="001D068D"/>
    <w:rsid w:val="001D12D1"/>
    <w:rsid w:val="001D15DF"/>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AEF"/>
    <w:rsid w:val="001E5D6A"/>
    <w:rsid w:val="001E6644"/>
    <w:rsid w:val="001E6A94"/>
    <w:rsid w:val="001E70FB"/>
    <w:rsid w:val="001E780A"/>
    <w:rsid w:val="001F0FA0"/>
    <w:rsid w:val="001F1349"/>
    <w:rsid w:val="001F1863"/>
    <w:rsid w:val="001F2356"/>
    <w:rsid w:val="001F2A68"/>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07"/>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65C"/>
    <w:rsid w:val="00242D62"/>
    <w:rsid w:val="002430BF"/>
    <w:rsid w:val="002430D0"/>
    <w:rsid w:val="002431D7"/>
    <w:rsid w:val="00243C4B"/>
    <w:rsid w:val="00244058"/>
    <w:rsid w:val="00245718"/>
    <w:rsid w:val="00245DD8"/>
    <w:rsid w:val="00245E07"/>
    <w:rsid w:val="00247610"/>
    <w:rsid w:val="0024762E"/>
    <w:rsid w:val="00247712"/>
    <w:rsid w:val="00247949"/>
    <w:rsid w:val="00250EC6"/>
    <w:rsid w:val="002515C7"/>
    <w:rsid w:val="00251866"/>
    <w:rsid w:val="00251A9F"/>
    <w:rsid w:val="00251D8D"/>
    <w:rsid w:val="00252492"/>
    <w:rsid w:val="00252B35"/>
    <w:rsid w:val="0025316D"/>
    <w:rsid w:val="0025336C"/>
    <w:rsid w:val="00253A02"/>
    <w:rsid w:val="00253A8F"/>
    <w:rsid w:val="00253B81"/>
    <w:rsid w:val="002547CB"/>
    <w:rsid w:val="002554DE"/>
    <w:rsid w:val="00255575"/>
    <w:rsid w:val="00255E11"/>
    <w:rsid w:val="00256835"/>
    <w:rsid w:val="002569F0"/>
    <w:rsid w:val="00256E1A"/>
    <w:rsid w:val="00256ECF"/>
    <w:rsid w:val="00257730"/>
    <w:rsid w:val="00257999"/>
    <w:rsid w:val="00257D50"/>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7F"/>
    <w:rsid w:val="002B1342"/>
    <w:rsid w:val="002B1A7C"/>
    <w:rsid w:val="002B1F83"/>
    <w:rsid w:val="002B2008"/>
    <w:rsid w:val="002B2368"/>
    <w:rsid w:val="002B27C8"/>
    <w:rsid w:val="002B2A7F"/>
    <w:rsid w:val="002B3043"/>
    <w:rsid w:val="002B330B"/>
    <w:rsid w:val="002B39BE"/>
    <w:rsid w:val="002B3BB3"/>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969"/>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CB5"/>
    <w:rsid w:val="002E2D7D"/>
    <w:rsid w:val="002E32D0"/>
    <w:rsid w:val="002E3D76"/>
    <w:rsid w:val="002E40A1"/>
    <w:rsid w:val="002E48EC"/>
    <w:rsid w:val="002E4B44"/>
    <w:rsid w:val="002E4ECB"/>
    <w:rsid w:val="002E4F23"/>
    <w:rsid w:val="002E57B7"/>
    <w:rsid w:val="002E5999"/>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B66"/>
    <w:rsid w:val="00300CB4"/>
    <w:rsid w:val="00300E24"/>
    <w:rsid w:val="00302ED6"/>
    <w:rsid w:val="0030303A"/>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640"/>
    <w:rsid w:val="0032586E"/>
    <w:rsid w:val="00325D98"/>
    <w:rsid w:val="0032682A"/>
    <w:rsid w:val="00327781"/>
    <w:rsid w:val="00327A5C"/>
    <w:rsid w:val="0033063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384"/>
    <w:rsid w:val="00344760"/>
    <w:rsid w:val="003454E8"/>
    <w:rsid w:val="00345574"/>
    <w:rsid w:val="0034680A"/>
    <w:rsid w:val="00346C62"/>
    <w:rsid w:val="00347197"/>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2051"/>
    <w:rsid w:val="003722B3"/>
    <w:rsid w:val="003722E6"/>
    <w:rsid w:val="00372808"/>
    <w:rsid w:val="00373827"/>
    <w:rsid w:val="0037401C"/>
    <w:rsid w:val="0037453B"/>
    <w:rsid w:val="00374D49"/>
    <w:rsid w:val="0037507B"/>
    <w:rsid w:val="00375C7C"/>
    <w:rsid w:val="00376182"/>
    <w:rsid w:val="00377027"/>
    <w:rsid w:val="00377135"/>
    <w:rsid w:val="00377FEF"/>
    <w:rsid w:val="00380272"/>
    <w:rsid w:val="0038048A"/>
    <w:rsid w:val="003805DB"/>
    <w:rsid w:val="0038152A"/>
    <w:rsid w:val="003822A4"/>
    <w:rsid w:val="00382BAD"/>
    <w:rsid w:val="0038333E"/>
    <w:rsid w:val="003835FD"/>
    <w:rsid w:val="00383632"/>
    <w:rsid w:val="00384DF1"/>
    <w:rsid w:val="00384FF3"/>
    <w:rsid w:val="0038512F"/>
    <w:rsid w:val="00386456"/>
    <w:rsid w:val="003865A9"/>
    <w:rsid w:val="00386C6C"/>
    <w:rsid w:val="00387BD8"/>
    <w:rsid w:val="0039092B"/>
    <w:rsid w:val="00390C01"/>
    <w:rsid w:val="00390C57"/>
    <w:rsid w:val="00390F32"/>
    <w:rsid w:val="0039135E"/>
    <w:rsid w:val="00392A0C"/>
    <w:rsid w:val="0039319C"/>
    <w:rsid w:val="00393498"/>
    <w:rsid w:val="00393577"/>
    <w:rsid w:val="00393C2B"/>
    <w:rsid w:val="00393CAE"/>
    <w:rsid w:val="00394178"/>
    <w:rsid w:val="003945F4"/>
    <w:rsid w:val="0039471F"/>
    <w:rsid w:val="00394EB5"/>
    <w:rsid w:val="003953B4"/>
    <w:rsid w:val="0039615F"/>
    <w:rsid w:val="003966A0"/>
    <w:rsid w:val="00396A29"/>
    <w:rsid w:val="00397FF0"/>
    <w:rsid w:val="003A0878"/>
    <w:rsid w:val="003A1561"/>
    <w:rsid w:val="003A1D25"/>
    <w:rsid w:val="003A22A2"/>
    <w:rsid w:val="003A22E9"/>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B7ED6"/>
    <w:rsid w:val="003C0012"/>
    <w:rsid w:val="003C095A"/>
    <w:rsid w:val="003C0D1F"/>
    <w:rsid w:val="003C116A"/>
    <w:rsid w:val="003C116F"/>
    <w:rsid w:val="003C1AF4"/>
    <w:rsid w:val="003C1C9C"/>
    <w:rsid w:val="003C1CB8"/>
    <w:rsid w:val="003C22DA"/>
    <w:rsid w:val="003C2550"/>
    <w:rsid w:val="003C287F"/>
    <w:rsid w:val="003C31A1"/>
    <w:rsid w:val="003C3339"/>
    <w:rsid w:val="003C375A"/>
    <w:rsid w:val="003C4970"/>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4FC2"/>
    <w:rsid w:val="003D6B8F"/>
    <w:rsid w:val="003D6F7A"/>
    <w:rsid w:val="003D7209"/>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F7"/>
    <w:rsid w:val="003E5B9F"/>
    <w:rsid w:val="003E6072"/>
    <w:rsid w:val="003E67DE"/>
    <w:rsid w:val="003E6AB6"/>
    <w:rsid w:val="003E6E0B"/>
    <w:rsid w:val="003E71CD"/>
    <w:rsid w:val="003E72F0"/>
    <w:rsid w:val="003E78DA"/>
    <w:rsid w:val="003E7A7D"/>
    <w:rsid w:val="003E7A8B"/>
    <w:rsid w:val="003F060E"/>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B70"/>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371F5"/>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54E8"/>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AA5"/>
    <w:rsid w:val="00455B70"/>
    <w:rsid w:val="00455BD3"/>
    <w:rsid w:val="00456970"/>
    <w:rsid w:val="00456BB1"/>
    <w:rsid w:val="00456CD4"/>
    <w:rsid w:val="00456D08"/>
    <w:rsid w:val="00456DDB"/>
    <w:rsid w:val="00457031"/>
    <w:rsid w:val="0045779F"/>
    <w:rsid w:val="00457EB5"/>
    <w:rsid w:val="00457EDF"/>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542"/>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540C"/>
    <w:rsid w:val="00485BA7"/>
    <w:rsid w:val="00485D18"/>
    <w:rsid w:val="004861B4"/>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B54"/>
    <w:rsid w:val="0049241A"/>
    <w:rsid w:val="00492C1F"/>
    <w:rsid w:val="00492E4C"/>
    <w:rsid w:val="0049327C"/>
    <w:rsid w:val="00493664"/>
    <w:rsid w:val="004938E1"/>
    <w:rsid w:val="00493E04"/>
    <w:rsid w:val="004940E3"/>
    <w:rsid w:val="00494269"/>
    <w:rsid w:val="00494963"/>
    <w:rsid w:val="0049530F"/>
    <w:rsid w:val="00496664"/>
    <w:rsid w:val="00496786"/>
    <w:rsid w:val="0049695B"/>
    <w:rsid w:val="00496CAC"/>
    <w:rsid w:val="00496D8F"/>
    <w:rsid w:val="00497463"/>
    <w:rsid w:val="004A054C"/>
    <w:rsid w:val="004A08D1"/>
    <w:rsid w:val="004A104A"/>
    <w:rsid w:val="004A16C1"/>
    <w:rsid w:val="004A1CE2"/>
    <w:rsid w:val="004A1DF9"/>
    <w:rsid w:val="004A24BC"/>
    <w:rsid w:val="004A2A99"/>
    <w:rsid w:val="004A33AD"/>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1A5A"/>
    <w:rsid w:val="004B2197"/>
    <w:rsid w:val="004B298A"/>
    <w:rsid w:val="004B42BE"/>
    <w:rsid w:val="004B50CB"/>
    <w:rsid w:val="004B578D"/>
    <w:rsid w:val="004B59B8"/>
    <w:rsid w:val="004B5BE7"/>
    <w:rsid w:val="004B5E2D"/>
    <w:rsid w:val="004B5F13"/>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C7F4F"/>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0DB3"/>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8AC"/>
    <w:rsid w:val="004F6B63"/>
    <w:rsid w:val="004F6C26"/>
    <w:rsid w:val="004F7AC9"/>
    <w:rsid w:val="0050062F"/>
    <w:rsid w:val="00500E74"/>
    <w:rsid w:val="0050160F"/>
    <w:rsid w:val="0050275F"/>
    <w:rsid w:val="0050284E"/>
    <w:rsid w:val="0050306F"/>
    <w:rsid w:val="005047A0"/>
    <w:rsid w:val="00504A78"/>
    <w:rsid w:val="00505DCB"/>
    <w:rsid w:val="00505F58"/>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702"/>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172"/>
    <w:rsid w:val="00525621"/>
    <w:rsid w:val="00525EDB"/>
    <w:rsid w:val="00526431"/>
    <w:rsid w:val="00527064"/>
    <w:rsid w:val="00527532"/>
    <w:rsid w:val="00527703"/>
    <w:rsid w:val="00527DEB"/>
    <w:rsid w:val="00527E57"/>
    <w:rsid w:val="00527F2C"/>
    <w:rsid w:val="00530405"/>
    <w:rsid w:val="00530522"/>
    <w:rsid w:val="005305E5"/>
    <w:rsid w:val="00530CBA"/>
    <w:rsid w:val="00530F38"/>
    <w:rsid w:val="00531F26"/>
    <w:rsid w:val="00532039"/>
    <w:rsid w:val="00532299"/>
    <w:rsid w:val="005323DA"/>
    <w:rsid w:val="0053277C"/>
    <w:rsid w:val="005327C0"/>
    <w:rsid w:val="00533101"/>
    <w:rsid w:val="00533CA9"/>
    <w:rsid w:val="00533EA7"/>
    <w:rsid w:val="005346AD"/>
    <w:rsid w:val="00534EFB"/>
    <w:rsid w:val="00534F60"/>
    <w:rsid w:val="005357F1"/>
    <w:rsid w:val="00535D23"/>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9B2"/>
    <w:rsid w:val="00543A9E"/>
    <w:rsid w:val="0054413A"/>
    <w:rsid w:val="00544288"/>
    <w:rsid w:val="005446BB"/>
    <w:rsid w:val="005448C8"/>
    <w:rsid w:val="00544DA5"/>
    <w:rsid w:val="00544F43"/>
    <w:rsid w:val="00545E30"/>
    <w:rsid w:val="00545EA3"/>
    <w:rsid w:val="005465E8"/>
    <w:rsid w:val="00546C2A"/>
    <w:rsid w:val="00546C9B"/>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9E5"/>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9718B"/>
    <w:rsid w:val="00597B2F"/>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824"/>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A24"/>
    <w:rsid w:val="005E5AAC"/>
    <w:rsid w:val="005E6E1D"/>
    <w:rsid w:val="005F1044"/>
    <w:rsid w:val="005F1E4E"/>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6CE2"/>
    <w:rsid w:val="005F6F24"/>
    <w:rsid w:val="005F72E9"/>
    <w:rsid w:val="005F765D"/>
    <w:rsid w:val="005F76AE"/>
    <w:rsid w:val="005F7797"/>
    <w:rsid w:val="005F780B"/>
    <w:rsid w:val="00600473"/>
    <w:rsid w:val="0060139A"/>
    <w:rsid w:val="006013C9"/>
    <w:rsid w:val="00601689"/>
    <w:rsid w:val="0060218C"/>
    <w:rsid w:val="00602B45"/>
    <w:rsid w:val="00603499"/>
    <w:rsid w:val="006035F5"/>
    <w:rsid w:val="00603CC2"/>
    <w:rsid w:val="00604537"/>
    <w:rsid w:val="006047D1"/>
    <w:rsid w:val="00604A55"/>
    <w:rsid w:val="00604D4E"/>
    <w:rsid w:val="00604E3E"/>
    <w:rsid w:val="0060591D"/>
    <w:rsid w:val="00605AC3"/>
    <w:rsid w:val="00606908"/>
    <w:rsid w:val="00606B13"/>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2470"/>
    <w:rsid w:val="00622725"/>
    <w:rsid w:val="00622F49"/>
    <w:rsid w:val="006231AA"/>
    <w:rsid w:val="00623482"/>
    <w:rsid w:val="00623AC2"/>
    <w:rsid w:val="00623D46"/>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14A"/>
    <w:rsid w:val="006445C1"/>
    <w:rsid w:val="006459D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8F8"/>
    <w:rsid w:val="00662E58"/>
    <w:rsid w:val="00662F39"/>
    <w:rsid w:val="006635A0"/>
    <w:rsid w:val="00664351"/>
    <w:rsid w:val="00665968"/>
    <w:rsid w:val="00665BF7"/>
    <w:rsid w:val="00666178"/>
    <w:rsid w:val="0066639E"/>
    <w:rsid w:val="00666473"/>
    <w:rsid w:val="0066652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3B9"/>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AF"/>
    <w:rsid w:val="00690DE9"/>
    <w:rsid w:val="00691DE9"/>
    <w:rsid w:val="00691EAA"/>
    <w:rsid w:val="00692245"/>
    <w:rsid w:val="00692FFA"/>
    <w:rsid w:val="00693772"/>
    <w:rsid w:val="00693984"/>
    <w:rsid w:val="00693B77"/>
    <w:rsid w:val="00694160"/>
    <w:rsid w:val="006959A5"/>
    <w:rsid w:val="00695C0C"/>
    <w:rsid w:val="00696736"/>
    <w:rsid w:val="00696A05"/>
    <w:rsid w:val="00697401"/>
    <w:rsid w:val="00697665"/>
    <w:rsid w:val="006979BF"/>
    <w:rsid w:val="00697C9A"/>
    <w:rsid w:val="00697E68"/>
    <w:rsid w:val="00697FC1"/>
    <w:rsid w:val="006A0274"/>
    <w:rsid w:val="006A0FDD"/>
    <w:rsid w:val="006A103E"/>
    <w:rsid w:val="006A21BC"/>
    <w:rsid w:val="006A25C7"/>
    <w:rsid w:val="006A27BC"/>
    <w:rsid w:val="006A2A43"/>
    <w:rsid w:val="006A2BEE"/>
    <w:rsid w:val="006A2BF1"/>
    <w:rsid w:val="006A2F9A"/>
    <w:rsid w:val="006A34E4"/>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AE2"/>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38"/>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10F4"/>
    <w:rsid w:val="007112B1"/>
    <w:rsid w:val="0071130F"/>
    <w:rsid w:val="007119F3"/>
    <w:rsid w:val="00711B2E"/>
    <w:rsid w:val="00711C90"/>
    <w:rsid w:val="00712714"/>
    <w:rsid w:val="007129AB"/>
    <w:rsid w:val="00712B63"/>
    <w:rsid w:val="00713526"/>
    <w:rsid w:val="007136E4"/>
    <w:rsid w:val="00713B3B"/>
    <w:rsid w:val="00713FC5"/>
    <w:rsid w:val="00714DCA"/>
    <w:rsid w:val="00714F38"/>
    <w:rsid w:val="007159F5"/>
    <w:rsid w:val="00715BBF"/>
    <w:rsid w:val="00715C29"/>
    <w:rsid w:val="00715CBD"/>
    <w:rsid w:val="00715EAA"/>
    <w:rsid w:val="00716CAD"/>
    <w:rsid w:val="00716F18"/>
    <w:rsid w:val="00717363"/>
    <w:rsid w:val="00717786"/>
    <w:rsid w:val="00717ACB"/>
    <w:rsid w:val="0072056F"/>
    <w:rsid w:val="007209A2"/>
    <w:rsid w:val="0072138B"/>
    <w:rsid w:val="00721BFF"/>
    <w:rsid w:val="00723475"/>
    <w:rsid w:val="007236C4"/>
    <w:rsid w:val="0072384D"/>
    <w:rsid w:val="007242A2"/>
    <w:rsid w:val="00724635"/>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952"/>
    <w:rsid w:val="00734990"/>
    <w:rsid w:val="00734FF5"/>
    <w:rsid w:val="00735B78"/>
    <w:rsid w:val="00735DA7"/>
    <w:rsid w:val="007368B4"/>
    <w:rsid w:val="007370F9"/>
    <w:rsid w:val="007378E0"/>
    <w:rsid w:val="00737D92"/>
    <w:rsid w:val="00740331"/>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1C77"/>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BCA"/>
    <w:rsid w:val="00766A4A"/>
    <w:rsid w:val="00766ECC"/>
    <w:rsid w:val="007672F3"/>
    <w:rsid w:val="007677B5"/>
    <w:rsid w:val="007678B1"/>
    <w:rsid w:val="00767F6E"/>
    <w:rsid w:val="00770093"/>
    <w:rsid w:val="007703DB"/>
    <w:rsid w:val="00770632"/>
    <w:rsid w:val="00770690"/>
    <w:rsid w:val="007708A8"/>
    <w:rsid w:val="007712E4"/>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2CC"/>
    <w:rsid w:val="00781939"/>
    <w:rsid w:val="00781D29"/>
    <w:rsid w:val="007825EF"/>
    <w:rsid w:val="0078286B"/>
    <w:rsid w:val="00782D2C"/>
    <w:rsid w:val="00782FC2"/>
    <w:rsid w:val="0078347A"/>
    <w:rsid w:val="007842D6"/>
    <w:rsid w:val="00784392"/>
    <w:rsid w:val="00784FC4"/>
    <w:rsid w:val="007850EC"/>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2749"/>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281"/>
    <w:rsid w:val="007A0EAB"/>
    <w:rsid w:val="007A2341"/>
    <w:rsid w:val="007A235E"/>
    <w:rsid w:val="007A2754"/>
    <w:rsid w:val="007A2932"/>
    <w:rsid w:val="007A38A1"/>
    <w:rsid w:val="007A3BBE"/>
    <w:rsid w:val="007A4766"/>
    <w:rsid w:val="007A4947"/>
    <w:rsid w:val="007A5747"/>
    <w:rsid w:val="007A5947"/>
    <w:rsid w:val="007A595F"/>
    <w:rsid w:val="007A5C22"/>
    <w:rsid w:val="007A5DB3"/>
    <w:rsid w:val="007A5ECA"/>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878"/>
    <w:rsid w:val="007B7DD4"/>
    <w:rsid w:val="007B7EA2"/>
    <w:rsid w:val="007C097D"/>
    <w:rsid w:val="007C0AF2"/>
    <w:rsid w:val="007C11CE"/>
    <w:rsid w:val="007C1672"/>
    <w:rsid w:val="007C29A0"/>
    <w:rsid w:val="007C2F60"/>
    <w:rsid w:val="007C312A"/>
    <w:rsid w:val="007C338A"/>
    <w:rsid w:val="007C34A9"/>
    <w:rsid w:val="007C3570"/>
    <w:rsid w:val="007C3CC4"/>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BD2"/>
    <w:rsid w:val="007D2C18"/>
    <w:rsid w:val="007D2D74"/>
    <w:rsid w:val="007D3693"/>
    <w:rsid w:val="007D3C6D"/>
    <w:rsid w:val="007D4247"/>
    <w:rsid w:val="007D42D3"/>
    <w:rsid w:val="007D481A"/>
    <w:rsid w:val="007D4D52"/>
    <w:rsid w:val="007D4ED0"/>
    <w:rsid w:val="007D5482"/>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0792"/>
    <w:rsid w:val="00810E33"/>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351"/>
    <w:rsid w:val="00840893"/>
    <w:rsid w:val="00840A8F"/>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CC1"/>
    <w:rsid w:val="00872F97"/>
    <w:rsid w:val="00872FC9"/>
    <w:rsid w:val="00873149"/>
    <w:rsid w:val="00873E79"/>
    <w:rsid w:val="00874607"/>
    <w:rsid w:val="00874915"/>
    <w:rsid w:val="00874ACD"/>
    <w:rsid w:val="00874ACF"/>
    <w:rsid w:val="00874B89"/>
    <w:rsid w:val="00875403"/>
    <w:rsid w:val="00875434"/>
    <w:rsid w:val="00875C1F"/>
    <w:rsid w:val="00876215"/>
    <w:rsid w:val="0087646C"/>
    <w:rsid w:val="00876815"/>
    <w:rsid w:val="00877932"/>
    <w:rsid w:val="00880744"/>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5A6"/>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A98"/>
    <w:rsid w:val="008C3C57"/>
    <w:rsid w:val="008C3E2A"/>
    <w:rsid w:val="008C45A3"/>
    <w:rsid w:val="008C45BD"/>
    <w:rsid w:val="008C4B19"/>
    <w:rsid w:val="008C62D4"/>
    <w:rsid w:val="008C656C"/>
    <w:rsid w:val="008C6B89"/>
    <w:rsid w:val="008C76F5"/>
    <w:rsid w:val="008D18AA"/>
    <w:rsid w:val="008D18E2"/>
    <w:rsid w:val="008D1A2A"/>
    <w:rsid w:val="008D1ADE"/>
    <w:rsid w:val="008D27C5"/>
    <w:rsid w:val="008D2D6A"/>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688"/>
    <w:rsid w:val="008E4F5E"/>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06D"/>
    <w:rsid w:val="00901369"/>
    <w:rsid w:val="0090156E"/>
    <w:rsid w:val="00901F1D"/>
    <w:rsid w:val="009020B3"/>
    <w:rsid w:val="009028E8"/>
    <w:rsid w:val="00902E5C"/>
    <w:rsid w:val="00902F36"/>
    <w:rsid w:val="0090363E"/>
    <w:rsid w:val="009046E5"/>
    <w:rsid w:val="009047C5"/>
    <w:rsid w:val="0090648C"/>
    <w:rsid w:val="0090691B"/>
    <w:rsid w:val="00906ECE"/>
    <w:rsid w:val="0090700A"/>
    <w:rsid w:val="00910683"/>
    <w:rsid w:val="00910764"/>
    <w:rsid w:val="00910945"/>
    <w:rsid w:val="00910E00"/>
    <w:rsid w:val="009116CE"/>
    <w:rsid w:val="00911714"/>
    <w:rsid w:val="00911774"/>
    <w:rsid w:val="00911CAE"/>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202"/>
    <w:rsid w:val="009203E2"/>
    <w:rsid w:val="00920F61"/>
    <w:rsid w:val="00921304"/>
    <w:rsid w:val="00921395"/>
    <w:rsid w:val="00921805"/>
    <w:rsid w:val="00921A73"/>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794"/>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490"/>
    <w:rsid w:val="009732A4"/>
    <w:rsid w:val="009737CA"/>
    <w:rsid w:val="009739CC"/>
    <w:rsid w:val="00973C05"/>
    <w:rsid w:val="0097494E"/>
    <w:rsid w:val="00974999"/>
    <w:rsid w:val="00974B58"/>
    <w:rsid w:val="00975445"/>
    <w:rsid w:val="009761ED"/>
    <w:rsid w:val="0097764C"/>
    <w:rsid w:val="00977991"/>
    <w:rsid w:val="0098022F"/>
    <w:rsid w:val="009808BE"/>
    <w:rsid w:val="00980EAB"/>
    <w:rsid w:val="00980F26"/>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B78"/>
    <w:rsid w:val="00993DBE"/>
    <w:rsid w:val="00994E68"/>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C52"/>
    <w:rsid w:val="009A3D47"/>
    <w:rsid w:val="009A4D63"/>
    <w:rsid w:val="009A5356"/>
    <w:rsid w:val="009A5468"/>
    <w:rsid w:val="009A5D99"/>
    <w:rsid w:val="009A608C"/>
    <w:rsid w:val="009A6FDF"/>
    <w:rsid w:val="009A715F"/>
    <w:rsid w:val="009A76D6"/>
    <w:rsid w:val="009B0E04"/>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78ED"/>
    <w:rsid w:val="009C078B"/>
    <w:rsid w:val="009C181C"/>
    <w:rsid w:val="009C1A44"/>
    <w:rsid w:val="009C1C7F"/>
    <w:rsid w:val="009C1EC7"/>
    <w:rsid w:val="009C28A2"/>
    <w:rsid w:val="009C3239"/>
    <w:rsid w:val="009C34B5"/>
    <w:rsid w:val="009C37CE"/>
    <w:rsid w:val="009C3828"/>
    <w:rsid w:val="009C3AD3"/>
    <w:rsid w:val="009C3AF4"/>
    <w:rsid w:val="009C3D2C"/>
    <w:rsid w:val="009C3DB7"/>
    <w:rsid w:val="009C3FEE"/>
    <w:rsid w:val="009C4987"/>
    <w:rsid w:val="009C4FDE"/>
    <w:rsid w:val="009C523F"/>
    <w:rsid w:val="009C59BF"/>
    <w:rsid w:val="009C5B5F"/>
    <w:rsid w:val="009C5E4F"/>
    <w:rsid w:val="009C5E5C"/>
    <w:rsid w:val="009C5F64"/>
    <w:rsid w:val="009C5F82"/>
    <w:rsid w:val="009C60EA"/>
    <w:rsid w:val="009C6BFC"/>
    <w:rsid w:val="009C70F8"/>
    <w:rsid w:val="009C78A3"/>
    <w:rsid w:val="009C7912"/>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81C"/>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13B"/>
    <w:rsid w:val="009E34A5"/>
    <w:rsid w:val="009E35FE"/>
    <w:rsid w:val="009E41A0"/>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2C6F"/>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C11"/>
    <w:rsid w:val="00A17EA2"/>
    <w:rsid w:val="00A20264"/>
    <w:rsid w:val="00A208E4"/>
    <w:rsid w:val="00A20997"/>
    <w:rsid w:val="00A20B29"/>
    <w:rsid w:val="00A20BC1"/>
    <w:rsid w:val="00A213DD"/>
    <w:rsid w:val="00A21454"/>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57B"/>
    <w:rsid w:val="00A31C3E"/>
    <w:rsid w:val="00A31CD6"/>
    <w:rsid w:val="00A342DF"/>
    <w:rsid w:val="00A34538"/>
    <w:rsid w:val="00A34677"/>
    <w:rsid w:val="00A3540F"/>
    <w:rsid w:val="00A35587"/>
    <w:rsid w:val="00A3559E"/>
    <w:rsid w:val="00A35630"/>
    <w:rsid w:val="00A35692"/>
    <w:rsid w:val="00A35914"/>
    <w:rsid w:val="00A36189"/>
    <w:rsid w:val="00A36D47"/>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13C8"/>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9C"/>
    <w:rsid w:val="00A6326A"/>
    <w:rsid w:val="00A63812"/>
    <w:rsid w:val="00A63DF7"/>
    <w:rsid w:val="00A644CC"/>
    <w:rsid w:val="00A6454D"/>
    <w:rsid w:val="00A64CA9"/>
    <w:rsid w:val="00A64F18"/>
    <w:rsid w:val="00A64F2F"/>
    <w:rsid w:val="00A65EDE"/>
    <w:rsid w:val="00A6611E"/>
    <w:rsid w:val="00A664D1"/>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099"/>
    <w:rsid w:val="00A84443"/>
    <w:rsid w:val="00A8487F"/>
    <w:rsid w:val="00A849A3"/>
    <w:rsid w:val="00A84A0E"/>
    <w:rsid w:val="00A85709"/>
    <w:rsid w:val="00A86E0B"/>
    <w:rsid w:val="00A90F12"/>
    <w:rsid w:val="00A913C7"/>
    <w:rsid w:val="00A91890"/>
    <w:rsid w:val="00A91DAA"/>
    <w:rsid w:val="00A93101"/>
    <w:rsid w:val="00A9366B"/>
    <w:rsid w:val="00A9412E"/>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4B0"/>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A68"/>
    <w:rsid w:val="00AB3BAD"/>
    <w:rsid w:val="00AB3CFD"/>
    <w:rsid w:val="00AB410C"/>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71C3"/>
    <w:rsid w:val="00AC7AC6"/>
    <w:rsid w:val="00AD09F7"/>
    <w:rsid w:val="00AD1EFA"/>
    <w:rsid w:val="00AD2072"/>
    <w:rsid w:val="00AD2DBD"/>
    <w:rsid w:val="00AD2FBF"/>
    <w:rsid w:val="00AD300A"/>
    <w:rsid w:val="00AD31F5"/>
    <w:rsid w:val="00AD33AC"/>
    <w:rsid w:val="00AD340E"/>
    <w:rsid w:val="00AD455D"/>
    <w:rsid w:val="00AD463C"/>
    <w:rsid w:val="00AD4F60"/>
    <w:rsid w:val="00AD5044"/>
    <w:rsid w:val="00AD5114"/>
    <w:rsid w:val="00AD55A1"/>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7E3"/>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7EC"/>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084"/>
    <w:rsid w:val="00B17129"/>
    <w:rsid w:val="00B1741D"/>
    <w:rsid w:val="00B17447"/>
    <w:rsid w:val="00B1771D"/>
    <w:rsid w:val="00B1773E"/>
    <w:rsid w:val="00B17B91"/>
    <w:rsid w:val="00B20209"/>
    <w:rsid w:val="00B203C9"/>
    <w:rsid w:val="00B2088D"/>
    <w:rsid w:val="00B208FF"/>
    <w:rsid w:val="00B20943"/>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1EE2"/>
    <w:rsid w:val="00B323E0"/>
    <w:rsid w:val="00B32DC0"/>
    <w:rsid w:val="00B3346C"/>
    <w:rsid w:val="00B335E4"/>
    <w:rsid w:val="00B33983"/>
    <w:rsid w:val="00B33C23"/>
    <w:rsid w:val="00B345B4"/>
    <w:rsid w:val="00B348B1"/>
    <w:rsid w:val="00B34A28"/>
    <w:rsid w:val="00B34BE2"/>
    <w:rsid w:val="00B34DF5"/>
    <w:rsid w:val="00B34E51"/>
    <w:rsid w:val="00B35046"/>
    <w:rsid w:val="00B35B6A"/>
    <w:rsid w:val="00B36114"/>
    <w:rsid w:val="00B36D2B"/>
    <w:rsid w:val="00B37038"/>
    <w:rsid w:val="00B37171"/>
    <w:rsid w:val="00B37657"/>
    <w:rsid w:val="00B37AFD"/>
    <w:rsid w:val="00B37B07"/>
    <w:rsid w:val="00B4046F"/>
    <w:rsid w:val="00B406B3"/>
    <w:rsid w:val="00B40A36"/>
    <w:rsid w:val="00B40F3D"/>
    <w:rsid w:val="00B40FBD"/>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146"/>
    <w:rsid w:val="00B614F8"/>
    <w:rsid w:val="00B61994"/>
    <w:rsid w:val="00B61FD4"/>
    <w:rsid w:val="00B62880"/>
    <w:rsid w:val="00B63872"/>
    <w:rsid w:val="00B63C29"/>
    <w:rsid w:val="00B63CB2"/>
    <w:rsid w:val="00B64246"/>
    <w:rsid w:val="00B64D66"/>
    <w:rsid w:val="00B64EDB"/>
    <w:rsid w:val="00B65010"/>
    <w:rsid w:val="00B65938"/>
    <w:rsid w:val="00B65C8A"/>
    <w:rsid w:val="00B65CE2"/>
    <w:rsid w:val="00B660AD"/>
    <w:rsid w:val="00B66109"/>
    <w:rsid w:val="00B66349"/>
    <w:rsid w:val="00B663F4"/>
    <w:rsid w:val="00B66CB4"/>
    <w:rsid w:val="00B67903"/>
    <w:rsid w:val="00B67FBF"/>
    <w:rsid w:val="00B70832"/>
    <w:rsid w:val="00B709DD"/>
    <w:rsid w:val="00B71376"/>
    <w:rsid w:val="00B71617"/>
    <w:rsid w:val="00B716D7"/>
    <w:rsid w:val="00B72110"/>
    <w:rsid w:val="00B7276A"/>
    <w:rsid w:val="00B72B91"/>
    <w:rsid w:val="00B73019"/>
    <w:rsid w:val="00B7315F"/>
    <w:rsid w:val="00B7323A"/>
    <w:rsid w:val="00B7324A"/>
    <w:rsid w:val="00B7353B"/>
    <w:rsid w:val="00B737FB"/>
    <w:rsid w:val="00B73E5D"/>
    <w:rsid w:val="00B73EF3"/>
    <w:rsid w:val="00B7423D"/>
    <w:rsid w:val="00B74D05"/>
    <w:rsid w:val="00B75893"/>
    <w:rsid w:val="00B7654F"/>
    <w:rsid w:val="00B775A8"/>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7AC"/>
    <w:rsid w:val="00B87BC5"/>
    <w:rsid w:val="00B87F7B"/>
    <w:rsid w:val="00B90A49"/>
    <w:rsid w:val="00B90A73"/>
    <w:rsid w:val="00B90E0D"/>
    <w:rsid w:val="00B91B8E"/>
    <w:rsid w:val="00B91DFA"/>
    <w:rsid w:val="00B92531"/>
    <w:rsid w:val="00B92618"/>
    <w:rsid w:val="00B92751"/>
    <w:rsid w:val="00B92B69"/>
    <w:rsid w:val="00B92CC6"/>
    <w:rsid w:val="00B935C9"/>
    <w:rsid w:val="00B9367B"/>
    <w:rsid w:val="00B93E3D"/>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0E"/>
    <w:rsid w:val="00BA5027"/>
    <w:rsid w:val="00BA59F2"/>
    <w:rsid w:val="00BA63DB"/>
    <w:rsid w:val="00BA665B"/>
    <w:rsid w:val="00BA6F93"/>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BFB"/>
    <w:rsid w:val="00BC0F33"/>
    <w:rsid w:val="00BC14A7"/>
    <w:rsid w:val="00BC17CC"/>
    <w:rsid w:val="00BC2898"/>
    <w:rsid w:val="00BC2928"/>
    <w:rsid w:val="00BC29BD"/>
    <w:rsid w:val="00BC2BB1"/>
    <w:rsid w:val="00BC34A3"/>
    <w:rsid w:val="00BC3FF9"/>
    <w:rsid w:val="00BC44B8"/>
    <w:rsid w:val="00BC4834"/>
    <w:rsid w:val="00BC4944"/>
    <w:rsid w:val="00BC4A97"/>
    <w:rsid w:val="00BC4E15"/>
    <w:rsid w:val="00BC51F0"/>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4D58"/>
    <w:rsid w:val="00BD52FE"/>
    <w:rsid w:val="00BD57F8"/>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B16"/>
    <w:rsid w:val="00BF0E64"/>
    <w:rsid w:val="00BF0EE8"/>
    <w:rsid w:val="00BF1DD2"/>
    <w:rsid w:val="00BF23A3"/>
    <w:rsid w:val="00BF2A7E"/>
    <w:rsid w:val="00BF3331"/>
    <w:rsid w:val="00BF3A45"/>
    <w:rsid w:val="00BF436F"/>
    <w:rsid w:val="00BF5C05"/>
    <w:rsid w:val="00BF6FC6"/>
    <w:rsid w:val="00BF7C52"/>
    <w:rsid w:val="00BF7F99"/>
    <w:rsid w:val="00C0056F"/>
    <w:rsid w:val="00C00713"/>
    <w:rsid w:val="00C009A0"/>
    <w:rsid w:val="00C018E1"/>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88F"/>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168"/>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28"/>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2D5"/>
    <w:rsid w:val="00C767D6"/>
    <w:rsid w:val="00C76931"/>
    <w:rsid w:val="00C802F2"/>
    <w:rsid w:val="00C8082B"/>
    <w:rsid w:val="00C812CE"/>
    <w:rsid w:val="00C81A88"/>
    <w:rsid w:val="00C81D46"/>
    <w:rsid w:val="00C82298"/>
    <w:rsid w:val="00C82A80"/>
    <w:rsid w:val="00C833B4"/>
    <w:rsid w:val="00C838B0"/>
    <w:rsid w:val="00C83D95"/>
    <w:rsid w:val="00C84284"/>
    <w:rsid w:val="00C84B35"/>
    <w:rsid w:val="00C84E33"/>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9BD"/>
    <w:rsid w:val="00C95DFE"/>
    <w:rsid w:val="00C95F44"/>
    <w:rsid w:val="00C96201"/>
    <w:rsid w:val="00C96D1B"/>
    <w:rsid w:val="00C97106"/>
    <w:rsid w:val="00C978D4"/>
    <w:rsid w:val="00C979B3"/>
    <w:rsid w:val="00CA0031"/>
    <w:rsid w:val="00CA00DE"/>
    <w:rsid w:val="00CA0413"/>
    <w:rsid w:val="00CA043A"/>
    <w:rsid w:val="00CA0CBA"/>
    <w:rsid w:val="00CA0E51"/>
    <w:rsid w:val="00CA0E81"/>
    <w:rsid w:val="00CA1691"/>
    <w:rsid w:val="00CA25D0"/>
    <w:rsid w:val="00CA2738"/>
    <w:rsid w:val="00CA2798"/>
    <w:rsid w:val="00CA2D2E"/>
    <w:rsid w:val="00CA2D98"/>
    <w:rsid w:val="00CA41E7"/>
    <w:rsid w:val="00CA4A99"/>
    <w:rsid w:val="00CA4C8F"/>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0EEA"/>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520B"/>
    <w:rsid w:val="00CD5831"/>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176"/>
    <w:rsid w:val="00CE44C7"/>
    <w:rsid w:val="00CE53B7"/>
    <w:rsid w:val="00CE53CC"/>
    <w:rsid w:val="00CE5829"/>
    <w:rsid w:val="00CE65A7"/>
    <w:rsid w:val="00CE68FE"/>
    <w:rsid w:val="00CE697B"/>
    <w:rsid w:val="00CE69CC"/>
    <w:rsid w:val="00CE6A78"/>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1"/>
    <w:rsid w:val="00D012BF"/>
    <w:rsid w:val="00D01760"/>
    <w:rsid w:val="00D02FA8"/>
    <w:rsid w:val="00D030BD"/>
    <w:rsid w:val="00D0368E"/>
    <w:rsid w:val="00D0393E"/>
    <w:rsid w:val="00D03AC3"/>
    <w:rsid w:val="00D03D2D"/>
    <w:rsid w:val="00D03E7B"/>
    <w:rsid w:val="00D0401A"/>
    <w:rsid w:val="00D04283"/>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34F7"/>
    <w:rsid w:val="00D14B5F"/>
    <w:rsid w:val="00D14E13"/>
    <w:rsid w:val="00D14F23"/>
    <w:rsid w:val="00D14FFE"/>
    <w:rsid w:val="00D160F6"/>
    <w:rsid w:val="00D16740"/>
    <w:rsid w:val="00D16A8B"/>
    <w:rsid w:val="00D16E39"/>
    <w:rsid w:val="00D172A4"/>
    <w:rsid w:val="00D1771A"/>
    <w:rsid w:val="00D17951"/>
    <w:rsid w:val="00D17AD8"/>
    <w:rsid w:val="00D207C8"/>
    <w:rsid w:val="00D2104A"/>
    <w:rsid w:val="00D21BB5"/>
    <w:rsid w:val="00D21FFC"/>
    <w:rsid w:val="00D2223F"/>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0F1A"/>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68D9"/>
    <w:rsid w:val="00D373A8"/>
    <w:rsid w:val="00D379A5"/>
    <w:rsid w:val="00D401BE"/>
    <w:rsid w:val="00D4043A"/>
    <w:rsid w:val="00D40DB0"/>
    <w:rsid w:val="00D4105A"/>
    <w:rsid w:val="00D41093"/>
    <w:rsid w:val="00D416D5"/>
    <w:rsid w:val="00D41858"/>
    <w:rsid w:val="00D422DB"/>
    <w:rsid w:val="00D42303"/>
    <w:rsid w:val="00D42AC2"/>
    <w:rsid w:val="00D431BC"/>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904"/>
    <w:rsid w:val="00D5616F"/>
    <w:rsid w:val="00D56CBC"/>
    <w:rsid w:val="00D57861"/>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1E25"/>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2C7"/>
    <w:rsid w:val="00D97BD1"/>
    <w:rsid w:val="00D97DAD"/>
    <w:rsid w:val="00DA06B8"/>
    <w:rsid w:val="00DA14A9"/>
    <w:rsid w:val="00DA1CA8"/>
    <w:rsid w:val="00DA1F4B"/>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5ACA"/>
    <w:rsid w:val="00DC62E5"/>
    <w:rsid w:val="00DC679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99"/>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11B1"/>
    <w:rsid w:val="00E724E7"/>
    <w:rsid w:val="00E7289D"/>
    <w:rsid w:val="00E72B41"/>
    <w:rsid w:val="00E72EFE"/>
    <w:rsid w:val="00E7347B"/>
    <w:rsid w:val="00E73792"/>
    <w:rsid w:val="00E73D03"/>
    <w:rsid w:val="00E74040"/>
    <w:rsid w:val="00E7471C"/>
    <w:rsid w:val="00E7498A"/>
    <w:rsid w:val="00E7514E"/>
    <w:rsid w:val="00E75B57"/>
    <w:rsid w:val="00E76537"/>
    <w:rsid w:val="00E77784"/>
    <w:rsid w:val="00E77AF5"/>
    <w:rsid w:val="00E823F9"/>
    <w:rsid w:val="00E82C1F"/>
    <w:rsid w:val="00E83671"/>
    <w:rsid w:val="00E83929"/>
    <w:rsid w:val="00E840EE"/>
    <w:rsid w:val="00E84A71"/>
    <w:rsid w:val="00E84DC3"/>
    <w:rsid w:val="00E85786"/>
    <w:rsid w:val="00E86556"/>
    <w:rsid w:val="00E86D35"/>
    <w:rsid w:val="00E86DC2"/>
    <w:rsid w:val="00E86E32"/>
    <w:rsid w:val="00E86F2E"/>
    <w:rsid w:val="00E8732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08B8"/>
    <w:rsid w:val="00ED19B4"/>
    <w:rsid w:val="00ED1F03"/>
    <w:rsid w:val="00ED2D27"/>
    <w:rsid w:val="00ED3198"/>
    <w:rsid w:val="00ED3347"/>
    <w:rsid w:val="00ED3438"/>
    <w:rsid w:val="00ED3441"/>
    <w:rsid w:val="00ED3860"/>
    <w:rsid w:val="00ED3954"/>
    <w:rsid w:val="00ED43A2"/>
    <w:rsid w:val="00ED4967"/>
    <w:rsid w:val="00ED4A5E"/>
    <w:rsid w:val="00ED5140"/>
    <w:rsid w:val="00ED538C"/>
    <w:rsid w:val="00ED5771"/>
    <w:rsid w:val="00ED585E"/>
    <w:rsid w:val="00ED587F"/>
    <w:rsid w:val="00ED5964"/>
    <w:rsid w:val="00ED5B74"/>
    <w:rsid w:val="00ED623F"/>
    <w:rsid w:val="00ED63A5"/>
    <w:rsid w:val="00ED66FE"/>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710"/>
    <w:rsid w:val="00EE59B5"/>
    <w:rsid w:val="00EE5FB7"/>
    <w:rsid w:val="00EE6783"/>
    <w:rsid w:val="00EE7B54"/>
    <w:rsid w:val="00EE7C47"/>
    <w:rsid w:val="00EE7C88"/>
    <w:rsid w:val="00EE7C8B"/>
    <w:rsid w:val="00EF00E7"/>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6E58"/>
    <w:rsid w:val="00EF7033"/>
    <w:rsid w:val="00EF7506"/>
    <w:rsid w:val="00EF78AB"/>
    <w:rsid w:val="00EF7BF4"/>
    <w:rsid w:val="00F0030F"/>
    <w:rsid w:val="00F0057D"/>
    <w:rsid w:val="00F00674"/>
    <w:rsid w:val="00F01657"/>
    <w:rsid w:val="00F01E67"/>
    <w:rsid w:val="00F02744"/>
    <w:rsid w:val="00F02926"/>
    <w:rsid w:val="00F02BFD"/>
    <w:rsid w:val="00F02D25"/>
    <w:rsid w:val="00F03A4A"/>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7F7"/>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2D"/>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478E"/>
    <w:rsid w:val="00F65A3C"/>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373"/>
    <w:rsid w:val="00FB583C"/>
    <w:rsid w:val="00FB630E"/>
    <w:rsid w:val="00FB6738"/>
    <w:rsid w:val="00FB67AD"/>
    <w:rsid w:val="00FB691B"/>
    <w:rsid w:val="00FB6BE6"/>
    <w:rsid w:val="00FB7312"/>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45"/>
    <w:rsid w:val="00FC79AB"/>
    <w:rsid w:val="00FC7BE7"/>
    <w:rsid w:val="00FC7DAC"/>
    <w:rsid w:val="00FC7F00"/>
    <w:rsid w:val="00FD005D"/>
    <w:rsid w:val="00FD023A"/>
    <w:rsid w:val="00FD04AE"/>
    <w:rsid w:val="00FD0CCF"/>
    <w:rsid w:val="00FD0DFA"/>
    <w:rsid w:val="00FD128D"/>
    <w:rsid w:val="00FD1606"/>
    <w:rsid w:val="00FD1890"/>
    <w:rsid w:val="00FD1994"/>
    <w:rsid w:val="00FD1F52"/>
    <w:rsid w:val="00FD29F3"/>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0FEE"/>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6B9F"/>
    <w:rsid w:val="00FF7A39"/>
    <w:rsid w:val="1D1A3614"/>
    <w:rsid w:val="62C4790C"/>
    <w:rsid w:val="659F297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CC4"/>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table" w:customStyle="1" w:styleId="Tablaconcuadrcula12">
    <w:name w:val="Tabla con cuadrícula12"/>
    <w:basedOn w:val="Tablanormal"/>
    <w:next w:val="Tablaconcuadrcula"/>
    <w:uiPriority w:val="59"/>
    <w:rsid w:val="00253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8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843138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974177">
      <w:bodyDiv w:val="1"/>
      <w:marLeft w:val="0"/>
      <w:marRight w:val="0"/>
      <w:marTop w:val="0"/>
      <w:marBottom w:val="0"/>
      <w:divBdr>
        <w:top w:val="none" w:sz="0" w:space="0" w:color="auto"/>
        <w:left w:val="none" w:sz="0" w:space="0" w:color="auto"/>
        <w:bottom w:val="none" w:sz="0" w:space="0" w:color="auto"/>
        <w:right w:val="none" w:sz="0" w:space="0" w:color="auto"/>
      </w:divBdr>
      <w:divsChild>
        <w:div w:id="991913381">
          <w:marLeft w:val="0"/>
          <w:marRight w:val="0"/>
          <w:marTop w:val="0"/>
          <w:marBottom w:val="0"/>
          <w:divBdr>
            <w:top w:val="none" w:sz="0" w:space="0" w:color="auto"/>
            <w:left w:val="none" w:sz="0" w:space="0" w:color="auto"/>
            <w:bottom w:val="none" w:sz="0" w:space="0" w:color="auto"/>
            <w:right w:val="none" w:sz="0" w:space="0" w:color="auto"/>
          </w:divBdr>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2910145">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4783156">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F475072-16E3-4DA2-961E-2647946E1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069242-D2A4-47FD-B8A4-875C74591DDD}">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369</TotalTime>
  <Pages>16</Pages>
  <Words>5546</Words>
  <Characters>30507</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Paula Andrea Manrique Sarmiento</cp:lastModifiedBy>
  <cp:revision>20</cp:revision>
  <cp:lastPrinted>2020-01-30T15:05:00Z</cp:lastPrinted>
  <dcterms:created xsi:type="dcterms:W3CDTF">2022-07-08T22:16:00Z</dcterms:created>
  <dcterms:modified xsi:type="dcterms:W3CDTF">2022-09-06T13:04:00Z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