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91F3BD" w14:textId="1C7D5B02" w:rsidR="00681ECF" w:rsidRPr="00681ECF" w:rsidRDefault="00681ECF" w:rsidP="00681ECF">
      <w:pPr>
        <w:spacing w:after="0"/>
        <w:jc w:val="both"/>
        <w:rPr>
          <w:rFonts w:ascii="Verdana" w:hAnsi="Verdana"/>
        </w:rPr>
      </w:pPr>
      <w:bookmarkStart w:id="0" w:name="_Hlk143780582"/>
      <w:r w:rsidRPr="00681ECF">
        <w:rPr>
          <w:rFonts w:ascii="Verdana" w:eastAsia="Aptos" w:hAnsi="Verdana" w:cs="Arial"/>
          <w:b/>
          <w:bCs/>
          <w:kern w:val="2"/>
          <w:lang w:val="es-MX"/>
          <w14:ligatures w14:val="standardContextual"/>
        </w:rPr>
        <w:t>INALTERABILIDAD – Documentos Tipo – Alcance</w:t>
      </w:r>
    </w:p>
    <w:p w14:paraId="18405CF3" w14:textId="77777777" w:rsidR="00681ECF" w:rsidRPr="00681ECF" w:rsidRDefault="00681ECF" w:rsidP="00681ECF">
      <w:pPr>
        <w:spacing w:after="0" w:line="276" w:lineRule="auto"/>
        <w:jc w:val="both"/>
        <w:rPr>
          <w:rFonts w:ascii="Verdana" w:eastAsia="Geomanist Light" w:hAnsi="Verdana" w:cs="Arial"/>
          <w:lang w:val="es-MX"/>
        </w:rPr>
      </w:pPr>
    </w:p>
    <w:p w14:paraId="2459F6D7" w14:textId="49F20E45" w:rsidR="00264404" w:rsidRPr="00264404" w:rsidRDefault="00264404" w:rsidP="00264404">
      <w:pPr>
        <w:snapToGrid w:val="0"/>
        <w:spacing w:after="0" w:line="240" w:lineRule="auto"/>
        <w:jc w:val="both"/>
        <w:rPr>
          <w:rFonts w:ascii="Verdana" w:eastAsia="Calibri" w:hAnsi="Verdana" w:cs="Arial"/>
          <w:kern w:val="2"/>
          <w:sz w:val="20"/>
          <w:szCs w:val="20"/>
          <w:lang w:val="es-ES" w:eastAsia="es-ES"/>
          <w14:ligatures w14:val="standardContextual"/>
        </w:rPr>
      </w:pPr>
      <w:r w:rsidRPr="00264404">
        <w:rPr>
          <w:rFonts w:ascii="Verdana" w:eastAsia="Times New Roman" w:hAnsi="Verdana" w:cs="Arial"/>
          <w:kern w:val="2"/>
          <w:sz w:val="20"/>
          <w:szCs w:val="20"/>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264404">
        <w:rPr>
          <w:rFonts w:ascii="Verdana" w:eastAsia="Times New Roman" w:hAnsi="Verdana" w:cs="Arial"/>
          <w:i/>
          <w:iCs/>
          <w:kern w:val="2"/>
          <w:sz w:val="20"/>
          <w:szCs w:val="20"/>
          <w:shd w:val="clear" w:color="auto" w:fill="FFFFFF"/>
          <w:lang w:val="es-ES_tradnl" w:eastAsia="es-ES_tradnl"/>
          <w14:ligatures w14:val="standardContextual"/>
        </w:rPr>
        <w:t>Documentos del Proceso</w:t>
      </w:r>
      <w:r w:rsidRPr="00264404">
        <w:rPr>
          <w:rFonts w:ascii="Verdana" w:eastAsia="Times New Roman" w:hAnsi="Verdana" w:cs="Arial"/>
          <w:kern w:val="2"/>
          <w:sz w:val="20"/>
          <w:szCs w:val="20"/>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96A3B48" w14:textId="77777777" w:rsidR="00681ECF" w:rsidRPr="00681ECF" w:rsidRDefault="00681ECF" w:rsidP="00681ECF">
      <w:pPr>
        <w:spacing w:after="0" w:line="276" w:lineRule="auto"/>
        <w:jc w:val="both"/>
        <w:rPr>
          <w:rFonts w:ascii="Verdana" w:eastAsia="Geomanist Light" w:hAnsi="Verdana" w:cs="Arial"/>
          <w:lang w:val="es-MX"/>
        </w:rPr>
      </w:pPr>
    </w:p>
    <w:p w14:paraId="7B713010" w14:textId="77777777" w:rsidR="00681ECF" w:rsidRPr="00681ECF" w:rsidRDefault="00681ECF" w:rsidP="00681ECF">
      <w:pPr>
        <w:spacing w:after="0" w:line="276" w:lineRule="auto"/>
        <w:jc w:val="both"/>
        <w:rPr>
          <w:rFonts w:ascii="Verdana" w:eastAsia="Geomanist Light" w:hAnsi="Verdana" w:cs="Arial"/>
          <w:b/>
          <w:bCs/>
          <w:lang w:val="es-MX"/>
        </w:rPr>
      </w:pPr>
      <w:r w:rsidRPr="00681ECF">
        <w:rPr>
          <w:rFonts w:ascii="Verdana" w:eastAsia="Geomanist Light" w:hAnsi="Verdana" w:cs="Arial"/>
          <w:b/>
          <w:bCs/>
          <w:lang w:val="es-MX"/>
        </w:rPr>
        <w:t>DOCUMENTOS TIPO – Infraestructura de transporte – Numeral 3.5.6 – Documentos válidos para la acreditación de la experiencia requerida – Experiencia entre particulares</w:t>
      </w:r>
    </w:p>
    <w:p w14:paraId="404DE035" w14:textId="77777777" w:rsidR="00681ECF" w:rsidRPr="00681ECF" w:rsidRDefault="00681ECF" w:rsidP="00681ECF">
      <w:pPr>
        <w:spacing w:after="0" w:line="276" w:lineRule="auto"/>
        <w:jc w:val="both"/>
        <w:rPr>
          <w:rFonts w:ascii="Verdana" w:eastAsia="Geomanist Light" w:hAnsi="Verdana" w:cs="Arial"/>
          <w:lang w:val="es-MX"/>
        </w:rPr>
      </w:pPr>
    </w:p>
    <w:p w14:paraId="24958BE6" w14:textId="07C9935F" w:rsidR="008731EE" w:rsidRPr="008731EE" w:rsidRDefault="008731EE" w:rsidP="008731EE">
      <w:pPr>
        <w:jc w:val="both"/>
        <w:rPr>
          <w:rFonts w:ascii="Verdana" w:eastAsia="Calibri" w:hAnsi="Verdana" w:cs="Arial"/>
          <w:sz w:val="20"/>
          <w:szCs w:val="20"/>
          <w:lang w:val="es-MX"/>
        </w:rPr>
      </w:pPr>
      <w:r w:rsidRPr="008731EE">
        <w:rPr>
          <w:rFonts w:ascii="Verdana" w:eastAsia="Calibri" w:hAnsi="Verdana" w:cs="Arial"/>
          <w:sz w:val="20"/>
          <w:szCs w:val="20"/>
          <w:lang w:val="es-MX"/>
        </w:rPr>
        <w:t>Finalmente, para acreditar la experiencia entre particulares, el numeral 3.5.6 del documento base señala que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069F179E" w14:textId="1824AE3B" w:rsidR="00681ECF" w:rsidRPr="00681ECF" w:rsidRDefault="00681ECF" w:rsidP="00681ECF">
      <w:pPr>
        <w:spacing w:after="0" w:line="240" w:lineRule="auto"/>
        <w:jc w:val="both"/>
        <w:rPr>
          <w:rFonts w:ascii="Verdana" w:eastAsia="Calibri" w:hAnsi="Verdana" w:cs="Arial"/>
          <w:b/>
          <w:kern w:val="2"/>
          <w:sz w:val="20"/>
          <w:szCs w:val="20"/>
          <w:lang w:val="es-ES_tradnl" w:eastAsia="es-CO"/>
          <w14:ligatures w14:val="standardContextual"/>
        </w:rPr>
      </w:pPr>
    </w:p>
    <w:p w14:paraId="2059AB04" w14:textId="77777777" w:rsidR="00681ECF" w:rsidRPr="00681ECF" w:rsidRDefault="00681ECF" w:rsidP="00681ECF">
      <w:pPr>
        <w:spacing w:after="0" w:line="240" w:lineRule="auto"/>
        <w:jc w:val="both"/>
        <w:rPr>
          <w:rFonts w:ascii="Verdana" w:eastAsia="Calibri" w:hAnsi="Verdana" w:cs="Times New Roman"/>
        </w:rPr>
      </w:pPr>
    </w:p>
    <w:p w14:paraId="2B028F26" w14:textId="77777777" w:rsidR="00681ECF" w:rsidRPr="00681ECF" w:rsidRDefault="00681ECF" w:rsidP="00681ECF">
      <w:pPr>
        <w:spacing w:after="0" w:line="240" w:lineRule="auto"/>
        <w:jc w:val="both"/>
        <w:rPr>
          <w:rFonts w:ascii="Verdana" w:eastAsia="Calibri" w:hAnsi="Verdana" w:cs="Times New Roman"/>
        </w:rPr>
      </w:pPr>
    </w:p>
    <w:p w14:paraId="1C3A5E5A" w14:textId="77777777" w:rsidR="00681ECF" w:rsidRPr="00681ECF" w:rsidRDefault="00681ECF" w:rsidP="00681ECF">
      <w:pPr>
        <w:spacing w:after="0" w:line="240" w:lineRule="auto"/>
        <w:jc w:val="both"/>
        <w:rPr>
          <w:rFonts w:ascii="Verdana" w:eastAsia="Calibri" w:hAnsi="Verdana" w:cs="Times New Roman"/>
        </w:rPr>
      </w:pPr>
    </w:p>
    <w:p w14:paraId="0642695B" w14:textId="77777777" w:rsidR="00681ECF" w:rsidRPr="00681ECF" w:rsidRDefault="00681ECF" w:rsidP="00681ECF">
      <w:pPr>
        <w:spacing w:after="0" w:line="240" w:lineRule="auto"/>
        <w:jc w:val="both"/>
        <w:rPr>
          <w:rFonts w:ascii="Verdana" w:eastAsia="Calibri" w:hAnsi="Verdana" w:cs="Times New Roman"/>
        </w:rPr>
      </w:pPr>
    </w:p>
    <w:p w14:paraId="3CD0868D" w14:textId="77777777" w:rsidR="00681ECF" w:rsidRPr="00681ECF" w:rsidRDefault="00681ECF" w:rsidP="00681ECF">
      <w:pPr>
        <w:spacing w:after="0" w:line="240" w:lineRule="auto"/>
        <w:jc w:val="both"/>
        <w:rPr>
          <w:rFonts w:ascii="Verdana" w:eastAsia="Calibri" w:hAnsi="Verdana" w:cs="Times New Roman"/>
        </w:rPr>
      </w:pPr>
    </w:p>
    <w:p w14:paraId="26C6956F" w14:textId="77777777" w:rsidR="00681ECF" w:rsidRDefault="00681ECF" w:rsidP="00681ECF">
      <w:pPr>
        <w:spacing w:after="0" w:line="240" w:lineRule="auto"/>
        <w:jc w:val="both"/>
        <w:rPr>
          <w:rFonts w:ascii="Verdana" w:eastAsia="Calibri" w:hAnsi="Verdana" w:cs="Times New Roman"/>
        </w:rPr>
      </w:pPr>
    </w:p>
    <w:p w14:paraId="1824EF35" w14:textId="77777777" w:rsidR="008731EE" w:rsidRDefault="008731EE" w:rsidP="00681ECF">
      <w:pPr>
        <w:spacing w:after="0" w:line="240" w:lineRule="auto"/>
        <w:jc w:val="both"/>
        <w:rPr>
          <w:rFonts w:ascii="Verdana" w:eastAsia="Calibri" w:hAnsi="Verdana" w:cs="Times New Roman"/>
        </w:rPr>
      </w:pPr>
    </w:p>
    <w:p w14:paraId="0E5E9C7E" w14:textId="77777777" w:rsidR="008731EE" w:rsidRDefault="008731EE" w:rsidP="00681ECF">
      <w:pPr>
        <w:spacing w:after="0" w:line="240" w:lineRule="auto"/>
        <w:jc w:val="both"/>
        <w:rPr>
          <w:rFonts w:ascii="Verdana" w:eastAsia="Calibri" w:hAnsi="Verdana" w:cs="Times New Roman"/>
        </w:rPr>
      </w:pPr>
    </w:p>
    <w:p w14:paraId="2EB13CED" w14:textId="77777777" w:rsidR="008731EE" w:rsidRDefault="008731EE" w:rsidP="00681ECF">
      <w:pPr>
        <w:spacing w:after="0" w:line="240" w:lineRule="auto"/>
        <w:jc w:val="both"/>
        <w:rPr>
          <w:rFonts w:ascii="Verdana" w:eastAsia="Calibri" w:hAnsi="Verdana" w:cs="Times New Roman"/>
        </w:rPr>
      </w:pPr>
    </w:p>
    <w:p w14:paraId="6FA5D220" w14:textId="77777777" w:rsidR="008731EE" w:rsidRPr="00681ECF" w:rsidRDefault="008731EE" w:rsidP="00681ECF">
      <w:pPr>
        <w:spacing w:after="0" w:line="240" w:lineRule="auto"/>
        <w:jc w:val="both"/>
        <w:rPr>
          <w:rFonts w:ascii="Verdana" w:eastAsia="Calibri" w:hAnsi="Verdana" w:cs="Times New Roman"/>
        </w:rPr>
      </w:pPr>
    </w:p>
    <w:p w14:paraId="2B5F7E5F" w14:textId="77777777" w:rsidR="00681ECF" w:rsidRPr="00681ECF" w:rsidRDefault="00681ECF" w:rsidP="00681ECF">
      <w:pPr>
        <w:spacing w:after="0" w:line="240" w:lineRule="auto"/>
        <w:jc w:val="both"/>
        <w:rPr>
          <w:rFonts w:ascii="Verdana" w:eastAsia="Calibri" w:hAnsi="Verdana" w:cs="Times New Roman"/>
        </w:rPr>
      </w:pPr>
    </w:p>
    <w:p w14:paraId="097FBB16" w14:textId="77777777" w:rsidR="00681ECF" w:rsidRPr="00681ECF" w:rsidRDefault="00681ECF" w:rsidP="00681ECF">
      <w:pPr>
        <w:spacing w:after="0" w:line="240" w:lineRule="auto"/>
        <w:jc w:val="both"/>
        <w:rPr>
          <w:rFonts w:ascii="Verdana" w:eastAsia="Calibri" w:hAnsi="Verdana" w:cs="Times New Roman"/>
        </w:rPr>
      </w:pPr>
    </w:p>
    <w:p w14:paraId="0438F3CB" w14:textId="77777777" w:rsidR="00681ECF" w:rsidRPr="00681ECF" w:rsidRDefault="00681ECF" w:rsidP="00681ECF">
      <w:pPr>
        <w:spacing w:after="0" w:line="240" w:lineRule="auto"/>
        <w:jc w:val="both"/>
        <w:rPr>
          <w:rFonts w:ascii="Verdana" w:eastAsia="Calibri" w:hAnsi="Verdana" w:cs="Times New Roman"/>
        </w:rPr>
      </w:pPr>
    </w:p>
    <w:p w14:paraId="17ED5A16" w14:textId="77777777" w:rsidR="00681ECF" w:rsidRPr="00681ECF" w:rsidRDefault="00681ECF" w:rsidP="00681ECF">
      <w:pPr>
        <w:spacing w:after="0" w:line="240" w:lineRule="auto"/>
        <w:jc w:val="both"/>
        <w:rPr>
          <w:rFonts w:ascii="Verdana" w:eastAsia="Calibri" w:hAnsi="Verdana" w:cs="Times New Roman"/>
        </w:rPr>
      </w:pPr>
    </w:p>
    <w:p w14:paraId="0B441EF0" w14:textId="77777777" w:rsidR="00681ECF" w:rsidRDefault="00681ECF" w:rsidP="00681ECF">
      <w:pPr>
        <w:spacing w:after="0" w:line="240" w:lineRule="auto"/>
        <w:jc w:val="both"/>
        <w:rPr>
          <w:rFonts w:ascii="Verdana" w:eastAsia="Calibri" w:hAnsi="Verdana" w:cs="Times New Roman"/>
        </w:rPr>
      </w:pPr>
    </w:p>
    <w:p w14:paraId="06459842" w14:textId="77777777" w:rsidR="008731EE" w:rsidRPr="00681ECF" w:rsidRDefault="008731EE" w:rsidP="00681ECF">
      <w:pPr>
        <w:spacing w:after="0" w:line="240" w:lineRule="auto"/>
        <w:jc w:val="both"/>
        <w:rPr>
          <w:rFonts w:ascii="Verdana" w:eastAsia="Calibri" w:hAnsi="Verdana" w:cs="Times New Roman"/>
        </w:rPr>
      </w:pPr>
    </w:p>
    <w:p w14:paraId="5FE9A131" w14:textId="74AFD05D" w:rsidR="00681ECF" w:rsidRPr="00681ECF" w:rsidRDefault="00681ECF" w:rsidP="00681ECF">
      <w:pPr>
        <w:spacing w:after="0" w:line="240" w:lineRule="auto"/>
        <w:jc w:val="both"/>
        <w:rPr>
          <w:rFonts w:ascii="Verdana" w:eastAsia="Calibri" w:hAnsi="Verdana" w:cs="Arial"/>
          <w:lang w:val="es-ES"/>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p>
    <w:p w14:paraId="20D9D0BC" w14:textId="0364E252" w:rsidR="00681ECF" w:rsidRDefault="003035C0" w:rsidP="00681ECF">
      <w:pPr>
        <w:spacing w:after="0" w:line="240" w:lineRule="auto"/>
        <w:jc w:val="both"/>
        <w:rPr>
          <w:rFonts w:ascii="Verdana" w:eastAsia="Calibri" w:hAnsi="Verdana" w:cs="Arial"/>
          <w:lang w:val="es-ES"/>
        </w:rPr>
      </w:pPr>
      <w:r w:rsidRPr="003035C0">
        <w:rPr>
          <w:rFonts w:ascii="Verdana" w:eastAsia="Calibri" w:hAnsi="Verdana" w:cs="Arial"/>
          <w:noProof/>
          <w:lang w:val="es-ES"/>
        </w:rPr>
        <w:drawing>
          <wp:anchor distT="0" distB="0" distL="114300" distR="114300" simplePos="0" relativeHeight="251658240" behindDoc="1" locked="0" layoutInCell="1" allowOverlap="1" wp14:anchorId="6811BFED" wp14:editId="6DB10763">
            <wp:simplePos x="0" y="0"/>
            <wp:positionH relativeFrom="column">
              <wp:posOffset>2771140</wp:posOffset>
            </wp:positionH>
            <wp:positionV relativeFrom="paragraph">
              <wp:posOffset>147320</wp:posOffset>
            </wp:positionV>
            <wp:extent cx="3457575" cy="1085850"/>
            <wp:effectExtent l="0" t="0" r="9525" b="0"/>
            <wp:wrapTight wrapText="bothSides">
              <wp:wrapPolygon edited="0">
                <wp:start x="0" y="0"/>
                <wp:lineTo x="0" y="21221"/>
                <wp:lineTo x="21540" y="21221"/>
                <wp:lineTo x="21540" y="0"/>
                <wp:lineTo x="0" y="0"/>
              </wp:wrapPolygon>
            </wp:wrapTight>
            <wp:docPr id="868183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83498" name=""/>
                    <pic:cNvPicPr/>
                  </pic:nvPicPr>
                  <pic:blipFill>
                    <a:blip r:embed="rId10">
                      <a:extLst>
                        <a:ext uri="{28A0092B-C50C-407E-A947-70E740481C1C}">
                          <a14:useLocalDpi xmlns:a14="http://schemas.microsoft.com/office/drawing/2010/main" val="0"/>
                        </a:ext>
                      </a:extLst>
                    </a:blip>
                    <a:stretch>
                      <a:fillRect/>
                    </a:stretch>
                  </pic:blipFill>
                  <pic:spPr>
                    <a:xfrm>
                      <a:off x="0" y="0"/>
                      <a:ext cx="3457575" cy="1085850"/>
                    </a:xfrm>
                    <a:prstGeom prst="rect">
                      <a:avLst/>
                    </a:prstGeom>
                  </pic:spPr>
                </pic:pic>
              </a:graphicData>
            </a:graphic>
          </wp:anchor>
        </w:drawing>
      </w:r>
    </w:p>
    <w:p w14:paraId="3A4434D6" w14:textId="77777777" w:rsidR="00681ECF" w:rsidRDefault="00681ECF" w:rsidP="00681ECF">
      <w:pPr>
        <w:spacing w:after="0" w:line="240" w:lineRule="auto"/>
        <w:jc w:val="both"/>
        <w:rPr>
          <w:rFonts w:ascii="Verdana" w:eastAsia="Calibri" w:hAnsi="Verdana" w:cs="Arial"/>
          <w:lang w:val="es-ES"/>
        </w:rPr>
      </w:pPr>
    </w:p>
    <w:p w14:paraId="792F3983" w14:textId="77777777" w:rsidR="003035C0" w:rsidRDefault="003035C0" w:rsidP="00681ECF">
      <w:pPr>
        <w:spacing w:after="0" w:line="240" w:lineRule="auto"/>
        <w:jc w:val="both"/>
        <w:rPr>
          <w:rFonts w:ascii="Verdana" w:eastAsia="Calibri" w:hAnsi="Verdana" w:cs="Arial"/>
          <w:lang w:val="es-ES"/>
        </w:rPr>
      </w:pPr>
    </w:p>
    <w:p w14:paraId="57F4DCD7" w14:textId="77777777" w:rsidR="003035C0" w:rsidRDefault="003035C0" w:rsidP="00681ECF">
      <w:pPr>
        <w:spacing w:after="0" w:line="240" w:lineRule="auto"/>
        <w:jc w:val="both"/>
        <w:rPr>
          <w:rFonts w:ascii="Verdana" w:eastAsia="Calibri" w:hAnsi="Verdana" w:cs="Arial"/>
          <w:lang w:val="es-ES"/>
        </w:rPr>
      </w:pPr>
    </w:p>
    <w:p w14:paraId="25BD1356" w14:textId="2F810335" w:rsidR="003035C0" w:rsidRDefault="003035C0" w:rsidP="00681ECF">
      <w:pPr>
        <w:spacing w:after="0" w:line="240" w:lineRule="auto"/>
        <w:jc w:val="both"/>
        <w:rPr>
          <w:rFonts w:ascii="Verdana" w:eastAsia="Calibri" w:hAnsi="Verdana" w:cs="Arial"/>
          <w:lang w:val="es-ES"/>
        </w:rPr>
      </w:pPr>
    </w:p>
    <w:p w14:paraId="28E482F8" w14:textId="77777777" w:rsidR="003035C0" w:rsidRDefault="003035C0" w:rsidP="00681ECF">
      <w:pPr>
        <w:spacing w:after="0" w:line="240" w:lineRule="auto"/>
        <w:jc w:val="both"/>
        <w:rPr>
          <w:rFonts w:ascii="Verdana" w:eastAsia="Calibri" w:hAnsi="Verdana" w:cs="Arial"/>
          <w:lang w:val="es-ES"/>
        </w:rPr>
      </w:pPr>
    </w:p>
    <w:p w14:paraId="1F8B127A" w14:textId="77777777" w:rsidR="003035C0" w:rsidRDefault="003035C0" w:rsidP="00681ECF">
      <w:pPr>
        <w:spacing w:after="0" w:line="240" w:lineRule="auto"/>
        <w:jc w:val="both"/>
        <w:rPr>
          <w:rFonts w:ascii="Verdana" w:eastAsia="Calibri" w:hAnsi="Verdana" w:cs="Arial"/>
          <w:lang w:val="es-ES"/>
        </w:rPr>
      </w:pPr>
    </w:p>
    <w:p w14:paraId="5A8F99DA" w14:textId="77777777" w:rsidR="003035C0" w:rsidRPr="00681ECF" w:rsidRDefault="003035C0" w:rsidP="00681ECF">
      <w:pPr>
        <w:spacing w:after="0" w:line="240" w:lineRule="auto"/>
        <w:jc w:val="both"/>
        <w:rPr>
          <w:rFonts w:ascii="Verdana" w:eastAsia="Calibri" w:hAnsi="Verdana" w:cs="Arial"/>
          <w:lang w:val="es-ES"/>
        </w:rPr>
      </w:pPr>
    </w:p>
    <w:p w14:paraId="5F298068" w14:textId="77777777" w:rsidR="00681ECF" w:rsidRPr="00681ECF" w:rsidRDefault="00681ECF" w:rsidP="00681ECF">
      <w:pPr>
        <w:spacing w:after="0" w:line="240" w:lineRule="auto"/>
        <w:jc w:val="both"/>
        <w:rPr>
          <w:rFonts w:ascii="Verdana" w:eastAsia="Calibri" w:hAnsi="Verdana" w:cs="Arial"/>
          <w:lang w:val="es-ES" w:eastAsia="es-ES"/>
        </w:rPr>
      </w:pPr>
      <w:r w:rsidRPr="00681ECF">
        <w:rPr>
          <w:rFonts w:ascii="Verdana" w:eastAsia="Calibri" w:hAnsi="Verdana" w:cs="Arial"/>
          <w:lang w:val="es-ES" w:eastAsia="es-ES"/>
        </w:rPr>
        <w:t>Señor</w:t>
      </w:r>
    </w:p>
    <w:p w14:paraId="562FF3E4" w14:textId="77777777" w:rsidR="00681ECF" w:rsidRPr="00681ECF" w:rsidRDefault="00681ECF" w:rsidP="00681ECF">
      <w:pPr>
        <w:spacing w:after="0" w:line="240" w:lineRule="auto"/>
        <w:rPr>
          <w:rFonts w:ascii="Verdana" w:eastAsia="Calibri" w:hAnsi="Verdana" w:cs="Arial"/>
          <w:b/>
          <w:lang w:val="es-ES_tradnl" w:eastAsia="es-ES_tradnl"/>
        </w:rPr>
      </w:pPr>
      <w:r w:rsidRPr="00681ECF">
        <w:rPr>
          <w:rFonts w:ascii="Verdana" w:eastAsia="Calibri" w:hAnsi="Verdana" w:cs="Arial"/>
          <w:b/>
          <w:lang w:val="es-ES_tradnl" w:eastAsia="es-ES_tradnl"/>
        </w:rPr>
        <w:t>Fabian Octavio Pérez Valencia</w:t>
      </w:r>
    </w:p>
    <w:p w14:paraId="08AC5111" w14:textId="77777777" w:rsidR="00681ECF" w:rsidRPr="00681ECF" w:rsidRDefault="00681ECF" w:rsidP="00681ECF">
      <w:pPr>
        <w:spacing w:after="0" w:line="240" w:lineRule="auto"/>
        <w:rPr>
          <w:rFonts w:ascii="Verdana" w:eastAsia="Calibri" w:hAnsi="Verdana" w:cs="Arial"/>
          <w:b/>
          <w:bCs/>
          <w:lang w:val="es-ES_tradnl" w:eastAsia="es-ES_tradnl"/>
        </w:rPr>
      </w:pPr>
      <w:r w:rsidRPr="00681ECF">
        <w:rPr>
          <w:rFonts w:ascii="Verdana" w:eastAsia="Calibri" w:hAnsi="Verdana" w:cs="Arial"/>
          <w:bCs/>
          <w:lang w:val="es-ES_tradnl" w:eastAsia="es-ES_tradnl"/>
        </w:rPr>
        <w:t>Inírida, Guainía</w:t>
      </w:r>
    </w:p>
    <w:p w14:paraId="55AEA77B" w14:textId="77777777" w:rsidR="00681ECF" w:rsidRPr="00681ECF" w:rsidRDefault="00681ECF" w:rsidP="00681ECF">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81ECF" w:rsidRPr="00681ECF" w14:paraId="378C74DF" w14:textId="77777777" w:rsidTr="00DC6294">
        <w:trPr>
          <w:trHeight w:val="884"/>
        </w:trPr>
        <w:tc>
          <w:tcPr>
            <w:tcW w:w="2689" w:type="dxa"/>
          </w:tcPr>
          <w:p w14:paraId="285BFD44" w14:textId="77777777" w:rsidR="00681ECF" w:rsidRPr="00681ECF" w:rsidRDefault="00681ECF" w:rsidP="00681ECF">
            <w:pPr>
              <w:jc w:val="both"/>
              <w:rPr>
                <w:rFonts w:ascii="Verdana" w:eastAsia="Calibri" w:hAnsi="Verdana" w:cs="Arial"/>
                <w:b/>
                <w:bCs/>
                <w:lang w:val="es-ES_tradnl" w:eastAsia="es-ES_tradnl"/>
              </w:rPr>
            </w:pPr>
          </w:p>
        </w:tc>
        <w:tc>
          <w:tcPr>
            <w:tcW w:w="6100" w:type="dxa"/>
          </w:tcPr>
          <w:p w14:paraId="6C0FDC89" w14:textId="77777777" w:rsidR="00681ECF" w:rsidRPr="00681ECF" w:rsidRDefault="00681ECF" w:rsidP="00681ECF">
            <w:pPr>
              <w:jc w:val="both"/>
              <w:rPr>
                <w:rFonts w:ascii="Verdana" w:eastAsia="Calibri" w:hAnsi="Verdana" w:cs="Arial"/>
                <w:b/>
                <w:bCs/>
                <w:lang w:val="es-ES" w:eastAsia="es-ES"/>
              </w:rPr>
            </w:pPr>
            <w:r w:rsidRPr="00681ECF">
              <w:rPr>
                <w:rFonts w:ascii="Verdana" w:eastAsia="Calibri" w:hAnsi="Verdana" w:cs="Arial"/>
                <w:b/>
                <w:bCs/>
                <w:lang w:val="es-ES" w:eastAsia="es-ES"/>
              </w:rPr>
              <w:t>Concepto C – 513 de 2024</w:t>
            </w:r>
          </w:p>
        </w:tc>
      </w:tr>
      <w:tr w:rsidR="00681ECF" w:rsidRPr="00681ECF" w14:paraId="231E949E" w14:textId="77777777" w:rsidTr="00DC6294">
        <w:trPr>
          <w:trHeight w:val="884"/>
        </w:trPr>
        <w:tc>
          <w:tcPr>
            <w:tcW w:w="2689" w:type="dxa"/>
          </w:tcPr>
          <w:p w14:paraId="226C67A7" w14:textId="77777777" w:rsidR="00681ECF" w:rsidRPr="00681ECF" w:rsidRDefault="00681ECF" w:rsidP="00681ECF">
            <w:pPr>
              <w:jc w:val="both"/>
              <w:rPr>
                <w:rFonts w:ascii="Verdana" w:eastAsia="Calibri" w:hAnsi="Verdana" w:cs="Arial"/>
                <w:lang w:val="es-ES_tradnl" w:eastAsia="es-ES_tradnl"/>
              </w:rPr>
            </w:pPr>
            <w:r w:rsidRPr="00681ECF">
              <w:rPr>
                <w:rFonts w:ascii="Verdana" w:eastAsia="Calibri" w:hAnsi="Verdana" w:cs="Arial"/>
                <w:b/>
                <w:lang w:val="es-ES_tradnl" w:eastAsia="es-ES_tradnl"/>
              </w:rPr>
              <w:t>Temas:</w:t>
            </w:r>
            <w:r w:rsidRPr="00681ECF">
              <w:rPr>
                <w:rFonts w:ascii="Verdana" w:eastAsia="Calibri" w:hAnsi="Verdana" w:cs="Arial"/>
                <w:lang w:val="es-ES_tradnl" w:eastAsia="es-ES_tradnl"/>
              </w:rPr>
              <w:t xml:space="preserve">                   </w:t>
            </w:r>
          </w:p>
        </w:tc>
        <w:tc>
          <w:tcPr>
            <w:tcW w:w="6100" w:type="dxa"/>
          </w:tcPr>
          <w:p w14:paraId="33D146F0" w14:textId="77777777" w:rsidR="00681ECF" w:rsidRPr="00681ECF" w:rsidRDefault="00681ECF" w:rsidP="00681ECF">
            <w:pPr>
              <w:spacing w:line="276" w:lineRule="auto"/>
              <w:jc w:val="both"/>
              <w:rPr>
                <w:rFonts w:ascii="Verdana" w:eastAsia="Geomanist Light" w:hAnsi="Verdana" w:cs="Arial"/>
                <w:lang w:val="es-MX"/>
              </w:rPr>
            </w:pPr>
            <w:r w:rsidRPr="00681ECF">
              <w:rPr>
                <w:rFonts w:ascii="Verdana" w:eastAsia="Aptos" w:hAnsi="Verdana" w:cs="Arial"/>
                <w:lang w:val="es-MX"/>
              </w:rPr>
              <w:t xml:space="preserve">INALTERABILIDAD – Documentos Tipo – Alcance / </w:t>
            </w:r>
            <w:r w:rsidRPr="00681ECF">
              <w:rPr>
                <w:rFonts w:ascii="Verdana" w:eastAsia="Geomanist Light" w:hAnsi="Verdana" w:cs="Arial"/>
                <w:lang w:val="es-MX"/>
              </w:rPr>
              <w:t>DOCUMENTOS TIPO – Infraestructura de transporte – Numeral 3.5.6 – Documentos válidos para la acreditación de la experiencia requerida – Experiencia entre particulares</w:t>
            </w:r>
          </w:p>
          <w:p w14:paraId="7E9B33C9" w14:textId="77777777" w:rsidR="00681ECF" w:rsidRPr="00681ECF" w:rsidRDefault="00681ECF" w:rsidP="00681ECF">
            <w:pPr>
              <w:tabs>
                <w:tab w:val="left" w:pos="0"/>
              </w:tabs>
              <w:spacing w:line="276" w:lineRule="auto"/>
              <w:jc w:val="both"/>
              <w:rPr>
                <w:rFonts w:ascii="Verdana" w:eastAsia="Calibri" w:hAnsi="Verdana" w:cs="Arial"/>
                <w:lang w:val="es-ES" w:eastAsia="es-ES"/>
              </w:rPr>
            </w:pPr>
          </w:p>
        </w:tc>
      </w:tr>
      <w:tr w:rsidR="00681ECF" w:rsidRPr="00681ECF" w14:paraId="1D906311" w14:textId="77777777" w:rsidTr="00DC6294">
        <w:tc>
          <w:tcPr>
            <w:tcW w:w="2689" w:type="dxa"/>
          </w:tcPr>
          <w:p w14:paraId="673828C5" w14:textId="77777777" w:rsidR="00681ECF" w:rsidRPr="00681ECF" w:rsidRDefault="00681ECF" w:rsidP="00681ECF">
            <w:pPr>
              <w:jc w:val="both"/>
              <w:rPr>
                <w:rFonts w:ascii="Verdana" w:eastAsia="Calibri" w:hAnsi="Verdana" w:cs="Arial"/>
                <w:b/>
                <w:lang w:val="es-ES_tradnl" w:eastAsia="es-ES_tradnl"/>
              </w:rPr>
            </w:pPr>
            <w:r w:rsidRPr="00681ECF">
              <w:rPr>
                <w:rFonts w:ascii="Verdana" w:eastAsia="Calibri" w:hAnsi="Verdana" w:cs="Arial"/>
                <w:b/>
                <w:lang w:val="es-ES_tradnl" w:eastAsia="es-ES_tradnl"/>
              </w:rPr>
              <w:t>Radicación:</w:t>
            </w:r>
            <w:r w:rsidRPr="00681ECF">
              <w:rPr>
                <w:rFonts w:ascii="Verdana" w:eastAsia="Calibri" w:hAnsi="Verdana" w:cs="Arial"/>
                <w:lang w:val="es-ES_tradnl" w:eastAsia="es-ES_tradnl"/>
              </w:rPr>
              <w:t xml:space="preserve">               </w:t>
            </w:r>
          </w:p>
        </w:tc>
        <w:tc>
          <w:tcPr>
            <w:tcW w:w="6100" w:type="dxa"/>
          </w:tcPr>
          <w:p w14:paraId="7080F052" w14:textId="77777777" w:rsidR="00681ECF" w:rsidRPr="00681ECF" w:rsidRDefault="00681ECF" w:rsidP="00681ECF">
            <w:pPr>
              <w:jc w:val="both"/>
              <w:rPr>
                <w:rFonts w:ascii="Verdana" w:eastAsia="Calibri" w:hAnsi="Verdana" w:cs="Arial"/>
                <w:lang w:val="es-ES_tradnl" w:eastAsia="es-ES_tradnl"/>
              </w:rPr>
            </w:pPr>
            <w:r w:rsidRPr="00681ECF">
              <w:rPr>
                <w:rFonts w:ascii="Verdana" w:eastAsia="Calibri" w:hAnsi="Verdana" w:cs="Arial"/>
                <w:lang w:val="es-ES_tradnl" w:eastAsia="es-ES_tradnl"/>
              </w:rPr>
              <w:t>Respuesta a consulta con radicado No. P20240826008637</w:t>
            </w:r>
          </w:p>
        </w:tc>
      </w:tr>
    </w:tbl>
    <w:p w14:paraId="47353E98" w14:textId="77777777" w:rsidR="00681ECF" w:rsidRPr="00681ECF" w:rsidRDefault="00681ECF" w:rsidP="00681ECF">
      <w:pPr>
        <w:spacing w:after="0" w:line="240" w:lineRule="auto"/>
        <w:jc w:val="both"/>
        <w:rPr>
          <w:rFonts w:ascii="Verdana" w:eastAsia="Calibri" w:hAnsi="Verdana" w:cs="Arial"/>
          <w:lang w:val="es-ES_tradnl" w:eastAsia="es-ES_tradnl"/>
        </w:rPr>
      </w:pPr>
    </w:p>
    <w:p w14:paraId="60AF28A1" w14:textId="77777777" w:rsidR="00681ECF" w:rsidRPr="00681ECF" w:rsidRDefault="00681ECF" w:rsidP="00681ECF">
      <w:pPr>
        <w:spacing w:after="0" w:line="240" w:lineRule="auto"/>
        <w:jc w:val="both"/>
        <w:rPr>
          <w:rFonts w:ascii="Verdana" w:eastAsia="Calibri" w:hAnsi="Verdana" w:cs="Arial"/>
          <w:lang w:val="es-ES_tradnl" w:eastAsia="es-ES_tradnl"/>
        </w:rPr>
      </w:pPr>
    </w:p>
    <w:p w14:paraId="3AB69968" w14:textId="77777777" w:rsidR="00681ECF" w:rsidRPr="00681ECF" w:rsidRDefault="00681ECF" w:rsidP="00681ECF">
      <w:pPr>
        <w:spacing w:after="0" w:line="276" w:lineRule="auto"/>
        <w:jc w:val="both"/>
        <w:rPr>
          <w:rFonts w:ascii="Verdana" w:eastAsia="Calibri" w:hAnsi="Verdana" w:cs="Arial"/>
          <w:lang w:val="es-ES" w:eastAsia="es-ES"/>
        </w:rPr>
      </w:pPr>
      <w:r w:rsidRPr="00681ECF">
        <w:rPr>
          <w:rFonts w:ascii="Verdana" w:eastAsia="Calibri" w:hAnsi="Verdana" w:cs="Arial"/>
          <w:lang w:val="es-ES" w:eastAsia="es-ES"/>
        </w:rPr>
        <w:t xml:space="preserve">Estimado señor Pérez Valencia: </w:t>
      </w:r>
    </w:p>
    <w:p w14:paraId="0A27FA5C" w14:textId="77777777" w:rsidR="00681ECF" w:rsidRPr="00681ECF" w:rsidRDefault="00681ECF" w:rsidP="00681ECF">
      <w:pPr>
        <w:tabs>
          <w:tab w:val="left" w:pos="3768"/>
        </w:tabs>
        <w:spacing w:after="0" w:line="276" w:lineRule="auto"/>
        <w:jc w:val="both"/>
        <w:rPr>
          <w:rFonts w:ascii="Verdana" w:eastAsia="Calibri" w:hAnsi="Verdana" w:cs="Arial"/>
          <w:lang w:val="es-ES" w:eastAsia="es-ES"/>
        </w:rPr>
      </w:pPr>
      <w:r w:rsidRPr="00681ECF">
        <w:rPr>
          <w:rFonts w:ascii="Verdana" w:eastAsia="Calibri" w:hAnsi="Verdana" w:cs="Arial"/>
          <w:lang w:val="es-ES" w:eastAsia="es-ES"/>
        </w:rPr>
        <w:tab/>
      </w:r>
    </w:p>
    <w:p w14:paraId="3ABC4B27" w14:textId="77777777" w:rsidR="00681ECF" w:rsidRPr="00681ECF" w:rsidRDefault="00681ECF" w:rsidP="00681ECF">
      <w:pPr>
        <w:spacing w:after="0" w:line="276" w:lineRule="auto"/>
        <w:jc w:val="both"/>
        <w:rPr>
          <w:rFonts w:ascii="Verdana" w:eastAsia="Calibri" w:hAnsi="Verdana" w:cs="Arial"/>
          <w:lang w:val="es-ES" w:eastAsia="es-ES"/>
        </w:rPr>
      </w:pPr>
      <w:r w:rsidRPr="00681ECF">
        <w:rPr>
          <w:rFonts w:ascii="Verdana" w:eastAsia="Calibri" w:hAnsi="Verdana" w:cs="Arial"/>
          <w:lang w:val="es-ES" w:eastAsia="es-ES"/>
        </w:rPr>
        <w:t>En ejercicio de la competencia otorgada por los artículos 3, numeral 5º, y 11, numeral 8º, del Decreto Ley 4170 de 2011,</w:t>
      </w:r>
      <w:r w:rsidRPr="00681ECF">
        <w:rPr>
          <w:rFonts w:ascii="Verdana" w:eastAsia="Arial MT" w:hAnsi="Verdana" w:cs="Arial MT"/>
          <w:lang w:val="es-ES" w:eastAsia="es-ES"/>
        </w:rPr>
        <w:t xml:space="preserve"> </w:t>
      </w:r>
      <w:r w:rsidRPr="00681ECF">
        <w:rPr>
          <w:rFonts w:ascii="Verdana" w:eastAsia="Calibri" w:hAnsi="Verdana" w:cs="Arial"/>
        </w:rPr>
        <w:t xml:space="preserve">así como lo establecido en el artículo 4 de la Resolución 1707 de 2018 expedida por esta Entidad, </w:t>
      </w:r>
      <w:r w:rsidRPr="00681ECF">
        <w:rPr>
          <w:rFonts w:ascii="Verdana" w:eastAsia="Calibri" w:hAnsi="Verdana" w:cs="Arial"/>
          <w:lang w:val="es-ES" w:eastAsia="es-ES"/>
        </w:rPr>
        <w:t>la Agencia Nacional de Contratación Pública – Colombia Compra Eficiente– responde su solicitud de consulta de fecha 26 de agosto de 2024. En relación con los documentos tipo de infraestructura de transporte, usted manifiesta lo siguiente:</w:t>
      </w:r>
    </w:p>
    <w:p w14:paraId="649BE5B1" w14:textId="77777777" w:rsidR="00681ECF" w:rsidRPr="00681ECF" w:rsidRDefault="00681ECF" w:rsidP="00681ECF">
      <w:pPr>
        <w:tabs>
          <w:tab w:val="left" w:pos="142"/>
          <w:tab w:val="left" w:pos="284"/>
        </w:tabs>
        <w:spacing w:line="276" w:lineRule="auto"/>
        <w:contextualSpacing/>
        <w:jc w:val="both"/>
        <w:rPr>
          <w:rFonts w:ascii="Verdana" w:eastAsia="Century Gothic" w:hAnsi="Verdana" w:cs="Century Gothic"/>
          <w:b/>
          <w:bCs/>
          <w:lang w:val="es-ES"/>
        </w:rPr>
      </w:pPr>
    </w:p>
    <w:p w14:paraId="4BC79EED" w14:textId="77777777" w:rsidR="00681ECF" w:rsidRPr="00681ECF" w:rsidRDefault="00681ECF" w:rsidP="00681ECF">
      <w:pPr>
        <w:spacing w:after="0" w:line="240" w:lineRule="auto"/>
        <w:ind w:left="709" w:right="709"/>
        <w:jc w:val="both"/>
        <w:rPr>
          <w:rFonts w:ascii="Verdana" w:eastAsia="Century Gothic" w:hAnsi="Verdana" w:cs="Century Gothic"/>
          <w:sz w:val="20"/>
          <w:szCs w:val="20"/>
          <w:lang w:val="es-ES"/>
        </w:rPr>
      </w:pPr>
      <w:r w:rsidRPr="00681ECF">
        <w:rPr>
          <w:rFonts w:ascii="Verdana" w:eastAsia="Century Gothic" w:hAnsi="Verdana" w:cs="Century Gothic"/>
          <w:sz w:val="20"/>
          <w:szCs w:val="20"/>
          <w:lang w:val="es-ES"/>
        </w:rPr>
        <w:t>“En los pliegos tipo se establece que la experiencia con particulares debe acreditarse mediante certificados de facturación. Sin embargo, en nuestra entidad hemos identificado casos de proponentes que, por no estar obligados a facturar conforme a la normativa fiscal vigente, solo pueden presentar cuentas de cobro como soporte de su experiencia.</w:t>
      </w:r>
    </w:p>
    <w:p w14:paraId="4428CBF4" w14:textId="77777777" w:rsidR="00681ECF" w:rsidRPr="00681ECF" w:rsidRDefault="00681ECF" w:rsidP="00681ECF">
      <w:pPr>
        <w:spacing w:after="0" w:line="240" w:lineRule="auto"/>
        <w:ind w:left="709" w:right="709"/>
        <w:jc w:val="both"/>
        <w:rPr>
          <w:rFonts w:ascii="Verdana" w:eastAsia="Century Gothic" w:hAnsi="Verdana" w:cs="Century Gothic"/>
          <w:sz w:val="20"/>
          <w:szCs w:val="20"/>
          <w:lang w:val="es-ES"/>
        </w:rPr>
      </w:pPr>
      <w:r w:rsidRPr="00681ECF">
        <w:rPr>
          <w:rFonts w:ascii="Verdana" w:eastAsia="Century Gothic" w:hAnsi="Verdana" w:cs="Century Gothic"/>
          <w:sz w:val="20"/>
          <w:szCs w:val="20"/>
          <w:lang w:val="es-ES"/>
        </w:rPr>
        <w:t xml:space="preserve">Ante esta situación, surge la siguiente pregunta: ¿Es posible que las cuentas de cobro o documentos equivalentes sean aceptadas como prueba </w:t>
      </w:r>
      <w:r w:rsidRPr="00681ECF">
        <w:rPr>
          <w:rFonts w:ascii="Verdana" w:eastAsia="Century Gothic" w:hAnsi="Verdana" w:cs="Century Gothic"/>
          <w:sz w:val="20"/>
          <w:szCs w:val="20"/>
          <w:lang w:val="es-ES"/>
        </w:rPr>
        <w:lastRenderedPageBreak/>
        <w:t>válida de experiencia en procesos de contratación pública, siempre y cuando estén acompañadas de otros documentos que respalden la ejecución de los contratos, tales como contratos firmados o certificaciones del cliente? o solo deben ser aceptadas facturas?”</w:t>
      </w:r>
    </w:p>
    <w:p w14:paraId="6C253205" w14:textId="77777777" w:rsidR="00681ECF" w:rsidRPr="00681ECF" w:rsidRDefault="00681ECF" w:rsidP="00681ECF">
      <w:pPr>
        <w:spacing w:after="0" w:line="240" w:lineRule="auto"/>
        <w:ind w:right="709"/>
        <w:jc w:val="both"/>
        <w:rPr>
          <w:rFonts w:ascii="Verdana" w:eastAsia="Century Gothic" w:hAnsi="Verdana" w:cs="Century Gothic"/>
          <w:lang w:val="es-ES"/>
        </w:rPr>
      </w:pPr>
    </w:p>
    <w:p w14:paraId="69FCD69C" w14:textId="77777777" w:rsidR="00681ECF" w:rsidRPr="00681ECF" w:rsidRDefault="00681ECF" w:rsidP="00681ECF">
      <w:pPr>
        <w:spacing w:after="120" w:line="276" w:lineRule="auto"/>
        <w:ind w:firstLine="709"/>
        <w:jc w:val="both"/>
        <w:rPr>
          <w:rFonts w:ascii="Verdana" w:eastAsia="Calibri" w:hAnsi="Verdana" w:cs="Arial"/>
          <w:szCs w:val="24"/>
          <w:lang w:val="es-ES_tradnl" w:eastAsia="es-ES_tradnl"/>
        </w:rPr>
      </w:pPr>
      <w:r w:rsidRPr="00681EC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81ECF">
        <w:rPr>
          <w:rFonts w:ascii="Verdana" w:eastAsia="Calibri" w:hAnsi="Verdana" w:cs="Arial"/>
          <w:szCs w:val="24"/>
          <w:lang w:val="es-ES_tradnl" w:eastAsia="es-ES_tradnl"/>
        </w:rPr>
        <w:tab/>
      </w:r>
    </w:p>
    <w:p w14:paraId="23C214FC" w14:textId="77777777" w:rsidR="00681ECF" w:rsidRPr="00681ECF" w:rsidRDefault="00681ECF" w:rsidP="00681ECF">
      <w:pPr>
        <w:spacing w:after="0" w:line="276" w:lineRule="auto"/>
        <w:ind w:firstLine="709"/>
        <w:jc w:val="both"/>
        <w:rPr>
          <w:rFonts w:ascii="Verdana" w:eastAsia="Calibri" w:hAnsi="Verdana" w:cs="Arial"/>
          <w:lang w:val="es-ES" w:eastAsia="es-ES"/>
        </w:rPr>
      </w:pPr>
      <w:r w:rsidRPr="00681ECF">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7ABDA1E" w14:textId="77777777" w:rsidR="00681ECF" w:rsidRPr="00681ECF" w:rsidRDefault="00681ECF" w:rsidP="00681ECF">
      <w:pPr>
        <w:spacing w:after="0" w:line="276" w:lineRule="auto"/>
        <w:ind w:firstLine="709"/>
        <w:jc w:val="both"/>
        <w:rPr>
          <w:rFonts w:ascii="Verdana" w:eastAsia="Calibri" w:hAnsi="Verdana" w:cs="Arial"/>
          <w:lang w:val="es-ES" w:eastAsia="es-ES"/>
        </w:rPr>
      </w:pPr>
    </w:p>
    <w:p w14:paraId="46DB912E" w14:textId="77777777" w:rsidR="00681ECF" w:rsidRPr="00681ECF" w:rsidRDefault="00681ECF" w:rsidP="00681ECF">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681ECF">
        <w:rPr>
          <w:rFonts w:ascii="Verdana" w:eastAsia="Century Gothic" w:hAnsi="Verdana" w:cs="Century Gothic"/>
          <w:b/>
          <w:bCs/>
          <w:lang w:val="es-ES"/>
        </w:rPr>
        <w:t>Problema planteado:</w:t>
      </w:r>
    </w:p>
    <w:p w14:paraId="705D7B35" w14:textId="77777777" w:rsidR="00681ECF" w:rsidRPr="00681ECF" w:rsidRDefault="00681ECF" w:rsidP="00681ECF">
      <w:pPr>
        <w:tabs>
          <w:tab w:val="left" w:pos="426"/>
        </w:tabs>
        <w:spacing w:after="0" w:line="276" w:lineRule="auto"/>
        <w:jc w:val="both"/>
        <w:rPr>
          <w:rFonts w:ascii="Verdana" w:eastAsia="Century Gothic" w:hAnsi="Verdana" w:cs="Century Gothic"/>
          <w:lang w:val="es-ES"/>
        </w:rPr>
      </w:pPr>
    </w:p>
    <w:p w14:paraId="4D4C96DD" w14:textId="77777777" w:rsidR="00681ECF" w:rsidRPr="00681ECF" w:rsidRDefault="00681ECF" w:rsidP="00681ECF">
      <w:pPr>
        <w:snapToGrid w:val="0"/>
        <w:spacing w:after="0" w:line="276" w:lineRule="auto"/>
        <w:jc w:val="both"/>
        <w:rPr>
          <w:rFonts w:ascii="Verdana" w:eastAsia="Century Gothic" w:hAnsi="Verdana" w:cs="Century Gothic"/>
        </w:rPr>
      </w:pPr>
      <w:r w:rsidRPr="00681ECF">
        <w:rPr>
          <w:rFonts w:ascii="Verdana" w:eastAsia="Century Gothic" w:hAnsi="Verdana" w:cs="Century Gothic"/>
        </w:rPr>
        <w:t>De acuerdo con el contenido de su solicitud, esta Agencia resolverá el siguiente problema jurídico: teniendo en cuenta lo dispuesto por el numeral 3.5.6 del Documento Base de los documentos tipo de infraestructura de transporte, para la acreditación de la experiencia entre particulares ¿solo es posible aportar certificaciones de facturación o pueden aportarse otros documentos equivalentes?</w:t>
      </w:r>
    </w:p>
    <w:p w14:paraId="0E448ACF" w14:textId="77777777" w:rsidR="00681ECF" w:rsidRPr="00681ECF" w:rsidRDefault="00681ECF" w:rsidP="00681ECF">
      <w:pPr>
        <w:snapToGrid w:val="0"/>
        <w:spacing w:after="0" w:line="276" w:lineRule="auto"/>
        <w:jc w:val="both"/>
        <w:rPr>
          <w:rFonts w:ascii="Verdana" w:eastAsia="Calibri" w:hAnsi="Verdana" w:cs="Arial"/>
          <w:lang w:val="es-ES"/>
        </w:rPr>
      </w:pPr>
    </w:p>
    <w:p w14:paraId="768DD79A" w14:textId="77777777" w:rsidR="00681ECF" w:rsidRPr="00681ECF" w:rsidRDefault="00681ECF" w:rsidP="00681EC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Respuesta:</w:t>
      </w:r>
    </w:p>
    <w:p w14:paraId="3A9515D3" w14:textId="77777777" w:rsidR="00681ECF" w:rsidRPr="00681ECF" w:rsidRDefault="00681ECF" w:rsidP="00681ECF">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1ECF" w:rsidRPr="00681ECF" w14:paraId="287211A9" w14:textId="77777777" w:rsidTr="00DC6294">
        <w:tc>
          <w:tcPr>
            <w:tcW w:w="8828" w:type="dxa"/>
            <w:shd w:val="clear" w:color="auto" w:fill="auto"/>
          </w:tcPr>
          <w:p w14:paraId="04730244" w14:textId="77777777" w:rsidR="00681ECF" w:rsidRPr="00681ECF" w:rsidRDefault="00681ECF" w:rsidP="00681ECF">
            <w:pPr>
              <w:spacing w:line="276" w:lineRule="auto"/>
              <w:jc w:val="both"/>
              <w:rPr>
                <w:rFonts w:ascii="Verdana" w:eastAsia="Calibri" w:hAnsi="Verdana" w:cs="Arial"/>
                <w:lang w:val="es-MX"/>
              </w:rPr>
            </w:pPr>
            <w:r w:rsidRPr="00681ECF">
              <w:rPr>
                <w:rFonts w:ascii="Verdana" w:eastAsia="Calibri" w:hAnsi="Verdana" w:cs="Arial"/>
                <w:lang w:val="es-MX"/>
              </w:rPr>
              <w:t xml:space="preserve">Para acreditar la experiencia entre particulares, el numeral 3.5.6 del Documento Base de los documentos tipo de infraestructura de transporte, señala que el proponente deberá aportar, adicionalmente, alguno de estos documentos: “Certificación de facturación expedida con posterioridad a la </w:t>
            </w:r>
            <w:r w:rsidRPr="00681ECF">
              <w:rPr>
                <w:rFonts w:ascii="Verdana" w:eastAsia="Calibri" w:hAnsi="Verdana" w:cs="Arial"/>
                <w:lang w:val="es-MX"/>
              </w:rPr>
              <w:lastRenderedPageBreak/>
              <w:t>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4B2AB089" w14:textId="77777777" w:rsidR="00681ECF" w:rsidRPr="00681ECF" w:rsidRDefault="00681ECF" w:rsidP="00681ECF">
            <w:pPr>
              <w:spacing w:line="276" w:lineRule="auto"/>
              <w:jc w:val="both"/>
              <w:rPr>
                <w:rFonts w:ascii="Verdana" w:eastAsia="Calibri" w:hAnsi="Verdana" w:cs="Arial"/>
                <w:b/>
                <w:bCs/>
                <w:lang w:val="es-MX"/>
              </w:rPr>
            </w:pPr>
          </w:p>
          <w:p w14:paraId="3FC35CB3" w14:textId="77777777" w:rsidR="00681ECF" w:rsidRPr="00681ECF" w:rsidRDefault="00681ECF" w:rsidP="00681ECF">
            <w:pPr>
              <w:spacing w:line="276" w:lineRule="auto"/>
              <w:jc w:val="both"/>
              <w:rPr>
                <w:rFonts w:ascii="Verdana" w:eastAsia="Calibri" w:hAnsi="Verdana" w:cs="Arial"/>
                <w:lang w:val="es-ES" w:eastAsia="es-CO"/>
              </w:rPr>
            </w:pPr>
            <w:r w:rsidRPr="15DC88D4">
              <w:rPr>
                <w:rFonts w:ascii="Verdana" w:eastAsia="Calibri" w:hAnsi="Verdana" w:cs="Arial"/>
                <w:lang w:val="es-ES" w:eastAsia="es-CO"/>
              </w:rPr>
              <w:t>Así, en estos casos, el proponente deberá aportar, de forma adicional, la certificación de facturación expedida con posterioridad a la fecha del de terminación del contrato. Esta certificación debe ser emitida por el revisor fiscal o contador público del Proponente que acredita la experiencia, según corresponda: i) con la copia de la tarjeta profesional y certificado de antecedentes disciplinarios vigente, expedido por la Junta Central de Contadores, o ii) con los documentos equivalentes que hagan sus veces en el país donde se expide el documento del profesional.</w:t>
            </w:r>
          </w:p>
          <w:p w14:paraId="44C80C34" w14:textId="77777777" w:rsidR="00681ECF" w:rsidRPr="00681ECF" w:rsidRDefault="00681ECF" w:rsidP="00681ECF">
            <w:pPr>
              <w:spacing w:line="276" w:lineRule="auto"/>
              <w:ind w:left="720"/>
              <w:contextualSpacing/>
              <w:jc w:val="both"/>
              <w:rPr>
                <w:rFonts w:ascii="Verdana" w:eastAsia="Calibri" w:hAnsi="Verdana" w:cs="Arial"/>
                <w:bCs/>
                <w:lang w:val="es-ES_tradnl" w:eastAsia="es-CO"/>
              </w:rPr>
            </w:pPr>
          </w:p>
          <w:p w14:paraId="4989042D" w14:textId="77777777" w:rsidR="00681ECF" w:rsidRPr="00681ECF" w:rsidRDefault="00681ECF" w:rsidP="00681ECF">
            <w:pPr>
              <w:spacing w:line="276" w:lineRule="auto"/>
              <w:jc w:val="both"/>
              <w:rPr>
                <w:rFonts w:ascii="Verdana" w:eastAsia="Calibri" w:hAnsi="Verdana" w:cs="Arial"/>
                <w:bCs/>
                <w:lang w:val="es-ES_tradnl" w:eastAsia="es-CO"/>
              </w:rPr>
            </w:pPr>
            <w:r w:rsidRPr="00681ECF">
              <w:rPr>
                <w:rFonts w:ascii="Verdana" w:eastAsia="Calibri" w:hAnsi="Verdana" w:cs="Arial"/>
                <w:bCs/>
                <w:lang w:val="es-ES_tradnl" w:eastAsia="es-CO"/>
              </w:rPr>
              <w:t xml:space="preserve">De esta manera, los documentos equivalentes a que se refiere el aludido numeral versan sobre aquellos que debe acreditar el revisor fiscal o contador público, y no sobre la certificación de facturación. Esto implica que dicha certificación debe aportarse, de manera adicional, cuando se pretenda acreditar experiencia entre particulares, sin que sea posible reemplazarla por otro documento. </w:t>
            </w:r>
          </w:p>
        </w:tc>
      </w:tr>
    </w:tbl>
    <w:p w14:paraId="3B1C35AB" w14:textId="77777777" w:rsidR="00681ECF" w:rsidRPr="00681ECF" w:rsidRDefault="00681ECF" w:rsidP="00681ECF">
      <w:pPr>
        <w:tabs>
          <w:tab w:val="left" w:pos="142"/>
          <w:tab w:val="left" w:pos="284"/>
        </w:tabs>
        <w:snapToGrid w:val="0"/>
        <w:spacing w:after="0" w:line="276" w:lineRule="auto"/>
        <w:jc w:val="both"/>
        <w:rPr>
          <w:rFonts w:ascii="Verdana" w:eastAsia="Century Gothic" w:hAnsi="Verdana" w:cs="Century Gothic"/>
          <w:b/>
          <w:bCs/>
          <w:lang w:val="es-ES"/>
        </w:rPr>
      </w:pPr>
    </w:p>
    <w:p w14:paraId="4443C094" w14:textId="77777777" w:rsidR="00681ECF" w:rsidRPr="00681ECF" w:rsidRDefault="00681ECF" w:rsidP="00681EC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Razones de la respuesta:</w:t>
      </w:r>
    </w:p>
    <w:p w14:paraId="763FD756" w14:textId="77777777" w:rsidR="00681ECF" w:rsidRPr="00681ECF" w:rsidRDefault="00681ECF" w:rsidP="00681ECF">
      <w:pPr>
        <w:tabs>
          <w:tab w:val="left" w:pos="142"/>
          <w:tab w:val="left" w:pos="284"/>
        </w:tabs>
        <w:snapToGrid w:val="0"/>
        <w:spacing w:after="0" w:line="276" w:lineRule="auto"/>
        <w:ind w:left="357"/>
        <w:jc w:val="both"/>
        <w:rPr>
          <w:rFonts w:ascii="Verdana" w:eastAsia="Century Gothic" w:hAnsi="Verdana" w:cs="Century Gothic"/>
          <w:b/>
          <w:bCs/>
          <w:lang w:val="es-ES"/>
        </w:rPr>
      </w:pPr>
    </w:p>
    <w:p w14:paraId="0A34FBD3" w14:textId="77777777" w:rsidR="00681ECF" w:rsidRPr="00681ECF" w:rsidRDefault="00681ECF" w:rsidP="00681ECF">
      <w:pPr>
        <w:snapToGrid w:val="0"/>
        <w:spacing w:after="0" w:line="276" w:lineRule="auto"/>
        <w:jc w:val="both"/>
        <w:rPr>
          <w:rFonts w:ascii="Verdana" w:eastAsia="Calibri" w:hAnsi="Verdana" w:cs="Arial"/>
          <w:lang w:val="es-ES"/>
        </w:rPr>
      </w:pPr>
      <w:r w:rsidRPr="00681ECF">
        <w:rPr>
          <w:rFonts w:ascii="Verdana" w:eastAsia="Calibri" w:hAnsi="Verdana" w:cs="Arial"/>
          <w:lang w:val="es-ES"/>
        </w:rPr>
        <w:t>Lo anterior se sustenta en las siguientes consideraciones:</w:t>
      </w:r>
    </w:p>
    <w:p w14:paraId="2DAD919D" w14:textId="77777777" w:rsidR="00681ECF" w:rsidRPr="00681ECF" w:rsidRDefault="00681ECF" w:rsidP="00681ECF">
      <w:pPr>
        <w:snapToGrid w:val="0"/>
        <w:spacing w:after="0" w:line="276" w:lineRule="auto"/>
        <w:jc w:val="both"/>
        <w:rPr>
          <w:rFonts w:ascii="Verdana" w:eastAsia="Calibri" w:hAnsi="Verdana" w:cs="Arial"/>
          <w:lang w:val="es-ES"/>
        </w:rPr>
      </w:pPr>
      <w:r w:rsidRPr="00681ECF">
        <w:rPr>
          <w:rFonts w:ascii="Verdana" w:eastAsia="Calibri" w:hAnsi="Verdana" w:cs="Arial"/>
          <w:lang w:val="es-ES"/>
        </w:rPr>
        <w:t xml:space="preserve"> </w:t>
      </w:r>
    </w:p>
    <w:p w14:paraId="76B80435" w14:textId="77777777" w:rsidR="00681ECF" w:rsidRPr="00681ECF" w:rsidRDefault="00681ECF" w:rsidP="00681ECF">
      <w:pPr>
        <w:numPr>
          <w:ilvl w:val="0"/>
          <w:numId w:val="18"/>
        </w:numPr>
        <w:snapToGrid w:val="0"/>
        <w:spacing w:after="0" w:line="276" w:lineRule="auto"/>
        <w:jc w:val="both"/>
        <w:rPr>
          <w:rFonts w:ascii="Verdana" w:eastAsia="Calibri" w:hAnsi="Verdana" w:cs="Arial"/>
          <w:kern w:val="2"/>
          <w:lang w:val="es-ES"/>
          <w14:ligatures w14:val="standardContextual"/>
        </w:rPr>
      </w:pPr>
      <w:r w:rsidRPr="00681ECF">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C864CBC" w14:textId="77777777" w:rsidR="00681ECF" w:rsidRPr="00681ECF" w:rsidRDefault="00681ECF" w:rsidP="00681ECF">
      <w:pPr>
        <w:snapToGrid w:val="0"/>
        <w:spacing w:after="0" w:line="276" w:lineRule="auto"/>
        <w:ind w:left="720"/>
        <w:jc w:val="both"/>
        <w:rPr>
          <w:rFonts w:ascii="Verdana" w:eastAsia="Calibri" w:hAnsi="Verdana" w:cs="Arial"/>
          <w:kern w:val="2"/>
          <w:lang w:val="es-ES"/>
          <w14:ligatures w14:val="standardContextual"/>
        </w:rPr>
      </w:pPr>
    </w:p>
    <w:p w14:paraId="173A75EE" w14:textId="77777777" w:rsidR="00681ECF" w:rsidRPr="00681ECF" w:rsidRDefault="00681ECF" w:rsidP="00681ECF">
      <w:pPr>
        <w:numPr>
          <w:ilvl w:val="0"/>
          <w:numId w:val="18"/>
        </w:numPr>
        <w:snapToGrid w:val="0"/>
        <w:spacing w:after="0" w:line="276" w:lineRule="auto"/>
        <w:jc w:val="both"/>
        <w:rPr>
          <w:rFonts w:ascii="Verdana" w:eastAsia="Calibri" w:hAnsi="Verdana" w:cs="Arial"/>
          <w:kern w:val="2"/>
          <w:lang w:val="es-ES" w:eastAsia="es-ES"/>
          <w14:ligatures w14:val="standardContextual"/>
        </w:rPr>
      </w:pPr>
      <w:r w:rsidRPr="00681ECF">
        <w:rPr>
          <w:rFonts w:ascii="Verdana" w:eastAsia="Times New Roman" w:hAnsi="Verdana" w:cs="Arial"/>
          <w:kern w:val="2"/>
          <w:shd w:val="clear" w:color="auto" w:fill="FFFFFF"/>
          <w:lang w:val="es-ES_tradnl" w:eastAsia="es-ES_tradnl"/>
          <w14:ligatures w14:val="standardContextual"/>
        </w:rPr>
        <w:t xml:space="preserve">Todas las resoluciones expedidas por la Agencia Nacional de Contratación Pública – Colombia Compra Eficiente, mediante las cuales se han adoptado </w:t>
      </w:r>
      <w:r w:rsidRPr="00681ECF">
        <w:rPr>
          <w:rFonts w:ascii="Verdana" w:eastAsia="Times New Roman" w:hAnsi="Verdana" w:cs="Arial"/>
          <w:kern w:val="2"/>
          <w:shd w:val="clear" w:color="auto" w:fill="FFFFFF"/>
          <w:lang w:val="es-ES_tradnl" w:eastAsia="es-ES_tradnl"/>
          <w14:ligatures w14:val="standardContextual"/>
        </w:rPr>
        <w:lastRenderedPageBreak/>
        <w:t>los documentos tipo, consagran la regla de la inalterabilidad</w:t>
      </w:r>
      <w:r w:rsidRPr="00681ECF">
        <w:rPr>
          <w:rFonts w:ascii="Verdana" w:eastAsia="Aptos" w:hAnsi="Verdana" w:cs="Times New Roman"/>
          <w:kern w:val="2"/>
          <w:shd w:val="clear" w:color="auto" w:fill="FFFFFF"/>
          <w:vertAlign w:val="superscript"/>
          <w:lang w:val="es-ES_tradnl" w:eastAsia="es-ES_tradnl"/>
          <w14:ligatures w14:val="standardContextual"/>
        </w:rPr>
        <w:footnoteReference w:id="2"/>
      </w:r>
      <w:r w:rsidRPr="00681ECF">
        <w:rPr>
          <w:rFonts w:ascii="Verdana" w:eastAsia="Times New Roman" w:hAnsi="Verdana" w:cs="Arial"/>
          <w:kern w:val="2"/>
          <w:shd w:val="clear" w:color="auto" w:fill="FFFFFF"/>
          <w:lang w:val="es-ES_tradnl" w:eastAsia="es-ES_tradnl"/>
          <w14:ligatures w14:val="standardContextual"/>
        </w:rPr>
        <w:t xml:space="preserve">. Esta prohibición consiste en que las entidades estatales no pueden incluir o modificar en los </w:t>
      </w:r>
      <w:r w:rsidRPr="00681ECF">
        <w:rPr>
          <w:rFonts w:ascii="Verdana" w:eastAsia="Times New Roman" w:hAnsi="Verdana" w:cs="Arial"/>
          <w:i/>
          <w:iCs/>
          <w:kern w:val="2"/>
          <w:shd w:val="clear" w:color="auto" w:fill="FFFFFF"/>
          <w:lang w:val="es-ES_tradnl" w:eastAsia="es-ES_tradnl"/>
          <w14:ligatures w14:val="standardContextual"/>
        </w:rPr>
        <w:t>Documentos del Proceso</w:t>
      </w:r>
      <w:r w:rsidRPr="00681ECF">
        <w:rPr>
          <w:rFonts w:ascii="Verdana" w:eastAsia="Times New Roman" w:hAnsi="Verdana" w:cs="Arial"/>
          <w:kern w:val="2"/>
          <w:shd w:val="clear" w:color="auto" w:fill="FFFFFF"/>
          <w:lang w:val="es-ES_tradnl"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8CAF6B1" w14:textId="77777777" w:rsidR="00681ECF" w:rsidRPr="00681ECF" w:rsidRDefault="00681ECF" w:rsidP="00681ECF">
      <w:pPr>
        <w:snapToGrid w:val="0"/>
        <w:spacing w:after="0" w:line="276" w:lineRule="auto"/>
        <w:jc w:val="both"/>
        <w:rPr>
          <w:rFonts w:ascii="Verdana" w:eastAsia="Calibri" w:hAnsi="Verdana" w:cs="Arial"/>
          <w:kern w:val="2"/>
          <w:lang w:val="es-ES" w:eastAsia="es-ES"/>
          <w14:ligatures w14:val="standardContextual"/>
        </w:rPr>
      </w:pPr>
    </w:p>
    <w:p w14:paraId="5D66A5DD" w14:textId="77777777" w:rsidR="00681ECF" w:rsidRPr="00681ECF" w:rsidRDefault="00681ECF" w:rsidP="00681ECF">
      <w:pPr>
        <w:numPr>
          <w:ilvl w:val="0"/>
          <w:numId w:val="18"/>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681ECF">
        <w:rPr>
          <w:rFonts w:ascii="Verdana" w:eastAsia="Times New Roman" w:hAnsi="Verdana" w:cs="Arial"/>
          <w:kern w:val="2"/>
          <w:shd w:val="clear" w:color="auto" w:fill="FFFFFF"/>
          <w:lang w:val="es-ES_tradnl" w:eastAsia="es-ES_tradnl"/>
          <w14:ligatures w14:val="standardContextual"/>
        </w:rPr>
        <w:t>El fundamento legal vigente de la regla de inalterabilidad se encuentra en el artículo 1 de la Ley 2022 de 2020, según el cual “</w:t>
      </w:r>
      <w:r w:rsidRPr="00681ECF">
        <w:rPr>
          <w:rFonts w:ascii="Verdana" w:eastAsia="Times New Roman" w:hAnsi="Verdana" w:cs="Arial"/>
          <w:kern w:val="2"/>
          <w:lang w:val="es-ES_tradnl" w:eastAsia="es-ES_tradnl"/>
          <w14:ligatures w14:val="standardContextual"/>
        </w:rPr>
        <w:t xml:space="preserve">[…] </w:t>
      </w:r>
      <w:r w:rsidRPr="00681ECF">
        <w:rPr>
          <w:rFonts w:ascii="Verdana" w:eastAsia="Times New Roman" w:hAnsi="Verdana" w:cs="Arial"/>
          <w:kern w:val="2"/>
          <w:shd w:val="clear" w:color="auto" w:fill="FFFFFF"/>
          <w:lang w:val="es-ES_tradnl"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45F5E6A7" w14:textId="77777777" w:rsidR="00681ECF" w:rsidRPr="00681ECF" w:rsidRDefault="00681ECF" w:rsidP="00681ECF">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059E6692" w14:textId="77777777" w:rsidR="00681ECF" w:rsidRPr="00681ECF" w:rsidRDefault="00681ECF" w:rsidP="00681ECF">
      <w:pPr>
        <w:numPr>
          <w:ilvl w:val="0"/>
          <w:numId w:val="18"/>
        </w:numPr>
        <w:snapToGrid w:val="0"/>
        <w:spacing w:after="0" w:line="276" w:lineRule="auto"/>
        <w:jc w:val="both"/>
        <w:rPr>
          <w:rFonts w:ascii="Verdana" w:eastAsia="Times New Roman" w:hAnsi="Verdana" w:cs="Arial"/>
          <w:kern w:val="2"/>
          <w:shd w:val="clear" w:color="auto" w:fill="FFFFFF"/>
          <w:lang w:val="es-ES" w:eastAsia="es-ES"/>
          <w14:ligatures w14:val="standardContextual"/>
        </w:rPr>
      </w:pPr>
      <w:r w:rsidRPr="00681ECF">
        <w:rPr>
          <w:rFonts w:ascii="Verdana" w:eastAsia="Times New Roman" w:hAnsi="Verdana" w:cs="Arial"/>
          <w:kern w:val="2"/>
          <w:shd w:val="clear" w:color="auto" w:fill="FFFFFF"/>
          <w:lang w:val="es-ES" w:eastAsia="es-ES"/>
          <w14:ligatures w14:val="standardContextual"/>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681ECF">
        <w:rPr>
          <w:rFonts w:ascii="Verdana" w:eastAsia="Times New Roman" w:hAnsi="Verdana" w:cs="Arial"/>
          <w:kern w:val="2"/>
          <w:highlight w:val="lightGray"/>
          <w:shd w:val="clear" w:color="auto" w:fill="FFFFFF"/>
          <w:lang w:val="es-ES" w:eastAsia="es-ES"/>
          <w14:ligatures w14:val="standardContextual"/>
        </w:rPr>
        <w:t>–[texto]–</w:t>
      </w:r>
      <w:r w:rsidRPr="00681ECF">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28D1909C" w14:textId="77777777" w:rsidR="00681ECF" w:rsidRPr="00681ECF" w:rsidRDefault="00681ECF" w:rsidP="00681ECF">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681ECF">
        <w:rPr>
          <w:rFonts w:ascii="Verdana" w:eastAsia="Times New Roman" w:hAnsi="Verdana" w:cs="Arial"/>
          <w:kern w:val="2"/>
          <w:shd w:val="clear" w:color="auto" w:fill="FFFFFF"/>
          <w:lang w:val="es-ES_tradnl" w:eastAsia="es-ES_tradnl"/>
          <w14:ligatures w14:val="standardContextual"/>
        </w:rPr>
        <w:t xml:space="preserve"> </w:t>
      </w:r>
    </w:p>
    <w:p w14:paraId="0AA5728A" w14:textId="77777777" w:rsidR="00681ECF" w:rsidRPr="00681ECF" w:rsidRDefault="00681ECF" w:rsidP="00681ECF">
      <w:pPr>
        <w:numPr>
          <w:ilvl w:val="0"/>
          <w:numId w:val="18"/>
        </w:num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r w:rsidRPr="00681ECF">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w:t>
      </w:r>
      <w:r w:rsidRPr="00681ECF">
        <w:rPr>
          <w:rFonts w:ascii="Verdana" w:eastAsia="Times New Roman" w:hAnsi="Verdana" w:cs="Arial"/>
          <w:kern w:val="2"/>
          <w:shd w:val="clear" w:color="auto" w:fill="FFFFFF"/>
          <w:lang w:val="es-ES_tradnl" w:eastAsia="es-ES_tradnl"/>
          <w14:ligatures w14:val="standardContextual"/>
        </w:rPr>
        <w:lastRenderedPageBreak/>
        <w:t xml:space="preserve">entidad deberá integrar el contenido de estos a su Proceso de Contratación sin ningún tipo de alteración. </w:t>
      </w:r>
    </w:p>
    <w:p w14:paraId="0827BEA6" w14:textId="77777777" w:rsidR="00681ECF" w:rsidRPr="00681ECF" w:rsidRDefault="00681ECF" w:rsidP="00681ECF">
      <w:pPr>
        <w:snapToGrid w:val="0"/>
        <w:spacing w:after="0" w:line="276" w:lineRule="auto"/>
        <w:ind w:left="720"/>
        <w:rPr>
          <w:rFonts w:ascii="Verdana" w:eastAsia="Times New Roman" w:hAnsi="Verdana" w:cs="Arial"/>
          <w:kern w:val="2"/>
          <w:shd w:val="clear" w:color="auto" w:fill="FFFFFF"/>
          <w:lang w:val="es-ES_tradnl" w:eastAsia="es-ES_tradnl"/>
          <w14:ligatures w14:val="standardContextual"/>
        </w:rPr>
      </w:pPr>
    </w:p>
    <w:p w14:paraId="77C9A7B7" w14:textId="77777777" w:rsidR="00681ECF" w:rsidRPr="00681ECF" w:rsidRDefault="00681ECF" w:rsidP="00681ECF">
      <w:pPr>
        <w:numPr>
          <w:ilvl w:val="0"/>
          <w:numId w:val="19"/>
        </w:numPr>
        <w:spacing w:after="0" w:line="276" w:lineRule="auto"/>
        <w:jc w:val="both"/>
        <w:rPr>
          <w:rFonts w:ascii="Verdana" w:eastAsia="Calibri" w:hAnsi="Verdana" w:cs="Arial"/>
          <w:lang w:val="es-MX"/>
        </w:rPr>
      </w:pPr>
      <w:r w:rsidRPr="00681ECF">
        <w:rPr>
          <w:rFonts w:ascii="Verdana" w:eastAsia="Calibri" w:hAnsi="Verdana" w:cs="Arial"/>
          <w:lang w:val="es-MX"/>
        </w:rPr>
        <w:t xml:space="preserve">Por otra parte, 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0E340747" w14:textId="77777777" w:rsidR="00681ECF" w:rsidRPr="00681ECF" w:rsidRDefault="00681ECF" w:rsidP="00681ECF">
      <w:pPr>
        <w:spacing w:after="0" w:line="276" w:lineRule="auto"/>
        <w:ind w:left="720"/>
        <w:contextualSpacing/>
        <w:jc w:val="both"/>
        <w:rPr>
          <w:rFonts w:ascii="Verdana" w:eastAsia="Calibri" w:hAnsi="Verdana" w:cs="Arial"/>
          <w:lang w:val="es-MX"/>
        </w:rPr>
      </w:pPr>
    </w:p>
    <w:p w14:paraId="7D07E291" w14:textId="77777777" w:rsidR="00681ECF" w:rsidRPr="00681ECF" w:rsidRDefault="00681ECF" w:rsidP="00681ECF">
      <w:pPr>
        <w:numPr>
          <w:ilvl w:val="0"/>
          <w:numId w:val="19"/>
        </w:numPr>
        <w:spacing w:after="0" w:line="276" w:lineRule="auto"/>
        <w:contextualSpacing/>
        <w:jc w:val="both"/>
        <w:rPr>
          <w:rFonts w:ascii="Verdana" w:eastAsia="Calibri" w:hAnsi="Verdana" w:cs="Arial"/>
          <w:lang w:val="es-MX"/>
        </w:rPr>
      </w:pPr>
      <w:r w:rsidRPr="00681ECF">
        <w:rPr>
          <w:rFonts w:ascii="Verdana" w:eastAsia="Calibri" w:hAnsi="Verdana" w:cs="Arial"/>
          <w:lang w:val="es-MX"/>
        </w:rPr>
        <w:t>En armonía con lo anterior, el numeral 3.5 del Documento Base de los documentos tipo de licitación de obra pública de infraestructura de transporte –Versión 3–</w:t>
      </w:r>
      <w:r w:rsidRPr="00681ECF">
        <w:rPr>
          <w:rFonts w:ascii="Verdana" w:eastAsia="Calibri" w:hAnsi="Verdana" w:cs="Arial"/>
          <w:vertAlign w:val="superscript"/>
          <w:lang w:val="es-MX"/>
        </w:rPr>
        <w:footnoteReference w:id="3"/>
      </w:r>
      <w:r w:rsidRPr="00681ECF">
        <w:rPr>
          <w:rFonts w:ascii="Verdana" w:eastAsia="Calibri" w:hAnsi="Verdana" w:cs="Arial"/>
          <w:lang w:val="es-MX"/>
        </w:rPr>
        <w:t>, establece que los proponentes deben acreditar su experiencia a través de los siguientes instrumentos: i) la información consignada en el RUP para aquellos que estén obligados a tenerlo, ii) la presentación del Formato 3 – Experiencia para todos los proponentes y (iii) alguno de los documentos válidos para la acreditación de la experiencia señalados en el numeral 3.5.6 cuando se requiera la verificación de información del proponente adicional a la contenida en el RUP. En razón de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Estos documentos son los siguientes, además de las precisiones que se realizan frente a la acreditación de ciertos contratos:</w:t>
      </w:r>
    </w:p>
    <w:p w14:paraId="328BC239" w14:textId="77777777" w:rsidR="00681ECF" w:rsidRPr="00681ECF" w:rsidRDefault="00681ECF" w:rsidP="00681ECF">
      <w:pPr>
        <w:spacing w:after="0" w:line="276" w:lineRule="auto"/>
        <w:ind w:left="720"/>
        <w:contextualSpacing/>
        <w:jc w:val="both"/>
        <w:rPr>
          <w:rFonts w:ascii="Verdana" w:eastAsia="Calibri" w:hAnsi="Verdana" w:cs="Arial"/>
          <w:lang w:val="es-MX"/>
        </w:rPr>
      </w:pPr>
    </w:p>
    <w:p w14:paraId="36A6CDC3"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r w:rsidRPr="00681ECF">
        <w:rPr>
          <w:rFonts w:ascii="Verdana" w:eastAsia="Calibri" w:hAnsi="Verdana" w:cs="Arial"/>
          <w:sz w:val="21"/>
          <w:szCs w:val="21"/>
          <w:lang w:val="es-MX"/>
        </w:rPr>
        <w:t>“A. Acta de liquidación</w:t>
      </w:r>
    </w:p>
    <w:p w14:paraId="38308F80"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p>
    <w:p w14:paraId="39FDFD4A"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r w:rsidRPr="00681ECF">
        <w:rPr>
          <w:rFonts w:ascii="Verdana" w:eastAsia="Calibri" w:hAnsi="Verdana" w:cs="Arial"/>
          <w:sz w:val="21"/>
          <w:szCs w:val="21"/>
          <w:lang w:val="es-MX"/>
        </w:rPr>
        <w:t xml:space="preserve">B. Acta de entrega, terminación, final o de recibo definitivo. </w:t>
      </w:r>
    </w:p>
    <w:p w14:paraId="5FEAC6EA"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p>
    <w:p w14:paraId="4CDDE057"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r w:rsidRPr="00681ECF">
        <w:rPr>
          <w:rFonts w:ascii="Verdana" w:eastAsia="Calibri" w:hAnsi="Verdana" w:cs="Arial"/>
          <w:sz w:val="21"/>
          <w:szCs w:val="21"/>
          <w:lang w:val="es-MX"/>
        </w:rPr>
        <w:t xml:space="preserve">C. Certificación de experiencia. Expedida con posterioridad a la fecha de terminación del contrato en la que conste el recibo a satisfacción de </w:t>
      </w:r>
      <w:r w:rsidRPr="00681ECF">
        <w:rPr>
          <w:rFonts w:ascii="Verdana" w:eastAsia="Calibri" w:hAnsi="Verdana" w:cs="Arial"/>
          <w:sz w:val="21"/>
          <w:szCs w:val="21"/>
          <w:lang w:val="es-MX"/>
        </w:rPr>
        <w:lastRenderedPageBreak/>
        <w:t>la obra contratada debidamente suscrita por quien esté en capacidad u obligación de hacerlo.</w:t>
      </w:r>
    </w:p>
    <w:p w14:paraId="76F44191"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p>
    <w:p w14:paraId="13846152"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r w:rsidRPr="00681ECF">
        <w:rPr>
          <w:rFonts w:ascii="Verdana" w:eastAsia="Calibri" w:hAnsi="Verdana" w:cs="Arial"/>
          <w:sz w:val="21"/>
          <w:szCs w:val="21"/>
          <w:lang w:val="es-MX"/>
        </w:rPr>
        <w:t>D.  Acta de inicio o la orden de inicio. La misma sólo será válida para efectos de acreditar la fecha de inicio.</w:t>
      </w:r>
    </w:p>
    <w:p w14:paraId="58965430"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p>
    <w:p w14:paraId="1A28A7A1"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r w:rsidRPr="00681ECF">
        <w:rPr>
          <w:rFonts w:ascii="Verdana" w:eastAsia="Calibri" w:hAnsi="Verdana" w:cs="Arial"/>
          <w:sz w:val="21"/>
          <w:szCs w:val="21"/>
          <w:lang w:val="es-MX"/>
        </w:rPr>
        <w:t>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24B39E70" w14:textId="77777777" w:rsidR="00681ECF" w:rsidRPr="00681ECF" w:rsidRDefault="00681ECF" w:rsidP="00681ECF">
      <w:pPr>
        <w:tabs>
          <w:tab w:val="left" w:pos="993"/>
        </w:tabs>
        <w:spacing w:after="0" w:line="240" w:lineRule="auto"/>
        <w:ind w:left="720" w:right="709"/>
        <w:jc w:val="both"/>
        <w:rPr>
          <w:rFonts w:ascii="Verdana" w:eastAsia="Calibri" w:hAnsi="Verdana" w:cs="Arial"/>
          <w:sz w:val="21"/>
          <w:szCs w:val="21"/>
          <w:lang w:val="es-MX"/>
        </w:rPr>
      </w:pPr>
      <w:r w:rsidRPr="00681ECF">
        <w:rPr>
          <w:rFonts w:ascii="Verdana" w:eastAsia="Calibri" w:hAnsi="Verdana" w:cs="Arial"/>
          <w:sz w:val="21"/>
          <w:szCs w:val="21"/>
          <w:lang w:val="es-MX"/>
        </w:rPr>
        <w:t>[…]”</w:t>
      </w:r>
    </w:p>
    <w:p w14:paraId="19D1E517" w14:textId="77777777" w:rsidR="00681ECF" w:rsidRPr="00681ECF" w:rsidRDefault="00681ECF" w:rsidP="00681ECF">
      <w:pPr>
        <w:tabs>
          <w:tab w:val="left" w:pos="993"/>
        </w:tabs>
        <w:spacing w:after="0" w:line="276" w:lineRule="auto"/>
        <w:ind w:left="720" w:right="758"/>
        <w:jc w:val="both"/>
        <w:rPr>
          <w:rFonts w:ascii="Verdana" w:eastAsia="Calibri" w:hAnsi="Verdana" w:cs="Arial"/>
          <w:lang w:val="es-MX"/>
        </w:rPr>
      </w:pPr>
    </w:p>
    <w:p w14:paraId="244E51E3" w14:textId="77777777" w:rsidR="00681ECF" w:rsidRPr="00681ECF" w:rsidRDefault="00681ECF" w:rsidP="00681ECF">
      <w:pPr>
        <w:numPr>
          <w:ilvl w:val="0"/>
          <w:numId w:val="19"/>
        </w:numPr>
        <w:tabs>
          <w:tab w:val="left" w:pos="993"/>
        </w:tabs>
        <w:spacing w:after="0" w:line="276" w:lineRule="auto"/>
        <w:ind w:right="49"/>
        <w:contextualSpacing/>
        <w:jc w:val="both"/>
        <w:rPr>
          <w:rFonts w:ascii="Verdana" w:eastAsia="Calibri" w:hAnsi="Verdana" w:cs="Arial"/>
          <w:lang w:val="es-MX"/>
        </w:rPr>
      </w:pPr>
      <w:r w:rsidRPr="00681ECF">
        <w:rPr>
          <w:rFonts w:ascii="Verdana" w:eastAsia="Calibri" w:hAnsi="Verdana" w:cs="Arial"/>
          <w:lang w:val="es-MX"/>
        </w:rPr>
        <w:t xml:space="preserve">Los documentos relacionados son válidos para que los proponentes acrediten “las actividades ejecutadas”, definidas en la “Matriz 1 – Experiencia”, cuando el contenido de estos permita identificar el alcance de dichas actividades y siempre que la información cumpla con las exigencias del numeral 3.5.5.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6BA84395" w14:textId="77777777" w:rsidR="00681ECF" w:rsidRPr="00681ECF" w:rsidRDefault="00681ECF" w:rsidP="00681ECF">
      <w:pPr>
        <w:tabs>
          <w:tab w:val="left" w:pos="993"/>
        </w:tabs>
        <w:spacing w:after="0" w:line="276" w:lineRule="auto"/>
        <w:ind w:left="720" w:right="49"/>
        <w:contextualSpacing/>
        <w:jc w:val="both"/>
        <w:rPr>
          <w:rFonts w:ascii="Verdana" w:eastAsia="Calibri" w:hAnsi="Verdana" w:cs="Arial"/>
          <w:lang w:val="es-MX"/>
        </w:rPr>
      </w:pPr>
    </w:p>
    <w:p w14:paraId="3135AE54" w14:textId="77777777" w:rsidR="00681ECF" w:rsidRPr="00681ECF" w:rsidRDefault="00681ECF" w:rsidP="00681ECF">
      <w:pPr>
        <w:numPr>
          <w:ilvl w:val="0"/>
          <w:numId w:val="19"/>
        </w:numPr>
        <w:spacing w:after="0" w:line="276" w:lineRule="auto"/>
        <w:contextualSpacing/>
        <w:jc w:val="both"/>
        <w:rPr>
          <w:rFonts w:ascii="Verdana" w:eastAsia="Calibri" w:hAnsi="Verdana" w:cs="Arial"/>
          <w:b/>
          <w:kern w:val="2"/>
          <w:lang w:val="es-ES_tradnl" w:eastAsia="es-CO"/>
          <w14:ligatures w14:val="standardContextual"/>
        </w:rPr>
      </w:pPr>
      <w:r w:rsidRPr="00681ECF">
        <w:rPr>
          <w:rFonts w:ascii="Verdana" w:eastAsia="Calibri" w:hAnsi="Verdana" w:cs="Arial"/>
          <w:lang w:val="es-MX"/>
        </w:rPr>
        <w:t>Finalmente, para acreditar la experiencia entre particulares, el numeral 3.5.6 del documento base señala que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736DA873" w14:textId="77777777" w:rsidR="00681ECF" w:rsidRPr="00681ECF" w:rsidRDefault="00681ECF" w:rsidP="00681ECF">
      <w:pPr>
        <w:spacing w:line="278" w:lineRule="auto"/>
        <w:ind w:left="720"/>
        <w:contextualSpacing/>
        <w:rPr>
          <w:rFonts w:ascii="Verdana" w:eastAsia="Calibri" w:hAnsi="Verdana" w:cs="Arial"/>
          <w:b/>
          <w:kern w:val="2"/>
          <w:lang w:val="es-ES_tradnl" w:eastAsia="es-CO"/>
          <w14:ligatures w14:val="standardContextual"/>
        </w:rPr>
      </w:pPr>
    </w:p>
    <w:p w14:paraId="50E43F1C" w14:textId="77777777" w:rsidR="00681ECF" w:rsidRPr="00681ECF" w:rsidRDefault="00681ECF" w:rsidP="00681ECF">
      <w:pPr>
        <w:numPr>
          <w:ilvl w:val="0"/>
          <w:numId w:val="19"/>
        </w:numPr>
        <w:spacing w:after="0" w:line="276" w:lineRule="auto"/>
        <w:contextualSpacing/>
        <w:jc w:val="both"/>
        <w:rPr>
          <w:rFonts w:ascii="Verdana" w:eastAsia="Calibri" w:hAnsi="Verdana" w:cs="Arial"/>
          <w:kern w:val="2"/>
          <w:lang w:val="es-ES" w:eastAsia="es-CO"/>
          <w14:ligatures w14:val="standardContextual"/>
        </w:rPr>
      </w:pPr>
      <w:r w:rsidRPr="15DC88D4">
        <w:rPr>
          <w:rFonts w:ascii="Verdana" w:eastAsia="Calibri" w:hAnsi="Verdana" w:cs="Arial"/>
          <w:kern w:val="2"/>
          <w:lang w:val="es-ES" w:eastAsia="es-CO"/>
          <w14:ligatures w14:val="standardContextual"/>
        </w:rPr>
        <w:t xml:space="preserve">Por lo tanto, teniendo en cuenta la inalterabilidad que se predica de los documentos tipo, la acreditación de la experiencia debe realizarse en los términos del numeral 3.5 del Documento Base de los documentos tipo de infraestructura de transporte. Eso significa que los documentos válidos </w:t>
      </w:r>
      <w:r w:rsidRPr="15DC88D4">
        <w:rPr>
          <w:rFonts w:ascii="Verdana" w:eastAsia="Calibri" w:hAnsi="Verdana" w:cs="Arial"/>
          <w:kern w:val="2"/>
          <w:lang w:val="es-ES" w:eastAsia="es-CO"/>
          <w14:ligatures w14:val="standardContextual"/>
        </w:rPr>
        <w:lastRenderedPageBreak/>
        <w:t xml:space="preserve">para acreditar la experiencia son aquellos definidos en el Documento Base. </w:t>
      </w:r>
    </w:p>
    <w:p w14:paraId="5F55EE69" w14:textId="77777777" w:rsidR="00681ECF" w:rsidRPr="00681ECF" w:rsidRDefault="00681ECF" w:rsidP="00681ECF">
      <w:pPr>
        <w:spacing w:line="278" w:lineRule="auto"/>
        <w:ind w:left="720"/>
        <w:contextualSpacing/>
        <w:rPr>
          <w:rFonts w:ascii="Verdana" w:eastAsia="Calibri" w:hAnsi="Verdana" w:cs="Arial"/>
          <w:bCs/>
          <w:kern w:val="2"/>
          <w:lang w:val="es-ES_tradnl" w:eastAsia="es-CO"/>
          <w14:ligatures w14:val="standardContextual"/>
        </w:rPr>
      </w:pPr>
    </w:p>
    <w:p w14:paraId="7EA818CB" w14:textId="77777777" w:rsidR="00681ECF" w:rsidRPr="00681ECF" w:rsidRDefault="00681ECF" w:rsidP="00681ECF">
      <w:pPr>
        <w:numPr>
          <w:ilvl w:val="0"/>
          <w:numId w:val="19"/>
        </w:numPr>
        <w:spacing w:after="0" w:line="276" w:lineRule="auto"/>
        <w:contextualSpacing/>
        <w:jc w:val="both"/>
        <w:rPr>
          <w:rFonts w:ascii="Verdana" w:eastAsia="Calibri" w:hAnsi="Verdana" w:cs="Arial"/>
          <w:kern w:val="2"/>
          <w:lang w:val="es-ES" w:eastAsia="es-CO"/>
          <w14:ligatures w14:val="standardContextual"/>
        </w:rPr>
      </w:pPr>
      <w:r w:rsidRPr="15DC88D4">
        <w:rPr>
          <w:rFonts w:ascii="Verdana" w:eastAsia="Calibri" w:hAnsi="Verdana" w:cs="Arial"/>
          <w:kern w:val="2"/>
          <w:lang w:val="es-ES" w:eastAsia="es-CO"/>
          <w14:ligatures w14:val="standardContextual"/>
        </w:rPr>
        <w:t>En el caso de la acreditación de experiencia entre particulares, deberá observarse lo dispuesto en el numeral 3.5.6. Así, el proponente deberá aportar, de forma adicional, la certificación de facturación expedida con posterioridad a la fecha del de terminación del contrato. Esta certificación debe ser emitida por el revisor fiscal o contador público del Proponente que acredita la experiencia, según corresponda: i) con la copia de la tarjeta profesional y certificado de antecedentes disciplinarios vigente, expedido por la Junta Central de Contadores, o ii) con los documentos equivalentes que hagan sus veces en el país donde se expide el documento del profesional.</w:t>
      </w:r>
    </w:p>
    <w:p w14:paraId="11CC1E1B" w14:textId="77777777" w:rsidR="00681ECF" w:rsidRPr="00681ECF" w:rsidRDefault="00681ECF" w:rsidP="00681ECF">
      <w:pPr>
        <w:spacing w:after="0" w:line="276" w:lineRule="auto"/>
        <w:ind w:left="720"/>
        <w:contextualSpacing/>
        <w:jc w:val="both"/>
        <w:rPr>
          <w:rFonts w:ascii="Verdana" w:eastAsia="Calibri" w:hAnsi="Verdana" w:cs="Arial"/>
          <w:bCs/>
          <w:kern w:val="2"/>
          <w:lang w:val="es-ES_tradnl" w:eastAsia="es-CO"/>
          <w14:ligatures w14:val="standardContextual"/>
        </w:rPr>
      </w:pPr>
    </w:p>
    <w:p w14:paraId="5EABBD1C" w14:textId="77777777" w:rsidR="00681ECF" w:rsidRPr="00681ECF" w:rsidRDefault="00681ECF" w:rsidP="00681ECF">
      <w:pPr>
        <w:numPr>
          <w:ilvl w:val="0"/>
          <w:numId w:val="19"/>
        </w:numPr>
        <w:spacing w:after="0" w:line="276" w:lineRule="auto"/>
        <w:contextualSpacing/>
        <w:jc w:val="both"/>
        <w:rPr>
          <w:rFonts w:ascii="Verdana" w:eastAsia="Calibri" w:hAnsi="Verdana" w:cs="Arial"/>
          <w:bCs/>
          <w:kern w:val="2"/>
          <w:lang w:val="es-ES_tradnl" w:eastAsia="es-CO"/>
          <w14:ligatures w14:val="standardContextual"/>
        </w:rPr>
      </w:pPr>
      <w:r w:rsidRPr="00681ECF">
        <w:rPr>
          <w:rFonts w:ascii="Verdana" w:eastAsia="Calibri" w:hAnsi="Verdana" w:cs="Arial"/>
          <w:bCs/>
          <w:kern w:val="2"/>
          <w:lang w:val="es-ES_tradnl" w:eastAsia="es-CO"/>
          <w14:ligatures w14:val="standardContextual"/>
        </w:rPr>
        <w:t xml:space="preserve">De esta manera, los documentos equivalentes a que se refiere el aludido numeral versan sobre aquellos que debe acreditar el revisor fiscal o contador público, y no sobre la certificación de facturación. Esto implica que dicha certificación debe aportarse, de manera adicional, cuando se pretenda acreditar experiencia entre particulares, sin que sea posible reemplazarla por otro documento. </w:t>
      </w:r>
    </w:p>
    <w:p w14:paraId="7D82CA10" w14:textId="77777777" w:rsidR="00681ECF" w:rsidRPr="00681ECF" w:rsidRDefault="00681ECF" w:rsidP="00681ECF">
      <w:pPr>
        <w:spacing w:after="0" w:line="276" w:lineRule="auto"/>
        <w:ind w:left="720"/>
        <w:contextualSpacing/>
        <w:jc w:val="both"/>
        <w:rPr>
          <w:rFonts w:ascii="Verdana" w:eastAsia="Calibri" w:hAnsi="Verdana" w:cs="Arial"/>
          <w:b/>
          <w:kern w:val="2"/>
          <w:lang w:val="es-ES_tradnl" w:eastAsia="es-CO"/>
          <w14:ligatures w14:val="standardContextual"/>
        </w:rPr>
      </w:pPr>
    </w:p>
    <w:p w14:paraId="1D8EC16C" w14:textId="77777777" w:rsidR="00681ECF" w:rsidRPr="00681ECF" w:rsidRDefault="00681ECF" w:rsidP="00681ECF">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Referencias normativas, jurisprudenciales y otras fuentes:</w:t>
      </w:r>
    </w:p>
    <w:p w14:paraId="089F1E96" w14:textId="77777777" w:rsidR="00681ECF" w:rsidRPr="00681ECF" w:rsidRDefault="00681ECF" w:rsidP="00681ECF">
      <w:pPr>
        <w:widowControl w:val="0"/>
        <w:autoSpaceDE w:val="0"/>
        <w:autoSpaceDN w:val="0"/>
        <w:spacing w:after="0" w:line="276" w:lineRule="auto"/>
        <w:jc w:val="both"/>
        <w:rPr>
          <w:rFonts w:ascii="Verdana" w:eastAsia="Calibri" w:hAnsi="Verdana" w:cs="Aria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81ECF" w:rsidRPr="00681ECF" w14:paraId="52E17DB2" w14:textId="77777777" w:rsidTr="00DC6294">
        <w:trPr>
          <w:trHeight w:val="870"/>
        </w:trPr>
        <w:tc>
          <w:tcPr>
            <w:tcW w:w="8647" w:type="dxa"/>
          </w:tcPr>
          <w:p w14:paraId="5B650581" w14:textId="77777777" w:rsidR="00681ECF" w:rsidRPr="00681ECF" w:rsidRDefault="00681ECF" w:rsidP="00681ECF">
            <w:pPr>
              <w:widowControl w:val="0"/>
              <w:numPr>
                <w:ilvl w:val="0"/>
                <w:numId w:val="17"/>
              </w:numPr>
              <w:autoSpaceDE w:val="0"/>
              <w:autoSpaceDN w:val="0"/>
              <w:spacing w:after="120" w:line="276" w:lineRule="auto"/>
              <w:jc w:val="both"/>
              <w:rPr>
                <w:rFonts w:ascii="Verdana" w:eastAsia="Calibri" w:hAnsi="Verdana" w:cs="Arial"/>
              </w:rPr>
            </w:pPr>
            <w:r w:rsidRPr="00681ECF">
              <w:rPr>
                <w:rFonts w:ascii="Verdana" w:eastAsia="Calibri" w:hAnsi="Verdana" w:cs="Arial"/>
              </w:rPr>
              <w:t>Ley 2022 de 2020, artículo 1.</w:t>
            </w:r>
          </w:p>
          <w:p w14:paraId="4D911BBA" w14:textId="77777777" w:rsidR="00681ECF" w:rsidRPr="00681ECF" w:rsidRDefault="00681ECF" w:rsidP="00681ECF">
            <w:pPr>
              <w:widowControl w:val="0"/>
              <w:numPr>
                <w:ilvl w:val="0"/>
                <w:numId w:val="17"/>
              </w:numPr>
              <w:autoSpaceDE w:val="0"/>
              <w:autoSpaceDN w:val="0"/>
              <w:spacing w:after="120" w:line="276" w:lineRule="auto"/>
              <w:jc w:val="both"/>
              <w:rPr>
                <w:rFonts w:ascii="Verdana" w:eastAsia="Calibri" w:hAnsi="Verdana" w:cs="Arial"/>
              </w:rPr>
            </w:pPr>
            <w:r w:rsidRPr="00681ECF">
              <w:rPr>
                <w:rFonts w:ascii="Verdana" w:eastAsia="Calibri" w:hAnsi="Verdana" w:cs="Arial"/>
              </w:rPr>
              <w:t>Documentos tipo de licitación de obra pública de infraestructura de transporte –versión 3–. Resolución 240 de 2020 de la Agencia Nacional de Contratación Pública – Colombia Compra Eficiente. Disponible en:</w:t>
            </w:r>
            <w:r w:rsidRPr="00681ECF">
              <w:rPr>
                <w:rFonts w:ascii="Aptos" w:eastAsia="Aptos" w:hAnsi="Aptos" w:cs="Times New Roman"/>
                <w:lang w:val="es-ES_tradnl"/>
              </w:rPr>
              <w:t xml:space="preserve"> </w:t>
            </w:r>
            <w:hyperlink r:id="rId11" w:history="1">
              <w:r w:rsidRPr="00681ECF">
                <w:rPr>
                  <w:rFonts w:ascii="Verdana" w:eastAsia="Calibri" w:hAnsi="Verdana" w:cs="Arial"/>
                  <w:color w:val="0000FF"/>
                  <w:u w:val="single"/>
                </w:rPr>
                <w:t>https://www.colombiacompra.gov.co/content/04-documentos-tipo-para-licitacion-de-obra-publica-de-infraestructura-de-transporte-version</w:t>
              </w:r>
            </w:hyperlink>
            <w:r w:rsidRPr="00681ECF">
              <w:rPr>
                <w:rFonts w:ascii="Verdana" w:eastAsia="Calibri" w:hAnsi="Verdana" w:cs="Arial"/>
              </w:rPr>
              <w:t xml:space="preserve"> </w:t>
            </w:r>
          </w:p>
        </w:tc>
      </w:tr>
    </w:tbl>
    <w:p w14:paraId="2F9FE850" w14:textId="77777777" w:rsidR="00681ECF" w:rsidRPr="00681ECF" w:rsidRDefault="00681ECF" w:rsidP="00681ECF">
      <w:pPr>
        <w:widowControl w:val="0"/>
        <w:autoSpaceDE w:val="0"/>
        <w:autoSpaceDN w:val="0"/>
        <w:spacing w:after="0" w:line="276" w:lineRule="auto"/>
        <w:jc w:val="both"/>
        <w:rPr>
          <w:rFonts w:ascii="Verdana" w:eastAsia="Calibri" w:hAnsi="Verdana" w:cs="Arial"/>
        </w:rPr>
      </w:pPr>
    </w:p>
    <w:p w14:paraId="24A005F4" w14:textId="77777777" w:rsidR="00681ECF" w:rsidRPr="00681ECF" w:rsidRDefault="00681ECF" w:rsidP="00681ECF">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681ECF">
        <w:rPr>
          <w:rFonts w:ascii="Verdana" w:eastAsia="Century Gothic" w:hAnsi="Verdana" w:cs="Century Gothic"/>
          <w:b/>
          <w:bCs/>
          <w:lang w:val="es-ES"/>
        </w:rPr>
        <w:t>Doctrina de la Agencia Nacional de Contratación Pública:</w:t>
      </w:r>
    </w:p>
    <w:p w14:paraId="2A1120A8" w14:textId="77777777" w:rsidR="00681ECF" w:rsidRPr="00681ECF" w:rsidRDefault="00681ECF" w:rsidP="00681ECF">
      <w:pPr>
        <w:widowControl w:val="0"/>
        <w:autoSpaceDE w:val="0"/>
        <w:autoSpaceDN w:val="0"/>
        <w:spacing w:after="0" w:line="276" w:lineRule="auto"/>
        <w:jc w:val="both"/>
        <w:rPr>
          <w:rFonts w:ascii="Verdana" w:eastAsia="Calibri" w:hAnsi="Verdana" w:cs="Arial"/>
        </w:rPr>
      </w:pPr>
    </w:p>
    <w:p w14:paraId="6E1E9DA7" w14:textId="77777777" w:rsidR="00681ECF" w:rsidRPr="00681ECF" w:rsidRDefault="00681ECF" w:rsidP="00681ECF">
      <w:pPr>
        <w:widowControl w:val="0"/>
        <w:autoSpaceDE w:val="0"/>
        <w:autoSpaceDN w:val="0"/>
        <w:spacing w:after="0" w:line="276" w:lineRule="auto"/>
        <w:jc w:val="both"/>
        <w:rPr>
          <w:rFonts w:ascii="Verdana" w:eastAsia="Calibri" w:hAnsi="Verdana" w:cs="Arial"/>
          <w:shd w:val="clear" w:color="auto" w:fill="FFFFFF"/>
          <w:lang w:val="es-ES"/>
        </w:rPr>
      </w:pPr>
      <w:r w:rsidRPr="00681ECF">
        <w:rPr>
          <w:rFonts w:ascii="Verdana" w:eastAsia="Calibri" w:hAnsi="Verdana" w:cs="Arial"/>
          <w:shd w:val="clear" w:color="auto" w:fill="FFFFFF"/>
          <w:lang w:val="es-ES"/>
        </w:rPr>
        <w:t xml:space="preserve">La Agencia Nacional de Contratación Pública − Colombia Compra Eficiente se pronunció sobre los pliegos de condiciones tipo en la contratación estatal y su inalterabilidad, en los conceptos C-294 del 18 de mayo de 2020, C-276 y C-277 del 26 de mayo de 2020, C–380 y C–381 del 1 de junio de 2020, C-404 del 12 </w:t>
      </w:r>
      <w:r w:rsidRPr="00681ECF">
        <w:rPr>
          <w:rFonts w:ascii="Verdana" w:eastAsia="Calibri" w:hAnsi="Verdana" w:cs="Arial"/>
          <w:shd w:val="clear" w:color="auto" w:fill="FFFFFF"/>
          <w:lang w:val="es-ES"/>
        </w:rPr>
        <w:lastRenderedPageBreak/>
        <w:t xml:space="preserve">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C-031 del 1 de febrero de 2021, C-157 de 13 de abril de 2021, C-862 del 16 de diciembre de 2022, C-217 del 12 de julio de 2024, entre otros. </w:t>
      </w:r>
      <w:r w:rsidRPr="00681ECF">
        <w:rPr>
          <w:rFonts w:ascii="Verdana" w:eastAsia="Calibri"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w:t>
      </w:r>
      <w:r w:rsidRPr="00681ECF">
        <w:rPr>
          <w:rFonts w:ascii="Verdana" w:eastAsia="Calibri" w:hAnsi="Verdana" w:cs="Arial"/>
          <w:kern w:val="2"/>
          <w:sz w:val="24"/>
          <w:szCs w:val="24"/>
          <w:shd w:val="clear" w:color="auto" w:fill="FFFFFF"/>
          <w:lang w:val="es-ES"/>
          <w14:ligatures w14:val="standardContextual"/>
        </w:rPr>
        <w:t xml:space="preserve">  </w:t>
      </w:r>
    </w:p>
    <w:p w14:paraId="2792FA98" w14:textId="77777777" w:rsidR="00681ECF" w:rsidRPr="00681ECF" w:rsidRDefault="00681ECF" w:rsidP="00681ECF">
      <w:pPr>
        <w:widowControl w:val="0"/>
        <w:autoSpaceDE w:val="0"/>
        <w:autoSpaceDN w:val="0"/>
        <w:spacing w:after="0" w:line="276" w:lineRule="auto"/>
        <w:jc w:val="both"/>
        <w:rPr>
          <w:rFonts w:ascii="Verdana" w:eastAsia="Calibri" w:hAnsi="Verdana" w:cs="Arial"/>
          <w:shd w:val="clear" w:color="auto" w:fill="FFFFFF"/>
          <w:lang w:val="es-ES"/>
        </w:rPr>
      </w:pPr>
    </w:p>
    <w:p w14:paraId="4CA4547D" w14:textId="1178AC6F" w:rsidR="00681ECF" w:rsidRPr="00681ECF" w:rsidRDefault="00681ECF" w:rsidP="00681ECF">
      <w:pPr>
        <w:widowControl w:val="0"/>
        <w:autoSpaceDE w:val="0"/>
        <w:autoSpaceDN w:val="0"/>
        <w:spacing w:after="0" w:line="276" w:lineRule="auto"/>
        <w:jc w:val="both"/>
        <w:rPr>
          <w:rFonts w:ascii="Verdana" w:eastAsia="Calibri" w:hAnsi="Verdana" w:cs="Arial"/>
          <w:shd w:val="clear" w:color="auto" w:fill="FFFFFF"/>
          <w:lang w:val="es-ES"/>
        </w:rPr>
      </w:pPr>
      <w:r w:rsidRPr="00681ECF">
        <w:rPr>
          <w:rFonts w:ascii="Verdana" w:eastAsia="Calibri" w:hAnsi="Verdana" w:cs="Arial"/>
          <w:shd w:val="clear" w:color="auto" w:fill="FFFFFF"/>
        </w:rPr>
        <w:t>Lo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2" w:tgtFrame="_blank" w:tooltip="Original URL: https://www.colombiacompra.gov.co/sala-de-prensa/boletin-digital/boletin-de-relatoria-2024-iv. Click or tap if you trust this link." w:history="1">
        <w:r w:rsidRPr="00681ECF">
          <w:rPr>
            <w:rFonts w:ascii="Verdana" w:eastAsia="Calibri" w:hAnsi="Verdana" w:cs="Arial"/>
            <w:color w:val="467886"/>
            <w:u w:val="single"/>
            <w:shd w:val="clear" w:color="auto" w:fill="FFFFFF"/>
          </w:rPr>
          <w:t>BOLETÍN DE RELATORÍA 2024 – IV | Colombia Compra Eficiente | Agencia Nacional de Contratación Pública</w:t>
        </w:r>
      </w:hyperlink>
    </w:p>
    <w:p w14:paraId="574A0CE3" w14:textId="77777777" w:rsidR="00681ECF" w:rsidRPr="00681ECF" w:rsidRDefault="00681ECF" w:rsidP="00681ECF">
      <w:pPr>
        <w:widowControl w:val="0"/>
        <w:autoSpaceDE w:val="0"/>
        <w:autoSpaceDN w:val="0"/>
        <w:spacing w:after="0" w:line="276" w:lineRule="auto"/>
        <w:jc w:val="both"/>
        <w:rPr>
          <w:rFonts w:ascii="Verdana" w:eastAsia="Calibri" w:hAnsi="Verdana" w:cs="Arial"/>
          <w:shd w:val="clear" w:color="auto" w:fill="FFFFFF"/>
          <w:lang w:val="es-ES"/>
        </w:rPr>
      </w:pPr>
    </w:p>
    <w:p w14:paraId="4EDD3343" w14:textId="77777777" w:rsidR="00681ECF" w:rsidRPr="00681ECF" w:rsidRDefault="00681ECF" w:rsidP="00681ECF">
      <w:pPr>
        <w:spacing w:after="0" w:line="240" w:lineRule="auto"/>
        <w:jc w:val="both"/>
        <w:rPr>
          <w:rFonts w:ascii="Verdana" w:eastAsia="Calibri" w:hAnsi="Verdana" w:cs="Times New Roman"/>
        </w:rPr>
      </w:pPr>
      <w:r w:rsidRPr="00681ECF">
        <w:rPr>
          <w:rFonts w:ascii="Verdana" w:eastAsia="Calibri" w:hAnsi="Verdana" w:cs="Times New Roman"/>
        </w:rPr>
        <w:t xml:space="preserve">Por último, los invitamos a seguirnos en las redes sociales, en las cuales se difunde información institucional: </w:t>
      </w:r>
    </w:p>
    <w:p w14:paraId="1704602B" w14:textId="77777777" w:rsidR="00681ECF" w:rsidRPr="00681ECF" w:rsidRDefault="00681ECF" w:rsidP="00681ECF">
      <w:pPr>
        <w:spacing w:after="0" w:line="240" w:lineRule="auto"/>
        <w:jc w:val="both"/>
        <w:rPr>
          <w:rFonts w:ascii="Verdana" w:eastAsia="Calibri" w:hAnsi="Verdana" w:cs="Times New Roman"/>
        </w:rPr>
      </w:pPr>
    </w:p>
    <w:p w14:paraId="1DEA0865" w14:textId="77777777" w:rsidR="00681ECF" w:rsidRPr="00681ECF" w:rsidRDefault="00681ECF" w:rsidP="00681ECF">
      <w:pPr>
        <w:spacing w:after="0" w:line="240" w:lineRule="auto"/>
        <w:jc w:val="both"/>
        <w:rPr>
          <w:rFonts w:ascii="Verdana" w:eastAsia="Calibri" w:hAnsi="Verdana" w:cs="Times New Roman"/>
        </w:rPr>
      </w:pPr>
      <w:r w:rsidRPr="00681ECF">
        <w:rPr>
          <w:rFonts w:ascii="Verdana" w:eastAsia="Calibri" w:hAnsi="Verdana" w:cs="Times New Roman"/>
        </w:rPr>
        <w:t xml:space="preserve">Twitter: </w:t>
      </w:r>
      <w:r w:rsidRPr="00681ECF">
        <w:rPr>
          <w:rFonts w:ascii="Verdana" w:eastAsia="Calibri" w:hAnsi="Verdana" w:cs="Times New Roman"/>
          <w:u w:val="single"/>
        </w:rPr>
        <w:t>@colombiacompra</w:t>
      </w:r>
      <w:r w:rsidRPr="00681ECF">
        <w:rPr>
          <w:rFonts w:ascii="Verdana" w:eastAsia="Calibri" w:hAnsi="Verdana" w:cs="Times New Roman"/>
        </w:rPr>
        <w:t xml:space="preserve"> </w:t>
      </w:r>
    </w:p>
    <w:p w14:paraId="3650DC10" w14:textId="77777777" w:rsidR="00681ECF" w:rsidRPr="00681ECF" w:rsidRDefault="00681ECF" w:rsidP="00681ECF">
      <w:pPr>
        <w:spacing w:after="0" w:line="240" w:lineRule="auto"/>
        <w:jc w:val="both"/>
        <w:rPr>
          <w:rFonts w:ascii="Verdana" w:eastAsia="Calibri" w:hAnsi="Verdana" w:cs="Times New Roman"/>
        </w:rPr>
      </w:pPr>
      <w:r w:rsidRPr="00681ECF">
        <w:rPr>
          <w:rFonts w:ascii="Verdana" w:eastAsia="Calibri" w:hAnsi="Verdana" w:cs="Times New Roman"/>
        </w:rPr>
        <w:t xml:space="preserve">Facebook: </w:t>
      </w:r>
      <w:r w:rsidRPr="00681ECF">
        <w:rPr>
          <w:rFonts w:ascii="Verdana" w:eastAsia="Calibri" w:hAnsi="Verdana" w:cs="Times New Roman"/>
          <w:u w:val="single"/>
        </w:rPr>
        <w:t>ColombiaCompraEficiente</w:t>
      </w:r>
    </w:p>
    <w:p w14:paraId="571735B1" w14:textId="77777777" w:rsidR="00681ECF" w:rsidRPr="00681ECF" w:rsidRDefault="00681ECF" w:rsidP="00681ECF">
      <w:pPr>
        <w:spacing w:after="0" w:line="240" w:lineRule="auto"/>
        <w:jc w:val="both"/>
        <w:rPr>
          <w:rFonts w:ascii="Verdana" w:eastAsia="Calibri" w:hAnsi="Verdana" w:cs="Times New Roman"/>
        </w:rPr>
      </w:pPr>
      <w:r w:rsidRPr="00681ECF">
        <w:rPr>
          <w:rFonts w:ascii="Verdana" w:eastAsia="Calibri" w:hAnsi="Verdana" w:cs="Times New Roman"/>
        </w:rPr>
        <w:t xml:space="preserve">LinkedIn: </w:t>
      </w:r>
      <w:r w:rsidRPr="00681ECF">
        <w:rPr>
          <w:rFonts w:ascii="Verdana" w:eastAsia="Calibri" w:hAnsi="Verdana" w:cs="Times New Roman"/>
          <w:u w:val="single"/>
        </w:rPr>
        <w:t>Agencia Nacional de Contratación Pública - Colombia Compra Eficiente</w:t>
      </w:r>
      <w:r w:rsidRPr="00681ECF">
        <w:rPr>
          <w:rFonts w:ascii="Verdana" w:eastAsia="Calibri" w:hAnsi="Verdana" w:cs="Times New Roman"/>
        </w:rPr>
        <w:t xml:space="preserve"> Instagram: </w:t>
      </w:r>
      <w:r w:rsidRPr="00681ECF">
        <w:rPr>
          <w:rFonts w:ascii="Verdana" w:eastAsia="Calibri" w:hAnsi="Verdana" w:cs="Times New Roman"/>
          <w:u w:val="single"/>
        </w:rPr>
        <w:t>@colombiacompraeficiente_cce</w:t>
      </w:r>
    </w:p>
    <w:p w14:paraId="3073A603" w14:textId="77777777" w:rsidR="00681ECF" w:rsidRPr="00681ECF" w:rsidRDefault="00681ECF" w:rsidP="00681ECF">
      <w:pPr>
        <w:widowControl w:val="0"/>
        <w:autoSpaceDE w:val="0"/>
        <w:autoSpaceDN w:val="0"/>
        <w:spacing w:after="0" w:line="276" w:lineRule="auto"/>
        <w:jc w:val="both"/>
        <w:rPr>
          <w:rFonts w:ascii="Verdana" w:eastAsia="Calibri" w:hAnsi="Verdana" w:cs="Arial"/>
        </w:rPr>
      </w:pPr>
    </w:p>
    <w:p w14:paraId="5FB48B58" w14:textId="77777777" w:rsidR="00681ECF" w:rsidRPr="00681ECF" w:rsidRDefault="00681ECF" w:rsidP="00681ECF">
      <w:pPr>
        <w:widowControl w:val="0"/>
        <w:autoSpaceDE w:val="0"/>
        <w:autoSpaceDN w:val="0"/>
        <w:spacing w:after="0" w:line="276" w:lineRule="auto"/>
        <w:jc w:val="both"/>
        <w:rPr>
          <w:rFonts w:ascii="Verdana" w:eastAsia="Calibri" w:hAnsi="Verdana" w:cs="Arial"/>
          <w:lang w:val="es-ES_tradnl"/>
        </w:rPr>
      </w:pPr>
      <w:r w:rsidRPr="00681ECF">
        <w:rPr>
          <w:rFonts w:ascii="Verdana" w:eastAsia="Calibri" w:hAnsi="Verdana" w:cs="Arial"/>
        </w:rPr>
        <w:t xml:space="preserve">Este concepto tiene el alcance previsto en el artículo 28 del Código de Procedimiento Administrativo y de lo Contencioso Administrativo </w:t>
      </w:r>
      <w:r w:rsidRPr="00681ECF">
        <w:rPr>
          <w:rFonts w:ascii="Verdana" w:eastAsia="Calibri" w:hAnsi="Verdana" w:cs="Arial"/>
          <w:lang w:val="es-ES_tradnl"/>
        </w:rPr>
        <w:t>y las expresiones aquí utilizadas con mayúscula inicial deben ser entendidas con el significado que les otorga el artículo 2.2.1.1.1.3.1. del Decreto 1082 de 2015.</w:t>
      </w:r>
    </w:p>
    <w:p w14:paraId="2C528909" w14:textId="77777777" w:rsidR="00681ECF" w:rsidRPr="00681ECF" w:rsidRDefault="00681ECF" w:rsidP="00681ECF">
      <w:pPr>
        <w:widowControl w:val="0"/>
        <w:autoSpaceDE w:val="0"/>
        <w:autoSpaceDN w:val="0"/>
        <w:spacing w:after="0" w:line="276" w:lineRule="auto"/>
        <w:jc w:val="both"/>
        <w:rPr>
          <w:rFonts w:ascii="Verdana" w:eastAsia="Calibri" w:hAnsi="Verdana" w:cs="Arial"/>
        </w:rPr>
      </w:pPr>
    </w:p>
    <w:p w14:paraId="755FDE7B" w14:textId="77777777" w:rsidR="00681ECF" w:rsidRPr="00681ECF" w:rsidRDefault="00681ECF" w:rsidP="00681ECF">
      <w:pPr>
        <w:spacing w:after="0" w:line="240" w:lineRule="auto"/>
        <w:rPr>
          <w:rFonts w:ascii="Verdana" w:eastAsia="Calibri" w:hAnsi="Verdana" w:cs="Arial"/>
          <w:lang w:eastAsia="es-CO"/>
        </w:rPr>
      </w:pPr>
      <w:r w:rsidRPr="00681ECF">
        <w:rPr>
          <w:rFonts w:ascii="Verdana" w:eastAsia="Times New Roman" w:hAnsi="Verdana" w:cs="Arial"/>
          <w:lang w:eastAsia="es-CO"/>
        </w:rPr>
        <w:t>Atentamente,</w:t>
      </w:r>
      <w:r w:rsidRPr="00681ECF">
        <w:rPr>
          <w:rFonts w:ascii="Verdana" w:eastAsia="Calibri" w:hAnsi="Verdana" w:cs="Arial"/>
          <w:lang w:eastAsia="es-CO"/>
        </w:rPr>
        <w:t xml:space="preserve"> </w:t>
      </w:r>
    </w:p>
    <w:p w14:paraId="79E70812" w14:textId="43893013" w:rsidR="00681ECF" w:rsidRPr="00681ECF" w:rsidRDefault="003035C0" w:rsidP="00681ECF">
      <w:pPr>
        <w:spacing w:line="276" w:lineRule="auto"/>
        <w:jc w:val="center"/>
        <w:rPr>
          <w:rFonts w:ascii="Verdana" w:eastAsia="Calibri" w:hAnsi="Verdana" w:cs="Arial"/>
          <w:lang w:val="es-ES_tradnl" w:eastAsia="es-CO"/>
        </w:rPr>
      </w:pPr>
      <w:r>
        <w:rPr>
          <w:noProof/>
        </w:rPr>
        <w:lastRenderedPageBreak/>
        <w:drawing>
          <wp:inline distT="0" distB="0" distL="0" distR="0" wp14:anchorId="01061A6E" wp14:editId="6230930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81ECF" w:rsidRPr="00681ECF" w14:paraId="761A3ED0" w14:textId="77777777" w:rsidTr="00DC6294">
        <w:trPr>
          <w:trHeight w:val="315"/>
        </w:trPr>
        <w:tc>
          <w:tcPr>
            <w:tcW w:w="893" w:type="dxa"/>
            <w:vAlign w:val="center"/>
            <w:hideMark/>
          </w:tcPr>
          <w:p w14:paraId="2F2D9041" w14:textId="77777777" w:rsidR="00681ECF" w:rsidRPr="00681ECF" w:rsidRDefault="00681ECF" w:rsidP="00681ECF">
            <w:pPr>
              <w:rPr>
                <w:rFonts w:ascii="Verdana" w:eastAsia="Calibri" w:hAnsi="Verdana" w:cs="Arial"/>
                <w:sz w:val="16"/>
                <w:szCs w:val="16"/>
                <w:lang w:val="es-ES" w:eastAsia="es-ES"/>
              </w:rPr>
            </w:pPr>
            <w:r w:rsidRPr="00681ECF">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203CEE1" w14:textId="77777777" w:rsidR="00681ECF" w:rsidRPr="00681ECF" w:rsidRDefault="00681ECF" w:rsidP="00681ECF">
            <w:pPr>
              <w:rPr>
                <w:rFonts w:ascii="Verdana" w:eastAsia="Arial" w:hAnsi="Verdana" w:cs="Arial"/>
                <w:sz w:val="16"/>
                <w:szCs w:val="16"/>
              </w:rPr>
            </w:pPr>
            <w:r w:rsidRPr="00681ECF">
              <w:rPr>
                <w:rFonts w:ascii="Verdana" w:eastAsia="Arial" w:hAnsi="Verdana" w:cs="Arial"/>
                <w:sz w:val="16"/>
                <w:szCs w:val="16"/>
              </w:rPr>
              <w:t>Kevin Arlid Herrera Santa</w:t>
            </w:r>
          </w:p>
          <w:p w14:paraId="6724493B" w14:textId="77777777" w:rsidR="00681ECF" w:rsidRPr="00681ECF" w:rsidRDefault="00681ECF" w:rsidP="00681ECF">
            <w:pPr>
              <w:rPr>
                <w:rFonts w:ascii="Verdana" w:eastAsia="Arial" w:hAnsi="Verdana" w:cs="Arial"/>
                <w:sz w:val="16"/>
                <w:szCs w:val="16"/>
              </w:rPr>
            </w:pPr>
            <w:r w:rsidRPr="00681ECF">
              <w:rPr>
                <w:rFonts w:ascii="Verdana" w:eastAsia="Arial" w:hAnsi="Verdana" w:cs="Arial"/>
                <w:sz w:val="16"/>
                <w:szCs w:val="16"/>
              </w:rPr>
              <w:t>Contratista de la Subdirección de Gestión Contractual</w:t>
            </w:r>
          </w:p>
        </w:tc>
      </w:tr>
      <w:tr w:rsidR="00681ECF" w:rsidRPr="00681ECF" w14:paraId="69BB480D" w14:textId="77777777" w:rsidTr="00DC6294">
        <w:trPr>
          <w:trHeight w:val="330"/>
        </w:trPr>
        <w:tc>
          <w:tcPr>
            <w:tcW w:w="893" w:type="dxa"/>
            <w:vAlign w:val="center"/>
            <w:hideMark/>
          </w:tcPr>
          <w:p w14:paraId="67E8B55C" w14:textId="77777777" w:rsidR="00681ECF" w:rsidRPr="00681ECF" w:rsidRDefault="00681ECF" w:rsidP="00681ECF">
            <w:pPr>
              <w:rPr>
                <w:rFonts w:ascii="Verdana" w:eastAsia="Calibri" w:hAnsi="Verdana" w:cs="Arial"/>
                <w:sz w:val="16"/>
                <w:szCs w:val="16"/>
                <w:lang w:val="es-ES" w:eastAsia="es-ES"/>
              </w:rPr>
            </w:pPr>
            <w:r w:rsidRPr="00681ECF">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58277BE" w14:textId="77777777" w:rsidR="00681ECF" w:rsidRPr="00681ECF" w:rsidRDefault="00681ECF" w:rsidP="00681ECF">
            <w:pPr>
              <w:textAlignment w:val="baseline"/>
              <w:rPr>
                <w:rFonts w:ascii="Verdana" w:eastAsia="Times New Roman" w:hAnsi="Verdana" w:cs="Segoe UI"/>
                <w:sz w:val="16"/>
                <w:szCs w:val="16"/>
                <w:lang w:eastAsia="es-ES_tradnl"/>
              </w:rPr>
            </w:pPr>
            <w:r w:rsidRPr="00681ECF">
              <w:rPr>
                <w:rFonts w:ascii="Verdana" w:eastAsia="Times New Roman" w:hAnsi="Verdana" w:cs="Segoe UI"/>
                <w:sz w:val="16"/>
                <w:szCs w:val="16"/>
                <w:lang w:eastAsia="es-ES_tradnl"/>
              </w:rPr>
              <w:t>Juan David Cárdenas Cabeza</w:t>
            </w:r>
          </w:p>
          <w:p w14:paraId="59388E63" w14:textId="77777777" w:rsidR="00681ECF" w:rsidRPr="00681ECF" w:rsidRDefault="00681ECF" w:rsidP="00681ECF">
            <w:pPr>
              <w:textAlignment w:val="baseline"/>
              <w:rPr>
                <w:rFonts w:ascii="Verdana" w:eastAsia="Times New Roman" w:hAnsi="Verdana" w:cs="Segoe UI"/>
                <w:sz w:val="16"/>
                <w:szCs w:val="16"/>
                <w:lang w:eastAsia="es-ES_tradnl"/>
              </w:rPr>
            </w:pPr>
            <w:r w:rsidRPr="00681ECF">
              <w:rPr>
                <w:rFonts w:ascii="Verdana" w:eastAsia="Times New Roman" w:hAnsi="Verdana" w:cs="Arial"/>
                <w:sz w:val="16"/>
                <w:szCs w:val="16"/>
                <w:lang w:val="es-ES" w:eastAsia="es-ES_tradnl"/>
              </w:rPr>
              <w:t>Contratista de la Subdirección de Gestión Contractual</w:t>
            </w:r>
            <w:r w:rsidRPr="00681ECF">
              <w:rPr>
                <w:rFonts w:ascii="Verdana" w:eastAsia="Times New Roman" w:hAnsi="Verdana" w:cs="Arial"/>
                <w:sz w:val="16"/>
                <w:szCs w:val="16"/>
                <w:lang w:eastAsia="es-ES_tradnl"/>
              </w:rPr>
              <w:t> </w:t>
            </w:r>
          </w:p>
        </w:tc>
      </w:tr>
      <w:tr w:rsidR="00681ECF" w:rsidRPr="00681ECF" w14:paraId="02E76AF4" w14:textId="77777777" w:rsidTr="00DC6294">
        <w:trPr>
          <w:trHeight w:val="300"/>
        </w:trPr>
        <w:tc>
          <w:tcPr>
            <w:tcW w:w="893" w:type="dxa"/>
            <w:vAlign w:val="center"/>
          </w:tcPr>
          <w:p w14:paraId="50C7FDA1" w14:textId="77777777" w:rsidR="00681ECF" w:rsidRPr="00681ECF" w:rsidRDefault="00681ECF" w:rsidP="00681ECF">
            <w:pPr>
              <w:rPr>
                <w:rFonts w:ascii="Verdana" w:eastAsia="Calibri" w:hAnsi="Verdana" w:cs="Arial"/>
                <w:sz w:val="16"/>
                <w:szCs w:val="16"/>
                <w:lang w:val="es-ES" w:eastAsia="es-ES"/>
              </w:rPr>
            </w:pPr>
            <w:r w:rsidRPr="00681ECF">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359DA57" w14:textId="77777777" w:rsidR="00681ECF" w:rsidRPr="00681ECF" w:rsidRDefault="00681ECF" w:rsidP="00681ECF">
            <w:pPr>
              <w:rPr>
                <w:rFonts w:ascii="Verdana" w:eastAsia="Calibri" w:hAnsi="Verdana" w:cs="Arial"/>
                <w:sz w:val="16"/>
                <w:szCs w:val="16"/>
                <w:lang w:val="pt-BR" w:eastAsia="es-ES"/>
              </w:rPr>
            </w:pPr>
            <w:r w:rsidRPr="00681ECF">
              <w:rPr>
                <w:rFonts w:ascii="Verdana" w:eastAsia="Calibri" w:hAnsi="Verdana" w:cs="Arial"/>
                <w:sz w:val="16"/>
                <w:szCs w:val="16"/>
                <w:lang w:val="pt-BR" w:eastAsia="es-ES"/>
              </w:rPr>
              <w:t>Carolina Quintero Gacharná</w:t>
            </w:r>
          </w:p>
          <w:p w14:paraId="4919EEB5" w14:textId="77777777" w:rsidR="00681ECF" w:rsidRPr="00681ECF" w:rsidRDefault="00681ECF" w:rsidP="00681ECF">
            <w:pPr>
              <w:rPr>
                <w:rFonts w:ascii="Verdana" w:eastAsia="Calibri" w:hAnsi="Verdana" w:cs="Arial"/>
                <w:sz w:val="16"/>
                <w:szCs w:val="16"/>
                <w:lang w:val="pt-BR" w:eastAsia="es-ES"/>
              </w:rPr>
            </w:pPr>
            <w:r w:rsidRPr="00681ECF">
              <w:rPr>
                <w:rFonts w:ascii="Verdana" w:eastAsia="Calibri" w:hAnsi="Verdana" w:cs="Arial"/>
                <w:sz w:val="16"/>
                <w:szCs w:val="16"/>
                <w:lang w:eastAsia="es-ES"/>
              </w:rPr>
              <w:t>Subdirectora</w:t>
            </w:r>
            <w:r w:rsidRPr="00681ECF">
              <w:rPr>
                <w:rFonts w:ascii="Verdana" w:eastAsia="Calibri" w:hAnsi="Verdana" w:cs="Arial"/>
                <w:sz w:val="16"/>
                <w:szCs w:val="16"/>
                <w:lang w:val="pt-BR" w:eastAsia="es-ES"/>
              </w:rPr>
              <w:t xml:space="preserve"> de Gestión </w:t>
            </w:r>
            <w:proofErr w:type="spellStart"/>
            <w:r w:rsidRPr="00681ECF">
              <w:rPr>
                <w:rFonts w:ascii="Verdana" w:eastAsia="Calibri" w:hAnsi="Verdana" w:cs="Arial"/>
                <w:sz w:val="16"/>
                <w:szCs w:val="16"/>
                <w:lang w:val="pt-BR" w:eastAsia="es-ES"/>
              </w:rPr>
              <w:t>Contractual</w:t>
            </w:r>
            <w:proofErr w:type="spellEnd"/>
            <w:r w:rsidRPr="00681ECF">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CE780" w14:textId="77777777" w:rsidR="00874831" w:rsidRDefault="00874831" w:rsidP="004A1847">
      <w:pPr>
        <w:spacing w:after="0" w:line="240" w:lineRule="auto"/>
      </w:pPr>
      <w:r>
        <w:separator/>
      </w:r>
    </w:p>
  </w:endnote>
  <w:endnote w:type="continuationSeparator" w:id="0">
    <w:p w14:paraId="406C12B4" w14:textId="77777777" w:rsidR="00874831" w:rsidRDefault="00874831" w:rsidP="004A1847">
      <w:pPr>
        <w:spacing w:after="0" w:line="240" w:lineRule="auto"/>
      </w:pPr>
      <w:r>
        <w:continuationSeparator/>
      </w:r>
    </w:p>
  </w:endnote>
  <w:endnote w:type="continuationNotice" w:id="1">
    <w:p w14:paraId="379A0101" w14:textId="77777777" w:rsidR="001A7FD8" w:rsidRDefault="001A7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E9A91" w14:textId="77777777" w:rsidR="00874831" w:rsidRDefault="00874831" w:rsidP="004A1847">
      <w:pPr>
        <w:spacing w:after="0" w:line="240" w:lineRule="auto"/>
      </w:pPr>
      <w:r>
        <w:separator/>
      </w:r>
    </w:p>
  </w:footnote>
  <w:footnote w:type="continuationSeparator" w:id="0">
    <w:p w14:paraId="4491CE8E" w14:textId="77777777" w:rsidR="00874831" w:rsidRDefault="00874831" w:rsidP="004A1847">
      <w:pPr>
        <w:spacing w:after="0" w:line="240" w:lineRule="auto"/>
      </w:pPr>
      <w:r>
        <w:continuationSeparator/>
      </w:r>
    </w:p>
  </w:footnote>
  <w:footnote w:type="continuationNotice" w:id="1">
    <w:p w14:paraId="0BBC18DB" w14:textId="77777777" w:rsidR="001A7FD8" w:rsidRDefault="001A7FD8">
      <w:pPr>
        <w:spacing w:after="0" w:line="240" w:lineRule="auto"/>
      </w:pPr>
    </w:p>
  </w:footnote>
  <w:footnote w:id="2">
    <w:p w14:paraId="23AA54B7" w14:textId="77777777" w:rsidR="00681ECF" w:rsidRPr="006556CC" w:rsidRDefault="00681ECF" w:rsidP="00681ECF">
      <w:pPr>
        <w:pStyle w:val="fn1"/>
        <w:ind w:firstLine="709"/>
        <w:jc w:val="both"/>
        <w:rPr>
          <w:rFonts w:ascii="Verdana" w:hAnsi="Verdana" w:cs="Arial"/>
          <w:sz w:val="18"/>
          <w:szCs w:val="18"/>
          <w:lang w:val="es-ES"/>
        </w:rPr>
      </w:pPr>
      <w:r w:rsidRPr="006556CC">
        <w:rPr>
          <w:rStyle w:val="Refdenotaalpie"/>
          <w:rFonts w:ascii="Verdana" w:hAnsi="Verdana" w:cs="Arial"/>
          <w:sz w:val="18"/>
          <w:szCs w:val="18"/>
        </w:rPr>
        <w:footnoteRef/>
      </w:r>
      <w:r w:rsidRPr="006556CC">
        <w:rPr>
          <w:rFonts w:ascii="Verdana" w:hAnsi="Verdana" w:cs="Arial"/>
          <w:sz w:val="18"/>
          <w:szCs w:val="18"/>
        </w:rPr>
        <w:t xml:space="preserve"> </w:t>
      </w:r>
      <w:r w:rsidRPr="006556CC">
        <w:rPr>
          <w:rFonts w:ascii="Verdana" w:hAnsi="Verdana" w:cs="Arial"/>
          <w:sz w:val="18"/>
          <w:szCs w:val="18"/>
          <w:lang w:val="es-ES"/>
        </w:rPr>
        <w:t>En cuanto a las resoluciones expedidas, dicha regla se observa en el artículo 3 de las Resoluciones 240, 241, 248, 249, 256 y 269 de 2020, así como en el artículo 2 de la Resolución 094 de 2020 y de la Resolución 326 de 2022, entre otras.</w:t>
      </w:r>
    </w:p>
  </w:footnote>
  <w:footnote w:id="3">
    <w:p w14:paraId="5880C1F0" w14:textId="77777777" w:rsidR="00681ECF" w:rsidRPr="00914C4F" w:rsidRDefault="00681ECF" w:rsidP="00681ECF">
      <w:pPr>
        <w:pStyle w:val="Textonotapie"/>
        <w:ind w:firstLine="709"/>
        <w:jc w:val="both"/>
        <w:rPr>
          <w:rFonts w:ascii="Verdana" w:hAnsi="Verdana"/>
          <w:sz w:val="18"/>
          <w:szCs w:val="18"/>
        </w:rPr>
      </w:pPr>
      <w:r w:rsidRPr="00914C4F">
        <w:rPr>
          <w:rStyle w:val="Refdenotaalpie"/>
          <w:rFonts w:ascii="Verdana" w:hAnsi="Verdana"/>
          <w:sz w:val="18"/>
          <w:szCs w:val="18"/>
        </w:rPr>
        <w:footnoteRef/>
      </w:r>
      <w:r w:rsidRPr="00914C4F">
        <w:rPr>
          <w:rFonts w:ascii="Verdana" w:hAnsi="Verdana"/>
          <w:sz w:val="18"/>
          <w:szCs w:val="18"/>
        </w:rPr>
        <w:t xml:space="preserve"> Para el desarrollo de este concepto, se tendrán como referencia los documentos tipo de licitación de obra pública de infraestructura de transporte –Versión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53"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1492209491">
    <w:abstractNumId w:val="6"/>
  </w:num>
  <w:num w:numId="19" w16cid:durableId="1484539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53"/>
    <w:rsid w:val="00061B2A"/>
    <w:rsid w:val="00082362"/>
    <w:rsid w:val="000A683E"/>
    <w:rsid w:val="000B19B9"/>
    <w:rsid w:val="000D0334"/>
    <w:rsid w:val="000F6486"/>
    <w:rsid w:val="00124846"/>
    <w:rsid w:val="00125105"/>
    <w:rsid w:val="00127233"/>
    <w:rsid w:val="001A7FD8"/>
    <w:rsid w:val="001E4177"/>
    <w:rsid w:val="001F7DC6"/>
    <w:rsid w:val="002421BB"/>
    <w:rsid w:val="0025796E"/>
    <w:rsid w:val="00264404"/>
    <w:rsid w:val="002707A2"/>
    <w:rsid w:val="002951A0"/>
    <w:rsid w:val="002962BC"/>
    <w:rsid w:val="002A093D"/>
    <w:rsid w:val="002A0DD0"/>
    <w:rsid w:val="002A49AC"/>
    <w:rsid w:val="002A64FD"/>
    <w:rsid w:val="002C7A84"/>
    <w:rsid w:val="002E4FD9"/>
    <w:rsid w:val="003035C0"/>
    <w:rsid w:val="00322A85"/>
    <w:rsid w:val="00324168"/>
    <w:rsid w:val="003448F4"/>
    <w:rsid w:val="00374F5E"/>
    <w:rsid w:val="00377E3E"/>
    <w:rsid w:val="003A06E6"/>
    <w:rsid w:val="003A26D1"/>
    <w:rsid w:val="003A779E"/>
    <w:rsid w:val="003D0F4D"/>
    <w:rsid w:val="003D5B0D"/>
    <w:rsid w:val="003E0499"/>
    <w:rsid w:val="003F3941"/>
    <w:rsid w:val="00406575"/>
    <w:rsid w:val="0042722E"/>
    <w:rsid w:val="0044528D"/>
    <w:rsid w:val="004A1847"/>
    <w:rsid w:val="004A305D"/>
    <w:rsid w:val="004D3E04"/>
    <w:rsid w:val="004E04A8"/>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81ECF"/>
    <w:rsid w:val="006900D9"/>
    <w:rsid w:val="006D12F8"/>
    <w:rsid w:val="00706C16"/>
    <w:rsid w:val="00756841"/>
    <w:rsid w:val="007649AB"/>
    <w:rsid w:val="00771D0C"/>
    <w:rsid w:val="007833AC"/>
    <w:rsid w:val="007B268C"/>
    <w:rsid w:val="007B7171"/>
    <w:rsid w:val="007C0C0F"/>
    <w:rsid w:val="007C3DC2"/>
    <w:rsid w:val="007E5497"/>
    <w:rsid w:val="00806F5F"/>
    <w:rsid w:val="00814C7E"/>
    <w:rsid w:val="00820278"/>
    <w:rsid w:val="00821150"/>
    <w:rsid w:val="008731EE"/>
    <w:rsid w:val="00874831"/>
    <w:rsid w:val="008843B6"/>
    <w:rsid w:val="00891928"/>
    <w:rsid w:val="008A446D"/>
    <w:rsid w:val="008D180B"/>
    <w:rsid w:val="008F0EA7"/>
    <w:rsid w:val="009038A4"/>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25E1C"/>
    <w:rsid w:val="00A33C78"/>
    <w:rsid w:val="00AB0ADB"/>
    <w:rsid w:val="00AF5091"/>
    <w:rsid w:val="00B01B1A"/>
    <w:rsid w:val="00B404A6"/>
    <w:rsid w:val="00B71B96"/>
    <w:rsid w:val="00B72CD3"/>
    <w:rsid w:val="00B72FFF"/>
    <w:rsid w:val="00BC3D36"/>
    <w:rsid w:val="00BD7F72"/>
    <w:rsid w:val="00C04FB3"/>
    <w:rsid w:val="00C330EB"/>
    <w:rsid w:val="00C754BE"/>
    <w:rsid w:val="00C76B1C"/>
    <w:rsid w:val="00CB6357"/>
    <w:rsid w:val="00CC1B26"/>
    <w:rsid w:val="00CF427E"/>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5B59"/>
    <w:rsid w:val="00F666C4"/>
    <w:rsid w:val="00F76AFC"/>
    <w:rsid w:val="00FA47C0"/>
    <w:rsid w:val="00FB5DD1"/>
    <w:rsid w:val="00FC2B5D"/>
    <w:rsid w:val="00FF1449"/>
    <w:rsid w:val="15DC88D4"/>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fn1">
    <w:name w:val="fn1"/>
    <w:basedOn w:val="Normal"/>
    <w:next w:val="Textonotapie"/>
    <w:uiPriority w:val="99"/>
    <w:unhideWhenUsed/>
    <w:qFormat/>
    <w:rsid w:val="00681ECF"/>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681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81EC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ala-de-prensa%2Fboletin-digital%2Fboletin-de-relatoria-2024-iv&amp;data=05%7C02%7Ckevin.herrera%40colombiacompra.gov.co%7C616b83c3423e4d31151908dce489c00d%7C7b09041e245149d08cb179d5e3d8c1be%7C0%7C0%7C638636527545132190%7CUnknown%7CTWFpbGZsb3d8eyJWIjoiMC4wLjAwMDAiLCJQIjoiV2luMzIiLCJBTiI6Ik1haWwiLCJXVCI6Mn0%3D%7C0%7C%7C%7C&amp;sdata=ZRYa5zZu2bdJ72ucA5RnY1qOEOv5odLYKbXBlCip0p0%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para-licitacion-de-obra-publica-de-infraestructura-de-transporte-version"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B5C29B-8E41-405D-A0AA-B2F8E5E4D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9d85dbaf-23eb-4e57-a637-93dcacc8b1a1"/>
    <ds:schemaRef ds:uri="http://schemas.microsoft.com/office/2006/metadata/properties"/>
    <ds:schemaRef ds:uri="http://schemas.openxmlformats.org/package/2006/metadata/core-properties"/>
    <ds:schemaRef ds:uri="http://schemas.microsoft.com/office/2006/documentManagement/types"/>
    <ds:schemaRef ds:uri="a6cb9e4b-f1d1-4245-83ec-6cad768d538a"/>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2894</Words>
  <Characters>15922</Characters>
  <Application>Microsoft Office Word</Application>
  <DocSecurity>0</DocSecurity>
  <Lines>132</Lines>
  <Paragraphs>37</Paragraphs>
  <ScaleCrop>false</ScaleCrop>
  <Company/>
  <LinksUpToDate>false</LinksUpToDate>
  <CharactersWithSpaces>18779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2024-10-10T16:59:00Z</dcterms:created>
  <dcterms:modified xsi:type="dcterms:W3CDTF">2024-10-10T16:59:00Z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