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1D691" w14:textId="77777777" w:rsidR="00F11D2E" w:rsidRPr="006A07FF" w:rsidRDefault="00F11D2E" w:rsidP="006A07FF">
      <w:pPr>
        <w:spacing w:after="100" w:afterAutospacing="1" w:line="240" w:lineRule="auto"/>
        <w:contextualSpacing/>
        <w:jc w:val="both"/>
        <w:rPr>
          <w:rFonts w:ascii="Verdana" w:eastAsia="Calibri" w:hAnsi="Verdana" w:cs="Arial"/>
          <w:b/>
          <w:bCs/>
          <w:color w:val="000000" w:themeColor="text1"/>
          <w:lang w:val="es-ES_tradnl"/>
        </w:rPr>
      </w:pPr>
      <w:bookmarkStart w:id="0" w:name="_Hlk186494164"/>
      <w:r w:rsidRPr="006A07FF">
        <w:rPr>
          <w:rFonts w:ascii="Verdana" w:eastAsia="Calibri" w:hAnsi="Verdana" w:cs="Arial"/>
          <w:b/>
          <w:bCs/>
          <w:color w:val="000000" w:themeColor="text1"/>
        </w:rPr>
        <w:t xml:space="preserve">CONTRATO DE PRESTACIÓN DE SERVICIOS – Concepto </w:t>
      </w:r>
      <w:r w:rsidRPr="006A07FF">
        <w:rPr>
          <w:rFonts w:ascii="Verdana" w:eastAsia="Calibri" w:hAnsi="Verdana" w:cs="Arial"/>
          <w:b/>
          <w:bCs/>
          <w:color w:val="000000" w:themeColor="text1"/>
          <w:lang w:val="es-ES_tradnl"/>
        </w:rPr>
        <w:t xml:space="preserve"> </w:t>
      </w:r>
    </w:p>
    <w:p w14:paraId="76F019F1" w14:textId="77777777" w:rsidR="00F11D2E" w:rsidRDefault="00F11D2E" w:rsidP="006A07FF">
      <w:pPr>
        <w:spacing w:after="100" w:afterAutospacing="1" w:line="240" w:lineRule="auto"/>
        <w:contextualSpacing/>
        <w:jc w:val="both"/>
        <w:rPr>
          <w:rFonts w:ascii="Verdana" w:eastAsia="Calibri" w:hAnsi="Verdana" w:cs="Arial"/>
          <w:color w:val="000000" w:themeColor="text1"/>
          <w:lang w:val="es-ES_tradnl"/>
        </w:rPr>
      </w:pPr>
    </w:p>
    <w:p w14:paraId="5DAEA558" w14:textId="200E2BF5" w:rsidR="00F11D2E" w:rsidRPr="006A07FF" w:rsidRDefault="00F11D2E" w:rsidP="006A07FF">
      <w:pPr>
        <w:spacing w:after="100" w:afterAutospacing="1" w:line="240" w:lineRule="auto"/>
        <w:contextualSpacing/>
        <w:jc w:val="both"/>
        <w:rPr>
          <w:rFonts w:ascii="Verdana" w:eastAsia="Calibri" w:hAnsi="Verdana" w:cs="Arial"/>
          <w:color w:val="000000" w:themeColor="text1"/>
          <w:sz w:val="20"/>
          <w:szCs w:val="20"/>
          <w:lang w:val="es-ES_tradnl"/>
        </w:rPr>
      </w:pPr>
      <w:r w:rsidRPr="00F11D2E">
        <w:rPr>
          <w:rFonts w:ascii="Verdana" w:eastAsia="Calibri" w:hAnsi="Verdana" w:cs="Arial"/>
          <w:color w:val="000000"/>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F11D2E">
        <w:rPr>
          <w:rFonts w:ascii="Verdana" w:eastAsia="Calibri" w:hAnsi="Verdana" w:cs="Arial"/>
          <w:color w:val="000000" w:themeColor="text1"/>
          <w:sz w:val="20"/>
          <w:szCs w:val="20"/>
          <w:lang w:val="es-ES_tradnl"/>
        </w:rPr>
        <w:t xml:space="preserve"> </w:t>
      </w:r>
      <w:r w:rsidRPr="00F11D2E">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F11D2E">
        <w:rPr>
          <w:rFonts w:ascii="Verdana" w:eastAsia="Calibri" w:hAnsi="Verdana" w:cs="Arial"/>
          <w:color w:val="000000" w:themeColor="text1"/>
          <w:sz w:val="20"/>
          <w:szCs w:val="20"/>
          <w:lang w:val="es-ES_tradnl"/>
        </w:rPr>
        <w:t xml:space="preserve"> </w:t>
      </w:r>
      <w:r w:rsidRPr="00F11D2E">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67272331"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02B6237D"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r w:rsidRPr="00F11D2E">
        <w:rPr>
          <w:rFonts w:ascii="Verdana" w:eastAsia="Calibri" w:hAnsi="Verdana" w:cs="Arial"/>
          <w:b/>
          <w:bCs/>
          <w:lang w:val="es-ES_tradnl"/>
        </w:rPr>
        <w:t xml:space="preserve">CONTRATO DE PRESTACIÓN DE SERVICIOS </w:t>
      </w:r>
      <w:r w:rsidRPr="00F11D2E">
        <w:rPr>
          <w:rFonts w:ascii="Verdana" w:eastAsia="Calibri" w:hAnsi="Verdana" w:cs="Arial"/>
          <w:b/>
          <w:bCs/>
          <w:color w:val="000000" w:themeColor="text1"/>
          <w:lang w:val="es-ES_tradnl"/>
        </w:rPr>
        <w:t xml:space="preserve">– Género – </w:t>
      </w:r>
      <w:r w:rsidRPr="00F11D2E">
        <w:rPr>
          <w:rFonts w:ascii="Verdana" w:eastAsia="Calibri" w:hAnsi="Verdana" w:cs="Arial"/>
          <w:b/>
          <w:bCs/>
          <w:lang w:val="es-ES_tradnl"/>
        </w:rPr>
        <w:t xml:space="preserve">Servicios Profesionales </w:t>
      </w:r>
      <w:r w:rsidRPr="00F11D2E">
        <w:rPr>
          <w:rFonts w:ascii="Verdana" w:eastAsia="Calibri" w:hAnsi="Verdana" w:cs="Arial"/>
          <w:b/>
          <w:bCs/>
          <w:color w:val="000000" w:themeColor="text1"/>
          <w:lang w:val="es-ES_tradnl"/>
        </w:rPr>
        <w:t>–</w:t>
      </w:r>
      <w:r w:rsidRPr="00F11D2E">
        <w:rPr>
          <w:rFonts w:ascii="Verdana" w:eastAsia="Calibri" w:hAnsi="Verdana" w:cs="Arial"/>
          <w:b/>
          <w:bCs/>
          <w:lang w:val="es-ES_tradnl"/>
        </w:rPr>
        <w:t xml:space="preserve">Apoyo a la gestión </w:t>
      </w:r>
      <w:r w:rsidRPr="00F11D2E">
        <w:rPr>
          <w:rFonts w:ascii="Verdana" w:eastAsia="Calibri" w:hAnsi="Verdana" w:cs="Arial"/>
          <w:b/>
          <w:bCs/>
          <w:color w:val="000000" w:themeColor="text1"/>
          <w:lang w:val="es-ES_tradnl"/>
        </w:rPr>
        <w:t xml:space="preserve">– Trabajos artísticos – Especie </w:t>
      </w:r>
    </w:p>
    <w:p w14:paraId="71442262"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52C6C9AB" w14:textId="7C98FACF" w:rsidR="00F11D2E" w:rsidRPr="00F11D2E" w:rsidRDefault="00F11D2E" w:rsidP="006A07FF">
      <w:pPr>
        <w:spacing w:after="100" w:afterAutospacing="1" w:line="240" w:lineRule="auto"/>
        <w:contextualSpacing/>
        <w:jc w:val="both"/>
        <w:rPr>
          <w:rFonts w:ascii="Verdana" w:eastAsia="Calibri" w:hAnsi="Verdana" w:cs="Arial"/>
          <w:color w:val="000000"/>
          <w:sz w:val="20"/>
          <w:szCs w:val="20"/>
        </w:rPr>
      </w:pPr>
      <w:r w:rsidRPr="00F11D2E">
        <w:rPr>
          <w:rFonts w:ascii="Verdana" w:eastAsia="Calibri" w:hAnsi="Verdana" w:cs="Arial"/>
          <w:color w:val="000000"/>
          <w:sz w:val="20"/>
          <w:szCs w:val="20"/>
        </w:rPr>
        <w:t xml:space="preserve">Los contratos de prestación de servicios profesionales hacen parte del género denominado </w:t>
      </w:r>
      <w:r w:rsidRPr="00F11D2E">
        <w:rPr>
          <w:rFonts w:ascii="Verdana" w:eastAsia="Calibri" w:hAnsi="Verdana" w:cs="Arial"/>
          <w:i/>
          <w:color w:val="000000"/>
          <w:sz w:val="20"/>
          <w:szCs w:val="20"/>
        </w:rPr>
        <w:t>contratos de prestación de servicios</w:t>
      </w:r>
      <w:r w:rsidRPr="00F11D2E">
        <w:rPr>
          <w:rFonts w:ascii="Verdana" w:eastAsia="Calibri" w:hAnsi="Verdana" w:cs="Arial"/>
          <w:color w:val="000000"/>
          <w:sz w:val="20"/>
          <w:szCs w:val="20"/>
        </w:rPr>
        <w:t xml:space="preserve">,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 La diferencia entre el contrato de prestación de servicios </w:t>
      </w:r>
      <w:r w:rsidRPr="00F11D2E">
        <w:rPr>
          <w:rFonts w:ascii="Verdana" w:eastAsia="Calibri" w:hAnsi="Verdana" w:cs="Arial"/>
          <w:i/>
          <w:color w:val="000000"/>
          <w:sz w:val="20"/>
          <w:szCs w:val="20"/>
        </w:rPr>
        <w:t>profesionales</w:t>
      </w:r>
      <w:r w:rsidRPr="00F11D2E">
        <w:rPr>
          <w:rFonts w:ascii="Verdana" w:eastAsia="Calibri" w:hAnsi="Verdana" w:cs="Arial"/>
          <w:color w:val="000000"/>
          <w:sz w:val="20"/>
          <w:szCs w:val="20"/>
        </w:rPr>
        <w:t xml:space="preserve"> con las otras dos especies del género en el cual se ubican radica en su contenido intelectual intangible y, al mismo tiempo, en la formación profesional que se exige para desempeñar la labor.</w:t>
      </w:r>
    </w:p>
    <w:p w14:paraId="48C9B105" w14:textId="77777777" w:rsidR="00F11D2E" w:rsidRPr="00F11D2E" w:rsidRDefault="00F11D2E" w:rsidP="006A07FF">
      <w:pPr>
        <w:spacing w:after="100" w:afterAutospacing="1" w:line="240" w:lineRule="auto"/>
        <w:contextualSpacing/>
        <w:jc w:val="both"/>
        <w:rPr>
          <w:rFonts w:ascii="Verdana" w:eastAsia="Calibri" w:hAnsi="Verdana" w:cs="Arial"/>
          <w:b/>
          <w:bCs/>
          <w:color w:val="000000" w:themeColor="text1"/>
          <w:lang w:val="es-ES_tradnl"/>
        </w:rPr>
      </w:pPr>
    </w:p>
    <w:p w14:paraId="6DFCBBAA" w14:textId="0887BBE4" w:rsidR="00396682" w:rsidRDefault="00F11D2E" w:rsidP="006A07FF">
      <w:pPr>
        <w:spacing w:after="100" w:afterAutospacing="1" w:line="240" w:lineRule="auto"/>
        <w:contextualSpacing/>
        <w:jc w:val="both"/>
        <w:rPr>
          <w:rFonts w:ascii="Verdana" w:eastAsia="Calibri" w:hAnsi="Verdana" w:cs="Arial"/>
          <w:b/>
          <w:bCs/>
          <w:color w:val="000000" w:themeColor="text1"/>
          <w:lang w:val="es-ES_tradnl"/>
        </w:rPr>
      </w:pPr>
      <w:r w:rsidRPr="00F11D2E">
        <w:rPr>
          <w:rFonts w:ascii="Verdana" w:eastAsia="Calibri" w:hAnsi="Verdana" w:cs="Arial"/>
          <w:b/>
          <w:bCs/>
          <w:lang w:val="es-ES_tradnl"/>
        </w:rPr>
        <w:t xml:space="preserve">CONTRATO DE PRESTACIÓN DE SERVICIOS </w:t>
      </w:r>
      <w:r w:rsidRPr="00F11D2E">
        <w:rPr>
          <w:rFonts w:ascii="Verdana" w:eastAsia="Calibri" w:hAnsi="Verdana" w:cs="Arial"/>
          <w:b/>
          <w:bCs/>
          <w:color w:val="000000" w:themeColor="text1"/>
          <w:lang w:val="es-ES_tradnl"/>
        </w:rPr>
        <w:t>– Características</w:t>
      </w:r>
    </w:p>
    <w:p w14:paraId="5C637EA1" w14:textId="77777777" w:rsidR="006A07FF" w:rsidRPr="006A07FF" w:rsidRDefault="006A07FF" w:rsidP="006A07FF">
      <w:pPr>
        <w:spacing w:after="100" w:afterAutospacing="1" w:line="240" w:lineRule="auto"/>
        <w:contextualSpacing/>
        <w:jc w:val="both"/>
        <w:rPr>
          <w:rFonts w:ascii="Verdana" w:eastAsia="Calibri" w:hAnsi="Verdana" w:cs="Arial"/>
          <w:b/>
          <w:bCs/>
          <w:color w:val="000000" w:themeColor="text1"/>
          <w:lang w:val="es-ES_tradnl"/>
        </w:rPr>
      </w:pPr>
    </w:p>
    <w:p w14:paraId="20248AA4" w14:textId="40238DF4" w:rsidR="00396682" w:rsidRPr="00086F39" w:rsidRDefault="00086F39" w:rsidP="00086F39">
      <w:pPr>
        <w:spacing w:after="0" w:line="240" w:lineRule="auto"/>
        <w:jc w:val="both"/>
        <w:rPr>
          <w:rFonts w:ascii="Verdana" w:eastAsia="Calibri" w:hAnsi="Verdana" w:cs="Arial"/>
          <w:color w:val="000000"/>
        </w:rPr>
      </w:pPr>
      <w:r w:rsidRPr="00086F39">
        <w:rPr>
          <w:rFonts w:ascii="Verdana" w:eastAsia="Calibri" w:hAnsi="Verdana" w:cs="Arial"/>
          <w:color w:val="000000"/>
          <w:sz w:val="20"/>
          <w:szCs w:val="20"/>
        </w:rPr>
        <w:t>A partir de este enunciado normativo, así como de otros, de carácter legal y reglamentario, que complementan su regulación, y de los pronunciamientos judiciales más destacados sobre el tema, es posible señalar las siguientes características del contrato de prestación de servicios que comprenden el marco jurídico aplicable:</w:t>
      </w:r>
      <w:r>
        <w:rPr>
          <w:rFonts w:ascii="Verdana" w:eastAsia="Calibri" w:hAnsi="Verdana" w:cs="Arial"/>
          <w:color w:val="000000"/>
        </w:rPr>
        <w:t xml:space="preserve"> </w:t>
      </w:r>
      <w:r w:rsidR="00F11D2E" w:rsidRPr="00F11D2E">
        <w:rPr>
          <w:rFonts w:ascii="Verdana" w:eastAsia="Times New Roman" w:hAnsi="Verdana" w:cs="Times New Roman"/>
          <w:color w:val="000000"/>
          <w:sz w:val="20"/>
          <w:szCs w:val="20"/>
          <w:lang w:val="es-ES_tradnl" w:eastAsia="es-ES_tradnl"/>
        </w:rPr>
        <w:t xml:space="preserve">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w:t>
      </w:r>
      <w:r w:rsidR="00F11D2E" w:rsidRPr="00F11D2E">
        <w:rPr>
          <w:rFonts w:ascii="Verdana" w:eastAsia="Times New Roman" w:hAnsi="Verdana" w:cs="Times New Roman"/>
          <w:color w:val="000000"/>
          <w:sz w:val="20"/>
          <w:szCs w:val="20"/>
          <w:lang w:val="es-ES_tradnl" w:eastAsia="es-ES_tradnl"/>
        </w:rPr>
        <w:lastRenderedPageBreak/>
        <w:t xml:space="preserve">necesario; j) Para su celebración no se requiere inscripción en el Registro Único de Proponentes (RUP); k) No son necesarias las garantías.  </w:t>
      </w:r>
    </w:p>
    <w:p w14:paraId="4F1189B8" w14:textId="77777777" w:rsidR="006A07FF" w:rsidRDefault="006A07FF" w:rsidP="009B31D6">
      <w:pPr>
        <w:spacing w:after="0" w:line="240" w:lineRule="auto"/>
        <w:rPr>
          <w:rFonts w:ascii="Verdana" w:eastAsia="Times New Roman" w:hAnsi="Verdana" w:cs="Times New Roman"/>
          <w:b/>
          <w:bCs/>
          <w:color w:val="000000"/>
          <w:lang w:val="es-ES_tradnl" w:eastAsia="es-ES_tradnl"/>
        </w:rPr>
      </w:pPr>
    </w:p>
    <w:p w14:paraId="6E7EE5C2" w14:textId="77777777" w:rsidR="00086F39" w:rsidRDefault="00086F39" w:rsidP="009B31D6">
      <w:pPr>
        <w:spacing w:after="0" w:line="240" w:lineRule="auto"/>
        <w:rPr>
          <w:rFonts w:ascii="Verdana" w:eastAsia="Geomanist Light" w:hAnsi="Verdana" w:cs="Arial"/>
          <w:color w:val="000000" w:themeColor="text1"/>
        </w:rPr>
      </w:pPr>
    </w:p>
    <w:p w14:paraId="00B7CAFE" w14:textId="77777777" w:rsidR="00086F39" w:rsidRDefault="00086F39" w:rsidP="009B31D6">
      <w:pPr>
        <w:spacing w:after="0" w:line="240" w:lineRule="auto"/>
        <w:rPr>
          <w:rFonts w:ascii="Verdana" w:eastAsia="Geomanist Light" w:hAnsi="Verdana" w:cs="Arial"/>
          <w:color w:val="000000" w:themeColor="text1"/>
        </w:rPr>
      </w:pPr>
    </w:p>
    <w:p w14:paraId="791F0966" w14:textId="77777777" w:rsidR="00086F39" w:rsidRDefault="00086F39" w:rsidP="009B31D6">
      <w:pPr>
        <w:spacing w:after="0" w:line="240" w:lineRule="auto"/>
        <w:rPr>
          <w:rFonts w:ascii="Verdana" w:eastAsia="Geomanist Light" w:hAnsi="Verdana" w:cs="Arial"/>
          <w:color w:val="000000" w:themeColor="text1"/>
        </w:rPr>
      </w:pPr>
    </w:p>
    <w:p w14:paraId="5F6050D4" w14:textId="77777777" w:rsidR="00086F39" w:rsidRDefault="00086F39" w:rsidP="009B31D6">
      <w:pPr>
        <w:spacing w:after="0" w:line="240" w:lineRule="auto"/>
        <w:rPr>
          <w:rFonts w:ascii="Verdana" w:eastAsia="Geomanist Light" w:hAnsi="Verdana" w:cs="Arial"/>
          <w:color w:val="000000" w:themeColor="text1"/>
        </w:rPr>
      </w:pPr>
    </w:p>
    <w:p w14:paraId="4B378EAF" w14:textId="77777777" w:rsidR="00086F39" w:rsidRDefault="00086F39" w:rsidP="009B31D6">
      <w:pPr>
        <w:spacing w:after="0" w:line="240" w:lineRule="auto"/>
        <w:rPr>
          <w:rFonts w:ascii="Verdana" w:eastAsia="Geomanist Light" w:hAnsi="Verdana" w:cs="Arial"/>
          <w:color w:val="000000" w:themeColor="text1"/>
        </w:rPr>
      </w:pPr>
    </w:p>
    <w:p w14:paraId="478CD096" w14:textId="77777777" w:rsidR="00086F39" w:rsidRDefault="00086F39" w:rsidP="009B31D6">
      <w:pPr>
        <w:spacing w:after="0" w:line="240" w:lineRule="auto"/>
        <w:rPr>
          <w:rFonts w:ascii="Verdana" w:eastAsia="Geomanist Light" w:hAnsi="Verdana" w:cs="Arial"/>
          <w:color w:val="000000" w:themeColor="text1"/>
        </w:rPr>
      </w:pPr>
    </w:p>
    <w:p w14:paraId="0B01A5F9" w14:textId="77777777" w:rsidR="00086F39" w:rsidRDefault="00086F39" w:rsidP="009B31D6">
      <w:pPr>
        <w:spacing w:after="0" w:line="240" w:lineRule="auto"/>
        <w:rPr>
          <w:rFonts w:ascii="Verdana" w:eastAsia="Geomanist Light" w:hAnsi="Verdana" w:cs="Arial"/>
          <w:color w:val="000000" w:themeColor="text1"/>
        </w:rPr>
      </w:pPr>
    </w:p>
    <w:p w14:paraId="60566472" w14:textId="77777777" w:rsidR="00086F39" w:rsidRDefault="00086F39" w:rsidP="009B31D6">
      <w:pPr>
        <w:spacing w:after="0" w:line="240" w:lineRule="auto"/>
        <w:rPr>
          <w:rFonts w:ascii="Verdana" w:eastAsia="Geomanist Light" w:hAnsi="Verdana" w:cs="Arial"/>
          <w:color w:val="000000" w:themeColor="text1"/>
        </w:rPr>
      </w:pPr>
    </w:p>
    <w:p w14:paraId="72D30FD6" w14:textId="77777777" w:rsidR="00086F39" w:rsidRDefault="00086F39" w:rsidP="009B31D6">
      <w:pPr>
        <w:spacing w:after="0" w:line="240" w:lineRule="auto"/>
        <w:rPr>
          <w:rFonts w:ascii="Verdana" w:eastAsia="Geomanist Light" w:hAnsi="Verdana" w:cs="Arial"/>
          <w:color w:val="000000" w:themeColor="text1"/>
        </w:rPr>
      </w:pPr>
    </w:p>
    <w:p w14:paraId="5487192E" w14:textId="77777777" w:rsidR="00086F39" w:rsidRDefault="00086F39" w:rsidP="009B31D6">
      <w:pPr>
        <w:spacing w:after="0" w:line="240" w:lineRule="auto"/>
        <w:rPr>
          <w:rFonts w:ascii="Verdana" w:eastAsia="Geomanist Light" w:hAnsi="Verdana" w:cs="Arial"/>
          <w:color w:val="000000" w:themeColor="text1"/>
        </w:rPr>
      </w:pPr>
    </w:p>
    <w:p w14:paraId="2262B5E3" w14:textId="77777777" w:rsidR="00086F39" w:rsidRDefault="00086F39" w:rsidP="009B31D6">
      <w:pPr>
        <w:spacing w:after="0" w:line="240" w:lineRule="auto"/>
        <w:rPr>
          <w:rFonts w:ascii="Verdana" w:eastAsia="Geomanist Light" w:hAnsi="Verdana" w:cs="Arial"/>
          <w:color w:val="000000" w:themeColor="text1"/>
        </w:rPr>
      </w:pPr>
    </w:p>
    <w:p w14:paraId="583D3BA3" w14:textId="77777777" w:rsidR="00086F39" w:rsidRDefault="00086F39" w:rsidP="009B31D6">
      <w:pPr>
        <w:spacing w:after="0" w:line="240" w:lineRule="auto"/>
        <w:rPr>
          <w:rFonts w:ascii="Verdana" w:eastAsia="Geomanist Light" w:hAnsi="Verdana" w:cs="Arial"/>
          <w:color w:val="000000" w:themeColor="text1"/>
        </w:rPr>
      </w:pPr>
    </w:p>
    <w:p w14:paraId="064C74A5" w14:textId="77777777" w:rsidR="00086F39" w:rsidRDefault="00086F39" w:rsidP="009B31D6">
      <w:pPr>
        <w:spacing w:after="0" w:line="240" w:lineRule="auto"/>
        <w:rPr>
          <w:rFonts w:ascii="Verdana" w:eastAsia="Geomanist Light" w:hAnsi="Verdana" w:cs="Arial"/>
          <w:color w:val="000000" w:themeColor="text1"/>
        </w:rPr>
      </w:pPr>
    </w:p>
    <w:p w14:paraId="73D0FB96" w14:textId="77777777" w:rsidR="00086F39" w:rsidRDefault="00086F39" w:rsidP="009B31D6">
      <w:pPr>
        <w:spacing w:after="0" w:line="240" w:lineRule="auto"/>
        <w:rPr>
          <w:rFonts w:ascii="Verdana" w:eastAsia="Geomanist Light" w:hAnsi="Verdana" w:cs="Arial"/>
          <w:color w:val="000000" w:themeColor="text1"/>
        </w:rPr>
      </w:pPr>
    </w:p>
    <w:p w14:paraId="36771B69" w14:textId="77777777" w:rsidR="00086F39" w:rsidRDefault="00086F39" w:rsidP="009B31D6">
      <w:pPr>
        <w:spacing w:after="0" w:line="240" w:lineRule="auto"/>
        <w:rPr>
          <w:rFonts w:ascii="Verdana" w:eastAsia="Geomanist Light" w:hAnsi="Verdana" w:cs="Arial"/>
          <w:color w:val="000000" w:themeColor="text1"/>
        </w:rPr>
      </w:pPr>
    </w:p>
    <w:p w14:paraId="0B707A5A" w14:textId="77777777" w:rsidR="00086F39" w:rsidRDefault="00086F39" w:rsidP="009B31D6">
      <w:pPr>
        <w:spacing w:after="0" w:line="240" w:lineRule="auto"/>
        <w:rPr>
          <w:rFonts w:ascii="Verdana" w:eastAsia="Geomanist Light" w:hAnsi="Verdana" w:cs="Arial"/>
          <w:color w:val="000000" w:themeColor="text1"/>
        </w:rPr>
      </w:pPr>
    </w:p>
    <w:p w14:paraId="5FFF1BD7" w14:textId="77777777" w:rsidR="00086F39" w:rsidRDefault="00086F39" w:rsidP="009B31D6">
      <w:pPr>
        <w:spacing w:after="0" w:line="240" w:lineRule="auto"/>
        <w:rPr>
          <w:rFonts w:ascii="Verdana" w:eastAsia="Geomanist Light" w:hAnsi="Verdana" w:cs="Arial"/>
          <w:color w:val="000000" w:themeColor="text1"/>
        </w:rPr>
      </w:pPr>
    </w:p>
    <w:p w14:paraId="06C4706B" w14:textId="77777777" w:rsidR="00086F39" w:rsidRDefault="00086F39" w:rsidP="009B31D6">
      <w:pPr>
        <w:spacing w:after="0" w:line="240" w:lineRule="auto"/>
        <w:rPr>
          <w:rFonts w:ascii="Verdana" w:eastAsia="Geomanist Light" w:hAnsi="Verdana" w:cs="Arial"/>
          <w:color w:val="000000" w:themeColor="text1"/>
        </w:rPr>
      </w:pPr>
    </w:p>
    <w:p w14:paraId="1D983871" w14:textId="77777777" w:rsidR="00086F39" w:rsidRDefault="00086F39" w:rsidP="009B31D6">
      <w:pPr>
        <w:spacing w:after="0" w:line="240" w:lineRule="auto"/>
        <w:rPr>
          <w:rFonts w:ascii="Verdana" w:eastAsia="Geomanist Light" w:hAnsi="Verdana" w:cs="Arial"/>
          <w:color w:val="000000" w:themeColor="text1"/>
        </w:rPr>
      </w:pPr>
    </w:p>
    <w:p w14:paraId="4093614D" w14:textId="77777777" w:rsidR="00086F39" w:rsidRDefault="00086F39" w:rsidP="009B31D6">
      <w:pPr>
        <w:spacing w:after="0" w:line="240" w:lineRule="auto"/>
        <w:rPr>
          <w:rFonts w:ascii="Verdana" w:eastAsia="Geomanist Light" w:hAnsi="Verdana" w:cs="Arial"/>
          <w:color w:val="000000" w:themeColor="text1"/>
        </w:rPr>
      </w:pPr>
    </w:p>
    <w:p w14:paraId="73DD13EC" w14:textId="77777777" w:rsidR="00086F39" w:rsidRDefault="00086F39" w:rsidP="009B31D6">
      <w:pPr>
        <w:spacing w:after="0" w:line="240" w:lineRule="auto"/>
        <w:rPr>
          <w:rFonts w:ascii="Verdana" w:eastAsia="Geomanist Light" w:hAnsi="Verdana" w:cs="Arial"/>
          <w:color w:val="000000" w:themeColor="text1"/>
        </w:rPr>
      </w:pPr>
    </w:p>
    <w:p w14:paraId="01E72E15" w14:textId="77777777" w:rsidR="00086F39" w:rsidRDefault="00086F39" w:rsidP="009B31D6">
      <w:pPr>
        <w:spacing w:after="0" w:line="240" w:lineRule="auto"/>
        <w:rPr>
          <w:rFonts w:ascii="Verdana" w:eastAsia="Geomanist Light" w:hAnsi="Verdana" w:cs="Arial"/>
          <w:color w:val="000000" w:themeColor="text1"/>
        </w:rPr>
      </w:pPr>
    </w:p>
    <w:p w14:paraId="47738820" w14:textId="77777777" w:rsidR="00086F39" w:rsidRDefault="00086F39" w:rsidP="009B31D6">
      <w:pPr>
        <w:spacing w:after="0" w:line="240" w:lineRule="auto"/>
        <w:rPr>
          <w:rFonts w:ascii="Verdana" w:eastAsia="Geomanist Light" w:hAnsi="Verdana" w:cs="Arial"/>
          <w:color w:val="000000" w:themeColor="text1"/>
        </w:rPr>
      </w:pPr>
    </w:p>
    <w:p w14:paraId="6CA799F3" w14:textId="77777777" w:rsidR="00086F39" w:rsidRDefault="00086F39" w:rsidP="009B31D6">
      <w:pPr>
        <w:spacing w:after="0" w:line="240" w:lineRule="auto"/>
        <w:rPr>
          <w:rFonts w:ascii="Verdana" w:eastAsia="Geomanist Light" w:hAnsi="Verdana" w:cs="Arial"/>
          <w:color w:val="000000" w:themeColor="text1"/>
        </w:rPr>
      </w:pPr>
    </w:p>
    <w:p w14:paraId="049FE055" w14:textId="77777777" w:rsidR="00086F39" w:rsidRDefault="00086F39" w:rsidP="009B31D6">
      <w:pPr>
        <w:spacing w:after="0" w:line="240" w:lineRule="auto"/>
        <w:rPr>
          <w:rFonts w:ascii="Verdana" w:eastAsia="Geomanist Light" w:hAnsi="Verdana" w:cs="Arial"/>
          <w:color w:val="000000" w:themeColor="text1"/>
        </w:rPr>
      </w:pPr>
    </w:p>
    <w:p w14:paraId="01891FA2" w14:textId="77777777" w:rsidR="00086F39" w:rsidRDefault="00086F39" w:rsidP="009B31D6">
      <w:pPr>
        <w:spacing w:after="0" w:line="240" w:lineRule="auto"/>
        <w:rPr>
          <w:rFonts w:ascii="Verdana" w:eastAsia="Geomanist Light" w:hAnsi="Verdana" w:cs="Arial"/>
          <w:color w:val="000000" w:themeColor="text1"/>
        </w:rPr>
      </w:pPr>
    </w:p>
    <w:p w14:paraId="08193B35" w14:textId="77777777" w:rsidR="00086F39" w:rsidRDefault="00086F39" w:rsidP="009B31D6">
      <w:pPr>
        <w:spacing w:after="0" w:line="240" w:lineRule="auto"/>
        <w:rPr>
          <w:rFonts w:ascii="Verdana" w:eastAsia="Geomanist Light" w:hAnsi="Verdana" w:cs="Arial"/>
          <w:color w:val="000000" w:themeColor="text1"/>
        </w:rPr>
      </w:pPr>
    </w:p>
    <w:p w14:paraId="03855EE0" w14:textId="77777777" w:rsidR="00086F39" w:rsidRDefault="00086F39" w:rsidP="009B31D6">
      <w:pPr>
        <w:spacing w:after="0" w:line="240" w:lineRule="auto"/>
        <w:rPr>
          <w:rFonts w:ascii="Verdana" w:eastAsia="Geomanist Light" w:hAnsi="Verdana" w:cs="Arial"/>
          <w:color w:val="000000" w:themeColor="text1"/>
        </w:rPr>
      </w:pPr>
    </w:p>
    <w:p w14:paraId="36F44A90" w14:textId="77777777" w:rsidR="00086F39" w:rsidRDefault="00086F39" w:rsidP="009B31D6">
      <w:pPr>
        <w:spacing w:after="0" w:line="240" w:lineRule="auto"/>
        <w:rPr>
          <w:rFonts w:ascii="Verdana" w:eastAsia="Geomanist Light" w:hAnsi="Verdana" w:cs="Arial"/>
          <w:color w:val="000000" w:themeColor="text1"/>
        </w:rPr>
      </w:pPr>
    </w:p>
    <w:p w14:paraId="4A0DD1B1" w14:textId="77777777" w:rsidR="00086F39" w:rsidRDefault="00086F39" w:rsidP="009B31D6">
      <w:pPr>
        <w:spacing w:after="0" w:line="240" w:lineRule="auto"/>
        <w:rPr>
          <w:rFonts w:ascii="Verdana" w:eastAsia="Geomanist Light" w:hAnsi="Verdana" w:cs="Arial"/>
          <w:color w:val="000000" w:themeColor="text1"/>
        </w:rPr>
      </w:pPr>
    </w:p>
    <w:p w14:paraId="190B0124" w14:textId="77777777" w:rsidR="00086F39" w:rsidRDefault="00086F39" w:rsidP="009B31D6">
      <w:pPr>
        <w:spacing w:after="0" w:line="240" w:lineRule="auto"/>
        <w:rPr>
          <w:rFonts w:ascii="Verdana" w:eastAsia="Geomanist Light" w:hAnsi="Verdana" w:cs="Arial"/>
          <w:color w:val="000000" w:themeColor="text1"/>
        </w:rPr>
      </w:pPr>
    </w:p>
    <w:p w14:paraId="27C84438" w14:textId="77777777" w:rsidR="00086F39" w:rsidRDefault="00086F39" w:rsidP="009B31D6">
      <w:pPr>
        <w:spacing w:after="0" w:line="240" w:lineRule="auto"/>
        <w:rPr>
          <w:rFonts w:ascii="Verdana" w:eastAsia="Geomanist Light" w:hAnsi="Verdana" w:cs="Arial"/>
          <w:color w:val="000000" w:themeColor="text1"/>
        </w:rPr>
      </w:pPr>
    </w:p>
    <w:p w14:paraId="672F57C2" w14:textId="77777777" w:rsidR="00086F39" w:rsidRDefault="00086F39" w:rsidP="009B31D6">
      <w:pPr>
        <w:spacing w:after="0" w:line="240" w:lineRule="auto"/>
        <w:rPr>
          <w:rFonts w:ascii="Verdana" w:eastAsia="Geomanist Light" w:hAnsi="Verdana" w:cs="Arial"/>
          <w:color w:val="000000" w:themeColor="text1"/>
        </w:rPr>
      </w:pPr>
    </w:p>
    <w:p w14:paraId="16C9F1AC" w14:textId="77777777" w:rsidR="00086F39" w:rsidRDefault="00086F39" w:rsidP="009B31D6">
      <w:pPr>
        <w:spacing w:after="0" w:line="240" w:lineRule="auto"/>
        <w:rPr>
          <w:rFonts w:ascii="Verdana" w:eastAsia="Geomanist Light" w:hAnsi="Verdana" w:cs="Arial"/>
          <w:color w:val="000000" w:themeColor="text1"/>
        </w:rPr>
      </w:pPr>
    </w:p>
    <w:p w14:paraId="7B0CA0F9" w14:textId="77777777" w:rsidR="00086F39" w:rsidRDefault="00086F39" w:rsidP="009B31D6">
      <w:pPr>
        <w:spacing w:after="0" w:line="240" w:lineRule="auto"/>
        <w:rPr>
          <w:rFonts w:ascii="Verdana" w:eastAsia="Geomanist Light" w:hAnsi="Verdana" w:cs="Arial"/>
          <w:color w:val="000000" w:themeColor="text1"/>
        </w:rPr>
      </w:pPr>
    </w:p>
    <w:p w14:paraId="417C8A8E" w14:textId="77777777" w:rsidR="00086F39" w:rsidRDefault="00086F39" w:rsidP="009B31D6">
      <w:pPr>
        <w:spacing w:after="0" w:line="240" w:lineRule="auto"/>
        <w:rPr>
          <w:rFonts w:ascii="Verdana" w:eastAsia="Geomanist Light" w:hAnsi="Verdana" w:cs="Arial"/>
          <w:color w:val="000000" w:themeColor="text1"/>
        </w:rPr>
      </w:pPr>
    </w:p>
    <w:p w14:paraId="5A839939" w14:textId="77777777" w:rsidR="00086F39" w:rsidRDefault="00086F39" w:rsidP="009B31D6">
      <w:pPr>
        <w:spacing w:after="0" w:line="240" w:lineRule="auto"/>
        <w:rPr>
          <w:rFonts w:ascii="Verdana" w:eastAsia="Geomanist Light" w:hAnsi="Verdana" w:cs="Arial"/>
          <w:color w:val="000000" w:themeColor="text1"/>
        </w:rPr>
      </w:pPr>
    </w:p>
    <w:p w14:paraId="039EECA4" w14:textId="77777777" w:rsidR="00086F39" w:rsidRDefault="00086F39" w:rsidP="009B31D6">
      <w:pPr>
        <w:spacing w:after="0" w:line="240" w:lineRule="auto"/>
        <w:rPr>
          <w:rFonts w:ascii="Verdana" w:eastAsia="Geomanist Light" w:hAnsi="Verdana" w:cs="Arial"/>
          <w:color w:val="000000" w:themeColor="text1"/>
        </w:rPr>
      </w:pPr>
    </w:p>
    <w:p w14:paraId="5754294E" w14:textId="77777777" w:rsidR="00086F39" w:rsidRDefault="00086F39" w:rsidP="009B31D6">
      <w:pPr>
        <w:spacing w:after="0" w:line="240" w:lineRule="auto"/>
        <w:rPr>
          <w:rFonts w:ascii="Verdana" w:eastAsia="Geomanist Light" w:hAnsi="Verdana" w:cs="Arial"/>
          <w:color w:val="000000" w:themeColor="text1"/>
        </w:rPr>
      </w:pPr>
    </w:p>
    <w:p w14:paraId="790F4DC1" w14:textId="38A2C45E" w:rsidR="009B31D6" w:rsidRPr="0014781E" w:rsidRDefault="009B31D6" w:rsidP="009B31D6">
      <w:pPr>
        <w:spacing w:after="0" w:line="240" w:lineRule="auto"/>
        <w:rPr>
          <w:rFonts w:ascii="Verdana" w:eastAsia="Geomanist Light" w:hAnsi="Verdana" w:cs="Arial"/>
          <w:color w:val="201F1E"/>
        </w:rPr>
      </w:pPr>
      <w:r w:rsidRPr="0014781E">
        <w:rPr>
          <w:rFonts w:ascii="Verdana" w:eastAsia="Geomanist Light" w:hAnsi="Verdana" w:cs="Arial"/>
          <w:color w:val="000000" w:themeColor="text1"/>
        </w:rPr>
        <w:lastRenderedPageBreak/>
        <w:t>Bogotá D.C., </w:t>
      </w:r>
      <w:r w:rsidR="00003B60">
        <w:rPr>
          <w:rFonts w:ascii="Verdana" w:eastAsia="Geomanist Light" w:hAnsi="Verdana" w:cs="Arial"/>
          <w:color w:val="201F1E"/>
        </w:rPr>
        <w:t>27 de mayo de 2025</w:t>
      </w:r>
    </w:p>
    <w:p w14:paraId="5B26DE59" w14:textId="77777777" w:rsidR="009B31D6" w:rsidRPr="0014781E" w:rsidRDefault="009B31D6" w:rsidP="009B31D6">
      <w:pPr>
        <w:spacing w:after="0" w:line="240" w:lineRule="auto"/>
        <w:jc w:val="both"/>
        <w:rPr>
          <w:rFonts w:ascii="Verdana" w:eastAsia="Calibri" w:hAnsi="Verdana" w:cs="Arial"/>
          <w:color w:val="000000"/>
        </w:rPr>
      </w:pPr>
    </w:p>
    <w:p w14:paraId="7D2CD245" w14:textId="73B4490B" w:rsidR="009B31D6" w:rsidRDefault="00003B60" w:rsidP="00003B60">
      <w:pPr>
        <w:spacing w:after="0" w:line="240" w:lineRule="auto"/>
        <w:jc w:val="right"/>
        <w:rPr>
          <w:rFonts w:ascii="Verdana" w:eastAsia="Calibri" w:hAnsi="Verdana" w:cs="Arial"/>
          <w:color w:val="000000"/>
        </w:rPr>
      </w:pPr>
      <w:r w:rsidRPr="00003B60">
        <w:rPr>
          <w:rFonts w:ascii="Verdana" w:eastAsia="Calibri" w:hAnsi="Verdana" w:cs="Arial"/>
          <w:noProof/>
          <w:color w:val="000000"/>
        </w:rPr>
        <w:drawing>
          <wp:inline distT="0" distB="0" distL="0" distR="0" wp14:anchorId="2869B42B" wp14:editId="7DBFFD45">
            <wp:extent cx="2918460" cy="1143000"/>
            <wp:effectExtent l="0" t="0" r="0" b="0"/>
            <wp:docPr id="1108100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8460" cy="1143000"/>
                    </a:xfrm>
                    <a:prstGeom prst="rect">
                      <a:avLst/>
                    </a:prstGeom>
                    <a:noFill/>
                    <a:ln>
                      <a:noFill/>
                    </a:ln>
                  </pic:spPr>
                </pic:pic>
              </a:graphicData>
            </a:graphic>
          </wp:inline>
        </w:drawing>
      </w:r>
    </w:p>
    <w:p w14:paraId="25786F06" w14:textId="77777777" w:rsidR="00003B60" w:rsidRPr="0014781E" w:rsidRDefault="00003B60" w:rsidP="009B31D6">
      <w:pPr>
        <w:spacing w:after="0" w:line="240" w:lineRule="auto"/>
        <w:jc w:val="both"/>
        <w:rPr>
          <w:rFonts w:ascii="Verdana" w:eastAsia="Calibri" w:hAnsi="Verdana" w:cs="Arial"/>
          <w:color w:val="000000"/>
        </w:rPr>
      </w:pPr>
    </w:p>
    <w:p w14:paraId="3B8BAE62" w14:textId="77777777" w:rsidR="009B31D6" w:rsidRPr="0014781E" w:rsidRDefault="009B31D6" w:rsidP="009B31D6">
      <w:pPr>
        <w:spacing w:after="0" w:line="240" w:lineRule="auto"/>
        <w:jc w:val="both"/>
        <w:rPr>
          <w:rFonts w:ascii="Verdana" w:eastAsia="Calibri" w:hAnsi="Verdana" w:cs="Arial"/>
          <w:lang w:eastAsia="es-ES"/>
        </w:rPr>
      </w:pPr>
      <w:r w:rsidRPr="0014781E">
        <w:rPr>
          <w:rFonts w:ascii="Verdana" w:eastAsia="Calibri" w:hAnsi="Verdana" w:cs="Arial"/>
          <w:lang w:eastAsia="es-ES"/>
        </w:rPr>
        <w:t>Señor</w:t>
      </w:r>
    </w:p>
    <w:p w14:paraId="78ADAF41" w14:textId="77777777" w:rsidR="009B31D6" w:rsidRPr="0014781E" w:rsidRDefault="009B31D6" w:rsidP="009B31D6">
      <w:pPr>
        <w:spacing w:after="0" w:line="240" w:lineRule="auto"/>
        <w:rPr>
          <w:rFonts w:ascii="Verdana" w:eastAsia="Calibri" w:hAnsi="Verdana" w:cs="Arial"/>
          <w:b/>
          <w:bCs/>
          <w:lang w:eastAsia="es-ES"/>
        </w:rPr>
      </w:pPr>
      <w:r w:rsidRPr="0014781E">
        <w:rPr>
          <w:rFonts w:ascii="Verdana" w:hAnsi="Verdana"/>
          <w:b/>
          <w:bCs/>
        </w:rPr>
        <w:t xml:space="preserve">Mario Alejandro Narváez Valencia </w:t>
      </w:r>
    </w:p>
    <w:p w14:paraId="3A293FA8" w14:textId="77777777" w:rsidR="009B31D6" w:rsidRPr="0014781E" w:rsidRDefault="009B31D6" w:rsidP="009B31D6">
      <w:pPr>
        <w:spacing w:after="0" w:line="240" w:lineRule="auto"/>
        <w:rPr>
          <w:rFonts w:ascii="Verdana" w:hAnsi="Verdana"/>
        </w:rPr>
      </w:pPr>
      <w:hyperlink r:id="rId12" w:history="1">
        <w:r w:rsidRPr="0014781E">
          <w:rPr>
            <w:rFonts w:ascii="Verdana" w:hAnsi="Verdana"/>
            <w:color w:val="0563C1" w:themeColor="hyperlink"/>
            <w:u w:val="single"/>
          </w:rPr>
          <w:t>magnusiurisalejandroadvocare@gmail.com</w:t>
        </w:r>
      </w:hyperlink>
      <w:r w:rsidRPr="0014781E">
        <w:rPr>
          <w:rFonts w:ascii="Verdana" w:hAnsi="Verdana"/>
        </w:rPr>
        <w:t xml:space="preserve"> </w:t>
      </w:r>
    </w:p>
    <w:p w14:paraId="5B7BF15D" w14:textId="77777777" w:rsidR="009B31D6" w:rsidRPr="0014781E" w:rsidRDefault="009B31D6" w:rsidP="009B31D6">
      <w:pPr>
        <w:spacing w:after="0" w:line="240" w:lineRule="auto"/>
        <w:rPr>
          <w:rFonts w:ascii="Verdana" w:hAnsi="Verdana"/>
        </w:rPr>
      </w:pPr>
      <w:r w:rsidRPr="0014781E">
        <w:rPr>
          <w:rFonts w:ascii="Verdana" w:hAnsi="Verdana"/>
        </w:rPr>
        <w:t>Bogotá D.C</w:t>
      </w:r>
    </w:p>
    <w:p w14:paraId="3CE754C0" w14:textId="77777777" w:rsidR="009B31D6" w:rsidRPr="0014781E" w:rsidRDefault="009B31D6" w:rsidP="009B31D6">
      <w:pPr>
        <w:spacing w:after="0" w:line="240" w:lineRule="auto"/>
        <w:rPr>
          <w:rFonts w:ascii="Verdana" w:eastAsia="Calibri" w:hAnsi="Verdana" w:cs="Arial"/>
          <w:lang w:eastAsia="es-ES"/>
        </w:rPr>
      </w:pPr>
    </w:p>
    <w:p w14:paraId="11AB2D08" w14:textId="77777777" w:rsidR="009B31D6" w:rsidRPr="0014781E" w:rsidRDefault="009B31D6" w:rsidP="009B31D6">
      <w:pPr>
        <w:spacing w:after="0" w:line="240" w:lineRule="auto"/>
        <w:rPr>
          <w:rFonts w:ascii="Verdana" w:eastAsia="Calibri" w:hAnsi="Verdana" w:cs="Arial"/>
          <w:b/>
          <w:bCs/>
          <w:color w:val="000000"/>
          <w:lang w:eastAsia="es-ES_tradnl"/>
        </w:rPr>
      </w:pPr>
    </w:p>
    <w:p w14:paraId="6EEB593B" w14:textId="77777777" w:rsidR="009B31D6" w:rsidRPr="0014781E" w:rsidRDefault="009B31D6" w:rsidP="009B31D6">
      <w:pPr>
        <w:spacing w:after="0" w:line="240" w:lineRule="auto"/>
        <w:jc w:val="center"/>
        <w:rPr>
          <w:rFonts w:ascii="Verdana" w:eastAsia="Calibri" w:hAnsi="Verdana" w:cs="Arial"/>
          <w:b/>
          <w:bCs/>
          <w:lang w:eastAsia="es-ES"/>
        </w:rPr>
      </w:pPr>
      <w:r w:rsidRPr="0014781E">
        <w:rPr>
          <w:rFonts w:ascii="Verdana" w:eastAsia="Calibri" w:hAnsi="Verdana" w:cs="Arial"/>
          <w:b/>
          <w:bCs/>
          <w:lang w:eastAsia="es-ES"/>
        </w:rPr>
        <w:t>Concepto C – 517 de 2025</w:t>
      </w:r>
    </w:p>
    <w:p w14:paraId="55CB17A8" w14:textId="77777777" w:rsidR="009B31D6" w:rsidRPr="0014781E" w:rsidRDefault="009B31D6" w:rsidP="009B31D6">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B31D6" w:rsidRPr="0014781E" w14:paraId="5B6FD565" w14:textId="77777777" w:rsidTr="000A2669">
        <w:trPr>
          <w:trHeight w:val="884"/>
        </w:trPr>
        <w:tc>
          <w:tcPr>
            <w:tcW w:w="2689" w:type="dxa"/>
          </w:tcPr>
          <w:p w14:paraId="6B575F2C" w14:textId="77777777" w:rsidR="009B31D6" w:rsidRPr="0014781E" w:rsidRDefault="009B31D6" w:rsidP="000A2669">
            <w:pPr>
              <w:jc w:val="both"/>
              <w:rPr>
                <w:rFonts w:ascii="Verdana" w:eastAsia="Calibri" w:hAnsi="Verdana" w:cs="Arial"/>
                <w:color w:val="000000"/>
                <w:lang w:eastAsia="es-ES_tradnl"/>
              </w:rPr>
            </w:pPr>
            <w:r w:rsidRPr="0014781E">
              <w:rPr>
                <w:rFonts w:ascii="Verdana" w:eastAsia="Calibri" w:hAnsi="Verdana" w:cs="Arial"/>
                <w:b/>
                <w:color w:val="000000"/>
                <w:lang w:eastAsia="es-ES_tradnl"/>
              </w:rPr>
              <w:t>Temas:</w:t>
            </w:r>
            <w:r w:rsidRPr="0014781E">
              <w:rPr>
                <w:rFonts w:ascii="Verdana" w:eastAsia="Calibri" w:hAnsi="Verdana" w:cs="Arial"/>
                <w:color w:val="000000"/>
                <w:lang w:eastAsia="es-ES_tradnl"/>
              </w:rPr>
              <w:t xml:space="preserve">                   </w:t>
            </w:r>
          </w:p>
        </w:tc>
        <w:tc>
          <w:tcPr>
            <w:tcW w:w="6100" w:type="dxa"/>
          </w:tcPr>
          <w:p w14:paraId="11EAFE58" w14:textId="77777777" w:rsidR="009B31D6" w:rsidRPr="0014781E" w:rsidRDefault="009B31D6" w:rsidP="000A2669">
            <w:pPr>
              <w:spacing w:line="276" w:lineRule="auto"/>
              <w:contextualSpacing/>
              <w:jc w:val="both"/>
              <w:rPr>
                <w:rFonts w:ascii="Verdana" w:eastAsia="Times New Roman" w:hAnsi="Verdana" w:cs="Arial"/>
                <w:lang w:val="es-ES_tradnl" w:eastAsia="es-MX"/>
              </w:rPr>
            </w:pPr>
            <w:r w:rsidRPr="0014781E">
              <w:rPr>
                <w:rFonts w:ascii="Verdana" w:eastAsia="Calibri" w:hAnsi="Verdana" w:cs="Arial"/>
                <w:color w:val="000000" w:themeColor="text1"/>
              </w:rPr>
              <w:t xml:space="preserve">CONTRATO DE PRESTACIÓN DE SERVICIOS – Concepto </w:t>
            </w:r>
            <w:r w:rsidRPr="0014781E">
              <w:rPr>
                <w:rFonts w:ascii="Verdana" w:eastAsia="Calibri" w:hAnsi="Verdana" w:cs="Arial"/>
                <w:color w:val="000000" w:themeColor="text1"/>
                <w:lang w:val="es-ES_tradnl"/>
              </w:rPr>
              <w:t xml:space="preserve">/ </w:t>
            </w:r>
            <w:r w:rsidRPr="0014781E">
              <w:rPr>
                <w:rFonts w:ascii="Verdana" w:eastAsia="Calibri" w:hAnsi="Verdana" w:cs="Arial"/>
                <w:lang w:val="es-ES_tradnl"/>
              </w:rPr>
              <w:t xml:space="preserve">CONTRATO DE PRESTACIÓN DE SERVICIOS </w:t>
            </w:r>
            <w:r w:rsidRPr="0014781E">
              <w:rPr>
                <w:rFonts w:ascii="Verdana" w:eastAsia="Calibri" w:hAnsi="Verdana" w:cs="Arial"/>
                <w:color w:val="000000" w:themeColor="text1"/>
                <w:lang w:val="es-ES_tradnl"/>
              </w:rPr>
              <w:t xml:space="preserve">– Género – </w:t>
            </w:r>
            <w:r w:rsidRPr="0014781E">
              <w:rPr>
                <w:rFonts w:ascii="Verdana" w:eastAsia="Calibri" w:hAnsi="Verdana" w:cs="Arial"/>
                <w:lang w:val="es-ES_tradnl"/>
              </w:rPr>
              <w:t xml:space="preserve">Servicios Profesionales </w:t>
            </w:r>
            <w:r w:rsidRPr="0014781E">
              <w:rPr>
                <w:rFonts w:ascii="Verdana" w:eastAsia="Calibri" w:hAnsi="Verdana" w:cs="Arial"/>
                <w:color w:val="000000" w:themeColor="text1"/>
                <w:lang w:val="es-ES_tradnl"/>
              </w:rPr>
              <w:t>–</w:t>
            </w:r>
            <w:r w:rsidRPr="0014781E">
              <w:rPr>
                <w:rFonts w:ascii="Verdana" w:eastAsia="Calibri" w:hAnsi="Verdana" w:cs="Arial"/>
                <w:lang w:val="es-ES_tradnl"/>
              </w:rPr>
              <w:t xml:space="preserve">Apoyo a la gestión </w:t>
            </w:r>
            <w:r w:rsidRPr="0014781E">
              <w:rPr>
                <w:rFonts w:ascii="Verdana" w:eastAsia="Calibri" w:hAnsi="Verdana" w:cs="Arial"/>
                <w:color w:val="000000" w:themeColor="text1"/>
                <w:lang w:val="es-ES_tradnl"/>
              </w:rPr>
              <w:t xml:space="preserve">– Trabajos artísticos – Especie / </w:t>
            </w:r>
            <w:r w:rsidRPr="0014781E">
              <w:rPr>
                <w:rFonts w:ascii="Verdana" w:eastAsia="Calibri" w:hAnsi="Verdana" w:cs="Arial"/>
                <w:lang w:val="es-ES_tradnl"/>
              </w:rPr>
              <w:t xml:space="preserve">CONTRATO DE PRESTACIÓN DE SERVICIOS </w:t>
            </w:r>
            <w:r w:rsidRPr="0014781E">
              <w:rPr>
                <w:rFonts w:ascii="Verdana" w:eastAsia="Calibri" w:hAnsi="Verdana" w:cs="Arial"/>
                <w:color w:val="000000" w:themeColor="text1"/>
                <w:lang w:val="es-ES_tradnl"/>
              </w:rPr>
              <w:t>– Características</w:t>
            </w:r>
          </w:p>
          <w:p w14:paraId="7F2C240C" w14:textId="77777777" w:rsidR="009B31D6" w:rsidRPr="0014781E" w:rsidRDefault="009B31D6" w:rsidP="000A2669">
            <w:pPr>
              <w:spacing w:line="276" w:lineRule="auto"/>
              <w:contextualSpacing/>
              <w:jc w:val="both"/>
              <w:rPr>
                <w:rFonts w:ascii="Verdana" w:eastAsia="Calibri" w:hAnsi="Verdana" w:cs="Arial"/>
                <w:lang w:eastAsia="es-ES"/>
              </w:rPr>
            </w:pPr>
          </w:p>
        </w:tc>
      </w:tr>
      <w:tr w:rsidR="009B31D6" w:rsidRPr="0014781E" w14:paraId="4E9F4422" w14:textId="77777777" w:rsidTr="000A2669">
        <w:tc>
          <w:tcPr>
            <w:tcW w:w="2689" w:type="dxa"/>
          </w:tcPr>
          <w:p w14:paraId="6C5A7967" w14:textId="77777777" w:rsidR="009B31D6" w:rsidRPr="0014781E" w:rsidRDefault="009B31D6" w:rsidP="000A2669">
            <w:pPr>
              <w:jc w:val="both"/>
              <w:rPr>
                <w:rFonts w:ascii="Verdana" w:eastAsia="Calibri" w:hAnsi="Verdana" w:cs="Arial"/>
                <w:b/>
                <w:lang w:eastAsia="es-ES_tradnl"/>
              </w:rPr>
            </w:pPr>
            <w:r w:rsidRPr="0014781E">
              <w:rPr>
                <w:rFonts w:ascii="Verdana" w:eastAsia="Calibri" w:hAnsi="Verdana" w:cs="Arial"/>
                <w:b/>
                <w:lang w:eastAsia="es-ES_tradnl"/>
              </w:rPr>
              <w:t>Radicación:</w:t>
            </w:r>
            <w:r w:rsidRPr="0014781E">
              <w:rPr>
                <w:rFonts w:ascii="Verdana" w:eastAsia="Calibri" w:hAnsi="Verdana" w:cs="Arial"/>
                <w:lang w:eastAsia="es-ES_tradnl"/>
              </w:rPr>
              <w:t xml:space="preserve">               </w:t>
            </w:r>
          </w:p>
        </w:tc>
        <w:tc>
          <w:tcPr>
            <w:tcW w:w="6100" w:type="dxa"/>
          </w:tcPr>
          <w:p w14:paraId="65F04BF8" w14:textId="77777777" w:rsidR="009B31D6" w:rsidRPr="0014781E" w:rsidRDefault="009B31D6" w:rsidP="000A2669">
            <w:pPr>
              <w:jc w:val="both"/>
              <w:rPr>
                <w:rFonts w:ascii="Verdana" w:eastAsia="Calibri" w:hAnsi="Verdana" w:cs="Arial"/>
                <w:lang w:eastAsia="es-ES_tradnl"/>
              </w:rPr>
            </w:pPr>
            <w:r w:rsidRPr="0014781E">
              <w:rPr>
                <w:rFonts w:ascii="Verdana" w:eastAsia="Calibri" w:hAnsi="Verdana" w:cs="Arial"/>
                <w:lang w:eastAsia="es-ES_tradnl"/>
              </w:rPr>
              <w:t xml:space="preserve">Respuesta a la consulta con radicado No.  P20250425003992 </w:t>
            </w:r>
          </w:p>
        </w:tc>
      </w:tr>
    </w:tbl>
    <w:p w14:paraId="4F059A6D" w14:textId="77777777" w:rsidR="009B31D6" w:rsidRPr="0014781E" w:rsidRDefault="009B31D6" w:rsidP="009B31D6">
      <w:pPr>
        <w:spacing w:after="0" w:line="240" w:lineRule="auto"/>
        <w:jc w:val="both"/>
        <w:rPr>
          <w:rFonts w:ascii="Verdana" w:eastAsia="Calibri" w:hAnsi="Verdana" w:cs="Arial"/>
          <w:color w:val="000000"/>
          <w:lang w:eastAsia="es-ES_tradnl"/>
        </w:rPr>
      </w:pPr>
    </w:p>
    <w:p w14:paraId="25022BC7" w14:textId="77777777" w:rsidR="009B31D6" w:rsidRPr="0014781E" w:rsidRDefault="009B31D6" w:rsidP="009B31D6">
      <w:pPr>
        <w:spacing w:after="0" w:line="240" w:lineRule="auto"/>
        <w:jc w:val="both"/>
        <w:rPr>
          <w:rFonts w:ascii="Verdana" w:eastAsia="Calibri" w:hAnsi="Verdana" w:cs="Arial"/>
          <w:color w:val="000000"/>
          <w:lang w:eastAsia="es-ES_tradnl"/>
        </w:rPr>
      </w:pPr>
    </w:p>
    <w:p w14:paraId="5F564583" w14:textId="77777777" w:rsidR="009B31D6" w:rsidRPr="0014781E" w:rsidRDefault="009B31D6" w:rsidP="009B31D6">
      <w:pPr>
        <w:spacing w:after="0" w:line="276" w:lineRule="auto"/>
        <w:jc w:val="both"/>
        <w:rPr>
          <w:rFonts w:ascii="Verdana" w:eastAsia="Calibri" w:hAnsi="Verdana" w:cs="Arial"/>
          <w:lang w:eastAsia="es-ES"/>
        </w:rPr>
      </w:pPr>
      <w:r w:rsidRPr="0014781E">
        <w:rPr>
          <w:rFonts w:ascii="Verdana" w:eastAsia="Calibri" w:hAnsi="Verdana" w:cs="Arial"/>
          <w:lang w:eastAsia="es-ES"/>
        </w:rPr>
        <w:t xml:space="preserve">Estimado señor Narváez Valencia: </w:t>
      </w:r>
    </w:p>
    <w:p w14:paraId="0BB592BA" w14:textId="77777777" w:rsidR="009B31D6" w:rsidRPr="0014781E" w:rsidRDefault="009B31D6" w:rsidP="009B31D6">
      <w:pPr>
        <w:tabs>
          <w:tab w:val="left" w:pos="3768"/>
        </w:tabs>
        <w:spacing w:after="0" w:line="276" w:lineRule="auto"/>
        <w:jc w:val="both"/>
        <w:rPr>
          <w:rFonts w:ascii="Verdana" w:eastAsia="Calibri" w:hAnsi="Verdana" w:cs="Arial"/>
          <w:color w:val="000000" w:themeColor="text1"/>
          <w:lang w:eastAsia="es-ES"/>
        </w:rPr>
      </w:pPr>
      <w:r w:rsidRPr="0014781E">
        <w:rPr>
          <w:rFonts w:ascii="Verdana" w:eastAsia="Calibri" w:hAnsi="Verdana" w:cs="Arial"/>
          <w:color w:val="000000" w:themeColor="text1"/>
          <w:lang w:eastAsia="es-ES"/>
        </w:rPr>
        <w:tab/>
      </w:r>
    </w:p>
    <w:p w14:paraId="4FCA9EC5" w14:textId="77777777" w:rsidR="009B31D6" w:rsidRPr="0014781E" w:rsidRDefault="009B31D6" w:rsidP="009B31D6">
      <w:pPr>
        <w:spacing w:after="0" w:line="276" w:lineRule="auto"/>
        <w:jc w:val="both"/>
        <w:rPr>
          <w:rFonts w:ascii="Verdana" w:eastAsia="Calibri" w:hAnsi="Verdana" w:cs="Arial"/>
          <w:i/>
          <w:iCs/>
          <w:lang w:eastAsia="es-ES"/>
        </w:rPr>
      </w:pPr>
      <w:r w:rsidRPr="0014781E">
        <w:rPr>
          <w:rFonts w:ascii="Verdana" w:eastAsia="Calibri" w:hAnsi="Verdana" w:cs="Arial"/>
          <w:color w:val="000000" w:themeColor="text1"/>
          <w:lang w:eastAsia="es-ES"/>
        </w:rPr>
        <w:t>En ejercicio de la competencia otorgada por los artículos 3, numeral 5º, y 11, numeral 8º, del Decreto Ley 4170 de 2011,</w:t>
      </w:r>
      <w:r w:rsidRPr="0014781E">
        <w:rPr>
          <w:rFonts w:ascii="Verdana" w:eastAsia="Arial MT" w:hAnsi="Verdana" w:cs="Arial MT"/>
          <w:lang w:eastAsia="es-ES"/>
        </w:rPr>
        <w:t xml:space="preserve"> </w:t>
      </w:r>
      <w:r w:rsidRPr="0014781E">
        <w:rPr>
          <w:rFonts w:ascii="Verdana" w:hAnsi="Verdana" w:cs="Arial"/>
        </w:rPr>
        <w:t xml:space="preserve">así como lo establecido en el artículo 4 de la Resolución 1707 de 2018 expedida por esta Entidad, </w:t>
      </w:r>
      <w:r w:rsidRPr="0014781E">
        <w:rPr>
          <w:rFonts w:ascii="Verdana" w:eastAsia="Calibri" w:hAnsi="Verdana" w:cs="Arial"/>
          <w:color w:val="000000" w:themeColor="text1"/>
          <w:lang w:eastAsia="es-ES"/>
        </w:rPr>
        <w:t>la Agencia Nacional de Contratación Pública – Colombia Compra Eficiente responde su solicitud de concepto del 25 de abril de 2025,</w:t>
      </w:r>
      <w:r w:rsidRPr="0014781E">
        <w:rPr>
          <w:rFonts w:ascii="Verdana" w:eastAsia="Calibri" w:hAnsi="Verdana" w:cs="Arial"/>
          <w:lang w:eastAsia="es-ES"/>
        </w:rPr>
        <w:t xml:space="preserve"> en la cual consulta sobre lo siguiente:</w:t>
      </w:r>
      <w:r w:rsidRPr="0014781E">
        <w:rPr>
          <w:rFonts w:ascii="Verdana" w:eastAsia="Calibri" w:hAnsi="Verdana" w:cs="Arial"/>
          <w:i/>
          <w:iCs/>
          <w:lang w:eastAsia="es-ES"/>
        </w:rPr>
        <w:t xml:space="preserve"> </w:t>
      </w:r>
      <w:bookmarkStart w:id="1" w:name="_Hlk95313578"/>
    </w:p>
    <w:p w14:paraId="2B39C40F" w14:textId="77777777" w:rsidR="009B31D6" w:rsidRPr="0014781E" w:rsidRDefault="009B31D6" w:rsidP="009B31D6">
      <w:pPr>
        <w:spacing w:after="0" w:line="276" w:lineRule="auto"/>
        <w:jc w:val="both"/>
        <w:rPr>
          <w:rFonts w:ascii="Verdana" w:eastAsia="Calibri" w:hAnsi="Verdana" w:cs="Arial"/>
          <w:i/>
          <w:iCs/>
          <w:lang w:eastAsia="es-ES"/>
        </w:rPr>
      </w:pPr>
    </w:p>
    <w:p w14:paraId="62233AC7"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eastAsia="Arial" w:hAnsi="Verdana" w:cs="Arial"/>
          <w:i/>
          <w:color w:val="000000"/>
          <w:sz w:val="20"/>
          <w:szCs w:val="20"/>
        </w:rPr>
        <w:t>“</w:t>
      </w:r>
      <w:bookmarkEnd w:id="1"/>
      <w:r w:rsidRPr="0014781E">
        <w:rPr>
          <w:rFonts w:ascii="Verdana" w:hAnsi="Verdana"/>
          <w:sz w:val="20"/>
          <w:szCs w:val="20"/>
        </w:rPr>
        <w:t xml:space="preserve">PRIMERO: Solicito se me brinde ¿Cuál es la normativa que respalda jurídicamente, constitucional y convencional los CONTRATOS DE PRESTACIÓN DE SERVICIOS TIPO CONVENIO ACUERDO DE VOLUNTADES? </w:t>
      </w:r>
    </w:p>
    <w:p w14:paraId="7C92E17F" w14:textId="77777777" w:rsidR="009B31D6" w:rsidRPr="0014781E" w:rsidRDefault="009B31D6" w:rsidP="009B31D6">
      <w:pPr>
        <w:spacing w:after="0" w:line="240" w:lineRule="auto"/>
        <w:ind w:left="709" w:right="709"/>
        <w:jc w:val="both"/>
        <w:rPr>
          <w:rFonts w:ascii="Verdana" w:hAnsi="Verdana"/>
          <w:sz w:val="20"/>
          <w:szCs w:val="20"/>
        </w:rPr>
      </w:pPr>
    </w:p>
    <w:p w14:paraId="29E1B2FC"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SEGUNDO: ¿Cuándo se hace exigible el CONTRATO DE PRESTACIÓN DE SERVICIOS TIPO CONVENIO ACUERDO DE VOLUNTADES? </w:t>
      </w:r>
    </w:p>
    <w:p w14:paraId="529C2C1C" w14:textId="77777777" w:rsidR="009B31D6" w:rsidRPr="0014781E" w:rsidRDefault="009B31D6" w:rsidP="009B31D6">
      <w:pPr>
        <w:spacing w:after="0" w:line="240" w:lineRule="auto"/>
        <w:ind w:left="709" w:right="709"/>
        <w:jc w:val="both"/>
        <w:rPr>
          <w:rFonts w:ascii="Verdana" w:hAnsi="Verdana"/>
          <w:sz w:val="20"/>
          <w:szCs w:val="20"/>
        </w:rPr>
      </w:pPr>
    </w:p>
    <w:p w14:paraId="4C5521B6"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TERCERO: ¿Cuándo opera el fenómeno de PRESCRIPCIÓN en los CONTRATOS DE PRESTACIÓN DE SERVICIOS TIPO CONVENIO ACUERDO DE VOLUNTADES? </w:t>
      </w:r>
    </w:p>
    <w:p w14:paraId="78FB2066" w14:textId="77777777" w:rsidR="009B31D6" w:rsidRPr="0014781E" w:rsidRDefault="009B31D6" w:rsidP="009B31D6">
      <w:pPr>
        <w:spacing w:after="0" w:line="240" w:lineRule="auto"/>
        <w:ind w:left="709" w:right="709"/>
        <w:jc w:val="both"/>
        <w:rPr>
          <w:rFonts w:ascii="Verdana" w:hAnsi="Verdana"/>
          <w:sz w:val="20"/>
          <w:szCs w:val="20"/>
        </w:rPr>
      </w:pPr>
    </w:p>
    <w:p w14:paraId="5516EEBA"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CUARTO: ¿Cuándo opera el fenómeno de la CADUCIDAD en los CONTRATOS DE PRESTACIÓN DE SERVICIOS TIPO CONVENIO ACUERDO DE VOLUNTADES </w:t>
      </w:r>
    </w:p>
    <w:p w14:paraId="6BD13135" w14:textId="77777777" w:rsidR="009B31D6" w:rsidRPr="0014781E" w:rsidRDefault="009B31D6" w:rsidP="009B31D6">
      <w:pPr>
        <w:spacing w:after="0" w:line="240" w:lineRule="auto"/>
        <w:ind w:left="709" w:right="709"/>
        <w:jc w:val="both"/>
        <w:rPr>
          <w:rFonts w:ascii="Verdana" w:hAnsi="Verdana"/>
          <w:sz w:val="20"/>
          <w:szCs w:val="20"/>
        </w:rPr>
      </w:pPr>
    </w:p>
    <w:p w14:paraId="53599DB6"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QUINTO: ¿Qué derechos y obligaciones se adquieren entre las partes que celebran un CONTRATO DE PRESTACIÓN DE SERVICIOS TIPO CONVENIO ACUERDO DE VOLUNTADES? </w:t>
      </w:r>
    </w:p>
    <w:p w14:paraId="300438D8" w14:textId="77777777" w:rsidR="009B31D6" w:rsidRPr="0014781E" w:rsidRDefault="009B31D6" w:rsidP="009B31D6">
      <w:pPr>
        <w:spacing w:after="0" w:line="240" w:lineRule="auto"/>
        <w:ind w:left="709" w:right="709"/>
        <w:jc w:val="both"/>
        <w:rPr>
          <w:rFonts w:ascii="Verdana" w:hAnsi="Verdana"/>
          <w:sz w:val="20"/>
          <w:szCs w:val="20"/>
        </w:rPr>
      </w:pPr>
    </w:p>
    <w:p w14:paraId="2D057543"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SEXTO: ¿Cuál es la duración del CONTRATO DE PRESTACIÓN DE SERVICIOS TIPO CONVENIO ACUERDO DE VOLUNTADES? </w:t>
      </w:r>
    </w:p>
    <w:p w14:paraId="4570470F" w14:textId="77777777" w:rsidR="009B31D6" w:rsidRPr="0014781E" w:rsidRDefault="009B31D6" w:rsidP="009B31D6">
      <w:pPr>
        <w:spacing w:after="0" w:line="240" w:lineRule="auto"/>
        <w:ind w:left="709" w:right="709"/>
        <w:jc w:val="both"/>
        <w:rPr>
          <w:rFonts w:ascii="Verdana" w:hAnsi="Verdana"/>
          <w:sz w:val="20"/>
          <w:szCs w:val="20"/>
        </w:rPr>
      </w:pPr>
    </w:p>
    <w:p w14:paraId="7F62DB5E"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SEPTIMO: ¿Qué se entiende por CONTRATO DE PRESTACIÓN DE SERVICIOS TIPO CONVENIO ACUERDO DE VOLUNTADES a término indefinido? </w:t>
      </w:r>
    </w:p>
    <w:p w14:paraId="0E86ABF3" w14:textId="77777777" w:rsidR="009B31D6" w:rsidRPr="0014781E" w:rsidRDefault="009B31D6" w:rsidP="009B31D6">
      <w:pPr>
        <w:spacing w:after="0" w:line="240" w:lineRule="auto"/>
        <w:ind w:left="709" w:right="709"/>
        <w:jc w:val="both"/>
        <w:rPr>
          <w:rFonts w:ascii="Verdana" w:hAnsi="Verdana"/>
          <w:sz w:val="20"/>
          <w:szCs w:val="20"/>
        </w:rPr>
      </w:pPr>
    </w:p>
    <w:p w14:paraId="5F7F340F"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OCTAVO: ¿Cuándo se debe liquidar o iniciar con la elaboración del paz y salvo en el CONTRATO DE PRESTACIÓN DE SERVICIOS TIPO CONVENIO ACUERDO DE VOLUNTADES.?</w:t>
      </w:r>
    </w:p>
    <w:p w14:paraId="2DFD18CA" w14:textId="77777777" w:rsidR="009B31D6" w:rsidRPr="0014781E" w:rsidRDefault="009B31D6" w:rsidP="009B31D6">
      <w:pPr>
        <w:spacing w:after="0" w:line="240" w:lineRule="auto"/>
        <w:ind w:left="709" w:right="709"/>
        <w:jc w:val="both"/>
        <w:rPr>
          <w:rFonts w:ascii="Verdana" w:hAnsi="Verdana"/>
          <w:sz w:val="20"/>
          <w:szCs w:val="20"/>
        </w:rPr>
      </w:pPr>
    </w:p>
    <w:p w14:paraId="61ACC217" w14:textId="77777777" w:rsidR="009B31D6" w:rsidRPr="0014781E" w:rsidRDefault="009B31D6" w:rsidP="009B31D6">
      <w:pPr>
        <w:spacing w:after="0" w:line="240" w:lineRule="auto"/>
        <w:ind w:left="709" w:right="709"/>
        <w:jc w:val="both"/>
        <w:rPr>
          <w:rFonts w:ascii="Verdana" w:hAnsi="Verdana"/>
          <w:sz w:val="20"/>
          <w:szCs w:val="20"/>
        </w:rPr>
      </w:pPr>
      <w:r w:rsidRPr="0014781E">
        <w:rPr>
          <w:rFonts w:ascii="Verdana" w:hAnsi="Verdana"/>
          <w:sz w:val="20"/>
          <w:szCs w:val="20"/>
        </w:rPr>
        <w:t xml:space="preserve"> NOVENO: ¿Cuál es el término de presentar la demanda? y ¿Cuál es la figura jurídica que respalda la garantía o reparación del incumplimiento del CONTRATO DE PRESTACIÓN DE SERVICIOS TIPO CONVENIO ACUERDO DE VOLUNTADES?”</w:t>
      </w:r>
    </w:p>
    <w:p w14:paraId="3B9EDBD9" w14:textId="77777777" w:rsidR="009B31D6" w:rsidRPr="0014781E" w:rsidRDefault="009B31D6" w:rsidP="009B31D6">
      <w:pPr>
        <w:spacing w:after="0" w:line="276" w:lineRule="auto"/>
        <w:ind w:left="709" w:right="709"/>
        <w:jc w:val="both"/>
      </w:pPr>
    </w:p>
    <w:p w14:paraId="5864F876" w14:textId="77777777" w:rsidR="009B31D6" w:rsidRPr="0014781E" w:rsidRDefault="009B31D6" w:rsidP="009B31D6">
      <w:pPr>
        <w:spacing w:after="120" w:line="276" w:lineRule="auto"/>
        <w:ind w:firstLine="709"/>
        <w:jc w:val="both"/>
        <w:rPr>
          <w:rFonts w:ascii="Verdana" w:eastAsia="Calibri" w:hAnsi="Verdana" w:cs="Arial"/>
          <w:color w:val="000000"/>
          <w:lang w:eastAsia="es-ES"/>
        </w:rPr>
      </w:pPr>
      <w:r w:rsidRPr="0014781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14781E">
        <w:rPr>
          <w:rFonts w:ascii="Verdana" w:eastAsia="Calibri" w:hAnsi="Verdana" w:cs="Arial"/>
          <w:color w:val="000000"/>
          <w:lang w:eastAsia="es-ES"/>
        </w:rPr>
        <w:lastRenderedPageBreak/>
        <w:t xml:space="preserve">interpretación de normas generales, por definición, no puede extenderse a la resolución de controversias ni a brindar asesorías sobre casos puntuales. </w:t>
      </w:r>
      <w:r w:rsidRPr="0014781E">
        <w:rPr>
          <w:rFonts w:ascii="Verdana" w:eastAsia="Calibri" w:hAnsi="Verdana" w:cs="Arial"/>
          <w:color w:val="000000"/>
          <w:szCs w:val="24"/>
          <w:lang w:eastAsia="es-ES_tradnl"/>
        </w:rPr>
        <w:tab/>
      </w:r>
    </w:p>
    <w:p w14:paraId="349C9E89" w14:textId="77777777" w:rsidR="009B31D6" w:rsidRPr="0014781E" w:rsidRDefault="009B31D6" w:rsidP="009B31D6">
      <w:pPr>
        <w:spacing w:after="0" w:line="276" w:lineRule="auto"/>
        <w:ind w:firstLine="709"/>
        <w:jc w:val="both"/>
        <w:rPr>
          <w:rFonts w:ascii="Verdana" w:eastAsia="Calibri" w:hAnsi="Verdana" w:cs="Arial"/>
          <w:color w:val="000000"/>
          <w:lang w:eastAsia="es-ES"/>
        </w:rPr>
      </w:pPr>
      <w:r w:rsidRPr="0014781E">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14781E">
        <w:rPr>
          <w:rFonts w:ascii="Verdana" w:eastAsia="Calibri" w:hAnsi="Verdana" w:cs="Arial"/>
          <w:color w:val="7030A0"/>
          <w:lang w:eastAsia="es-ES"/>
        </w:rPr>
        <w:t xml:space="preserve"> </w:t>
      </w:r>
      <w:r w:rsidRPr="0014781E">
        <w:rPr>
          <w:rFonts w:ascii="Verdana" w:eastAsia="Calibri" w:hAnsi="Verdana" w:cs="Arial"/>
          <w:color w:val="000000"/>
          <w:lang w:eastAsia="es-ES"/>
        </w:rPr>
        <w:t>problemas</w:t>
      </w:r>
      <w:r w:rsidRPr="0014781E">
        <w:rPr>
          <w:rFonts w:ascii="Verdana" w:eastAsia="Calibri" w:hAnsi="Verdana" w:cs="Arial"/>
          <w:color w:val="7030A0"/>
          <w:lang w:eastAsia="es-ES"/>
        </w:rPr>
        <w:t xml:space="preserve"> </w:t>
      </w:r>
      <w:r w:rsidRPr="0014781E">
        <w:rPr>
          <w:rFonts w:ascii="Verdana" w:eastAsia="Calibri" w:hAnsi="Verdana" w:cs="Arial"/>
          <w:color w:val="000000"/>
          <w:lang w:eastAsia="es-ES"/>
        </w:rPr>
        <w:t>jurídicos</w:t>
      </w:r>
      <w:r w:rsidRPr="0014781E">
        <w:rPr>
          <w:rFonts w:ascii="Verdana" w:eastAsia="Calibri" w:hAnsi="Verdana" w:cs="Arial"/>
          <w:color w:val="7030A0"/>
          <w:lang w:eastAsia="es-ES"/>
        </w:rPr>
        <w:t xml:space="preserve"> </w:t>
      </w:r>
      <w:r w:rsidRPr="0014781E">
        <w:rPr>
          <w:rFonts w:ascii="Verdana" w:eastAsia="Calibri" w:hAnsi="Verdana" w:cs="Arial"/>
          <w:color w:val="000000"/>
          <w:lang w:eastAsia="es-ES"/>
        </w:rPr>
        <w:t xml:space="preserve">de su consulta. </w:t>
      </w:r>
    </w:p>
    <w:p w14:paraId="777AB52C" w14:textId="77777777" w:rsidR="009B31D6" w:rsidRPr="0014781E" w:rsidRDefault="009B31D6" w:rsidP="009B31D6">
      <w:pPr>
        <w:spacing w:after="0" w:line="276" w:lineRule="auto"/>
        <w:ind w:firstLine="709"/>
        <w:jc w:val="both"/>
        <w:rPr>
          <w:rFonts w:ascii="Verdana" w:eastAsia="Calibri" w:hAnsi="Verdana" w:cs="Arial"/>
          <w:color w:val="000000"/>
          <w:lang w:eastAsia="es-ES"/>
        </w:rPr>
      </w:pPr>
    </w:p>
    <w:p w14:paraId="39855D29" w14:textId="77777777" w:rsidR="009B31D6" w:rsidRPr="0014781E" w:rsidRDefault="009B31D6" w:rsidP="009B31D6">
      <w:pPr>
        <w:numPr>
          <w:ilvl w:val="0"/>
          <w:numId w:val="1"/>
        </w:numPr>
        <w:tabs>
          <w:tab w:val="left" w:pos="142"/>
          <w:tab w:val="left" w:pos="284"/>
        </w:tabs>
        <w:spacing w:after="0" w:line="276" w:lineRule="auto"/>
        <w:jc w:val="both"/>
        <w:rPr>
          <w:rFonts w:ascii="Verdana" w:eastAsia="Century Gothic" w:hAnsi="Verdana" w:cs="Century Gothic"/>
          <w:b/>
          <w:bCs/>
        </w:rPr>
      </w:pPr>
      <w:r w:rsidRPr="0014781E">
        <w:rPr>
          <w:rFonts w:ascii="Verdana" w:eastAsia="Century Gothic" w:hAnsi="Verdana" w:cs="Century Gothic"/>
          <w:b/>
          <w:bCs/>
        </w:rPr>
        <w:t>Problemas planteados:</w:t>
      </w:r>
    </w:p>
    <w:p w14:paraId="4C53B141" w14:textId="77777777" w:rsidR="009B31D6" w:rsidRPr="0014781E" w:rsidRDefault="009B31D6" w:rsidP="009B31D6">
      <w:pPr>
        <w:tabs>
          <w:tab w:val="left" w:pos="426"/>
        </w:tabs>
        <w:spacing w:after="0" w:line="276" w:lineRule="auto"/>
        <w:jc w:val="both"/>
        <w:rPr>
          <w:rFonts w:ascii="Verdana" w:eastAsia="Century Gothic" w:hAnsi="Verdana" w:cs="Century Gothic"/>
        </w:rPr>
      </w:pPr>
    </w:p>
    <w:p w14:paraId="41C3EFC4" w14:textId="77777777" w:rsidR="009B31D6" w:rsidRPr="0014781E" w:rsidRDefault="009B31D6" w:rsidP="009B31D6">
      <w:pPr>
        <w:spacing w:after="0" w:line="276" w:lineRule="auto"/>
        <w:jc w:val="both"/>
        <w:rPr>
          <w:rFonts w:ascii="Verdana" w:eastAsia="Century Gothic" w:hAnsi="Verdana" w:cs="Century Gothic"/>
        </w:rPr>
      </w:pPr>
      <w:r w:rsidRPr="0014781E">
        <w:rPr>
          <w:rFonts w:ascii="Verdana" w:eastAsia="Century Gothic" w:hAnsi="Verdana" w:cs="Century Gothic"/>
        </w:rPr>
        <w:t>De acuerdo con el contenido de su solicitud, esta Agencia resolverá el siguiente problema jurídico: ¿Cuál es el marco jurídico de los contratos de prestación de servicios?</w:t>
      </w:r>
    </w:p>
    <w:p w14:paraId="14D2144A" w14:textId="77777777" w:rsidR="009B31D6" w:rsidRPr="0014781E" w:rsidRDefault="009B31D6" w:rsidP="009B31D6">
      <w:pPr>
        <w:spacing w:after="0" w:line="276" w:lineRule="auto"/>
        <w:jc w:val="both"/>
        <w:rPr>
          <w:rFonts w:ascii="Verdana" w:eastAsia="Calibri" w:hAnsi="Verdana" w:cs="Arial"/>
          <w:color w:val="7030A0"/>
        </w:rPr>
      </w:pPr>
    </w:p>
    <w:p w14:paraId="5A610571" w14:textId="77777777" w:rsidR="009B31D6" w:rsidRPr="0014781E" w:rsidRDefault="009B31D6" w:rsidP="009B31D6">
      <w:pPr>
        <w:numPr>
          <w:ilvl w:val="0"/>
          <w:numId w:val="1"/>
        </w:numPr>
        <w:tabs>
          <w:tab w:val="left" w:pos="142"/>
          <w:tab w:val="left" w:pos="284"/>
        </w:tabs>
        <w:spacing w:after="0" w:line="276" w:lineRule="auto"/>
        <w:jc w:val="both"/>
        <w:rPr>
          <w:rFonts w:ascii="Verdana" w:eastAsia="Century Gothic" w:hAnsi="Verdana" w:cs="Century Gothic"/>
          <w:b/>
          <w:bCs/>
        </w:rPr>
      </w:pPr>
      <w:r w:rsidRPr="0014781E">
        <w:rPr>
          <w:rFonts w:ascii="Verdana" w:eastAsia="Century Gothic" w:hAnsi="Verdana" w:cs="Century Gothic"/>
          <w:b/>
          <w:bCs/>
        </w:rPr>
        <w:t>Respuestas:</w:t>
      </w:r>
    </w:p>
    <w:p w14:paraId="571AA07B" w14:textId="77777777" w:rsidR="009B31D6" w:rsidRPr="0014781E" w:rsidRDefault="009B31D6" w:rsidP="009B31D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31D6" w:rsidRPr="0014781E" w14:paraId="7B13EEE5" w14:textId="77777777" w:rsidTr="000A2669">
        <w:trPr>
          <w:trHeight w:val="977"/>
          <w:jc w:val="center"/>
        </w:trPr>
        <w:tc>
          <w:tcPr>
            <w:tcW w:w="8828" w:type="dxa"/>
            <w:shd w:val="clear" w:color="auto" w:fill="auto"/>
          </w:tcPr>
          <w:p w14:paraId="338B861F" w14:textId="77777777" w:rsidR="009B31D6" w:rsidRPr="0014781E" w:rsidRDefault="009B31D6" w:rsidP="000A2669">
            <w:pPr>
              <w:spacing w:line="276" w:lineRule="auto"/>
              <w:jc w:val="both"/>
              <w:rPr>
                <w:rFonts w:ascii="Verdana" w:eastAsia="Calibri" w:hAnsi="Verdana" w:cs="Arial"/>
                <w:color w:val="000000"/>
              </w:rPr>
            </w:pPr>
            <w:bookmarkStart w:id="2" w:name="_Hlk171694685"/>
            <w:r w:rsidRPr="0014781E">
              <w:rPr>
                <w:rFonts w:ascii="Verdana" w:eastAsia="Calibri" w:hAnsi="Verdana" w:cs="Arial"/>
                <w:lang w:eastAsia="es-CO"/>
              </w:rPr>
              <w:t xml:space="preserve">De conformidad con </w:t>
            </w:r>
            <w:r w:rsidRPr="0014781E">
              <w:rPr>
                <w:rFonts w:ascii="Verdana" w:eastAsia="Calibri" w:hAnsi="Verdana" w:cs="Arial"/>
                <w:color w:val="000000"/>
              </w:rPr>
              <w:t>el numeral 3º del artículo 32 de la Ley 80 de 1993, el contrato de prestación de servicios es uno de los tipos contractuales consagrados en el Estatuto General de Contratación de la Administración Pública, que pueden celebrar las entidades estatales. A partir de este enunciado normativo, así como de otros, de carácter legal y reglamentario, que complementan su regulación, y de los pronunciamientos judiciales más destacados sobre el tema, es posible señalar las siguientes características del contrato de prestación de servicios que comprenden el marco jurídico aplicable:</w:t>
            </w:r>
          </w:p>
          <w:p w14:paraId="0AA51B45" w14:textId="77777777" w:rsidR="009B31D6" w:rsidRPr="0014781E" w:rsidRDefault="009B31D6" w:rsidP="000A2669">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 xml:space="preserve">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w:t>
            </w:r>
            <w:r w:rsidRPr="0014781E">
              <w:rPr>
                <w:rFonts w:ascii="Verdana" w:eastAsia="Calibri" w:hAnsi="Verdana" w:cs="Arial"/>
                <w:iCs/>
                <w:color w:val="000000"/>
              </w:rPr>
              <w:t xml:space="preserve">prestación de servicios, se incluyen </w:t>
            </w:r>
            <w:r w:rsidRPr="0014781E">
              <w:rPr>
                <w:rFonts w:ascii="Verdana" w:eastAsia="Calibri" w:hAnsi="Verdana" w:cs="Arial"/>
                <w:iCs/>
                <w:color w:val="000000"/>
                <w:lang w:val="es-ES_tradnl"/>
              </w:rPr>
              <w:t xml:space="preserve">los contratos de prestación de servicios profesionales, los contratos de prestación de servicios apoyo a la gestión y los contratos de prestación de </w:t>
            </w:r>
            <w:r w:rsidRPr="0014781E">
              <w:rPr>
                <w:rFonts w:ascii="Verdana" w:eastAsia="Calibri" w:hAnsi="Verdana" w:cs="Arial"/>
                <w:iCs/>
                <w:color w:val="000000"/>
                <w:lang w:val="es-ES_tradnl"/>
              </w:rPr>
              <w:lastRenderedPageBreak/>
              <w:t xml:space="preserve">servicios artísticos que solo pueden encomendarse a determinadas personas naturales; </w:t>
            </w:r>
            <w:r w:rsidRPr="0014781E">
              <w:rPr>
                <w:rFonts w:ascii="Verdana" w:eastAsia="Calibri" w:hAnsi="Verdana" w:cs="Arial"/>
                <w:color w:val="000000"/>
              </w:rPr>
              <w:t xml:space="preserve">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  </w:t>
            </w:r>
          </w:p>
        </w:tc>
      </w:tr>
    </w:tbl>
    <w:p w14:paraId="46C0B64F" w14:textId="77777777" w:rsidR="009B31D6" w:rsidRPr="0014781E" w:rsidRDefault="009B31D6" w:rsidP="009B31D6">
      <w:pPr>
        <w:tabs>
          <w:tab w:val="left" w:pos="142"/>
          <w:tab w:val="left" w:pos="284"/>
        </w:tabs>
        <w:spacing w:after="0" w:line="276" w:lineRule="auto"/>
        <w:jc w:val="both"/>
        <w:rPr>
          <w:rFonts w:ascii="Verdana" w:eastAsia="Century Gothic" w:hAnsi="Verdana" w:cs="Century Gothic"/>
          <w:b/>
          <w:bCs/>
        </w:rPr>
      </w:pPr>
    </w:p>
    <w:bookmarkEnd w:id="2"/>
    <w:p w14:paraId="6A1EDCEC" w14:textId="77777777" w:rsidR="009B31D6" w:rsidRPr="0014781E" w:rsidRDefault="009B31D6" w:rsidP="009B31D6">
      <w:pPr>
        <w:numPr>
          <w:ilvl w:val="0"/>
          <w:numId w:val="1"/>
        </w:numPr>
        <w:tabs>
          <w:tab w:val="left" w:pos="142"/>
          <w:tab w:val="left" w:pos="284"/>
        </w:tabs>
        <w:spacing w:after="0" w:line="276" w:lineRule="auto"/>
        <w:jc w:val="both"/>
        <w:rPr>
          <w:rFonts w:ascii="Verdana" w:eastAsia="Century Gothic" w:hAnsi="Verdana" w:cs="Century Gothic"/>
          <w:b/>
          <w:bCs/>
        </w:rPr>
      </w:pPr>
      <w:r w:rsidRPr="0014781E">
        <w:rPr>
          <w:rFonts w:ascii="Verdana" w:eastAsia="Century Gothic" w:hAnsi="Verdana" w:cs="Century Gothic"/>
          <w:b/>
          <w:bCs/>
        </w:rPr>
        <w:t>Razones de las respuestas:</w:t>
      </w:r>
    </w:p>
    <w:p w14:paraId="3D0E3CF9" w14:textId="77777777" w:rsidR="009B31D6" w:rsidRPr="0014781E" w:rsidRDefault="009B31D6" w:rsidP="009B31D6">
      <w:pPr>
        <w:spacing w:after="0" w:line="276" w:lineRule="auto"/>
        <w:jc w:val="both"/>
        <w:rPr>
          <w:rFonts w:ascii="Verdana" w:eastAsia="Calibri" w:hAnsi="Verdana" w:cs="Arial"/>
          <w:color w:val="7030A0"/>
        </w:rPr>
      </w:pPr>
    </w:p>
    <w:p w14:paraId="6646043B" w14:textId="77777777" w:rsidR="009B31D6" w:rsidRPr="0014781E" w:rsidRDefault="009B31D6" w:rsidP="009B31D6">
      <w:pPr>
        <w:spacing w:after="0" w:line="276" w:lineRule="auto"/>
        <w:jc w:val="both"/>
        <w:rPr>
          <w:rFonts w:ascii="Verdana" w:eastAsia="Calibri" w:hAnsi="Verdana" w:cs="Arial"/>
        </w:rPr>
      </w:pPr>
      <w:r w:rsidRPr="0014781E">
        <w:rPr>
          <w:rFonts w:ascii="Verdana" w:eastAsia="Calibri" w:hAnsi="Verdana" w:cs="Arial"/>
        </w:rPr>
        <w:t>Lo anterior se sustenta en las siguientes consideraciones:</w:t>
      </w:r>
    </w:p>
    <w:p w14:paraId="271D3B3A" w14:textId="77777777" w:rsidR="009B31D6" w:rsidRPr="0014781E" w:rsidRDefault="009B31D6" w:rsidP="009B31D6">
      <w:pPr>
        <w:spacing w:after="0" w:line="276" w:lineRule="auto"/>
        <w:jc w:val="both"/>
        <w:rPr>
          <w:rFonts w:ascii="Verdana" w:eastAsia="Calibri" w:hAnsi="Verdana" w:cs="Arial"/>
        </w:rPr>
      </w:pPr>
    </w:p>
    <w:p w14:paraId="2775FA36" w14:textId="77777777" w:rsidR="009B31D6" w:rsidRPr="0014781E" w:rsidRDefault="009B31D6" w:rsidP="009B31D6">
      <w:pPr>
        <w:spacing w:after="0" w:line="276" w:lineRule="auto"/>
        <w:jc w:val="both"/>
        <w:rPr>
          <w:rFonts w:ascii="Verdana" w:eastAsia="Calibri" w:hAnsi="Verdana" w:cs="Arial"/>
          <w:color w:val="000000"/>
        </w:rPr>
      </w:pPr>
      <w:r w:rsidRPr="0014781E">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740CB0CC" w14:textId="77777777" w:rsidR="009B31D6" w:rsidRPr="0014781E" w:rsidRDefault="009B31D6" w:rsidP="009B31D6">
      <w:pPr>
        <w:spacing w:after="0" w:line="276" w:lineRule="auto"/>
        <w:jc w:val="both"/>
        <w:rPr>
          <w:rFonts w:ascii="Verdana" w:eastAsia="Calibri" w:hAnsi="Verdana" w:cs="Arial"/>
          <w:color w:val="000000"/>
        </w:rPr>
      </w:pPr>
    </w:p>
    <w:p w14:paraId="25E77161"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AF5660A"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73585244"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En ningún caso estos contratos generan relación laboral ni prestaciones sociales y se celebrarán por el término estrictamente indispensable.</w:t>
      </w:r>
    </w:p>
    <w:p w14:paraId="1E58E33B" w14:textId="77777777" w:rsidR="009B31D6" w:rsidRPr="0014781E" w:rsidRDefault="009B31D6" w:rsidP="009B31D6">
      <w:pPr>
        <w:tabs>
          <w:tab w:val="left" w:pos="284"/>
        </w:tabs>
        <w:spacing w:after="0" w:line="276" w:lineRule="auto"/>
        <w:contextualSpacing/>
        <w:jc w:val="both"/>
        <w:rPr>
          <w:rFonts w:ascii="Verdana" w:eastAsia="Calibri" w:hAnsi="Verdana" w:cs="Arial"/>
          <w:b/>
          <w:color w:val="000000"/>
        </w:rPr>
      </w:pPr>
    </w:p>
    <w:p w14:paraId="531210E5"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De otro lado, la celebración de dicho contrato debe efectuarse mediante la modalidad de la contratación directa. Así lo prevé el artículo 2, numeral 4º, literal h) de la Ley 1150 de 2007, que dispone:</w:t>
      </w:r>
    </w:p>
    <w:p w14:paraId="771EFF73" w14:textId="77777777" w:rsidR="009B31D6" w:rsidRPr="0014781E" w:rsidRDefault="009B31D6" w:rsidP="009B31D6">
      <w:pPr>
        <w:spacing w:after="0" w:line="276" w:lineRule="auto"/>
        <w:ind w:firstLine="709"/>
        <w:jc w:val="both"/>
        <w:rPr>
          <w:rFonts w:ascii="Verdana" w:eastAsia="Calibri" w:hAnsi="Verdana" w:cs="Arial"/>
          <w:color w:val="000000"/>
        </w:rPr>
      </w:pPr>
    </w:p>
    <w:p w14:paraId="7B3ACBF2"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w:t>
      </w:r>
    </w:p>
    <w:p w14:paraId="19AEF5C8"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Contratación directa. La modalidad de selección de contratación directa, solamente procederá en los siguientes casos:</w:t>
      </w:r>
    </w:p>
    <w:p w14:paraId="6817BEAA"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71FA64C2"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w:t>
      </w:r>
    </w:p>
    <w:p w14:paraId="2DF860FC"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lastRenderedPageBreak/>
        <w:t>h) Para la prestación de servicios profesionales y de apoyo a la gestión, o para la ejecución de trabajos artísticos que sólo puedan encomendarse a determinadas personas naturales;</w:t>
      </w:r>
    </w:p>
    <w:p w14:paraId="2CAD7CCA" w14:textId="77777777" w:rsidR="009B31D6" w:rsidRPr="0014781E" w:rsidRDefault="009B31D6" w:rsidP="009B31D6">
      <w:pPr>
        <w:spacing w:after="0" w:line="240" w:lineRule="auto"/>
        <w:ind w:right="709"/>
        <w:jc w:val="both"/>
        <w:rPr>
          <w:rFonts w:ascii="Verdana" w:eastAsia="Calibri" w:hAnsi="Verdana" w:cs="Arial"/>
          <w:color w:val="000000"/>
          <w:sz w:val="20"/>
          <w:szCs w:val="20"/>
        </w:rPr>
      </w:pPr>
    </w:p>
    <w:p w14:paraId="169911AD"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0947C77C"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21BC84EA"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843C692"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c) Si bien se celebran para obtener la prestación personal de un servicio, se diferencian del contrato de trabajo</w:t>
      </w:r>
      <w:r w:rsidRPr="0014781E">
        <w:rPr>
          <w:rFonts w:ascii="Verdana" w:eastAsia="Calibri" w:hAnsi="Verdana" w:cs="Arial"/>
          <w:color w:val="000000"/>
          <w:vertAlign w:val="superscript"/>
        </w:rPr>
        <w:footnoteReference w:id="2"/>
      </w:r>
      <w:r w:rsidRPr="0014781E">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14781E">
        <w:rPr>
          <w:rFonts w:ascii="Verdana" w:eastAsia="Calibri" w:hAnsi="Verdana" w:cs="Arial"/>
          <w:i/>
          <w:color w:val="000000"/>
        </w:rPr>
        <w:t>subordinación y dependencia</w:t>
      </w:r>
      <w:r w:rsidRPr="0014781E">
        <w:rPr>
          <w:rFonts w:ascii="Verdana" w:eastAsia="Calibri" w:hAnsi="Verdana" w:cs="Arial"/>
          <w:iCs/>
          <w:color w:val="000000"/>
        </w:rPr>
        <w:t>,</w:t>
      </w:r>
      <w:r w:rsidRPr="0014781E">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w:t>
      </w:r>
      <w:r w:rsidRPr="0014781E">
        <w:rPr>
          <w:rFonts w:ascii="Verdana" w:eastAsia="Calibri" w:hAnsi="Verdana" w:cs="Arial"/>
          <w:color w:val="000000"/>
        </w:rPr>
        <w:lastRenderedPageBreak/>
        <w:t xml:space="preserve">servicios profesionales </w:t>
      </w:r>
      <w:r w:rsidRPr="0014781E">
        <w:rPr>
          <w:rFonts w:ascii="Verdana" w:eastAsia="Calibri" w:hAnsi="Verdana" w:cs="Arial"/>
          <w:i/>
          <w:color w:val="000000"/>
        </w:rPr>
        <w:t>no pueden</w:t>
      </w:r>
      <w:r w:rsidRPr="0014781E">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14781E">
        <w:rPr>
          <w:rFonts w:ascii="Verdana" w:eastAsia="Calibri" w:hAnsi="Verdana" w:cs="Arial"/>
          <w:color w:val="000000"/>
          <w:vertAlign w:val="superscript"/>
        </w:rPr>
        <w:footnoteReference w:id="3"/>
      </w:r>
      <w:r w:rsidRPr="0014781E">
        <w:rPr>
          <w:rFonts w:ascii="Verdana" w:eastAsia="Calibri" w:hAnsi="Verdana" w:cs="Arial"/>
          <w:color w:val="000000"/>
        </w:rPr>
        <w:t xml:space="preserve">. Pero es posible que, a pesar de este mandato deontológico, en la práctica surja la relación laboral, pues, como se sabe, el contrato de trabajo es un </w:t>
      </w:r>
      <w:r w:rsidRPr="0014781E">
        <w:rPr>
          <w:rFonts w:ascii="Verdana" w:eastAsia="Calibri" w:hAnsi="Verdana" w:cs="Arial"/>
          <w:i/>
          <w:color w:val="000000"/>
        </w:rPr>
        <w:t>contrato realidad</w:t>
      </w:r>
      <w:r w:rsidRPr="0014781E">
        <w:rPr>
          <w:rFonts w:ascii="Verdana" w:eastAsia="Calibri" w:hAnsi="Verdana" w:cs="Arial"/>
          <w:color w:val="000000"/>
        </w:rPr>
        <w:t xml:space="preserve">, ya que para su perfeccionamiento rige el principio de la prevalencia de la realidad sobre las formalidades. </w:t>
      </w:r>
    </w:p>
    <w:p w14:paraId="3B25A668"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14781E">
        <w:rPr>
          <w:rFonts w:ascii="Verdana" w:eastAsia="Calibri" w:hAnsi="Verdana" w:cs="Arial"/>
          <w:color w:val="000000"/>
          <w:vertAlign w:val="superscript"/>
        </w:rPr>
        <w:footnoteReference w:id="4"/>
      </w:r>
      <w:r w:rsidRPr="0014781E">
        <w:rPr>
          <w:rFonts w:ascii="Verdana" w:eastAsia="Calibri" w:hAnsi="Verdana" w:cs="Arial"/>
          <w:color w:val="000000"/>
        </w:rPr>
        <w:t xml:space="preserve">.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w:t>
      </w:r>
      <w:r w:rsidRPr="0014781E">
        <w:rPr>
          <w:rFonts w:ascii="Verdana" w:eastAsia="Calibri" w:hAnsi="Verdana" w:cs="Arial"/>
          <w:color w:val="000000"/>
        </w:rPr>
        <w:lastRenderedPageBreak/>
        <w:t>reglamentaria y/o un contrato de trabajo, según sea la naturaleza jurídica de la entidad pública y el tipo de cargo</w:t>
      </w:r>
      <w:r w:rsidRPr="0014781E">
        <w:rPr>
          <w:rFonts w:ascii="Verdana" w:eastAsia="Calibri" w:hAnsi="Verdana" w:cs="Arial"/>
          <w:color w:val="000000"/>
          <w:vertAlign w:val="superscript"/>
        </w:rPr>
        <w:footnoteReference w:id="5"/>
      </w:r>
      <w:r w:rsidRPr="0014781E">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independencia en la ejecución del mismo.</w:t>
      </w:r>
    </w:p>
    <w:p w14:paraId="2E6DB5AE"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d) Deben ser temporales. Así lo señaló la Corte Constitucional en la misma providencia a la que se aludió previamente, expresando que:</w:t>
      </w:r>
    </w:p>
    <w:p w14:paraId="41DF9C24" w14:textId="77777777" w:rsidR="009B31D6" w:rsidRPr="0014781E" w:rsidRDefault="009B31D6" w:rsidP="009B31D6">
      <w:pPr>
        <w:spacing w:after="0" w:line="276" w:lineRule="auto"/>
        <w:ind w:firstLine="709"/>
        <w:jc w:val="both"/>
        <w:rPr>
          <w:rFonts w:ascii="Verdana" w:eastAsia="Calibri" w:hAnsi="Verdana" w:cs="Arial"/>
          <w:color w:val="000000"/>
        </w:rPr>
      </w:pPr>
    </w:p>
    <w:p w14:paraId="3A75F94E" w14:textId="77777777" w:rsidR="009B31D6" w:rsidRPr="0014781E" w:rsidRDefault="009B31D6" w:rsidP="009B31D6">
      <w:pPr>
        <w:spacing w:after="0" w:line="240" w:lineRule="auto"/>
        <w:ind w:left="709" w:right="709"/>
        <w:jc w:val="both"/>
        <w:rPr>
          <w:rFonts w:ascii="Verdana" w:eastAsia="Calibri" w:hAnsi="Verdana" w:cs="Arial"/>
          <w:color w:val="000000"/>
          <w:sz w:val="21"/>
          <w:szCs w:val="21"/>
        </w:rPr>
      </w:pPr>
      <w:r w:rsidRPr="0014781E">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4781E">
        <w:rPr>
          <w:rFonts w:ascii="Verdana" w:eastAsia="Calibri" w:hAnsi="Verdana" w:cs="Arial"/>
          <w:color w:val="000000"/>
          <w:sz w:val="21"/>
          <w:szCs w:val="21"/>
          <w:vertAlign w:val="superscript"/>
        </w:rPr>
        <w:footnoteReference w:id="6"/>
      </w:r>
      <w:r w:rsidRPr="0014781E">
        <w:rPr>
          <w:rFonts w:ascii="Verdana" w:eastAsia="Calibri" w:hAnsi="Verdana" w:cs="Arial"/>
          <w:color w:val="000000"/>
          <w:sz w:val="21"/>
          <w:szCs w:val="21"/>
        </w:rPr>
        <w:t>.</w:t>
      </w:r>
    </w:p>
    <w:p w14:paraId="5AE9F236" w14:textId="77777777" w:rsidR="009B31D6" w:rsidRPr="0014781E" w:rsidRDefault="009B31D6" w:rsidP="009B31D6">
      <w:pPr>
        <w:spacing w:after="0" w:line="276" w:lineRule="auto"/>
        <w:ind w:firstLine="709"/>
        <w:jc w:val="both"/>
        <w:rPr>
          <w:rFonts w:ascii="Verdana" w:eastAsia="Calibri" w:hAnsi="Verdana" w:cs="Arial"/>
          <w:color w:val="000000"/>
        </w:rPr>
      </w:pPr>
    </w:p>
    <w:p w14:paraId="5BFDE964"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 xml:space="preserve">e) Los contratos de prestación de servicios profesionales hacen parte del género denominado </w:t>
      </w:r>
      <w:r w:rsidRPr="0014781E">
        <w:rPr>
          <w:rFonts w:ascii="Verdana" w:eastAsia="Calibri" w:hAnsi="Verdana" w:cs="Arial"/>
          <w:i/>
          <w:color w:val="000000"/>
        </w:rPr>
        <w:t>contratos de prestación de servicios</w:t>
      </w:r>
      <w:r w:rsidRPr="0014781E">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14781E">
        <w:rPr>
          <w:rFonts w:ascii="Verdana" w:eastAsia="Calibri" w:hAnsi="Verdana" w:cs="Arial"/>
          <w:color w:val="000000"/>
          <w:vertAlign w:val="superscript"/>
        </w:rPr>
        <w:footnoteReference w:id="7"/>
      </w:r>
      <w:r w:rsidRPr="0014781E">
        <w:rPr>
          <w:rFonts w:ascii="Verdana" w:eastAsia="Calibri" w:hAnsi="Verdana" w:cs="Arial"/>
          <w:color w:val="000000"/>
        </w:rPr>
        <w:t xml:space="preserve">. La diferencia entre el contrato de prestación de servicios </w:t>
      </w:r>
      <w:r w:rsidRPr="0014781E">
        <w:rPr>
          <w:rFonts w:ascii="Verdana" w:eastAsia="Calibri" w:hAnsi="Verdana" w:cs="Arial"/>
          <w:i/>
          <w:color w:val="000000"/>
        </w:rPr>
        <w:t>profesionales</w:t>
      </w:r>
      <w:r w:rsidRPr="0014781E">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w:t>
      </w:r>
      <w:r w:rsidRPr="0014781E">
        <w:rPr>
          <w:rFonts w:ascii="Verdana" w:eastAsia="Calibri" w:hAnsi="Verdana" w:cs="Arial"/>
          <w:color w:val="000000"/>
        </w:rPr>
        <w:lastRenderedPageBreak/>
        <w:t>unificación jurisprudencial del 2 de diciembre de 2013, al indicar, respecto del contrato de prestación de servicios profesionales, que:</w:t>
      </w:r>
    </w:p>
    <w:p w14:paraId="36EF911F" w14:textId="77777777" w:rsidR="009B31D6" w:rsidRPr="0014781E" w:rsidRDefault="009B31D6" w:rsidP="009B31D6">
      <w:pPr>
        <w:spacing w:after="0" w:line="276" w:lineRule="auto"/>
        <w:ind w:firstLine="709"/>
        <w:jc w:val="both"/>
        <w:rPr>
          <w:rFonts w:ascii="Verdana" w:eastAsia="Calibri" w:hAnsi="Verdana" w:cs="Arial"/>
          <w:color w:val="000000"/>
        </w:rPr>
      </w:pPr>
    </w:p>
    <w:p w14:paraId="1F9F2C67" w14:textId="77777777" w:rsidR="009B31D6" w:rsidRPr="0014781E" w:rsidRDefault="009B31D6" w:rsidP="009B31D6">
      <w:pPr>
        <w:spacing w:after="0" w:line="240" w:lineRule="auto"/>
        <w:ind w:left="709" w:right="709"/>
        <w:jc w:val="both"/>
        <w:rPr>
          <w:rFonts w:ascii="Verdana" w:eastAsia="Calibri" w:hAnsi="Verdana" w:cs="Arial"/>
          <w:color w:val="000000"/>
          <w:sz w:val="21"/>
          <w:szCs w:val="21"/>
        </w:rPr>
      </w:pPr>
      <w:r w:rsidRPr="0014781E">
        <w:rPr>
          <w:rFonts w:ascii="Verdana" w:eastAsia="Calibri" w:hAnsi="Verdana" w:cs="Arial"/>
          <w:color w:val="000000"/>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14781E">
        <w:rPr>
          <w:rFonts w:ascii="Verdana" w:eastAsia="Calibri" w:hAnsi="Verdana" w:cs="Arial"/>
          <w:color w:val="000000"/>
          <w:sz w:val="21"/>
          <w:szCs w:val="21"/>
          <w:vertAlign w:val="superscript"/>
        </w:rPr>
        <w:footnoteReference w:id="8"/>
      </w:r>
      <w:r w:rsidRPr="0014781E">
        <w:rPr>
          <w:rFonts w:ascii="Verdana" w:eastAsia="Calibri" w:hAnsi="Verdana" w:cs="Arial"/>
          <w:color w:val="000000"/>
          <w:sz w:val="21"/>
          <w:szCs w:val="21"/>
        </w:rPr>
        <w:t>.</w:t>
      </w:r>
    </w:p>
    <w:p w14:paraId="3877329A" w14:textId="77777777" w:rsidR="009B31D6" w:rsidRPr="0014781E" w:rsidRDefault="009B31D6" w:rsidP="009B31D6">
      <w:pPr>
        <w:spacing w:after="0" w:line="276" w:lineRule="auto"/>
        <w:ind w:firstLine="709"/>
        <w:jc w:val="both"/>
        <w:rPr>
          <w:rFonts w:ascii="Verdana" w:eastAsia="Calibri" w:hAnsi="Verdana" w:cs="Arial"/>
          <w:color w:val="000000"/>
        </w:rPr>
      </w:pPr>
    </w:p>
    <w:p w14:paraId="4FDD06DA"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Objeto que, según la sentencia que se cita, se diferencia del objeto del contrato de prestación de servicios de apoyo a la gestión, porque en este:</w:t>
      </w:r>
    </w:p>
    <w:p w14:paraId="6D5CA8EB" w14:textId="77777777" w:rsidR="009B31D6" w:rsidRPr="0014781E" w:rsidRDefault="009B31D6" w:rsidP="009B31D6">
      <w:pPr>
        <w:spacing w:after="0" w:line="276" w:lineRule="auto"/>
        <w:ind w:firstLine="709"/>
        <w:jc w:val="both"/>
        <w:rPr>
          <w:rFonts w:ascii="Verdana" w:eastAsia="Calibri" w:hAnsi="Verdana" w:cs="Arial"/>
          <w:color w:val="000000"/>
        </w:rPr>
      </w:pPr>
    </w:p>
    <w:p w14:paraId="16C92367"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D5FECC7"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240B5746"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621FEF1F"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7E25582B"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r w:rsidRPr="0014781E">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14:paraId="79B456A3"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166CB682" w14:textId="77777777" w:rsidR="009B31D6" w:rsidRPr="0014781E" w:rsidRDefault="009B31D6" w:rsidP="009B31D6">
      <w:pPr>
        <w:spacing w:after="0" w:line="240" w:lineRule="auto"/>
        <w:ind w:left="709" w:right="709"/>
        <w:jc w:val="both"/>
        <w:rPr>
          <w:rFonts w:ascii="Verdana" w:eastAsia="Calibri" w:hAnsi="Verdana" w:cs="Arial"/>
          <w:color w:val="000000"/>
          <w:sz w:val="21"/>
          <w:szCs w:val="21"/>
        </w:rPr>
      </w:pPr>
      <w:r w:rsidRPr="0014781E">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14781E">
        <w:rPr>
          <w:rFonts w:ascii="Verdana" w:eastAsia="Calibri" w:hAnsi="Verdana" w:cs="Arial"/>
          <w:color w:val="000000"/>
          <w:sz w:val="21"/>
          <w:szCs w:val="21"/>
          <w:vertAlign w:val="superscript"/>
        </w:rPr>
        <w:footnoteReference w:id="9"/>
      </w:r>
      <w:r w:rsidRPr="0014781E">
        <w:rPr>
          <w:rFonts w:ascii="Verdana" w:eastAsia="Calibri" w:hAnsi="Verdana" w:cs="Arial"/>
          <w:color w:val="000000"/>
          <w:sz w:val="21"/>
          <w:szCs w:val="21"/>
        </w:rPr>
        <w:t>.</w:t>
      </w:r>
    </w:p>
    <w:p w14:paraId="63A2667A" w14:textId="77777777" w:rsidR="009B31D6" w:rsidRPr="0014781E" w:rsidRDefault="009B31D6" w:rsidP="009B31D6">
      <w:pPr>
        <w:spacing w:after="0" w:line="276" w:lineRule="auto"/>
        <w:ind w:firstLine="709"/>
        <w:jc w:val="both"/>
        <w:rPr>
          <w:rFonts w:ascii="Verdana" w:eastAsia="Calibri" w:hAnsi="Verdana" w:cs="Arial"/>
          <w:color w:val="000000"/>
        </w:rPr>
      </w:pPr>
    </w:p>
    <w:p w14:paraId="68423A92"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lastRenderedPageBreak/>
        <w:t>En relación con el contrato de prestación de servicios artísticos que solo pueden encomendarse a determinadas personas naturales, señala el mencionado fallo que:</w:t>
      </w:r>
    </w:p>
    <w:p w14:paraId="4FCDF497" w14:textId="77777777" w:rsidR="009B31D6" w:rsidRPr="0014781E" w:rsidRDefault="009B31D6" w:rsidP="009B31D6">
      <w:pPr>
        <w:spacing w:after="0" w:line="240" w:lineRule="auto"/>
        <w:ind w:left="709" w:right="709"/>
        <w:jc w:val="both"/>
        <w:rPr>
          <w:rFonts w:ascii="Verdana" w:eastAsia="Calibri" w:hAnsi="Verdana" w:cs="Arial"/>
          <w:color w:val="000000"/>
          <w:sz w:val="20"/>
          <w:szCs w:val="20"/>
        </w:rPr>
      </w:pPr>
    </w:p>
    <w:p w14:paraId="2B2D20DE" w14:textId="77777777" w:rsidR="009B31D6" w:rsidRPr="0014781E" w:rsidRDefault="009B31D6" w:rsidP="009B31D6">
      <w:pPr>
        <w:spacing w:after="0" w:line="240" w:lineRule="auto"/>
        <w:ind w:left="709" w:right="709"/>
        <w:jc w:val="both"/>
        <w:rPr>
          <w:rFonts w:ascii="Verdana" w:eastAsia="Calibri" w:hAnsi="Verdana" w:cs="Arial"/>
          <w:color w:val="000000"/>
          <w:sz w:val="21"/>
          <w:szCs w:val="21"/>
        </w:rPr>
      </w:pPr>
      <w:r w:rsidRPr="0014781E">
        <w:rPr>
          <w:rFonts w:ascii="Verdana" w:eastAsia="Calibri" w:hAnsi="Verdana" w:cs="Arial"/>
          <w:color w:val="000000"/>
          <w:sz w:val="20"/>
          <w:szCs w:val="20"/>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14781E">
        <w:rPr>
          <w:rFonts w:ascii="Verdana" w:eastAsia="Calibri" w:hAnsi="Verdana" w:cs="Arial"/>
          <w:color w:val="000000"/>
          <w:sz w:val="21"/>
          <w:szCs w:val="21"/>
          <w:vertAlign w:val="superscript"/>
        </w:rPr>
        <w:footnoteReference w:id="10"/>
      </w:r>
      <w:r w:rsidRPr="0014781E">
        <w:rPr>
          <w:rFonts w:ascii="Verdana" w:eastAsia="Calibri" w:hAnsi="Verdana" w:cs="Arial"/>
          <w:color w:val="000000"/>
          <w:sz w:val="21"/>
          <w:szCs w:val="21"/>
        </w:rPr>
        <w:t>.</w:t>
      </w:r>
    </w:p>
    <w:p w14:paraId="7D52C095" w14:textId="77777777" w:rsidR="009B31D6" w:rsidRPr="0014781E" w:rsidRDefault="009B31D6" w:rsidP="009B31D6">
      <w:pPr>
        <w:spacing w:after="0" w:line="240" w:lineRule="auto"/>
        <w:ind w:left="709" w:right="709"/>
        <w:jc w:val="both"/>
        <w:rPr>
          <w:rFonts w:ascii="Verdana" w:eastAsia="Calibri" w:hAnsi="Verdana" w:cs="Arial"/>
          <w:color w:val="000000"/>
          <w:sz w:val="21"/>
          <w:szCs w:val="21"/>
        </w:rPr>
      </w:pPr>
    </w:p>
    <w:p w14:paraId="6AB30F75" w14:textId="77777777" w:rsidR="009B31D6" w:rsidRPr="0014781E" w:rsidRDefault="009B31D6" w:rsidP="009B31D6">
      <w:pPr>
        <w:spacing w:after="0" w:line="276" w:lineRule="auto"/>
        <w:ind w:firstLine="709"/>
        <w:jc w:val="both"/>
        <w:rPr>
          <w:rFonts w:ascii="Verdana" w:eastAsia="Calibri" w:hAnsi="Verdana" w:cs="Arial"/>
          <w:color w:val="000000"/>
        </w:rPr>
      </w:pPr>
      <w:r w:rsidRPr="0014781E">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14781E">
        <w:rPr>
          <w:rFonts w:ascii="Verdana" w:eastAsia="Calibri" w:hAnsi="Verdana" w:cs="Arial"/>
          <w:color w:val="000000"/>
          <w:vertAlign w:val="superscript"/>
        </w:rPr>
        <w:footnoteReference w:id="11"/>
      </w:r>
      <w:r w:rsidRPr="0014781E">
        <w:rPr>
          <w:rFonts w:ascii="Verdana" w:eastAsia="Calibri" w:hAnsi="Verdana" w:cs="Arial"/>
          <w:color w:val="000000"/>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7264FB1B"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g) Para su celebración no se requiere la expedición del acto administrativo de justificación de la contratación directa</w:t>
      </w:r>
      <w:r w:rsidRPr="0014781E">
        <w:rPr>
          <w:rFonts w:ascii="Verdana" w:eastAsia="Calibri" w:hAnsi="Verdana" w:cs="Arial"/>
          <w:color w:val="000000"/>
          <w:vertAlign w:val="superscript"/>
        </w:rPr>
        <w:footnoteReference w:id="12"/>
      </w:r>
      <w:r w:rsidRPr="0014781E">
        <w:rPr>
          <w:rFonts w:ascii="Verdana" w:eastAsia="Calibri" w:hAnsi="Verdana" w:cs="Arial"/>
          <w:color w:val="000000"/>
        </w:rPr>
        <w:t xml:space="preserve">. </w:t>
      </w:r>
    </w:p>
    <w:p w14:paraId="27022176"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lastRenderedPageBreak/>
        <w:t>h) Admiten el pacto de cláusulas excepcionales. Es decir, en los contratos de prestación de servicios profesionales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14781E">
        <w:rPr>
          <w:rFonts w:ascii="Verdana" w:eastAsia="Calibri" w:hAnsi="Verdana" w:cs="Arial"/>
          <w:color w:val="000000"/>
          <w:vertAlign w:val="superscript"/>
        </w:rPr>
        <w:footnoteReference w:id="13"/>
      </w:r>
      <w:r w:rsidRPr="0014781E">
        <w:rPr>
          <w:rFonts w:ascii="Verdana" w:eastAsia="Calibri" w:hAnsi="Verdana" w:cs="Arial"/>
          <w:color w:val="000000"/>
        </w:rPr>
        <w:t>.</w:t>
      </w:r>
    </w:p>
    <w:p w14:paraId="17CA8004" w14:textId="77777777" w:rsidR="009B31D6" w:rsidRPr="0014781E" w:rsidRDefault="009B31D6" w:rsidP="009B31D6">
      <w:pPr>
        <w:spacing w:before="120" w:after="120" w:line="276" w:lineRule="auto"/>
        <w:ind w:firstLine="709"/>
        <w:jc w:val="both"/>
        <w:rPr>
          <w:rFonts w:ascii="Verdana" w:eastAsia="Calibri" w:hAnsi="Verdana" w:cs="Arial"/>
          <w:color w:val="000000"/>
        </w:rPr>
      </w:pPr>
      <w:r w:rsidRPr="0014781E">
        <w:rPr>
          <w:rFonts w:ascii="Verdana" w:eastAsia="Calibri" w:hAnsi="Verdana" w:cs="Arial"/>
          <w:color w:val="000000"/>
        </w:rPr>
        <w:t>i) En ellos no es obligatoria la liquidación, pues así lo estableció el artículo 217 del Decreto 019 de 2012, que modificó el artículo 60 de la Ley 80 de 1993</w:t>
      </w:r>
      <w:r w:rsidRPr="0014781E">
        <w:rPr>
          <w:rFonts w:ascii="Verdana" w:eastAsia="Calibri" w:hAnsi="Verdana" w:cs="Arial"/>
          <w:color w:val="000000"/>
          <w:vertAlign w:val="superscript"/>
        </w:rPr>
        <w:footnoteReference w:id="14"/>
      </w:r>
      <w:r w:rsidRPr="0014781E">
        <w:rPr>
          <w:rFonts w:ascii="Verdana" w:eastAsia="Calibri" w:hAnsi="Verdana" w:cs="Arial"/>
          <w:color w:val="000000"/>
        </w:rPr>
        <w:t xml:space="preserve">, </w:t>
      </w:r>
      <w:r w:rsidRPr="0014781E">
        <w:rPr>
          <w:rFonts w:ascii="Verdana" w:eastAsia="Calibri" w:hAnsi="Verdana" w:cs="Arial"/>
          <w:color w:val="000000"/>
          <w:lang w:val="es-ES" w:eastAsia="es-ES"/>
        </w:rPr>
        <w:t>refiriéndose expresamente a los contratos de prestación de servicios profesionales y de apoyo a la gestión.</w:t>
      </w:r>
    </w:p>
    <w:p w14:paraId="4E9DCC41" w14:textId="77777777" w:rsidR="009B31D6" w:rsidRPr="0014781E" w:rsidRDefault="009B31D6" w:rsidP="009B31D6">
      <w:pPr>
        <w:spacing w:after="120" w:line="276" w:lineRule="auto"/>
        <w:ind w:firstLine="709"/>
        <w:jc w:val="both"/>
        <w:rPr>
          <w:rFonts w:ascii="Verdana" w:eastAsia="Calibri" w:hAnsi="Verdana" w:cs="Arial"/>
          <w:color w:val="000000"/>
        </w:rPr>
      </w:pPr>
      <w:r w:rsidRPr="0014781E">
        <w:rPr>
          <w:rFonts w:ascii="Verdana" w:eastAsia="Calibri" w:hAnsi="Verdana" w:cs="Arial"/>
          <w:color w:val="000000"/>
        </w:rPr>
        <w:t>j) Para su celebración no se requiere inscripción en el Registro Único de Proponentes (RUP), según lo prevé el artículo 6 de la Ley 1150 de 2007</w:t>
      </w:r>
      <w:r w:rsidRPr="0014781E">
        <w:rPr>
          <w:rFonts w:ascii="Verdana" w:eastAsia="Calibri" w:hAnsi="Verdana" w:cs="Arial"/>
          <w:color w:val="000000"/>
          <w:vertAlign w:val="superscript"/>
        </w:rPr>
        <w:footnoteReference w:id="15"/>
      </w:r>
      <w:r w:rsidRPr="0014781E">
        <w:rPr>
          <w:rFonts w:ascii="Verdana" w:eastAsia="Calibri" w:hAnsi="Verdana" w:cs="Arial"/>
          <w:color w:val="000000"/>
        </w:rPr>
        <w:t>.</w:t>
      </w:r>
    </w:p>
    <w:p w14:paraId="16B1B94D" w14:textId="77777777" w:rsidR="009B31D6" w:rsidRPr="0014781E" w:rsidRDefault="009B31D6" w:rsidP="009B31D6">
      <w:pPr>
        <w:spacing w:after="120" w:line="276" w:lineRule="auto"/>
        <w:ind w:firstLine="709"/>
        <w:jc w:val="both"/>
        <w:rPr>
          <w:rFonts w:ascii="Verdana" w:eastAsia="Calibri" w:hAnsi="Verdana" w:cs="Arial"/>
          <w:color w:val="000000"/>
        </w:rPr>
      </w:pPr>
      <w:r w:rsidRPr="0014781E">
        <w:rPr>
          <w:rFonts w:ascii="Verdana" w:eastAsia="Calibri" w:hAnsi="Verdana" w:cs="Arial"/>
          <w:color w:val="000000"/>
        </w:rPr>
        <w:lastRenderedPageBreak/>
        <w:t>k) En ellos no son necesarias las garantías</w:t>
      </w:r>
      <w:r w:rsidRPr="0014781E">
        <w:rPr>
          <w:rFonts w:ascii="Verdana" w:eastAsia="Calibri" w:hAnsi="Verdana" w:cs="Arial"/>
          <w:color w:val="000000"/>
          <w:vertAlign w:val="superscript"/>
        </w:rPr>
        <w:footnoteReference w:id="16"/>
      </w:r>
      <w:r w:rsidRPr="0014781E">
        <w:rPr>
          <w:rFonts w:ascii="Verdana" w:eastAsia="Calibri" w:hAnsi="Verdana" w:cs="Arial"/>
          <w:color w:val="000000"/>
        </w:rPr>
        <w:t>.</w:t>
      </w:r>
    </w:p>
    <w:p w14:paraId="3B1E70BA" w14:textId="77777777" w:rsidR="009B31D6" w:rsidRPr="0014781E" w:rsidRDefault="009B31D6" w:rsidP="009B31D6">
      <w:pPr>
        <w:spacing w:after="120" w:line="276" w:lineRule="auto"/>
        <w:ind w:firstLine="709"/>
        <w:jc w:val="both"/>
        <w:rPr>
          <w:rFonts w:ascii="Verdana" w:eastAsia="Calibri" w:hAnsi="Verdana" w:cs="Arial"/>
          <w:color w:val="000000"/>
        </w:rPr>
      </w:pPr>
      <w:r w:rsidRPr="0014781E">
        <w:rPr>
          <w:rFonts w:ascii="Verdana" w:hAnsi="Verdana"/>
        </w:rPr>
        <w:t xml:space="preserve">Conforme </w:t>
      </w:r>
      <w:r w:rsidRPr="0014781E">
        <w:rPr>
          <w:rFonts w:ascii="Verdana" w:eastAsia="Calibri" w:hAnsi="Verdana" w:cs="Arial"/>
          <w:color w:val="000000"/>
          <w:lang w:val="es-ES_tradnl" w:eastAsia="es-ES_tradnl"/>
        </w:rPr>
        <w:t>a</w:t>
      </w:r>
      <w:r w:rsidRPr="0014781E">
        <w:rPr>
          <w:rFonts w:ascii="Verdana" w:hAnsi="Verdana"/>
        </w:rPr>
        <w:t xml:space="preserve"> lo expuesto, las características y requisitos para la celebración del contrato de prestación de servicios se encuentran reguladas en el EGCAP y el marco jurídico aplicable es el expuesto anteriormente. </w:t>
      </w:r>
    </w:p>
    <w:p w14:paraId="19D75A6D" w14:textId="77777777" w:rsidR="009B31D6" w:rsidRPr="0014781E" w:rsidRDefault="009B31D6" w:rsidP="009B31D6">
      <w:pPr>
        <w:widowControl w:val="0"/>
        <w:autoSpaceDE w:val="0"/>
        <w:autoSpaceDN w:val="0"/>
        <w:spacing w:after="120" w:line="276" w:lineRule="auto"/>
        <w:ind w:firstLine="709"/>
        <w:jc w:val="both"/>
        <w:rPr>
          <w:rFonts w:ascii="Verdana" w:hAnsi="Verdana"/>
        </w:rPr>
      </w:pPr>
      <w:r w:rsidRPr="0014781E">
        <w:rPr>
          <w:rFonts w:ascii="Verdana" w:hAnsi="Verdana"/>
        </w:rPr>
        <w:t xml:space="preserve">Ahora bien, respecto de algunas de sus preguntas, resulta importante hacer aclaraciones generales. Preliminarmente, se precisa que la denominación establecida en el numeral 3 del artículo 32 de la Ley 80 de 1993 es el </w:t>
      </w:r>
      <w:r w:rsidRPr="0014781E">
        <w:rPr>
          <w:rFonts w:ascii="Verdana" w:hAnsi="Verdana"/>
          <w:i/>
          <w:iCs/>
        </w:rPr>
        <w:t>contrato de prestación de servicios,</w:t>
      </w:r>
      <w:r w:rsidRPr="0014781E">
        <w:rPr>
          <w:rFonts w:ascii="Verdana" w:hAnsi="Verdana"/>
        </w:rPr>
        <w:t xml:space="preserve"> el cual incluye como especie los contratos de prestación de servicios profesionales, los contratos de prestación de servicios apoyo a la gestión y los contratos de prestación de servicios artísticos que solo pueden encomendarse a determinadas personas naturales.</w:t>
      </w:r>
    </w:p>
    <w:p w14:paraId="75B4CCAE" w14:textId="77777777" w:rsidR="009B31D6" w:rsidRPr="0014781E" w:rsidRDefault="009B31D6" w:rsidP="009B31D6">
      <w:pPr>
        <w:spacing w:after="120" w:line="276" w:lineRule="auto"/>
        <w:ind w:firstLine="708"/>
        <w:jc w:val="both"/>
        <w:rPr>
          <w:rFonts w:ascii="Verdana" w:eastAsia="Calibri" w:hAnsi="Verdana" w:cs="Arial"/>
          <w:lang w:val="es-ES"/>
        </w:rPr>
      </w:pPr>
      <w:r w:rsidRPr="0014781E">
        <w:rPr>
          <w:rFonts w:ascii="Verdana" w:hAnsi="Verdana"/>
        </w:rPr>
        <w:t>De igual manera, se aclara que al tratarse de un contrato estatal, debe cumplir con los requisitos de perfeccionamiento y ejecución establecidos en el artículo 41 de la Ley 80 de 1993. En efecto, conforme lo señala</w:t>
      </w:r>
      <w:r w:rsidRPr="0014781E">
        <w:rPr>
          <w:rFonts w:ascii="Verdana" w:eastAsia="Calibri" w:hAnsi="Verdana" w:cs="Arial"/>
          <w:lang w:val="es-ES_tradnl"/>
        </w:rPr>
        <w:t xml:space="preserve"> el primer inciso del artículo 41 de la Ley 80 de 1993 “</w:t>
      </w:r>
      <w:r w:rsidRPr="0014781E">
        <w:rPr>
          <w:rFonts w:ascii="Verdana" w:eastAsia="Calibri" w:hAnsi="Verdana" w:cs="Arial"/>
          <w:i/>
          <w:iCs/>
          <w:lang w:val="es-ES_tradnl"/>
        </w:rPr>
        <w:t>Los contratos del Estado se perfeccionan cuando se logre acuerdo sobre el objeto y la contraprestación y éste se eleve a escrito</w:t>
      </w:r>
      <w:r w:rsidRPr="0014781E">
        <w:rPr>
          <w:rFonts w:ascii="Verdana" w:eastAsia="Calibri" w:hAnsi="Verdana" w:cs="Arial"/>
          <w:lang w:val="es-ES_tradnl"/>
        </w:rPr>
        <w:t>”, de tal manera que para que el contrato estatal exista, no solo debe haber un acuerdo sobre la obligación principal del negocio –es decir, sobre el “objeto”– y sobre la contraprestación, sino que se debe plasmar por escrito. Además, para su ejecución se deberán cumplir los requisitos de ejecución señalados en el inciso segundo del referido artículo 41</w:t>
      </w:r>
      <w:r w:rsidRPr="0014781E">
        <w:rPr>
          <w:rFonts w:ascii="Verdana" w:eastAsia="Calibri" w:hAnsi="Verdana" w:cs="Arial"/>
          <w:vertAlign w:val="superscript"/>
          <w:lang w:val="es-ES_tradnl"/>
        </w:rPr>
        <w:footnoteReference w:id="17"/>
      </w:r>
      <w:r w:rsidRPr="0014781E">
        <w:rPr>
          <w:rFonts w:ascii="Verdana" w:eastAsia="Calibri" w:hAnsi="Verdana" w:cs="Arial"/>
          <w:lang w:val="es-ES_tradnl"/>
        </w:rPr>
        <w:t xml:space="preserve">, es decir, que se deberá contar </w:t>
      </w:r>
      <w:r w:rsidRPr="0014781E">
        <w:rPr>
          <w:rFonts w:ascii="Verdana" w:eastAsia="Calibri" w:hAnsi="Verdana" w:cs="Arial"/>
          <w:lang w:val="es-ES"/>
        </w:rPr>
        <w:t xml:space="preserve">con: (i) la aprobación de las garantías exigidas en el contrato (cuando aplique), (ii) la existencia de la apropiación presupuestal correspondiente y (iii) </w:t>
      </w:r>
      <w:r w:rsidRPr="0014781E">
        <w:rPr>
          <w:rFonts w:ascii="Verdana" w:eastAsia="Calibri" w:hAnsi="Verdana" w:cs="Arial"/>
          <w:lang w:val="es-ES"/>
        </w:rPr>
        <w:lastRenderedPageBreak/>
        <w:t>la acreditación del cumplimiento de las obligaciones con el Sistema de Seguridad Social Integral.</w:t>
      </w:r>
    </w:p>
    <w:p w14:paraId="341D1B2F" w14:textId="77777777" w:rsidR="009B31D6" w:rsidRPr="0014781E" w:rsidRDefault="009B31D6" w:rsidP="009B31D6">
      <w:pPr>
        <w:spacing w:after="120" w:line="276" w:lineRule="auto"/>
        <w:ind w:firstLine="708"/>
        <w:jc w:val="both"/>
        <w:rPr>
          <w:rFonts w:ascii="Verdana" w:eastAsia="Calibri" w:hAnsi="Verdana" w:cs="Arial"/>
          <w:lang w:val="es-ES"/>
        </w:rPr>
      </w:pPr>
      <w:r w:rsidRPr="0014781E">
        <w:rPr>
          <w:rFonts w:ascii="Verdana" w:eastAsia="Calibri" w:hAnsi="Verdana" w:cs="Arial"/>
          <w:lang w:val="es-ES"/>
        </w:rPr>
        <w:t xml:space="preserve">En este sentido, el contrato estatal existe desde el momento de su perfeccionamiento y para su ejecución, es decir, para el inicio </w:t>
      </w:r>
      <w:r w:rsidRPr="0014781E">
        <w:rPr>
          <w:rFonts w:ascii="Verdana" w:eastAsia="Calibri" w:hAnsi="Verdana" w:cs="Arial"/>
          <w:lang w:val="es-ES_tradnl"/>
        </w:rPr>
        <w:t xml:space="preserve">de la fase de realización de las actividades pactadas en el contrato, </w:t>
      </w:r>
      <w:r w:rsidRPr="0014781E">
        <w:rPr>
          <w:rFonts w:ascii="Verdana" w:eastAsia="Calibri" w:hAnsi="Verdana" w:cs="Arial"/>
          <w:lang w:val="es-ES"/>
        </w:rPr>
        <w:t xml:space="preserve">es necesario que se acrediten los requisitos de ejecución previstos en el artículo 41 </w:t>
      </w:r>
      <w:r w:rsidRPr="0014781E">
        <w:rPr>
          <w:rFonts w:ascii="Verdana" w:eastAsia="Calibri" w:hAnsi="Verdana" w:cs="Arial"/>
          <w:i/>
          <w:iCs/>
          <w:lang w:val="es-ES"/>
        </w:rPr>
        <w:t xml:space="preserve">ibidem. </w:t>
      </w:r>
      <w:r w:rsidRPr="0014781E">
        <w:rPr>
          <w:rFonts w:ascii="Verdana" w:eastAsia="Calibri" w:hAnsi="Verdana" w:cs="Arial"/>
          <w:lang w:val="es-ES"/>
        </w:rPr>
        <w:t>Debido a que en el contrato de prestación de servicios no es obligatoria la exigencia de garantías, si este requisito no ha sido pactado expresamente entre las partes, bastará con el cumplimiento de los otros requisitos establecidos en la citada norma para dar inicio a su ejecución</w:t>
      </w:r>
      <w:r w:rsidRPr="0014781E">
        <w:rPr>
          <w:rFonts w:ascii="Verdana" w:eastAsia="Calibri" w:hAnsi="Verdana" w:cs="Arial"/>
          <w:i/>
          <w:iCs/>
          <w:lang w:val="es-ES"/>
        </w:rPr>
        <w:t xml:space="preserve">. </w:t>
      </w:r>
    </w:p>
    <w:p w14:paraId="5BA8AA2C" w14:textId="77777777" w:rsidR="009B31D6" w:rsidRPr="0014781E" w:rsidRDefault="009B31D6" w:rsidP="009B31D6">
      <w:pPr>
        <w:spacing w:before="120" w:after="0" w:line="276" w:lineRule="auto"/>
        <w:ind w:firstLine="708"/>
        <w:jc w:val="both"/>
        <w:rPr>
          <w:rFonts w:ascii="Verdana" w:eastAsia="Times New Roman" w:hAnsi="Verdana" w:cs="Arial"/>
          <w:color w:val="000000" w:themeColor="text1"/>
          <w:lang w:eastAsia="es-CO"/>
        </w:rPr>
      </w:pPr>
      <w:r w:rsidRPr="0014781E">
        <w:rPr>
          <w:rFonts w:ascii="Verdana" w:eastAsia="Calibri" w:hAnsi="Verdana" w:cs="Arial"/>
          <w:lang w:val="es-ES"/>
        </w:rPr>
        <w:t xml:space="preserve">En aquellos casos en los que, </w:t>
      </w:r>
      <w:r w:rsidRPr="0014781E">
        <w:rPr>
          <w:rFonts w:ascii="Verdana" w:eastAsia="Times New Roman" w:hAnsi="Verdana" w:cs="Arial"/>
          <w:color w:val="000000" w:themeColor="text1"/>
          <w:lang w:eastAsia="es-CO"/>
        </w:rPr>
        <w:t>en función de los riesgos identificados por la entidad tanto en el análisis del sector –art. 2.2.1.1.1.6.1 del Decreto 1082 de 2015– como los estudios y documentos previos –num. 6 del art. 2.2.1.1.2.1.1 ibidem–, se considere la necesidad de solicitar garantías, podrán incluirse las contempladas</w:t>
      </w:r>
      <w:r w:rsidRPr="0014781E">
        <w:rPr>
          <w:rFonts w:ascii="Verdana" w:hAnsi="Verdana"/>
          <w:color w:val="333333"/>
          <w:shd w:val="clear" w:color="auto" w:fill="FFFFFF"/>
        </w:rPr>
        <w:t xml:space="preserve"> en l</w:t>
      </w:r>
      <w:r w:rsidRPr="0014781E">
        <w:rPr>
          <w:rFonts w:ascii="Verdana" w:eastAsia="Times New Roman" w:hAnsi="Verdana" w:cs="Arial"/>
          <w:color w:val="000000" w:themeColor="text1"/>
          <w:lang w:eastAsia="es-CO"/>
        </w:rPr>
        <w:t xml:space="preserve">os artículos 2.2.1.2.3.1.1 al 2.2.1.2.3.5.1. del Decreto Único Reglamentario del sector Administrativo de Planeación Nacional. </w:t>
      </w:r>
    </w:p>
    <w:p w14:paraId="70953A7D" w14:textId="77777777" w:rsidR="009B31D6" w:rsidRPr="0014781E" w:rsidRDefault="009B31D6" w:rsidP="009B31D6">
      <w:pPr>
        <w:spacing w:before="120" w:after="0" w:line="276" w:lineRule="auto"/>
        <w:ind w:firstLine="708"/>
        <w:jc w:val="both"/>
        <w:rPr>
          <w:rFonts w:ascii="Verdana" w:eastAsia="Times New Roman" w:hAnsi="Verdana" w:cs="Arial"/>
          <w:color w:val="000000" w:themeColor="text1"/>
          <w:lang w:eastAsia="es-CO"/>
        </w:rPr>
      </w:pPr>
      <w:r w:rsidRPr="0014781E">
        <w:rPr>
          <w:rFonts w:ascii="Verdana" w:eastAsia="Times New Roman" w:hAnsi="Verdana" w:cs="Arial"/>
          <w:color w:val="000000" w:themeColor="text1"/>
          <w:lang w:eastAsia="es-CO"/>
        </w:rPr>
        <w:t xml:space="preserve">Particularmente, el artículo 2.2.1.2.3.1.7 de dicho decreto reglamenta la garantía única de cumplimiento </w:t>
      </w:r>
      <w:r w:rsidRPr="0014781E">
        <w:rPr>
          <w:rFonts w:ascii="Verdana" w:eastAsia="Calibri" w:hAnsi="Verdana" w:cs="Arial"/>
          <w:lang w:val="es-ES"/>
        </w:rPr>
        <w:t xml:space="preserve">mediante la cual </w:t>
      </w:r>
      <w:r w:rsidRPr="0014781E">
        <w:rPr>
          <w:rFonts w:ascii="Verdana" w:eastAsia="Calibri" w:hAnsi="Verdana" w:cs="Arial"/>
          <w:color w:val="000000" w:themeColor="text1"/>
          <w:lang w:val="es-ES"/>
        </w:rPr>
        <w:t>el contratista ampara los perjuicios que le pueda generar a la entidad el incumplimiento de las obligaciones derivadas del contrato</w:t>
      </w:r>
      <w:r w:rsidRPr="0014781E">
        <w:rPr>
          <w:rFonts w:ascii="Verdana" w:eastAsia="Calibri" w:hAnsi="Verdana" w:cs="Arial"/>
          <w:color w:val="000000" w:themeColor="text1"/>
          <w:vertAlign w:val="superscript"/>
        </w:rPr>
        <w:footnoteReference w:id="18"/>
      </w:r>
      <w:r w:rsidRPr="0014781E">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Esta norma prescribe </w:t>
      </w:r>
      <w:r w:rsidRPr="0014781E">
        <w:rPr>
          <w:rFonts w:ascii="Verdana" w:hAnsi="Verdana" w:cs="Arial"/>
          <w:color w:val="000000" w:themeColor="text1"/>
        </w:rPr>
        <w:t xml:space="preserve">que la garantía de cumplimiento debe cubrir: i) el buen manejo y correcta inversión del anticipo; ii) la devolución del pago anticipado; iii) el cumplimiento del contrato; iv) el pago de salarios, prestaciones sociales legales e indemnizaciones laborales; v)  la estabilidad y calidad de la obra; vi) la </w:t>
      </w:r>
      <w:r w:rsidRPr="0014781E">
        <w:rPr>
          <w:rFonts w:ascii="Verdana" w:eastAsia="Times New Roman" w:hAnsi="Verdana" w:cs="Arial"/>
          <w:color w:val="000000" w:themeColor="text1"/>
          <w:lang w:eastAsia="es-CO"/>
        </w:rPr>
        <w:t xml:space="preserve">calidad del servicio; vii) la calidad y correcto funcionamiento de los </w:t>
      </w:r>
      <w:r w:rsidRPr="0014781E">
        <w:rPr>
          <w:rFonts w:ascii="Verdana" w:eastAsia="Times New Roman" w:hAnsi="Verdana" w:cs="Arial"/>
          <w:color w:val="000000" w:themeColor="text1"/>
          <w:lang w:eastAsia="es-CO"/>
        </w:rPr>
        <w:lastRenderedPageBreak/>
        <w:t>bienes; y viii) los demás incumplimientos de las obligaciones que la entidad estatal considere deben ser amparados</w:t>
      </w:r>
      <w:r w:rsidRPr="0014781E">
        <w:rPr>
          <w:rFonts w:ascii="Verdana" w:eastAsia="Times New Roman" w:hAnsi="Verdana" w:cs="Arial"/>
          <w:color w:val="000000" w:themeColor="text1"/>
          <w:vertAlign w:val="superscript"/>
          <w:lang w:eastAsia="es-CO"/>
        </w:rPr>
        <w:footnoteReference w:id="19"/>
      </w:r>
      <w:r w:rsidRPr="0014781E">
        <w:rPr>
          <w:rFonts w:ascii="Verdana" w:eastAsia="Times New Roman" w:hAnsi="Verdana" w:cs="Arial"/>
          <w:color w:val="000000" w:themeColor="text1"/>
          <w:lang w:eastAsia="es-CO"/>
        </w:rPr>
        <w:t xml:space="preserve">. </w:t>
      </w:r>
    </w:p>
    <w:p w14:paraId="27F1CBD1" w14:textId="77777777" w:rsidR="009B31D6" w:rsidRPr="0014781E" w:rsidRDefault="009B31D6" w:rsidP="009B31D6">
      <w:pPr>
        <w:spacing w:before="120" w:after="0" w:line="276" w:lineRule="auto"/>
        <w:ind w:firstLine="708"/>
        <w:jc w:val="both"/>
        <w:rPr>
          <w:rFonts w:ascii="Verdana" w:eastAsia="Times New Roman" w:hAnsi="Verdana" w:cs="Arial"/>
          <w:color w:val="000000" w:themeColor="text1"/>
          <w:lang w:eastAsia="es-CO"/>
        </w:rPr>
      </w:pPr>
      <w:r w:rsidRPr="0014781E">
        <w:rPr>
          <w:rFonts w:ascii="Verdana" w:eastAsia="Times New Roman" w:hAnsi="Verdana" w:cs="Arial"/>
          <w:color w:val="000000" w:themeColor="text1"/>
          <w:lang w:eastAsia="es-CO"/>
        </w:rPr>
        <w:t xml:space="preserve">De esta manera, con base en el análisis efectuado en los estudios y documentos previos, las entidades estatales podrán determinar la necesidad de exigir la garantía única de cumplimiento, incluyendo el respectivo amparo de cumplimiento, en los contratos de prestación de servicios, cuando se identifiquen riesgos asociados al eventual incumplimiento contractual. </w:t>
      </w:r>
    </w:p>
    <w:p w14:paraId="0224D4E4" w14:textId="77777777" w:rsidR="009B31D6" w:rsidRPr="0014781E" w:rsidRDefault="009B31D6" w:rsidP="009B31D6">
      <w:pPr>
        <w:spacing w:before="120" w:after="0" w:line="276" w:lineRule="auto"/>
        <w:ind w:firstLine="708"/>
        <w:jc w:val="both"/>
        <w:rPr>
          <w:rFonts w:ascii="Verdana" w:hAnsi="Verdana" w:cs="Arial"/>
          <w:color w:val="000000" w:themeColor="text1"/>
        </w:rPr>
      </w:pPr>
      <w:r w:rsidRPr="0014781E">
        <w:rPr>
          <w:rFonts w:ascii="Verdana" w:eastAsia="Times New Roman" w:hAnsi="Verdana" w:cs="Arial"/>
          <w:color w:val="000000" w:themeColor="text1"/>
          <w:lang w:eastAsia="es-CO"/>
        </w:rPr>
        <w:t xml:space="preserve">Por otro lado, también es importante precisar que </w:t>
      </w:r>
      <w:r w:rsidRPr="0014781E">
        <w:rPr>
          <w:rFonts w:ascii="Verdana" w:eastAsia="Calibri" w:hAnsi="Verdana" w:cs="Arial"/>
          <w:lang w:val="es-ES"/>
        </w:rPr>
        <w:t xml:space="preserve">las actividades y obligaciones del contrato de prestación de servicios, como se explicó, deben estar </w:t>
      </w:r>
      <w:r w:rsidRPr="0014781E">
        <w:rPr>
          <w:rFonts w:ascii="Verdana" w:eastAsia="Calibri" w:hAnsi="Verdana" w:cs="Arial"/>
          <w:color w:val="000000"/>
        </w:rPr>
        <w:t xml:space="preserve">relacionadas con la administración o funcionamiento de la entidad, es decir, que hagan parte de su giro ordinario o quehacer cotidiano. </w:t>
      </w:r>
      <w:r w:rsidRPr="0014781E">
        <w:rPr>
          <w:rFonts w:ascii="Verdana" w:hAnsi="Verdana" w:cs="Arial"/>
          <w:color w:val="000000" w:themeColor="text1"/>
        </w:rPr>
        <w:t xml:space="preserve">Estas actividades deben guardar relación con el funcionamiento de la entidad y ejecutarse por el tiempo estrictamente indispensable, teniendo en cuenta las necesidades que la administración pública pretenda satisfacer. En otras palabras, su propósito es desarrollar actividades relacionadas con el cumplimiento de las funciones y </w:t>
      </w:r>
      <w:r w:rsidRPr="0014781E">
        <w:rPr>
          <w:rFonts w:ascii="Verdana" w:hAnsi="Verdana" w:cs="Arial"/>
          <w:color w:val="000000" w:themeColor="text1"/>
        </w:rPr>
        <w:lastRenderedPageBreak/>
        <w:t xml:space="preserve">objeto misional a cargo de la entidad contratante, siempre que tales actividades o funciones sean temporales, excepcionales u ocasionales y no puedan realizarse con el personal de planta, bien por ser insuficiente o bien porque se requieran conocimientos especializados. Por consiguiente, en estos contratos no pueden suplirse, de forma definitiva, las funciones permanentes de la entidad. </w:t>
      </w:r>
    </w:p>
    <w:p w14:paraId="5A07D8A3" w14:textId="77777777" w:rsidR="009B31D6" w:rsidRPr="0014781E" w:rsidRDefault="009B31D6" w:rsidP="009B31D6">
      <w:pPr>
        <w:spacing w:before="120" w:after="120" w:line="276" w:lineRule="auto"/>
        <w:ind w:firstLine="709"/>
        <w:jc w:val="both"/>
        <w:rPr>
          <w:rFonts w:ascii="Verdana" w:hAnsi="Verdana" w:cs="Arial"/>
          <w:color w:val="000000" w:themeColor="text1"/>
        </w:rPr>
      </w:pPr>
      <w:r w:rsidRPr="0014781E">
        <w:rPr>
          <w:rFonts w:ascii="Verdana" w:hAnsi="Verdana" w:cs="Arial"/>
          <w:color w:val="000000" w:themeColor="text1"/>
        </w:rPr>
        <w:t xml:space="preserve">Para efectos de determinar las actividades específicas a desarrollar deberá tenerse en cuenta el tipo de contrato de prestación de servicios que se suscriba, es decir, si se trata de </w:t>
      </w:r>
      <w:r w:rsidRPr="0014781E">
        <w:rPr>
          <w:rFonts w:ascii="Verdana" w:hAnsi="Verdana"/>
        </w:rPr>
        <w:t>contratos de prestación de servicios profesionales, de apoyo a la gestión o de servicios artísticos</w:t>
      </w:r>
      <w:r w:rsidRPr="0014781E">
        <w:rPr>
          <w:rFonts w:ascii="Verdana" w:hAnsi="Verdana" w:cs="Arial"/>
          <w:color w:val="000000" w:themeColor="text1"/>
        </w:rPr>
        <w:t>, ya que su distinción es determinante en las obligaciones a ejecutar. En todo caso, cada entidad estatal es autónoma en la determinación de las obligaciones y derechos a pactar en el contrato de acuerdo con el marco jurídico señalado, revisando, además, que el objeto a contratar no se ubique dentro del ámbito propio de otros tipos contractuales establecidos en la Ley, como, por ejemplo, el contrato de consultoría.</w:t>
      </w:r>
    </w:p>
    <w:p w14:paraId="7A0ECCB1" w14:textId="77777777" w:rsidR="009B31D6" w:rsidRPr="0014781E" w:rsidRDefault="009B31D6" w:rsidP="009B31D6">
      <w:pPr>
        <w:spacing w:before="120" w:after="120" w:line="276" w:lineRule="auto"/>
        <w:ind w:firstLine="709"/>
        <w:jc w:val="both"/>
        <w:rPr>
          <w:rFonts w:ascii="Verdana" w:hAnsi="Verdana" w:cs="Arial"/>
          <w:color w:val="000000" w:themeColor="text1"/>
        </w:rPr>
      </w:pPr>
      <w:r w:rsidRPr="0014781E">
        <w:rPr>
          <w:rFonts w:ascii="Verdana" w:hAnsi="Verdana" w:cs="Arial"/>
          <w:color w:val="000000" w:themeColor="text1"/>
        </w:rPr>
        <w:t>Al respecto, vale la pena poner de presente lo establecido en la</w:t>
      </w:r>
      <w:r w:rsidRPr="0014781E">
        <w:t xml:space="preserve"> “</w:t>
      </w:r>
      <w:r w:rsidRPr="0014781E">
        <w:rPr>
          <w:rFonts w:ascii="Verdana" w:hAnsi="Verdana"/>
        </w:rPr>
        <w:t>Guía para la Incorporación de Lineamientos de Integridad en la Contratación de Prestación de Servicios” expedida por esta Agencia, en la que se indicó que:</w:t>
      </w:r>
      <w:r w:rsidRPr="0014781E">
        <w:t xml:space="preserve"> </w:t>
      </w:r>
      <w:r w:rsidRPr="0014781E">
        <w:rPr>
          <w:rFonts w:ascii="Verdana" w:hAnsi="Verdana" w:cs="Arial"/>
          <w:color w:val="000000" w:themeColor="text1"/>
        </w:rPr>
        <w:t xml:space="preserve"> “la delimitación del objeto del contrato proviene no sólo de las normas positivas que lo definen, sino también de disposiciones prohibitivas o restrictivas que indican que el contrato de prestación de servicios no es un medio para suplir la vinculación de personas naturales en el desempeño de la función pública, ni constituye un instrumento para el cumplimiento propiamente dicho de ella”. </w:t>
      </w:r>
    </w:p>
    <w:p w14:paraId="24CF8D3A" w14:textId="77777777" w:rsidR="009B31D6" w:rsidRPr="0014781E" w:rsidRDefault="009B31D6" w:rsidP="009B31D6">
      <w:pPr>
        <w:spacing w:after="120" w:line="276" w:lineRule="auto"/>
        <w:ind w:firstLine="708"/>
        <w:jc w:val="both"/>
        <w:rPr>
          <w:rFonts w:ascii="Verdana" w:eastAsia="Calibri" w:hAnsi="Verdana" w:cs="Arial"/>
          <w:color w:val="000000"/>
          <w:lang w:val="es-ES_tradnl"/>
        </w:rPr>
      </w:pPr>
      <w:r w:rsidRPr="0014781E">
        <w:rPr>
          <w:rFonts w:ascii="Verdana" w:eastAsia="Calibri" w:hAnsi="Verdana" w:cs="Arial"/>
          <w:color w:val="000000"/>
          <w:lang w:val="es-ES_tradnl"/>
        </w:rPr>
        <w:t>De otra parte, sobre la liquidación en los contratos de prestación de servicio, debe reiterarse que de acuerdo con el artículo 60 de la Ley 80 de 1993 esta no será obligatoria. Lo anterior, sin perjuicio de que la entidad de manera facultativa o potestativa considere en cada caso que el contrato de prestación de servicio requiere de liquidación con arreglo a criterios tales como la naturaleza, objeto y plazo del contrato</w:t>
      </w:r>
      <w:r w:rsidRPr="0014781E">
        <w:rPr>
          <w:rFonts w:ascii="Verdana" w:eastAsia="Calibri" w:hAnsi="Verdana" w:cs="Arial"/>
          <w:color w:val="000000"/>
          <w:vertAlign w:val="superscript"/>
          <w:lang w:val="es-ES_tradnl"/>
        </w:rPr>
        <w:footnoteReference w:id="20"/>
      </w:r>
      <w:r w:rsidRPr="0014781E">
        <w:rPr>
          <w:rFonts w:ascii="Verdana" w:eastAsia="Calibri" w:hAnsi="Verdana" w:cs="Arial"/>
          <w:color w:val="000000"/>
          <w:lang w:val="es-ES_tradnl"/>
        </w:rPr>
        <w:t xml:space="preserve">, así como la probabilidad de que puedan surgir diferencias durante la ejecución del contrato. En este sentido, en el evento en que se considere necesaria la liquidación se deberá tener en cuenta lo previsto en el artículo </w:t>
      </w:r>
      <w:r w:rsidRPr="0014781E">
        <w:rPr>
          <w:rFonts w:ascii="Verdana" w:eastAsia="Calibri" w:hAnsi="Verdana" w:cs="Arial"/>
          <w:color w:val="000000"/>
          <w:lang w:val="es-ES"/>
        </w:rPr>
        <w:t>11 de la Ley 1150 de 2007 que contiene las reglas de tipo procedimental para liquidar los contratos estatales.</w:t>
      </w:r>
    </w:p>
    <w:p w14:paraId="4969A557" w14:textId="77777777" w:rsidR="009B31D6" w:rsidRPr="0014781E" w:rsidRDefault="009B31D6" w:rsidP="009B31D6">
      <w:pPr>
        <w:spacing w:after="120" w:line="276" w:lineRule="auto"/>
        <w:ind w:firstLine="708"/>
        <w:jc w:val="both"/>
        <w:rPr>
          <w:rFonts w:ascii="Verdana" w:eastAsia="Calibri" w:hAnsi="Verdana" w:cs="Arial"/>
          <w:color w:val="000000"/>
        </w:rPr>
      </w:pPr>
      <w:r w:rsidRPr="0014781E">
        <w:rPr>
          <w:rFonts w:ascii="Verdana" w:eastAsia="Calibri" w:hAnsi="Verdana" w:cs="Arial"/>
          <w:color w:val="000000"/>
          <w:lang w:val="es-ES_tradnl"/>
        </w:rPr>
        <w:lastRenderedPageBreak/>
        <w:t xml:space="preserve">Por último, de acuerdo con lo señalado en su consulta se precisa que las figuras de caducidad y prescripción </w:t>
      </w:r>
      <w:r w:rsidRPr="0014781E">
        <w:rPr>
          <w:rFonts w:ascii="Verdana" w:eastAsia="Calibri" w:hAnsi="Verdana" w:cs="Arial"/>
          <w:color w:val="000000"/>
        </w:rPr>
        <w:t>no operan en estricto sentido dentro del desarrollo o ejecución de un contrato estatal, ya que estas instituciones pertenecen al ámbito del ejercicio de acciones en sede judicial o administrativa y no al cumplimiento de las obligaciones contractuales</w:t>
      </w:r>
      <w:r w:rsidRPr="0014781E">
        <w:rPr>
          <w:rFonts w:ascii="Verdana" w:eastAsia="Calibri" w:hAnsi="Verdana" w:cs="Arial"/>
          <w:i/>
          <w:iCs/>
          <w:color w:val="000000"/>
        </w:rPr>
        <w:t>.</w:t>
      </w:r>
      <w:r w:rsidRPr="0014781E">
        <w:rPr>
          <w:rFonts w:ascii="Verdana" w:eastAsia="Calibri" w:hAnsi="Verdana" w:cs="Arial"/>
          <w:color w:val="000000"/>
        </w:rPr>
        <w:t xml:space="preserve"> Por tanto, estas figuras no afectan la existencia, validez ni ejecución del contrato estatal en sí mismo, sino que condicionan la posibilidad de acudir ante la jurisdicción contencioso - administrativa o ante la administración para hacer valer derechos o reclamar obligaciones derivadas del mismo. </w:t>
      </w:r>
    </w:p>
    <w:p w14:paraId="74F8C814" w14:textId="77777777" w:rsidR="009B31D6" w:rsidRPr="0014781E" w:rsidRDefault="009B31D6" w:rsidP="009B31D6">
      <w:pPr>
        <w:spacing w:after="120" w:line="276" w:lineRule="auto"/>
        <w:ind w:firstLine="708"/>
        <w:jc w:val="both"/>
        <w:rPr>
          <w:rFonts w:ascii="Verdana" w:hAnsi="Verdana" w:cs="Arial"/>
        </w:rPr>
      </w:pPr>
      <w:r w:rsidRPr="0014781E">
        <w:rPr>
          <w:rFonts w:ascii="Verdana" w:eastAsia="Calibri" w:hAnsi="Verdana" w:cs="Arial"/>
          <w:color w:val="000000"/>
        </w:rPr>
        <w:t xml:space="preserve">Así las cosas, </w:t>
      </w:r>
      <w:r w:rsidRPr="0014781E">
        <w:rPr>
          <w:rFonts w:ascii="Verdana" w:hAnsi="Verdana" w:cs="Arial"/>
        </w:rPr>
        <w:t xml:space="preserve">al tratarse de un análisis que debe realizarse </w:t>
      </w:r>
      <w:r w:rsidRPr="0014781E">
        <w:rPr>
          <w:rFonts w:ascii="Verdana" w:eastAsia="Calibri" w:hAnsi="Verdana" w:cs="Arial"/>
          <w:color w:val="000000"/>
        </w:rPr>
        <w:t>para resolver problemas específicos en cada caso particular, relacionados con la caducidad y prescripción de determinada acción o derecho</w:t>
      </w:r>
      <w:r w:rsidRPr="0014781E">
        <w:rPr>
          <w:rFonts w:ascii="Verdana" w:hAnsi="Verdana" w:cs="Arial"/>
        </w:rPr>
        <w:t>, según corresponda,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0720A06E" w14:textId="77777777" w:rsidR="009B31D6" w:rsidRPr="0014781E" w:rsidRDefault="009B31D6" w:rsidP="009B31D6">
      <w:pPr>
        <w:widowControl w:val="0"/>
        <w:autoSpaceDE w:val="0"/>
        <w:autoSpaceDN w:val="0"/>
        <w:spacing w:after="0" w:line="276" w:lineRule="auto"/>
        <w:jc w:val="both"/>
        <w:rPr>
          <w:rFonts w:ascii="Verdana" w:eastAsia="Arial" w:hAnsi="Verdana" w:cs="Arial"/>
          <w:lang w:val="es-ES"/>
        </w:rPr>
      </w:pPr>
    </w:p>
    <w:p w14:paraId="09B74480" w14:textId="77777777" w:rsidR="009B31D6" w:rsidRPr="0014781E" w:rsidRDefault="009B31D6" w:rsidP="009B31D6">
      <w:pPr>
        <w:numPr>
          <w:ilvl w:val="0"/>
          <w:numId w:val="1"/>
        </w:numPr>
        <w:tabs>
          <w:tab w:val="left" w:pos="142"/>
          <w:tab w:val="left" w:pos="284"/>
        </w:tabs>
        <w:spacing w:after="0" w:line="276" w:lineRule="auto"/>
        <w:jc w:val="both"/>
        <w:rPr>
          <w:rFonts w:ascii="Verdana" w:eastAsia="Century Gothic" w:hAnsi="Verdana" w:cs="Century Gothic"/>
          <w:b/>
          <w:bCs/>
        </w:rPr>
      </w:pPr>
      <w:r w:rsidRPr="0014781E">
        <w:rPr>
          <w:rFonts w:ascii="Verdana" w:eastAsia="Century Gothic" w:hAnsi="Verdana" w:cs="Century Gothic"/>
          <w:b/>
          <w:bCs/>
        </w:rPr>
        <w:t>Referencias normativas y jurisprudenciales:</w:t>
      </w:r>
    </w:p>
    <w:p w14:paraId="56CBA03D" w14:textId="77777777" w:rsidR="009B31D6" w:rsidRPr="0014781E" w:rsidRDefault="009B31D6" w:rsidP="009B31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31D6" w:rsidRPr="0014781E" w14:paraId="041032F4" w14:textId="77777777" w:rsidTr="000A2669">
        <w:trPr>
          <w:trHeight w:val="410"/>
          <w:jc w:val="center"/>
        </w:trPr>
        <w:tc>
          <w:tcPr>
            <w:tcW w:w="8647" w:type="dxa"/>
          </w:tcPr>
          <w:p w14:paraId="5CCF37C6" w14:textId="77777777" w:rsidR="009B31D6" w:rsidRPr="0014781E" w:rsidRDefault="009B31D6" w:rsidP="009B31D6">
            <w:pPr>
              <w:numPr>
                <w:ilvl w:val="0"/>
                <w:numId w:val="3"/>
              </w:numPr>
              <w:ind w:left="318" w:hanging="284"/>
              <w:contextualSpacing/>
              <w:rPr>
                <w:rFonts w:ascii="Verdana" w:hAnsi="Verdana" w:cs="Arial"/>
                <w:lang w:val="es-MX"/>
              </w:rPr>
            </w:pPr>
            <w:r w:rsidRPr="0014781E">
              <w:rPr>
                <w:rFonts w:ascii="Verdana" w:hAnsi="Verdana" w:cs="Arial"/>
                <w:lang w:val="es-MX"/>
              </w:rPr>
              <w:t xml:space="preserve">Ley 80 de 1993, artículos 14, 25 y 32, numeral 3º, 41 y 60. </w:t>
            </w:r>
          </w:p>
          <w:p w14:paraId="149B8B30" w14:textId="77777777" w:rsidR="009B31D6" w:rsidRPr="0014781E" w:rsidRDefault="009B31D6" w:rsidP="009B31D6">
            <w:pPr>
              <w:numPr>
                <w:ilvl w:val="0"/>
                <w:numId w:val="3"/>
              </w:numPr>
              <w:ind w:left="318" w:hanging="284"/>
              <w:contextualSpacing/>
              <w:rPr>
                <w:rFonts w:ascii="Verdana" w:hAnsi="Verdana" w:cs="Arial"/>
                <w:lang w:val="es-MX"/>
              </w:rPr>
            </w:pPr>
            <w:r w:rsidRPr="0014781E">
              <w:rPr>
                <w:rFonts w:ascii="Verdana" w:hAnsi="Verdana" w:cs="Arial"/>
                <w:lang w:val="es-MX"/>
              </w:rPr>
              <w:t xml:space="preserve">Ley 1150 de 2007, artículo 2, numeral 4º, literal h). </w:t>
            </w:r>
          </w:p>
          <w:p w14:paraId="2E376543" w14:textId="77777777" w:rsidR="009B31D6" w:rsidRPr="0014781E" w:rsidRDefault="009B31D6" w:rsidP="009B31D6">
            <w:pPr>
              <w:numPr>
                <w:ilvl w:val="0"/>
                <w:numId w:val="3"/>
              </w:numPr>
              <w:ind w:left="318" w:hanging="284"/>
              <w:contextualSpacing/>
              <w:rPr>
                <w:rFonts w:ascii="Verdana" w:hAnsi="Verdana" w:cs="Arial"/>
                <w:sz w:val="24"/>
                <w:lang w:val="es-MX"/>
              </w:rPr>
            </w:pPr>
            <w:r w:rsidRPr="0014781E">
              <w:rPr>
                <w:rFonts w:ascii="Verdana" w:hAnsi="Verdana" w:cs="Arial"/>
                <w:lang w:val="es-MX"/>
              </w:rPr>
              <w:t>Decreto 1082 de 2015, artículos 2.2.1.2.1.4.9.</w:t>
            </w:r>
            <w:r w:rsidRPr="0014781E">
              <w:rPr>
                <w:rFonts w:ascii="Verdana" w:hAnsi="Verdana" w:cs="Arial"/>
                <w:sz w:val="24"/>
                <w:lang w:val="es-MX"/>
              </w:rPr>
              <w:t xml:space="preserve"> y </w:t>
            </w:r>
            <w:r w:rsidRPr="0014781E">
              <w:rPr>
                <w:rFonts w:ascii="Verdana" w:eastAsia="Times New Roman" w:hAnsi="Verdana" w:cs="Arial"/>
                <w:color w:val="000000" w:themeColor="text1"/>
                <w:lang w:val="es-MX" w:eastAsia="es-CO"/>
              </w:rPr>
              <w:t>2.2.1.2.3.1.7</w:t>
            </w:r>
          </w:p>
          <w:p w14:paraId="1E34975B"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rPr>
              <w:t xml:space="preserve">Guía Para la Incorporación de Lineamientos de Integridad en la Contratación de Prestación de Servicios. Disponible en: </w:t>
            </w:r>
            <w:hyperlink r:id="rId13" w:history="1">
              <w:r w:rsidRPr="0014781E">
                <w:rPr>
                  <w:rFonts w:ascii="Verdana" w:hAnsi="Verdana" w:cs="Arial"/>
                  <w:color w:val="0563C1" w:themeColor="hyperlink"/>
                  <w:u w:val="single"/>
                </w:rPr>
                <w:t>https://www.colombiacompra.gov.co/wp-content/uploads/2024/08/cce-eicp-gi-23_guia_contratacion_prestacion_de_servicios_v1_11-07-2023_def_1_1.pdf</w:t>
              </w:r>
            </w:hyperlink>
            <w:r w:rsidRPr="0014781E">
              <w:rPr>
                <w:rFonts w:ascii="Verdana" w:hAnsi="Verdana" w:cs="Arial"/>
              </w:rPr>
              <w:t xml:space="preserve"> </w:t>
            </w:r>
          </w:p>
          <w:p w14:paraId="629F33A1"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color w:val="000000"/>
                <w:lang w:val="es-MX"/>
              </w:rPr>
              <w:t>Consejo De Estado, Sala de Consulta y Servicio Civil. Radicado No. 1453. Concepto de 6 de agosto de 2003. MP. Augusto Trejos.</w:t>
            </w:r>
          </w:p>
          <w:p w14:paraId="108CA2D3"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lang w:val="es-MX"/>
              </w:rPr>
              <w:t>Consejo De Estado. Sección Tercera. Subsección A. Sentencia del 12 de febrero de 2015. Exp.  28278. C.P. Carlos Alberto Zambrano Barrera.</w:t>
            </w:r>
          </w:p>
          <w:p w14:paraId="7E4F2B60"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color w:val="000000"/>
                <w:lang w:val="es-ES"/>
              </w:rPr>
              <w:t>Consejo de Estado. Sección Tercera. Subsección C. Sentencia del 2 de diciembre de 2013. Exp. 41719. Consejero Ponente: Jaime Orlando Santofimio Gamboa.</w:t>
            </w:r>
          </w:p>
          <w:p w14:paraId="3E4000F4"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color w:val="000000"/>
                <w:lang w:val="es-ES"/>
              </w:rPr>
              <w:t>Corte Constitucional. Sentencia C-154 de 1997. Magistrado Ponente: Hernando Herrera Vergara.</w:t>
            </w:r>
          </w:p>
          <w:p w14:paraId="38716CE1"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eastAsia="Arial Nova" w:hAnsi="Verdana" w:cs="Arial"/>
                <w:lang w:val="es"/>
              </w:rPr>
              <w:t xml:space="preserve">Corte Constitucional. Sentencia C-614 de 2009. M.P. Jorge Ignacio Pretelt Chaljub. </w:t>
            </w:r>
          </w:p>
          <w:p w14:paraId="726ABE37" w14:textId="77777777" w:rsidR="009B31D6" w:rsidRPr="0014781E" w:rsidRDefault="009B31D6" w:rsidP="009B31D6">
            <w:pPr>
              <w:numPr>
                <w:ilvl w:val="0"/>
                <w:numId w:val="3"/>
              </w:numPr>
              <w:ind w:left="318" w:hanging="284"/>
              <w:contextualSpacing/>
              <w:jc w:val="both"/>
              <w:rPr>
                <w:rFonts w:ascii="Verdana" w:hAnsi="Verdana" w:cs="Arial"/>
                <w:lang w:val="es-MX"/>
              </w:rPr>
            </w:pPr>
            <w:r w:rsidRPr="0014781E">
              <w:rPr>
                <w:rFonts w:ascii="Verdana" w:hAnsi="Verdana" w:cs="Arial"/>
                <w:color w:val="000000"/>
                <w:lang w:val="es-ES"/>
              </w:rPr>
              <w:lastRenderedPageBreak/>
              <w:t>Corte Constitucional. Sentencia C-154 de 1997. Magistrado Ponente: Hernando Herrera Vergara.</w:t>
            </w:r>
          </w:p>
        </w:tc>
      </w:tr>
    </w:tbl>
    <w:p w14:paraId="7C7F6E90" w14:textId="77777777" w:rsidR="009B31D6" w:rsidRPr="0014781E" w:rsidRDefault="009B31D6" w:rsidP="009B31D6">
      <w:pPr>
        <w:widowControl w:val="0"/>
        <w:autoSpaceDE w:val="0"/>
        <w:autoSpaceDN w:val="0"/>
        <w:spacing w:after="0" w:line="276" w:lineRule="auto"/>
        <w:jc w:val="both"/>
        <w:rPr>
          <w:rFonts w:ascii="Verdana" w:hAnsi="Verdana" w:cs="Arial"/>
        </w:rPr>
      </w:pPr>
    </w:p>
    <w:p w14:paraId="3FC185CB" w14:textId="77777777" w:rsidR="009B31D6" w:rsidRPr="0014781E" w:rsidRDefault="009B31D6" w:rsidP="009B31D6">
      <w:pPr>
        <w:numPr>
          <w:ilvl w:val="0"/>
          <w:numId w:val="1"/>
        </w:numPr>
        <w:tabs>
          <w:tab w:val="left" w:pos="142"/>
          <w:tab w:val="left" w:pos="284"/>
        </w:tabs>
        <w:spacing w:after="0" w:line="276" w:lineRule="auto"/>
        <w:jc w:val="both"/>
        <w:rPr>
          <w:rFonts w:ascii="Verdana" w:eastAsia="Century Gothic" w:hAnsi="Verdana" w:cs="Century Gothic"/>
          <w:b/>
          <w:bCs/>
        </w:rPr>
      </w:pPr>
      <w:r w:rsidRPr="0014781E">
        <w:rPr>
          <w:rFonts w:ascii="Verdana" w:eastAsia="Century Gothic" w:hAnsi="Verdana" w:cs="Century Gothic"/>
          <w:b/>
          <w:bCs/>
        </w:rPr>
        <w:t>Doctrina de la Agencia Nacional de Contratación Pública:</w:t>
      </w:r>
    </w:p>
    <w:p w14:paraId="7E36A3C5" w14:textId="77777777" w:rsidR="009B31D6" w:rsidRPr="0014781E" w:rsidRDefault="009B31D6" w:rsidP="009B31D6">
      <w:pPr>
        <w:widowControl w:val="0"/>
        <w:autoSpaceDE w:val="0"/>
        <w:autoSpaceDN w:val="0"/>
        <w:spacing w:after="0" w:line="276" w:lineRule="auto"/>
        <w:jc w:val="both"/>
        <w:rPr>
          <w:rFonts w:ascii="Verdana" w:hAnsi="Verdana" w:cs="Arial"/>
        </w:rPr>
      </w:pPr>
    </w:p>
    <w:p w14:paraId="1135B368" w14:textId="77777777" w:rsidR="009B31D6" w:rsidRPr="0014781E" w:rsidRDefault="009B31D6" w:rsidP="009B31D6">
      <w:pPr>
        <w:widowControl w:val="0"/>
        <w:autoSpaceDE w:val="0"/>
        <w:autoSpaceDN w:val="0"/>
        <w:spacing w:after="0" w:line="276" w:lineRule="auto"/>
        <w:jc w:val="both"/>
        <w:rPr>
          <w:rFonts w:ascii="Verdana" w:eastAsia="Aptos" w:hAnsi="Verdana" w:cs="Segoe UI"/>
          <w:kern w:val="2"/>
          <w14:ligatures w14:val="standardContextual"/>
        </w:rPr>
      </w:pPr>
      <w:r w:rsidRPr="0014781E">
        <w:rPr>
          <w:rFonts w:ascii="Verdana" w:hAnsi="Verdana" w:cs="Arial"/>
          <w:shd w:val="clear" w:color="auto" w:fill="FFFFFF"/>
          <w:lang w:val="es-ES"/>
        </w:rPr>
        <w:t>Sobre los contratos de prestación de servicios, así como los requisitos para su celebración, entre otros, se pronunció esta Subdirección en los conceptos</w:t>
      </w:r>
      <w:r w:rsidRPr="0014781E">
        <w:rPr>
          <w:rFonts w:ascii="Verdana" w:hAnsi="Verdana" w:cs="Calibri"/>
          <w:shd w:val="clear" w:color="auto" w:fill="FFFFFF"/>
        </w:rPr>
        <w:t xml:space="preserve"> </w:t>
      </w:r>
      <w:r w:rsidRPr="0014781E">
        <w:rPr>
          <w:rFonts w:ascii="Verdana" w:hAnsi="Verdana" w:cs="Arial"/>
          <w:shd w:val="clear" w:color="auto" w:fill="FFFFFF"/>
          <w:lang w:val="es-ES"/>
        </w:rPr>
        <w:t>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y C-363 del 15 de abril de 2025, entre otros</w:t>
      </w:r>
      <w:r w:rsidRPr="0014781E">
        <w:rPr>
          <w:rFonts w:ascii="Verdana" w:eastAsia="Aptos" w:hAnsi="Verdana" w:cs="Segoe UI"/>
          <w:kern w:val="2"/>
          <w14:ligatures w14:val="standardContextual"/>
        </w:rPr>
        <w:t>.</w:t>
      </w:r>
      <w:r w:rsidRPr="0014781E">
        <w:rPr>
          <w:rFonts w:ascii="Verdana" w:eastAsia="Aptos" w:hAnsi="Verdana" w:cs="Arial"/>
          <w:shd w:val="clear" w:color="auto" w:fill="FFFFFF"/>
        </w:rPr>
        <w:t xml:space="preserve"> </w:t>
      </w:r>
      <w:r w:rsidRPr="0014781E">
        <w:rPr>
          <w:rFonts w:ascii="Verdana" w:hAnsi="Verdana" w:cs="Arial"/>
          <w:shd w:val="clear" w:color="auto" w:fill="FFFFFF"/>
        </w:rPr>
        <w:t>Es</w:t>
      </w:r>
      <w:r w:rsidRPr="0014781E">
        <w:rPr>
          <w:rFonts w:ascii="Verdana" w:hAnsi="Verdana"/>
        </w:rPr>
        <w:t>te y otros conceptos se encuentran disponibles para consulta en el Sistema de relatoría de la Agencia, al cual se puede acceder a través del siguiente enlace:</w:t>
      </w:r>
      <w:r w:rsidRPr="0014781E">
        <w:rPr>
          <w:rFonts w:ascii="Verdana" w:hAnsi="Verdana" w:cs="Arial"/>
          <w:shd w:val="clear" w:color="auto" w:fill="FFFFFF"/>
        </w:rPr>
        <w:t xml:space="preserve"> </w:t>
      </w:r>
      <w:hyperlink r:id="rId14" w:history="1">
        <w:r w:rsidRPr="0014781E">
          <w:rPr>
            <w:rFonts w:ascii="Verdana" w:hAnsi="Verdana" w:cs="Arial"/>
            <w:color w:val="0000FF"/>
            <w:u w:val="single"/>
            <w:shd w:val="clear" w:color="auto" w:fill="FFFFFF"/>
          </w:rPr>
          <w:t>https://relatoria.colombiacompra.gov.co/</w:t>
        </w:r>
      </w:hyperlink>
      <w:r w:rsidRPr="0014781E">
        <w:rPr>
          <w:rFonts w:ascii="Verdana" w:hAnsi="Verdana" w:cs="Arial"/>
          <w:shd w:val="clear" w:color="auto" w:fill="FFFFFF"/>
        </w:rPr>
        <w:t xml:space="preserve"> </w:t>
      </w:r>
    </w:p>
    <w:p w14:paraId="5430538E" w14:textId="77777777" w:rsidR="009B31D6" w:rsidRPr="0014781E" w:rsidRDefault="009B31D6" w:rsidP="009B31D6">
      <w:pPr>
        <w:widowControl w:val="0"/>
        <w:autoSpaceDE w:val="0"/>
        <w:autoSpaceDN w:val="0"/>
        <w:spacing w:after="0" w:line="276" w:lineRule="auto"/>
        <w:jc w:val="both"/>
        <w:rPr>
          <w:rFonts w:ascii="Verdana" w:hAnsi="Verdana" w:cs="Arial"/>
          <w:shd w:val="clear" w:color="auto" w:fill="FFFFFF"/>
        </w:rPr>
      </w:pPr>
    </w:p>
    <w:p w14:paraId="5D023FF5" w14:textId="77777777" w:rsidR="009B31D6" w:rsidRPr="0014781E" w:rsidRDefault="009B31D6" w:rsidP="009B31D6">
      <w:pPr>
        <w:widowControl w:val="0"/>
        <w:autoSpaceDE w:val="0"/>
        <w:autoSpaceDN w:val="0"/>
        <w:spacing w:after="120" w:line="276" w:lineRule="auto"/>
        <w:jc w:val="both"/>
        <w:rPr>
          <w:rFonts w:ascii="Verdana" w:hAnsi="Verdana" w:cs="Arial"/>
          <w:shd w:val="clear" w:color="auto" w:fill="FFFFFF"/>
        </w:rPr>
      </w:pPr>
      <w:r w:rsidRPr="0014781E">
        <w:rPr>
          <w:rFonts w:ascii="Verdana" w:eastAsia="Times New Roman" w:hAnsi="Verdana" w:cs="Times New Roman"/>
          <w:color w:val="000000"/>
          <w:lang w:eastAsia="es-CO"/>
        </w:rPr>
        <w:t>La Agencia Nacional de Contratación Pública – Colombia Compra Eficiente invita a las Entidades Estatales, a los actores del Sistema de Compra Pública y a la ciudadanía en general a conocer y participar en la actualización de la </w:t>
      </w:r>
      <w:r w:rsidRPr="0014781E">
        <w:rPr>
          <w:rFonts w:ascii="Verdana" w:eastAsia="Times New Roman" w:hAnsi="Verdana" w:cs="Times New Roman"/>
          <w:b/>
          <w:bCs/>
          <w:i/>
          <w:iCs/>
          <w:color w:val="000000"/>
          <w:lang w:eastAsia="es-CO"/>
        </w:rPr>
        <w:t>Guía para la Elaboración de Estudios del Sector</w:t>
      </w:r>
      <w:r w:rsidRPr="0014781E">
        <w:rPr>
          <w:rFonts w:ascii="Verdana" w:eastAsia="Times New Roman" w:hAnsi="Verdana" w:cs="Times New Roman"/>
          <w:color w:val="000000"/>
          <w:lang w:eastAsia="es-CO"/>
        </w:rPr>
        <w:t xml:space="preserve">. Esta herramienta orientadora facilita el análisis del mercado del bien, obra o servicio a contratar, y tiene como </w:t>
      </w:r>
      <w:r w:rsidRPr="0014781E">
        <w:rPr>
          <w:rFonts w:ascii="Verdana" w:eastAsia="Times New Roman" w:hAnsi="Verdana" w:cs="Times New Roman"/>
          <w:color w:val="000000"/>
          <w:lang w:eastAsia="es-CO"/>
        </w:rPr>
        <w:lastRenderedPageBreak/>
        <w:t>propósito promover procesos de contratación más eficientes, competitivos, sostenibles e inclusivos. La guía se encuentra disponible para consulta y comentarios hasta el 22 de mayo de 2025, a través del siguiente enlace: </w:t>
      </w:r>
      <w:hyperlink r:id="rId15" w:tgtFrame="_blank" w:tooltip="Dirección URL original: https://www.colombiacompra.gov.co/archivos/convocatoria/participacion-ciudadana-proyecto-de-la-guia-para-la-elaboracion-de-estudios-del-sector. Haga clic o pulse si confía en este vínculo." w:history="1">
        <w:r w:rsidRPr="0014781E">
          <w:rPr>
            <w:rFonts w:ascii="Verdana" w:eastAsia="Times New Roman" w:hAnsi="Verdana" w:cs="Times New Roman"/>
            <w:color w:val="1A60A6"/>
            <w:u w:val="single"/>
            <w:bdr w:val="none" w:sz="0" w:space="0" w:color="auto" w:frame="1"/>
            <w:lang w:eastAsia="es-CO"/>
          </w:rPr>
          <w:t>https://www.colombiacompra.gov.co/archivos/convocatoria/participacion-ciudadana-proyecto-de-la-guia-para-la-</w:t>
        </w:r>
      </w:hyperlink>
    </w:p>
    <w:p w14:paraId="3A5C7DE2" w14:textId="77777777" w:rsidR="009B31D6" w:rsidRPr="0014781E" w:rsidRDefault="009B31D6" w:rsidP="009B31D6">
      <w:pPr>
        <w:shd w:val="clear" w:color="auto" w:fill="FFFFFF"/>
        <w:spacing w:after="120" w:line="276" w:lineRule="auto"/>
        <w:jc w:val="both"/>
        <w:textAlignment w:val="baseline"/>
        <w:rPr>
          <w:rFonts w:ascii="Verdana" w:eastAsia="Times New Roman" w:hAnsi="Verdana" w:cs="Times New Roman"/>
          <w:color w:val="000000"/>
          <w:lang w:eastAsia="es-CO"/>
        </w:rPr>
      </w:pPr>
      <w:r w:rsidRPr="0014781E">
        <w:rPr>
          <w:rFonts w:ascii="Verdana" w:eastAsia="Times New Roman" w:hAnsi="Verdana" w:cs="Times New Roman"/>
          <w:color w:val="000000"/>
          <w:lang w:eastAsia="es-CO"/>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6" w:tgtFrame="_blank" w:tooltip="Dirección URL original: https://www.colombiacompra.gov.co/normativa-y-relatoria/documentos-tipo. Haga clic o pulse si confía en este vínculo." w:history="1">
        <w:r w:rsidRPr="0014781E">
          <w:rPr>
            <w:rFonts w:ascii="Verdana" w:eastAsia="Times New Roman" w:hAnsi="Verdana" w:cs="Times New Roman"/>
            <w:color w:val="0000FF"/>
            <w:u w:val="single"/>
            <w:bdr w:val="none" w:sz="0" w:space="0" w:color="auto" w:frame="1"/>
            <w:lang w:eastAsia="es-CO"/>
          </w:rPr>
          <w:t>Documentos Tipo – ANCP Colombia Compra Eficiente</w:t>
        </w:r>
      </w:hyperlink>
      <w:r w:rsidRPr="0014781E">
        <w:rPr>
          <w:rFonts w:ascii="Verdana" w:eastAsia="Times New Roman" w:hAnsi="Verdana" w:cs="Times New Roman"/>
          <w:color w:val="000000"/>
          <w:u w:val="single"/>
          <w:lang w:eastAsia="es-CO"/>
        </w:rPr>
        <w:t> </w:t>
      </w:r>
    </w:p>
    <w:p w14:paraId="095625D1" w14:textId="77777777" w:rsidR="009B31D6" w:rsidRPr="0014781E" w:rsidRDefault="009B31D6" w:rsidP="009B31D6">
      <w:pPr>
        <w:shd w:val="clear" w:color="auto" w:fill="FFFFFF"/>
        <w:spacing w:after="120" w:line="276" w:lineRule="auto"/>
        <w:jc w:val="both"/>
        <w:textAlignment w:val="baseline"/>
        <w:rPr>
          <w:rFonts w:ascii="Verdana" w:eastAsia="Times New Roman" w:hAnsi="Verdana" w:cs="Times New Roman"/>
          <w:color w:val="242424"/>
          <w:lang w:eastAsia="es-CO"/>
        </w:rPr>
      </w:pPr>
      <w:r w:rsidRPr="0014781E">
        <w:rPr>
          <w:rFonts w:ascii="Verdana" w:eastAsia="Times New Roman" w:hAnsi="Verdana" w:cs="Times New Roman"/>
          <w:color w:val="000000"/>
          <w:bdr w:val="none" w:sz="0" w:space="0" w:color="auto" w:frame="1"/>
          <w:lang w:eastAsia="es-CO"/>
        </w:rPr>
        <w:t>También le contamos que ya se encuentra disponible la </w:t>
      </w:r>
      <w:r w:rsidRPr="0014781E">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14781E">
        <w:rPr>
          <w:rFonts w:ascii="Verdana" w:eastAsia="Times New Roman" w:hAnsi="Verdana" w:cs="Times New Roman"/>
          <w:color w:val="000000"/>
          <w:bdr w:val="none" w:sz="0" w:space="0" w:color="auto" w:frame="1"/>
          <w:lang w:eastAsia="es-CO"/>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7" w:tgtFrame="_blank" w:tooltip="Dirección URL original: https://www.colombiacompra.gov.co/wp-content/uploads/2025/05/GUIA-DE-LINEAMIENTOS-DE-TRANSPARENCIA-Y-SELECCION-OBJETIVA-1.0.pdf. Haga clic o pulse si confía en este vínculo." w:history="1">
        <w:r w:rsidRPr="0014781E">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14781E">
        <w:rPr>
          <w:rFonts w:ascii="Verdana" w:eastAsia="Times New Roman" w:hAnsi="Verdana" w:cs="Times New Roman"/>
          <w:color w:val="467886"/>
          <w:u w:val="single"/>
          <w:bdr w:val="none" w:sz="0" w:space="0" w:color="auto" w:frame="1"/>
          <w:lang w:eastAsia="es-CO"/>
        </w:rPr>
        <w:t>"</w:t>
      </w:r>
    </w:p>
    <w:p w14:paraId="48F566D1" w14:textId="77777777" w:rsidR="009B31D6" w:rsidRPr="0014781E" w:rsidRDefault="009B31D6" w:rsidP="009B31D6">
      <w:pPr>
        <w:widowControl w:val="0"/>
        <w:autoSpaceDE w:val="0"/>
        <w:autoSpaceDN w:val="0"/>
        <w:spacing w:after="0" w:line="276" w:lineRule="auto"/>
        <w:jc w:val="both"/>
        <w:rPr>
          <w:rFonts w:ascii="Verdana" w:hAnsi="Verdana" w:cs="Arial"/>
        </w:rPr>
      </w:pPr>
      <w:r w:rsidRPr="0014781E">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97639FE" w14:textId="77777777" w:rsidR="009B31D6" w:rsidRPr="0014781E" w:rsidRDefault="009B31D6" w:rsidP="009B31D6">
      <w:pPr>
        <w:widowControl w:val="0"/>
        <w:autoSpaceDE w:val="0"/>
        <w:autoSpaceDN w:val="0"/>
        <w:spacing w:after="0" w:line="276" w:lineRule="auto"/>
        <w:jc w:val="both"/>
        <w:rPr>
          <w:rFonts w:ascii="Verdana" w:hAnsi="Verdana" w:cs="Arial"/>
        </w:rPr>
      </w:pPr>
    </w:p>
    <w:p w14:paraId="179B857D" w14:textId="77777777" w:rsidR="009B31D6" w:rsidRPr="0014781E" w:rsidRDefault="009B31D6" w:rsidP="009B31D6">
      <w:pPr>
        <w:spacing w:after="0" w:line="276" w:lineRule="auto"/>
        <w:rPr>
          <w:rFonts w:ascii="Verdana" w:hAnsi="Verdana" w:cs="Arial"/>
          <w:lang w:eastAsia="es-CO"/>
        </w:rPr>
      </w:pPr>
      <w:r w:rsidRPr="0014781E">
        <w:rPr>
          <w:rFonts w:ascii="Verdana" w:eastAsia="Times New Roman" w:hAnsi="Verdana" w:cs="Arial"/>
          <w:lang w:eastAsia="es-CO"/>
        </w:rPr>
        <w:t>Atentamente,</w:t>
      </w:r>
      <w:r w:rsidRPr="0014781E">
        <w:rPr>
          <w:rFonts w:ascii="Verdana" w:hAnsi="Verdana" w:cs="Arial"/>
          <w:lang w:eastAsia="es-CO"/>
        </w:rPr>
        <w:t xml:space="preserve"> </w:t>
      </w:r>
    </w:p>
    <w:p w14:paraId="445CD970" w14:textId="20F8F5D8" w:rsidR="009B31D6" w:rsidRPr="0014781E" w:rsidRDefault="00E34AAD" w:rsidP="009B31D6">
      <w:pPr>
        <w:spacing w:line="276" w:lineRule="auto"/>
        <w:jc w:val="center"/>
        <w:rPr>
          <w:rFonts w:ascii="Verdana" w:hAnsi="Verdana" w:cs="Arial"/>
          <w:color w:val="000000"/>
          <w:lang w:eastAsia="es-CO"/>
        </w:rPr>
      </w:pPr>
      <w:r>
        <w:rPr>
          <w:noProof/>
        </w:rPr>
        <w:drawing>
          <wp:inline distT="0" distB="0" distL="0" distR="0" wp14:anchorId="09FC1F9C" wp14:editId="285569BB">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360420" cy="113538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B31D6" w:rsidRPr="0014781E" w14:paraId="4B602CED" w14:textId="77777777" w:rsidTr="000A2669">
        <w:trPr>
          <w:trHeight w:val="315"/>
        </w:trPr>
        <w:tc>
          <w:tcPr>
            <w:tcW w:w="893" w:type="dxa"/>
            <w:vAlign w:val="center"/>
            <w:hideMark/>
          </w:tcPr>
          <w:p w14:paraId="390E6D0A" w14:textId="77777777" w:rsidR="009B31D6" w:rsidRPr="0014781E" w:rsidRDefault="009B31D6" w:rsidP="000A2669">
            <w:pPr>
              <w:contextualSpacing/>
              <w:rPr>
                <w:rFonts w:ascii="Verdana" w:hAnsi="Verdana" w:cs="Arial"/>
                <w:sz w:val="16"/>
                <w:szCs w:val="16"/>
                <w:lang w:eastAsia="es-ES"/>
              </w:rPr>
            </w:pPr>
            <w:r w:rsidRPr="0014781E">
              <w:rPr>
                <w:rFonts w:ascii="Verdana" w:hAnsi="Verdana" w:cs="Arial"/>
                <w:sz w:val="16"/>
                <w:szCs w:val="16"/>
                <w:lang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979D9D1" w14:textId="77777777" w:rsidR="009B31D6" w:rsidRPr="0014781E" w:rsidRDefault="009B31D6" w:rsidP="000A2669">
            <w:pPr>
              <w:contextualSpacing/>
              <w:rPr>
                <w:rFonts w:ascii="Verdana" w:hAnsi="Verdana"/>
                <w:sz w:val="16"/>
                <w:szCs w:val="16"/>
              </w:rPr>
            </w:pPr>
            <w:r w:rsidRPr="0014781E">
              <w:rPr>
                <w:rFonts w:ascii="Verdana" w:hAnsi="Verdana"/>
                <w:sz w:val="16"/>
                <w:szCs w:val="16"/>
              </w:rPr>
              <w:t>Tatiana Baquero Iguarán</w:t>
            </w:r>
          </w:p>
          <w:p w14:paraId="52A6282D" w14:textId="77777777" w:rsidR="009B31D6" w:rsidRPr="0014781E" w:rsidRDefault="009B31D6" w:rsidP="000A2669">
            <w:pPr>
              <w:contextualSpacing/>
              <w:rPr>
                <w:rFonts w:ascii="Verdana" w:eastAsia="Arial" w:hAnsi="Verdana" w:cs="Arial"/>
                <w:sz w:val="16"/>
                <w:szCs w:val="16"/>
              </w:rPr>
            </w:pPr>
            <w:r w:rsidRPr="0014781E">
              <w:rPr>
                <w:rFonts w:ascii="Verdana" w:hAnsi="Verdana"/>
                <w:sz w:val="16"/>
                <w:szCs w:val="16"/>
              </w:rPr>
              <w:t>Contratista de la Subdirección de Gestión Contractual</w:t>
            </w:r>
          </w:p>
        </w:tc>
      </w:tr>
      <w:tr w:rsidR="009B31D6" w:rsidRPr="0014781E" w14:paraId="5B90EA9D" w14:textId="77777777" w:rsidTr="000A2669">
        <w:trPr>
          <w:trHeight w:val="330"/>
        </w:trPr>
        <w:tc>
          <w:tcPr>
            <w:tcW w:w="893" w:type="dxa"/>
            <w:vAlign w:val="center"/>
            <w:hideMark/>
          </w:tcPr>
          <w:p w14:paraId="43A84D20" w14:textId="77777777" w:rsidR="009B31D6" w:rsidRPr="0014781E" w:rsidRDefault="009B31D6" w:rsidP="000A2669">
            <w:pPr>
              <w:contextualSpacing/>
              <w:rPr>
                <w:rFonts w:ascii="Verdana" w:hAnsi="Verdana" w:cs="Arial"/>
                <w:sz w:val="16"/>
                <w:szCs w:val="16"/>
                <w:lang w:eastAsia="es-ES"/>
              </w:rPr>
            </w:pPr>
            <w:r w:rsidRPr="0014781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A393FA" w14:textId="77777777" w:rsidR="009B31D6" w:rsidRPr="0014781E" w:rsidRDefault="009B31D6" w:rsidP="000A2669">
            <w:pPr>
              <w:textAlignment w:val="baseline"/>
              <w:rPr>
                <w:rFonts w:ascii="Verdana" w:eastAsia="Times New Roman" w:hAnsi="Verdana" w:cs="Arial"/>
                <w:sz w:val="16"/>
                <w:szCs w:val="16"/>
                <w:lang w:val="es-MX" w:eastAsia="es-CO"/>
              </w:rPr>
            </w:pPr>
            <w:r w:rsidRPr="0014781E">
              <w:rPr>
                <w:rFonts w:ascii="Verdana" w:eastAsia="Times New Roman" w:hAnsi="Verdana" w:cs="Arial"/>
                <w:sz w:val="16"/>
                <w:szCs w:val="16"/>
                <w:lang w:val="es-MX" w:eastAsia="es-CO"/>
              </w:rPr>
              <w:t>Alejandro Raúl Sarmiento Cantillo</w:t>
            </w:r>
          </w:p>
          <w:p w14:paraId="60709F02" w14:textId="77777777" w:rsidR="009B31D6" w:rsidRPr="0014781E" w:rsidRDefault="009B31D6" w:rsidP="000A2669">
            <w:pPr>
              <w:spacing w:before="100" w:beforeAutospacing="1" w:after="100" w:afterAutospacing="1"/>
              <w:contextualSpacing/>
              <w:textAlignment w:val="baseline"/>
              <w:rPr>
                <w:rFonts w:ascii="Verdana" w:eastAsia="Times New Roman" w:hAnsi="Verdana" w:cs="Segoe UI"/>
                <w:sz w:val="16"/>
                <w:szCs w:val="16"/>
                <w:lang w:eastAsia="es-ES_tradnl"/>
              </w:rPr>
            </w:pPr>
            <w:r w:rsidRPr="0014781E">
              <w:rPr>
                <w:rFonts w:ascii="Verdana" w:eastAsia="Times New Roman" w:hAnsi="Verdana" w:cs="Arial"/>
                <w:sz w:val="16"/>
                <w:szCs w:val="16"/>
                <w:lang w:val="es-MX" w:eastAsia="es-CO"/>
              </w:rPr>
              <w:t>Gestor T1-15 de la Subdirección de Gestión Contractual</w:t>
            </w:r>
          </w:p>
        </w:tc>
      </w:tr>
      <w:tr w:rsidR="009B31D6" w:rsidRPr="0014781E" w14:paraId="1F081C3F" w14:textId="77777777" w:rsidTr="000A2669">
        <w:trPr>
          <w:trHeight w:val="300"/>
        </w:trPr>
        <w:tc>
          <w:tcPr>
            <w:tcW w:w="893" w:type="dxa"/>
            <w:vAlign w:val="center"/>
          </w:tcPr>
          <w:p w14:paraId="61856F89" w14:textId="77777777" w:rsidR="009B31D6" w:rsidRPr="0014781E" w:rsidRDefault="009B31D6" w:rsidP="000A2669">
            <w:pPr>
              <w:contextualSpacing/>
              <w:rPr>
                <w:rFonts w:ascii="Verdana" w:hAnsi="Verdana" w:cs="Arial"/>
                <w:sz w:val="16"/>
                <w:szCs w:val="16"/>
                <w:lang w:eastAsia="es-ES"/>
              </w:rPr>
            </w:pPr>
            <w:r w:rsidRPr="0014781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14C731" w14:textId="77777777" w:rsidR="009B31D6" w:rsidRPr="0014781E" w:rsidRDefault="009B31D6" w:rsidP="000A2669">
            <w:pPr>
              <w:contextualSpacing/>
              <w:rPr>
                <w:rFonts w:ascii="Verdana" w:eastAsia="Calibri" w:hAnsi="Verdana" w:cs="Arial"/>
                <w:sz w:val="16"/>
                <w:szCs w:val="16"/>
                <w:lang w:eastAsia="es-ES"/>
              </w:rPr>
            </w:pPr>
            <w:r w:rsidRPr="0014781E">
              <w:rPr>
                <w:rFonts w:ascii="Verdana" w:eastAsia="Calibri" w:hAnsi="Verdana" w:cs="Arial"/>
                <w:sz w:val="16"/>
                <w:szCs w:val="16"/>
                <w:lang w:eastAsia="es-ES"/>
              </w:rPr>
              <w:t>Carolina Quintero Gacharná</w:t>
            </w:r>
          </w:p>
          <w:p w14:paraId="532A7645" w14:textId="77777777" w:rsidR="009B31D6" w:rsidRPr="0014781E" w:rsidRDefault="009B31D6" w:rsidP="000A2669">
            <w:pPr>
              <w:contextualSpacing/>
              <w:rPr>
                <w:rFonts w:ascii="Verdana" w:eastAsia="Calibri" w:hAnsi="Verdana" w:cs="Arial"/>
                <w:sz w:val="16"/>
                <w:szCs w:val="16"/>
                <w:lang w:eastAsia="es-ES"/>
              </w:rPr>
            </w:pPr>
            <w:r w:rsidRPr="0014781E">
              <w:rPr>
                <w:rFonts w:ascii="Verdana" w:eastAsia="Calibri" w:hAnsi="Verdana" w:cs="Arial"/>
                <w:sz w:val="16"/>
                <w:szCs w:val="16"/>
                <w:lang w:eastAsia="es-ES"/>
              </w:rPr>
              <w:t>Subdirectora de Gestión Contractual ANCP – CCE</w:t>
            </w:r>
          </w:p>
        </w:tc>
      </w:tr>
    </w:tbl>
    <w:p w14:paraId="153054F0" w14:textId="77777777" w:rsidR="009B31D6" w:rsidRPr="0014781E" w:rsidRDefault="009B31D6" w:rsidP="009B31D6"/>
    <w:p w14:paraId="7A372991" w14:textId="77777777" w:rsidR="009B31D6" w:rsidRPr="0014781E" w:rsidRDefault="009B31D6" w:rsidP="009B31D6">
      <w:pPr>
        <w:widowControl w:val="0"/>
        <w:autoSpaceDE w:val="0"/>
        <w:autoSpaceDN w:val="0"/>
        <w:spacing w:after="0" w:line="240" w:lineRule="auto"/>
        <w:jc w:val="both"/>
        <w:rPr>
          <w:rFonts w:ascii="Verdana" w:hAnsi="Verdana" w:cs="Arial"/>
          <w:sz w:val="20"/>
          <w:szCs w:val="20"/>
        </w:rPr>
      </w:pPr>
    </w:p>
    <w:p w14:paraId="31428A3A" w14:textId="77777777" w:rsidR="009B31D6" w:rsidRPr="00F93D79" w:rsidRDefault="009B31D6" w:rsidP="009B31D6"/>
    <w:p w14:paraId="03728C58" w14:textId="77777777" w:rsidR="001332B3" w:rsidRDefault="001332B3" w:rsidP="005A5095">
      <w:pPr>
        <w:spacing w:after="0" w:line="240" w:lineRule="auto"/>
        <w:rPr>
          <w:rFonts w:ascii="Verdana" w:eastAsia="Geomanist Light" w:hAnsi="Verdana" w:cs="Arial"/>
          <w:color w:val="000000" w:themeColor="text1"/>
        </w:rPr>
      </w:pPr>
    </w:p>
    <w:bookmarkEnd w:id="0"/>
    <w:sectPr w:rsidR="001332B3"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6D42" w14:textId="77777777" w:rsidR="00640E9A" w:rsidRPr="009B7987" w:rsidRDefault="00640E9A" w:rsidP="00B30448">
      <w:pPr>
        <w:spacing w:after="0" w:line="240" w:lineRule="auto"/>
      </w:pPr>
      <w:r w:rsidRPr="009B7987">
        <w:separator/>
      </w:r>
    </w:p>
  </w:endnote>
  <w:endnote w:type="continuationSeparator" w:id="0">
    <w:p w14:paraId="5118DAD1" w14:textId="77777777" w:rsidR="00640E9A" w:rsidRPr="009B7987" w:rsidRDefault="00640E9A" w:rsidP="00B30448">
      <w:pPr>
        <w:spacing w:after="0" w:line="240" w:lineRule="auto"/>
      </w:pPr>
      <w:r w:rsidRPr="009B7987">
        <w:continuationSeparator/>
      </w:r>
    </w:p>
  </w:endnote>
  <w:endnote w:type="continuationNotice" w:id="1">
    <w:p w14:paraId="33B0FE04" w14:textId="77777777" w:rsidR="00640E9A" w:rsidRPr="009B7987" w:rsidRDefault="00640E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7789" w14:textId="77777777" w:rsidR="00640E9A" w:rsidRPr="009B7987" w:rsidRDefault="00640E9A" w:rsidP="00B30448">
      <w:pPr>
        <w:spacing w:after="0" w:line="240" w:lineRule="auto"/>
      </w:pPr>
      <w:r w:rsidRPr="009B7987">
        <w:separator/>
      </w:r>
    </w:p>
  </w:footnote>
  <w:footnote w:type="continuationSeparator" w:id="0">
    <w:p w14:paraId="3FF307C9" w14:textId="77777777" w:rsidR="00640E9A" w:rsidRPr="009B7987" w:rsidRDefault="00640E9A" w:rsidP="00B30448">
      <w:pPr>
        <w:spacing w:after="0" w:line="240" w:lineRule="auto"/>
      </w:pPr>
      <w:r w:rsidRPr="009B7987">
        <w:continuationSeparator/>
      </w:r>
    </w:p>
  </w:footnote>
  <w:footnote w:type="continuationNotice" w:id="1">
    <w:p w14:paraId="349B4BD9" w14:textId="77777777" w:rsidR="00640E9A" w:rsidRPr="009B7987" w:rsidRDefault="00640E9A">
      <w:pPr>
        <w:spacing w:after="0" w:line="240" w:lineRule="auto"/>
      </w:pPr>
    </w:p>
  </w:footnote>
  <w:footnote w:id="2">
    <w:p w14:paraId="4F3B6C2D"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5B1DB28"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3">
    <w:p w14:paraId="03315B16"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7800E65"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6B50366"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El Gobierno nacional reglamentará el mecanismo para realizar la mensualización de que trata el presente artículo.</w:t>
      </w:r>
    </w:p>
    <w:p w14:paraId="09502E35"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64096C09" w14:textId="77777777" w:rsidR="009B31D6" w:rsidRPr="00FE6A9E" w:rsidRDefault="009B31D6" w:rsidP="009B31D6">
      <w:pPr>
        <w:pStyle w:val="Textonotapie"/>
        <w:ind w:firstLine="709"/>
        <w:jc w:val="both"/>
        <w:rPr>
          <w:rFonts w:ascii="Verdana" w:hAnsi="Verdana" w:cs="Arial"/>
          <w:color w:val="000000"/>
          <w:sz w:val="16"/>
          <w:szCs w:val="16"/>
          <w:lang w:val="es-ES"/>
        </w:rPr>
      </w:pPr>
    </w:p>
  </w:footnote>
  <w:footnote w:id="4">
    <w:p w14:paraId="58828BBB" w14:textId="77777777" w:rsidR="009B31D6" w:rsidRPr="00FE6A9E" w:rsidRDefault="009B31D6" w:rsidP="009B31D6">
      <w:pPr>
        <w:pStyle w:val="Textonotapie"/>
        <w:ind w:firstLine="708"/>
        <w:rPr>
          <w:rFonts w:ascii="Verdana" w:hAnsi="Verdana"/>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footnote>
  <w:footnote w:id="5">
    <w:p w14:paraId="23376571" w14:textId="77777777" w:rsidR="009B31D6" w:rsidRPr="00FE6A9E" w:rsidRDefault="009B31D6" w:rsidP="009B31D6">
      <w:pPr>
        <w:spacing w:after="0"/>
        <w:ind w:firstLine="708"/>
        <w:jc w:val="both"/>
        <w:rPr>
          <w:rFonts w:ascii="Verdana" w:eastAsia="Arial Nova" w:hAnsi="Verdana" w:cs="Arial"/>
          <w:sz w:val="16"/>
          <w:szCs w:val="16"/>
          <w:lang w:val="es"/>
        </w:rPr>
      </w:pPr>
      <w:r w:rsidRPr="00FE6A9E">
        <w:rPr>
          <w:rStyle w:val="Refdenotaalpie"/>
          <w:rFonts w:ascii="Verdana" w:hAnsi="Verdana" w:cs="Arial"/>
          <w:sz w:val="16"/>
          <w:szCs w:val="16"/>
        </w:rPr>
        <w:footnoteRef/>
      </w:r>
      <w:r w:rsidRPr="00FE6A9E">
        <w:rPr>
          <w:rFonts w:ascii="Verdana" w:hAnsi="Verdana" w:cs="Arial"/>
          <w:sz w:val="16"/>
          <w:szCs w:val="16"/>
        </w:rPr>
        <w:t xml:space="preserve"> </w:t>
      </w:r>
      <w:r w:rsidRPr="00FE6A9E">
        <w:rPr>
          <w:rFonts w:ascii="Verdana" w:eastAsia="Arial Nova" w:hAnsi="Verdana" w:cs="Arial"/>
          <w:sz w:val="16"/>
          <w:szCs w:val="16"/>
          <w:lang w:val="es"/>
        </w:rPr>
        <w:t xml:space="preserve">Corte Constitucional. Sentencia C-614 de 2009. M.P. Jorge Ignacio Pretelt Chaljub. </w:t>
      </w:r>
    </w:p>
    <w:p w14:paraId="1F3B7818" w14:textId="77777777" w:rsidR="009B31D6" w:rsidRPr="00FE6A9E" w:rsidRDefault="009B31D6" w:rsidP="009B31D6">
      <w:pPr>
        <w:pStyle w:val="Textonotapie"/>
        <w:rPr>
          <w:rFonts w:ascii="Verdana" w:hAnsi="Verdana"/>
          <w:sz w:val="16"/>
          <w:szCs w:val="16"/>
        </w:rPr>
      </w:pPr>
    </w:p>
  </w:footnote>
  <w:footnote w:id="6">
    <w:p w14:paraId="477AF49B" w14:textId="77777777" w:rsidR="009B31D6" w:rsidRPr="00FE6A9E" w:rsidRDefault="009B31D6" w:rsidP="009B31D6">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Corte Constitucional. Sentencia C-154 de 1997. Magistrado Ponente: Hernando Herrera Vergara.</w:t>
      </w:r>
    </w:p>
    <w:p w14:paraId="5306A783" w14:textId="77777777" w:rsidR="009B31D6" w:rsidRPr="00FE6A9E" w:rsidRDefault="009B31D6" w:rsidP="009B31D6">
      <w:pPr>
        <w:pStyle w:val="Textonotapie"/>
        <w:ind w:firstLine="708"/>
        <w:rPr>
          <w:rFonts w:ascii="Verdana" w:hAnsi="Verdana"/>
          <w:sz w:val="16"/>
          <w:szCs w:val="16"/>
        </w:rPr>
      </w:pPr>
    </w:p>
  </w:footnote>
  <w:footnote w:id="7">
    <w:p w14:paraId="41553830"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D595CFB" w14:textId="77777777" w:rsidR="009B31D6" w:rsidRPr="00FE6A9E" w:rsidRDefault="009B31D6" w:rsidP="009B31D6">
      <w:pPr>
        <w:pStyle w:val="Textonotapie"/>
        <w:ind w:firstLine="708"/>
        <w:rPr>
          <w:rFonts w:ascii="Verdana" w:hAnsi="Verdana"/>
          <w:sz w:val="16"/>
          <w:szCs w:val="16"/>
          <w:lang w:val="es-ES"/>
        </w:rPr>
      </w:pPr>
    </w:p>
  </w:footnote>
  <w:footnote w:id="8">
    <w:p w14:paraId="6850F753"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052D2BF5" w14:textId="77777777" w:rsidR="009B31D6" w:rsidRPr="00FE6A9E" w:rsidRDefault="009B31D6" w:rsidP="009B31D6">
      <w:pPr>
        <w:pStyle w:val="Textonotapie"/>
        <w:ind w:firstLine="708"/>
        <w:rPr>
          <w:rFonts w:ascii="Verdana" w:hAnsi="Verdana"/>
          <w:sz w:val="16"/>
          <w:szCs w:val="16"/>
          <w:lang w:val="es-ES"/>
        </w:rPr>
      </w:pPr>
    </w:p>
  </w:footnote>
  <w:footnote w:id="9">
    <w:p w14:paraId="30FC12B2" w14:textId="77777777" w:rsidR="009B31D6" w:rsidRPr="00FE6A9E" w:rsidRDefault="009B31D6" w:rsidP="009B31D6">
      <w:pPr>
        <w:pStyle w:val="Textonotapie"/>
        <w:ind w:firstLine="708"/>
        <w:rPr>
          <w:rFonts w:ascii="Verdana" w:hAnsi="Verdana"/>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Ibíd. </w:t>
      </w:r>
    </w:p>
  </w:footnote>
  <w:footnote w:id="10">
    <w:p w14:paraId="51661573" w14:textId="77777777" w:rsidR="009B31D6" w:rsidRPr="00FE6A9E" w:rsidRDefault="009B31D6" w:rsidP="009B31D6">
      <w:pPr>
        <w:pStyle w:val="Textonotapie"/>
        <w:ind w:firstLine="708"/>
        <w:rPr>
          <w:rFonts w:ascii="Verdana" w:hAnsi="Verdana"/>
          <w:sz w:val="16"/>
          <w:szCs w:val="16"/>
        </w:rPr>
      </w:pPr>
      <w:r w:rsidRPr="00FE6A9E">
        <w:rPr>
          <w:rStyle w:val="Refdenotaalpie"/>
          <w:rFonts w:ascii="Verdana" w:hAnsi="Verdana"/>
          <w:sz w:val="16"/>
          <w:szCs w:val="16"/>
        </w:rPr>
        <w:footnoteRef/>
      </w:r>
      <w:r w:rsidRPr="00FE6A9E">
        <w:rPr>
          <w:rFonts w:ascii="Verdana" w:hAnsi="Verdana"/>
          <w:sz w:val="16"/>
          <w:szCs w:val="16"/>
        </w:rPr>
        <w:t xml:space="preserve"> Ibíd. </w:t>
      </w:r>
    </w:p>
    <w:p w14:paraId="5451AE00" w14:textId="77777777" w:rsidR="009B31D6" w:rsidRPr="00FE6A9E" w:rsidRDefault="009B31D6" w:rsidP="009B31D6">
      <w:pPr>
        <w:pStyle w:val="Textonotapie"/>
        <w:ind w:firstLine="708"/>
        <w:rPr>
          <w:rFonts w:ascii="Verdana" w:hAnsi="Verdana"/>
          <w:sz w:val="16"/>
          <w:szCs w:val="16"/>
          <w:lang w:val="es-ES"/>
        </w:rPr>
      </w:pPr>
    </w:p>
  </w:footnote>
  <w:footnote w:id="11">
    <w:p w14:paraId="5C8D0BF1"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A100381"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4363355E"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50033841" w14:textId="77777777" w:rsidR="009B31D6" w:rsidRPr="00FE6A9E" w:rsidRDefault="009B31D6" w:rsidP="009B31D6">
      <w:pPr>
        <w:pStyle w:val="Textonotapie"/>
        <w:ind w:firstLine="708"/>
        <w:rPr>
          <w:rFonts w:ascii="Verdana" w:hAnsi="Verdana"/>
          <w:sz w:val="16"/>
          <w:szCs w:val="16"/>
          <w:lang w:val="es-ES"/>
        </w:rPr>
      </w:pPr>
    </w:p>
  </w:footnote>
  <w:footnote w:id="12">
    <w:p w14:paraId="2691FF0A"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49F1EBEA"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1. La causal que invoca para contratar directamente.</w:t>
      </w:r>
    </w:p>
    <w:p w14:paraId="60F43C35"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 El objeto del contrato.</w:t>
      </w:r>
    </w:p>
    <w:p w14:paraId="14B6B30B"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3. El presupuesto para la contratación y las condiciones que exigirá al contratista.</w:t>
      </w:r>
    </w:p>
    <w:p w14:paraId="3FFF7527"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4. El lugar en el cual los interesados pueden consultar los estudios y documentos previos.</w:t>
      </w:r>
    </w:p>
    <w:p w14:paraId="463E2FEF"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AC1CAB3" w14:textId="77777777" w:rsidR="009B31D6" w:rsidRPr="00FE6A9E" w:rsidRDefault="009B31D6" w:rsidP="009B31D6">
      <w:pPr>
        <w:pStyle w:val="Textonotapie"/>
        <w:ind w:firstLine="708"/>
        <w:rPr>
          <w:rFonts w:ascii="Verdana" w:hAnsi="Verdana"/>
          <w:sz w:val="16"/>
          <w:szCs w:val="16"/>
          <w:lang w:val="es-ES"/>
        </w:rPr>
      </w:pPr>
    </w:p>
  </w:footnote>
  <w:footnote w:id="13">
    <w:p w14:paraId="578A1DED"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Esta norma expresa: “</w:t>
      </w:r>
      <w:r w:rsidRPr="00FE6A9E">
        <w:rPr>
          <w:rFonts w:ascii="Verdana" w:hAnsi="Verdana" w:cs="Arial"/>
          <w:color w:val="000000"/>
          <w:sz w:val="16"/>
          <w:szCs w:val="16"/>
        </w:rPr>
        <w:t>P</w:t>
      </w:r>
      <w:r w:rsidRPr="00FE6A9E">
        <w:rPr>
          <w:rFonts w:ascii="Verdana" w:hAnsi="Verdana" w:cs="Arial"/>
          <w:color w:val="000000"/>
          <w:sz w:val="16"/>
          <w:szCs w:val="16"/>
          <w:lang w:val="es-ES"/>
        </w:rPr>
        <w:t>ara el cumplimiento de los fines de la contratación, las entidades estatales al celebrar un contrato:</w:t>
      </w:r>
    </w:p>
    <w:p w14:paraId="68AAF253"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011F4335"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761EEB2"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Las entidades estatales podrán pactar estas cláusulas en los contratos de suministro y de prestación de servicios.</w:t>
      </w:r>
    </w:p>
    <w:p w14:paraId="730EDD1B"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Fonts w:ascii="Verdana" w:hAnsi="Verdana" w:cs="Arial"/>
          <w:color w:val="000000"/>
          <w:sz w:val="16"/>
          <w:szCs w:val="16"/>
          <w:lang w:val="es-ES"/>
        </w:rPr>
        <w:t>[…]”.</w:t>
      </w:r>
    </w:p>
    <w:p w14:paraId="1C45543A" w14:textId="77777777" w:rsidR="009B31D6" w:rsidRPr="00FE6A9E" w:rsidRDefault="009B31D6" w:rsidP="009B31D6">
      <w:pPr>
        <w:pStyle w:val="Textonotapie"/>
        <w:ind w:firstLine="708"/>
        <w:rPr>
          <w:rFonts w:ascii="Verdana" w:hAnsi="Verdana"/>
          <w:sz w:val="16"/>
          <w:szCs w:val="16"/>
        </w:rPr>
      </w:pPr>
    </w:p>
  </w:footnote>
  <w:footnote w:id="14">
    <w:p w14:paraId="2ABCF73C" w14:textId="77777777" w:rsidR="009B31D6" w:rsidRPr="00FE6A9E" w:rsidRDefault="009B31D6" w:rsidP="009B31D6">
      <w:pPr>
        <w:pStyle w:val="Textonotapie"/>
        <w:ind w:firstLine="708"/>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2E657B2F" w14:textId="77777777" w:rsidR="009B31D6" w:rsidRPr="00FE6A9E" w:rsidRDefault="009B31D6" w:rsidP="009B31D6">
      <w:pPr>
        <w:pStyle w:val="Textonotapie"/>
        <w:ind w:firstLine="708"/>
        <w:rPr>
          <w:rFonts w:ascii="Verdana" w:hAnsi="Verdana"/>
          <w:sz w:val="16"/>
          <w:szCs w:val="16"/>
        </w:rPr>
      </w:pPr>
    </w:p>
  </w:footnote>
  <w:footnote w:id="15">
    <w:p w14:paraId="0633915F" w14:textId="77777777" w:rsidR="009B31D6" w:rsidRPr="00FE6A9E" w:rsidRDefault="009B31D6" w:rsidP="009B31D6">
      <w:pPr>
        <w:pStyle w:val="Textonotapie"/>
        <w:ind w:firstLine="709"/>
        <w:jc w:val="both"/>
        <w:rPr>
          <w:rFonts w:ascii="Verdana" w:hAnsi="Verdana" w:cs="Arial"/>
          <w:color w:val="000000"/>
          <w:sz w:val="16"/>
          <w:szCs w:val="16"/>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5C8E15" w14:textId="77777777" w:rsidR="009B31D6" w:rsidRPr="00FE6A9E" w:rsidRDefault="009B31D6" w:rsidP="009B31D6">
      <w:pPr>
        <w:pStyle w:val="Textonotapie"/>
        <w:ind w:firstLine="709"/>
        <w:jc w:val="both"/>
        <w:rPr>
          <w:rFonts w:ascii="Verdana" w:hAnsi="Verdana" w:cs="Arial"/>
          <w:color w:val="000000"/>
          <w:sz w:val="16"/>
          <w:szCs w:val="16"/>
        </w:rPr>
      </w:pPr>
      <w:r w:rsidRPr="00FE6A9E">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0C36152" w14:textId="77777777" w:rsidR="009B31D6" w:rsidRPr="00FE6A9E" w:rsidRDefault="009B31D6" w:rsidP="009B31D6">
      <w:pPr>
        <w:pStyle w:val="Textonotapie"/>
        <w:ind w:firstLine="709"/>
        <w:jc w:val="both"/>
        <w:rPr>
          <w:rFonts w:ascii="Verdana" w:hAnsi="Verdana" w:cs="Arial"/>
          <w:color w:val="000000"/>
          <w:sz w:val="16"/>
          <w:szCs w:val="16"/>
        </w:rPr>
      </w:pPr>
      <w:r w:rsidRPr="00FE6A9E">
        <w:rPr>
          <w:rFonts w:ascii="Verdana" w:hAnsi="Verdana" w:cs="Arial"/>
          <w:color w:val="000000"/>
          <w:sz w:val="16"/>
          <w:szCs w:val="16"/>
        </w:rPr>
        <w:t>[…]”.</w:t>
      </w:r>
    </w:p>
    <w:p w14:paraId="32794847" w14:textId="77777777" w:rsidR="009B31D6" w:rsidRPr="00FE6A9E" w:rsidRDefault="009B31D6" w:rsidP="009B31D6">
      <w:pPr>
        <w:pStyle w:val="Textonotapie"/>
        <w:ind w:firstLine="708"/>
        <w:rPr>
          <w:rFonts w:ascii="Verdana" w:hAnsi="Verdana"/>
          <w:sz w:val="16"/>
          <w:szCs w:val="16"/>
        </w:rPr>
      </w:pPr>
    </w:p>
  </w:footnote>
  <w:footnote w:id="16">
    <w:p w14:paraId="71D69C30" w14:textId="77777777" w:rsidR="009B31D6" w:rsidRPr="00FE6A9E" w:rsidRDefault="009B31D6" w:rsidP="009B31D6">
      <w:pPr>
        <w:pStyle w:val="Textonotapie"/>
        <w:ind w:firstLine="709"/>
        <w:jc w:val="both"/>
        <w:rPr>
          <w:rFonts w:ascii="Verdana" w:hAnsi="Verdana" w:cs="Arial"/>
          <w:color w:val="000000"/>
          <w:sz w:val="16"/>
          <w:szCs w:val="16"/>
          <w:lang w:val="es-ES"/>
        </w:rPr>
      </w:pPr>
      <w:r w:rsidRPr="00FE6A9E">
        <w:rPr>
          <w:rStyle w:val="Refdenotaalpie"/>
          <w:rFonts w:ascii="Verdana" w:hAnsi="Verdana"/>
          <w:sz w:val="16"/>
          <w:szCs w:val="16"/>
        </w:rPr>
        <w:footnoteRef/>
      </w:r>
      <w:r w:rsidRPr="00FE6A9E">
        <w:rPr>
          <w:rFonts w:ascii="Verdana" w:hAnsi="Verdana"/>
          <w:sz w:val="16"/>
          <w:szCs w:val="16"/>
        </w:rPr>
        <w:t xml:space="preserve"> </w:t>
      </w:r>
      <w:r w:rsidRPr="00FE6A9E">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5132D9D1" w14:textId="77777777" w:rsidR="009B31D6" w:rsidRPr="00FE6A9E" w:rsidRDefault="009B31D6" w:rsidP="009B31D6">
      <w:pPr>
        <w:pStyle w:val="Textonotapie"/>
        <w:ind w:firstLine="708"/>
        <w:rPr>
          <w:rFonts w:ascii="Verdana" w:hAnsi="Verdana"/>
          <w:sz w:val="16"/>
          <w:szCs w:val="16"/>
          <w:lang w:val="es-ES"/>
        </w:rPr>
      </w:pPr>
    </w:p>
  </w:footnote>
  <w:footnote w:id="17">
    <w:p w14:paraId="26DB14D9" w14:textId="77777777" w:rsidR="009B31D6" w:rsidRPr="00FE6A9E" w:rsidRDefault="009B31D6" w:rsidP="009B31D6">
      <w:pPr>
        <w:pStyle w:val="Textonotapie"/>
        <w:ind w:firstLine="709"/>
        <w:jc w:val="both"/>
        <w:rPr>
          <w:rFonts w:ascii="Verdana" w:hAnsi="Verdana"/>
          <w:sz w:val="16"/>
          <w:szCs w:val="16"/>
          <w:lang w:val="es-CO"/>
        </w:rPr>
      </w:pPr>
      <w:r w:rsidRPr="00FE6A9E">
        <w:rPr>
          <w:rStyle w:val="Refdenotaalpie"/>
          <w:rFonts w:ascii="Verdana" w:hAnsi="Verdana"/>
          <w:sz w:val="16"/>
          <w:szCs w:val="16"/>
        </w:rPr>
        <w:footnoteRef/>
      </w:r>
      <w:r w:rsidRPr="00FE6A9E">
        <w:rPr>
          <w:rFonts w:ascii="Verdana" w:hAnsi="Verdana"/>
          <w:sz w:val="16"/>
          <w:szCs w:val="16"/>
        </w:rPr>
        <w:t xml:space="preserv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footnote>
  <w:footnote w:id="18">
    <w:p w14:paraId="3DBB8E37" w14:textId="77777777" w:rsidR="009B31D6" w:rsidRPr="00FE6A9E" w:rsidRDefault="009B31D6" w:rsidP="009B31D6">
      <w:pPr>
        <w:pStyle w:val="Textonotapie"/>
        <w:ind w:firstLine="708"/>
        <w:jc w:val="both"/>
        <w:rPr>
          <w:rFonts w:ascii="Verdana" w:hAnsi="Verdana" w:cs="Arial"/>
          <w:sz w:val="16"/>
          <w:szCs w:val="16"/>
        </w:rPr>
      </w:pPr>
      <w:r w:rsidRPr="00FE6A9E">
        <w:rPr>
          <w:rStyle w:val="Refdenotaalpie"/>
          <w:rFonts w:ascii="Verdana" w:hAnsi="Verdana" w:cs="Arial"/>
          <w:sz w:val="16"/>
          <w:szCs w:val="16"/>
        </w:rPr>
        <w:footnoteRef/>
      </w:r>
      <w:r w:rsidRPr="00FE6A9E">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19">
    <w:p w14:paraId="5F4BB576"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Style w:val="Refdenotaalpie"/>
          <w:rFonts w:ascii="Verdana" w:hAnsi="Verdana" w:cs="Arial"/>
          <w:color w:val="000000" w:themeColor="text1"/>
          <w:sz w:val="16"/>
          <w:szCs w:val="16"/>
        </w:rPr>
        <w:footnoteRef/>
      </w:r>
      <w:r w:rsidRPr="00FE6A9E">
        <w:rPr>
          <w:rFonts w:ascii="Verdana" w:hAnsi="Verdana" w:cs="Arial"/>
          <w:color w:val="000000" w:themeColor="text1"/>
          <w:sz w:val="16"/>
          <w:szCs w:val="16"/>
        </w:rPr>
        <w:t xml:space="preserve"> </w:t>
      </w:r>
      <w:r w:rsidRPr="00FE6A9E">
        <w:rPr>
          <w:rFonts w:ascii="Verdana" w:hAnsi="Verdana" w:cs="Arial"/>
          <w:color w:val="000000" w:themeColor="text1"/>
          <w:sz w:val="16"/>
          <w:szCs w:val="16"/>
          <w:lang w:val="es-CO"/>
        </w:rPr>
        <w:t xml:space="preserve">“Artículo </w:t>
      </w:r>
      <w:bookmarkStart w:id="3" w:name="_Hlk67919994"/>
      <w:r w:rsidRPr="00FE6A9E">
        <w:rPr>
          <w:rFonts w:ascii="Verdana" w:hAnsi="Verdana" w:cs="Arial"/>
          <w:color w:val="000000" w:themeColor="text1"/>
          <w:sz w:val="16"/>
          <w:szCs w:val="16"/>
          <w:lang w:val="es-CO"/>
        </w:rPr>
        <w:t>2.2.1.2.3.1.7</w:t>
      </w:r>
      <w:bookmarkEnd w:id="3"/>
      <w:r w:rsidRPr="00FE6A9E">
        <w:rPr>
          <w:rFonts w:ascii="Verdana" w:hAnsi="Verdana" w:cs="Arial"/>
          <w:color w:val="000000" w:themeColor="text1"/>
          <w:sz w:val="16"/>
          <w:szCs w:val="16"/>
          <w:lang w:val="es-CO"/>
        </w:rPr>
        <w:t xml:space="preserve">. Garantía de cumplimiento. La garantía de cumplimiento del contrato debe cubrir: </w:t>
      </w:r>
    </w:p>
    <w:p w14:paraId="767D55C4" w14:textId="77777777" w:rsidR="009B31D6" w:rsidRPr="00FE6A9E" w:rsidRDefault="009B31D6" w:rsidP="009B31D6">
      <w:pPr>
        <w:pStyle w:val="Textonotapie"/>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  </w:t>
      </w:r>
      <w:r w:rsidRPr="00FE6A9E">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150419B"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3EF1A576"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3. Cumplimiento del contrato. Este amparo cubre a la Entidad Estatal de los perjuicios derivados de: </w:t>
      </w:r>
    </w:p>
    <w:p w14:paraId="576564A6" w14:textId="77777777" w:rsidR="009B31D6" w:rsidRPr="00FE6A9E" w:rsidRDefault="009B31D6" w:rsidP="009B31D6">
      <w:pPr>
        <w:pStyle w:val="Textonotapie"/>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  </w:t>
      </w:r>
      <w:r w:rsidRPr="00FE6A9E">
        <w:rPr>
          <w:rFonts w:ascii="Verdana" w:hAnsi="Verdana" w:cs="Arial"/>
          <w:color w:val="000000" w:themeColor="text1"/>
          <w:sz w:val="16"/>
          <w:szCs w:val="16"/>
          <w:lang w:val="es-CO"/>
        </w:rPr>
        <w:tab/>
        <w:t xml:space="preserve">3.1. </w:t>
      </w:r>
      <w:bookmarkStart w:id="4" w:name="_Hlk67920056"/>
      <w:r w:rsidRPr="00FE6A9E">
        <w:rPr>
          <w:rFonts w:ascii="Verdana" w:hAnsi="Verdana" w:cs="Arial"/>
          <w:color w:val="000000" w:themeColor="text1"/>
          <w:sz w:val="16"/>
          <w:szCs w:val="16"/>
          <w:lang w:val="es-CO"/>
        </w:rPr>
        <w:t xml:space="preserve">El incumplimiento total o parcial del contrato, cuando el incumplimiento es imputable al contratista; </w:t>
      </w:r>
    </w:p>
    <w:p w14:paraId="67D32AC4" w14:textId="77777777" w:rsidR="009B31D6" w:rsidRPr="00FE6A9E" w:rsidRDefault="009B31D6" w:rsidP="009B31D6">
      <w:pPr>
        <w:pStyle w:val="Textonotapie"/>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  </w:t>
      </w:r>
      <w:r w:rsidRPr="00FE6A9E">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2B1C81B6"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4"/>
    <w:p w14:paraId="7FA8FB28"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3.4. El pago del valor de las multas y de la cláusula penal pecuniaria. </w:t>
      </w:r>
    </w:p>
    <w:p w14:paraId="10B817C8"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01751D04"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04E6CF44"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25AA08A5"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071A75F9"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1D2C8559" w14:textId="77777777" w:rsidR="009B31D6" w:rsidRPr="00FE6A9E" w:rsidRDefault="009B31D6" w:rsidP="009B31D6">
      <w:pPr>
        <w:pStyle w:val="Textonotapie"/>
        <w:ind w:firstLine="708"/>
        <w:jc w:val="both"/>
        <w:rPr>
          <w:rFonts w:ascii="Verdana" w:hAnsi="Verdana" w:cs="Arial"/>
          <w:color w:val="000000" w:themeColor="text1"/>
          <w:sz w:val="16"/>
          <w:szCs w:val="16"/>
          <w:lang w:val="es-CO"/>
        </w:rPr>
      </w:pPr>
      <w:r w:rsidRPr="00FE6A9E">
        <w:rPr>
          <w:rFonts w:ascii="Verdana" w:hAnsi="Verdana" w:cs="Arial"/>
          <w:color w:val="000000" w:themeColor="text1"/>
          <w:sz w:val="16"/>
          <w:szCs w:val="16"/>
          <w:lang w:val="es-CO"/>
        </w:rPr>
        <w:t xml:space="preserve">8. </w:t>
      </w:r>
      <w:bookmarkStart w:id="5" w:name="_Hlk143267015"/>
      <w:r w:rsidRPr="00FE6A9E">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5"/>
      <w:r w:rsidRPr="00FE6A9E">
        <w:rPr>
          <w:rFonts w:ascii="Verdana" w:hAnsi="Verdana" w:cs="Arial"/>
          <w:color w:val="000000" w:themeColor="text1"/>
          <w:sz w:val="16"/>
          <w:szCs w:val="16"/>
          <w:lang w:val="es-CO"/>
        </w:rPr>
        <w:t>”.</w:t>
      </w:r>
    </w:p>
  </w:footnote>
  <w:footnote w:id="20">
    <w:p w14:paraId="500465C9" w14:textId="77777777" w:rsidR="009B31D6" w:rsidRPr="00FE6A9E" w:rsidRDefault="009B31D6" w:rsidP="009B31D6">
      <w:pPr>
        <w:pStyle w:val="Textonotapie"/>
        <w:ind w:firstLine="708"/>
        <w:jc w:val="both"/>
        <w:rPr>
          <w:rFonts w:ascii="Verdana" w:hAnsi="Verdana" w:cs="Arial"/>
          <w:color w:val="000000"/>
          <w:sz w:val="16"/>
          <w:szCs w:val="16"/>
        </w:rPr>
      </w:pPr>
      <w:r w:rsidRPr="00FE6A9E">
        <w:rPr>
          <w:rStyle w:val="Refdenotaalpie"/>
          <w:rFonts w:ascii="Verdana" w:hAnsi="Verdana" w:cs="Arial"/>
          <w:color w:val="000000"/>
          <w:sz w:val="16"/>
          <w:szCs w:val="16"/>
        </w:rPr>
        <w:footnoteRef/>
      </w:r>
      <w:r w:rsidRPr="00FE6A9E">
        <w:rPr>
          <w:rFonts w:ascii="Verdana" w:hAnsi="Verdana" w:cs="Arial"/>
          <w:color w:val="000000"/>
          <w:sz w:val="16"/>
          <w:szCs w:val="16"/>
        </w:rPr>
        <w:t xml:space="preserve"> CONSEJO DE ESTADO, Sala de Consulta y Servicio Civil. Radicado No. 1453. Concepto de 6 de agosto de 2003. MP. Augusto Trejos.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2"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2"/>
  </w:num>
  <w:num w:numId="6" w16cid:durableId="130758360">
    <w:abstractNumId w:val="19"/>
  </w:num>
  <w:num w:numId="7" w16cid:durableId="262541512">
    <w:abstractNumId w:val="29"/>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1"/>
  </w:num>
  <w:num w:numId="22" w16cid:durableId="578707994">
    <w:abstractNumId w:val="5"/>
  </w:num>
  <w:num w:numId="23" w16cid:durableId="876742304">
    <w:abstractNumId w:val="11"/>
  </w:num>
  <w:num w:numId="24" w16cid:durableId="1994095851">
    <w:abstractNumId w:val="6"/>
  </w:num>
  <w:num w:numId="25" w16cid:durableId="1567109325">
    <w:abstractNumId w:val="26"/>
  </w:num>
  <w:num w:numId="26" w16cid:durableId="1116487847">
    <w:abstractNumId w:val="20"/>
  </w:num>
  <w:num w:numId="27" w16cid:durableId="611326471">
    <w:abstractNumId w:val="27"/>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0"/>
  </w:num>
  <w:num w:numId="30" w16cid:durableId="363991975">
    <w:abstractNumId w:val="28"/>
  </w:num>
  <w:num w:numId="31" w16cid:durableId="1509440290">
    <w:abstractNumId w:val="23"/>
  </w:num>
  <w:num w:numId="32" w16cid:durableId="1601723362">
    <w:abstractNumId w:val="7"/>
  </w:num>
  <w:num w:numId="33" w16cid:durableId="148453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3B60"/>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4CB"/>
    <w:rsid w:val="000762C0"/>
    <w:rsid w:val="00076737"/>
    <w:rsid w:val="00076C2B"/>
    <w:rsid w:val="00076C73"/>
    <w:rsid w:val="00076F81"/>
    <w:rsid w:val="000772B1"/>
    <w:rsid w:val="000779DE"/>
    <w:rsid w:val="000800B6"/>
    <w:rsid w:val="00080D15"/>
    <w:rsid w:val="00081B03"/>
    <w:rsid w:val="000847A0"/>
    <w:rsid w:val="00084BFD"/>
    <w:rsid w:val="00086F39"/>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2DFD"/>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02F"/>
    <w:rsid w:val="002118D1"/>
    <w:rsid w:val="00211DCE"/>
    <w:rsid w:val="00212390"/>
    <w:rsid w:val="00212897"/>
    <w:rsid w:val="0021386A"/>
    <w:rsid w:val="00213C44"/>
    <w:rsid w:val="00213C9E"/>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3F60"/>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5C2"/>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503A"/>
    <w:rsid w:val="003D6505"/>
    <w:rsid w:val="003D71A6"/>
    <w:rsid w:val="003D7709"/>
    <w:rsid w:val="003E004C"/>
    <w:rsid w:val="003E0BAF"/>
    <w:rsid w:val="003E0E25"/>
    <w:rsid w:val="003E1409"/>
    <w:rsid w:val="003E16F2"/>
    <w:rsid w:val="003E2195"/>
    <w:rsid w:val="003E36A5"/>
    <w:rsid w:val="003E4A52"/>
    <w:rsid w:val="003E5CBA"/>
    <w:rsid w:val="003E78A9"/>
    <w:rsid w:val="003E7912"/>
    <w:rsid w:val="003F04E6"/>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9D2"/>
    <w:rsid w:val="004076FF"/>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888"/>
    <w:rsid w:val="004255D9"/>
    <w:rsid w:val="00425763"/>
    <w:rsid w:val="00425C3C"/>
    <w:rsid w:val="00426F8D"/>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18D0"/>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42A"/>
    <w:rsid w:val="00464BF1"/>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1DC7"/>
    <w:rsid w:val="00652092"/>
    <w:rsid w:val="00652472"/>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B45"/>
    <w:rsid w:val="0079477A"/>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3654"/>
    <w:rsid w:val="008237F3"/>
    <w:rsid w:val="00823A90"/>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66DC1"/>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6CB"/>
    <w:rsid w:val="00902876"/>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1D6"/>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1CE"/>
    <w:rsid w:val="00A92967"/>
    <w:rsid w:val="00A9298F"/>
    <w:rsid w:val="00A9301E"/>
    <w:rsid w:val="00A93E3A"/>
    <w:rsid w:val="00A95186"/>
    <w:rsid w:val="00A951AD"/>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6F2"/>
    <w:rsid w:val="00B90D9B"/>
    <w:rsid w:val="00B91259"/>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518"/>
    <w:rsid w:val="00CB3920"/>
    <w:rsid w:val="00CB4C4C"/>
    <w:rsid w:val="00CB6413"/>
    <w:rsid w:val="00CB696F"/>
    <w:rsid w:val="00CB6A00"/>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1F05"/>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870"/>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362"/>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AAD"/>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B2D"/>
    <w:rsid w:val="00E468F2"/>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4F94"/>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746"/>
    <w:rsid w:val="00EE3256"/>
    <w:rsid w:val="00EE4759"/>
    <w:rsid w:val="00EE4C20"/>
    <w:rsid w:val="00EE4F2D"/>
    <w:rsid w:val="00EE524C"/>
    <w:rsid w:val="00EE589E"/>
    <w:rsid w:val="00EE6755"/>
    <w:rsid w:val="00EE78D6"/>
    <w:rsid w:val="00EF03DC"/>
    <w:rsid w:val="00EF0437"/>
    <w:rsid w:val="00EF0BFE"/>
    <w:rsid w:val="00EF1878"/>
    <w:rsid w:val="00EF1DE8"/>
    <w:rsid w:val="00EF2AC7"/>
    <w:rsid w:val="00EF3397"/>
    <w:rsid w:val="00EF40BF"/>
    <w:rsid w:val="00EF4557"/>
    <w:rsid w:val="00EF493F"/>
    <w:rsid w:val="00EF5947"/>
    <w:rsid w:val="00EF5E22"/>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1B8"/>
    <w:rsid w:val="00FE0DAE"/>
    <w:rsid w:val="00FE0E6B"/>
    <w:rsid w:val="00FE1370"/>
    <w:rsid w:val="00FE1510"/>
    <w:rsid w:val="00FE2121"/>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ce-eicp-gi-23_guia_contratacion_prestacion_de_servicios_v1_11-07-2023_def_1_1.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gnusiurisalejandroadvocare@gmail.com"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tatiana.baquero%40colombiacompra.gov.co%7C7cfff6dece924643582c08dd97bfed90%7C7b09041e245149d08cb179d5e3d8c1be%7C0%7C0%7C638833572792333797%7CUnknown%7CTWFpbGZsb3d8eyJFbXB0eU1hcGkiOnRydWUsIlYiOiIwLjAuMDAwMCIsIlAiOiJXaW4zMiIsIkFOIjoiTWFpbCIsIldUIjoyfQ%3D%3D%7C0%7C%7C%7C&amp;sdata=OZJtDPYSzcOUlUou8b2eINTZABDsU0qBeCAQfYDE8%2FQ%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tatiana.baquero%40colombiacompra.gov.co%7C7cfff6dece924643582c08dd97bfed90%7C7b09041e245149d08cb179d5e3d8c1be%7C0%7C0%7C638833572792308233%7CUnknown%7CTWFpbGZsb3d8eyJFbXB0eU1hcGkiOnRydWUsIlYiOiIwLjAuMDAwMCIsIlAiOiJXaW4zMiIsIkFOIjoiTWFpbCIsIldUIjoyfQ%3D%3D%7C0%7C%7C%7C&amp;sdata=NegUwjoRL3iVFRBwJVR36%2FrYV22lJLMZuK6tbS42dW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1081</TotalTime>
  <Pages>20</Pages>
  <Words>5748</Words>
  <Characters>31614</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37288</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7</cp:revision>
  <dcterms:created xsi:type="dcterms:W3CDTF">2025-05-27T21:49:00Z</dcterms:created>
  <dcterms:modified xsi:type="dcterms:W3CDTF">2025-05-28T15:50:00Z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