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B7EAC" w14:textId="77777777" w:rsidR="004E017B" w:rsidRPr="009F7826" w:rsidRDefault="004E017B" w:rsidP="004E017B">
      <w:pPr>
        <w:jc w:val="right"/>
        <w:rPr>
          <w:rFonts w:ascii="Arial" w:hAnsi="Arial" w:cs="Arial"/>
          <w:bCs/>
          <w:color w:val="000000" w:themeColor="text1"/>
          <w:sz w:val="16"/>
          <w:szCs w:val="16"/>
          <w:lang w:eastAsia="es-ES"/>
        </w:rPr>
      </w:pPr>
      <w:bookmarkStart w:id="0" w:name="_Hlk69117809"/>
      <w:bookmarkStart w:id="1" w:name="_Hlk28946138"/>
      <w:bookmarkStart w:id="2" w:name="_Hlk29548183"/>
      <w:r w:rsidRPr="009F7826">
        <w:rPr>
          <w:rFonts w:ascii="Arial" w:hAnsi="Arial" w:cs="Arial"/>
          <w:b/>
          <w:color w:val="000000" w:themeColor="text1"/>
          <w:sz w:val="16"/>
          <w:szCs w:val="16"/>
          <w:lang w:eastAsia="es-ES"/>
        </w:rPr>
        <w:tab/>
      </w:r>
      <w:r w:rsidRPr="009F7826">
        <w:rPr>
          <w:rFonts w:ascii="Arial" w:hAnsi="Arial" w:cs="Arial"/>
          <w:bCs/>
          <w:color w:val="000000" w:themeColor="text1"/>
          <w:sz w:val="16"/>
          <w:szCs w:val="16"/>
          <w:lang w:eastAsia="es-ES"/>
        </w:rPr>
        <w:t>CCE-DES-FM-17</w:t>
      </w:r>
    </w:p>
    <w:p w14:paraId="51E761E7" w14:textId="77777777" w:rsidR="004E017B" w:rsidRPr="005C38BA" w:rsidRDefault="004E017B" w:rsidP="004E017B">
      <w:pPr>
        <w:jc w:val="both"/>
        <w:rPr>
          <w:rFonts w:ascii="Arial" w:hAnsi="Arial" w:cs="Arial"/>
          <w:b/>
          <w:bCs/>
          <w:sz w:val="22"/>
          <w:szCs w:val="22"/>
        </w:rPr>
      </w:pPr>
      <w:bookmarkStart w:id="3" w:name="_Hlk66177743"/>
    </w:p>
    <w:p w14:paraId="71AE6871" w14:textId="77777777" w:rsidR="007173B7" w:rsidRPr="00CD6AD7" w:rsidRDefault="007173B7" w:rsidP="007173B7">
      <w:pPr>
        <w:jc w:val="both"/>
        <w:rPr>
          <w:rFonts w:ascii="Arial" w:hAnsi="Arial" w:cs="Arial"/>
          <w:b/>
          <w:bCs/>
          <w:sz w:val="22"/>
          <w:szCs w:val="22"/>
        </w:rPr>
      </w:pPr>
      <w:r w:rsidRPr="00CD6AD7">
        <w:rPr>
          <w:rFonts w:ascii="Arial" w:hAnsi="Arial" w:cs="Arial"/>
          <w:b/>
          <w:bCs/>
          <w:sz w:val="22"/>
          <w:szCs w:val="22"/>
        </w:rPr>
        <w:t>COLOMBIA COMPRA EFICIENTE – Decreto Ley 4170 de 2011 – Naturaleza jurídica – Objeto</w:t>
      </w:r>
    </w:p>
    <w:p w14:paraId="4AE9983C" w14:textId="77777777" w:rsidR="007173B7" w:rsidRPr="00CD6AD7" w:rsidRDefault="007173B7" w:rsidP="007173B7">
      <w:pPr>
        <w:jc w:val="both"/>
        <w:rPr>
          <w:rFonts w:ascii="Arial" w:hAnsi="Arial" w:cs="Arial"/>
          <w:sz w:val="22"/>
          <w:szCs w:val="22"/>
        </w:rPr>
      </w:pPr>
    </w:p>
    <w:p w14:paraId="7E81FFE6" w14:textId="03106E04" w:rsidR="007173B7" w:rsidRPr="00CD6AD7" w:rsidRDefault="007173B7" w:rsidP="007173B7">
      <w:pPr>
        <w:jc w:val="both"/>
        <w:rPr>
          <w:rFonts w:ascii="Arial" w:hAnsi="Arial" w:cs="Arial"/>
          <w:sz w:val="20"/>
          <w:szCs w:val="20"/>
        </w:rPr>
      </w:pPr>
      <w:r w:rsidRPr="00CD6AD7">
        <w:rPr>
          <w:rFonts w:ascii="Arial" w:hAnsi="Arial" w:cs="Arial"/>
          <w:sz w:val="20"/>
          <w:szCs w:val="20"/>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5C430D0B" w14:textId="77777777" w:rsidR="007173B7" w:rsidRPr="00CD6AD7" w:rsidRDefault="007173B7" w:rsidP="007173B7">
      <w:pPr>
        <w:jc w:val="both"/>
        <w:rPr>
          <w:rFonts w:ascii="Arial" w:hAnsi="Arial" w:cs="Arial"/>
          <w:sz w:val="20"/>
          <w:szCs w:val="20"/>
        </w:rPr>
      </w:pPr>
    </w:p>
    <w:p w14:paraId="13584DD1" w14:textId="77777777" w:rsidR="007173B7" w:rsidRPr="00CD6AD7" w:rsidRDefault="007173B7" w:rsidP="007173B7">
      <w:pPr>
        <w:jc w:val="both"/>
        <w:rPr>
          <w:rFonts w:ascii="Arial" w:hAnsi="Arial" w:cs="Arial"/>
          <w:sz w:val="20"/>
          <w:szCs w:val="20"/>
        </w:rPr>
      </w:pPr>
      <w:r w:rsidRPr="00CD6AD7">
        <w:rPr>
          <w:rFonts w:ascii="Arial" w:hAnsi="Arial" w:cs="Arial"/>
          <w:sz w:val="20"/>
          <w:szCs w:val="20"/>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p>
    <w:p w14:paraId="3DAE1734" w14:textId="77777777" w:rsidR="007173B7" w:rsidRPr="00CD6AD7" w:rsidRDefault="007173B7" w:rsidP="007173B7">
      <w:pPr>
        <w:jc w:val="both"/>
        <w:rPr>
          <w:rFonts w:ascii="Arial" w:hAnsi="Arial" w:cs="Arial"/>
          <w:sz w:val="22"/>
          <w:szCs w:val="22"/>
        </w:rPr>
      </w:pPr>
    </w:p>
    <w:p w14:paraId="5ABCFC48" w14:textId="77777777" w:rsidR="007173B7" w:rsidRPr="00CD6AD7" w:rsidRDefault="007173B7" w:rsidP="007173B7">
      <w:pPr>
        <w:jc w:val="both"/>
        <w:rPr>
          <w:rFonts w:ascii="Arial" w:hAnsi="Arial" w:cs="Arial"/>
          <w:b/>
          <w:bCs/>
          <w:sz w:val="22"/>
          <w:szCs w:val="22"/>
        </w:rPr>
      </w:pPr>
      <w:r w:rsidRPr="00CD6AD7">
        <w:rPr>
          <w:rFonts w:ascii="Arial" w:hAnsi="Arial" w:cs="Arial"/>
          <w:b/>
          <w:bCs/>
          <w:sz w:val="22"/>
          <w:szCs w:val="22"/>
        </w:rPr>
        <w:t>COLOMBIA COMPRA EFICIENTE – Funciones – Expedición – Guías – Manuales – Circulares</w:t>
      </w:r>
    </w:p>
    <w:p w14:paraId="1F27408F" w14:textId="77777777" w:rsidR="007173B7" w:rsidRPr="00CD6AD7" w:rsidRDefault="007173B7" w:rsidP="007173B7">
      <w:pPr>
        <w:jc w:val="both"/>
        <w:rPr>
          <w:rFonts w:ascii="Arial" w:hAnsi="Arial" w:cs="Arial"/>
          <w:sz w:val="22"/>
          <w:szCs w:val="22"/>
        </w:rPr>
      </w:pPr>
    </w:p>
    <w:p w14:paraId="3FE45EBA" w14:textId="77777777" w:rsidR="007173B7" w:rsidRPr="00CD6AD7" w:rsidRDefault="007173B7" w:rsidP="007173B7">
      <w:pPr>
        <w:pStyle w:val="Textoindependiente"/>
        <w:jc w:val="both"/>
        <w:rPr>
          <w:rFonts w:ascii="Arial" w:hAnsi="Arial" w:cs="Arial"/>
          <w:sz w:val="20"/>
          <w:szCs w:val="20"/>
        </w:rPr>
      </w:pPr>
      <w:r w:rsidRPr="00CD6AD7">
        <w:rPr>
          <w:rFonts w:ascii="Arial" w:hAnsi="Arial" w:cs="Arial"/>
          <w:sz w:val="20"/>
          <w:szCs w:val="20"/>
        </w:rPr>
        <w:t>En ejercicio de estas competencias conferidas por el Decreto Ley 4170 de 2011, Colombia Compra Eficiente ha expedido Guías, Manuales, Circulares y los Documentos Tipo, los cuales pueden ser calificados como herramientas de apoyo a los partícipes de la contratación pública.</w:t>
      </w:r>
    </w:p>
    <w:p w14:paraId="3712E8ED" w14:textId="77777777" w:rsidR="007173B7" w:rsidRPr="00CD6AD7" w:rsidRDefault="007173B7" w:rsidP="007173B7">
      <w:pPr>
        <w:jc w:val="both"/>
        <w:rPr>
          <w:rFonts w:ascii="Arial" w:hAnsi="Arial" w:cs="Arial"/>
          <w:sz w:val="22"/>
          <w:szCs w:val="22"/>
        </w:rPr>
      </w:pPr>
    </w:p>
    <w:p w14:paraId="6B7EA064" w14:textId="77777777" w:rsidR="007173B7" w:rsidRPr="00CD6AD7" w:rsidRDefault="007173B7" w:rsidP="007173B7">
      <w:pPr>
        <w:jc w:val="both"/>
        <w:rPr>
          <w:rFonts w:ascii="Arial" w:hAnsi="Arial" w:cs="Arial"/>
          <w:b/>
          <w:sz w:val="22"/>
          <w:szCs w:val="22"/>
        </w:rPr>
      </w:pPr>
      <w:r w:rsidRPr="00CD6AD7">
        <w:rPr>
          <w:rFonts w:ascii="Arial" w:hAnsi="Arial" w:cs="Arial"/>
          <w:b/>
          <w:sz w:val="22"/>
          <w:szCs w:val="22"/>
        </w:rPr>
        <w:t>MANUALES – Colombia Compra Eficiente – Definición</w:t>
      </w:r>
    </w:p>
    <w:p w14:paraId="73DC036D" w14:textId="77777777" w:rsidR="007173B7" w:rsidRPr="00CD6AD7" w:rsidRDefault="007173B7" w:rsidP="007173B7">
      <w:pPr>
        <w:jc w:val="both"/>
        <w:rPr>
          <w:rFonts w:ascii="Arial" w:hAnsi="Arial" w:cs="Arial"/>
          <w:sz w:val="22"/>
          <w:szCs w:val="22"/>
        </w:rPr>
      </w:pPr>
    </w:p>
    <w:p w14:paraId="720ACA5B" w14:textId="20339527" w:rsidR="007173B7" w:rsidRPr="00CD6AD7" w:rsidRDefault="007173B7" w:rsidP="007173B7">
      <w:pPr>
        <w:jc w:val="both"/>
        <w:rPr>
          <w:rFonts w:ascii="Arial" w:hAnsi="Arial" w:cs="Arial"/>
          <w:sz w:val="20"/>
          <w:szCs w:val="20"/>
        </w:rPr>
      </w:pPr>
      <w:r w:rsidRPr="00CD6AD7">
        <w:rPr>
          <w:rFonts w:ascii="Arial" w:hAnsi="Arial" w:cs="Arial"/>
          <w:sz w:val="20"/>
          <w:szCs w:val="20"/>
        </w:rPr>
        <w:t xml:space="preserve">[…] </w:t>
      </w:r>
      <w:r w:rsidR="00171235" w:rsidRPr="00171235">
        <w:rPr>
          <w:rFonts w:ascii="Arial" w:hAnsi="Arial" w:cs="Arial"/>
          <w:sz w:val="20"/>
          <w:szCs w:val="20"/>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2301F634" w14:textId="77777777" w:rsidR="007173B7" w:rsidRPr="00CD6AD7" w:rsidRDefault="007173B7" w:rsidP="007173B7">
      <w:pPr>
        <w:jc w:val="both"/>
        <w:rPr>
          <w:rFonts w:ascii="Arial" w:hAnsi="Arial" w:cs="Arial"/>
          <w:b/>
          <w:sz w:val="22"/>
          <w:szCs w:val="22"/>
        </w:rPr>
      </w:pPr>
      <w:r w:rsidRPr="00CD6AD7">
        <w:rPr>
          <w:rFonts w:ascii="Arial" w:hAnsi="Arial" w:cs="Arial"/>
          <w:b/>
          <w:sz w:val="22"/>
          <w:szCs w:val="22"/>
        </w:rPr>
        <w:t>GUÍAS – Colombia Compra Eficiente – Definición</w:t>
      </w:r>
    </w:p>
    <w:p w14:paraId="1D4EE729" w14:textId="77777777" w:rsidR="007173B7" w:rsidRPr="00CD6AD7" w:rsidRDefault="007173B7" w:rsidP="007173B7">
      <w:pPr>
        <w:jc w:val="both"/>
        <w:rPr>
          <w:rFonts w:ascii="Arial" w:hAnsi="Arial" w:cs="Arial"/>
          <w:sz w:val="22"/>
          <w:szCs w:val="22"/>
        </w:rPr>
      </w:pPr>
    </w:p>
    <w:p w14:paraId="7706C132" w14:textId="77777777" w:rsidR="007173B7" w:rsidRPr="00CD6AD7" w:rsidRDefault="007173B7" w:rsidP="007173B7">
      <w:pPr>
        <w:jc w:val="both"/>
        <w:rPr>
          <w:rFonts w:ascii="Arial" w:hAnsi="Arial" w:cs="Arial"/>
          <w:sz w:val="20"/>
          <w:szCs w:val="20"/>
        </w:rPr>
      </w:pPr>
      <w:r w:rsidRPr="00CD6AD7">
        <w:rPr>
          <w:rFonts w:ascii="Arial" w:hAnsi="Arial" w:cs="Arial"/>
          <w:sz w:val="20"/>
          <w:szCs w:val="20"/>
        </w:rPr>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p>
    <w:p w14:paraId="592E88EF" w14:textId="77777777" w:rsidR="007173B7" w:rsidRPr="00CD6AD7" w:rsidRDefault="007173B7" w:rsidP="007173B7">
      <w:pPr>
        <w:jc w:val="both"/>
        <w:rPr>
          <w:rFonts w:ascii="Arial" w:hAnsi="Arial" w:cs="Arial"/>
          <w:sz w:val="20"/>
          <w:szCs w:val="20"/>
        </w:rPr>
      </w:pPr>
    </w:p>
    <w:p w14:paraId="694816B5" w14:textId="77777777" w:rsidR="007173B7" w:rsidRPr="00CD6AD7" w:rsidRDefault="007173B7" w:rsidP="007173B7">
      <w:pPr>
        <w:jc w:val="both"/>
        <w:rPr>
          <w:rFonts w:ascii="Arial" w:hAnsi="Arial" w:cs="Arial"/>
          <w:b/>
          <w:bCs/>
          <w:sz w:val="22"/>
          <w:szCs w:val="22"/>
        </w:rPr>
      </w:pPr>
      <w:r w:rsidRPr="00CD6AD7">
        <w:rPr>
          <w:rFonts w:ascii="Arial" w:hAnsi="Arial" w:cs="Arial"/>
          <w:b/>
          <w:bCs/>
          <w:sz w:val="22"/>
          <w:szCs w:val="22"/>
        </w:rPr>
        <w:t>OBLIGATORIEDAD – Actos – Colombia Compra Eficiente</w:t>
      </w:r>
    </w:p>
    <w:p w14:paraId="0D9C0E73" w14:textId="77777777" w:rsidR="007173B7" w:rsidRPr="00CD6AD7" w:rsidRDefault="007173B7" w:rsidP="007173B7">
      <w:pPr>
        <w:ind w:firstLine="284"/>
        <w:jc w:val="both"/>
        <w:rPr>
          <w:rFonts w:ascii="Arial" w:hAnsi="Arial" w:cs="Arial"/>
          <w:b/>
          <w:bCs/>
          <w:sz w:val="22"/>
          <w:szCs w:val="22"/>
        </w:rPr>
      </w:pPr>
    </w:p>
    <w:p w14:paraId="36E30C72" w14:textId="77777777" w:rsidR="007173B7" w:rsidRPr="00CD6AD7" w:rsidRDefault="007173B7" w:rsidP="007173B7">
      <w:pPr>
        <w:jc w:val="both"/>
        <w:rPr>
          <w:rFonts w:ascii="Arial" w:hAnsi="Arial" w:cs="Arial"/>
          <w:sz w:val="20"/>
          <w:szCs w:val="20"/>
        </w:rPr>
      </w:pPr>
      <w:r w:rsidRPr="00CD6AD7">
        <w:rPr>
          <w:rFonts w:ascii="Arial" w:hAnsi="Arial" w:cs="Arial"/>
          <w:sz w:val="20"/>
          <w:szCs w:val="20"/>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14:paraId="3F6153DF" w14:textId="77777777" w:rsidR="007173B7" w:rsidRPr="00CD6AD7" w:rsidRDefault="007173B7" w:rsidP="007173B7">
      <w:pPr>
        <w:jc w:val="both"/>
        <w:rPr>
          <w:rFonts w:ascii="Arial" w:hAnsi="Arial" w:cs="Arial"/>
          <w:sz w:val="20"/>
          <w:szCs w:val="20"/>
        </w:rPr>
      </w:pPr>
    </w:p>
    <w:p w14:paraId="13DB5F6A" w14:textId="77777777" w:rsidR="007173B7" w:rsidRPr="00CD6AD7" w:rsidRDefault="007173B7" w:rsidP="007173B7">
      <w:pPr>
        <w:jc w:val="both"/>
        <w:rPr>
          <w:rFonts w:ascii="Arial" w:hAnsi="Arial" w:cs="Arial"/>
          <w:sz w:val="20"/>
          <w:szCs w:val="20"/>
        </w:rPr>
      </w:pPr>
      <w:r w:rsidRPr="00CD6AD7">
        <w:rPr>
          <w:rFonts w:ascii="Arial" w:hAnsi="Arial" w:cs="Arial"/>
          <w:sz w:val="20"/>
          <w:szCs w:val="20"/>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61E83155" w14:textId="77777777" w:rsidR="007173B7" w:rsidRPr="00CD6AD7" w:rsidRDefault="007173B7" w:rsidP="007173B7">
      <w:pPr>
        <w:jc w:val="both"/>
        <w:rPr>
          <w:rFonts w:ascii="Arial" w:hAnsi="Arial" w:cs="Arial"/>
          <w:sz w:val="20"/>
          <w:szCs w:val="20"/>
        </w:rPr>
      </w:pPr>
    </w:p>
    <w:p w14:paraId="23B98331" w14:textId="77777777" w:rsidR="007173B7" w:rsidRPr="00CD6AD7" w:rsidRDefault="007173B7" w:rsidP="007173B7">
      <w:pPr>
        <w:jc w:val="both"/>
        <w:rPr>
          <w:rFonts w:ascii="Arial" w:hAnsi="Arial" w:cs="Arial"/>
          <w:b/>
          <w:bCs/>
          <w:sz w:val="22"/>
          <w:szCs w:val="22"/>
        </w:rPr>
      </w:pPr>
      <w:r w:rsidRPr="00CD6AD7">
        <w:rPr>
          <w:rFonts w:ascii="Arial" w:hAnsi="Arial" w:cs="Arial"/>
          <w:b/>
          <w:bCs/>
          <w:sz w:val="22"/>
          <w:szCs w:val="22"/>
        </w:rPr>
        <w:t>MANUAL PARA LA IDENTIFICACIÓN Y COBERTURA DEL RIESGO EN LOS PROCESOS DE CONTRATACIÓN – No obligatoriedad – Nulidad – Norma que otorgaba competencia</w:t>
      </w:r>
    </w:p>
    <w:p w14:paraId="1EEAA533" w14:textId="77777777" w:rsidR="007173B7" w:rsidRPr="00CD6AD7" w:rsidRDefault="007173B7" w:rsidP="007173B7">
      <w:pPr>
        <w:jc w:val="both"/>
        <w:rPr>
          <w:rFonts w:ascii="Arial" w:hAnsi="Arial" w:cs="Arial"/>
          <w:b/>
          <w:bCs/>
          <w:sz w:val="22"/>
          <w:szCs w:val="22"/>
        </w:rPr>
      </w:pPr>
    </w:p>
    <w:p w14:paraId="2E0DBC11" w14:textId="77777777" w:rsidR="00171235" w:rsidRPr="00171235" w:rsidRDefault="00171235" w:rsidP="00171235">
      <w:pPr>
        <w:jc w:val="both"/>
        <w:rPr>
          <w:rFonts w:ascii="Arial" w:hAnsi="Arial" w:cs="Arial"/>
          <w:sz w:val="20"/>
          <w:szCs w:val="20"/>
        </w:rPr>
      </w:pPr>
      <w:r w:rsidRPr="00171235">
        <w:rPr>
          <w:rFonts w:ascii="Arial" w:hAnsi="Arial" w:cs="Arial"/>
          <w:sz w:val="20"/>
          <w:szCs w:val="20"/>
        </w:rPr>
        <w:t>En relación con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Además, frente a la cobertura de ese riesgo, el artículo 7 de la Ley 1150 de 2007 determinó que era el Gobierno Nacional quien debía fijar los «criterios que seguirán las entidades para la exigencia de garantías, las clases y niveles de amparo de los riesgos de los contratos».</w:t>
      </w:r>
    </w:p>
    <w:p w14:paraId="54AF16E5" w14:textId="5FF4A161" w:rsidR="007173B7" w:rsidRPr="00CD6AD7" w:rsidRDefault="00171235" w:rsidP="00171235">
      <w:pPr>
        <w:jc w:val="both"/>
        <w:rPr>
          <w:rFonts w:ascii="Arial" w:hAnsi="Arial" w:cs="Arial"/>
          <w:sz w:val="20"/>
          <w:szCs w:val="20"/>
        </w:rPr>
      </w:pPr>
      <w:r w:rsidRPr="00171235">
        <w:rPr>
          <w:rFonts w:ascii="Arial" w:hAnsi="Arial" w:cs="Arial"/>
          <w:sz w:val="20"/>
          <w:szCs w:val="20"/>
        </w:rPr>
        <w:t xml:space="preserve"> 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5C0E2B0D" w14:textId="77777777" w:rsidR="007173B7" w:rsidRPr="00CD6AD7" w:rsidRDefault="007173B7" w:rsidP="007173B7">
      <w:pPr>
        <w:jc w:val="both"/>
        <w:rPr>
          <w:rFonts w:ascii="Arial" w:hAnsi="Arial" w:cs="Arial"/>
          <w:sz w:val="20"/>
          <w:szCs w:val="20"/>
        </w:rPr>
      </w:pPr>
    </w:p>
    <w:p w14:paraId="653BD986" w14:textId="77777777" w:rsidR="004E017B" w:rsidRPr="00B92338" w:rsidRDefault="004E017B" w:rsidP="004E017B">
      <w:pPr>
        <w:jc w:val="both"/>
        <w:rPr>
          <w:rFonts w:ascii="Arial" w:hAnsi="Arial" w:cs="Arial"/>
          <w:sz w:val="20"/>
          <w:szCs w:val="20"/>
        </w:rPr>
      </w:pPr>
    </w:p>
    <w:p w14:paraId="4414DA4C" w14:textId="77777777" w:rsidR="004E017B" w:rsidRPr="00B92338" w:rsidRDefault="004E017B" w:rsidP="004E017B">
      <w:pPr>
        <w:jc w:val="both"/>
        <w:rPr>
          <w:rFonts w:ascii="Arial" w:hAnsi="Arial" w:cs="Arial"/>
          <w:sz w:val="20"/>
          <w:szCs w:val="20"/>
        </w:rPr>
      </w:pPr>
    </w:p>
    <w:bookmarkEnd w:id="0"/>
    <w:bookmarkEnd w:id="3"/>
    <w:p w14:paraId="6F076FAC" w14:textId="77777777" w:rsidR="004E017B" w:rsidRPr="00B92338" w:rsidRDefault="004E017B" w:rsidP="004E017B">
      <w:pPr>
        <w:spacing w:after="200" w:line="276" w:lineRule="auto"/>
        <w:jc w:val="both"/>
        <w:rPr>
          <w:rFonts w:ascii="Arial" w:hAnsi="Arial" w:cs="Arial"/>
          <w:color w:val="000000" w:themeColor="text1"/>
          <w:sz w:val="20"/>
          <w:szCs w:val="20"/>
        </w:rPr>
      </w:pPr>
      <w:r w:rsidRPr="00B92338">
        <w:rPr>
          <w:rFonts w:ascii="Arial" w:hAnsi="Arial" w:cs="Arial"/>
          <w:color w:val="000000" w:themeColor="text1"/>
          <w:sz w:val="20"/>
          <w:szCs w:val="20"/>
        </w:rPr>
        <w:br w:type="page"/>
      </w:r>
    </w:p>
    <w:p w14:paraId="1B8FFAED" w14:textId="77777777" w:rsidR="00005632" w:rsidRDefault="00005632" w:rsidP="004E017B">
      <w:pPr>
        <w:rPr>
          <w:rFonts w:ascii="Arial" w:hAnsi="Arial" w:cs="Arial"/>
          <w:color w:val="000000" w:themeColor="text1"/>
          <w:sz w:val="22"/>
          <w:szCs w:val="22"/>
        </w:rPr>
      </w:pPr>
    </w:p>
    <w:p w14:paraId="18ECC3E6" w14:textId="77777777" w:rsidR="00005632" w:rsidRDefault="00005632" w:rsidP="004E017B">
      <w:pPr>
        <w:rPr>
          <w:rFonts w:ascii="Arial" w:hAnsi="Arial" w:cs="Arial"/>
          <w:color w:val="000000" w:themeColor="text1"/>
          <w:sz w:val="22"/>
          <w:szCs w:val="22"/>
        </w:rPr>
      </w:pPr>
    </w:p>
    <w:p w14:paraId="309332EA" w14:textId="14F80CF7" w:rsidR="004E017B" w:rsidRPr="00D06ECB" w:rsidRDefault="00171235" w:rsidP="004E017B">
      <w:pPr>
        <w:jc w:val="right"/>
        <w:rPr>
          <w:rFonts w:ascii="Arial" w:hAnsi="Arial" w:cs="Arial"/>
          <w:b/>
          <w:color w:val="000000" w:themeColor="text1"/>
          <w:sz w:val="22"/>
          <w:szCs w:val="22"/>
        </w:rPr>
      </w:pPr>
      <w:r>
        <w:rPr>
          <w:noProof/>
        </w:rPr>
        <w:drawing>
          <wp:inline distT="0" distB="0" distL="0" distR="0" wp14:anchorId="0B1622CB" wp14:editId="6B418F06">
            <wp:extent cx="2581275" cy="75247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2581275" cy="752475"/>
                    </a:xfrm>
                    <a:prstGeom prst="rect">
                      <a:avLst/>
                    </a:prstGeom>
                  </pic:spPr>
                </pic:pic>
              </a:graphicData>
            </a:graphic>
          </wp:inline>
        </w:drawing>
      </w:r>
    </w:p>
    <w:p w14:paraId="1A151154" w14:textId="77777777" w:rsidR="004E017B" w:rsidRPr="00D06ECB" w:rsidRDefault="004E017B" w:rsidP="004E017B">
      <w:pPr>
        <w:jc w:val="right"/>
        <w:rPr>
          <w:rFonts w:ascii="Arial" w:eastAsia="Calibri" w:hAnsi="Arial" w:cs="Arial"/>
          <w:color w:val="000000" w:themeColor="text1"/>
          <w:sz w:val="22"/>
          <w:szCs w:val="22"/>
        </w:rPr>
      </w:pPr>
    </w:p>
    <w:p w14:paraId="6CBFAF64" w14:textId="77777777" w:rsidR="004E017B" w:rsidRPr="00D06ECB" w:rsidRDefault="004E017B" w:rsidP="004E017B">
      <w:pPr>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Señor</w:t>
      </w:r>
      <w:r>
        <w:rPr>
          <w:rFonts w:ascii="Arial" w:eastAsia="Calibri" w:hAnsi="Arial" w:cs="Arial"/>
          <w:color w:val="000000" w:themeColor="text1"/>
          <w:sz w:val="22"/>
          <w:szCs w:val="22"/>
        </w:rPr>
        <w:t>a</w:t>
      </w:r>
    </w:p>
    <w:p w14:paraId="10B87250" w14:textId="18FF7806" w:rsidR="004E017B" w:rsidRDefault="00005632" w:rsidP="004E017B">
      <w:pPr>
        <w:rPr>
          <w:rFonts w:ascii="Arial" w:eastAsia="Calibri" w:hAnsi="Arial" w:cs="Arial"/>
          <w:b/>
          <w:color w:val="000000" w:themeColor="text1"/>
          <w:sz w:val="22"/>
          <w:szCs w:val="22"/>
        </w:rPr>
      </w:pPr>
      <w:r>
        <w:rPr>
          <w:rFonts w:ascii="Arial" w:eastAsia="Calibri" w:hAnsi="Arial" w:cs="Arial"/>
          <w:b/>
          <w:color w:val="000000" w:themeColor="text1"/>
          <w:sz w:val="22"/>
          <w:szCs w:val="22"/>
        </w:rPr>
        <w:t>Yeimy Paola Alfonso</w:t>
      </w:r>
    </w:p>
    <w:p w14:paraId="0F061898" w14:textId="14973DF2" w:rsidR="004E017B" w:rsidRPr="003248B5" w:rsidRDefault="0010385D" w:rsidP="004E017B">
      <w:pPr>
        <w:rPr>
          <w:rFonts w:ascii="Arial" w:eastAsia="Calibri" w:hAnsi="Arial" w:cs="Arial"/>
          <w:bCs/>
          <w:color w:val="000000" w:themeColor="text1"/>
          <w:sz w:val="22"/>
          <w:szCs w:val="22"/>
        </w:rPr>
      </w:pPr>
      <w:r w:rsidRPr="00D06ECB">
        <w:rPr>
          <w:rFonts w:ascii="Arial" w:hAnsi="Arial" w:cs="Arial"/>
          <w:color w:val="000000" w:themeColor="text1"/>
          <w:sz w:val="22"/>
          <w:szCs w:val="22"/>
        </w:rPr>
        <w:t>Bogotá D.C.</w:t>
      </w:r>
      <w:r w:rsidR="004E017B">
        <w:rPr>
          <w:rFonts w:ascii="Arial" w:eastAsia="Calibri" w:hAnsi="Arial" w:cs="Arial"/>
          <w:bCs/>
          <w:color w:val="000000" w:themeColor="text1"/>
          <w:sz w:val="22"/>
          <w:szCs w:val="22"/>
        </w:rPr>
        <w:t xml:space="preserve"> </w:t>
      </w:r>
    </w:p>
    <w:p w14:paraId="77EA352A" w14:textId="77777777" w:rsidR="004E017B" w:rsidRPr="00D06ECB" w:rsidRDefault="004E017B" w:rsidP="004E017B">
      <w:pPr>
        <w:rPr>
          <w:rFonts w:ascii="Arial" w:eastAsia="Calibri" w:hAnsi="Arial" w:cs="Arial"/>
          <w:color w:val="000000" w:themeColor="text1"/>
          <w:sz w:val="22"/>
          <w:szCs w:val="22"/>
        </w:rPr>
      </w:pPr>
    </w:p>
    <w:p w14:paraId="6F068411" w14:textId="77777777" w:rsidR="004E017B" w:rsidRPr="00D06ECB" w:rsidRDefault="004E017B" w:rsidP="004E017B">
      <w:pPr>
        <w:rPr>
          <w:rFonts w:ascii="Arial" w:eastAsia="Calibri" w:hAnsi="Arial" w:cs="Arial"/>
          <w:color w:val="000000" w:themeColor="text1"/>
          <w:sz w:val="22"/>
          <w:szCs w:val="22"/>
        </w:rPr>
      </w:pPr>
    </w:p>
    <w:p w14:paraId="68056B19" w14:textId="147D6280" w:rsidR="004E017B" w:rsidRPr="00D06ECB" w:rsidRDefault="00803F3A" w:rsidP="000C3AC6">
      <w:pPr>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                                            </w:t>
      </w:r>
      <w:r w:rsidR="004E017B" w:rsidRPr="00BA5DE2">
        <w:rPr>
          <w:rFonts w:ascii="Arial" w:eastAsia="Calibri" w:hAnsi="Arial" w:cs="Arial"/>
          <w:b/>
          <w:color w:val="000000" w:themeColor="text1"/>
          <w:sz w:val="22"/>
          <w:szCs w:val="22"/>
        </w:rPr>
        <w:t>Concepto C –51</w:t>
      </w:r>
      <w:r w:rsidR="00752E65">
        <w:rPr>
          <w:rFonts w:ascii="Arial" w:eastAsia="Calibri" w:hAnsi="Arial" w:cs="Arial"/>
          <w:b/>
          <w:color w:val="000000" w:themeColor="text1"/>
          <w:sz w:val="22"/>
          <w:szCs w:val="22"/>
        </w:rPr>
        <w:t>9</w:t>
      </w:r>
      <w:r w:rsidR="004E017B" w:rsidRPr="00BA5DE2">
        <w:rPr>
          <w:rFonts w:ascii="Arial" w:eastAsia="Calibri" w:hAnsi="Arial" w:cs="Arial"/>
          <w:b/>
          <w:color w:val="000000" w:themeColor="text1"/>
          <w:sz w:val="22"/>
          <w:szCs w:val="22"/>
        </w:rPr>
        <w:t xml:space="preserve"> de 2021</w:t>
      </w:r>
    </w:p>
    <w:p w14:paraId="32EA7FB7" w14:textId="77777777" w:rsidR="004E017B" w:rsidRPr="00D06ECB" w:rsidRDefault="004E017B" w:rsidP="004E017B">
      <w:pPr>
        <w:rPr>
          <w:rFonts w:ascii="Arial" w:eastAsia="Calibri" w:hAnsi="Arial"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017B" w:rsidRPr="00D06ECB" w14:paraId="087178C3" w14:textId="77777777" w:rsidTr="00B701BE">
        <w:tc>
          <w:tcPr>
            <w:tcW w:w="2689" w:type="dxa"/>
            <w:hideMark/>
          </w:tcPr>
          <w:p w14:paraId="69325CF4" w14:textId="77777777" w:rsidR="004E017B" w:rsidRPr="00D06ECB" w:rsidRDefault="004E017B" w:rsidP="00B701BE">
            <w:pPr>
              <w:rPr>
                <w:rFonts w:ascii="Arial" w:eastAsia="Calibri" w:hAnsi="Arial" w:cs="Arial"/>
                <w:color w:val="000000" w:themeColor="text1"/>
                <w:sz w:val="22"/>
                <w:szCs w:val="22"/>
              </w:rPr>
            </w:pPr>
            <w:r w:rsidRPr="00D06ECB">
              <w:rPr>
                <w:rFonts w:ascii="Arial" w:eastAsia="Calibri" w:hAnsi="Arial" w:cs="Arial"/>
                <w:b/>
                <w:color w:val="000000" w:themeColor="text1"/>
                <w:sz w:val="22"/>
                <w:szCs w:val="22"/>
              </w:rPr>
              <w:t>Temas:</w:t>
            </w:r>
            <w:r w:rsidRPr="00D06ECB">
              <w:rPr>
                <w:rFonts w:ascii="Arial" w:eastAsia="Calibri" w:hAnsi="Arial" w:cs="Arial"/>
                <w:color w:val="000000" w:themeColor="text1"/>
                <w:sz w:val="22"/>
                <w:szCs w:val="22"/>
              </w:rPr>
              <w:t xml:space="preserve">           </w:t>
            </w:r>
          </w:p>
          <w:p w14:paraId="4C24F5CD" w14:textId="77777777" w:rsidR="004E017B" w:rsidRPr="00D06ECB" w:rsidRDefault="004E017B" w:rsidP="00B701BE">
            <w:pPr>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 xml:space="preserve">                           </w:t>
            </w:r>
          </w:p>
        </w:tc>
        <w:tc>
          <w:tcPr>
            <w:tcW w:w="6237" w:type="dxa"/>
            <w:hideMark/>
          </w:tcPr>
          <w:p w14:paraId="4CD7A8BF" w14:textId="7D43E441" w:rsidR="004E017B" w:rsidRPr="00C36929" w:rsidRDefault="004E017B" w:rsidP="00800FA3">
            <w:pPr>
              <w:jc w:val="both"/>
              <w:rPr>
                <w:rFonts w:ascii="Arial" w:eastAsia="Calibri" w:hAnsi="Arial" w:cs="Arial"/>
                <w:color w:val="000000" w:themeColor="text1"/>
                <w:sz w:val="22"/>
                <w:szCs w:val="22"/>
              </w:rPr>
            </w:pPr>
            <w:r w:rsidRPr="00C36929">
              <w:rPr>
                <w:rFonts w:ascii="Arial" w:hAnsi="Arial" w:cs="Arial"/>
                <w:sz w:val="22"/>
                <w:szCs w:val="22"/>
              </w:rPr>
              <w:t xml:space="preserve">COLOMBIA COMPRA EFICIENTE – Decreto Ley 4170 de 2011 – Naturaleza jurídica – Objeto / COLOMBIA COMPRA EFICIENTE – Funciones – Expedición – Guías – Manuales – Circulares / MANUALES – Colombia Compra Eficiente – Definición / GUÍAS – Colombia Compra Eficiente – Definición / OBLIGATORIEDAD – Actos – Colombia Compra Eficiente / </w:t>
            </w:r>
            <w:r w:rsidR="00800FA3" w:rsidRPr="00800FA3">
              <w:rPr>
                <w:rFonts w:ascii="Arial" w:hAnsi="Arial" w:cs="Arial"/>
                <w:sz w:val="22"/>
                <w:szCs w:val="22"/>
              </w:rPr>
              <w:t>MANUAL PARA LA IDENTIFICACIÓN Y COBERTURA DEL RIESGO EN LOS PROCESOS DE CONTRATACIÓN – Obligatoriedad</w:t>
            </w:r>
          </w:p>
        </w:tc>
      </w:tr>
      <w:tr w:rsidR="004E017B" w:rsidRPr="00D06ECB" w14:paraId="7378AAD1" w14:textId="77777777" w:rsidTr="00B701BE">
        <w:tc>
          <w:tcPr>
            <w:tcW w:w="2689" w:type="dxa"/>
          </w:tcPr>
          <w:p w14:paraId="04328E5C" w14:textId="77777777" w:rsidR="004E017B" w:rsidRPr="00D06ECB" w:rsidRDefault="004E017B" w:rsidP="00B701BE">
            <w:pPr>
              <w:spacing w:before="120"/>
              <w:rPr>
                <w:rFonts w:ascii="Arial" w:eastAsia="Calibri" w:hAnsi="Arial" w:cs="Arial"/>
                <w:b/>
                <w:color w:val="000000" w:themeColor="text1"/>
                <w:sz w:val="22"/>
                <w:szCs w:val="22"/>
              </w:rPr>
            </w:pPr>
            <w:r w:rsidRPr="00D06ECB">
              <w:rPr>
                <w:rFonts w:ascii="Arial" w:eastAsia="Calibri" w:hAnsi="Arial" w:cs="Arial"/>
                <w:b/>
                <w:color w:val="000000" w:themeColor="text1"/>
                <w:sz w:val="22"/>
                <w:szCs w:val="22"/>
              </w:rPr>
              <w:t>Radicación:</w:t>
            </w:r>
            <w:r w:rsidRPr="00D06ECB">
              <w:rPr>
                <w:rFonts w:ascii="Arial" w:eastAsia="Calibri" w:hAnsi="Arial" w:cs="Arial"/>
                <w:color w:val="000000" w:themeColor="text1"/>
                <w:sz w:val="22"/>
                <w:szCs w:val="22"/>
              </w:rPr>
              <w:t xml:space="preserve">                              </w:t>
            </w:r>
          </w:p>
        </w:tc>
        <w:tc>
          <w:tcPr>
            <w:tcW w:w="6237" w:type="dxa"/>
          </w:tcPr>
          <w:p w14:paraId="228C17C5" w14:textId="14F3EB58" w:rsidR="004E017B" w:rsidRPr="00D06ECB" w:rsidRDefault="004E017B" w:rsidP="00B701BE">
            <w:pPr>
              <w:spacing w:before="120"/>
              <w:jc w:val="both"/>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 xml:space="preserve">Respuesta a consulta </w:t>
            </w:r>
            <w:r w:rsidR="00752E65" w:rsidRPr="00752E65">
              <w:rPr>
                <w:rFonts w:ascii="Arial" w:eastAsia="Calibri" w:hAnsi="Arial" w:cs="Arial"/>
                <w:color w:val="000000" w:themeColor="text1"/>
                <w:sz w:val="22"/>
                <w:szCs w:val="22"/>
              </w:rPr>
              <w:t>P20210812007220</w:t>
            </w:r>
          </w:p>
        </w:tc>
      </w:tr>
    </w:tbl>
    <w:p w14:paraId="33C50C82" w14:textId="434728E7" w:rsidR="004E017B" w:rsidRDefault="004E017B" w:rsidP="004E017B">
      <w:pPr>
        <w:jc w:val="both"/>
        <w:rPr>
          <w:rFonts w:ascii="Arial" w:eastAsia="Calibri" w:hAnsi="Arial" w:cs="Arial"/>
          <w:color w:val="000000" w:themeColor="text1"/>
          <w:sz w:val="22"/>
          <w:szCs w:val="22"/>
        </w:rPr>
      </w:pPr>
    </w:p>
    <w:p w14:paraId="1BF8FF63" w14:textId="77777777" w:rsidR="00803F3A" w:rsidRPr="00D06ECB" w:rsidRDefault="00803F3A" w:rsidP="004E017B">
      <w:pPr>
        <w:jc w:val="both"/>
        <w:rPr>
          <w:rFonts w:ascii="Arial" w:eastAsia="Calibri" w:hAnsi="Arial" w:cs="Arial"/>
          <w:color w:val="000000" w:themeColor="text1"/>
          <w:sz w:val="22"/>
          <w:szCs w:val="22"/>
        </w:rPr>
      </w:pPr>
    </w:p>
    <w:p w14:paraId="297D950B" w14:textId="1D795E8C" w:rsidR="004E017B" w:rsidRPr="00D06ECB" w:rsidRDefault="004E017B" w:rsidP="004E017B">
      <w:pPr>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Estimad</w:t>
      </w:r>
      <w:r>
        <w:rPr>
          <w:rFonts w:ascii="Arial" w:eastAsia="Calibri" w:hAnsi="Arial" w:cs="Arial"/>
          <w:color w:val="000000" w:themeColor="text1"/>
          <w:sz w:val="22"/>
          <w:szCs w:val="22"/>
        </w:rPr>
        <w:t>a</w:t>
      </w:r>
      <w:r w:rsidRPr="00D06ECB">
        <w:rPr>
          <w:rFonts w:ascii="Arial" w:eastAsia="Calibri" w:hAnsi="Arial" w:cs="Arial"/>
          <w:color w:val="000000" w:themeColor="text1"/>
          <w:sz w:val="22"/>
          <w:szCs w:val="22"/>
        </w:rPr>
        <w:t xml:space="preserve"> señor</w:t>
      </w:r>
      <w:r>
        <w:rPr>
          <w:rFonts w:ascii="Arial" w:eastAsia="Calibri" w:hAnsi="Arial" w:cs="Arial"/>
          <w:color w:val="000000" w:themeColor="text1"/>
          <w:sz w:val="22"/>
          <w:szCs w:val="22"/>
        </w:rPr>
        <w:t>a</w:t>
      </w:r>
      <w:r w:rsidR="0010385D">
        <w:rPr>
          <w:rFonts w:ascii="Arial" w:eastAsia="Calibri" w:hAnsi="Arial" w:cs="Arial"/>
          <w:color w:val="000000" w:themeColor="text1"/>
          <w:sz w:val="22"/>
          <w:szCs w:val="22"/>
        </w:rPr>
        <w:t xml:space="preserve"> Alfonso</w:t>
      </w:r>
      <w:r w:rsidRPr="00D06ECB">
        <w:rPr>
          <w:rFonts w:ascii="Arial" w:eastAsia="Calibri" w:hAnsi="Arial" w:cs="Arial"/>
          <w:color w:val="000000" w:themeColor="text1"/>
          <w:sz w:val="22"/>
          <w:szCs w:val="22"/>
        </w:rPr>
        <w:t>:</w:t>
      </w:r>
    </w:p>
    <w:p w14:paraId="51CB9B37" w14:textId="77777777" w:rsidR="004E017B" w:rsidRPr="00D06ECB" w:rsidRDefault="004E017B" w:rsidP="004E017B">
      <w:pPr>
        <w:rPr>
          <w:rFonts w:ascii="Arial" w:eastAsia="Calibri" w:hAnsi="Arial" w:cs="Arial"/>
          <w:color w:val="000000" w:themeColor="text1"/>
          <w:sz w:val="22"/>
          <w:szCs w:val="22"/>
        </w:rPr>
      </w:pPr>
    </w:p>
    <w:p w14:paraId="0B0E6D1E" w14:textId="1B679E98" w:rsidR="004E017B" w:rsidRPr="00D06ECB" w:rsidRDefault="004E017B" w:rsidP="004E017B">
      <w:pPr>
        <w:spacing w:line="276" w:lineRule="auto"/>
        <w:jc w:val="both"/>
        <w:rPr>
          <w:rFonts w:ascii="Arial" w:eastAsia="Calibri" w:hAnsi="Arial" w:cs="Arial"/>
          <w:color w:val="000000" w:themeColor="text1"/>
          <w:sz w:val="22"/>
          <w:szCs w:val="22"/>
        </w:rPr>
      </w:pPr>
      <w:r w:rsidRPr="00D06ECB">
        <w:rPr>
          <w:rFonts w:ascii="Arial" w:eastAsia="Calibri" w:hAnsi="Arial" w:cs="Arial"/>
          <w:sz w:val="22"/>
          <w:szCs w:val="22"/>
        </w:rPr>
        <w:t xml:space="preserve">En ejercicio de la competencia otorgada por el numeral 8 del artículo 11 y el numeral 5 del artículo 3 del Decreto Ley 4170 de 2011, la Agencia Nacional de Contratación Pública − Colombia Compra Eficiente procede a dar respuesta a su consulta </w:t>
      </w:r>
      <w:r>
        <w:rPr>
          <w:rFonts w:ascii="Arial" w:eastAsia="Calibri" w:hAnsi="Arial" w:cs="Arial"/>
          <w:color w:val="000000" w:themeColor="text1"/>
          <w:sz w:val="22"/>
          <w:szCs w:val="22"/>
        </w:rPr>
        <w:t>del 1</w:t>
      </w:r>
      <w:r w:rsidR="00752E65">
        <w:rPr>
          <w:rFonts w:ascii="Arial" w:eastAsia="Calibri" w:hAnsi="Arial" w:cs="Arial"/>
          <w:color w:val="000000" w:themeColor="text1"/>
          <w:sz w:val="22"/>
          <w:szCs w:val="22"/>
        </w:rPr>
        <w:t>2</w:t>
      </w:r>
      <w:r>
        <w:rPr>
          <w:rFonts w:ascii="Arial" w:eastAsia="Calibri" w:hAnsi="Arial" w:cs="Arial"/>
          <w:color w:val="000000" w:themeColor="text1"/>
          <w:sz w:val="22"/>
          <w:szCs w:val="22"/>
        </w:rPr>
        <w:t xml:space="preserve"> de </w:t>
      </w:r>
      <w:r w:rsidR="00752E65">
        <w:rPr>
          <w:rFonts w:ascii="Arial" w:eastAsia="Calibri" w:hAnsi="Arial" w:cs="Arial"/>
          <w:color w:val="000000" w:themeColor="text1"/>
          <w:sz w:val="22"/>
          <w:szCs w:val="22"/>
        </w:rPr>
        <w:t xml:space="preserve">agosto </w:t>
      </w:r>
      <w:r w:rsidRPr="00D06ECB">
        <w:rPr>
          <w:rFonts w:ascii="Arial" w:eastAsia="Calibri" w:hAnsi="Arial" w:cs="Arial"/>
          <w:color w:val="000000" w:themeColor="text1"/>
          <w:sz w:val="22"/>
          <w:szCs w:val="22"/>
        </w:rPr>
        <w:t>de 202</w:t>
      </w:r>
      <w:r>
        <w:rPr>
          <w:rFonts w:ascii="Arial" w:eastAsia="Calibri" w:hAnsi="Arial" w:cs="Arial"/>
          <w:color w:val="000000" w:themeColor="text1"/>
          <w:sz w:val="22"/>
          <w:szCs w:val="22"/>
        </w:rPr>
        <w:t xml:space="preserve">1. </w:t>
      </w:r>
    </w:p>
    <w:p w14:paraId="437CCD19" w14:textId="77777777" w:rsidR="004E017B" w:rsidRPr="00D06ECB" w:rsidRDefault="004E017B" w:rsidP="004E017B">
      <w:pPr>
        <w:spacing w:line="276" w:lineRule="auto"/>
        <w:jc w:val="both"/>
        <w:rPr>
          <w:rFonts w:ascii="Arial" w:eastAsia="Calibri" w:hAnsi="Arial" w:cs="Arial"/>
          <w:color w:val="000000" w:themeColor="text1"/>
          <w:sz w:val="22"/>
          <w:szCs w:val="22"/>
        </w:rPr>
      </w:pPr>
    </w:p>
    <w:p w14:paraId="25D51093" w14:textId="77777777" w:rsidR="004E017B" w:rsidRPr="00D06ECB" w:rsidRDefault="004E017B" w:rsidP="004E017B">
      <w:pPr>
        <w:numPr>
          <w:ilvl w:val="0"/>
          <w:numId w:val="1"/>
        </w:numPr>
        <w:tabs>
          <w:tab w:val="left" w:pos="284"/>
        </w:tabs>
        <w:spacing w:line="276" w:lineRule="auto"/>
        <w:ind w:left="0" w:firstLine="0"/>
        <w:contextualSpacing/>
        <w:jc w:val="both"/>
        <w:rPr>
          <w:rFonts w:ascii="Arial" w:eastAsia="Calibri" w:hAnsi="Arial" w:cs="Arial"/>
          <w:b/>
          <w:color w:val="000000" w:themeColor="text1"/>
          <w:sz w:val="22"/>
          <w:szCs w:val="22"/>
        </w:rPr>
      </w:pPr>
      <w:r w:rsidRPr="00D06ECB">
        <w:rPr>
          <w:rFonts w:ascii="Arial" w:eastAsia="Calibri" w:hAnsi="Arial" w:cs="Arial"/>
          <w:b/>
          <w:color w:val="000000" w:themeColor="text1"/>
          <w:sz w:val="22"/>
          <w:szCs w:val="22"/>
        </w:rPr>
        <w:t xml:space="preserve">Problemas planteados </w:t>
      </w:r>
    </w:p>
    <w:p w14:paraId="79E99EBB" w14:textId="77777777" w:rsidR="004E017B" w:rsidRPr="00D06ECB" w:rsidRDefault="004E017B" w:rsidP="004E017B">
      <w:pPr>
        <w:tabs>
          <w:tab w:val="left" w:pos="426"/>
        </w:tabs>
        <w:spacing w:line="276" w:lineRule="auto"/>
        <w:jc w:val="both"/>
        <w:rPr>
          <w:rFonts w:ascii="Arial" w:eastAsia="Calibri" w:hAnsi="Arial" w:cs="Arial"/>
          <w:b/>
          <w:color w:val="000000" w:themeColor="text1"/>
          <w:sz w:val="22"/>
          <w:szCs w:val="22"/>
        </w:rPr>
      </w:pPr>
    </w:p>
    <w:p w14:paraId="127B6924" w14:textId="392FA9C9" w:rsidR="004E017B" w:rsidRPr="00D06ECB" w:rsidRDefault="004E017B" w:rsidP="004E017B">
      <w:pPr>
        <w:pStyle w:val="NormalWeb"/>
        <w:shd w:val="clear" w:color="auto" w:fill="FFFFFF"/>
        <w:spacing w:before="0" w:beforeAutospacing="0" w:after="0" w:afterAutospacing="0" w:line="276" w:lineRule="auto"/>
        <w:jc w:val="both"/>
        <w:rPr>
          <w:rFonts w:ascii="Arial" w:eastAsia="Calibri" w:hAnsi="Arial" w:cs="Arial"/>
          <w:sz w:val="22"/>
          <w:szCs w:val="22"/>
          <w:lang w:eastAsia="en-US"/>
        </w:rPr>
      </w:pPr>
      <w:r w:rsidRPr="00D06ECB">
        <w:rPr>
          <w:rFonts w:ascii="Arial" w:eastAsia="Calibri" w:hAnsi="Arial" w:cs="Arial"/>
          <w:sz w:val="22"/>
          <w:szCs w:val="22"/>
          <w:lang w:eastAsia="en-US"/>
        </w:rPr>
        <w:t>Usted realiza la</w:t>
      </w:r>
      <w:r w:rsidR="00800FA3">
        <w:rPr>
          <w:rFonts w:ascii="Arial" w:eastAsia="Calibri" w:hAnsi="Arial" w:cs="Arial"/>
          <w:sz w:val="22"/>
          <w:szCs w:val="22"/>
          <w:lang w:eastAsia="en-US"/>
        </w:rPr>
        <w:t>s</w:t>
      </w:r>
      <w:r w:rsidRPr="00D06ECB">
        <w:rPr>
          <w:rFonts w:ascii="Arial" w:eastAsia="Calibri" w:hAnsi="Arial" w:cs="Arial"/>
          <w:sz w:val="22"/>
          <w:szCs w:val="22"/>
          <w:lang w:eastAsia="en-US"/>
        </w:rPr>
        <w:t xml:space="preserve"> siguiente</w:t>
      </w:r>
      <w:r w:rsidR="00800FA3">
        <w:rPr>
          <w:rFonts w:ascii="Arial" w:eastAsia="Calibri" w:hAnsi="Arial" w:cs="Arial"/>
          <w:sz w:val="22"/>
          <w:szCs w:val="22"/>
          <w:lang w:eastAsia="en-US"/>
        </w:rPr>
        <w:t>s</w:t>
      </w:r>
      <w:r w:rsidRPr="00D06ECB">
        <w:rPr>
          <w:rFonts w:ascii="Arial" w:eastAsia="Calibri" w:hAnsi="Arial" w:cs="Arial"/>
          <w:sz w:val="22"/>
          <w:szCs w:val="22"/>
          <w:lang w:eastAsia="en-US"/>
        </w:rPr>
        <w:t xml:space="preserve"> pregunta</w:t>
      </w:r>
      <w:r w:rsidR="00800FA3">
        <w:rPr>
          <w:rFonts w:ascii="Arial" w:eastAsia="Calibri" w:hAnsi="Arial" w:cs="Arial"/>
          <w:sz w:val="22"/>
          <w:szCs w:val="22"/>
          <w:lang w:eastAsia="en-US"/>
        </w:rPr>
        <w:t>s</w:t>
      </w:r>
      <w:r w:rsidRPr="00D06ECB">
        <w:rPr>
          <w:rFonts w:ascii="Arial" w:eastAsia="Calibri" w:hAnsi="Arial" w:cs="Arial"/>
          <w:sz w:val="22"/>
          <w:szCs w:val="22"/>
          <w:lang w:eastAsia="en-US"/>
        </w:rPr>
        <w:t xml:space="preserve">: </w:t>
      </w:r>
      <w:bookmarkStart w:id="4" w:name="_Hlk66118560"/>
      <w:r w:rsidR="00474890">
        <w:rPr>
          <w:rFonts w:ascii="Arial" w:eastAsia="Calibri" w:hAnsi="Arial" w:cs="Arial"/>
          <w:sz w:val="22"/>
          <w:szCs w:val="22"/>
          <w:lang w:eastAsia="en-US"/>
        </w:rPr>
        <w:t xml:space="preserve">i) </w:t>
      </w:r>
      <w:r w:rsidRPr="00D06ECB">
        <w:rPr>
          <w:rFonts w:ascii="Arial" w:eastAsia="Calibri" w:hAnsi="Arial" w:cs="Arial"/>
          <w:sz w:val="22"/>
          <w:szCs w:val="22"/>
          <w:lang w:eastAsia="en-US"/>
        </w:rPr>
        <w:t>«</w:t>
      </w:r>
      <w:r w:rsidR="00800FA3" w:rsidRPr="00800FA3">
        <w:rPr>
          <w:rFonts w:ascii="Arial" w:eastAsia="Calibri" w:hAnsi="Arial" w:cs="Arial"/>
          <w:sz w:val="22"/>
          <w:szCs w:val="22"/>
          <w:lang w:eastAsia="en-US"/>
        </w:rPr>
        <w:t>¿En la contratación que realice Capital Salud EPS está obligado a segu</w:t>
      </w:r>
      <w:r w:rsidR="0010385D">
        <w:rPr>
          <w:rFonts w:ascii="Arial" w:eastAsia="Calibri" w:hAnsi="Arial" w:cs="Arial"/>
          <w:sz w:val="22"/>
          <w:szCs w:val="22"/>
          <w:lang w:eastAsia="en-US"/>
        </w:rPr>
        <w:t>i</w:t>
      </w:r>
      <w:r w:rsidR="00800FA3" w:rsidRPr="00800FA3">
        <w:rPr>
          <w:rFonts w:ascii="Arial" w:eastAsia="Calibri" w:hAnsi="Arial" w:cs="Arial"/>
          <w:sz w:val="22"/>
          <w:szCs w:val="22"/>
          <w:lang w:eastAsia="en-US"/>
        </w:rPr>
        <w:t>r los lineamientos Manual para la Identificación y Cobertura del Riesgo en los Procesos de Contratación?</w:t>
      </w:r>
      <w:r w:rsidR="00474890">
        <w:rPr>
          <w:rFonts w:ascii="Arial" w:eastAsia="Calibri" w:hAnsi="Arial" w:cs="Arial"/>
          <w:sz w:val="22"/>
          <w:szCs w:val="22"/>
          <w:lang w:eastAsia="en-US"/>
        </w:rPr>
        <w:t>», ii)</w:t>
      </w:r>
      <w:r w:rsidR="00800FA3" w:rsidRPr="00800FA3">
        <w:rPr>
          <w:rFonts w:ascii="Arial" w:eastAsia="Calibri" w:hAnsi="Arial" w:cs="Arial"/>
          <w:sz w:val="22"/>
          <w:szCs w:val="22"/>
          <w:lang w:eastAsia="en-US"/>
        </w:rPr>
        <w:t xml:space="preserve"> </w:t>
      </w:r>
      <w:r w:rsidR="00474890">
        <w:rPr>
          <w:rFonts w:ascii="Arial" w:eastAsia="Calibri" w:hAnsi="Arial" w:cs="Arial"/>
          <w:sz w:val="22"/>
          <w:szCs w:val="22"/>
          <w:lang w:eastAsia="en-US"/>
        </w:rPr>
        <w:t>«</w:t>
      </w:r>
      <w:r w:rsidR="00800FA3" w:rsidRPr="00800FA3">
        <w:rPr>
          <w:rFonts w:ascii="Arial" w:eastAsia="Calibri" w:hAnsi="Arial" w:cs="Arial"/>
          <w:sz w:val="22"/>
          <w:szCs w:val="22"/>
          <w:lang w:eastAsia="en-US"/>
        </w:rPr>
        <w:t>¿Es posible recibir una asesoría por parte de Colombia eficiente hacia Capital Salud para despejar dudas sobre el Manual para la Identificación y Cobertura del Riesgo en los Procesos de Contratación?</w:t>
      </w:r>
      <w:r w:rsidR="00474890">
        <w:rPr>
          <w:rFonts w:ascii="Arial" w:eastAsia="Calibri" w:hAnsi="Arial" w:cs="Arial"/>
          <w:sz w:val="22"/>
          <w:szCs w:val="22"/>
          <w:lang w:eastAsia="en-US"/>
        </w:rPr>
        <w:t>» y iii)</w:t>
      </w:r>
      <w:r w:rsidR="00800FA3" w:rsidRPr="00800FA3">
        <w:rPr>
          <w:rFonts w:ascii="Arial" w:eastAsia="Calibri" w:hAnsi="Arial" w:cs="Arial"/>
          <w:sz w:val="22"/>
          <w:szCs w:val="22"/>
          <w:lang w:eastAsia="en-US"/>
        </w:rPr>
        <w:t xml:space="preserve"> </w:t>
      </w:r>
      <w:r w:rsidR="00474890">
        <w:rPr>
          <w:rFonts w:ascii="Arial" w:eastAsia="Calibri" w:hAnsi="Arial" w:cs="Arial"/>
          <w:sz w:val="22"/>
          <w:szCs w:val="22"/>
          <w:lang w:eastAsia="en-US"/>
        </w:rPr>
        <w:t>«</w:t>
      </w:r>
      <w:r w:rsidR="00800FA3" w:rsidRPr="00800FA3">
        <w:rPr>
          <w:rFonts w:ascii="Arial" w:eastAsia="Calibri" w:hAnsi="Arial" w:cs="Arial"/>
          <w:sz w:val="22"/>
          <w:szCs w:val="22"/>
          <w:lang w:eastAsia="en-US"/>
        </w:rPr>
        <w:t>¿Dónde encuentro el Excel (matriz de riesgos) que propone el manual para la Identificación y Cobertura del Riesgo en los Procesos de Contratación?</w:t>
      </w:r>
      <w:r w:rsidRPr="00800FA3">
        <w:rPr>
          <w:rFonts w:ascii="Arial" w:eastAsia="Calibri" w:hAnsi="Arial" w:cs="Arial"/>
          <w:sz w:val="22"/>
          <w:szCs w:val="22"/>
          <w:lang w:eastAsia="en-US"/>
        </w:rPr>
        <w:t>».</w:t>
      </w:r>
      <w:bookmarkEnd w:id="4"/>
    </w:p>
    <w:p w14:paraId="237D51A3" w14:textId="77777777" w:rsidR="004E017B" w:rsidRPr="00D06ECB" w:rsidRDefault="004E017B" w:rsidP="000C3AC6">
      <w:pPr>
        <w:tabs>
          <w:tab w:val="left" w:pos="709"/>
        </w:tabs>
        <w:spacing w:line="276" w:lineRule="auto"/>
        <w:jc w:val="both"/>
        <w:rPr>
          <w:rFonts w:ascii="Arial" w:eastAsia="Calibri" w:hAnsi="Arial" w:cs="Arial"/>
          <w:color w:val="000000" w:themeColor="text1"/>
          <w:sz w:val="22"/>
          <w:szCs w:val="22"/>
        </w:rPr>
      </w:pPr>
    </w:p>
    <w:p w14:paraId="19B19F9A" w14:textId="77777777" w:rsidR="004E017B" w:rsidRPr="00D06ECB" w:rsidRDefault="004E017B" w:rsidP="004E017B">
      <w:pPr>
        <w:numPr>
          <w:ilvl w:val="0"/>
          <w:numId w:val="1"/>
        </w:numPr>
        <w:tabs>
          <w:tab w:val="left" w:pos="426"/>
        </w:tabs>
        <w:spacing w:line="276" w:lineRule="auto"/>
        <w:ind w:left="0" w:firstLine="0"/>
        <w:contextualSpacing/>
        <w:jc w:val="both"/>
        <w:rPr>
          <w:rFonts w:ascii="Arial" w:eastAsia="Calibri" w:hAnsi="Arial" w:cs="Arial"/>
          <w:b/>
          <w:color w:val="000000" w:themeColor="text1"/>
          <w:sz w:val="22"/>
          <w:szCs w:val="22"/>
        </w:rPr>
      </w:pPr>
      <w:r w:rsidRPr="00D06ECB">
        <w:rPr>
          <w:rFonts w:ascii="Arial" w:eastAsia="Calibri" w:hAnsi="Arial" w:cs="Arial"/>
          <w:b/>
          <w:color w:val="000000" w:themeColor="text1"/>
          <w:sz w:val="22"/>
          <w:szCs w:val="22"/>
        </w:rPr>
        <w:lastRenderedPageBreak/>
        <w:t>Consideraciones</w:t>
      </w:r>
    </w:p>
    <w:p w14:paraId="4E449210" w14:textId="77777777" w:rsidR="004E017B" w:rsidRPr="00D06ECB" w:rsidRDefault="004E017B" w:rsidP="004E017B">
      <w:pPr>
        <w:spacing w:line="276" w:lineRule="auto"/>
        <w:jc w:val="both"/>
        <w:rPr>
          <w:rFonts w:ascii="Arial" w:eastAsia="Calibri" w:hAnsi="Arial" w:cs="Arial"/>
          <w:color w:val="000000" w:themeColor="text1"/>
          <w:sz w:val="22"/>
          <w:szCs w:val="22"/>
        </w:rPr>
      </w:pPr>
    </w:p>
    <w:p w14:paraId="37A455B7" w14:textId="7D8F47CE" w:rsidR="004E017B" w:rsidRPr="00D06ECB" w:rsidRDefault="004E017B" w:rsidP="004E017B">
      <w:pPr>
        <w:spacing w:line="276" w:lineRule="auto"/>
        <w:jc w:val="both"/>
        <w:rPr>
          <w:rFonts w:ascii="Arial" w:hAnsi="Arial" w:cs="Arial"/>
          <w:sz w:val="22"/>
          <w:szCs w:val="22"/>
        </w:rPr>
      </w:pPr>
      <w:r w:rsidRPr="00D06ECB">
        <w:rPr>
          <w:rFonts w:ascii="Arial" w:eastAsia="Calibri" w:hAnsi="Arial" w:cs="Arial"/>
          <w:color w:val="000000" w:themeColor="text1"/>
          <w:sz w:val="22"/>
          <w:szCs w:val="22"/>
          <w:lang w:val="es-ES_tradnl"/>
        </w:rPr>
        <w:t>Para resolver su consulta, se analizará la obligatoriedad de las Guías y Manuales expedidas por la Agencia Nacional de Contratación Pública – Colombia Compra Eficiente</w:t>
      </w:r>
      <w:r w:rsidR="000C3AC6">
        <w:rPr>
          <w:rFonts w:ascii="Arial" w:eastAsia="Calibri" w:hAnsi="Arial" w:cs="Arial"/>
          <w:color w:val="000000" w:themeColor="text1"/>
          <w:sz w:val="22"/>
          <w:szCs w:val="22"/>
          <w:lang w:val="es-ES_tradnl"/>
        </w:rPr>
        <w:t xml:space="preserve"> y específicamente del Manual para la Identificación y Cobertura del Riesgo en los Procesos de Contratación, último tema que fue analizado en el concepto C-451 del 31 de agosto de 2021</w:t>
      </w:r>
      <w:r w:rsidRPr="00D06ECB">
        <w:rPr>
          <w:rFonts w:ascii="Arial" w:eastAsia="Calibri" w:hAnsi="Arial" w:cs="Arial"/>
          <w:color w:val="000000" w:themeColor="text1"/>
          <w:sz w:val="22"/>
          <w:szCs w:val="22"/>
          <w:lang w:val="es-ES_tradnl"/>
        </w:rPr>
        <w:t xml:space="preserve">. </w:t>
      </w:r>
    </w:p>
    <w:p w14:paraId="36792885" w14:textId="77777777" w:rsidR="004E017B" w:rsidRPr="00D06ECB" w:rsidRDefault="004E017B" w:rsidP="004E017B">
      <w:pPr>
        <w:spacing w:line="276" w:lineRule="auto"/>
        <w:jc w:val="both"/>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 xml:space="preserve"> </w:t>
      </w:r>
    </w:p>
    <w:p w14:paraId="071272A1" w14:textId="4E6F3F1F" w:rsidR="004E017B" w:rsidRPr="000570AB" w:rsidRDefault="004E017B" w:rsidP="005A638E">
      <w:pPr>
        <w:tabs>
          <w:tab w:val="left" w:pos="0"/>
        </w:tabs>
        <w:spacing w:line="276" w:lineRule="auto"/>
        <w:jc w:val="both"/>
        <w:rPr>
          <w:rFonts w:ascii="Arial" w:hAnsi="Arial" w:cs="Arial"/>
          <w:b/>
          <w:bCs/>
          <w:sz w:val="22"/>
          <w:szCs w:val="22"/>
        </w:rPr>
      </w:pPr>
      <w:r w:rsidRPr="000570AB">
        <w:rPr>
          <w:rFonts w:ascii="Arial" w:hAnsi="Arial" w:cs="Arial"/>
          <w:b/>
          <w:bCs/>
          <w:sz w:val="22"/>
          <w:szCs w:val="22"/>
        </w:rPr>
        <w:t>2.1</w:t>
      </w:r>
      <w:r w:rsidR="007F5771">
        <w:rPr>
          <w:rFonts w:ascii="Arial" w:hAnsi="Arial" w:cs="Arial"/>
          <w:b/>
          <w:bCs/>
          <w:sz w:val="22"/>
          <w:szCs w:val="22"/>
        </w:rPr>
        <w:t>.</w:t>
      </w:r>
      <w:r w:rsidRPr="000570AB">
        <w:rPr>
          <w:rFonts w:ascii="Arial" w:eastAsia="Calibri" w:hAnsi="Arial" w:cs="Arial"/>
          <w:b/>
          <w:bCs/>
          <w:color w:val="000000" w:themeColor="text1"/>
          <w:sz w:val="22"/>
          <w:szCs w:val="22"/>
        </w:rPr>
        <w:t xml:space="preserve"> </w:t>
      </w:r>
      <w:r w:rsidRPr="000570AB">
        <w:rPr>
          <w:rFonts w:ascii="Arial" w:hAnsi="Arial" w:cs="Arial"/>
          <w:b/>
          <w:bCs/>
          <w:sz w:val="22"/>
          <w:szCs w:val="22"/>
        </w:rPr>
        <w:t>Guías, Manuales, Circulares y Documentos Tipo</w:t>
      </w:r>
    </w:p>
    <w:p w14:paraId="690B7DC1" w14:textId="2C65FEEC" w:rsidR="007173B7" w:rsidRPr="00CD6AD7" w:rsidRDefault="007173B7" w:rsidP="000C3AC6">
      <w:pPr>
        <w:pStyle w:val="Textoindependiente"/>
        <w:spacing w:before="240"/>
        <w:jc w:val="both"/>
        <w:rPr>
          <w:rFonts w:ascii="Arial" w:hAnsi="Arial" w:cs="Arial"/>
          <w:szCs w:val="22"/>
        </w:rPr>
      </w:pPr>
      <w:r w:rsidRPr="00CD6AD7">
        <w:rPr>
          <w:rFonts w:ascii="Arial" w:hAnsi="Arial" w:cs="Arial"/>
          <w:szCs w:val="22"/>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78E44D38" w14:textId="77777777" w:rsidR="007173B7" w:rsidRPr="00CD6AD7" w:rsidRDefault="007173B7" w:rsidP="007173B7">
      <w:pPr>
        <w:pStyle w:val="Textoindependiente"/>
        <w:ind w:firstLine="708"/>
        <w:jc w:val="both"/>
        <w:rPr>
          <w:rFonts w:ascii="Arial" w:hAnsi="Arial" w:cs="Arial"/>
          <w:szCs w:val="22"/>
        </w:rPr>
      </w:pPr>
      <w:r w:rsidRPr="00CD6AD7">
        <w:rPr>
          <w:rFonts w:ascii="Arial" w:hAnsi="Arial" w:cs="Arial"/>
          <w:szCs w:val="22"/>
        </w:rPr>
        <w:t>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3E921C3B" w14:textId="22AB361F" w:rsidR="00583DAB" w:rsidRDefault="007173B7" w:rsidP="00583DAB">
      <w:pPr>
        <w:pStyle w:val="Textoindependiente"/>
        <w:ind w:firstLine="708"/>
        <w:jc w:val="both"/>
        <w:rPr>
          <w:rFonts w:ascii="Arial" w:hAnsi="Arial" w:cs="Arial"/>
          <w:szCs w:val="22"/>
        </w:rPr>
      </w:pPr>
      <w:bookmarkStart w:id="5" w:name="_Hlk69117524"/>
      <w:r w:rsidRPr="00CD6AD7">
        <w:rPr>
          <w:rFonts w:ascii="Arial" w:hAnsi="Arial" w:cs="Arial"/>
          <w:szCs w:val="22"/>
        </w:rPr>
        <w:t>En ejercicio de estas competencias conferidas por el Decreto Ley 4170 de 2011, Colombia Compra Eficiente ha expedido Guías, Manuales</w:t>
      </w:r>
      <w:r>
        <w:rPr>
          <w:rFonts w:ascii="Arial" w:hAnsi="Arial" w:cs="Arial"/>
          <w:szCs w:val="22"/>
        </w:rPr>
        <w:t xml:space="preserve"> y</w:t>
      </w:r>
      <w:r w:rsidRPr="00CD6AD7">
        <w:rPr>
          <w:rFonts w:ascii="Arial" w:hAnsi="Arial" w:cs="Arial"/>
          <w:szCs w:val="22"/>
        </w:rPr>
        <w:t xml:space="preserve"> Circulares, los cuales pueden ser calificados como herramientas de apoyo a los partícipes de la contratación pública.</w:t>
      </w:r>
      <w:r w:rsidR="00583DAB">
        <w:rPr>
          <w:rFonts w:ascii="Arial" w:hAnsi="Arial" w:cs="Arial"/>
          <w:szCs w:val="22"/>
        </w:rPr>
        <w:t xml:space="preserve"> </w:t>
      </w:r>
      <w:bookmarkEnd w:id="5"/>
      <w:r w:rsidR="00583DAB">
        <w:rPr>
          <w:rFonts w:ascii="Arial" w:hAnsi="Arial" w:cs="Arial"/>
          <w:szCs w:val="22"/>
        </w:rPr>
        <w:t>Pese a</w:t>
      </w:r>
      <w:r w:rsidRPr="00CD6AD7">
        <w:rPr>
          <w:rFonts w:ascii="Arial" w:hAnsi="Arial" w:cs="Arial"/>
          <w:szCs w:val="22"/>
        </w:rPr>
        <w:t xml:space="preserve">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 </w:t>
      </w:r>
    </w:p>
    <w:p w14:paraId="4EE11806" w14:textId="5766A590" w:rsidR="007173B7" w:rsidRPr="00CD6AD7" w:rsidRDefault="007173B7" w:rsidP="000C3AC6">
      <w:pPr>
        <w:pStyle w:val="Textoindependiente"/>
        <w:ind w:firstLine="708"/>
        <w:jc w:val="both"/>
        <w:rPr>
          <w:rFonts w:ascii="Arial" w:hAnsi="Arial" w:cs="Arial"/>
          <w:szCs w:val="22"/>
        </w:rPr>
      </w:pPr>
      <w:r w:rsidRPr="00CD6AD7">
        <w:rPr>
          <w:rFonts w:ascii="Arial" w:hAnsi="Arial" w:cs="Arial"/>
          <w:szCs w:val="22"/>
        </w:rPr>
        <w:t>El Decreto 1510 de 2013, por el cual se reglamentó el sistema de compras y contratación pública, compilado por el Decreto 1082 de 2015, a pesar de que se refiere de forma expresa a los Manuales y Guías, no distingue o precisa el concepto de cada uno.</w:t>
      </w:r>
      <w:r w:rsidR="00583DAB">
        <w:rPr>
          <w:rFonts w:ascii="Arial" w:hAnsi="Arial" w:cs="Arial"/>
          <w:szCs w:val="22"/>
        </w:rPr>
        <w:t xml:space="preserve"> </w:t>
      </w:r>
      <w:r w:rsidRPr="00CD6AD7">
        <w:rPr>
          <w:rFonts w:ascii="Arial" w:hAnsi="Arial" w:cs="Arial"/>
          <w:szCs w:val="22"/>
        </w:rPr>
        <w:lastRenderedPageBreak/>
        <w:t>Bajo las denominaciones de Guías, Manuales, instructivos y protocolos muchas entidades del Estado han adoptado herramientas e instrumentos para definir criterios técnicos, fijar procedimientos, estandarizar procesos y establecer metodologías y no existe un significado unívoco que defina cada herramienta</w:t>
      </w:r>
      <w:r w:rsidRPr="00CD6AD7">
        <w:rPr>
          <w:rStyle w:val="Refdenotaalpie"/>
          <w:rFonts w:ascii="Arial" w:hAnsi="Arial" w:cs="Arial"/>
          <w:szCs w:val="22"/>
        </w:rPr>
        <w:footnoteReference w:id="1"/>
      </w:r>
      <w:r w:rsidRPr="00CD6AD7">
        <w:rPr>
          <w:rFonts w:ascii="Arial" w:hAnsi="Arial" w:cs="Arial"/>
          <w:szCs w:val="22"/>
        </w:rPr>
        <w:t>.</w:t>
      </w:r>
    </w:p>
    <w:p w14:paraId="2C6384C2" w14:textId="77777777" w:rsidR="007173B7" w:rsidRPr="00CD6AD7" w:rsidRDefault="007173B7" w:rsidP="007173B7">
      <w:pPr>
        <w:pStyle w:val="Textoindependiente"/>
        <w:ind w:right="42" w:firstLine="708"/>
        <w:jc w:val="both"/>
        <w:rPr>
          <w:rFonts w:ascii="Arial" w:hAnsi="Arial" w:cs="Arial"/>
          <w:szCs w:val="22"/>
        </w:rPr>
      </w:pPr>
      <w:r w:rsidRPr="00CD6AD7">
        <w:rPr>
          <w:rFonts w:ascii="Arial" w:hAnsi="Arial" w:cs="Arial"/>
          <w:szCs w:val="22"/>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00E8D382" w14:textId="165F8C8D" w:rsidR="007173B7" w:rsidRDefault="007173B7" w:rsidP="00583DAB">
      <w:pPr>
        <w:pStyle w:val="Textoindependiente"/>
        <w:spacing w:before="1" w:after="0"/>
        <w:ind w:right="42" w:firstLine="708"/>
        <w:jc w:val="both"/>
        <w:rPr>
          <w:rFonts w:ascii="Arial" w:hAnsi="Arial" w:cs="Arial"/>
          <w:szCs w:val="22"/>
        </w:rPr>
      </w:pPr>
      <w:r w:rsidRPr="00CD6AD7">
        <w:rPr>
          <w:rFonts w:ascii="Arial" w:hAnsi="Arial" w:cs="Arial"/>
          <w:szCs w:val="22"/>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la guía para la liquidación de los contratos estatales, la cual fija un procedimiento para el efecto. </w:t>
      </w:r>
    </w:p>
    <w:p w14:paraId="6A9FB6FD" w14:textId="77777777" w:rsidR="00583DAB" w:rsidRPr="00CD6AD7" w:rsidRDefault="00583DAB" w:rsidP="000C3AC6">
      <w:pPr>
        <w:pStyle w:val="Textoindependiente"/>
        <w:spacing w:before="1" w:after="0"/>
        <w:ind w:right="42" w:firstLine="708"/>
        <w:jc w:val="both"/>
        <w:rPr>
          <w:rFonts w:ascii="Arial" w:hAnsi="Arial" w:cs="Arial"/>
          <w:szCs w:val="22"/>
        </w:rPr>
      </w:pPr>
    </w:p>
    <w:p w14:paraId="7F06CB35" w14:textId="1BB804D4" w:rsidR="007173B7" w:rsidRDefault="007173B7" w:rsidP="00583DAB">
      <w:pPr>
        <w:pStyle w:val="Textoindependiente"/>
        <w:spacing w:after="0"/>
        <w:ind w:right="40"/>
        <w:jc w:val="both"/>
        <w:rPr>
          <w:rFonts w:ascii="Arial" w:hAnsi="Arial" w:cs="Arial"/>
          <w:b/>
          <w:bCs/>
          <w:szCs w:val="22"/>
        </w:rPr>
      </w:pPr>
      <w:r w:rsidRPr="00CD6AD7">
        <w:rPr>
          <w:rFonts w:ascii="Arial" w:hAnsi="Arial" w:cs="Arial"/>
          <w:b/>
          <w:bCs/>
          <w:szCs w:val="22"/>
        </w:rPr>
        <w:t>2.</w:t>
      </w:r>
      <w:r w:rsidR="00583DAB">
        <w:rPr>
          <w:rFonts w:ascii="Arial" w:hAnsi="Arial" w:cs="Arial"/>
          <w:b/>
          <w:bCs/>
          <w:szCs w:val="22"/>
        </w:rPr>
        <w:t>2.</w:t>
      </w:r>
      <w:r w:rsidRPr="00CD6AD7">
        <w:rPr>
          <w:rFonts w:ascii="Arial" w:hAnsi="Arial" w:cs="Arial"/>
          <w:b/>
          <w:bCs/>
          <w:szCs w:val="22"/>
        </w:rPr>
        <w:t xml:space="preserve"> Obligatoriedad de los instrumentos y herramientas expedidas por Colombia Compra</w:t>
      </w:r>
      <w:r w:rsidRPr="00CD6AD7">
        <w:rPr>
          <w:rFonts w:ascii="Arial" w:hAnsi="Arial" w:cs="Arial"/>
          <w:b/>
          <w:bCs/>
          <w:spacing w:val="-2"/>
          <w:szCs w:val="22"/>
        </w:rPr>
        <w:t xml:space="preserve"> </w:t>
      </w:r>
      <w:r w:rsidRPr="00CD6AD7">
        <w:rPr>
          <w:rFonts w:ascii="Arial" w:hAnsi="Arial" w:cs="Arial"/>
          <w:b/>
          <w:bCs/>
          <w:szCs w:val="22"/>
        </w:rPr>
        <w:t>Eficiente</w:t>
      </w:r>
    </w:p>
    <w:p w14:paraId="6CC0506A" w14:textId="77777777" w:rsidR="00583DAB" w:rsidRPr="00CD6AD7" w:rsidRDefault="00583DAB" w:rsidP="000C3AC6">
      <w:pPr>
        <w:pStyle w:val="Textoindependiente"/>
        <w:spacing w:after="0"/>
        <w:ind w:right="40"/>
        <w:jc w:val="both"/>
        <w:rPr>
          <w:rFonts w:ascii="Arial" w:hAnsi="Arial" w:cs="Arial"/>
          <w:b/>
          <w:bCs/>
          <w:szCs w:val="22"/>
        </w:rPr>
      </w:pPr>
    </w:p>
    <w:p w14:paraId="42AEBE2B" w14:textId="01B2416C" w:rsidR="007173B7" w:rsidRPr="00CD6AD7" w:rsidRDefault="007173B7" w:rsidP="007173B7">
      <w:pPr>
        <w:pStyle w:val="Textoindependiente"/>
        <w:ind w:right="42"/>
        <w:jc w:val="both"/>
        <w:rPr>
          <w:rFonts w:ascii="Arial" w:hAnsi="Arial" w:cs="Arial"/>
          <w:szCs w:val="22"/>
        </w:rPr>
      </w:pPr>
      <w:r w:rsidRPr="00CD6AD7">
        <w:rPr>
          <w:rFonts w:ascii="Arial" w:hAnsi="Arial" w:cs="Arial"/>
          <w:szCs w:val="22"/>
        </w:rPr>
        <w:t xml:space="preserve">Para el año 2016, frente a los documentos </w:t>
      </w:r>
      <w:r w:rsidR="00A86660">
        <w:rPr>
          <w:rFonts w:ascii="Arial" w:hAnsi="Arial" w:cs="Arial"/>
          <w:szCs w:val="22"/>
        </w:rPr>
        <w:t>bajo estudio</w:t>
      </w:r>
      <w:r w:rsidR="00A86660" w:rsidRPr="00CD6AD7">
        <w:rPr>
          <w:rFonts w:ascii="Arial" w:hAnsi="Arial" w:cs="Arial"/>
          <w:szCs w:val="22"/>
        </w:rPr>
        <w:t xml:space="preserve"> </w:t>
      </w:r>
      <w:r w:rsidRPr="00CD6AD7">
        <w:rPr>
          <w:rFonts w:ascii="Arial" w:hAnsi="Arial" w:cs="Arial"/>
          <w:szCs w:val="22"/>
        </w:rPr>
        <w:t>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CD6AD7">
        <w:rPr>
          <w:rFonts w:ascii="Arial" w:hAnsi="Arial" w:cs="Arial"/>
          <w:spacing w:val="-8"/>
          <w:szCs w:val="22"/>
        </w:rPr>
        <w:t xml:space="preserve"> </w:t>
      </w:r>
      <w:r w:rsidRPr="00CD6AD7">
        <w:rPr>
          <w:rFonts w:ascii="Arial" w:hAnsi="Arial" w:cs="Arial"/>
          <w:szCs w:val="22"/>
        </w:rPr>
        <w:t>proceso.</w:t>
      </w:r>
    </w:p>
    <w:p w14:paraId="44C25E0C" w14:textId="2FA022C6" w:rsidR="007173B7" w:rsidRPr="00CD6AD7" w:rsidRDefault="007173B7" w:rsidP="007173B7">
      <w:pPr>
        <w:pStyle w:val="Textoindependiente"/>
        <w:ind w:right="42" w:firstLine="708"/>
        <w:jc w:val="both"/>
        <w:rPr>
          <w:rFonts w:ascii="Arial" w:hAnsi="Arial" w:cs="Arial"/>
          <w:szCs w:val="22"/>
        </w:rPr>
      </w:pPr>
      <w:r w:rsidRPr="00CD6AD7">
        <w:rPr>
          <w:rFonts w:ascii="Arial" w:hAnsi="Arial" w:cs="Arial"/>
          <w:szCs w:val="22"/>
        </w:rPr>
        <w:lastRenderedPageBreak/>
        <w:t>Las circulares externas, al ser actos administrativos generales, eran obligatorias siempre que se hubieran publicado en el Diario Oficial</w:t>
      </w:r>
      <w:r w:rsidR="001F7662">
        <w:rPr>
          <w:rFonts w:ascii="Arial" w:hAnsi="Arial" w:cs="Arial"/>
          <w:szCs w:val="22"/>
        </w:rPr>
        <w:t>.</w:t>
      </w:r>
      <w:r w:rsidRPr="00CD6AD7">
        <w:rPr>
          <w:rFonts w:ascii="Arial" w:hAnsi="Arial" w:cs="Arial"/>
          <w:szCs w:val="22"/>
        </w:rPr>
        <w:t xml:space="preserve"> </w:t>
      </w:r>
      <w:r w:rsidR="001F7662">
        <w:rPr>
          <w:rFonts w:ascii="Arial" w:hAnsi="Arial" w:cs="Arial"/>
          <w:szCs w:val="22"/>
        </w:rPr>
        <w:t>E</w:t>
      </w:r>
      <w:r w:rsidRPr="00CD6AD7">
        <w:rPr>
          <w:rFonts w:ascii="Arial" w:hAnsi="Arial" w:cs="Arial"/>
          <w:szCs w:val="22"/>
        </w:rPr>
        <w:t>n este sentido, las directrices, manuales, guías o lineamientos que se adopten por circular o cualquier otro acto administrativo vinculante eran obligatorias para los partícipes del Sistema de Compra Pública</w:t>
      </w:r>
      <w:r w:rsidRPr="00CD6AD7">
        <w:rPr>
          <w:rStyle w:val="Refdenotaalpie"/>
          <w:rFonts w:ascii="Arial" w:hAnsi="Arial" w:cs="Arial"/>
          <w:szCs w:val="22"/>
        </w:rPr>
        <w:footnoteReference w:id="2"/>
      </w:r>
      <w:r w:rsidRPr="00CD6AD7">
        <w:rPr>
          <w:rFonts w:ascii="Arial" w:hAnsi="Arial" w:cs="Arial"/>
          <w:szCs w:val="22"/>
        </w:rPr>
        <w:t>.</w:t>
      </w:r>
    </w:p>
    <w:p w14:paraId="6F9ED7CF" w14:textId="4215FDEF" w:rsidR="007173B7" w:rsidRPr="00CD6AD7" w:rsidRDefault="007173B7" w:rsidP="007173B7">
      <w:pPr>
        <w:pStyle w:val="Textoindependiente"/>
        <w:ind w:right="42" w:firstLine="708"/>
        <w:jc w:val="both"/>
        <w:rPr>
          <w:rFonts w:ascii="Arial" w:hAnsi="Arial" w:cs="Arial"/>
          <w:szCs w:val="22"/>
        </w:rPr>
      </w:pPr>
      <w:r w:rsidRPr="00CD6AD7">
        <w:rPr>
          <w:rFonts w:ascii="Arial" w:hAnsi="Arial" w:cs="Arial"/>
          <w:szCs w:val="22"/>
        </w:rPr>
        <w:t>Así pues, el enfoque que se tuvo sobre la obligatoriedad o vinculatoriedad de las normas proferidas por la Agencia Nacional de Contratación Pública, en ejercicio de sus funciones, le daba prevalencia a la forma mediante la cual se adoptaba la pauta o directriz</w:t>
      </w:r>
      <w:r w:rsidR="001F7662">
        <w:rPr>
          <w:rFonts w:ascii="Arial" w:hAnsi="Arial" w:cs="Arial"/>
          <w:szCs w:val="22"/>
        </w:rPr>
        <w:t>.</w:t>
      </w:r>
      <w:r w:rsidRPr="00CD6AD7">
        <w:rPr>
          <w:rFonts w:ascii="Arial" w:hAnsi="Arial" w:cs="Arial"/>
          <w:szCs w:val="22"/>
        </w:rPr>
        <w:t xml:space="preserve"> </w:t>
      </w:r>
      <w:r w:rsidR="001F7662">
        <w:rPr>
          <w:rFonts w:ascii="Arial" w:hAnsi="Arial" w:cs="Arial"/>
          <w:szCs w:val="22"/>
        </w:rPr>
        <w:t>Es decir</w:t>
      </w:r>
      <w:r w:rsidRPr="00CD6AD7">
        <w:rPr>
          <w:rFonts w:ascii="Arial" w:hAnsi="Arial" w:cs="Arial"/>
          <w:szCs w:val="22"/>
        </w:rPr>
        <w:t>, si se trataba de Circulares Externas se estaba en presencia de una norma de obligatorio cumplimiento; mientras que si la directriz se adoptaba bajo la forma de una Guía, Manual o Documento Tipo su vinculatoriedad era facultativa, y por tanto su rango normativo no pasaba de ser una recomendación de buenas prácticas administrativas.</w:t>
      </w:r>
    </w:p>
    <w:p w14:paraId="3BCA1E27" w14:textId="60BB85BA" w:rsidR="007173B7" w:rsidRPr="00CD6AD7" w:rsidRDefault="007173B7" w:rsidP="007173B7">
      <w:pPr>
        <w:pStyle w:val="Textoindependiente"/>
        <w:ind w:right="42" w:firstLine="708"/>
        <w:jc w:val="both"/>
        <w:rPr>
          <w:rFonts w:ascii="Arial" w:hAnsi="Arial" w:cs="Arial"/>
          <w:szCs w:val="22"/>
        </w:rPr>
      </w:pPr>
      <w:r w:rsidRPr="00CD6AD7">
        <w:rPr>
          <w:rFonts w:ascii="Arial" w:hAnsi="Arial" w:cs="Arial"/>
          <w:szCs w:val="22"/>
        </w:rPr>
        <w:t xml:space="preserve">Ahora bien, en el 2017 la Subdirección de Gestión Contractual acogió un enfoque sustantivo sobre el carácter obligatorio de los actos expedidos por la entidad, enfoque que es el que se </w:t>
      </w:r>
      <w:r w:rsidR="00824E64">
        <w:rPr>
          <w:rFonts w:ascii="Arial" w:hAnsi="Arial" w:cs="Arial"/>
          <w:szCs w:val="22"/>
        </w:rPr>
        <w:t>mantiene</w:t>
      </w:r>
      <w:r w:rsidRPr="00CD6AD7">
        <w:rPr>
          <w:rFonts w:ascii="Arial" w:hAnsi="Arial" w:cs="Arial"/>
          <w:szCs w:val="22"/>
        </w:rPr>
        <w:t xml:space="preserve"> en el presento concepto. Esto quiere decir que con</w:t>
      </w:r>
      <w:r w:rsidRPr="00CD6AD7">
        <w:rPr>
          <w:rFonts w:ascii="Arial" w:hAnsi="Arial" w:cs="Arial"/>
          <w:spacing w:val="1"/>
          <w:szCs w:val="22"/>
        </w:rPr>
        <w:t xml:space="preserve"> </w:t>
      </w:r>
      <w:r w:rsidRPr="00CD6AD7">
        <w:rPr>
          <w:rFonts w:ascii="Arial" w:hAnsi="Arial" w:cs="Arial"/>
          <w:szCs w:val="22"/>
        </w:rPr>
        <w:t>independencia de la forma que adopte la directriz, su carácter obligatorio o no está determinado por la existencia de una competencia legal o reglamentaria para regular el asunto en concreto.</w:t>
      </w:r>
    </w:p>
    <w:p w14:paraId="53F3A50B" w14:textId="23CD0FB0" w:rsidR="007173B7" w:rsidRPr="00CD6AD7" w:rsidRDefault="007173B7" w:rsidP="007173B7">
      <w:pPr>
        <w:pStyle w:val="Textoindependiente"/>
        <w:ind w:right="42" w:firstLine="708"/>
        <w:jc w:val="both"/>
        <w:rPr>
          <w:rFonts w:ascii="Arial" w:hAnsi="Arial" w:cs="Arial"/>
          <w:szCs w:val="22"/>
        </w:rPr>
      </w:pPr>
      <w:r w:rsidRPr="00CD6AD7">
        <w:rPr>
          <w:rFonts w:ascii="Arial" w:hAnsi="Arial" w:cs="Arial"/>
          <w:szCs w:val="22"/>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w:t>
      </w:r>
      <w:r w:rsidR="00C318DF">
        <w:rPr>
          <w:rFonts w:ascii="Arial" w:hAnsi="Arial" w:cs="Arial"/>
          <w:szCs w:val="22"/>
        </w:rPr>
        <w:t>a</w:t>
      </w:r>
      <w:r w:rsidRPr="00CD6AD7">
        <w:rPr>
          <w:rFonts w:ascii="Arial" w:hAnsi="Arial" w:cs="Arial"/>
          <w:szCs w:val="22"/>
        </w:rPr>
        <w:t xml:space="preserve"> anterior</w:t>
      </w:r>
      <w:r w:rsidR="00C318DF">
        <w:rPr>
          <w:rFonts w:ascii="Arial" w:hAnsi="Arial" w:cs="Arial"/>
          <w:szCs w:val="22"/>
        </w:rPr>
        <w:t xml:space="preserve"> postura</w:t>
      </w:r>
      <w:r w:rsidRPr="00CD6AD7">
        <w:rPr>
          <w:rFonts w:ascii="Arial" w:hAnsi="Arial" w:cs="Arial"/>
          <w:szCs w:val="22"/>
        </w:rPr>
        <w:t xml:space="preserve"> hace referencia </w:t>
      </w:r>
      <w:r w:rsidR="00C318DF">
        <w:rPr>
          <w:rFonts w:ascii="Arial" w:hAnsi="Arial" w:cs="Arial"/>
          <w:szCs w:val="22"/>
        </w:rPr>
        <w:t>y se fundamenta en</w:t>
      </w:r>
      <w:r w:rsidRPr="00CD6AD7">
        <w:rPr>
          <w:rFonts w:ascii="Arial" w:hAnsi="Arial" w:cs="Arial"/>
          <w:szCs w:val="22"/>
        </w:rPr>
        <w:t xml:space="preserve"> uno de los elementos de los actos administrativos: la competencia.</w:t>
      </w:r>
    </w:p>
    <w:p w14:paraId="450F7FE5" w14:textId="77777777" w:rsidR="007173B7" w:rsidRPr="00CD6AD7" w:rsidRDefault="007173B7" w:rsidP="007173B7">
      <w:pPr>
        <w:pStyle w:val="Textoindependiente"/>
        <w:ind w:right="42" w:firstLine="708"/>
        <w:jc w:val="both"/>
        <w:rPr>
          <w:rFonts w:ascii="Arial" w:hAnsi="Arial" w:cs="Arial"/>
          <w:szCs w:val="22"/>
        </w:rPr>
      </w:pPr>
      <w:r w:rsidRPr="00CD6AD7">
        <w:rPr>
          <w:rFonts w:ascii="Arial" w:hAnsi="Arial" w:cs="Arial"/>
          <w:szCs w:val="22"/>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7EAA596B" w14:textId="0CDFA836" w:rsidR="007173B7" w:rsidRDefault="007173B7" w:rsidP="001F7662">
      <w:pPr>
        <w:pStyle w:val="Textoindependiente"/>
        <w:spacing w:after="0"/>
        <w:ind w:right="42" w:firstLine="708"/>
        <w:jc w:val="both"/>
        <w:rPr>
          <w:rFonts w:ascii="Arial" w:hAnsi="Arial" w:cs="Arial"/>
          <w:szCs w:val="22"/>
        </w:rPr>
      </w:pPr>
      <w:r w:rsidRPr="00CD6AD7">
        <w:rPr>
          <w:rFonts w:ascii="Arial" w:hAnsi="Arial" w:cs="Arial"/>
          <w:szCs w:val="22"/>
        </w:rPr>
        <w:t xml:space="preserve">Los llamados elementos del acto administrativo son: la competencia, objeto, forma, causa y finalidad, por lo que reunidos forman un acto administrativo. </w:t>
      </w:r>
      <w:r w:rsidR="006308CB">
        <w:rPr>
          <w:rFonts w:ascii="Arial" w:hAnsi="Arial" w:cs="Arial"/>
          <w:szCs w:val="22"/>
        </w:rPr>
        <w:t>En relación con</w:t>
      </w:r>
      <w:r w:rsidRPr="00CD6AD7">
        <w:rPr>
          <w:rFonts w:ascii="Arial" w:hAnsi="Arial" w:cs="Arial"/>
          <w:szCs w:val="22"/>
        </w:rPr>
        <w:t xml:space="preserve"> lo anterior, el Consejo de Estado ha manifestado:</w:t>
      </w:r>
    </w:p>
    <w:p w14:paraId="2FB74741" w14:textId="77777777" w:rsidR="001F7662" w:rsidRPr="00CD6AD7" w:rsidRDefault="001F7662" w:rsidP="000C3AC6">
      <w:pPr>
        <w:pStyle w:val="Textoindependiente"/>
        <w:spacing w:after="0"/>
        <w:ind w:right="42" w:firstLine="708"/>
        <w:jc w:val="both"/>
        <w:rPr>
          <w:rFonts w:ascii="Arial" w:hAnsi="Arial" w:cs="Arial"/>
          <w:szCs w:val="22"/>
        </w:rPr>
      </w:pPr>
    </w:p>
    <w:p w14:paraId="683546EB" w14:textId="77777777" w:rsidR="007173B7" w:rsidRPr="00CD6AD7" w:rsidRDefault="007173B7" w:rsidP="007173B7">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Los elementos de validez a los que hace alusión la jurisprudencia cuyo desconocimiento acarrea la nulidad del acto administrativo son: i) los sujetos, </w:t>
      </w:r>
      <w:r w:rsidRPr="00CD6AD7">
        <w:rPr>
          <w:rFonts w:ascii="Arial" w:hAnsi="Arial" w:cs="Arial"/>
          <w:sz w:val="21"/>
          <w:szCs w:val="21"/>
        </w:rPr>
        <w:lastRenderedPageBreak/>
        <w:t>diferenciados entre activo o quien expide el acto y quien debe gozar de competencia y voluntad para emitirlo, y el pasivo, esto es, sobre quien recaen sus efectos, ii) el objeto o contenido del acto que determina la situación jurídica que se va a afectar con este, que en todo caso debe ser lícito, posible y existente, iii) los motivos o razón de hecho o de derecho determinantes que impulsaron la emisión del acto, iv)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 expedición</w:t>
      </w:r>
      <w:r w:rsidRPr="00CD6AD7">
        <w:rPr>
          <w:rStyle w:val="Refdenotaalpie"/>
          <w:rFonts w:ascii="Arial" w:hAnsi="Arial" w:cs="Arial"/>
          <w:sz w:val="21"/>
          <w:szCs w:val="21"/>
        </w:rPr>
        <w:footnoteReference w:id="3"/>
      </w:r>
      <w:r w:rsidRPr="00CD6AD7">
        <w:rPr>
          <w:rFonts w:ascii="Arial" w:hAnsi="Arial" w:cs="Arial"/>
          <w:sz w:val="21"/>
          <w:szCs w:val="21"/>
        </w:rPr>
        <w:t>.</w:t>
      </w:r>
    </w:p>
    <w:p w14:paraId="5EEE98AF" w14:textId="77777777" w:rsidR="007173B7" w:rsidRPr="000C3AC6" w:rsidRDefault="007173B7" w:rsidP="000C3AC6">
      <w:pPr>
        <w:pStyle w:val="Textoindependiente"/>
        <w:spacing w:after="0"/>
        <w:ind w:left="709" w:right="709"/>
        <w:jc w:val="both"/>
        <w:rPr>
          <w:rFonts w:ascii="Arial" w:hAnsi="Arial" w:cs="Arial"/>
          <w:szCs w:val="22"/>
        </w:rPr>
      </w:pPr>
    </w:p>
    <w:p w14:paraId="02646053" w14:textId="7B44C7DA" w:rsidR="007173B7" w:rsidRPr="00CD6AD7" w:rsidRDefault="007173B7" w:rsidP="007173B7">
      <w:pPr>
        <w:pStyle w:val="Textoindependiente"/>
        <w:ind w:right="77" w:firstLine="708"/>
        <w:jc w:val="both"/>
        <w:rPr>
          <w:rFonts w:ascii="Arial" w:hAnsi="Arial" w:cs="Arial"/>
        </w:rPr>
      </w:pPr>
      <w:r w:rsidRPr="00CD6AD7">
        <w:rPr>
          <w:rFonts w:ascii="Arial" w:hAnsi="Arial" w:cs="Arial"/>
        </w:rPr>
        <w:t>Al lado del concepto de validez de los actos administrativos se encuentra el de su eficacia, que se refiere no a los elementos que componen el acto sino a la producción de efectos jurídicos. Así, los requisitos de eficacia buscan dar a conocer el contenido del mismo a los destinatarios de la norma, de forma que les sea oponible, a través de la publicación, la comunicación o notificación, según corresponda. Es por ello que el Código de Procedimiento Administrativo y de lo Contencioso Administrativo determina que los actos administrativos de carácter general no serán obligatorios mientras no hayan sido publicados en el Diario Oficial o en las gacetas territoriales, según el caso</w:t>
      </w:r>
      <w:r w:rsidRPr="00CD6AD7">
        <w:rPr>
          <w:rStyle w:val="Refdenotaalpie"/>
          <w:rFonts w:ascii="Arial" w:hAnsi="Arial" w:cs="Arial"/>
        </w:rPr>
        <w:footnoteReference w:id="4"/>
      </w:r>
      <w:r w:rsidRPr="00CD6AD7">
        <w:rPr>
          <w:rFonts w:ascii="Arial" w:hAnsi="Arial" w:cs="Arial"/>
        </w:rPr>
        <w:t>.</w:t>
      </w:r>
    </w:p>
    <w:p w14:paraId="5FCFEF19" w14:textId="77777777" w:rsidR="007173B7" w:rsidRPr="00CD6AD7" w:rsidRDefault="007173B7" w:rsidP="007173B7">
      <w:pPr>
        <w:pStyle w:val="Textoindependiente"/>
        <w:ind w:right="77" w:firstLine="708"/>
        <w:jc w:val="both"/>
        <w:rPr>
          <w:rFonts w:ascii="Arial" w:hAnsi="Arial" w:cs="Arial"/>
        </w:rPr>
      </w:pPr>
      <w:r w:rsidRPr="00CD6AD7">
        <w:rPr>
          <w:rFonts w:ascii="Arial" w:hAnsi="Arial" w:cs="Arial"/>
        </w:rPr>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 mismo»</w:t>
      </w:r>
      <w:r w:rsidRPr="00CD6AD7">
        <w:rPr>
          <w:rStyle w:val="Refdenotaalpie"/>
          <w:rFonts w:ascii="Arial" w:hAnsi="Arial" w:cs="Arial"/>
        </w:rPr>
        <w:footnoteReference w:id="5"/>
      </w:r>
      <w:r w:rsidRPr="00CD6AD7">
        <w:rPr>
          <w:rFonts w:ascii="Arial" w:hAnsi="Arial" w:cs="Arial"/>
        </w:rPr>
        <w:t>.</w:t>
      </w:r>
    </w:p>
    <w:p w14:paraId="47146C99" w14:textId="18B3E4CB" w:rsidR="007173B7" w:rsidRPr="00CD6AD7" w:rsidRDefault="007173B7" w:rsidP="007173B7">
      <w:pPr>
        <w:pStyle w:val="Textoindependiente"/>
        <w:spacing w:after="0"/>
        <w:ind w:right="42" w:firstLine="708"/>
        <w:jc w:val="both"/>
        <w:rPr>
          <w:rFonts w:ascii="Arial" w:hAnsi="Arial" w:cs="Arial"/>
          <w:szCs w:val="22"/>
        </w:rPr>
      </w:pPr>
      <w:r w:rsidRPr="00CD6AD7">
        <w:rPr>
          <w:rFonts w:ascii="Arial" w:hAnsi="Arial" w:cs="Arial"/>
          <w:szCs w:val="22"/>
        </w:rPr>
        <w:t xml:space="preserve">Este enfoque sustantivo o material en relación con la obligatoriedad de las Circulares, Guías, Manuales o Documentos Tipo corresponde al entendimiento que la jurisprudencia del Consejo de Estado ha tenido al momento de determinar si se está ante un acto de la administración sujeto a control por la jurisdicción contencioso administrativa, </w:t>
      </w:r>
      <w:r w:rsidRPr="00CD6AD7">
        <w:rPr>
          <w:rFonts w:ascii="Arial" w:hAnsi="Arial" w:cs="Arial"/>
          <w:szCs w:val="22"/>
        </w:rPr>
        <w:lastRenderedPageBreak/>
        <w:t>esto es, si se está en presencia de un acto administrativo. Al respecto, la Sección Tercera del Consejo de Estado ha señalado:</w:t>
      </w:r>
    </w:p>
    <w:p w14:paraId="7597043E" w14:textId="77777777" w:rsidR="007173B7" w:rsidRPr="00CD6AD7" w:rsidRDefault="007173B7" w:rsidP="000C3AC6">
      <w:pPr>
        <w:pStyle w:val="Textoindependiente"/>
        <w:spacing w:after="0"/>
        <w:ind w:right="42" w:firstLine="708"/>
        <w:jc w:val="both"/>
        <w:rPr>
          <w:rFonts w:ascii="Arial" w:hAnsi="Arial" w:cs="Arial"/>
          <w:szCs w:val="22"/>
        </w:rPr>
      </w:pPr>
    </w:p>
    <w:p w14:paraId="3D8AB67C" w14:textId="77777777" w:rsidR="007173B7" w:rsidRPr="00CD6AD7" w:rsidRDefault="007173B7" w:rsidP="007173B7">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que carecen los particulares</w:t>
      </w:r>
      <w:r w:rsidRPr="00CD6AD7">
        <w:rPr>
          <w:rStyle w:val="Refdenotaalpie"/>
          <w:rFonts w:ascii="Arial" w:hAnsi="Arial" w:cs="Arial"/>
          <w:sz w:val="21"/>
          <w:szCs w:val="21"/>
        </w:rPr>
        <w:footnoteReference w:id="6"/>
      </w:r>
      <w:r w:rsidRPr="00CD6AD7">
        <w:rPr>
          <w:rFonts w:ascii="Arial" w:hAnsi="Arial" w:cs="Arial"/>
          <w:sz w:val="21"/>
          <w:szCs w:val="21"/>
        </w:rPr>
        <w:t>.</w:t>
      </w:r>
    </w:p>
    <w:p w14:paraId="0D87858C" w14:textId="77777777" w:rsidR="007173B7" w:rsidRPr="000C3AC6" w:rsidRDefault="007173B7" w:rsidP="000C3AC6">
      <w:pPr>
        <w:pStyle w:val="Textoindependiente"/>
        <w:spacing w:after="0"/>
        <w:ind w:left="709" w:right="709"/>
        <w:jc w:val="both"/>
        <w:rPr>
          <w:rFonts w:ascii="Arial" w:hAnsi="Arial" w:cs="Arial"/>
          <w:szCs w:val="22"/>
        </w:rPr>
      </w:pPr>
    </w:p>
    <w:p w14:paraId="231AFED0" w14:textId="77777777" w:rsidR="007173B7" w:rsidRPr="00CD6AD7" w:rsidRDefault="007173B7" w:rsidP="007173B7">
      <w:pPr>
        <w:pStyle w:val="Textoindependiente"/>
        <w:spacing w:after="0"/>
        <w:ind w:right="77" w:firstLine="708"/>
        <w:jc w:val="both"/>
        <w:rPr>
          <w:rFonts w:ascii="Arial" w:hAnsi="Arial" w:cs="Arial"/>
          <w:szCs w:val="22"/>
        </w:rPr>
      </w:pPr>
      <w:r w:rsidRPr="00CD6AD7">
        <w:rPr>
          <w:rFonts w:ascii="Arial" w:hAnsi="Arial" w:cs="Arial"/>
          <w:szCs w:val="22"/>
        </w:rPr>
        <w:t>Frente al enfoque material en la definición de un acto administrativo, se ha sostenido lo siguiente:</w:t>
      </w:r>
    </w:p>
    <w:p w14:paraId="2E025E32" w14:textId="77777777" w:rsidR="007173B7" w:rsidRPr="000C3AC6" w:rsidRDefault="007173B7" w:rsidP="000C3AC6">
      <w:pPr>
        <w:pStyle w:val="Textoindependiente"/>
        <w:spacing w:after="0"/>
        <w:ind w:left="709" w:right="709"/>
        <w:jc w:val="both"/>
        <w:rPr>
          <w:rFonts w:ascii="Arial" w:hAnsi="Arial" w:cs="Arial"/>
          <w:szCs w:val="22"/>
        </w:rPr>
      </w:pPr>
    </w:p>
    <w:p w14:paraId="01FB36DD" w14:textId="485CF71E" w:rsidR="007173B7" w:rsidRPr="00CD6AD7" w:rsidRDefault="007173B7" w:rsidP="000C3AC6">
      <w:pPr>
        <w:pStyle w:val="Textoindependiente"/>
        <w:ind w:left="709" w:right="709"/>
        <w:jc w:val="both"/>
        <w:rPr>
          <w:rFonts w:ascii="Arial" w:hAnsi="Arial" w:cs="Arial"/>
          <w:sz w:val="21"/>
          <w:szCs w:val="21"/>
        </w:rPr>
      </w:pPr>
      <w:r w:rsidRPr="00CD6AD7">
        <w:rPr>
          <w:rFonts w:ascii="Arial" w:hAnsi="Arial" w:cs="Arial"/>
          <w:sz w:val="21"/>
          <w:szCs w:val="21"/>
        </w:rPr>
        <w:t xml:space="preserve">Por otro lado, en relación con la definición de acto administrativo, en el ordenamiento jurídico colombiano se ha adoptado una definición material, es decir, </w:t>
      </w:r>
      <w:r w:rsidRPr="00CD6AD7">
        <w:rPr>
          <w:rFonts w:ascii="Arial" w:hAnsi="Arial" w:cs="Arial"/>
          <w:b/>
          <w:bCs/>
          <w:sz w:val="21"/>
          <w:szCs w:val="21"/>
        </w:rPr>
        <w:t>no es la formalidad lo que le da su carácter sino su contenido.</w:t>
      </w:r>
      <w:r w:rsidRPr="00CD6AD7">
        <w:rPr>
          <w:rFonts w:ascii="Arial" w:hAnsi="Arial" w:cs="Arial"/>
          <w:sz w:val="21"/>
          <w:szCs w:val="21"/>
        </w:rPr>
        <w:t xml:space="preserve"> </w:t>
      </w:r>
    </w:p>
    <w:p w14:paraId="1D747A67" w14:textId="77777777" w:rsidR="007173B7" w:rsidRPr="00CD6AD7" w:rsidRDefault="007173B7" w:rsidP="007173B7">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En consideración a lo anterior y en auxilio de la doctrina, se encuentra la siguiente definición de acto administrativo, que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Pr="00CD6AD7">
        <w:rPr>
          <w:rStyle w:val="Refdenotaalpie"/>
        </w:rPr>
        <w:footnoteReference w:id="7"/>
      </w:r>
      <w:r w:rsidRPr="00CD6AD7">
        <w:rPr>
          <w:rFonts w:ascii="Arial" w:hAnsi="Arial" w:cs="Arial"/>
          <w:sz w:val="21"/>
          <w:szCs w:val="21"/>
        </w:rPr>
        <w:t xml:space="preserve"> (Negrillas fuera de texto).</w:t>
      </w:r>
    </w:p>
    <w:p w14:paraId="18888B27" w14:textId="77777777" w:rsidR="007173B7" w:rsidRPr="000C3AC6" w:rsidRDefault="007173B7" w:rsidP="000C3AC6">
      <w:pPr>
        <w:pStyle w:val="Textoindependiente"/>
        <w:spacing w:after="0"/>
        <w:ind w:left="709" w:right="709"/>
        <w:jc w:val="both"/>
        <w:rPr>
          <w:rFonts w:ascii="Arial" w:hAnsi="Arial" w:cs="Arial"/>
          <w:szCs w:val="22"/>
        </w:rPr>
      </w:pPr>
    </w:p>
    <w:p w14:paraId="494F1775" w14:textId="77777777" w:rsidR="007173B7" w:rsidRPr="00CD6AD7" w:rsidRDefault="007173B7" w:rsidP="007173B7">
      <w:pPr>
        <w:pStyle w:val="Textoindependiente"/>
        <w:spacing w:after="0"/>
        <w:ind w:right="77" w:firstLine="708"/>
        <w:jc w:val="both"/>
        <w:rPr>
          <w:rFonts w:ascii="Arial" w:hAnsi="Arial" w:cs="Arial"/>
          <w:szCs w:val="22"/>
        </w:rPr>
      </w:pPr>
      <w:r w:rsidRPr="00CD6AD7">
        <w:rPr>
          <w:rFonts w:ascii="Arial" w:hAnsi="Arial" w:cs="Arial"/>
          <w:szCs w:val="22"/>
        </w:rPr>
        <w:t>La Corte Constitucional tiene una comprensión similar del acto administrativo:</w:t>
      </w:r>
    </w:p>
    <w:p w14:paraId="7A43B77F" w14:textId="77777777" w:rsidR="007173B7" w:rsidRPr="00CD6AD7" w:rsidRDefault="007173B7" w:rsidP="000C3AC6">
      <w:pPr>
        <w:pStyle w:val="Textoindependiente"/>
        <w:spacing w:after="0"/>
        <w:ind w:right="77" w:firstLine="708"/>
        <w:jc w:val="both"/>
        <w:rPr>
          <w:rFonts w:ascii="Arial" w:hAnsi="Arial" w:cs="Arial"/>
          <w:szCs w:val="22"/>
        </w:rPr>
      </w:pPr>
    </w:p>
    <w:p w14:paraId="12E374BB" w14:textId="77777777" w:rsidR="007173B7" w:rsidRPr="00CD6AD7" w:rsidRDefault="007173B7" w:rsidP="007173B7">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El acto administrativo definido como la manifestación de la voluntad de la Administración, tendiente a producir efectos jurídicos ya sea creando, modificando o extinguiendo derechos para los administrados o en contra de </w:t>
      </w:r>
      <w:r w:rsidRPr="00CD6AD7">
        <w:rPr>
          <w:rFonts w:ascii="Arial" w:hAnsi="Arial" w:cs="Arial"/>
          <w:sz w:val="21"/>
          <w:szCs w:val="21"/>
        </w:rPr>
        <w:lastRenderedPageBreak/>
        <w:t>éstos, tiene como presupuestos esenciales su sujeción al orden jurídico y el respeto por las garantías y derechos de los administrados</w:t>
      </w:r>
      <w:r w:rsidRPr="00CD6AD7">
        <w:rPr>
          <w:rStyle w:val="Refdenotaalpie"/>
          <w:rFonts w:ascii="Arial" w:hAnsi="Arial" w:cs="Arial"/>
          <w:sz w:val="21"/>
          <w:szCs w:val="21"/>
        </w:rPr>
        <w:footnoteReference w:id="8"/>
      </w:r>
      <w:r w:rsidRPr="00CD6AD7">
        <w:rPr>
          <w:rFonts w:ascii="Arial" w:hAnsi="Arial" w:cs="Arial"/>
          <w:sz w:val="21"/>
          <w:szCs w:val="21"/>
        </w:rPr>
        <w:t>.</w:t>
      </w:r>
    </w:p>
    <w:p w14:paraId="3B01EB7F" w14:textId="77777777" w:rsidR="007173B7" w:rsidRPr="00CD6AD7" w:rsidRDefault="007173B7" w:rsidP="007173B7">
      <w:pPr>
        <w:pStyle w:val="Textoindependiente"/>
        <w:ind w:left="709" w:right="709"/>
        <w:jc w:val="both"/>
        <w:rPr>
          <w:rFonts w:ascii="Arial" w:hAnsi="Arial" w:cs="Arial"/>
          <w:sz w:val="21"/>
          <w:szCs w:val="21"/>
        </w:rPr>
      </w:pPr>
    </w:p>
    <w:p w14:paraId="53B43E81" w14:textId="52091D38" w:rsidR="007173B7" w:rsidRDefault="007173B7" w:rsidP="001F7662">
      <w:pPr>
        <w:pStyle w:val="Textoindependiente"/>
        <w:spacing w:before="1" w:after="0"/>
        <w:ind w:right="77" w:firstLine="708"/>
        <w:jc w:val="both"/>
        <w:rPr>
          <w:rFonts w:ascii="Arial" w:hAnsi="Arial" w:cs="Arial"/>
          <w:szCs w:val="22"/>
        </w:rPr>
      </w:pPr>
      <w:r w:rsidRPr="00CD6AD7">
        <w:rPr>
          <w:rFonts w:ascii="Arial" w:hAnsi="Arial" w:cs="Arial"/>
          <w:szCs w:val="22"/>
        </w:rPr>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 doctrina:</w:t>
      </w:r>
    </w:p>
    <w:p w14:paraId="42B2D92B" w14:textId="77777777" w:rsidR="001F7662" w:rsidRPr="00CD6AD7" w:rsidRDefault="001F7662" w:rsidP="000C3AC6">
      <w:pPr>
        <w:pStyle w:val="Textoindependiente"/>
        <w:spacing w:before="1" w:after="0"/>
        <w:ind w:right="77" w:firstLine="708"/>
        <w:jc w:val="both"/>
        <w:rPr>
          <w:rFonts w:ascii="Arial" w:hAnsi="Arial" w:cs="Arial"/>
          <w:szCs w:val="22"/>
        </w:rPr>
      </w:pPr>
    </w:p>
    <w:p w14:paraId="44CEACC3" w14:textId="77777777" w:rsidR="007173B7" w:rsidRPr="00CD6AD7" w:rsidRDefault="007173B7" w:rsidP="007173B7">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De aquí que no hagamos énfasis en la 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 caso en el cual le daremos el tratamiento de potestad normativa o reglamentaria. Si, por el contrario, es creadora de situaciones individuales, para todos los efectos será considerada como un simple acto administrativo individual</w:t>
      </w:r>
      <w:r w:rsidRPr="00CD6AD7">
        <w:rPr>
          <w:rStyle w:val="Refdenotaalpie"/>
          <w:rFonts w:ascii="Arial" w:hAnsi="Arial" w:cs="Arial"/>
          <w:sz w:val="21"/>
          <w:szCs w:val="21"/>
        </w:rPr>
        <w:footnoteReference w:id="9"/>
      </w:r>
      <w:r w:rsidRPr="00CD6AD7">
        <w:rPr>
          <w:rFonts w:ascii="Arial" w:hAnsi="Arial" w:cs="Arial"/>
          <w:sz w:val="21"/>
          <w:szCs w:val="21"/>
        </w:rPr>
        <w:t xml:space="preserve">. </w:t>
      </w:r>
    </w:p>
    <w:p w14:paraId="47C67CC5" w14:textId="77777777" w:rsidR="007173B7" w:rsidRPr="000C3AC6" w:rsidRDefault="007173B7" w:rsidP="000C3AC6">
      <w:pPr>
        <w:pStyle w:val="Textoindependiente"/>
        <w:spacing w:after="0"/>
        <w:ind w:left="709" w:right="709"/>
        <w:jc w:val="both"/>
        <w:rPr>
          <w:rFonts w:ascii="Arial" w:hAnsi="Arial" w:cs="Arial"/>
          <w:szCs w:val="22"/>
        </w:rPr>
      </w:pPr>
    </w:p>
    <w:p w14:paraId="24AD79CB" w14:textId="31811CA8" w:rsidR="007173B7" w:rsidRPr="00CD6AD7" w:rsidRDefault="00183456" w:rsidP="007173B7">
      <w:pPr>
        <w:pStyle w:val="Textoindependiente"/>
        <w:spacing w:before="1"/>
        <w:ind w:right="77" w:firstLine="708"/>
        <w:jc w:val="both"/>
        <w:rPr>
          <w:rFonts w:ascii="Arial" w:hAnsi="Arial" w:cs="Arial"/>
          <w:szCs w:val="22"/>
        </w:rPr>
      </w:pPr>
      <w:r>
        <w:rPr>
          <w:rFonts w:ascii="Arial" w:hAnsi="Arial" w:cs="Arial"/>
          <w:szCs w:val="22"/>
        </w:rPr>
        <w:t>De lo anterior se desprende</w:t>
      </w:r>
      <w:r w:rsidR="007173B7" w:rsidRPr="00CD6AD7">
        <w:rPr>
          <w:rFonts w:ascii="Arial" w:hAnsi="Arial" w:cs="Arial"/>
          <w:szCs w:val="22"/>
        </w:rPr>
        <w:t xml:space="preserve"> que para identificar un acto administrativo es indiferente la forma bajo la cual se adopte –resolución, decreto, directiva, guía o circular–, pues lo determinante es su contenido y su potencial para generar efectos jurídicos. </w:t>
      </w:r>
      <w:r w:rsidR="007173B7" w:rsidRPr="00CD6AD7">
        <w:rPr>
          <w:rFonts w:ascii="Arial" w:hAnsi="Arial" w:cs="Arial"/>
          <w:i/>
          <w:iCs/>
          <w:szCs w:val="22"/>
        </w:rPr>
        <w:t>Mutatis mutandi</w:t>
      </w:r>
      <w:r w:rsidR="001F7662">
        <w:rPr>
          <w:rFonts w:ascii="Arial" w:hAnsi="Arial" w:cs="Arial"/>
          <w:i/>
          <w:iCs/>
          <w:szCs w:val="22"/>
        </w:rPr>
        <w:t>s</w:t>
      </w:r>
      <w:r w:rsidR="007173B7" w:rsidRPr="00CD6AD7">
        <w:rPr>
          <w:rFonts w:ascii="Arial" w:hAnsi="Arial" w:cs="Arial"/>
          <w:szCs w:val="22"/>
        </w:rPr>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r w:rsidR="007173B7">
        <w:rPr>
          <w:rStyle w:val="Refdenotaalpie"/>
          <w:rFonts w:ascii="Arial" w:hAnsi="Arial" w:cs="Arial"/>
          <w:szCs w:val="22"/>
        </w:rPr>
        <w:footnoteReference w:id="10"/>
      </w:r>
      <w:r w:rsidR="007173B7" w:rsidRPr="00CD6AD7">
        <w:rPr>
          <w:rFonts w:ascii="Arial" w:hAnsi="Arial" w:cs="Arial"/>
          <w:szCs w:val="22"/>
        </w:rPr>
        <w:t>.</w:t>
      </w:r>
    </w:p>
    <w:p w14:paraId="2E262DA0" w14:textId="77777777" w:rsidR="007173B7" w:rsidRPr="00CD6AD7" w:rsidRDefault="007173B7" w:rsidP="007173B7">
      <w:pPr>
        <w:pStyle w:val="Textoindependiente"/>
        <w:ind w:left="709" w:right="709"/>
        <w:jc w:val="both"/>
        <w:rPr>
          <w:rFonts w:ascii="Arial" w:hAnsi="Arial" w:cs="Arial"/>
          <w:sz w:val="21"/>
          <w:szCs w:val="21"/>
        </w:rPr>
      </w:pPr>
    </w:p>
    <w:p w14:paraId="09B1148B" w14:textId="41351BF1" w:rsidR="007173B7" w:rsidRDefault="007173B7" w:rsidP="00CC4597">
      <w:pPr>
        <w:ind w:right="51"/>
        <w:jc w:val="both"/>
        <w:rPr>
          <w:rFonts w:ascii="Arial" w:hAnsi="Arial" w:cs="Arial"/>
          <w:b/>
          <w:bCs/>
          <w:sz w:val="22"/>
          <w:szCs w:val="22"/>
          <w:lang w:val="es-ES" w:eastAsia="es-CO"/>
        </w:rPr>
      </w:pPr>
      <w:r w:rsidRPr="00CD6AD7">
        <w:rPr>
          <w:rFonts w:ascii="Arial" w:hAnsi="Arial" w:cs="Arial"/>
          <w:b/>
          <w:bCs/>
          <w:sz w:val="22"/>
          <w:szCs w:val="22"/>
        </w:rPr>
        <w:t>2.</w:t>
      </w:r>
      <w:r w:rsidR="00CC4597">
        <w:rPr>
          <w:rFonts w:ascii="Arial" w:hAnsi="Arial" w:cs="Arial"/>
          <w:b/>
          <w:bCs/>
          <w:sz w:val="22"/>
          <w:szCs w:val="22"/>
        </w:rPr>
        <w:t>3</w:t>
      </w:r>
      <w:r w:rsidRPr="00CD6AD7">
        <w:rPr>
          <w:rFonts w:ascii="Arial" w:hAnsi="Arial" w:cs="Arial"/>
          <w:b/>
          <w:bCs/>
          <w:sz w:val="22"/>
          <w:szCs w:val="22"/>
        </w:rPr>
        <w:t>. Posición del Consejo de Estado en torno a la obligatoriedad de los instrumentos y herramientas expedidas por Colombia Compra</w:t>
      </w:r>
      <w:r w:rsidRPr="00CD6AD7">
        <w:rPr>
          <w:rFonts w:ascii="Arial" w:hAnsi="Arial" w:cs="Arial"/>
          <w:b/>
          <w:bCs/>
          <w:spacing w:val="-11"/>
          <w:sz w:val="22"/>
          <w:szCs w:val="22"/>
        </w:rPr>
        <w:t xml:space="preserve"> </w:t>
      </w:r>
      <w:r w:rsidRPr="00CD6AD7">
        <w:rPr>
          <w:rFonts w:ascii="Arial" w:hAnsi="Arial" w:cs="Arial"/>
          <w:b/>
          <w:bCs/>
          <w:sz w:val="22"/>
          <w:szCs w:val="22"/>
        </w:rPr>
        <w:t>Eficiente. El «</w:t>
      </w:r>
      <w:r w:rsidRPr="00B53C5E">
        <w:rPr>
          <w:rFonts w:ascii="Arial" w:hAnsi="Arial" w:cs="Arial"/>
          <w:b/>
          <w:bCs/>
          <w:sz w:val="22"/>
          <w:szCs w:val="22"/>
          <w:lang w:val="es-ES" w:eastAsia="es-CO"/>
        </w:rPr>
        <w:t>Manual para la identificación y cobertura del Riesgo en los Procesos de Contratación»</w:t>
      </w:r>
    </w:p>
    <w:p w14:paraId="4A8783FB" w14:textId="77777777" w:rsidR="00CC4597" w:rsidRPr="00CD6AD7" w:rsidRDefault="00CC4597" w:rsidP="000C3AC6">
      <w:pPr>
        <w:ind w:right="51"/>
        <w:jc w:val="both"/>
        <w:rPr>
          <w:rFonts w:ascii="Arial" w:hAnsi="Arial" w:cs="Arial"/>
          <w:sz w:val="22"/>
          <w:szCs w:val="22"/>
        </w:rPr>
      </w:pPr>
    </w:p>
    <w:p w14:paraId="696DBB8F" w14:textId="654CA62A" w:rsidR="007173B7" w:rsidRPr="00CD6AD7" w:rsidRDefault="007173B7" w:rsidP="000C3AC6">
      <w:pPr>
        <w:pStyle w:val="Textoindependiente"/>
        <w:ind w:right="49"/>
        <w:jc w:val="both"/>
        <w:rPr>
          <w:rFonts w:ascii="Arial" w:hAnsi="Arial" w:cs="Arial"/>
        </w:rPr>
      </w:pPr>
      <w:r w:rsidRPr="00CD6AD7">
        <w:rPr>
          <w:rFonts w:ascii="Arial" w:hAnsi="Arial" w:cs="Arial"/>
        </w:rPr>
        <w:t>El Consejo de Estado</w:t>
      </w:r>
      <w:r w:rsidR="00AB45F3">
        <w:rPr>
          <w:rFonts w:ascii="Arial" w:hAnsi="Arial" w:cs="Arial"/>
        </w:rPr>
        <w:t xml:space="preserve"> ha sostenido</w:t>
      </w:r>
      <w:r w:rsidRPr="00CD6AD7">
        <w:rPr>
          <w:rFonts w:ascii="Arial" w:hAnsi="Arial" w:cs="Arial"/>
        </w:rPr>
        <w:t xml:space="preserve"> la posición que ahora se acoge respecto de la obligatoriedad de los instrumentos normativos expedidos por </w:t>
      </w:r>
      <w:r w:rsidR="00167E45">
        <w:rPr>
          <w:rFonts w:ascii="Arial" w:hAnsi="Arial" w:cs="Arial"/>
        </w:rPr>
        <w:t xml:space="preserve">la Agencia Nacional de Contratación Pública - </w:t>
      </w:r>
      <w:r w:rsidRPr="00CD6AD7">
        <w:rPr>
          <w:rFonts w:ascii="Arial" w:hAnsi="Arial" w:cs="Arial"/>
        </w:rPr>
        <w:t xml:space="preserve">Colombia Compra Eficiente. A partir de </w:t>
      </w:r>
      <w:r w:rsidR="00C7217D">
        <w:rPr>
          <w:rFonts w:ascii="Arial" w:hAnsi="Arial" w:cs="Arial"/>
        </w:rPr>
        <w:t xml:space="preserve">los dos </w:t>
      </w:r>
      <w:r w:rsidRPr="00CD6AD7">
        <w:rPr>
          <w:rFonts w:ascii="Arial" w:hAnsi="Arial" w:cs="Arial"/>
        </w:rPr>
        <w:t xml:space="preserve">pronunciamientos </w:t>
      </w:r>
      <w:r w:rsidR="00BC435B">
        <w:rPr>
          <w:rFonts w:ascii="Arial" w:hAnsi="Arial" w:cs="Arial"/>
        </w:rPr>
        <w:t xml:space="preserve">judiciales </w:t>
      </w:r>
      <w:r w:rsidRPr="00CD6AD7">
        <w:rPr>
          <w:rFonts w:ascii="Arial" w:hAnsi="Arial" w:cs="Arial"/>
        </w:rPr>
        <w:t>recientes se puede concluir que con independencia de la forma que adopten, la vinculatoriedad viene dada por el carácter de acto administrativo,</w:t>
      </w:r>
      <w:r w:rsidR="00A86660">
        <w:rPr>
          <w:rFonts w:ascii="Arial" w:hAnsi="Arial" w:cs="Arial"/>
        </w:rPr>
        <w:t xml:space="preserve"> y </w:t>
      </w:r>
      <w:r w:rsidRPr="00CD6AD7">
        <w:rPr>
          <w:rFonts w:ascii="Arial" w:hAnsi="Arial" w:cs="Arial"/>
        </w:rPr>
        <w:t xml:space="preserve">como una consecuencia esencial de </w:t>
      </w:r>
      <w:r w:rsidR="00A86660">
        <w:rPr>
          <w:rFonts w:ascii="Arial" w:hAnsi="Arial" w:cs="Arial"/>
        </w:rPr>
        <w:t>dicha naturaleza</w:t>
      </w:r>
      <w:r w:rsidRPr="00CD6AD7">
        <w:rPr>
          <w:rFonts w:ascii="Arial" w:hAnsi="Arial" w:cs="Arial"/>
        </w:rPr>
        <w:t>.</w:t>
      </w:r>
    </w:p>
    <w:p w14:paraId="31C15D74" w14:textId="1B66CA1A" w:rsidR="007173B7" w:rsidRDefault="007173B7" w:rsidP="00CC4597">
      <w:pPr>
        <w:pStyle w:val="Textoindependiente"/>
        <w:spacing w:before="93" w:after="0"/>
        <w:ind w:right="49" w:firstLine="708"/>
        <w:jc w:val="both"/>
        <w:rPr>
          <w:rFonts w:ascii="Arial" w:hAnsi="Arial" w:cs="Arial"/>
        </w:rPr>
      </w:pPr>
      <w:r w:rsidRPr="00CD6AD7">
        <w:rPr>
          <w:rFonts w:ascii="Arial" w:hAnsi="Arial" w:cs="Arial"/>
        </w:rPr>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 con recursos públicos, esto es, la competencia para expedir la circular demandada no se la había arrogado </w:t>
      </w:r>
      <w:r w:rsidRPr="00B53C5E">
        <w:rPr>
          <w:rFonts w:ascii="Arial" w:hAnsi="Arial" w:cs="Arial"/>
          <w:i/>
          <w:iCs/>
        </w:rPr>
        <w:t>motu proprio</w:t>
      </w:r>
      <w:r w:rsidRPr="00CD6AD7">
        <w:rPr>
          <w:rFonts w:ascii="Arial" w:hAnsi="Arial" w:cs="Arial"/>
        </w:rPr>
        <w:t xml:space="preserve"> la Agencia Nacional de Contratación Pública, pues así lo ordenaba la ley:</w:t>
      </w:r>
    </w:p>
    <w:p w14:paraId="5164015D" w14:textId="77777777" w:rsidR="00CC4597" w:rsidRPr="00CD6AD7" w:rsidRDefault="00CC4597" w:rsidP="000C3AC6">
      <w:pPr>
        <w:pStyle w:val="Textoindependiente"/>
        <w:spacing w:after="0"/>
        <w:ind w:right="49" w:firstLine="708"/>
        <w:jc w:val="both"/>
        <w:rPr>
          <w:rFonts w:ascii="Arial" w:hAnsi="Arial" w:cs="Arial"/>
        </w:rPr>
      </w:pPr>
    </w:p>
    <w:p w14:paraId="622AF252" w14:textId="77777777" w:rsidR="007173B7" w:rsidRPr="00CD6AD7" w:rsidRDefault="007173B7" w:rsidP="000C3AC6">
      <w:pPr>
        <w:pStyle w:val="Textoindependiente"/>
        <w:spacing w:line="240" w:lineRule="auto"/>
        <w:ind w:left="709" w:right="709"/>
        <w:jc w:val="both"/>
        <w:rPr>
          <w:rFonts w:ascii="Arial" w:hAnsi="Arial" w:cs="Arial"/>
          <w:sz w:val="21"/>
          <w:szCs w:val="21"/>
        </w:rPr>
      </w:pPr>
      <w:r w:rsidRPr="00CD6AD7">
        <w:rPr>
          <w:rFonts w:ascii="Arial" w:hAnsi="Arial" w:cs="Arial"/>
          <w:sz w:val="21"/>
          <w:szCs w:val="21"/>
        </w:rPr>
        <w:t xml:space="preserve">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 pública. </w:t>
      </w:r>
    </w:p>
    <w:p w14:paraId="249F230F" w14:textId="77777777" w:rsidR="007173B7" w:rsidRPr="00CD6AD7" w:rsidRDefault="007173B7" w:rsidP="000C3AC6">
      <w:pPr>
        <w:pStyle w:val="Textoindependiente"/>
        <w:spacing w:before="93" w:line="240" w:lineRule="auto"/>
        <w:ind w:left="709" w:right="709"/>
        <w:jc w:val="both"/>
        <w:rPr>
          <w:rFonts w:ascii="Arial" w:hAnsi="Arial" w:cs="Arial"/>
          <w:sz w:val="21"/>
          <w:szCs w:val="21"/>
        </w:rPr>
      </w:pPr>
      <w:r w:rsidRPr="00CD6AD7">
        <w:rPr>
          <w:rFonts w:ascii="Arial" w:hAnsi="Arial" w:cs="Arial"/>
          <w:sz w:val="21"/>
          <w:szCs w:val="21"/>
        </w:rPr>
        <w:t xml:space="preserve">11.14.- Al hilo de esas consideraciones brevemente reseñadas, tampoco advierte de manera preliminar esta judicatura elementos de juicio suficientes que le lleven a considerar que en el sub judice ocurrió una violación a la potestad reglamentaria de la que es titular el Presidente de la República como lo pregona el artículo 189.11 de la Carta, pues tiene averiguado </w:t>
      </w:r>
      <w:r w:rsidRPr="00CD6AD7">
        <w:rPr>
          <w:rFonts w:ascii="Arial" w:hAnsi="Arial" w:cs="Arial"/>
          <w:sz w:val="21"/>
          <w:szCs w:val="21"/>
        </w:rPr>
        <w:lastRenderedPageBreak/>
        <w:t xml:space="preserve">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 y la contratación pública (…)”, según las voces del numeral 10° del artículo 3° del Decreto 4170 de 2011, potestad reguladora que, en todo caso, debe ejercerse conforme a la Ley y ajustada a la potestad reglamentaria del Gobierno Nacional. </w:t>
      </w:r>
    </w:p>
    <w:p w14:paraId="0810C62D" w14:textId="77777777" w:rsidR="007173B7" w:rsidRPr="00CD6AD7" w:rsidRDefault="007173B7" w:rsidP="000C3AC6">
      <w:pPr>
        <w:pStyle w:val="Textoindependiente"/>
        <w:spacing w:before="93" w:after="0" w:line="240" w:lineRule="auto"/>
        <w:ind w:left="709" w:right="709"/>
        <w:jc w:val="both"/>
        <w:rPr>
          <w:rFonts w:ascii="Arial" w:hAnsi="Arial" w:cs="Arial"/>
          <w:sz w:val="21"/>
          <w:szCs w:val="21"/>
        </w:rPr>
      </w:pPr>
      <w:r w:rsidRPr="00CD6AD7">
        <w:rPr>
          <w:rFonts w:ascii="Arial" w:hAnsi="Arial" w:cs="Arial"/>
          <w:sz w:val="21"/>
          <w:szCs w:val="21"/>
        </w:rPr>
        <w:t>11.15.- Y, en el sub judice, resulta plausible considerar que la expedición de la Circular objeto de la medida cautelar fue expedida con apoyo en esa atribución de competencia reconocida por el ordenamiento jurídico</w:t>
      </w:r>
      <w:r w:rsidRPr="00CD6AD7">
        <w:rPr>
          <w:rStyle w:val="Refdenotaalpie"/>
          <w:rFonts w:ascii="Arial" w:hAnsi="Arial" w:cs="Arial"/>
          <w:sz w:val="21"/>
          <w:szCs w:val="21"/>
        </w:rPr>
        <w:footnoteReference w:id="11"/>
      </w:r>
      <w:r w:rsidRPr="00CD6AD7">
        <w:rPr>
          <w:rFonts w:ascii="Arial" w:hAnsi="Arial" w:cs="Arial"/>
          <w:sz w:val="21"/>
          <w:szCs w:val="21"/>
        </w:rPr>
        <w:t>.</w:t>
      </w:r>
    </w:p>
    <w:p w14:paraId="6C193DAF" w14:textId="77777777" w:rsidR="00CC4597" w:rsidRDefault="00CC4597" w:rsidP="000C3AC6">
      <w:pPr>
        <w:pStyle w:val="Textoindependiente"/>
        <w:spacing w:after="0"/>
        <w:ind w:right="49" w:firstLine="708"/>
        <w:jc w:val="both"/>
        <w:rPr>
          <w:rFonts w:ascii="Arial" w:hAnsi="Arial" w:cs="Arial"/>
          <w:szCs w:val="22"/>
        </w:rPr>
      </w:pPr>
    </w:p>
    <w:p w14:paraId="068F6A04" w14:textId="488F7EDC" w:rsidR="007173B7" w:rsidRPr="00CD6AD7" w:rsidRDefault="007173B7" w:rsidP="007173B7">
      <w:pPr>
        <w:pStyle w:val="Textoindependiente"/>
        <w:spacing w:before="93"/>
        <w:ind w:right="49" w:firstLine="708"/>
        <w:jc w:val="both"/>
        <w:rPr>
          <w:rFonts w:ascii="Arial" w:hAnsi="Arial" w:cs="Arial"/>
          <w:szCs w:val="22"/>
        </w:rPr>
      </w:pPr>
      <w:r w:rsidRPr="00CD6AD7">
        <w:rPr>
          <w:rFonts w:ascii="Arial" w:hAnsi="Arial" w:cs="Arial"/>
          <w:szCs w:val="22"/>
        </w:rPr>
        <w:t>En un pronunciamiento más reciente,</w:t>
      </w:r>
      <w:r w:rsidR="00A86660">
        <w:rPr>
          <w:rFonts w:ascii="Arial" w:hAnsi="Arial" w:cs="Arial"/>
          <w:szCs w:val="22"/>
        </w:rPr>
        <w:t xml:space="preserve"> </w:t>
      </w:r>
      <w:r w:rsidR="00A86660" w:rsidRPr="00A86660">
        <w:rPr>
          <w:rFonts w:ascii="Arial" w:hAnsi="Arial" w:cs="Arial"/>
          <w:szCs w:val="22"/>
        </w:rPr>
        <w:t>Rad. 2014-00135-00 (52055)</w:t>
      </w:r>
      <w:r w:rsidR="00A86660">
        <w:rPr>
          <w:rFonts w:ascii="Arial" w:hAnsi="Arial" w:cs="Arial"/>
          <w:szCs w:val="22"/>
        </w:rPr>
        <w:t xml:space="preserve"> del </w:t>
      </w:r>
      <w:r w:rsidR="00A86660" w:rsidRPr="00A86660">
        <w:rPr>
          <w:rFonts w:ascii="Arial" w:hAnsi="Arial" w:cs="Arial"/>
          <w:szCs w:val="22"/>
        </w:rPr>
        <w:t>11 de abril de 2019</w:t>
      </w:r>
      <w:r w:rsidR="00A86660">
        <w:rPr>
          <w:rStyle w:val="Refdenotaalpie"/>
          <w:rFonts w:ascii="Arial" w:hAnsi="Arial" w:cs="Arial"/>
          <w:szCs w:val="22"/>
        </w:rPr>
        <w:footnoteReference w:id="12"/>
      </w:r>
      <w:r w:rsidR="00A86660">
        <w:rPr>
          <w:rFonts w:ascii="Arial" w:hAnsi="Arial" w:cs="Arial"/>
          <w:szCs w:val="22"/>
        </w:rPr>
        <w:t xml:space="preserve">, </w:t>
      </w:r>
      <w:r w:rsidRPr="00CD6AD7">
        <w:rPr>
          <w:rFonts w:ascii="Arial" w:hAnsi="Arial" w:cs="Arial"/>
          <w:szCs w:val="22"/>
        </w:rPr>
        <w:t>la Sección Tercera del Consejo de Estado declaró la nulidad parcial del artículo 159 del Decreto 1510 de 2013</w:t>
      </w:r>
      <w:r w:rsidRPr="00CD6AD7">
        <w:rPr>
          <w:rStyle w:val="Refdenotaalpie"/>
          <w:rFonts w:ascii="Arial" w:hAnsi="Arial" w:cs="Arial"/>
          <w:szCs w:val="22"/>
        </w:rPr>
        <w:footnoteReference w:id="13"/>
      </w:r>
      <w:r w:rsidRPr="00CD6AD7">
        <w:rPr>
          <w:rFonts w:ascii="Arial" w:hAnsi="Arial" w:cs="Arial"/>
          <w:szCs w:val="22"/>
        </w:rPr>
        <w:t xml:space="preserve">, que en su numeral 2, literal a); numeral 3 y numeral 4, </w:t>
      </w:r>
      <w:r w:rsidRPr="00CD6AD7">
        <w:rPr>
          <w:rFonts w:ascii="Arial" w:hAnsi="Arial" w:cs="Arial"/>
          <w:szCs w:val="22"/>
        </w:rPr>
        <w:lastRenderedPageBreak/>
        <w:t>establecía que Colombia Compra Eficiente debía diseñar e implementar manuales y guías para la identificación y cobertura del Riesgo; pliegos de condiciones tipo para la contratación y minutas tipo de contratos.</w:t>
      </w:r>
    </w:p>
    <w:p w14:paraId="46E2E1BC" w14:textId="1C8A93E9" w:rsidR="007173B7" w:rsidRPr="00CD6AD7" w:rsidRDefault="007173B7" w:rsidP="007173B7">
      <w:pPr>
        <w:pStyle w:val="Textoindependiente"/>
        <w:spacing w:before="93"/>
        <w:ind w:right="49" w:firstLine="708"/>
        <w:jc w:val="both"/>
        <w:rPr>
          <w:rFonts w:ascii="Arial" w:hAnsi="Arial" w:cs="Arial"/>
          <w:szCs w:val="22"/>
        </w:rPr>
      </w:pPr>
      <w:r w:rsidRPr="00CD6AD7">
        <w:rPr>
          <w:rFonts w:ascii="Arial" w:hAnsi="Arial" w:cs="Arial"/>
          <w:szCs w:val="22"/>
        </w:rPr>
        <w:t>El Consejo de Estado estudió la naturaleza jurídica de los Manuales y Guías expedidos por Colombia Compra Eficiente</w:t>
      </w:r>
      <w:r w:rsidR="00481CF9">
        <w:rPr>
          <w:rFonts w:ascii="Arial" w:hAnsi="Arial" w:cs="Arial"/>
          <w:szCs w:val="22"/>
        </w:rPr>
        <w:t>, y en esa oportunidad s</w:t>
      </w:r>
      <w:r w:rsidRPr="00CD6AD7">
        <w:rPr>
          <w:rFonts w:ascii="Arial" w:hAnsi="Arial" w:cs="Arial"/>
          <w:szCs w:val="22"/>
        </w:rPr>
        <w:t>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CD6AD7">
        <w:rPr>
          <w:rFonts w:ascii="Arial" w:hAnsi="Arial" w:cs="Arial"/>
          <w:spacing w:val="-6"/>
          <w:szCs w:val="22"/>
        </w:rPr>
        <w:t xml:space="preserve"> </w:t>
      </w:r>
      <w:r w:rsidRPr="00CD6AD7">
        <w:rPr>
          <w:rFonts w:ascii="Arial" w:hAnsi="Arial" w:cs="Arial"/>
          <w:szCs w:val="22"/>
        </w:rPr>
        <w:t>Política.</w:t>
      </w:r>
    </w:p>
    <w:p w14:paraId="194A8E4D" w14:textId="754DD814" w:rsidR="007173B7" w:rsidRPr="00CD6AD7" w:rsidRDefault="007173B7">
      <w:pPr>
        <w:pStyle w:val="Textoindependiente"/>
        <w:ind w:right="49" w:firstLine="708"/>
        <w:jc w:val="both"/>
        <w:rPr>
          <w:rFonts w:ascii="Arial" w:hAnsi="Arial" w:cs="Arial"/>
          <w:szCs w:val="22"/>
        </w:rPr>
      </w:pPr>
      <w:r w:rsidRPr="00CD6AD7">
        <w:rPr>
          <w:rFonts w:ascii="Arial" w:hAnsi="Arial" w:cs="Arial"/>
          <w:szCs w:val="22"/>
        </w:rPr>
        <w:t>E</w:t>
      </w:r>
      <w:r w:rsidR="00DF7A25">
        <w:rPr>
          <w:rFonts w:ascii="Arial" w:hAnsi="Arial" w:cs="Arial"/>
          <w:szCs w:val="22"/>
        </w:rPr>
        <w:t>se Alto Tribunal</w:t>
      </w:r>
      <w:r w:rsidRPr="00CD6AD7">
        <w:rPr>
          <w:rFonts w:ascii="Arial" w:hAnsi="Arial" w:cs="Arial"/>
          <w:szCs w:val="22"/>
        </w:rPr>
        <w:t>,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otorgado lo que genera que tenga naturaleza de acto administrativo, sino su contenido reglamentario o normativo de obligatoria aplicación, y ello es predicable, incluso, de los manuales expedidos por las distintas</w:t>
      </w:r>
      <w:r w:rsidRPr="00CD6AD7">
        <w:rPr>
          <w:rFonts w:ascii="Arial" w:hAnsi="Arial" w:cs="Arial"/>
          <w:spacing w:val="-34"/>
          <w:szCs w:val="22"/>
        </w:rPr>
        <w:t xml:space="preserve"> </w:t>
      </w:r>
      <w:r w:rsidRPr="00CD6AD7">
        <w:rPr>
          <w:rFonts w:ascii="Arial" w:hAnsi="Arial" w:cs="Arial"/>
          <w:szCs w:val="22"/>
        </w:rPr>
        <w:t>autoridades»</w:t>
      </w:r>
      <w:r w:rsidRPr="00CD6AD7">
        <w:rPr>
          <w:rStyle w:val="Refdenotaalpie"/>
          <w:rFonts w:ascii="Arial" w:hAnsi="Arial" w:cs="Arial"/>
          <w:szCs w:val="22"/>
        </w:rPr>
        <w:footnoteReference w:id="14"/>
      </w:r>
      <w:r w:rsidRPr="00CD6AD7">
        <w:rPr>
          <w:rFonts w:ascii="Arial" w:hAnsi="Arial" w:cs="Arial"/>
          <w:szCs w:val="22"/>
        </w:rPr>
        <w:t>.</w:t>
      </w:r>
      <w:r w:rsidR="00CC4597">
        <w:rPr>
          <w:rFonts w:ascii="Arial" w:hAnsi="Arial" w:cs="Arial"/>
          <w:szCs w:val="22"/>
        </w:rPr>
        <w:t xml:space="preserve"> </w:t>
      </w:r>
      <w:r w:rsidRPr="00CD6AD7">
        <w:rPr>
          <w:rFonts w:ascii="Arial" w:hAnsi="Arial" w:cs="Arial"/>
          <w:szCs w:val="22"/>
        </w:rPr>
        <w:t>A renglón seguido, el Consejo de Estado abordó uno por uno el análisis de los manuales y guías a los que se refería el artículo 159 del Decreto 1510 de 2013, para determinar si la competencia otorgada a Colombia Compra Eficiente sustituía la potestad reglamentaria asignada por la Constitución Política al Presidente de la República.</w:t>
      </w:r>
    </w:p>
    <w:p w14:paraId="5C41D924" w14:textId="466780C2" w:rsidR="007173B7" w:rsidRPr="00CD6AD7" w:rsidRDefault="007173B7" w:rsidP="007173B7">
      <w:pPr>
        <w:pStyle w:val="Textoindependiente"/>
        <w:ind w:right="49" w:firstLine="708"/>
        <w:jc w:val="both"/>
        <w:rPr>
          <w:rFonts w:ascii="Arial" w:hAnsi="Arial" w:cs="Arial"/>
          <w:szCs w:val="22"/>
        </w:rPr>
      </w:pPr>
      <w:r w:rsidRPr="00CD6AD7">
        <w:rPr>
          <w:rFonts w:ascii="Arial" w:hAnsi="Arial" w:cs="Arial"/>
          <w:szCs w:val="22"/>
        </w:rPr>
        <w:t xml:space="preserve">En relación con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w:t>
      </w:r>
      <w:r w:rsidR="00CC4597">
        <w:rPr>
          <w:rFonts w:ascii="Arial" w:hAnsi="Arial" w:cs="Arial"/>
          <w:szCs w:val="22"/>
        </w:rPr>
        <w:t>Además</w:t>
      </w:r>
      <w:r w:rsidRPr="00CD6AD7">
        <w:rPr>
          <w:rFonts w:ascii="Arial" w:hAnsi="Arial" w:cs="Arial"/>
          <w:szCs w:val="22"/>
        </w:rPr>
        <w:t>, frente a la cobertura de ese riesgo, el artículo 7 de la Ley 1150 de 2007 determinó que era el Gobierno Nacional quien debía fijar los «criterios que seguirán las entidades para la exigencia de garantías, las clases y niveles de amparo de los riesgos de los contratos».</w:t>
      </w:r>
    </w:p>
    <w:p w14:paraId="65342A9E" w14:textId="77777777" w:rsidR="007173B7" w:rsidRPr="00CD6AD7" w:rsidRDefault="007173B7" w:rsidP="007173B7">
      <w:pPr>
        <w:pStyle w:val="Textoindependiente"/>
        <w:ind w:right="49" w:firstLine="708"/>
        <w:jc w:val="both"/>
        <w:rPr>
          <w:rFonts w:ascii="Arial" w:hAnsi="Arial" w:cs="Arial"/>
          <w:szCs w:val="22"/>
        </w:rPr>
      </w:pPr>
      <w:r w:rsidRPr="00CD6AD7">
        <w:rPr>
          <w:rFonts w:ascii="Arial" w:hAnsi="Arial" w:cs="Arial"/>
          <w:szCs w:val="22"/>
        </w:rPr>
        <w:t xml:space="preserve"> 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w:t>
      </w:r>
      <w:r w:rsidRPr="00CD6AD7">
        <w:rPr>
          <w:rFonts w:ascii="Arial" w:hAnsi="Arial" w:cs="Arial"/>
          <w:szCs w:val="22"/>
        </w:rPr>
        <w:lastRenderedPageBreak/>
        <w:t>acudir a ellas como una guía para llevar a cabo la estimación, tipificación, asignación y cobertura de riesgos en cada proceso de contratación particular.</w:t>
      </w:r>
    </w:p>
    <w:p w14:paraId="1D53E8DC" w14:textId="2AAD93FB" w:rsidR="007173B7" w:rsidRPr="00CD6AD7" w:rsidRDefault="007173B7" w:rsidP="007173B7">
      <w:pPr>
        <w:pStyle w:val="Textoindependiente"/>
        <w:ind w:right="49" w:firstLine="708"/>
        <w:jc w:val="both"/>
        <w:rPr>
          <w:rFonts w:ascii="Arial" w:hAnsi="Arial" w:cs="Arial"/>
          <w:szCs w:val="22"/>
        </w:rPr>
      </w:pPr>
      <w:r w:rsidRPr="00CD6AD7">
        <w:rPr>
          <w:rFonts w:ascii="Arial" w:hAnsi="Arial" w:cs="Arial"/>
          <w:szCs w:val="22"/>
        </w:rPr>
        <w:t>De esta forma, los Manuales, Guías o Circulares frente a los que existe un fundamento normativo de rango legal o reglamentario que da la competencia a Colombia Compra Eficiente para expedirlos fueron declarados ajustados al ordenamiento jurídico</w:t>
      </w:r>
      <w:r w:rsidR="002A5FAE">
        <w:rPr>
          <w:rFonts w:ascii="Arial" w:hAnsi="Arial" w:cs="Arial"/>
          <w:szCs w:val="22"/>
        </w:rPr>
        <w:t>.</w:t>
      </w:r>
      <w:r w:rsidRPr="00CD6AD7">
        <w:rPr>
          <w:rFonts w:ascii="Arial" w:hAnsi="Arial" w:cs="Arial"/>
          <w:szCs w:val="22"/>
        </w:rPr>
        <w:t xml:space="preserve"> </w:t>
      </w:r>
      <w:r w:rsidR="002A5FAE">
        <w:rPr>
          <w:rFonts w:ascii="Arial" w:hAnsi="Arial" w:cs="Arial"/>
          <w:szCs w:val="22"/>
        </w:rPr>
        <w:t>A</w:t>
      </w:r>
      <w:r w:rsidRPr="00CD6AD7">
        <w:rPr>
          <w:rFonts w:ascii="Arial" w:hAnsi="Arial" w:cs="Arial"/>
          <w:szCs w:val="22"/>
        </w:rPr>
        <w:t>demás, se puede concluir que se trata de actos administrativos –incluso reglamentos– de obligatorio cumplimiento para los partícipes de la contratación pública, como el manual de uso de los acuerdos marco de precios,</w:t>
      </w:r>
      <w:r w:rsidR="00DC17F4">
        <w:rPr>
          <w:rFonts w:ascii="Arial" w:hAnsi="Arial" w:cs="Arial"/>
          <w:szCs w:val="22"/>
        </w:rPr>
        <w:t xml:space="preserve"> </w:t>
      </w:r>
      <w:r w:rsidR="00DC17F4" w:rsidRPr="00CD6AD7">
        <w:rPr>
          <w:rFonts w:ascii="Arial" w:hAnsi="Arial" w:cs="Arial"/>
          <w:szCs w:val="22"/>
        </w:rPr>
        <w:t>los manuales y guías para la determinación de la capacidad residual</w:t>
      </w:r>
      <w:r w:rsidR="00DC17F4">
        <w:rPr>
          <w:rFonts w:ascii="Arial" w:hAnsi="Arial" w:cs="Arial"/>
          <w:szCs w:val="22"/>
        </w:rPr>
        <w:t>,</w:t>
      </w:r>
      <w:r w:rsidRPr="00CD6AD7">
        <w:rPr>
          <w:rFonts w:ascii="Arial" w:hAnsi="Arial" w:cs="Arial"/>
          <w:szCs w:val="22"/>
        </w:rPr>
        <w:t xml:space="preserve"> los manuales y guías para la elaboración y actualización del plan anual de adquisiciones y el manual o guía para el uso del clasificador de bienes y servicios.</w:t>
      </w:r>
    </w:p>
    <w:p w14:paraId="37190442" w14:textId="34CA8906" w:rsidR="007173B7" w:rsidRPr="00CD6AD7" w:rsidRDefault="007173B7" w:rsidP="007173B7">
      <w:pPr>
        <w:pStyle w:val="Textoindependiente"/>
        <w:ind w:right="49" w:firstLine="708"/>
        <w:jc w:val="both"/>
        <w:rPr>
          <w:rFonts w:ascii="Arial" w:hAnsi="Arial" w:cs="Arial"/>
          <w:szCs w:val="22"/>
        </w:rPr>
      </w:pPr>
      <w:r w:rsidRPr="00CD6AD7">
        <w:rPr>
          <w:rFonts w:ascii="Arial" w:hAnsi="Arial" w:cs="Arial"/>
          <w:szCs w:val="22"/>
        </w:rPr>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Estos instrumentos o herramientas quedan en el ámbito de normas de apoyo y de buenas prácticas para los partícipes del Sistema de Compra Pública, de donde no se puede derivar obligatoriedad.</w:t>
      </w:r>
    </w:p>
    <w:p w14:paraId="55C524A1" w14:textId="34455156" w:rsidR="007173B7" w:rsidRDefault="007173B7" w:rsidP="00DC17F4">
      <w:pPr>
        <w:pStyle w:val="Textoindependiente"/>
        <w:spacing w:before="93" w:after="0"/>
        <w:ind w:right="49" w:firstLine="708"/>
        <w:jc w:val="both"/>
        <w:rPr>
          <w:rFonts w:ascii="Arial" w:hAnsi="Arial" w:cs="Arial"/>
          <w:szCs w:val="22"/>
        </w:rPr>
      </w:pPr>
      <w:r w:rsidRPr="00CD6AD7">
        <w:rPr>
          <w:rFonts w:ascii="Arial" w:hAnsi="Arial" w:cs="Arial"/>
          <w:szCs w:val="22"/>
        </w:rPr>
        <w:t>Así las cosas, la obligatoriedad de las herramientas expedidas por Colombia Compra Eficiente no depende de la forma mediante la cual se adopten, pues las guías, manuales o circulares podrán ser de obligatoria observancia o de mera pauta para fomentar buenas prácticas administrativas, dependiendo de si existe una norma de rango legal o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CD6AD7">
        <w:rPr>
          <w:rFonts w:ascii="Arial" w:hAnsi="Arial" w:cs="Arial"/>
          <w:spacing w:val="-2"/>
          <w:szCs w:val="22"/>
        </w:rPr>
        <w:t xml:space="preserve"> </w:t>
      </w:r>
      <w:r w:rsidRPr="00CD6AD7">
        <w:rPr>
          <w:rFonts w:ascii="Arial" w:hAnsi="Arial" w:cs="Arial"/>
          <w:szCs w:val="22"/>
        </w:rPr>
        <w:t>tenga.</w:t>
      </w:r>
    </w:p>
    <w:p w14:paraId="2225E30D" w14:textId="77777777" w:rsidR="00DC17F4" w:rsidRPr="00CD6AD7" w:rsidRDefault="00DC17F4" w:rsidP="000C3AC6">
      <w:pPr>
        <w:pStyle w:val="Textoindependiente"/>
        <w:spacing w:after="0"/>
        <w:ind w:right="49" w:firstLine="708"/>
        <w:jc w:val="both"/>
        <w:rPr>
          <w:rFonts w:ascii="Arial" w:hAnsi="Arial" w:cs="Arial"/>
          <w:szCs w:val="22"/>
        </w:rPr>
      </w:pPr>
    </w:p>
    <w:p w14:paraId="56EA438D" w14:textId="77777777" w:rsidR="004E017B" w:rsidRPr="00D06ECB" w:rsidRDefault="004E017B" w:rsidP="004E017B">
      <w:pPr>
        <w:numPr>
          <w:ilvl w:val="0"/>
          <w:numId w:val="1"/>
        </w:numPr>
        <w:tabs>
          <w:tab w:val="left" w:pos="284"/>
        </w:tabs>
        <w:spacing w:line="276" w:lineRule="auto"/>
        <w:ind w:left="0" w:firstLine="0"/>
        <w:contextualSpacing/>
        <w:rPr>
          <w:rFonts w:ascii="Arial" w:hAnsi="Arial" w:cs="Arial"/>
          <w:b/>
          <w:bCs/>
          <w:color w:val="000000" w:themeColor="text1"/>
          <w:sz w:val="22"/>
          <w:szCs w:val="22"/>
        </w:rPr>
      </w:pPr>
      <w:r w:rsidRPr="00D06ECB">
        <w:rPr>
          <w:rFonts w:ascii="Arial" w:hAnsi="Arial" w:cs="Arial"/>
          <w:b/>
          <w:bCs/>
          <w:color w:val="000000" w:themeColor="text1"/>
          <w:sz w:val="22"/>
          <w:szCs w:val="22"/>
        </w:rPr>
        <w:t xml:space="preserve">Respuesta </w:t>
      </w:r>
    </w:p>
    <w:p w14:paraId="742E57D4" w14:textId="77777777" w:rsidR="004E017B" w:rsidRPr="009F7826" w:rsidRDefault="004E017B" w:rsidP="004E017B">
      <w:pPr>
        <w:spacing w:line="276" w:lineRule="auto"/>
        <w:ind w:right="709"/>
        <w:jc w:val="both"/>
        <w:rPr>
          <w:rFonts w:ascii="Arial" w:hAnsi="Arial" w:cs="Arial"/>
          <w:color w:val="000000" w:themeColor="text1"/>
          <w:sz w:val="21"/>
          <w:szCs w:val="21"/>
        </w:rPr>
      </w:pPr>
    </w:p>
    <w:p w14:paraId="30EC5787" w14:textId="0E64EB8B" w:rsidR="004E017B" w:rsidRPr="00800FA3" w:rsidRDefault="00DC17F4" w:rsidP="004E017B">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i) </w:t>
      </w:r>
      <w:r w:rsidR="004E017B" w:rsidRPr="00800FA3">
        <w:rPr>
          <w:rFonts w:ascii="Arial" w:eastAsia="Calibri" w:hAnsi="Arial" w:cs="Arial"/>
          <w:color w:val="000000" w:themeColor="text1"/>
          <w:sz w:val="21"/>
          <w:szCs w:val="21"/>
        </w:rPr>
        <w:t>«</w:t>
      </w:r>
      <w:r w:rsidR="00800FA3" w:rsidRPr="00800FA3">
        <w:rPr>
          <w:rFonts w:ascii="Arial" w:eastAsia="Calibri" w:hAnsi="Arial" w:cs="Arial"/>
          <w:sz w:val="21"/>
          <w:szCs w:val="21"/>
        </w:rPr>
        <w:t>¿En la contratación que realice Capital Salud EPS está obligado a segur los lineamientos Manual para la Identificación y Cobertura del Riesgo en los Procesos de Contratación?</w:t>
      </w:r>
      <w:r w:rsidR="004E017B" w:rsidRPr="00800FA3">
        <w:rPr>
          <w:rFonts w:ascii="Arial" w:eastAsia="Calibri" w:hAnsi="Arial" w:cs="Arial"/>
          <w:color w:val="000000" w:themeColor="text1"/>
          <w:sz w:val="21"/>
          <w:szCs w:val="21"/>
        </w:rPr>
        <w:t>»</w:t>
      </w:r>
      <w:r>
        <w:rPr>
          <w:rFonts w:ascii="Arial" w:eastAsia="Calibri" w:hAnsi="Arial" w:cs="Arial"/>
          <w:color w:val="000000" w:themeColor="text1"/>
          <w:sz w:val="21"/>
          <w:szCs w:val="21"/>
        </w:rPr>
        <w:t>.</w:t>
      </w:r>
    </w:p>
    <w:p w14:paraId="75E6A517" w14:textId="77777777" w:rsidR="004E017B" w:rsidRDefault="004E017B" w:rsidP="000C3AC6">
      <w:pPr>
        <w:tabs>
          <w:tab w:val="left" w:pos="426"/>
        </w:tabs>
        <w:spacing w:line="276" w:lineRule="auto"/>
        <w:ind w:right="709"/>
        <w:jc w:val="both"/>
        <w:rPr>
          <w:rFonts w:ascii="Arial" w:hAnsi="Arial" w:cs="Arial"/>
          <w:sz w:val="22"/>
          <w:szCs w:val="22"/>
        </w:rPr>
      </w:pPr>
    </w:p>
    <w:p w14:paraId="2C585566" w14:textId="4B751C4B" w:rsidR="004E017B" w:rsidRPr="00A150DB" w:rsidRDefault="00324603" w:rsidP="004E017B">
      <w:pPr>
        <w:pStyle w:val="Textoindependiente"/>
        <w:ind w:right="49"/>
        <w:jc w:val="both"/>
        <w:rPr>
          <w:rFonts w:ascii="Arial" w:hAnsi="Arial" w:cs="Arial"/>
          <w:szCs w:val="22"/>
        </w:rPr>
      </w:pPr>
      <w:r>
        <w:rPr>
          <w:rFonts w:ascii="Arial" w:hAnsi="Arial" w:cs="Arial"/>
          <w:szCs w:val="22"/>
        </w:rPr>
        <w:t>En relación con</w:t>
      </w:r>
      <w:r w:rsidR="004E017B" w:rsidRPr="00A150DB">
        <w:rPr>
          <w:rFonts w:ascii="Arial" w:hAnsi="Arial" w:cs="Arial"/>
          <w:szCs w:val="22"/>
        </w:rPr>
        <w:t xml:space="preserve"> los manuales y guías para la </w:t>
      </w:r>
      <w:r w:rsidR="00800FA3">
        <w:rPr>
          <w:rFonts w:ascii="Arial" w:hAnsi="Arial" w:cs="Arial"/>
          <w:szCs w:val="22"/>
        </w:rPr>
        <w:t>«</w:t>
      </w:r>
      <w:r w:rsidR="004E017B" w:rsidRPr="00A150DB">
        <w:rPr>
          <w:rFonts w:ascii="Arial" w:hAnsi="Arial" w:cs="Arial"/>
          <w:szCs w:val="22"/>
        </w:rPr>
        <w:t>identificación y cobertura del riesgo</w:t>
      </w:r>
      <w:r w:rsidR="00800FA3">
        <w:rPr>
          <w:rFonts w:ascii="Arial" w:hAnsi="Arial" w:cs="Arial"/>
          <w:szCs w:val="22"/>
        </w:rPr>
        <w:t>»</w:t>
      </w:r>
      <w:r w:rsidR="004E017B" w:rsidRPr="00A150DB">
        <w:rPr>
          <w:rFonts w:ascii="Arial" w:hAnsi="Arial" w:cs="Arial"/>
          <w:szCs w:val="22"/>
        </w:rPr>
        <w:t xml:space="preserve">, el Consejo de Estado concluyó que, a la luz del artículo 4 de la Ley 1150 de 2007, son las entidades contratantes las obligadas a incluir en los pliegos de condiciones la estimación, tipificación y asignación del riesgo previsible a cada proceso de contratación. </w:t>
      </w:r>
      <w:r w:rsidR="00DC17F4">
        <w:rPr>
          <w:rFonts w:ascii="Arial" w:hAnsi="Arial" w:cs="Arial"/>
          <w:szCs w:val="22"/>
        </w:rPr>
        <w:t>Además</w:t>
      </w:r>
      <w:r w:rsidR="004E017B" w:rsidRPr="00A150DB">
        <w:rPr>
          <w:rFonts w:ascii="Arial" w:hAnsi="Arial" w:cs="Arial"/>
          <w:szCs w:val="22"/>
        </w:rPr>
        <w:t xml:space="preserve">, frente a la cobertura de ese riesgo, el artículo 7 de la Ley 1150 de 2007 determinó que </w:t>
      </w:r>
      <w:r w:rsidR="004E017B" w:rsidRPr="00A150DB">
        <w:rPr>
          <w:rFonts w:ascii="Arial" w:hAnsi="Arial" w:cs="Arial"/>
          <w:szCs w:val="22"/>
        </w:rPr>
        <w:lastRenderedPageBreak/>
        <w:t xml:space="preserve">era el Gobierno Nacional quien debía fijar los </w:t>
      </w:r>
      <w:r w:rsidR="00DC17F4">
        <w:rPr>
          <w:rFonts w:ascii="Arial" w:hAnsi="Arial" w:cs="Arial"/>
          <w:szCs w:val="22"/>
        </w:rPr>
        <w:t>«</w:t>
      </w:r>
      <w:r w:rsidR="004E017B" w:rsidRPr="00A150DB">
        <w:rPr>
          <w:rFonts w:ascii="Arial" w:hAnsi="Arial" w:cs="Arial"/>
          <w:szCs w:val="22"/>
        </w:rPr>
        <w:t>criterios que seguirán las entidades para la exigencia de garantías, las clases y niveles de amparo de los riesgos de los contratos</w:t>
      </w:r>
      <w:r w:rsidR="00DC17F4">
        <w:rPr>
          <w:rFonts w:ascii="Arial" w:hAnsi="Arial" w:cs="Arial"/>
          <w:szCs w:val="22"/>
        </w:rPr>
        <w:t>»</w:t>
      </w:r>
      <w:r w:rsidR="004E017B" w:rsidRPr="00A150DB">
        <w:rPr>
          <w:rFonts w:ascii="Arial" w:hAnsi="Arial" w:cs="Arial"/>
          <w:szCs w:val="22"/>
        </w:rPr>
        <w:t>.</w:t>
      </w:r>
    </w:p>
    <w:p w14:paraId="53D0EF36" w14:textId="2ADC91AD" w:rsidR="004E017B" w:rsidRDefault="004E017B" w:rsidP="00DC17F4">
      <w:pPr>
        <w:pStyle w:val="Textoindependiente"/>
        <w:spacing w:after="0"/>
        <w:ind w:right="49" w:firstLine="708"/>
        <w:jc w:val="both"/>
        <w:rPr>
          <w:rFonts w:ascii="Arial" w:hAnsi="Arial" w:cs="Arial"/>
          <w:szCs w:val="22"/>
        </w:rPr>
      </w:pPr>
      <w:r w:rsidRPr="00A150DB">
        <w:rPr>
          <w:rFonts w:ascii="Arial" w:hAnsi="Arial" w:cs="Arial"/>
          <w:szCs w:val="22"/>
        </w:rPr>
        <w:t xml:space="preserve"> 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6ACD73C2" w14:textId="77777777" w:rsidR="00DC17F4" w:rsidRDefault="00DC17F4" w:rsidP="000C3AC6">
      <w:pPr>
        <w:pStyle w:val="Textoindependiente"/>
        <w:spacing w:after="0"/>
        <w:ind w:right="49" w:firstLine="708"/>
        <w:jc w:val="both"/>
        <w:rPr>
          <w:rFonts w:ascii="Arial" w:hAnsi="Arial" w:cs="Arial"/>
          <w:szCs w:val="22"/>
        </w:rPr>
      </w:pPr>
    </w:p>
    <w:p w14:paraId="135BA71A" w14:textId="34EAADB8" w:rsidR="00800FA3" w:rsidRPr="000C3AC6" w:rsidRDefault="00DC17F4" w:rsidP="000C3AC6">
      <w:pPr>
        <w:pStyle w:val="Textoindependiente"/>
        <w:spacing w:after="0" w:line="240" w:lineRule="auto"/>
        <w:ind w:left="709" w:right="709"/>
        <w:jc w:val="both"/>
        <w:rPr>
          <w:rFonts w:ascii="Arial" w:eastAsia="Calibri" w:hAnsi="Arial" w:cs="Arial"/>
          <w:sz w:val="21"/>
          <w:szCs w:val="21"/>
          <w:lang w:eastAsia="en-US"/>
        </w:rPr>
      </w:pPr>
      <w:r w:rsidRPr="00DC17F4">
        <w:rPr>
          <w:rFonts w:ascii="Arial" w:eastAsia="Calibri" w:hAnsi="Arial" w:cs="Arial"/>
          <w:color w:val="000000" w:themeColor="text1"/>
          <w:sz w:val="21"/>
          <w:szCs w:val="21"/>
        </w:rPr>
        <w:t xml:space="preserve">ii) </w:t>
      </w:r>
      <w:r w:rsidR="00800FA3" w:rsidRPr="00DC17F4">
        <w:rPr>
          <w:rFonts w:ascii="Arial" w:eastAsia="Calibri" w:hAnsi="Arial" w:cs="Arial"/>
          <w:color w:val="000000" w:themeColor="text1"/>
          <w:sz w:val="21"/>
          <w:szCs w:val="21"/>
        </w:rPr>
        <w:t>«</w:t>
      </w:r>
      <w:r w:rsidR="00800FA3" w:rsidRPr="000C3AC6">
        <w:rPr>
          <w:rFonts w:ascii="Arial" w:eastAsia="Calibri" w:hAnsi="Arial" w:cs="Arial"/>
          <w:sz w:val="21"/>
          <w:szCs w:val="21"/>
          <w:lang w:eastAsia="en-US"/>
        </w:rPr>
        <w:t>¿Es posible recibir una asesoría por parte de Colombia eficiente hacia Capital Salud para despejar dudas sobre el Manual para la Identificación y Cobertura del Riesgo en los Procesos de Contratación?»</w:t>
      </w:r>
      <w:r w:rsidRPr="000C3AC6">
        <w:rPr>
          <w:rFonts w:ascii="Arial" w:eastAsia="Calibri" w:hAnsi="Arial" w:cs="Arial"/>
          <w:sz w:val="21"/>
          <w:szCs w:val="21"/>
          <w:lang w:eastAsia="en-US"/>
        </w:rPr>
        <w:t>.</w:t>
      </w:r>
    </w:p>
    <w:p w14:paraId="0BF12E1D" w14:textId="77777777" w:rsidR="00DC17F4" w:rsidRDefault="00DC17F4" w:rsidP="000C3AC6">
      <w:pPr>
        <w:pStyle w:val="Textoindependiente"/>
        <w:spacing w:after="0"/>
        <w:ind w:left="709" w:right="709"/>
        <w:jc w:val="both"/>
        <w:rPr>
          <w:rFonts w:ascii="Arial" w:eastAsia="Calibri" w:hAnsi="Arial" w:cs="Arial"/>
          <w:szCs w:val="22"/>
          <w:lang w:eastAsia="en-US"/>
        </w:rPr>
      </w:pPr>
    </w:p>
    <w:p w14:paraId="517820D4" w14:textId="6634A72A" w:rsidR="00DC17F4" w:rsidRDefault="005574C9" w:rsidP="00DC17F4">
      <w:pPr>
        <w:pStyle w:val="Textoindependiente"/>
        <w:spacing w:after="0"/>
        <w:ind w:right="-65"/>
        <w:jc w:val="both"/>
        <w:rPr>
          <w:rFonts w:ascii="Arial" w:eastAsia="Calibri" w:hAnsi="Arial" w:cs="Arial"/>
          <w:szCs w:val="22"/>
          <w:lang w:eastAsia="en-US"/>
        </w:rPr>
      </w:pPr>
      <w:r w:rsidRPr="00943AD9">
        <w:rPr>
          <w:rFonts w:ascii="Arial" w:eastAsia="Calibri" w:hAnsi="Arial" w:cs="Arial"/>
          <w:color w:val="000000" w:themeColor="text1"/>
          <w:szCs w:val="22"/>
        </w:rPr>
        <w:t>Actualmente nuestras capacitacione</w:t>
      </w:r>
      <w:r w:rsidR="00201577" w:rsidRPr="00943AD9">
        <w:rPr>
          <w:rFonts w:ascii="Arial" w:eastAsia="Calibri" w:hAnsi="Arial" w:cs="Arial"/>
          <w:color w:val="000000" w:themeColor="text1"/>
          <w:szCs w:val="22"/>
        </w:rPr>
        <w:t>s y personal disponible</w:t>
      </w:r>
      <w:r w:rsidRPr="00943AD9">
        <w:rPr>
          <w:rFonts w:ascii="Arial" w:eastAsia="Calibri" w:hAnsi="Arial" w:cs="Arial"/>
          <w:color w:val="000000" w:themeColor="text1"/>
          <w:szCs w:val="22"/>
        </w:rPr>
        <w:t xml:space="preserve"> están enfocad</w:t>
      </w:r>
      <w:r w:rsidR="00541BF8">
        <w:rPr>
          <w:rFonts w:ascii="Arial" w:eastAsia="Calibri" w:hAnsi="Arial" w:cs="Arial"/>
          <w:color w:val="000000" w:themeColor="text1"/>
          <w:szCs w:val="22"/>
        </w:rPr>
        <w:t>o</w:t>
      </w:r>
      <w:r w:rsidRPr="00943AD9">
        <w:rPr>
          <w:rFonts w:ascii="Arial" w:eastAsia="Calibri" w:hAnsi="Arial" w:cs="Arial"/>
          <w:color w:val="000000" w:themeColor="text1"/>
          <w:szCs w:val="22"/>
        </w:rPr>
        <w:t xml:space="preserve">s a </w:t>
      </w:r>
      <w:r w:rsidR="00201577" w:rsidRPr="00943AD9">
        <w:rPr>
          <w:rFonts w:ascii="Arial" w:eastAsia="Calibri" w:hAnsi="Arial" w:cs="Arial"/>
          <w:color w:val="000000" w:themeColor="text1"/>
          <w:szCs w:val="22"/>
        </w:rPr>
        <w:t xml:space="preserve">la socialización </w:t>
      </w:r>
      <w:r w:rsidR="00B268F6">
        <w:rPr>
          <w:rFonts w:ascii="Arial" w:eastAsia="Calibri" w:hAnsi="Arial" w:cs="Arial"/>
          <w:color w:val="000000" w:themeColor="text1"/>
          <w:szCs w:val="22"/>
        </w:rPr>
        <w:t xml:space="preserve">y explicación </w:t>
      </w:r>
      <w:r w:rsidR="00201577" w:rsidRPr="00943AD9">
        <w:rPr>
          <w:rFonts w:ascii="Arial" w:eastAsia="Calibri" w:hAnsi="Arial" w:cs="Arial"/>
          <w:color w:val="000000" w:themeColor="text1"/>
          <w:szCs w:val="22"/>
        </w:rPr>
        <w:t xml:space="preserve">de los Documentos Tipo expedidos por la Agencia. Por tanto, </w:t>
      </w:r>
      <w:r w:rsidR="00DC17F4">
        <w:rPr>
          <w:rFonts w:ascii="Arial" w:eastAsia="Calibri" w:hAnsi="Arial" w:cs="Arial"/>
          <w:color w:val="000000" w:themeColor="text1"/>
          <w:szCs w:val="22"/>
        </w:rPr>
        <w:t>en</w:t>
      </w:r>
      <w:r w:rsidR="00DC17F4" w:rsidRPr="00943AD9">
        <w:rPr>
          <w:rFonts w:ascii="Arial" w:eastAsia="Calibri" w:hAnsi="Arial" w:cs="Arial"/>
          <w:color w:val="000000" w:themeColor="text1"/>
          <w:szCs w:val="22"/>
        </w:rPr>
        <w:t xml:space="preserve"> </w:t>
      </w:r>
      <w:r w:rsidR="00201577" w:rsidRPr="00943AD9">
        <w:rPr>
          <w:rFonts w:ascii="Arial" w:eastAsia="Calibri" w:hAnsi="Arial" w:cs="Arial"/>
          <w:color w:val="000000" w:themeColor="text1"/>
          <w:szCs w:val="22"/>
        </w:rPr>
        <w:t>el momento</w:t>
      </w:r>
      <w:r w:rsidR="007632A7">
        <w:rPr>
          <w:rFonts w:ascii="Arial" w:eastAsia="Calibri" w:hAnsi="Arial" w:cs="Arial"/>
          <w:color w:val="000000" w:themeColor="text1"/>
          <w:szCs w:val="22"/>
        </w:rPr>
        <w:t>,</w:t>
      </w:r>
      <w:r w:rsidR="00201577" w:rsidRPr="00943AD9">
        <w:rPr>
          <w:rFonts w:ascii="Arial" w:eastAsia="Calibri" w:hAnsi="Arial" w:cs="Arial"/>
          <w:color w:val="000000" w:themeColor="text1"/>
          <w:szCs w:val="22"/>
        </w:rPr>
        <w:t xml:space="preserve"> no </w:t>
      </w:r>
      <w:r w:rsidR="00943AD9" w:rsidRPr="00943AD9">
        <w:rPr>
          <w:rFonts w:ascii="Arial" w:eastAsia="Calibri" w:hAnsi="Arial" w:cs="Arial"/>
          <w:color w:val="000000" w:themeColor="text1"/>
          <w:szCs w:val="22"/>
        </w:rPr>
        <w:t xml:space="preserve">tenemos disponibilidad para atender </w:t>
      </w:r>
      <w:r w:rsidR="00DC17F4">
        <w:rPr>
          <w:rFonts w:ascii="Arial" w:eastAsia="Calibri" w:hAnsi="Arial" w:cs="Arial"/>
          <w:color w:val="000000" w:themeColor="text1"/>
          <w:szCs w:val="22"/>
        </w:rPr>
        <w:t>la</w:t>
      </w:r>
      <w:r w:rsidR="00943AD9" w:rsidRPr="00943AD9">
        <w:rPr>
          <w:rFonts w:ascii="Arial" w:eastAsia="Calibri" w:hAnsi="Arial" w:cs="Arial"/>
          <w:color w:val="000000" w:themeColor="text1"/>
          <w:szCs w:val="22"/>
        </w:rPr>
        <w:t xml:space="preserve"> solicitud</w:t>
      </w:r>
      <w:r w:rsidR="00DC17F4">
        <w:rPr>
          <w:rFonts w:ascii="Arial" w:eastAsia="Calibri" w:hAnsi="Arial" w:cs="Arial"/>
          <w:color w:val="000000" w:themeColor="text1"/>
          <w:szCs w:val="22"/>
        </w:rPr>
        <w:t>.</w:t>
      </w:r>
      <w:r w:rsidR="00943AD9" w:rsidRPr="00943AD9">
        <w:rPr>
          <w:rFonts w:ascii="Arial" w:eastAsia="Calibri" w:hAnsi="Arial" w:cs="Arial"/>
          <w:color w:val="000000" w:themeColor="text1"/>
          <w:szCs w:val="22"/>
        </w:rPr>
        <w:t xml:space="preserve"> </w:t>
      </w:r>
      <w:r w:rsidR="001B4E15">
        <w:rPr>
          <w:rFonts w:ascii="Arial" w:eastAsia="Calibri" w:hAnsi="Arial" w:cs="Arial"/>
          <w:color w:val="000000" w:themeColor="text1"/>
          <w:szCs w:val="22"/>
        </w:rPr>
        <w:t>S</w:t>
      </w:r>
      <w:r w:rsidR="00943AD9">
        <w:rPr>
          <w:rFonts w:ascii="Arial" w:eastAsia="Calibri" w:hAnsi="Arial" w:cs="Arial"/>
          <w:color w:val="000000" w:themeColor="text1"/>
          <w:szCs w:val="22"/>
        </w:rPr>
        <w:t xml:space="preserve">in </w:t>
      </w:r>
      <w:r w:rsidR="00A5626D">
        <w:rPr>
          <w:rFonts w:ascii="Arial" w:eastAsia="Calibri" w:hAnsi="Arial" w:cs="Arial"/>
          <w:color w:val="000000" w:themeColor="text1"/>
          <w:szCs w:val="22"/>
        </w:rPr>
        <w:t xml:space="preserve">embargo, </w:t>
      </w:r>
      <w:r w:rsidR="000F0CF8">
        <w:rPr>
          <w:rFonts w:ascii="Arial" w:eastAsia="Calibri" w:hAnsi="Arial" w:cs="Arial"/>
          <w:color w:val="000000" w:themeColor="text1"/>
          <w:szCs w:val="22"/>
        </w:rPr>
        <w:t xml:space="preserve">esperamos que en </w:t>
      </w:r>
      <w:r w:rsidR="00CE34AB">
        <w:rPr>
          <w:rFonts w:ascii="Arial" w:eastAsia="Calibri" w:hAnsi="Arial" w:cs="Arial"/>
          <w:color w:val="000000" w:themeColor="text1"/>
          <w:szCs w:val="22"/>
        </w:rPr>
        <w:t>un plazo prudencial</w:t>
      </w:r>
      <w:r w:rsidR="000F0CF8">
        <w:rPr>
          <w:rFonts w:ascii="Arial" w:eastAsia="Calibri" w:hAnsi="Arial" w:cs="Arial"/>
          <w:color w:val="000000" w:themeColor="text1"/>
          <w:szCs w:val="22"/>
        </w:rPr>
        <w:t xml:space="preserve"> </w:t>
      </w:r>
      <w:r w:rsidR="00780531">
        <w:rPr>
          <w:rFonts w:ascii="Arial" w:eastAsia="Calibri" w:hAnsi="Arial" w:cs="Arial"/>
          <w:color w:val="000000" w:themeColor="text1"/>
          <w:szCs w:val="22"/>
        </w:rPr>
        <w:t xml:space="preserve">podamos resolver dudas sobre </w:t>
      </w:r>
      <w:r w:rsidR="007632A7">
        <w:rPr>
          <w:rFonts w:ascii="Arial" w:eastAsia="Calibri" w:hAnsi="Arial" w:cs="Arial"/>
          <w:color w:val="000000" w:themeColor="text1"/>
          <w:szCs w:val="22"/>
        </w:rPr>
        <w:t xml:space="preserve">la aplicabilidad del </w:t>
      </w:r>
      <w:r w:rsidR="007632A7" w:rsidRPr="00800FA3">
        <w:rPr>
          <w:rFonts w:ascii="Arial" w:eastAsia="Calibri" w:hAnsi="Arial" w:cs="Arial"/>
          <w:szCs w:val="22"/>
          <w:lang w:eastAsia="en-US"/>
        </w:rPr>
        <w:t>Manual para la Identificación y Cobertura del Riesgo en los Procesos de Contratación</w:t>
      </w:r>
      <w:r w:rsidR="007632A7">
        <w:rPr>
          <w:rFonts w:ascii="Arial" w:eastAsia="Calibri" w:hAnsi="Arial" w:cs="Arial"/>
          <w:szCs w:val="22"/>
          <w:lang w:eastAsia="en-US"/>
        </w:rPr>
        <w:t>.</w:t>
      </w:r>
    </w:p>
    <w:p w14:paraId="71DB36E4" w14:textId="1A809245" w:rsidR="00800FA3" w:rsidRDefault="007632A7" w:rsidP="000C3AC6">
      <w:pPr>
        <w:pStyle w:val="Textoindependiente"/>
        <w:spacing w:after="0"/>
        <w:ind w:right="-65"/>
        <w:jc w:val="both"/>
        <w:rPr>
          <w:rFonts w:ascii="Arial" w:eastAsia="Calibri" w:hAnsi="Arial" w:cs="Arial"/>
          <w:szCs w:val="22"/>
          <w:lang w:eastAsia="en-US"/>
        </w:rPr>
      </w:pPr>
      <w:r>
        <w:rPr>
          <w:rFonts w:ascii="Arial" w:eastAsia="Calibri" w:hAnsi="Arial" w:cs="Arial"/>
          <w:szCs w:val="22"/>
          <w:lang w:eastAsia="en-US"/>
        </w:rPr>
        <w:t xml:space="preserve"> </w:t>
      </w:r>
    </w:p>
    <w:p w14:paraId="71C182D9" w14:textId="2EFC9DC6" w:rsidR="004E017B" w:rsidRPr="000C3AC6" w:rsidRDefault="00DC17F4" w:rsidP="000C3AC6">
      <w:pPr>
        <w:pStyle w:val="Textoindependiente"/>
        <w:spacing w:after="0" w:line="240" w:lineRule="auto"/>
        <w:ind w:left="709" w:right="709"/>
        <w:jc w:val="both"/>
        <w:rPr>
          <w:rFonts w:ascii="Arial" w:eastAsia="Calibri" w:hAnsi="Arial" w:cs="Arial"/>
          <w:sz w:val="21"/>
          <w:szCs w:val="21"/>
          <w:lang w:eastAsia="en-US"/>
        </w:rPr>
      </w:pPr>
      <w:r w:rsidRPr="00DC17F4">
        <w:rPr>
          <w:rFonts w:ascii="Arial" w:eastAsia="Calibri" w:hAnsi="Arial" w:cs="Arial"/>
          <w:color w:val="000000" w:themeColor="text1"/>
          <w:sz w:val="21"/>
          <w:szCs w:val="21"/>
        </w:rPr>
        <w:t xml:space="preserve">iii) </w:t>
      </w:r>
      <w:r w:rsidR="00800FA3" w:rsidRPr="00DC17F4">
        <w:rPr>
          <w:rFonts w:ascii="Arial" w:eastAsia="Calibri" w:hAnsi="Arial" w:cs="Arial"/>
          <w:color w:val="000000" w:themeColor="text1"/>
          <w:sz w:val="21"/>
          <w:szCs w:val="21"/>
        </w:rPr>
        <w:t>«</w:t>
      </w:r>
      <w:r w:rsidR="00800FA3" w:rsidRPr="000C3AC6">
        <w:rPr>
          <w:rFonts w:ascii="Arial" w:eastAsia="Calibri" w:hAnsi="Arial" w:cs="Arial"/>
          <w:sz w:val="21"/>
          <w:szCs w:val="21"/>
          <w:lang w:eastAsia="en-US"/>
        </w:rPr>
        <w:t>¿Dónde encuentro el Excel (matriz de riesgos) que propone el manual para la Identificación y Cobertura del Riesgo en los Procesos de Contratación?»</w:t>
      </w:r>
      <w:r w:rsidRPr="000C3AC6">
        <w:rPr>
          <w:rFonts w:ascii="Arial" w:eastAsia="Calibri" w:hAnsi="Arial" w:cs="Arial"/>
          <w:sz w:val="21"/>
          <w:szCs w:val="21"/>
          <w:lang w:eastAsia="en-US"/>
        </w:rPr>
        <w:t>.</w:t>
      </w:r>
    </w:p>
    <w:p w14:paraId="4D069B91" w14:textId="77777777" w:rsidR="00DC17F4" w:rsidRDefault="00DC17F4" w:rsidP="000C3AC6">
      <w:pPr>
        <w:pStyle w:val="Textoindependiente"/>
        <w:spacing w:after="0"/>
        <w:ind w:left="709" w:right="709"/>
        <w:jc w:val="both"/>
        <w:rPr>
          <w:rFonts w:ascii="Arial" w:eastAsia="Calibri" w:hAnsi="Arial" w:cs="Arial"/>
          <w:szCs w:val="22"/>
          <w:lang w:eastAsia="en-US"/>
        </w:rPr>
      </w:pPr>
    </w:p>
    <w:p w14:paraId="6301AB5F" w14:textId="2DDC0CC0" w:rsidR="00800FA3" w:rsidRDefault="00800FA3" w:rsidP="00800FA3">
      <w:pPr>
        <w:pStyle w:val="Textoindependiente"/>
        <w:ind w:right="-65"/>
        <w:jc w:val="both"/>
        <w:rPr>
          <w:rFonts w:ascii="Arial" w:eastAsia="Calibri" w:hAnsi="Arial" w:cs="Arial"/>
          <w:color w:val="000000" w:themeColor="text1"/>
          <w:szCs w:val="22"/>
        </w:rPr>
      </w:pPr>
      <w:r w:rsidRPr="00800FA3">
        <w:rPr>
          <w:rFonts w:ascii="Arial" w:eastAsia="Calibri" w:hAnsi="Arial" w:cs="Arial"/>
          <w:color w:val="000000" w:themeColor="text1"/>
          <w:szCs w:val="22"/>
        </w:rPr>
        <w:t xml:space="preserve">La matriz de riesgos que propone el Manual para la Identificación y Cobertura del Riesgo en los Procesos de Contratación puede descargarse en el siguiente link: </w:t>
      </w:r>
      <w:hyperlink r:id="rId12" w:history="1">
        <w:r w:rsidR="00DC17F4" w:rsidRPr="004122DF">
          <w:rPr>
            <w:rStyle w:val="Hipervnculo"/>
            <w:rFonts w:ascii="Arial" w:eastAsia="Calibri" w:hAnsi="Arial" w:cs="Arial"/>
            <w:szCs w:val="22"/>
          </w:rPr>
          <w:t>https://www.colombiacompra.gov.co/sites/cce_public/files/cce_documents/matriz_riesgos.doc</w:t>
        </w:r>
      </w:hyperlink>
      <w:r w:rsidR="00DC17F4">
        <w:rPr>
          <w:rFonts w:ascii="Arial" w:eastAsia="Calibri" w:hAnsi="Arial" w:cs="Arial"/>
          <w:color w:val="000000" w:themeColor="text1"/>
          <w:szCs w:val="22"/>
        </w:rPr>
        <w:t xml:space="preserve">. </w:t>
      </w:r>
    </w:p>
    <w:p w14:paraId="6DE1DDB1" w14:textId="77777777" w:rsidR="00DC17F4" w:rsidRPr="00800FA3" w:rsidRDefault="00DC17F4" w:rsidP="000C3AC6">
      <w:pPr>
        <w:pStyle w:val="Textoindependiente"/>
        <w:spacing w:after="0"/>
        <w:ind w:right="-65"/>
        <w:jc w:val="both"/>
        <w:rPr>
          <w:rFonts w:ascii="Arial" w:hAnsi="Arial" w:cs="Arial"/>
          <w:szCs w:val="22"/>
        </w:rPr>
      </w:pPr>
    </w:p>
    <w:p w14:paraId="27C5BF1C" w14:textId="77777777" w:rsidR="004E017B" w:rsidRPr="0020174E" w:rsidRDefault="004E017B" w:rsidP="004E017B">
      <w:pPr>
        <w:spacing w:before="120" w:line="276" w:lineRule="auto"/>
        <w:jc w:val="both"/>
        <w:rPr>
          <w:rFonts w:ascii="Arial" w:eastAsia="Calibri" w:hAnsi="Arial" w:cs="Arial"/>
          <w:color w:val="000000" w:themeColor="text1"/>
          <w:sz w:val="22"/>
          <w:szCs w:val="22"/>
        </w:rPr>
      </w:pPr>
      <w:r w:rsidRPr="0020174E">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68416DCF" w14:textId="77777777" w:rsidR="004E017B" w:rsidRPr="009F7826" w:rsidRDefault="004E017B" w:rsidP="004E017B">
      <w:pPr>
        <w:ind w:firstLine="709"/>
        <w:jc w:val="both"/>
        <w:rPr>
          <w:rFonts w:ascii="Arial" w:eastAsia="Calibri" w:hAnsi="Arial" w:cs="Arial"/>
          <w:color w:val="000000" w:themeColor="text1"/>
        </w:rPr>
      </w:pPr>
    </w:p>
    <w:p w14:paraId="311E99D5" w14:textId="77777777" w:rsidR="004E017B" w:rsidRPr="009F7826" w:rsidRDefault="004E017B" w:rsidP="004E017B">
      <w:pPr>
        <w:jc w:val="both"/>
        <w:rPr>
          <w:rFonts w:ascii="Arial" w:hAnsi="Arial" w:cs="Arial"/>
          <w:color w:val="000000" w:themeColor="text1"/>
          <w:lang w:eastAsia="es-CO"/>
        </w:rPr>
      </w:pPr>
      <w:r w:rsidRPr="009F7826">
        <w:rPr>
          <w:rFonts w:ascii="Arial" w:hAnsi="Arial" w:cs="Arial"/>
          <w:color w:val="000000" w:themeColor="text1"/>
          <w:lang w:eastAsia="es-CO"/>
        </w:rPr>
        <w:t>Atentamente,</w:t>
      </w:r>
    </w:p>
    <w:p w14:paraId="7E004EFA" w14:textId="46F3EF35" w:rsidR="004E017B" w:rsidRPr="009F7826" w:rsidRDefault="00171235" w:rsidP="004E017B">
      <w:pPr>
        <w:tabs>
          <w:tab w:val="left" w:pos="426"/>
        </w:tabs>
        <w:spacing w:after="120" w:line="276" w:lineRule="auto"/>
        <w:ind w:firstLine="709"/>
        <w:jc w:val="center"/>
        <w:rPr>
          <w:rFonts w:ascii="Arial" w:eastAsia="Calibri" w:hAnsi="Arial" w:cs="Arial"/>
          <w:color w:val="000000" w:themeColor="text1"/>
        </w:rPr>
      </w:pPr>
      <w:r>
        <w:rPr>
          <w:noProof/>
        </w:rPr>
        <w:drawing>
          <wp:inline distT="0" distB="0" distL="0" distR="0" wp14:anchorId="31FBC0A0" wp14:editId="1E83F252">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819"/>
      </w:tblGrid>
      <w:tr w:rsidR="004E017B" w:rsidRPr="009F7826" w14:paraId="63AF2CF0" w14:textId="77777777" w:rsidTr="00B701BE">
        <w:trPr>
          <w:trHeight w:val="362"/>
        </w:trPr>
        <w:tc>
          <w:tcPr>
            <w:tcW w:w="886" w:type="dxa"/>
            <w:vAlign w:val="center"/>
            <w:hideMark/>
          </w:tcPr>
          <w:bookmarkEnd w:id="1"/>
          <w:bookmarkEnd w:id="2"/>
          <w:p w14:paraId="6CE2BB69"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Elaboró:</w:t>
            </w:r>
          </w:p>
        </w:tc>
        <w:tc>
          <w:tcPr>
            <w:tcW w:w="4819" w:type="dxa"/>
            <w:tcBorders>
              <w:top w:val="nil"/>
              <w:left w:val="nil"/>
              <w:bottom w:val="dotted" w:sz="4" w:space="0" w:color="7F7F7F" w:themeColor="text1" w:themeTint="80"/>
              <w:right w:val="nil"/>
            </w:tcBorders>
            <w:vAlign w:val="center"/>
            <w:hideMark/>
          </w:tcPr>
          <w:p w14:paraId="513CAF3E" w14:textId="77777777" w:rsidR="004E017B" w:rsidRPr="009F7826" w:rsidRDefault="004E017B" w:rsidP="00B701BE">
            <w:pPr>
              <w:rPr>
                <w:rFonts w:ascii="Arial" w:hAnsi="Arial" w:cs="Arial"/>
                <w:color w:val="000000" w:themeColor="text1"/>
                <w:sz w:val="16"/>
                <w:szCs w:val="16"/>
                <w:lang w:eastAsia="es-ES"/>
              </w:rPr>
            </w:pPr>
            <w:r>
              <w:rPr>
                <w:rFonts w:ascii="Arial" w:hAnsi="Arial" w:cs="Arial"/>
                <w:color w:val="000000" w:themeColor="text1"/>
                <w:sz w:val="16"/>
                <w:szCs w:val="16"/>
                <w:lang w:eastAsia="es-ES"/>
              </w:rPr>
              <w:t>Nathalia Urrego Jiménez</w:t>
            </w:r>
          </w:p>
          <w:p w14:paraId="201BC05B"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Contratista de la Subdirección de Gestión Contractual</w:t>
            </w:r>
          </w:p>
        </w:tc>
      </w:tr>
      <w:tr w:rsidR="004E017B" w:rsidRPr="009F7826" w14:paraId="1FD25EE1" w14:textId="77777777" w:rsidTr="00B701BE">
        <w:trPr>
          <w:trHeight w:val="379"/>
        </w:trPr>
        <w:tc>
          <w:tcPr>
            <w:tcW w:w="886" w:type="dxa"/>
            <w:vAlign w:val="center"/>
            <w:hideMark/>
          </w:tcPr>
          <w:p w14:paraId="525BD0C6"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Revisó: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276510C0" w14:textId="67F7A755" w:rsidR="004E017B" w:rsidRDefault="00800FA3" w:rsidP="00B701BE">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w:t>
            </w:r>
            <w:r w:rsidR="00DC17F4">
              <w:rPr>
                <w:rFonts w:ascii="Arial" w:hAnsi="Arial" w:cs="Arial"/>
                <w:color w:val="000000" w:themeColor="text1"/>
                <w:sz w:val="16"/>
                <w:szCs w:val="16"/>
                <w:lang w:val="es-ES_tradnl" w:eastAsia="es-ES"/>
              </w:rPr>
              <w:t>oya Penagos</w:t>
            </w:r>
          </w:p>
          <w:p w14:paraId="6B4060E7" w14:textId="77777777" w:rsidR="004E017B" w:rsidRPr="009F7826" w:rsidRDefault="004E017B" w:rsidP="00B701BE">
            <w:pPr>
              <w:rPr>
                <w:rFonts w:ascii="Arial" w:hAnsi="Arial" w:cs="Arial"/>
                <w:color w:val="000000" w:themeColor="text1"/>
                <w:sz w:val="16"/>
                <w:szCs w:val="16"/>
                <w:lang w:eastAsia="es-ES"/>
              </w:rPr>
            </w:pPr>
            <w:r>
              <w:rPr>
                <w:rFonts w:ascii="Arial" w:hAnsi="Arial" w:cs="Arial"/>
                <w:color w:val="000000" w:themeColor="text1"/>
                <w:sz w:val="16"/>
                <w:szCs w:val="16"/>
                <w:lang w:val="es-ES_tradnl" w:eastAsia="es-ES"/>
              </w:rPr>
              <w:t>Gestor T1 – Grado 15 de la Subdirección de Gestión Contractual</w:t>
            </w:r>
          </w:p>
        </w:tc>
      </w:tr>
      <w:tr w:rsidR="004E017B" w:rsidRPr="009F7826" w14:paraId="41E58E8A" w14:textId="77777777" w:rsidTr="00B701BE">
        <w:trPr>
          <w:trHeight w:val="344"/>
        </w:trPr>
        <w:tc>
          <w:tcPr>
            <w:tcW w:w="886" w:type="dxa"/>
            <w:vAlign w:val="center"/>
            <w:hideMark/>
          </w:tcPr>
          <w:p w14:paraId="648E9303"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lastRenderedPageBreak/>
              <w:t>Aprobó: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4CAAB98C"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Jorge Augusto Tirado Navarro</w:t>
            </w:r>
          </w:p>
          <w:p w14:paraId="4C9D196F" w14:textId="1D30A05B"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Subdirector de Gestión Contractual</w:t>
            </w:r>
            <w:r w:rsidR="00DC17F4">
              <w:rPr>
                <w:rFonts w:ascii="Arial" w:hAnsi="Arial" w:cs="Arial"/>
                <w:color w:val="000000" w:themeColor="text1"/>
                <w:sz w:val="16"/>
                <w:szCs w:val="16"/>
                <w:lang w:eastAsia="es-ES"/>
              </w:rPr>
              <w:t xml:space="preserve"> ANCP – CCE</w:t>
            </w:r>
          </w:p>
        </w:tc>
      </w:tr>
    </w:tbl>
    <w:p w14:paraId="1E9A2E75" w14:textId="77777777" w:rsidR="004E017B" w:rsidRPr="00D06ECB" w:rsidRDefault="004E017B" w:rsidP="004E017B"/>
    <w:p w14:paraId="09FC80E7" w14:textId="77777777" w:rsidR="00CE7CA5" w:rsidRDefault="00B55C50"/>
    <w:sectPr w:rsidR="00CE7CA5" w:rsidSect="00400F13">
      <w:headerReference w:type="even" r:id="rId14"/>
      <w:headerReference w:type="default" r:id="rId15"/>
      <w:footerReference w:type="even" r:id="rId16"/>
      <w:footerReference w:type="default" r:id="rId17"/>
      <w:headerReference w:type="first" r:id="rId18"/>
      <w:footerReference w:type="first" r:id="rId19"/>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6B20E" w14:textId="77777777" w:rsidR="00B55C50" w:rsidRDefault="00B55C50" w:rsidP="004E017B">
      <w:r>
        <w:separator/>
      </w:r>
    </w:p>
  </w:endnote>
  <w:endnote w:type="continuationSeparator" w:id="0">
    <w:p w14:paraId="4822DFD5" w14:textId="77777777" w:rsidR="00B55C50" w:rsidRDefault="00B55C50" w:rsidP="004E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419B8" w14:textId="77777777" w:rsidR="00E029E1" w:rsidRDefault="00B55C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D276" w14:textId="77777777" w:rsidR="00E029E1" w:rsidRDefault="00B55C50" w:rsidP="00322937">
    <w:pPr>
      <w:pStyle w:val="Sinespaciado"/>
      <w:jc w:val="right"/>
      <w:rPr>
        <w:rFonts w:ascii="Arial" w:hAnsi="Arial" w:cs="Arial"/>
        <w:sz w:val="18"/>
        <w:szCs w:val="18"/>
      </w:rPr>
    </w:pPr>
  </w:p>
  <w:p w14:paraId="5FB1E4EA" w14:textId="77777777" w:rsidR="00E029E1" w:rsidRPr="008217B7" w:rsidRDefault="000570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6A7BC00" w14:textId="77777777" w:rsidR="00E029E1" w:rsidRDefault="000570AB" w:rsidP="00322937">
    <w:pPr>
      <w:pStyle w:val="Piedepgina"/>
      <w:jc w:val="center"/>
      <w:rPr>
        <w:lang w:val="es-ES"/>
      </w:rPr>
    </w:pPr>
    <w:r>
      <w:rPr>
        <w:noProof/>
        <w:lang w:val="es-ES" w:eastAsia="es-ES"/>
      </w:rPr>
      <w:drawing>
        <wp:inline distT="0" distB="0" distL="0" distR="0" wp14:anchorId="2FD4367B" wp14:editId="7B3ACB8C">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BE4216B" w14:textId="77777777" w:rsidR="00E029E1" w:rsidRDefault="00B55C50" w:rsidP="007B0854">
    <w:pPr>
      <w:pStyle w:val="Piedepgina"/>
      <w:jc w:val="center"/>
      <w:rPr>
        <w:lang w:val="es-ES"/>
      </w:rPr>
    </w:pPr>
  </w:p>
  <w:p w14:paraId="69E2E268" w14:textId="77777777" w:rsidR="00E029E1" w:rsidRPr="007B0854" w:rsidRDefault="00B55C50"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7592" w14:textId="77777777" w:rsidR="00E029E1" w:rsidRDefault="00B55C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A23ED" w14:textId="77777777" w:rsidR="00B55C50" w:rsidRDefault="00B55C50" w:rsidP="004E017B">
      <w:r>
        <w:separator/>
      </w:r>
    </w:p>
  </w:footnote>
  <w:footnote w:type="continuationSeparator" w:id="0">
    <w:p w14:paraId="000D6E49" w14:textId="77777777" w:rsidR="00B55C50" w:rsidRDefault="00B55C50" w:rsidP="004E017B">
      <w:r>
        <w:continuationSeparator/>
      </w:r>
    </w:p>
  </w:footnote>
  <w:footnote w:id="1">
    <w:p w14:paraId="28BE58FF" w14:textId="77777777" w:rsidR="007173B7" w:rsidRPr="00B53C5E" w:rsidRDefault="007173B7" w:rsidP="001F7662">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B53C5E">
        <w:rPr>
          <w:rFonts w:ascii="Arial" w:hAnsi="Arial" w:cs="Arial"/>
          <w:sz w:val="19"/>
          <w:szCs w:val="19"/>
        </w:rPr>
        <w:tab/>
        <w:t>relacionada con los procedimientos de la entidad»: https://www.colciencias.gov.co/sites/default/files/ckeditor_files/G102PR01-procedimiento-elaboracion- control.pdf</w:t>
      </w:r>
    </w:p>
    <w:p w14:paraId="29690063" w14:textId="77777777" w:rsidR="007173B7" w:rsidRPr="00B53C5E" w:rsidRDefault="007173B7" w:rsidP="001F7662">
      <w:pPr>
        <w:ind w:firstLine="408"/>
        <w:jc w:val="both"/>
        <w:rPr>
          <w:rFonts w:ascii="Arial" w:hAnsi="Arial" w:cs="Arial"/>
          <w:sz w:val="19"/>
          <w:szCs w:val="19"/>
        </w:rPr>
      </w:pPr>
      <w:r w:rsidRPr="00B53C5E">
        <w:rPr>
          <w:rFonts w:ascii="Arial" w:eastAsiaTheme="minorEastAsia" w:hAnsi="Arial" w:cs="Arial"/>
          <w:sz w:val="19"/>
          <w:szCs w:val="19"/>
          <w:lang w:eastAsia="es-CO"/>
        </w:rPr>
        <w:tab/>
      </w:r>
      <w:r w:rsidRPr="00B53C5E">
        <w:rPr>
          <w:rFonts w:ascii="Arial" w:hAnsi="Arial" w:cs="Arial"/>
          <w:sz w:val="19"/>
          <w:szCs w:val="19"/>
        </w:rPr>
        <w:t xml:space="preserve">Para la Autoridad Nacional de Licencias Ambientales los manuales y guías </w:t>
      </w:r>
      <w:r w:rsidRPr="00B53C5E">
        <w:rPr>
          <w:rFonts w:ascii="Arial" w:hAnsi="Arial" w:cs="Arial"/>
          <w:sz w:val="19"/>
          <w:szCs w:val="19"/>
          <w:lang w:val="es-MX"/>
        </w:rPr>
        <w:t>«</w:t>
      </w:r>
      <w:r w:rsidRPr="00B53C5E">
        <w:rPr>
          <w:rFonts w:ascii="Arial" w:hAnsi="Arial" w:cs="Arial"/>
          <w:sz w:val="19"/>
          <w:szCs w:val="19"/>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1">
        <w:r w:rsidRPr="00B53C5E">
          <w:rPr>
            <w:rFonts w:ascii="Arial" w:hAnsi="Arial" w:cs="Arial"/>
            <w:sz w:val="19"/>
            <w:szCs w:val="19"/>
          </w:rPr>
          <w:t>http://portal.anla.gov.co/manuales-y-guias</w:t>
        </w:r>
      </w:hyperlink>
    </w:p>
    <w:p w14:paraId="3C408FF6" w14:textId="77777777" w:rsidR="007173B7" w:rsidRPr="00B53C5E" w:rsidRDefault="007173B7" w:rsidP="001F7662">
      <w:pPr>
        <w:pStyle w:val="Textonotapie"/>
        <w:jc w:val="both"/>
        <w:rPr>
          <w:rFonts w:ascii="Arial" w:hAnsi="Arial" w:cs="Arial"/>
          <w:sz w:val="19"/>
          <w:szCs w:val="19"/>
        </w:rPr>
      </w:pPr>
    </w:p>
  </w:footnote>
  <w:footnote w:id="2">
    <w:p w14:paraId="13DF9A79" w14:textId="77777777" w:rsidR="007173B7" w:rsidRPr="00B53C5E" w:rsidRDefault="007173B7" w:rsidP="001F7662">
      <w:pPr>
        <w:tabs>
          <w:tab w:val="left" w:pos="4805"/>
          <w:tab w:val="left" w:pos="8980"/>
        </w:tabs>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La Circular Externa Única de Colombia Compra Eficiente señala: </w:t>
      </w:r>
      <w:r w:rsidRPr="004C7AC4">
        <w:rPr>
          <w:rFonts w:ascii="Arial" w:hAnsi="Arial" w:cs="Arial"/>
          <w:sz w:val="19"/>
          <w:szCs w:val="19"/>
        </w:rPr>
        <w:t>«</w:t>
      </w:r>
      <w:r w:rsidRPr="00B53C5E">
        <w:rPr>
          <w:rFonts w:ascii="Arial" w:hAnsi="Arial" w:cs="Arial"/>
          <w:sz w:val="19"/>
          <w:szCs w:val="19"/>
        </w:rPr>
        <w:t>Las circulares externas proferidas por Colombia Compra Eficiente son actos administrativos que contienen mandatos, orientaciones e instrucciones que van dirigidas a las Entidades Estatales y al público en general y son de obligatorio cumplimiento</w:t>
      </w:r>
      <w:r w:rsidRPr="004C7AC4">
        <w:rPr>
          <w:rFonts w:ascii="Arial" w:hAnsi="Arial" w:cs="Arial"/>
          <w:sz w:val="19"/>
          <w:szCs w:val="19"/>
        </w:rPr>
        <w:t>»</w:t>
      </w:r>
      <w:r w:rsidRPr="00B53C5E">
        <w:rPr>
          <w:rFonts w:ascii="Arial" w:hAnsi="Arial" w:cs="Arial"/>
          <w:sz w:val="19"/>
          <w:szCs w:val="19"/>
        </w:rPr>
        <w:t>.</w:t>
      </w:r>
      <w:r w:rsidRPr="00B53C5E">
        <w:rPr>
          <w:rFonts w:ascii="Arial" w:hAnsi="Arial" w:cs="Arial"/>
          <w:sz w:val="19"/>
          <w:szCs w:val="19"/>
        </w:rPr>
        <w:tab/>
        <w:t xml:space="preserve">Disponible </w:t>
      </w:r>
      <w:r w:rsidRPr="00B53C5E">
        <w:rPr>
          <w:rFonts w:ascii="Arial" w:hAnsi="Arial" w:cs="Arial"/>
          <w:spacing w:val="-6"/>
          <w:sz w:val="19"/>
          <w:szCs w:val="19"/>
        </w:rPr>
        <w:t xml:space="preserve">en: </w:t>
      </w:r>
      <w:hyperlink r:id="rId2">
        <w:r w:rsidRPr="00B53C5E">
          <w:rPr>
            <w:rFonts w:ascii="Arial" w:hAnsi="Arial" w:cs="Arial"/>
            <w:sz w:val="19"/>
            <w:szCs w:val="19"/>
          </w:rPr>
          <w:t>https://www.colombiacompra.gov.co/sites/cce_public/files/cce_circulares/cce_circular_unica.pdf</w:t>
        </w:r>
      </w:hyperlink>
    </w:p>
    <w:p w14:paraId="0435E017" w14:textId="77777777" w:rsidR="007173B7" w:rsidRPr="00B53C5E" w:rsidRDefault="007173B7" w:rsidP="001F7662">
      <w:pPr>
        <w:pStyle w:val="Textonotapie"/>
        <w:jc w:val="both"/>
        <w:rPr>
          <w:rFonts w:ascii="Arial" w:hAnsi="Arial" w:cs="Arial"/>
          <w:sz w:val="19"/>
          <w:szCs w:val="19"/>
        </w:rPr>
      </w:pPr>
    </w:p>
  </w:footnote>
  <w:footnote w:id="3">
    <w:p w14:paraId="21E27473" w14:textId="77777777" w:rsidR="007173B7" w:rsidRPr="00B53C5E"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Segunda, Sentencia del 17 de mayo de 2018, Radicado N.º 110010325000201601071, C.P. Rafael Francisco Suárez Vargas</w:t>
      </w:r>
    </w:p>
    <w:p w14:paraId="079A2C0F" w14:textId="77777777" w:rsidR="007173B7" w:rsidRPr="00B53C5E" w:rsidRDefault="007173B7" w:rsidP="001F7662">
      <w:pPr>
        <w:pStyle w:val="Textonotapie"/>
        <w:ind w:firstLine="707"/>
        <w:jc w:val="both"/>
        <w:rPr>
          <w:rFonts w:ascii="Arial" w:hAnsi="Arial" w:cs="Arial"/>
          <w:sz w:val="19"/>
          <w:szCs w:val="19"/>
        </w:rPr>
      </w:pPr>
    </w:p>
  </w:footnote>
  <w:footnote w:id="4">
    <w:p w14:paraId="4098EB7B" w14:textId="77777777" w:rsidR="007173B7" w:rsidRPr="00B53C5E"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Ley 1437 de 2011, artículo 65. Frente a la notificación de los actos administrativos de carácter particular y concreto ver el artículo 66 de la misma ley.</w:t>
      </w:r>
    </w:p>
    <w:p w14:paraId="458E91B8" w14:textId="77777777" w:rsidR="007173B7" w:rsidRPr="00B53C5E" w:rsidRDefault="007173B7" w:rsidP="001F7662">
      <w:pPr>
        <w:pStyle w:val="Textonotapie"/>
        <w:ind w:firstLine="707"/>
        <w:jc w:val="both"/>
        <w:rPr>
          <w:rFonts w:ascii="Arial" w:hAnsi="Arial" w:cs="Arial"/>
          <w:sz w:val="19"/>
          <w:szCs w:val="19"/>
        </w:rPr>
      </w:pPr>
    </w:p>
  </w:footnote>
  <w:footnote w:id="5">
    <w:p w14:paraId="097916FD" w14:textId="77777777" w:rsidR="007173B7" w:rsidRPr="004C7AC4"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Sala de lo Contencioso Administrativo, Sección Tercera, Sentencia del 8 de agosto de 2012, radicado N.º 54001-23-31-000-1999-0111-01 (23358), C.P: Jaime Orlando Santofimio Gamboa.</w:t>
      </w:r>
    </w:p>
    <w:p w14:paraId="0573A4E8" w14:textId="77777777" w:rsidR="007173B7" w:rsidRPr="00B53C5E" w:rsidRDefault="007173B7" w:rsidP="001F7662">
      <w:pPr>
        <w:pStyle w:val="Textonotapie"/>
        <w:ind w:firstLine="707"/>
        <w:jc w:val="both"/>
        <w:rPr>
          <w:rFonts w:ascii="Arial" w:hAnsi="Arial" w:cs="Arial"/>
          <w:sz w:val="19"/>
          <w:szCs w:val="19"/>
        </w:rPr>
      </w:pPr>
    </w:p>
  </w:footnote>
  <w:footnote w:id="6">
    <w:p w14:paraId="408A0636" w14:textId="77777777" w:rsidR="007173B7" w:rsidRPr="004C7AC4"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Tercera. Sentencia del 11 de abril de 2002, C.P. Alier Hernández Enríquez, Rad. 2001-0058-01 (21652).</w:t>
      </w:r>
    </w:p>
    <w:p w14:paraId="0A1D2CB9" w14:textId="77777777" w:rsidR="007173B7" w:rsidRPr="00B53C5E" w:rsidRDefault="007173B7" w:rsidP="001F7662">
      <w:pPr>
        <w:pStyle w:val="Textonotapie"/>
        <w:ind w:firstLine="707"/>
        <w:jc w:val="both"/>
        <w:rPr>
          <w:rFonts w:ascii="Arial" w:hAnsi="Arial" w:cs="Arial"/>
          <w:sz w:val="19"/>
          <w:szCs w:val="19"/>
        </w:rPr>
      </w:pPr>
    </w:p>
  </w:footnote>
  <w:footnote w:id="7">
    <w:p w14:paraId="1C49664A" w14:textId="77777777" w:rsidR="007173B7" w:rsidRPr="004C7AC4"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Quinta. Sentencia del 13 de marzo de 2014, C.P. Alberto Yepes Barreiro, Rad. 2013-00715-01 (ACU).</w:t>
      </w:r>
    </w:p>
    <w:p w14:paraId="46E5D762" w14:textId="77777777" w:rsidR="007173B7" w:rsidRPr="00B53C5E" w:rsidRDefault="007173B7" w:rsidP="001F7662">
      <w:pPr>
        <w:pStyle w:val="Textonotapie"/>
        <w:ind w:firstLine="707"/>
        <w:jc w:val="both"/>
        <w:rPr>
          <w:rFonts w:ascii="Arial" w:hAnsi="Arial" w:cs="Arial"/>
          <w:sz w:val="19"/>
          <w:szCs w:val="19"/>
        </w:rPr>
      </w:pPr>
    </w:p>
  </w:footnote>
  <w:footnote w:id="8">
    <w:p w14:paraId="7A84B4C6" w14:textId="77777777" w:rsidR="007173B7" w:rsidRPr="004C7AC4"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Corte Constitucional. Sentencia C-1436 del 2000, M.P. Alfredo Beltrán Sierra.</w:t>
      </w:r>
    </w:p>
    <w:p w14:paraId="5017F887" w14:textId="77777777" w:rsidR="007173B7" w:rsidRPr="00B53C5E" w:rsidRDefault="007173B7" w:rsidP="001F7662">
      <w:pPr>
        <w:pStyle w:val="Textonotapie"/>
        <w:ind w:firstLine="707"/>
        <w:jc w:val="both"/>
        <w:rPr>
          <w:rFonts w:ascii="Arial" w:hAnsi="Arial" w:cs="Arial"/>
          <w:sz w:val="19"/>
          <w:szCs w:val="19"/>
        </w:rPr>
      </w:pPr>
    </w:p>
  </w:footnote>
  <w:footnote w:id="9">
    <w:p w14:paraId="42A642C3" w14:textId="29CE8360" w:rsidR="007173B7" w:rsidRDefault="007173B7" w:rsidP="001F7662">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w:t>
      </w:r>
      <w:r w:rsidRPr="00A43712">
        <w:rPr>
          <w:rFonts w:ascii="Arial" w:hAnsi="Arial" w:cs="Arial"/>
          <w:sz w:val="19"/>
          <w:szCs w:val="19"/>
        </w:rPr>
        <w:t>SANTOFIMIO GAMBOA, Jaime Orlando. Tratado de Derecho Administrativo. Introducción a los conceptos de la administración pública y el derecho administrativo. Universidad Externado de Colombia, Bogotá, 2003, 3ra Ed. p. 440.</w:t>
      </w:r>
    </w:p>
    <w:p w14:paraId="7292BD75" w14:textId="77777777" w:rsidR="001F7662" w:rsidRPr="00B53C5E" w:rsidRDefault="001F7662">
      <w:pPr>
        <w:pStyle w:val="Textonotapie"/>
        <w:ind w:firstLine="707"/>
        <w:jc w:val="both"/>
        <w:rPr>
          <w:rFonts w:ascii="Arial" w:hAnsi="Arial" w:cs="Arial"/>
          <w:sz w:val="19"/>
          <w:szCs w:val="19"/>
        </w:rPr>
      </w:pPr>
    </w:p>
  </w:footnote>
  <w:footnote w:id="10">
    <w:p w14:paraId="085F6C66" w14:textId="22DB50A1" w:rsidR="007173B7" w:rsidRPr="00B53C5E" w:rsidRDefault="007173B7" w:rsidP="000C3AC6">
      <w:pPr>
        <w:pStyle w:val="Textoindependiente"/>
        <w:spacing w:before="1" w:line="240" w:lineRule="auto"/>
        <w:ind w:right="77" w:firstLine="708"/>
        <w:jc w:val="both"/>
        <w:rPr>
          <w:lang w:val="es-ES"/>
        </w:rPr>
      </w:pPr>
      <w:r>
        <w:rPr>
          <w:rStyle w:val="Refdenotaalpie"/>
        </w:rPr>
        <w:footnoteRef/>
      </w:r>
      <w:r>
        <w:t xml:space="preserve"> </w:t>
      </w:r>
      <w:r w:rsidRPr="00B53C5E">
        <w:rPr>
          <w:rFonts w:ascii="Arial" w:eastAsia="Times New Roman" w:hAnsi="Arial" w:cs="Arial"/>
          <w:sz w:val="19"/>
          <w:szCs w:val="19"/>
          <w:lang w:eastAsia="en-US"/>
        </w:rPr>
        <w:t>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 términos:</w:t>
      </w:r>
      <w:r>
        <w:rPr>
          <w:rFonts w:ascii="Arial" w:eastAsia="Times New Roman" w:hAnsi="Arial" w:cs="Arial"/>
          <w:sz w:val="19"/>
          <w:szCs w:val="19"/>
          <w:lang w:eastAsia="en-US"/>
        </w:rPr>
        <w:t xml:space="preserve"> «</w:t>
      </w:r>
      <w:r w:rsidRPr="00B53C5E">
        <w:rPr>
          <w:rFonts w:ascii="Arial" w:eastAsia="Times New Roman" w:hAnsi="Arial" w:cs="Arial"/>
          <w:sz w:val="19"/>
          <w:szCs w:val="19"/>
          <w:lang w:eastAsia="en-US"/>
        </w:rPr>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B53C5E">
        <w:rPr>
          <w:rFonts w:ascii="Arial" w:eastAsia="Times New Roman" w:hAnsi="Arial" w:cs="Arial"/>
          <w:b/>
          <w:bCs/>
          <w:sz w:val="19"/>
          <w:szCs w:val="19"/>
          <w:lang w:eastAsia="en-US"/>
        </w:rPr>
        <w:t>la potestad normativa de la administración o de hacer normas rectoras de la actividad estatal, en cuanto privilegio funcional, es de naturaleza subordinada y dependiente de las normas de carácter superior</w:t>
      </w:r>
      <w:r w:rsidRPr="00B53C5E">
        <w:rPr>
          <w:rFonts w:ascii="Arial" w:eastAsia="Times New Roman" w:hAnsi="Arial" w:cs="Arial"/>
          <w:sz w:val="19"/>
          <w:szCs w:val="19"/>
          <w:lang w:eastAsia="en-US"/>
        </w:rPr>
        <w:t>. Sería absurdo pensar en la posibilidad de una potestad normativa de la administración ausente o inmune al principio de legalidad</w:t>
      </w:r>
      <w:r>
        <w:rPr>
          <w:rFonts w:eastAsia="Times New Roman"/>
          <w:sz w:val="19"/>
          <w:szCs w:val="19"/>
          <w:lang w:eastAsia="en-US"/>
        </w:rPr>
        <w:t>»</w:t>
      </w:r>
      <w:r w:rsidRPr="00B53C5E">
        <w:rPr>
          <w:rFonts w:ascii="Arial" w:eastAsia="Times New Roman" w:hAnsi="Arial" w:cs="Arial"/>
          <w:sz w:val="19"/>
          <w:szCs w:val="19"/>
          <w:lang w:eastAsia="en-US"/>
        </w:rPr>
        <w:t>. (Negrillas fuera de texto</w:t>
      </w:r>
      <w:r w:rsidRPr="00B53C5E">
        <w:rPr>
          <w:rFonts w:ascii="Arial" w:hAnsi="Arial" w:cs="Arial"/>
          <w:sz w:val="19"/>
          <w:szCs w:val="19"/>
        </w:rPr>
        <w:t/>
      </w:r>
      <w:r w:rsidRPr="00B53C5E">
        <w:rPr>
          <w:rFonts w:ascii="Arial" w:eastAsia="Times New Roman" w:hAnsi="Arial" w:cs="Arial"/>
          <w:sz w:val="19"/>
          <w:szCs w:val="19"/>
          <w:lang w:eastAsia="en-US"/>
        </w:rPr>
        <w:t>).</w:t>
      </w:r>
    </w:p>
  </w:footnote>
  <w:footnote w:id="11">
    <w:p w14:paraId="4FCE274C" w14:textId="77777777" w:rsidR="007173B7" w:rsidRPr="004C7AC4" w:rsidRDefault="007173B7">
      <w:pPr>
        <w:pStyle w:val="Textonotapie"/>
        <w:ind w:firstLine="708"/>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Tercera, Subsección C. Auto de ponente del 14 de agosto de 2017, C.P. Jaime Orlando Santofimio Gamboa, Rad. 2017-00031-00 (58.820)</w:t>
      </w:r>
      <w:r w:rsidRPr="004C7AC4">
        <w:rPr>
          <w:rFonts w:ascii="Arial" w:hAnsi="Arial" w:cs="Arial"/>
          <w:sz w:val="19"/>
          <w:szCs w:val="19"/>
        </w:rPr>
        <w:t>.</w:t>
      </w:r>
    </w:p>
    <w:p w14:paraId="32C668D3" w14:textId="77777777" w:rsidR="007173B7" w:rsidRPr="00B53C5E" w:rsidRDefault="007173B7">
      <w:pPr>
        <w:pStyle w:val="Textonotapie"/>
        <w:ind w:firstLine="708"/>
        <w:jc w:val="both"/>
        <w:rPr>
          <w:rFonts w:ascii="Arial" w:hAnsi="Arial" w:cs="Arial"/>
          <w:sz w:val="19"/>
          <w:szCs w:val="19"/>
        </w:rPr>
      </w:pPr>
    </w:p>
  </w:footnote>
  <w:footnote w:id="12">
    <w:p w14:paraId="182C44C9" w14:textId="45429B49" w:rsidR="00A86660" w:rsidRPr="00A86660" w:rsidRDefault="00A86660" w:rsidP="00A86660">
      <w:pPr>
        <w:pStyle w:val="Textonotapie"/>
        <w:ind w:firstLine="708"/>
        <w:rPr>
          <w:lang w:val="es-ES"/>
        </w:rPr>
      </w:pPr>
      <w:r>
        <w:rPr>
          <w:rStyle w:val="Refdenotaalpie"/>
        </w:rPr>
        <w:footnoteRef/>
      </w:r>
      <w:r>
        <w:t xml:space="preserve"> </w:t>
      </w:r>
      <w:r>
        <w:rPr>
          <w:lang w:val="es-ES"/>
        </w:rPr>
        <w:t xml:space="preserve"> C.P </w:t>
      </w:r>
      <w:r w:rsidRPr="00A86660">
        <w:rPr>
          <w:lang w:val="es-ES"/>
        </w:rPr>
        <w:t>María Adriana Marín</w:t>
      </w:r>
    </w:p>
  </w:footnote>
  <w:footnote w:id="13">
    <w:p w14:paraId="00B034CF" w14:textId="77777777" w:rsidR="007173B7" w:rsidRPr="004C7AC4" w:rsidRDefault="007173B7">
      <w:pPr>
        <w:pStyle w:val="Textonotapie"/>
        <w:ind w:firstLine="708"/>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Compilado en el Decreto 1082 de 2015, artículo 2.2.1.2.5.2: </w:t>
      </w:r>
      <w:r w:rsidRPr="004C7AC4">
        <w:rPr>
          <w:rFonts w:ascii="Arial" w:hAnsi="Arial" w:cs="Arial"/>
          <w:sz w:val="19"/>
          <w:szCs w:val="19"/>
        </w:rPr>
        <w:t>«</w:t>
      </w:r>
      <w:r w:rsidRPr="00B53C5E">
        <w:rPr>
          <w:rFonts w:ascii="Arial" w:hAnsi="Arial" w:cs="Arial"/>
          <w:sz w:val="19"/>
          <w:szCs w:val="19"/>
        </w:rPr>
        <w:t xml:space="preserve">Artículo 159. Estándares y documentos tipo. Sin perjuicio de la función permanente que el Decreto 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 </w:t>
      </w:r>
    </w:p>
    <w:p w14:paraId="02E687A0" w14:textId="77777777" w:rsidR="007173B7" w:rsidRPr="004C7AC4" w:rsidRDefault="007173B7">
      <w:pPr>
        <w:pStyle w:val="Textonotapie"/>
        <w:ind w:firstLine="708"/>
        <w:jc w:val="both"/>
        <w:rPr>
          <w:rFonts w:ascii="Arial" w:hAnsi="Arial" w:cs="Arial"/>
          <w:sz w:val="19"/>
          <w:szCs w:val="19"/>
        </w:rPr>
      </w:pPr>
      <w:r w:rsidRPr="00BD3191">
        <w:rPr>
          <w:rFonts w:ascii="Arial" w:hAnsi="Arial" w:cs="Arial"/>
          <w:sz w:val="19"/>
          <w:szCs w:val="19"/>
        </w:rPr>
        <w:t>»</w:t>
      </w:r>
      <w:r w:rsidRPr="00B53C5E">
        <w:rPr>
          <w:rFonts w:ascii="Arial" w:hAnsi="Arial" w:cs="Arial"/>
          <w:sz w:val="19"/>
          <w:szCs w:val="19"/>
        </w:rPr>
        <w:t xml:space="preserve">1. Manuales para el uso de los Acuerdos Marco de Precios dentro de los dos (2) meses siguientes a la expedición el presente decreto. </w:t>
      </w:r>
    </w:p>
    <w:p w14:paraId="60EDAEDC" w14:textId="77777777" w:rsidR="007173B7" w:rsidRPr="004C7AC4" w:rsidRDefault="007173B7">
      <w:pPr>
        <w:pStyle w:val="Textonotapie"/>
        <w:ind w:firstLine="708"/>
        <w:jc w:val="both"/>
        <w:rPr>
          <w:rFonts w:ascii="Arial" w:hAnsi="Arial" w:cs="Arial"/>
          <w:sz w:val="19"/>
          <w:szCs w:val="19"/>
        </w:rPr>
      </w:pPr>
      <w:r w:rsidRPr="004C7AC4">
        <w:rPr>
          <w:rFonts w:ascii="Arial" w:hAnsi="Arial" w:cs="Arial"/>
          <w:sz w:val="19"/>
          <w:szCs w:val="19"/>
        </w:rPr>
        <w:t>»</w:t>
      </w:r>
      <w:r w:rsidRPr="00B53C5E">
        <w:rPr>
          <w:rFonts w:ascii="Arial" w:hAnsi="Arial" w:cs="Arial"/>
          <w:sz w:val="19"/>
          <w:szCs w:val="19"/>
        </w:rPr>
        <w:t xml:space="preserve">2. </w:t>
      </w:r>
      <w:r w:rsidRPr="00B53C5E">
        <w:rPr>
          <w:rFonts w:ascii="Arial" w:hAnsi="Arial" w:cs="Arial"/>
          <w:strike/>
          <w:sz w:val="19"/>
          <w:szCs w:val="19"/>
        </w:rPr>
        <w:t>Manuales y guías para: (a) la identificación y cobertura del Riesgo</w:t>
      </w:r>
      <w:r w:rsidRPr="00B53C5E">
        <w:rPr>
          <w:rFonts w:ascii="Arial" w:hAnsi="Arial" w:cs="Arial"/>
          <w:sz w:val="19"/>
          <w:szCs w:val="19"/>
        </w:rPr>
        <w:t xml:space="preserve">;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 </w:t>
      </w:r>
    </w:p>
    <w:p w14:paraId="195A19EE" w14:textId="77777777" w:rsidR="007173B7" w:rsidRPr="004C7AC4" w:rsidRDefault="007173B7">
      <w:pPr>
        <w:pStyle w:val="Textonotapie"/>
        <w:ind w:firstLine="708"/>
        <w:jc w:val="both"/>
        <w:rPr>
          <w:rFonts w:ascii="Arial" w:hAnsi="Arial" w:cs="Arial"/>
          <w:sz w:val="19"/>
          <w:szCs w:val="19"/>
        </w:rPr>
      </w:pPr>
      <w:r w:rsidRPr="004C7AC4">
        <w:rPr>
          <w:rFonts w:ascii="Arial" w:hAnsi="Arial" w:cs="Arial"/>
          <w:sz w:val="19"/>
          <w:szCs w:val="19"/>
        </w:rPr>
        <w:t>»</w:t>
      </w:r>
      <w:r w:rsidRPr="00B53C5E">
        <w:rPr>
          <w:rFonts w:ascii="Arial" w:hAnsi="Arial" w:cs="Arial"/>
          <w:sz w:val="19"/>
          <w:szCs w:val="19"/>
        </w:rPr>
        <w:t xml:space="preserve">3. </w:t>
      </w:r>
      <w:r w:rsidRPr="00B53C5E">
        <w:rPr>
          <w:rFonts w:ascii="Arial" w:hAnsi="Arial" w:cs="Arial"/>
          <w:strike/>
          <w:sz w:val="19"/>
          <w:szCs w:val="19"/>
        </w:rPr>
        <w:t>Pliegos de condiciones tipo para la contratación dentro de los seis (6) meses siguientes a la expedición del presente decreto</w:t>
      </w:r>
      <w:r w:rsidRPr="00B53C5E">
        <w:rPr>
          <w:rFonts w:ascii="Arial" w:hAnsi="Arial" w:cs="Arial"/>
          <w:sz w:val="19"/>
          <w:szCs w:val="19"/>
        </w:rPr>
        <w:t xml:space="preserve">. </w:t>
      </w:r>
    </w:p>
    <w:p w14:paraId="30A18F30" w14:textId="77777777" w:rsidR="007173B7" w:rsidRPr="00B53C5E" w:rsidRDefault="007173B7">
      <w:pPr>
        <w:pStyle w:val="Textonotapie"/>
        <w:ind w:firstLine="708"/>
        <w:jc w:val="both"/>
        <w:rPr>
          <w:rFonts w:ascii="Arial" w:hAnsi="Arial" w:cs="Arial"/>
          <w:sz w:val="19"/>
          <w:szCs w:val="19"/>
        </w:rPr>
      </w:pPr>
      <w:r w:rsidRPr="004C7AC4">
        <w:rPr>
          <w:rFonts w:ascii="Arial" w:hAnsi="Arial" w:cs="Arial"/>
          <w:sz w:val="19"/>
          <w:szCs w:val="19"/>
        </w:rPr>
        <w:t>»</w:t>
      </w:r>
      <w:r w:rsidRPr="00B53C5E">
        <w:rPr>
          <w:rFonts w:ascii="Arial" w:hAnsi="Arial" w:cs="Arial"/>
          <w:sz w:val="19"/>
          <w:szCs w:val="19"/>
        </w:rPr>
        <w:t xml:space="preserve">4. </w:t>
      </w:r>
      <w:r w:rsidRPr="00B53C5E">
        <w:rPr>
          <w:rFonts w:ascii="Arial" w:hAnsi="Arial" w:cs="Arial"/>
          <w:strike/>
          <w:sz w:val="19"/>
          <w:szCs w:val="19"/>
        </w:rPr>
        <w:t>Minutas tipo de contratos dentro de los seis (6) meses siguientes a la expedición del presente decreto</w:t>
      </w:r>
      <w:r w:rsidRPr="004C7AC4">
        <w:rPr>
          <w:rFonts w:ascii="Arial" w:hAnsi="Arial" w:cs="Arial"/>
          <w:sz w:val="19"/>
          <w:szCs w:val="19"/>
        </w:rPr>
        <w:t>»</w:t>
      </w:r>
      <w:r w:rsidRPr="00B53C5E">
        <w:rPr>
          <w:rFonts w:ascii="Arial" w:hAnsi="Arial" w:cs="Arial"/>
          <w:sz w:val="19"/>
          <w:szCs w:val="19"/>
        </w:rPr>
        <w:t>. (Nota: Las expresiones tachadas fueron declaradas nulas por el Consejo de Estado en la Sentencia del 11 de abril de 2019. Rad. 2014-00135-00 (52055). Sección Tercera. C.P. María Adriana Marín).</w:t>
      </w:r>
    </w:p>
  </w:footnote>
  <w:footnote w:id="14">
    <w:p w14:paraId="40FEE21B" w14:textId="77777777" w:rsidR="007173B7" w:rsidRPr="00B53C5E" w:rsidRDefault="007173B7">
      <w:pPr>
        <w:pStyle w:val="Textonotapie"/>
        <w:jc w:val="both"/>
        <w:rPr>
          <w:rFonts w:ascii="Arial" w:hAnsi="Arial" w:cs="Arial"/>
          <w:sz w:val="19"/>
          <w:szCs w:val="19"/>
        </w:rPr>
      </w:pPr>
    </w:p>
    <w:p w14:paraId="0D34EC18" w14:textId="77777777" w:rsidR="007173B7" w:rsidRPr="00B53C5E" w:rsidRDefault="007173B7">
      <w:pPr>
        <w:pStyle w:val="Textonotapie"/>
        <w:ind w:firstLine="708"/>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Tercera, Subsección A. Sentencia del 11 de abril de 2019, C.P. María Adriana Marín, Rad. 2014-00135-00 (52.055).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720C5" w14:textId="77777777" w:rsidR="00E029E1" w:rsidRDefault="00B55C5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B132" w14:textId="77777777" w:rsidR="00E029E1" w:rsidRDefault="000570AB">
    <w:pPr>
      <w:pStyle w:val="Encabezado"/>
    </w:pPr>
    <w:r>
      <w:rPr>
        <w:noProof/>
        <w:lang w:val="es-ES" w:eastAsia="es-ES"/>
      </w:rPr>
      <w:drawing>
        <wp:anchor distT="0" distB="0" distL="114300" distR="114300" simplePos="0" relativeHeight="251659264" behindDoc="1" locked="0" layoutInCell="1" allowOverlap="1" wp14:anchorId="6937C694" wp14:editId="1BCA02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74D5" w14:textId="77777777" w:rsidR="00E029E1" w:rsidRDefault="00B55C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6E353CA8"/>
    <w:multiLevelType w:val="hybridMultilevel"/>
    <w:tmpl w:val="5DEED72E"/>
    <w:lvl w:ilvl="0" w:tplc="88187434">
      <w:start w:val="1"/>
      <w:numFmt w:val="decimal"/>
      <w:lvlText w:val="%1."/>
      <w:lvlJc w:val="left"/>
      <w:pPr>
        <w:ind w:left="1065" w:hanging="360"/>
      </w:pPr>
      <w:rPr>
        <w:rFonts w:ascii="Arial" w:hAnsi="Arial" w:cs="Arial" w:hint="default"/>
        <w:b w:val="0"/>
        <w:bCs/>
        <w:sz w:val="24"/>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7B"/>
    <w:rsid w:val="00005632"/>
    <w:rsid w:val="000570AB"/>
    <w:rsid w:val="000C3AC6"/>
    <w:rsid w:val="000F0CF8"/>
    <w:rsid w:val="0010385D"/>
    <w:rsid w:val="00167E45"/>
    <w:rsid w:val="00171235"/>
    <w:rsid w:val="00183456"/>
    <w:rsid w:val="001B4E15"/>
    <w:rsid w:val="001E2F84"/>
    <w:rsid w:val="001F7662"/>
    <w:rsid w:val="00201577"/>
    <w:rsid w:val="0021640C"/>
    <w:rsid w:val="002A5FAE"/>
    <w:rsid w:val="002C3129"/>
    <w:rsid w:val="002E7518"/>
    <w:rsid w:val="00324603"/>
    <w:rsid w:val="003A51B5"/>
    <w:rsid w:val="00474890"/>
    <w:rsid w:val="00481CF9"/>
    <w:rsid w:val="004B1202"/>
    <w:rsid w:val="004E017B"/>
    <w:rsid w:val="00541BF8"/>
    <w:rsid w:val="005574C9"/>
    <w:rsid w:val="00583DAB"/>
    <w:rsid w:val="005853B9"/>
    <w:rsid w:val="005A638E"/>
    <w:rsid w:val="006308CB"/>
    <w:rsid w:val="00680486"/>
    <w:rsid w:val="007173B7"/>
    <w:rsid w:val="00752E65"/>
    <w:rsid w:val="007632A7"/>
    <w:rsid w:val="00780531"/>
    <w:rsid w:val="007A39B0"/>
    <w:rsid w:val="007F5771"/>
    <w:rsid w:val="00800FA3"/>
    <w:rsid w:val="00803F3A"/>
    <w:rsid w:val="00824E64"/>
    <w:rsid w:val="00943AD9"/>
    <w:rsid w:val="00A5626D"/>
    <w:rsid w:val="00A86660"/>
    <w:rsid w:val="00AB45F3"/>
    <w:rsid w:val="00AD6584"/>
    <w:rsid w:val="00AE6D0C"/>
    <w:rsid w:val="00B268F6"/>
    <w:rsid w:val="00B34068"/>
    <w:rsid w:val="00B421F6"/>
    <w:rsid w:val="00B55C50"/>
    <w:rsid w:val="00BC435B"/>
    <w:rsid w:val="00C318DF"/>
    <w:rsid w:val="00C7217D"/>
    <w:rsid w:val="00C730EB"/>
    <w:rsid w:val="00C934E0"/>
    <w:rsid w:val="00CC4597"/>
    <w:rsid w:val="00CD3033"/>
    <w:rsid w:val="00CE34AB"/>
    <w:rsid w:val="00D51BB4"/>
    <w:rsid w:val="00D542A9"/>
    <w:rsid w:val="00DC17F4"/>
    <w:rsid w:val="00DC3F04"/>
    <w:rsid w:val="00DF02B8"/>
    <w:rsid w:val="00DF7A25"/>
    <w:rsid w:val="00E156EE"/>
    <w:rsid w:val="00E3300F"/>
    <w:rsid w:val="00EC50E4"/>
    <w:rsid w:val="00FE3A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3336"/>
  <w15:chartTrackingRefBased/>
  <w15:docId w15:val="{BBE61EC9-F6CC-4ED8-AC1D-192ADCDC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17B"/>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E017B"/>
    <w:pPr>
      <w:tabs>
        <w:tab w:val="center" w:pos="4419"/>
        <w:tab w:val="right" w:pos="8838"/>
      </w:tabs>
    </w:pPr>
  </w:style>
  <w:style w:type="character" w:customStyle="1" w:styleId="PiedepginaCar">
    <w:name w:val="Pie de página Car"/>
    <w:basedOn w:val="Fuentedeprrafopredeter"/>
    <w:link w:val="Piedepgina"/>
    <w:uiPriority w:val="99"/>
    <w:rsid w:val="004E017B"/>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4E017B"/>
    <w:pPr>
      <w:tabs>
        <w:tab w:val="center" w:pos="4252"/>
        <w:tab w:val="right" w:pos="8504"/>
      </w:tabs>
    </w:pPr>
  </w:style>
  <w:style w:type="character" w:customStyle="1" w:styleId="EncabezadoCar">
    <w:name w:val="Encabezado Car"/>
    <w:basedOn w:val="Fuentedeprrafopredeter"/>
    <w:link w:val="Encabezado"/>
    <w:uiPriority w:val="99"/>
    <w:rsid w:val="004E017B"/>
    <w:rPr>
      <w:rFonts w:ascii="Times New Roman" w:eastAsia="Times New Roman" w:hAnsi="Times New Roman" w:cs="Times New Roman"/>
      <w:sz w:val="24"/>
      <w:szCs w:val="24"/>
    </w:rPr>
  </w:style>
  <w:style w:type="table" w:styleId="Tablaconcuadrcula">
    <w:name w:val="Table Grid"/>
    <w:basedOn w:val="Tablanormal"/>
    <w:uiPriority w:val="39"/>
    <w:rsid w:val="004E0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E017B"/>
    <w:pPr>
      <w:ind w:left="720"/>
      <w:contextualSpacing/>
    </w:pPr>
  </w:style>
  <w:style w:type="paragraph" w:styleId="NormalWeb">
    <w:name w:val="Normal (Web)"/>
    <w:basedOn w:val="Normal"/>
    <w:uiPriority w:val="99"/>
    <w:unhideWhenUsed/>
    <w:rsid w:val="004E017B"/>
    <w:pPr>
      <w:spacing w:before="100" w:beforeAutospacing="1" w:after="100" w:afterAutospacing="1"/>
    </w:pPr>
    <w:rPr>
      <w:lang w:eastAsia="es-CO"/>
    </w:rPr>
  </w:style>
  <w:style w:type="paragraph" w:styleId="Sinespaciado">
    <w:name w:val="No Spacing"/>
    <w:aliases w:val="No Indent"/>
    <w:uiPriority w:val="3"/>
    <w:qFormat/>
    <w:rsid w:val="004E017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017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E017B"/>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4E017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017B"/>
    <w:rPr>
      <w:rFonts w:ascii="Times New Roman" w:eastAsia="Times New Roman" w:hAnsi="Times New Roman" w:cs="Times New Roman"/>
      <w:sz w:val="24"/>
      <w:szCs w:val="24"/>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4E017B"/>
    <w:rPr>
      <w:vertAlign w:val="superscript"/>
    </w:rPr>
  </w:style>
  <w:style w:type="paragraph" w:styleId="Textoindependiente">
    <w:name w:val="Body Text"/>
    <w:basedOn w:val="Normal"/>
    <w:link w:val="TextoindependienteCar"/>
    <w:uiPriority w:val="99"/>
    <w:unhideWhenUsed/>
    <w:rsid w:val="004E017B"/>
    <w:pPr>
      <w:spacing w:after="120" w:line="276" w:lineRule="auto"/>
    </w:pPr>
    <w:rPr>
      <w:rFonts w:eastAsiaTheme="minorEastAsia"/>
      <w:sz w:val="22"/>
      <w:lang w:eastAsia="es-CO"/>
    </w:rPr>
  </w:style>
  <w:style w:type="character" w:customStyle="1" w:styleId="TextoindependienteCar">
    <w:name w:val="Texto independiente Car"/>
    <w:basedOn w:val="Fuentedeprrafopredeter"/>
    <w:link w:val="Textoindependiente"/>
    <w:uiPriority w:val="99"/>
    <w:rsid w:val="004E017B"/>
    <w:rPr>
      <w:rFonts w:ascii="Times New Roman" w:eastAsiaTheme="minorEastAsia" w:hAnsi="Times New Roman" w:cs="Times New Roman"/>
      <w:szCs w:val="24"/>
      <w:lang w:eastAsia="es-CO"/>
    </w:rPr>
  </w:style>
  <w:style w:type="character" w:styleId="Refdecomentario">
    <w:name w:val="annotation reference"/>
    <w:basedOn w:val="Fuentedeprrafopredeter"/>
    <w:uiPriority w:val="99"/>
    <w:semiHidden/>
    <w:unhideWhenUsed/>
    <w:rsid w:val="007173B7"/>
    <w:rPr>
      <w:sz w:val="16"/>
      <w:szCs w:val="16"/>
    </w:rPr>
  </w:style>
  <w:style w:type="paragraph" w:styleId="Textocomentario">
    <w:name w:val="annotation text"/>
    <w:basedOn w:val="Normal"/>
    <w:link w:val="TextocomentarioCar"/>
    <w:uiPriority w:val="99"/>
    <w:semiHidden/>
    <w:unhideWhenUsed/>
    <w:rsid w:val="007173B7"/>
    <w:rPr>
      <w:sz w:val="20"/>
      <w:szCs w:val="20"/>
    </w:rPr>
  </w:style>
  <w:style w:type="character" w:customStyle="1" w:styleId="TextocomentarioCar">
    <w:name w:val="Texto comentario Car"/>
    <w:basedOn w:val="Fuentedeprrafopredeter"/>
    <w:link w:val="Textocomentario"/>
    <w:uiPriority w:val="99"/>
    <w:semiHidden/>
    <w:rsid w:val="007173B7"/>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2C3129"/>
    <w:rPr>
      <w:b/>
      <w:bCs/>
    </w:rPr>
  </w:style>
  <w:style w:type="character" w:customStyle="1" w:styleId="AsuntodelcomentarioCar">
    <w:name w:val="Asunto del comentario Car"/>
    <w:basedOn w:val="TextocomentarioCar"/>
    <w:link w:val="Asuntodelcomentario"/>
    <w:uiPriority w:val="99"/>
    <w:semiHidden/>
    <w:rsid w:val="002C3129"/>
    <w:rPr>
      <w:rFonts w:ascii="Times New Roman" w:eastAsia="Times New Roman" w:hAnsi="Times New Roman" w:cs="Times New Roman"/>
      <w:b/>
      <w:bCs/>
      <w:sz w:val="20"/>
      <w:szCs w:val="20"/>
    </w:rPr>
  </w:style>
  <w:style w:type="character" w:styleId="Hipervnculo">
    <w:name w:val="Hyperlink"/>
    <w:basedOn w:val="Fuentedeprrafopredeter"/>
    <w:uiPriority w:val="99"/>
    <w:unhideWhenUsed/>
    <w:rsid w:val="00DC17F4"/>
    <w:rPr>
      <w:color w:val="0563C1" w:themeColor="hyperlink"/>
      <w:u w:val="single"/>
    </w:rPr>
  </w:style>
  <w:style w:type="character" w:styleId="Mencinsinresolver">
    <w:name w:val="Unresolved Mention"/>
    <w:basedOn w:val="Fuentedeprrafopredeter"/>
    <w:uiPriority w:val="99"/>
    <w:semiHidden/>
    <w:unhideWhenUsed/>
    <w:rsid w:val="00DC1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sites/cce_public/files/cce_documents/matriz_riesgos.do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_circular_unica.pdf" TargetMode="External"/><Relationship Id="rId1" Type="http://schemas.openxmlformats.org/officeDocument/2006/relationships/hyperlink" Target="http://portal.anla.gov.co/manuales-y-gui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AEF7D-ED82-49F6-9510-DB794EE9731F}"/>
</file>

<file path=customXml/itemProps2.xml><?xml version="1.0" encoding="utf-8"?>
<ds:datastoreItem xmlns:ds="http://schemas.openxmlformats.org/officeDocument/2006/customXml" ds:itemID="{AAE262B2-516A-47AF-9EF7-BA8D751C64D9}">
  <ds:schemaRefs>
    <ds:schemaRef ds:uri="http://schemas.microsoft.com/sharepoint/v3/contenttype/forms"/>
  </ds:schemaRefs>
</ds:datastoreItem>
</file>

<file path=customXml/itemProps3.xml><?xml version="1.0" encoding="utf-8"?>
<ds:datastoreItem xmlns:ds="http://schemas.openxmlformats.org/officeDocument/2006/customXml" ds:itemID="{A2F8ACC3-208A-49D7-9DB3-5AA5A176A22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96E6F0B-F56B-4830-83AC-70FD7C2B2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5018</Words>
  <Characters>27601</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Andrea Urrego Jimenez</dc:creator>
  <cp:keywords/>
  <dc:description/>
  <cp:lastModifiedBy>Nathalia Urrego J.</cp:lastModifiedBy>
  <cp:revision>3</cp:revision>
  <dcterms:created xsi:type="dcterms:W3CDTF">2021-09-24T02:23:00Z</dcterms:created>
  <dcterms:modified xsi:type="dcterms:W3CDTF">2021-10-07T03:41:00Z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