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FDF4DB" w14:textId="7087E8DF" w:rsidR="0623809C" w:rsidRDefault="0623809C" w:rsidP="0623809C">
      <w:pPr>
        <w:jc w:val="right"/>
        <w:rPr>
          <w:rFonts w:ascii="Arial" w:hAnsi="Arial" w:cs="Arial"/>
          <w:b/>
          <w:bCs/>
          <w:color w:val="000000" w:themeColor="text1"/>
          <w:sz w:val="16"/>
          <w:szCs w:val="16"/>
          <w:lang w:val="es-ES" w:eastAsia="es-ES"/>
        </w:rPr>
      </w:pPr>
    </w:p>
    <w:p w14:paraId="182E957B" w14:textId="768D39FC" w:rsidR="0034177C" w:rsidRPr="00F97D96" w:rsidRDefault="009F59C2" w:rsidP="00D66CC3">
      <w:pPr>
        <w:jc w:val="right"/>
        <w:rPr>
          <w:rFonts w:ascii="Arial" w:hAnsi="Arial" w:cs="Arial"/>
          <w:b/>
          <w:color w:val="000000" w:themeColor="text1"/>
          <w:sz w:val="16"/>
          <w:szCs w:val="16"/>
          <w:lang w:val="es-ES_tradnl" w:eastAsia="es-ES"/>
        </w:rPr>
      </w:pPr>
      <w:bookmarkStart w:id="0" w:name="_Hlk28946138"/>
      <w:bookmarkStart w:id="1" w:name="_Hlk29548183"/>
      <w:r w:rsidRPr="006F1B1E">
        <w:rPr>
          <w:rFonts w:ascii="Arial" w:hAnsi="Arial" w:cs="Arial"/>
          <w:b/>
          <w:color w:val="000000" w:themeColor="text1"/>
          <w:sz w:val="20"/>
          <w:szCs w:val="20"/>
          <w:lang w:val="es-ES_tradnl" w:eastAsia="es-ES"/>
        </w:rPr>
        <w:tab/>
      </w:r>
      <w:r w:rsidR="0034177C" w:rsidRPr="00F97D96">
        <w:rPr>
          <w:rFonts w:ascii="Arial" w:hAnsi="Arial" w:cs="Arial"/>
          <w:b/>
          <w:color w:val="000000" w:themeColor="text1"/>
          <w:sz w:val="16"/>
          <w:szCs w:val="16"/>
          <w:lang w:val="es-ES_tradnl" w:eastAsia="es-ES"/>
        </w:rPr>
        <w:t>CCE-DES-FM-17</w:t>
      </w:r>
    </w:p>
    <w:p w14:paraId="33FF83A2" w14:textId="77777777" w:rsidR="0034177C" w:rsidRPr="006F1B1E" w:rsidRDefault="0034177C" w:rsidP="00D66CC3">
      <w:pPr>
        <w:jc w:val="both"/>
        <w:rPr>
          <w:rFonts w:ascii="Arial" w:eastAsia="Calibri" w:hAnsi="Arial" w:cs="Arial"/>
          <w:b/>
          <w:color w:val="000000" w:themeColor="text1"/>
          <w:sz w:val="20"/>
          <w:szCs w:val="20"/>
          <w:lang w:val="es-ES_tradnl"/>
        </w:rPr>
      </w:pPr>
    </w:p>
    <w:p w14:paraId="04FCC0B7" w14:textId="162D64FC" w:rsidR="00F73D90" w:rsidRPr="006F1B1E" w:rsidRDefault="00D029B6" w:rsidP="00CC2733">
      <w:pPr>
        <w:jc w:val="both"/>
        <w:rPr>
          <w:rFonts w:ascii="Arial" w:eastAsia="Calibri" w:hAnsi="Arial" w:cs="Arial"/>
          <w:b/>
          <w:color w:val="000000" w:themeColor="text1"/>
          <w:sz w:val="22"/>
          <w:szCs w:val="22"/>
          <w:lang w:val="es-ES_tradnl"/>
        </w:rPr>
      </w:pPr>
      <w:r w:rsidRPr="006F1B1E">
        <w:rPr>
          <w:rFonts w:ascii="Arial" w:eastAsia="Calibri" w:hAnsi="Arial" w:cs="Arial"/>
          <w:b/>
          <w:color w:val="000000" w:themeColor="text1"/>
          <w:sz w:val="22"/>
          <w:szCs w:val="22"/>
          <w:lang w:val="es-ES_tradnl"/>
        </w:rPr>
        <w:t>MEDIOS ELECTRÓNICOS</w:t>
      </w:r>
      <w:r w:rsidR="00EB12C7">
        <w:rPr>
          <w:rFonts w:ascii="Arial" w:eastAsia="Calibri" w:hAnsi="Arial" w:cs="Arial"/>
          <w:b/>
          <w:color w:val="000000" w:themeColor="text1"/>
          <w:sz w:val="22"/>
          <w:szCs w:val="22"/>
          <w:lang w:val="es-ES_tradnl"/>
        </w:rPr>
        <w:t xml:space="preserve"> </w:t>
      </w:r>
      <w:bookmarkStart w:id="2" w:name="_Hlk39666823"/>
      <w:r w:rsidR="00EB12C7" w:rsidRPr="006C15D5">
        <w:rPr>
          <w:rFonts w:ascii="Arial" w:eastAsia="Calibri" w:hAnsi="Arial" w:cs="Arial"/>
          <w:b/>
          <w:color w:val="000000" w:themeColor="text1"/>
          <w:sz w:val="22"/>
        </w:rPr>
        <w:t>–</w:t>
      </w:r>
      <w:bookmarkEnd w:id="2"/>
      <w:r w:rsidR="00F73D90" w:rsidRPr="006F1B1E">
        <w:rPr>
          <w:rFonts w:ascii="Arial" w:eastAsia="Calibri" w:hAnsi="Arial" w:cs="Arial"/>
          <w:b/>
          <w:color w:val="000000" w:themeColor="text1"/>
          <w:sz w:val="22"/>
          <w:szCs w:val="22"/>
          <w:lang w:val="es-ES_tradnl"/>
        </w:rPr>
        <w:t xml:space="preserve"> </w:t>
      </w:r>
      <w:r w:rsidR="00AB7CB5" w:rsidRPr="006F1B1E">
        <w:rPr>
          <w:rFonts w:ascii="Arial" w:eastAsia="Calibri" w:hAnsi="Arial" w:cs="Arial"/>
          <w:b/>
          <w:color w:val="000000" w:themeColor="text1"/>
          <w:sz w:val="22"/>
          <w:szCs w:val="22"/>
          <w:lang w:val="es-ES_tradnl"/>
        </w:rPr>
        <w:t>Contratación estatal</w:t>
      </w:r>
      <w:r w:rsidR="00EB12C7">
        <w:rPr>
          <w:rFonts w:ascii="Arial" w:eastAsia="Calibri" w:hAnsi="Arial" w:cs="Arial"/>
          <w:b/>
          <w:color w:val="000000" w:themeColor="text1"/>
          <w:sz w:val="22"/>
          <w:szCs w:val="22"/>
          <w:lang w:val="es-ES_tradnl"/>
        </w:rPr>
        <w:t xml:space="preserve"> </w:t>
      </w:r>
      <w:r w:rsidR="00EB12C7" w:rsidRPr="006C15D5">
        <w:rPr>
          <w:rFonts w:ascii="Arial" w:eastAsia="Calibri" w:hAnsi="Arial" w:cs="Arial"/>
          <w:b/>
          <w:color w:val="000000" w:themeColor="text1"/>
          <w:sz w:val="22"/>
        </w:rPr>
        <w:t>–</w:t>
      </w:r>
      <w:r w:rsidR="005C5840" w:rsidRPr="006F1B1E">
        <w:rPr>
          <w:rFonts w:ascii="Arial" w:eastAsia="Calibri" w:hAnsi="Arial" w:cs="Arial"/>
          <w:b/>
          <w:color w:val="000000" w:themeColor="text1"/>
          <w:sz w:val="22"/>
          <w:szCs w:val="22"/>
          <w:lang w:val="es-ES_tradnl"/>
        </w:rPr>
        <w:t xml:space="preserve"> </w:t>
      </w:r>
      <w:r w:rsidR="00AB7CB5" w:rsidRPr="006F1B1E">
        <w:rPr>
          <w:rFonts w:ascii="Arial" w:eastAsia="Calibri" w:hAnsi="Arial" w:cs="Arial"/>
          <w:b/>
          <w:color w:val="000000" w:themeColor="text1"/>
          <w:sz w:val="22"/>
          <w:szCs w:val="22"/>
          <w:lang w:val="es-ES_tradnl"/>
        </w:rPr>
        <w:t>Régimen jurídico</w:t>
      </w:r>
    </w:p>
    <w:p w14:paraId="6F79EA25" w14:textId="77777777" w:rsidR="00F73D90" w:rsidRPr="006F1B1E" w:rsidRDefault="00F73D90" w:rsidP="00CC2733">
      <w:pPr>
        <w:jc w:val="both"/>
        <w:rPr>
          <w:rFonts w:ascii="Arial" w:eastAsia="Calibri" w:hAnsi="Arial" w:cs="Arial"/>
          <w:color w:val="000000" w:themeColor="text1"/>
          <w:sz w:val="20"/>
          <w:szCs w:val="20"/>
          <w:lang w:val="es-ES_tradnl"/>
        </w:rPr>
      </w:pPr>
    </w:p>
    <w:p w14:paraId="535F5A01" w14:textId="623B4C62" w:rsidR="009020C2" w:rsidRPr="006F1B1E" w:rsidRDefault="009020C2" w:rsidP="3F6AA5EA">
      <w:pPr>
        <w:jc w:val="both"/>
        <w:rPr>
          <w:rFonts w:ascii="Arial" w:eastAsia="Calibri" w:hAnsi="Arial" w:cs="Arial"/>
          <w:color w:val="000000" w:themeColor="text1"/>
          <w:sz w:val="20"/>
          <w:szCs w:val="20"/>
          <w:lang w:val="es-ES"/>
        </w:rPr>
      </w:pPr>
      <w:r w:rsidRPr="540242F6">
        <w:rPr>
          <w:rFonts w:ascii="Arial" w:eastAsia="Calibri" w:hAnsi="Arial" w:cs="Arial"/>
          <w:color w:val="000000" w:themeColor="text1"/>
          <w:sz w:val="20"/>
          <w:szCs w:val="20"/>
          <w:lang w:val="es-ES"/>
        </w:rPr>
        <w:t>[…]</w:t>
      </w:r>
      <w:r w:rsidR="00EB12C7">
        <w:rPr>
          <w:rFonts w:ascii="Arial" w:eastAsia="Calibri" w:hAnsi="Arial" w:cs="Arial"/>
          <w:color w:val="000000" w:themeColor="text1"/>
          <w:sz w:val="20"/>
          <w:szCs w:val="20"/>
          <w:lang w:val="es-ES"/>
        </w:rPr>
        <w:t xml:space="preserve"> </w:t>
      </w:r>
      <w:r w:rsidR="04D1C6D9" w:rsidRPr="540242F6">
        <w:rPr>
          <w:rFonts w:ascii="Arial" w:eastAsia="Calibri" w:hAnsi="Arial" w:cs="Arial"/>
          <w:color w:val="000000" w:themeColor="text1"/>
          <w:sz w:val="20"/>
          <w:szCs w:val="20"/>
          <w:lang w:val="es-ES"/>
        </w:rPr>
        <w:t>l</w:t>
      </w:r>
      <w:r w:rsidR="00036247" w:rsidRPr="540242F6">
        <w:rPr>
          <w:rFonts w:ascii="Arial" w:eastAsia="Calibri" w:hAnsi="Arial" w:cs="Arial"/>
          <w:color w:val="000000" w:themeColor="text1"/>
          <w:sz w:val="20"/>
          <w:szCs w:val="20"/>
          <w:lang w:val="es-ES"/>
        </w:rPr>
        <w:t xml:space="preserve">a Ley 527 de 1999 </w:t>
      </w:r>
      <w:r w:rsidRPr="540242F6">
        <w:rPr>
          <w:rFonts w:ascii="Arial" w:eastAsia="Calibri" w:hAnsi="Arial" w:cs="Arial"/>
          <w:color w:val="000000" w:themeColor="text1"/>
          <w:sz w:val="20"/>
          <w:szCs w:val="20"/>
          <w:lang w:val="es-ES"/>
        </w:rPr>
        <w:t>establece en el artículo 10º que, «En toda actuación administrativa o judicial, no se negará eficacia, validez o fuerza obligatoria y probatoria a todo tipo de información en forma de un mensaje de datos, por el sólo hecho que se trate de un mensaje de datos o en razón de no haber sido presentado en su forma original». De igual manera, define el «mensaje de datos» como «La información generada, enviada, recibida, almacenada o comunicada por medios electrónicos, ópticos o similares, como pudieran ser, entre otros, el Intercambio Electrónico de Datos (EDI), Internet, el correo electrónico, el tel</w:t>
      </w:r>
      <w:r w:rsidR="00970451" w:rsidRPr="540242F6">
        <w:rPr>
          <w:rFonts w:ascii="Arial" w:eastAsia="Calibri" w:hAnsi="Arial" w:cs="Arial"/>
          <w:color w:val="000000" w:themeColor="text1"/>
          <w:sz w:val="20"/>
          <w:szCs w:val="20"/>
          <w:lang w:val="es-ES"/>
        </w:rPr>
        <w:t xml:space="preserve">egrama, el télex o el telefax» </w:t>
      </w:r>
      <w:r w:rsidRPr="540242F6">
        <w:rPr>
          <w:rFonts w:ascii="Arial" w:eastAsia="Calibri" w:hAnsi="Arial" w:cs="Arial"/>
          <w:color w:val="000000" w:themeColor="text1"/>
          <w:sz w:val="20"/>
          <w:szCs w:val="20"/>
          <w:lang w:val="es-ES"/>
        </w:rPr>
        <w:t>y «sistema de información» como «todo sistema utilizado para generar, enviar, recibir, archivar o procesar de algun</w:t>
      </w:r>
      <w:r w:rsidR="00970451" w:rsidRPr="540242F6">
        <w:rPr>
          <w:rFonts w:ascii="Arial" w:eastAsia="Calibri" w:hAnsi="Arial" w:cs="Arial"/>
          <w:color w:val="000000" w:themeColor="text1"/>
          <w:sz w:val="20"/>
          <w:szCs w:val="20"/>
          <w:lang w:val="es-ES"/>
        </w:rPr>
        <w:t>a otra forma mensajes de datos»</w:t>
      </w:r>
      <w:r w:rsidRPr="540242F6">
        <w:rPr>
          <w:rFonts w:ascii="Arial" w:eastAsia="Calibri" w:hAnsi="Arial" w:cs="Arial"/>
          <w:color w:val="000000" w:themeColor="text1"/>
          <w:sz w:val="20"/>
          <w:szCs w:val="20"/>
          <w:lang w:val="es-ES"/>
        </w:rPr>
        <w:t xml:space="preserve">. Bajo este entendido, las aplicaciones web, que posibilitan el envío de mensajes de datos escritos o audiovisuales, como </w:t>
      </w:r>
      <w:r w:rsidRPr="540242F6">
        <w:rPr>
          <w:rFonts w:ascii="Arial" w:eastAsia="Calibri" w:hAnsi="Arial" w:cs="Arial"/>
          <w:i/>
          <w:iCs/>
          <w:color w:val="000000" w:themeColor="text1"/>
          <w:sz w:val="20"/>
          <w:szCs w:val="20"/>
          <w:lang w:val="es-ES"/>
        </w:rPr>
        <w:t>Skype</w:t>
      </w:r>
      <w:r w:rsidRPr="540242F6">
        <w:rPr>
          <w:rFonts w:ascii="Arial" w:eastAsia="Calibri" w:hAnsi="Arial" w:cs="Arial"/>
          <w:color w:val="000000" w:themeColor="text1"/>
          <w:sz w:val="20"/>
          <w:szCs w:val="20"/>
          <w:lang w:val="es-ES"/>
        </w:rPr>
        <w:t xml:space="preserve">, </w:t>
      </w:r>
      <w:r w:rsidRPr="540242F6">
        <w:rPr>
          <w:rFonts w:ascii="Arial" w:eastAsia="Calibri" w:hAnsi="Arial" w:cs="Arial"/>
          <w:i/>
          <w:iCs/>
          <w:color w:val="000000" w:themeColor="text1"/>
          <w:sz w:val="20"/>
          <w:szCs w:val="20"/>
          <w:lang w:val="es-ES"/>
        </w:rPr>
        <w:t>Facetime</w:t>
      </w:r>
      <w:r w:rsidRPr="540242F6">
        <w:rPr>
          <w:rFonts w:ascii="Arial" w:eastAsia="Calibri" w:hAnsi="Arial" w:cs="Arial"/>
          <w:color w:val="000000" w:themeColor="text1"/>
          <w:sz w:val="20"/>
          <w:szCs w:val="20"/>
          <w:lang w:val="es-ES"/>
        </w:rPr>
        <w:t xml:space="preserve">, </w:t>
      </w:r>
      <w:r w:rsidRPr="540242F6">
        <w:rPr>
          <w:rFonts w:ascii="Arial" w:eastAsia="Calibri" w:hAnsi="Arial" w:cs="Arial"/>
          <w:i/>
          <w:iCs/>
          <w:color w:val="000000" w:themeColor="text1"/>
          <w:sz w:val="20"/>
          <w:szCs w:val="20"/>
          <w:lang w:val="es-ES"/>
        </w:rPr>
        <w:t>Wha</w:t>
      </w:r>
      <w:r w:rsidR="00F275ED" w:rsidRPr="540242F6">
        <w:rPr>
          <w:rFonts w:ascii="Arial" w:eastAsia="Calibri" w:hAnsi="Arial" w:cs="Arial"/>
          <w:i/>
          <w:iCs/>
          <w:color w:val="000000" w:themeColor="text1"/>
          <w:sz w:val="20"/>
          <w:szCs w:val="20"/>
          <w:lang w:val="es-ES"/>
        </w:rPr>
        <w:t>t</w:t>
      </w:r>
      <w:r w:rsidRPr="540242F6">
        <w:rPr>
          <w:rFonts w:ascii="Arial" w:eastAsia="Calibri" w:hAnsi="Arial" w:cs="Arial"/>
          <w:i/>
          <w:iCs/>
          <w:color w:val="000000" w:themeColor="text1"/>
          <w:sz w:val="20"/>
          <w:szCs w:val="20"/>
          <w:lang w:val="es-ES"/>
        </w:rPr>
        <w:t>sapp</w:t>
      </w:r>
      <w:r w:rsidRPr="540242F6">
        <w:rPr>
          <w:rFonts w:ascii="Arial" w:eastAsia="Calibri" w:hAnsi="Arial" w:cs="Arial"/>
          <w:color w:val="000000" w:themeColor="text1"/>
          <w:sz w:val="20"/>
          <w:szCs w:val="20"/>
          <w:lang w:val="es-ES"/>
        </w:rPr>
        <w:t xml:space="preserve">, </w:t>
      </w:r>
      <w:r w:rsidRPr="540242F6">
        <w:rPr>
          <w:rFonts w:ascii="Arial" w:eastAsia="Calibri" w:hAnsi="Arial" w:cs="Arial"/>
          <w:i/>
          <w:iCs/>
          <w:color w:val="000000" w:themeColor="text1"/>
          <w:sz w:val="20"/>
          <w:szCs w:val="20"/>
          <w:lang w:val="es-ES"/>
        </w:rPr>
        <w:t>Teams</w:t>
      </w:r>
      <w:r w:rsidR="00970451" w:rsidRPr="540242F6">
        <w:rPr>
          <w:rFonts w:ascii="Arial" w:eastAsia="Calibri" w:hAnsi="Arial" w:cs="Arial"/>
          <w:color w:val="000000" w:themeColor="text1"/>
          <w:sz w:val="20"/>
          <w:szCs w:val="20"/>
          <w:lang w:val="es-ES"/>
        </w:rPr>
        <w:t xml:space="preserve">, </w:t>
      </w:r>
      <w:r w:rsidRPr="540242F6">
        <w:rPr>
          <w:rFonts w:ascii="Arial" w:eastAsia="Calibri" w:hAnsi="Arial" w:cs="Arial"/>
          <w:color w:val="000000" w:themeColor="text1"/>
          <w:sz w:val="20"/>
          <w:szCs w:val="20"/>
          <w:lang w:val="es-ES"/>
        </w:rPr>
        <w:t>entre otras, constituyen sistemas de información, permitidos por el legislador en las actuaciones administrativas.</w:t>
      </w:r>
    </w:p>
    <w:p w14:paraId="6BB47A5B" w14:textId="77777777" w:rsidR="006B7B3F" w:rsidRPr="006F1B1E" w:rsidRDefault="006B7B3F" w:rsidP="009020C2">
      <w:pPr>
        <w:jc w:val="both"/>
        <w:rPr>
          <w:rFonts w:ascii="Arial" w:eastAsia="Calibri" w:hAnsi="Arial" w:cs="Arial"/>
          <w:color w:val="000000" w:themeColor="text1"/>
          <w:sz w:val="20"/>
          <w:szCs w:val="20"/>
          <w:lang w:val="es-ES_tradnl"/>
        </w:rPr>
      </w:pPr>
    </w:p>
    <w:p w14:paraId="54B1D7A3" w14:textId="5AF20D58" w:rsidR="009020C2" w:rsidRPr="006F1B1E" w:rsidRDefault="009020C2" w:rsidP="009020C2">
      <w:pPr>
        <w:jc w:val="both"/>
        <w:rPr>
          <w:rFonts w:ascii="Arial" w:eastAsia="Calibri" w:hAnsi="Arial" w:cs="Arial"/>
          <w:color w:val="000000" w:themeColor="text1"/>
          <w:sz w:val="20"/>
          <w:szCs w:val="20"/>
          <w:lang w:val="es-ES_tradnl"/>
        </w:rPr>
      </w:pPr>
      <w:r w:rsidRPr="006F1B1E">
        <w:rPr>
          <w:rFonts w:ascii="Arial" w:eastAsia="Calibri" w:hAnsi="Arial" w:cs="Arial"/>
          <w:color w:val="000000" w:themeColor="text1"/>
          <w:sz w:val="20"/>
          <w:szCs w:val="20"/>
          <w:lang w:val="es-ES_tradnl"/>
        </w:rPr>
        <w:t>Adici</w:t>
      </w:r>
      <w:r w:rsidR="00CC5F0C" w:rsidRPr="006F1B1E">
        <w:rPr>
          <w:rFonts w:ascii="Arial" w:eastAsia="Calibri" w:hAnsi="Arial" w:cs="Arial"/>
          <w:color w:val="000000" w:themeColor="text1"/>
          <w:sz w:val="20"/>
          <w:szCs w:val="20"/>
          <w:lang w:val="es-ES_tradnl"/>
        </w:rPr>
        <w:t xml:space="preserve">onalmente, la Ley 1150 de 2007 </w:t>
      </w:r>
      <w:r w:rsidRPr="006F1B1E">
        <w:rPr>
          <w:rFonts w:ascii="Arial" w:eastAsia="Calibri" w:hAnsi="Arial" w:cs="Arial"/>
          <w:color w:val="000000" w:themeColor="text1"/>
          <w:sz w:val="20"/>
          <w:szCs w:val="20"/>
          <w:lang w:val="es-ES_tradnl"/>
        </w:rPr>
        <w:t xml:space="preserve">incorporó la posibilidad de utilizar dichos sistemas de información y en general los medios electrónicos en las actuaciones contractuales. Así se infiere del artículo 3, </w:t>
      </w:r>
      <w:r w:rsidR="006B7B3F" w:rsidRPr="006F1B1E">
        <w:rPr>
          <w:rFonts w:ascii="Arial" w:eastAsia="Calibri" w:hAnsi="Arial" w:cs="Arial"/>
          <w:color w:val="000000" w:themeColor="text1"/>
          <w:sz w:val="20"/>
          <w:szCs w:val="20"/>
          <w:lang w:val="es-ES_tradnl"/>
        </w:rPr>
        <w:t>[…].</w:t>
      </w:r>
    </w:p>
    <w:p w14:paraId="45AA6E44" w14:textId="77777777" w:rsidR="009020C2" w:rsidRPr="006F1B1E" w:rsidRDefault="009020C2" w:rsidP="009020C2">
      <w:pPr>
        <w:jc w:val="both"/>
        <w:rPr>
          <w:rFonts w:ascii="Arial" w:eastAsia="Calibri" w:hAnsi="Arial" w:cs="Arial"/>
          <w:color w:val="000000" w:themeColor="text1"/>
          <w:sz w:val="20"/>
          <w:szCs w:val="20"/>
          <w:lang w:val="es-ES_tradnl"/>
        </w:rPr>
      </w:pPr>
    </w:p>
    <w:p w14:paraId="36550FAE" w14:textId="77777777" w:rsidR="009020C2" w:rsidRPr="006F1B1E" w:rsidRDefault="009020C2" w:rsidP="009020C2">
      <w:pPr>
        <w:jc w:val="both"/>
        <w:rPr>
          <w:rFonts w:ascii="Arial" w:eastAsia="Calibri" w:hAnsi="Arial" w:cs="Arial"/>
          <w:color w:val="000000" w:themeColor="text1"/>
          <w:sz w:val="20"/>
          <w:szCs w:val="20"/>
          <w:lang w:val="es-ES_tradnl"/>
        </w:rPr>
      </w:pPr>
      <w:r w:rsidRPr="006F1B1E">
        <w:rPr>
          <w:rFonts w:ascii="Arial" w:eastAsia="Calibri" w:hAnsi="Arial" w:cs="Arial"/>
          <w:color w:val="000000" w:themeColor="text1"/>
          <w:sz w:val="20"/>
          <w:szCs w:val="20"/>
          <w:lang w:val="es-ES_tradnl"/>
        </w:rPr>
        <w:t>Como se observa, este enunciado normativo introduce en la contratación estatal la regulación contenida en la Ley 527 de 1999, permitiendo que el trámite de los procedimientos contractuales se realice por medios electrónicos; medios en los que cabe, como ya se indicó, el uso de sistemas de información para el envío de mensajes de datos.</w:t>
      </w:r>
    </w:p>
    <w:p w14:paraId="5ADBC4D2" w14:textId="77777777" w:rsidR="00135806" w:rsidRPr="006F1B1E" w:rsidRDefault="00135806" w:rsidP="009020C2">
      <w:pPr>
        <w:jc w:val="both"/>
        <w:rPr>
          <w:rFonts w:ascii="Arial" w:eastAsia="Calibri" w:hAnsi="Arial" w:cs="Arial"/>
          <w:color w:val="000000" w:themeColor="text1"/>
          <w:sz w:val="20"/>
          <w:szCs w:val="20"/>
          <w:lang w:val="es-ES_tradnl"/>
        </w:rPr>
      </w:pPr>
    </w:p>
    <w:p w14:paraId="0CF86816" w14:textId="7E3A935A" w:rsidR="00D851FB" w:rsidRPr="006F1B1E" w:rsidRDefault="002724A0" w:rsidP="00D851FB">
      <w:pPr>
        <w:jc w:val="both"/>
        <w:rPr>
          <w:rFonts w:ascii="Arial" w:eastAsia="Calibri" w:hAnsi="Arial" w:cs="Arial"/>
          <w:b/>
          <w:color w:val="000000" w:themeColor="text1"/>
          <w:sz w:val="22"/>
          <w:szCs w:val="22"/>
          <w:lang w:val="es-ES_tradnl"/>
        </w:rPr>
      </w:pPr>
      <w:r>
        <w:rPr>
          <w:rFonts w:ascii="Arial" w:eastAsia="Calibri" w:hAnsi="Arial" w:cs="Arial"/>
          <w:b/>
          <w:color w:val="000000" w:themeColor="text1"/>
          <w:sz w:val="22"/>
          <w:szCs w:val="22"/>
          <w:lang w:val="es-ES_tradnl"/>
        </w:rPr>
        <w:t>MEDIOS ELECTRÓNICOS</w:t>
      </w:r>
      <w:r w:rsidR="00EB12C7">
        <w:rPr>
          <w:rFonts w:ascii="Arial" w:eastAsia="Calibri" w:hAnsi="Arial" w:cs="Arial"/>
          <w:b/>
          <w:color w:val="000000" w:themeColor="text1"/>
          <w:sz w:val="22"/>
          <w:szCs w:val="22"/>
          <w:lang w:val="es-ES_tradnl"/>
        </w:rPr>
        <w:t xml:space="preserve"> </w:t>
      </w:r>
      <w:r w:rsidR="00EB12C7" w:rsidRPr="006C15D5">
        <w:rPr>
          <w:rFonts w:ascii="Arial" w:eastAsia="Calibri" w:hAnsi="Arial" w:cs="Arial"/>
          <w:b/>
          <w:color w:val="000000" w:themeColor="text1"/>
          <w:sz w:val="22"/>
        </w:rPr>
        <w:t>–</w:t>
      </w:r>
      <w:r w:rsidR="00D851FB" w:rsidRPr="006F1B1E">
        <w:rPr>
          <w:rFonts w:ascii="Arial" w:eastAsia="Calibri" w:hAnsi="Arial" w:cs="Arial"/>
          <w:b/>
          <w:color w:val="000000" w:themeColor="text1"/>
          <w:sz w:val="22"/>
          <w:szCs w:val="22"/>
          <w:lang w:val="es-ES_tradnl"/>
        </w:rPr>
        <w:t xml:space="preserve"> </w:t>
      </w:r>
      <w:r>
        <w:rPr>
          <w:rFonts w:ascii="Arial" w:eastAsia="Calibri" w:hAnsi="Arial" w:cs="Arial"/>
          <w:b/>
          <w:color w:val="000000" w:themeColor="text1"/>
          <w:sz w:val="22"/>
          <w:szCs w:val="22"/>
          <w:lang w:val="es-ES_tradnl"/>
        </w:rPr>
        <w:t>CPACA</w:t>
      </w:r>
      <w:r w:rsidR="00EB12C7">
        <w:rPr>
          <w:rFonts w:ascii="Arial" w:eastAsia="Calibri" w:hAnsi="Arial" w:cs="Arial"/>
          <w:b/>
          <w:color w:val="000000" w:themeColor="text1"/>
          <w:sz w:val="22"/>
          <w:szCs w:val="22"/>
          <w:lang w:val="es-ES_tradnl"/>
        </w:rPr>
        <w:t xml:space="preserve"> </w:t>
      </w:r>
      <w:r w:rsidR="00EB12C7" w:rsidRPr="006C15D5">
        <w:rPr>
          <w:rFonts w:ascii="Arial" w:eastAsia="Calibri" w:hAnsi="Arial" w:cs="Arial"/>
          <w:b/>
          <w:color w:val="000000" w:themeColor="text1"/>
          <w:sz w:val="22"/>
        </w:rPr>
        <w:t>–</w:t>
      </w:r>
      <w:r w:rsidR="00D851FB" w:rsidRPr="006F1B1E">
        <w:rPr>
          <w:rFonts w:ascii="Arial" w:eastAsia="Calibri" w:hAnsi="Arial" w:cs="Arial"/>
          <w:b/>
          <w:color w:val="000000" w:themeColor="text1"/>
          <w:sz w:val="22"/>
          <w:szCs w:val="22"/>
          <w:lang w:val="es-ES_tradnl"/>
        </w:rPr>
        <w:t xml:space="preserve"> </w:t>
      </w:r>
      <w:r>
        <w:rPr>
          <w:rFonts w:ascii="Arial" w:eastAsia="Calibri" w:hAnsi="Arial" w:cs="Arial"/>
          <w:b/>
          <w:color w:val="000000" w:themeColor="text1"/>
          <w:sz w:val="22"/>
          <w:szCs w:val="22"/>
          <w:lang w:val="es-ES_tradnl"/>
        </w:rPr>
        <w:t>Posibilidad</w:t>
      </w:r>
    </w:p>
    <w:p w14:paraId="30BDCF43" w14:textId="2833D8A9" w:rsidR="00D851FB" w:rsidRDefault="00D851FB" w:rsidP="00D851FB">
      <w:pPr>
        <w:jc w:val="both"/>
        <w:rPr>
          <w:rFonts w:ascii="Arial" w:eastAsia="Calibri" w:hAnsi="Arial" w:cs="Arial"/>
          <w:color w:val="000000" w:themeColor="text1"/>
          <w:sz w:val="20"/>
          <w:szCs w:val="20"/>
          <w:lang w:val="es-ES_tradnl"/>
        </w:rPr>
      </w:pPr>
    </w:p>
    <w:p w14:paraId="1F2E1EBC" w14:textId="6F1A131F" w:rsidR="002724A0" w:rsidRPr="002724A0" w:rsidRDefault="002724A0" w:rsidP="002724A0">
      <w:pPr>
        <w:jc w:val="both"/>
        <w:rPr>
          <w:rFonts w:ascii="Arial" w:eastAsia="Calibri" w:hAnsi="Arial" w:cs="Arial"/>
          <w:color w:val="000000" w:themeColor="text1"/>
          <w:sz w:val="20"/>
          <w:szCs w:val="20"/>
          <w:lang w:val="es-ES_tradnl"/>
        </w:rPr>
      </w:pPr>
      <w:r w:rsidRPr="002724A0">
        <w:rPr>
          <w:rFonts w:ascii="Arial" w:eastAsia="Calibri" w:hAnsi="Arial" w:cs="Arial"/>
          <w:color w:val="000000" w:themeColor="text1"/>
          <w:sz w:val="20"/>
          <w:szCs w:val="20"/>
          <w:lang w:val="es-ES_tradnl"/>
        </w:rPr>
        <w:t>La Ley 1437 de 2011 continúa la línea explicada, consistente en el reconocimiento de validez a las actuaciones realizadas en sede virtual, y dedica un capítulo completo a la utilización de medios electrónicos en el procedimiento administrativo. En efecto, el artículo 5º, numeral 1, consagra, como derecho de las personas ante las autoridades, el de presentar peticiones y adelantar o promover estas actuaciones «por cualquier medio tecnológico o electrónico disponible en la entidad, aún por fuera de las horas de atención al público»; derecho al que le es correlativo el deber en cabeza de las autoridades de «Tramitar las peticiones que lleguen vía fax o por medios electrónicos», previsto en el artículo 7º, numeral 6. Así mismo, el artículo 35 establece que «Los procedimientos administrativos se adelantarán por escrito, verbalmente, o por medios electrónicos de conformidad con lo dispuesto en este Código o la ley»; en tanto que los artículos 53 al 64 regulan: i) la posibilidad de adelantar las actuaciones administrativas por medios electrónicos, ii) el registro para el uso de medios electrónicos, iii) el documento público por medio electrónico, iv) la notificación electrónica, v) el acto administrativo electrónico, vi) el archivo electrónico de documentos, vii) el expediente electrónico, viii) la sede electrónica, ix) la recepción de documentos electrónicos por parte de las autoridades, x) la prueba de recepción en envío de mensajes de datos por la autoridad, xi) las sesiones virtuales y xii) los estándares y protocolos.</w:t>
      </w:r>
    </w:p>
    <w:p w14:paraId="202EA998" w14:textId="77777777" w:rsidR="00853950" w:rsidRDefault="00853950" w:rsidP="002724A0">
      <w:pPr>
        <w:jc w:val="both"/>
        <w:rPr>
          <w:rFonts w:ascii="Arial" w:eastAsia="Calibri" w:hAnsi="Arial" w:cs="Arial"/>
          <w:b/>
          <w:color w:val="000000" w:themeColor="text1"/>
          <w:sz w:val="22"/>
          <w:szCs w:val="22"/>
          <w:lang w:val="es-ES_tradnl"/>
        </w:rPr>
      </w:pPr>
    </w:p>
    <w:p w14:paraId="52F752B1" w14:textId="51D1D2BB" w:rsidR="002724A0" w:rsidRPr="006F1B1E" w:rsidRDefault="00853950" w:rsidP="002724A0">
      <w:pPr>
        <w:jc w:val="both"/>
        <w:rPr>
          <w:rFonts w:ascii="Arial" w:eastAsia="Calibri" w:hAnsi="Arial" w:cs="Arial"/>
          <w:b/>
          <w:color w:val="000000" w:themeColor="text1"/>
          <w:sz w:val="22"/>
          <w:szCs w:val="22"/>
          <w:lang w:val="es-ES_tradnl"/>
        </w:rPr>
      </w:pPr>
      <w:r>
        <w:rPr>
          <w:rFonts w:ascii="Arial" w:eastAsia="Calibri" w:hAnsi="Arial" w:cs="Arial"/>
          <w:b/>
          <w:color w:val="000000" w:themeColor="text1"/>
          <w:sz w:val="22"/>
          <w:szCs w:val="22"/>
          <w:lang w:val="es-ES_tradnl"/>
        </w:rPr>
        <w:t>EMERGENCIA SANITARIA</w:t>
      </w:r>
      <w:r w:rsidR="002724A0">
        <w:rPr>
          <w:rFonts w:ascii="Arial" w:eastAsia="Calibri" w:hAnsi="Arial" w:cs="Arial"/>
          <w:b/>
          <w:color w:val="000000" w:themeColor="text1"/>
          <w:sz w:val="22"/>
          <w:szCs w:val="22"/>
          <w:lang w:val="es-ES_tradnl"/>
        </w:rPr>
        <w:t xml:space="preserve"> </w:t>
      </w:r>
      <w:r w:rsidR="002724A0" w:rsidRPr="006C15D5">
        <w:rPr>
          <w:rFonts w:ascii="Arial" w:eastAsia="Calibri" w:hAnsi="Arial" w:cs="Arial"/>
          <w:b/>
          <w:color w:val="000000" w:themeColor="text1"/>
          <w:sz w:val="22"/>
        </w:rPr>
        <w:t>–</w:t>
      </w:r>
      <w:r w:rsidR="002724A0" w:rsidRPr="006F1B1E">
        <w:rPr>
          <w:rFonts w:ascii="Arial" w:eastAsia="Calibri" w:hAnsi="Arial" w:cs="Arial"/>
          <w:b/>
          <w:color w:val="000000" w:themeColor="text1"/>
          <w:sz w:val="22"/>
          <w:szCs w:val="22"/>
          <w:lang w:val="es-ES_tradnl"/>
        </w:rPr>
        <w:t xml:space="preserve"> </w:t>
      </w:r>
      <w:r>
        <w:rPr>
          <w:rFonts w:ascii="Arial" w:eastAsia="Calibri" w:hAnsi="Arial" w:cs="Arial"/>
          <w:b/>
          <w:color w:val="000000" w:themeColor="text1"/>
          <w:sz w:val="22"/>
          <w:szCs w:val="22"/>
          <w:lang w:val="es-ES_tradnl"/>
        </w:rPr>
        <w:t>Decreto 491</w:t>
      </w:r>
      <w:r w:rsidR="002724A0">
        <w:rPr>
          <w:rFonts w:ascii="Arial" w:eastAsia="Calibri" w:hAnsi="Arial" w:cs="Arial"/>
          <w:b/>
          <w:color w:val="000000" w:themeColor="text1"/>
          <w:sz w:val="22"/>
          <w:szCs w:val="22"/>
          <w:lang w:val="es-ES_tradnl"/>
        </w:rPr>
        <w:t xml:space="preserve"> </w:t>
      </w:r>
      <w:r w:rsidR="002724A0" w:rsidRPr="006C15D5">
        <w:rPr>
          <w:rFonts w:ascii="Arial" w:eastAsia="Calibri" w:hAnsi="Arial" w:cs="Arial"/>
          <w:b/>
          <w:color w:val="000000" w:themeColor="text1"/>
          <w:sz w:val="22"/>
        </w:rPr>
        <w:t>–</w:t>
      </w:r>
      <w:r w:rsidR="002724A0" w:rsidRPr="006F1B1E">
        <w:rPr>
          <w:rFonts w:ascii="Arial" w:eastAsia="Calibri" w:hAnsi="Arial" w:cs="Arial"/>
          <w:b/>
          <w:color w:val="000000" w:themeColor="text1"/>
          <w:sz w:val="22"/>
          <w:szCs w:val="22"/>
          <w:lang w:val="es-ES_tradnl"/>
        </w:rPr>
        <w:t xml:space="preserve"> </w:t>
      </w:r>
      <w:r>
        <w:rPr>
          <w:rFonts w:ascii="Arial" w:eastAsia="Calibri" w:hAnsi="Arial" w:cs="Arial"/>
          <w:b/>
          <w:color w:val="000000" w:themeColor="text1"/>
          <w:sz w:val="22"/>
          <w:szCs w:val="22"/>
          <w:lang w:val="es-ES_tradnl"/>
        </w:rPr>
        <w:t>Decreto 537</w:t>
      </w:r>
    </w:p>
    <w:p w14:paraId="46AC16E6" w14:textId="37B51228" w:rsidR="002724A0" w:rsidRDefault="002724A0" w:rsidP="00D851FB">
      <w:pPr>
        <w:jc w:val="both"/>
        <w:rPr>
          <w:rFonts w:ascii="Arial" w:eastAsia="Calibri" w:hAnsi="Arial" w:cs="Arial"/>
          <w:color w:val="000000" w:themeColor="text1"/>
          <w:sz w:val="20"/>
          <w:szCs w:val="20"/>
          <w:lang w:val="es-ES_tradnl"/>
        </w:rPr>
      </w:pPr>
    </w:p>
    <w:p w14:paraId="6A67DC32" w14:textId="77777777" w:rsidR="00842847" w:rsidRDefault="002724A0" w:rsidP="00814719">
      <w:pPr>
        <w:jc w:val="both"/>
        <w:rPr>
          <w:rFonts w:ascii="Arial" w:hAnsi="Arial" w:cs="Arial"/>
          <w:color w:val="000000" w:themeColor="text1"/>
          <w:sz w:val="20"/>
          <w:szCs w:val="20"/>
          <w:lang w:val="es-ES_tradnl"/>
        </w:rPr>
      </w:pPr>
      <w:r w:rsidRPr="00814719">
        <w:rPr>
          <w:rFonts w:ascii="Arial" w:hAnsi="Arial" w:cs="Arial"/>
          <w:color w:val="000000" w:themeColor="text1"/>
          <w:sz w:val="20"/>
          <w:szCs w:val="20"/>
          <w:lang w:val="es-ES_tradnl"/>
        </w:rPr>
        <w:t xml:space="preserve">Pero, sin lugar a dudas, dentro de las disposiciones normativas que se expidieron durante la pandemia ocasionada por el COVID-19, que incidieron en la contratación pública, las más importantes estuvieron contenidas en el Decreto 440 del 20 de marzo, cuyas medidas se mantuvieron idénticas en el Decreto 537 del 12 de abril de 2020. En tal sentido, en este se adoptaron </w:t>
      </w:r>
      <w:r w:rsidRPr="00814719">
        <w:rPr>
          <w:rFonts w:ascii="Arial" w:hAnsi="Arial" w:cs="Arial"/>
          <w:color w:val="000000" w:themeColor="text1"/>
          <w:sz w:val="20"/>
          <w:szCs w:val="20"/>
          <w:lang w:val="es-ES_tradnl"/>
        </w:rPr>
        <w:lastRenderedPageBreak/>
        <w:t>algunas medidas excepcionales para evitar el aumento de los contagios y permitir que se continuaran cumpliendo los fines del Estado social de derecho a través de la actividad contractual. Dentro de estas medidas estuvo la adopción de medios electrónicos para llevar a cabo las audiencias en los procedimientos de selección. De este modo, el artículo 1 de dicho Decreto estableció que las audiencias públicas dentro de los procedimientos de selección contractual se podían llevar a cabo por medios electrónicos.</w:t>
      </w:r>
    </w:p>
    <w:p w14:paraId="53EBA6DC" w14:textId="77777777" w:rsidR="00842847" w:rsidRDefault="00842847" w:rsidP="00814719">
      <w:pPr>
        <w:jc w:val="both"/>
        <w:rPr>
          <w:rFonts w:ascii="Arial" w:hAnsi="Arial" w:cs="Arial"/>
          <w:color w:val="000000" w:themeColor="text1"/>
          <w:sz w:val="20"/>
          <w:szCs w:val="20"/>
          <w:lang w:val="es-ES_tradnl"/>
        </w:rPr>
      </w:pPr>
    </w:p>
    <w:p w14:paraId="6FB90A7D" w14:textId="77777777" w:rsidR="00842847" w:rsidRDefault="00842847" w:rsidP="00814719">
      <w:pPr>
        <w:jc w:val="both"/>
        <w:rPr>
          <w:rFonts w:ascii="Arial" w:hAnsi="Arial" w:cs="Arial"/>
          <w:color w:val="000000" w:themeColor="text1"/>
          <w:sz w:val="20"/>
          <w:szCs w:val="20"/>
          <w:lang w:val="es-ES_tradnl"/>
        </w:rPr>
      </w:pPr>
      <w:r>
        <w:rPr>
          <w:rFonts w:ascii="Arial" w:hAnsi="Arial" w:cs="Arial"/>
          <w:color w:val="000000" w:themeColor="text1"/>
          <w:sz w:val="20"/>
          <w:szCs w:val="20"/>
          <w:lang w:val="es-ES_tradnl"/>
        </w:rPr>
        <w:t>[…]</w:t>
      </w:r>
    </w:p>
    <w:p w14:paraId="28D45F43" w14:textId="1C927F5A" w:rsidR="00842847" w:rsidRPr="00546B90" w:rsidRDefault="00842847" w:rsidP="00842847">
      <w:pPr>
        <w:jc w:val="both"/>
        <w:rPr>
          <w:rFonts w:ascii="Arial" w:hAnsi="Arial" w:cs="Arial"/>
          <w:color w:val="000000" w:themeColor="text1"/>
          <w:sz w:val="22"/>
          <w:lang w:val="es-ES_tradnl"/>
        </w:rPr>
      </w:pPr>
      <w:r>
        <w:rPr>
          <w:rFonts w:ascii="Arial" w:hAnsi="Arial" w:cs="Arial"/>
          <w:color w:val="000000" w:themeColor="text1"/>
          <w:sz w:val="22"/>
          <w:lang w:val="es-ES_tradnl"/>
        </w:rPr>
        <w:t xml:space="preserve">También es importante mencionar, dentro de las disposiciones normativas expedidas en el marco de la emergencia sanitaria, el artículo 4 del Decreto 491 de 2020, que ratificó la posibilidad –que, como se ha indicado, ya se encontraba vigente en el ordenamiento jurídico– de realizar la comunicación o notificación de los actos administrativos por medios electrónicos. Tanto esta norma, como las del Decreto 537 de 2020, quedaron sujetas a la condición de que permaneciera vigente la </w:t>
      </w:r>
      <w:r w:rsidRPr="0057797E">
        <w:rPr>
          <w:rFonts w:ascii="Arial" w:hAnsi="Arial" w:cs="Arial"/>
          <w:i/>
          <w:iCs/>
          <w:color w:val="000000" w:themeColor="text1"/>
          <w:sz w:val="22"/>
          <w:lang w:val="es-ES_tradnl"/>
        </w:rPr>
        <w:t>emergencia sanitaria</w:t>
      </w:r>
      <w:r>
        <w:rPr>
          <w:rFonts w:ascii="Arial" w:hAnsi="Arial" w:cs="Arial"/>
          <w:color w:val="000000" w:themeColor="text1"/>
          <w:sz w:val="22"/>
          <w:lang w:val="es-ES_tradnl"/>
        </w:rPr>
        <w:t xml:space="preserve">. </w:t>
      </w:r>
    </w:p>
    <w:p w14:paraId="753C52B2" w14:textId="77777777" w:rsidR="00853950" w:rsidRDefault="00853950" w:rsidP="00814719">
      <w:pPr>
        <w:jc w:val="both"/>
        <w:rPr>
          <w:rFonts w:ascii="Arial" w:hAnsi="Arial" w:cs="Arial"/>
          <w:color w:val="000000" w:themeColor="text1"/>
          <w:sz w:val="20"/>
          <w:szCs w:val="20"/>
          <w:lang w:val="es-ES_tradnl"/>
        </w:rPr>
      </w:pPr>
    </w:p>
    <w:p w14:paraId="263D6A48" w14:textId="5A8CB212" w:rsidR="00853950" w:rsidRPr="006F1B1E" w:rsidRDefault="00853950" w:rsidP="00853950">
      <w:pPr>
        <w:jc w:val="both"/>
        <w:rPr>
          <w:rFonts w:ascii="Arial" w:eastAsia="Calibri" w:hAnsi="Arial" w:cs="Arial"/>
          <w:b/>
          <w:color w:val="000000" w:themeColor="text1"/>
          <w:sz w:val="22"/>
          <w:szCs w:val="22"/>
          <w:lang w:val="es-ES_tradnl"/>
        </w:rPr>
      </w:pPr>
      <w:r>
        <w:rPr>
          <w:rFonts w:ascii="Arial" w:eastAsia="Calibri" w:hAnsi="Arial" w:cs="Arial"/>
          <w:b/>
          <w:color w:val="000000" w:themeColor="text1"/>
          <w:sz w:val="22"/>
          <w:szCs w:val="22"/>
          <w:lang w:val="es-ES_tradnl"/>
        </w:rPr>
        <w:t xml:space="preserve">FIRMAS </w:t>
      </w:r>
      <w:r w:rsidRPr="006C15D5">
        <w:rPr>
          <w:rFonts w:ascii="Arial" w:eastAsia="Calibri" w:hAnsi="Arial" w:cs="Arial"/>
          <w:b/>
          <w:color w:val="000000" w:themeColor="text1"/>
          <w:sz w:val="22"/>
        </w:rPr>
        <w:t>–</w:t>
      </w:r>
      <w:r w:rsidRPr="006F1B1E">
        <w:rPr>
          <w:rFonts w:ascii="Arial" w:eastAsia="Calibri" w:hAnsi="Arial" w:cs="Arial"/>
          <w:b/>
          <w:color w:val="000000" w:themeColor="text1"/>
          <w:sz w:val="22"/>
          <w:szCs w:val="22"/>
          <w:lang w:val="es-ES_tradnl"/>
        </w:rPr>
        <w:t xml:space="preserve"> </w:t>
      </w:r>
      <w:r>
        <w:rPr>
          <w:rFonts w:ascii="Arial" w:eastAsia="Calibri" w:hAnsi="Arial" w:cs="Arial"/>
          <w:b/>
          <w:color w:val="000000" w:themeColor="text1"/>
          <w:sz w:val="22"/>
          <w:szCs w:val="22"/>
          <w:lang w:val="es-ES_tradnl"/>
        </w:rPr>
        <w:t xml:space="preserve">Firma electrónica </w:t>
      </w:r>
      <w:r w:rsidRPr="006C15D5">
        <w:rPr>
          <w:rFonts w:ascii="Arial" w:eastAsia="Calibri" w:hAnsi="Arial" w:cs="Arial"/>
          <w:b/>
          <w:color w:val="000000" w:themeColor="text1"/>
          <w:sz w:val="22"/>
        </w:rPr>
        <w:t>–</w:t>
      </w:r>
      <w:r w:rsidRPr="006F1B1E">
        <w:rPr>
          <w:rFonts w:ascii="Arial" w:eastAsia="Calibri" w:hAnsi="Arial" w:cs="Arial"/>
          <w:b/>
          <w:color w:val="000000" w:themeColor="text1"/>
          <w:sz w:val="22"/>
          <w:szCs w:val="22"/>
          <w:lang w:val="es-ES_tradnl"/>
        </w:rPr>
        <w:t xml:space="preserve"> </w:t>
      </w:r>
      <w:r>
        <w:rPr>
          <w:rFonts w:ascii="Arial" w:eastAsia="Calibri" w:hAnsi="Arial" w:cs="Arial"/>
          <w:b/>
          <w:color w:val="000000" w:themeColor="text1"/>
          <w:sz w:val="22"/>
          <w:szCs w:val="22"/>
          <w:lang w:val="es-ES_tradnl"/>
        </w:rPr>
        <w:t xml:space="preserve">Firma digital </w:t>
      </w:r>
      <w:r w:rsidRPr="006C15D5">
        <w:rPr>
          <w:rFonts w:ascii="Arial" w:eastAsia="Calibri" w:hAnsi="Arial" w:cs="Arial"/>
          <w:b/>
          <w:color w:val="000000" w:themeColor="text1"/>
          <w:sz w:val="22"/>
        </w:rPr>
        <w:t>–</w:t>
      </w:r>
      <w:r>
        <w:rPr>
          <w:rFonts w:ascii="Arial" w:eastAsia="Calibri" w:hAnsi="Arial" w:cs="Arial"/>
          <w:b/>
          <w:color w:val="000000" w:themeColor="text1"/>
          <w:sz w:val="22"/>
        </w:rPr>
        <w:t xml:space="preserve"> Concepto</w:t>
      </w:r>
    </w:p>
    <w:p w14:paraId="149B7DA8" w14:textId="357E15AD" w:rsidR="002724A0" w:rsidRDefault="002724A0" w:rsidP="00814719">
      <w:pPr>
        <w:jc w:val="both"/>
        <w:rPr>
          <w:rFonts w:ascii="Arial" w:hAnsi="Arial" w:cs="Arial"/>
          <w:color w:val="000000" w:themeColor="text1"/>
          <w:sz w:val="20"/>
          <w:szCs w:val="20"/>
          <w:lang w:val="es-ES_tradnl"/>
        </w:rPr>
      </w:pPr>
    </w:p>
    <w:p w14:paraId="7B349031" w14:textId="4218EBAE" w:rsidR="00853950" w:rsidRPr="00853950" w:rsidRDefault="00853950" w:rsidP="00853950">
      <w:pPr>
        <w:jc w:val="both"/>
        <w:rPr>
          <w:rFonts w:ascii="Arial" w:eastAsia="Calibri" w:hAnsi="Arial" w:cs="Arial"/>
          <w:color w:val="000000" w:themeColor="text1"/>
          <w:sz w:val="20"/>
          <w:szCs w:val="20"/>
          <w:lang w:val="es-ES_tradnl"/>
        </w:rPr>
      </w:pPr>
      <w:r w:rsidRPr="00853950">
        <w:rPr>
          <w:rFonts w:ascii="Arial" w:eastAsia="Calibri" w:hAnsi="Arial" w:cs="Arial"/>
          <w:color w:val="000000" w:themeColor="text1"/>
          <w:sz w:val="20"/>
          <w:szCs w:val="20"/>
          <w:lang w:val="es-ES_tradnl"/>
        </w:rPr>
        <w:t xml:space="preserve">El artículo 836 del Código de Comercio define la firma como «la expresión del nombre del suscriptor o de alguno de los elementos que la integren o de un signo o símbolo empleado como medio de identificación personal», es decir, la forma por la cual se identifica a una persona ya sea con el nombre del suscriptor, un símbolo o signo.  Dentro del concepto general, la </w:t>
      </w:r>
      <w:r w:rsidRPr="00853950">
        <w:rPr>
          <w:rFonts w:ascii="Arial" w:eastAsia="Calibri" w:hAnsi="Arial" w:cs="Arial"/>
          <w:i/>
          <w:iCs/>
          <w:color w:val="000000" w:themeColor="text1"/>
          <w:sz w:val="20"/>
          <w:szCs w:val="20"/>
          <w:lang w:val="es-ES_tradnl"/>
        </w:rPr>
        <w:t>firma manuscrita</w:t>
      </w:r>
      <w:r w:rsidRPr="00853950">
        <w:rPr>
          <w:rFonts w:ascii="Arial" w:eastAsia="Calibri" w:hAnsi="Arial" w:cs="Arial"/>
          <w:color w:val="000000" w:themeColor="text1"/>
          <w:sz w:val="20"/>
          <w:szCs w:val="20"/>
          <w:lang w:val="es-ES_tradnl"/>
        </w:rPr>
        <w:t xml:space="preserve"> </w:t>
      </w:r>
      <w:r w:rsidRPr="00853950">
        <w:rPr>
          <w:rFonts w:ascii="Arial" w:eastAsia="Calibri" w:hAnsi="Arial" w:cs="Arial"/>
          <w:color w:val="000000" w:themeColor="text1"/>
          <w:sz w:val="20"/>
          <w:szCs w:val="20"/>
        </w:rPr>
        <w:t xml:space="preserve">es «[…] un rasgo o signo impuesto del puño y letra de una persona, con el cual, de forma general y reiterada, se compromete con el contenido de los documentos que la consignan, o da fe de que lo allí registrado obedece a la realidad». </w:t>
      </w:r>
    </w:p>
    <w:p w14:paraId="1E9B3E24" w14:textId="77777777" w:rsidR="00853950" w:rsidRDefault="00853950" w:rsidP="00853950">
      <w:pPr>
        <w:jc w:val="both"/>
        <w:rPr>
          <w:rFonts w:ascii="Arial" w:eastAsia="Calibri" w:hAnsi="Arial" w:cs="Arial"/>
          <w:color w:val="000000" w:themeColor="text1"/>
          <w:sz w:val="20"/>
          <w:szCs w:val="20"/>
        </w:rPr>
      </w:pPr>
    </w:p>
    <w:p w14:paraId="2A8C9B91" w14:textId="663F1F28" w:rsidR="00853950" w:rsidRPr="00853950" w:rsidRDefault="00853950" w:rsidP="00853950">
      <w:pPr>
        <w:jc w:val="both"/>
        <w:rPr>
          <w:rFonts w:ascii="Arial" w:eastAsia="Calibri" w:hAnsi="Arial" w:cs="Arial"/>
          <w:color w:val="000000" w:themeColor="text1"/>
          <w:sz w:val="20"/>
          <w:szCs w:val="20"/>
        </w:rPr>
      </w:pPr>
      <w:r w:rsidRPr="00853950">
        <w:rPr>
          <w:rFonts w:ascii="Arial" w:eastAsia="Calibri" w:hAnsi="Arial" w:cs="Arial"/>
          <w:color w:val="000000" w:themeColor="text1"/>
          <w:sz w:val="20"/>
          <w:szCs w:val="20"/>
        </w:rPr>
        <w:t xml:space="preserve">Por otra parte, frente a la </w:t>
      </w:r>
      <w:r w:rsidRPr="00853950">
        <w:rPr>
          <w:rFonts w:ascii="Arial" w:eastAsia="Calibri" w:hAnsi="Arial" w:cs="Arial"/>
          <w:i/>
          <w:iCs/>
          <w:color w:val="000000" w:themeColor="text1"/>
          <w:sz w:val="20"/>
          <w:szCs w:val="20"/>
        </w:rPr>
        <w:t>firma electrónica</w:t>
      </w:r>
      <w:r w:rsidRPr="00853950">
        <w:rPr>
          <w:rFonts w:ascii="Arial" w:eastAsia="Calibri" w:hAnsi="Arial" w:cs="Arial"/>
          <w:color w:val="000000" w:themeColor="text1"/>
          <w:sz w:val="20"/>
          <w:szCs w:val="20"/>
        </w:rPr>
        <w:t xml:space="preserve">, el artículo 1 del Decreto 2364 de 2012 la define como «aquella que se realiza a través de métodos tales como, códigos, contraseñas, datos biométricos, o claves criptográficas privadas, que permite identificar a una persona, en relación con un mensaje de datos, siempre y cuando el mismo sea confiable y apropiado respecto de los fines para los que se utiliza la firma, atendidas todas las circunstancias del caso, así como cualquier acuerdo pertinente». En este sentido, los atributos jurídicos que debe tener la firma electrónica son: i) identificar el firmante, ii) asegurar que el documento firmado es exactamente el mismo que el original y iii) asegurar que los datos que utiliza el firmante para realizar la firma son únicos y exclusivos. </w:t>
      </w:r>
    </w:p>
    <w:p w14:paraId="07531ABC" w14:textId="77777777" w:rsidR="00853950" w:rsidRDefault="00853950" w:rsidP="00853950">
      <w:pPr>
        <w:jc w:val="both"/>
        <w:rPr>
          <w:rFonts w:ascii="Arial" w:eastAsia="Calibri" w:hAnsi="Arial" w:cs="Arial"/>
          <w:color w:val="000000" w:themeColor="text1"/>
          <w:sz w:val="20"/>
          <w:szCs w:val="20"/>
        </w:rPr>
      </w:pPr>
    </w:p>
    <w:p w14:paraId="6F38D593" w14:textId="2D052985" w:rsidR="00853950" w:rsidRPr="00853950" w:rsidRDefault="00853950" w:rsidP="00853950">
      <w:pPr>
        <w:jc w:val="both"/>
        <w:rPr>
          <w:rFonts w:ascii="Arial" w:eastAsia="Calibri" w:hAnsi="Arial" w:cs="Arial"/>
          <w:color w:val="000000" w:themeColor="text1"/>
          <w:sz w:val="20"/>
          <w:szCs w:val="20"/>
        </w:rPr>
      </w:pPr>
      <w:r w:rsidRPr="00853950">
        <w:rPr>
          <w:rFonts w:ascii="Arial" w:eastAsia="Calibri" w:hAnsi="Arial" w:cs="Arial"/>
          <w:color w:val="000000" w:themeColor="text1"/>
          <w:sz w:val="20"/>
          <w:szCs w:val="20"/>
        </w:rPr>
        <w:t xml:space="preserve">Adicionalmente, el artículo 2 de la Ley 527 de 1999 define la </w:t>
      </w:r>
      <w:r w:rsidRPr="00853950">
        <w:rPr>
          <w:rFonts w:ascii="Arial" w:eastAsia="Calibri" w:hAnsi="Arial" w:cs="Arial"/>
          <w:i/>
          <w:iCs/>
          <w:color w:val="000000" w:themeColor="text1"/>
          <w:sz w:val="20"/>
          <w:szCs w:val="20"/>
        </w:rPr>
        <w:t>firma digital</w:t>
      </w:r>
      <w:r w:rsidRPr="00853950">
        <w:rPr>
          <w:rFonts w:ascii="Arial" w:eastAsia="Calibri" w:hAnsi="Arial" w:cs="Arial"/>
          <w:color w:val="000000" w:themeColor="text1"/>
          <w:sz w:val="20"/>
          <w:szCs w:val="20"/>
        </w:rPr>
        <w:t xml:space="preserve"> como un valor numérico que se adhiere a un mensaje de datos y que, utilizando un procedimiento matemático conocido, vinculado a la clave del iniciador y al texto del mensaje, permite determinar que este valor se ha obtenido exclusivamente con la clave del iniciador y que el mensaje inicial no ha sido modificado después de efectuada la transformación. Además, esta normativa prevé que podrán emitir certificados en relación con las firmas digitales las entidades de certificación. </w:t>
      </w:r>
    </w:p>
    <w:p w14:paraId="41126EE1" w14:textId="11D2B6A8" w:rsidR="00853950" w:rsidRDefault="00853950" w:rsidP="00814719">
      <w:pPr>
        <w:jc w:val="both"/>
        <w:rPr>
          <w:rFonts w:ascii="Arial" w:hAnsi="Arial" w:cs="Arial"/>
          <w:color w:val="000000" w:themeColor="text1"/>
          <w:sz w:val="20"/>
          <w:szCs w:val="20"/>
          <w:lang w:val="es-ES_tradnl"/>
        </w:rPr>
      </w:pPr>
    </w:p>
    <w:p w14:paraId="70DD484B" w14:textId="4762B7F5" w:rsidR="00853950" w:rsidRPr="006F1B1E" w:rsidRDefault="00497F85" w:rsidP="00853950">
      <w:pPr>
        <w:jc w:val="both"/>
        <w:rPr>
          <w:rFonts w:ascii="Arial" w:eastAsia="Calibri" w:hAnsi="Arial" w:cs="Arial"/>
          <w:b/>
          <w:color w:val="000000" w:themeColor="text1"/>
          <w:sz w:val="22"/>
          <w:szCs w:val="22"/>
          <w:lang w:val="es-ES_tradnl"/>
        </w:rPr>
      </w:pPr>
      <w:r>
        <w:rPr>
          <w:rFonts w:ascii="Arial" w:eastAsia="Calibri" w:hAnsi="Arial" w:cs="Arial"/>
          <w:b/>
          <w:color w:val="000000" w:themeColor="text1"/>
          <w:sz w:val="22"/>
          <w:szCs w:val="22"/>
          <w:lang w:val="es-ES_tradnl"/>
        </w:rPr>
        <w:t>EMERGENCIA SANITARIA</w:t>
      </w:r>
      <w:r w:rsidR="00853950">
        <w:rPr>
          <w:rFonts w:ascii="Arial" w:eastAsia="Calibri" w:hAnsi="Arial" w:cs="Arial"/>
          <w:b/>
          <w:color w:val="000000" w:themeColor="text1"/>
          <w:sz w:val="22"/>
          <w:szCs w:val="22"/>
          <w:lang w:val="es-ES_tradnl"/>
        </w:rPr>
        <w:t xml:space="preserve"> </w:t>
      </w:r>
      <w:r w:rsidR="00853950" w:rsidRPr="006C15D5">
        <w:rPr>
          <w:rFonts w:ascii="Arial" w:eastAsia="Calibri" w:hAnsi="Arial" w:cs="Arial"/>
          <w:b/>
          <w:color w:val="000000" w:themeColor="text1"/>
          <w:sz w:val="22"/>
        </w:rPr>
        <w:t>–</w:t>
      </w:r>
      <w:r w:rsidR="00853950" w:rsidRPr="006F1B1E">
        <w:rPr>
          <w:rFonts w:ascii="Arial" w:eastAsia="Calibri" w:hAnsi="Arial" w:cs="Arial"/>
          <w:b/>
          <w:color w:val="000000" w:themeColor="text1"/>
          <w:sz w:val="22"/>
          <w:szCs w:val="22"/>
          <w:lang w:val="es-ES_tradnl"/>
        </w:rPr>
        <w:t xml:space="preserve"> </w:t>
      </w:r>
      <w:r>
        <w:rPr>
          <w:rFonts w:ascii="Arial" w:eastAsia="Calibri" w:hAnsi="Arial" w:cs="Arial"/>
          <w:b/>
          <w:color w:val="000000" w:themeColor="text1"/>
          <w:sz w:val="22"/>
          <w:szCs w:val="22"/>
          <w:lang w:val="es-ES_tradnl"/>
        </w:rPr>
        <w:t>Pérdida de vigencia</w:t>
      </w:r>
      <w:r w:rsidR="00853950">
        <w:rPr>
          <w:rFonts w:ascii="Arial" w:eastAsia="Calibri" w:hAnsi="Arial" w:cs="Arial"/>
          <w:b/>
          <w:color w:val="000000" w:themeColor="text1"/>
          <w:sz w:val="22"/>
          <w:szCs w:val="22"/>
          <w:lang w:val="es-ES_tradnl"/>
        </w:rPr>
        <w:t xml:space="preserve"> </w:t>
      </w:r>
      <w:r w:rsidR="00853950" w:rsidRPr="006C15D5">
        <w:rPr>
          <w:rFonts w:ascii="Arial" w:eastAsia="Calibri" w:hAnsi="Arial" w:cs="Arial"/>
          <w:b/>
          <w:color w:val="000000" w:themeColor="text1"/>
          <w:sz w:val="22"/>
        </w:rPr>
        <w:t>–</w:t>
      </w:r>
      <w:r w:rsidR="00853950" w:rsidRPr="006F1B1E">
        <w:rPr>
          <w:rFonts w:ascii="Arial" w:eastAsia="Calibri" w:hAnsi="Arial" w:cs="Arial"/>
          <w:b/>
          <w:color w:val="000000" w:themeColor="text1"/>
          <w:sz w:val="22"/>
          <w:szCs w:val="22"/>
          <w:lang w:val="es-ES_tradnl"/>
        </w:rPr>
        <w:t xml:space="preserve"> </w:t>
      </w:r>
      <w:r>
        <w:rPr>
          <w:rFonts w:ascii="Arial" w:eastAsia="Calibri" w:hAnsi="Arial" w:cs="Arial"/>
          <w:b/>
          <w:color w:val="000000" w:themeColor="text1"/>
          <w:sz w:val="22"/>
          <w:szCs w:val="22"/>
          <w:lang w:val="es-ES_tradnl"/>
        </w:rPr>
        <w:t>Medios electrónicos</w:t>
      </w:r>
      <w:r w:rsidR="00853950">
        <w:rPr>
          <w:rFonts w:ascii="Arial" w:eastAsia="Calibri" w:hAnsi="Arial" w:cs="Arial"/>
          <w:b/>
          <w:color w:val="000000" w:themeColor="text1"/>
          <w:sz w:val="22"/>
          <w:szCs w:val="22"/>
          <w:lang w:val="es-ES_tradnl"/>
        </w:rPr>
        <w:t xml:space="preserve"> </w:t>
      </w:r>
      <w:r w:rsidR="00853950" w:rsidRPr="006C15D5">
        <w:rPr>
          <w:rFonts w:ascii="Arial" w:eastAsia="Calibri" w:hAnsi="Arial" w:cs="Arial"/>
          <w:b/>
          <w:color w:val="000000" w:themeColor="text1"/>
          <w:sz w:val="22"/>
        </w:rPr>
        <w:t>–</w:t>
      </w:r>
      <w:r w:rsidR="00853950">
        <w:rPr>
          <w:rFonts w:ascii="Arial" w:eastAsia="Calibri" w:hAnsi="Arial" w:cs="Arial"/>
          <w:b/>
          <w:color w:val="000000" w:themeColor="text1"/>
          <w:sz w:val="22"/>
        </w:rPr>
        <w:t xml:space="preserve"> </w:t>
      </w:r>
      <w:r w:rsidR="00B5297C">
        <w:rPr>
          <w:rFonts w:ascii="Arial" w:eastAsia="Calibri" w:hAnsi="Arial" w:cs="Arial"/>
          <w:b/>
          <w:color w:val="000000" w:themeColor="text1"/>
          <w:sz w:val="22"/>
        </w:rPr>
        <w:t xml:space="preserve">Viabilidad </w:t>
      </w:r>
      <w:r w:rsidR="00B5297C">
        <w:rPr>
          <w:rFonts w:ascii="Arial" w:eastAsia="Calibri" w:hAnsi="Arial" w:cs="Arial"/>
          <w:b/>
          <w:color w:val="000000" w:themeColor="text1"/>
          <w:sz w:val="22"/>
          <w:szCs w:val="22"/>
          <w:lang w:val="es-ES_tradnl"/>
        </w:rPr>
        <w:t>–</w:t>
      </w:r>
      <w:r>
        <w:rPr>
          <w:rFonts w:ascii="Arial" w:eastAsia="Calibri" w:hAnsi="Arial" w:cs="Arial"/>
          <w:b/>
          <w:color w:val="000000" w:themeColor="text1"/>
          <w:sz w:val="22"/>
        </w:rPr>
        <w:t xml:space="preserve"> Normativa</w:t>
      </w:r>
    </w:p>
    <w:p w14:paraId="5BB604A6" w14:textId="79CC9CC9" w:rsidR="00853950" w:rsidRDefault="00853950" w:rsidP="00814719">
      <w:pPr>
        <w:jc w:val="both"/>
        <w:rPr>
          <w:rFonts w:ascii="Arial" w:hAnsi="Arial" w:cs="Arial"/>
          <w:color w:val="000000" w:themeColor="text1"/>
          <w:sz w:val="20"/>
          <w:szCs w:val="20"/>
          <w:lang w:val="es-ES_tradnl"/>
        </w:rPr>
      </w:pPr>
    </w:p>
    <w:p w14:paraId="7197302C" w14:textId="77777777" w:rsidR="00FE6D8B" w:rsidRPr="00FE6D8B" w:rsidRDefault="00FE6D8B" w:rsidP="00FE6D8B">
      <w:pPr>
        <w:jc w:val="both"/>
        <w:rPr>
          <w:rFonts w:ascii="Arial" w:hAnsi="Arial" w:cs="Arial"/>
          <w:color w:val="000000" w:themeColor="text1"/>
          <w:sz w:val="20"/>
          <w:szCs w:val="20"/>
          <w:lang w:val="es-ES_tradnl"/>
        </w:rPr>
      </w:pPr>
      <w:r w:rsidRPr="00FE6D8B">
        <w:rPr>
          <w:rFonts w:ascii="Arial" w:hAnsi="Arial" w:cs="Arial"/>
          <w:color w:val="000000" w:themeColor="text1"/>
          <w:sz w:val="20"/>
          <w:szCs w:val="20"/>
          <w:lang w:val="es-ES_tradnl"/>
        </w:rPr>
        <w:t xml:space="preserve">En la consulta bajo análisis se indaga si, a pesar de haber perdido vigencia las normas expedidas en el contexto de la emergencia sanitaria, para permitir la realización de actuaciones por medios electrónicos –en especial, las previstas en los Decretos 491 y 537 de 2020–, estos pueden continuarse empleando. Concretamente, se pregunta i) si las entidades estatales están habilitadas para seguir realizando audiencias virtuales en los procedimientos de selección y en el procedimiento administrativo sancionatorio contractual, ii) si pueden continuar notificando los actos administrativos, </w:t>
      </w:r>
      <w:r w:rsidRPr="00FE6D8B">
        <w:rPr>
          <w:rFonts w:ascii="Arial" w:hAnsi="Arial" w:cs="Arial"/>
          <w:color w:val="000000" w:themeColor="text1"/>
          <w:sz w:val="20"/>
          <w:szCs w:val="20"/>
          <w:lang w:val="es-ES_tradnl"/>
        </w:rPr>
        <w:lastRenderedPageBreak/>
        <w:t>que no tengan una regla especial de notificación, a través de medios electrónicos, y iii) si les está permitido continuar suscribiendo los documentos mediante firma autógrafa y escanearlos, cuando no cuenten con firma digital.</w:t>
      </w:r>
    </w:p>
    <w:p w14:paraId="145C60EC" w14:textId="77777777" w:rsidR="00B5297C" w:rsidRDefault="00B5297C" w:rsidP="00FE6D8B">
      <w:pPr>
        <w:jc w:val="both"/>
        <w:rPr>
          <w:rFonts w:ascii="Arial" w:hAnsi="Arial" w:cs="Arial"/>
          <w:color w:val="000000" w:themeColor="text1"/>
          <w:sz w:val="20"/>
          <w:szCs w:val="20"/>
          <w:lang w:val="es-ES_tradnl"/>
        </w:rPr>
      </w:pPr>
    </w:p>
    <w:p w14:paraId="501FEA97" w14:textId="6407A546" w:rsidR="00FE6D8B" w:rsidRPr="00FE6D8B" w:rsidRDefault="00FE6D8B" w:rsidP="00FE6D8B">
      <w:pPr>
        <w:jc w:val="both"/>
        <w:rPr>
          <w:rFonts w:ascii="Arial" w:hAnsi="Arial" w:cs="Arial"/>
          <w:color w:val="000000" w:themeColor="text1"/>
          <w:sz w:val="20"/>
          <w:szCs w:val="20"/>
          <w:lang w:val="es-ES_tradnl"/>
        </w:rPr>
      </w:pPr>
      <w:r w:rsidRPr="00FE6D8B">
        <w:rPr>
          <w:rFonts w:ascii="Arial" w:hAnsi="Arial" w:cs="Arial"/>
          <w:color w:val="000000" w:themeColor="text1"/>
          <w:sz w:val="20"/>
          <w:szCs w:val="20"/>
          <w:lang w:val="es-ES_tradnl"/>
        </w:rPr>
        <w:t xml:space="preserve">En efecto, el 30 de junio de 2022 </w:t>
      </w:r>
      <w:r w:rsidRPr="00FE6D8B">
        <w:rPr>
          <w:rFonts w:ascii="Arial" w:hAnsi="Arial" w:cs="Arial"/>
          <w:i/>
          <w:iCs/>
          <w:color w:val="000000" w:themeColor="text1"/>
          <w:sz w:val="20"/>
          <w:szCs w:val="20"/>
          <w:lang w:val="es-ES_tradnl"/>
        </w:rPr>
        <w:t>finalizó el estado de emergencia sanitaria</w:t>
      </w:r>
      <w:r w:rsidRPr="00FE6D8B">
        <w:rPr>
          <w:rFonts w:ascii="Arial" w:hAnsi="Arial" w:cs="Arial"/>
          <w:color w:val="000000" w:themeColor="text1"/>
          <w:sz w:val="20"/>
          <w:szCs w:val="20"/>
          <w:lang w:val="es-ES_tradnl"/>
        </w:rPr>
        <w:t xml:space="preserve"> declarado por el Ministerio de Salud y Protección Social mediante la Resolución No. 385 del 12 de marzo de 2020, y que se mantuvo vigente, ininterrumpidamente, a través de las Resoluciones No. 844, 1462 y 2230 de 2020; 222, 738, 1315 y 1903 de 2021; 304 y 666 de 2022. Por su parte, varias disposiciones contenidas en los Decretos 491 y 537 de 2020 quedaron sujetas a la condición de que se mantuviera vigente el estado de emergencia sanitaria. Así sucedió, por ejemplo, con los artículos 1 y 11 del Decreto 491 de 2020, que permitieron, respectivamente, «hasta tanto permanezca vigente la emergencia sanitaria», la notificación o comunicación de los actos administrativos por medios electrónicos y la firma autógrafa mecánica, digitalizada o escaneada de los actos, providencias y decisiones. Así también quedó dispuesto en los artículos 1 y 2 del Decreto 537 de 2020, que habilitaron, respectivamente, a las entidades estatales, «durante la vigencia de la emergencia sanitaria», para realizar las audiencias públicas en los procedimientos de selección contractual y adelantar la audiencia del procedimiento administrativo sancionatorio previsto en el artículo 86 de la Ley 1474 de 2011, por medios electrónicos. </w:t>
      </w:r>
    </w:p>
    <w:p w14:paraId="0893DA82" w14:textId="77777777" w:rsidR="00B5297C" w:rsidRDefault="00B5297C" w:rsidP="00FE6D8B">
      <w:pPr>
        <w:jc w:val="both"/>
        <w:rPr>
          <w:rFonts w:ascii="Arial" w:hAnsi="Arial" w:cs="Arial"/>
          <w:color w:val="000000" w:themeColor="text1"/>
          <w:sz w:val="20"/>
          <w:szCs w:val="20"/>
          <w:lang w:val="es-ES_tradnl"/>
        </w:rPr>
      </w:pPr>
    </w:p>
    <w:p w14:paraId="73777E31" w14:textId="5E629FA8" w:rsidR="00FE6D8B" w:rsidRPr="00FE6D8B" w:rsidRDefault="00FE6D8B" w:rsidP="00FE6D8B">
      <w:pPr>
        <w:jc w:val="both"/>
        <w:rPr>
          <w:rFonts w:ascii="Arial" w:hAnsi="Arial" w:cs="Arial"/>
          <w:color w:val="000000" w:themeColor="text1"/>
          <w:sz w:val="20"/>
          <w:szCs w:val="20"/>
          <w:lang w:val="es-ES_tradnl"/>
        </w:rPr>
      </w:pPr>
      <w:r w:rsidRPr="00FE6D8B">
        <w:rPr>
          <w:rFonts w:ascii="Arial" w:hAnsi="Arial" w:cs="Arial"/>
          <w:color w:val="000000" w:themeColor="text1"/>
          <w:sz w:val="20"/>
          <w:szCs w:val="20"/>
          <w:lang w:val="es-ES_tradnl"/>
        </w:rPr>
        <w:t xml:space="preserve">Esta Agencia considera que no obstante la pérdida de vigencia de estas disposiciones normativas –debido al cese del estado de emergencia sanitaria ocurrido el 30 de junio de 2022–, las entidades estatales pueden, por regla general, continuar adelantando sus actuaciones administrativas a través de medios electrónicos, salvo norma expresa en contrario, es decir, salvo que exista un precepto que las obligue a realizar alguna actuación de manera presencial. Esto, por cuanto la desaparición de los efectos de las normas contenidas en los Decretos 491 y 537 de 2020 no hace que pierdan vigencia las normas a las que se hizo referencia en el numeral 2.1. de este concepto, que permiten el empleo de herramientas electrónicas en las actuaciones administrativas. En tal sentido, tanto las audiencias de los procedimientos de selección contractual, como las que deban surtirse durante la ejecución del contrato estatal –incluida la del procedimiento administrativo sancionatorio, regulada en el artículo 86 de la Ley 1474 de 2011–, pueden seguir realizándose de manera virtual. También los documentos, por regla general, pueden continuar suscribiéndose en forma manuscrita –o de manera electrónica o digital, según su disponibilidad– por parte de los servidores públicos, para ser, posteriormente, escaneados –con excepción de lo indicado respecto del SECOP II–. De igual modo, los actos administrativos pueden continuar notificándose de manera electrónica.   </w:t>
      </w:r>
    </w:p>
    <w:p w14:paraId="39A7B352" w14:textId="77777777" w:rsidR="00FE6D8B" w:rsidRPr="00814719" w:rsidRDefault="00FE6D8B" w:rsidP="00814719">
      <w:pPr>
        <w:jc w:val="both"/>
        <w:rPr>
          <w:rFonts w:ascii="Arial" w:hAnsi="Arial" w:cs="Arial"/>
          <w:color w:val="000000" w:themeColor="text1"/>
          <w:sz w:val="20"/>
          <w:szCs w:val="20"/>
          <w:lang w:val="es-ES_tradnl"/>
        </w:rPr>
      </w:pPr>
    </w:p>
    <w:p w14:paraId="388655EF" w14:textId="77777777" w:rsidR="002724A0" w:rsidRPr="006F1B1E" w:rsidRDefault="002724A0" w:rsidP="00D851FB">
      <w:pPr>
        <w:jc w:val="both"/>
        <w:rPr>
          <w:rFonts w:ascii="Arial" w:eastAsia="Calibri" w:hAnsi="Arial" w:cs="Arial"/>
          <w:color w:val="000000" w:themeColor="text1"/>
          <w:sz w:val="20"/>
          <w:szCs w:val="20"/>
          <w:lang w:val="es-ES_tradnl"/>
        </w:rPr>
      </w:pPr>
    </w:p>
    <w:p w14:paraId="6813C09E" w14:textId="76D0592E" w:rsidR="009B19DF" w:rsidRDefault="009B19DF" w:rsidP="00370996">
      <w:pPr>
        <w:jc w:val="both"/>
        <w:rPr>
          <w:rFonts w:ascii="Arial" w:eastAsia="Calibri" w:hAnsi="Arial" w:cs="Arial"/>
          <w:color w:val="000000" w:themeColor="text1"/>
          <w:sz w:val="20"/>
          <w:szCs w:val="20"/>
          <w:lang w:val="es-ES_tradnl"/>
        </w:rPr>
      </w:pPr>
    </w:p>
    <w:p w14:paraId="31FA271C" w14:textId="64BB1823" w:rsidR="00443FD2" w:rsidRDefault="00443FD2" w:rsidP="00370996">
      <w:pPr>
        <w:jc w:val="both"/>
        <w:rPr>
          <w:rFonts w:ascii="Arial" w:eastAsia="Calibri" w:hAnsi="Arial" w:cs="Arial"/>
          <w:color w:val="000000" w:themeColor="text1"/>
          <w:sz w:val="20"/>
          <w:szCs w:val="20"/>
          <w:lang w:val="es-ES_tradnl"/>
        </w:rPr>
      </w:pPr>
    </w:p>
    <w:p w14:paraId="7899F50A" w14:textId="455A8A47" w:rsidR="00443FD2" w:rsidRDefault="00443FD2" w:rsidP="00370996">
      <w:pPr>
        <w:jc w:val="both"/>
        <w:rPr>
          <w:rFonts w:ascii="Arial" w:eastAsia="Calibri" w:hAnsi="Arial" w:cs="Arial"/>
          <w:color w:val="000000" w:themeColor="text1"/>
          <w:sz w:val="20"/>
          <w:szCs w:val="20"/>
          <w:lang w:val="es-ES_tradnl"/>
        </w:rPr>
      </w:pPr>
    </w:p>
    <w:p w14:paraId="3D779332" w14:textId="2F56B0FE" w:rsidR="00443FD2" w:rsidRDefault="00443FD2" w:rsidP="00370996">
      <w:pPr>
        <w:jc w:val="both"/>
        <w:rPr>
          <w:rFonts w:ascii="Arial" w:eastAsia="Calibri" w:hAnsi="Arial" w:cs="Arial"/>
          <w:color w:val="000000" w:themeColor="text1"/>
          <w:sz w:val="20"/>
          <w:szCs w:val="20"/>
          <w:lang w:val="es-ES_tradnl"/>
        </w:rPr>
      </w:pPr>
    </w:p>
    <w:p w14:paraId="2BD0D338" w14:textId="0543E81C" w:rsidR="00443FD2" w:rsidRDefault="00443FD2" w:rsidP="00370996">
      <w:pPr>
        <w:jc w:val="both"/>
        <w:rPr>
          <w:rFonts w:ascii="Arial" w:eastAsia="Calibri" w:hAnsi="Arial" w:cs="Arial"/>
          <w:color w:val="000000" w:themeColor="text1"/>
          <w:sz w:val="20"/>
          <w:szCs w:val="20"/>
          <w:lang w:val="es-ES_tradnl"/>
        </w:rPr>
      </w:pPr>
    </w:p>
    <w:p w14:paraId="192C28B4" w14:textId="4E225383" w:rsidR="00443FD2" w:rsidRDefault="00443FD2" w:rsidP="00370996">
      <w:pPr>
        <w:jc w:val="both"/>
        <w:rPr>
          <w:rFonts w:ascii="Arial" w:eastAsia="Calibri" w:hAnsi="Arial" w:cs="Arial"/>
          <w:color w:val="000000" w:themeColor="text1"/>
          <w:sz w:val="20"/>
          <w:szCs w:val="20"/>
          <w:lang w:val="es-ES_tradnl"/>
        </w:rPr>
      </w:pPr>
    </w:p>
    <w:p w14:paraId="15EAA56E" w14:textId="65D92275" w:rsidR="00443FD2" w:rsidRDefault="00443FD2" w:rsidP="00370996">
      <w:pPr>
        <w:jc w:val="both"/>
        <w:rPr>
          <w:rFonts w:ascii="Arial" w:eastAsia="Calibri" w:hAnsi="Arial" w:cs="Arial"/>
          <w:color w:val="000000" w:themeColor="text1"/>
          <w:sz w:val="20"/>
          <w:szCs w:val="20"/>
          <w:lang w:val="es-ES_tradnl"/>
        </w:rPr>
      </w:pPr>
    </w:p>
    <w:p w14:paraId="560BD6DE" w14:textId="1F3EDFDD" w:rsidR="00443FD2" w:rsidRDefault="00443FD2" w:rsidP="00370996">
      <w:pPr>
        <w:jc w:val="both"/>
        <w:rPr>
          <w:rFonts w:ascii="Arial" w:eastAsia="Calibri" w:hAnsi="Arial" w:cs="Arial"/>
          <w:color w:val="000000" w:themeColor="text1"/>
          <w:sz w:val="20"/>
          <w:szCs w:val="20"/>
          <w:lang w:val="es-ES_tradnl"/>
        </w:rPr>
      </w:pPr>
    </w:p>
    <w:p w14:paraId="4A1ED343" w14:textId="1B9B911A" w:rsidR="00443FD2" w:rsidRDefault="00443FD2" w:rsidP="00370996">
      <w:pPr>
        <w:jc w:val="both"/>
        <w:rPr>
          <w:rFonts w:ascii="Arial" w:eastAsia="Calibri" w:hAnsi="Arial" w:cs="Arial"/>
          <w:color w:val="000000" w:themeColor="text1"/>
          <w:sz w:val="20"/>
          <w:szCs w:val="20"/>
          <w:lang w:val="es-ES_tradnl"/>
        </w:rPr>
      </w:pPr>
    </w:p>
    <w:p w14:paraId="3A1A4B2B" w14:textId="1DC2775B" w:rsidR="00443FD2" w:rsidRDefault="00443FD2" w:rsidP="00370996">
      <w:pPr>
        <w:jc w:val="both"/>
        <w:rPr>
          <w:rFonts w:ascii="Arial" w:eastAsia="Calibri" w:hAnsi="Arial" w:cs="Arial"/>
          <w:color w:val="000000" w:themeColor="text1"/>
          <w:sz w:val="20"/>
          <w:szCs w:val="20"/>
          <w:lang w:val="es-ES_tradnl"/>
        </w:rPr>
      </w:pPr>
    </w:p>
    <w:p w14:paraId="4869A384" w14:textId="17B2E768" w:rsidR="00443FD2" w:rsidRDefault="00443FD2" w:rsidP="00370996">
      <w:pPr>
        <w:jc w:val="both"/>
        <w:rPr>
          <w:rFonts w:ascii="Arial" w:eastAsia="Calibri" w:hAnsi="Arial" w:cs="Arial"/>
          <w:color w:val="000000" w:themeColor="text1"/>
          <w:sz w:val="20"/>
          <w:szCs w:val="20"/>
          <w:lang w:val="es-ES_tradnl"/>
        </w:rPr>
      </w:pPr>
    </w:p>
    <w:p w14:paraId="45643C33" w14:textId="31664BF1" w:rsidR="00443FD2" w:rsidRDefault="00443FD2" w:rsidP="00370996">
      <w:pPr>
        <w:jc w:val="both"/>
        <w:rPr>
          <w:rFonts w:ascii="Arial" w:eastAsia="Calibri" w:hAnsi="Arial" w:cs="Arial"/>
          <w:color w:val="000000" w:themeColor="text1"/>
          <w:sz w:val="20"/>
          <w:szCs w:val="20"/>
          <w:lang w:val="es-ES_tradnl"/>
        </w:rPr>
      </w:pPr>
    </w:p>
    <w:p w14:paraId="3C7C271B" w14:textId="01F50663" w:rsidR="00443FD2" w:rsidRDefault="00443FD2" w:rsidP="00370996">
      <w:pPr>
        <w:jc w:val="both"/>
        <w:rPr>
          <w:rFonts w:ascii="Arial" w:eastAsia="Calibri" w:hAnsi="Arial" w:cs="Arial"/>
          <w:color w:val="000000" w:themeColor="text1"/>
          <w:sz w:val="20"/>
          <w:szCs w:val="20"/>
          <w:lang w:val="es-ES_tradnl"/>
        </w:rPr>
      </w:pPr>
    </w:p>
    <w:p w14:paraId="3002B3B2" w14:textId="77777777" w:rsidR="00443FD2" w:rsidRPr="006F1B1E" w:rsidRDefault="00443FD2" w:rsidP="00370996">
      <w:pPr>
        <w:jc w:val="both"/>
        <w:rPr>
          <w:rFonts w:ascii="Arial" w:eastAsia="Calibri" w:hAnsi="Arial" w:cs="Arial"/>
          <w:color w:val="000000" w:themeColor="text1"/>
          <w:sz w:val="20"/>
          <w:szCs w:val="20"/>
          <w:lang w:val="es-ES_tradnl"/>
        </w:rPr>
      </w:pPr>
    </w:p>
    <w:p w14:paraId="6FEE35C2" w14:textId="77777777" w:rsidR="005620B0" w:rsidRPr="002B4B06" w:rsidRDefault="005620B0" w:rsidP="00AD0DAD">
      <w:pPr>
        <w:jc w:val="both"/>
        <w:rPr>
          <w:rFonts w:ascii="Arial" w:hAnsi="Arial" w:cs="Arial"/>
          <w:color w:val="000000" w:themeColor="text1"/>
          <w:sz w:val="20"/>
          <w:szCs w:val="20"/>
          <w:lang w:val="es-ES_tradnl"/>
        </w:rPr>
      </w:pPr>
    </w:p>
    <w:p w14:paraId="227F55AF" w14:textId="04D2E53C" w:rsidR="00755B29" w:rsidRPr="00EC5AE5" w:rsidRDefault="00755B29" w:rsidP="00755B29">
      <w:pPr>
        <w:spacing w:line="276" w:lineRule="auto"/>
        <w:jc w:val="both"/>
        <w:rPr>
          <w:rFonts w:ascii="Arial" w:hAnsi="Arial" w:cs="Arial"/>
          <w:b/>
          <w:color w:val="000000" w:themeColor="text1"/>
          <w:sz w:val="22"/>
          <w:lang w:val="es-ES_tradnl"/>
        </w:rPr>
      </w:pPr>
      <w:r w:rsidRPr="00EC5AE5">
        <w:rPr>
          <w:rFonts w:ascii="Arial" w:hAnsi="Arial" w:cs="Arial"/>
          <w:noProof/>
          <w:color w:val="000000" w:themeColor="text1"/>
          <w:sz w:val="22"/>
          <w:lang w:val="es-ES_tradnl"/>
        </w:rPr>
        <w:lastRenderedPageBreak/>
        <w:t xml:space="preserve">Bogotá D.C., </w:t>
      </w:r>
      <w:r w:rsidR="00410123">
        <w:rPr>
          <w:rFonts w:ascii="Arial" w:hAnsi="Arial" w:cs="Arial"/>
          <w:b/>
          <w:color w:val="000000" w:themeColor="text1"/>
          <w:sz w:val="22"/>
          <w:lang w:val="es-ES_tradnl"/>
        </w:rPr>
        <w:t>09/08/2022 16:48:45</w:t>
      </w:r>
    </w:p>
    <w:p w14:paraId="0A06D878" w14:textId="77777777" w:rsidR="00755B29" w:rsidRPr="00EC5AE5" w:rsidRDefault="00755B29" w:rsidP="00755B29">
      <w:pPr>
        <w:spacing w:line="276" w:lineRule="auto"/>
        <w:jc w:val="both"/>
        <w:rPr>
          <w:rFonts w:ascii="Arial" w:eastAsia="Calibri" w:hAnsi="Arial" w:cs="Arial"/>
          <w:noProof/>
          <w:color w:val="000000" w:themeColor="text1"/>
          <w:sz w:val="22"/>
          <w:szCs w:val="22"/>
          <w:lang w:val="es-ES_tradnl"/>
        </w:rPr>
      </w:pPr>
    </w:p>
    <w:p w14:paraId="7B64C2C4" w14:textId="2F74648B" w:rsidR="006F1B1E" w:rsidRDefault="00410123" w:rsidP="00410123">
      <w:pPr>
        <w:spacing w:line="276" w:lineRule="auto"/>
        <w:jc w:val="right"/>
        <w:rPr>
          <w:rFonts w:ascii="Arial" w:hAnsi="Arial" w:cs="Arial"/>
          <w:b/>
          <w:color w:val="000000" w:themeColor="text1"/>
          <w:sz w:val="22"/>
          <w:lang w:val="es-ES_tradnl"/>
        </w:rPr>
      </w:pPr>
      <w:r w:rsidRPr="00410123">
        <w:rPr>
          <w:rFonts w:ascii="Arial" w:hAnsi="Arial" w:cs="Arial"/>
          <w:b/>
          <w:noProof/>
          <w:color w:val="000000" w:themeColor="text1"/>
          <w:sz w:val="22"/>
          <w:lang w:val="es-ES_tradnl"/>
        </w:rPr>
        <w:drawing>
          <wp:inline distT="0" distB="0" distL="0" distR="0" wp14:anchorId="1F41EE8E" wp14:editId="3F69910E">
            <wp:extent cx="2501900" cy="71120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501900" cy="711200"/>
                    </a:xfrm>
                    <a:prstGeom prst="rect">
                      <a:avLst/>
                    </a:prstGeom>
                  </pic:spPr>
                </pic:pic>
              </a:graphicData>
            </a:graphic>
          </wp:inline>
        </w:drawing>
      </w:r>
    </w:p>
    <w:p w14:paraId="2B166DFC" w14:textId="5222A071" w:rsidR="00A37FB6" w:rsidRPr="006F1B1E" w:rsidRDefault="0027319E" w:rsidP="00DB7F8F">
      <w:pPr>
        <w:rPr>
          <w:rFonts w:ascii="Arial" w:eastAsia="Calibri" w:hAnsi="Arial" w:cs="Arial"/>
          <w:color w:val="000000" w:themeColor="text1"/>
          <w:sz w:val="22"/>
          <w:lang w:val="es-ES_tradnl"/>
        </w:rPr>
      </w:pPr>
      <w:r>
        <w:rPr>
          <w:rFonts w:ascii="Arial" w:eastAsia="Calibri" w:hAnsi="Arial" w:cs="Arial"/>
          <w:color w:val="000000" w:themeColor="text1"/>
          <w:sz w:val="22"/>
          <w:lang w:val="es-ES_tradnl"/>
        </w:rPr>
        <w:t>Doctor</w:t>
      </w:r>
    </w:p>
    <w:p w14:paraId="24FC396E" w14:textId="6808A715" w:rsidR="00ED137B" w:rsidRPr="006F1B1E" w:rsidRDefault="0027319E" w:rsidP="00DB7F8F">
      <w:pPr>
        <w:rPr>
          <w:rFonts w:ascii="Arial" w:eastAsia="Calibri" w:hAnsi="Arial" w:cs="Arial"/>
          <w:b/>
          <w:color w:val="000000" w:themeColor="text1"/>
          <w:sz w:val="22"/>
          <w:lang w:val="es-ES_tradnl"/>
        </w:rPr>
      </w:pPr>
      <w:r>
        <w:rPr>
          <w:rFonts w:ascii="Arial" w:eastAsia="Calibri" w:hAnsi="Arial" w:cs="Arial"/>
          <w:b/>
          <w:color w:val="000000" w:themeColor="text1"/>
          <w:sz w:val="22"/>
          <w:lang w:val="es-ES_tradnl"/>
        </w:rPr>
        <w:t>José Camilo Guzmán Santos</w:t>
      </w:r>
    </w:p>
    <w:p w14:paraId="514A7E9B" w14:textId="342E579B" w:rsidR="0027319E" w:rsidRDefault="0027319E" w:rsidP="00DB7F8F">
      <w:pPr>
        <w:rPr>
          <w:rFonts w:ascii="Arial" w:eastAsia="Calibri" w:hAnsi="Arial" w:cs="Arial"/>
          <w:color w:val="000000" w:themeColor="text1"/>
          <w:sz w:val="22"/>
          <w:lang w:val="es-ES_tradnl"/>
        </w:rPr>
      </w:pPr>
      <w:r>
        <w:rPr>
          <w:rFonts w:ascii="Arial" w:eastAsia="Calibri" w:hAnsi="Arial" w:cs="Arial"/>
          <w:color w:val="000000" w:themeColor="text1"/>
          <w:sz w:val="22"/>
          <w:lang w:val="es-ES_tradnl"/>
        </w:rPr>
        <w:t>Director</w:t>
      </w:r>
      <w:r w:rsidR="00BC5759">
        <w:rPr>
          <w:rFonts w:ascii="Arial" w:eastAsia="Calibri" w:hAnsi="Arial" w:cs="Arial"/>
          <w:color w:val="000000" w:themeColor="text1"/>
          <w:sz w:val="22"/>
          <w:lang w:val="es-ES_tradnl"/>
        </w:rPr>
        <w:t xml:space="preserve"> Unidad de Compras Públicas</w:t>
      </w:r>
    </w:p>
    <w:p w14:paraId="70E3A6FA" w14:textId="286B1C4A" w:rsidR="00BC5759" w:rsidRDefault="00BC5759" w:rsidP="00DB7F8F">
      <w:pPr>
        <w:rPr>
          <w:rFonts w:ascii="Arial" w:eastAsia="Calibri" w:hAnsi="Arial" w:cs="Arial"/>
          <w:color w:val="000000" w:themeColor="text1"/>
          <w:sz w:val="22"/>
          <w:lang w:val="es-ES_tradnl"/>
        </w:rPr>
      </w:pPr>
      <w:r>
        <w:rPr>
          <w:rFonts w:ascii="Arial" w:eastAsia="Calibri" w:hAnsi="Arial" w:cs="Arial"/>
          <w:color w:val="000000" w:themeColor="text1"/>
          <w:sz w:val="22"/>
          <w:lang w:val="es-ES_tradnl"/>
        </w:rPr>
        <w:t>Consejo Superior de la Judicatura</w:t>
      </w:r>
    </w:p>
    <w:p w14:paraId="30290139" w14:textId="2439F9BB" w:rsidR="00BC5759" w:rsidRDefault="00BC5759" w:rsidP="00DB7F8F">
      <w:pPr>
        <w:rPr>
          <w:rFonts w:ascii="Arial" w:eastAsia="Calibri" w:hAnsi="Arial" w:cs="Arial"/>
          <w:color w:val="000000" w:themeColor="text1"/>
          <w:sz w:val="22"/>
          <w:lang w:val="es-ES_tradnl"/>
        </w:rPr>
      </w:pPr>
      <w:r>
        <w:rPr>
          <w:rFonts w:ascii="Arial" w:eastAsia="Calibri" w:hAnsi="Arial" w:cs="Arial"/>
          <w:color w:val="000000" w:themeColor="text1"/>
          <w:sz w:val="22"/>
          <w:lang w:val="es-ES_tradnl"/>
        </w:rPr>
        <w:t>Bogotá, D.C.</w:t>
      </w:r>
    </w:p>
    <w:p w14:paraId="6A4CFDA1" w14:textId="5CA80DE1" w:rsidR="006F1B1E" w:rsidRDefault="006F1B1E" w:rsidP="00F23E3A">
      <w:pPr>
        <w:spacing w:line="276" w:lineRule="auto"/>
        <w:rPr>
          <w:rFonts w:ascii="Arial" w:eastAsia="Calibri" w:hAnsi="Arial" w:cs="Arial"/>
          <w:color w:val="000000" w:themeColor="text1"/>
          <w:sz w:val="22"/>
          <w:lang w:val="es-ES_tradnl"/>
        </w:rPr>
      </w:pPr>
    </w:p>
    <w:p w14:paraId="36295777" w14:textId="6B0D4B31" w:rsidR="006F1B1E" w:rsidRDefault="006F1B1E" w:rsidP="00F23E3A">
      <w:pPr>
        <w:spacing w:line="276" w:lineRule="auto"/>
        <w:rPr>
          <w:rFonts w:ascii="Arial" w:eastAsia="Calibri" w:hAnsi="Arial" w:cs="Arial"/>
          <w:color w:val="000000" w:themeColor="text1"/>
          <w:sz w:val="22"/>
          <w:lang w:val="es-ES_tradnl"/>
        </w:rPr>
      </w:pPr>
    </w:p>
    <w:p w14:paraId="780A8445" w14:textId="77777777" w:rsidR="006F1B1E" w:rsidRPr="006F1B1E" w:rsidRDefault="006F1B1E" w:rsidP="00F23E3A">
      <w:pPr>
        <w:spacing w:line="276" w:lineRule="auto"/>
        <w:rPr>
          <w:rFonts w:ascii="Arial" w:eastAsia="Calibri" w:hAnsi="Arial" w:cs="Arial"/>
          <w:color w:val="000000" w:themeColor="text1"/>
          <w:sz w:val="22"/>
          <w:lang w:val="es-ES_tradnl"/>
        </w:rPr>
      </w:pPr>
    </w:p>
    <w:p w14:paraId="479F6A3A" w14:textId="735DD11B" w:rsidR="00A37FB6" w:rsidRDefault="00A37FB6" w:rsidP="00F23E3A">
      <w:pPr>
        <w:spacing w:line="276" w:lineRule="auto"/>
        <w:jc w:val="center"/>
        <w:rPr>
          <w:rFonts w:ascii="Arial" w:eastAsia="Calibri" w:hAnsi="Arial" w:cs="Arial"/>
          <w:b/>
          <w:color w:val="000000" w:themeColor="text1"/>
          <w:sz w:val="22"/>
          <w:lang w:val="es-ES_tradnl"/>
        </w:rPr>
      </w:pPr>
      <w:r w:rsidRPr="006F1B1E">
        <w:rPr>
          <w:rFonts w:ascii="Arial" w:eastAsia="Calibri" w:hAnsi="Arial" w:cs="Arial"/>
          <w:b/>
          <w:color w:val="000000" w:themeColor="text1"/>
          <w:sz w:val="22"/>
          <w:lang w:val="es-ES_tradnl"/>
        </w:rPr>
        <w:t xml:space="preserve">Concepto C ─ </w:t>
      </w:r>
      <w:r w:rsidR="001B21CC">
        <w:rPr>
          <w:rFonts w:ascii="Arial" w:eastAsia="Calibri" w:hAnsi="Arial" w:cs="Arial"/>
          <w:b/>
          <w:color w:val="000000" w:themeColor="text1"/>
          <w:sz w:val="22"/>
          <w:lang w:val="es-ES_tradnl"/>
        </w:rPr>
        <w:t>521</w:t>
      </w:r>
      <w:r w:rsidRPr="006F1B1E">
        <w:rPr>
          <w:rFonts w:ascii="Arial" w:eastAsia="Calibri" w:hAnsi="Arial" w:cs="Arial"/>
          <w:b/>
          <w:color w:val="000000" w:themeColor="text1"/>
          <w:sz w:val="22"/>
          <w:lang w:val="es-ES_tradnl"/>
        </w:rPr>
        <w:t xml:space="preserve"> de 202</w:t>
      </w:r>
      <w:r w:rsidR="00A560E3">
        <w:rPr>
          <w:rFonts w:ascii="Arial" w:eastAsia="Calibri" w:hAnsi="Arial" w:cs="Arial"/>
          <w:b/>
          <w:color w:val="000000" w:themeColor="text1"/>
          <w:sz w:val="22"/>
          <w:lang w:val="es-ES_tradnl"/>
        </w:rPr>
        <w:t>2</w:t>
      </w:r>
    </w:p>
    <w:p w14:paraId="659F50F0" w14:textId="77777777" w:rsidR="006F1B1E" w:rsidRDefault="006F1B1E" w:rsidP="00F23E3A">
      <w:pPr>
        <w:spacing w:line="276" w:lineRule="auto"/>
        <w:jc w:val="center"/>
        <w:rPr>
          <w:rFonts w:ascii="Arial" w:eastAsia="Calibri" w:hAnsi="Arial" w:cs="Arial"/>
          <w:b/>
          <w:color w:val="000000" w:themeColor="text1"/>
          <w:sz w:val="22"/>
          <w:lang w:val="es-ES_tradnl"/>
        </w:rPr>
      </w:pPr>
    </w:p>
    <w:p w14:paraId="49BB1EAB" w14:textId="77777777" w:rsidR="00A37FB6" w:rsidRPr="006F1B1E" w:rsidRDefault="00A37FB6" w:rsidP="00F23E3A">
      <w:pPr>
        <w:spacing w:line="276" w:lineRule="auto"/>
        <w:rPr>
          <w:rFonts w:ascii="Arial" w:eastAsia="Calibri" w:hAnsi="Arial" w:cs="Arial"/>
          <w:color w:val="000000" w:themeColor="text1"/>
          <w:sz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6F1B1E" w:rsidRPr="006F1B1E" w14:paraId="20C2FA60" w14:textId="77777777" w:rsidTr="00B70EE5">
        <w:trPr>
          <w:trHeight w:val="1173"/>
        </w:trPr>
        <w:tc>
          <w:tcPr>
            <w:tcW w:w="2689" w:type="dxa"/>
            <w:hideMark/>
          </w:tcPr>
          <w:p w14:paraId="2A9459AB" w14:textId="77777777" w:rsidR="00A37FB6" w:rsidRPr="006F1B1E" w:rsidRDefault="00A37FB6" w:rsidP="00F23E3A">
            <w:pPr>
              <w:spacing w:line="276" w:lineRule="auto"/>
              <w:rPr>
                <w:rFonts w:ascii="Arial" w:eastAsia="Calibri" w:hAnsi="Arial" w:cs="Arial"/>
                <w:color w:val="000000" w:themeColor="text1"/>
                <w:sz w:val="22"/>
                <w:lang w:val="es-ES_tradnl"/>
              </w:rPr>
            </w:pPr>
            <w:r w:rsidRPr="006F1B1E">
              <w:rPr>
                <w:rFonts w:ascii="Arial" w:eastAsia="Calibri" w:hAnsi="Arial" w:cs="Arial"/>
                <w:b/>
                <w:color w:val="000000" w:themeColor="text1"/>
                <w:sz w:val="22"/>
                <w:lang w:val="es-ES_tradnl"/>
              </w:rPr>
              <w:t>Temas:</w:t>
            </w:r>
            <w:r w:rsidRPr="006F1B1E">
              <w:rPr>
                <w:rFonts w:ascii="Arial" w:eastAsia="Calibri" w:hAnsi="Arial" w:cs="Arial"/>
                <w:color w:val="000000" w:themeColor="text1"/>
                <w:sz w:val="22"/>
                <w:lang w:val="es-ES_tradnl"/>
              </w:rPr>
              <w:t xml:space="preserve">           </w:t>
            </w:r>
          </w:p>
          <w:p w14:paraId="1840BCE8" w14:textId="77777777" w:rsidR="00A37FB6" w:rsidRPr="006F1B1E" w:rsidRDefault="00A37FB6" w:rsidP="00F23E3A">
            <w:pPr>
              <w:spacing w:line="276" w:lineRule="auto"/>
              <w:rPr>
                <w:rFonts w:ascii="Arial" w:eastAsia="Calibri" w:hAnsi="Arial" w:cs="Arial"/>
                <w:color w:val="000000" w:themeColor="text1"/>
                <w:sz w:val="22"/>
                <w:lang w:val="es-ES_tradnl"/>
              </w:rPr>
            </w:pPr>
            <w:r w:rsidRPr="006F1B1E">
              <w:rPr>
                <w:rFonts w:ascii="Arial" w:eastAsia="Calibri" w:hAnsi="Arial" w:cs="Arial"/>
                <w:color w:val="000000" w:themeColor="text1"/>
                <w:sz w:val="22"/>
                <w:lang w:val="es-ES_tradnl"/>
              </w:rPr>
              <w:t xml:space="preserve">                           </w:t>
            </w:r>
          </w:p>
        </w:tc>
        <w:tc>
          <w:tcPr>
            <w:tcW w:w="6237" w:type="dxa"/>
            <w:hideMark/>
          </w:tcPr>
          <w:p w14:paraId="0A1C32AA" w14:textId="77777777" w:rsidR="00443FD2" w:rsidRDefault="00E2457C" w:rsidP="00675623">
            <w:pPr>
              <w:jc w:val="both"/>
              <w:rPr>
                <w:rFonts w:ascii="Arial" w:eastAsia="Calibri" w:hAnsi="Arial" w:cs="Arial"/>
                <w:color w:val="000000" w:themeColor="text1"/>
                <w:sz w:val="22"/>
                <w:lang w:val="es-ES_tradnl"/>
              </w:rPr>
            </w:pPr>
            <w:r w:rsidRPr="006F1B1E">
              <w:rPr>
                <w:rFonts w:ascii="Arial" w:eastAsia="Calibri" w:hAnsi="Arial" w:cs="Arial"/>
                <w:color w:val="000000" w:themeColor="text1"/>
                <w:sz w:val="22"/>
                <w:lang w:val="es-ES_tradnl"/>
              </w:rPr>
              <w:t>MEDIOS ELECTRÓNICOS ― Contratación estatal ― Régimen jurídico /</w:t>
            </w:r>
            <w:r w:rsidR="00816517">
              <w:rPr>
                <w:rFonts w:ascii="Arial" w:eastAsia="Calibri" w:hAnsi="Arial" w:cs="Arial"/>
                <w:color w:val="000000" w:themeColor="text1"/>
                <w:sz w:val="22"/>
                <w:lang w:val="es-ES_tradnl"/>
              </w:rPr>
              <w:t xml:space="preserve"> </w:t>
            </w:r>
            <w:r w:rsidR="00816517" w:rsidRPr="00816517">
              <w:rPr>
                <w:rFonts w:ascii="Arial" w:eastAsia="Calibri" w:hAnsi="Arial" w:cs="Arial"/>
                <w:color w:val="000000" w:themeColor="text1"/>
                <w:sz w:val="22"/>
                <w:lang w:val="es-ES_tradnl"/>
              </w:rPr>
              <w:t>MEDIOS ELECTRÓNICOS – CPACA – Posibilida</w:t>
            </w:r>
            <w:r w:rsidR="00816517">
              <w:rPr>
                <w:rFonts w:ascii="Arial" w:eastAsia="Calibri" w:hAnsi="Arial" w:cs="Arial"/>
                <w:color w:val="000000" w:themeColor="text1"/>
                <w:sz w:val="22"/>
                <w:lang w:val="es-ES_tradnl"/>
              </w:rPr>
              <w:t xml:space="preserve">d / </w:t>
            </w:r>
            <w:r w:rsidR="00816517" w:rsidRPr="00816517">
              <w:rPr>
                <w:rFonts w:ascii="Arial" w:eastAsia="Calibri" w:hAnsi="Arial" w:cs="Arial"/>
                <w:color w:val="000000" w:themeColor="text1"/>
                <w:sz w:val="22"/>
                <w:lang w:val="es-ES_tradnl"/>
              </w:rPr>
              <w:t>EMERGENCIA SANITARIA – Decreto 491 – Decreto 537</w:t>
            </w:r>
            <w:r w:rsidR="00816517">
              <w:rPr>
                <w:rFonts w:ascii="Arial" w:eastAsia="Calibri" w:hAnsi="Arial" w:cs="Arial"/>
                <w:color w:val="000000" w:themeColor="text1"/>
                <w:sz w:val="22"/>
                <w:lang w:val="es-ES_tradnl"/>
              </w:rPr>
              <w:t xml:space="preserve"> / </w:t>
            </w:r>
            <w:r w:rsidR="00816517" w:rsidRPr="00816517">
              <w:rPr>
                <w:rFonts w:ascii="Arial" w:eastAsia="Calibri" w:hAnsi="Arial" w:cs="Arial"/>
                <w:color w:val="000000" w:themeColor="text1"/>
                <w:sz w:val="22"/>
                <w:lang w:val="es-ES_tradnl"/>
              </w:rPr>
              <w:t>FIRMAS – Firma electrónica – Firma digital – Concepto</w:t>
            </w:r>
            <w:r w:rsidR="00816517">
              <w:rPr>
                <w:rFonts w:ascii="Arial" w:eastAsia="Calibri" w:hAnsi="Arial" w:cs="Arial"/>
                <w:color w:val="000000" w:themeColor="text1"/>
                <w:sz w:val="22"/>
                <w:lang w:val="es-ES_tradnl"/>
              </w:rPr>
              <w:t xml:space="preserve"> / </w:t>
            </w:r>
            <w:r w:rsidR="00816517" w:rsidRPr="00816517">
              <w:rPr>
                <w:rFonts w:ascii="Arial" w:eastAsia="Calibri" w:hAnsi="Arial" w:cs="Arial"/>
                <w:color w:val="000000" w:themeColor="text1"/>
                <w:sz w:val="22"/>
                <w:lang w:val="es-ES_tradnl"/>
              </w:rPr>
              <w:t>EMERGENCIA SANITARIA – Pérdida de vigencia – Medios electrónicos – Viabilidad – Normativa</w:t>
            </w:r>
            <w:r w:rsidR="00443FD2">
              <w:rPr>
                <w:rFonts w:ascii="Arial" w:eastAsia="Calibri" w:hAnsi="Arial" w:cs="Arial"/>
                <w:color w:val="000000" w:themeColor="text1"/>
                <w:sz w:val="22"/>
                <w:lang w:val="es-ES_tradnl"/>
              </w:rPr>
              <w:t>.</w:t>
            </w:r>
          </w:p>
          <w:p w14:paraId="069BC436" w14:textId="3B0D5900" w:rsidR="00A37FB6" w:rsidRPr="006F1B1E" w:rsidRDefault="00E2457C" w:rsidP="00675623">
            <w:pPr>
              <w:jc w:val="both"/>
              <w:rPr>
                <w:rFonts w:ascii="Arial" w:eastAsia="Calibri" w:hAnsi="Arial" w:cs="Arial"/>
                <w:color w:val="000000" w:themeColor="text1"/>
                <w:sz w:val="22"/>
                <w:lang w:val="es-ES_tradnl"/>
              </w:rPr>
            </w:pPr>
            <w:r w:rsidRPr="006F1B1E">
              <w:rPr>
                <w:rFonts w:ascii="Arial" w:eastAsia="Calibri" w:hAnsi="Arial" w:cs="Arial"/>
                <w:color w:val="000000" w:themeColor="text1"/>
                <w:sz w:val="22"/>
                <w:lang w:val="es-ES_tradnl"/>
              </w:rPr>
              <w:t xml:space="preserve"> </w:t>
            </w:r>
          </w:p>
        </w:tc>
      </w:tr>
      <w:tr w:rsidR="000F119B" w:rsidRPr="006F1B1E" w14:paraId="62473A71" w14:textId="77777777" w:rsidTr="00F84D74">
        <w:tc>
          <w:tcPr>
            <w:tcW w:w="2689" w:type="dxa"/>
          </w:tcPr>
          <w:p w14:paraId="730BF589" w14:textId="77777777" w:rsidR="00A37FB6" w:rsidRPr="006F1B1E" w:rsidRDefault="00A37FB6" w:rsidP="00F23E3A">
            <w:pPr>
              <w:spacing w:line="276" w:lineRule="auto"/>
              <w:rPr>
                <w:rFonts w:ascii="Arial" w:eastAsia="Calibri" w:hAnsi="Arial" w:cs="Arial"/>
                <w:b/>
                <w:color w:val="000000" w:themeColor="text1"/>
                <w:sz w:val="22"/>
                <w:lang w:val="es-ES_tradnl"/>
              </w:rPr>
            </w:pPr>
            <w:r w:rsidRPr="006F1B1E">
              <w:rPr>
                <w:rFonts w:ascii="Arial" w:eastAsia="Calibri" w:hAnsi="Arial" w:cs="Arial"/>
                <w:b/>
                <w:color w:val="000000" w:themeColor="text1"/>
                <w:sz w:val="22"/>
                <w:lang w:val="es-ES_tradnl"/>
              </w:rPr>
              <w:t>Radicación:</w:t>
            </w:r>
            <w:r w:rsidRPr="006F1B1E">
              <w:rPr>
                <w:rFonts w:ascii="Arial" w:eastAsia="Calibri" w:hAnsi="Arial" w:cs="Arial"/>
                <w:color w:val="000000" w:themeColor="text1"/>
                <w:sz w:val="22"/>
                <w:lang w:val="es-ES_tradnl"/>
              </w:rPr>
              <w:t xml:space="preserve">                              </w:t>
            </w:r>
          </w:p>
        </w:tc>
        <w:tc>
          <w:tcPr>
            <w:tcW w:w="6237" w:type="dxa"/>
          </w:tcPr>
          <w:p w14:paraId="2CD77F9B" w14:textId="7AF346BA" w:rsidR="00A37FB6" w:rsidRPr="006F1B1E" w:rsidRDefault="00A37FB6" w:rsidP="00C604CF">
            <w:pPr>
              <w:spacing w:line="276" w:lineRule="auto"/>
              <w:jc w:val="both"/>
              <w:rPr>
                <w:rFonts w:ascii="Arial" w:eastAsia="Calibri" w:hAnsi="Arial" w:cs="Arial"/>
                <w:color w:val="000000" w:themeColor="text1"/>
                <w:sz w:val="22"/>
                <w:lang w:val="es-ES_tradnl"/>
              </w:rPr>
            </w:pPr>
            <w:r w:rsidRPr="006F1B1E">
              <w:rPr>
                <w:rFonts w:ascii="Arial" w:eastAsia="Calibri" w:hAnsi="Arial" w:cs="Arial"/>
                <w:color w:val="000000" w:themeColor="text1"/>
                <w:sz w:val="22"/>
                <w:lang w:val="es-ES_tradnl"/>
              </w:rPr>
              <w:t xml:space="preserve">Respuesta a consulta # </w:t>
            </w:r>
            <w:r w:rsidR="00F2666D" w:rsidRPr="00F2666D">
              <w:rPr>
                <w:rFonts w:ascii="Arial" w:hAnsi="Arial" w:cs="Arial"/>
                <w:color w:val="000000" w:themeColor="text1"/>
                <w:sz w:val="22"/>
                <w:lang w:val="es-ES_tradnl"/>
              </w:rPr>
              <w:t>P20220630006495</w:t>
            </w:r>
          </w:p>
        </w:tc>
      </w:tr>
    </w:tbl>
    <w:p w14:paraId="6199F8C9" w14:textId="77777777" w:rsidR="00A37FB6" w:rsidRPr="006F1B1E" w:rsidRDefault="00A37FB6" w:rsidP="00F23E3A">
      <w:pPr>
        <w:spacing w:line="276" w:lineRule="auto"/>
        <w:jc w:val="both"/>
        <w:rPr>
          <w:rFonts w:ascii="Arial" w:eastAsia="Calibri" w:hAnsi="Arial" w:cs="Arial"/>
          <w:color w:val="000000" w:themeColor="text1"/>
          <w:sz w:val="22"/>
          <w:lang w:val="es-ES_tradnl"/>
        </w:rPr>
      </w:pPr>
    </w:p>
    <w:p w14:paraId="6AEA1AE6" w14:textId="77777777" w:rsidR="00A37FB6" w:rsidRPr="006F1B1E" w:rsidRDefault="00A37FB6" w:rsidP="00F23E3A">
      <w:pPr>
        <w:spacing w:line="276" w:lineRule="auto"/>
        <w:rPr>
          <w:rFonts w:ascii="Arial" w:eastAsia="Calibri" w:hAnsi="Arial" w:cs="Arial"/>
          <w:color w:val="000000" w:themeColor="text1"/>
          <w:sz w:val="22"/>
          <w:lang w:val="es-ES_tradnl"/>
        </w:rPr>
      </w:pPr>
    </w:p>
    <w:p w14:paraId="2F0DA2F5" w14:textId="4D906078" w:rsidR="00A37FB6" w:rsidRPr="006F1B1E" w:rsidRDefault="006C1C9E" w:rsidP="00F23E3A">
      <w:pPr>
        <w:spacing w:line="276" w:lineRule="auto"/>
        <w:rPr>
          <w:rFonts w:ascii="Arial" w:eastAsia="Calibri" w:hAnsi="Arial" w:cs="Arial"/>
          <w:color w:val="000000" w:themeColor="text1"/>
          <w:sz w:val="22"/>
          <w:lang w:val="es-ES_tradnl"/>
        </w:rPr>
      </w:pPr>
      <w:r w:rsidRPr="006F1B1E">
        <w:rPr>
          <w:rFonts w:ascii="Arial" w:eastAsia="Calibri" w:hAnsi="Arial" w:cs="Arial"/>
          <w:color w:val="000000" w:themeColor="text1"/>
          <w:sz w:val="22"/>
          <w:lang w:val="es-ES_tradnl"/>
        </w:rPr>
        <w:t>Estimad</w:t>
      </w:r>
      <w:r w:rsidR="00C604CF" w:rsidRPr="006F1B1E">
        <w:rPr>
          <w:rFonts w:ascii="Arial" w:eastAsia="Calibri" w:hAnsi="Arial" w:cs="Arial"/>
          <w:color w:val="000000" w:themeColor="text1"/>
          <w:sz w:val="22"/>
          <w:lang w:val="es-ES_tradnl"/>
        </w:rPr>
        <w:t>o</w:t>
      </w:r>
      <w:r w:rsidRPr="006F1B1E">
        <w:rPr>
          <w:rFonts w:ascii="Arial" w:eastAsia="Calibri" w:hAnsi="Arial" w:cs="Arial"/>
          <w:color w:val="000000" w:themeColor="text1"/>
          <w:sz w:val="22"/>
          <w:lang w:val="es-ES_tradnl"/>
        </w:rPr>
        <w:t xml:space="preserve"> </w:t>
      </w:r>
      <w:r w:rsidR="00816237">
        <w:rPr>
          <w:rFonts w:ascii="Arial" w:eastAsia="Calibri" w:hAnsi="Arial" w:cs="Arial"/>
          <w:color w:val="000000" w:themeColor="text1"/>
          <w:sz w:val="22"/>
          <w:lang w:val="es-ES_tradnl"/>
        </w:rPr>
        <w:t>Doctor</w:t>
      </w:r>
      <w:r w:rsidRPr="006F1B1E">
        <w:rPr>
          <w:rFonts w:ascii="Arial" w:eastAsia="Calibri" w:hAnsi="Arial" w:cs="Arial"/>
          <w:color w:val="000000" w:themeColor="text1"/>
          <w:sz w:val="22"/>
          <w:lang w:val="es-ES_tradnl"/>
        </w:rPr>
        <w:t xml:space="preserve"> </w:t>
      </w:r>
      <w:r w:rsidR="00816237">
        <w:rPr>
          <w:rFonts w:ascii="Arial" w:eastAsia="Calibri" w:hAnsi="Arial" w:cs="Arial"/>
          <w:color w:val="000000" w:themeColor="text1"/>
          <w:sz w:val="22"/>
          <w:lang w:val="es-ES_tradnl"/>
        </w:rPr>
        <w:t>Guzmán</w:t>
      </w:r>
      <w:r w:rsidRPr="006F1B1E">
        <w:rPr>
          <w:rFonts w:ascii="Arial" w:eastAsia="Calibri" w:hAnsi="Arial" w:cs="Arial"/>
          <w:color w:val="000000" w:themeColor="text1"/>
          <w:sz w:val="22"/>
          <w:lang w:val="es-ES_tradnl"/>
        </w:rPr>
        <w:t>,</w:t>
      </w:r>
    </w:p>
    <w:p w14:paraId="3CAF7803" w14:textId="77777777" w:rsidR="006C1C9E" w:rsidRPr="006F1B1E" w:rsidRDefault="006C1C9E" w:rsidP="00F23E3A">
      <w:pPr>
        <w:spacing w:line="276" w:lineRule="auto"/>
        <w:rPr>
          <w:rFonts w:ascii="Arial" w:eastAsia="Calibri" w:hAnsi="Arial" w:cs="Arial"/>
          <w:color w:val="000000" w:themeColor="text1"/>
          <w:sz w:val="22"/>
          <w:lang w:val="es-ES_tradnl"/>
        </w:rPr>
      </w:pPr>
    </w:p>
    <w:p w14:paraId="032894D3" w14:textId="70F97DD9" w:rsidR="006D6321" w:rsidRPr="006F1B1E" w:rsidRDefault="006C1C9E" w:rsidP="00544348">
      <w:pPr>
        <w:tabs>
          <w:tab w:val="left" w:pos="426"/>
        </w:tabs>
        <w:spacing w:line="276" w:lineRule="auto"/>
        <w:jc w:val="both"/>
        <w:rPr>
          <w:rFonts w:ascii="Arial" w:eastAsia="Calibri" w:hAnsi="Arial" w:cs="Arial"/>
          <w:color w:val="000000" w:themeColor="text1"/>
          <w:sz w:val="22"/>
          <w:lang w:val="es-ES_tradnl"/>
        </w:rPr>
      </w:pPr>
      <w:r w:rsidRPr="006F1B1E">
        <w:rPr>
          <w:rFonts w:ascii="Arial" w:eastAsia="Calibri" w:hAnsi="Arial" w:cs="Arial"/>
          <w:color w:val="000000" w:themeColor="text1"/>
          <w:sz w:val="22"/>
          <w:lang w:val="es-ES_tradnl"/>
        </w:rPr>
        <w:t>La Agencia Nacional de Contratación Pública ―</w:t>
      </w:r>
      <w:r w:rsidR="00AE70B1" w:rsidRPr="006F1B1E">
        <w:rPr>
          <w:rFonts w:ascii="Arial" w:eastAsia="Calibri" w:hAnsi="Arial" w:cs="Arial"/>
          <w:color w:val="000000" w:themeColor="text1"/>
          <w:sz w:val="22"/>
          <w:lang w:val="es-ES_tradnl"/>
        </w:rPr>
        <w:t xml:space="preserve"> </w:t>
      </w:r>
      <w:r w:rsidRPr="006F1B1E">
        <w:rPr>
          <w:rFonts w:ascii="Arial" w:eastAsia="Calibri" w:hAnsi="Arial" w:cs="Arial"/>
          <w:color w:val="000000" w:themeColor="text1"/>
          <w:sz w:val="22"/>
          <w:lang w:val="es-ES_tradnl"/>
        </w:rPr>
        <w:t>Colombia Compra Eficiente</w:t>
      </w:r>
      <w:r w:rsidR="00AE70B1" w:rsidRPr="006F1B1E">
        <w:rPr>
          <w:rFonts w:ascii="Arial" w:eastAsia="Calibri" w:hAnsi="Arial" w:cs="Arial"/>
          <w:color w:val="000000" w:themeColor="text1"/>
          <w:sz w:val="22"/>
          <w:lang w:val="es-ES_tradnl"/>
        </w:rPr>
        <w:t xml:space="preserve"> </w:t>
      </w:r>
      <w:r w:rsidRPr="006F1B1E">
        <w:rPr>
          <w:rFonts w:ascii="Arial" w:eastAsia="Calibri" w:hAnsi="Arial" w:cs="Arial"/>
          <w:color w:val="000000" w:themeColor="text1"/>
          <w:sz w:val="22"/>
          <w:lang w:val="es-ES_tradnl"/>
        </w:rPr>
        <w:t xml:space="preserve">responde su consulta del </w:t>
      </w:r>
      <w:r w:rsidR="00816237">
        <w:rPr>
          <w:rFonts w:ascii="Arial" w:eastAsia="Calibri" w:hAnsi="Arial" w:cs="Arial"/>
          <w:color w:val="000000" w:themeColor="text1"/>
          <w:sz w:val="22"/>
          <w:lang w:val="es-ES_tradnl"/>
        </w:rPr>
        <w:t>29</w:t>
      </w:r>
      <w:r w:rsidRPr="006F1B1E">
        <w:rPr>
          <w:rFonts w:ascii="Arial" w:eastAsia="Calibri" w:hAnsi="Arial" w:cs="Arial"/>
          <w:color w:val="000000" w:themeColor="text1"/>
          <w:sz w:val="22"/>
          <w:lang w:val="es-ES_tradnl"/>
        </w:rPr>
        <w:t xml:space="preserve"> de </w:t>
      </w:r>
      <w:r w:rsidR="00816237">
        <w:rPr>
          <w:rFonts w:ascii="Arial" w:eastAsia="Calibri" w:hAnsi="Arial" w:cs="Arial"/>
          <w:color w:val="000000" w:themeColor="text1"/>
          <w:sz w:val="22"/>
          <w:lang w:val="es-ES_tradnl"/>
        </w:rPr>
        <w:t>junio</w:t>
      </w:r>
      <w:r w:rsidRPr="006F1B1E">
        <w:rPr>
          <w:rFonts w:ascii="Arial" w:eastAsia="Calibri" w:hAnsi="Arial" w:cs="Arial"/>
          <w:color w:val="000000" w:themeColor="text1"/>
          <w:sz w:val="22"/>
          <w:lang w:val="es-ES_tradnl"/>
        </w:rPr>
        <w:t xml:space="preserve"> de 20</w:t>
      </w:r>
      <w:r w:rsidR="00B46D74" w:rsidRPr="006F1B1E">
        <w:rPr>
          <w:rFonts w:ascii="Arial" w:eastAsia="Calibri" w:hAnsi="Arial" w:cs="Arial"/>
          <w:color w:val="000000" w:themeColor="text1"/>
          <w:sz w:val="22"/>
          <w:lang w:val="es-ES_tradnl"/>
        </w:rPr>
        <w:t>2</w:t>
      </w:r>
      <w:r w:rsidR="00816237">
        <w:rPr>
          <w:rFonts w:ascii="Arial" w:eastAsia="Calibri" w:hAnsi="Arial" w:cs="Arial"/>
          <w:color w:val="000000" w:themeColor="text1"/>
          <w:sz w:val="22"/>
          <w:lang w:val="es-ES_tradnl"/>
        </w:rPr>
        <w:t>2</w:t>
      </w:r>
      <w:r w:rsidR="003C32BF" w:rsidRPr="006F1B1E">
        <w:rPr>
          <w:rFonts w:ascii="Arial" w:eastAsia="Calibri" w:hAnsi="Arial" w:cs="Arial"/>
          <w:color w:val="000000" w:themeColor="text1"/>
          <w:sz w:val="22"/>
          <w:lang w:val="es-ES_tradnl"/>
        </w:rPr>
        <w:t xml:space="preserve">, </w:t>
      </w:r>
      <w:r w:rsidRPr="006F1B1E">
        <w:rPr>
          <w:rFonts w:ascii="Arial" w:eastAsia="Calibri" w:hAnsi="Arial" w:cs="Arial"/>
          <w:color w:val="000000" w:themeColor="text1"/>
          <w:sz w:val="22"/>
          <w:lang w:val="es-ES_tradnl"/>
        </w:rPr>
        <w:t>en ejercicio de la competencia otorgada por el numeral 8 del artículo 11 y el numeral 5 del artículo 3 del Decreto Ley 4170 de 2011.</w:t>
      </w:r>
    </w:p>
    <w:p w14:paraId="4A373876" w14:textId="77777777" w:rsidR="006F3295" w:rsidRPr="006F1B1E" w:rsidRDefault="006F3295" w:rsidP="006F3295">
      <w:pPr>
        <w:pStyle w:val="Prrafodelista"/>
        <w:tabs>
          <w:tab w:val="left" w:pos="284"/>
        </w:tabs>
        <w:spacing w:line="276" w:lineRule="auto"/>
        <w:ind w:left="0"/>
        <w:jc w:val="both"/>
        <w:rPr>
          <w:rFonts w:ascii="Arial" w:eastAsia="Calibri" w:hAnsi="Arial" w:cs="Arial"/>
          <w:color w:val="000000" w:themeColor="text1"/>
          <w:sz w:val="22"/>
          <w:lang w:val="es-ES_tradnl"/>
        </w:rPr>
      </w:pPr>
    </w:p>
    <w:p w14:paraId="737E2623" w14:textId="437DF024" w:rsidR="00A37FB6" w:rsidRPr="006F1B1E" w:rsidRDefault="006F3295" w:rsidP="006F3295">
      <w:pPr>
        <w:pStyle w:val="Prrafodelista"/>
        <w:tabs>
          <w:tab w:val="left" w:pos="284"/>
        </w:tabs>
        <w:spacing w:line="276" w:lineRule="auto"/>
        <w:ind w:left="0"/>
        <w:jc w:val="both"/>
        <w:rPr>
          <w:rFonts w:ascii="Arial" w:eastAsia="Calibri" w:hAnsi="Arial" w:cs="Arial"/>
          <w:b/>
          <w:color w:val="000000" w:themeColor="text1"/>
          <w:sz w:val="22"/>
          <w:lang w:val="es-ES_tradnl"/>
        </w:rPr>
      </w:pPr>
      <w:r w:rsidRPr="006F1B1E">
        <w:rPr>
          <w:rFonts w:ascii="Arial" w:eastAsia="Calibri" w:hAnsi="Arial" w:cs="Arial"/>
          <w:b/>
          <w:color w:val="000000" w:themeColor="text1"/>
          <w:sz w:val="22"/>
          <w:lang w:val="es-ES_tradnl"/>
        </w:rPr>
        <w:t xml:space="preserve">1. </w:t>
      </w:r>
      <w:r w:rsidR="00A37FB6" w:rsidRPr="006F1B1E">
        <w:rPr>
          <w:rFonts w:ascii="Arial" w:eastAsia="Calibri" w:hAnsi="Arial" w:cs="Arial"/>
          <w:b/>
          <w:color w:val="000000" w:themeColor="text1"/>
          <w:sz w:val="22"/>
          <w:lang w:val="es-ES_tradnl"/>
        </w:rPr>
        <w:t xml:space="preserve">Problemas planteados </w:t>
      </w:r>
    </w:p>
    <w:p w14:paraId="498A026D" w14:textId="77777777" w:rsidR="00A37FB6" w:rsidRPr="006F1B1E" w:rsidRDefault="00A37FB6" w:rsidP="00F23E3A">
      <w:pPr>
        <w:tabs>
          <w:tab w:val="left" w:pos="426"/>
        </w:tabs>
        <w:spacing w:line="276" w:lineRule="auto"/>
        <w:jc w:val="both"/>
        <w:rPr>
          <w:rFonts w:ascii="Arial" w:eastAsia="Calibri" w:hAnsi="Arial" w:cs="Arial"/>
          <w:b/>
          <w:color w:val="000000" w:themeColor="text1"/>
          <w:sz w:val="22"/>
          <w:lang w:val="es-ES_tradnl"/>
        </w:rPr>
      </w:pPr>
    </w:p>
    <w:p w14:paraId="39B7172E" w14:textId="0D262C35" w:rsidR="00DB259A" w:rsidRPr="006F1B1E" w:rsidRDefault="00A37FB6" w:rsidP="00F23E3A">
      <w:pPr>
        <w:tabs>
          <w:tab w:val="left" w:pos="426"/>
        </w:tabs>
        <w:spacing w:line="276" w:lineRule="auto"/>
        <w:jc w:val="both"/>
        <w:rPr>
          <w:rFonts w:ascii="Arial" w:eastAsia="Calibri" w:hAnsi="Arial" w:cs="Arial"/>
          <w:color w:val="000000" w:themeColor="text1"/>
          <w:sz w:val="22"/>
          <w:lang w:val="es-ES_tradnl"/>
        </w:rPr>
      </w:pPr>
      <w:r w:rsidRPr="006F1B1E">
        <w:rPr>
          <w:rFonts w:ascii="Arial" w:eastAsia="Calibri" w:hAnsi="Arial" w:cs="Arial"/>
          <w:color w:val="000000" w:themeColor="text1"/>
          <w:sz w:val="22"/>
          <w:lang w:val="es-ES_tradnl"/>
        </w:rPr>
        <w:t xml:space="preserve">Usted </w:t>
      </w:r>
      <w:r w:rsidR="000D6A76" w:rsidRPr="006F1B1E">
        <w:rPr>
          <w:rFonts w:ascii="Arial" w:eastAsia="Calibri" w:hAnsi="Arial" w:cs="Arial"/>
          <w:color w:val="000000" w:themeColor="text1"/>
          <w:sz w:val="22"/>
          <w:lang w:val="es-ES_tradnl"/>
        </w:rPr>
        <w:t>realiza la</w:t>
      </w:r>
      <w:r w:rsidR="00C83933" w:rsidRPr="006F1B1E">
        <w:rPr>
          <w:rFonts w:ascii="Arial" w:eastAsia="Calibri" w:hAnsi="Arial" w:cs="Arial"/>
          <w:color w:val="000000" w:themeColor="text1"/>
          <w:sz w:val="22"/>
          <w:lang w:val="es-ES_tradnl"/>
        </w:rPr>
        <w:t>s</w:t>
      </w:r>
      <w:r w:rsidR="00F902F8" w:rsidRPr="006F1B1E">
        <w:rPr>
          <w:rFonts w:ascii="Arial" w:eastAsia="Calibri" w:hAnsi="Arial" w:cs="Arial"/>
          <w:color w:val="000000" w:themeColor="text1"/>
          <w:sz w:val="22"/>
          <w:lang w:val="es-ES_tradnl"/>
        </w:rPr>
        <w:t xml:space="preserve"> siguiente</w:t>
      </w:r>
      <w:r w:rsidR="00C83933" w:rsidRPr="006F1B1E">
        <w:rPr>
          <w:rFonts w:ascii="Arial" w:eastAsia="Calibri" w:hAnsi="Arial" w:cs="Arial"/>
          <w:color w:val="000000" w:themeColor="text1"/>
          <w:sz w:val="22"/>
          <w:lang w:val="es-ES_tradnl"/>
        </w:rPr>
        <w:t>s</w:t>
      </w:r>
      <w:r w:rsidR="00856129" w:rsidRPr="006F1B1E">
        <w:rPr>
          <w:rFonts w:ascii="Arial" w:eastAsia="Calibri" w:hAnsi="Arial" w:cs="Arial"/>
          <w:color w:val="000000" w:themeColor="text1"/>
          <w:sz w:val="22"/>
          <w:lang w:val="es-ES_tradnl"/>
        </w:rPr>
        <w:t xml:space="preserve"> </w:t>
      </w:r>
      <w:r w:rsidR="00C26C93" w:rsidRPr="006F1B1E">
        <w:rPr>
          <w:rFonts w:ascii="Arial" w:eastAsia="Calibri" w:hAnsi="Arial" w:cs="Arial"/>
          <w:color w:val="000000" w:themeColor="text1"/>
          <w:sz w:val="22"/>
          <w:lang w:val="es-ES_tradnl"/>
        </w:rPr>
        <w:t>pregunta</w:t>
      </w:r>
      <w:r w:rsidR="00C83933" w:rsidRPr="006F1B1E">
        <w:rPr>
          <w:rFonts w:ascii="Arial" w:eastAsia="Calibri" w:hAnsi="Arial" w:cs="Arial"/>
          <w:color w:val="000000" w:themeColor="text1"/>
          <w:sz w:val="22"/>
          <w:lang w:val="es-ES_tradnl"/>
        </w:rPr>
        <w:t>s</w:t>
      </w:r>
      <w:r w:rsidR="00C26C93" w:rsidRPr="006F1B1E">
        <w:rPr>
          <w:rFonts w:ascii="Arial" w:eastAsia="Calibri" w:hAnsi="Arial" w:cs="Arial"/>
          <w:color w:val="000000" w:themeColor="text1"/>
          <w:sz w:val="22"/>
          <w:lang w:val="es-ES_tradnl"/>
        </w:rPr>
        <w:t xml:space="preserve">: </w:t>
      </w:r>
    </w:p>
    <w:p w14:paraId="26AFDCC0" w14:textId="0C7AA933" w:rsidR="00514171" w:rsidRDefault="00514171" w:rsidP="00F23E3A">
      <w:pPr>
        <w:tabs>
          <w:tab w:val="left" w:pos="426"/>
        </w:tabs>
        <w:spacing w:line="276" w:lineRule="auto"/>
        <w:jc w:val="both"/>
        <w:rPr>
          <w:rFonts w:ascii="Arial" w:eastAsia="Calibri" w:hAnsi="Arial" w:cs="Arial"/>
          <w:color w:val="000000" w:themeColor="text1"/>
          <w:sz w:val="22"/>
          <w:lang w:val="es-ES_tradnl"/>
        </w:rPr>
      </w:pPr>
    </w:p>
    <w:p w14:paraId="2549F3E7" w14:textId="1A98E655" w:rsidR="00351771" w:rsidRPr="00552028" w:rsidRDefault="00D27753" w:rsidP="00351771">
      <w:pPr>
        <w:tabs>
          <w:tab w:val="left" w:pos="426"/>
        </w:tabs>
        <w:ind w:left="709" w:right="709"/>
        <w:jc w:val="both"/>
        <w:rPr>
          <w:rFonts w:ascii="Arial" w:eastAsia="Calibri" w:hAnsi="Arial" w:cs="Arial"/>
          <w:color w:val="000000" w:themeColor="text1"/>
          <w:sz w:val="21"/>
          <w:szCs w:val="21"/>
          <w:lang w:val="es-ES_tradnl"/>
        </w:rPr>
      </w:pPr>
      <w:r w:rsidRPr="00552028">
        <w:rPr>
          <w:rFonts w:ascii="Arial" w:eastAsia="Calibri" w:hAnsi="Arial" w:cs="Arial"/>
          <w:color w:val="000000" w:themeColor="text1"/>
          <w:sz w:val="21"/>
          <w:szCs w:val="21"/>
          <w:lang w:val="es-ES_tradnl"/>
        </w:rPr>
        <w:t>«</w:t>
      </w:r>
      <w:r w:rsidR="00351771" w:rsidRPr="00552028">
        <w:rPr>
          <w:rFonts w:ascii="Arial" w:eastAsia="Calibri" w:hAnsi="Arial" w:cs="Arial"/>
          <w:color w:val="000000" w:themeColor="text1"/>
          <w:sz w:val="21"/>
          <w:szCs w:val="21"/>
          <w:lang w:val="es-ES_tradnl"/>
        </w:rPr>
        <w:t>a. ¿Pueden las Entidades Estatales continuar realizando las audiencias públicas previstas en los diferentes Procesos de Contratación y la audiencia de que trata el artículo 86 de la Ley 1474 de 2011 de manera virtual? ¿Cuál es el sustento jurídico?</w:t>
      </w:r>
    </w:p>
    <w:p w14:paraId="5EB10245" w14:textId="77777777" w:rsidR="00351771" w:rsidRPr="00552028" w:rsidRDefault="00351771" w:rsidP="00351771">
      <w:pPr>
        <w:tabs>
          <w:tab w:val="left" w:pos="426"/>
        </w:tabs>
        <w:ind w:left="709" w:right="709"/>
        <w:jc w:val="both"/>
        <w:rPr>
          <w:rFonts w:ascii="Arial" w:eastAsia="Calibri" w:hAnsi="Arial" w:cs="Arial"/>
          <w:color w:val="000000" w:themeColor="text1"/>
          <w:sz w:val="21"/>
          <w:szCs w:val="21"/>
          <w:lang w:val="es-ES_tradnl"/>
        </w:rPr>
      </w:pPr>
    </w:p>
    <w:p w14:paraId="211E9D44" w14:textId="76C8F7E8" w:rsidR="00351771" w:rsidRPr="00552028" w:rsidRDefault="00D27753" w:rsidP="00351771">
      <w:pPr>
        <w:tabs>
          <w:tab w:val="left" w:pos="426"/>
        </w:tabs>
        <w:ind w:left="709" w:right="709"/>
        <w:jc w:val="both"/>
        <w:rPr>
          <w:rFonts w:ascii="Arial" w:eastAsia="Calibri" w:hAnsi="Arial" w:cs="Arial"/>
          <w:color w:val="000000" w:themeColor="text1"/>
          <w:sz w:val="21"/>
          <w:szCs w:val="21"/>
          <w:lang w:val="es-ES_tradnl"/>
        </w:rPr>
      </w:pPr>
      <w:r w:rsidRPr="00552028">
        <w:rPr>
          <w:rFonts w:ascii="Arial" w:eastAsia="Calibri" w:hAnsi="Arial" w:cs="Arial"/>
          <w:color w:val="000000" w:themeColor="text1"/>
          <w:sz w:val="21"/>
          <w:szCs w:val="21"/>
          <w:lang w:val="es-ES_tradnl"/>
        </w:rPr>
        <w:lastRenderedPageBreak/>
        <w:t>»</w:t>
      </w:r>
      <w:r w:rsidR="00351771" w:rsidRPr="00552028">
        <w:rPr>
          <w:rFonts w:ascii="Arial" w:eastAsia="Calibri" w:hAnsi="Arial" w:cs="Arial"/>
          <w:color w:val="000000" w:themeColor="text1"/>
          <w:sz w:val="21"/>
          <w:szCs w:val="21"/>
          <w:lang w:val="es-ES_tradnl"/>
        </w:rPr>
        <w:t>b. ¿Pueden las Entidades Estatales continuar notificando o comunicando los actos administrativos derivados de los Procesos de Contratación (que no tienen regla especial de notificación o comunicación) por medios electrónicos? ¿Cuál es el sustento jurídico?</w:t>
      </w:r>
    </w:p>
    <w:p w14:paraId="24BBFA70" w14:textId="77777777" w:rsidR="00351771" w:rsidRPr="00552028" w:rsidRDefault="00351771" w:rsidP="00351771">
      <w:pPr>
        <w:tabs>
          <w:tab w:val="left" w:pos="426"/>
        </w:tabs>
        <w:ind w:left="709" w:right="709"/>
        <w:jc w:val="both"/>
        <w:rPr>
          <w:rFonts w:ascii="Arial" w:eastAsia="Calibri" w:hAnsi="Arial" w:cs="Arial"/>
          <w:color w:val="000000" w:themeColor="text1"/>
          <w:sz w:val="21"/>
          <w:szCs w:val="21"/>
          <w:lang w:val="es-ES_tradnl"/>
        </w:rPr>
      </w:pPr>
    </w:p>
    <w:p w14:paraId="2E8403F5" w14:textId="16DB85DB" w:rsidR="00351771" w:rsidRPr="00552028" w:rsidRDefault="00D27753" w:rsidP="00351771">
      <w:pPr>
        <w:tabs>
          <w:tab w:val="left" w:pos="426"/>
        </w:tabs>
        <w:ind w:left="709" w:right="709"/>
        <w:jc w:val="both"/>
        <w:rPr>
          <w:rFonts w:ascii="Arial" w:eastAsia="Calibri" w:hAnsi="Arial" w:cs="Arial"/>
          <w:color w:val="000000" w:themeColor="text1"/>
          <w:sz w:val="21"/>
          <w:szCs w:val="21"/>
          <w:lang w:val="es-ES_tradnl"/>
        </w:rPr>
      </w:pPr>
      <w:r w:rsidRPr="00552028">
        <w:rPr>
          <w:rFonts w:ascii="Arial" w:eastAsia="Calibri" w:hAnsi="Arial" w:cs="Arial"/>
          <w:color w:val="000000" w:themeColor="text1"/>
          <w:sz w:val="21"/>
          <w:szCs w:val="21"/>
          <w:lang w:val="es-ES_tradnl"/>
        </w:rPr>
        <w:t>»</w:t>
      </w:r>
      <w:r w:rsidR="00351771" w:rsidRPr="00552028">
        <w:rPr>
          <w:rFonts w:ascii="Arial" w:eastAsia="Calibri" w:hAnsi="Arial" w:cs="Arial"/>
          <w:color w:val="000000" w:themeColor="text1"/>
          <w:sz w:val="21"/>
          <w:szCs w:val="21"/>
          <w:lang w:val="es-ES_tradnl"/>
        </w:rPr>
        <w:t>c. ¿Pueden las autoridades a que se refiere el artículo 1 del Decreto 491 de 2020,</w:t>
      </w:r>
      <w:r w:rsidRPr="00552028">
        <w:rPr>
          <w:rFonts w:ascii="Arial" w:eastAsia="Calibri" w:hAnsi="Arial" w:cs="Arial"/>
          <w:color w:val="000000" w:themeColor="text1"/>
          <w:sz w:val="21"/>
          <w:szCs w:val="21"/>
          <w:lang w:val="es-ES_tradnl"/>
        </w:rPr>
        <w:t xml:space="preserve"> </w:t>
      </w:r>
      <w:r w:rsidR="00351771" w:rsidRPr="00552028">
        <w:rPr>
          <w:rFonts w:ascii="Arial" w:eastAsia="Calibri" w:hAnsi="Arial" w:cs="Arial"/>
          <w:color w:val="000000" w:themeColor="text1"/>
          <w:sz w:val="21"/>
          <w:szCs w:val="21"/>
          <w:lang w:val="es-ES_tradnl"/>
        </w:rPr>
        <w:t>cuando no cuenten con firma digital, continuar válidamente suscribiendo los actos, providencias y decisiones que adopten mediante firma autógrafa mecánica, digitalizadas o escaneadas, según la disponibilidad de dichos medios? ¿Cuál es el sustento jurídico?</w:t>
      </w:r>
    </w:p>
    <w:p w14:paraId="503F3550" w14:textId="77777777" w:rsidR="00351771" w:rsidRPr="00552028" w:rsidRDefault="00351771" w:rsidP="00351771">
      <w:pPr>
        <w:tabs>
          <w:tab w:val="left" w:pos="426"/>
        </w:tabs>
        <w:ind w:left="709" w:right="709"/>
        <w:jc w:val="both"/>
        <w:rPr>
          <w:rFonts w:ascii="Arial" w:eastAsia="Calibri" w:hAnsi="Arial" w:cs="Arial"/>
          <w:color w:val="000000" w:themeColor="text1"/>
          <w:sz w:val="21"/>
          <w:szCs w:val="21"/>
          <w:lang w:val="es-ES_tradnl"/>
        </w:rPr>
      </w:pPr>
    </w:p>
    <w:p w14:paraId="58B9C8FE" w14:textId="7C2F59F0" w:rsidR="00351771" w:rsidRDefault="00D27753" w:rsidP="00351771">
      <w:pPr>
        <w:tabs>
          <w:tab w:val="left" w:pos="426"/>
        </w:tabs>
        <w:ind w:left="709" w:right="709"/>
        <w:jc w:val="both"/>
        <w:rPr>
          <w:rFonts w:ascii="Arial" w:eastAsia="Calibri" w:hAnsi="Arial" w:cs="Arial"/>
          <w:color w:val="000000" w:themeColor="text1"/>
          <w:sz w:val="22"/>
          <w:lang w:val="es-ES_tradnl"/>
        </w:rPr>
      </w:pPr>
      <w:r w:rsidRPr="00552028">
        <w:rPr>
          <w:rFonts w:ascii="Arial" w:eastAsia="Calibri" w:hAnsi="Arial" w:cs="Arial"/>
          <w:color w:val="000000" w:themeColor="text1"/>
          <w:sz w:val="21"/>
          <w:szCs w:val="21"/>
          <w:lang w:val="es-ES_tradnl"/>
        </w:rPr>
        <w:t>»</w:t>
      </w:r>
      <w:r w:rsidR="00351771" w:rsidRPr="00552028">
        <w:rPr>
          <w:rFonts w:ascii="Arial" w:eastAsia="Calibri" w:hAnsi="Arial" w:cs="Arial"/>
          <w:color w:val="000000" w:themeColor="text1"/>
          <w:sz w:val="21"/>
          <w:szCs w:val="21"/>
          <w:lang w:val="es-ES_tradnl"/>
        </w:rPr>
        <w:t>d. En caso que las respuestas a los interrogantes a y b sean negativas, ¿cómo deben manejarse las audiencias en los Procesos de Contratación y Actuaciones Administrativas (artículo 86 Ley 1474 de 2011) en curso?</w:t>
      </w:r>
      <w:r w:rsidRPr="00552028">
        <w:rPr>
          <w:rFonts w:ascii="Arial" w:eastAsia="Calibri" w:hAnsi="Arial" w:cs="Arial"/>
          <w:color w:val="000000" w:themeColor="text1"/>
          <w:sz w:val="21"/>
          <w:szCs w:val="21"/>
          <w:lang w:val="es-ES_tradnl"/>
        </w:rPr>
        <w:t>»</w:t>
      </w:r>
    </w:p>
    <w:p w14:paraId="40B0FA89" w14:textId="77777777" w:rsidR="00D27753" w:rsidRPr="006F1B1E" w:rsidRDefault="00D27753" w:rsidP="00351771">
      <w:pPr>
        <w:tabs>
          <w:tab w:val="left" w:pos="426"/>
        </w:tabs>
        <w:ind w:left="709" w:right="709"/>
        <w:jc w:val="both"/>
        <w:rPr>
          <w:rFonts w:ascii="Arial" w:eastAsia="Calibri" w:hAnsi="Arial" w:cs="Arial"/>
          <w:color w:val="000000" w:themeColor="text1"/>
          <w:sz w:val="22"/>
          <w:lang w:val="es-ES_tradnl"/>
        </w:rPr>
      </w:pPr>
    </w:p>
    <w:p w14:paraId="6A32A1B1" w14:textId="33A59142" w:rsidR="00A37FB6" w:rsidRPr="006F1B1E" w:rsidRDefault="0010298F" w:rsidP="0010298F">
      <w:pPr>
        <w:tabs>
          <w:tab w:val="left" w:pos="426"/>
        </w:tabs>
        <w:spacing w:line="276" w:lineRule="auto"/>
        <w:jc w:val="both"/>
        <w:rPr>
          <w:rFonts w:ascii="Arial" w:eastAsia="Calibri" w:hAnsi="Arial" w:cs="Arial"/>
          <w:b/>
          <w:color w:val="000000" w:themeColor="text1"/>
          <w:sz w:val="22"/>
          <w:lang w:val="es-ES_tradnl"/>
        </w:rPr>
      </w:pPr>
      <w:r w:rsidRPr="006F1B1E">
        <w:rPr>
          <w:rFonts w:ascii="Arial" w:eastAsia="Calibri" w:hAnsi="Arial" w:cs="Arial"/>
          <w:b/>
          <w:color w:val="000000" w:themeColor="text1"/>
          <w:sz w:val="22"/>
          <w:lang w:val="es-ES_tradnl"/>
        </w:rPr>
        <w:t xml:space="preserve">2. </w:t>
      </w:r>
      <w:r w:rsidR="00A37FB6" w:rsidRPr="006F1B1E">
        <w:rPr>
          <w:rFonts w:ascii="Arial" w:eastAsia="Calibri" w:hAnsi="Arial" w:cs="Arial"/>
          <w:b/>
          <w:color w:val="000000" w:themeColor="text1"/>
          <w:sz w:val="22"/>
          <w:lang w:val="es-ES_tradnl"/>
        </w:rPr>
        <w:t>Consideraciones</w:t>
      </w:r>
    </w:p>
    <w:bookmarkEnd w:id="0"/>
    <w:bookmarkEnd w:id="1"/>
    <w:p w14:paraId="5D8BAB86" w14:textId="77777777" w:rsidR="00D94962" w:rsidRPr="006F1B1E" w:rsidRDefault="00D94962" w:rsidP="00F23E3A">
      <w:pPr>
        <w:spacing w:line="276" w:lineRule="auto"/>
        <w:jc w:val="both"/>
        <w:rPr>
          <w:rFonts w:ascii="Arial" w:hAnsi="Arial" w:cs="Arial"/>
          <w:color w:val="000000" w:themeColor="text1"/>
          <w:sz w:val="22"/>
          <w:lang w:val="es-ES_tradnl"/>
        </w:rPr>
      </w:pPr>
    </w:p>
    <w:p w14:paraId="1B1D0CF0" w14:textId="09D1E9B3" w:rsidR="00C03034" w:rsidRPr="006F1B1E" w:rsidRDefault="001C7A22" w:rsidP="00C03034">
      <w:pPr>
        <w:spacing w:line="276" w:lineRule="auto"/>
        <w:jc w:val="both"/>
        <w:rPr>
          <w:rFonts w:ascii="Arial" w:hAnsi="Arial" w:cs="Arial"/>
          <w:color w:val="000000" w:themeColor="text1"/>
          <w:sz w:val="22"/>
          <w:lang w:val="es-ES_tradnl"/>
        </w:rPr>
      </w:pPr>
      <w:r w:rsidRPr="00224AEC">
        <w:rPr>
          <w:rFonts w:ascii="Arial" w:hAnsi="Arial" w:cs="Arial"/>
          <w:color w:val="000000" w:themeColor="text1"/>
          <w:sz w:val="22"/>
          <w:lang w:val="es-ES_tradnl"/>
        </w:rPr>
        <w:t>Para resolver esta consulta se hará un análisis de los siguientes temas:</w:t>
      </w:r>
      <w:r w:rsidR="00C60032" w:rsidRPr="00224AEC">
        <w:rPr>
          <w:rFonts w:ascii="Arial" w:hAnsi="Arial" w:cs="Arial"/>
          <w:color w:val="000000" w:themeColor="text1"/>
          <w:sz w:val="22"/>
          <w:lang w:val="es-ES_tradnl"/>
        </w:rPr>
        <w:t xml:space="preserve"> i)</w:t>
      </w:r>
      <w:r w:rsidR="00D9709C" w:rsidRPr="00224AEC">
        <w:rPr>
          <w:rFonts w:ascii="Arial" w:hAnsi="Arial" w:cs="Arial"/>
          <w:color w:val="000000" w:themeColor="text1"/>
          <w:sz w:val="22"/>
          <w:lang w:val="es-ES_tradnl"/>
        </w:rPr>
        <w:t xml:space="preserve"> uso de medios electrónicos </w:t>
      </w:r>
      <w:r w:rsidR="003961D8" w:rsidRPr="00224AEC">
        <w:rPr>
          <w:rFonts w:ascii="Arial" w:hAnsi="Arial" w:cs="Arial"/>
          <w:color w:val="000000" w:themeColor="text1"/>
          <w:sz w:val="22"/>
          <w:lang w:val="es-ES_tradnl"/>
        </w:rPr>
        <w:t>en las actuaciones administrativas; especialmente, en la contratación pública</w:t>
      </w:r>
      <w:r w:rsidR="00C25B80" w:rsidRPr="00224AEC">
        <w:rPr>
          <w:rFonts w:ascii="Arial" w:hAnsi="Arial" w:cs="Arial"/>
          <w:color w:val="000000" w:themeColor="text1"/>
          <w:sz w:val="22"/>
          <w:lang w:val="es-ES_tradnl"/>
        </w:rPr>
        <w:t>,</w:t>
      </w:r>
      <w:r w:rsidR="008C4751">
        <w:rPr>
          <w:rFonts w:ascii="Arial" w:hAnsi="Arial" w:cs="Arial"/>
          <w:color w:val="000000" w:themeColor="text1"/>
          <w:sz w:val="22"/>
          <w:lang w:val="es-ES_tradnl"/>
        </w:rPr>
        <w:t xml:space="preserve"> ii) d</w:t>
      </w:r>
      <w:r w:rsidR="008C4751" w:rsidRPr="008C4751">
        <w:rPr>
          <w:rFonts w:ascii="Arial" w:hAnsi="Arial" w:cs="Arial"/>
          <w:color w:val="000000" w:themeColor="text1"/>
          <w:sz w:val="22"/>
          <w:lang w:val="es-ES_tradnl"/>
        </w:rPr>
        <w:t xml:space="preserve">isposiciones normativas expedidas a partir de la pandemia originada por el COVID-19, que </w:t>
      </w:r>
      <w:r w:rsidR="00034066">
        <w:rPr>
          <w:rFonts w:ascii="Arial" w:hAnsi="Arial" w:cs="Arial"/>
          <w:color w:val="000000" w:themeColor="text1"/>
          <w:sz w:val="22"/>
          <w:lang w:val="es-ES_tradnl"/>
        </w:rPr>
        <w:t>ratificaron</w:t>
      </w:r>
      <w:r w:rsidR="008C4751" w:rsidRPr="008C4751">
        <w:rPr>
          <w:rFonts w:ascii="Arial" w:hAnsi="Arial" w:cs="Arial"/>
          <w:color w:val="000000" w:themeColor="text1"/>
          <w:sz w:val="22"/>
          <w:lang w:val="es-ES_tradnl"/>
        </w:rPr>
        <w:t xml:space="preserve"> la implementación de la virtualidad en el ejercicio de la función pública y en la contratación estatal</w:t>
      </w:r>
      <w:r w:rsidR="008C4751">
        <w:rPr>
          <w:rFonts w:ascii="Arial" w:hAnsi="Arial" w:cs="Arial"/>
          <w:color w:val="000000" w:themeColor="text1"/>
          <w:sz w:val="22"/>
          <w:lang w:val="es-ES_tradnl"/>
        </w:rPr>
        <w:t>, iii) r</w:t>
      </w:r>
      <w:r w:rsidR="008C4751" w:rsidRPr="008C4751">
        <w:rPr>
          <w:rFonts w:ascii="Arial" w:hAnsi="Arial" w:cs="Arial"/>
          <w:color w:val="000000" w:themeColor="text1"/>
          <w:sz w:val="22"/>
          <w:lang w:val="es-ES_tradnl"/>
        </w:rPr>
        <w:t>equisitos de las firmas manuscritas, electrónicas y digitales</w:t>
      </w:r>
      <w:r w:rsidR="008C4751">
        <w:rPr>
          <w:rFonts w:ascii="Arial" w:hAnsi="Arial" w:cs="Arial"/>
          <w:color w:val="000000" w:themeColor="text1"/>
          <w:sz w:val="22"/>
          <w:lang w:val="es-ES_tradnl"/>
        </w:rPr>
        <w:t xml:space="preserve">, </w:t>
      </w:r>
      <w:r w:rsidR="00034066">
        <w:rPr>
          <w:rFonts w:ascii="Arial" w:hAnsi="Arial" w:cs="Arial"/>
          <w:color w:val="000000" w:themeColor="text1"/>
          <w:sz w:val="22"/>
          <w:lang w:val="es-ES_tradnl"/>
        </w:rPr>
        <w:t xml:space="preserve">y </w:t>
      </w:r>
      <w:r w:rsidR="008C4751">
        <w:rPr>
          <w:rFonts w:ascii="Arial" w:hAnsi="Arial" w:cs="Arial"/>
          <w:color w:val="000000" w:themeColor="text1"/>
          <w:sz w:val="22"/>
          <w:lang w:val="es-ES_tradnl"/>
        </w:rPr>
        <w:t>iv) p</w:t>
      </w:r>
      <w:r w:rsidR="008C4751" w:rsidRPr="008C4751">
        <w:rPr>
          <w:rFonts w:ascii="Arial" w:hAnsi="Arial" w:cs="Arial"/>
          <w:color w:val="000000" w:themeColor="text1"/>
          <w:sz w:val="22"/>
          <w:lang w:val="es-ES_tradnl"/>
        </w:rPr>
        <w:t>osibilidad de emplear medios electrónicos en las actuaciones administrativas contractuales, a pesar de la pérdida de vigencia de las disposiciones</w:t>
      </w:r>
      <w:r w:rsidR="00927617">
        <w:rPr>
          <w:rFonts w:ascii="Arial" w:hAnsi="Arial" w:cs="Arial"/>
          <w:color w:val="000000" w:themeColor="text1"/>
          <w:sz w:val="22"/>
          <w:lang w:val="es-ES_tradnl"/>
        </w:rPr>
        <w:t xml:space="preserve"> </w:t>
      </w:r>
      <w:r w:rsidR="008C4751" w:rsidRPr="008C4751">
        <w:rPr>
          <w:rFonts w:ascii="Arial" w:hAnsi="Arial" w:cs="Arial"/>
          <w:color w:val="000000" w:themeColor="text1"/>
          <w:sz w:val="22"/>
          <w:lang w:val="es-ES_tradnl"/>
        </w:rPr>
        <w:t>relativas a este tema, contenidas en los Decretos 491 y 537 de 2020</w:t>
      </w:r>
      <w:r w:rsidR="00927617">
        <w:rPr>
          <w:rFonts w:ascii="Arial" w:hAnsi="Arial" w:cs="Arial"/>
          <w:color w:val="000000" w:themeColor="text1"/>
          <w:sz w:val="22"/>
          <w:lang w:val="es-ES_tradnl"/>
        </w:rPr>
        <w:t>.</w:t>
      </w:r>
      <w:r w:rsidR="008C4751" w:rsidRPr="008C4751">
        <w:rPr>
          <w:rFonts w:ascii="Arial" w:hAnsi="Arial" w:cs="Arial"/>
          <w:color w:val="000000" w:themeColor="text1"/>
          <w:sz w:val="22"/>
          <w:lang w:val="es-ES_tradnl"/>
        </w:rPr>
        <w:t xml:space="preserve">  </w:t>
      </w:r>
    </w:p>
    <w:p w14:paraId="68ED890F" w14:textId="135D8ACB" w:rsidR="00C03034" w:rsidRDefault="00772CB5" w:rsidP="00772CB5">
      <w:pPr>
        <w:spacing w:before="120" w:line="276" w:lineRule="auto"/>
        <w:ind w:firstLine="709"/>
        <w:jc w:val="both"/>
        <w:rPr>
          <w:rFonts w:ascii="Arial" w:hAnsi="Arial" w:cs="Arial"/>
          <w:color w:val="000000" w:themeColor="text1"/>
          <w:sz w:val="22"/>
          <w:lang w:val="es-ES_tradnl"/>
        </w:rPr>
      </w:pPr>
      <w:r>
        <w:rPr>
          <w:rFonts w:ascii="Arial" w:hAnsi="Arial" w:cs="Arial"/>
          <w:color w:val="000000" w:themeColor="text1"/>
          <w:sz w:val="22"/>
          <w:lang w:val="es-ES_tradnl"/>
        </w:rPr>
        <w:t>La Agencia Nacional de Contratación Pública – Colombia Compra Eficiente</w:t>
      </w:r>
      <w:r w:rsidR="00CA4BEF">
        <w:rPr>
          <w:rFonts w:ascii="Arial" w:hAnsi="Arial" w:cs="Arial"/>
          <w:color w:val="000000" w:themeColor="text1"/>
          <w:sz w:val="22"/>
          <w:lang w:val="es-ES_tradnl"/>
        </w:rPr>
        <w:t>,</w:t>
      </w:r>
      <w:r w:rsidR="00621CD3">
        <w:rPr>
          <w:rFonts w:ascii="Arial" w:hAnsi="Arial" w:cs="Arial"/>
          <w:color w:val="000000" w:themeColor="text1"/>
          <w:sz w:val="22"/>
          <w:lang w:val="es-ES_tradnl"/>
        </w:rPr>
        <w:t xml:space="preserve"> en reiteradas oportunidades</w:t>
      </w:r>
      <w:r w:rsidR="00CA4BEF">
        <w:rPr>
          <w:rFonts w:ascii="Arial" w:hAnsi="Arial" w:cs="Arial"/>
          <w:color w:val="000000" w:themeColor="text1"/>
          <w:sz w:val="22"/>
          <w:lang w:val="es-ES_tradnl"/>
        </w:rPr>
        <w:t>,</w:t>
      </w:r>
      <w:r w:rsidR="00621CD3">
        <w:rPr>
          <w:rFonts w:ascii="Arial" w:hAnsi="Arial" w:cs="Arial"/>
          <w:color w:val="000000" w:themeColor="text1"/>
          <w:sz w:val="22"/>
          <w:lang w:val="es-ES_tradnl"/>
        </w:rPr>
        <w:t xml:space="preserve"> ha analizado la procedencia de los medios electrónicos</w:t>
      </w:r>
      <w:r w:rsidR="00182D39">
        <w:rPr>
          <w:rFonts w:ascii="Arial" w:hAnsi="Arial" w:cs="Arial"/>
          <w:color w:val="000000" w:themeColor="text1"/>
          <w:sz w:val="22"/>
          <w:lang w:val="es-ES_tradnl"/>
        </w:rPr>
        <w:t xml:space="preserve">, </w:t>
      </w:r>
      <w:r w:rsidR="001F74A8">
        <w:rPr>
          <w:rFonts w:ascii="Arial" w:hAnsi="Arial" w:cs="Arial"/>
          <w:color w:val="000000" w:themeColor="text1"/>
          <w:sz w:val="22"/>
          <w:lang w:val="es-ES_tradnl"/>
        </w:rPr>
        <w:t>como instrumentos permitidos para la sustanciación de l</w:t>
      </w:r>
      <w:r w:rsidR="00CA4BEF">
        <w:rPr>
          <w:rFonts w:ascii="Arial" w:hAnsi="Arial" w:cs="Arial"/>
          <w:color w:val="000000" w:themeColor="text1"/>
          <w:sz w:val="22"/>
          <w:lang w:val="es-ES_tradnl"/>
        </w:rPr>
        <w:t xml:space="preserve">as actuaciones </w:t>
      </w:r>
      <w:r w:rsidR="00782BC8">
        <w:rPr>
          <w:rFonts w:ascii="Arial" w:hAnsi="Arial" w:cs="Arial"/>
          <w:color w:val="000000" w:themeColor="text1"/>
          <w:sz w:val="22"/>
          <w:lang w:val="es-ES_tradnl"/>
        </w:rPr>
        <w:t xml:space="preserve">administrativas </w:t>
      </w:r>
      <w:r w:rsidR="00CA4BEF">
        <w:rPr>
          <w:rFonts w:ascii="Arial" w:hAnsi="Arial" w:cs="Arial"/>
          <w:color w:val="000000" w:themeColor="text1"/>
          <w:sz w:val="22"/>
          <w:lang w:val="es-ES_tradnl"/>
        </w:rPr>
        <w:t>contractuales. Así</w:t>
      </w:r>
      <w:r w:rsidR="0038314E">
        <w:rPr>
          <w:rFonts w:ascii="Arial" w:hAnsi="Arial" w:cs="Arial"/>
          <w:color w:val="000000" w:themeColor="text1"/>
          <w:sz w:val="22"/>
          <w:lang w:val="es-ES_tradnl"/>
        </w:rPr>
        <w:t xml:space="preserve"> lo hizo en los conceptos</w:t>
      </w:r>
      <w:r w:rsidR="00182D39">
        <w:rPr>
          <w:rFonts w:ascii="Arial" w:hAnsi="Arial" w:cs="Arial"/>
          <w:color w:val="000000" w:themeColor="text1"/>
          <w:sz w:val="22"/>
          <w:lang w:val="es-ES_tradnl"/>
        </w:rPr>
        <w:t>:</w:t>
      </w:r>
      <w:r w:rsidR="0038314E">
        <w:rPr>
          <w:rFonts w:ascii="Arial" w:hAnsi="Arial" w:cs="Arial"/>
          <w:color w:val="000000" w:themeColor="text1"/>
          <w:sz w:val="22"/>
          <w:lang w:val="es-ES_tradnl"/>
        </w:rPr>
        <w:t xml:space="preserve"> </w:t>
      </w:r>
      <w:r w:rsidR="00C15A75">
        <w:rPr>
          <w:rFonts w:ascii="Arial" w:hAnsi="Arial" w:cs="Arial"/>
          <w:color w:val="000000" w:themeColor="text1"/>
          <w:sz w:val="22"/>
          <w:lang w:val="es-ES_tradnl"/>
        </w:rPr>
        <w:t xml:space="preserve">C-243 del 24 de marzo de 2020, </w:t>
      </w:r>
      <w:r w:rsidR="00CA65F0">
        <w:rPr>
          <w:rFonts w:ascii="Arial" w:hAnsi="Arial" w:cs="Arial"/>
          <w:color w:val="000000" w:themeColor="text1"/>
          <w:sz w:val="22"/>
          <w:lang w:val="es-ES_tradnl"/>
        </w:rPr>
        <w:t xml:space="preserve">C-245 del 7 de abril de 2020, </w:t>
      </w:r>
      <w:r w:rsidR="00063F8B">
        <w:rPr>
          <w:rFonts w:ascii="Arial" w:hAnsi="Arial" w:cs="Arial"/>
          <w:color w:val="000000" w:themeColor="text1"/>
          <w:sz w:val="22"/>
          <w:lang w:val="es-ES_tradnl"/>
        </w:rPr>
        <w:t xml:space="preserve">C-247 del 7 de abril de 2020, </w:t>
      </w:r>
      <w:r w:rsidR="00DE1F72">
        <w:rPr>
          <w:rFonts w:ascii="Arial" w:hAnsi="Arial" w:cs="Arial"/>
          <w:color w:val="000000" w:themeColor="text1"/>
          <w:sz w:val="22"/>
          <w:lang w:val="es-ES_tradnl"/>
        </w:rPr>
        <w:t xml:space="preserve">C-253 del 7 de abril de 2020, </w:t>
      </w:r>
      <w:r w:rsidR="00FD2BD3">
        <w:rPr>
          <w:rFonts w:ascii="Arial" w:hAnsi="Arial" w:cs="Arial"/>
          <w:color w:val="000000" w:themeColor="text1"/>
          <w:sz w:val="22"/>
          <w:lang w:val="es-ES_tradnl"/>
        </w:rPr>
        <w:t xml:space="preserve">C-254 del 7 de abril de 2020, </w:t>
      </w:r>
      <w:r w:rsidR="0071140F">
        <w:rPr>
          <w:rFonts w:ascii="Arial" w:hAnsi="Arial" w:cs="Arial"/>
          <w:color w:val="000000" w:themeColor="text1"/>
          <w:sz w:val="22"/>
          <w:lang w:val="es-ES_tradnl"/>
        </w:rPr>
        <w:t xml:space="preserve">C-016 del 21 de abril de 2020, </w:t>
      </w:r>
      <w:r w:rsidR="008A525C">
        <w:rPr>
          <w:rFonts w:ascii="Arial" w:hAnsi="Arial" w:cs="Arial"/>
          <w:color w:val="000000" w:themeColor="text1"/>
          <w:sz w:val="22"/>
          <w:lang w:val="es-ES_tradnl"/>
        </w:rPr>
        <w:t>C-017 del</w:t>
      </w:r>
      <w:r w:rsidR="00E921DD">
        <w:rPr>
          <w:rFonts w:ascii="Arial" w:hAnsi="Arial" w:cs="Arial"/>
          <w:color w:val="000000" w:themeColor="text1"/>
          <w:sz w:val="22"/>
          <w:lang w:val="es-ES_tradnl"/>
        </w:rPr>
        <w:t xml:space="preserve"> 27 de abril de 2020,</w:t>
      </w:r>
      <w:r w:rsidR="000206C7">
        <w:rPr>
          <w:rFonts w:ascii="Arial" w:hAnsi="Arial" w:cs="Arial"/>
          <w:color w:val="000000" w:themeColor="text1"/>
          <w:sz w:val="22"/>
          <w:lang w:val="es-ES_tradnl"/>
        </w:rPr>
        <w:t xml:space="preserve"> C-262 del 27 de abril de 2020</w:t>
      </w:r>
      <w:r w:rsidR="000048F3">
        <w:rPr>
          <w:rFonts w:ascii="Arial" w:hAnsi="Arial" w:cs="Arial"/>
          <w:color w:val="000000" w:themeColor="text1"/>
          <w:sz w:val="22"/>
          <w:lang w:val="es-ES_tradnl"/>
        </w:rPr>
        <w:t>,</w:t>
      </w:r>
      <w:r w:rsidR="000F4A0B">
        <w:rPr>
          <w:rFonts w:ascii="Arial" w:hAnsi="Arial" w:cs="Arial"/>
          <w:color w:val="000000" w:themeColor="text1"/>
          <w:sz w:val="22"/>
          <w:lang w:val="es-ES_tradnl"/>
        </w:rPr>
        <w:t xml:space="preserve"> C-296 del 21 de mayo de 2020, </w:t>
      </w:r>
      <w:r w:rsidR="000048F3">
        <w:rPr>
          <w:rFonts w:ascii="Arial" w:hAnsi="Arial" w:cs="Arial"/>
          <w:color w:val="000000" w:themeColor="text1"/>
          <w:sz w:val="22"/>
          <w:lang w:val="es-ES_tradnl"/>
        </w:rPr>
        <w:t>C-287 del 27 de mayo de 2020</w:t>
      </w:r>
      <w:r w:rsidR="00457941">
        <w:rPr>
          <w:rFonts w:ascii="Arial" w:hAnsi="Arial" w:cs="Arial"/>
          <w:color w:val="000000" w:themeColor="text1"/>
          <w:sz w:val="22"/>
          <w:lang w:val="es-ES_tradnl"/>
        </w:rPr>
        <w:t>, C-292 del 28 de mayo de 2020</w:t>
      </w:r>
      <w:r w:rsidR="000D339B">
        <w:rPr>
          <w:rFonts w:ascii="Arial" w:hAnsi="Arial" w:cs="Arial"/>
          <w:color w:val="000000" w:themeColor="text1"/>
          <w:sz w:val="22"/>
          <w:lang w:val="es-ES_tradnl"/>
        </w:rPr>
        <w:t>, C-754 del 23 de diciembre de 2020</w:t>
      </w:r>
      <w:r w:rsidR="007C2EF4">
        <w:rPr>
          <w:rFonts w:ascii="Arial" w:hAnsi="Arial" w:cs="Arial"/>
          <w:color w:val="000000" w:themeColor="text1"/>
          <w:sz w:val="22"/>
          <w:lang w:val="es-ES_tradnl"/>
        </w:rPr>
        <w:t xml:space="preserve">, C-193 del 3 de mayo de 2021, </w:t>
      </w:r>
      <w:r w:rsidR="002D7D3E">
        <w:rPr>
          <w:rFonts w:ascii="Arial" w:hAnsi="Arial" w:cs="Arial"/>
          <w:color w:val="000000" w:themeColor="text1"/>
          <w:sz w:val="22"/>
          <w:lang w:val="es-ES_tradnl"/>
        </w:rPr>
        <w:t>C-</w:t>
      </w:r>
      <w:r w:rsidR="00136E16">
        <w:rPr>
          <w:rFonts w:ascii="Arial" w:hAnsi="Arial" w:cs="Arial"/>
          <w:color w:val="000000" w:themeColor="text1"/>
          <w:sz w:val="22"/>
          <w:lang w:val="es-ES_tradnl"/>
        </w:rPr>
        <w:t xml:space="preserve">753 del </w:t>
      </w:r>
      <w:r w:rsidR="00E05831">
        <w:rPr>
          <w:rFonts w:ascii="Arial" w:hAnsi="Arial" w:cs="Arial"/>
          <w:color w:val="000000" w:themeColor="text1"/>
          <w:sz w:val="22"/>
          <w:lang w:val="es-ES_tradnl"/>
        </w:rPr>
        <w:t>6 de febrero de 2022</w:t>
      </w:r>
      <w:r w:rsidR="00431645">
        <w:rPr>
          <w:rFonts w:ascii="Arial" w:hAnsi="Arial" w:cs="Arial"/>
          <w:color w:val="000000" w:themeColor="text1"/>
          <w:sz w:val="22"/>
          <w:lang w:val="es-ES_tradnl"/>
        </w:rPr>
        <w:t xml:space="preserve"> y </w:t>
      </w:r>
      <w:r w:rsidR="00142C05">
        <w:rPr>
          <w:rFonts w:ascii="Arial" w:hAnsi="Arial" w:cs="Arial"/>
          <w:color w:val="000000" w:themeColor="text1"/>
          <w:sz w:val="22"/>
          <w:lang w:val="es-ES_tradnl"/>
        </w:rPr>
        <w:t>C-030</w:t>
      </w:r>
      <w:r w:rsidR="00D42155">
        <w:rPr>
          <w:rFonts w:ascii="Arial" w:hAnsi="Arial" w:cs="Arial"/>
          <w:color w:val="000000" w:themeColor="text1"/>
          <w:sz w:val="22"/>
          <w:lang w:val="es-ES_tradnl"/>
        </w:rPr>
        <w:t xml:space="preserve"> del 25 de febrero de 2022</w:t>
      </w:r>
      <w:r w:rsidR="00431645">
        <w:rPr>
          <w:rFonts w:ascii="Arial" w:hAnsi="Arial" w:cs="Arial"/>
          <w:color w:val="000000" w:themeColor="text1"/>
          <w:sz w:val="22"/>
          <w:lang w:val="es-ES_tradnl"/>
        </w:rPr>
        <w:t>.</w:t>
      </w:r>
      <w:r w:rsidR="00E921DD">
        <w:rPr>
          <w:rFonts w:ascii="Arial" w:hAnsi="Arial" w:cs="Arial"/>
          <w:color w:val="000000" w:themeColor="text1"/>
          <w:sz w:val="22"/>
          <w:lang w:val="es-ES_tradnl"/>
        </w:rPr>
        <w:t xml:space="preserve"> </w:t>
      </w:r>
      <w:r w:rsidR="00182D39">
        <w:rPr>
          <w:rFonts w:ascii="Arial" w:hAnsi="Arial" w:cs="Arial"/>
          <w:color w:val="000000" w:themeColor="text1"/>
          <w:sz w:val="22"/>
          <w:lang w:val="es-ES_tradnl"/>
        </w:rPr>
        <w:t>La tesis sostenida en dichos pronunciamientos será reiterada a continuació</w:t>
      </w:r>
      <w:r w:rsidR="00A84308">
        <w:rPr>
          <w:rFonts w:ascii="Arial" w:hAnsi="Arial" w:cs="Arial"/>
          <w:color w:val="000000" w:themeColor="text1"/>
          <w:sz w:val="22"/>
          <w:lang w:val="es-ES_tradnl"/>
        </w:rPr>
        <w:t>n, complementándola con algunas ideas adicionales frente a la consulta que se estudia en esta ocasión.</w:t>
      </w:r>
    </w:p>
    <w:p w14:paraId="541DF2F5" w14:textId="77777777" w:rsidR="00782BC8" w:rsidRDefault="00782BC8" w:rsidP="00C03034">
      <w:pPr>
        <w:spacing w:line="276" w:lineRule="auto"/>
        <w:jc w:val="both"/>
        <w:rPr>
          <w:rFonts w:ascii="Arial" w:hAnsi="Arial" w:cs="Arial"/>
          <w:color w:val="000000" w:themeColor="text1"/>
          <w:sz w:val="22"/>
          <w:lang w:val="es-ES_tradnl"/>
        </w:rPr>
      </w:pPr>
    </w:p>
    <w:p w14:paraId="1FD3E402" w14:textId="30053DBB" w:rsidR="00C03034" w:rsidRPr="006F1B1E" w:rsidRDefault="00C03034" w:rsidP="00C03034">
      <w:pPr>
        <w:spacing w:line="276" w:lineRule="auto"/>
        <w:jc w:val="both"/>
        <w:rPr>
          <w:rFonts w:ascii="Arial" w:hAnsi="Arial" w:cs="Arial"/>
          <w:color w:val="000000" w:themeColor="text1"/>
          <w:sz w:val="22"/>
          <w:lang w:val="es-ES_tradnl"/>
        </w:rPr>
      </w:pPr>
      <w:r w:rsidRPr="006F1B1E">
        <w:rPr>
          <w:rFonts w:ascii="Arial" w:hAnsi="Arial" w:cs="Arial"/>
          <w:b/>
          <w:color w:val="000000" w:themeColor="text1"/>
          <w:sz w:val="22"/>
          <w:lang w:val="es-ES_tradnl"/>
        </w:rPr>
        <w:t>2.1. Uso de medios electrónicos en las actuaciones administrativas y, en especial</w:t>
      </w:r>
      <w:r w:rsidR="00CB084D" w:rsidRPr="006F1B1E">
        <w:rPr>
          <w:rFonts w:ascii="Arial" w:hAnsi="Arial" w:cs="Arial"/>
          <w:b/>
          <w:color w:val="000000" w:themeColor="text1"/>
          <w:sz w:val="22"/>
          <w:lang w:val="es-ES_tradnl"/>
        </w:rPr>
        <w:t>, en la contratación pública</w:t>
      </w:r>
      <w:r w:rsidRPr="006F1B1E">
        <w:rPr>
          <w:rFonts w:ascii="Arial" w:hAnsi="Arial" w:cs="Arial"/>
          <w:b/>
          <w:color w:val="000000" w:themeColor="text1"/>
          <w:sz w:val="22"/>
          <w:lang w:val="es-ES_tradnl"/>
        </w:rPr>
        <w:t xml:space="preserve">: la tendencia </w:t>
      </w:r>
      <w:r w:rsidR="000B5488" w:rsidRPr="006F1B1E">
        <w:rPr>
          <w:rFonts w:ascii="Arial" w:hAnsi="Arial" w:cs="Arial"/>
          <w:b/>
          <w:color w:val="000000" w:themeColor="text1"/>
          <w:sz w:val="22"/>
          <w:lang w:val="es-ES_tradnl"/>
        </w:rPr>
        <w:t>de</w:t>
      </w:r>
      <w:r w:rsidRPr="006F1B1E">
        <w:rPr>
          <w:rFonts w:ascii="Arial" w:hAnsi="Arial" w:cs="Arial"/>
          <w:b/>
          <w:color w:val="000000" w:themeColor="text1"/>
          <w:sz w:val="22"/>
          <w:lang w:val="es-ES_tradnl"/>
        </w:rPr>
        <w:t xml:space="preserve"> simplificación de los trámites y la cultura del cero papel</w:t>
      </w:r>
    </w:p>
    <w:p w14:paraId="1EDEE464" w14:textId="77777777" w:rsidR="00C03034" w:rsidRPr="006F1B1E" w:rsidRDefault="00C03034" w:rsidP="00C03034">
      <w:pPr>
        <w:spacing w:line="276" w:lineRule="auto"/>
        <w:jc w:val="both"/>
        <w:rPr>
          <w:rFonts w:ascii="Arial" w:eastAsia="Calibri" w:hAnsi="Arial" w:cs="Arial"/>
          <w:color w:val="000000" w:themeColor="text1"/>
          <w:sz w:val="22"/>
          <w:lang w:val="es-ES_tradnl"/>
        </w:rPr>
      </w:pPr>
    </w:p>
    <w:p w14:paraId="67EC84A0" w14:textId="17779551" w:rsidR="00C03034" w:rsidRPr="006F1B1E" w:rsidRDefault="00C03034" w:rsidP="00C03034">
      <w:pPr>
        <w:spacing w:line="276" w:lineRule="auto"/>
        <w:jc w:val="both"/>
        <w:rPr>
          <w:rFonts w:ascii="Arial" w:eastAsia="Calibri" w:hAnsi="Arial" w:cs="Arial"/>
          <w:color w:val="000000" w:themeColor="text1"/>
          <w:sz w:val="22"/>
          <w:lang w:val="es-ES_tradnl"/>
        </w:rPr>
      </w:pPr>
      <w:r w:rsidRPr="006F1B1E">
        <w:rPr>
          <w:rFonts w:ascii="Arial" w:eastAsia="Calibri" w:hAnsi="Arial" w:cs="Arial"/>
          <w:color w:val="000000" w:themeColor="text1"/>
          <w:sz w:val="22"/>
          <w:lang w:val="es-ES_tradnl"/>
        </w:rPr>
        <w:lastRenderedPageBreak/>
        <w:t xml:space="preserve">Desde hace varios años se ha presentado una tendencia consistente en la eliminación de los trámites innecesarios relacionados con las actuaciones que se adelantan ante las autoridades. Lo que se busca con ello es que las personas tengan una mejor calidad de vida, como resultado de la facilidad para </w:t>
      </w:r>
      <w:r w:rsidR="000B5488" w:rsidRPr="006F1B1E">
        <w:rPr>
          <w:rFonts w:ascii="Arial" w:eastAsia="Calibri" w:hAnsi="Arial" w:cs="Arial"/>
          <w:color w:val="000000" w:themeColor="text1"/>
          <w:sz w:val="22"/>
          <w:lang w:val="es-ES_tradnl"/>
        </w:rPr>
        <w:t>realizar</w:t>
      </w:r>
      <w:r w:rsidRPr="006F1B1E">
        <w:rPr>
          <w:rFonts w:ascii="Arial" w:eastAsia="Calibri" w:hAnsi="Arial" w:cs="Arial"/>
          <w:color w:val="000000" w:themeColor="text1"/>
          <w:sz w:val="22"/>
          <w:lang w:val="es-ES_tradnl"/>
        </w:rPr>
        <w:t xml:space="preserve"> los trámites en el Estado, de manera que puedan utilizar este tiempo en otras actividades.</w:t>
      </w:r>
    </w:p>
    <w:p w14:paraId="77A8E615" w14:textId="2E4DC771" w:rsidR="00C03034" w:rsidRPr="006F1B1E" w:rsidRDefault="00CB084D" w:rsidP="00C03034">
      <w:pPr>
        <w:spacing w:before="120" w:after="120" w:line="276" w:lineRule="auto"/>
        <w:ind w:firstLine="709"/>
        <w:jc w:val="both"/>
        <w:rPr>
          <w:rFonts w:ascii="Arial" w:eastAsia="Calibri" w:hAnsi="Arial" w:cs="Arial"/>
          <w:color w:val="000000" w:themeColor="text1"/>
          <w:sz w:val="22"/>
          <w:lang w:val="es-ES_tradnl"/>
        </w:rPr>
      </w:pPr>
      <w:r w:rsidRPr="006F1B1E">
        <w:rPr>
          <w:rFonts w:ascii="Arial" w:eastAsia="Calibri" w:hAnsi="Arial" w:cs="Arial"/>
          <w:color w:val="000000" w:themeColor="text1"/>
          <w:sz w:val="22"/>
          <w:lang w:val="es-ES_tradnl"/>
        </w:rPr>
        <w:t xml:space="preserve">Anteriormente </w:t>
      </w:r>
      <w:r w:rsidR="00C03034" w:rsidRPr="006F1B1E">
        <w:rPr>
          <w:rFonts w:ascii="Arial" w:eastAsia="Calibri" w:hAnsi="Arial" w:cs="Arial"/>
          <w:color w:val="000000" w:themeColor="text1"/>
          <w:sz w:val="22"/>
          <w:lang w:val="es-ES_tradnl"/>
        </w:rPr>
        <w:t xml:space="preserve">la totalidad de las actuaciones oficiales, es decir, las que se efectuaban ante las entidades públicas, debían surtirse de manera presencial o a través del envío de documentación física, muchas veces cumpliendo con el requisito de la presentación personal. En la actualidad, se viene produciendo una inversión en la lógica que rige la relación de los ciudadanos con el Estado: i) en lugar de la presencialidad, se ha comenzado a privilegiar la virtualidad y ii) del reconocimiento de validez y autenticidad, exclusivamente, a la documentación física, hoy también se admiten dichos atributos </w:t>
      </w:r>
      <w:r w:rsidR="002C13A0" w:rsidRPr="006F1B1E">
        <w:rPr>
          <w:rFonts w:ascii="Arial" w:eastAsia="Calibri" w:hAnsi="Arial" w:cs="Arial"/>
          <w:color w:val="000000" w:themeColor="text1"/>
          <w:sz w:val="22"/>
          <w:lang w:val="es-ES_tradnl"/>
        </w:rPr>
        <w:t>respecto de</w:t>
      </w:r>
      <w:r w:rsidR="00C03034" w:rsidRPr="006F1B1E">
        <w:rPr>
          <w:rFonts w:ascii="Arial" w:eastAsia="Calibri" w:hAnsi="Arial" w:cs="Arial"/>
          <w:color w:val="000000" w:themeColor="text1"/>
          <w:sz w:val="22"/>
          <w:lang w:val="es-ES_tradnl"/>
        </w:rPr>
        <w:t xml:space="preserve"> la documentación electrónica.</w:t>
      </w:r>
    </w:p>
    <w:p w14:paraId="667887D2" w14:textId="1C8CAE0D" w:rsidR="001A251A" w:rsidRPr="006F1B1E" w:rsidRDefault="00E96B49" w:rsidP="004A0BC4">
      <w:pPr>
        <w:spacing w:before="120" w:after="120" w:line="276" w:lineRule="auto"/>
        <w:ind w:firstLine="709"/>
        <w:jc w:val="both"/>
        <w:rPr>
          <w:rFonts w:ascii="Arial" w:eastAsia="Calibri" w:hAnsi="Arial" w:cs="Arial"/>
          <w:color w:val="000000" w:themeColor="text1"/>
          <w:sz w:val="22"/>
          <w:lang w:val="es-ES_tradnl"/>
        </w:rPr>
      </w:pPr>
      <w:r w:rsidRPr="006F1B1E">
        <w:rPr>
          <w:rFonts w:ascii="Arial" w:eastAsia="Calibri" w:hAnsi="Arial" w:cs="Arial"/>
          <w:color w:val="000000" w:themeColor="text1"/>
          <w:sz w:val="22"/>
          <w:lang w:val="es-ES_tradnl"/>
        </w:rPr>
        <w:t>La función</w:t>
      </w:r>
      <w:r w:rsidR="00C03034" w:rsidRPr="006F1B1E">
        <w:rPr>
          <w:rFonts w:ascii="Arial" w:eastAsia="Calibri" w:hAnsi="Arial" w:cs="Arial"/>
          <w:color w:val="000000" w:themeColor="text1"/>
          <w:sz w:val="22"/>
          <w:lang w:val="es-ES_tradnl"/>
        </w:rPr>
        <w:t xml:space="preserve"> que han jugado las normas </w:t>
      </w:r>
      <w:r w:rsidR="00AE0AB1" w:rsidRPr="006F1B1E">
        <w:rPr>
          <w:rFonts w:ascii="Arial" w:eastAsia="Calibri" w:hAnsi="Arial" w:cs="Arial"/>
          <w:color w:val="000000" w:themeColor="text1"/>
          <w:sz w:val="22"/>
          <w:lang w:val="es-ES_tradnl"/>
        </w:rPr>
        <w:t>«</w:t>
      </w:r>
      <w:r w:rsidR="00C03034" w:rsidRPr="006F1B1E">
        <w:rPr>
          <w:rFonts w:ascii="Arial" w:eastAsia="Calibri" w:hAnsi="Arial" w:cs="Arial"/>
          <w:color w:val="000000" w:themeColor="text1"/>
          <w:sz w:val="22"/>
          <w:lang w:val="es-ES_tradnl"/>
        </w:rPr>
        <w:t>antitrámites</w:t>
      </w:r>
      <w:r w:rsidR="00AE0AB1" w:rsidRPr="006F1B1E">
        <w:rPr>
          <w:rFonts w:ascii="Arial" w:eastAsia="Calibri" w:hAnsi="Arial" w:cs="Arial"/>
          <w:color w:val="000000" w:themeColor="text1"/>
          <w:sz w:val="22"/>
          <w:lang w:val="es-ES_tradnl"/>
        </w:rPr>
        <w:t>»</w:t>
      </w:r>
      <w:r w:rsidR="00C03034" w:rsidRPr="006F1B1E">
        <w:rPr>
          <w:rFonts w:ascii="Arial" w:eastAsia="Calibri" w:hAnsi="Arial" w:cs="Arial"/>
          <w:color w:val="000000" w:themeColor="text1"/>
          <w:sz w:val="22"/>
          <w:lang w:val="es-ES_tradnl"/>
        </w:rPr>
        <w:t>, para que dicho camb</w:t>
      </w:r>
      <w:r w:rsidR="004652CB" w:rsidRPr="006F1B1E">
        <w:rPr>
          <w:rFonts w:ascii="Arial" w:eastAsia="Calibri" w:hAnsi="Arial" w:cs="Arial"/>
          <w:color w:val="000000" w:themeColor="text1"/>
          <w:sz w:val="22"/>
          <w:lang w:val="es-ES_tradnl"/>
        </w:rPr>
        <w:t>io se produzca, ha sido decisiva</w:t>
      </w:r>
      <w:r w:rsidR="00C03034" w:rsidRPr="006F1B1E">
        <w:rPr>
          <w:rFonts w:ascii="Arial" w:eastAsia="Calibri" w:hAnsi="Arial" w:cs="Arial"/>
          <w:color w:val="000000" w:themeColor="text1"/>
          <w:sz w:val="22"/>
          <w:lang w:val="es-ES_tradnl"/>
        </w:rPr>
        <w:t xml:space="preserve">. </w:t>
      </w:r>
      <w:r w:rsidR="00AE07A7" w:rsidRPr="006F1B1E">
        <w:rPr>
          <w:rFonts w:ascii="Arial" w:eastAsia="Calibri" w:hAnsi="Arial" w:cs="Arial"/>
          <w:color w:val="000000" w:themeColor="text1"/>
          <w:sz w:val="22"/>
          <w:lang w:val="es-ES_tradnl"/>
        </w:rPr>
        <w:t>El Decreto 2150 de 1995 constituye un primer antecedente en la materia. Posteriormente, e</w:t>
      </w:r>
      <w:r w:rsidR="00E64C62" w:rsidRPr="006F1B1E">
        <w:rPr>
          <w:rFonts w:ascii="Arial" w:eastAsia="Calibri" w:hAnsi="Arial" w:cs="Arial"/>
          <w:color w:val="000000" w:themeColor="text1"/>
          <w:sz w:val="22"/>
          <w:lang w:val="es-ES_tradnl"/>
        </w:rPr>
        <w:t>l art</w:t>
      </w:r>
      <w:r w:rsidR="00341249" w:rsidRPr="006F1B1E">
        <w:rPr>
          <w:rFonts w:ascii="Arial" w:eastAsia="Calibri" w:hAnsi="Arial" w:cs="Arial"/>
          <w:color w:val="000000" w:themeColor="text1"/>
          <w:sz w:val="22"/>
          <w:lang w:val="es-ES_tradnl"/>
        </w:rPr>
        <w:t>ículo 6º de la Ley 962 de 2005</w:t>
      </w:r>
      <w:r w:rsidR="00875F1A" w:rsidRPr="006F1B1E">
        <w:rPr>
          <w:rStyle w:val="Refdenotaalpie"/>
          <w:rFonts w:ascii="Arial" w:eastAsia="Calibri" w:hAnsi="Arial" w:cs="Arial"/>
          <w:color w:val="000000" w:themeColor="text1"/>
          <w:sz w:val="22"/>
          <w:lang w:val="es-ES_tradnl"/>
        </w:rPr>
        <w:footnoteReference w:id="1"/>
      </w:r>
      <w:r w:rsidR="00341249" w:rsidRPr="006F1B1E">
        <w:rPr>
          <w:rFonts w:ascii="Arial" w:eastAsia="Calibri" w:hAnsi="Arial" w:cs="Arial"/>
          <w:color w:val="000000" w:themeColor="text1"/>
          <w:sz w:val="22"/>
          <w:lang w:val="es-ES_tradnl"/>
        </w:rPr>
        <w:t xml:space="preserve"> dispuso que las entidades públicas podían servirse de medios electrónicos para el cumplimiento de sus funciones</w:t>
      </w:r>
      <w:r w:rsidR="00341249" w:rsidRPr="006F1B1E">
        <w:rPr>
          <w:rStyle w:val="Refdenotaalpie"/>
          <w:rFonts w:ascii="Arial" w:eastAsia="Calibri" w:hAnsi="Arial" w:cs="Arial"/>
          <w:color w:val="000000" w:themeColor="text1"/>
          <w:sz w:val="22"/>
          <w:lang w:val="es-ES_tradnl"/>
        </w:rPr>
        <w:footnoteReference w:id="2"/>
      </w:r>
      <w:r w:rsidR="00341249" w:rsidRPr="006F1B1E">
        <w:rPr>
          <w:rFonts w:ascii="Arial" w:eastAsia="Calibri" w:hAnsi="Arial" w:cs="Arial"/>
          <w:color w:val="000000" w:themeColor="text1"/>
          <w:sz w:val="22"/>
          <w:lang w:val="es-ES_tradnl"/>
        </w:rPr>
        <w:t>.</w:t>
      </w:r>
      <w:r w:rsidR="002D78D2" w:rsidRPr="006F1B1E">
        <w:rPr>
          <w:rFonts w:ascii="Arial" w:eastAsia="Calibri" w:hAnsi="Arial" w:cs="Arial"/>
          <w:color w:val="000000" w:themeColor="text1"/>
          <w:sz w:val="22"/>
          <w:lang w:val="es-ES_tradnl"/>
        </w:rPr>
        <w:t xml:space="preserve"> El </w:t>
      </w:r>
      <w:r w:rsidR="002D78D2" w:rsidRPr="006F1B1E">
        <w:rPr>
          <w:rFonts w:ascii="Arial" w:eastAsia="Calibri" w:hAnsi="Arial" w:cs="Arial"/>
          <w:color w:val="000000" w:themeColor="text1"/>
          <w:sz w:val="22"/>
          <w:lang w:val="es-ES_tradnl"/>
        </w:rPr>
        <w:lastRenderedPageBreak/>
        <w:t>artículo 7º de la misma Ley permite la publicidad electrónica de las normas y actos generales de la Administración pública</w:t>
      </w:r>
      <w:r w:rsidR="00AE0AB1" w:rsidRPr="006F1B1E">
        <w:rPr>
          <w:rStyle w:val="Refdenotaalpie"/>
          <w:rFonts w:ascii="Arial" w:eastAsia="Calibri" w:hAnsi="Arial" w:cs="Arial"/>
          <w:color w:val="000000" w:themeColor="text1"/>
          <w:sz w:val="22"/>
          <w:lang w:val="es-ES_tradnl"/>
        </w:rPr>
        <w:footnoteReference w:id="3"/>
      </w:r>
      <w:r w:rsidR="00296E0D" w:rsidRPr="006F1B1E">
        <w:rPr>
          <w:rFonts w:ascii="Arial" w:eastAsia="Calibri" w:hAnsi="Arial" w:cs="Arial"/>
          <w:color w:val="000000" w:themeColor="text1"/>
          <w:sz w:val="22"/>
          <w:lang w:val="es-ES_tradnl"/>
        </w:rPr>
        <w:t xml:space="preserve">, </w:t>
      </w:r>
      <w:r w:rsidR="00FD3296" w:rsidRPr="006F1B1E">
        <w:rPr>
          <w:rFonts w:ascii="Arial" w:eastAsia="Calibri" w:hAnsi="Arial" w:cs="Arial"/>
          <w:color w:val="000000" w:themeColor="text1"/>
          <w:sz w:val="22"/>
          <w:lang w:val="es-ES_tradnl"/>
        </w:rPr>
        <w:t>e igualmente, el</w:t>
      </w:r>
      <w:r w:rsidR="00296E0D" w:rsidRPr="006F1B1E">
        <w:rPr>
          <w:rFonts w:ascii="Arial" w:eastAsia="Calibri" w:hAnsi="Arial" w:cs="Arial"/>
          <w:color w:val="000000" w:themeColor="text1"/>
          <w:sz w:val="22"/>
          <w:lang w:val="es-ES_tradnl"/>
        </w:rPr>
        <w:t xml:space="preserve"> artículo 10º exige que las entidades estatales tengan un correo electrónico habilitando para la recepción de mensajes enviados por las personas</w:t>
      </w:r>
      <w:r w:rsidR="00296E0D" w:rsidRPr="006F1B1E">
        <w:rPr>
          <w:rStyle w:val="Refdenotaalpie"/>
          <w:rFonts w:ascii="Arial" w:eastAsia="Calibri" w:hAnsi="Arial" w:cs="Arial"/>
          <w:color w:val="000000" w:themeColor="text1"/>
          <w:sz w:val="22"/>
          <w:lang w:val="es-ES_tradnl"/>
        </w:rPr>
        <w:footnoteReference w:id="4"/>
      </w:r>
      <w:r w:rsidR="00FD3296" w:rsidRPr="006F1B1E">
        <w:rPr>
          <w:rFonts w:ascii="Arial" w:eastAsia="Calibri" w:hAnsi="Arial" w:cs="Arial"/>
          <w:color w:val="000000" w:themeColor="text1"/>
          <w:sz w:val="22"/>
          <w:lang w:val="es-ES_tradnl"/>
        </w:rPr>
        <w:t>. Entretanto, el Decreto 19 de 2012</w:t>
      </w:r>
      <w:r w:rsidR="000E6AC1" w:rsidRPr="006F1B1E">
        <w:rPr>
          <w:rStyle w:val="Refdenotaalpie"/>
          <w:rFonts w:ascii="Arial" w:eastAsia="Calibri" w:hAnsi="Arial" w:cs="Arial"/>
          <w:color w:val="000000" w:themeColor="text1"/>
          <w:sz w:val="22"/>
          <w:lang w:val="es-ES_tradnl"/>
        </w:rPr>
        <w:footnoteReference w:id="5"/>
      </w:r>
      <w:r w:rsidR="000E6AC1" w:rsidRPr="006F1B1E">
        <w:rPr>
          <w:rFonts w:ascii="Arial" w:eastAsia="Calibri" w:hAnsi="Arial" w:cs="Arial"/>
          <w:color w:val="000000" w:themeColor="text1"/>
          <w:sz w:val="22"/>
          <w:lang w:val="es-ES_tradnl"/>
        </w:rPr>
        <w:t xml:space="preserve"> </w:t>
      </w:r>
      <w:r w:rsidR="0039790D" w:rsidRPr="006F1B1E">
        <w:rPr>
          <w:rFonts w:ascii="Arial" w:eastAsia="Calibri" w:hAnsi="Arial" w:cs="Arial"/>
          <w:color w:val="000000" w:themeColor="text1"/>
          <w:sz w:val="22"/>
          <w:lang w:val="es-ES_tradnl"/>
        </w:rPr>
        <w:t xml:space="preserve">continuó la tendencia de poner a disposición de los particulares y </w:t>
      </w:r>
      <w:r w:rsidR="002C13A0" w:rsidRPr="006F1B1E">
        <w:rPr>
          <w:rFonts w:ascii="Arial" w:eastAsia="Calibri" w:hAnsi="Arial" w:cs="Arial"/>
          <w:color w:val="000000" w:themeColor="text1"/>
          <w:sz w:val="22"/>
          <w:lang w:val="es-ES_tradnl"/>
        </w:rPr>
        <w:t xml:space="preserve">de las </w:t>
      </w:r>
      <w:r w:rsidR="0039790D" w:rsidRPr="006F1B1E">
        <w:rPr>
          <w:rFonts w:ascii="Arial" w:eastAsia="Calibri" w:hAnsi="Arial" w:cs="Arial"/>
          <w:color w:val="000000" w:themeColor="text1"/>
          <w:sz w:val="22"/>
          <w:lang w:val="es-ES_tradnl"/>
        </w:rPr>
        <w:t>entidades estatales los medios electrónicos</w:t>
      </w:r>
      <w:r w:rsidR="002C13A0" w:rsidRPr="006F1B1E">
        <w:rPr>
          <w:rFonts w:ascii="Arial" w:eastAsia="Calibri" w:hAnsi="Arial" w:cs="Arial"/>
          <w:color w:val="000000" w:themeColor="text1"/>
          <w:sz w:val="22"/>
          <w:lang w:val="es-ES_tradnl"/>
        </w:rPr>
        <w:t>,</w:t>
      </w:r>
      <w:r w:rsidR="0039790D" w:rsidRPr="006F1B1E">
        <w:rPr>
          <w:rFonts w:ascii="Arial" w:eastAsia="Calibri" w:hAnsi="Arial" w:cs="Arial"/>
          <w:color w:val="000000" w:themeColor="text1"/>
          <w:sz w:val="22"/>
          <w:lang w:val="es-ES_tradnl"/>
        </w:rPr>
        <w:t xml:space="preserve"> como instrumentos idóneos para el desarrollo de sus actividades </w:t>
      </w:r>
      <w:r w:rsidR="007C546D" w:rsidRPr="006F1B1E">
        <w:rPr>
          <w:rFonts w:ascii="Arial" w:eastAsia="Calibri" w:hAnsi="Arial" w:cs="Arial"/>
          <w:color w:val="000000" w:themeColor="text1"/>
          <w:sz w:val="22"/>
          <w:lang w:val="es-ES_tradnl"/>
        </w:rPr>
        <w:t>cotidianas</w:t>
      </w:r>
      <w:r w:rsidR="0039790D" w:rsidRPr="006F1B1E">
        <w:rPr>
          <w:rFonts w:ascii="Arial" w:eastAsia="Calibri" w:hAnsi="Arial" w:cs="Arial"/>
          <w:color w:val="000000" w:themeColor="text1"/>
          <w:sz w:val="22"/>
          <w:lang w:val="es-ES_tradnl"/>
        </w:rPr>
        <w:t>.</w:t>
      </w:r>
      <w:r w:rsidR="00DF50C0" w:rsidRPr="006F1B1E">
        <w:rPr>
          <w:rFonts w:ascii="Arial" w:eastAsia="Calibri" w:hAnsi="Arial" w:cs="Arial"/>
          <w:color w:val="000000" w:themeColor="text1"/>
          <w:sz w:val="22"/>
          <w:lang w:val="es-ES_tradnl"/>
        </w:rPr>
        <w:t xml:space="preserve"> Conviene destacar de este</w:t>
      </w:r>
      <w:r w:rsidR="007C546D" w:rsidRPr="006F1B1E">
        <w:rPr>
          <w:rFonts w:ascii="Arial" w:eastAsia="Calibri" w:hAnsi="Arial" w:cs="Arial"/>
          <w:color w:val="000000" w:themeColor="text1"/>
          <w:sz w:val="22"/>
          <w:lang w:val="es-ES_tradnl"/>
        </w:rPr>
        <w:t xml:space="preserve"> Decreto los artículos: 14 –que permite el uso de medios electrónicos para </w:t>
      </w:r>
      <w:r w:rsidR="007C546D" w:rsidRPr="006F1B1E">
        <w:rPr>
          <w:rFonts w:ascii="Arial" w:eastAsia="Calibri" w:hAnsi="Arial" w:cs="Arial"/>
          <w:color w:val="000000" w:themeColor="text1"/>
          <w:sz w:val="22"/>
          <w:lang w:val="es-ES_tradnl"/>
        </w:rPr>
        <w:lastRenderedPageBreak/>
        <w:t>la realización de peticiones–</w:t>
      </w:r>
      <w:r w:rsidR="004505FF" w:rsidRPr="006F1B1E">
        <w:rPr>
          <w:rStyle w:val="Refdenotaalpie"/>
          <w:rFonts w:ascii="Arial" w:eastAsia="Calibri" w:hAnsi="Arial" w:cs="Arial"/>
          <w:color w:val="000000" w:themeColor="text1"/>
          <w:sz w:val="22"/>
          <w:lang w:val="es-ES_tradnl"/>
        </w:rPr>
        <w:footnoteReference w:id="6"/>
      </w:r>
      <w:r w:rsidR="00127DD3" w:rsidRPr="006F1B1E">
        <w:rPr>
          <w:rFonts w:ascii="Arial" w:eastAsia="Calibri" w:hAnsi="Arial" w:cs="Arial"/>
          <w:color w:val="000000" w:themeColor="text1"/>
          <w:sz w:val="22"/>
          <w:lang w:val="es-ES_tradnl"/>
        </w:rPr>
        <w:t>, 38 –que establece como función del Departamento Administrativo de la Función Pública</w:t>
      </w:r>
      <w:r w:rsidR="00192D7C" w:rsidRPr="006F1B1E">
        <w:rPr>
          <w:rFonts w:ascii="Arial" w:eastAsia="Calibri" w:hAnsi="Arial" w:cs="Arial"/>
          <w:color w:val="000000" w:themeColor="text1"/>
          <w:sz w:val="22"/>
          <w:lang w:val="es-ES_tradnl"/>
        </w:rPr>
        <w:t xml:space="preserve">, </w:t>
      </w:r>
      <w:r w:rsidR="0063078B" w:rsidRPr="006F1B1E">
        <w:rPr>
          <w:rFonts w:ascii="Arial" w:eastAsia="Calibri" w:hAnsi="Arial" w:cs="Arial"/>
          <w:color w:val="000000" w:themeColor="text1"/>
          <w:sz w:val="22"/>
          <w:lang w:val="es-ES_tradnl"/>
        </w:rPr>
        <w:t xml:space="preserve">el </w:t>
      </w:r>
      <w:r w:rsidR="00192D7C" w:rsidRPr="006F1B1E">
        <w:rPr>
          <w:rFonts w:ascii="Arial" w:eastAsia="Calibri" w:hAnsi="Arial" w:cs="Arial"/>
          <w:color w:val="000000" w:themeColor="text1"/>
          <w:sz w:val="22"/>
          <w:lang w:val="es-ES_tradnl"/>
        </w:rPr>
        <w:t>«Facilitar el acceso a la información y ejecución de los trámites y procedimientos administrativos por medios electrónicos, creando las condiciones de confianza en el uso de los mismos»–</w:t>
      </w:r>
      <w:r w:rsidR="008C4FF4" w:rsidRPr="006F1B1E">
        <w:rPr>
          <w:rFonts w:ascii="Arial" w:eastAsia="Calibri" w:hAnsi="Arial" w:cs="Arial"/>
          <w:color w:val="000000" w:themeColor="text1"/>
          <w:sz w:val="22"/>
          <w:lang w:val="es-ES_tradnl"/>
        </w:rPr>
        <w:t xml:space="preserve"> y </w:t>
      </w:r>
      <w:r w:rsidR="00192D7C" w:rsidRPr="006F1B1E">
        <w:rPr>
          <w:rFonts w:ascii="Arial" w:eastAsia="Calibri" w:hAnsi="Arial" w:cs="Arial"/>
          <w:color w:val="000000" w:themeColor="text1"/>
          <w:sz w:val="22"/>
          <w:lang w:val="es-ES_tradnl"/>
        </w:rPr>
        <w:t xml:space="preserve">el </w:t>
      </w:r>
      <w:r w:rsidR="005344D6" w:rsidRPr="006F1B1E">
        <w:rPr>
          <w:rFonts w:ascii="Arial" w:eastAsia="Calibri" w:hAnsi="Arial" w:cs="Arial"/>
          <w:color w:val="000000" w:themeColor="text1"/>
          <w:sz w:val="22"/>
          <w:lang w:val="es-ES_tradnl"/>
        </w:rPr>
        <w:t>223 –que elimina el Diario Único de Contratación</w:t>
      </w:r>
      <w:r w:rsidR="00861E8F" w:rsidRPr="006F1B1E">
        <w:rPr>
          <w:rFonts w:ascii="Arial" w:eastAsia="Calibri" w:hAnsi="Arial" w:cs="Arial"/>
          <w:color w:val="000000" w:themeColor="text1"/>
          <w:sz w:val="22"/>
          <w:lang w:val="es-ES_tradnl"/>
        </w:rPr>
        <w:t xml:space="preserve"> y obliga a las entidades a publicar la actividad contractual exclusivamente en el SECOP–</w:t>
      </w:r>
      <w:r w:rsidR="00861E8F" w:rsidRPr="006F1B1E">
        <w:rPr>
          <w:rStyle w:val="Refdenotaalpie"/>
          <w:rFonts w:ascii="Arial" w:eastAsia="Calibri" w:hAnsi="Arial" w:cs="Arial"/>
          <w:color w:val="000000" w:themeColor="text1"/>
          <w:sz w:val="22"/>
          <w:lang w:val="es-ES_tradnl"/>
        </w:rPr>
        <w:footnoteReference w:id="7"/>
      </w:r>
      <w:r w:rsidR="008C4FF4" w:rsidRPr="006F1B1E">
        <w:rPr>
          <w:rFonts w:ascii="Arial" w:eastAsia="Calibri" w:hAnsi="Arial" w:cs="Arial"/>
          <w:color w:val="000000" w:themeColor="text1"/>
          <w:sz w:val="22"/>
          <w:lang w:val="es-ES_tradnl"/>
        </w:rPr>
        <w:t>, entre otros.</w:t>
      </w:r>
      <w:r w:rsidR="003F0EE8" w:rsidRPr="006F1B1E">
        <w:rPr>
          <w:rFonts w:ascii="Arial" w:eastAsia="Calibri" w:hAnsi="Arial" w:cs="Arial"/>
          <w:color w:val="000000" w:themeColor="text1"/>
          <w:sz w:val="22"/>
          <w:lang w:val="es-ES_tradnl"/>
        </w:rPr>
        <w:t xml:space="preserve"> </w:t>
      </w:r>
      <w:r w:rsidR="00B72050" w:rsidRPr="006F1B1E">
        <w:rPr>
          <w:rFonts w:ascii="Arial" w:eastAsia="Calibri" w:hAnsi="Arial" w:cs="Arial"/>
          <w:color w:val="000000" w:themeColor="text1"/>
          <w:sz w:val="22"/>
          <w:lang w:val="es-ES_tradnl"/>
        </w:rPr>
        <w:t>De igual manera, e</w:t>
      </w:r>
      <w:r w:rsidR="003F0EE8" w:rsidRPr="006F1B1E">
        <w:rPr>
          <w:rFonts w:ascii="Arial" w:eastAsia="Calibri" w:hAnsi="Arial" w:cs="Arial"/>
          <w:color w:val="000000" w:themeColor="text1"/>
          <w:sz w:val="22"/>
          <w:lang w:val="es-ES_tradnl"/>
        </w:rPr>
        <w:t>l Decreto 2106 de 2019</w:t>
      </w:r>
      <w:r w:rsidR="000E6AC1" w:rsidRPr="006F1B1E">
        <w:rPr>
          <w:rStyle w:val="Refdenotaalpie"/>
          <w:rFonts w:ascii="Arial" w:eastAsia="Calibri" w:hAnsi="Arial" w:cs="Arial"/>
          <w:color w:val="000000" w:themeColor="text1"/>
          <w:sz w:val="22"/>
          <w:lang w:val="es-ES_tradnl"/>
        </w:rPr>
        <w:footnoteReference w:id="8"/>
      </w:r>
      <w:r w:rsidR="00E87965" w:rsidRPr="006F1B1E">
        <w:rPr>
          <w:rFonts w:ascii="Arial" w:eastAsia="Calibri" w:hAnsi="Arial" w:cs="Arial"/>
          <w:color w:val="000000" w:themeColor="text1"/>
          <w:sz w:val="22"/>
          <w:lang w:val="es-ES_tradnl"/>
        </w:rPr>
        <w:t xml:space="preserve"> </w:t>
      </w:r>
      <w:r w:rsidR="003F5EA9" w:rsidRPr="006F1B1E">
        <w:rPr>
          <w:rFonts w:ascii="Arial" w:eastAsia="Calibri" w:hAnsi="Arial" w:cs="Arial"/>
          <w:color w:val="000000" w:themeColor="text1"/>
          <w:sz w:val="22"/>
          <w:lang w:val="es-ES_tradnl"/>
        </w:rPr>
        <w:t>establece que «Para lograr mayor nivel de eficiencia en la administración pública y una adecuada interacción con los ciudadanos y usuarios, garantizando el derecho a la utilización de medios electrónicos, las autoridades deberán integrarse y hacer uso del modelo de Servicios Ciudadanos Digitales</w:t>
      </w:r>
      <w:r w:rsidR="00B72050" w:rsidRPr="006F1B1E">
        <w:rPr>
          <w:rFonts w:ascii="Arial" w:eastAsia="Calibri" w:hAnsi="Arial" w:cs="Arial"/>
          <w:color w:val="000000" w:themeColor="text1"/>
          <w:sz w:val="22"/>
          <w:lang w:val="es-ES_tradnl"/>
        </w:rPr>
        <w:t>»</w:t>
      </w:r>
      <w:r w:rsidR="00B72050" w:rsidRPr="006F1B1E">
        <w:rPr>
          <w:rStyle w:val="Refdenotaalpie"/>
          <w:rFonts w:ascii="Arial" w:eastAsia="Calibri" w:hAnsi="Arial" w:cs="Arial"/>
          <w:color w:val="000000" w:themeColor="text1"/>
          <w:sz w:val="22"/>
          <w:lang w:val="es-ES_tradnl"/>
        </w:rPr>
        <w:footnoteReference w:id="9"/>
      </w:r>
      <w:r w:rsidR="003F5EA9" w:rsidRPr="006F1B1E">
        <w:rPr>
          <w:rFonts w:ascii="Arial" w:eastAsia="Calibri" w:hAnsi="Arial" w:cs="Arial"/>
          <w:color w:val="000000" w:themeColor="text1"/>
          <w:sz w:val="22"/>
          <w:lang w:val="es-ES_tradnl"/>
        </w:rPr>
        <w:t>.</w:t>
      </w:r>
      <w:r w:rsidR="00B72050" w:rsidRPr="006F1B1E">
        <w:rPr>
          <w:rFonts w:ascii="Arial" w:eastAsia="Calibri" w:hAnsi="Arial" w:cs="Arial"/>
          <w:color w:val="000000" w:themeColor="text1"/>
          <w:sz w:val="22"/>
          <w:lang w:val="es-ES_tradnl"/>
        </w:rPr>
        <w:t xml:space="preserve"> Además, </w:t>
      </w:r>
      <w:r w:rsidR="00AE778D" w:rsidRPr="006F1B1E">
        <w:rPr>
          <w:rFonts w:ascii="Arial" w:eastAsia="Calibri" w:hAnsi="Arial" w:cs="Arial"/>
          <w:color w:val="000000" w:themeColor="text1"/>
          <w:sz w:val="22"/>
          <w:lang w:val="es-ES_tradnl"/>
        </w:rPr>
        <w:t>reconoce que las personas pueden adelantar sus trámites a través de «todos los portales, sitios web, plataformas, ventanillas únicas, aplicaciones y soluciones existentes»</w:t>
      </w:r>
      <w:r w:rsidR="00AE778D" w:rsidRPr="006F1B1E">
        <w:rPr>
          <w:rStyle w:val="Refdenotaalpie"/>
          <w:rFonts w:ascii="Arial" w:eastAsia="Calibri" w:hAnsi="Arial" w:cs="Arial"/>
          <w:color w:val="000000" w:themeColor="text1"/>
          <w:sz w:val="22"/>
          <w:lang w:val="es-ES_tradnl"/>
        </w:rPr>
        <w:footnoteReference w:id="10"/>
      </w:r>
      <w:r w:rsidR="00C07CEA" w:rsidRPr="006F1B1E">
        <w:rPr>
          <w:rFonts w:ascii="Arial" w:eastAsia="Calibri" w:hAnsi="Arial" w:cs="Arial"/>
          <w:color w:val="000000" w:themeColor="text1"/>
          <w:sz w:val="22"/>
          <w:lang w:val="es-ES_tradnl"/>
        </w:rPr>
        <w:t xml:space="preserve"> y </w:t>
      </w:r>
      <w:r w:rsidR="00CC304F" w:rsidRPr="006F1B1E">
        <w:rPr>
          <w:rFonts w:ascii="Arial" w:eastAsia="Calibri" w:hAnsi="Arial" w:cs="Arial"/>
          <w:color w:val="000000" w:themeColor="text1"/>
          <w:sz w:val="22"/>
          <w:lang w:val="es-ES_tradnl"/>
        </w:rPr>
        <w:t>autoriza la gestión documental electrónica</w:t>
      </w:r>
      <w:r w:rsidR="00CC304F" w:rsidRPr="006F1B1E">
        <w:rPr>
          <w:rStyle w:val="Refdenotaalpie"/>
          <w:rFonts w:ascii="Arial" w:eastAsia="Calibri" w:hAnsi="Arial" w:cs="Arial"/>
          <w:color w:val="000000" w:themeColor="text1"/>
          <w:sz w:val="22"/>
          <w:lang w:val="es-ES_tradnl"/>
        </w:rPr>
        <w:footnoteReference w:id="11"/>
      </w:r>
      <w:r w:rsidR="00C07CEA" w:rsidRPr="006F1B1E">
        <w:rPr>
          <w:rFonts w:ascii="Arial" w:eastAsia="Calibri" w:hAnsi="Arial" w:cs="Arial"/>
          <w:color w:val="000000" w:themeColor="text1"/>
          <w:sz w:val="22"/>
          <w:lang w:val="es-ES_tradnl"/>
        </w:rPr>
        <w:t>.</w:t>
      </w:r>
      <w:r w:rsidR="004A0BC4">
        <w:rPr>
          <w:rFonts w:ascii="Arial" w:eastAsia="Calibri" w:hAnsi="Arial" w:cs="Arial"/>
          <w:color w:val="000000" w:themeColor="text1"/>
          <w:sz w:val="22"/>
          <w:lang w:val="es-ES_tradnl"/>
        </w:rPr>
        <w:t xml:space="preserve"> </w:t>
      </w:r>
      <w:r w:rsidR="001A251A">
        <w:rPr>
          <w:rFonts w:ascii="Arial" w:eastAsia="Calibri" w:hAnsi="Arial" w:cs="Arial"/>
          <w:color w:val="000000" w:themeColor="text1"/>
          <w:sz w:val="22"/>
          <w:lang w:val="es-ES_tradnl"/>
        </w:rPr>
        <w:t xml:space="preserve">En igual sentido, </w:t>
      </w:r>
      <w:r w:rsidR="004A0BC4">
        <w:rPr>
          <w:rFonts w:ascii="Arial" w:eastAsia="Calibri" w:hAnsi="Arial" w:cs="Arial"/>
          <w:color w:val="000000" w:themeColor="text1"/>
          <w:sz w:val="22"/>
          <w:lang w:val="es-ES_tradnl"/>
        </w:rPr>
        <w:t xml:space="preserve">el artículo </w:t>
      </w:r>
      <w:r w:rsidR="002D29A7">
        <w:rPr>
          <w:rFonts w:ascii="Arial" w:eastAsia="Calibri" w:hAnsi="Arial" w:cs="Arial"/>
          <w:color w:val="000000" w:themeColor="text1"/>
          <w:sz w:val="22"/>
          <w:lang w:val="es-ES_tradnl"/>
        </w:rPr>
        <w:t>5 de la Ley 2052 de 2020 prevé la digitalización de los trámites</w:t>
      </w:r>
      <w:r w:rsidR="006E7ED9">
        <w:rPr>
          <w:rStyle w:val="Refdenotaalpie"/>
          <w:rFonts w:ascii="Arial" w:eastAsia="Calibri" w:hAnsi="Arial" w:cs="Arial"/>
          <w:color w:val="000000" w:themeColor="text1"/>
          <w:sz w:val="22"/>
          <w:lang w:val="es-ES_tradnl"/>
        </w:rPr>
        <w:footnoteReference w:id="12"/>
      </w:r>
      <w:r w:rsidR="006E7ED9">
        <w:rPr>
          <w:rFonts w:ascii="Arial" w:eastAsia="Calibri" w:hAnsi="Arial" w:cs="Arial"/>
          <w:color w:val="000000" w:themeColor="text1"/>
          <w:sz w:val="22"/>
          <w:lang w:val="es-ES_tradnl"/>
        </w:rPr>
        <w:t>.</w:t>
      </w:r>
    </w:p>
    <w:p w14:paraId="7408021F" w14:textId="50CB327F" w:rsidR="008C4FF4" w:rsidRPr="006F1B1E" w:rsidRDefault="002314C9" w:rsidP="00192D7C">
      <w:pPr>
        <w:spacing w:before="120" w:after="120" w:line="276" w:lineRule="auto"/>
        <w:ind w:firstLine="709"/>
        <w:jc w:val="both"/>
        <w:rPr>
          <w:rFonts w:ascii="Arial" w:eastAsia="Calibri" w:hAnsi="Arial" w:cs="Arial"/>
          <w:color w:val="000000" w:themeColor="text1"/>
          <w:sz w:val="22"/>
          <w:lang w:val="es-ES_tradnl"/>
        </w:rPr>
      </w:pPr>
      <w:r w:rsidRPr="006F1B1E">
        <w:rPr>
          <w:rFonts w:ascii="Arial" w:eastAsia="Calibri" w:hAnsi="Arial" w:cs="Arial"/>
          <w:color w:val="000000" w:themeColor="text1"/>
          <w:sz w:val="22"/>
          <w:lang w:val="es-ES_tradnl"/>
        </w:rPr>
        <w:lastRenderedPageBreak/>
        <w:t xml:space="preserve">Pero no solo las disposiciones que integran lo que comúnmente conocemos como normativa «antitrámites» –y que se acaban de reseñar– </w:t>
      </w:r>
      <w:r w:rsidR="00067A04" w:rsidRPr="006F1B1E">
        <w:rPr>
          <w:rFonts w:ascii="Arial" w:eastAsia="Calibri" w:hAnsi="Arial" w:cs="Arial"/>
          <w:color w:val="000000" w:themeColor="text1"/>
          <w:sz w:val="22"/>
          <w:lang w:val="es-ES_tradnl"/>
        </w:rPr>
        <w:t>han sido las que han permitido o exigido el uso de medios electrónicos en las actuaciones normativas. También lo han hecho: la Ley 527 de 1999, la Ley 1150 de 2007</w:t>
      </w:r>
      <w:r w:rsidR="00BD038C" w:rsidRPr="006F1B1E">
        <w:rPr>
          <w:rFonts w:ascii="Arial" w:eastAsia="Calibri" w:hAnsi="Arial" w:cs="Arial"/>
          <w:color w:val="000000" w:themeColor="text1"/>
          <w:sz w:val="22"/>
          <w:lang w:val="es-ES_tradnl"/>
        </w:rPr>
        <w:t>, la Ley 1341 de 2009</w:t>
      </w:r>
      <w:r w:rsidR="00A27ACD" w:rsidRPr="006F1B1E">
        <w:rPr>
          <w:rFonts w:ascii="Arial" w:eastAsia="Calibri" w:hAnsi="Arial" w:cs="Arial"/>
          <w:color w:val="000000" w:themeColor="text1"/>
          <w:sz w:val="22"/>
          <w:lang w:val="es-ES_tradnl"/>
        </w:rPr>
        <w:t xml:space="preserve"> y la Ley 1437 de 2011.</w:t>
      </w:r>
    </w:p>
    <w:p w14:paraId="54C0D66D" w14:textId="25DB2A45" w:rsidR="003612F7" w:rsidRPr="006F1B1E" w:rsidRDefault="00A27ACD" w:rsidP="003612F7">
      <w:pPr>
        <w:spacing w:before="120" w:after="120" w:line="276" w:lineRule="auto"/>
        <w:ind w:firstLine="709"/>
        <w:jc w:val="both"/>
        <w:rPr>
          <w:rFonts w:ascii="Arial" w:eastAsia="Calibri" w:hAnsi="Arial" w:cs="Arial"/>
          <w:color w:val="000000" w:themeColor="text1"/>
          <w:sz w:val="22"/>
          <w:lang w:val="es-ES_tradnl"/>
        </w:rPr>
      </w:pPr>
      <w:r w:rsidRPr="006F1B1E">
        <w:rPr>
          <w:rFonts w:ascii="Arial" w:eastAsia="Calibri" w:hAnsi="Arial" w:cs="Arial"/>
          <w:color w:val="000000" w:themeColor="text1"/>
          <w:sz w:val="22"/>
          <w:lang w:val="es-ES_tradnl"/>
        </w:rPr>
        <w:t>En efecto, la Ley 527 de 1999</w:t>
      </w:r>
      <w:r w:rsidR="00E07A3B" w:rsidRPr="006F1B1E">
        <w:rPr>
          <w:rStyle w:val="Refdenotaalpie"/>
          <w:rFonts w:ascii="Arial" w:eastAsia="Calibri" w:hAnsi="Arial" w:cs="Arial"/>
          <w:color w:val="000000" w:themeColor="text1"/>
          <w:sz w:val="22"/>
          <w:lang w:val="es-ES_tradnl"/>
        </w:rPr>
        <w:footnoteReference w:id="13"/>
      </w:r>
      <w:r w:rsidR="00E07A3B" w:rsidRPr="006F1B1E">
        <w:rPr>
          <w:rFonts w:ascii="Arial" w:eastAsia="Calibri" w:hAnsi="Arial" w:cs="Arial"/>
          <w:color w:val="000000" w:themeColor="text1"/>
          <w:sz w:val="22"/>
          <w:lang w:val="es-ES_tradnl"/>
        </w:rPr>
        <w:t xml:space="preserve"> </w:t>
      </w:r>
      <w:r w:rsidR="008C75CF" w:rsidRPr="006F1B1E">
        <w:rPr>
          <w:rFonts w:ascii="Arial" w:eastAsia="Calibri" w:hAnsi="Arial" w:cs="Arial"/>
          <w:color w:val="000000" w:themeColor="text1"/>
          <w:sz w:val="22"/>
          <w:lang w:val="es-ES_tradnl"/>
        </w:rPr>
        <w:t>establece en el artículo 10º que, «En toda actuación administrativa o judicial, no se negará eficacia, validez o fuerza obligatoria y probatoria a todo tipo de información en forma de un mensaje de datos, por el sólo hecho que se trate de un mensaje de datos o en razón de no haber sido presentado en su forma original».</w:t>
      </w:r>
      <w:r w:rsidR="00662626" w:rsidRPr="006F1B1E">
        <w:rPr>
          <w:rFonts w:ascii="Arial" w:eastAsia="Calibri" w:hAnsi="Arial" w:cs="Arial"/>
          <w:color w:val="000000" w:themeColor="text1"/>
          <w:sz w:val="22"/>
          <w:lang w:val="es-ES_tradnl"/>
        </w:rPr>
        <w:t xml:space="preserve"> De igual manera, define el </w:t>
      </w:r>
      <w:r w:rsidR="002F1857" w:rsidRPr="006F1B1E">
        <w:rPr>
          <w:rFonts w:ascii="Arial" w:eastAsia="Calibri" w:hAnsi="Arial" w:cs="Arial"/>
          <w:color w:val="000000" w:themeColor="text1"/>
          <w:sz w:val="22"/>
          <w:lang w:val="es-ES_tradnl"/>
        </w:rPr>
        <w:t>«</w:t>
      </w:r>
      <w:r w:rsidR="00662626" w:rsidRPr="006F1B1E">
        <w:rPr>
          <w:rFonts w:ascii="Arial" w:eastAsia="Calibri" w:hAnsi="Arial" w:cs="Arial"/>
          <w:color w:val="000000" w:themeColor="text1"/>
          <w:sz w:val="22"/>
          <w:lang w:val="es-ES_tradnl"/>
        </w:rPr>
        <w:t>mensaje de datos</w:t>
      </w:r>
      <w:r w:rsidR="002F1857" w:rsidRPr="006F1B1E">
        <w:rPr>
          <w:rFonts w:ascii="Arial" w:eastAsia="Calibri" w:hAnsi="Arial" w:cs="Arial"/>
          <w:color w:val="000000" w:themeColor="text1"/>
          <w:sz w:val="22"/>
          <w:lang w:val="es-ES_tradnl"/>
        </w:rPr>
        <w:t>»</w:t>
      </w:r>
      <w:r w:rsidR="00662626" w:rsidRPr="006F1B1E">
        <w:rPr>
          <w:rFonts w:ascii="Arial" w:eastAsia="Calibri" w:hAnsi="Arial" w:cs="Arial"/>
          <w:color w:val="000000" w:themeColor="text1"/>
          <w:sz w:val="22"/>
          <w:lang w:val="es-ES_tradnl"/>
        </w:rPr>
        <w:t xml:space="preserve"> como </w:t>
      </w:r>
      <w:r w:rsidR="003612F7" w:rsidRPr="006F1B1E">
        <w:rPr>
          <w:rFonts w:ascii="Arial" w:eastAsia="Calibri" w:hAnsi="Arial" w:cs="Arial"/>
          <w:color w:val="000000" w:themeColor="text1"/>
          <w:sz w:val="22"/>
          <w:lang w:val="es-ES_tradnl"/>
        </w:rPr>
        <w:t>«La información generada, enviada, recibida, almacenada o comunicada por medios electrónicos, ópticos o similares, como pudieran ser, entre otros, el Intercambio Electrónico de Datos (EDI), Internet, el correo electrónico, el telegrama, el télex o el telefax»</w:t>
      </w:r>
      <w:r w:rsidR="003612F7" w:rsidRPr="006F1B1E">
        <w:rPr>
          <w:rStyle w:val="Refdenotaalpie"/>
          <w:rFonts w:ascii="Arial" w:eastAsia="Calibri" w:hAnsi="Arial" w:cs="Arial"/>
          <w:color w:val="000000" w:themeColor="text1"/>
          <w:sz w:val="22"/>
          <w:lang w:val="es-ES_tradnl"/>
        </w:rPr>
        <w:footnoteReference w:id="14"/>
      </w:r>
      <w:r w:rsidR="002F1857" w:rsidRPr="006F1B1E">
        <w:rPr>
          <w:rFonts w:ascii="Arial" w:eastAsia="Calibri" w:hAnsi="Arial" w:cs="Arial"/>
          <w:color w:val="000000" w:themeColor="text1"/>
          <w:sz w:val="22"/>
          <w:lang w:val="es-ES_tradnl"/>
        </w:rPr>
        <w:t xml:space="preserve"> y «sistema de información» como «todo sistema utilizado para generar, enviar, recibir, archivar o procesar de alguna otra forma mensajes de datos»</w:t>
      </w:r>
      <w:r w:rsidR="002F1857" w:rsidRPr="006F1B1E">
        <w:rPr>
          <w:rStyle w:val="Refdenotaalpie"/>
          <w:rFonts w:ascii="Arial" w:eastAsia="Calibri" w:hAnsi="Arial" w:cs="Arial"/>
          <w:color w:val="000000" w:themeColor="text1"/>
          <w:sz w:val="22"/>
          <w:lang w:val="es-ES_tradnl"/>
        </w:rPr>
        <w:footnoteReference w:id="15"/>
      </w:r>
      <w:r w:rsidR="002F1857" w:rsidRPr="006F1B1E">
        <w:rPr>
          <w:rFonts w:ascii="Arial" w:eastAsia="Calibri" w:hAnsi="Arial" w:cs="Arial"/>
          <w:color w:val="000000" w:themeColor="text1"/>
          <w:sz w:val="22"/>
          <w:lang w:val="es-ES_tradnl"/>
        </w:rPr>
        <w:t>.</w:t>
      </w:r>
      <w:r w:rsidR="00515871" w:rsidRPr="006F1B1E">
        <w:rPr>
          <w:rFonts w:ascii="Arial" w:eastAsia="Calibri" w:hAnsi="Arial" w:cs="Arial"/>
          <w:color w:val="000000" w:themeColor="text1"/>
          <w:sz w:val="22"/>
          <w:lang w:val="es-ES_tradnl"/>
        </w:rPr>
        <w:t xml:space="preserve"> Bajo este entendido, las aplicaciones web, que </w:t>
      </w:r>
      <w:r w:rsidR="00E33300" w:rsidRPr="006F1B1E">
        <w:rPr>
          <w:rFonts w:ascii="Arial" w:eastAsia="Calibri" w:hAnsi="Arial" w:cs="Arial"/>
          <w:color w:val="000000" w:themeColor="text1"/>
          <w:sz w:val="22"/>
          <w:lang w:val="es-ES_tradnl"/>
        </w:rPr>
        <w:t>posibilitan</w:t>
      </w:r>
      <w:r w:rsidR="00515871" w:rsidRPr="006F1B1E">
        <w:rPr>
          <w:rFonts w:ascii="Arial" w:eastAsia="Calibri" w:hAnsi="Arial" w:cs="Arial"/>
          <w:color w:val="000000" w:themeColor="text1"/>
          <w:sz w:val="22"/>
          <w:lang w:val="es-ES_tradnl"/>
        </w:rPr>
        <w:t xml:space="preserve"> el envío de mensajes de datos escri</w:t>
      </w:r>
      <w:r w:rsidR="00AB5187" w:rsidRPr="006F1B1E">
        <w:rPr>
          <w:rFonts w:ascii="Arial" w:eastAsia="Calibri" w:hAnsi="Arial" w:cs="Arial"/>
          <w:color w:val="000000" w:themeColor="text1"/>
          <w:sz w:val="22"/>
          <w:lang w:val="es-ES_tradnl"/>
        </w:rPr>
        <w:t xml:space="preserve">tos o audiovisuales, como </w:t>
      </w:r>
      <w:r w:rsidR="00AB5187" w:rsidRPr="006F1B1E">
        <w:rPr>
          <w:rFonts w:ascii="Arial" w:eastAsia="Calibri" w:hAnsi="Arial" w:cs="Arial"/>
          <w:i/>
          <w:color w:val="000000" w:themeColor="text1"/>
          <w:sz w:val="22"/>
          <w:lang w:val="es-ES_tradnl"/>
        </w:rPr>
        <w:t>Skype</w:t>
      </w:r>
      <w:r w:rsidR="00AB5187" w:rsidRPr="006F1B1E">
        <w:rPr>
          <w:rFonts w:ascii="Arial" w:eastAsia="Calibri" w:hAnsi="Arial" w:cs="Arial"/>
          <w:color w:val="000000" w:themeColor="text1"/>
          <w:sz w:val="22"/>
          <w:lang w:val="es-ES_tradnl"/>
        </w:rPr>
        <w:t xml:space="preserve">, </w:t>
      </w:r>
      <w:r w:rsidR="00AB5187" w:rsidRPr="006F1B1E">
        <w:rPr>
          <w:rFonts w:ascii="Arial" w:eastAsia="Calibri" w:hAnsi="Arial" w:cs="Arial"/>
          <w:i/>
          <w:color w:val="000000" w:themeColor="text1"/>
          <w:sz w:val="22"/>
          <w:lang w:val="es-ES_tradnl"/>
        </w:rPr>
        <w:t>Facetime</w:t>
      </w:r>
      <w:r w:rsidR="00AB5187" w:rsidRPr="006F1B1E">
        <w:rPr>
          <w:rFonts w:ascii="Arial" w:eastAsia="Calibri" w:hAnsi="Arial" w:cs="Arial"/>
          <w:color w:val="000000" w:themeColor="text1"/>
          <w:sz w:val="22"/>
          <w:lang w:val="es-ES_tradnl"/>
        </w:rPr>
        <w:t xml:space="preserve">, </w:t>
      </w:r>
      <w:r w:rsidR="00AB5187" w:rsidRPr="006F1B1E">
        <w:rPr>
          <w:rFonts w:ascii="Arial" w:eastAsia="Calibri" w:hAnsi="Arial" w:cs="Arial"/>
          <w:i/>
          <w:color w:val="000000" w:themeColor="text1"/>
          <w:sz w:val="22"/>
          <w:lang w:val="es-ES_tradnl"/>
        </w:rPr>
        <w:t>Wha</w:t>
      </w:r>
      <w:r w:rsidR="00F646E0" w:rsidRPr="006F1B1E">
        <w:rPr>
          <w:rFonts w:ascii="Arial" w:eastAsia="Calibri" w:hAnsi="Arial" w:cs="Arial"/>
          <w:i/>
          <w:color w:val="000000" w:themeColor="text1"/>
          <w:sz w:val="22"/>
          <w:lang w:val="es-ES_tradnl"/>
        </w:rPr>
        <w:t>t</w:t>
      </w:r>
      <w:r w:rsidR="00AB5187" w:rsidRPr="006F1B1E">
        <w:rPr>
          <w:rFonts w:ascii="Arial" w:eastAsia="Calibri" w:hAnsi="Arial" w:cs="Arial"/>
          <w:i/>
          <w:color w:val="000000" w:themeColor="text1"/>
          <w:sz w:val="22"/>
          <w:lang w:val="es-ES_tradnl"/>
        </w:rPr>
        <w:t>sapp</w:t>
      </w:r>
      <w:r w:rsidR="00AB5187" w:rsidRPr="006F1B1E">
        <w:rPr>
          <w:rFonts w:ascii="Arial" w:eastAsia="Calibri" w:hAnsi="Arial" w:cs="Arial"/>
          <w:color w:val="000000" w:themeColor="text1"/>
          <w:sz w:val="22"/>
          <w:lang w:val="es-ES_tradnl"/>
        </w:rPr>
        <w:t xml:space="preserve">, </w:t>
      </w:r>
      <w:r w:rsidR="00AB5187" w:rsidRPr="006F1B1E">
        <w:rPr>
          <w:rFonts w:ascii="Arial" w:eastAsia="Calibri" w:hAnsi="Arial" w:cs="Arial"/>
          <w:i/>
          <w:color w:val="000000" w:themeColor="text1"/>
          <w:sz w:val="22"/>
          <w:lang w:val="es-ES_tradnl"/>
        </w:rPr>
        <w:t>Teams</w:t>
      </w:r>
      <w:r w:rsidR="00AB5187" w:rsidRPr="006F1B1E">
        <w:rPr>
          <w:rFonts w:ascii="Arial" w:eastAsia="Calibri" w:hAnsi="Arial" w:cs="Arial"/>
          <w:color w:val="000000" w:themeColor="text1"/>
          <w:sz w:val="22"/>
          <w:lang w:val="es-ES_tradnl"/>
        </w:rPr>
        <w:t>, entre otras, constituyen sistemas de información, permitidos por el legislador en las actuaciones administrativas.</w:t>
      </w:r>
    </w:p>
    <w:p w14:paraId="07391A43" w14:textId="6515B6F5" w:rsidR="00E33300" w:rsidRPr="006F1B1E" w:rsidRDefault="00CF2AFF" w:rsidP="009374F0">
      <w:pPr>
        <w:spacing w:before="120" w:line="276" w:lineRule="auto"/>
        <w:ind w:firstLine="709"/>
        <w:jc w:val="both"/>
        <w:rPr>
          <w:rFonts w:ascii="Arial" w:eastAsia="Calibri" w:hAnsi="Arial" w:cs="Arial"/>
          <w:color w:val="000000" w:themeColor="text1"/>
          <w:sz w:val="22"/>
          <w:lang w:val="es-ES_tradnl"/>
        </w:rPr>
      </w:pPr>
      <w:r w:rsidRPr="006F1B1E">
        <w:rPr>
          <w:rFonts w:ascii="Arial" w:eastAsia="Calibri" w:hAnsi="Arial" w:cs="Arial"/>
          <w:color w:val="000000" w:themeColor="text1"/>
          <w:sz w:val="22"/>
          <w:lang w:val="es-ES_tradnl"/>
        </w:rPr>
        <w:t>Adicionalmente</w:t>
      </w:r>
      <w:r w:rsidR="00E33300" w:rsidRPr="006F1B1E">
        <w:rPr>
          <w:rFonts w:ascii="Arial" w:eastAsia="Calibri" w:hAnsi="Arial" w:cs="Arial"/>
          <w:color w:val="000000" w:themeColor="text1"/>
          <w:sz w:val="22"/>
          <w:lang w:val="es-ES_tradnl"/>
        </w:rPr>
        <w:t>, la Ley 1150 de 2007</w:t>
      </w:r>
      <w:r w:rsidR="006067E3" w:rsidRPr="006F1B1E">
        <w:rPr>
          <w:rStyle w:val="Refdenotaalpie"/>
          <w:rFonts w:ascii="Arial" w:eastAsia="Calibri" w:hAnsi="Arial" w:cs="Arial"/>
          <w:color w:val="000000" w:themeColor="text1"/>
          <w:sz w:val="22"/>
          <w:lang w:val="es-ES_tradnl"/>
        </w:rPr>
        <w:footnoteReference w:id="16"/>
      </w:r>
      <w:r w:rsidR="006067E3" w:rsidRPr="006F1B1E">
        <w:rPr>
          <w:rFonts w:ascii="Arial" w:eastAsia="Calibri" w:hAnsi="Arial" w:cs="Arial"/>
          <w:color w:val="000000" w:themeColor="text1"/>
          <w:sz w:val="22"/>
          <w:lang w:val="es-ES_tradnl"/>
        </w:rPr>
        <w:t xml:space="preserve"> </w:t>
      </w:r>
      <w:r w:rsidR="00E33300" w:rsidRPr="006F1B1E">
        <w:rPr>
          <w:rFonts w:ascii="Arial" w:eastAsia="Calibri" w:hAnsi="Arial" w:cs="Arial"/>
          <w:color w:val="000000" w:themeColor="text1"/>
          <w:sz w:val="22"/>
          <w:lang w:val="es-ES_tradnl"/>
        </w:rPr>
        <w:t xml:space="preserve">incorporó la posibilidad de utilizar </w:t>
      </w:r>
      <w:r w:rsidR="00C406B7" w:rsidRPr="006F1B1E">
        <w:rPr>
          <w:rFonts w:ascii="Arial" w:eastAsia="Calibri" w:hAnsi="Arial" w:cs="Arial"/>
          <w:color w:val="000000" w:themeColor="text1"/>
          <w:sz w:val="22"/>
          <w:lang w:val="es-ES_tradnl"/>
        </w:rPr>
        <w:t xml:space="preserve">dichos </w:t>
      </w:r>
      <w:r w:rsidR="00E33300" w:rsidRPr="006F1B1E">
        <w:rPr>
          <w:rFonts w:ascii="Arial" w:eastAsia="Calibri" w:hAnsi="Arial" w:cs="Arial"/>
          <w:color w:val="000000" w:themeColor="text1"/>
          <w:sz w:val="22"/>
          <w:lang w:val="es-ES_tradnl"/>
        </w:rPr>
        <w:t xml:space="preserve">sistemas de información y </w:t>
      </w:r>
      <w:r w:rsidRPr="006F1B1E">
        <w:rPr>
          <w:rFonts w:ascii="Arial" w:eastAsia="Calibri" w:hAnsi="Arial" w:cs="Arial"/>
          <w:color w:val="000000" w:themeColor="text1"/>
          <w:sz w:val="22"/>
          <w:lang w:val="es-ES_tradnl"/>
        </w:rPr>
        <w:t>en general los medios electrónicos en las actuaciones contractuales</w:t>
      </w:r>
      <w:r w:rsidR="00C406B7" w:rsidRPr="006F1B1E">
        <w:rPr>
          <w:rFonts w:ascii="Arial" w:eastAsia="Calibri" w:hAnsi="Arial" w:cs="Arial"/>
          <w:color w:val="000000" w:themeColor="text1"/>
          <w:sz w:val="22"/>
          <w:lang w:val="es-ES_tradnl"/>
        </w:rPr>
        <w:t>. Así se infiere del artículo 3, a cuyo tenor:</w:t>
      </w:r>
    </w:p>
    <w:p w14:paraId="77D5F364" w14:textId="77777777" w:rsidR="009374F0" w:rsidRPr="006F1B1E" w:rsidRDefault="009374F0" w:rsidP="0073184D">
      <w:pPr>
        <w:ind w:left="709" w:right="709"/>
        <w:jc w:val="both"/>
        <w:rPr>
          <w:rFonts w:ascii="Arial" w:eastAsia="Calibri" w:hAnsi="Arial" w:cs="Arial"/>
          <w:color w:val="000000" w:themeColor="text1"/>
          <w:sz w:val="21"/>
          <w:szCs w:val="21"/>
          <w:lang w:val="es-ES_tradnl"/>
        </w:rPr>
      </w:pPr>
    </w:p>
    <w:p w14:paraId="1E4B7F98" w14:textId="5EB35E19" w:rsidR="0073184D" w:rsidRPr="006F1B1E" w:rsidRDefault="00793898" w:rsidP="0073184D">
      <w:pPr>
        <w:ind w:left="709" w:right="709"/>
        <w:jc w:val="both"/>
        <w:rPr>
          <w:rFonts w:ascii="Arial" w:eastAsia="Calibri" w:hAnsi="Arial" w:cs="Arial"/>
          <w:color w:val="000000" w:themeColor="text1"/>
          <w:sz w:val="21"/>
          <w:szCs w:val="21"/>
          <w:lang w:val="es-ES_tradnl"/>
        </w:rPr>
      </w:pPr>
      <w:r w:rsidRPr="006F1B1E">
        <w:rPr>
          <w:rFonts w:ascii="Arial" w:eastAsia="Calibri" w:hAnsi="Arial" w:cs="Arial"/>
          <w:color w:val="000000" w:themeColor="text1"/>
          <w:sz w:val="21"/>
          <w:szCs w:val="21"/>
          <w:lang w:val="es-ES_tradnl"/>
        </w:rPr>
        <w:t>«</w:t>
      </w:r>
      <w:r w:rsidR="0073184D" w:rsidRPr="006F1B1E">
        <w:rPr>
          <w:rFonts w:ascii="Arial" w:eastAsia="Calibri" w:hAnsi="Arial" w:cs="Arial"/>
          <w:color w:val="000000" w:themeColor="text1"/>
          <w:sz w:val="21"/>
          <w:szCs w:val="21"/>
          <w:lang w:val="es-ES_tradnl"/>
        </w:rPr>
        <w:t>De conformidad con lo dispuesto en la Ley 527 de 1999, la sustanciación de las actuaciones, la expedición de los actos administrativos, los documentos, contratos y en general los actos derivados de la actividad precontractual y contractual, podrán tener lugar por medios electrónicos. Para el trámite, notificación y publicación de tales actos, podrán utilizarse soportes, medios y aplicaciones electrónicas. Los mecanismos e instrumentos por medio de los cuales las entidades cumplirán con las obligaciones de publicidad del proceso contractual serán señalados por el Gobierno Nacional.</w:t>
      </w:r>
    </w:p>
    <w:p w14:paraId="516AA290" w14:textId="77777777" w:rsidR="0073184D" w:rsidRPr="006F1B1E" w:rsidRDefault="0073184D" w:rsidP="0073184D">
      <w:pPr>
        <w:ind w:left="709" w:right="709"/>
        <w:jc w:val="both"/>
        <w:rPr>
          <w:rFonts w:ascii="Arial" w:eastAsia="Calibri" w:hAnsi="Arial" w:cs="Arial"/>
          <w:color w:val="000000" w:themeColor="text1"/>
          <w:sz w:val="21"/>
          <w:szCs w:val="21"/>
          <w:lang w:val="es-ES_tradnl"/>
        </w:rPr>
      </w:pPr>
    </w:p>
    <w:p w14:paraId="1AA5AA87" w14:textId="222DD8A0" w:rsidR="0073184D" w:rsidRPr="006F1B1E" w:rsidRDefault="00793898" w:rsidP="0073184D">
      <w:pPr>
        <w:ind w:left="709" w:right="709"/>
        <w:jc w:val="both"/>
        <w:rPr>
          <w:rFonts w:ascii="Arial" w:eastAsia="Calibri" w:hAnsi="Arial" w:cs="Arial"/>
          <w:color w:val="000000" w:themeColor="text1"/>
          <w:sz w:val="21"/>
          <w:szCs w:val="21"/>
          <w:lang w:val="es-ES_tradnl"/>
        </w:rPr>
      </w:pPr>
      <w:r w:rsidRPr="006F1B1E">
        <w:rPr>
          <w:rFonts w:ascii="Arial" w:eastAsia="Calibri" w:hAnsi="Arial" w:cs="Arial"/>
          <w:color w:val="000000" w:themeColor="text1"/>
          <w:sz w:val="21"/>
          <w:szCs w:val="21"/>
          <w:lang w:val="es-ES_tradnl"/>
        </w:rPr>
        <w:lastRenderedPageBreak/>
        <w:t>»</w:t>
      </w:r>
      <w:r w:rsidR="0073184D" w:rsidRPr="006F1B1E">
        <w:rPr>
          <w:rFonts w:ascii="Arial" w:eastAsia="Calibri" w:hAnsi="Arial" w:cs="Arial"/>
          <w:color w:val="000000" w:themeColor="text1"/>
          <w:sz w:val="21"/>
          <w:szCs w:val="21"/>
          <w:lang w:val="es-ES_tradnl"/>
        </w:rPr>
        <w:t>Lo anterior, sin perjuicio de las publicaciones previstas en el numeral 3 del artículo 30 de la Ley 80 de 1993.</w:t>
      </w:r>
    </w:p>
    <w:p w14:paraId="608BBD42" w14:textId="77777777" w:rsidR="0073184D" w:rsidRPr="006F1B1E" w:rsidRDefault="0073184D" w:rsidP="0073184D">
      <w:pPr>
        <w:ind w:left="709" w:right="709"/>
        <w:jc w:val="both"/>
        <w:rPr>
          <w:rFonts w:ascii="Arial" w:eastAsia="Calibri" w:hAnsi="Arial" w:cs="Arial"/>
          <w:color w:val="000000" w:themeColor="text1"/>
          <w:sz w:val="21"/>
          <w:szCs w:val="21"/>
          <w:lang w:val="es-ES_tradnl"/>
        </w:rPr>
      </w:pPr>
    </w:p>
    <w:p w14:paraId="6BE87101" w14:textId="3AB8B97F" w:rsidR="0073184D" w:rsidRPr="006F1B1E" w:rsidRDefault="00065AC3" w:rsidP="0073184D">
      <w:pPr>
        <w:ind w:left="709" w:right="709"/>
        <w:jc w:val="both"/>
        <w:rPr>
          <w:rFonts w:ascii="Arial" w:eastAsia="Calibri" w:hAnsi="Arial" w:cs="Arial"/>
          <w:color w:val="000000" w:themeColor="text1"/>
          <w:sz w:val="21"/>
          <w:szCs w:val="21"/>
          <w:lang w:val="es-ES_tradnl"/>
        </w:rPr>
      </w:pPr>
      <w:r w:rsidRPr="006F1B1E">
        <w:rPr>
          <w:rFonts w:ascii="Arial" w:eastAsia="Calibri" w:hAnsi="Arial" w:cs="Arial"/>
          <w:color w:val="000000" w:themeColor="text1"/>
          <w:sz w:val="21"/>
          <w:szCs w:val="21"/>
          <w:lang w:val="es-ES_tradnl"/>
        </w:rPr>
        <w:t>»</w:t>
      </w:r>
      <w:r w:rsidR="0073184D" w:rsidRPr="006F1B1E">
        <w:rPr>
          <w:rFonts w:ascii="Arial" w:eastAsia="Calibri" w:hAnsi="Arial" w:cs="Arial"/>
          <w:color w:val="000000" w:themeColor="text1"/>
          <w:sz w:val="21"/>
          <w:szCs w:val="21"/>
          <w:lang w:val="es-ES_tradnl"/>
        </w:rPr>
        <w:t>Con el fin de materializar los objetivos a que se refiere el inciso anterior, el Gobierno Nacional desarrollará el Sistema Electrónico para la Contratación Pública, Secop, el cual:</w:t>
      </w:r>
    </w:p>
    <w:p w14:paraId="4F442002" w14:textId="77777777" w:rsidR="0073184D" w:rsidRPr="006F1B1E" w:rsidRDefault="0073184D" w:rsidP="0073184D">
      <w:pPr>
        <w:ind w:left="709" w:right="709"/>
        <w:jc w:val="both"/>
        <w:rPr>
          <w:rFonts w:ascii="Arial" w:eastAsia="Calibri" w:hAnsi="Arial" w:cs="Arial"/>
          <w:color w:val="000000" w:themeColor="text1"/>
          <w:sz w:val="21"/>
          <w:szCs w:val="21"/>
          <w:lang w:val="es-ES_tradnl"/>
        </w:rPr>
      </w:pPr>
    </w:p>
    <w:p w14:paraId="038CD541" w14:textId="5BB1006C" w:rsidR="0073184D" w:rsidRPr="006F1B1E" w:rsidRDefault="00065AC3" w:rsidP="0073184D">
      <w:pPr>
        <w:ind w:left="709" w:right="709"/>
        <w:jc w:val="both"/>
        <w:rPr>
          <w:rFonts w:ascii="Arial" w:eastAsia="Calibri" w:hAnsi="Arial" w:cs="Arial"/>
          <w:color w:val="000000" w:themeColor="text1"/>
          <w:sz w:val="21"/>
          <w:szCs w:val="21"/>
          <w:lang w:val="es-ES_tradnl"/>
        </w:rPr>
      </w:pPr>
      <w:r w:rsidRPr="006F1B1E">
        <w:rPr>
          <w:rFonts w:ascii="Arial" w:eastAsia="Calibri" w:hAnsi="Arial" w:cs="Arial"/>
          <w:color w:val="000000" w:themeColor="text1"/>
          <w:sz w:val="21"/>
          <w:szCs w:val="21"/>
          <w:lang w:val="es-ES_tradnl"/>
        </w:rPr>
        <w:t>»</w:t>
      </w:r>
      <w:r w:rsidR="0073184D" w:rsidRPr="006F1B1E">
        <w:rPr>
          <w:rFonts w:ascii="Arial" w:eastAsia="Calibri" w:hAnsi="Arial" w:cs="Arial"/>
          <w:color w:val="000000" w:themeColor="text1"/>
          <w:sz w:val="21"/>
          <w:szCs w:val="21"/>
          <w:lang w:val="es-ES_tradnl"/>
        </w:rPr>
        <w:t>a) Dispondrá de las funcionalidades tecnológicas para realizar procesos de contratación electrónicos bajo los métodos de selección señalados en el artículo 2o de la presente ley según lo defina el reglamento;</w:t>
      </w:r>
    </w:p>
    <w:p w14:paraId="4CDDE100" w14:textId="77777777" w:rsidR="0073184D" w:rsidRPr="006F1B1E" w:rsidRDefault="0073184D" w:rsidP="0073184D">
      <w:pPr>
        <w:ind w:left="709" w:right="709"/>
        <w:jc w:val="both"/>
        <w:rPr>
          <w:rFonts w:ascii="Arial" w:eastAsia="Calibri" w:hAnsi="Arial" w:cs="Arial"/>
          <w:color w:val="000000" w:themeColor="text1"/>
          <w:sz w:val="21"/>
          <w:szCs w:val="21"/>
          <w:lang w:val="es-ES_tradnl"/>
        </w:rPr>
      </w:pPr>
    </w:p>
    <w:p w14:paraId="770D944A" w14:textId="306A0D6C" w:rsidR="0073184D" w:rsidRPr="006F1B1E" w:rsidRDefault="00065AC3" w:rsidP="0073184D">
      <w:pPr>
        <w:ind w:left="709" w:right="709"/>
        <w:jc w:val="both"/>
        <w:rPr>
          <w:rFonts w:ascii="Arial" w:eastAsia="Calibri" w:hAnsi="Arial" w:cs="Arial"/>
          <w:color w:val="000000" w:themeColor="text1"/>
          <w:sz w:val="21"/>
          <w:szCs w:val="21"/>
          <w:lang w:val="es-ES_tradnl"/>
        </w:rPr>
      </w:pPr>
      <w:r w:rsidRPr="006F1B1E">
        <w:rPr>
          <w:rFonts w:ascii="Arial" w:eastAsia="Calibri" w:hAnsi="Arial" w:cs="Arial"/>
          <w:color w:val="000000" w:themeColor="text1"/>
          <w:sz w:val="21"/>
          <w:szCs w:val="21"/>
          <w:lang w:val="es-ES_tradnl"/>
        </w:rPr>
        <w:t>»</w:t>
      </w:r>
      <w:r w:rsidR="0073184D" w:rsidRPr="006F1B1E">
        <w:rPr>
          <w:rFonts w:ascii="Arial" w:eastAsia="Calibri" w:hAnsi="Arial" w:cs="Arial"/>
          <w:color w:val="000000" w:themeColor="text1"/>
          <w:sz w:val="21"/>
          <w:szCs w:val="21"/>
          <w:lang w:val="es-ES_tradnl"/>
        </w:rPr>
        <w:t>b) Servirá de punto único de ingreso de información y de generación de reportes para las entidades estatales y la ciudadanía;</w:t>
      </w:r>
    </w:p>
    <w:p w14:paraId="5EFECC2C" w14:textId="77777777" w:rsidR="0073184D" w:rsidRPr="006F1B1E" w:rsidRDefault="0073184D" w:rsidP="0073184D">
      <w:pPr>
        <w:ind w:left="709" w:right="709"/>
        <w:jc w:val="both"/>
        <w:rPr>
          <w:rFonts w:ascii="Arial" w:eastAsia="Calibri" w:hAnsi="Arial" w:cs="Arial"/>
          <w:color w:val="000000" w:themeColor="text1"/>
          <w:sz w:val="21"/>
          <w:szCs w:val="21"/>
          <w:lang w:val="es-ES_tradnl"/>
        </w:rPr>
      </w:pPr>
    </w:p>
    <w:p w14:paraId="6FEBA666" w14:textId="6F91A812" w:rsidR="0073184D" w:rsidRPr="006F1B1E" w:rsidRDefault="00065AC3" w:rsidP="0073184D">
      <w:pPr>
        <w:ind w:left="709" w:right="709"/>
        <w:jc w:val="both"/>
        <w:rPr>
          <w:rFonts w:ascii="Arial" w:eastAsia="Calibri" w:hAnsi="Arial" w:cs="Arial"/>
          <w:color w:val="000000" w:themeColor="text1"/>
          <w:sz w:val="21"/>
          <w:szCs w:val="21"/>
          <w:lang w:val="es-ES_tradnl"/>
        </w:rPr>
      </w:pPr>
      <w:r w:rsidRPr="006F1B1E">
        <w:rPr>
          <w:rFonts w:ascii="Arial" w:eastAsia="Calibri" w:hAnsi="Arial" w:cs="Arial"/>
          <w:color w:val="000000" w:themeColor="text1"/>
          <w:sz w:val="21"/>
          <w:szCs w:val="21"/>
          <w:lang w:val="es-ES_tradnl"/>
        </w:rPr>
        <w:t>»</w:t>
      </w:r>
      <w:r w:rsidR="0073184D" w:rsidRPr="006F1B1E">
        <w:rPr>
          <w:rFonts w:ascii="Arial" w:eastAsia="Calibri" w:hAnsi="Arial" w:cs="Arial"/>
          <w:color w:val="000000" w:themeColor="text1"/>
          <w:sz w:val="21"/>
          <w:szCs w:val="21"/>
          <w:lang w:val="es-ES_tradnl"/>
        </w:rPr>
        <w:t>c) Contará con la información oficial de la contratación realizada con dineros públicos, para lo cual establecerá los patrones a que haya lugar y se encargará de su difusión a través de canales electrónicos y;</w:t>
      </w:r>
    </w:p>
    <w:p w14:paraId="3E5B7EE8" w14:textId="77777777" w:rsidR="0073184D" w:rsidRPr="006F1B1E" w:rsidRDefault="0073184D" w:rsidP="0073184D">
      <w:pPr>
        <w:ind w:left="709" w:right="709"/>
        <w:jc w:val="both"/>
        <w:rPr>
          <w:rFonts w:ascii="Arial" w:eastAsia="Calibri" w:hAnsi="Arial" w:cs="Arial"/>
          <w:color w:val="000000" w:themeColor="text1"/>
          <w:sz w:val="21"/>
          <w:szCs w:val="21"/>
          <w:lang w:val="es-ES_tradnl"/>
        </w:rPr>
      </w:pPr>
    </w:p>
    <w:p w14:paraId="57205AD4" w14:textId="41E9B173" w:rsidR="0073184D" w:rsidRPr="006F1B1E" w:rsidRDefault="00065AC3" w:rsidP="0073184D">
      <w:pPr>
        <w:ind w:left="709" w:right="709"/>
        <w:jc w:val="both"/>
        <w:rPr>
          <w:rFonts w:ascii="Arial" w:eastAsia="Calibri" w:hAnsi="Arial" w:cs="Arial"/>
          <w:color w:val="000000" w:themeColor="text1"/>
          <w:sz w:val="21"/>
          <w:szCs w:val="21"/>
          <w:lang w:val="es-ES_tradnl"/>
        </w:rPr>
      </w:pPr>
      <w:r w:rsidRPr="006F1B1E">
        <w:rPr>
          <w:rFonts w:ascii="Arial" w:eastAsia="Calibri" w:hAnsi="Arial" w:cs="Arial"/>
          <w:color w:val="000000" w:themeColor="text1"/>
          <w:sz w:val="21"/>
          <w:szCs w:val="21"/>
          <w:lang w:val="es-ES_tradnl"/>
        </w:rPr>
        <w:t>»</w:t>
      </w:r>
      <w:r w:rsidR="0073184D" w:rsidRPr="006F1B1E">
        <w:rPr>
          <w:rFonts w:ascii="Arial" w:eastAsia="Calibri" w:hAnsi="Arial" w:cs="Arial"/>
          <w:color w:val="000000" w:themeColor="text1"/>
          <w:sz w:val="21"/>
          <w:szCs w:val="21"/>
          <w:lang w:val="es-ES_tradnl"/>
        </w:rPr>
        <w:t xml:space="preserve">d) Integrará el Registro </w:t>
      </w:r>
      <w:r w:rsidR="009374F0" w:rsidRPr="006F1B1E">
        <w:rPr>
          <w:rFonts w:ascii="Arial" w:eastAsia="Calibri" w:hAnsi="Arial" w:cs="Arial"/>
          <w:color w:val="000000" w:themeColor="text1"/>
          <w:sz w:val="21"/>
          <w:szCs w:val="21"/>
          <w:lang w:val="es-ES_tradnl"/>
        </w:rPr>
        <w:t>Único</w:t>
      </w:r>
      <w:r w:rsidR="0073184D" w:rsidRPr="006F1B1E">
        <w:rPr>
          <w:rFonts w:ascii="Arial" w:eastAsia="Calibri" w:hAnsi="Arial" w:cs="Arial"/>
          <w:color w:val="000000" w:themeColor="text1"/>
          <w:sz w:val="21"/>
          <w:szCs w:val="21"/>
          <w:lang w:val="es-ES_tradnl"/>
        </w:rPr>
        <w:t xml:space="preserve"> Empresarial de las Cámaras de Comercio, el Diario </w:t>
      </w:r>
      <w:r w:rsidR="009374F0" w:rsidRPr="006F1B1E">
        <w:rPr>
          <w:rFonts w:ascii="Arial" w:eastAsia="Calibri" w:hAnsi="Arial" w:cs="Arial"/>
          <w:color w:val="000000" w:themeColor="text1"/>
          <w:sz w:val="21"/>
          <w:szCs w:val="21"/>
          <w:lang w:val="es-ES_tradnl"/>
        </w:rPr>
        <w:t>Único</w:t>
      </w:r>
      <w:r w:rsidR="0073184D" w:rsidRPr="006F1B1E">
        <w:rPr>
          <w:rFonts w:ascii="Arial" w:eastAsia="Calibri" w:hAnsi="Arial" w:cs="Arial"/>
          <w:color w:val="000000" w:themeColor="text1"/>
          <w:sz w:val="21"/>
          <w:szCs w:val="21"/>
          <w:lang w:val="es-ES_tradnl"/>
        </w:rPr>
        <w:t xml:space="preserve"> de Contratación Estatal y los demás sistemas que involucren la gestión contractual pública. Así mismo, se articulará con el Sistema de Información para la Vigilancia de la Contratación Estatal, SICE, creado por la Ley 598 de 2000, sin que este pierda su autonomía para el ejercicio del control fiscal a la contratación pública.</w:t>
      </w:r>
    </w:p>
    <w:p w14:paraId="65E74660" w14:textId="77777777" w:rsidR="009374F0" w:rsidRPr="006F1B1E" w:rsidRDefault="009374F0" w:rsidP="0073184D">
      <w:pPr>
        <w:ind w:left="709" w:right="709"/>
        <w:jc w:val="both"/>
        <w:rPr>
          <w:rFonts w:ascii="Arial" w:eastAsia="Calibri" w:hAnsi="Arial" w:cs="Arial"/>
          <w:color w:val="000000" w:themeColor="text1"/>
          <w:sz w:val="21"/>
          <w:szCs w:val="21"/>
          <w:lang w:val="es-ES_tradnl"/>
        </w:rPr>
      </w:pPr>
    </w:p>
    <w:p w14:paraId="389D8F10" w14:textId="3D496CCF" w:rsidR="0073184D" w:rsidRPr="006F1B1E" w:rsidRDefault="00065AC3" w:rsidP="0073184D">
      <w:pPr>
        <w:ind w:left="709" w:right="709"/>
        <w:jc w:val="both"/>
        <w:rPr>
          <w:rFonts w:ascii="Arial" w:eastAsia="Calibri" w:hAnsi="Arial" w:cs="Arial"/>
          <w:color w:val="000000" w:themeColor="text1"/>
          <w:sz w:val="21"/>
          <w:szCs w:val="21"/>
          <w:lang w:val="es-ES_tradnl"/>
        </w:rPr>
      </w:pPr>
      <w:r w:rsidRPr="006F1B1E">
        <w:rPr>
          <w:rFonts w:ascii="Arial" w:eastAsia="Calibri" w:hAnsi="Arial" w:cs="Arial"/>
          <w:color w:val="000000" w:themeColor="text1"/>
          <w:sz w:val="21"/>
          <w:szCs w:val="21"/>
          <w:lang w:val="es-ES_tradnl"/>
        </w:rPr>
        <w:t>»</w:t>
      </w:r>
      <w:r w:rsidR="0073184D" w:rsidRPr="006F1B1E">
        <w:rPr>
          <w:rFonts w:ascii="Arial" w:eastAsia="Calibri" w:hAnsi="Arial" w:cs="Arial"/>
          <w:color w:val="000000" w:themeColor="text1"/>
          <w:sz w:val="21"/>
          <w:szCs w:val="21"/>
          <w:lang w:val="es-ES_tradnl"/>
        </w:rPr>
        <w:t>PARÁGRAFO 1o. En ningún caso la administración del Secop supondrá la creación de una nueva entidad.</w:t>
      </w:r>
    </w:p>
    <w:p w14:paraId="0F863341" w14:textId="77777777" w:rsidR="0073184D" w:rsidRPr="006F1B1E" w:rsidRDefault="0073184D" w:rsidP="0073184D">
      <w:pPr>
        <w:ind w:left="709" w:right="709"/>
        <w:jc w:val="both"/>
        <w:rPr>
          <w:rFonts w:ascii="Arial" w:eastAsia="Calibri" w:hAnsi="Arial" w:cs="Arial"/>
          <w:color w:val="000000" w:themeColor="text1"/>
          <w:sz w:val="21"/>
          <w:szCs w:val="21"/>
          <w:lang w:val="es-ES_tradnl"/>
        </w:rPr>
      </w:pPr>
    </w:p>
    <w:p w14:paraId="04EEF1B6" w14:textId="618BE20F" w:rsidR="003612F7" w:rsidRPr="006F1B1E" w:rsidRDefault="0073184D" w:rsidP="009374F0">
      <w:pPr>
        <w:ind w:left="709" w:right="709"/>
        <w:jc w:val="both"/>
        <w:rPr>
          <w:rFonts w:ascii="Arial" w:eastAsia="Calibri" w:hAnsi="Arial" w:cs="Arial"/>
          <w:color w:val="000000" w:themeColor="text1"/>
          <w:sz w:val="21"/>
          <w:szCs w:val="21"/>
          <w:lang w:val="es-ES_tradnl"/>
        </w:rPr>
      </w:pPr>
      <w:r w:rsidRPr="006F1B1E">
        <w:rPr>
          <w:rFonts w:ascii="Arial" w:eastAsia="Calibri" w:hAnsi="Arial" w:cs="Arial"/>
          <w:color w:val="000000" w:themeColor="text1"/>
          <w:sz w:val="21"/>
          <w:szCs w:val="21"/>
          <w:lang w:val="es-ES_tradnl"/>
        </w:rPr>
        <w:t>El Secop será administrado por el organismo que designe el Gobierno Nacional, sin perjuicio de la autonomía que respecto del SICE confiere la Ley 598 de 2000 a la Contraloría General de la República</w:t>
      </w:r>
      <w:r w:rsidR="00065AC3" w:rsidRPr="006F1B1E">
        <w:rPr>
          <w:rFonts w:ascii="Arial" w:eastAsia="Calibri" w:hAnsi="Arial" w:cs="Arial"/>
          <w:color w:val="000000" w:themeColor="text1"/>
          <w:sz w:val="21"/>
          <w:szCs w:val="21"/>
          <w:lang w:val="es-ES_tradnl"/>
        </w:rPr>
        <w:t>»</w:t>
      </w:r>
      <w:r w:rsidR="00065AC3" w:rsidRPr="006F1B1E">
        <w:rPr>
          <w:rStyle w:val="Refdenotaalpie"/>
          <w:rFonts w:ascii="Arial" w:eastAsia="Calibri" w:hAnsi="Arial" w:cs="Arial"/>
          <w:color w:val="000000" w:themeColor="text1"/>
          <w:sz w:val="21"/>
          <w:szCs w:val="21"/>
          <w:lang w:val="es-ES_tradnl"/>
        </w:rPr>
        <w:footnoteReference w:id="17"/>
      </w:r>
      <w:r w:rsidRPr="006F1B1E">
        <w:rPr>
          <w:rFonts w:ascii="Arial" w:eastAsia="Calibri" w:hAnsi="Arial" w:cs="Arial"/>
          <w:color w:val="000000" w:themeColor="text1"/>
          <w:sz w:val="21"/>
          <w:szCs w:val="21"/>
          <w:lang w:val="es-ES_tradnl"/>
        </w:rPr>
        <w:t>.</w:t>
      </w:r>
    </w:p>
    <w:p w14:paraId="436231B4" w14:textId="77777777" w:rsidR="009374F0" w:rsidRPr="006F1B1E" w:rsidRDefault="009374F0" w:rsidP="009374F0">
      <w:pPr>
        <w:spacing w:line="276" w:lineRule="auto"/>
        <w:ind w:firstLine="709"/>
        <w:jc w:val="both"/>
        <w:rPr>
          <w:rFonts w:ascii="Arial" w:eastAsia="Calibri" w:hAnsi="Arial" w:cs="Arial"/>
          <w:color w:val="000000" w:themeColor="text1"/>
          <w:sz w:val="22"/>
          <w:lang w:val="es-ES_tradnl"/>
        </w:rPr>
      </w:pPr>
    </w:p>
    <w:p w14:paraId="78775B07" w14:textId="3E8F74AA" w:rsidR="009374F0" w:rsidRPr="006F1B1E" w:rsidRDefault="009374F0" w:rsidP="009374F0">
      <w:pPr>
        <w:spacing w:after="120" w:line="276" w:lineRule="auto"/>
        <w:ind w:firstLine="709"/>
        <w:jc w:val="both"/>
        <w:rPr>
          <w:rFonts w:ascii="Arial" w:eastAsia="Calibri" w:hAnsi="Arial" w:cs="Arial"/>
          <w:color w:val="000000" w:themeColor="text1"/>
          <w:sz w:val="22"/>
          <w:lang w:val="es-ES_tradnl"/>
        </w:rPr>
      </w:pPr>
      <w:r w:rsidRPr="006F1B1E">
        <w:rPr>
          <w:rFonts w:ascii="Arial" w:eastAsia="Calibri" w:hAnsi="Arial" w:cs="Arial"/>
          <w:color w:val="000000" w:themeColor="text1"/>
          <w:sz w:val="22"/>
          <w:lang w:val="es-ES_tradnl"/>
        </w:rPr>
        <w:t xml:space="preserve">Como se observa, </w:t>
      </w:r>
      <w:r w:rsidR="00AF185F" w:rsidRPr="006F1B1E">
        <w:rPr>
          <w:rFonts w:ascii="Arial" w:eastAsia="Calibri" w:hAnsi="Arial" w:cs="Arial"/>
          <w:color w:val="000000" w:themeColor="text1"/>
          <w:sz w:val="22"/>
          <w:lang w:val="es-ES_tradnl"/>
        </w:rPr>
        <w:t>este enunciado normativo introduce en la contratación estatal la regulación contenida en la Ley 527 de 1999</w:t>
      </w:r>
      <w:r w:rsidR="00F82A28" w:rsidRPr="006F1B1E">
        <w:rPr>
          <w:rFonts w:ascii="Arial" w:eastAsia="Calibri" w:hAnsi="Arial" w:cs="Arial"/>
          <w:color w:val="000000" w:themeColor="text1"/>
          <w:sz w:val="22"/>
          <w:lang w:val="es-ES_tradnl"/>
        </w:rPr>
        <w:t>, permitiendo que el trámite de los procedimientos contractuales se realice por medios electrónicos</w:t>
      </w:r>
      <w:r w:rsidR="00B81C53" w:rsidRPr="006F1B1E">
        <w:rPr>
          <w:rFonts w:ascii="Arial" w:eastAsia="Calibri" w:hAnsi="Arial" w:cs="Arial"/>
          <w:color w:val="000000" w:themeColor="text1"/>
          <w:sz w:val="22"/>
          <w:lang w:val="es-ES_tradnl"/>
        </w:rPr>
        <w:t>; medios en los que cabe, como ya se indicó, el uso de sistemas de información para el envío de mensajes de datos.</w:t>
      </w:r>
    </w:p>
    <w:p w14:paraId="59556549" w14:textId="0E99E135" w:rsidR="00353D56" w:rsidRPr="006F1B1E" w:rsidRDefault="001E2605" w:rsidP="00353D56">
      <w:pPr>
        <w:spacing w:line="276" w:lineRule="auto"/>
        <w:ind w:firstLine="709"/>
        <w:jc w:val="both"/>
        <w:rPr>
          <w:rFonts w:ascii="Arial" w:eastAsia="Calibri" w:hAnsi="Arial" w:cs="Arial"/>
          <w:color w:val="000000" w:themeColor="text1"/>
          <w:sz w:val="22"/>
          <w:lang w:val="es-ES_tradnl"/>
        </w:rPr>
      </w:pPr>
      <w:r w:rsidRPr="006F1B1E">
        <w:rPr>
          <w:rFonts w:ascii="Arial" w:eastAsia="Calibri" w:hAnsi="Arial" w:cs="Arial"/>
          <w:color w:val="000000" w:themeColor="text1"/>
          <w:sz w:val="22"/>
          <w:lang w:val="es-ES_tradnl"/>
        </w:rPr>
        <w:lastRenderedPageBreak/>
        <w:t>La Ley 1341</w:t>
      </w:r>
      <w:r w:rsidR="005C7FCD" w:rsidRPr="006F1B1E">
        <w:rPr>
          <w:rFonts w:ascii="Arial" w:eastAsia="Calibri" w:hAnsi="Arial" w:cs="Arial"/>
          <w:color w:val="000000" w:themeColor="text1"/>
          <w:sz w:val="22"/>
          <w:lang w:val="es-ES_tradnl"/>
        </w:rPr>
        <w:t xml:space="preserve"> de 2009</w:t>
      </w:r>
      <w:r w:rsidR="006067E3" w:rsidRPr="006F1B1E">
        <w:rPr>
          <w:rStyle w:val="Refdenotaalpie"/>
          <w:rFonts w:ascii="Arial" w:eastAsia="Calibri" w:hAnsi="Arial" w:cs="Arial"/>
          <w:color w:val="000000" w:themeColor="text1"/>
          <w:sz w:val="22"/>
          <w:lang w:val="es-ES_tradnl"/>
        </w:rPr>
        <w:footnoteReference w:id="18"/>
      </w:r>
      <w:r w:rsidR="0059611C" w:rsidRPr="006F1B1E">
        <w:rPr>
          <w:rFonts w:ascii="Arial" w:eastAsia="Calibri" w:hAnsi="Arial" w:cs="Arial"/>
          <w:color w:val="000000" w:themeColor="text1"/>
          <w:sz w:val="22"/>
          <w:lang w:val="es-ES_tradnl"/>
        </w:rPr>
        <w:t xml:space="preserve"> </w:t>
      </w:r>
      <w:r w:rsidR="0010019F" w:rsidRPr="006F1B1E">
        <w:rPr>
          <w:rFonts w:ascii="Arial" w:eastAsia="Calibri" w:hAnsi="Arial" w:cs="Arial"/>
          <w:color w:val="000000" w:themeColor="text1"/>
          <w:sz w:val="22"/>
          <w:lang w:val="es-ES_tradnl"/>
        </w:rPr>
        <w:t xml:space="preserve">establece la «masificación del gobierno en línea», </w:t>
      </w:r>
      <w:r w:rsidR="00353D56" w:rsidRPr="006F1B1E">
        <w:rPr>
          <w:rFonts w:ascii="Arial" w:eastAsia="Calibri" w:hAnsi="Arial" w:cs="Arial"/>
          <w:color w:val="000000" w:themeColor="text1"/>
          <w:sz w:val="22"/>
          <w:lang w:val="es-ES_tradnl"/>
        </w:rPr>
        <w:t>indicando</w:t>
      </w:r>
      <w:r w:rsidR="00ED58F6" w:rsidRPr="006F1B1E">
        <w:rPr>
          <w:rFonts w:ascii="Arial" w:eastAsia="Calibri" w:hAnsi="Arial" w:cs="Arial"/>
          <w:color w:val="000000" w:themeColor="text1"/>
          <w:sz w:val="22"/>
          <w:lang w:val="es-ES_tradnl"/>
        </w:rPr>
        <w:t xml:space="preserve"> en el artículo 2, numeral 8,</w:t>
      </w:r>
      <w:r w:rsidR="00353D56" w:rsidRPr="006F1B1E">
        <w:rPr>
          <w:rFonts w:ascii="Arial" w:eastAsia="Calibri" w:hAnsi="Arial" w:cs="Arial"/>
          <w:color w:val="000000" w:themeColor="text1"/>
          <w:sz w:val="22"/>
          <w:lang w:val="es-ES_tradnl"/>
        </w:rPr>
        <w:t xml:space="preserve"> que:</w:t>
      </w:r>
    </w:p>
    <w:p w14:paraId="0270BDBB" w14:textId="77777777" w:rsidR="00353D56" w:rsidRPr="006F1B1E" w:rsidRDefault="00353D56" w:rsidP="00353D56">
      <w:pPr>
        <w:ind w:left="709" w:right="709"/>
        <w:jc w:val="both"/>
        <w:rPr>
          <w:rFonts w:ascii="Arial" w:eastAsia="Calibri" w:hAnsi="Arial" w:cs="Arial"/>
          <w:color w:val="000000" w:themeColor="text1"/>
          <w:sz w:val="21"/>
          <w:szCs w:val="21"/>
          <w:lang w:val="es-ES_tradnl"/>
        </w:rPr>
      </w:pPr>
    </w:p>
    <w:p w14:paraId="32E3E670" w14:textId="15C00566" w:rsidR="0010019F" w:rsidRPr="006F1B1E" w:rsidRDefault="001B5991" w:rsidP="00353D56">
      <w:pPr>
        <w:ind w:left="709" w:right="709"/>
        <w:jc w:val="both"/>
        <w:rPr>
          <w:rFonts w:ascii="Arial" w:eastAsia="Calibri" w:hAnsi="Arial" w:cs="Arial"/>
          <w:color w:val="000000" w:themeColor="text1"/>
          <w:sz w:val="21"/>
          <w:szCs w:val="21"/>
          <w:lang w:val="es-ES_tradnl"/>
        </w:rPr>
      </w:pPr>
      <w:r w:rsidRPr="006F1B1E">
        <w:rPr>
          <w:rFonts w:ascii="Arial" w:eastAsia="Calibri" w:hAnsi="Arial" w:cs="Arial"/>
          <w:color w:val="000000" w:themeColor="text1"/>
          <w:sz w:val="21"/>
          <w:szCs w:val="21"/>
          <w:lang w:val="es-ES_tradnl"/>
        </w:rPr>
        <w:t>«</w:t>
      </w:r>
      <w:r w:rsidR="00353D56" w:rsidRPr="006F1B1E">
        <w:rPr>
          <w:rFonts w:ascii="Arial" w:eastAsia="Calibri" w:hAnsi="Arial" w:cs="Arial"/>
          <w:color w:val="000000" w:themeColor="text1"/>
          <w:sz w:val="21"/>
          <w:szCs w:val="21"/>
          <w:lang w:val="es-ES_tradnl"/>
        </w:rPr>
        <w:t>Con el fin de lograr la prestación de servicios eficientes a los ciudadanos, las entidades públicas deberán adoptar todas las medidas necesarias para garantizar el máximo aprovechamiento de las Tecnologías de la Información y las Comunicaciones en el desarrollo de sus funciones. El Gobierno Nacional fijará los mecanismos y condiciones para garantizar el desarrollo de este principio. Y en la reglamentación correspondiente establecerá los plazos, términos y prescripciones, no solamente para la instalación de las infraestructuras indicadas y necesarias, sino también para mantener actualizadas y con la información completa los medios y los instrumentos tecnológicos</w:t>
      </w:r>
      <w:r w:rsidRPr="006F1B1E">
        <w:rPr>
          <w:rFonts w:ascii="Arial" w:eastAsia="Calibri" w:hAnsi="Arial" w:cs="Arial"/>
          <w:color w:val="000000" w:themeColor="text1"/>
          <w:sz w:val="21"/>
          <w:szCs w:val="21"/>
          <w:lang w:val="es-ES_tradnl"/>
        </w:rPr>
        <w:t>»</w:t>
      </w:r>
      <w:r w:rsidR="00353D56" w:rsidRPr="006F1B1E">
        <w:rPr>
          <w:rFonts w:ascii="Arial" w:eastAsia="Calibri" w:hAnsi="Arial" w:cs="Arial"/>
          <w:color w:val="000000" w:themeColor="text1"/>
          <w:sz w:val="21"/>
          <w:szCs w:val="21"/>
          <w:lang w:val="es-ES_tradnl"/>
        </w:rPr>
        <w:t xml:space="preserve">. </w:t>
      </w:r>
    </w:p>
    <w:p w14:paraId="2C3F00FC" w14:textId="463C5012" w:rsidR="005C7FCD" w:rsidRPr="006F1B1E" w:rsidRDefault="005C7FCD" w:rsidP="00353D56">
      <w:pPr>
        <w:spacing w:line="276" w:lineRule="auto"/>
        <w:jc w:val="both"/>
        <w:rPr>
          <w:rFonts w:ascii="Arial" w:eastAsia="Calibri" w:hAnsi="Arial" w:cs="Arial"/>
          <w:color w:val="000000" w:themeColor="text1"/>
          <w:sz w:val="22"/>
          <w:lang w:val="es-ES_tradnl"/>
        </w:rPr>
      </w:pPr>
    </w:p>
    <w:p w14:paraId="0E121099" w14:textId="15CAFB66" w:rsidR="005C6D5A" w:rsidRPr="006F1B1E" w:rsidRDefault="00B81C53" w:rsidP="005C6D5A">
      <w:pPr>
        <w:spacing w:line="276" w:lineRule="auto"/>
        <w:ind w:firstLine="709"/>
        <w:jc w:val="both"/>
        <w:rPr>
          <w:rFonts w:ascii="Arial" w:eastAsia="Calibri" w:hAnsi="Arial" w:cs="Arial"/>
          <w:color w:val="000000" w:themeColor="text1"/>
          <w:sz w:val="22"/>
          <w:lang w:val="es-ES_tradnl"/>
        </w:rPr>
      </w:pPr>
      <w:r w:rsidRPr="006F1B1E">
        <w:rPr>
          <w:rFonts w:ascii="Arial" w:eastAsia="Calibri" w:hAnsi="Arial" w:cs="Arial"/>
          <w:color w:val="000000" w:themeColor="text1"/>
          <w:sz w:val="22"/>
          <w:lang w:val="es-ES_tradnl"/>
        </w:rPr>
        <w:t>La Ley 1437 de 2011</w:t>
      </w:r>
      <w:r w:rsidR="000A4216" w:rsidRPr="006F1B1E">
        <w:rPr>
          <w:rStyle w:val="Refdenotaalpie"/>
          <w:rFonts w:ascii="Arial" w:eastAsia="Calibri" w:hAnsi="Arial" w:cs="Arial"/>
          <w:color w:val="000000" w:themeColor="text1"/>
          <w:sz w:val="22"/>
          <w:lang w:val="es-ES_tradnl"/>
        </w:rPr>
        <w:footnoteReference w:id="19"/>
      </w:r>
      <w:r w:rsidR="00BF5DF7" w:rsidRPr="006F1B1E">
        <w:rPr>
          <w:rFonts w:ascii="Arial" w:eastAsia="Calibri" w:hAnsi="Arial" w:cs="Arial"/>
          <w:color w:val="000000" w:themeColor="text1"/>
          <w:sz w:val="22"/>
          <w:lang w:val="es-ES_tradnl"/>
        </w:rPr>
        <w:t xml:space="preserve"> </w:t>
      </w:r>
      <w:r w:rsidR="00BC451F" w:rsidRPr="006F1B1E">
        <w:rPr>
          <w:rFonts w:ascii="Arial" w:eastAsia="Calibri" w:hAnsi="Arial" w:cs="Arial"/>
          <w:color w:val="000000" w:themeColor="text1"/>
          <w:sz w:val="22"/>
          <w:lang w:val="es-ES_tradnl"/>
        </w:rPr>
        <w:t xml:space="preserve">continúa la línea </w:t>
      </w:r>
      <w:r w:rsidR="00A91098" w:rsidRPr="006F1B1E">
        <w:rPr>
          <w:rFonts w:ascii="Arial" w:eastAsia="Calibri" w:hAnsi="Arial" w:cs="Arial"/>
          <w:color w:val="000000" w:themeColor="text1"/>
          <w:sz w:val="22"/>
          <w:lang w:val="es-ES_tradnl"/>
        </w:rPr>
        <w:t xml:space="preserve">explicada, consistente en </w:t>
      </w:r>
      <w:r w:rsidR="00BC451F" w:rsidRPr="006F1B1E">
        <w:rPr>
          <w:rFonts w:ascii="Arial" w:eastAsia="Calibri" w:hAnsi="Arial" w:cs="Arial"/>
          <w:color w:val="000000" w:themeColor="text1"/>
          <w:sz w:val="22"/>
          <w:lang w:val="es-ES_tradnl"/>
        </w:rPr>
        <w:t>e</w:t>
      </w:r>
      <w:r w:rsidR="003E1EC4" w:rsidRPr="006F1B1E">
        <w:rPr>
          <w:rFonts w:ascii="Arial" w:eastAsia="Calibri" w:hAnsi="Arial" w:cs="Arial"/>
          <w:color w:val="000000" w:themeColor="text1"/>
          <w:sz w:val="22"/>
          <w:lang w:val="es-ES_tradnl"/>
        </w:rPr>
        <w:t>l</w:t>
      </w:r>
      <w:r w:rsidR="00BC451F" w:rsidRPr="006F1B1E">
        <w:rPr>
          <w:rFonts w:ascii="Arial" w:eastAsia="Calibri" w:hAnsi="Arial" w:cs="Arial"/>
          <w:color w:val="000000" w:themeColor="text1"/>
          <w:sz w:val="22"/>
          <w:lang w:val="es-ES_tradnl"/>
        </w:rPr>
        <w:t xml:space="preserve"> reconocimiento de validez a las actuaciones </w:t>
      </w:r>
      <w:r w:rsidR="003E1EC4" w:rsidRPr="006F1B1E">
        <w:rPr>
          <w:rFonts w:ascii="Arial" w:eastAsia="Calibri" w:hAnsi="Arial" w:cs="Arial"/>
          <w:color w:val="000000" w:themeColor="text1"/>
          <w:sz w:val="22"/>
          <w:lang w:val="es-ES_tradnl"/>
        </w:rPr>
        <w:t>realizadas en sede virtual</w:t>
      </w:r>
      <w:r w:rsidR="00A91098" w:rsidRPr="006F1B1E">
        <w:rPr>
          <w:rFonts w:ascii="Arial" w:eastAsia="Calibri" w:hAnsi="Arial" w:cs="Arial"/>
          <w:color w:val="000000" w:themeColor="text1"/>
          <w:sz w:val="22"/>
          <w:lang w:val="es-ES_tradnl"/>
        </w:rPr>
        <w:t>,</w:t>
      </w:r>
      <w:r w:rsidR="004129B5" w:rsidRPr="006F1B1E">
        <w:rPr>
          <w:rFonts w:ascii="Arial" w:eastAsia="Calibri" w:hAnsi="Arial" w:cs="Arial"/>
          <w:color w:val="000000" w:themeColor="text1"/>
          <w:sz w:val="22"/>
          <w:lang w:val="es-ES_tradnl"/>
        </w:rPr>
        <w:t xml:space="preserve"> y dedica un capítulo completo a la utilización de medios electrónicos en el procedimiento administrativo</w:t>
      </w:r>
      <w:r w:rsidR="00A91098" w:rsidRPr="006F1B1E">
        <w:rPr>
          <w:rStyle w:val="Refdenotaalpie"/>
          <w:rFonts w:ascii="Arial" w:eastAsia="Calibri" w:hAnsi="Arial" w:cs="Arial"/>
          <w:color w:val="000000" w:themeColor="text1"/>
          <w:sz w:val="22"/>
          <w:lang w:val="es-ES_tradnl"/>
        </w:rPr>
        <w:footnoteReference w:id="20"/>
      </w:r>
      <w:r w:rsidR="004129B5" w:rsidRPr="006F1B1E">
        <w:rPr>
          <w:rFonts w:ascii="Arial" w:eastAsia="Calibri" w:hAnsi="Arial" w:cs="Arial"/>
          <w:color w:val="000000" w:themeColor="text1"/>
          <w:sz w:val="22"/>
          <w:lang w:val="es-ES_tradnl"/>
        </w:rPr>
        <w:t>.</w:t>
      </w:r>
      <w:r w:rsidR="000615B9" w:rsidRPr="006F1B1E">
        <w:rPr>
          <w:rFonts w:ascii="Arial" w:eastAsia="Calibri" w:hAnsi="Arial" w:cs="Arial"/>
          <w:color w:val="000000" w:themeColor="text1"/>
          <w:sz w:val="22"/>
          <w:lang w:val="es-ES_tradnl"/>
        </w:rPr>
        <w:t xml:space="preserve"> </w:t>
      </w:r>
      <w:r w:rsidR="0007160F" w:rsidRPr="006F1B1E">
        <w:rPr>
          <w:rFonts w:ascii="Arial" w:eastAsia="Calibri" w:hAnsi="Arial" w:cs="Arial"/>
          <w:color w:val="000000" w:themeColor="text1"/>
          <w:sz w:val="22"/>
          <w:lang w:val="es-ES_tradnl"/>
        </w:rPr>
        <w:t xml:space="preserve">En efecto, el artículo 5º, numeral 1, </w:t>
      </w:r>
      <w:r w:rsidR="00244E26" w:rsidRPr="006F1B1E">
        <w:rPr>
          <w:rFonts w:ascii="Arial" w:eastAsia="Calibri" w:hAnsi="Arial" w:cs="Arial"/>
          <w:color w:val="000000" w:themeColor="text1"/>
          <w:sz w:val="22"/>
          <w:lang w:val="es-ES_tradnl"/>
        </w:rPr>
        <w:t>consagra</w:t>
      </w:r>
      <w:r w:rsidR="008D538C" w:rsidRPr="006F1B1E">
        <w:rPr>
          <w:rFonts w:ascii="Arial" w:eastAsia="Calibri" w:hAnsi="Arial" w:cs="Arial"/>
          <w:color w:val="000000" w:themeColor="text1"/>
          <w:sz w:val="22"/>
          <w:lang w:val="es-ES_tradnl"/>
        </w:rPr>
        <w:t>,</w:t>
      </w:r>
      <w:r w:rsidR="0007160F" w:rsidRPr="006F1B1E">
        <w:rPr>
          <w:rFonts w:ascii="Arial" w:eastAsia="Calibri" w:hAnsi="Arial" w:cs="Arial"/>
          <w:color w:val="000000" w:themeColor="text1"/>
          <w:sz w:val="22"/>
          <w:lang w:val="es-ES_tradnl"/>
        </w:rPr>
        <w:t xml:space="preserve"> como derecho de las personas ante las autoridades</w:t>
      </w:r>
      <w:r w:rsidR="008D538C" w:rsidRPr="006F1B1E">
        <w:rPr>
          <w:rFonts w:ascii="Arial" w:eastAsia="Calibri" w:hAnsi="Arial" w:cs="Arial"/>
          <w:color w:val="000000" w:themeColor="text1"/>
          <w:sz w:val="22"/>
          <w:lang w:val="es-ES_tradnl"/>
        </w:rPr>
        <w:t>,</w:t>
      </w:r>
      <w:r w:rsidR="0007160F" w:rsidRPr="006F1B1E">
        <w:rPr>
          <w:rFonts w:ascii="Arial" w:eastAsia="Calibri" w:hAnsi="Arial" w:cs="Arial"/>
          <w:color w:val="000000" w:themeColor="text1"/>
          <w:sz w:val="22"/>
          <w:lang w:val="es-ES_tradnl"/>
        </w:rPr>
        <w:t xml:space="preserve"> el de presentar peticiones</w:t>
      </w:r>
      <w:r w:rsidR="008A10E7" w:rsidRPr="006F1B1E">
        <w:rPr>
          <w:rFonts w:ascii="Arial" w:eastAsia="Calibri" w:hAnsi="Arial" w:cs="Arial"/>
          <w:color w:val="000000" w:themeColor="text1"/>
          <w:sz w:val="22"/>
          <w:lang w:val="es-ES_tradnl"/>
        </w:rPr>
        <w:t xml:space="preserve"> y </w:t>
      </w:r>
      <w:r w:rsidR="00AC7C59" w:rsidRPr="006F1B1E">
        <w:rPr>
          <w:rFonts w:ascii="Arial" w:eastAsia="Calibri" w:hAnsi="Arial" w:cs="Arial"/>
          <w:color w:val="000000" w:themeColor="text1"/>
          <w:sz w:val="22"/>
          <w:lang w:val="es-ES_tradnl"/>
        </w:rPr>
        <w:t>adelantar o promover estas actuaciones «por cualquier medio tecnológico o electrónico disponible en la entidad, aún por fuera de las horas de atención al público</w:t>
      </w:r>
      <w:r w:rsidR="008A10E7" w:rsidRPr="006F1B1E">
        <w:rPr>
          <w:rFonts w:ascii="Arial" w:eastAsia="Calibri" w:hAnsi="Arial" w:cs="Arial"/>
          <w:color w:val="000000" w:themeColor="text1"/>
          <w:sz w:val="22"/>
          <w:lang w:val="es-ES_tradnl"/>
        </w:rPr>
        <w:t xml:space="preserve">»; derecho al que le es correlativo el deber en cabeza de las autoridades de </w:t>
      </w:r>
      <w:r w:rsidR="004B0316" w:rsidRPr="006F1B1E">
        <w:rPr>
          <w:rFonts w:ascii="Arial" w:eastAsia="Calibri" w:hAnsi="Arial" w:cs="Arial"/>
          <w:color w:val="000000" w:themeColor="text1"/>
          <w:sz w:val="22"/>
          <w:lang w:val="es-ES_tradnl"/>
        </w:rPr>
        <w:t>«Tramitar las peticiones que lleguen vía fax o por medios electrónicos», previsto en el artículo 7º, numeral 6.</w:t>
      </w:r>
      <w:r w:rsidR="00BD31D8" w:rsidRPr="006F1B1E">
        <w:rPr>
          <w:rFonts w:ascii="Arial" w:eastAsia="Calibri" w:hAnsi="Arial" w:cs="Arial"/>
          <w:color w:val="000000" w:themeColor="text1"/>
          <w:sz w:val="22"/>
          <w:lang w:val="es-ES_tradnl"/>
        </w:rPr>
        <w:t xml:space="preserve"> Así mismo, el artículo 35 establece que «Los procedimientos administrativos se adelantarán por escrito, verbalmente, o por medios electrónicos de conformidad con lo dispuesto en este Código o la ley»</w:t>
      </w:r>
      <w:r w:rsidR="00096641" w:rsidRPr="006F1B1E">
        <w:rPr>
          <w:rFonts w:ascii="Arial" w:eastAsia="Calibri" w:hAnsi="Arial" w:cs="Arial"/>
          <w:color w:val="000000" w:themeColor="text1"/>
          <w:sz w:val="22"/>
          <w:lang w:val="es-ES_tradnl"/>
        </w:rPr>
        <w:t xml:space="preserve">; en tanto que los artículos </w:t>
      </w:r>
      <w:r w:rsidR="00371D32" w:rsidRPr="006F1B1E">
        <w:rPr>
          <w:rFonts w:ascii="Arial" w:eastAsia="Calibri" w:hAnsi="Arial" w:cs="Arial"/>
          <w:color w:val="000000" w:themeColor="text1"/>
          <w:sz w:val="22"/>
          <w:lang w:val="es-ES_tradnl"/>
        </w:rPr>
        <w:t>53 al 64 regulan</w:t>
      </w:r>
      <w:r w:rsidR="00DF7651" w:rsidRPr="006F1B1E">
        <w:rPr>
          <w:rFonts w:ascii="Arial" w:eastAsia="Calibri" w:hAnsi="Arial" w:cs="Arial"/>
          <w:color w:val="000000" w:themeColor="text1"/>
          <w:sz w:val="22"/>
          <w:lang w:val="es-ES_tradnl"/>
        </w:rPr>
        <w:t>:</w:t>
      </w:r>
      <w:r w:rsidR="00371D32" w:rsidRPr="006F1B1E">
        <w:rPr>
          <w:rFonts w:ascii="Arial" w:eastAsia="Calibri" w:hAnsi="Arial" w:cs="Arial"/>
          <w:color w:val="000000" w:themeColor="text1"/>
          <w:sz w:val="22"/>
          <w:lang w:val="es-ES_tradnl"/>
        </w:rPr>
        <w:t xml:space="preserve"> </w:t>
      </w:r>
      <w:r w:rsidR="00DF7651" w:rsidRPr="006F1B1E">
        <w:rPr>
          <w:rFonts w:ascii="Arial" w:eastAsia="Calibri" w:hAnsi="Arial" w:cs="Arial"/>
          <w:color w:val="000000" w:themeColor="text1"/>
          <w:sz w:val="22"/>
          <w:lang w:val="es-ES_tradnl"/>
        </w:rPr>
        <w:t xml:space="preserve">i) </w:t>
      </w:r>
      <w:r w:rsidR="00371D32" w:rsidRPr="006F1B1E">
        <w:rPr>
          <w:rFonts w:ascii="Arial" w:eastAsia="Calibri" w:hAnsi="Arial" w:cs="Arial"/>
          <w:color w:val="000000" w:themeColor="text1"/>
          <w:sz w:val="22"/>
          <w:lang w:val="es-ES_tradnl"/>
        </w:rPr>
        <w:t>la posibilidad de adelantar las actuaciones administrativas por medios electrónicos</w:t>
      </w:r>
      <w:r w:rsidR="00B342CD" w:rsidRPr="006F1B1E">
        <w:rPr>
          <w:rFonts w:ascii="Arial" w:eastAsia="Calibri" w:hAnsi="Arial" w:cs="Arial"/>
          <w:color w:val="000000" w:themeColor="text1"/>
          <w:sz w:val="22"/>
          <w:lang w:val="es-ES_tradnl"/>
        </w:rPr>
        <w:t xml:space="preserve">, </w:t>
      </w:r>
      <w:r w:rsidR="00DF7651" w:rsidRPr="006F1B1E">
        <w:rPr>
          <w:rFonts w:ascii="Arial" w:eastAsia="Calibri" w:hAnsi="Arial" w:cs="Arial"/>
          <w:color w:val="000000" w:themeColor="text1"/>
          <w:sz w:val="22"/>
          <w:lang w:val="es-ES_tradnl"/>
        </w:rPr>
        <w:t xml:space="preserve">ii) </w:t>
      </w:r>
      <w:r w:rsidR="00B342CD" w:rsidRPr="006F1B1E">
        <w:rPr>
          <w:rFonts w:ascii="Arial" w:eastAsia="Calibri" w:hAnsi="Arial" w:cs="Arial"/>
          <w:color w:val="000000" w:themeColor="text1"/>
          <w:sz w:val="22"/>
          <w:lang w:val="es-ES_tradnl"/>
        </w:rPr>
        <w:t xml:space="preserve">el registro para el uso de medios electrónicos, </w:t>
      </w:r>
      <w:r w:rsidR="00DF7651" w:rsidRPr="006F1B1E">
        <w:rPr>
          <w:rFonts w:ascii="Arial" w:eastAsia="Calibri" w:hAnsi="Arial" w:cs="Arial"/>
          <w:color w:val="000000" w:themeColor="text1"/>
          <w:sz w:val="22"/>
          <w:lang w:val="es-ES_tradnl"/>
        </w:rPr>
        <w:t xml:space="preserve">iii) </w:t>
      </w:r>
      <w:r w:rsidR="00B342CD" w:rsidRPr="006F1B1E">
        <w:rPr>
          <w:rFonts w:ascii="Arial" w:eastAsia="Calibri" w:hAnsi="Arial" w:cs="Arial"/>
          <w:color w:val="000000" w:themeColor="text1"/>
          <w:sz w:val="22"/>
          <w:lang w:val="es-ES_tradnl"/>
        </w:rPr>
        <w:t>el documento</w:t>
      </w:r>
      <w:r w:rsidR="00DF7651" w:rsidRPr="006F1B1E">
        <w:rPr>
          <w:rFonts w:ascii="Arial" w:eastAsia="Calibri" w:hAnsi="Arial" w:cs="Arial"/>
          <w:color w:val="000000" w:themeColor="text1"/>
          <w:sz w:val="22"/>
          <w:lang w:val="es-ES_tradnl"/>
        </w:rPr>
        <w:t xml:space="preserve"> público por medio electrónico, </w:t>
      </w:r>
      <w:r w:rsidR="004306AD" w:rsidRPr="006F1B1E">
        <w:rPr>
          <w:rFonts w:ascii="Arial" w:eastAsia="Calibri" w:hAnsi="Arial" w:cs="Arial"/>
          <w:color w:val="000000" w:themeColor="text1"/>
          <w:sz w:val="22"/>
          <w:lang w:val="es-ES_tradnl"/>
        </w:rPr>
        <w:t xml:space="preserve">iv) </w:t>
      </w:r>
      <w:r w:rsidR="00B342CD" w:rsidRPr="006F1B1E">
        <w:rPr>
          <w:rFonts w:ascii="Arial" w:eastAsia="Calibri" w:hAnsi="Arial" w:cs="Arial"/>
          <w:color w:val="000000" w:themeColor="text1"/>
          <w:sz w:val="22"/>
          <w:lang w:val="es-ES_tradnl"/>
        </w:rPr>
        <w:t xml:space="preserve">la notificación electrónica, </w:t>
      </w:r>
      <w:r w:rsidR="004306AD" w:rsidRPr="006F1B1E">
        <w:rPr>
          <w:rFonts w:ascii="Arial" w:eastAsia="Calibri" w:hAnsi="Arial" w:cs="Arial"/>
          <w:color w:val="000000" w:themeColor="text1"/>
          <w:sz w:val="22"/>
          <w:lang w:val="es-ES_tradnl"/>
        </w:rPr>
        <w:t xml:space="preserve">v) </w:t>
      </w:r>
      <w:r w:rsidR="00B342CD" w:rsidRPr="006F1B1E">
        <w:rPr>
          <w:rFonts w:ascii="Arial" w:eastAsia="Calibri" w:hAnsi="Arial" w:cs="Arial"/>
          <w:color w:val="000000" w:themeColor="text1"/>
          <w:sz w:val="22"/>
          <w:lang w:val="es-ES_tradnl"/>
        </w:rPr>
        <w:t xml:space="preserve">el acto administrativo electrónico, </w:t>
      </w:r>
      <w:r w:rsidR="004306AD" w:rsidRPr="006F1B1E">
        <w:rPr>
          <w:rFonts w:ascii="Arial" w:eastAsia="Calibri" w:hAnsi="Arial" w:cs="Arial"/>
          <w:color w:val="000000" w:themeColor="text1"/>
          <w:sz w:val="22"/>
          <w:lang w:val="es-ES_tradnl"/>
        </w:rPr>
        <w:t xml:space="preserve">vi) </w:t>
      </w:r>
      <w:r w:rsidR="00AE06BC" w:rsidRPr="006F1B1E">
        <w:rPr>
          <w:rFonts w:ascii="Arial" w:eastAsia="Calibri" w:hAnsi="Arial" w:cs="Arial"/>
          <w:color w:val="000000" w:themeColor="text1"/>
          <w:sz w:val="22"/>
          <w:lang w:val="es-ES_tradnl"/>
        </w:rPr>
        <w:t xml:space="preserve">el archivo electrónico de documentos, </w:t>
      </w:r>
      <w:r w:rsidR="004306AD" w:rsidRPr="006F1B1E">
        <w:rPr>
          <w:rFonts w:ascii="Arial" w:eastAsia="Calibri" w:hAnsi="Arial" w:cs="Arial"/>
          <w:color w:val="000000" w:themeColor="text1"/>
          <w:sz w:val="22"/>
          <w:lang w:val="es-ES_tradnl"/>
        </w:rPr>
        <w:t xml:space="preserve">vii) </w:t>
      </w:r>
      <w:r w:rsidR="00AE06BC" w:rsidRPr="006F1B1E">
        <w:rPr>
          <w:rFonts w:ascii="Arial" w:eastAsia="Calibri" w:hAnsi="Arial" w:cs="Arial"/>
          <w:color w:val="000000" w:themeColor="text1"/>
          <w:sz w:val="22"/>
          <w:lang w:val="es-ES_tradnl"/>
        </w:rPr>
        <w:t xml:space="preserve">el expediente electrónico, </w:t>
      </w:r>
      <w:r w:rsidR="004306AD" w:rsidRPr="006F1B1E">
        <w:rPr>
          <w:rFonts w:ascii="Arial" w:eastAsia="Calibri" w:hAnsi="Arial" w:cs="Arial"/>
          <w:color w:val="000000" w:themeColor="text1"/>
          <w:sz w:val="22"/>
          <w:lang w:val="es-ES_tradnl"/>
        </w:rPr>
        <w:t xml:space="preserve">viii) </w:t>
      </w:r>
      <w:r w:rsidR="00AE06BC" w:rsidRPr="006F1B1E">
        <w:rPr>
          <w:rFonts w:ascii="Arial" w:eastAsia="Calibri" w:hAnsi="Arial" w:cs="Arial"/>
          <w:color w:val="000000" w:themeColor="text1"/>
          <w:sz w:val="22"/>
          <w:lang w:val="es-ES_tradnl"/>
        </w:rPr>
        <w:t xml:space="preserve">la sede electrónica, </w:t>
      </w:r>
      <w:r w:rsidR="004306AD" w:rsidRPr="006F1B1E">
        <w:rPr>
          <w:rFonts w:ascii="Arial" w:eastAsia="Calibri" w:hAnsi="Arial" w:cs="Arial"/>
          <w:color w:val="000000" w:themeColor="text1"/>
          <w:sz w:val="22"/>
          <w:lang w:val="es-ES_tradnl"/>
        </w:rPr>
        <w:t xml:space="preserve">ix) </w:t>
      </w:r>
      <w:r w:rsidR="00AE06BC" w:rsidRPr="006F1B1E">
        <w:rPr>
          <w:rFonts w:ascii="Arial" w:eastAsia="Calibri" w:hAnsi="Arial" w:cs="Arial"/>
          <w:color w:val="000000" w:themeColor="text1"/>
          <w:sz w:val="22"/>
          <w:lang w:val="es-ES_tradnl"/>
        </w:rPr>
        <w:t>la recepción de documentos electrónicos por parte de las autoridades</w:t>
      </w:r>
      <w:r w:rsidR="00DF7651" w:rsidRPr="006F1B1E">
        <w:rPr>
          <w:rFonts w:ascii="Arial" w:eastAsia="Calibri" w:hAnsi="Arial" w:cs="Arial"/>
          <w:color w:val="000000" w:themeColor="text1"/>
          <w:sz w:val="22"/>
          <w:lang w:val="es-ES_tradnl"/>
        </w:rPr>
        <w:t xml:space="preserve">, </w:t>
      </w:r>
      <w:r w:rsidR="004306AD" w:rsidRPr="006F1B1E">
        <w:rPr>
          <w:rFonts w:ascii="Arial" w:eastAsia="Calibri" w:hAnsi="Arial" w:cs="Arial"/>
          <w:color w:val="000000" w:themeColor="text1"/>
          <w:sz w:val="22"/>
          <w:lang w:val="es-ES_tradnl"/>
        </w:rPr>
        <w:t xml:space="preserve">x) </w:t>
      </w:r>
      <w:r w:rsidR="00DF7651" w:rsidRPr="006F1B1E">
        <w:rPr>
          <w:rFonts w:ascii="Arial" w:eastAsia="Calibri" w:hAnsi="Arial" w:cs="Arial"/>
          <w:color w:val="000000" w:themeColor="text1"/>
          <w:sz w:val="22"/>
          <w:lang w:val="es-ES_tradnl"/>
        </w:rPr>
        <w:t xml:space="preserve">la prueba de recepción en envío de mensajes de datos por la autoridad, </w:t>
      </w:r>
      <w:r w:rsidR="004306AD" w:rsidRPr="006F1B1E">
        <w:rPr>
          <w:rFonts w:ascii="Arial" w:eastAsia="Calibri" w:hAnsi="Arial" w:cs="Arial"/>
          <w:color w:val="000000" w:themeColor="text1"/>
          <w:sz w:val="22"/>
          <w:lang w:val="es-ES_tradnl"/>
        </w:rPr>
        <w:t xml:space="preserve">xi) </w:t>
      </w:r>
      <w:r w:rsidR="00DF7651" w:rsidRPr="006F1B1E">
        <w:rPr>
          <w:rFonts w:ascii="Arial" w:eastAsia="Calibri" w:hAnsi="Arial" w:cs="Arial"/>
          <w:color w:val="000000" w:themeColor="text1"/>
          <w:sz w:val="22"/>
          <w:lang w:val="es-ES_tradnl"/>
        </w:rPr>
        <w:t xml:space="preserve">las sesiones virtuales y </w:t>
      </w:r>
      <w:r w:rsidR="004306AD" w:rsidRPr="006F1B1E">
        <w:rPr>
          <w:rFonts w:ascii="Arial" w:eastAsia="Calibri" w:hAnsi="Arial" w:cs="Arial"/>
          <w:color w:val="000000" w:themeColor="text1"/>
          <w:sz w:val="22"/>
          <w:lang w:val="es-ES_tradnl"/>
        </w:rPr>
        <w:t xml:space="preserve">xii) </w:t>
      </w:r>
      <w:r w:rsidR="00DF7651" w:rsidRPr="006F1B1E">
        <w:rPr>
          <w:rFonts w:ascii="Arial" w:eastAsia="Calibri" w:hAnsi="Arial" w:cs="Arial"/>
          <w:color w:val="000000" w:themeColor="text1"/>
          <w:sz w:val="22"/>
          <w:lang w:val="es-ES_tradnl"/>
        </w:rPr>
        <w:t>los estándares y protocolos.</w:t>
      </w:r>
    </w:p>
    <w:p w14:paraId="7C32ADE0" w14:textId="7B2FE6DD" w:rsidR="00DD5000" w:rsidRPr="006F1B1E" w:rsidRDefault="005C6D5A" w:rsidP="00254CF3">
      <w:pPr>
        <w:spacing w:before="120" w:line="276" w:lineRule="auto"/>
        <w:ind w:firstLine="709"/>
        <w:jc w:val="both"/>
        <w:rPr>
          <w:rFonts w:ascii="Arial" w:eastAsia="Calibri" w:hAnsi="Arial" w:cs="Arial"/>
          <w:color w:val="000000" w:themeColor="text1"/>
          <w:sz w:val="22"/>
          <w:lang w:val="es-ES_tradnl"/>
        </w:rPr>
      </w:pPr>
      <w:r w:rsidRPr="006F1B1E">
        <w:rPr>
          <w:rFonts w:ascii="Arial" w:eastAsia="Calibri" w:hAnsi="Arial" w:cs="Arial"/>
          <w:color w:val="000000" w:themeColor="text1"/>
          <w:sz w:val="22"/>
          <w:lang w:val="es-ES_tradnl"/>
        </w:rPr>
        <w:t xml:space="preserve">La utilización de los medios electrónicos regulados en la Ley 1437 de 2011 en la contratación estatal es posible a partir de la remisión efectuada por el artículo 77 de la Ley </w:t>
      </w:r>
      <w:r w:rsidRPr="006F1B1E">
        <w:rPr>
          <w:rFonts w:ascii="Arial" w:eastAsia="Calibri" w:hAnsi="Arial" w:cs="Arial"/>
          <w:color w:val="000000" w:themeColor="text1"/>
          <w:sz w:val="22"/>
          <w:lang w:val="es-ES_tradnl"/>
        </w:rPr>
        <w:lastRenderedPageBreak/>
        <w:t>80 de 1993</w:t>
      </w:r>
      <w:r w:rsidR="007B79F0" w:rsidRPr="006F1B1E">
        <w:rPr>
          <w:rFonts w:ascii="Arial" w:eastAsia="Calibri" w:hAnsi="Arial" w:cs="Arial"/>
          <w:color w:val="000000" w:themeColor="text1"/>
          <w:sz w:val="22"/>
          <w:lang w:val="es-ES_tradnl"/>
        </w:rPr>
        <w:t xml:space="preserve"> a las normas del CPACA</w:t>
      </w:r>
      <w:r w:rsidR="007B79F0" w:rsidRPr="006F1B1E">
        <w:rPr>
          <w:rStyle w:val="Refdenotaalpie"/>
          <w:rFonts w:ascii="Arial" w:eastAsia="Calibri" w:hAnsi="Arial" w:cs="Arial"/>
          <w:color w:val="000000" w:themeColor="text1"/>
          <w:sz w:val="22"/>
          <w:lang w:val="es-ES_tradnl"/>
        </w:rPr>
        <w:footnoteReference w:id="21"/>
      </w:r>
      <w:r w:rsidR="007B79F0" w:rsidRPr="006F1B1E">
        <w:rPr>
          <w:rFonts w:ascii="Arial" w:eastAsia="Calibri" w:hAnsi="Arial" w:cs="Arial"/>
          <w:color w:val="000000" w:themeColor="text1"/>
          <w:sz w:val="22"/>
          <w:lang w:val="es-ES_tradnl"/>
        </w:rPr>
        <w:t>, que</w:t>
      </w:r>
      <w:r w:rsidR="00552028">
        <w:rPr>
          <w:rFonts w:ascii="Arial" w:eastAsia="Calibri" w:hAnsi="Arial" w:cs="Arial"/>
          <w:color w:val="000000" w:themeColor="text1"/>
          <w:sz w:val="22"/>
          <w:lang w:val="es-ES_tradnl"/>
        </w:rPr>
        <w:t>,</w:t>
      </w:r>
      <w:r w:rsidR="007B79F0" w:rsidRPr="006F1B1E">
        <w:rPr>
          <w:rFonts w:ascii="Arial" w:eastAsia="Calibri" w:hAnsi="Arial" w:cs="Arial"/>
          <w:color w:val="000000" w:themeColor="text1"/>
          <w:sz w:val="22"/>
          <w:lang w:val="es-ES_tradnl"/>
        </w:rPr>
        <w:t xml:space="preserve"> a su vez, como se indicó, se remite a las </w:t>
      </w:r>
      <w:r w:rsidR="00EA067B" w:rsidRPr="006F1B1E">
        <w:rPr>
          <w:rFonts w:ascii="Arial" w:eastAsia="Calibri" w:hAnsi="Arial" w:cs="Arial"/>
          <w:color w:val="000000" w:themeColor="text1"/>
          <w:sz w:val="22"/>
          <w:lang w:val="es-ES_tradnl"/>
        </w:rPr>
        <w:t>disposiciones</w:t>
      </w:r>
      <w:r w:rsidR="007B79F0" w:rsidRPr="006F1B1E">
        <w:rPr>
          <w:rFonts w:ascii="Arial" w:eastAsia="Calibri" w:hAnsi="Arial" w:cs="Arial"/>
          <w:color w:val="000000" w:themeColor="text1"/>
          <w:sz w:val="22"/>
          <w:lang w:val="es-ES_tradnl"/>
        </w:rPr>
        <w:t xml:space="preserve"> de la Ley 527 de 1999.</w:t>
      </w:r>
    </w:p>
    <w:p w14:paraId="00CA55AB" w14:textId="77777777" w:rsidR="006B5224" w:rsidRPr="006F1B1E" w:rsidRDefault="006B5224" w:rsidP="00053AE9">
      <w:pPr>
        <w:pStyle w:val="Prrafodelista"/>
        <w:spacing w:line="276" w:lineRule="auto"/>
        <w:ind w:left="0"/>
        <w:jc w:val="both"/>
        <w:rPr>
          <w:rFonts w:ascii="Arial" w:hAnsi="Arial" w:cs="Arial"/>
          <w:b/>
          <w:color w:val="000000" w:themeColor="text1"/>
          <w:sz w:val="22"/>
          <w:lang w:val="es-ES_tradnl"/>
        </w:rPr>
      </w:pPr>
    </w:p>
    <w:p w14:paraId="09DF1A28" w14:textId="45DE73AA" w:rsidR="00317D34" w:rsidRPr="00546B90" w:rsidRDefault="00317D34" w:rsidP="00317D34">
      <w:pPr>
        <w:spacing w:line="276" w:lineRule="auto"/>
        <w:jc w:val="both"/>
        <w:rPr>
          <w:rFonts w:ascii="Arial" w:eastAsia="Calibri" w:hAnsi="Arial" w:cs="Arial"/>
          <w:color w:val="000000" w:themeColor="text1"/>
          <w:sz w:val="22"/>
          <w:lang w:val="es-ES_tradnl"/>
        </w:rPr>
      </w:pPr>
      <w:r w:rsidRPr="00546B90">
        <w:rPr>
          <w:rFonts w:ascii="Arial" w:eastAsia="Calibri" w:hAnsi="Arial" w:cs="Arial"/>
          <w:b/>
          <w:color w:val="000000" w:themeColor="text1"/>
          <w:sz w:val="22"/>
          <w:lang w:val="es-ES_tradnl"/>
        </w:rPr>
        <w:t xml:space="preserve">2.2. </w:t>
      </w:r>
      <w:r w:rsidRPr="00546B90">
        <w:rPr>
          <w:rFonts w:ascii="Arial" w:hAnsi="Arial" w:cs="Arial"/>
          <w:b/>
          <w:color w:val="000000" w:themeColor="text1"/>
          <w:sz w:val="22"/>
          <w:lang w:val="es-ES_tradnl"/>
        </w:rPr>
        <w:t xml:space="preserve">Disposiciones normativas expedidas a partir de la pandemia originada por el COVID-19, que </w:t>
      </w:r>
      <w:r w:rsidR="00034066">
        <w:rPr>
          <w:rFonts w:ascii="Arial" w:hAnsi="Arial" w:cs="Arial"/>
          <w:b/>
          <w:color w:val="000000" w:themeColor="text1"/>
          <w:sz w:val="22"/>
          <w:lang w:val="es-ES_tradnl"/>
        </w:rPr>
        <w:t>ratificaron</w:t>
      </w:r>
      <w:r w:rsidRPr="00546B90">
        <w:rPr>
          <w:rFonts w:ascii="Arial" w:hAnsi="Arial" w:cs="Arial"/>
          <w:b/>
          <w:color w:val="000000" w:themeColor="text1"/>
          <w:sz w:val="22"/>
          <w:lang w:val="es-ES_tradnl"/>
        </w:rPr>
        <w:t xml:space="preserve"> la implementación de la virtualidad en el ejercicio de la función pública y en la contratación estatal</w:t>
      </w:r>
    </w:p>
    <w:p w14:paraId="4EFB1984" w14:textId="77777777" w:rsidR="00317D34" w:rsidRPr="00546B90" w:rsidRDefault="00317D34" w:rsidP="00317D34">
      <w:pPr>
        <w:pStyle w:val="Prrafodelista"/>
        <w:spacing w:line="276" w:lineRule="auto"/>
        <w:ind w:left="0"/>
        <w:jc w:val="both"/>
        <w:rPr>
          <w:rFonts w:ascii="Arial" w:hAnsi="Arial" w:cs="Arial"/>
          <w:color w:val="000000" w:themeColor="text1"/>
          <w:sz w:val="22"/>
          <w:lang w:val="es-ES_tradnl"/>
        </w:rPr>
      </w:pPr>
    </w:p>
    <w:p w14:paraId="677154F6" w14:textId="4A82328F" w:rsidR="00317D34" w:rsidRPr="00546B90" w:rsidRDefault="000B03C1" w:rsidP="00B41F2C">
      <w:pPr>
        <w:spacing w:before="120" w:line="276" w:lineRule="auto"/>
        <w:jc w:val="both"/>
        <w:rPr>
          <w:rFonts w:ascii="Arial" w:hAnsi="Arial" w:cs="Arial"/>
          <w:color w:val="000000" w:themeColor="text1"/>
          <w:sz w:val="22"/>
          <w:lang w:val="es-ES_tradnl"/>
        </w:rPr>
      </w:pPr>
      <w:bookmarkStart w:id="3" w:name="_Hlk38274537"/>
      <w:r>
        <w:rPr>
          <w:rFonts w:ascii="Arial" w:hAnsi="Arial" w:cs="Arial"/>
          <w:color w:val="000000" w:themeColor="text1"/>
          <w:sz w:val="22"/>
          <w:lang w:val="es-ES_tradnl"/>
        </w:rPr>
        <w:t xml:space="preserve">A raíz de la pandemia </w:t>
      </w:r>
      <w:r w:rsidRPr="00546B90">
        <w:rPr>
          <w:rFonts w:ascii="Arial" w:hAnsi="Arial" w:cs="Arial"/>
          <w:color w:val="000000" w:themeColor="text1"/>
          <w:sz w:val="22"/>
          <w:lang w:val="es-ES_tradnl"/>
        </w:rPr>
        <w:t xml:space="preserve">ocasionada por el COVID-19, </w:t>
      </w:r>
      <w:r>
        <w:rPr>
          <w:rFonts w:ascii="Arial" w:hAnsi="Arial" w:cs="Arial"/>
          <w:color w:val="000000" w:themeColor="text1"/>
          <w:sz w:val="22"/>
          <w:lang w:val="es-ES_tradnl"/>
        </w:rPr>
        <w:t xml:space="preserve">el Estado colombiano expidió distintas disposiciones normativas </w:t>
      </w:r>
      <w:r w:rsidRPr="00546B90">
        <w:rPr>
          <w:rFonts w:ascii="Arial" w:hAnsi="Arial" w:cs="Arial"/>
          <w:color w:val="000000" w:themeColor="text1"/>
          <w:sz w:val="22"/>
          <w:lang w:val="es-ES_tradnl"/>
        </w:rPr>
        <w:t xml:space="preserve">que </w:t>
      </w:r>
      <w:r>
        <w:rPr>
          <w:rFonts w:ascii="Arial" w:hAnsi="Arial" w:cs="Arial"/>
          <w:color w:val="000000" w:themeColor="text1"/>
          <w:sz w:val="22"/>
          <w:lang w:val="es-ES_tradnl"/>
        </w:rPr>
        <w:t>incidieron</w:t>
      </w:r>
      <w:r w:rsidRPr="00546B90">
        <w:rPr>
          <w:rFonts w:ascii="Arial" w:hAnsi="Arial" w:cs="Arial"/>
          <w:color w:val="000000" w:themeColor="text1"/>
          <w:sz w:val="22"/>
          <w:lang w:val="es-ES_tradnl"/>
        </w:rPr>
        <w:t xml:space="preserve"> en la contratación pública</w:t>
      </w:r>
      <w:r>
        <w:rPr>
          <w:rFonts w:ascii="Arial" w:hAnsi="Arial" w:cs="Arial"/>
          <w:color w:val="000000" w:themeColor="text1"/>
          <w:sz w:val="22"/>
          <w:lang w:val="es-ES_tradnl"/>
        </w:rPr>
        <w:t>.</w:t>
      </w:r>
      <w:r w:rsidRPr="00546B90">
        <w:rPr>
          <w:rFonts w:ascii="Arial" w:hAnsi="Arial" w:cs="Arial"/>
          <w:color w:val="000000" w:themeColor="text1"/>
          <w:sz w:val="22"/>
          <w:lang w:val="es-ES_tradnl"/>
        </w:rPr>
        <w:t xml:space="preserve"> </w:t>
      </w:r>
      <w:r>
        <w:rPr>
          <w:rFonts w:ascii="Arial" w:hAnsi="Arial" w:cs="Arial"/>
          <w:color w:val="000000" w:themeColor="text1"/>
          <w:sz w:val="22"/>
          <w:lang w:val="es-ES_tradnl"/>
        </w:rPr>
        <w:t>D</w:t>
      </w:r>
      <w:r w:rsidR="00317D34" w:rsidRPr="00546B90">
        <w:rPr>
          <w:rFonts w:ascii="Arial" w:hAnsi="Arial" w:cs="Arial"/>
          <w:color w:val="000000" w:themeColor="text1"/>
          <w:sz w:val="22"/>
          <w:lang w:val="es-ES_tradnl"/>
        </w:rPr>
        <w:t xml:space="preserve">entro de </w:t>
      </w:r>
      <w:r>
        <w:rPr>
          <w:rFonts w:ascii="Arial" w:hAnsi="Arial" w:cs="Arial"/>
          <w:color w:val="000000" w:themeColor="text1"/>
          <w:sz w:val="22"/>
          <w:lang w:val="es-ES_tradnl"/>
        </w:rPr>
        <w:t xml:space="preserve">estas normas destacan </w:t>
      </w:r>
      <w:r w:rsidR="009F0189">
        <w:rPr>
          <w:rFonts w:ascii="Arial" w:hAnsi="Arial" w:cs="Arial"/>
          <w:color w:val="000000" w:themeColor="text1"/>
          <w:sz w:val="22"/>
          <w:lang w:val="es-ES_tradnl"/>
        </w:rPr>
        <w:t xml:space="preserve">las contenidas </w:t>
      </w:r>
      <w:r w:rsidR="00317D34" w:rsidRPr="00546B90">
        <w:rPr>
          <w:rFonts w:ascii="Arial" w:hAnsi="Arial" w:cs="Arial"/>
          <w:color w:val="000000" w:themeColor="text1"/>
          <w:sz w:val="22"/>
          <w:lang w:val="es-ES_tradnl"/>
        </w:rPr>
        <w:t>en el Decreto 440 del 20 de marzo, cuyas medidas se mantuvieron idénticas en el Decreto 537 del 12 de abril de 2020</w:t>
      </w:r>
      <w:r w:rsidR="00317D34" w:rsidRPr="00546B90">
        <w:rPr>
          <w:rStyle w:val="Refdenotaalpie"/>
          <w:rFonts w:ascii="Arial" w:hAnsi="Arial" w:cs="Arial"/>
          <w:color w:val="000000" w:themeColor="text1"/>
          <w:sz w:val="22"/>
          <w:lang w:val="es-ES_tradnl"/>
        </w:rPr>
        <w:footnoteReference w:id="22"/>
      </w:r>
      <w:r w:rsidR="00317D34" w:rsidRPr="00546B90">
        <w:rPr>
          <w:rFonts w:ascii="Arial" w:hAnsi="Arial" w:cs="Arial"/>
          <w:color w:val="000000" w:themeColor="text1"/>
          <w:sz w:val="22"/>
          <w:lang w:val="es-ES_tradnl"/>
        </w:rPr>
        <w:t xml:space="preserve">. En tal sentido, en este se </w:t>
      </w:r>
      <w:r w:rsidR="00FC4CDB">
        <w:rPr>
          <w:rFonts w:ascii="Arial" w:hAnsi="Arial" w:cs="Arial"/>
          <w:color w:val="000000" w:themeColor="text1"/>
          <w:sz w:val="22"/>
          <w:lang w:val="es-ES_tradnl"/>
        </w:rPr>
        <w:t>adoptaron</w:t>
      </w:r>
      <w:r w:rsidR="00317D34" w:rsidRPr="00546B90">
        <w:rPr>
          <w:rFonts w:ascii="Arial" w:hAnsi="Arial" w:cs="Arial"/>
          <w:color w:val="000000" w:themeColor="text1"/>
          <w:sz w:val="22"/>
          <w:lang w:val="es-ES_tradnl"/>
        </w:rPr>
        <w:t xml:space="preserve"> algunas medidas excepcionales para evitar el aumento de los contagios y permitir que se </w:t>
      </w:r>
      <w:r w:rsidR="00D05DA1">
        <w:rPr>
          <w:rFonts w:ascii="Arial" w:hAnsi="Arial" w:cs="Arial"/>
          <w:color w:val="000000" w:themeColor="text1"/>
          <w:sz w:val="22"/>
          <w:lang w:val="es-ES_tradnl"/>
        </w:rPr>
        <w:t>continuaran</w:t>
      </w:r>
      <w:r w:rsidR="00317D34" w:rsidRPr="00546B90">
        <w:rPr>
          <w:rFonts w:ascii="Arial" w:hAnsi="Arial" w:cs="Arial"/>
          <w:color w:val="000000" w:themeColor="text1"/>
          <w:sz w:val="22"/>
          <w:lang w:val="es-ES_tradnl"/>
        </w:rPr>
        <w:t xml:space="preserve"> cumpliendo los fines del Estado social de derecho a través de la actividad contractual</w:t>
      </w:r>
      <w:r w:rsidR="00D05DA1">
        <w:rPr>
          <w:rFonts w:ascii="Arial" w:hAnsi="Arial" w:cs="Arial"/>
          <w:color w:val="000000" w:themeColor="text1"/>
          <w:sz w:val="22"/>
          <w:lang w:val="es-ES_tradnl"/>
        </w:rPr>
        <w:t>. Dentro de estas medidas</w:t>
      </w:r>
      <w:r w:rsidR="00317D34" w:rsidRPr="00546B90">
        <w:rPr>
          <w:rFonts w:ascii="Arial" w:hAnsi="Arial" w:cs="Arial"/>
          <w:color w:val="000000" w:themeColor="text1"/>
          <w:sz w:val="22"/>
          <w:lang w:val="es-ES_tradnl"/>
        </w:rPr>
        <w:t xml:space="preserve"> </w:t>
      </w:r>
      <w:r w:rsidR="00D05DA1">
        <w:rPr>
          <w:rFonts w:ascii="Arial" w:hAnsi="Arial" w:cs="Arial"/>
          <w:color w:val="000000" w:themeColor="text1"/>
          <w:sz w:val="22"/>
          <w:lang w:val="es-ES_tradnl"/>
        </w:rPr>
        <w:t>estuvo</w:t>
      </w:r>
      <w:r w:rsidR="00317D34" w:rsidRPr="00546B90">
        <w:rPr>
          <w:rFonts w:ascii="Arial" w:hAnsi="Arial" w:cs="Arial"/>
          <w:color w:val="000000" w:themeColor="text1"/>
          <w:sz w:val="22"/>
          <w:lang w:val="es-ES_tradnl"/>
        </w:rPr>
        <w:t xml:space="preserve"> la adopción de medios electrónicos para llevar a cabo las audiencias en los procedimientos de selección</w:t>
      </w:r>
      <w:r w:rsidR="00317D34" w:rsidRPr="00546B90">
        <w:rPr>
          <w:rStyle w:val="Refdenotaalpie"/>
          <w:rFonts w:ascii="Arial" w:hAnsi="Arial" w:cs="Arial"/>
          <w:color w:val="000000" w:themeColor="text1"/>
          <w:sz w:val="22"/>
          <w:lang w:val="es-ES_tradnl"/>
        </w:rPr>
        <w:footnoteReference w:id="23"/>
      </w:r>
      <w:r w:rsidR="00317D34" w:rsidRPr="00546B90">
        <w:rPr>
          <w:rFonts w:ascii="Arial" w:hAnsi="Arial" w:cs="Arial"/>
          <w:color w:val="000000" w:themeColor="text1"/>
          <w:sz w:val="22"/>
          <w:lang w:val="es-ES_tradnl"/>
        </w:rPr>
        <w:t xml:space="preserve">. De este modo, el artículo 1 de </w:t>
      </w:r>
      <w:r w:rsidR="00317D34" w:rsidRPr="00546B90">
        <w:rPr>
          <w:rFonts w:ascii="Arial" w:hAnsi="Arial" w:cs="Arial"/>
          <w:color w:val="000000" w:themeColor="text1"/>
          <w:sz w:val="22"/>
          <w:lang w:val="es-ES_tradnl"/>
        </w:rPr>
        <w:lastRenderedPageBreak/>
        <w:t xml:space="preserve">dicho Decreto </w:t>
      </w:r>
      <w:r w:rsidR="00D05DA1">
        <w:rPr>
          <w:rFonts w:ascii="Arial" w:hAnsi="Arial" w:cs="Arial"/>
          <w:color w:val="000000" w:themeColor="text1"/>
          <w:sz w:val="22"/>
          <w:lang w:val="es-ES_tradnl"/>
        </w:rPr>
        <w:t>estableció</w:t>
      </w:r>
      <w:r w:rsidR="00317D34" w:rsidRPr="00546B90">
        <w:rPr>
          <w:rFonts w:ascii="Arial" w:hAnsi="Arial" w:cs="Arial"/>
          <w:color w:val="000000" w:themeColor="text1"/>
          <w:sz w:val="22"/>
          <w:lang w:val="es-ES_tradnl"/>
        </w:rPr>
        <w:t xml:space="preserve"> que las audiencias públicas dentro de los procedimientos de selección contractual se </w:t>
      </w:r>
      <w:r w:rsidR="00D05DA1">
        <w:rPr>
          <w:rFonts w:ascii="Arial" w:hAnsi="Arial" w:cs="Arial"/>
          <w:color w:val="000000" w:themeColor="text1"/>
          <w:sz w:val="22"/>
          <w:lang w:val="es-ES_tradnl"/>
        </w:rPr>
        <w:t>podían</w:t>
      </w:r>
      <w:r w:rsidR="00317D34" w:rsidRPr="00546B90">
        <w:rPr>
          <w:rFonts w:ascii="Arial" w:hAnsi="Arial" w:cs="Arial"/>
          <w:color w:val="000000" w:themeColor="text1"/>
          <w:sz w:val="22"/>
          <w:lang w:val="es-ES_tradnl"/>
        </w:rPr>
        <w:t xml:space="preserve"> llevar a cabo por medios electrónicos</w:t>
      </w:r>
      <w:r w:rsidR="00317D34" w:rsidRPr="00546B90">
        <w:rPr>
          <w:rStyle w:val="Refdenotaalpie"/>
          <w:rFonts w:ascii="Arial" w:hAnsi="Arial" w:cs="Arial"/>
          <w:color w:val="000000" w:themeColor="text1"/>
          <w:sz w:val="22"/>
          <w:lang w:val="es-ES_tradnl"/>
        </w:rPr>
        <w:footnoteReference w:id="24"/>
      </w:r>
      <w:r w:rsidR="00317D34" w:rsidRPr="00546B90">
        <w:rPr>
          <w:rFonts w:ascii="Arial" w:hAnsi="Arial" w:cs="Arial"/>
          <w:color w:val="000000" w:themeColor="text1"/>
          <w:sz w:val="22"/>
          <w:lang w:val="es-ES_tradnl"/>
        </w:rPr>
        <w:t xml:space="preserve">.   </w:t>
      </w:r>
    </w:p>
    <w:p w14:paraId="01D55489" w14:textId="0FB7A668" w:rsidR="00317D34" w:rsidRDefault="00317D34" w:rsidP="00317D34">
      <w:pPr>
        <w:spacing w:before="120" w:line="276" w:lineRule="auto"/>
        <w:ind w:firstLine="709"/>
        <w:jc w:val="both"/>
        <w:rPr>
          <w:rFonts w:ascii="Arial" w:hAnsi="Arial" w:cs="Arial"/>
          <w:color w:val="000000" w:themeColor="text1"/>
          <w:sz w:val="22"/>
          <w:lang w:val="es-ES_tradnl"/>
        </w:rPr>
      </w:pPr>
      <w:r w:rsidRPr="00546B90">
        <w:rPr>
          <w:rFonts w:ascii="Arial" w:hAnsi="Arial" w:cs="Arial"/>
          <w:color w:val="000000" w:themeColor="text1"/>
          <w:sz w:val="22"/>
          <w:lang w:val="es-ES_tradnl"/>
        </w:rPr>
        <w:t>Como se observa, tal artículo se armoniza</w:t>
      </w:r>
      <w:r w:rsidR="008359C3">
        <w:rPr>
          <w:rFonts w:ascii="Arial" w:hAnsi="Arial" w:cs="Arial"/>
          <w:color w:val="000000" w:themeColor="text1"/>
          <w:sz w:val="22"/>
          <w:lang w:val="es-ES_tradnl"/>
        </w:rPr>
        <w:t>ba</w:t>
      </w:r>
      <w:r w:rsidRPr="00546B90">
        <w:rPr>
          <w:rFonts w:ascii="Arial" w:hAnsi="Arial" w:cs="Arial"/>
          <w:color w:val="000000" w:themeColor="text1"/>
          <w:sz w:val="22"/>
          <w:lang w:val="es-ES_tradnl"/>
        </w:rPr>
        <w:t xml:space="preserve"> con las disposiciones contenidas en las Leyes 527 de 1999, 962 del 2005, 1341 de 2009 y 1437 de 2011, al igual que en los Decretos 019 de 2012 y 2106 de 2019, con las cuales es viable concluir que las audiencias públicas en los procedimientos de selección contractual</w:t>
      </w:r>
      <w:r w:rsidR="00145A7A">
        <w:rPr>
          <w:rFonts w:ascii="Arial" w:hAnsi="Arial" w:cs="Arial"/>
          <w:color w:val="000000" w:themeColor="text1"/>
          <w:sz w:val="22"/>
          <w:lang w:val="es-ES_tradnl"/>
        </w:rPr>
        <w:t xml:space="preserve"> y</w:t>
      </w:r>
      <w:r w:rsidR="00DE5636">
        <w:rPr>
          <w:rFonts w:ascii="Arial" w:hAnsi="Arial" w:cs="Arial"/>
          <w:color w:val="000000" w:themeColor="text1"/>
          <w:sz w:val="22"/>
          <w:lang w:val="es-ES_tradnl"/>
        </w:rPr>
        <w:t>,</w:t>
      </w:r>
      <w:r w:rsidR="00145A7A">
        <w:rPr>
          <w:rFonts w:ascii="Arial" w:hAnsi="Arial" w:cs="Arial"/>
          <w:color w:val="000000" w:themeColor="text1"/>
          <w:sz w:val="22"/>
          <w:lang w:val="es-ES_tradnl"/>
        </w:rPr>
        <w:t xml:space="preserve"> en general</w:t>
      </w:r>
      <w:r w:rsidR="00DE5636">
        <w:rPr>
          <w:rFonts w:ascii="Arial" w:hAnsi="Arial" w:cs="Arial"/>
          <w:color w:val="000000" w:themeColor="text1"/>
          <w:sz w:val="22"/>
          <w:lang w:val="es-ES_tradnl"/>
        </w:rPr>
        <w:t>,</w:t>
      </w:r>
      <w:r w:rsidR="00145A7A">
        <w:rPr>
          <w:rFonts w:ascii="Arial" w:hAnsi="Arial" w:cs="Arial"/>
          <w:color w:val="000000" w:themeColor="text1"/>
          <w:sz w:val="22"/>
          <w:lang w:val="es-ES_tradnl"/>
        </w:rPr>
        <w:t xml:space="preserve"> las audiencias</w:t>
      </w:r>
      <w:r w:rsidR="00DE5636">
        <w:rPr>
          <w:rFonts w:ascii="Arial" w:hAnsi="Arial" w:cs="Arial"/>
          <w:color w:val="000000" w:themeColor="text1"/>
          <w:sz w:val="22"/>
          <w:lang w:val="es-ES_tradnl"/>
        </w:rPr>
        <w:t xml:space="preserve"> en la contratación estatal,</w:t>
      </w:r>
      <w:r w:rsidRPr="00546B90">
        <w:rPr>
          <w:rFonts w:ascii="Arial" w:hAnsi="Arial" w:cs="Arial"/>
          <w:color w:val="000000" w:themeColor="text1"/>
          <w:sz w:val="22"/>
          <w:lang w:val="es-ES_tradnl"/>
        </w:rPr>
        <w:t xml:space="preserve"> se pueden realizar por medios electrónicos, es decir, utilizando los sistemas de información digitales que favorecen la tele-presencia, de modo que se permita una interacción simultánea entre las personas que quieran estar presentes y las entidades estatales. De este modo, las tecnologías de la información y de las telecomunicaciones utilizadas por las entidades estales deben permitir un intercambio de mensajes de datos en tiempo real, para que las personas puedan ver y escuchar lo que pasa en la audiencia, pero también escribir o hablar, garantizándose de este modo la participación, la libre concurrencia, así como la veeduría ciudadana.</w:t>
      </w:r>
      <w:bookmarkEnd w:id="3"/>
    </w:p>
    <w:p w14:paraId="13779381" w14:textId="4EC5517B" w:rsidR="00880599" w:rsidRPr="00546B90" w:rsidRDefault="00B664BB" w:rsidP="00317D34">
      <w:pPr>
        <w:spacing w:before="120" w:line="276" w:lineRule="auto"/>
        <w:ind w:firstLine="709"/>
        <w:jc w:val="both"/>
        <w:rPr>
          <w:rFonts w:ascii="Arial" w:hAnsi="Arial" w:cs="Arial"/>
          <w:color w:val="000000" w:themeColor="text1"/>
          <w:sz w:val="22"/>
          <w:lang w:val="es-ES_tradnl"/>
        </w:rPr>
      </w:pPr>
      <w:r>
        <w:rPr>
          <w:rFonts w:ascii="Arial" w:hAnsi="Arial" w:cs="Arial"/>
          <w:color w:val="000000" w:themeColor="text1"/>
          <w:sz w:val="22"/>
          <w:lang w:val="es-ES_tradnl"/>
        </w:rPr>
        <w:t>También es importante mencionar, dentro de las disposiciones normativas expedidas en el marco de la emergencia sanitaria, el artículo 4 del Decreto 491 de 2020</w:t>
      </w:r>
      <w:r w:rsidR="007A669E">
        <w:rPr>
          <w:rFonts w:ascii="Arial" w:hAnsi="Arial" w:cs="Arial"/>
          <w:color w:val="000000" w:themeColor="text1"/>
          <w:sz w:val="22"/>
          <w:lang w:val="es-ES_tradnl"/>
        </w:rPr>
        <w:t>, que ratificó la posibilidad –que, como se ha indicado, ya se encontraba vigente en el ordenamiento jurídico–</w:t>
      </w:r>
      <w:r w:rsidR="00731423">
        <w:rPr>
          <w:rFonts w:ascii="Arial" w:hAnsi="Arial" w:cs="Arial"/>
          <w:color w:val="000000" w:themeColor="text1"/>
          <w:sz w:val="22"/>
          <w:lang w:val="es-ES_tradnl"/>
        </w:rPr>
        <w:t xml:space="preserve"> de realizar la comunicación o notificación de los actos administrativos por medios electrónicos</w:t>
      </w:r>
      <w:r w:rsidR="00731423">
        <w:rPr>
          <w:rStyle w:val="Refdenotaalpie"/>
          <w:rFonts w:ascii="Arial" w:hAnsi="Arial" w:cs="Arial"/>
          <w:color w:val="000000" w:themeColor="text1"/>
          <w:sz w:val="22"/>
          <w:lang w:val="es-ES_tradnl"/>
        </w:rPr>
        <w:footnoteReference w:id="25"/>
      </w:r>
      <w:r w:rsidR="00731423">
        <w:rPr>
          <w:rFonts w:ascii="Arial" w:hAnsi="Arial" w:cs="Arial"/>
          <w:color w:val="000000" w:themeColor="text1"/>
          <w:sz w:val="22"/>
          <w:lang w:val="es-ES_tradnl"/>
        </w:rPr>
        <w:t>.</w:t>
      </w:r>
      <w:r w:rsidR="00B44A11">
        <w:rPr>
          <w:rFonts w:ascii="Arial" w:hAnsi="Arial" w:cs="Arial"/>
          <w:color w:val="000000" w:themeColor="text1"/>
          <w:sz w:val="22"/>
          <w:lang w:val="es-ES_tradnl"/>
        </w:rPr>
        <w:t xml:space="preserve"> </w:t>
      </w:r>
      <w:r w:rsidR="001F6C46">
        <w:rPr>
          <w:rFonts w:ascii="Arial" w:hAnsi="Arial" w:cs="Arial"/>
          <w:color w:val="000000" w:themeColor="text1"/>
          <w:sz w:val="22"/>
          <w:lang w:val="es-ES_tradnl"/>
        </w:rPr>
        <w:t>Tanto esta</w:t>
      </w:r>
      <w:r w:rsidR="00B44A11">
        <w:rPr>
          <w:rFonts w:ascii="Arial" w:hAnsi="Arial" w:cs="Arial"/>
          <w:color w:val="000000" w:themeColor="text1"/>
          <w:sz w:val="22"/>
          <w:lang w:val="es-ES_tradnl"/>
        </w:rPr>
        <w:t xml:space="preserve"> norma</w:t>
      </w:r>
      <w:r w:rsidR="00702F5E">
        <w:rPr>
          <w:rFonts w:ascii="Arial" w:hAnsi="Arial" w:cs="Arial"/>
          <w:color w:val="000000" w:themeColor="text1"/>
          <w:sz w:val="22"/>
          <w:lang w:val="es-ES_tradnl"/>
        </w:rPr>
        <w:t xml:space="preserve">, </w:t>
      </w:r>
      <w:r w:rsidR="001F6C46">
        <w:rPr>
          <w:rFonts w:ascii="Arial" w:hAnsi="Arial" w:cs="Arial"/>
          <w:color w:val="000000" w:themeColor="text1"/>
          <w:sz w:val="22"/>
          <w:lang w:val="es-ES_tradnl"/>
        </w:rPr>
        <w:t xml:space="preserve">como las del Decreto 537 de </w:t>
      </w:r>
      <w:r w:rsidR="001F6C46">
        <w:rPr>
          <w:rFonts w:ascii="Arial" w:hAnsi="Arial" w:cs="Arial"/>
          <w:color w:val="000000" w:themeColor="text1"/>
          <w:sz w:val="22"/>
          <w:lang w:val="es-ES_tradnl"/>
        </w:rPr>
        <w:lastRenderedPageBreak/>
        <w:t>2020,</w:t>
      </w:r>
      <w:r w:rsidR="00B44A11">
        <w:rPr>
          <w:rFonts w:ascii="Arial" w:hAnsi="Arial" w:cs="Arial"/>
          <w:color w:val="000000" w:themeColor="text1"/>
          <w:sz w:val="22"/>
          <w:lang w:val="es-ES_tradnl"/>
        </w:rPr>
        <w:t xml:space="preserve"> </w:t>
      </w:r>
      <w:r w:rsidR="001F6C46">
        <w:rPr>
          <w:rFonts w:ascii="Arial" w:hAnsi="Arial" w:cs="Arial"/>
          <w:color w:val="000000" w:themeColor="text1"/>
          <w:sz w:val="22"/>
          <w:lang w:val="es-ES_tradnl"/>
        </w:rPr>
        <w:t xml:space="preserve">quedaron </w:t>
      </w:r>
      <w:r w:rsidR="00B44A11">
        <w:rPr>
          <w:rFonts w:ascii="Arial" w:hAnsi="Arial" w:cs="Arial"/>
          <w:color w:val="000000" w:themeColor="text1"/>
          <w:sz w:val="22"/>
          <w:lang w:val="es-ES_tradnl"/>
        </w:rPr>
        <w:t>sujeta</w:t>
      </w:r>
      <w:r w:rsidR="001F6C46">
        <w:rPr>
          <w:rFonts w:ascii="Arial" w:hAnsi="Arial" w:cs="Arial"/>
          <w:color w:val="000000" w:themeColor="text1"/>
          <w:sz w:val="22"/>
          <w:lang w:val="es-ES_tradnl"/>
        </w:rPr>
        <w:t>s</w:t>
      </w:r>
      <w:r w:rsidR="00B44A11">
        <w:rPr>
          <w:rFonts w:ascii="Arial" w:hAnsi="Arial" w:cs="Arial"/>
          <w:color w:val="000000" w:themeColor="text1"/>
          <w:sz w:val="22"/>
          <w:lang w:val="es-ES_tradnl"/>
        </w:rPr>
        <w:t xml:space="preserve"> a la condición de que permaneciera vigente la </w:t>
      </w:r>
      <w:r w:rsidR="00B44A11" w:rsidRPr="0057797E">
        <w:rPr>
          <w:rFonts w:ascii="Arial" w:hAnsi="Arial" w:cs="Arial"/>
          <w:i/>
          <w:iCs/>
          <w:color w:val="000000" w:themeColor="text1"/>
          <w:sz w:val="22"/>
          <w:lang w:val="es-ES_tradnl"/>
        </w:rPr>
        <w:t>emergencia sanitaria</w:t>
      </w:r>
      <w:r w:rsidR="00B44A11">
        <w:rPr>
          <w:rFonts w:ascii="Arial" w:hAnsi="Arial" w:cs="Arial"/>
          <w:color w:val="000000" w:themeColor="text1"/>
          <w:sz w:val="22"/>
          <w:lang w:val="es-ES_tradnl"/>
        </w:rPr>
        <w:t>.</w:t>
      </w:r>
      <w:r w:rsidR="001F6C46">
        <w:rPr>
          <w:rFonts w:ascii="Arial" w:hAnsi="Arial" w:cs="Arial"/>
          <w:color w:val="000000" w:themeColor="text1"/>
          <w:sz w:val="22"/>
          <w:lang w:val="es-ES_tradnl"/>
        </w:rPr>
        <w:t xml:space="preserve"> Por eso, </w:t>
      </w:r>
      <w:r w:rsidR="0057797E">
        <w:rPr>
          <w:rFonts w:ascii="Arial" w:hAnsi="Arial" w:cs="Arial"/>
          <w:color w:val="000000" w:themeColor="text1"/>
          <w:sz w:val="22"/>
          <w:lang w:val="es-ES_tradnl"/>
        </w:rPr>
        <w:t>resulta</w:t>
      </w:r>
      <w:r w:rsidR="001F6C46">
        <w:rPr>
          <w:rFonts w:ascii="Arial" w:hAnsi="Arial" w:cs="Arial"/>
          <w:color w:val="000000" w:themeColor="text1"/>
          <w:sz w:val="22"/>
          <w:lang w:val="es-ES_tradnl"/>
        </w:rPr>
        <w:t xml:space="preserve"> necesario precisar si, en la actualidad, cuando dicha emergencia ha cesado, las entidades estatales pueden o no continuar realizando audiencias </w:t>
      </w:r>
      <w:r w:rsidR="00B72526">
        <w:rPr>
          <w:rFonts w:ascii="Arial" w:hAnsi="Arial" w:cs="Arial"/>
          <w:color w:val="000000" w:themeColor="text1"/>
          <w:sz w:val="22"/>
          <w:lang w:val="es-ES_tradnl"/>
        </w:rPr>
        <w:t xml:space="preserve">virtuales en los procedimientos adelantados en materia contractual y notificar los actos administrativos por medios electrónicos. </w:t>
      </w:r>
      <w:r w:rsidR="0057797E">
        <w:rPr>
          <w:rFonts w:ascii="Arial" w:hAnsi="Arial" w:cs="Arial"/>
          <w:color w:val="000000" w:themeColor="text1"/>
          <w:sz w:val="22"/>
          <w:lang w:val="es-ES_tradnl"/>
        </w:rPr>
        <w:t>La Agencia precisa</w:t>
      </w:r>
      <w:r w:rsidR="004F6765">
        <w:rPr>
          <w:rFonts w:ascii="Arial" w:hAnsi="Arial" w:cs="Arial"/>
          <w:color w:val="000000" w:themeColor="text1"/>
          <w:sz w:val="22"/>
          <w:lang w:val="es-ES_tradnl"/>
        </w:rPr>
        <w:t>, de antemano</w:t>
      </w:r>
      <w:r w:rsidR="00104A47">
        <w:rPr>
          <w:rFonts w:ascii="Arial" w:hAnsi="Arial" w:cs="Arial"/>
          <w:color w:val="000000" w:themeColor="text1"/>
          <w:sz w:val="22"/>
          <w:lang w:val="es-ES_tradnl"/>
        </w:rPr>
        <w:t>,</w:t>
      </w:r>
      <w:r w:rsidR="004F6765">
        <w:rPr>
          <w:rFonts w:ascii="Arial" w:hAnsi="Arial" w:cs="Arial"/>
          <w:color w:val="000000" w:themeColor="text1"/>
          <w:sz w:val="22"/>
          <w:lang w:val="es-ES_tradnl"/>
        </w:rPr>
        <w:t xml:space="preserve"> que esto aún es posible, pero a</w:t>
      </w:r>
      <w:r w:rsidR="00B72526">
        <w:rPr>
          <w:rFonts w:ascii="Arial" w:hAnsi="Arial" w:cs="Arial"/>
          <w:color w:val="000000" w:themeColor="text1"/>
          <w:sz w:val="22"/>
          <w:lang w:val="es-ES_tradnl"/>
        </w:rPr>
        <w:t xml:space="preserve">ntes de </w:t>
      </w:r>
      <w:r w:rsidR="004F6765">
        <w:rPr>
          <w:rFonts w:ascii="Arial" w:hAnsi="Arial" w:cs="Arial"/>
          <w:color w:val="000000" w:themeColor="text1"/>
          <w:sz w:val="22"/>
          <w:lang w:val="es-ES_tradnl"/>
        </w:rPr>
        <w:t>plantear los argumentos jurídicos que respaldan esta tesis</w:t>
      </w:r>
      <w:r w:rsidR="00B72526">
        <w:rPr>
          <w:rFonts w:ascii="Arial" w:hAnsi="Arial" w:cs="Arial"/>
          <w:color w:val="000000" w:themeColor="text1"/>
          <w:sz w:val="22"/>
          <w:lang w:val="es-ES_tradnl"/>
        </w:rPr>
        <w:t>, como en la consulta también se pregunta por la viabilidad d</w:t>
      </w:r>
      <w:r w:rsidR="0081129D">
        <w:rPr>
          <w:rFonts w:ascii="Arial" w:hAnsi="Arial" w:cs="Arial"/>
          <w:color w:val="000000" w:themeColor="text1"/>
          <w:sz w:val="22"/>
          <w:lang w:val="es-ES_tradnl"/>
        </w:rPr>
        <w:t xml:space="preserve">e las firmas manuscritas escaneadas, se tornan pertinentes algunos </w:t>
      </w:r>
      <w:r w:rsidR="007F41B1">
        <w:rPr>
          <w:rFonts w:ascii="Arial" w:hAnsi="Arial" w:cs="Arial"/>
          <w:color w:val="000000" w:themeColor="text1"/>
          <w:sz w:val="22"/>
          <w:lang w:val="es-ES_tradnl"/>
        </w:rPr>
        <w:t>preliminares sobre este tema, para</w:t>
      </w:r>
      <w:r w:rsidR="006B7D50">
        <w:rPr>
          <w:rFonts w:ascii="Arial" w:hAnsi="Arial" w:cs="Arial"/>
          <w:color w:val="000000" w:themeColor="text1"/>
          <w:sz w:val="22"/>
          <w:lang w:val="es-ES_tradnl"/>
        </w:rPr>
        <w:t>,</w:t>
      </w:r>
      <w:r w:rsidR="007F41B1">
        <w:rPr>
          <w:rFonts w:ascii="Arial" w:hAnsi="Arial" w:cs="Arial"/>
          <w:color w:val="000000" w:themeColor="text1"/>
          <w:sz w:val="22"/>
          <w:lang w:val="es-ES_tradnl"/>
        </w:rPr>
        <w:t xml:space="preserve"> posteriormente, en el último acápite de este concepto, exponer las conclusiones sobre los interrogantes contenidos en la con</w:t>
      </w:r>
      <w:r w:rsidR="006B7D50">
        <w:rPr>
          <w:rFonts w:ascii="Arial" w:hAnsi="Arial" w:cs="Arial"/>
          <w:color w:val="000000" w:themeColor="text1"/>
          <w:sz w:val="22"/>
          <w:lang w:val="es-ES_tradnl"/>
        </w:rPr>
        <w:t>sulta</w:t>
      </w:r>
      <w:r w:rsidR="007F41B1">
        <w:rPr>
          <w:rFonts w:ascii="Arial" w:hAnsi="Arial" w:cs="Arial"/>
          <w:color w:val="000000" w:themeColor="text1"/>
          <w:sz w:val="22"/>
          <w:lang w:val="es-ES_tradnl"/>
        </w:rPr>
        <w:t>.</w:t>
      </w:r>
    </w:p>
    <w:p w14:paraId="0178F98A" w14:textId="77777777" w:rsidR="00317D34" w:rsidRPr="00546B90" w:rsidRDefault="00317D34" w:rsidP="00317D34">
      <w:pPr>
        <w:spacing w:line="276" w:lineRule="auto"/>
        <w:jc w:val="both"/>
        <w:rPr>
          <w:rFonts w:ascii="Arial" w:hAnsi="Arial" w:cs="Arial"/>
          <w:color w:val="000000" w:themeColor="text1"/>
          <w:sz w:val="22"/>
          <w:lang w:val="es-ES_tradnl"/>
        </w:rPr>
      </w:pPr>
    </w:p>
    <w:p w14:paraId="1909C72D" w14:textId="77777777" w:rsidR="00317D34" w:rsidRPr="00546B90" w:rsidRDefault="00317D34" w:rsidP="00317D34">
      <w:pPr>
        <w:spacing w:line="276" w:lineRule="auto"/>
        <w:jc w:val="both"/>
        <w:rPr>
          <w:rFonts w:ascii="Arial" w:eastAsia="Calibri" w:hAnsi="Arial" w:cs="Arial"/>
          <w:color w:val="000000" w:themeColor="text1"/>
          <w:sz w:val="22"/>
          <w:lang w:val="es-ES_tradnl"/>
        </w:rPr>
      </w:pPr>
      <w:r w:rsidRPr="00546B90">
        <w:rPr>
          <w:rFonts w:ascii="Arial" w:eastAsia="Calibri" w:hAnsi="Arial" w:cs="Arial"/>
          <w:b/>
          <w:bCs/>
          <w:color w:val="000000" w:themeColor="text1"/>
          <w:sz w:val="22"/>
          <w:lang w:val="es-ES_tradnl"/>
        </w:rPr>
        <w:t xml:space="preserve">2.3. Requisitos de las firmas manuscritas, electrónicas y digitales  </w:t>
      </w:r>
    </w:p>
    <w:p w14:paraId="272ACAFD" w14:textId="77777777" w:rsidR="00317D34" w:rsidRPr="00546B90" w:rsidRDefault="00317D34" w:rsidP="00317D34">
      <w:pPr>
        <w:spacing w:line="276" w:lineRule="auto"/>
        <w:jc w:val="both"/>
        <w:rPr>
          <w:rFonts w:ascii="Arial" w:eastAsia="Calibri" w:hAnsi="Arial" w:cs="Arial"/>
          <w:color w:val="000000" w:themeColor="text1"/>
          <w:sz w:val="22"/>
          <w:lang w:val="es-ES_tradnl"/>
        </w:rPr>
      </w:pPr>
    </w:p>
    <w:p w14:paraId="2FBA0F62" w14:textId="77777777" w:rsidR="00317D34" w:rsidRPr="00546B90" w:rsidRDefault="00317D34" w:rsidP="00317D34">
      <w:pPr>
        <w:spacing w:after="120" w:line="276" w:lineRule="auto"/>
        <w:jc w:val="both"/>
        <w:rPr>
          <w:rFonts w:ascii="Arial" w:eastAsia="Calibri" w:hAnsi="Arial" w:cs="Arial"/>
          <w:color w:val="000000" w:themeColor="text1"/>
          <w:sz w:val="22"/>
          <w:lang w:val="es-ES_tradnl"/>
        </w:rPr>
      </w:pPr>
      <w:r w:rsidRPr="00546B90">
        <w:rPr>
          <w:rFonts w:ascii="Arial" w:eastAsia="Calibri" w:hAnsi="Arial" w:cs="Arial"/>
          <w:color w:val="000000" w:themeColor="text1"/>
          <w:sz w:val="22"/>
          <w:lang w:val="es-ES_tradnl"/>
        </w:rPr>
        <w:t xml:space="preserve">El artículo 836 del Código de Comercio define la firma como «la expresión del nombre del suscriptor o de alguno de los elementos que la integren o de un signo o símbolo empleado como medio de identificación personal», es decir, la forma por la cual se identifica a una persona ya sea con el nombre del suscriptor, un símbolo o signo.  </w:t>
      </w:r>
      <w:bookmarkStart w:id="4" w:name="_Hlk35441008"/>
      <w:r w:rsidRPr="00546B90">
        <w:rPr>
          <w:rFonts w:ascii="Arial" w:eastAsia="Calibri" w:hAnsi="Arial" w:cs="Arial"/>
          <w:color w:val="000000" w:themeColor="text1"/>
          <w:sz w:val="22"/>
          <w:lang w:val="es-ES_tradnl"/>
        </w:rPr>
        <w:t xml:space="preserve">Dentro del concepto general, la </w:t>
      </w:r>
      <w:r w:rsidRPr="00546B90">
        <w:rPr>
          <w:rFonts w:ascii="Arial" w:eastAsia="Calibri" w:hAnsi="Arial" w:cs="Arial"/>
          <w:i/>
          <w:iCs/>
          <w:color w:val="000000" w:themeColor="text1"/>
          <w:sz w:val="22"/>
          <w:lang w:val="es-ES_tradnl"/>
        </w:rPr>
        <w:t>firma manuscrita</w:t>
      </w:r>
      <w:r w:rsidRPr="00546B90">
        <w:rPr>
          <w:rFonts w:ascii="Arial" w:eastAsia="Calibri" w:hAnsi="Arial" w:cs="Arial"/>
          <w:color w:val="000000" w:themeColor="text1"/>
          <w:sz w:val="22"/>
          <w:lang w:val="es-ES_tradnl"/>
        </w:rPr>
        <w:t xml:space="preserve"> </w:t>
      </w:r>
      <w:r w:rsidRPr="00546B90">
        <w:rPr>
          <w:rFonts w:ascii="Arial" w:eastAsia="Calibri" w:hAnsi="Arial" w:cs="Arial"/>
          <w:color w:val="000000" w:themeColor="text1"/>
          <w:sz w:val="22"/>
        </w:rPr>
        <w:t>es «[…] un rasgo o signo impuesto del puño y letra de una persona, con el cual, de forma general y reiterada, se compromete con el contenido de los documentos que la consignan, o da fe de que lo allí registrado obedece a la realidad»</w:t>
      </w:r>
      <w:r w:rsidRPr="00546B90">
        <w:rPr>
          <w:rStyle w:val="Refdenotaalpie"/>
          <w:rFonts w:ascii="Arial" w:eastAsia="Calibri" w:hAnsi="Arial" w:cs="Arial"/>
          <w:color w:val="000000" w:themeColor="text1"/>
          <w:sz w:val="22"/>
        </w:rPr>
        <w:footnoteReference w:id="26"/>
      </w:r>
      <w:r w:rsidRPr="00546B90">
        <w:rPr>
          <w:rFonts w:ascii="Arial" w:eastAsia="Calibri" w:hAnsi="Arial" w:cs="Arial"/>
          <w:color w:val="000000" w:themeColor="text1"/>
          <w:sz w:val="22"/>
        </w:rPr>
        <w:t xml:space="preserve">. </w:t>
      </w:r>
    </w:p>
    <w:p w14:paraId="0FECFF07" w14:textId="77777777" w:rsidR="00317D34" w:rsidRPr="00546B90" w:rsidRDefault="00317D34" w:rsidP="00317D34">
      <w:pPr>
        <w:spacing w:after="120" w:line="276" w:lineRule="auto"/>
        <w:ind w:firstLine="708"/>
        <w:jc w:val="both"/>
        <w:rPr>
          <w:rFonts w:ascii="Arial" w:eastAsia="Calibri" w:hAnsi="Arial" w:cs="Arial"/>
          <w:color w:val="000000" w:themeColor="text1"/>
          <w:sz w:val="22"/>
        </w:rPr>
      </w:pPr>
      <w:r w:rsidRPr="00546B90">
        <w:rPr>
          <w:rFonts w:ascii="Arial" w:eastAsia="Calibri" w:hAnsi="Arial" w:cs="Arial"/>
          <w:color w:val="000000" w:themeColor="text1"/>
          <w:sz w:val="22"/>
        </w:rPr>
        <w:t xml:space="preserve">Por otra parte, frente a la </w:t>
      </w:r>
      <w:r w:rsidRPr="00546B90">
        <w:rPr>
          <w:rFonts w:ascii="Arial" w:eastAsia="Calibri" w:hAnsi="Arial" w:cs="Arial"/>
          <w:i/>
          <w:iCs/>
          <w:color w:val="000000" w:themeColor="text1"/>
          <w:sz w:val="22"/>
        </w:rPr>
        <w:t>firma electrónica</w:t>
      </w:r>
      <w:r w:rsidRPr="00546B90">
        <w:rPr>
          <w:rFonts w:ascii="Arial" w:eastAsia="Calibri" w:hAnsi="Arial" w:cs="Arial"/>
          <w:color w:val="000000" w:themeColor="text1"/>
          <w:sz w:val="22"/>
        </w:rPr>
        <w:t xml:space="preserve">, el artículo 1 del Decreto 2364 de 2012 la define como «aquella que se realiza a través de métodos tales como, códigos, contraseñas, datos biométricos, o claves criptográficas privadas, que permite identificar a una persona, en relación con un mensaje de datos, siempre y cuando el mismo sea confiable y apropiado respecto de los fines para los que se utiliza la firma, atendidas todas las circunstancias del </w:t>
      </w:r>
      <w:r w:rsidRPr="00546B90">
        <w:rPr>
          <w:rFonts w:ascii="Arial" w:eastAsia="Calibri" w:hAnsi="Arial" w:cs="Arial"/>
          <w:color w:val="000000" w:themeColor="text1"/>
          <w:sz w:val="22"/>
        </w:rPr>
        <w:lastRenderedPageBreak/>
        <w:t xml:space="preserve">caso, así como cualquier acuerdo pertinente». En este sentido, los atributos jurídicos que debe tener la firma electrónica son: i) identificar el firmante, ii) asegurar que el documento firmado es exactamente el mismo que el original y iii) asegurar que los datos que utiliza el firmante para realizar la firma son únicos y exclusivos. </w:t>
      </w:r>
    </w:p>
    <w:p w14:paraId="12007844" w14:textId="3C900A1B" w:rsidR="00317D34" w:rsidRPr="00546B90" w:rsidRDefault="00DE0942" w:rsidP="00317D34">
      <w:pPr>
        <w:spacing w:after="120" w:line="276" w:lineRule="auto"/>
        <w:ind w:firstLine="708"/>
        <w:jc w:val="both"/>
        <w:rPr>
          <w:rFonts w:ascii="Arial" w:eastAsia="Calibri" w:hAnsi="Arial" w:cs="Arial"/>
          <w:color w:val="000000" w:themeColor="text1"/>
          <w:sz w:val="22"/>
        </w:rPr>
      </w:pPr>
      <w:r>
        <w:rPr>
          <w:rFonts w:ascii="Arial" w:eastAsia="Calibri" w:hAnsi="Arial" w:cs="Arial"/>
          <w:color w:val="000000" w:themeColor="text1"/>
          <w:sz w:val="22"/>
        </w:rPr>
        <w:t>Adicionalmente</w:t>
      </w:r>
      <w:r w:rsidR="00317D34" w:rsidRPr="00546B90">
        <w:rPr>
          <w:rFonts w:ascii="Arial" w:eastAsia="Calibri" w:hAnsi="Arial" w:cs="Arial"/>
          <w:color w:val="000000" w:themeColor="text1"/>
          <w:sz w:val="22"/>
        </w:rPr>
        <w:t xml:space="preserve">, el artículo 2 de la Ley 527 de 1999 define la </w:t>
      </w:r>
      <w:r w:rsidR="00317D34" w:rsidRPr="00546B90">
        <w:rPr>
          <w:rFonts w:ascii="Arial" w:eastAsia="Calibri" w:hAnsi="Arial" w:cs="Arial"/>
          <w:i/>
          <w:iCs/>
          <w:color w:val="000000" w:themeColor="text1"/>
          <w:sz w:val="22"/>
        </w:rPr>
        <w:t>firma digital</w:t>
      </w:r>
      <w:r w:rsidR="00317D34" w:rsidRPr="00546B90">
        <w:rPr>
          <w:rFonts w:ascii="Arial" w:eastAsia="Calibri" w:hAnsi="Arial" w:cs="Arial"/>
          <w:color w:val="000000" w:themeColor="text1"/>
          <w:sz w:val="22"/>
        </w:rPr>
        <w:t xml:space="preserve"> como un valor numérico que se adhiere a un mensaje de datos y que, utilizando un procedimiento matemático conocido, vinculado a la clave del iniciador y al texto del mensaje, permite determinar que este valor se ha obtenido exclusivamente con la clave del iniciador y que el mensaje inicial no ha sido modificado después de efectuada la transformación</w:t>
      </w:r>
      <w:r w:rsidR="00317D34" w:rsidRPr="00546B90">
        <w:rPr>
          <w:rStyle w:val="Refdenotaalpie"/>
          <w:rFonts w:ascii="Arial" w:eastAsia="Calibri" w:hAnsi="Arial" w:cs="Arial"/>
          <w:color w:val="000000" w:themeColor="text1"/>
          <w:sz w:val="22"/>
        </w:rPr>
        <w:footnoteReference w:id="27"/>
      </w:r>
      <w:r w:rsidR="00317D34" w:rsidRPr="00546B90">
        <w:rPr>
          <w:rFonts w:ascii="Arial" w:eastAsia="Calibri" w:hAnsi="Arial" w:cs="Arial"/>
          <w:color w:val="000000" w:themeColor="text1"/>
          <w:sz w:val="22"/>
        </w:rPr>
        <w:t>. Además, esta normativa prevé que podrán emitir certificados en relación con las firmas digitales las entidades de certificación</w:t>
      </w:r>
      <w:r w:rsidR="00317D34" w:rsidRPr="00546B90">
        <w:rPr>
          <w:rStyle w:val="Refdenotaalpie"/>
          <w:rFonts w:ascii="Arial" w:eastAsia="Calibri" w:hAnsi="Arial" w:cs="Arial"/>
          <w:color w:val="000000" w:themeColor="text1"/>
          <w:sz w:val="22"/>
        </w:rPr>
        <w:footnoteReference w:id="28"/>
      </w:r>
      <w:r w:rsidR="00317D34" w:rsidRPr="00546B90">
        <w:rPr>
          <w:rFonts w:ascii="Arial" w:eastAsia="Calibri" w:hAnsi="Arial" w:cs="Arial"/>
          <w:color w:val="000000" w:themeColor="text1"/>
          <w:sz w:val="22"/>
        </w:rPr>
        <w:t xml:space="preserve">. </w:t>
      </w:r>
    </w:p>
    <w:bookmarkEnd w:id="4"/>
    <w:p w14:paraId="371273D3" w14:textId="77777777" w:rsidR="00317D34" w:rsidRPr="00546B90" w:rsidRDefault="00317D34" w:rsidP="00317D34">
      <w:pPr>
        <w:spacing w:after="120" w:line="276" w:lineRule="auto"/>
        <w:ind w:firstLine="708"/>
        <w:jc w:val="both"/>
        <w:rPr>
          <w:rFonts w:ascii="Arial" w:eastAsia="Calibri" w:hAnsi="Arial" w:cs="Arial"/>
          <w:color w:val="000000" w:themeColor="text1"/>
          <w:sz w:val="22"/>
        </w:rPr>
      </w:pPr>
      <w:r w:rsidRPr="00546B90">
        <w:rPr>
          <w:rFonts w:ascii="Arial" w:eastAsia="Calibri" w:hAnsi="Arial" w:cs="Arial"/>
          <w:color w:val="000000" w:themeColor="text1"/>
          <w:sz w:val="22"/>
        </w:rPr>
        <w:t xml:space="preserve">El Documento CONPES 3620 de 2009 explica que «La firma digital y la firma electrónica son formas de identificación personal en el contexto digital, que pueden ser empleadas para cumplir funciones de identificación, de la integridad de un mensaje de datos y el no repudio del mismo. La firma electrónica es el concepto genérico a través del cual se identifica un firmante asociado a un mensaje de datos y se entiende su aprobación al contenido del mismo, mientras la firma digital es una especie de firma electrónica». De hecho, bajo el principio de equivalencia funcional, estas firmas deben cumplir con las mismas funciones de la firma manuscrita, es decir, debe servir para identificar a una persona como el autor del documento, dar certeza de la participación exclusiva de dicha persona en la firma y asociar esta última al contenido del mensaje de datos. </w:t>
      </w:r>
    </w:p>
    <w:p w14:paraId="59F240CD" w14:textId="3A10D753" w:rsidR="00317D34" w:rsidRPr="00546B90" w:rsidRDefault="00317D34" w:rsidP="00317D34">
      <w:pPr>
        <w:spacing w:after="120" w:line="276" w:lineRule="auto"/>
        <w:ind w:firstLine="708"/>
        <w:jc w:val="both"/>
        <w:rPr>
          <w:rFonts w:ascii="Arial" w:eastAsia="Calibri" w:hAnsi="Arial" w:cs="Arial"/>
          <w:color w:val="000000" w:themeColor="text1"/>
          <w:sz w:val="22"/>
        </w:rPr>
      </w:pPr>
      <w:r w:rsidRPr="00546B90">
        <w:rPr>
          <w:rFonts w:ascii="Arial" w:eastAsia="Calibri" w:hAnsi="Arial" w:cs="Arial"/>
          <w:color w:val="000000" w:themeColor="text1"/>
          <w:sz w:val="22"/>
        </w:rPr>
        <w:t>Por ello, en relación con las firmas que se realizan por un mensaje de datos, el artículo 7 de la Ley 527 de 1999 señala que se deben cumplir los siguientes requisitos: i) se ha utilizado un método que permita identificador el iniciador de un mensaje de datos y para indicar que el contenido cuenta con su aprobación, y ii) el método es tanto confiable como apropiado para el propósito por el cual el mensaje fue generado o comunicado. Debido a que la firma electrónica se genera por un mensaje de datos deberá cumplir los requisitos explicados anteriormente. Dentro de este marco, es necesario distinguir dos (2) situaciones: i) el documento original tiene la firma manuscrita y luego se escaneó para</w:t>
      </w:r>
      <w:r w:rsidR="00060155">
        <w:rPr>
          <w:rFonts w:ascii="Arial" w:eastAsia="Calibri" w:hAnsi="Arial" w:cs="Arial"/>
          <w:color w:val="000000" w:themeColor="text1"/>
          <w:sz w:val="22"/>
        </w:rPr>
        <w:t xml:space="preserve"> </w:t>
      </w:r>
      <w:r w:rsidR="00060155">
        <w:rPr>
          <w:rFonts w:ascii="Arial" w:eastAsia="Calibri" w:hAnsi="Arial" w:cs="Arial"/>
          <w:color w:val="000000" w:themeColor="text1"/>
          <w:sz w:val="22"/>
        </w:rPr>
        <w:lastRenderedPageBreak/>
        <w:t>subirlo a una plataforma</w:t>
      </w:r>
      <w:r w:rsidRPr="00546B90">
        <w:rPr>
          <w:rFonts w:ascii="Arial" w:eastAsia="Calibri" w:hAnsi="Arial" w:cs="Arial"/>
          <w:color w:val="000000" w:themeColor="text1"/>
          <w:sz w:val="22"/>
        </w:rPr>
        <w:t xml:space="preserve"> </w:t>
      </w:r>
      <w:r w:rsidR="00060155">
        <w:rPr>
          <w:rFonts w:ascii="Arial" w:eastAsia="Calibri" w:hAnsi="Arial" w:cs="Arial"/>
          <w:color w:val="000000" w:themeColor="text1"/>
          <w:sz w:val="22"/>
        </w:rPr>
        <w:t xml:space="preserve">o </w:t>
      </w:r>
      <w:r w:rsidRPr="00546B90">
        <w:rPr>
          <w:rFonts w:ascii="Arial" w:eastAsia="Calibri" w:hAnsi="Arial" w:cs="Arial"/>
          <w:color w:val="000000" w:themeColor="text1"/>
          <w:sz w:val="22"/>
        </w:rPr>
        <w:t xml:space="preserve">enviarlo </w:t>
      </w:r>
      <w:r w:rsidR="00060155">
        <w:rPr>
          <w:rFonts w:ascii="Arial" w:eastAsia="Calibri" w:hAnsi="Arial" w:cs="Arial"/>
          <w:color w:val="000000" w:themeColor="text1"/>
          <w:sz w:val="22"/>
        </w:rPr>
        <w:t>a un destinatario</w:t>
      </w:r>
      <w:r w:rsidRPr="00546B90">
        <w:rPr>
          <w:rFonts w:ascii="Arial" w:eastAsia="Calibri" w:hAnsi="Arial" w:cs="Arial"/>
          <w:color w:val="000000" w:themeColor="text1"/>
          <w:sz w:val="22"/>
        </w:rPr>
        <w:t xml:space="preserve"> por </w:t>
      </w:r>
      <w:r w:rsidR="00060155">
        <w:rPr>
          <w:rFonts w:ascii="Arial" w:eastAsia="Calibri" w:hAnsi="Arial" w:cs="Arial"/>
          <w:color w:val="000000" w:themeColor="text1"/>
          <w:sz w:val="22"/>
        </w:rPr>
        <w:t>medio</w:t>
      </w:r>
      <w:r w:rsidRPr="00546B90">
        <w:rPr>
          <w:rFonts w:ascii="Arial" w:eastAsia="Calibri" w:hAnsi="Arial" w:cs="Arial"/>
          <w:color w:val="000000" w:themeColor="text1"/>
          <w:sz w:val="22"/>
        </w:rPr>
        <w:t xml:space="preserve"> electrónico y ii) </w:t>
      </w:r>
      <w:bookmarkStart w:id="5" w:name="_Hlk35438181"/>
      <w:r w:rsidRPr="00546B90">
        <w:rPr>
          <w:rFonts w:ascii="Arial" w:eastAsia="Calibri" w:hAnsi="Arial" w:cs="Arial"/>
          <w:color w:val="000000" w:themeColor="text1"/>
          <w:sz w:val="22"/>
        </w:rPr>
        <w:t xml:space="preserve">el documento tiene una imagen con la firma y se adjunta como archivo para </w:t>
      </w:r>
      <w:bookmarkEnd w:id="5"/>
      <w:r w:rsidR="008D72D1">
        <w:rPr>
          <w:rFonts w:ascii="Arial" w:eastAsia="Calibri" w:hAnsi="Arial" w:cs="Arial"/>
          <w:color w:val="000000" w:themeColor="text1"/>
          <w:sz w:val="22"/>
        </w:rPr>
        <w:t xml:space="preserve">remitirlo al destinatario. </w:t>
      </w:r>
      <w:r w:rsidRPr="00546B90">
        <w:rPr>
          <w:rFonts w:ascii="Arial" w:eastAsia="Calibri" w:hAnsi="Arial" w:cs="Arial"/>
          <w:color w:val="000000" w:themeColor="text1"/>
          <w:sz w:val="22"/>
        </w:rPr>
        <w:t xml:space="preserve"> </w:t>
      </w:r>
    </w:p>
    <w:p w14:paraId="3DACE438" w14:textId="7AC1A79C" w:rsidR="00317D34" w:rsidRPr="00546B90" w:rsidRDefault="00317D34" w:rsidP="00317D34">
      <w:pPr>
        <w:spacing w:after="120" w:line="276" w:lineRule="auto"/>
        <w:ind w:firstLine="708"/>
        <w:jc w:val="both"/>
        <w:rPr>
          <w:rFonts w:ascii="Arial" w:eastAsia="Calibri" w:hAnsi="Arial" w:cs="Arial"/>
          <w:color w:val="000000" w:themeColor="text1"/>
          <w:sz w:val="22"/>
        </w:rPr>
      </w:pPr>
      <w:r w:rsidRPr="00546B90">
        <w:rPr>
          <w:rFonts w:ascii="Arial" w:eastAsia="Calibri" w:hAnsi="Arial" w:cs="Arial"/>
          <w:color w:val="000000" w:themeColor="text1"/>
          <w:sz w:val="22"/>
        </w:rPr>
        <w:t xml:space="preserve">En el </w:t>
      </w:r>
      <w:r w:rsidRPr="00546B90">
        <w:rPr>
          <w:rFonts w:ascii="Arial" w:eastAsia="Calibri" w:hAnsi="Arial" w:cs="Arial"/>
          <w:i/>
          <w:iCs/>
          <w:color w:val="000000" w:themeColor="text1"/>
          <w:sz w:val="22"/>
        </w:rPr>
        <w:t>primer supuesto</w:t>
      </w:r>
      <w:r w:rsidRPr="00546B90">
        <w:rPr>
          <w:rFonts w:ascii="Arial" w:eastAsia="Calibri" w:hAnsi="Arial" w:cs="Arial"/>
          <w:color w:val="000000" w:themeColor="text1"/>
          <w:sz w:val="22"/>
        </w:rPr>
        <w:t>, es válido el documento con firma manuscrita que se escanea posteriormente para</w:t>
      </w:r>
      <w:r w:rsidR="008D72D1">
        <w:rPr>
          <w:rFonts w:ascii="Arial" w:eastAsia="Calibri" w:hAnsi="Arial" w:cs="Arial"/>
          <w:color w:val="000000" w:themeColor="text1"/>
          <w:sz w:val="22"/>
        </w:rPr>
        <w:t xml:space="preserve"> subirlo a una plataforma digital o</w:t>
      </w:r>
      <w:r w:rsidRPr="00546B90">
        <w:rPr>
          <w:rFonts w:ascii="Arial" w:eastAsia="Calibri" w:hAnsi="Arial" w:cs="Arial"/>
          <w:color w:val="000000" w:themeColor="text1"/>
          <w:sz w:val="22"/>
        </w:rPr>
        <w:t xml:space="preserve"> enviarlo, pues aquel está firmado con el puño y letra de la persona que lo suscribe; razón por la cual el hecho de que se escanee para </w:t>
      </w:r>
      <w:r w:rsidR="008D72D1">
        <w:rPr>
          <w:rFonts w:ascii="Arial" w:eastAsia="Calibri" w:hAnsi="Arial" w:cs="Arial"/>
          <w:color w:val="000000" w:themeColor="text1"/>
          <w:sz w:val="22"/>
        </w:rPr>
        <w:t xml:space="preserve">insertarlo o </w:t>
      </w:r>
      <w:r w:rsidRPr="00546B90">
        <w:rPr>
          <w:rFonts w:ascii="Arial" w:eastAsia="Calibri" w:hAnsi="Arial" w:cs="Arial"/>
          <w:color w:val="000000" w:themeColor="text1"/>
          <w:sz w:val="22"/>
        </w:rPr>
        <w:t>enviarlo</w:t>
      </w:r>
      <w:r w:rsidR="008D72D1">
        <w:rPr>
          <w:rFonts w:ascii="Arial" w:eastAsia="Calibri" w:hAnsi="Arial" w:cs="Arial"/>
          <w:color w:val="000000" w:themeColor="text1"/>
          <w:sz w:val="22"/>
        </w:rPr>
        <w:t xml:space="preserve"> a través de un medio</w:t>
      </w:r>
      <w:r w:rsidRPr="00546B90">
        <w:rPr>
          <w:rFonts w:ascii="Arial" w:eastAsia="Calibri" w:hAnsi="Arial" w:cs="Arial"/>
          <w:color w:val="000000" w:themeColor="text1"/>
          <w:sz w:val="22"/>
        </w:rPr>
        <w:t xml:space="preserve"> electrónico no es un motivo para </w:t>
      </w:r>
      <w:r w:rsidR="00710A4E">
        <w:rPr>
          <w:rFonts w:ascii="Arial" w:eastAsia="Calibri" w:hAnsi="Arial" w:cs="Arial"/>
          <w:color w:val="000000" w:themeColor="text1"/>
          <w:sz w:val="22"/>
        </w:rPr>
        <w:t>negar su autenticidad</w:t>
      </w:r>
      <w:r w:rsidRPr="00546B90">
        <w:rPr>
          <w:rFonts w:ascii="Arial" w:eastAsia="Calibri" w:hAnsi="Arial" w:cs="Arial"/>
          <w:color w:val="000000" w:themeColor="text1"/>
          <w:sz w:val="22"/>
        </w:rPr>
        <w:t xml:space="preserve">. </w:t>
      </w:r>
      <w:r w:rsidR="00C6683B">
        <w:rPr>
          <w:rFonts w:ascii="Arial" w:eastAsia="Calibri" w:hAnsi="Arial" w:cs="Arial"/>
          <w:color w:val="000000" w:themeColor="text1"/>
          <w:sz w:val="22"/>
        </w:rPr>
        <w:t>Por el contrario, el documento es una</w:t>
      </w:r>
      <w:r w:rsidR="00C6683B" w:rsidRPr="00546B90">
        <w:rPr>
          <w:rFonts w:ascii="Arial" w:eastAsia="Calibri" w:hAnsi="Arial" w:cs="Arial"/>
          <w:color w:val="000000" w:themeColor="text1"/>
          <w:sz w:val="22"/>
        </w:rPr>
        <w:t xml:space="preserve"> copia simple del original y </w:t>
      </w:r>
      <w:r w:rsidR="00660C77">
        <w:rPr>
          <w:rFonts w:ascii="Arial" w:eastAsia="Calibri" w:hAnsi="Arial" w:cs="Arial"/>
          <w:color w:val="000000" w:themeColor="text1"/>
          <w:sz w:val="22"/>
        </w:rPr>
        <w:t>que se presume auténtica</w:t>
      </w:r>
      <w:r w:rsidR="00C6683B" w:rsidRPr="00546B90">
        <w:rPr>
          <w:rFonts w:ascii="Arial" w:eastAsia="Calibri" w:hAnsi="Arial" w:cs="Arial"/>
          <w:color w:val="000000" w:themeColor="text1"/>
          <w:sz w:val="22"/>
        </w:rPr>
        <w:t xml:space="preserve">, salvo que una norma expresa </w:t>
      </w:r>
      <w:r w:rsidR="00C6683B">
        <w:rPr>
          <w:rFonts w:ascii="Arial" w:eastAsia="Calibri" w:hAnsi="Arial" w:cs="Arial"/>
          <w:color w:val="000000" w:themeColor="text1"/>
          <w:sz w:val="22"/>
        </w:rPr>
        <w:t>lo contrario</w:t>
      </w:r>
      <w:r w:rsidR="00660C77">
        <w:rPr>
          <w:rFonts w:ascii="Arial" w:eastAsia="Calibri" w:hAnsi="Arial" w:cs="Arial"/>
          <w:color w:val="000000" w:themeColor="text1"/>
          <w:sz w:val="22"/>
        </w:rPr>
        <w:t>, de conformidad con el artículo 25 del Decreto 019 de 2012</w:t>
      </w:r>
      <w:r w:rsidR="00660C77">
        <w:rPr>
          <w:rStyle w:val="Refdenotaalpie"/>
          <w:rFonts w:ascii="Arial" w:eastAsia="Calibri" w:hAnsi="Arial" w:cs="Arial"/>
          <w:color w:val="000000" w:themeColor="text1"/>
          <w:sz w:val="22"/>
        </w:rPr>
        <w:footnoteReference w:id="29"/>
      </w:r>
      <w:r w:rsidR="00660C77">
        <w:rPr>
          <w:rFonts w:ascii="Arial" w:eastAsia="Calibri" w:hAnsi="Arial" w:cs="Arial"/>
          <w:color w:val="000000" w:themeColor="text1"/>
          <w:sz w:val="22"/>
        </w:rPr>
        <w:t>.</w:t>
      </w:r>
    </w:p>
    <w:p w14:paraId="2CBC19D4" w14:textId="6B45834F" w:rsidR="00317D34" w:rsidRPr="00546B90" w:rsidRDefault="00317D34" w:rsidP="00317D34">
      <w:pPr>
        <w:spacing w:after="120" w:line="276" w:lineRule="auto"/>
        <w:ind w:firstLine="708"/>
        <w:jc w:val="both"/>
        <w:rPr>
          <w:rFonts w:ascii="Arial" w:eastAsia="Calibri" w:hAnsi="Arial" w:cs="Arial"/>
          <w:color w:val="000000" w:themeColor="text1"/>
          <w:sz w:val="22"/>
        </w:rPr>
      </w:pPr>
      <w:r w:rsidRPr="00546B90">
        <w:rPr>
          <w:rFonts w:ascii="Arial" w:eastAsia="Calibri" w:hAnsi="Arial" w:cs="Arial"/>
          <w:color w:val="000000" w:themeColor="text1"/>
          <w:sz w:val="22"/>
        </w:rPr>
        <w:t xml:space="preserve">En el </w:t>
      </w:r>
      <w:r w:rsidRPr="00546B90">
        <w:rPr>
          <w:rFonts w:ascii="Arial" w:eastAsia="Calibri" w:hAnsi="Arial" w:cs="Arial"/>
          <w:i/>
          <w:iCs/>
          <w:color w:val="000000" w:themeColor="text1"/>
          <w:sz w:val="22"/>
        </w:rPr>
        <w:t>segundo supuesto</w:t>
      </w:r>
      <w:r w:rsidRPr="00546B90">
        <w:rPr>
          <w:rFonts w:ascii="Arial" w:eastAsia="Calibri" w:hAnsi="Arial" w:cs="Arial"/>
          <w:color w:val="000000" w:themeColor="text1"/>
          <w:sz w:val="22"/>
        </w:rPr>
        <w:t xml:space="preserve">, </w:t>
      </w:r>
      <w:r w:rsidR="00CA7854">
        <w:rPr>
          <w:rFonts w:ascii="Arial" w:eastAsia="Calibri" w:hAnsi="Arial" w:cs="Arial"/>
          <w:color w:val="000000" w:themeColor="text1"/>
          <w:sz w:val="22"/>
        </w:rPr>
        <w:t>es decir, cuando se trata de un</w:t>
      </w:r>
      <w:r w:rsidRPr="00546B90">
        <w:rPr>
          <w:rFonts w:ascii="Arial" w:eastAsia="Calibri" w:hAnsi="Arial" w:cs="Arial"/>
          <w:color w:val="000000" w:themeColor="text1"/>
          <w:sz w:val="22"/>
        </w:rPr>
        <w:t xml:space="preserve"> documento </w:t>
      </w:r>
      <w:r w:rsidR="00CA7854">
        <w:rPr>
          <w:rFonts w:ascii="Arial" w:eastAsia="Calibri" w:hAnsi="Arial" w:cs="Arial"/>
          <w:color w:val="000000" w:themeColor="text1"/>
          <w:sz w:val="22"/>
        </w:rPr>
        <w:t xml:space="preserve">que </w:t>
      </w:r>
      <w:r w:rsidRPr="00546B90">
        <w:rPr>
          <w:rFonts w:ascii="Arial" w:eastAsia="Calibri" w:hAnsi="Arial" w:cs="Arial"/>
          <w:color w:val="000000" w:themeColor="text1"/>
          <w:sz w:val="22"/>
        </w:rPr>
        <w:t xml:space="preserve">tiene una imagen con la firma y se adjunta como archivo </w:t>
      </w:r>
      <w:r w:rsidR="00CA7854">
        <w:rPr>
          <w:rFonts w:ascii="Arial" w:eastAsia="Calibri" w:hAnsi="Arial" w:cs="Arial"/>
          <w:color w:val="000000" w:themeColor="text1"/>
          <w:sz w:val="22"/>
        </w:rPr>
        <w:t>en un medio electrónico</w:t>
      </w:r>
      <w:r w:rsidRPr="00546B90">
        <w:rPr>
          <w:rFonts w:ascii="Arial" w:eastAsia="Calibri" w:hAnsi="Arial" w:cs="Arial"/>
          <w:color w:val="000000" w:themeColor="text1"/>
          <w:sz w:val="22"/>
        </w:rPr>
        <w:t xml:space="preserve">, la entidad </w:t>
      </w:r>
      <w:r w:rsidR="00CA7854">
        <w:rPr>
          <w:rFonts w:ascii="Arial" w:eastAsia="Calibri" w:hAnsi="Arial" w:cs="Arial"/>
          <w:color w:val="000000" w:themeColor="text1"/>
          <w:sz w:val="22"/>
        </w:rPr>
        <w:t>debe verificar</w:t>
      </w:r>
      <w:r w:rsidRPr="00546B90">
        <w:rPr>
          <w:rFonts w:ascii="Arial" w:eastAsia="Calibri" w:hAnsi="Arial" w:cs="Arial"/>
          <w:color w:val="000000" w:themeColor="text1"/>
          <w:sz w:val="22"/>
        </w:rPr>
        <w:t xml:space="preserve"> </w:t>
      </w:r>
      <w:r w:rsidR="005C1090">
        <w:rPr>
          <w:rFonts w:ascii="Arial" w:eastAsia="Calibri" w:hAnsi="Arial" w:cs="Arial"/>
          <w:color w:val="000000" w:themeColor="text1"/>
          <w:sz w:val="22"/>
        </w:rPr>
        <w:t>que</w:t>
      </w:r>
      <w:r w:rsidRPr="00546B90">
        <w:rPr>
          <w:rFonts w:ascii="Arial" w:eastAsia="Calibri" w:hAnsi="Arial" w:cs="Arial"/>
          <w:color w:val="000000" w:themeColor="text1"/>
          <w:sz w:val="22"/>
        </w:rPr>
        <w:t xml:space="preserve"> el archivo cumpl</w:t>
      </w:r>
      <w:r w:rsidR="005C1090">
        <w:rPr>
          <w:rFonts w:ascii="Arial" w:eastAsia="Calibri" w:hAnsi="Arial" w:cs="Arial"/>
          <w:color w:val="000000" w:themeColor="text1"/>
          <w:sz w:val="22"/>
        </w:rPr>
        <w:t>a</w:t>
      </w:r>
      <w:r w:rsidRPr="00546B90">
        <w:rPr>
          <w:rFonts w:ascii="Arial" w:eastAsia="Calibri" w:hAnsi="Arial" w:cs="Arial"/>
          <w:color w:val="000000" w:themeColor="text1"/>
          <w:sz w:val="22"/>
        </w:rPr>
        <w:t xml:space="preserve"> con los requisitos de la firma digital o electrónica. Como se mencionó, el artículo 2 de la Ley 527 de 1999 regula la firma digital como un valor numérico que se adhiere a un mensaje de datos y que, utilizando un procedimiento matemático conocido, vinculado a la clave del iniciador y al texto del mensaje, permite determinar que este valor se ha obtenido exclusivamente con la clave del iniciador y que el mensaje inicial no ha sido modificado después de efectuada la transformación. En este sentido, </w:t>
      </w:r>
      <w:r w:rsidR="005C1090">
        <w:rPr>
          <w:rFonts w:ascii="Arial" w:eastAsia="Calibri" w:hAnsi="Arial" w:cs="Arial"/>
          <w:color w:val="000000" w:themeColor="text1"/>
          <w:sz w:val="22"/>
        </w:rPr>
        <w:t>se debe determinar</w:t>
      </w:r>
      <w:r w:rsidRPr="00546B90">
        <w:rPr>
          <w:rFonts w:ascii="Arial" w:eastAsia="Calibri" w:hAnsi="Arial" w:cs="Arial"/>
          <w:color w:val="000000" w:themeColor="text1"/>
          <w:sz w:val="22"/>
        </w:rPr>
        <w:t xml:space="preserve"> con las entidades de certificación acreditadas por el Organismo Nacional de Acreditación de Colombia </w:t>
      </w:r>
      <w:r w:rsidR="005C1090">
        <w:rPr>
          <w:rFonts w:ascii="Arial" w:eastAsia="Calibri" w:hAnsi="Arial" w:cs="Arial"/>
          <w:color w:val="000000" w:themeColor="text1"/>
          <w:sz w:val="22"/>
        </w:rPr>
        <w:t>que</w:t>
      </w:r>
      <w:r w:rsidRPr="00546B90">
        <w:rPr>
          <w:rFonts w:ascii="Arial" w:eastAsia="Calibri" w:hAnsi="Arial" w:cs="Arial"/>
          <w:color w:val="000000" w:themeColor="text1"/>
          <w:sz w:val="22"/>
        </w:rPr>
        <w:t xml:space="preserve"> esa firma digital se encuentra registrada. Por otro lado, tratándose de una firma electrónica, </w:t>
      </w:r>
      <w:r w:rsidR="005C1090">
        <w:rPr>
          <w:rFonts w:ascii="Arial" w:eastAsia="Calibri" w:hAnsi="Arial" w:cs="Arial"/>
          <w:color w:val="000000" w:themeColor="text1"/>
          <w:sz w:val="22"/>
        </w:rPr>
        <w:t>se debe</w:t>
      </w:r>
      <w:r w:rsidRPr="00546B90">
        <w:rPr>
          <w:rFonts w:ascii="Arial" w:eastAsia="Calibri" w:hAnsi="Arial" w:cs="Arial"/>
          <w:color w:val="000000" w:themeColor="text1"/>
          <w:sz w:val="22"/>
        </w:rPr>
        <w:t xml:space="preserve"> verificar i) la identidad del firmante, ii) que el documento firmado es exactamente el mismo que el original y iii) </w:t>
      </w:r>
      <w:r w:rsidR="005C1090">
        <w:rPr>
          <w:rFonts w:ascii="Arial" w:eastAsia="Calibri" w:hAnsi="Arial" w:cs="Arial"/>
          <w:color w:val="000000" w:themeColor="text1"/>
          <w:sz w:val="22"/>
        </w:rPr>
        <w:t xml:space="preserve">que </w:t>
      </w:r>
      <w:r w:rsidRPr="00546B90">
        <w:rPr>
          <w:rFonts w:ascii="Arial" w:eastAsia="Calibri" w:hAnsi="Arial" w:cs="Arial"/>
          <w:color w:val="000000" w:themeColor="text1"/>
          <w:sz w:val="22"/>
        </w:rPr>
        <w:t xml:space="preserve">los datos que utiliza el firmante para realizar la firma son únicos y exclusivos. </w:t>
      </w:r>
    </w:p>
    <w:p w14:paraId="4737998E" w14:textId="48BC42B0" w:rsidR="00317D34" w:rsidRPr="00546B90" w:rsidRDefault="00317D34" w:rsidP="00317D34">
      <w:pPr>
        <w:spacing w:after="120" w:line="276" w:lineRule="auto"/>
        <w:ind w:firstLine="708"/>
        <w:jc w:val="both"/>
        <w:rPr>
          <w:rFonts w:ascii="Arial" w:eastAsia="Calibri" w:hAnsi="Arial" w:cs="Arial"/>
          <w:color w:val="000000" w:themeColor="text1"/>
          <w:sz w:val="22"/>
        </w:rPr>
      </w:pPr>
      <w:r w:rsidRPr="00546B90">
        <w:rPr>
          <w:rFonts w:ascii="Arial" w:eastAsia="Calibri" w:hAnsi="Arial" w:cs="Arial"/>
          <w:color w:val="000000" w:themeColor="text1"/>
          <w:sz w:val="22"/>
        </w:rPr>
        <w:t>En materia probatoria, tanto la firma electrónica como la firma digital pueden producir los mismos efectos jurídicos como mecanismos de autenticación,</w:t>
      </w:r>
      <w:r w:rsidR="005C1090">
        <w:rPr>
          <w:rFonts w:ascii="Arial" w:eastAsia="Calibri" w:hAnsi="Arial" w:cs="Arial"/>
          <w:color w:val="000000" w:themeColor="text1"/>
          <w:sz w:val="22"/>
        </w:rPr>
        <w:t xml:space="preserve"> </w:t>
      </w:r>
      <w:r w:rsidRPr="00546B90">
        <w:rPr>
          <w:rFonts w:ascii="Arial" w:eastAsia="Calibri" w:hAnsi="Arial" w:cs="Arial"/>
          <w:color w:val="000000" w:themeColor="text1"/>
          <w:sz w:val="22"/>
        </w:rPr>
        <w:t xml:space="preserve">pero su diferencia tiene que ver con la carga probatoria, pues mientras en la firma digital, por existir una entidad de certificación que avala la identidad del titular de la firma, de manera automática introduce la </w:t>
      </w:r>
      <w:r w:rsidRPr="00546B90">
        <w:rPr>
          <w:rFonts w:ascii="Arial" w:eastAsia="Calibri" w:hAnsi="Arial" w:cs="Arial"/>
          <w:color w:val="000000" w:themeColor="text1"/>
          <w:sz w:val="22"/>
        </w:rPr>
        <w:lastRenderedPageBreak/>
        <w:t>autenticidad, integridad y no repudio; en el caso de la firma electrónica es necesario probar dichos elementos, a más de la trazabilidad, disponibilidad</w:t>
      </w:r>
      <w:r w:rsidR="0073305C">
        <w:rPr>
          <w:rFonts w:ascii="Arial" w:eastAsia="Calibri" w:hAnsi="Arial" w:cs="Arial"/>
          <w:color w:val="000000" w:themeColor="text1"/>
          <w:sz w:val="22"/>
        </w:rPr>
        <w:t>,</w:t>
      </w:r>
      <w:r w:rsidRPr="00546B90">
        <w:rPr>
          <w:rFonts w:ascii="Arial" w:eastAsia="Calibri" w:hAnsi="Arial" w:cs="Arial"/>
          <w:color w:val="000000" w:themeColor="text1"/>
          <w:sz w:val="22"/>
        </w:rPr>
        <w:t xml:space="preserve"> y demostrar que se trata el mecanismo confiable y apropiable.</w:t>
      </w:r>
    </w:p>
    <w:p w14:paraId="0256E769" w14:textId="6B9F5A01" w:rsidR="00D5317A" w:rsidRPr="00317D34" w:rsidRDefault="005F1B74" w:rsidP="005F1B74">
      <w:pPr>
        <w:spacing w:before="120" w:line="276" w:lineRule="auto"/>
        <w:ind w:firstLine="709"/>
        <w:jc w:val="both"/>
        <w:rPr>
          <w:rFonts w:ascii="Arial" w:eastAsia="Calibri" w:hAnsi="Arial" w:cs="Arial"/>
          <w:color w:val="000000" w:themeColor="text1"/>
          <w:sz w:val="22"/>
        </w:rPr>
      </w:pPr>
      <w:bookmarkStart w:id="6" w:name="_Hlk35440381"/>
      <w:bookmarkStart w:id="7" w:name="_Hlk35440547"/>
      <w:r>
        <w:rPr>
          <w:rFonts w:ascii="Arial" w:eastAsia="Calibri" w:hAnsi="Arial" w:cs="Arial"/>
          <w:color w:val="000000" w:themeColor="text1"/>
          <w:sz w:val="22"/>
        </w:rPr>
        <w:t xml:space="preserve">En todo caso, debe </w:t>
      </w:r>
      <w:r w:rsidR="00DC6B75">
        <w:rPr>
          <w:rFonts w:ascii="Arial" w:eastAsia="Calibri" w:hAnsi="Arial" w:cs="Arial"/>
          <w:color w:val="000000" w:themeColor="text1"/>
          <w:sz w:val="22"/>
        </w:rPr>
        <w:t xml:space="preserve">precisarse que en </w:t>
      </w:r>
      <w:r w:rsidR="00CE04D6">
        <w:rPr>
          <w:rFonts w:ascii="Arial" w:eastAsia="Calibri" w:hAnsi="Arial" w:cs="Arial"/>
          <w:color w:val="000000" w:themeColor="text1"/>
          <w:sz w:val="22"/>
        </w:rPr>
        <w:t>los</w:t>
      </w:r>
      <w:r w:rsidR="00DC6B75">
        <w:rPr>
          <w:rFonts w:ascii="Arial" w:eastAsia="Calibri" w:hAnsi="Arial" w:cs="Arial"/>
          <w:color w:val="000000" w:themeColor="text1"/>
          <w:sz w:val="22"/>
        </w:rPr>
        <w:t xml:space="preserve"> supuestos en </w:t>
      </w:r>
      <w:r w:rsidR="00CE04D6">
        <w:rPr>
          <w:rFonts w:ascii="Arial" w:eastAsia="Calibri" w:hAnsi="Arial" w:cs="Arial"/>
          <w:color w:val="000000" w:themeColor="text1"/>
          <w:sz w:val="22"/>
        </w:rPr>
        <w:t>los cuales</w:t>
      </w:r>
      <w:r w:rsidR="00DC6B75">
        <w:rPr>
          <w:rFonts w:ascii="Arial" w:eastAsia="Calibri" w:hAnsi="Arial" w:cs="Arial"/>
          <w:color w:val="000000" w:themeColor="text1"/>
          <w:sz w:val="22"/>
        </w:rPr>
        <w:t xml:space="preserve"> la entidad estatal se encuentre obligada a realizar su actividad contractual a través del SECOP II</w:t>
      </w:r>
      <w:r w:rsidR="0079499E">
        <w:rPr>
          <w:rFonts w:ascii="Arial" w:eastAsia="Calibri" w:hAnsi="Arial" w:cs="Arial"/>
          <w:color w:val="000000" w:themeColor="text1"/>
          <w:sz w:val="22"/>
        </w:rPr>
        <w:t xml:space="preserve">, la suscripción de los documentos </w:t>
      </w:r>
      <w:r w:rsidR="00BF2E4A">
        <w:rPr>
          <w:rFonts w:ascii="Arial" w:eastAsia="Calibri" w:hAnsi="Arial" w:cs="Arial"/>
          <w:color w:val="000000" w:themeColor="text1"/>
          <w:sz w:val="22"/>
        </w:rPr>
        <w:t xml:space="preserve">por parte del servidor público competente debe realizarse dentro de </w:t>
      </w:r>
      <w:r w:rsidR="00CE04D6">
        <w:rPr>
          <w:rFonts w:ascii="Arial" w:eastAsia="Calibri" w:hAnsi="Arial" w:cs="Arial"/>
          <w:color w:val="000000" w:themeColor="text1"/>
          <w:sz w:val="22"/>
        </w:rPr>
        <w:t>aquella</w:t>
      </w:r>
      <w:r w:rsidR="00BF2E4A">
        <w:rPr>
          <w:rFonts w:ascii="Arial" w:eastAsia="Calibri" w:hAnsi="Arial" w:cs="Arial"/>
          <w:color w:val="000000" w:themeColor="text1"/>
          <w:sz w:val="22"/>
        </w:rPr>
        <w:t xml:space="preserve"> plataforma</w:t>
      </w:r>
      <w:r w:rsidR="00CE04D6">
        <w:rPr>
          <w:rFonts w:ascii="Arial" w:eastAsia="Calibri" w:hAnsi="Arial" w:cs="Arial"/>
          <w:color w:val="000000" w:themeColor="text1"/>
          <w:sz w:val="22"/>
        </w:rPr>
        <w:t xml:space="preserve"> electrónica</w:t>
      </w:r>
      <w:r w:rsidR="00BF2E4A">
        <w:rPr>
          <w:rFonts w:ascii="Arial" w:eastAsia="Calibri" w:hAnsi="Arial" w:cs="Arial"/>
          <w:color w:val="000000" w:themeColor="text1"/>
          <w:sz w:val="22"/>
        </w:rPr>
        <w:t>, pues</w:t>
      </w:r>
      <w:r w:rsidR="00CE152B">
        <w:rPr>
          <w:rFonts w:ascii="Arial" w:eastAsia="Calibri" w:hAnsi="Arial" w:cs="Arial"/>
          <w:color w:val="000000" w:themeColor="text1"/>
          <w:sz w:val="22"/>
        </w:rPr>
        <w:t xml:space="preserve"> dicha versión del SECOP tiene carácter </w:t>
      </w:r>
      <w:r w:rsidR="00CE152B" w:rsidRPr="00D669E5">
        <w:rPr>
          <w:rFonts w:ascii="Arial" w:eastAsia="Calibri" w:hAnsi="Arial" w:cs="Arial"/>
          <w:i/>
          <w:iCs/>
          <w:color w:val="000000" w:themeColor="text1"/>
          <w:sz w:val="22"/>
        </w:rPr>
        <w:t>transaccional</w:t>
      </w:r>
      <w:r w:rsidR="00CE152B">
        <w:rPr>
          <w:rFonts w:ascii="Arial" w:eastAsia="Calibri" w:hAnsi="Arial" w:cs="Arial"/>
          <w:color w:val="000000" w:themeColor="text1"/>
          <w:sz w:val="22"/>
        </w:rPr>
        <w:t>. Esto quiere decir que las actuaciones se deben efectuar en línea</w:t>
      </w:r>
      <w:r w:rsidR="00473679">
        <w:rPr>
          <w:rFonts w:ascii="Arial" w:eastAsia="Calibri" w:hAnsi="Arial" w:cs="Arial"/>
          <w:color w:val="000000" w:themeColor="text1"/>
          <w:sz w:val="22"/>
        </w:rPr>
        <w:t xml:space="preserve"> y no resulta, </w:t>
      </w:r>
      <w:r w:rsidR="00D603A8">
        <w:rPr>
          <w:rFonts w:ascii="Arial" w:eastAsia="Calibri" w:hAnsi="Arial" w:cs="Arial"/>
          <w:color w:val="000000" w:themeColor="text1"/>
          <w:sz w:val="22"/>
        </w:rPr>
        <w:t>en principio</w:t>
      </w:r>
      <w:r w:rsidR="00473679">
        <w:rPr>
          <w:rFonts w:ascii="Arial" w:eastAsia="Calibri" w:hAnsi="Arial" w:cs="Arial"/>
          <w:color w:val="000000" w:themeColor="text1"/>
          <w:sz w:val="22"/>
        </w:rPr>
        <w:t>, admisible que se firmen los documentos en forma manuscrita, para luego escanearlos</w:t>
      </w:r>
      <w:r w:rsidR="008C11C5">
        <w:rPr>
          <w:rFonts w:ascii="Arial" w:eastAsia="Calibri" w:hAnsi="Arial" w:cs="Arial"/>
          <w:color w:val="000000" w:themeColor="text1"/>
          <w:sz w:val="22"/>
        </w:rPr>
        <w:t xml:space="preserve"> y subirlos adjuntos al aplicativo</w:t>
      </w:r>
      <w:r w:rsidR="00102545">
        <w:rPr>
          <w:rStyle w:val="Refdenotaalpie"/>
          <w:rFonts w:ascii="Arial" w:eastAsia="Calibri" w:hAnsi="Arial" w:cs="Arial"/>
          <w:color w:val="000000" w:themeColor="text1"/>
          <w:sz w:val="22"/>
        </w:rPr>
        <w:footnoteReference w:id="30"/>
      </w:r>
      <w:r w:rsidR="008C11C5">
        <w:rPr>
          <w:rFonts w:ascii="Arial" w:eastAsia="Calibri" w:hAnsi="Arial" w:cs="Arial"/>
          <w:color w:val="000000" w:themeColor="text1"/>
          <w:sz w:val="22"/>
        </w:rPr>
        <w:t>.</w:t>
      </w:r>
      <w:r w:rsidR="00317D34" w:rsidRPr="00546B90">
        <w:rPr>
          <w:rFonts w:ascii="Arial" w:eastAsia="Calibri" w:hAnsi="Arial" w:cs="Arial"/>
          <w:color w:val="000000" w:themeColor="text1"/>
          <w:sz w:val="22"/>
        </w:rPr>
        <w:t xml:space="preserve"> </w:t>
      </w:r>
      <w:bookmarkEnd w:id="6"/>
      <w:bookmarkEnd w:id="7"/>
    </w:p>
    <w:p w14:paraId="67A64D6C" w14:textId="77777777" w:rsidR="00F259F6" w:rsidRDefault="00F259F6" w:rsidP="00D5317A">
      <w:pPr>
        <w:pStyle w:val="Prrafodelista"/>
        <w:spacing w:line="276" w:lineRule="auto"/>
        <w:ind w:left="0"/>
        <w:jc w:val="both"/>
        <w:rPr>
          <w:rFonts w:ascii="Arial" w:hAnsi="Arial" w:cs="Arial"/>
          <w:b/>
          <w:color w:val="000000" w:themeColor="text1"/>
          <w:sz w:val="22"/>
          <w:lang w:val="es-ES_tradnl"/>
        </w:rPr>
      </w:pPr>
    </w:p>
    <w:p w14:paraId="2B7E73C3" w14:textId="45FF62DF" w:rsidR="00D5317A" w:rsidRPr="009F0189" w:rsidRDefault="00D5317A" w:rsidP="00D5317A">
      <w:pPr>
        <w:pStyle w:val="Prrafodelista"/>
        <w:spacing w:line="276" w:lineRule="auto"/>
        <w:ind w:left="0"/>
        <w:jc w:val="both"/>
        <w:rPr>
          <w:rFonts w:ascii="Arial" w:hAnsi="Arial" w:cs="Arial"/>
          <w:b/>
          <w:color w:val="000000" w:themeColor="text1"/>
          <w:sz w:val="22"/>
          <w:lang w:val="es-ES_tradnl"/>
        </w:rPr>
      </w:pPr>
      <w:r w:rsidRPr="009F0189">
        <w:rPr>
          <w:rFonts w:ascii="Arial" w:hAnsi="Arial" w:cs="Arial"/>
          <w:b/>
          <w:color w:val="000000" w:themeColor="text1"/>
          <w:sz w:val="22"/>
          <w:lang w:val="es-ES_tradnl"/>
        </w:rPr>
        <w:t>2.</w:t>
      </w:r>
      <w:r w:rsidR="00317D34" w:rsidRPr="009F0189">
        <w:rPr>
          <w:rFonts w:ascii="Arial" w:hAnsi="Arial" w:cs="Arial"/>
          <w:b/>
          <w:color w:val="000000" w:themeColor="text1"/>
          <w:sz w:val="22"/>
          <w:lang w:val="es-ES_tradnl"/>
        </w:rPr>
        <w:t>4</w:t>
      </w:r>
      <w:r w:rsidRPr="009F0189">
        <w:rPr>
          <w:rFonts w:ascii="Arial" w:hAnsi="Arial" w:cs="Arial"/>
          <w:b/>
          <w:color w:val="000000" w:themeColor="text1"/>
          <w:sz w:val="22"/>
          <w:lang w:val="es-ES_tradnl"/>
        </w:rPr>
        <w:t xml:space="preserve">. </w:t>
      </w:r>
      <w:r w:rsidR="00A47350" w:rsidRPr="009F0189">
        <w:rPr>
          <w:rFonts w:ascii="Arial" w:hAnsi="Arial" w:cs="Arial"/>
          <w:b/>
          <w:color w:val="000000" w:themeColor="text1"/>
          <w:sz w:val="22"/>
          <w:lang w:val="es-ES_tradnl"/>
        </w:rPr>
        <w:t>Posibilidad</w:t>
      </w:r>
      <w:r w:rsidR="0034595A" w:rsidRPr="009F0189">
        <w:rPr>
          <w:rFonts w:ascii="Arial" w:hAnsi="Arial" w:cs="Arial"/>
          <w:b/>
          <w:color w:val="000000" w:themeColor="text1"/>
          <w:sz w:val="22"/>
          <w:lang w:val="es-ES_tradnl"/>
        </w:rPr>
        <w:t xml:space="preserve"> </w:t>
      </w:r>
      <w:r w:rsidR="008C4751" w:rsidRPr="009F0189">
        <w:rPr>
          <w:rFonts w:ascii="Arial" w:hAnsi="Arial" w:cs="Arial"/>
          <w:b/>
          <w:color w:val="000000" w:themeColor="text1"/>
          <w:sz w:val="22"/>
          <w:lang w:val="es-ES_tradnl"/>
        </w:rPr>
        <w:t>de emplear</w:t>
      </w:r>
      <w:r w:rsidR="0034595A" w:rsidRPr="009F0189">
        <w:rPr>
          <w:rFonts w:ascii="Arial" w:hAnsi="Arial" w:cs="Arial"/>
          <w:b/>
          <w:color w:val="000000" w:themeColor="text1"/>
          <w:sz w:val="22"/>
          <w:lang w:val="es-ES_tradnl"/>
        </w:rPr>
        <w:t xml:space="preserve"> medios electrónicos en las actuaciones administrativas</w:t>
      </w:r>
      <w:r w:rsidR="001F4182" w:rsidRPr="009F0189">
        <w:rPr>
          <w:rFonts w:ascii="Arial" w:hAnsi="Arial" w:cs="Arial"/>
          <w:b/>
          <w:color w:val="000000" w:themeColor="text1"/>
          <w:sz w:val="22"/>
          <w:lang w:val="es-ES_tradnl"/>
        </w:rPr>
        <w:t xml:space="preserve"> contractuales, a pesar de la </w:t>
      </w:r>
      <w:r w:rsidR="00A47350" w:rsidRPr="009F0189">
        <w:rPr>
          <w:rFonts w:ascii="Arial" w:hAnsi="Arial" w:cs="Arial"/>
          <w:b/>
          <w:color w:val="000000" w:themeColor="text1"/>
          <w:sz w:val="22"/>
          <w:lang w:val="es-ES_tradnl"/>
        </w:rPr>
        <w:t>pérdida de vigencia</w:t>
      </w:r>
      <w:r w:rsidR="001F4182" w:rsidRPr="009F0189">
        <w:rPr>
          <w:rFonts w:ascii="Arial" w:hAnsi="Arial" w:cs="Arial"/>
          <w:b/>
          <w:color w:val="000000" w:themeColor="text1"/>
          <w:sz w:val="22"/>
          <w:lang w:val="es-ES_tradnl"/>
        </w:rPr>
        <w:t xml:space="preserve"> de las disposiciones</w:t>
      </w:r>
      <w:r w:rsidR="00927617" w:rsidRPr="009F0189">
        <w:rPr>
          <w:rFonts w:ascii="Arial" w:hAnsi="Arial" w:cs="Arial"/>
          <w:b/>
          <w:color w:val="000000" w:themeColor="text1"/>
          <w:sz w:val="22"/>
          <w:lang w:val="es-ES_tradnl"/>
        </w:rPr>
        <w:t xml:space="preserve"> </w:t>
      </w:r>
      <w:r w:rsidR="001F4182" w:rsidRPr="009F0189">
        <w:rPr>
          <w:rFonts w:ascii="Arial" w:hAnsi="Arial" w:cs="Arial"/>
          <w:b/>
          <w:color w:val="000000" w:themeColor="text1"/>
          <w:sz w:val="22"/>
          <w:lang w:val="es-ES_tradnl"/>
        </w:rPr>
        <w:t>relativas a este tema</w:t>
      </w:r>
      <w:r w:rsidR="008E6238" w:rsidRPr="009F0189">
        <w:rPr>
          <w:rFonts w:ascii="Arial" w:hAnsi="Arial" w:cs="Arial"/>
          <w:b/>
          <w:color w:val="000000" w:themeColor="text1"/>
          <w:sz w:val="22"/>
          <w:lang w:val="es-ES_tradnl"/>
        </w:rPr>
        <w:t>, contenidas</w:t>
      </w:r>
      <w:r w:rsidR="001F4182" w:rsidRPr="009F0189">
        <w:rPr>
          <w:rFonts w:ascii="Arial" w:hAnsi="Arial" w:cs="Arial"/>
          <w:b/>
          <w:color w:val="000000" w:themeColor="text1"/>
          <w:sz w:val="22"/>
          <w:lang w:val="es-ES_tradnl"/>
        </w:rPr>
        <w:t xml:space="preserve"> en los Decretos </w:t>
      </w:r>
      <w:r w:rsidR="0060578E" w:rsidRPr="009F0189">
        <w:rPr>
          <w:rFonts w:ascii="Arial" w:hAnsi="Arial" w:cs="Arial"/>
          <w:b/>
          <w:color w:val="000000" w:themeColor="text1"/>
          <w:sz w:val="22"/>
          <w:lang w:val="es-ES_tradnl"/>
        </w:rPr>
        <w:t>491 y 537 de 2020</w:t>
      </w:r>
      <w:r w:rsidR="002D302A" w:rsidRPr="009F0189">
        <w:rPr>
          <w:rFonts w:ascii="Arial" w:hAnsi="Arial" w:cs="Arial"/>
          <w:b/>
          <w:color w:val="000000" w:themeColor="text1"/>
          <w:sz w:val="22"/>
          <w:lang w:val="es-ES_tradnl"/>
        </w:rPr>
        <w:t xml:space="preserve"> </w:t>
      </w:r>
    </w:p>
    <w:p w14:paraId="27AC4924" w14:textId="77777777" w:rsidR="00D23844" w:rsidRPr="009F0189" w:rsidRDefault="00D23844" w:rsidP="00D23844">
      <w:pPr>
        <w:spacing w:line="276" w:lineRule="auto"/>
        <w:jc w:val="both"/>
        <w:rPr>
          <w:rFonts w:ascii="Arial" w:hAnsi="Arial" w:cs="Arial"/>
          <w:color w:val="000000" w:themeColor="text1"/>
          <w:sz w:val="22"/>
          <w:lang w:val="es-ES_tradnl"/>
        </w:rPr>
      </w:pPr>
    </w:p>
    <w:p w14:paraId="4495B850" w14:textId="32F27EFD" w:rsidR="009413F0" w:rsidRPr="009F0189" w:rsidRDefault="0060578E" w:rsidP="00D23844">
      <w:pPr>
        <w:spacing w:line="276" w:lineRule="auto"/>
        <w:jc w:val="both"/>
        <w:rPr>
          <w:rFonts w:ascii="Arial" w:hAnsi="Arial" w:cs="Arial"/>
          <w:color w:val="000000" w:themeColor="text1"/>
          <w:sz w:val="22"/>
          <w:lang w:val="es-ES_tradnl"/>
        </w:rPr>
      </w:pPr>
      <w:r w:rsidRPr="009F0189">
        <w:rPr>
          <w:rFonts w:ascii="Arial" w:hAnsi="Arial" w:cs="Arial"/>
          <w:color w:val="000000" w:themeColor="text1"/>
          <w:sz w:val="22"/>
          <w:lang w:val="es-ES_tradnl"/>
        </w:rPr>
        <w:t>En la consulta bajo análisis</w:t>
      </w:r>
      <w:r w:rsidR="008A3957" w:rsidRPr="009F0189">
        <w:rPr>
          <w:rFonts w:ascii="Arial" w:hAnsi="Arial" w:cs="Arial"/>
          <w:color w:val="000000" w:themeColor="text1"/>
          <w:sz w:val="22"/>
          <w:lang w:val="es-ES_tradnl"/>
        </w:rPr>
        <w:t xml:space="preserve"> se indaga si</w:t>
      </w:r>
      <w:r w:rsidR="000A6D18" w:rsidRPr="009F0189">
        <w:rPr>
          <w:rFonts w:ascii="Arial" w:hAnsi="Arial" w:cs="Arial"/>
          <w:color w:val="000000" w:themeColor="text1"/>
          <w:sz w:val="22"/>
          <w:lang w:val="es-ES_tradnl"/>
        </w:rPr>
        <w:t>,</w:t>
      </w:r>
      <w:r w:rsidR="008A3957" w:rsidRPr="009F0189">
        <w:rPr>
          <w:rFonts w:ascii="Arial" w:hAnsi="Arial" w:cs="Arial"/>
          <w:color w:val="000000" w:themeColor="text1"/>
          <w:sz w:val="22"/>
          <w:lang w:val="es-ES_tradnl"/>
        </w:rPr>
        <w:t xml:space="preserve"> </w:t>
      </w:r>
      <w:r w:rsidR="009209D9" w:rsidRPr="009F0189">
        <w:rPr>
          <w:rFonts w:ascii="Arial" w:hAnsi="Arial" w:cs="Arial"/>
          <w:color w:val="000000" w:themeColor="text1"/>
          <w:sz w:val="22"/>
          <w:lang w:val="es-ES_tradnl"/>
        </w:rPr>
        <w:t xml:space="preserve">a pesar </w:t>
      </w:r>
      <w:r w:rsidR="00D23844" w:rsidRPr="009F0189">
        <w:rPr>
          <w:rFonts w:ascii="Arial" w:hAnsi="Arial" w:cs="Arial"/>
          <w:color w:val="000000" w:themeColor="text1"/>
          <w:sz w:val="22"/>
          <w:lang w:val="es-ES_tradnl"/>
        </w:rPr>
        <w:t>de haber perdido vigencia las normas expedidas en el contexto de la emergencia sanitaria</w:t>
      </w:r>
      <w:r w:rsidR="00BC5738" w:rsidRPr="009F0189">
        <w:rPr>
          <w:rFonts w:ascii="Arial" w:hAnsi="Arial" w:cs="Arial"/>
          <w:color w:val="000000" w:themeColor="text1"/>
          <w:sz w:val="22"/>
          <w:lang w:val="es-ES_tradnl"/>
        </w:rPr>
        <w:t>,</w:t>
      </w:r>
      <w:r w:rsidR="00D23844" w:rsidRPr="009F0189">
        <w:rPr>
          <w:rFonts w:ascii="Arial" w:hAnsi="Arial" w:cs="Arial"/>
          <w:color w:val="000000" w:themeColor="text1"/>
          <w:sz w:val="22"/>
          <w:lang w:val="es-ES_tradnl"/>
        </w:rPr>
        <w:t xml:space="preserve"> para permitir</w:t>
      </w:r>
      <w:r w:rsidR="003728B8" w:rsidRPr="009F0189">
        <w:rPr>
          <w:rFonts w:ascii="Arial" w:hAnsi="Arial" w:cs="Arial"/>
          <w:color w:val="000000" w:themeColor="text1"/>
          <w:sz w:val="22"/>
          <w:lang w:val="es-ES_tradnl"/>
        </w:rPr>
        <w:t xml:space="preserve"> la realización de actuaciones por medios electrónicos</w:t>
      </w:r>
      <w:r w:rsidR="00BC5738" w:rsidRPr="009F0189">
        <w:rPr>
          <w:rFonts w:ascii="Arial" w:hAnsi="Arial" w:cs="Arial"/>
          <w:color w:val="000000" w:themeColor="text1"/>
          <w:sz w:val="22"/>
          <w:lang w:val="es-ES_tradnl"/>
        </w:rPr>
        <w:t xml:space="preserve"> –en especial, las previstas en los Decretos 491 y 537 de 2020–</w:t>
      </w:r>
      <w:r w:rsidR="003728B8" w:rsidRPr="009F0189">
        <w:rPr>
          <w:rFonts w:ascii="Arial" w:hAnsi="Arial" w:cs="Arial"/>
          <w:color w:val="000000" w:themeColor="text1"/>
          <w:sz w:val="22"/>
          <w:lang w:val="es-ES_tradnl"/>
        </w:rPr>
        <w:t xml:space="preserve">, estos pueden continuarse empleando. Concretamente, se pregunta </w:t>
      </w:r>
      <w:r w:rsidR="00BC5738" w:rsidRPr="009F0189">
        <w:rPr>
          <w:rFonts w:ascii="Arial" w:hAnsi="Arial" w:cs="Arial"/>
          <w:color w:val="000000" w:themeColor="text1"/>
          <w:sz w:val="22"/>
          <w:lang w:val="es-ES_tradnl"/>
        </w:rPr>
        <w:t xml:space="preserve">i) </w:t>
      </w:r>
      <w:r w:rsidR="003728B8" w:rsidRPr="009F0189">
        <w:rPr>
          <w:rFonts w:ascii="Arial" w:hAnsi="Arial" w:cs="Arial"/>
          <w:color w:val="000000" w:themeColor="text1"/>
          <w:sz w:val="22"/>
          <w:lang w:val="es-ES_tradnl"/>
        </w:rPr>
        <w:t>si las entidades estatales</w:t>
      </w:r>
      <w:r w:rsidR="00637565" w:rsidRPr="009F0189">
        <w:rPr>
          <w:rFonts w:ascii="Arial" w:hAnsi="Arial" w:cs="Arial"/>
          <w:color w:val="000000" w:themeColor="text1"/>
          <w:sz w:val="22"/>
          <w:lang w:val="es-ES_tradnl"/>
        </w:rPr>
        <w:t xml:space="preserve"> están habilitadas para seguir realizando</w:t>
      </w:r>
      <w:r w:rsidR="00BC5738" w:rsidRPr="009F0189">
        <w:rPr>
          <w:rFonts w:ascii="Arial" w:hAnsi="Arial" w:cs="Arial"/>
          <w:color w:val="000000" w:themeColor="text1"/>
          <w:sz w:val="22"/>
          <w:lang w:val="es-ES_tradnl"/>
        </w:rPr>
        <w:t xml:space="preserve"> </w:t>
      </w:r>
      <w:r w:rsidR="00637565" w:rsidRPr="009F0189">
        <w:rPr>
          <w:rFonts w:ascii="Arial" w:hAnsi="Arial" w:cs="Arial"/>
          <w:color w:val="000000" w:themeColor="text1"/>
          <w:sz w:val="22"/>
          <w:lang w:val="es-ES_tradnl"/>
        </w:rPr>
        <w:t>audiencias</w:t>
      </w:r>
      <w:r w:rsidR="00BC5738" w:rsidRPr="009F0189">
        <w:rPr>
          <w:rFonts w:ascii="Arial" w:hAnsi="Arial" w:cs="Arial"/>
          <w:color w:val="000000" w:themeColor="text1"/>
          <w:sz w:val="22"/>
          <w:lang w:val="es-ES_tradnl"/>
        </w:rPr>
        <w:t xml:space="preserve"> virtuales</w:t>
      </w:r>
      <w:r w:rsidR="00637565" w:rsidRPr="009F0189">
        <w:rPr>
          <w:rFonts w:ascii="Arial" w:hAnsi="Arial" w:cs="Arial"/>
          <w:color w:val="000000" w:themeColor="text1"/>
          <w:sz w:val="22"/>
          <w:lang w:val="es-ES_tradnl"/>
        </w:rPr>
        <w:t xml:space="preserve"> en los procedimientos </w:t>
      </w:r>
      <w:r w:rsidR="00247372" w:rsidRPr="009F0189">
        <w:rPr>
          <w:rFonts w:ascii="Arial" w:hAnsi="Arial" w:cs="Arial"/>
          <w:color w:val="000000" w:themeColor="text1"/>
          <w:sz w:val="22"/>
          <w:lang w:val="es-ES_tradnl"/>
        </w:rPr>
        <w:t xml:space="preserve">de selección y </w:t>
      </w:r>
      <w:r w:rsidR="00BC5738" w:rsidRPr="009F0189">
        <w:rPr>
          <w:rFonts w:ascii="Arial" w:hAnsi="Arial" w:cs="Arial"/>
          <w:color w:val="000000" w:themeColor="text1"/>
          <w:sz w:val="22"/>
          <w:lang w:val="es-ES_tradnl"/>
        </w:rPr>
        <w:t>en el</w:t>
      </w:r>
      <w:r w:rsidR="00247372" w:rsidRPr="009F0189">
        <w:rPr>
          <w:rFonts w:ascii="Arial" w:hAnsi="Arial" w:cs="Arial"/>
          <w:color w:val="000000" w:themeColor="text1"/>
          <w:sz w:val="22"/>
          <w:lang w:val="es-ES_tradnl"/>
        </w:rPr>
        <w:t xml:space="preserve"> procedimiento administrativo sancionatorio contractual, </w:t>
      </w:r>
      <w:r w:rsidR="00E318B7" w:rsidRPr="009F0189">
        <w:rPr>
          <w:rFonts w:ascii="Arial" w:hAnsi="Arial" w:cs="Arial"/>
          <w:color w:val="000000" w:themeColor="text1"/>
          <w:sz w:val="22"/>
          <w:lang w:val="es-ES_tradnl"/>
        </w:rPr>
        <w:t xml:space="preserve">ii) </w:t>
      </w:r>
      <w:r w:rsidR="00CF445A" w:rsidRPr="009F0189">
        <w:rPr>
          <w:rFonts w:ascii="Arial" w:hAnsi="Arial" w:cs="Arial"/>
          <w:color w:val="000000" w:themeColor="text1"/>
          <w:sz w:val="22"/>
          <w:lang w:val="es-ES_tradnl"/>
        </w:rPr>
        <w:t xml:space="preserve">si pueden continuar notificando los actos administrativos, que no </w:t>
      </w:r>
      <w:r w:rsidR="00E318B7" w:rsidRPr="009F0189">
        <w:rPr>
          <w:rFonts w:ascii="Arial" w:hAnsi="Arial" w:cs="Arial"/>
          <w:color w:val="000000" w:themeColor="text1"/>
          <w:sz w:val="22"/>
          <w:lang w:val="es-ES_tradnl"/>
        </w:rPr>
        <w:t>tengan</w:t>
      </w:r>
      <w:r w:rsidR="00CF445A" w:rsidRPr="009F0189">
        <w:rPr>
          <w:rFonts w:ascii="Arial" w:hAnsi="Arial" w:cs="Arial"/>
          <w:color w:val="000000" w:themeColor="text1"/>
          <w:sz w:val="22"/>
          <w:lang w:val="es-ES_tradnl"/>
        </w:rPr>
        <w:t xml:space="preserve"> una regla especial de notificación, a través de medios electrónicos</w:t>
      </w:r>
      <w:r w:rsidR="008867B5" w:rsidRPr="009F0189">
        <w:rPr>
          <w:rFonts w:ascii="Arial" w:hAnsi="Arial" w:cs="Arial"/>
          <w:color w:val="000000" w:themeColor="text1"/>
          <w:sz w:val="22"/>
          <w:lang w:val="es-ES_tradnl"/>
        </w:rPr>
        <w:t xml:space="preserve">, y </w:t>
      </w:r>
      <w:r w:rsidR="00E318B7" w:rsidRPr="009F0189">
        <w:rPr>
          <w:rFonts w:ascii="Arial" w:hAnsi="Arial" w:cs="Arial"/>
          <w:color w:val="000000" w:themeColor="text1"/>
          <w:sz w:val="22"/>
          <w:lang w:val="es-ES_tradnl"/>
        </w:rPr>
        <w:t xml:space="preserve">iii) </w:t>
      </w:r>
      <w:r w:rsidR="00FC5C56" w:rsidRPr="009F0189">
        <w:rPr>
          <w:rFonts w:ascii="Arial" w:hAnsi="Arial" w:cs="Arial"/>
          <w:color w:val="000000" w:themeColor="text1"/>
          <w:sz w:val="22"/>
          <w:lang w:val="es-ES_tradnl"/>
        </w:rPr>
        <w:t>si les está permitido continuar suscribiendo los documentos mediante firma autógrafa y escanearlos</w:t>
      </w:r>
      <w:r w:rsidR="008867B5" w:rsidRPr="009F0189">
        <w:rPr>
          <w:rFonts w:ascii="Arial" w:hAnsi="Arial" w:cs="Arial"/>
          <w:color w:val="000000" w:themeColor="text1"/>
          <w:sz w:val="22"/>
          <w:lang w:val="es-ES_tradnl"/>
        </w:rPr>
        <w:t>, cuando no cuenten con firma digital.</w:t>
      </w:r>
    </w:p>
    <w:p w14:paraId="5CD5657C" w14:textId="15E18BED" w:rsidR="009413F0" w:rsidRPr="009F0189" w:rsidRDefault="009413F0" w:rsidP="00317D34">
      <w:pPr>
        <w:spacing w:before="120" w:line="276" w:lineRule="auto"/>
        <w:ind w:firstLine="709"/>
        <w:jc w:val="both"/>
        <w:rPr>
          <w:rFonts w:ascii="Arial" w:hAnsi="Arial" w:cs="Arial"/>
          <w:color w:val="000000" w:themeColor="text1"/>
          <w:sz w:val="22"/>
          <w:lang w:val="es-ES_tradnl"/>
        </w:rPr>
      </w:pPr>
      <w:r w:rsidRPr="009F0189">
        <w:rPr>
          <w:rFonts w:ascii="Arial" w:hAnsi="Arial" w:cs="Arial"/>
          <w:color w:val="000000" w:themeColor="text1"/>
          <w:sz w:val="22"/>
          <w:lang w:val="es-ES_tradnl"/>
        </w:rPr>
        <w:t>En efecto,</w:t>
      </w:r>
      <w:r w:rsidR="009713D5" w:rsidRPr="009F0189">
        <w:rPr>
          <w:rFonts w:ascii="Arial" w:hAnsi="Arial" w:cs="Arial"/>
          <w:color w:val="000000" w:themeColor="text1"/>
          <w:sz w:val="22"/>
          <w:lang w:val="es-ES_tradnl"/>
        </w:rPr>
        <w:t xml:space="preserve"> el </w:t>
      </w:r>
      <w:r w:rsidR="001F4538" w:rsidRPr="009F0189">
        <w:rPr>
          <w:rFonts w:ascii="Arial" w:hAnsi="Arial" w:cs="Arial"/>
          <w:color w:val="000000" w:themeColor="text1"/>
          <w:sz w:val="22"/>
          <w:lang w:val="es-ES_tradnl"/>
        </w:rPr>
        <w:t xml:space="preserve">30 de junio de 2022 </w:t>
      </w:r>
      <w:r w:rsidR="001F4538" w:rsidRPr="009F0189">
        <w:rPr>
          <w:rFonts w:ascii="Arial" w:hAnsi="Arial" w:cs="Arial"/>
          <w:i/>
          <w:iCs/>
          <w:color w:val="000000" w:themeColor="text1"/>
          <w:sz w:val="22"/>
          <w:lang w:val="es-ES_tradnl"/>
        </w:rPr>
        <w:t>finalizó el estado de emergencia sanitaria</w:t>
      </w:r>
      <w:r w:rsidR="001F4538" w:rsidRPr="009F0189">
        <w:rPr>
          <w:rFonts w:ascii="Arial" w:hAnsi="Arial" w:cs="Arial"/>
          <w:color w:val="000000" w:themeColor="text1"/>
          <w:sz w:val="22"/>
          <w:lang w:val="es-ES_tradnl"/>
        </w:rPr>
        <w:t xml:space="preserve"> declarad</w:t>
      </w:r>
      <w:r w:rsidR="00D035BA" w:rsidRPr="009F0189">
        <w:rPr>
          <w:rFonts w:ascii="Arial" w:hAnsi="Arial" w:cs="Arial"/>
          <w:color w:val="000000" w:themeColor="text1"/>
          <w:sz w:val="22"/>
          <w:lang w:val="es-ES_tradnl"/>
        </w:rPr>
        <w:t>o</w:t>
      </w:r>
      <w:r w:rsidR="001F4538" w:rsidRPr="009F0189">
        <w:rPr>
          <w:rFonts w:ascii="Arial" w:hAnsi="Arial" w:cs="Arial"/>
          <w:color w:val="000000" w:themeColor="text1"/>
          <w:sz w:val="22"/>
          <w:lang w:val="es-ES_tradnl"/>
        </w:rPr>
        <w:t xml:space="preserve"> por el </w:t>
      </w:r>
      <w:r w:rsidR="009713D5" w:rsidRPr="009F0189">
        <w:rPr>
          <w:rFonts w:ascii="Arial" w:hAnsi="Arial" w:cs="Arial"/>
          <w:color w:val="000000" w:themeColor="text1"/>
          <w:sz w:val="22"/>
          <w:lang w:val="es-ES_tradnl"/>
        </w:rPr>
        <w:t>Ministerio de Salud y Protección Social</w:t>
      </w:r>
      <w:r w:rsidR="00D035BA" w:rsidRPr="009F0189">
        <w:rPr>
          <w:rFonts w:ascii="Arial" w:hAnsi="Arial" w:cs="Arial"/>
          <w:color w:val="000000" w:themeColor="text1"/>
          <w:sz w:val="22"/>
          <w:lang w:val="es-ES_tradnl"/>
        </w:rPr>
        <w:t xml:space="preserve"> </w:t>
      </w:r>
      <w:r w:rsidR="001F4538" w:rsidRPr="009F0189">
        <w:rPr>
          <w:rFonts w:ascii="Arial" w:hAnsi="Arial" w:cs="Arial"/>
          <w:color w:val="000000" w:themeColor="text1"/>
          <w:sz w:val="22"/>
          <w:lang w:val="es-ES_tradnl"/>
        </w:rPr>
        <w:t xml:space="preserve">mediante </w:t>
      </w:r>
      <w:r w:rsidR="00D035BA" w:rsidRPr="009F0189">
        <w:rPr>
          <w:rFonts w:ascii="Arial" w:hAnsi="Arial" w:cs="Arial"/>
          <w:color w:val="000000" w:themeColor="text1"/>
          <w:sz w:val="22"/>
          <w:lang w:val="es-ES_tradnl"/>
        </w:rPr>
        <w:t xml:space="preserve">la </w:t>
      </w:r>
      <w:r w:rsidR="001F4538" w:rsidRPr="009F0189">
        <w:rPr>
          <w:rFonts w:ascii="Arial" w:hAnsi="Arial" w:cs="Arial"/>
          <w:color w:val="000000" w:themeColor="text1"/>
          <w:sz w:val="22"/>
          <w:lang w:val="es-ES_tradnl"/>
        </w:rPr>
        <w:t>Resolución</w:t>
      </w:r>
      <w:r w:rsidR="00106294" w:rsidRPr="009F0189">
        <w:rPr>
          <w:rFonts w:ascii="Arial" w:hAnsi="Arial" w:cs="Arial"/>
          <w:color w:val="000000" w:themeColor="text1"/>
          <w:sz w:val="22"/>
          <w:lang w:val="es-ES_tradnl"/>
        </w:rPr>
        <w:t xml:space="preserve"> No. 385 del 12 de marzo de 2020</w:t>
      </w:r>
      <w:r w:rsidR="00620AAD" w:rsidRPr="009F0189">
        <w:rPr>
          <w:rFonts w:ascii="Arial" w:hAnsi="Arial" w:cs="Arial"/>
          <w:color w:val="000000" w:themeColor="text1"/>
          <w:sz w:val="22"/>
          <w:lang w:val="es-ES_tradnl"/>
        </w:rPr>
        <w:t>,</w:t>
      </w:r>
      <w:r w:rsidR="001C49EA" w:rsidRPr="009F0189">
        <w:rPr>
          <w:rFonts w:ascii="Arial" w:hAnsi="Arial" w:cs="Arial"/>
          <w:color w:val="000000" w:themeColor="text1"/>
          <w:sz w:val="22"/>
          <w:lang w:val="es-ES_tradnl"/>
        </w:rPr>
        <w:t xml:space="preserve"> y </w:t>
      </w:r>
      <w:r w:rsidR="00596054" w:rsidRPr="009F0189">
        <w:rPr>
          <w:rFonts w:ascii="Arial" w:hAnsi="Arial" w:cs="Arial"/>
          <w:color w:val="000000" w:themeColor="text1"/>
          <w:sz w:val="22"/>
          <w:lang w:val="es-ES_tradnl"/>
        </w:rPr>
        <w:t xml:space="preserve">que </w:t>
      </w:r>
      <w:r w:rsidR="001C49EA" w:rsidRPr="009F0189">
        <w:rPr>
          <w:rFonts w:ascii="Arial" w:hAnsi="Arial" w:cs="Arial"/>
          <w:color w:val="000000" w:themeColor="text1"/>
          <w:sz w:val="22"/>
          <w:lang w:val="es-ES_tradnl"/>
        </w:rPr>
        <w:t>se mantuvo vigente</w:t>
      </w:r>
      <w:r w:rsidR="00596054" w:rsidRPr="009F0189">
        <w:rPr>
          <w:rFonts w:ascii="Arial" w:hAnsi="Arial" w:cs="Arial"/>
          <w:color w:val="000000" w:themeColor="text1"/>
          <w:sz w:val="22"/>
          <w:lang w:val="es-ES_tradnl"/>
        </w:rPr>
        <w:t>,</w:t>
      </w:r>
      <w:r w:rsidR="001C49EA" w:rsidRPr="009F0189">
        <w:rPr>
          <w:rFonts w:ascii="Arial" w:hAnsi="Arial" w:cs="Arial"/>
          <w:color w:val="000000" w:themeColor="text1"/>
          <w:sz w:val="22"/>
          <w:lang w:val="es-ES_tradnl"/>
        </w:rPr>
        <w:t xml:space="preserve"> ininterrumpidamente</w:t>
      </w:r>
      <w:r w:rsidR="00596054" w:rsidRPr="009F0189">
        <w:rPr>
          <w:rFonts w:ascii="Arial" w:hAnsi="Arial" w:cs="Arial"/>
          <w:color w:val="000000" w:themeColor="text1"/>
          <w:sz w:val="22"/>
          <w:lang w:val="es-ES_tradnl"/>
        </w:rPr>
        <w:t>,</w:t>
      </w:r>
      <w:r w:rsidR="001C49EA" w:rsidRPr="009F0189">
        <w:rPr>
          <w:rFonts w:ascii="Arial" w:hAnsi="Arial" w:cs="Arial"/>
          <w:color w:val="000000" w:themeColor="text1"/>
          <w:sz w:val="22"/>
          <w:lang w:val="es-ES_tradnl"/>
        </w:rPr>
        <w:t xml:space="preserve"> </w:t>
      </w:r>
      <w:r w:rsidR="00620AAD" w:rsidRPr="009F0189">
        <w:rPr>
          <w:rFonts w:ascii="Arial" w:hAnsi="Arial" w:cs="Arial"/>
          <w:color w:val="000000" w:themeColor="text1"/>
          <w:sz w:val="22"/>
          <w:lang w:val="es-ES_tradnl"/>
        </w:rPr>
        <w:t xml:space="preserve">a través de </w:t>
      </w:r>
      <w:r w:rsidR="00663206" w:rsidRPr="009F0189">
        <w:rPr>
          <w:rFonts w:ascii="Arial" w:hAnsi="Arial" w:cs="Arial"/>
          <w:color w:val="000000" w:themeColor="text1"/>
          <w:sz w:val="22"/>
          <w:lang w:val="es-ES_tradnl"/>
        </w:rPr>
        <w:t xml:space="preserve">las Resoluciones No. </w:t>
      </w:r>
      <w:r w:rsidR="00FD6306" w:rsidRPr="009F0189">
        <w:rPr>
          <w:rFonts w:ascii="Arial" w:hAnsi="Arial" w:cs="Arial"/>
          <w:color w:val="000000" w:themeColor="text1"/>
          <w:sz w:val="22"/>
          <w:lang w:val="es-ES_tradnl"/>
        </w:rPr>
        <w:t>844, 1462 y 2230 de 2020</w:t>
      </w:r>
      <w:r w:rsidR="00E26359" w:rsidRPr="009F0189">
        <w:rPr>
          <w:rFonts w:ascii="Arial" w:hAnsi="Arial" w:cs="Arial"/>
          <w:color w:val="000000" w:themeColor="text1"/>
          <w:sz w:val="22"/>
          <w:lang w:val="es-ES_tradnl"/>
        </w:rPr>
        <w:t>;</w:t>
      </w:r>
      <w:r w:rsidR="00FD6306" w:rsidRPr="009F0189">
        <w:rPr>
          <w:rFonts w:ascii="Arial" w:hAnsi="Arial" w:cs="Arial"/>
          <w:color w:val="000000" w:themeColor="text1"/>
          <w:sz w:val="22"/>
          <w:lang w:val="es-ES_tradnl"/>
        </w:rPr>
        <w:t xml:space="preserve"> </w:t>
      </w:r>
      <w:r w:rsidR="00594A44" w:rsidRPr="009F0189">
        <w:rPr>
          <w:rFonts w:ascii="Arial" w:hAnsi="Arial" w:cs="Arial"/>
          <w:color w:val="000000" w:themeColor="text1"/>
          <w:sz w:val="22"/>
          <w:lang w:val="es-ES_tradnl"/>
        </w:rPr>
        <w:t>222, 738, 1315 y 1903 de 2021</w:t>
      </w:r>
      <w:r w:rsidR="00E26359" w:rsidRPr="009F0189">
        <w:rPr>
          <w:rFonts w:ascii="Arial" w:hAnsi="Arial" w:cs="Arial"/>
          <w:color w:val="000000" w:themeColor="text1"/>
          <w:sz w:val="22"/>
          <w:lang w:val="es-ES_tradnl"/>
        </w:rPr>
        <w:t>;</w:t>
      </w:r>
      <w:r w:rsidR="00596054" w:rsidRPr="009F0189">
        <w:rPr>
          <w:rFonts w:ascii="Arial" w:hAnsi="Arial" w:cs="Arial"/>
          <w:color w:val="000000" w:themeColor="text1"/>
          <w:sz w:val="22"/>
          <w:lang w:val="es-ES_tradnl"/>
        </w:rPr>
        <w:t xml:space="preserve"> 304 y 666 de 2022.</w:t>
      </w:r>
      <w:r w:rsidR="00E26359" w:rsidRPr="009F0189">
        <w:rPr>
          <w:rFonts w:ascii="Arial" w:hAnsi="Arial" w:cs="Arial"/>
          <w:color w:val="000000" w:themeColor="text1"/>
          <w:sz w:val="22"/>
          <w:lang w:val="es-ES_tradnl"/>
        </w:rPr>
        <w:t xml:space="preserve"> Por su parte, varias disposiciones contenidas en los Decretos 491 y 537 de 2020</w:t>
      </w:r>
      <w:r w:rsidR="00327003" w:rsidRPr="009F0189">
        <w:rPr>
          <w:rFonts w:ascii="Arial" w:hAnsi="Arial" w:cs="Arial"/>
          <w:color w:val="000000" w:themeColor="text1"/>
          <w:sz w:val="22"/>
          <w:lang w:val="es-ES_tradnl"/>
        </w:rPr>
        <w:t xml:space="preserve"> quedaron sujetas a la condición de que </w:t>
      </w:r>
      <w:r w:rsidR="00DF790F" w:rsidRPr="009F0189">
        <w:rPr>
          <w:rFonts w:ascii="Arial" w:hAnsi="Arial" w:cs="Arial"/>
          <w:color w:val="000000" w:themeColor="text1"/>
          <w:sz w:val="22"/>
          <w:lang w:val="es-ES_tradnl"/>
        </w:rPr>
        <w:t>se mantuviera</w:t>
      </w:r>
      <w:r w:rsidR="00327003" w:rsidRPr="009F0189">
        <w:rPr>
          <w:rFonts w:ascii="Arial" w:hAnsi="Arial" w:cs="Arial"/>
          <w:color w:val="000000" w:themeColor="text1"/>
          <w:sz w:val="22"/>
          <w:lang w:val="es-ES_tradnl"/>
        </w:rPr>
        <w:t xml:space="preserve"> vigente el estado de emergencia sanitaria</w:t>
      </w:r>
      <w:r w:rsidR="00DF790F" w:rsidRPr="009F0189">
        <w:rPr>
          <w:rFonts w:ascii="Arial" w:hAnsi="Arial" w:cs="Arial"/>
          <w:color w:val="000000" w:themeColor="text1"/>
          <w:sz w:val="22"/>
          <w:lang w:val="es-ES_tradnl"/>
        </w:rPr>
        <w:t xml:space="preserve">. Así sucedió, </w:t>
      </w:r>
      <w:r w:rsidR="00CD58A1" w:rsidRPr="009F0189">
        <w:rPr>
          <w:rFonts w:ascii="Arial" w:hAnsi="Arial" w:cs="Arial"/>
          <w:color w:val="000000" w:themeColor="text1"/>
          <w:sz w:val="22"/>
          <w:lang w:val="es-ES_tradnl"/>
        </w:rPr>
        <w:t>p</w:t>
      </w:r>
      <w:r w:rsidR="00327003" w:rsidRPr="009F0189">
        <w:rPr>
          <w:rFonts w:ascii="Arial" w:hAnsi="Arial" w:cs="Arial"/>
          <w:color w:val="000000" w:themeColor="text1"/>
          <w:sz w:val="22"/>
          <w:lang w:val="es-ES_tradnl"/>
        </w:rPr>
        <w:t xml:space="preserve">or ejemplo, </w:t>
      </w:r>
      <w:r w:rsidR="005E153E" w:rsidRPr="009F0189">
        <w:rPr>
          <w:rFonts w:ascii="Arial" w:hAnsi="Arial" w:cs="Arial"/>
          <w:color w:val="000000" w:themeColor="text1"/>
          <w:sz w:val="22"/>
          <w:lang w:val="es-ES_tradnl"/>
        </w:rPr>
        <w:t>con los artículos 1 y 11 del Decreto 491 de 2020</w:t>
      </w:r>
      <w:r w:rsidR="00843A2E" w:rsidRPr="009F0189">
        <w:rPr>
          <w:rFonts w:ascii="Arial" w:hAnsi="Arial" w:cs="Arial"/>
          <w:color w:val="000000" w:themeColor="text1"/>
          <w:sz w:val="22"/>
          <w:lang w:val="es-ES_tradnl"/>
        </w:rPr>
        <w:t>, que permitieron</w:t>
      </w:r>
      <w:r w:rsidR="008662F1" w:rsidRPr="009F0189">
        <w:rPr>
          <w:rFonts w:ascii="Arial" w:hAnsi="Arial" w:cs="Arial"/>
          <w:color w:val="000000" w:themeColor="text1"/>
          <w:sz w:val="22"/>
          <w:lang w:val="es-ES_tradnl"/>
        </w:rPr>
        <w:t xml:space="preserve">, respectivamente, </w:t>
      </w:r>
      <w:r w:rsidR="00843A2E" w:rsidRPr="009F0189">
        <w:rPr>
          <w:rFonts w:ascii="Arial" w:hAnsi="Arial" w:cs="Arial"/>
          <w:color w:val="000000" w:themeColor="text1"/>
          <w:sz w:val="22"/>
          <w:lang w:val="es-ES_tradnl"/>
        </w:rPr>
        <w:t>«</w:t>
      </w:r>
      <w:r w:rsidR="00066B5C" w:rsidRPr="009F0189">
        <w:rPr>
          <w:rFonts w:ascii="Arial" w:hAnsi="Arial" w:cs="Arial"/>
          <w:color w:val="000000" w:themeColor="text1"/>
          <w:sz w:val="22"/>
          <w:lang w:val="es-ES_tradnl"/>
        </w:rPr>
        <w:t>hasta tanto permanezca vigente la emergencia sanitaria»</w:t>
      </w:r>
      <w:r w:rsidR="008662F1" w:rsidRPr="009F0189">
        <w:rPr>
          <w:rFonts w:ascii="Arial" w:hAnsi="Arial" w:cs="Arial"/>
          <w:color w:val="000000" w:themeColor="text1"/>
          <w:sz w:val="22"/>
          <w:lang w:val="es-ES_tradnl"/>
        </w:rPr>
        <w:t>,</w:t>
      </w:r>
      <w:r w:rsidR="00066B5C" w:rsidRPr="009F0189">
        <w:rPr>
          <w:rFonts w:ascii="Arial" w:hAnsi="Arial" w:cs="Arial"/>
          <w:color w:val="000000" w:themeColor="text1"/>
          <w:sz w:val="22"/>
          <w:lang w:val="es-ES_tradnl"/>
        </w:rPr>
        <w:t xml:space="preserve"> la notificación o comunicación </w:t>
      </w:r>
      <w:r w:rsidR="006465B3" w:rsidRPr="009F0189">
        <w:rPr>
          <w:rFonts w:ascii="Arial" w:hAnsi="Arial" w:cs="Arial"/>
          <w:color w:val="000000" w:themeColor="text1"/>
          <w:sz w:val="22"/>
          <w:lang w:val="es-ES_tradnl"/>
        </w:rPr>
        <w:t xml:space="preserve">de los actos administrativos por medios electrónicos </w:t>
      </w:r>
      <w:r w:rsidR="0018295F" w:rsidRPr="009F0189">
        <w:rPr>
          <w:rFonts w:ascii="Arial" w:hAnsi="Arial" w:cs="Arial"/>
          <w:color w:val="000000" w:themeColor="text1"/>
          <w:sz w:val="22"/>
          <w:lang w:val="es-ES_tradnl"/>
        </w:rPr>
        <w:t xml:space="preserve">y la firma </w:t>
      </w:r>
      <w:r w:rsidR="000E0A55" w:rsidRPr="009F0189">
        <w:rPr>
          <w:rFonts w:ascii="Arial" w:hAnsi="Arial" w:cs="Arial"/>
          <w:color w:val="000000" w:themeColor="text1"/>
          <w:sz w:val="22"/>
          <w:lang w:val="es-ES_tradnl"/>
        </w:rPr>
        <w:lastRenderedPageBreak/>
        <w:t>autógrafa mecánica, digitalizada o escaneada</w:t>
      </w:r>
      <w:r w:rsidR="008662F1" w:rsidRPr="009F0189">
        <w:rPr>
          <w:rFonts w:ascii="Arial" w:hAnsi="Arial" w:cs="Arial"/>
          <w:color w:val="000000" w:themeColor="text1"/>
          <w:sz w:val="22"/>
          <w:lang w:val="es-ES_tradnl"/>
        </w:rPr>
        <w:t xml:space="preserve"> de los actos, providencias y decisiones</w:t>
      </w:r>
      <w:r w:rsidR="006170C0" w:rsidRPr="009F0189">
        <w:rPr>
          <w:rFonts w:ascii="Arial" w:hAnsi="Arial" w:cs="Arial"/>
          <w:color w:val="000000" w:themeColor="text1"/>
          <w:sz w:val="22"/>
          <w:lang w:val="es-ES_tradnl"/>
        </w:rPr>
        <w:t>. Así también quedó dispuesto en</w:t>
      </w:r>
      <w:r w:rsidR="00DF790F" w:rsidRPr="009F0189">
        <w:rPr>
          <w:rFonts w:ascii="Arial" w:hAnsi="Arial" w:cs="Arial"/>
          <w:color w:val="000000" w:themeColor="text1"/>
          <w:sz w:val="22"/>
          <w:lang w:val="es-ES_tradnl"/>
        </w:rPr>
        <w:t xml:space="preserve"> </w:t>
      </w:r>
      <w:r w:rsidR="00327003" w:rsidRPr="009F0189">
        <w:rPr>
          <w:rFonts w:ascii="Arial" w:hAnsi="Arial" w:cs="Arial"/>
          <w:color w:val="000000" w:themeColor="text1"/>
          <w:sz w:val="22"/>
          <w:lang w:val="es-ES_tradnl"/>
        </w:rPr>
        <w:t>los artículos</w:t>
      </w:r>
      <w:r w:rsidR="00CD58A1" w:rsidRPr="009F0189">
        <w:rPr>
          <w:rFonts w:ascii="Arial" w:hAnsi="Arial" w:cs="Arial"/>
          <w:color w:val="000000" w:themeColor="text1"/>
          <w:sz w:val="22"/>
          <w:lang w:val="es-ES_tradnl"/>
        </w:rPr>
        <w:t xml:space="preserve"> 1 y 2</w:t>
      </w:r>
      <w:r w:rsidR="003D60C4" w:rsidRPr="009F0189">
        <w:rPr>
          <w:rFonts w:ascii="Arial" w:hAnsi="Arial" w:cs="Arial"/>
          <w:color w:val="000000" w:themeColor="text1"/>
          <w:sz w:val="22"/>
          <w:lang w:val="es-ES_tradnl"/>
        </w:rPr>
        <w:t xml:space="preserve"> del Decreto 537 de 2020, que </w:t>
      </w:r>
      <w:r w:rsidR="00A458B6" w:rsidRPr="009F0189">
        <w:rPr>
          <w:rFonts w:ascii="Arial" w:hAnsi="Arial" w:cs="Arial"/>
          <w:color w:val="000000" w:themeColor="text1"/>
          <w:sz w:val="22"/>
          <w:lang w:val="es-ES_tradnl"/>
        </w:rPr>
        <w:t>habilitaron</w:t>
      </w:r>
      <w:r w:rsidR="008C4327" w:rsidRPr="009F0189">
        <w:rPr>
          <w:rFonts w:ascii="Arial" w:hAnsi="Arial" w:cs="Arial"/>
          <w:color w:val="000000" w:themeColor="text1"/>
          <w:sz w:val="22"/>
          <w:lang w:val="es-ES_tradnl"/>
        </w:rPr>
        <w:t>, respectivamente,</w:t>
      </w:r>
      <w:r w:rsidR="003D60C4" w:rsidRPr="009F0189">
        <w:rPr>
          <w:rFonts w:ascii="Arial" w:hAnsi="Arial" w:cs="Arial"/>
          <w:color w:val="000000" w:themeColor="text1"/>
          <w:sz w:val="22"/>
          <w:lang w:val="es-ES_tradnl"/>
        </w:rPr>
        <w:t xml:space="preserve"> </w:t>
      </w:r>
      <w:r w:rsidR="00A458B6" w:rsidRPr="009F0189">
        <w:rPr>
          <w:rFonts w:ascii="Arial" w:hAnsi="Arial" w:cs="Arial"/>
          <w:color w:val="000000" w:themeColor="text1"/>
          <w:sz w:val="22"/>
          <w:lang w:val="es-ES_tradnl"/>
        </w:rPr>
        <w:t xml:space="preserve">a las entidades estatales, </w:t>
      </w:r>
      <w:r w:rsidR="003D60C4" w:rsidRPr="009F0189">
        <w:rPr>
          <w:rFonts w:ascii="Arial" w:hAnsi="Arial" w:cs="Arial"/>
          <w:color w:val="000000" w:themeColor="text1"/>
          <w:sz w:val="22"/>
          <w:lang w:val="es-ES_tradnl"/>
        </w:rPr>
        <w:t>«durante la vigencia de la emergencia sanitaria</w:t>
      </w:r>
      <w:r w:rsidR="00991E17" w:rsidRPr="009F0189">
        <w:rPr>
          <w:rFonts w:ascii="Arial" w:hAnsi="Arial" w:cs="Arial"/>
          <w:color w:val="000000" w:themeColor="text1"/>
          <w:sz w:val="22"/>
          <w:lang w:val="es-ES_tradnl"/>
        </w:rPr>
        <w:t>»</w:t>
      </w:r>
      <w:r w:rsidR="00DF790F" w:rsidRPr="009F0189">
        <w:rPr>
          <w:rFonts w:ascii="Arial" w:hAnsi="Arial" w:cs="Arial"/>
          <w:color w:val="000000" w:themeColor="text1"/>
          <w:sz w:val="22"/>
          <w:lang w:val="es-ES_tradnl"/>
        </w:rPr>
        <w:t>,</w:t>
      </w:r>
      <w:r w:rsidR="00991E17" w:rsidRPr="009F0189">
        <w:rPr>
          <w:rFonts w:ascii="Arial" w:hAnsi="Arial" w:cs="Arial"/>
          <w:color w:val="000000" w:themeColor="text1"/>
          <w:sz w:val="22"/>
          <w:lang w:val="es-ES_tradnl"/>
        </w:rPr>
        <w:t xml:space="preserve"> </w:t>
      </w:r>
      <w:r w:rsidR="00A458B6" w:rsidRPr="009F0189">
        <w:rPr>
          <w:rFonts w:ascii="Arial" w:hAnsi="Arial" w:cs="Arial"/>
          <w:color w:val="000000" w:themeColor="text1"/>
          <w:sz w:val="22"/>
          <w:lang w:val="es-ES_tradnl"/>
        </w:rPr>
        <w:t xml:space="preserve">para </w:t>
      </w:r>
      <w:r w:rsidR="00991E17" w:rsidRPr="009F0189">
        <w:rPr>
          <w:rFonts w:ascii="Arial" w:hAnsi="Arial" w:cs="Arial"/>
          <w:color w:val="000000" w:themeColor="text1"/>
          <w:sz w:val="22"/>
          <w:lang w:val="es-ES_tradnl"/>
        </w:rPr>
        <w:t>realizar las audiencias públicas en los procedimientos de selección contractua</w:t>
      </w:r>
      <w:r w:rsidR="00E23223" w:rsidRPr="009F0189">
        <w:rPr>
          <w:rFonts w:ascii="Arial" w:hAnsi="Arial" w:cs="Arial"/>
          <w:color w:val="000000" w:themeColor="text1"/>
          <w:sz w:val="22"/>
          <w:lang w:val="es-ES_tradnl"/>
        </w:rPr>
        <w:t>l</w:t>
      </w:r>
      <w:r w:rsidR="00087B9A" w:rsidRPr="009F0189">
        <w:rPr>
          <w:rFonts w:ascii="Arial" w:hAnsi="Arial" w:cs="Arial"/>
          <w:color w:val="000000" w:themeColor="text1"/>
          <w:sz w:val="22"/>
          <w:lang w:val="es-ES_tradnl"/>
        </w:rPr>
        <w:t xml:space="preserve"> y </w:t>
      </w:r>
      <w:r w:rsidR="006E66A6" w:rsidRPr="009F0189">
        <w:rPr>
          <w:rFonts w:ascii="Arial" w:hAnsi="Arial" w:cs="Arial"/>
          <w:color w:val="000000" w:themeColor="text1"/>
          <w:sz w:val="22"/>
          <w:lang w:val="es-ES_tradnl"/>
        </w:rPr>
        <w:t>adelantar la audiencia del procedimiento administrativo sancionatorio previsto en el artículo 86 de la Ley 1474 de 2011</w:t>
      </w:r>
      <w:r w:rsidR="0041749E" w:rsidRPr="009F0189">
        <w:rPr>
          <w:rStyle w:val="Refdenotaalpie"/>
          <w:rFonts w:ascii="Arial" w:hAnsi="Arial" w:cs="Arial"/>
          <w:color w:val="000000" w:themeColor="text1"/>
          <w:sz w:val="22"/>
          <w:lang w:val="es-ES_tradnl"/>
        </w:rPr>
        <w:footnoteReference w:id="31"/>
      </w:r>
      <w:r w:rsidR="006E66A6" w:rsidRPr="009F0189">
        <w:rPr>
          <w:rFonts w:ascii="Arial" w:hAnsi="Arial" w:cs="Arial"/>
          <w:color w:val="000000" w:themeColor="text1"/>
          <w:sz w:val="22"/>
          <w:lang w:val="es-ES_tradnl"/>
        </w:rPr>
        <w:t>,</w:t>
      </w:r>
      <w:r w:rsidR="00E23223" w:rsidRPr="009F0189">
        <w:rPr>
          <w:rFonts w:ascii="Arial" w:hAnsi="Arial" w:cs="Arial"/>
          <w:color w:val="000000" w:themeColor="text1"/>
          <w:sz w:val="22"/>
          <w:lang w:val="es-ES_tradnl"/>
        </w:rPr>
        <w:t xml:space="preserve"> por medios electrónicos</w:t>
      </w:r>
      <w:r w:rsidR="006E66A6" w:rsidRPr="009F0189">
        <w:rPr>
          <w:rFonts w:ascii="Arial" w:hAnsi="Arial" w:cs="Arial"/>
          <w:color w:val="000000" w:themeColor="text1"/>
          <w:sz w:val="22"/>
          <w:lang w:val="es-ES_tradnl"/>
        </w:rPr>
        <w:t>.</w:t>
      </w:r>
      <w:r w:rsidR="00327003" w:rsidRPr="009F0189">
        <w:rPr>
          <w:rFonts w:ascii="Arial" w:hAnsi="Arial" w:cs="Arial"/>
          <w:color w:val="000000" w:themeColor="text1"/>
          <w:sz w:val="22"/>
          <w:lang w:val="es-ES_tradnl"/>
        </w:rPr>
        <w:t xml:space="preserve"> </w:t>
      </w:r>
    </w:p>
    <w:p w14:paraId="23E329CF" w14:textId="4FD22741" w:rsidR="0093214C" w:rsidRPr="009F0189" w:rsidRDefault="0093214C" w:rsidP="00317D34">
      <w:pPr>
        <w:spacing w:before="120" w:line="276" w:lineRule="auto"/>
        <w:ind w:firstLine="709"/>
        <w:jc w:val="both"/>
        <w:rPr>
          <w:rFonts w:ascii="Arial" w:hAnsi="Arial" w:cs="Arial"/>
          <w:color w:val="000000" w:themeColor="text1"/>
          <w:sz w:val="22"/>
          <w:lang w:val="es-ES_tradnl"/>
        </w:rPr>
      </w:pPr>
      <w:r w:rsidRPr="009F0189">
        <w:rPr>
          <w:rFonts w:ascii="Arial" w:hAnsi="Arial" w:cs="Arial"/>
          <w:color w:val="000000" w:themeColor="text1"/>
          <w:sz w:val="22"/>
          <w:lang w:val="es-ES_tradnl"/>
        </w:rPr>
        <w:lastRenderedPageBreak/>
        <w:t>Esta Agencia considera que no obstante la pérdida de vigencia de estas disposiciones</w:t>
      </w:r>
      <w:r w:rsidR="007C0047" w:rsidRPr="009F0189">
        <w:rPr>
          <w:rFonts w:ascii="Arial" w:hAnsi="Arial" w:cs="Arial"/>
          <w:color w:val="000000" w:themeColor="text1"/>
          <w:sz w:val="22"/>
          <w:lang w:val="es-ES_tradnl"/>
        </w:rPr>
        <w:t xml:space="preserve"> normativas</w:t>
      </w:r>
      <w:r w:rsidR="00574280" w:rsidRPr="009F0189">
        <w:rPr>
          <w:rFonts w:ascii="Arial" w:hAnsi="Arial" w:cs="Arial"/>
          <w:color w:val="000000" w:themeColor="text1"/>
          <w:sz w:val="22"/>
          <w:lang w:val="es-ES_tradnl"/>
        </w:rPr>
        <w:t xml:space="preserve"> –</w:t>
      </w:r>
      <w:r w:rsidRPr="009F0189">
        <w:rPr>
          <w:rFonts w:ascii="Arial" w:hAnsi="Arial" w:cs="Arial"/>
          <w:color w:val="000000" w:themeColor="text1"/>
          <w:sz w:val="22"/>
          <w:lang w:val="es-ES_tradnl"/>
        </w:rPr>
        <w:t xml:space="preserve">debido al cese del estado de emergencia sanitaria </w:t>
      </w:r>
      <w:r w:rsidR="007C0047" w:rsidRPr="009F0189">
        <w:rPr>
          <w:rFonts w:ascii="Arial" w:hAnsi="Arial" w:cs="Arial"/>
          <w:color w:val="000000" w:themeColor="text1"/>
          <w:sz w:val="22"/>
          <w:lang w:val="es-ES_tradnl"/>
        </w:rPr>
        <w:t>ocurrido el 30 de junio de 2022</w:t>
      </w:r>
      <w:r w:rsidR="00574280" w:rsidRPr="009F0189">
        <w:rPr>
          <w:rFonts w:ascii="Arial" w:hAnsi="Arial" w:cs="Arial"/>
          <w:color w:val="000000" w:themeColor="text1"/>
          <w:sz w:val="22"/>
          <w:lang w:val="es-ES_tradnl"/>
        </w:rPr>
        <w:t>–</w:t>
      </w:r>
      <w:r w:rsidR="007C0047" w:rsidRPr="009F0189">
        <w:rPr>
          <w:rFonts w:ascii="Arial" w:hAnsi="Arial" w:cs="Arial"/>
          <w:color w:val="000000" w:themeColor="text1"/>
          <w:sz w:val="22"/>
          <w:lang w:val="es-ES_tradnl"/>
        </w:rPr>
        <w:t>, las entidades estatales pueden</w:t>
      </w:r>
      <w:r w:rsidR="00092AFC" w:rsidRPr="009F0189">
        <w:rPr>
          <w:rFonts w:ascii="Arial" w:hAnsi="Arial" w:cs="Arial"/>
          <w:color w:val="000000" w:themeColor="text1"/>
          <w:sz w:val="22"/>
          <w:lang w:val="es-ES_tradnl"/>
        </w:rPr>
        <w:t>, por regla general,</w:t>
      </w:r>
      <w:r w:rsidR="007C0047" w:rsidRPr="009F0189">
        <w:rPr>
          <w:rFonts w:ascii="Arial" w:hAnsi="Arial" w:cs="Arial"/>
          <w:color w:val="000000" w:themeColor="text1"/>
          <w:sz w:val="22"/>
          <w:lang w:val="es-ES_tradnl"/>
        </w:rPr>
        <w:t xml:space="preserve"> continuar adelantando</w:t>
      </w:r>
      <w:r w:rsidR="00574280" w:rsidRPr="009F0189">
        <w:rPr>
          <w:rFonts w:ascii="Arial" w:hAnsi="Arial" w:cs="Arial"/>
          <w:color w:val="000000" w:themeColor="text1"/>
          <w:sz w:val="22"/>
          <w:lang w:val="es-ES_tradnl"/>
        </w:rPr>
        <w:t xml:space="preserve"> sus </w:t>
      </w:r>
      <w:r w:rsidR="00846581" w:rsidRPr="009F0189">
        <w:rPr>
          <w:rFonts w:ascii="Arial" w:hAnsi="Arial" w:cs="Arial"/>
          <w:color w:val="000000" w:themeColor="text1"/>
          <w:sz w:val="22"/>
          <w:lang w:val="es-ES_tradnl"/>
        </w:rPr>
        <w:t>actuaciones administrativas</w:t>
      </w:r>
      <w:r w:rsidR="007C0047" w:rsidRPr="009F0189">
        <w:rPr>
          <w:rFonts w:ascii="Arial" w:hAnsi="Arial" w:cs="Arial"/>
          <w:color w:val="000000" w:themeColor="text1"/>
          <w:sz w:val="22"/>
          <w:lang w:val="es-ES_tradnl"/>
        </w:rPr>
        <w:t xml:space="preserve"> a través de medios electrónicos</w:t>
      </w:r>
      <w:r w:rsidR="00846581" w:rsidRPr="009F0189">
        <w:rPr>
          <w:rFonts w:ascii="Arial" w:hAnsi="Arial" w:cs="Arial"/>
          <w:color w:val="000000" w:themeColor="text1"/>
          <w:sz w:val="22"/>
          <w:lang w:val="es-ES_tradnl"/>
        </w:rPr>
        <w:t xml:space="preserve">, salvo norma expresa en contrario, es decir, salvo que exista un precepto que las obligue a realizar </w:t>
      </w:r>
      <w:r w:rsidR="00CF1581" w:rsidRPr="009F0189">
        <w:rPr>
          <w:rFonts w:ascii="Arial" w:hAnsi="Arial" w:cs="Arial"/>
          <w:color w:val="000000" w:themeColor="text1"/>
          <w:sz w:val="22"/>
          <w:lang w:val="es-ES_tradnl"/>
        </w:rPr>
        <w:t>alguna</w:t>
      </w:r>
      <w:r w:rsidR="00846581" w:rsidRPr="009F0189">
        <w:rPr>
          <w:rFonts w:ascii="Arial" w:hAnsi="Arial" w:cs="Arial"/>
          <w:color w:val="000000" w:themeColor="text1"/>
          <w:sz w:val="22"/>
          <w:lang w:val="es-ES_tradnl"/>
        </w:rPr>
        <w:t xml:space="preserve"> actuación de manera presencial.</w:t>
      </w:r>
      <w:r w:rsidR="00847796" w:rsidRPr="009F0189">
        <w:rPr>
          <w:rFonts w:ascii="Arial" w:hAnsi="Arial" w:cs="Arial"/>
          <w:color w:val="000000" w:themeColor="text1"/>
          <w:sz w:val="22"/>
          <w:lang w:val="es-ES_tradnl"/>
        </w:rPr>
        <w:t xml:space="preserve"> Esto, por cuanto</w:t>
      </w:r>
      <w:r w:rsidR="00E24D3B" w:rsidRPr="009F0189">
        <w:rPr>
          <w:rFonts w:ascii="Arial" w:hAnsi="Arial" w:cs="Arial"/>
          <w:color w:val="000000" w:themeColor="text1"/>
          <w:sz w:val="22"/>
          <w:lang w:val="es-ES_tradnl"/>
        </w:rPr>
        <w:t xml:space="preserve"> la </w:t>
      </w:r>
      <w:r w:rsidR="00EB3C17" w:rsidRPr="009F0189">
        <w:rPr>
          <w:rFonts w:ascii="Arial" w:hAnsi="Arial" w:cs="Arial"/>
          <w:color w:val="000000" w:themeColor="text1"/>
          <w:sz w:val="22"/>
          <w:lang w:val="es-ES_tradnl"/>
        </w:rPr>
        <w:t xml:space="preserve">desaparición de los efectos </w:t>
      </w:r>
      <w:r w:rsidR="00847796" w:rsidRPr="009F0189">
        <w:rPr>
          <w:rFonts w:ascii="Arial" w:hAnsi="Arial" w:cs="Arial"/>
          <w:color w:val="000000" w:themeColor="text1"/>
          <w:sz w:val="22"/>
          <w:lang w:val="es-ES_tradnl"/>
        </w:rPr>
        <w:t>de las normas contenidas en los Decretos</w:t>
      </w:r>
      <w:r w:rsidR="00EB3C17" w:rsidRPr="009F0189">
        <w:rPr>
          <w:rFonts w:ascii="Arial" w:hAnsi="Arial" w:cs="Arial"/>
          <w:color w:val="000000" w:themeColor="text1"/>
          <w:sz w:val="22"/>
          <w:lang w:val="es-ES_tradnl"/>
        </w:rPr>
        <w:t xml:space="preserve"> 491 y </w:t>
      </w:r>
      <w:r w:rsidR="005267D5" w:rsidRPr="009F0189">
        <w:rPr>
          <w:rFonts w:ascii="Arial" w:hAnsi="Arial" w:cs="Arial"/>
          <w:color w:val="000000" w:themeColor="text1"/>
          <w:sz w:val="22"/>
          <w:lang w:val="es-ES_tradnl"/>
        </w:rPr>
        <w:t>537</w:t>
      </w:r>
      <w:r w:rsidR="00EB3C17" w:rsidRPr="009F0189">
        <w:rPr>
          <w:rFonts w:ascii="Arial" w:hAnsi="Arial" w:cs="Arial"/>
          <w:color w:val="000000" w:themeColor="text1"/>
          <w:sz w:val="22"/>
          <w:lang w:val="es-ES_tradnl"/>
        </w:rPr>
        <w:t xml:space="preserve"> </w:t>
      </w:r>
      <w:r w:rsidR="005C5DAC" w:rsidRPr="009F0189">
        <w:rPr>
          <w:rFonts w:ascii="Arial" w:hAnsi="Arial" w:cs="Arial"/>
          <w:color w:val="000000" w:themeColor="text1"/>
          <w:sz w:val="22"/>
          <w:lang w:val="es-ES_tradnl"/>
        </w:rPr>
        <w:t xml:space="preserve">de 2020 </w:t>
      </w:r>
      <w:r w:rsidR="00EB3C17" w:rsidRPr="009F0189">
        <w:rPr>
          <w:rFonts w:ascii="Arial" w:hAnsi="Arial" w:cs="Arial"/>
          <w:color w:val="000000" w:themeColor="text1"/>
          <w:sz w:val="22"/>
          <w:lang w:val="es-ES_tradnl"/>
        </w:rPr>
        <w:t>no hace que pierdan vigencia las normas a las que se hizo referencia en el numeral 2.1. de este concepto, que permiten el</w:t>
      </w:r>
      <w:r w:rsidR="00092AFC" w:rsidRPr="009F0189">
        <w:rPr>
          <w:rFonts w:ascii="Arial" w:hAnsi="Arial" w:cs="Arial"/>
          <w:color w:val="000000" w:themeColor="text1"/>
          <w:sz w:val="22"/>
          <w:lang w:val="es-ES_tradnl"/>
        </w:rPr>
        <w:t xml:space="preserve"> empleo de herramientas electrónicas en las actuaciones administrativas. </w:t>
      </w:r>
      <w:r w:rsidR="0080617B" w:rsidRPr="009F0189">
        <w:rPr>
          <w:rFonts w:ascii="Arial" w:hAnsi="Arial" w:cs="Arial"/>
          <w:color w:val="000000" w:themeColor="text1"/>
          <w:sz w:val="22"/>
          <w:lang w:val="es-ES_tradnl"/>
        </w:rPr>
        <w:t>En tal sentido,</w:t>
      </w:r>
      <w:r w:rsidR="00A359B7" w:rsidRPr="009F0189">
        <w:rPr>
          <w:rFonts w:ascii="Arial" w:hAnsi="Arial" w:cs="Arial"/>
          <w:color w:val="000000" w:themeColor="text1"/>
          <w:sz w:val="22"/>
          <w:lang w:val="es-ES_tradnl"/>
        </w:rPr>
        <w:t xml:space="preserve"> tanto las audiencias </w:t>
      </w:r>
      <w:r w:rsidR="00B64E69" w:rsidRPr="009F0189">
        <w:rPr>
          <w:rFonts w:ascii="Arial" w:hAnsi="Arial" w:cs="Arial"/>
          <w:color w:val="000000" w:themeColor="text1"/>
          <w:sz w:val="22"/>
          <w:lang w:val="es-ES_tradnl"/>
        </w:rPr>
        <w:t>de</w:t>
      </w:r>
      <w:r w:rsidR="00A359B7" w:rsidRPr="009F0189">
        <w:rPr>
          <w:rFonts w:ascii="Arial" w:hAnsi="Arial" w:cs="Arial"/>
          <w:color w:val="000000" w:themeColor="text1"/>
          <w:sz w:val="22"/>
          <w:lang w:val="es-ES_tradnl"/>
        </w:rPr>
        <w:t xml:space="preserve"> los procedimientos de selección</w:t>
      </w:r>
      <w:r w:rsidR="00285ED1" w:rsidRPr="009F0189">
        <w:rPr>
          <w:rFonts w:ascii="Arial" w:hAnsi="Arial" w:cs="Arial"/>
          <w:color w:val="000000" w:themeColor="text1"/>
          <w:sz w:val="22"/>
          <w:lang w:val="es-ES_tradnl"/>
        </w:rPr>
        <w:t xml:space="preserve"> contractual, como </w:t>
      </w:r>
      <w:r w:rsidR="00B64E69" w:rsidRPr="009F0189">
        <w:rPr>
          <w:rFonts w:ascii="Arial" w:hAnsi="Arial" w:cs="Arial"/>
          <w:color w:val="000000" w:themeColor="text1"/>
          <w:sz w:val="22"/>
          <w:lang w:val="es-ES_tradnl"/>
        </w:rPr>
        <w:t>las</w:t>
      </w:r>
      <w:r w:rsidR="00153F52" w:rsidRPr="009F0189">
        <w:rPr>
          <w:rFonts w:ascii="Arial" w:hAnsi="Arial" w:cs="Arial"/>
          <w:color w:val="000000" w:themeColor="text1"/>
          <w:sz w:val="22"/>
          <w:lang w:val="es-ES_tradnl"/>
        </w:rPr>
        <w:t xml:space="preserve"> que deban surtirse durante la ejecución del contrato estatal</w:t>
      </w:r>
      <w:r w:rsidR="00CF5B72" w:rsidRPr="009F0189">
        <w:rPr>
          <w:rFonts w:ascii="Arial" w:hAnsi="Arial" w:cs="Arial"/>
          <w:color w:val="000000" w:themeColor="text1"/>
          <w:sz w:val="22"/>
          <w:lang w:val="es-ES_tradnl"/>
        </w:rPr>
        <w:t xml:space="preserve"> –incluida la del procedimiento administrativo sancionatorio</w:t>
      </w:r>
      <w:r w:rsidR="00C639D2" w:rsidRPr="009F0189">
        <w:rPr>
          <w:rFonts w:ascii="Arial" w:hAnsi="Arial" w:cs="Arial"/>
          <w:color w:val="000000" w:themeColor="text1"/>
          <w:sz w:val="22"/>
          <w:lang w:val="es-ES_tradnl"/>
        </w:rPr>
        <w:t xml:space="preserve">, regulada en el </w:t>
      </w:r>
      <w:r w:rsidR="00CF5B72" w:rsidRPr="009F0189">
        <w:rPr>
          <w:rFonts w:ascii="Arial" w:hAnsi="Arial" w:cs="Arial"/>
          <w:color w:val="000000" w:themeColor="text1"/>
          <w:sz w:val="22"/>
          <w:lang w:val="es-ES_tradnl"/>
        </w:rPr>
        <w:t>artículo 86 de la Ley 1474 de 2011–</w:t>
      </w:r>
      <w:r w:rsidR="00153F52" w:rsidRPr="009F0189">
        <w:rPr>
          <w:rFonts w:ascii="Arial" w:hAnsi="Arial" w:cs="Arial"/>
          <w:color w:val="000000" w:themeColor="text1"/>
          <w:sz w:val="22"/>
          <w:lang w:val="es-ES_tradnl"/>
        </w:rPr>
        <w:t xml:space="preserve">, pueden </w:t>
      </w:r>
      <w:r w:rsidR="00EA1845" w:rsidRPr="009F0189">
        <w:rPr>
          <w:rFonts w:ascii="Arial" w:hAnsi="Arial" w:cs="Arial"/>
          <w:color w:val="000000" w:themeColor="text1"/>
          <w:sz w:val="22"/>
          <w:lang w:val="es-ES_tradnl"/>
        </w:rPr>
        <w:t>seguir</w:t>
      </w:r>
      <w:r w:rsidR="00153F52" w:rsidRPr="009F0189">
        <w:rPr>
          <w:rFonts w:ascii="Arial" w:hAnsi="Arial" w:cs="Arial"/>
          <w:color w:val="000000" w:themeColor="text1"/>
          <w:sz w:val="22"/>
          <w:lang w:val="es-ES_tradnl"/>
        </w:rPr>
        <w:t xml:space="preserve"> realizándose</w:t>
      </w:r>
      <w:r w:rsidR="00C639D2" w:rsidRPr="009F0189">
        <w:rPr>
          <w:rFonts w:ascii="Arial" w:hAnsi="Arial" w:cs="Arial"/>
          <w:color w:val="000000" w:themeColor="text1"/>
          <w:sz w:val="22"/>
          <w:lang w:val="es-ES_tradnl"/>
        </w:rPr>
        <w:t xml:space="preserve"> </w:t>
      </w:r>
      <w:r w:rsidR="00153F52" w:rsidRPr="009F0189">
        <w:rPr>
          <w:rFonts w:ascii="Arial" w:hAnsi="Arial" w:cs="Arial"/>
          <w:color w:val="000000" w:themeColor="text1"/>
          <w:sz w:val="22"/>
          <w:lang w:val="es-ES_tradnl"/>
        </w:rPr>
        <w:t xml:space="preserve">de manera virtual. También los documentos, por regla general, pueden </w:t>
      </w:r>
      <w:r w:rsidR="00730CAE" w:rsidRPr="009F0189">
        <w:rPr>
          <w:rFonts w:ascii="Arial" w:hAnsi="Arial" w:cs="Arial"/>
          <w:color w:val="000000" w:themeColor="text1"/>
          <w:sz w:val="22"/>
          <w:lang w:val="es-ES_tradnl"/>
        </w:rPr>
        <w:t>continuar suscribiéndose en forma manuscrita</w:t>
      </w:r>
      <w:r w:rsidR="00EA1845" w:rsidRPr="009F0189">
        <w:rPr>
          <w:rFonts w:ascii="Arial" w:hAnsi="Arial" w:cs="Arial"/>
          <w:color w:val="000000" w:themeColor="text1"/>
          <w:sz w:val="22"/>
          <w:lang w:val="es-ES_tradnl"/>
        </w:rPr>
        <w:t xml:space="preserve"> –o de </w:t>
      </w:r>
      <w:r w:rsidR="00191B44" w:rsidRPr="009F0189">
        <w:rPr>
          <w:rFonts w:ascii="Arial" w:hAnsi="Arial" w:cs="Arial"/>
          <w:color w:val="000000" w:themeColor="text1"/>
          <w:sz w:val="22"/>
          <w:lang w:val="es-ES_tradnl"/>
        </w:rPr>
        <w:t>manera electrónica o digital, según su disponibilidad–</w:t>
      </w:r>
      <w:r w:rsidR="00EA1845" w:rsidRPr="009F0189">
        <w:rPr>
          <w:rFonts w:ascii="Arial" w:hAnsi="Arial" w:cs="Arial"/>
          <w:color w:val="000000" w:themeColor="text1"/>
          <w:sz w:val="22"/>
          <w:lang w:val="es-ES_tradnl"/>
        </w:rPr>
        <w:t xml:space="preserve"> por parte de los servidores públicos,</w:t>
      </w:r>
      <w:r w:rsidR="00153F52" w:rsidRPr="009F0189">
        <w:rPr>
          <w:rFonts w:ascii="Arial" w:hAnsi="Arial" w:cs="Arial"/>
          <w:color w:val="000000" w:themeColor="text1"/>
          <w:sz w:val="22"/>
          <w:lang w:val="es-ES_tradnl"/>
        </w:rPr>
        <w:t xml:space="preserve"> </w:t>
      </w:r>
      <w:r w:rsidR="00730CAE" w:rsidRPr="009F0189">
        <w:rPr>
          <w:rFonts w:ascii="Arial" w:hAnsi="Arial" w:cs="Arial"/>
          <w:color w:val="000000" w:themeColor="text1"/>
          <w:sz w:val="22"/>
          <w:lang w:val="es-ES_tradnl"/>
        </w:rPr>
        <w:t>para ser, posteriormente, escaneados</w:t>
      </w:r>
      <w:r w:rsidR="00D22EE2" w:rsidRPr="009F0189">
        <w:rPr>
          <w:rFonts w:ascii="Arial" w:hAnsi="Arial" w:cs="Arial"/>
          <w:color w:val="000000" w:themeColor="text1"/>
          <w:sz w:val="22"/>
          <w:lang w:val="es-ES_tradnl"/>
        </w:rPr>
        <w:t xml:space="preserve"> –con excepción de lo indicado respecto del SECOP II–</w:t>
      </w:r>
      <w:r w:rsidR="00191B44" w:rsidRPr="009F0189">
        <w:rPr>
          <w:rFonts w:ascii="Arial" w:hAnsi="Arial" w:cs="Arial"/>
          <w:color w:val="000000" w:themeColor="text1"/>
          <w:sz w:val="22"/>
          <w:lang w:val="es-ES_tradnl"/>
        </w:rPr>
        <w:t>.</w:t>
      </w:r>
      <w:r w:rsidR="000E7578" w:rsidRPr="009F0189">
        <w:rPr>
          <w:rFonts w:ascii="Arial" w:hAnsi="Arial" w:cs="Arial"/>
          <w:color w:val="000000" w:themeColor="text1"/>
          <w:sz w:val="22"/>
          <w:lang w:val="es-ES_tradnl"/>
        </w:rPr>
        <w:t xml:space="preserve"> De igual modo,</w:t>
      </w:r>
      <w:r w:rsidR="00730CAE" w:rsidRPr="009F0189">
        <w:rPr>
          <w:rFonts w:ascii="Arial" w:hAnsi="Arial" w:cs="Arial"/>
          <w:color w:val="000000" w:themeColor="text1"/>
          <w:sz w:val="22"/>
          <w:lang w:val="es-ES_tradnl"/>
        </w:rPr>
        <w:t xml:space="preserve"> los actos administrativos </w:t>
      </w:r>
      <w:r w:rsidR="000E7578" w:rsidRPr="009F0189">
        <w:rPr>
          <w:rFonts w:ascii="Arial" w:hAnsi="Arial" w:cs="Arial"/>
          <w:color w:val="000000" w:themeColor="text1"/>
          <w:sz w:val="22"/>
          <w:lang w:val="es-ES_tradnl"/>
        </w:rPr>
        <w:t xml:space="preserve">pueden continuar notificándose </w:t>
      </w:r>
      <w:r w:rsidR="003C6BA3" w:rsidRPr="009F0189">
        <w:rPr>
          <w:rFonts w:ascii="Arial" w:hAnsi="Arial" w:cs="Arial"/>
          <w:color w:val="000000" w:themeColor="text1"/>
          <w:sz w:val="22"/>
          <w:lang w:val="es-ES_tradnl"/>
        </w:rPr>
        <w:t xml:space="preserve">de manera electrónica. </w:t>
      </w:r>
      <w:r w:rsidR="0080617B" w:rsidRPr="009F0189">
        <w:rPr>
          <w:rFonts w:ascii="Arial" w:hAnsi="Arial" w:cs="Arial"/>
          <w:color w:val="000000" w:themeColor="text1"/>
          <w:sz w:val="22"/>
          <w:lang w:val="es-ES_tradnl"/>
        </w:rPr>
        <w:t xml:space="preserve"> </w:t>
      </w:r>
      <w:r w:rsidR="007C0047" w:rsidRPr="009F0189">
        <w:rPr>
          <w:rFonts w:ascii="Arial" w:hAnsi="Arial" w:cs="Arial"/>
          <w:color w:val="000000" w:themeColor="text1"/>
          <w:sz w:val="22"/>
          <w:lang w:val="es-ES_tradnl"/>
        </w:rPr>
        <w:t xml:space="preserve"> </w:t>
      </w:r>
    </w:p>
    <w:p w14:paraId="0F7A688F" w14:textId="723D73A7" w:rsidR="00D1256A" w:rsidRPr="009F0189" w:rsidRDefault="00D22EE2" w:rsidP="00317D34">
      <w:pPr>
        <w:spacing w:before="120" w:line="276" w:lineRule="auto"/>
        <w:ind w:firstLine="709"/>
        <w:jc w:val="both"/>
        <w:rPr>
          <w:rFonts w:ascii="Arial" w:hAnsi="Arial" w:cs="Arial"/>
          <w:color w:val="000000" w:themeColor="text1"/>
          <w:sz w:val="22"/>
          <w:lang w:val="es-ES_tradnl"/>
        </w:rPr>
      </w:pPr>
      <w:r w:rsidRPr="009F0189">
        <w:rPr>
          <w:rFonts w:ascii="Arial" w:hAnsi="Arial" w:cs="Arial"/>
          <w:color w:val="000000" w:themeColor="text1"/>
          <w:sz w:val="22"/>
          <w:lang w:val="es-ES_tradnl"/>
        </w:rPr>
        <w:t xml:space="preserve">En otras palabras, la pérdida de vigencia de las disposiciones de los Decretos 491 y 537 de 2020 que habían quedado sujetas a que perdurara la emergencia sanitaria no supone la derogatoria de </w:t>
      </w:r>
      <w:r w:rsidR="00317D34" w:rsidRPr="009F0189">
        <w:rPr>
          <w:rFonts w:ascii="Arial" w:hAnsi="Arial" w:cs="Arial"/>
          <w:color w:val="000000" w:themeColor="text1"/>
          <w:sz w:val="22"/>
          <w:lang w:val="es-ES_tradnl"/>
        </w:rPr>
        <w:t xml:space="preserve">las </w:t>
      </w:r>
      <w:r w:rsidRPr="009F0189">
        <w:rPr>
          <w:rFonts w:ascii="Arial" w:hAnsi="Arial" w:cs="Arial"/>
          <w:color w:val="000000" w:themeColor="text1"/>
          <w:sz w:val="22"/>
          <w:lang w:val="es-ES_tradnl"/>
        </w:rPr>
        <w:t>normas</w:t>
      </w:r>
      <w:r w:rsidR="00317D34" w:rsidRPr="009F0189">
        <w:rPr>
          <w:rFonts w:ascii="Arial" w:hAnsi="Arial" w:cs="Arial"/>
          <w:color w:val="000000" w:themeColor="text1"/>
          <w:sz w:val="22"/>
          <w:lang w:val="es-ES_tradnl"/>
        </w:rPr>
        <w:t xml:space="preserve"> </w:t>
      </w:r>
      <w:r w:rsidRPr="009F0189">
        <w:rPr>
          <w:rFonts w:ascii="Arial" w:hAnsi="Arial" w:cs="Arial"/>
          <w:color w:val="000000" w:themeColor="text1"/>
          <w:sz w:val="22"/>
          <w:lang w:val="es-ES_tradnl"/>
        </w:rPr>
        <w:t>analizadas</w:t>
      </w:r>
      <w:r w:rsidR="00317D34" w:rsidRPr="009F0189">
        <w:rPr>
          <w:rFonts w:ascii="Arial" w:hAnsi="Arial" w:cs="Arial"/>
          <w:color w:val="000000" w:themeColor="text1"/>
          <w:sz w:val="22"/>
          <w:lang w:val="es-ES_tradnl"/>
        </w:rPr>
        <w:t xml:space="preserve"> anteriormente, contenidas en las Leyes 527 de 1999, 962 del 2005, 1341 de 2009 y 1437 de 2011, al igual que en los Decretos 019 de 2012 y 2106 de 2019</w:t>
      </w:r>
      <w:r w:rsidR="004135B0" w:rsidRPr="009F0189">
        <w:rPr>
          <w:rFonts w:ascii="Arial" w:hAnsi="Arial" w:cs="Arial"/>
          <w:color w:val="000000" w:themeColor="text1"/>
          <w:sz w:val="22"/>
          <w:lang w:val="es-ES_tradnl"/>
        </w:rPr>
        <w:t>.</w:t>
      </w:r>
      <w:r w:rsidR="00317D34" w:rsidRPr="009F0189">
        <w:rPr>
          <w:rFonts w:ascii="Arial" w:hAnsi="Arial" w:cs="Arial"/>
          <w:color w:val="000000" w:themeColor="text1"/>
          <w:sz w:val="22"/>
          <w:lang w:val="es-ES_tradnl"/>
        </w:rPr>
        <w:t xml:space="preserve"> </w:t>
      </w:r>
      <w:r w:rsidR="009F0189">
        <w:rPr>
          <w:rFonts w:ascii="Arial" w:hAnsi="Arial" w:cs="Arial"/>
          <w:color w:val="000000" w:themeColor="text1"/>
          <w:sz w:val="22"/>
          <w:lang w:val="es-ES_tradnl"/>
        </w:rPr>
        <w:t>En ese sentido,</w:t>
      </w:r>
      <w:r w:rsidR="004135B0" w:rsidRPr="009F0189">
        <w:rPr>
          <w:rFonts w:ascii="Arial" w:hAnsi="Arial" w:cs="Arial"/>
          <w:color w:val="000000" w:themeColor="text1"/>
          <w:sz w:val="22"/>
          <w:lang w:val="es-ES_tradnl"/>
        </w:rPr>
        <w:t xml:space="preserve"> </w:t>
      </w:r>
      <w:r w:rsidR="009F0189">
        <w:rPr>
          <w:rFonts w:ascii="Arial" w:hAnsi="Arial" w:cs="Arial"/>
          <w:color w:val="000000" w:themeColor="text1"/>
          <w:sz w:val="22"/>
          <w:lang w:val="es-ES_tradnl"/>
        </w:rPr>
        <w:t>es posible afirmar</w:t>
      </w:r>
      <w:r w:rsidR="00317D34" w:rsidRPr="009F0189">
        <w:rPr>
          <w:rFonts w:ascii="Arial" w:hAnsi="Arial" w:cs="Arial"/>
          <w:color w:val="000000" w:themeColor="text1"/>
          <w:sz w:val="22"/>
          <w:lang w:val="es-ES_tradnl"/>
        </w:rPr>
        <w:t xml:space="preserve"> </w:t>
      </w:r>
      <w:r w:rsidR="004135B0" w:rsidRPr="009F0189">
        <w:rPr>
          <w:rFonts w:ascii="Arial" w:hAnsi="Arial" w:cs="Arial"/>
          <w:color w:val="000000" w:themeColor="text1"/>
          <w:sz w:val="22"/>
          <w:lang w:val="es-ES_tradnl"/>
        </w:rPr>
        <w:t>que los medios electrónicos</w:t>
      </w:r>
      <w:r w:rsidR="00317D34" w:rsidRPr="009F0189">
        <w:rPr>
          <w:rFonts w:ascii="Arial" w:hAnsi="Arial" w:cs="Arial"/>
          <w:color w:val="000000" w:themeColor="text1"/>
          <w:sz w:val="22"/>
          <w:lang w:val="es-ES_tradnl"/>
        </w:rPr>
        <w:t xml:space="preserve">, </w:t>
      </w:r>
      <w:r w:rsidR="004135B0" w:rsidRPr="009F0189">
        <w:rPr>
          <w:rFonts w:ascii="Arial" w:hAnsi="Arial" w:cs="Arial"/>
          <w:color w:val="000000" w:themeColor="text1"/>
          <w:sz w:val="22"/>
          <w:lang w:val="es-ES_tradnl"/>
        </w:rPr>
        <w:t xml:space="preserve">incluidos </w:t>
      </w:r>
      <w:r w:rsidR="00317D34" w:rsidRPr="009F0189">
        <w:rPr>
          <w:rFonts w:ascii="Arial" w:hAnsi="Arial" w:cs="Arial"/>
          <w:color w:val="000000" w:themeColor="text1"/>
          <w:sz w:val="22"/>
          <w:lang w:val="es-ES_tradnl"/>
        </w:rPr>
        <w:t>los sistemas de información digitales que favorecen la tele-presencia</w:t>
      </w:r>
      <w:r w:rsidR="004135B0" w:rsidRPr="009F0189">
        <w:rPr>
          <w:rFonts w:ascii="Arial" w:hAnsi="Arial" w:cs="Arial"/>
          <w:color w:val="000000" w:themeColor="text1"/>
          <w:sz w:val="22"/>
          <w:lang w:val="es-ES_tradnl"/>
        </w:rPr>
        <w:t xml:space="preserve"> y permiten </w:t>
      </w:r>
      <w:r w:rsidR="00317D34" w:rsidRPr="009F0189">
        <w:rPr>
          <w:rFonts w:ascii="Arial" w:hAnsi="Arial" w:cs="Arial"/>
          <w:color w:val="000000" w:themeColor="text1"/>
          <w:sz w:val="22"/>
          <w:lang w:val="es-ES_tradnl"/>
        </w:rPr>
        <w:t>una interacción simultánea entre las personas que quieran estar presentes y las entidades estatales</w:t>
      </w:r>
      <w:r w:rsidR="004135B0" w:rsidRPr="009F0189">
        <w:rPr>
          <w:rFonts w:ascii="Arial" w:hAnsi="Arial" w:cs="Arial"/>
          <w:color w:val="000000" w:themeColor="text1"/>
          <w:sz w:val="22"/>
          <w:lang w:val="es-ES_tradnl"/>
        </w:rPr>
        <w:t xml:space="preserve">, continúan siendo medios válidos para </w:t>
      </w:r>
      <w:r w:rsidR="00EB64D2" w:rsidRPr="009F0189">
        <w:rPr>
          <w:rFonts w:ascii="Arial" w:hAnsi="Arial" w:cs="Arial"/>
          <w:color w:val="000000" w:themeColor="text1"/>
          <w:sz w:val="22"/>
          <w:lang w:val="es-ES_tradnl"/>
        </w:rPr>
        <w:t>adelantar las actuaciones administrativas</w:t>
      </w:r>
      <w:r w:rsidR="00317D34" w:rsidRPr="009F0189">
        <w:rPr>
          <w:rFonts w:ascii="Arial" w:hAnsi="Arial" w:cs="Arial"/>
          <w:color w:val="000000" w:themeColor="text1"/>
          <w:sz w:val="22"/>
          <w:lang w:val="es-ES_tradnl"/>
        </w:rPr>
        <w:t xml:space="preserve">. </w:t>
      </w:r>
      <w:r w:rsidR="007B6B74" w:rsidRPr="009F0189">
        <w:rPr>
          <w:rFonts w:ascii="Arial" w:hAnsi="Arial" w:cs="Arial"/>
          <w:color w:val="000000" w:themeColor="text1"/>
          <w:sz w:val="22"/>
          <w:lang w:val="es-ES_tradnl"/>
        </w:rPr>
        <w:t>L</w:t>
      </w:r>
      <w:r w:rsidR="00317D34" w:rsidRPr="009F0189">
        <w:rPr>
          <w:rFonts w:ascii="Arial" w:hAnsi="Arial" w:cs="Arial"/>
          <w:color w:val="000000" w:themeColor="text1"/>
          <w:sz w:val="22"/>
          <w:lang w:val="es-ES_tradnl"/>
        </w:rPr>
        <w:t>as tecnologías de la información y de las telecomunicaciones utilizadas por las entidades estales deben permitir un intercambio de mensajes de datos en tiempo real, para que las personas puedan ver y escuchar lo que pasa en la audiencia, pero también escribir o hablar, garantizándose de este modo la participación, la libre concurrencia, así como la veeduría ciudadana.</w:t>
      </w:r>
      <w:r w:rsidR="005552EB" w:rsidRPr="009F0189">
        <w:rPr>
          <w:rFonts w:ascii="Arial" w:hAnsi="Arial" w:cs="Arial"/>
          <w:color w:val="000000" w:themeColor="text1"/>
          <w:sz w:val="22"/>
          <w:lang w:val="es-ES_tradnl"/>
        </w:rPr>
        <w:t xml:space="preserve"> </w:t>
      </w:r>
    </w:p>
    <w:p w14:paraId="57090A06" w14:textId="0C0D30F9" w:rsidR="00D5317A" w:rsidRPr="006F1B1E" w:rsidRDefault="00003176" w:rsidP="00317D34">
      <w:pPr>
        <w:spacing w:before="120" w:line="276" w:lineRule="auto"/>
        <w:ind w:firstLine="709"/>
        <w:jc w:val="both"/>
        <w:rPr>
          <w:rFonts w:ascii="Arial" w:hAnsi="Arial" w:cs="Arial"/>
          <w:color w:val="000000" w:themeColor="text1"/>
          <w:sz w:val="22"/>
          <w:lang w:val="es-ES_tradnl"/>
        </w:rPr>
      </w:pPr>
      <w:r w:rsidRPr="009F0189">
        <w:rPr>
          <w:rFonts w:ascii="Arial" w:hAnsi="Arial" w:cs="Arial"/>
          <w:color w:val="000000" w:themeColor="text1"/>
          <w:sz w:val="22"/>
          <w:lang w:val="es-ES_tradnl"/>
        </w:rPr>
        <w:t>De igual modo,</w:t>
      </w:r>
      <w:r w:rsidR="005D2217" w:rsidRPr="009F0189">
        <w:rPr>
          <w:rFonts w:ascii="Arial" w:hAnsi="Arial" w:cs="Arial"/>
          <w:color w:val="000000" w:themeColor="text1"/>
          <w:sz w:val="22"/>
          <w:lang w:val="es-ES_tradnl"/>
        </w:rPr>
        <w:t xml:space="preserve"> </w:t>
      </w:r>
      <w:r w:rsidRPr="009F0189">
        <w:rPr>
          <w:rFonts w:ascii="Arial" w:hAnsi="Arial" w:cs="Arial"/>
          <w:color w:val="000000" w:themeColor="text1"/>
          <w:sz w:val="22"/>
          <w:lang w:val="es-ES_tradnl"/>
        </w:rPr>
        <w:t xml:space="preserve">la notificación </w:t>
      </w:r>
      <w:r w:rsidR="00C74B66" w:rsidRPr="009F0189">
        <w:rPr>
          <w:rFonts w:ascii="Arial" w:hAnsi="Arial" w:cs="Arial"/>
          <w:color w:val="000000" w:themeColor="text1"/>
          <w:sz w:val="22"/>
          <w:lang w:val="es-ES_tradnl"/>
        </w:rPr>
        <w:t xml:space="preserve">y comunicación </w:t>
      </w:r>
      <w:r w:rsidRPr="009F0189">
        <w:rPr>
          <w:rFonts w:ascii="Arial" w:hAnsi="Arial" w:cs="Arial"/>
          <w:color w:val="000000" w:themeColor="text1"/>
          <w:sz w:val="22"/>
          <w:lang w:val="es-ES_tradnl"/>
        </w:rPr>
        <w:t>electrónica de los actos administrativos</w:t>
      </w:r>
      <w:r w:rsidR="00C74B66" w:rsidRPr="009F0189">
        <w:rPr>
          <w:rFonts w:ascii="Arial" w:hAnsi="Arial" w:cs="Arial"/>
          <w:color w:val="000000" w:themeColor="text1"/>
          <w:sz w:val="22"/>
          <w:lang w:val="es-ES_tradnl"/>
        </w:rPr>
        <w:t xml:space="preserve"> sigue siendo una posibilidad válida, tanto en los casos especiales en los que se realiza mediante el SECOP, como en la circunstancia regulada en el artículo 56 de la Ley 1437 de 2011</w:t>
      </w:r>
      <w:r w:rsidR="00116FE8" w:rsidRPr="009F0189">
        <w:rPr>
          <w:rFonts w:ascii="Arial" w:hAnsi="Arial" w:cs="Arial"/>
          <w:color w:val="000000" w:themeColor="text1"/>
          <w:sz w:val="22"/>
          <w:lang w:val="es-ES_tradnl"/>
        </w:rPr>
        <w:t xml:space="preserve">, en virtud de la remisión prevista en el artículo </w:t>
      </w:r>
      <w:r w:rsidR="0085484A" w:rsidRPr="009F0189">
        <w:rPr>
          <w:rFonts w:ascii="Arial" w:hAnsi="Arial" w:cs="Arial"/>
          <w:color w:val="000000" w:themeColor="text1"/>
          <w:sz w:val="22"/>
          <w:lang w:val="es-ES_tradnl"/>
        </w:rPr>
        <w:t>77 de la Ley 80 de 1993</w:t>
      </w:r>
      <w:r w:rsidR="0085484A" w:rsidRPr="009F0189">
        <w:rPr>
          <w:rStyle w:val="Refdenotaalpie"/>
          <w:rFonts w:ascii="Arial" w:hAnsi="Arial" w:cs="Arial"/>
          <w:color w:val="000000" w:themeColor="text1"/>
          <w:sz w:val="22"/>
          <w:lang w:val="es-ES_tradnl"/>
        </w:rPr>
        <w:footnoteReference w:id="32"/>
      </w:r>
      <w:r w:rsidR="00C74B66" w:rsidRPr="009F0189">
        <w:rPr>
          <w:rFonts w:ascii="Arial" w:hAnsi="Arial" w:cs="Arial"/>
          <w:color w:val="000000" w:themeColor="text1"/>
          <w:sz w:val="22"/>
          <w:lang w:val="es-ES_tradnl"/>
        </w:rPr>
        <w:t xml:space="preserve">. </w:t>
      </w:r>
      <w:r w:rsidR="00BC6BEF" w:rsidRPr="009F0189">
        <w:rPr>
          <w:rFonts w:ascii="Arial" w:hAnsi="Arial" w:cs="Arial"/>
          <w:color w:val="000000" w:themeColor="text1"/>
          <w:sz w:val="22"/>
          <w:lang w:val="es-ES_tradnl"/>
        </w:rPr>
        <w:t xml:space="preserve">Asimismo, </w:t>
      </w:r>
      <w:r w:rsidR="00BF091E" w:rsidRPr="009F0189">
        <w:rPr>
          <w:rFonts w:ascii="Arial" w:hAnsi="Arial" w:cs="Arial"/>
          <w:color w:val="000000" w:themeColor="text1"/>
          <w:sz w:val="22"/>
          <w:lang w:val="es-ES_tradnl"/>
        </w:rPr>
        <w:t xml:space="preserve">se continúa presumiendo la autenticidad de la firma manuscrita y </w:t>
      </w:r>
      <w:r w:rsidR="00BF091E" w:rsidRPr="009F0189">
        <w:rPr>
          <w:rFonts w:ascii="Arial" w:hAnsi="Arial" w:cs="Arial"/>
          <w:color w:val="000000" w:themeColor="text1"/>
          <w:sz w:val="22"/>
          <w:lang w:val="es-ES_tradnl"/>
        </w:rPr>
        <w:lastRenderedPageBreak/>
        <w:t>escaneada, de conformidad con la</w:t>
      </w:r>
      <w:r w:rsidR="005D2217" w:rsidRPr="009F0189">
        <w:rPr>
          <w:rFonts w:ascii="Arial" w:hAnsi="Arial" w:cs="Arial"/>
          <w:color w:val="000000" w:themeColor="text1"/>
          <w:sz w:val="22"/>
          <w:lang w:val="es-ES_tradnl"/>
        </w:rPr>
        <w:t xml:space="preserve"> </w:t>
      </w:r>
      <w:r w:rsidR="00D1256A" w:rsidRPr="009F0189">
        <w:rPr>
          <w:rFonts w:ascii="Arial" w:hAnsi="Arial" w:cs="Arial"/>
          <w:color w:val="000000" w:themeColor="text1"/>
          <w:sz w:val="22"/>
          <w:lang w:val="es-ES_tradnl"/>
        </w:rPr>
        <w:t xml:space="preserve">normativa </w:t>
      </w:r>
      <w:r w:rsidR="00BF091E" w:rsidRPr="009F0189">
        <w:rPr>
          <w:rFonts w:ascii="Arial" w:hAnsi="Arial" w:cs="Arial"/>
          <w:color w:val="000000" w:themeColor="text1"/>
          <w:sz w:val="22"/>
          <w:lang w:val="es-ES_tradnl"/>
        </w:rPr>
        <w:t xml:space="preserve">antitrámites, siempre que </w:t>
      </w:r>
      <w:r w:rsidR="00D1256A" w:rsidRPr="009F0189">
        <w:rPr>
          <w:rFonts w:ascii="Arial" w:hAnsi="Arial" w:cs="Arial"/>
          <w:color w:val="000000" w:themeColor="text1"/>
          <w:sz w:val="22"/>
          <w:lang w:val="es-ES_tradnl"/>
        </w:rPr>
        <w:t>el régimen</w:t>
      </w:r>
      <w:r w:rsidR="00BF091E" w:rsidRPr="009F0189">
        <w:rPr>
          <w:rFonts w:ascii="Arial" w:hAnsi="Arial" w:cs="Arial"/>
          <w:color w:val="000000" w:themeColor="text1"/>
          <w:sz w:val="22"/>
          <w:lang w:val="es-ES_tradnl"/>
        </w:rPr>
        <w:t xml:space="preserve"> contractual no exija formas especiales de suscripción documental, como sucede </w:t>
      </w:r>
      <w:r w:rsidR="00D52562" w:rsidRPr="009F0189">
        <w:rPr>
          <w:rFonts w:ascii="Arial" w:hAnsi="Arial" w:cs="Arial"/>
          <w:color w:val="000000" w:themeColor="text1"/>
          <w:sz w:val="22"/>
          <w:lang w:val="es-ES_tradnl"/>
        </w:rPr>
        <w:t>con los documentos que se expiden en línea</w:t>
      </w:r>
      <w:r w:rsidR="00D1256A" w:rsidRPr="009F0189">
        <w:rPr>
          <w:rFonts w:ascii="Arial" w:hAnsi="Arial" w:cs="Arial"/>
          <w:color w:val="000000" w:themeColor="text1"/>
          <w:sz w:val="22"/>
          <w:lang w:val="es-ES_tradnl"/>
        </w:rPr>
        <w:t>, de manera transaccional</w:t>
      </w:r>
      <w:r w:rsidR="00D52562" w:rsidRPr="009F0189">
        <w:rPr>
          <w:rFonts w:ascii="Arial" w:hAnsi="Arial" w:cs="Arial"/>
          <w:color w:val="000000" w:themeColor="text1"/>
          <w:sz w:val="22"/>
          <w:lang w:val="es-ES_tradnl"/>
        </w:rPr>
        <w:t>, en el SECOP II</w:t>
      </w:r>
      <w:r w:rsidR="00C93425" w:rsidRPr="009F0189">
        <w:rPr>
          <w:rFonts w:ascii="Arial" w:hAnsi="Arial" w:cs="Arial"/>
          <w:color w:val="000000" w:themeColor="text1"/>
          <w:sz w:val="22"/>
          <w:lang w:val="es-ES_tradnl"/>
        </w:rPr>
        <w:t>, caso en el cual prevalece esta metodología</w:t>
      </w:r>
      <w:r w:rsidR="00D1256A" w:rsidRPr="009F0189">
        <w:rPr>
          <w:rFonts w:ascii="Arial" w:hAnsi="Arial" w:cs="Arial"/>
          <w:color w:val="000000" w:themeColor="text1"/>
          <w:sz w:val="22"/>
          <w:lang w:val="es-ES_tradnl"/>
        </w:rPr>
        <w:t xml:space="preserve"> especial</w:t>
      </w:r>
      <w:r w:rsidR="00C93425" w:rsidRPr="009F0189">
        <w:rPr>
          <w:rFonts w:ascii="Arial" w:hAnsi="Arial" w:cs="Arial"/>
          <w:color w:val="000000" w:themeColor="text1"/>
          <w:sz w:val="22"/>
          <w:lang w:val="es-ES_tradnl"/>
        </w:rPr>
        <w:t>.</w:t>
      </w:r>
    </w:p>
    <w:p w14:paraId="2B78F466" w14:textId="77777777" w:rsidR="00566B75" w:rsidRPr="006F1B1E" w:rsidRDefault="00566B75" w:rsidP="00566B75">
      <w:pPr>
        <w:spacing w:line="276" w:lineRule="auto"/>
        <w:jc w:val="both"/>
        <w:rPr>
          <w:rFonts w:ascii="Arial" w:eastAsia="Calibri" w:hAnsi="Arial" w:cs="Arial"/>
          <w:color w:val="000000" w:themeColor="text1"/>
          <w:sz w:val="22"/>
          <w:lang w:val="es-ES_tradnl"/>
        </w:rPr>
      </w:pPr>
    </w:p>
    <w:p w14:paraId="687CB649" w14:textId="11B1E575" w:rsidR="00A37FB6" w:rsidRPr="006F1B1E" w:rsidRDefault="00544348" w:rsidP="00566B75">
      <w:pPr>
        <w:spacing w:line="276" w:lineRule="auto"/>
        <w:jc w:val="both"/>
        <w:rPr>
          <w:rFonts w:ascii="Arial" w:eastAsia="Calibri" w:hAnsi="Arial" w:cs="Arial"/>
          <w:color w:val="000000" w:themeColor="text1"/>
          <w:sz w:val="22"/>
          <w:lang w:val="es-ES_tradnl"/>
        </w:rPr>
      </w:pPr>
      <w:r w:rsidRPr="006F1B1E">
        <w:rPr>
          <w:rFonts w:ascii="Arial" w:eastAsia="Calibri" w:hAnsi="Arial" w:cs="Arial"/>
          <w:b/>
          <w:color w:val="000000" w:themeColor="text1"/>
          <w:sz w:val="22"/>
          <w:lang w:val="es-ES_tradnl"/>
        </w:rPr>
        <w:t xml:space="preserve">3. </w:t>
      </w:r>
      <w:r w:rsidR="00A37FB6" w:rsidRPr="006F1B1E">
        <w:rPr>
          <w:rFonts w:ascii="Arial" w:eastAsia="Calibri" w:hAnsi="Arial" w:cs="Arial"/>
          <w:b/>
          <w:color w:val="000000" w:themeColor="text1"/>
          <w:sz w:val="22"/>
          <w:lang w:val="es-ES_tradnl"/>
        </w:rPr>
        <w:t>Respuesta</w:t>
      </w:r>
    </w:p>
    <w:p w14:paraId="1369FD7E" w14:textId="77777777" w:rsidR="00A37FB6" w:rsidRPr="006F1B1E" w:rsidRDefault="00A37FB6" w:rsidP="00F23E3A">
      <w:pPr>
        <w:spacing w:line="276" w:lineRule="auto"/>
        <w:ind w:left="709" w:right="709"/>
        <w:jc w:val="both"/>
        <w:rPr>
          <w:rFonts w:ascii="Arial" w:eastAsia="Calibri" w:hAnsi="Arial" w:cs="Arial"/>
          <w:i/>
          <w:color w:val="000000" w:themeColor="text1"/>
          <w:sz w:val="22"/>
          <w:lang w:val="es-ES_tradnl"/>
        </w:rPr>
      </w:pPr>
    </w:p>
    <w:p w14:paraId="70742FD1" w14:textId="7C6CD01E" w:rsidR="00D27753" w:rsidRPr="00104A47" w:rsidRDefault="00D27753" w:rsidP="00D27753">
      <w:pPr>
        <w:tabs>
          <w:tab w:val="left" w:pos="426"/>
        </w:tabs>
        <w:ind w:left="709" w:right="709"/>
        <w:jc w:val="both"/>
        <w:rPr>
          <w:rFonts w:ascii="Arial" w:eastAsia="Calibri" w:hAnsi="Arial" w:cs="Arial"/>
          <w:color w:val="000000" w:themeColor="text1"/>
          <w:sz w:val="21"/>
          <w:szCs w:val="21"/>
          <w:lang w:val="es-ES_tradnl"/>
        </w:rPr>
      </w:pPr>
      <w:r w:rsidRPr="00104A47">
        <w:rPr>
          <w:rFonts w:ascii="Arial" w:eastAsia="Calibri" w:hAnsi="Arial" w:cs="Arial"/>
          <w:color w:val="000000" w:themeColor="text1"/>
          <w:sz w:val="21"/>
          <w:szCs w:val="21"/>
          <w:lang w:val="es-ES_tradnl"/>
        </w:rPr>
        <w:t>«a. ¿Pueden las Entidades Estatales continuar realizando las audiencias públicas previstas en los diferentes Procesos de Contratación y la audiencia de que trata el artículo 86 de la Ley 1474 de 2011 de manera virtual? ¿Cuál es el sustento jurídico?</w:t>
      </w:r>
    </w:p>
    <w:p w14:paraId="757902CF" w14:textId="3E6DBF67" w:rsidR="006D7D0A" w:rsidRPr="00104A47" w:rsidRDefault="006D7D0A" w:rsidP="00D27753">
      <w:pPr>
        <w:tabs>
          <w:tab w:val="left" w:pos="426"/>
        </w:tabs>
        <w:ind w:left="709" w:right="709"/>
        <w:jc w:val="both"/>
        <w:rPr>
          <w:rFonts w:ascii="Arial" w:eastAsia="Calibri" w:hAnsi="Arial" w:cs="Arial"/>
          <w:color w:val="000000" w:themeColor="text1"/>
          <w:sz w:val="21"/>
          <w:szCs w:val="21"/>
          <w:lang w:val="es-ES_tradnl"/>
        </w:rPr>
      </w:pPr>
    </w:p>
    <w:p w14:paraId="7CE5161A" w14:textId="2D2730A0" w:rsidR="006D7D0A" w:rsidRPr="00104A47" w:rsidRDefault="006D7D0A" w:rsidP="006D7D0A">
      <w:pPr>
        <w:tabs>
          <w:tab w:val="left" w:pos="426"/>
        </w:tabs>
        <w:ind w:left="709" w:right="709"/>
        <w:jc w:val="both"/>
        <w:rPr>
          <w:rFonts w:ascii="Arial" w:eastAsia="Calibri" w:hAnsi="Arial" w:cs="Arial"/>
          <w:color w:val="000000" w:themeColor="text1"/>
          <w:sz w:val="21"/>
          <w:szCs w:val="21"/>
          <w:lang w:val="es-ES_tradnl"/>
        </w:rPr>
      </w:pPr>
      <w:r w:rsidRPr="00104A47">
        <w:rPr>
          <w:rFonts w:ascii="Arial" w:eastAsia="Calibri" w:hAnsi="Arial" w:cs="Arial"/>
          <w:color w:val="000000" w:themeColor="text1"/>
          <w:sz w:val="21"/>
          <w:szCs w:val="21"/>
          <w:lang w:val="es-ES_tradnl"/>
        </w:rPr>
        <w:t>»[…]</w:t>
      </w:r>
    </w:p>
    <w:p w14:paraId="47B81790" w14:textId="77777777" w:rsidR="006D7D0A" w:rsidRPr="00104A47" w:rsidRDefault="006D7D0A" w:rsidP="006D7D0A">
      <w:pPr>
        <w:tabs>
          <w:tab w:val="left" w:pos="426"/>
        </w:tabs>
        <w:ind w:left="709" w:right="709"/>
        <w:jc w:val="both"/>
        <w:rPr>
          <w:rFonts w:ascii="Arial" w:eastAsia="Calibri" w:hAnsi="Arial" w:cs="Arial"/>
          <w:color w:val="000000" w:themeColor="text1"/>
          <w:sz w:val="21"/>
          <w:szCs w:val="21"/>
          <w:lang w:val="es-ES_tradnl"/>
        </w:rPr>
      </w:pPr>
      <w:r w:rsidRPr="00104A47">
        <w:rPr>
          <w:rFonts w:ascii="Arial" w:eastAsia="Calibri" w:hAnsi="Arial" w:cs="Arial"/>
          <w:color w:val="000000" w:themeColor="text1"/>
          <w:sz w:val="21"/>
          <w:szCs w:val="21"/>
          <w:lang w:val="es-ES_tradnl"/>
        </w:rPr>
        <w:t>»d. En caso que las respuestas a los interrogantes a y b sean negativas, ¿cómo deben manejarse las audiencias en los Procesos de Contratación y Actuaciones Administrativas (artículo 86 Ley 1474 de 2011) en curso?»</w:t>
      </w:r>
    </w:p>
    <w:p w14:paraId="0DDBE3A0" w14:textId="77777777" w:rsidR="006D7D0A" w:rsidRDefault="006D7D0A" w:rsidP="00D27753">
      <w:pPr>
        <w:tabs>
          <w:tab w:val="left" w:pos="426"/>
        </w:tabs>
        <w:ind w:left="709" w:right="709"/>
        <w:jc w:val="both"/>
        <w:rPr>
          <w:rFonts w:ascii="Arial" w:eastAsia="Calibri" w:hAnsi="Arial" w:cs="Arial"/>
          <w:color w:val="000000" w:themeColor="text1"/>
          <w:sz w:val="22"/>
          <w:lang w:val="es-ES_tradnl"/>
        </w:rPr>
      </w:pPr>
    </w:p>
    <w:p w14:paraId="68611D06" w14:textId="31524BD7" w:rsidR="00067B86" w:rsidRDefault="00411A5E" w:rsidP="001865AE">
      <w:pPr>
        <w:tabs>
          <w:tab w:val="left" w:pos="426"/>
        </w:tabs>
        <w:spacing w:line="276" w:lineRule="auto"/>
        <w:jc w:val="both"/>
        <w:rPr>
          <w:rFonts w:ascii="Arial" w:hAnsi="Arial" w:cs="Arial"/>
          <w:color w:val="000000" w:themeColor="text1"/>
          <w:sz w:val="22"/>
          <w:lang w:val="es-ES_tradnl"/>
        </w:rPr>
      </w:pPr>
      <w:r>
        <w:rPr>
          <w:rFonts w:ascii="Arial" w:hAnsi="Arial" w:cs="Arial"/>
          <w:color w:val="000000" w:themeColor="text1"/>
          <w:sz w:val="22"/>
          <w:lang w:val="es-ES_tradnl"/>
        </w:rPr>
        <w:t xml:space="preserve">Esta Agencia considera que no obstante la pérdida de vigencia de </w:t>
      </w:r>
      <w:r w:rsidR="000F1276">
        <w:rPr>
          <w:rFonts w:ascii="Arial" w:hAnsi="Arial" w:cs="Arial"/>
          <w:color w:val="000000" w:themeColor="text1"/>
          <w:sz w:val="22"/>
          <w:lang w:val="es-ES_tradnl"/>
        </w:rPr>
        <w:t>las</w:t>
      </w:r>
      <w:r>
        <w:rPr>
          <w:rFonts w:ascii="Arial" w:hAnsi="Arial" w:cs="Arial"/>
          <w:color w:val="000000" w:themeColor="text1"/>
          <w:sz w:val="22"/>
          <w:lang w:val="es-ES_tradnl"/>
        </w:rPr>
        <w:t xml:space="preserve"> disposiciones normativas</w:t>
      </w:r>
      <w:r w:rsidR="000F1276">
        <w:rPr>
          <w:rFonts w:ascii="Arial" w:hAnsi="Arial" w:cs="Arial"/>
          <w:color w:val="000000" w:themeColor="text1"/>
          <w:sz w:val="22"/>
          <w:lang w:val="es-ES_tradnl"/>
        </w:rPr>
        <w:t xml:space="preserve"> previstas en los Decretos 491 y 537 de 2020</w:t>
      </w:r>
      <w:r w:rsidR="00CF6A19">
        <w:rPr>
          <w:rFonts w:ascii="Arial" w:hAnsi="Arial" w:cs="Arial"/>
          <w:color w:val="000000" w:themeColor="text1"/>
          <w:sz w:val="22"/>
          <w:lang w:val="es-ES_tradnl"/>
        </w:rPr>
        <w:t xml:space="preserve"> que permitían la realización de audiencias virtuales</w:t>
      </w:r>
      <w:r>
        <w:rPr>
          <w:rFonts w:ascii="Arial" w:hAnsi="Arial" w:cs="Arial"/>
          <w:color w:val="000000" w:themeColor="text1"/>
          <w:sz w:val="22"/>
          <w:lang w:val="es-ES_tradnl"/>
        </w:rPr>
        <w:t xml:space="preserve"> –debido al cese del estado de emergencia sanitaria ocurrido el 30 de junio de 2022–, las entidades estatales pueden, por regla general, continuar adelantando sus actuaciones administrativas a través de medios electrónicos, salvo norma expresa en contrario, es decir, salvo que exista un precepto que las obligue a realizar </w:t>
      </w:r>
      <w:r w:rsidR="00CF1581">
        <w:rPr>
          <w:rFonts w:ascii="Arial" w:hAnsi="Arial" w:cs="Arial"/>
          <w:color w:val="000000" w:themeColor="text1"/>
          <w:sz w:val="22"/>
          <w:lang w:val="es-ES_tradnl"/>
        </w:rPr>
        <w:t>alguna</w:t>
      </w:r>
      <w:r>
        <w:rPr>
          <w:rFonts w:ascii="Arial" w:hAnsi="Arial" w:cs="Arial"/>
          <w:color w:val="000000" w:themeColor="text1"/>
          <w:sz w:val="22"/>
          <w:lang w:val="es-ES_tradnl"/>
        </w:rPr>
        <w:t xml:space="preserve"> actuación de manera presencial. Esto, por cuanto la desaparición de los efectos de las normas contenidas en los Decretos 491 y 537</w:t>
      </w:r>
      <w:r w:rsidR="005C5DAC">
        <w:rPr>
          <w:rFonts w:ascii="Arial" w:hAnsi="Arial" w:cs="Arial"/>
          <w:color w:val="000000" w:themeColor="text1"/>
          <w:sz w:val="22"/>
          <w:lang w:val="es-ES_tradnl"/>
        </w:rPr>
        <w:t xml:space="preserve"> de 2020</w:t>
      </w:r>
      <w:r>
        <w:rPr>
          <w:rFonts w:ascii="Arial" w:hAnsi="Arial" w:cs="Arial"/>
          <w:color w:val="000000" w:themeColor="text1"/>
          <w:sz w:val="22"/>
          <w:lang w:val="es-ES_tradnl"/>
        </w:rPr>
        <w:t xml:space="preserve"> no hace que pierdan vigencia las normas a las que se hizo referencia en el numeral 2.1. de este concepto, que permiten el empleo de herramientas electrónicas en las actuaciones administrativas. En tal sentido, tanto las audiencias de los procedimientos de selección contractual, como las que deban surtirse durante la ejecución del contrato estatal –incluida la del procedimiento administrativo sancionatorio, regulada en el artículo 86 de la Ley 1474 de 2011–, pueden seguir realizándose de manera virtual.</w:t>
      </w:r>
    </w:p>
    <w:p w14:paraId="0B3A6447" w14:textId="68382136" w:rsidR="00093A25" w:rsidRDefault="00067B86" w:rsidP="005C5DAC">
      <w:pPr>
        <w:spacing w:before="120" w:line="276" w:lineRule="auto"/>
        <w:ind w:firstLine="709"/>
        <w:jc w:val="both"/>
        <w:rPr>
          <w:rFonts w:ascii="Arial" w:hAnsi="Arial" w:cs="Arial"/>
          <w:color w:val="000000" w:themeColor="text1"/>
          <w:sz w:val="22"/>
          <w:lang w:val="es-ES_tradnl"/>
        </w:rPr>
      </w:pPr>
      <w:r>
        <w:rPr>
          <w:rFonts w:ascii="Arial" w:hAnsi="Arial" w:cs="Arial"/>
          <w:color w:val="000000" w:themeColor="text1"/>
          <w:sz w:val="22"/>
          <w:lang w:val="es-ES_tradnl"/>
        </w:rPr>
        <w:t>En otras palabras, la pérdida de vigencia de las disposiciones de los Decretos 491 y 537 de 2020</w:t>
      </w:r>
      <w:r w:rsidR="00093A25">
        <w:rPr>
          <w:rFonts w:ascii="Arial" w:hAnsi="Arial" w:cs="Arial"/>
          <w:color w:val="000000" w:themeColor="text1"/>
          <w:sz w:val="22"/>
          <w:lang w:val="es-ES_tradnl"/>
        </w:rPr>
        <w:t>,</w:t>
      </w:r>
      <w:r>
        <w:rPr>
          <w:rFonts w:ascii="Arial" w:hAnsi="Arial" w:cs="Arial"/>
          <w:color w:val="000000" w:themeColor="text1"/>
          <w:sz w:val="22"/>
          <w:lang w:val="es-ES_tradnl"/>
        </w:rPr>
        <w:t xml:space="preserve"> que habían quedado sujetas a que perdurara la emergencia sanitaria</w:t>
      </w:r>
      <w:r w:rsidR="00093A25">
        <w:rPr>
          <w:rFonts w:ascii="Arial" w:hAnsi="Arial" w:cs="Arial"/>
          <w:color w:val="000000" w:themeColor="text1"/>
          <w:sz w:val="22"/>
          <w:lang w:val="es-ES_tradnl"/>
        </w:rPr>
        <w:t>,</w:t>
      </w:r>
      <w:r>
        <w:rPr>
          <w:rFonts w:ascii="Arial" w:hAnsi="Arial" w:cs="Arial"/>
          <w:color w:val="000000" w:themeColor="text1"/>
          <w:sz w:val="22"/>
          <w:lang w:val="es-ES_tradnl"/>
        </w:rPr>
        <w:t xml:space="preserve"> no supone la derogatoria de </w:t>
      </w:r>
      <w:r w:rsidRPr="006F1B1E">
        <w:rPr>
          <w:rFonts w:ascii="Arial" w:hAnsi="Arial" w:cs="Arial"/>
          <w:color w:val="000000" w:themeColor="text1"/>
          <w:sz w:val="22"/>
          <w:lang w:val="es-ES_tradnl"/>
        </w:rPr>
        <w:t xml:space="preserve">las </w:t>
      </w:r>
      <w:r>
        <w:rPr>
          <w:rFonts w:ascii="Arial" w:hAnsi="Arial" w:cs="Arial"/>
          <w:color w:val="000000" w:themeColor="text1"/>
          <w:sz w:val="22"/>
          <w:lang w:val="es-ES_tradnl"/>
        </w:rPr>
        <w:t>normas</w:t>
      </w:r>
      <w:r w:rsidRPr="006F1B1E">
        <w:rPr>
          <w:rFonts w:ascii="Arial" w:hAnsi="Arial" w:cs="Arial"/>
          <w:color w:val="000000" w:themeColor="text1"/>
          <w:sz w:val="22"/>
          <w:lang w:val="es-ES_tradnl"/>
        </w:rPr>
        <w:t xml:space="preserve"> </w:t>
      </w:r>
      <w:r>
        <w:rPr>
          <w:rFonts w:ascii="Arial" w:hAnsi="Arial" w:cs="Arial"/>
          <w:color w:val="000000" w:themeColor="text1"/>
          <w:sz w:val="22"/>
          <w:lang w:val="es-ES_tradnl"/>
        </w:rPr>
        <w:t>analizadas</w:t>
      </w:r>
      <w:r w:rsidRPr="006F1B1E">
        <w:rPr>
          <w:rFonts w:ascii="Arial" w:hAnsi="Arial" w:cs="Arial"/>
          <w:color w:val="000000" w:themeColor="text1"/>
          <w:sz w:val="22"/>
          <w:lang w:val="es-ES_tradnl"/>
        </w:rPr>
        <w:t xml:space="preserve"> anteriormente, contenidas en las Leyes </w:t>
      </w:r>
      <w:r w:rsidRPr="006F1B1E">
        <w:rPr>
          <w:rFonts w:ascii="Arial" w:hAnsi="Arial" w:cs="Arial"/>
          <w:color w:val="000000" w:themeColor="text1"/>
          <w:sz w:val="22"/>
          <w:lang w:val="es-ES_tradnl"/>
        </w:rPr>
        <w:lastRenderedPageBreak/>
        <w:t>527 de 1999, 962 del 2005, 1341 de 2009 y 1437 de 2011, al igual que en los Decretos 019 de 2012 y 2106 de 2019</w:t>
      </w:r>
      <w:r>
        <w:rPr>
          <w:rFonts w:ascii="Arial" w:hAnsi="Arial" w:cs="Arial"/>
          <w:color w:val="000000" w:themeColor="text1"/>
          <w:sz w:val="22"/>
          <w:lang w:val="es-ES_tradnl"/>
        </w:rPr>
        <w:t>.</w:t>
      </w:r>
      <w:r w:rsidRPr="006F1B1E">
        <w:rPr>
          <w:rFonts w:ascii="Arial" w:hAnsi="Arial" w:cs="Arial"/>
          <w:color w:val="000000" w:themeColor="text1"/>
          <w:sz w:val="22"/>
          <w:lang w:val="es-ES_tradnl"/>
        </w:rPr>
        <w:t xml:space="preserve"> </w:t>
      </w:r>
      <w:r w:rsidR="00093A25">
        <w:rPr>
          <w:rFonts w:ascii="Arial" w:hAnsi="Arial" w:cs="Arial"/>
          <w:color w:val="000000" w:themeColor="text1"/>
          <w:sz w:val="22"/>
          <w:lang w:val="es-ES_tradnl"/>
        </w:rPr>
        <w:t>Más aún, el artículo 3 de la Ley 1150 de 2007 dispone, expresamente, que en las actuaciones contractuales se podrán utilizar los medios electrónicos.</w:t>
      </w:r>
    </w:p>
    <w:p w14:paraId="47AA4325" w14:textId="44A46AC9" w:rsidR="00067B86" w:rsidRPr="005C5DAC" w:rsidRDefault="00067B86" w:rsidP="005C5DAC">
      <w:pPr>
        <w:spacing w:before="120" w:line="276" w:lineRule="auto"/>
        <w:ind w:firstLine="709"/>
        <w:jc w:val="both"/>
        <w:rPr>
          <w:rFonts w:ascii="Arial" w:hAnsi="Arial" w:cs="Arial"/>
          <w:color w:val="000000" w:themeColor="text1"/>
          <w:sz w:val="22"/>
          <w:lang w:val="es-ES_tradnl"/>
        </w:rPr>
      </w:pPr>
      <w:r>
        <w:rPr>
          <w:rFonts w:ascii="Arial" w:hAnsi="Arial" w:cs="Arial"/>
          <w:color w:val="000000" w:themeColor="text1"/>
          <w:sz w:val="22"/>
          <w:lang w:val="es-ES_tradnl"/>
        </w:rPr>
        <w:t>E</w:t>
      </w:r>
      <w:r w:rsidRPr="006F1B1E">
        <w:rPr>
          <w:rFonts w:ascii="Arial" w:hAnsi="Arial" w:cs="Arial"/>
          <w:color w:val="000000" w:themeColor="text1"/>
          <w:sz w:val="22"/>
          <w:lang w:val="es-ES_tradnl"/>
        </w:rPr>
        <w:t xml:space="preserve">s </w:t>
      </w:r>
      <w:r w:rsidR="00593E9E">
        <w:rPr>
          <w:rFonts w:ascii="Arial" w:hAnsi="Arial" w:cs="Arial"/>
          <w:color w:val="000000" w:themeColor="text1"/>
          <w:sz w:val="22"/>
          <w:lang w:val="es-ES_tradnl"/>
        </w:rPr>
        <w:t xml:space="preserve">posible concluir entonces </w:t>
      </w:r>
      <w:r>
        <w:rPr>
          <w:rFonts w:ascii="Arial" w:hAnsi="Arial" w:cs="Arial"/>
          <w:color w:val="000000" w:themeColor="text1"/>
          <w:sz w:val="22"/>
          <w:lang w:val="es-ES_tradnl"/>
        </w:rPr>
        <w:t>que los medios electrónicos</w:t>
      </w:r>
      <w:r w:rsidRPr="006F1B1E">
        <w:rPr>
          <w:rFonts w:ascii="Arial" w:hAnsi="Arial" w:cs="Arial"/>
          <w:color w:val="000000" w:themeColor="text1"/>
          <w:sz w:val="22"/>
          <w:lang w:val="es-ES_tradnl"/>
        </w:rPr>
        <w:t xml:space="preserve">, </w:t>
      </w:r>
      <w:r>
        <w:rPr>
          <w:rFonts w:ascii="Arial" w:hAnsi="Arial" w:cs="Arial"/>
          <w:color w:val="000000" w:themeColor="text1"/>
          <w:sz w:val="22"/>
          <w:lang w:val="es-ES_tradnl"/>
        </w:rPr>
        <w:t xml:space="preserve">incluidos </w:t>
      </w:r>
      <w:r w:rsidRPr="006F1B1E">
        <w:rPr>
          <w:rFonts w:ascii="Arial" w:hAnsi="Arial" w:cs="Arial"/>
          <w:color w:val="000000" w:themeColor="text1"/>
          <w:sz w:val="22"/>
          <w:lang w:val="es-ES_tradnl"/>
        </w:rPr>
        <w:t>los sistemas de información digitales que favorecen la tele-presencia</w:t>
      </w:r>
      <w:r>
        <w:rPr>
          <w:rFonts w:ascii="Arial" w:hAnsi="Arial" w:cs="Arial"/>
          <w:color w:val="000000" w:themeColor="text1"/>
          <w:sz w:val="22"/>
          <w:lang w:val="es-ES_tradnl"/>
        </w:rPr>
        <w:t xml:space="preserve"> y permiten </w:t>
      </w:r>
      <w:r w:rsidRPr="006F1B1E">
        <w:rPr>
          <w:rFonts w:ascii="Arial" w:hAnsi="Arial" w:cs="Arial"/>
          <w:color w:val="000000" w:themeColor="text1"/>
          <w:sz w:val="22"/>
          <w:lang w:val="es-ES_tradnl"/>
        </w:rPr>
        <w:t>una interacción simultánea entre las personas que quieran estar presentes y las entidades estatales</w:t>
      </w:r>
      <w:r>
        <w:rPr>
          <w:rFonts w:ascii="Arial" w:hAnsi="Arial" w:cs="Arial"/>
          <w:color w:val="000000" w:themeColor="text1"/>
          <w:sz w:val="22"/>
          <w:lang w:val="es-ES_tradnl"/>
        </w:rPr>
        <w:t>, continúan siendo medios válidos para adelantar las actuaciones administrativas</w:t>
      </w:r>
      <w:r w:rsidRPr="006F1B1E">
        <w:rPr>
          <w:rFonts w:ascii="Arial" w:hAnsi="Arial" w:cs="Arial"/>
          <w:color w:val="000000" w:themeColor="text1"/>
          <w:sz w:val="22"/>
          <w:lang w:val="es-ES_tradnl"/>
        </w:rPr>
        <w:t xml:space="preserve">. </w:t>
      </w:r>
      <w:r>
        <w:rPr>
          <w:rFonts w:ascii="Arial" w:hAnsi="Arial" w:cs="Arial"/>
          <w:color w:val="000000" w:themeColor="text1"/>
          <w:sz w:val="22"/>
          <w:lang w:val="es-ES_tradnl"/>
        </w:rPr>
        <w:t>L</w:t>
      </w:r>
      <w:r w:rsidRPr="006F1B1E">
        <w:rPr>
          <w:rFonts w:ascii="Arial" w:hAnsi="Arial" w:cs="Arial"/>
          <w:color w:val="000000" w:themeColor="text1"/>
          <w:sz w:val="22"/>
          <w:lang w:val="es-ES_tradnl"/>
        </w:rPr>
        <w:t>as tecnologías de la información y de las telecomunicaciones utilizadas por las entidades estales deben permitir un intercambio de mensajes de datos en tiempo real, para que las personas puedan ver y escuchar lo que pasa en la audiencia, pero también escribir o hablar, garantizándose de este modo la participación, la libre concurrencia, así como la veeduría ciudadana.</w:t>
      </w:r>
      <w:r>
        <w:rPr>
          <w:rFonts w:ascii="Arial" w:hAnsi="Arial" w:cs="Arial"/>
          <w:color w:val="000000" w:themeColor="text1"/>
          <w:sz w:val="22"/>
          <w:lang w:val="es-ES_tradnl"/>
        </w:rPr>
        <w:t xml:space="preserve"> </w:t>
      </w:r>
    </w:p>
    <w:p w14:paraId="11C0159C" w14:textId="77777777" w:rsidR="00411A5E" w:rsidRPr="00351771" w:rsidRDefault="00411A5E" w:rsidP="00411A5E">
      <w:pPr>
        <w:tabs>
          <w:tab w:val="left" w:pos="426"/>
        </w:tabs>
        <w:ind w:right="709"/>
        <w:jc w:val="both"/>
        <w:rPr>
          <w:rFonts w:ascii="Arial" w:eastAsia="Calibri" w:hAnsi="Arial" w:cs="Arial"/>
          <w:color w:val="000000" w:themeColor="text1"/>
          <w:sz w:val="22"/>
          <w:lang w:val="es-ES_tradnl"/>
        </w:rPr>
      </w:pPr>
    </w:p>
    <w:p w14:paraId="2C894B42" w14:textId="1F7CFECD" w:rsidR="00D27753" w:rsidRPr="00104A47" w:rsidRDefault="00104A47" w:rsidP="00D27753">
      <w:pPr>
        <w:tabs>
          <w:tab w:val="left" w:pos="426"/>
        </w:tabs>
        <w:ind w:left="709" w:right="709"/>
        <w:jc w:val="both"/>
        <w:rPr>
          <w:rFonts w:ascii="Arial" w:eastAsia="Calibri" w:hAnsi="Arial" w:cs="Arial"/>
          <w:color w:val="000000" w:themeColor="text1"/>
          <w:sz w:val="21"/>
          <w:szCs w:val="21"/>
          <w:lang w:val="es-ES_tradnl"/>
        </w:rPr>
      </w:pPr>
      <w:r>
        <w:rPr>
          <w:rFonts w:ascii="Arial" w:eastAsia="Calibri" w:hAnsi="Arial" w:cs="Arial"/>
          <w:color w:val="000000" w:themeColor="text1"/>
          <w:sz w:val="21"/>
          <w:szCs w:val="21"/>
          <w:lang w:val="es-ES_tradnl"/>
        </w:rPr>
        <w:t>«</w:t>
      </w:r>
      <w:r w:rsidR="00D27753" w:rsidRPr="00104A47">
        <w:rPr>
          <w:rFonts w:ascii="Arial" w:eastAsia="Calibri" w:hAnsi="Arial" w:cs="Arial"/>
          <w:color w:val="000000" w:themeColor="text1"/>
          <w:sz w:val="21"/>
          <w:szCs w:val="21"/>
          <w:lang w:val="es-ES_tradnl"/>
        </w:rPr>
        <w:t>b. ¿Pueden las Entidades Estatales continuar notificando o comunicando los actos administrativos derivados de los Procesos de Contratación (que no tienen regla especial de notificación o comunicación) por medios electrónicos? ¿Cuál es el sustento jurídico?</w:t>
      </w:r>
      <w:r>
        <w:rPr>
          <w:rFonts w:ascii="Arial" w:eastAsia="Calibri" w:hAnsi="Arial" w:cs="Arial"/>
          <w:color w:val="000000" w:themeColor="text1"/>
          <w:sz w:val="21"/>
          <w:szCs w:val="21"/>
          <w:lang w:val="es-ES_tradnl"/>
        </w:rPr>
        <w:t>»</w:t>
      </w:r>
    </w:p>
    <w:p w14:paraId="2A18EC8F" w14:textId="51222129" w:rsidR="00D27753" w:rsidRDefault="00D27753" w:rsidP="00D27753">
      <w:pPr>
        <w:tabs>
          <w:tab w:val="left" w:pos="426"/>
        </w:tabs>
        <w:ind w:left="709" w:right="709"/>
        <w:jc w:val="both"/>
        <w:rPr>
          <w:rFonts w:ascii="Arial" w:eastAsia="Calibri" w:hAnsi="Arial" w:cs="Arial"/>
          <w:color w:val="000000" w:themeColor="text1"/>
          <w:sz w:val="22"/>
          <w:lang w:val="es-ES_tradnl"/>
        </w:rPr>
      </w:pPr>
    </w:p>
    <w:p w14:paraId="255F057A" w14:textId="4EBBF5B3" w:rsidR="005D2217" w:rsidRDefault="009F0189" w:rsidP="005D2217">
      <w:pPr>
        <w:tabs>
          <w:tab w:val="left" w:pos="426"/>
        </w:tabs>
        <w:spacing w:line="276" w:lineRule="auto"/>
        <w:jc w:val="both"/>
        <w:rPr>
          <w:rFonts w:ascii="Arial" w:hAnsi="Arial" w:cs="Arial"/>
          <w:color w:val="000000" w:themeColor="text1"/>
          <w:sz w:val="22"/>
          <w:lang w:val="es-ES_tradnl"/>
        </w:rPr>
      </w:pPr>
      <w:r>
        <w:rPr>
          <w:rFonts w:ascii="Arial" w:hAnsi="Arial" w:cs="Arial"/>
          <w:color w:val="000000" w:themeColor="text1"/>
          <w:sz w:val="22"/>
          <w:lang w:val="es-ES_tradnl"/>
        </w:rPr>
        <w:tab/>
      </w:r>
      <w:r>
        <w:rPr>
          <w:rFonts w:ascii="Arial" w:hAnsi="Arial" w:cs="Arial"/>
          <w:color w:val="000000" w:themeColor="text1"/>
          <w:sz w:val="22"/>
          <w:lang w:val="es-ES_tradnl"/>
        </w:rPr>
        <w:tab/>
      </w:r>
      <w:r w:rsidR="005D2217">
        <w:rPr>
          <w:rFonts w:ascii="Arial" w:hAnsi="Arial" w:cs="Arial"/>
          <w:color w:val="000000" w:themeColor="text1"/>
          <w:sz w:val="22"/>
          <w:lang w:val="es-ES_tradnl"/>
        </w:rPr>
        <w:t xml:space="preserve">La notificación y comunicación electrónica de los actos administrativos en las actuaciones contractuales sigue siendo una posibilidad válida, tanto en los casos especiales en los que se realiza mediante el SECOP, como en la circunstancia regulada en el artículo 56 de la Ley 1437 de 2011, en virtud de la remisión prevista en el artículo 77 de la Ley 80 de 1993 y también con fundamento en las leyes </w:t>
      </w:r>
      <w:r w:rsidR="005D2217" w:rsidRPr="006F1B1E">
        <w:rPr>
          <w:rFonts w:ascii="Arial" w:hAnsi="Arial" w:cs="Arial"/>
          <w:color w:val="000000" w:themeColor="text1"/>
          <w:sz w:val="22"/>
          <w:lang w:val="es-ES_tradnl"/>
        </w:rPr>
        <w:t>527 de 1999, 962 del 2005</w:t>
      </w:r>
      <w:r w:rsidR="00130067">
        <w:rPr>
          <w:rFonts w:ascii="Arial" w:hAnsi="Arial" w:cs="Arial"/>
          <w:color w:val="000000" w:themeColor="text1"/>
          <w:sz w:val="22"/>
          <w:lang w:val="es-ES_tradnl"/>
        </w:rPr>
        <w:t xml:space="preserve"> y </w:t>
      </w:r>
      <w:r w:rsidR="005D2217" w:rsidRPr="006F1B1E">
        <w:rPr>
          <w:rFonts w:ascii="Arial" w:hAnsi="Arial" w:cs="Arial"/>
          <w:color w:val="000000" w:themeColor="text1"/>
          <w:sz w:val="22"/>
          <w:lang w:val="es-ES_tradnl"/>
        </w:rPr>
        <w:t>1341 de 2009</w:t>
      </w:r>
      <w:r w:rsidR="00B13D95">
        <w:rPr>
          <w:rFonts w:ascii="Arial" w:hAnsi="Arial" w:cs="Arial"/>
          <w:color w:val="000000" w:themeColor="text1"/>
          <w:sz w:val="22"/>
          <w:lang w:val="es-ES_tradnl"/>
        </w:rPr>
        <w:t xml:space="preserve">, </w:t>
      </w:r>
      <w:r w:rsidR="00845C15">
        <w:rPr>
          <w:rFonts w:ascii="Arial" w:hAnsi="Arial" w:cs="Arial"/>
          <w:color w:val="000000" w:themeColor="text1"/>
          <w:sz w:val="22"/>
          <w:lang w:val="es-ES_tradnl"/>
        </w:rPr>
        <w:t xml:space="preserve">y </w:t>
      </w:r>
      <w:r w:rsidR="005D2217">
        <w:rPr>
          <w:rFonts w:ascii="Arial" w:hAnsi="Arial" w:cs="Arial"/>
          <w:color w:val="000000" w:themeColor="text1"/>
          <w:sz w:val="22"/>
          <w:lang w:val="es-ES_tradnl"/>
        </w:rPr>
        <w:t xml:space="preserve">en los Decretos </w:t>
      </w:r>
      <w:r w:rsidR="005D2217" w:rsidRPr="006F1B1E">
        <w:rPr>
          <w:rFonts w:ascii="Arial" w:hAnsi="Arial" w:cs="Arial"/>
          <w:color w:val="000000" w:themeColor="text1"/>
          <w:sz w:val="22"/>
          <w:lang w:val="es-ES_tradnl"/>
        </w:rPr>
        <w:t>019 de 2012 y 2106 de 2019</w:t>
      </w:r>
      <w:r w:rsidR="00845C15">
        <w:rPr>
          <w:rFonts w:ascii="Arial" w:hAnsi="Arial" w:cs="Arial"/>
          <w:color w:val="000000" w:themeColor="text1"/>
          <w:sz w:val="22"/>
          <w:lang w:val="es-ES_tradnl"/>
        </w:rPr>
        <w:t>.</w:t>
      </w:r>
      <w:r w:rsidR="000B40A9">
        <w:rPr>
          <w:rFonts w:ascii="Arial" w:hAnsi="Arial" w:cs="Arial"/>
          <w:color w:val="000000" w:themeColor="text1"/>
          <w:sz w:val="22"/>
          <w:lang w:val="es-ES_tradnl"/>
        </w:rPr>
        <w:t xml:space="preserve"> Además, el artículo 3 de la Ley 1150 de 2007 permite el uso de medios electrónicos en las actuaciones administrativas contractuales.</w:t>
      </w:r>
    </w:p>
    <w:p w14:paraId="188AB473" w14:textId="77777777" w:rsidR="005D2217" w:rsidRPr="00351771" w:rsidRDefault="005D2217" w:rsidP="005D2217">
      <w:pPr>
        <w:tabs>
          <w:tab w:val="left" w:pos="426"/>
        </w:tabs>
        <w:spacing w:line="276" w:lineRule="auto"/>
        <w:jc w:val="both"/>
        <w:rPr>
          <w:rFonts w:ascii="Arial" w:eastAsia="Calibri" w:hAnsi="Arial" w:cs="Arial"/>
          <w:color w:val="000000" w:themeColor="text1"/>
          <w:sz w:val="22"/>
          <w:lang w:val="es-ES_tradnl"/>
        </w:rPr>
      </w:pPr>
    </w:p>
    <w:p w14:paraId="58B98257" w14:textId="0EA2E9F5" w:rsidR="00026AEB" w:rsidRPr="00104A47" w:rsidRDefault="00104A47" w:rsidP="00104A47">
      <w:pPr>
        <w:tabs>
          <w:tab w:val="left" w:pos="426"/>
        </w:tabs>
        <w:ind w:left="709" w:right="709"/>
        <w:jc w:val="both"/>
        <w:rPr>
          <w:rFonts w:ascii="Arial" w:eastAsia="Calibri" w:hAnsi="Arial" w:cs="Arial"/>
          <w:color w:val="000000" w:themeColor="text1"/>
          <w:sz w:val="21"/>
          <w:szCs w:val="21"/>
          <w:lang w:val="es-ES_tradnl"/>
        </w:rPr>
      </w:pPr>
      <w:r w:rsidRPr="00104A47">
        <w:rPr>
          <w:rFonts w:ascii="Arial" w:eastAsia="Calibri" w:hAnsi="Arial" w:cs="Arial"/>
          <w:color w:val="000000" w:themeColor="text1"/>
          <w:sz w:val="21"/>
          <w:szCs w:val="21"/>
          <w:lang w:val="es-ES_tradnl"/>
        </w:rPr>
        <w:t>«</w:t>
      </w:r>
      <w:r w:rsidR="00D27753" w:rsidRPr="00104A47">
        <w:rPr>
          <w:rFonts w:ascii="Arial" w:eastAsia="Calibri" w:hAnsi="Arial" w:cs="Arial"/>
          <w:color w:val="000000" w:themeColor="text1"/>
          <w:sz w:val="21"/>
          <w:szCs w:val="21"/>
          <w:lang w:val="es-ES_tradnl"/>
        </w:rPr>
        <w:t>c. ¿Pueden las autoridades a que se refiere el artículo 1 del Decreto 491 de 2020, cuando no cuenten con firma digital, continuar válidamente suscribiendo los actos, providencias y decisiones que adopten mediante firma autógrafa mecánica, digitalizadas o escaneadas, según la disponibilidad de dichos medios? ¿Cuál es el sustento jurídico?</w:t>
      </w:r>
      <w:r w:rsidRPr="00104A47">
        <w:rPr>
          <w:rFonts w:ascii="Arial" w:eastAsia="Calibri" w:hAnsi="Arial" w:cs="Arial"/>
          <w:color w:val="000000" w:themeColor="text1"/>
          <w:sz w:val="21"/>
          <w:szCs w:val="21"/>
          <w:lang w:val="es-ES_tradnl"/>
        </w:rPr>
        <w:t>»</w:t>
      </w:r>
    </w:p>
    <w:p w14:paraId="5499CB35" w14:textId="77777777" w:rsidR="004E28E6" w:rsidRDefault="004E28E6" w:rsidP="004E28E6">
      <w:pPr>
        <w:spacing w:line="276" w:lineRule="auto"/>
        <w:jc w:val="both"/>
        <w:rPr>
          <w:rFonts w:ascii="Arial" w:eastAsia="Calibri" w:hAnsi="Arial" w:cs="Arial"/>
          <w:color w:val="000000" w:themeColor="text1"/>
          <w:sz w:val="22"/>
        </w:rPr>
      </w:pPr>
    </w:p>
    <w:p w14:paraId="3A0DC56E" w14:textId="2327D609" w:rsidR="004E28E6" w:rsidRPr="00546B90" w:rsidRDefault="004E28E6" w:rsidP="008E1FA2">
      <w:pPr>
        <w:spacing w:after="120" w:line="276" w:lineRule="auto"/>
        <w:ind w:firstLine="708"/>
        <w:jc w:val="both"/>
        <w:rPr>
          <w:rFonts w:ascii="Arial" w:eastAsia="Calibri" w:hAnsi="Arial" w:cs="Arial"/>
          <w:color w:val="000000" w:themeColor="text1"/>
          <w:sz w:val="22"/>
        </w:rPr>
      </w:pPr>
      <w:r>
        <w:rPr>
          <w:rFonts w:ascii="Arial" w:eastAsia="Calibri" w:hAnsi="Arial" w:cs="Arial"/>
          <w:color w:val="000000" w:themeColor="text1"/>
          <w:sz w:val="22"/>
        </w:rPr>
        <w:t>Como se indicó en las consideraciones de este concepto, en principio, se presume la autenticidad d</w:t>
      </w:r>
      <w:r w:rsidRPr="00546B90">
        <w:rPr>
          <w:rFonts w:ascii="Arial" w:eastAsia="Calibri" w:hAnsi="Arial" w:cs="Arial"/>
          <w:color w:val="000000" w:themeColor="text1"/>
          <w:sz w:val="22"/>
        </w:rPr>
        <w:t>el documento con firma manuscrita que se escanea posteriormente para</w:t>
      </w:r>
      <w:r>
        <w:rPr>
          <w:rFonts w:ascii="Arial" w:eastAsia="Calibri" w:hAnsi="Arial" w:cs="Arial"/>
          <w:color w:val="000000" w:themeColor="text1"/>
          <w:sz w:val="22"/>
        </w:rPr>
        <w:t xml:space="preserve"> subirlo a una plataforma digital o</w:t>
      </w:r>
      <w:r w:rsidRPr="00546B90">
        <w:rPr>
          <w:rFonts w:ascii="Arial" w:eastAsia="Calibri" w:hAnsi="Arial" w:cs="Arial"/>
          <w:color w:val="000000" w:themeColor="text1"/>
          <w:sz w:val="22"/>
        </w:rPr>
        <w:t xml:space="preserve"> enviarlo, pues aquel está firmado con el puño y letra de la persona que lo suscribe; razón por la cual el hecho de que se escanee para </w:t>
      </w:r>
      <w:r>
        <w:rPr>
          <w:rFonts w:ascii="Arial" w:eastAsia="Calibri" w:hAnsi="Arial" w:cs="Arial"/>
          <w:color w:val="000000" w:themeColor="text1"/>
          <w:sz w:val="22"/>
        </w:rPr>
        <w:t xml:space="preserve">insertarlo o </w:t>
      </w:r>
      <w:r w:rsidRPr="00546B90">
        <w:rPr>
          <w:rFonts w:ascii="Arial" w:eastAsia="Calibri" w:hAnsi="Arial" w:cs="Arial"/>
          <w:color w:val="000000" w:themeColor="text1"/>
          <w:sz w:val="22"/>
        </w:rPr>
        <w:t>enviarlo</w:t>
      </w:r>
      <w:r>
        <w:rPr>
          <w:rFonts w:ascii="Arial" w:eastAsia="Calibri" w:hAnsi="Arial" w:cs="Arial"/>
          <w:color w:val="000000" w:themeColor="text1"/>
          <w:sz w:val="22"/>
        </w:rPr>
        <w:t xml:space="preserve"> a través de un medio</w:t>
      </w:r>
      <w:r w:rsidRPr="00546B90">
        <w:rPr>
          <w:rFonts w:ascii="Arial" w:eastAsia="Calibri" w:hAnsi="Arial" w:cs="Arial"/>
          <w:color w:val="000000" w:themeColor="text1"/>
          <w:sz w:val="22"/>
        </w:rPr>
        <w:t xml:space="preserve"> electrónico no es un motivo para </w:t>
      </w:r>
      <w:r>
        <w:rPr>
          <w:rFonts w:ascii="Arial" w:eastAsia="Calibri" w:hAnsi="Arial" w:cs="Arial"/>
          <w:color w:val="000000" w:themeColor="text1"/>
          <w:sz w:val="22"/>
        </w:rPr>
        <w:t>negar su autenticidad</w:t>
      </w:r>
      <w:r w:rsidRPr="00546B90">
        <w:rPr>
          <w:rFonts w:ascii="Arial" w:eastAsia="Calibri" w:hAnsi="Arial" w:cs="Arial"/>
          <w:color w:val="000000" w:themeColor="text1"/>
          <w:sz w:val="22"/>
        </w:rPr>
        <w:t xml:space="preserve">. </w:t>
      </w:r>
      <w:r>
        <w:rPr>
          <w:rFonts w:ascii="Arial" w:eastAsia="Calibri" w:hAnsi="Arial" w:cs="Arial"/>
          <w:color w:val="000000" w:themeColor="text1"/>
          <w:sz w:val="22"/>
        </w:rPr>
        <w:t>Por el contrario, el documento es una</w:t>
      </w:r>
      <w:r w:rsidRPr="00546B90">
        <w:rPr>
          <w:rFonts w:ascii="Arial" w:eastAsia="Calibri" w:hAnsi="Arial" w:cs="Arial"/>
          <w:color w:val="000000" w:themeColor="text1"/>
          <w:sz w:val="22"/>
        </w:rPr>
        <w:t xml:space="preserve"> copia simple del original y </w:t>
      </w:r>
      <w:r>
        <w:rPr>
          <w:rFonts w:ascii="Arial" w:eastAsia="Calibri" w:hAnsi="Arial" w:cs="Arial"/>
          <w:color w:val="000000" w:themeColor="text1"/>
          <w:sz w:val="22"/>
        </w:rPr>
        <w:t>que se presume auténtica</w:t>
      </w:r>
      <w:r w:rsidRPr="00546B90">
        <w:rPr>
          <w:rFonts w:ascii="Arial" w:eastAsia="Calibri" w:hAnsi="Arial" w:cs="Arial"/>
          <w:color w:val="000000" w:themeColor="text1"/>
          <w:sz w:val="22"/>
        </w:rPr>
        <w:t xml:space="preserve">, salvo que una norma expresa </w:t>
      </w:r>
      <w:r>
        <w:rPr>
          <w:rFonts w:ascii="Arial" w:eastAsia="Calibri" w:hAnsi="Arial" w:cs="Arial"/>
          <w:color w:val="000000" w:themeColor="text1"/>
          <w:sz w:val="22"/>
        </w:rPr>
        <w:t>lo contrario, de conformidad con el artículo 25 del Decreto 019 de 2012.</w:t>
      </w:r>
    </w:p>
    <w:p w14:paraId="3D5BCD06" w14:textId="77777777" w:rsidR="004E28E6" w:rsidRPr="00546B90" w:rsidRDefault="004E28E6" w:rsidP="004E28E6">
      <w:pPr>
        <w:spacing w:after="120" w:line="276" w:lineRule="auto"/>
        <w:ind w:firstLine="708"/>
        <w:jc w:val="both"/>
        <w:rPr>
          <w:rFonts w:ascii="Arial" w:eastAsia="Calibri" w:hAnsi="Arial" w:cs="Arial"/>
          <w:color w:val="000000" w:themeColor="text1"/>
          <w:sz w:val="22"/>
        </w:rPr>
      </w:pPr>
      <w:r w:rsidRPr="00546B90">
        <w:rPr>
          <w:rFonts w:ascii="Arial" w:eastAsia="Calibri" w:hAnsi="Arial" w:cs="Arial"/>
          <w:color w:val="000000" w:themeColor="text1"/>
          <w:sz w:val="22"/>
        </w:rPr>
        <w:lastRenderedPageBreak/>
        <w:t xml:space="preserve">En el </w:t>
      </w:r>
      <w:r w:rsidRPr="00546B90">
        <w:rPr>
          <w:rFonts w:ascii="Arial" w:eastAsia="Calibri" w:hAnsi="Arial" w:cs="Arial"/>
          <w:i/>
          <w:iCs/>
          <w:color w:val="000000" w:themeColor="text1"/>
          <w:sz w:val="22"/>
        </w:rPr>
        <w:t>segundo supuesto</w:t>
      </w:r>
      <w:r w:rsidRPr="00546B90">
        <w:rPr>
          <w:rFonts w:ascii="Arial" w:eastAsia="Calibri" w:hAnsi="Arial" w:cs="Arial"/>
          <w:color w:val="000000" w:themeColor="text1"/>
          <w:sz w:val="22"/>
        </w:rPr>
        <w:t xml:space="preserve">, </w:t>
      </w:r>
      <w:r>
        <w:rPr>
          <w:rFonts w:ascii="Arial" w:eastAsia="Calibri" w:hAnsi="Arial" w:cs="Arial"/>
          <w:color w:val="000000" w:themeColor="text1"/>
          <w:sz w:val="22"/>
        </w:rPr>
        <w:t>es decir, cuando se trata de un</w:t>
      </w:r>
      <w:r w:rsidRPr="00546B90">
        <w:rPr>
          <w:rFonts w:ascii="Arial" w:eastAsia="Calibri" w:hAnsi="Arial" w:cs="Arial"/>
          <w:color w:val="000000" w:themeColor="text1"/>
          <w:sz w:val="22"/>
        </w:rPr>
        <w:t xml:space="preserve"> documento </w:t>
      </w:r>
      <w:r>
        <w:rPr>
          <w:rFonts w:ascii="Arial" w:eastAsia="Calibri" w:hAnsi="Arial" w:cs="Arial"/>
          <w:color w:val="000000" w:themeColor="text1"/>
          <w:sz w:val="22"/>
        </w:rPr>
        <w:t xml:space="preserve">que </w:t>
      </w:r>
      <w:r w:rsidRPr="00546B90">
        <w:rPr>
          <w:rFonts w:ascii="Arial" w:eastAsia="Calibri" w:hAnsi="Arial" w:cs="Arial"/>
          <w:color w:val="000000" w:themeColor="text1"/>
          <w:sz w:val="22"/>
        </w:rPr>
        <w:t xml:space="preserve">tiene una imagen con la firma y se adjunta como archivo </w:t>
      </w:r>
      <w:r>
        <w:rPr>
          <w:rFonts w:ascii="Arial" w:eastAsia="Calibri" w:hAnsi="Arial" w:cs="Arial"/>
          <w:color w:val="000000" w:themeColor="text1"/>
          <w:sz w:val="22"/>
        </w:rPr>
        <w:t>en un medio electrónico</w:t>
      </w:r>
      <w:r w:rsidRPr="00546B90">
        <w:rPr>
          <w:rFonts w:ascii="Arial" w:eastAsia="Calibri" w:hAnsi="Arial" w:cs="Arial"/>
          <w:color w:val="000000" w:themeColor="text1"/>
          <w:sz w:val="22"/>
        </w:rPr>
        <w:t xml:space="preserve">, la entidad </w:t>
      </w:r>
      <w:r>
        <w:rPr>
          <w:rFonts w:ascii="Arial" w:eastAsia="Calibri" w:hAnsi="Arial" w:cs="Arial"/>
          <w:color w:val="000000" w:themeColor="text1"/>
          <w:sz w:val="22"/>
        </w:rPr>
        <w:t>debe verificar</w:t>
      </w:r>
      <w:r w:rsidRPr="00546B90">
        <w:rPr>
          <w:rFonts w:ascii="Arial" w:eastAsia="Calibri" w:hAnsi="Arial" w:cs="Arial"/>
          <w:color w:val="000000" w:themeColor="text1"/>
          <w:sz w:val="22"/>
        </w:rPr>
        <w:t xml:space="preserve"> </w:t>
      </w:r>
      <w:r>
        <w:rPr>
          <w:rFonts w:ascii="Arial" w:eastAsia="Calibri" w:hAnsi="Arial" w:cs="Arial"/>
          <w:color w:val="000000" w:themeColor="text1"/>
          <w:sz w:val="22"/>
        </w:rPr>
        <w:t>que</w:t>
      </w:r>
      <w:r w:rsidRPr="00546B90">
        <w:rPr>
          <w:rFonts w:ascii="Arial" w:eastAsia="Calibri" w:hAnsi="Arial" w:cs="Arial"/>
          <w:color w:val="000000" w:themeColor="text1"/>
          <w:sz w:val="22"/>
        </w:rPr>
        <w:t xml:space="preserve"> el archivo cumpl</w:t>
      </w:r>
      <w:r>
        <w:rPr>
          <w:rFonts w:ascii="Arial" w:eastAsia="Calibri" w:hAnsi="Arial" w:cs="Arial"/>
          <w:color w:val="000000" w:themeColor="text1"/>
          <w:sz w:val="22"/>
        </w:rPr>
        <w:t>a</w:t>
      </w:r>
      <w:r w:rsidRPr="00546B90">
        <w:rPr>
          <w:rFonts w:ascii="Arial" w:eastAsia="Calibri" w:hAnsi="Arial" w:cs="Arial"/>
          <w:color w:val="000000" w:themeColor="text1"/>
          <w:sz w:val="22"/>
        </w:rPr>
        <w:t xml:space="preserve"> con los requisitos de la firma digital o electrónica. Como se mencionó, el artículo 2 de la Ley 527 de 1999 regula la firma digital como un valor numérico que se adhiere a un mensaje de datos y que, utilizando un procedimiento matemático conocido, vinculado a la clave del iniciador y al texto del mensaje, permite determinar que este valor se ha obtenido exclusivamente con la clave del iniciador y que el mensaje inicial no ha sido modificado después de efectuada la transformación. En este sentido, </w:t>
      </w:r>
      <w:r>
        <w:rPr>
          <w:rFonts w:ascii="Arial" w:eastAsia="Calibri" w:hAnsi="Arial" w:cs="Arial"/>
          <w:color w:val="000000" w:themeColor="text1"/>
          <w:sz w:val="22"/>
        </w:rPr>
        <w:t>se debe determinar</w:t>
      </w:r>
      <w:r w:rsidRPr="00546B90">
        <w:rPr>
          <w:rFonts w:ascii="Arial" w:eastAsia="Calibri" w:hAnsi="Arial" w:cs="Arial"/>
          <w:color w:val="000000" w:themeColor="text1"/>
          <w:sz w:val="22"/>
        </w:rPr>
        <w:t xml:space="preserve"> con las entidades de certificación acreditadas por el Organismo Nacional de Acreditación de Colombia </w:t>
      </w:r>
      <w:r>
        <w:rPr>
          <w:rFonts w:ascii="Arial" w:eastAsia="Calibri" w:hAnsi="Arial" w:cs="Arial"/>
          <w:color w:val="000000" w:themeColor="text1"/>
          <w:sz w:val="22"/>
        </w:rPr>
        <w:t>que</w:t>
      </w:r>
      <w:r w:rsidRPr="00546B90">
        <w:rPr>
          <w:rFonts w:ascii="Arial" w:eastAsia="Calibri" w:hAnsi="Arial" w:cs="Arial"/>
          <w:color w:val="000000" w:themeColor="text1"/>
          <w:sz w:val="22"/>
        </w:rPr>
        <w:t xml:space="preserve"> esa firma digital se encuentra registrada. Por otro lado, tratándose de una firma electrónica, </w:t>
      </w:r>
      <w:r>
        <w:rPr>
          <w:rFonts w:ascii="Arial" w:eastAsia="Calibri" w:hAnsi="Arial" w:cs="Arial"/>
          <w:color w:val="000000" w:themeColor="text1"/>
          <w:sz w:val="22"/>
        </w:rPr>
        <w:t>se debe</w:t>
      </w:r>
      <w:r w:rsidRPr="00546B90">
        <w:rPr>
          <w:rFonts w:ascii="Arial" w:eastAsia="Calibri" w:hAnsi="Arial" w:cs="Arial"/>
          <w:color w:val="000000" w:themeColor="text1"/>
          <w:sz w:val="22"/>
        </w:rPr>
        <w:t xml:space="preserve"> verificar i) la identidad del firmante, ii) que el documento firmado es exactamente el mismo que el original y iii) </w:t>
      </w:r>
      <w:r>
        <w:rPr>
          <w:rFonts w:ascii="Arial" w:eastAsia="Calibri" w:hAnsi="Arial" w:cs="Arial"/>
          <w:color w:val="000000" w:themeColor="text1"/>
          <w:sz w:val="22"/>
        </w:rPr>
        <w:t xml:space="preserve">que </w:t>
      </w:r>
      <w:r w:rsidRPr="00546B90">
        <w:rPr>
          <w:rFonts w:ascii="Arial" w:eastAsia="Calibri" w:hAnsi="Arial" w:cs="Arial"/>
          <w:color w:val="000000" w:themeColor="text1"/>
          <w:sz w:val="22"/>
        </w:rPr>
        <w:t xml:space="preserve">los datos que utiliza el firmante para realizar la firma son únicos y exclusivos. </w:t>
      </w:r>
    </w:p>
    <w:p w14:paraId="61B6D271" w14:textId="62A4E2F8" w:rsidR="004E28E6" w:rsidRPr="00317D34" w:rsidRDefault="004E28E6" w:rsidP="004E28E6">
      <w:pPr>
        <w:spacing w:before="120" w:line="276" w:lineRule="auto"/>
        <w:ind w:firstLine="709"/>
        <w:jc w:val="both"/>
        <w:rPr>
          <w:rFonts w:ascii="Arial" w:eastAsia="Calibri" w:hAnsi="Arial" w:cs="Arial"/>
          <w:color w:val="000000" w:themeColor="text1"/>
          <w:sz w:val="22"/>
        </w:rPr>
      </w:pPr>
      <w:r>
        <w:rPr>
          <w:rFonts w:ascii="Arial" w:eastAsia="Calibri" w:hAnsi="Arial" w:cs="Arial"/>
          <w:color w:val="000000" w:themeColor="text1"/>
          <w:sz w:val="22"/>
        </w:rPr>
        <w:t xml:space="preserve">En todo caso, debe precisarse que en los supuestos en los cuales la entidad estatal se encuentre obligada a realizar su actividad contractual a través del SECOP II, la suscripción de los documentos por parte del servidor público competente debe realizarse dentro de aquella plataforma electrónica, pues dicha versión del SECOP tiene carácter </w:t>
      </w:r>
      <w:r w:rsidRPr="00D669E5">
        <w:rPr>
          <w:rFonts w:ascii="Arial" w:eastAsia="Calibri" w:hAnsi="Arial" w:cs="Arial"/>
          <w:i/>
          <w:iCs/>
          <w:color w:val="000000" w:themeColor="text1"/>
          <w:sz w:val="22"/>
        </w:rPr>
        <w:t>transaccional</w:t>
      </w:r>
      <w:r>
        <w:rPr>
          <w:rFonts w:ascii="Arial" w:eastAsia="Calibri" w:hAnsi="Arial" w:cs="Arial"/>
          <w:color w:val="000000" w:themeColor="text1"/>
          <w:sz w:val="22"/>
        </w:rPr>
        <w:t>. Esto quiere decir que las actuaciones se deben efectuar en línea y no resulta, en principio, admisible que se firmen los documentos en forma manuscrita, para luego escanearlos y subirlos adjuntos al aplicativo.</w:t>
      </w:r>
      <w:r w:rsidRPr="00546B90">
        <w:rPr>
          <w:rFonts w:ascii="Arial" w:eastAsia="Calibri" w:hAnsi="Arial" w:cs="Arial"/>
          <w:color w:val="000000" w:themeColor="text1"/>
          <w:sz w:val="22"/>
        </w:rPr>
        <w:t xml:space="preserve"> </w:t>
      </w:r>
    </w:p>
    <w:p w14:paraId="560CA4CD" w14:textId="77777777" w:rsidR="004E28E6" w:rsidRPr="006F1B1E" w:rsidRDefault="004E28E6" w:rsidP="008E1FA2">
      <w:pPr>
        <w:spacing w:line="276" w:lineRule="auto"/>
        <w:jc w:val="both"/>
        <w:rPr>
          <w:rFonts w:ascii="Arial" w:eastAsia="Calibri" w:hAnsi="Arial" w:cs="Arial"/>
          <w:color w:val="000000" w:themeColor="text1"/>
          <w:sz w:val="22"/>
          <w:lang w:val="es-ES_tradnl"/>
        </w:rPr>
      </w:pPr>
    </w:p>
    <w:p w14:paraId="47DEA7AA" w14:textId="275AF789" w:rsidR="00A37FB6" w:rsidRPr="006F1B1E" w:rsidRDefault="00A37FB6" w:rsidP="000E3936">
      <w:pPr>
        <w:spacing w:line="276" w:lineRule="auto"/>
        <w:jc w:val="both"/>
        <w:rPr>
          <w:rFonts w:ascii="Arial" w:eastAsia="Calibri" w:hAnsi="Arial" w:cs="Arial"/>
          <w:color w:val="000000" w:themeColor="text1"/>
          <w:sz w:val="22"/>
          <w:lang w:val="es-ES_tradnl"/>
        </w:rPr>
      </w:pPr>
      <w:r w:rsidRPr="006F1B1E">
        <w:rPr>
          <w:rFonts w:ascii="Arial" w:eastAsia="Calibri" w:hAnsi="Arial" w:cs="Arial"/>
          <w:color w:val="000000" w:themeColor="text1"/>
          <w:sz w:val="22"/>
          <w:lang w:val="es-ES_tradnl"/>
        </w:rPr>
        <w:t>Este concepto tiene el alcance previsto en el artículo 28 del Código de Procedimiento Administrativo y de lo Contencioso Administrativo.</w:t>
      </w:r>
    </w:p>
    <w:p w14:paraId="16A1B1AF" w14:textId="77777777" w:rsidR="005E6A6B" w:rsidRPr="00EC5AE5" w:rsidRDefault="005E6A6B" w:rsidP="005E6A6B">
      <w:pPr>
        <w:pStyle w:val="NormalWeb"/>
        <w:spacing w:before="0" w:beforeAutospacing="0" w:after="0" w:afterAutospacing="0" w:line="276" w:lineRule="auto"/>
        <w:jc w:val="both"/>
        <w:rPr>
          <w:rFonts w:ascii="Arial" w:hAnsi="Arial" w:cs="Arial"/>
          <w:color w:val="000000" w:themeColor="text1"/>
          <w:sz w:val="22"/>
          <w:szCs w:val="22"/>
          <w:lang w:val="es-ES_tradnl"/>
        </w:rPr>
      </w:pPr>
    </w:p>
    <w:p w14:paraId="542A33C1" w14:textId="77777777" w:rsidR="005E6A6B" w:rsidRPr="00EC5AE5" w:rsidRDefault="005E6A6B" w:rsidP="005E6A6B">
      <w:pPr>
        <w:pStyle w:val="NormalWeb"/>
        <w:spacing w:before="0" w:beforeAutospacing="0" w:after="0" w:afterAutospacing="0" w:line="276" w:lineRule="auto"/>
        <w:jc w:val="both"/>
        <w:rPr>
          <w:rFonts w:ascii="Arial" w:hAnsi="Arial" w:cs="Arial"/>
          <w:color w:val="000000" w:themeColor="text1"/>
          <w:sz w:val="22"/>
          <w:szCs w:val="22"/>
          <w:lang w:val="es-ES_tradnl"/>
        </w:rPr>
      </w:pPr>
      <w:r w:rsidRPr="00EC5AE5">
        <w:rPr>
          <w:rFonts w:ascii="Arial" w:hAnsi="Arial" w:cs="Arial"/>
          <w:color w:val="000000" w:themeColor="text1"/>
          <w:sz w:val="22"/>
          <w:szCs w:val="22"/>
          <w:lang w:val="es-ES_tradnl"/>
        </w:rPr>
        <w:t>Atentamente,</w:t>
      </w:r>
    </w:p>
    <w:p w14:paraId="72106141" w14:textId="77777777" w:rsidR="005E6A6B" w:rsidRPr="00EC5AE5" w:rsidRDefault="005E6A6B" w:rsidP="005E6A6B">
      <w:pPr>
        <w:pStyle w:val="NormalWeb"/>
        <w:spacing w:before="0" w:beforeAutospacing="0" w:after="0" w:afterAutospacing="0" w:line="276" w:lineRule="auto"/>
        <w:jc w:val="both"/>
        <w:rPr>
          <w:rFonts w:ascii="Arial" w:hAnsi="Arial" w:cs="Arial"/>
          <w:color w:val="000000" w:themeColor="text1"/>
          <w:sz w:val="22"/>
          <w:szCs w:val="22"/>
          <w:lang w:val="es-ES_tradnl"/>
        </w:rPr>
      </w:pPr>
    </w:p>
    <w:p w14:paraId="796FFB43" w14:textId="54952C7A" w:rsidR="005E6A6B" w:rsidRPr="00A30130" w:rsidRDefault="00A30130" w:rsidP="00A30130">
      <w:pPr>
        <w:jc w:val="center"/>
      </w:pPr>
      <w:r>
        <w:rPr>
          <w:noProof/>
          <w:lang w:eastAsia="es-ES"/>
        </w:rPr>
        <w:drawing>
          <wp:inline distT="0" distB="0" distL="0" distR="0" wp14:anchorId="1AF4EDC4" wp14:editId="4DEEDED0">
            <wp:extent cx="2519045" cy="1049562"/>
            <wp:effectExtent l="0" t="0" r="0" b="508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567172" cy="1069614"/>
                    </a:xfrm>
                    <a:prstGeom prst="rect">
                      <a:avLst/>
                    </a:prstGeom>
                    <a:noFill/>
                    <a:ln>
                      <a:noFill/>
                    </a:ln>
                  </pic:spPr>
                </pic:pic>
              </a:graphicData>
            </a:graphic>
          </wp:inline>
        </w:drawing>
      </w:r>
      <w:r>
        <w:rPr>
          <w:rFonts w:ascii="Arial" w:hAnsi="Arial" w:cs="Arial"/>
          <w:color w:val="000000"/>
          <w:sz w:val="22"/>
          <w:szCs w:val="22"/>
          <w:shd w:val="clear" w:color="auto" w:fill="FFFFFF"/>
          <w:lang w:val="es-ES"/>
        </w:rPr>
        <w:br/>
      </w:r>
    </w:p>
    <w:p w14:paraId="580734E5" w14:textId="77777777" w:rsidR="005E6A6B" w:rsidRPr="00EC5AE5" w:rsidRDefault="005E6A6B" w:rsidP="005E6A6B">
      <w:pPr>
        <w:jc w:val="center"/>
        <w:rPr>
          <w:rFonts w:ascii="Arial" w:hAnsi="Arial" w:cs="Arial"/>
          <w:color w:val="000000" w:themeColor="text1"/>
          <w:sz w:val="18"/>
          <w:szCs w:val="20"/>
          <w:lang w:val="es-ES_tradnl"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5E6A6B" w:rsidRPr="00EC5AE5" w14:paraId="4D995D81" w14:textId="77777777" w:rsidTr="009A14A1">
        <w:trPr>
          <w:trHeight w:val="315"/>
        </w:trPr>
        <w:tc>
          <w:tcPr>
            <w:tcW w:w="812" w:type="dxa"/>
            <w:vAlign w:val="center"/>
            <w:hideMark/>
          </w:tcPr>
          <w:p w14:paraId="27852343" w14:textId="77777777" w:rsidR="005E6A6B" w:rsidRPr="00EC5AE5" w:rsidRDefault="005E6A6B" w:rsidP="009A14A1">
            <w:pPr>
              <w:jc w:val="both"/>
              <w:rPr>
                <w:rFonts w:ascii="Arial" w:hAnsi="Arial" w:cs="Arial"/>
                <w:color w:val="000000" w:themeColor="text1"/>
                <w:sz w:val="16"/>
                <w:szCs w:val="16"/>
                <w:lang w:val="es-ES_tradnl" w:eastAsia="es-ES"/>
              </w:rPr>
            </w:pPr>
            <w:r w:rsidRPr="00EC5AE5">
              <w:rPr>
                <w:rFonts w:ascii="Arial" w:hAnsi="Arial" w:cs="Arial"/>
                <w:color w:val="000000" w:themeColor="text1"/>
                <w:sz w:val="16"/>
                <w:szCs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39A694A9" w14:textId="77777777" w:rsidR="005E6A6B" w:rsidRPr="00EC5AE5" w:rsidRDefault="005E6A6B" w:rsidP="009A14A1">
            <w:pPr>
              <w:jc w:val="both"/>
              <w:rPr>
                <w:rFonts w:ascii="Arial" w:hAnsi="Arial" w:cs="Arial"/>
                <w:color w:val="000000" w:themeColor="text1"/>
                <w:sz w:val="16"/>
                <w:szCs w:val="16"/>
                <w:lang w:val="es-ES_tradnl" w:eastAsia="es-ES"/>
              </w:rPr>
            </w:pPr>
            <w:r w:rsidRPr="00EC5AE5">
              <w:rPr>
                <w:rFonts w:ascii="Arial" w:hAnsi="Arial" w:cs="Arial"/>
                <w:color w:val="000000" w:themeColor="text1"/>
                <w:sz w:val="16"/>
                <w:szCs w:val="16"/>
                <w:lang w:val="es-ES_tradnl" w:eastAsia="es-ES"/>
              </w:rPr>
              <w:t>Cristian Andrés Díaz Díez</w:t>
            </w:r>
          </w:p>
          <w:p w14:paraId="46A1F0A2" w14:textId="77777777" w:rsidR="005E6A6B" w:rsidRPr="00EC5AE5" w:rsidRDefault="005E6A6B" w:rsidP="009A14A1">
            <w:pPr>
              <w:jc w:val="both"/>
              <w:rPr>
                <w:rFonts w:ascii="Arial" w:hAnsi="Arial" w:cs="Arial"/>
                <w:color w:val="000000" w:themeColor="text1"/>
                <w:sz w:val="16"/>
                <w:szCs w:val="16"/>
                <w:lang w:val="es-ES_tradnl" w:eastAsia="es-ES"/>
              </w:rPr>
            </w:pPr>
            <w:r w:rsidRPr="00EC5AE5">
              <w:rPr>
                <w:rFonts w:ascii="Arial" w:hAnsi="Arial" w:cs="Arial"/>
                <w:color w:val="000000" w:themeColor="text1"/>
                <w:sz w:val="16"/>
                <w:szCs w:val="16"/>
                <w:lang w:val="es-ES_tradnl" w:eastAsia="es-ES"/>
              </w:rPr>
              <w:t>Contratista de la Subdirección de Gestión Contractual</w:t>
            </w:r>
          </w:p>
        </w:tc>
      </w:tr>
      <w:tr w:rsidR="005E6A6B" w:rsidRPr="00EC5AE5" w14:paraId="1E06424D" w14:textId="77777777" w:rsidTr="009A14A1">
        <w:trPr>
          <w:trHeight w:val="330"/>
        </w:trPr>
        <w:tc>
          <w:tcPr>
            <w:tcW w:w="812" w:type="dxa"/>
            <w:vAlign w:val="center"/>
            <w:hideMark/>
          </w:tcPr>
          <w:p w14:paraId="0FA4F1DC" w14:textId="77777777" w:rsidR="005E6A6B" w:rsidRPr="00EC5AE5" w:rsidRDefault="005E6A6B" w:rsidP="009A14A1">
            <w:pPr>
              <w:jc w:val="both"/>
              <w:rPr>
                <w:rFonts w:ascii="Arial" w:hAnsi="Arial" w:cs="Arial"/>
                <w:color w:val="000000" w:themeColor="text1"/>
                <w:sz w:val="16"/>
                <w:szCs w:val="16"/>
                <w:lang w:val="es-ES_tradnl" w:eastAsia="es-ES"/>
              </w:rPr>
            </w:pPr>
            <w:r w:rsidRPr="00EC5AE5">
              <w:rPr>
                <w:rFonts w:ascii="Arial" w:hAnsi="Arial" w:cs="Arial"/>
                <w:color w:val="000000" w:themeColor="text1"/>
                <w:sz w:val="16"/>
                <w:szCs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45DF5026" w14:textId="77777777" w:rsidR="005E6A6B" w:rsidRPr="00EC5AE5" w:rsidRDefault="005E6A6B" w:rsidP="009A14A1">
            <w:pPr>
              <w:rPr>
                <w:rFonts w:ascii="Arial" w:hAnsi="Arial" w:cs="Arial"/>
                <w:noProof/>
                <w:sz w:val="16"/>
                <w:szCs w:val="16"/>
                <w:lang w:val="es-ES_tradnl" w:eastAsia="es-ES"/>
              </w:rPr>
            </w:pPr>
            <w:r w:rsidRPr="00EC5AE5">
              <w:rPr>
                <w:rFonts w:ascii="Arial" w:hAnsi="Arial" w:cs="Arial"/>
                <w:noProof/>
                <w:sz w:val="16"/>
                <w:szCs w:val="16"/>
                <w:lang w:val="es-ES_tradnl" w:eastAsia="es-ES"/>
              </w:rPr>
              <w:t>Alejandro Sarmiento Cantillo</w:t>
            </w:r>
          </w:p>
          <w:p w14:paraId="2312A9BB" w14:textId="77777777" w:rsidR="005E6A6B" w:rsidRPr="00EC5AE5" w:rsidRDefault="005E6A6B" w:rsidP="009A14A1">
            <w:pPr>
              <w:jc w:val="both"/>
              <w:rPr>
                <w:rFonts w:ascii="Arial" w:hAnsi="Arial" w:cs="Arial"/>
                <w:color w:val="000000" w:themeColor="text1"/>
                <w:sz w:val="16"/>
                <w:szCs w:val="16"/>
                <w:lang w:val="es-ES_tradnl" w:eastAsia="es-ES"/>
              </w:rPr>
            </w:pPr>
            <w:r w:rsidRPr="00EC5AE5">
              <w:rPr>
                <w:rFonts w:ascii="Arial" w:hAnsi="Arial" w:cs="Arial"/>
                <w:noProof/>
                <w:sz w:val="16"/>
                <w:szCs w:val="16"/>
                <w:lang w:val="es-ES_tradnl" w:eastAsia="es-ES"/>
              </w:rPr>
              <w:t>Gestor T1-15 de la Subdirección de Gestión Contractual</w:t>
            </w:r>
          </w:p>
        </w:tc>
      </w:tr>
      <w:tr w:rsidR="005E6A6B" w:rsidRPr="008E7053" w14:paraId="5A225B2B" w14:textId="77777777" w:rsidTr="009A14A1">
        <w:trPr>
          <w:trHeight w:val="300"/>
        </w:trPr>
        <w:tc>
          <w:tcPr>
            <w:tcW w:w="812" w:type="dxa"/>
            <w:vAlign w:val="center"/>
            <w:hideMark/>
          </w:tcPr>
          <w:p w14:paraId="712A55DE" w14:textId="77777777" w:rsidR="005E6A6B" w:rsidRPr="00EC5AE5" w:rsidRDefault="005E6A6B" w:rsidP="009A14A1">
            <w:pPr>
              <w:jc w:val="both"/>
              <w:rPr>
                <w:rFonts w:ascii="Arial" w:hAnsi="Arial" w:cs="Arial"/>
                <w:color w:val="000000" w:themeColor="text1"/>
                <w:sz w:val="16"/>
                <w:szCs w:val="16"/>
                <w:lang w:val="es-ES_tradnl" w:eastAsia="es-ES"/>
              </w:rPr>
            </w:pPr>
            <w:r w:rsidRPr="00EC5AE5">
              <w:rPr>
                <w:rFonts w:ascii="Arial" w:hAnsi="Arial" w:cs="Arial"/>
                <w:color w:val="000000" w:themeColor="text1"/>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002D13F2" w14:textId="77777777" w:rsidR="005E6A6B" w:rsidRPr="00EC5AE5" w:rsidRDefault="005E6A6B" w:rsidP="009A14A1">
            <w:pPr>
              <w:jc w:val="both"/>
              <w:rPr>
                <w:rFonts w:ascii="Arial" w:hAnsi="Arial" w:cs="Arial"/>
                <w:color w:val="000000" w:themeColor="text1"/>
                <w:sz w:val="16"/>
                <w:szCs w:val="16"/>
                <w:lang w:val="es-ES_tradnl" w:eastAsia="es-ES"/>
              </w:rPr>
            </w:pPr>
            <w:r w:rsidRPr="00EC5AE5">
              <w:rPr>
                <w:rFonts w:ascii="Arial" w:hAnsi="Arial" w:cs="Arial"/>
                <w:color w:val="000000" w:themeColor="text1"/>
                <w:sz w:val="16"/>
                <w:szCs w:val="16"/>
                <w:lang w:val="es-ES_tradnl" w:eastAsia="es-ES"/>
              </w:rPr>
              <w:t>Juan David Marín López</w:t>
            </w:r>
          </w:p>
          <w:p w14:paraId="5C62ECC6" w14:textId="77777777" w:rsidR="005E6A6B" w:rsidRPr="008E7053" w:rsidRDefault="005E6A6B" w:rsidP="009A14A1">
            <w:pPr>
              <w:jc w:val="both"/>
              <w:rPr>
                <w:rFonts w:ascii="Arial" w:hAnsi="Arial" w:cs="Arial"/>
                <w:color w:val="000000" w:themeColor="text1"/>
                <w:sz w:val="16"/>
                <w:szCs w:val="16"/>
                <w:lang w:val="es-ES_tradnl" w:eastAsia="es-ES"/>
              </w:rPr>
            </w:pPr>
            <w:r w:rsidRPr="00EC5AE5">
              <w:rPr>
                <w:rFonts w:ascii="Arial" w:hAnsi="Arial" w:cs="Arial"/>
                <w:color w:val="000000" w:themeColor="text1"/>
                <w:sz w:val="16"/>
                <w:szCs w:val="16"/>
                <w:lang w:val="es-ES_tradnl" w:eastAsia="es-ES"/>
              </w:rPr>
              <w:t>Subdirector de Gestión Contractual (E) ANCP – CCE</w:t>
            </w:r>
          </w:p>
        </w:tc>
      </w:tr>
    </w:tbl>
    <w:p w14:paraId="731076C8" w14:textId="77777777" w:rsidR="005E6A6B" w:rsidRPr="008E7053" w:rsidRDefault="005E6A6B" w:rsidP="005E6A6B">
      <w:pPr>
        <w:rPr>
          <w:rFonts w:ascii="Arial" w:hAnsi="Arial" w:cs="Arial"/>
          <w:lang w:val="es-ES_tradnl"/>
        </w:rPr>
      </w:pPr>
    </w:p>
    <w:p w14:paraId="59A9C1A7" w14:textId="77777777" w:rsidR="005E6A6B" w:rsidRPr="008E7053" w:rsidRDefault="005E6A6B" w:rsidP="005E6A6B">
      <w:pPr>
        <w:jc w:val="both"/>
        <w:rPr>
          <w:rFonts w:ascii="Arial" w:hAnsi="Arial" w:cs="Arial"/>
          <w:lang w:val="es-ES_tradnl"/>
        </w:rPr>
      </w:pPr>
    </w:p>
    <w:p w14:paraId="35B56F46" w14:textId="77777777" w:rsidR="00746E08" w:rsidRPr="006F1B1E" w:rsidRDefault="00746E08" w:rsidP="005E6A6B">
      <w:pPr>
        <w:pStyle w:val="NormalWeb"/>
        <w:spacing w:before="0" w:beforeAutospacing="0" w:after="0" w:afterAutospacing="0" w:line="276" w:lineRule="auto"/>
        <w:jc w:val="both"/>
        <w:rPr>
          <w:rFonts w:ascii="Arial" w:hAnsi="Arial" w:cs="Arial"/>
          <w:color w:val="000000" w:themeColor="text1"/>
          <w:sz w:val="16"/>
          <w:szCs w:val="16"/>
          <w:lang w:val="es-ES_tradnl" w:eastAsia="es-ES"/>
        </w:rPr>
      </w:pPr>
    </w:p>
    <w:sectPr w:rsidR="00746E08" w:rsidRPr="006F1B1E" w:rsidSect="005D791B">
      <w:headerReference w:type="default" r:id="rId13"/>
      <w:footerReference w:type="default" r:id="rId14"/>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A07001" w14:textId="77777777" w:rsidR="009B39B0" w:rsidRDefault="009B39B0">
      <w:r>
        <w:separator/>
      </w:r>
    </w:p>
  </w:endnote>
  <w:endnote w:type="continuationSeparator" w:id="0">
    <w:p w14:paraId="2CA0539B" w14:textId="77777777" w:rsidR="009B39B0" w:rsidRDefault="009B39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F02A34" w14:textId="77777777" w:rsidR="009F5FAB" w:rsidRDefault="009F5FAB" w:rsidP="00322937">
    <w:pPr>
      <w:pStyle w:val="Sinespaciado"/>
      <w:jc w:val="right"/>
      <w:rPr>
        <w:rFonts w:ascii="Arial" w:hAnsi="Arial" w:cs="Arial"/>
        <w:sz w:val="18"/>
        <w:szCs w:val="18"/>
      </w:rPr>
    </w:pPr>
  </w:p>
  <w:p w14:paraId="7A3785F3" w14:textId="72A82257" w:rsidR="009F5FAB" w:rsidRPr="008217B7" w:rsidRDefault="009F5FAB"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675623">
      <w:rPr>
        <w:rFonts w:ascii="Arial" w:hAnsi="Arial" w:cs="Arial"/>
        <w:b/>
        <w:bCs/>
        <w:noProof/>
        <w:color w:val="7F7F7F" w:themeColor="text1" w:themeTint="80"/>
        <w:sz w:val="16"/>
        <w:szCs w:val="16"/>
      </w:rPr>
      <w:t>18</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675623">
      <w:rPr>
        <w:rFonts w:ascii="Arial" w:hAnsi="Arial" w:cs="Arial"/>
        <w:b/>
        <w:bCs/>
        <w:noProof/>
        <w:color w:val="7F7F7F" w:themeColor="text1" w:themeTint="80"/>
        <w:sz w:val="16"/>
        <w:szCs w:val="16"/>
      </w:rPr>
      <w:t>18</w:t>
    </w:r>
    <w:r w:rsidRPr="00084B97">
      <w:rPr>
        <w:rFonts w:ascii="Arial" w:hAnsi="Arial" w:cs="Arial"/>
        <w:b/>
        <w:bCs/>
        <w:color w:val="7F7F7F" w:themeColor="text1" w:themeTint="80"/>
        <w:sz w:val="16"/>
        <w:szCs w:val="16"/>
      </w:rPr>
      <w:fldChar w:fldCharType="end"/>
    </w:r>
  </w:p>
  <w:p w14:paraId="48FC6A04" w14:textId="5FD1A7C9" w:rsidR="009F5FAB" w:rsidRDefault="0623809C" w:rsidP="00322937">
    <w:pPr>
      <w:pStyle w:val="Piedepgina"/>
      <w:jc w:val="center"/>
      <w:rPr>
        <w:lang w:val="es-ES"/>
      </w:rPr>
    </w:pPr>
    <w:r>
      <w:rPr>
        <w:noProof/>
      </w:rPr>
      <w:drawing>
        <wp:inline distT="0" distB="0" distL="0" distR="0" wp14:anchorId="608B196D" wp14:editId="71976769">
          <wp:extent cx="3700130" cy="519139"/>
          <wp:effectExtent l="0" t="0" r="0" b="0"/>
          <wp:docPr id="1710553917"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5D0E988C" w14:textId="77777777" w:rsidR="009F5FAB" w:rsidRDefault="009F5FAB" w:rsidP="007B0854">
    <w:pPr>
      <w:pStyle w:val="Piedepgina"/>
      <w:jc w:val="center"/>
      <w:rPr>
        <w:lang w:val="es-ES"/>
      </w:rPr>
    </w:pPr>
  </w:p>
  <w:p w14:paraId="6C0EFC49" w14:textId="77777777" w:rsidR="009F5FAB" w:rsidRPr="007B0854" w:rsidRDefault="009F5FAB"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C580DF" w14:textId="77777777" w:rsidR="009B39B0" w:rsidRDefault="009B39B0">
      <w:r>
        <w:separator/>
      </w:r>
    </w:p>
  </w:footnote>
  <w:footnote w:type="continuationSeparator" w:id="0">
    <w:p w14:paraId="4C6F1353" w14:textId="77777777" w:rsidR="009B39B0" w:rsidRDefault="009B39B0">
      <w:r>
        <w:continuationSeparator/>
      </w:r>
    </w:p>
  </w:footnote>
  <w:footnote w:id="1">
    <w:p w14:paraId="188D891E" w14:textId="49AD329C" w:rsidR="00875F1A" w:rsidRPr="00031F88" w:rsidRDefault="00875F1A" w:rsidP="00031F88">
      <w:pPr>
        <w:pStyle w:val="Textonotapie"/>
        <w:ind w:firstLine="709"/>
        <w:jc w:val="both"/>
        <w:rPr>
          <w:rFonts w:ascii="Arial" w:eastAsia="Calibri" w:hAnsi="Arial" w:cs="Arial"/>
          <w:color w:val="000000" w:themeColor="text1"/>
          <w:sz w:val="19"/>
          <w:szCs w:val="19"/>
          <w:lang w:val="es-ES_tradnl"/>
        </w:rPr>
      </w:pPr>
      <w:r w:rsidRPr="00031F88">
        <w:rPr>
          <w:rStyle w:val="Refdenotaalpie"/>
          <w:rFonts w:ascii="Arial" w:hAnsi="Arial" w:cs="Arial"/>
          <w:color w:val="000000" w:themeColor="text1"/>
          <w:sz w:val="19"/>
          <w:szCs w:val="19"/>
        </w:rPr>
        <w:footnoteRef/>
      </w:r>
      <w:r w:rsidRPr="00031F88">
        <w:rPr>
          <w:rFonts w:ascii="Arial" w:hAnsi="Arial" w:cs="Arial"/>
          <w:color w:val="000000" w:themeColor="text1"/>
          <w:sz w:val="19"/>
          <w:szCs w:val="19"/>
        </w:rPr>
        <w:t xml:space="preserve"> </w:t>
      </w:r>
      <w:r w:rsidRPr="00031F88">
        <w:rPr>
          <w:rFonts w:ascii="Arial" w:eastAsia="Calibri" w:hAnsi="Arial" w:cs="Arial"/>
          <w:color w:val="000000" w:themeColor="text1"/>
          <w:sz w:val="19"/>
          <w:szCs w:val="19"/>
          <w:lang w:val="es-ES_tradnl"/>
        </w:rPr>
        <w:t>«Por la cual se dictan disposiciones sobre racionalización de trámites y procedimientos administrativos de los organismos y entidades del Estado y de los particulares que ejercen funciones públicas o prestan servicios públicos».</w:t>
      </w:r>
    </w:p>
    <w:p w14:paraId="0C58E746" w14:textId="77777777" w:rsidR="00875F1A" w:rsidRPr="00031F88" w:rsidRDefault="00875F1A" w:rsidP="00031F88">
      <w:pPr>
        <w:pStyle w:val="Textonotapie"/>
        <w:ind w:firstLine="709"/>
        <w:jc w:val="both"/>
        <w:rPr>
          <w:rFonts w:ascii="Arial" w:hAnsi="Arial" w:cs="Arial"/>
          <w:color w:val="000000" w:themeColor="text1"/>
          <w:sz w:val="19"/>
          <w:szCs w:val="19"/>
          <w:lang w:val="es-ES"/>
        </w:rPr>
      </w:pPr>
    </w:p>
  </w:footnote>
  <w:footnote w:id="2">
    <w:p w14:paraId="681F2BD4" w14:textId="736E5890" w:rsidR="009F5FAB" w:rsidRPr="00031F88" w:rsidRDefault="009F5FAB" w:rsidP="00031F88">
      <w:pPr>
        <w:pStyle w:val="Textonotapie"/>
        <w:ind w:firstLine="709"/>
        <w:jc w:val="both"/>
        <w:rPr>
          <w:rFonts w:ascii="Arial" w:hAnsi="Arial" w:cs="Arial"/>
          <w:color w:val="000000" w:themeColor="text1"/>
          <w:sz w:val="19"/>
          <w:szCs w:val="19"/>
          <w:lang w:val="es-ES"/>
        </w:rPr>
      </w:pPr>
      <w:r w:rsidRPr="00031F88">
        <w:rPr>
          <w:rStyle w:val="Refdenotaalpie"/>
          <w:rFonts w:ascii="Arial" w:hAnsi="Arial" w:cs="Arial"/>
          <w:color w:val="000000" w:themeColor="text1"/>
          <w:sz w:val="19"/>
          <w:szCs w:val="19"/>
        </w:rPr>
        <w:footnoteRef/>
      </w:r>
      <w:r w:rsidRPr="00031F88">
        <w:rPr>
          <w:rFonts w:ascii="Arial" w:hAnsi="Arial" w:cs="Arial"/>
          <w:color w:val="000000" w:themeColor="text1"/>
          <w:sz w:val="19"/>
          <w:szCs w:val="19"/>
        </w:rPr>
        <w:t xml:space="preserve"> </w:t>
      </w:r>
      <w:r w:rsidRPr="00031F88">
        <w:rPr>
          <w:rFonts w:ascii="Arial" w:hAnsi="Arial" w:cs="Arial"/>
          <w:color w:val="000000" w:themeColor="text1"/>
          <w:sz w:val="19"/>
          <w:szCs w:val="19"/>
          <w:lang w:val="es-ES"/>
        </w:rPr>
        <w:t>«Artículo 6°. Medios tecnológicos. Para atender los trámites y procedimientos de su competencia, los organismos y entidades de la Administración Pública deberán ponerlos en conocimiento de los ciudadanos en la forma prevista en las disposiciones vigentes, o emplear, adicionalmente, cualquier medio tecnológico o documento electrónico de que dispongan, a fin de hacer efectivos los principios de igualdad, economía, celeridad, imparcialidad, publicidad, moralidad y eficacia en la función administrativa. Para el efecto, podrán implementar las condiciones y requisitos de seguridad que para cada caso sean procedentes, sin perjuicio de las competencias que en esta materia tengan algunas entidades especializadas.</w:t>
      </w:r>
    </w:p>
    <w:p w14:paraId="75DD4063" w14:textId="6B48834C" w:rsidR="009F5FAB" w:rsidRPr="00031F88" w:rsidRDefault="009F5FAB" w:rsidP="00031F88">
      <w:pPr>
        <w:pStyle w:val="Textonotapie"/>
        <w:ind w:firstLine="709"/>
        <w:jc w:val="both"/>
        <w:rPr>
          <w:rFonts w:ascii="Arial" w:hAnsi="Arial" w:cs="Arial"/>
          <w:color w:val="000000" w:themeColor="text1"/>
          <w:sz w:val="19"/>
          <w:szCs w:val="19"/>
          <w:lang w:val="es-ES"/>
        </w:rPr>
      </w:pPr>
      <w:r w:rsidRPr="00031F88">
        <w:rPr>
          <w:rFonts w:ascii="Arial" w:hAnsi="Arial" w:cs="Arial"/>
          <w:color w:val="000000" w:themeColor="text1"/>
          <w:sz w:val="19"/>
          <w:szCs w:val="19"/>
          <w:lang w:val="es-ES"/>
        </w:rPr>
        <w:t>»La sustanciación de las actuaciones así como la expedición de los actos administrativos, tendrán lugar en la forma prevista en las disposiciones vigentes. Para el trámite, notificación y publicación de tales actuaciones y actos, podrán adicionalmente utilizarse soportes, medios y aplicaciones electrónicas.</w:t>
      </w:r>
    </w:p>
    <w:p w14:paraId="3675BD9E" w14:textId="57E1FC9C" w:rsidR="009F5FAB" w:rsidRPr="00031F88" w:rsidRDefault="009F5FAB" w:rsidP="00031F88">
      <w:pPr>
        <w:pStyle w:val="Textonotapie"/>
        <w:ind w:firstLine="709"/>
        <w:jc w:val="both"/>
        <w:rPr>
          <w:rFonts w:ascii="Arial" w:hAnsi="Arial" w:cs="Arial"/>
          <w:color w:val="000000" w:themeColor="text1"/>
          <w:sz w:val="19"/>
          <w:szCs w:val="19"/>
          <w:lang w:val="es-ES"/>
        </w:rPr>
      </w:pPr>
      <w:r w:rsidRPr="00031F88">
        <w:rPr>
          <w:rFonts w:ascii="Arial" w:hAnsi="Arial" w:cs="Arial"/>
          <w:color w:val="000000" w:themeColor="text1"/>
          <w:sz w:val="19"/>
          <w:szCs w:val="19"/>
          <w:lang w:val="es-ES"/>
        </w:rPr>
        <w:t>»Toda persona podrá presentar peticiones, quejas, reclamaciones o recursos, mediante cualquier medio tecnológico o electrónico del cual dispongan las entidades y organismos de la Administración Pública.</w:t>
      </w:r>
    </w:p>
    <w:p w14:paraId="1293A60A" w14:textId="13A4CC35" w:rsidR="009F5FAB" w:rsidRPr="00031F88" w:rsidRDefault="009F5FAB" w:rsidP="00031F88">
      <w:pPr>
        <w:pStyle w:val="Textonotapie"/>
        <w:ind w:firstLine="709"/>
        <w:jc w:val="both"/>
        <w:rPr>
          <w:rFonts w:ascii="Arial" w:hAnsi="Arial" w:cs="Arial"/>
          <w:color w:val="000000" w:themeColor="text1"/>
          <w:sz w:val="19"/>
          <w:szCs w:val="19"/>
          <w:lang w:val="es-ES"/>
        </w:rPr>
      </w:pPr>
      <w:r w:rsidRPr="00031F88">
        <w:rPr>
          <w:rFonts w:ascii="Arial" w:hAnsi="Arial" w:cs="Arial"/>
          <w:color w:val="000000" w:themeColor="text1"/>
          <w:sz w:val="19"/>
          <w:szCs w:val="19"/>
          <w:lang w:val="es-ES"/>
        </w:rPr>
        <w:t>»En los casos de peticiones relacionadas con el reconocimiento de una prestación económica en todo caso deben allegarse los documentos físicos que soporten el derecho que se reclama.</w:t>
      </w:r>
    </w:p>
    <w:p w14:paraId="7AC2D24D" w14:textId="343AD76F" w:rsidR="009F5FAB" w:rsidRPr="00031F88" w:rsidRDefault="009F5FAB" w:rsidP="00031F88">
      <w:pPr>
        <w:pStyle w:val="Textonotapie"/>
        <w:ind w:firstLine="709"/>
        <w:jc w:val="both"/>
        <w:rPr>
          <w:rFonts w:ascii="Arial" w:hAnsi="Arial" w:cs="Arial"/>
          <w:color w:val="000000" w:themeColor="text1"/>
          <w:sz w:val="19"/>
          <w:szCs w:val="19"/>
          <w:lang w:val="es-ES"/>
        </w:rPr>
      </w:pPr>
      <w:r w:rsidRPr="00031F88">
        <w:rPr>
          <w:rFonts w:ascii="Arial" w:hAnsi="Arial" w:cs="Arial"/>
          <w:color w:val="000000" w:themeColor="text1"/>
          <w:sz w:val="19"/>
          <w:szCs w:val="19"/>
          <w:lang w:val="es-ES"/>
        </w:rPr>
        <w:t>»La utilización de medios electrónicos se regirá por lo dispuesto en la Ley 527 de 1999 y en las normas que la complementen, adicionen o modifiquen, en concordancia con las disposiciones del Capítulo 8 del Título XIII, Sección Tercera, Libro Segundo, artículos 251 a 293, del Código de Procedimiento Civil, y demás normas aplicables, siempre que sea posible verificar la identidad del remitente, así como la fecha de recibo del documento.</w:t>
      </w:r>
    </w:p>
    <w:p w14:paraId="7A8C55EC" w14:textId="5067906B" w:rsidR="009F5FAB" w:rsidRPr="00031F88" w:rsidRDefault="009F5FAB" w:rsidP="00031F88">
      <w:pPr>
        <w:pStyle w:val="Textonotapie"/>
        <w:ind w:firstLine="709"/>
        <w:jc w:val="both"/>
        <w:rPr>
          <w:rFonts w:ascii="Arial" w:hAnsi="Arial" w:cs="Arial"/>
          <w:color w:val="000000" w:themeColor="text1"/>
          <w:sz w:val="19"/>
          <w:szCs w:val="19"/>
          <w:lang w:val="es-ES"/>
        </w:rPr>
      </w:pPr>
      <w:r w:rsidRPr="00031F88">
        <w:rPr>
          <w:rFonts w:ascii="Arial" w:hAnsi="Arial" w:cs="Arial"/>
          <w:color w:val="000000" w:themeColor="text1"/>
          <w:sz w:val="19"/>
          <w:szCs w:val="19"/>
          <w:lang w:val="es-ES"/>
        </w:rPr>
        <w:t>»Parágrafo 1°. Las entidades y organismos de la Administración Pública deberán hacer públicos los medios tecnológicos o electrónicos de que dispongan, para permitir su utilización.</w:t>
      </w:r>
    </w:p>
    <w:p w14:paraId="63FC977D" w14:textId="301C4392" w:rsidR="009F5FAB" w:rsidRPr="00031F88" w:rsidRDefault="009F5FAB" w:rsidP="00031F88">
      <w:pPr>
        <w:pStyle w:val="Textonotapie"/>
        <w:ind w:firstLine="709"/>
        <w:jc w:val="both"/>
        <w:rPr>
          <w:rFonts w:ascii="Arial" w:hAnsi="Arial" w:cs="Arial"/>
          <w:color w:val="000000" w:themeColor="text1"/>
          <w:sz w:val="19"/>
          <w:szCs w:val="19"/>
          <w:lang w:val="es-ES"/>
        </w:rPr>
      </w:pPr>
      <w:r w:rsidRPr="00031F88">
        <w:rPr>
          <w:rFonts w:ascii="Arial" w:hAnsi="Arial" w:cs="Arial"/>
          <w:color w:val="000000" w:themeColor="text1"/>
          <w:sz w:val="19"/>
          <w:szCs w:val="19"/>
          <w:lang w:val="es-ES"/>
        </w:rPr>
        <w:t>»Parágrafo 2°. En todo caso, el uso de los medios tecnológicos y electrónicos para adelantar trámites y competencias de la Administración Pública deberá garantizar los principios de autenticidad, disponibilidad e integridad.</w:t>
      </w:r>
    </w:p>
    <w:p w14:paraId="1FC83224" w14:textId="475904B1" w:rsidR="009F5FAB" w:rsidRPr="00031F88" w:rsidRDefault="009F5FAB" w:rsidP="00031F88">
      <w:pPr>
        <w:pStyle w:val="Textonotapie"/>
        <w:ind w:firstLine="709"/>
        <w:jc w:val="both"/>
        <w:rPr>
          <w:rFonts w:ascii="Arial" w:hAnsi="Arial" w:cs="Arial"/>
          <w:color w:val="000000" w:themeColor="text1"/>
          <w:sz w:val="19"/>
          <w:szCs w:val="19"/>
          <w:lang w:val="es-ES"/>
        </w:rPr>
      </w:pPr>
      <w:r w:rsidRPr="00031F88">
        <w:rPr>
          <w:rFonts w:ascii="Arial" w:hAnsi="Arial" w:cs="Arial"/>
          <w:color w:val="000000" w:themeColor="text1"/>
          <w:sz w:val="19"/>
          <w:szCs w:val="19"/>
          <w:lang w:val="es-ES"/>
        </w:rPr>
        <w:t>»Parágrafo 3°. Cuando la sustanciación de las actuaciones y actos administrativos se realice por medios electrónicos, las firmas autógrafas que los mismos requieran, podrán ser sustituidas por un certificado digital que asegure la identidad del suscriptor, de conformidad con lo que para el efecto establezca el Gobierno Nacional».</w:t>
      </w:r>
    </w:p>
  </w:footnote>
  <w:footnote w:id="3">
    <w:p w14:paraId="3D15CD2C" w14:textId="77777777" w:rsidR="009F5FAB" w:rsidRPr="00031F88" w:rsidRDefault="009F5FAB" w:rsidP="00031F88">
      <w:pPr>
        <w:pStyle w:val="Textonotapie"/>
        <w:ind w:firstLine="709"/>
        <w:jc w:val="both"/>
        <w:rPr>
          <w:rFonts w:ascii="Arial" w:hAnsi="Arial" w:cs="Arial"/>
          <w:color w:val="000000" w:themeColor="text1"/>
          <w:sz w:val="19"/>
          <w:szCs w:val="19"/>
        </w:rPr>
      </w:pPr>
    </w:p>
    <w:p w14:paraId="70E7BDC7" w14:textId="0A64DEAC" w:rsidR="009F5FAB" w:rsidRPr="00031F88" w:rsidRDefault="009F5FAB" w:rsidP="00031F88">
      <w:pPr>
        <w:pStyle w:val="Textonotapie"/>
        <w:ind w:firstLine="709"/>
        <w:jc w:val="both"/>
        <w:rPr>
          <w:rFonts w:ascii="Arial" w:hAnsi="Arial" w:cs="Arial"/>
          <w:color w:val="000000" w:themeColor="text1"/>
          <w:sz w:val="19"/>
          <w:szCs w:val="19"/>
        </w:rPr>
      </w:pPr>
      <w:r w:rsidRPr="00031F88">
        <w:rPr>
          <w:rStyle w:val="Refdenotaalpie"/>
          <w:rFonts w:ascii="Arial" w:hAnsi="Arial" w:cs="Arial"/>
          <w:color w:val="000000" w:themeColor="text1"/>
          <w:sz w:val="19"/>
          <w:szCs w:val="19"/>
        </w:rPr>
        <w:footnoteRef/>
      </w:r>
      <w:r w:rsidRPr="00031F88">
        <w:rPr>
          <w:rFonts w:ascii="Arial" w:hAnsi="Arial" w:cs="Arial"/>
          <w:color w:val="000000" w:themeColor="text1"/>
          <w:sz w:val="19"/>
          <w:szCs w:val="19"/>
        </w:rPr>
        <w:t xml:space="preserve"> «Artículo 7°. Publicidad electrónica de normas y actos generales emitidos por la administración pública. La Administración Pública deberá poner a disposición del público, a través de medios electrónicos, las leyes, decretos y actos administrativos de carácter general o documentos de interés público relativos a cada uno de ellos, dentro de los cinco (5) días siguientes a su publicación, sin perjuicio de la obligación legal de publicarlos en el Diario Oficial.</w:t>
      </w:r>
    </w:p>
    <w:p w14:paraId="13794128" w14:textId="35C19E68" w:rsidR="009F5FAB" w:rsidRPr="00031F88" w:rsidRDefault="009F5FAB" w:rsidP="00031F88">
      <w:pPr>
        <w:pStyle w:val="Textonotapie"/>
        <w:ind w:firstLine="709"/>
        <w:jc w:val="both"/>
        <w:rPr>
          <w:rFonts w:ascii="Arial" w:hAnsi="Arial" w:cs="Arial"/>
          <w:color w:val="000000" w:themeColor="text1"/>
          <w:sz w:val="19"/>
          <w:szCs w:val="19"/>
        </w:rPr>
      </w:pPr>
      <w:r w:rsidRPr="00031F88">
        <w:rPr>
          <w:rFonts w:ascii="Arial" w:hAnsi="Arial" w:cs="Arial"/>
          <w:color w:val="000000" w:themeColor="text1"/>
          <w:sz w:val="19"/>
          <w:szCs w:val="19"/>
        </w:rPr>
        <w:t>»Las reproducciones efectuadas se reputarán auténticas para todos los efectos legales, siempre que no se altere el contenido del acto o documento.</w:t>
      </w:r>
    </w:p>
    <w:p w14:paraId="262AF4A2" w14:textId="086CE6C8" w:rsidR="009F5FAB" w:rsidRPr="00031F88" w:rsidRDefault="009F5FAB" w:rsidP="00031F88">
      <w:pPr>
        <w:pStyle w:val="Textonotapie"/>
        <w:ind w:firstLine="709"/>
        <w:jc w:val="both"/>
        <w:rPr>
          <w:rFonts w:ascii="Arial" w:hAnsi="Arial" w:cs="Arial"/>
          <w:color w:val="000000" w:themeColor="text1"/>
          <w:sz w:val="19"/>
          <w:szCs w:val="19"/>
          <w:lang w:val="es-ES"/>
        </w:rPr>
      </w:pPr>
      <w:r w:rsidRPr="00031F88">
        <w:rPr>
          <w:rFonts w:ascii="Arial" w:hAnsi="Arial" w:cs="Arial"/>
          <w:color w:val="000000" w:themeColor="text1"/>
          <w:sz w:val="19"/>
          <w:szCs w:val="19"/>
        </w:rPr>
        <w:t>»A partir de la vigencia de la presente ley y para efectos de adelantar cualquier trámite administrativo, no será obligatorio acreditar la existencia de normas de carácter general de orden nacional, ante ningún organismo de la Administración Pública».</w:t>
      </w:r>
    </w:p>
  </w:footnote>
  <w:footnote w:id="4">
    <w:p w14:paraId="54DE394F" w14:textId="77777777" w:rsidR="009F5FAB" w:rsidRPr="00031F88" w:rsidRDefault="009F5FAB" w:rsidP="00031F88">
      <w:pPr>
        <w:pStyle w:val="NormalWeb"/>
        <w:shd w:val="clear" w:color="auto" w:fill="FFFFFF"/>
        <w:spacing w:before="0" w:beforeAutospacing="0" w:after="0" w:afterAutospacing="0"/>
        <w:ind w:firstLine="709"/>
        <w:jc w:val="both"/>
        <w:rPr>
          <w:rFonts w:ascii="Arial" w:hAnsi="Arial" w:cs="Arial"/>
          <w:color w:val="000000" w:themeColor="text1"/>
          <w:sz w:val="19"/>
          <w:szCs w:val="19"/>
        </w:rPr>
      </w:pPr>
    </w:p>
    <w:p w14:paraId="30568868" w14:textId="6C495D72" w:rsidR="009F5FAB" w:rsidRPr="00031F88" w:rsidRDefault="009F5FAB" w:rsidP="00031F88">
      <w:pPr>
        <w:pStyle w:val="NormalWeb"/>
        <w:shd w:val="clear" w:color="auto" w:fill="FFFFFF"/>
        <w:spacing w:before="0" w:beforeAutospacing="0" w:after="0" w:afterAutospacing="0"/>
        <w:ind w:firstLine="709"/>
        <w:jc w:val="both"/>
        <w:rPr>
          <w:rFonts w:ascii="Arial" w:eastAsiaTheme="minorHAnsi" w:hAnsi="Arial" w:cs="Arial"/>
          <w:color w:val="000000" w:themeColor="text1"/>
          <w:sz w:val="19"/>
          <w:szCs w:val="19"/>
          <w:lang w:val="es-ES_tradnl" w:eastAsia="es-ES_tradnl"/>
        </w:rPr>
      </w:pPr>
      <w:r w:rsidRPr="00031F88">
        <w:rPr>
          <w:rStyle w:val="Refdenotaalpie"/>
          <w:rFonts w:ascii="Arial" w:hAnsi="Arial" w:cs="Arial"/>
          <w:color w:val="000000" w:themeColor="text1"/>
          <w:sz w:val="19"/>
          <w:szCs w:val="19"/>
        </w:rPr>
        <w:footnoteRef/>
      </w:r>
      <w:r w:rsidRPr="00031F88">
        <w:rPr>
          <w:rFonts w:ascii="Arial" w:hAnsi="Arial" w:cs="Arial"/>
          <w:color w:val="000000" w:themeColor="text1"/>
          <w:sz w:val="19"/>
          <w:szCs w:val="19"/>
        </w:rPr>
        <w:t xml:space="preserve"> </w:t>
      </w:r>
      <w:r w:rsidRPr="00031F88">
        <w:rPr>
          <w:rFonts w:ascii="Arial" w:hAnsi="Arial" w:cs="Arial"/>
          <w:color w:val="000000" w:themeColor="text1"/>
          <w:sz w:val="19"/>
          <w:szCs w:val="19"/>
          <w:lang w:val="es-ES"/>
        </w:rPr>
        <w:t>«</w:t>
      </w:r>
      <w:r w:rsidRPr="00031F88">
        <w:rPr>
          <w:rFonts w:ascii="Arial" w:eastAsiaTheme="minorHAnsi" w:hAnsi="Arial" w:cs="Arial"/>
          <w:color w:val="000000" w:themeColor="text1"/>
          <w:sz w:val="19"/>
          <w:szCs w:val="19"/>
          <w:lang w:val="es-ES_tradnl" w:eastAsia="es-ES_tradnl"/>
        </w:rPr>
        <w:t xml:space="preserve">Artículo 10. Utilización del correo para el envío de información. Modifíquese el artículo 25 del Decreto 2150 de 1995, el cual quedará así: </w:t>
      </w:r>
      <w:r w:rsidRPr="00031F88">
        <w:rPr>
          <w:rFonts w:ascii="Arial" w:eastAsiaTheme="minorHAnsi" w:hAnsi="Arial" w:cs="Arial"/>
          <w:color w:val="000000" w:themeColor="text1"/>
          <w:sz w:val="19"/>
          <w:szCs w:val="19"/>
          <w:lang w:val="es-ES_tradnl"/>
        </w:rPr>
        <w:t>"Artículo 25. Utilización del correo para el envío de información. Las entidades de la Administración Pública deberán facilitar la recepción y envío de documentos, propuestas o solicitudes y sus respectivas respuestas por medio de correo certificado y por correo electrónico.</w:t>
      </w:r>
    </w:p>
    <w:p w14:paraId="02BBC4BE" w14:textId="5592BEC5" w:rsidR="009F5FAB" w:rsidRPr="00031F88" w:rsidRDefault="009F5FAB" w:rsidP="00031F88">
      <w:pPr>
        <w:shd w:val="clear" w:color="auto" w:fill="FFFFFF"/>
        <w:ind w:firstLine="709"/>
        <w:jc w:val="both"/>
        <w:rPr>
          <w:rFonts w:ascii="Arial" w:eastAsiaTheme="minorHAnsi" w:hAnsi="Arial" w:cs="Arial"/>
          <w:color w:val="000000" w:themeColor="text1"/>
          <w:sz w:val="19"/>
          <w:szCs w:val="19"/>
          <w:lang w:val="es-ES_tradnl"/>
        </w:rPr>
      </w:pPr>
      <w:r w:rsidRPr="00031F88">
        <w:rPr>
          <w:rFonts w:ascii="Arial" w:eastAsiaTheme="minorHAnsi" w:hAnsi="Arial" w:cs="Arial"/>
          <w:color w:val="000000" w:themeColor="text1"/>
          <w:sz w:val="19"/>
          <w:szCs w:val="19"/>
          <w:lang w:val="es-ES_tradnl"/>
        </w:rPr>
        <w:t>»En ningún caso, se podrán rechazar o inadmitir las solicitudes o informes enviados por personas naturales o jurídicas que se hayan recibido por correo dentro del territorio nacional.</w:t>
      </w:r>
    </w:p>
    <w:p w14:paraId="78776105" w14:textId="79AD7C2E" w:rsidR="009F5FAB" w:rsidRPr="00031F88" w:rsidRDefault="009F5FAB" w:rsidP="00031F88">
      <w:pPr>
        <w:shd w:val="clear" w:color="auto" w:fill="FFFFFF"/>
        <w:ind w:firstLine="709"/>
        <w:jc w:val="both"/>
        <w:rPr>
          <w:rFonts w:ascii="Arial" w:eastAsiaTheme="minorHAnsi" w:hAnsi="Arial" w:cs="Arial"/>
          <w:color w:val="000000" w:themeColor="text1"/>
          <w:sz w:val="19"/>
          <w:szCs w:val="19"/>
          <w:lang w:val="es-ES_tradnl"/>
        </w:rPr>
      </w:pPr>
      <w:r w:rsidRPr="00031F88">
        <w:rPr>
          <w:rFonts w:ascii="Arial" w:eastAsiaTheme="minorHAnsi" w:hAnsi="Arial" w:cs="Arial"/>
          <w:color w:val="000000" w:themeColor="text1"/>
          <w:sz w:val="19"/>
          <w:szCs w:val="19"/>
          <w:lang w:val="es-ES_tradnl"/>
        </w:rPr>
        <w:t>»Las peticiones de los administrados o usuarios se entenderán presentadas el día de incorporación al correo, pero para efectos del cómputo del término de respuesta, se entenderán radicadas el día en que efectivamente el documento llegue a la entidad y no el día de su incorporación al correo.</w:t>
      </w:r>
    </w:p>
    <w:p w14:paraId="16D1FF46" w14:textId="0F81F124" w:rsidR="009F5FAB" w:rsidRPr="00031F88" w:rsidRDefault="009F5FAB" w:rsidP="00031F88">
      <w:pPr>
        <w:shd w:val="clear" w:color="auto" w:fill="FFFFFF"/>
        <w:ind w:firstLine="709"/>
        <w:jc w:val="both"/>
        <w:rPr>
          <w:rFonts w:ascii="Arial" w:eastAsiaTheme="minorHAnsi" w:hAnsi="Arial" w:cs="Arial"/>
          <w:color w:val="000000" w:themeColor="text1"/>
          <w:sz w:val="19"/>
          <w:szCs w:val="19"/>
          <w:lang w:val="es-ES_tradnl"/>
        </w:rPr>
      </w:pPr>
      <w:r w:rsidRPr="00031F88">
        <w:rPr>
          <w:rFonts w:ascii="Arial" w:eastAsiaTheme="minorHAnsi" w:hAnsi="Arial" w:cs="Arial"/>
          <w:color w:val="000000" w:themeColor="text1"/>
          <w:sz w:val="19"/>
          <w:szCs w:val="19"/>
          <w:lang w:val="es-ES_tradnl"/>
        </w:rPr>
        <w:t>»Las solicitudes formuladas a los administrados o usuarios a los que se refiere el presente artículo, y que sean enviadas por correo, deberán ser respondidas dentro del término que la propia comunicación señale, el cual empezará a contarse a partir de la fecha de recepción de la misma en el domicilio del destinatario. Cuando no sea posible establecer la fecha de recepción del documento en el domicilio del destinatario, se presumirá a los diez (10) días de la fecha de despacho en el correo.</w:t>
      </w:r>
    </w:p>
    <w:p w14:paraId="113ACD9D" w14:textId="070CB272" w:rsidR="009F5FAB" w:rsidRPr="00031F88" w:rsidRDefault="009F5FAB" w:rsidP="00031F88">
      <w:pPr>
        <w:shd w:val="clear" w:color="auto" w:fill="FFFFFF"/>
        <w:ind w:firstLine="709"/>
        <w:jc w:val="both"/>
        <w:rPr>
          <w:rFonts w:ascii="Arial" w:eastAsiaTheme="minorHAnsi" w:hAnsi="Arial" w:cs="Arial"/>
          <w:color w:val="000000" w:themeColor="text1"/>
          <w:sz w:val="19"/>
          <w:szCs w:val="19"/>
          <w:lang w:val="es-ES_tradnl"/>
        </w:rPr>
      </w:pPr>
      <w:r w:rsidRPr="00031F88">
        <w:rPr>
          <w:rFonts w:ascii="Arial" w:eastAsiaTheme="minorHAnsi" w:hAnsi="Arial" w:cs="Arial"/>
          <w:color w:val="000000" w:themeColor="text1"/>
          <w:sz w:val="19"/>
          <w:szCs w:val="19"/>
          <w:lang w:val="es-ES_tradnl"/>
        </w:rPr>
        <w:t>»Igualmente, los peticionarios podrán solicitar el envío por correo de documentos o información a la entidad pública, para lo cual deberán adjuntar a su petición un sobre con porte pagado y debidamente diligenciado.</w:t>
      </w:r>
    </w:p>
    <w:p w14:paraId="17EEC7D2" w14:textId="0D267404" w:rsidR="009F5FAB" w:rsidRPr="00031F88" w:rsidRDefault="009F5FAB" w:rsidP="00031F88">
      <w:pPr>
        <w:shd w:val="clear" w:color="auto" w:fill="FFFFFF"/>
        <w:ind w:firstLine="709"/>
        <w:jc w:val="both"/>
        <w:rPr>
          <w:rFonts w:ascii="Arial" w:eastAsiaTheme="minorHAnsi" w:hAnsi="Arial" w:cs="Arial"/>
          <w:color w:val="000000" w:themeColor="text1"/>
          <w:sz w:val="19"/>
          <w:szCs w:val="19"/>
          <w:lang w:val="es-ES_tradnl"/>
        </w:rPr>
      </w:pPr>
      <w:r w:rsidRPr="00031F88">
        <w:rPr>
          <w:rFonts w:ascii="Arial" w:eastAsiaTheme="minorHAnsi" w:hAnsi="Arial" w:cs="Arial"/>
          <w:color w:val="000000" w:themeColor="text1"/>
          <w:sz w:val="19"/>
          <w:szCs w:val="19"/>
          <w:lang w:val="es-ES_tradnl"/>
        </w:rPr>
        <w:t>»Parágrafo. Para efectos del presente artículo, se entenderá válido el envío por correo certificado, siempre y cuando la dirección esté correcta y claramente diligenciada"».</w:t>
      </w:r>
    </w:p>
    <w:p w14:paraId="3B2293AD" w14:textId="44E36BBB" w:rsidR="009F5FAB" w:rsidRPr="00031F88" w:rsidRDefault="009F5FAB" w:rsidP="00031F88">
      <w:pPr>
        <w:pStyle w:val="Textonotapie"/>
        <w:ind w:firstLine="709"/>
        <w:jc w:val="both"/>
        <w:rPr>
          <w:rFonts w:ascii="Arial" w:hAnsi="Arial" w:cs="Arial"/>
          <w:color w:val="000000" w:themeColor="text1"/>
          <w:sz w:val="19"/>
          <w:szCs w:val="19"/>
          <w:lang w:val="es-ES"/>
        </w:rPr>
      </w:pPr>
    </w:p>
  </w:footnote>
  <w:footnote w:id="5">
    <w:p w14:paraId="6339964F" w14:textId="0257AC21" w:rsidR="000E6AC1" w:rsidRDefault="000E6AC1" w:rsidP="00031F88">
      <w:pPr>
        <w:pStyle w:val="Textonotapie"/>
        <w:ind w:firstLine="709"/>
        <w:jc w:val="both"/>
        <w:rPr>
          <w:rFonts w:ascii="Arial" w:eastAsia="Calibri" w:hAnsi="Arial" w:cs="Arial"/>
          <w:color w:val="000000" w:themeColor="text1"/>
          <w:sz w:val="19"/>
          <w:szCs w:val="19"/>
          <w:lang w:val="es-ES_tradnl"/>
        </w:rPr>
      </w:pPr>
      <w:r w:rsidRPr="00031F88">
        <w:rPr>
          <w:rStyle w:val="Refdenotaalpie"/>
          <w:rFonts w:ascii="Arial" w:hAnsi="Arial" w:cs="Arial"/>
          <w:color w:val="000000" w:themeColor="text1"/>
          <w:sz w:val="19"/>
          <w:szCs w:val="19"/>
        </w:rPr>
        <w:footnoteRef/>
      </w:r>
      <w:r w:rsidRPr="00031F88">
        <w:rPr>
          <w:rFonts w:ascii="Arial" w:hAnsi="Arial" w:cs="Arial"/>
          <w:color w:val="000000" w:themeColor="text1"/>
          <w:sz w:val="19"/>
          <w:szCs w:val="19"/>
        </w:rPr>
        <w:t xml:space="preserve"> </w:t>
      </w:r>
      <w:r w:rsidRPr="00031F88">
        <w:rPr>
          <w:rFonts w:ascii="Arial" w:eastAsia="Calibri" w:hAnsi="Arial" w:cs="Arial"/>
          <w:color w:val="000000" w:themeColor="text1"/>
          <w:sz w:val="19"/>
          <w:szCs w:val="19"/>
          <w:lang w:val="es-ES_tradnl"/>
        </w:rPr>
        <w:t>«Por el cual se dictan normas para suprimir o reformar regulaciones, procedimientos y trámites innecesarios existentes en la Administración Pública».</w:t>
      </w:r>
    </w:p>
    <w:p w14:paraId="78732AFA" w14:textId="77777777" w:rsidR="00F259F6" w:rsidRPr="00031F88" w:rsidRDefault="00F259F6" w:rsidP="00031F88">
      <w:pPr>
        <w:pStyle w:val="Textonotapie"/>
        <w:ind w:firstLine="709"/>
        <w:jc w:val="both"/>
        <w:rPr>
          <w:rFonts w:ascii="Arial" w:hAnsi="Arial" w:cs="Arial"/>
          <w:color w:val="000000" w:themeColor="text1"/>
          <w:sz w:val="19"/>
          <w:szCs w:val="19"/>
          <w:lang w:val="es-ES"/>
        </w:rPr>
      </w:pPr>
    </w:p>
  </w:footnote>
  <w:footnote w:id="6">
    <w:p w14:paraId="358F1F51" w14:textId="0D80D97A" w:rsidR="009F5FAB" w:rsidRPr="00031F88" w:rsidRDefault="009F5FAB" w:rsidP="00031F88">
      <w:pPr>
        <w:pStyle w:val="Textonotapie"/>
        <w:ind w:firstLine="709"/>
        <w:jc w:val="both"/>
        <w:rPr>
          <w:rFonts w:ascii="Arial" w:hAnsi="Arial" w:cs="Arial"/>
          <w:color w:val="000000" w:themeColor="text1"/>
          <w:sz w:val="19"/>
          <w:szCs w:val="19"/>
          <w:lang w:val="es-ES"/>
        </w:rPr>
      </w:pPr>
      <w:r w:rsidRPr="00031F88">
        <w:rPr>
          <w:rStyle w:val="Refdenotaalpie"/>
          <w:rFonts w:ascii="Arial" w:hAnsi="Arial" w:cs="Arial"/>
          <w:color w:val="000000" w:themeColor="text1"/>
          <w:sz w:val="19"/>
          <w:szCs w:val="19"/>
        </w:rPr>
        <w:footnoteRef/>
      </w:r>
      <w:r w:rsidRPr="00031F88">
        <w:rPr>
          <w:rFonts w:ascii="Arial" w:hAnsi="Arial" w:cs="Arial"/>
          <w:color w:val="000000" w:themeColor="text1"/>
          <w:sz w:val="19"/>
          <w:szCs w:val="19"/>
        </w:rPr>
        <w:t xml:space="preserve"> </w:t>
      </w:r>
      <w:r w:rsidRPr="00031F88">
        <w:rPr>
          <w:rFonts w:ascii="Arial" w:hAnsi="Arial" w:cs="Arial"/>
          <w:color w:val="000000" w:themeColor="text1"/>
          <w:sz w:val="19"/>
          <w:szCs w:val="19"/>
          <w:lang w:val="es-ES"/>
        </w:rPr>
        <w:t>«ARTÍCULO 14. Presentación de solicitudes, quejas, recomendaciones o reclamos fuera de la sede de la entidad. Los interesados que residan en una ciudad diferente a la de la sede de la entidad u organismo al que se dirigen, pueden presentar sus solicitudes, quejas, recomendaciones o reclamaciones a través de medios electrónicos, de sus dependencias regionales o seccionales. Si ellas no existieren, deberán hacerlo a través de aquellas en quienes deleguen en aplicación del artículo 9 de la Ley 489 de 1998, o a través de convenios que se suscriban para el efecto. En todo caso, los respectivos escritos deberán ser remitidos a la autoridad correspondiente dentro de las 24 horas siguientes».</w:t>
      </w:r>
    </w:p>
    <w:p w14:paraId="2323D572" w14:textId="77777777" w:rsidR="009F5FAB" w:rsidRPr="00031F88" w:rsidRDefault="009F5FAB" w:rsidP="00031F88">
      <w:pPr>
        <w:pStyle w:val="Textonotapie"/>
        <w:ind w:firstLine="709"/>
        <w:jc w:val="both"/>
        <w:rPr>
          <w:rFonts w:ascii="Arial" w:hAnsi="Arial" w:cs="Arial"/>
          <w:color w:val="000000" w:themeColor="text1"/>
          <w:sz w:val="19"/>
          <w:szCs w:val="19"/>
          <w:lang w:val="es-ES"/>
        </w:rPr>
      </w:pPr>
    </w:p>
  </w:footnote>
  <w:footnote w:id="7">
    <w:p w14:paraId="5418C13B" w14:textId="56F21410" w:rsidR="009F5FAB" w:rsidRPr="00031F88" w:rsidRDefault="009F5FAB" w:rsidP="00031F88">
      <w:pPr>
        <w:pStyle w:val="Textonotapie"/>
        <w:ind w:firstLine="709"/>
        <w:jc w:val="both"/>
        <w:rPr>
          <w:rFonts w:ascii="Arial" w:hAnsi="Arial" w:cs="Arial"/>
          <w:color w:val="000000" w:themeColor="text1"/>
          <w:sz w:val="19"/>
          <w:szCs w:val="19"/>
          <w:lang w:val="es-ES"/>
        </w:rPr>
      </w:pPr>
      <w:r w:rsidRPr="00031F88">
        <w:rPr>
          <w:rStyle w:val="Refdenotaalpie"/>
          <w:rFonts w:ascii="Arial" w:hAnsi="Arial" w:cs="Arial"/>
          <w:color w:val="000000" w:themeColor="text1"/>
          <w:sz w:val="19"/>
          <w:szCs w:val="19"/>
        </w:rPr>
        <w:footnoteRef/>
      </w:r>
      <w:r w:rsidRPr="00031F88">
        <w:rPr>
          <w:rFonts w:ascii="Arial" w:hAnsi="Arial" w:cs="Arial"/>
          <w:color w:val="000000" w:themeColor="text1"/>
          <w:sz w:val="19"/>
          <w:szCs w:val="19"/>
        </w:rPr>
        <w:t xml:space="preserve"> </w:t>
      </w:r>
      <w:r w:rsidRPr="00031F88">
        <w:rPr>
          <w:rFonts w:ascii="Arial" w:hAnsi="Arial" w:cs="Arial"/>
          <w:color w:val="000000" w:themeColor="text1"/>
          <w:sz w:val="19"/>
          <w:szCs w:val="19"/>
          <w:lang w:val="es-ES"/>
        </w:rPr>
        <w:t>«ARTÍCULO   223. Eliminación del diario único de contratación. A partir del primero de junio de 2012, los contr</w:t>
      </w:r>
      <w:r w:rsidR="00F428B1" w:rsidRPr="00031F88">
        <w:rPr>
          <w:rFonts w:ascii="Arial" w:hAnsi="Arial" w:cs="Arial"/>
          <w:color w:val="000000" w:themeColor="text1"/>
          <w:sz w:val="19"/>
          <w:szCs w:val="19"/>
          <w:lang w:val="es-ES"/>
        </w:rPr>
        <w:t>atos estatales sólo se publicará</w:t>
      </w:r>
      <w:r w:rsidRPr="00031F88">
        <w:rPr>
          <w:rFonts w:ascii="Arial" w:hAnsi="Arial" w:cs="Arial"/>
          <w:color w:val="000000" w:themeColor="text1"/>
          <w:sz w:val="19"/>
          <w:szCs w:val="19"/>
          <w:lang w:val="es-ES"/>
        </w:rPr>
        <w:t>n en el Sistema Electrónico para la Contratación Pública -SECOP- que administra la Agencia Nacional de Contratación Pública- Colombia Compra Eficiente. En consecuencia, a partir de dicha fecha los contratos estatales no requerirán de publicación en el Diario Único de Contratación y quedarán derogados el parágrafo 3 del artículo 41 de la Ley 80 de 1993, los artículos 59, 60, 61 y 62 de la ley 190 de 1995 y el parágrafo 2 del artículo 3 de la Ley 1150 de 2007».</w:t>
      </w:r>
    </w:p>
    <w:p w14:paraId="3A1248AA" w14:textId="035BA1EB" w:rsidR="009F5FAB" w:rsidRPr="00031F88" w:rsidRDefault="009F5FAB" w:rsidP="00031F88">
      <w:pPr>
        <w:pStyle w:val="Textonotapie"/>
        <w:ind w:firstLine="709"/>
        <w:jc w:val="both"/>
        <w:rPr>
          <w:rFonts w:ascii="Arial" w:hAnsi="Arial" w:cs="Arial"/>
          <w:color w:val="000000" w:themeColor="text1"/>
          <w:sz w:val="19"/>
          <w:szCs w:val="19"/>
          <w:lang w:val="es-ES"/>
        </w:rPr>
      </w:pPr>
    </w:p>
  </w:footnote>
  <w:footnote w:id="8">
    <w:p w14:paraId="2EB87315" w14:textId="034DBB97" w:rsidR="000E6AC1" w:rsidRPr="00031F88" w:rsidRDefault="000E6AC1" w:rsidP="00031F88">
      <w:pPr>
        <w:pStyle w:val="Textonotapie"/>
        <w:ind w:firstLine="709"/>
        <w:jc w:val="both"/>
        <w:rPr>
          <w:rFonts w:ascii="Arial" w:hAnsi="Arial" w:cs="Arial"/>
          <w:color w:val="000000" w:themeColor="text1"/>
          <w:sz w:val="19"/>
          <w:szCs w:val="19"/>
          <w:lang w:val="es-ES"/>
        </w:rPr>
      </w:pPr>
      <w:r w:rsidRPr="00031F88">
        <w:rPr>
          <w:rStyle w:val="Refdenotaalpie"/>
          <w:rFonts w:ascii="Arial" w:hAnsi="Arial" w:cs="Arial"/>
          <w:color w:val="000000" w:themeColor="text1"/>
          <w:sz w:val="19"/>
          <w:szCs w:val="19"/>
        </w:rPr>
        <w:footnoteRef/>
      </w:r>
      <w:r w:rsidRPr="00031F88">
        <w:rPr>
          <w:rFonts w:ascii="Arial" w:hAnsi="Arial" w:cs="Arial"/>
          <w:color w:val="000000" w:themeColor="text1"/>
          <w:sz w:val="19"/>
          <w:szCs w:val="19"/>
        </w:rPr>
        <w:t xml:space="preserve"> </w:t>
      </w:r>
      <w:r w:rsidRPr="00031F88">
        <w:rPr>
          <w:rFonts w:ascii="Arial" w:eastAsia="Calibri" w:hAnsi="Arial" w:cs="Arial"/>
          <w:color w:val="000000" w:themeColor="text1"/>
          <w:sz w:val="19"/>
          <w:szCs w:val="19"/>
          <w:lang w:val="es-ES_tradnl"/>
        </w:rPr>
        <w:t>«Por el cual se dictan normas para simplificar, suprimir y reformar trámites, procesos y procedimientos innecesarios existentes en la administración pública»</w:t>
      </w:r>
      <w:r w:rsidR="00E07A3B" w:rsidRPr="00031F88">
        <w:rPr>
          <w:rFonts w:ascii="Arial" w:eastAsia="Calibri" w:hAnsi="Arial" w:cs="Arial"/>
          <w:color w:val="000000" w:themeColor="text1"/>
          <w:sz w:val="19"/>
          <w:szCs w:val="19"/>
          <w:lang w:val="es-ES_tradnl"/>
        </w:rPr>
        <w:t>.</w:t>
      </w:r>
    </w:p>
  </w:footnote>
  <w:footnote w:id="9">
    <w:p w14:paraId="2AC9947F" w14:textId="49C89BCD" w:rsidR="009F5FAB" w:rsidRPr="00031F88" w:rsidRDefault="009F5FAB" w:rsidP="00031F88">
      <w:pPr>
        <w:pStyle w:val="Textonotapie"/>
        <w:ind w:firstLine="709"/>
        <w:jc w:val="both"/>
        <w:rPr>
          <w:rFonts w:ascii="Arial" w:hAnsi="Arial" w:cs="Arial"/>
          <w:color w:val="000000" w:themeColor="text1"/>
          <w:sz w:val="19"/>
          <w:szCs w:val="19"/>
          <w:lang w:val="es-ES"/>
        </w:rPr>
      </w:pPr>
      <w:r w:rsidRPr="00031F88">
        <w:rPr>
          <w:rStyle w:val="Refdenotaalpie"/>
          <w:rFonts w:ascii="Arial" w:hAnsi="Arial" w:cs="Arial"/>
          <w:color w:val="000000" w:themeColor="text1"/>
          <w:sz w:val="19"/>
          <w:szCs w:val="19"/>
        </w:rPr>
        <w:footnoteRef/>
      </w:r>
      <w:r w:rsidRPr="00031F88">
        <w:rPr>
          <w:rFonts w:ascii="Arial" w:hAnsi="Arial" w:cs="Arial"/>
          <w:color w:val="000000" w:themeColor="text1"/>
          <w:sz w:val="19"/>
          <w:szCs w:val="19"/>
        </w:rPr>
        <w:t xml:space="preserve"> </w:t>
      </w:r>
      <w:r w:rsidRPr="00031F88">
        <w:rPr>
          <w:rFonts w:ascii="Arial" w:hAnsi="Arial" w:cs="Arial"/>
          <w:color w:val="000000" w:themeColor="text1"/>
          <w:sz w:val="19"/>
          <w:szCs w:val="19"/>
          <w:lang w:val="es-ES"/>
        </w:rPr>
        <w:t>Artículo 9.</w:t>
      </w:r>
    </w:p>
    <w:p w14:paraId="3D8B46B3" w14:textId="77777777" w:rsidR="009F5FAB" w:rsidRPr="00031F88" w:rsidRDefault="009F5FAB" w:rsidP="00031F88">
      <w:pPr>
        <w:pStyle w:val="Textonotapie"/>
        <w:ind w:firstLine="709"/>
        <w:jc w:val="both"/>
        <w:rPr>
          <w:rFonts w:ascii="Arial" w:hAnsi="Arial" w:cs="Arial"/>
          <w:color w:val="000000" w:themeColor="text1"/>
          <w:sz w:val="19"/>
          <w:szCs w:val="19"/>
          <w:lang w:val="es-ES"/>
        </w:rPr>
      </w:pPr>
    </w:p>
  </w:footnote>
  <w:footnote w:id="10">
    <w:p w14:paraId="1B12A2A5" w14:textId="7D04950A" w:rsidR="009F5FAB" w:rsidRPr="00031F88" w:rsidRDefault="009F5FAB" w:rsidP="00031F88">
      <w:pPr>
        <w:pStyle w:val="Textonotapie"/>
        <w:ind w:firstLine="709"/>
        <w:jc w:val="both"/>
        <w:rPr>
          <w:rFonts w:ascii="Arial" w:hAnsi="Arial" w:cs="Arial"/>
          <w:color w:val="000000" w:themeColor="text1"/>
          <w:sz w:val="19"/>
          <w:szCs w:val="19"/>
          <w:lang w:val="es-ES"/>
        </w:rPr>
      </w:pPr>
      <w:r w:rsidRPr="00031F88">
        <w:rPr>
          <w:rStyle w:val="Refdenotaalpie"/>
          <w:rFonts w:ascii="Arial" w:hAnsi="Arial" w:cs="Arial"/>
          <w:color w:val="000000" w:themeColor="text1"/>
          <w:sz w:val="19"/>
          <w:szCs w:val="19"/>
        </w:rPr>
        <w:footnoteRef/>
      </w:r>
      <w:r w:rsidRPr="00031F88">
        <w:rPr>
          <w:rFonts w:ascii="Arial" w:hAnsi="Arial" w:cs="Arial"/>
          <w:color w:val="000000" w:themeColor="text1"/>
          <w:sz w:val="19"/>
          <w:szCs w:val="19"/>
        </w:rPr>
        <w:t xml:space="preserve"> </w:t>
      </w:r>
      <w:r w:rsidRPr="00031F88">
        <w:rPr>
          <w:rFonts w:ascii="Arial" w:hAnsi="Arial" w:cs="Arial"/>
          <w:color w:val="000000" w:themeColor="text1"/>
          <w:sz w:val="19"/>
          <w:szCs w:val="19"/>
          <w:lang w:val="es-ES"/>
        </w:rPr>
        <w:t>Artículo 14.</w:t>
      </w:r>
    </w:p>
    <w:p w14:paraId="2324262F" w14:textId="77777777" w:rsidR="009F5FAB" w:rsidRPr="00031F88" w:rsidRDefault="009F5FAB" w:rsidP="00031F88">
      <w:pPr>
        <w:pStyle w:val="Textonotapie"/>
        <w:ind w:firstLine="709"/>
        <w:jc w:val="both"/>
        <w:rPr>
          <w:rFonts w:ascii="Arial" w:hAnsi="Arial" w:cs="Arial"/>
          <w:color w:val="000000" w:themeColor="text1"/>
          <w:sz w:val="19"/>
          <w:szCs w:val="19"/>
          <w:lang w:val="es-ES"/>
        </w:rPr>
      </w:pPr>
    </w:p>
  </w:footnote>
  <w:footnote w:id="11">
    <w:p w14:paraId="63802947" w14:textId="690D74DE" w:rsidR="009F5FAB" w:rsidRPr="00031F88" w:rsidRDefault="009F5FAB" w:rsidP="00031F88">
      <w:pPr>
        <w:pStyle w:val="Textonotapie"/>
        <w:ind w:firstLine="709"/>
        <w:jc w:val="both"/>
        <w:rPr>
          <w:rFonts w:ascii="Arial" w:hAnsi="Arial" w:cs="Arial"/>
          <w:color w:val="000000" w:themeColor="text1"/>
          <w:sz w:val="19"/>
          <w:szCs w:val="19"/>
          <w:lang w:val="es-ES"/>
        </w:rPr>
      </w:pPr>
      <w:r w:rsidRPr="00031F88">
        <w:rPr>
          <w:rStyle w:val="Refdenotaalpie"/>
          <w:rFonts w:ascii="Arial" w:hAnsi="Arial" w:cs="Arial"/>
          <w:color w:val="000000" w:themeColor="text1"/>
          <w:sz w:val="19"/>
          <w:szCs w:val="19"/>
        </w:rPr>
        <w:footnoteRef/>
      </w:r>
      <w:r w:rsidRPr="00031F88">
        <w:rPr>
          <w:rFonts w:ascii="Arial" w:hAnsi="Arial" w:cs="Arial"/>
          <w:color w:val="000000" w:themeColor="text1"/>
          <w:sz w:val="19"/>
          <w:szCs w:val="19"/>
        </w:rPr>
        <w:t xml:space="preserve"> </w:t>
      </w:r>
      <w:r w:rsidRPr="00031F88">
        <w:rPr>
          <w:rFonts w:ascii="Arial" w:hAnsi="Arial" w:cs="Arial"/>
          <w:color w:val="000000" w:themeColor="text1"/>
          <w:sz w:val="19"/>
          <w:szCs w:val="19"/>
          <w:lang w:val="es-ES"/>
        </w:rPr>
        <w:t>Artículo 16.</w:t>
      </w:r>
    </w:p>
    <w:p w14:paraId="3CD994CB" w14:textId="77777777" w:rsidR="009F5FAB" w:rsidRPr="00031F88" w:rsidRDefault="009F5FAB" w:rsidP="00031F88">
      <w:pPr>
        <w:pStyle w:val="Textonotapie"/>
        <w:ind w:firstLine="709"/>
        <w:jc w:val="both"/>
        <w:rPr>
          <w:rFonts w:ascii="Arial" w:hAnsi="Arial" w:cs="Arial"/>
          <w:color w:val="000000" w:themeColor="text1"/>
          <w:sz w:val="19"/>
          <w:szCs w:val="19"/>
          <w:lang w:val="es-ES"/>
        </w:rPr>
      </w:pPr>
    </w:p>
  </w:footnote>
  <w:footnote w:id="12">
    <w:p w14:paraId="73DCDAB1" w14:textId="72A3FA11" w:rsidR="00031F88" w:rsidRPr="00031F88" w:rsidRDefault="006E7ED9" w:rsidP="00031F88">
      <w:pPr>
        <w:pStyle w:val="NormalWeb"/>
        <w:shd w:val="clear" w:color="auto" w:fill="FFFFFF"/>
        <w:spacing w:before="0" w:beforeAutospacing="0" w:after="0" w:afterAutospacing="0"/>
        <w:ind w:firstLine="709"/>
        <w:jc w:val="both"/>
        <w:rPr>
          <w:rFonts w:ascii="Arial" w:hAnsi="Arial" w:cs="Arial"/>
          <w:color w:val="000000" w:themeColor="text1"/>
          <w:sz w:val="19"/>
          <w:szCs w:val="19"/>
        </w:rPr>
      </w:pPr>
      <w:r w:rsidRPr="00031F88">
        <w:rPr>
          <w:rStyle w:val="Refdenotaalpie"/>
          <w:rFonts w:ascii="Arial" w:hAnsi="Arial" w:cs="Arial"/>
          <w:color w:val="000000" w:themeColor="text1"/>
          <w:sz w:val="19"/>
          <w:szCs w:val="19"/>
        </w:rPr>
        <w:footnoteRef/>
      </w:r>
      <w:r w:rsidRPr="00031F88">
        <w:rPr>
          <w:rFonts w:ascii="Arial" w:hAnsi="Arial" w:cs="Arial"/>
          <w:color w:val="000000" w:themeColor="text1"/>
          <w:sz w:val="19"/>
          <w:szCs w:val="19"/>
        </w:rPr>
        <w:t xml:space="preserve"> </w:t>
      </w:r>
      <w:r w:rsidR="00031F88" w:rsidRPr="00031F88">
        <w:rPr>
          <w:rFonts w:ascii="Arial" w:hAnsi="Arial" w:cs="Arial"/>
          <w:color w:val="000000" w:themeColor="text1"/>
          <w:sz w:val="19"/>
          <w:szCs w:val="19"/>
          <w:lang w:val="es-ES"/>
        </w:rPr>
        <w:t>«</w:t>
      </w:r>
      <w:r w:rsidR="00031F88" w:rsidRPr="00031F88">
        <w:rPr>
          <w:rFonts w:ascii="Arial" w:hAnsi="Arial" w:cs="Arial"/>
          <w:color w:val="000000" w:themeColor="text1"/>
          <w:sz w:val="19"/>
          <w:szCs w:val="19"/>
        </w:rPr>
        <w:t>Los sujetos obligados en los términos de la presente ley deberán automatizar y digitalizar la gestión interna de los trámites que se creen a partir de la entrada en vigencia de esta ley, los cuales deberán estar automatizados y digitalizados al interior de las entidades, conforme a los lineamientos y criterios establecidos por el Departamento Administrativo de la Función Pública y el Ministerio de Tecnologías de la Información y las Comunicaciones.</w:t>
      </w:r>
    </w:p>
    <w:p w14:paraId="7DF609DB" w14:textId="3D7BEE70" w:rsidR="00031F88" w:rsidRPr="00031F88" w:rsidRDefault="00031F88" w:rsidP="00031F88">
      <w:pPr>
        <w:pStyle w:val="NormalWeb"/>
        <w:shd w:val="clear" w:color="auto" w:fill="FFFFFF"/>
        <w:spacing w:before="0" w:beforeAutospacing="0" w:after="0" w:afterAutospacing="0"/>
        <w:ind w:firstLine="709"/>
        <w:jc w:val="both"/>
        <w:rPr>
          <w:rFonts w:ascii="Arial" w:hAnsi="Arial" w:cs="Arial"/>
          <w:color w:val="000000" w:themeColor="text1"/>
          <w:sz w:val="19"/>
          <w:szCs w:val="19"/>
        </w:rPr>
      </w:pPr>
      <w:r w:rsidRPr="00031F88">
        <w:rPr>
          <w:rFonts w:ascii="Arial" w:hAnsi="Arial" w:cs="Arial"/>
          <w:color w:val="000000" w:themeColor="text1"/>
          <w:sz w:val="19"/>
          <w:szCs w:val="19"/>
        </w:rPr>
        <w:t>»El Departamento Administrativo de la Función Pública y el Ministerio de Tecnologías de la información y las Comunicaciones, determinarán los plazos y condiciones para automatizar y digitalizar los trámites existentes antes de la entrada en vigencia de la presente ley.</w:t>
      </w:r>
    </w:p>
    <w:p w14:paraId="62E515DC" w14:textId="5677172D" w:rsidR="00031F88" w:rsidRPr="00031F88" w:rsidRDefault="00031F88" w:rsidP="00031F88">
      <w:pPr>
        <w:pStyle w:val="NormalWeb"/>
        <w:shd w:val="clear" w:color="auto" w:fill="FFFFFF"/>
        <w:spacing w:before="0" w:beforeAutospacing="0" w:after="0" w:afterAutospacing="0"/>
        <w:ind w:firstLine="709"/>
        <w:jc w:val="both"/>
        <w:rPr>
          <w:rFonts w:ascii="Arial" w:hAnsi="Arial" w:cs="Arial"/>
          <w:color w:val="000000" w:themeColor="text1"/>
          <w:sz w:val="19"/>
          <w:szCs w:val="19"/>
        </w:rPr>
      </w:pPr>
      <w:r w:rsidRPr="00031F88">
        <w:rPr>
          <w:rStyle w:val="Textoennegrita"/>
          <w:rFonts w:ascii="Arial" w:hAnsi="Arial" w:cs="Arial"/>
          <w:b w:val="0"/>
          <w:bCs w:val="0"/>
          <w:color w:val="000000" w:themeColor="text1"/>
          <w:sz w:val="19"/>
          <w:szCs w:val="19"/>
        </w:rPr>
        <w:t>»PARÁGRAFO.</w:t>
      </w:r>
      <w:r w:rsidRPr="00031F88">
        <w:rPr>
          <w:rFonts w:ascii="Arial" w:hAnsi="Arial" w:cs="Arial"/>
          <w:color w:val="000000" w:themeColor="text1"/>
          <w:sz w:val="19"/>
          <w:szCs w:val="19"/>
        </w:rPr>
        <w:t> Los sujetos obligados en los términos de la presente ley, salvo autorización legal, no podrán incrementar las tarifas o establecer cobros adicionales a los trámites en razón de su automatización y/o digitalización, so pena de la correspondiente sanción disciplinaria a la que haya lugar».</w:t>
      </w:r>
    </w:p>
    <w:p w14:paraId="5BFDF526" w14:textId="09848A24" w:rsidR="006E7ED9" w:rsidRPr="00031F88" w:rsidRDefault="006E7ED9" w:rsidP="00031F88">
      <w:pPr>
        <w:pStyle w:val="Textonotapie"/>
        <w:ind w:firstLine="709"/>
        <w:jc w:val="both"/>
        <w:rPr>
          <w:rFonts w:ascii="Arial" w:hAnsi="Arial" w:cs="Arial"/>
          <w:color w:val="000000" w:themeColor="text1"/>
          <w:sz w:val="19"/>
          <w:szCs w:val="19"/>
          <w:lang w:val="es-ES"/>
        </w:rPr>
      </w:pPr>
    </w:p>
  </w:footnote>
  <w:footnote w:id="13">
    <w:p w14:paraId="30A9FF41" w14:textId="7782E7E3" w:rsidR="00E07A3B" w:rsidRPr="00031F88" w:rsidRDefault="00E07A3B" w:rsidP="00031F88">
      <w:pPr>
        <w:pStyle w:val="Textonotapie"/>
        <w:ind w:firstLine="709"/>
        <w:jc w:val="both"/>
        <w:rPr>
          <w:rFonts w:ascii="Arial" w:eastAsia="Calibri" w:hAnsi="Arial" w:cs="Arial"/>
          <w:color w:val="000000" w:themeColor="text1"/>
          <w:sz w:val="19"/>
          <w:szCs w:val="19"/>
          <w:lang w:val="es-ES_tradnl"/>
        </w:rPr>
      </w:pPr>
      <w:r w:rsidRPr="00031F88">
        <w:rPr>
          <w:rStyle w:val="Refdenotaalpie"/>
          <w:rFonts w:ascii="Arial" w:hAnsi="Arial" w:cs="Arial"/>
          <w:color w:val="000000" w:themeColor="text1"/>
          <w:sz w:val="19"/>
          <w:szCs w:val="19"/>
        </w:rPr>
        <w:footnoteRef/>
      </w:r>
      <w:r w:rsidRPr="00031F88">
        <w:rPr>
          <w:rFonts w:ascii="Arial" w:hAnsi="Arial" w:cs="Arial"/>
          <w:color w:val="000000" w:themeColor="text1"/>
          <w:sz w:val="19"/>
          <w:szCs w:val="19"/>
        </w:rPr>
        <w:t xml:space="preserve"> </w:t>
      </w:r>
      <w:r w:rsidRPr="00031F88">
        <w:rPr>
          <w:rFonts w:ascii="Arial" w:eastAsia="Calibri" w:hAnsi="Arial" w:cs="Arial"/>
          <w:color w:val="000000" w:themeColor="text1"/>
          <w:sz w:val="19"/>
          <w:szCs w:val="19"/>
          <w:lang w:val="es-ES_tradnl"/>
        </w:rPr>
        <w:t>«Por medio de la cual se define y reglamenta el acceso y uso de los mensajes de datos, del comercio electrónico y de las firmas digitales, y se establecen las entidades de certificación y se dictan otras disposiciones».</w:t>
      </w:r>
    </w:p>
    <w:p w14:paraId="3C6B32A6" w14:textId="77777777" w:rsidR="00E07A3B" w:rsidRPr="00031F88" w:rsidRDefault="00E07A3B" w:rsidP="00031F88">
      <w:pPr>
        <w:pStyle w:val="Textonotapie"/>
        <w:ind w:firstLine="709"/>
        <w:jc w:val="both"/>
        <w:rPr>
          <w:rFonts w:ascii="Arial" w:hAnsi="Arial" w:cs="Arial"/>
          <w:color w:val="000000" w:themeColor="text1"/>
          <w:sz w:val="19"/>
          <w:szCs w:val="19"/>
          <w:lang w:val="es-ES"/>
        </w:rPr>
      </w:pPr>
    </w:p>
  </w:footnote>
  <w:footnote w:id="14">
    <w:p w14:paraId="6FE98E5E" w14:textId="09BFE2A8" w:rsidR="009F5FAB" w:rsidRPr="00031F88" w:rsidRDefault="009F5FAB" w:rsidP="00031F88">
      <w:pPr>
        <w:pStyle w:val="Textonotapie"/>
        <w:ind w:firstLine="709"/>
        <w:jc w:val="both"/>
        <w:rPr>
          <w:rFonts w:ascii="Arial" w:hAnsi="Arial" w:cs="Arial"/>
          <w:color w:val="000000" w:themeColor="text1"/>
          <w:sz w:val="19"/>
          <w:szCs w:val="19"/>
          <w:lang w:val="es-ES"/>
        </w:rPr>
      </w:pPr>
      <w:r w:rsidRPr="00031F88">
        <w:rPr>
          <w:rStyle w:val="Refdenotaalpie"/>
          <w:rFonts w:ascii="Arial" w:hAnsi="Arial" w:cs="Arial"/>
          <w:color w:val="000000" w:themeColor="text1"/>
          <w:sz w:val="19"/>
          <w:szCs w:val="19"/>
        </w:rPr>
        <w:footnoteRef/>
      </w:r>
      <w:r w:rsidRPr="00031F88">
        <w:rPr>
          <w:rFonts w:ascii="Arial" w:hAnsi="Arial" w:cs="Arial"/>
          <w:color w:val="000000" w:themeColor="text1"/>
          <w:sz w:val="19"/>
          <w:szCs w:val="19"/>
        </w:rPr>
        <w:t xml:space="preserve"> </w:t>
      </w:r>
      <w:r w:rsidRPr="00031F88">
        <w:rPr>
          <w:rFonts w:ascii="Arial" w:hAnsi="Arial" w:cs="Arial"/>
          <w:color w:val="000000" w:themeColor="text1"/>
          <w:sz w:val="19"/>
          <w:szCs w:val="19"/>
          <w:lang w:val="es-ES"/>
        </w:rPr>
        <w:t>Artículo 2, literal a).</w:t>
      </w:r>
    </w:p>
    <w:p w14:paraId="022E00AC" w14:textId="77777777" w:rsidR="009F5FAB" w:rsidRPr="00031F88" w:rsidRDefault="009F5FAB" w:rsidP="00031F88">
      <w:pPr>
        <w:pStyle w:val="Textonotapie"/>
        <w:ind w:firstLine="709"/>
        <w:jc w:val="both"/>
        <w:rPr>
          <w:rFonts w:ascii="Arial" w:hAnsi="Arial" w:cs="Arial"/>
          <w:color w:val="000000" w:themeColor="text1"/>
          <w:sz w:val="19"/>
          <w:szCs w:val="19"/>
          <w:lang w:val="es-ES"/>
        </w:rPr>
      </w:pPr>
    </w:p>
  </w:footnote>
  <w:footnote w:id="15">
    <w:p w14:paraId="53C2AD9C" w14:textId="2DFCBA86" w:rsidR="009F5FAB" w:rsidRPr="00031F88" w:rsidRDefault="009F5FAB" w:rsidP="00031F88">
      <w:pPr>
        <w:pStyle w:val="Textonotapie"/>
        <w:ind w:firstLine="709"/>
        <w:jc w:val="both"/>
        <w:rPr>
          <w:rFonts w:ascii="Arial" w:hAnsi="Arial" w:cs="Arial"/>
          <w:color w:val="000000" w:themeColor="text1"/>
          <w:sz w:val="19"/>
          <w:szCs w:val="19"/>
          <w:lang w:val="es-ES"/>
        </w:rPr>
      </w:pPr>
      <w:r w:rsidRPr="00031F88">
        <w:rPr>
          <w:rStyle w:val="Refdenotaalpie"/>
          <w:rFonts w:ascii="Arial" w:hAnsi="Arial" w:cs="Arial"/>
          <w:color w:val="000000" w:themeColor="text1"/>
          <w:sz w:val="19"/>
          <w:szCs w:val="19"/>
        </w:rPr>
        <w:footnoteRef/>
      </w:r>
      <w:r w:rsidRPr="00031F88">
        <w:rPr>
          <w:rFonts w:ascii="Arial" w:hAnsi="Arial" w:cs="Arial"/>
          <w:color w:val="000000" w:themeColor="text1"/>
          <w:sz w:val="19"/>
          <w:szCs w:val="19"/>
        </w:rPr>
        <w:t xml:space="preserve"> </w:t>
      </w:r>
      <w:r w:rsidRPr="00031F88">
        <w:rPr>
          <w:rFonts w:ascii="Arial" w:hAnsi="Arial" w:cs="Arial"/>
          <w:color w:val="000000" w:themeColor="text1"/>
          <w:sz w:val="19"/>
          <w:szCs w:val="19"/>
          <w:lang w:val="es-ES"/>
        </w:rPr>
        <w:t>Artículo 2, literal f).</w:t>
      </w:r>
    </w:p>
    <w:p w14:paraId="39DC808E" w14:textId="77777777" w:rsidR="009F5FAB" w:rsidRPr="00031F88" w:rsidRDefault="009F5FAB" w:rsidP="00031F88">
      <w:pPr>
        <w:pStyle w:val="Textonotapie"/>
        <w:ind w:firstLine="709"/>
        <w:jc w:val="both"/>
        <w:rPr>
          <w:rFonts w:ascii="Arial" w:hAnsi="Arial" w:cs="Arial"/>
          <w:color w:val="000000" w:themeColor="text1"/>
          <w:sz w:val="19"/>
          <w:szCs w:val="19"/>
          <w:lang w:val="es-ES"/>
        </w:rPr>
      </w:pPr>
    </w:p>
  </w:footnote>
  <w:footnote w:id="16">
    <w:p w14:paraId="528696B6" w14:textId="082078D3" w:rsidR="006067E3" w:rsidRPr="00031F88" w:rsidRDefault="006067E3" w:rsidP="00031F88">
      <w:pPr>
        <w:pStyle w:val="Textonotapie"/>
        <w:ind w:firstLine="709"/>
        <w:jc w:val="both"/>
        <w:rPr>
          <w:rFonts w:ascii="Arial" w:hAnsi="Arial" w:cs="Arial"/>
          <w:color w:val="000000" w:themeColor="text1"/>
          <w:sz w:val="19"/>
          <w:szCs w:val="19"/>
          <w:lang w:val="es-ES"/>
        </w:rPr>
      </w:pPr>
      <w:r w:rsidRPr="00031F88">
        <w:rPr>
          <w:rStyle w:val="Refdenotaalpie"/>
          <w:rFonts w:ascii="Arial" w:hAnsi="Arial" w:cs="Arial"/>
          <w:color w:val="000000" w:themeColor="text1"/>
          <w:sz w:val="19"/>
          <w:szCs w:val="19"/>
        </w:rPr>
        <w:footnoteRef/>
      </w:r>
      <w:r w:rsidRPr="00031F88">
        <w:rPr>
          <w:rFonts w:ascii="Arial" w:hAnsi="Arial" w:cs="Arial"/>
          <w:color w:val="000000" w:themeColor="text1"/>
          <w:sz w:val="19"/>
          <w:szCs w:val="19"/>
        </w:rPr>
        <w:t xml:space="preserve"> </w:t>
      </w:r>
      <w:r w:rsidRPr="00031F88">
        <w:rPr>
          <w:rFonts w:ascii="Arial" w:eastAsia="Calibri" w:hAnsi="Arial" w:cs="Arial"/>
          <w:color w:val="000000" w:themeColor="text1"/>
          <w:sz w:val="19"/>
          <w:szCs w:val="19"/>
          <w:lang w:val="es-ES_tradnl"/>
        </w:rPr>
        <w:t>«Por medio de la cual se introducen medidas para la eficiencia y la transparencia en la Ley 80 de 1993 y se dictan otras disposiciones generales sobre la contratación con Recursos Públicos».</w:t>
      </w:r>
    </w:p>
  </w:footnote>
  <w:footnote w:id="17">
    <w:p w14:paraId="1E41002D" w14:textId="2FD38576" w:rsidR="00A77E48" w:rsidRPr="00031F88" w:rsidRDefault="00065AC3" w:rsidP="00031F88">
      <w:pPr>
        <w:pStyle w:val="Textonotapie"/>
        <w:ind w:firstLine="709"/>
        <w:jc w:val="both"/>
        <w:rPr>
          <w:rFonts w:ascii="Arial" w:hAnsi="Arial" w:cs="Arial"/>
          <w:color w:val="000000" w:themeColor="text1"/>
          <w:sz w:val="19"/>
          <w:szCs w:val="19"/>
          <w:lang w:val="es-ES"/>
        </w:rPr>
      </w:pPr>
      <w:r w:rsidRPr="00031F88">
        <w:rPr>
          <w:rStyle w:val="Refdenotaalpie"/>
          <w:rFonts w:ascii="Arial" w:hAnsi="Arial" w:cs="Arial"/>
          <w:color w:val="000000" w:themeColor="text1"/>
          <w:sz w:val="19"/>
          <w:szCs w:val="19"/>
        </w:rPr>
        <w:footnoteRef/>
      </w:r>
      <w:r w:rsidRPr="00031F88">
        <w:rPr>
          <w:rFonts w:ascii="Arial" w:hAnsi="Arial" w:cs="Arial"/>
          <w:color w:val="000000" w:themeColor="text1"/>
          <w:sz w:val="19"/>
          <w:szCs w:val="19"/>
        </w:rPr>
        <w:t xml:space="preserve"> </w:t>
      </w:r>
      <w:r w:rsidRPr="00031F88">
        <w:rPr>
          <w:rFonts w:ascii="Arial" w:hAnsi="Arial" w:cs="Arial"/>
          <w:color w:val="000000" w:themeColor="text1"/>
          <w:sz w:val="19"/>
          <w:szCs w:val="19"/>
          <w:lang w:val="es-ES"/>
        </w:rPr>
        <w:t xml:space="preserve">Sin embargo, debe recordarse que </w:t>
      </w:r>
      <w:r w:rsidR="006E4119" w:rsidRPr="00031F88">
        <w:rPr>
          <w:rFonts w:ascii="Arial" w:hAnsi="Arial" w:cs="Arial"/>
          <w:color w:val="000000" w:themeColor="text1"/>
          <w:sz w:val="19"/>
          <w:szCs w:val="19"/>
          <w:lang w:val="es-ES"/>
        </w:rPr>
        <w:t xml:space="preserve">el artículo 222 del Decreto 019 de 2012 </w:t>
      </w:r>
      <w:r w:rsidR="00A77E48" w:rsidRPr="00031F88">
        <w:rPr>
          <w:rFonts w:ascii="Arial" w:hAnsi="Arial" w:cs="Arial"/>
          <w:color w:val="000000" w:themeColor="text1"/>
          <w:sz w:val="19"/>
          <w:szCs w:val="19"/>
          <w:lang w:val="es-ES"/>
        </w:rPr>
        <w:t>dispone: «Derogase la Ley 598 de 2000, la cual creó el Sistema de Información para la Vigilancia de la Contratación estatal, SICE, el Catalogo Único de Bienes y Servicios CUBS, y el Registro Único de Precios de Referencia PURF, de los bienes y servicios de uso común en la Administración Pública.</w:t>
      </w:r>
    </w:p>
    <w:p w14:paraId="4E6C3443" w14:textId="6B77EBAB" w:rsidR="00065AC3" w:rsidRPr="00031F88" w:rsidRDefault="00A77E48" w:rsidP="00031F88">
      <w:pPr>
        <w:pStyle w:val="Textonotapie"/>
        <w:ind w:firstLine="709"/>
        <w:jc w:val="both"/>
        <w:rPr>
          <w:rFonts w:ascii="Arial" w:hAnsi="Arial" w:cs="Arial"/>
          <w:color w:val="000000" w:themeColor="text1"/>
          <w:sz w:val="19"/>
          <w:szCs w:val="19"/>
          <w:lang w:val="es-ES"/>
        </w:rPr>
      </w:pPr>
      <w:r w:rsidRPr="00031F88">
        <w:rPr>
          <w:rFonts w:ascii="Arial" w:hAnsi="Arial" w:cs="Arial"/>
          <w:color w:val="000000" w:themeColor="text1"/>
          <w:sz w:val="19"/>
          <w:szCs w:val="19"/>
          <w:lang w:val="es-ES"/>
        </w:rPr>
        <w:t>»En desarrollo del artículo 3 de la Ley 1150 de 2007, la Contraloría General de la República podrá obtener un análisis de precios de mercado de valor de los contratos que se registran en los sistemas de información o en los catálogos existentes sobre la contratación pública o privada, nacional o internacional; en virtud de lo cual, existirán los sistemas de registros de precios de referencia y los catálogos que las necesidades de análisis de precios aconsejen, para racionalizar la vigilancia a los precios de la contratación».</w:t>
      </w:r>
    </w:p>
    <w:p w14:paraId="036C506E" w14:textId="77777777" w:rsidR="0059611C" w:rsidRPr="00031F88" w:rsidRDefault="0059611C" w:rsidP="00031F88">
      <w:pPr>
        <w:pStyle w:val="Textonotapie"/>
        <w:ind w:firstLine="709"/>
        <w:jc w:val="both"/>
        <w:rPr>
          <w:rFonts w:ascii="Arial" w:hAnsi="Arial" w:cs="Arial"/>
          <w:color w:val="000000" w:themeColor="text1"/>
          <w:sz w:val="19"/>
          <w:szCs w:val="19"/>
          <w:lang w:val="es-ES"/>
        </w:rPr>
      </w:pPr>
    </w:p>
  </w:footnote>
  <w:footnote w:id="18">
    <w:p w14:paraId="1EC973EF" w14:textId="406172E3" w:rsidR="006067E3" w:rsidRPr="00031F88" w:rsidRDefault="006067E3" w:rsidP="00031F88">
      <w:pPr>
        <w:pStyle w:val="Textonotapie"/>
        <w:ind w:firstLine="709"/>
        <w:jc w:val="both"/>
        <w:rPr>
          <w:rFonts w:ascii="Arial" w:hAnsi="Arial" w:cs="Arial"/>
          <w:color w:val="000000" w:themeColor="text1"/>
          <w:sz w:val="19"/>
          <w:szCs w:val="19"/>
          <w:lang w:val="es-ES"/>
        </w:rPr>
      </w:pPr>
      <w:r w:rsidRPr="00031F88">
        <w:rPr>
          <w:rStyle w:val="Refdenotaalpie"/>
          <w:rFonts w:ascii="Arial" w:hAnsi="Arial" w:cs="Arial"/>
          <w:color w:val="000000" w:themeColor="text1"/>
          <w:sz w:val="19"/>
          <w:szCs w:val="19"/>
        </w:rPr>
        <w:footnoteRef/>
      </w:r>
      <w:r w:rsidRPr="00031F88">
        <w:rPr>
          <w:rFonts w:ascii="Arial" w:hAnsi="Arial" w:cs="Arial"/>
          <w:color w:val="000000" w:themeColor="text1"/>
          <w:sz w:val="19"/>
          <w:szCs w:val="19"/>
        </w:rPr>
        <w:t xml:space="preserve"> </w:t>
      </w:r>
      <w:r w:rsidR="0059611C" w:rsidRPr="00031F88">
        <w:rPr>
          <w:rFonts w:ascii="Arial" w:eastAsia="Calibri" w:hAnsi="Arial" w:cs="Arial"/>
          <w:color w:val="000000" w:themeColor="text1"/>
          <w:sz w:val="19"/>
          <w:szCs w:val="19"/>
          <w:lang w:val="es-ES_tradnl"/>
        </w:rPr>
        <w:t>«Por la cual se definen principios y conceptos sobre la sociedad de la información y la organización de las Tecnologías de la Información y las Comunicaciones –TIC–, se crea la Agencia Nacional del Espectro y se dictan otras disposiciones»</w:t>
      </w:r>
    </w:p>
  </w:footnote>
  <w:footnote w:id="19">
    <w:p w14:paraId="647FC209" w14:textId="46F040D3" w:rsidR="000A4216" w:rsidRPr="00031F88" w:rsidRDefault="000A4216" w:rsidP="00031F88">
      <w:pPr>
        <w:pStyle w:val="Textonotapie"/>
        <w:ind w:firstLine="709"/>
        <w:jc w:val="both"/>
        <w:rPr>
          <w:rFonts w:ascii="Arial" w:eastAsia="Calibri" w:hAnsi="Arial" w:cs="Arial"/>
          <w:color w:val="000000" w:themeColor="text1"/>
          <w:sz w:val="19"/>
          <w:szCs w:val="19"/>
          <w:lang w:val="es-ES_tradnl"/>
        </w:rPr>
      </w:pPr>
      <w:r w:rsidRPr="00031F88">
        <w:rPr>
          <w:rStyle w:val="Refdenotaalpie"/>
          <w:rFonts w:ascii="Arial" w:hAnsi="Arial" w:cs="Arial"/>
          <w:color w:val="000000" w:themeColor="text1"/>
          <w:sz w:val="19"/>
          <w:szCs w:val="19"/>
        </w:rPr>
        <w:footnoteRef/>
      </w:r>
      <w:r w:rsidRPr="00031F88">
        <w:rPr>
          <w:rFonts w:ascii="Arial" w:hAnsi="Arial" w:cs="Arial"/>
          <w:color w:val="000000" w:themeColor="text1"/>
          <w:sz w:val="19"/>
          <w:szCs w:val="19"/>
        </w:rPr>
        <w:t xml:space="preserve"> </w:t>
      </w:r>
      <w:r w:rsidR="00BF5DF7" w:rsidRPr="00031F88">
        <w:rPr>
          <w:rFonts w:ascii="Arial" w:eastAsia="Calibri" w:hAnsi="Arial" w:cs="Arial"/>
          <w:color w:val="000000" w:themeColor="text1"/>
          <w:sz w:val="19"/>
          <w:szCs w:val="19"/>
          <w:lang w:val="es-ES_tradnl"/>
        </w:rPr>
        <w:t>«Por la cual se expide el Código de Procedimiento Administrativo y de lo Contencioso Administrativo».</w:t>
      </w:r>
    </w:p>
    <w:p w14:paraId="5C446554" w14:textId="77777777" w:rsidR="00BF5DF7" w:rsidRPr="00031F88" w:rsidRDefault="00BF5DF7" w:rsidP="00031F88">
      <w:pPr>
        <w:pStyle w:val="Textonotapie"/>
        <w:ind w:firstLine="709"/>
        <w:jc w:val="both"/>
        <w:rPr>
          <w:rFonts w:ascii="Arial" w:hAnsi="Arial" w:cs="Arial"/>
          <w:color w:val="000000" w:themeColor="text1"/>
          <w:sz w:val="19"/>
          <w:szCs w:val="19"/>
          <w:lang w:val="es-ES"/>
        </w:rPr>
      </w:pPr>
    </w:p>
  </w:footnote>
  <w:footnote w:id="20">
    <w:p w14:paraId="54F70D7D" w14:textId="60F1F2F6" w:rsidR="009F5FAB" w:rsidRPr="00031F88" w:rsidRDefault="009F5FAB" w:rsidP="00031F88">
      <w:pPr>
        <w:pStyle w:val="Textonotapie"/>
        <w:ind w:firstLine="709"/>
        <w:jc w:val="both"/>
        <w:rPr>
          <w:rFonts w:ascii="Arial" w:hAnsi="Arial" w:cs="Arial"/>
          <w:color w:val="000000" w:themeColor="text1"/>
          <w:sz w:val="19"/>
          <w:szCs w:val="19"/>
          <w:lang w:val="es-ES"/>
        </w:rPr>
      </w:pPr>
      <w:r w:rsidRPr="00031F88">
        <w:rPr>
          <w:rStyle w:val="Refdenotaalpie"/>
          <w:rFonts w:ascii="Arial" w:hAnsi="Arial" w:cs="Arial"/>
          <w:color w:val="000000" w:themeColor="text1"/>
          <w:sz w:val="19"/>
          <w:szCs w:val="19"/>
        </w:rPr>
        <w:footnoteRef/>
      </w:r>
      <w:r w:rsidRPr="00031F88">
        <w:rPr>
          <w:rFonts w:ascii="Arial" w:hAnsi="Arial" w:cs="Arial"/>
          <w:color w:val="000000" w:themeColor="text1"/>
          <w:sz w:val="19"/>
          <w:szCs w:val="19"/>
        </w:rPr>
        <w:t xml:space="preserve"> </w:t>
      </w:r>
      <w:r w:rsidRPr="00031F88">
        <w:rPr>
          <w:rFonts w:ascii="Arial" w:hAnsi="Arial" w:cs="Arial"/>
          <w:color w:val="000000" w:themeColor="text1"/>
          <w:sz w:val="19"/>
          <w:szCs w:val="19"/>
          <w:lang w:val="es-ES"/>
        </w:rPr>
        <w:t>Artículos 53 al 64.</w:t>
      </w:r>
    </w:p>
    <w:p w14:paraId="7FCDC6A2" w14:textId="77777777" w:rsidR="009F5FAB" w:rsidRPr="00031F88" w:rsidRDefault="009F5FAB" w:rsidP="00031F88">
      <w:pPr>
        <w:pStyle w:val="Textonotapie"/>
        <w:ind w:firstLine="709"/>
        <w:jc w:val="both"/>
        <w:rPr>
          <w:rFonts w:ascii="Arial" w:hAnsi="Arial" w:cs="Arial"/>
          <w:color w:val="000000" w:themeColor="text1"/>
          <w:sz w:val="19"/>
          <w:szCs w:val="19"/>
          <w:lang w:val="es-ES"/>
        </w:rPr>
      </w:pPr>
    </w:p>
  </w:footnote>
  <w:footnote w:id="21">
    <w:p w14:paraId="433C70BB" w14:textId="6A6ACDBA" w:rsidR="007B79F0" w:rsidRPr="00031F88" w:rsidRDefault="007B79F0" w:rsidP="00031F88">
      <w:pPr>
        <w:pStyle w:val="Textonotapie"/>
        <w:ind w:firstLine="709"/>
        <w:jc w:val="both"/>
        <w:rPr>
          <w:rFonts w:ascii="Arial" w:hAnsi="Arial" w:cs="Arial"/>
          <w:color w:val="000000" w:themeColor="text1"/>
          <w:sz w:val="19"/>
          <w:szCs w:val="19"/>
        </w:rPr>
      </w:pPr>
      <w:r w:rsidRPr="00031F88">
        <w:rPr>
          <w:rStyle w:val="Refdenotaalpie"/>
          <w:rFonts w:ascii="Arial" w:hAnsi="Arial" w:cs="Arial"/>
          <w:color w:val="000000" w:themeColor="text1"/>
          <w:sz w:val="19"/>
          <w:szCs w:val="19"/>
        </w:rPr>
        <w:footnoteRef/>
      </w:r>
      <w:r w:rsidRPr="00031F88">
        <w:rPr>
          <w:rFonts w:ascii="Arial" w:hAnsi="Arial" w:cs="Arial"/>
          <w:color w:val="000000" w:themeColor="text1"/>
          <w:sz w:val="19"/>
          <w:szCs w:val="19"/>
        </w:rPr>
        <w:t xml:space="preserve"> </w:t>
      </w:r>
      <w:r w:rsidR="001B0B1B" w:rsidRPr="00031F88">
        <w:rPr>
          <w:rFonts w:ascii="Arial" w:hAnsi="Arial" w:cs="Arial"/>
          <w:color w:val="000000" w:themeColor="text1"/>
          <w:sz w:val="19"/>
          <w:szCs w:val="19"/>
        </w:rPr>
        <w:t xml:space="preserve">El artículo 77 de la Ley 80 de 1993 dispone: </w:t>
      </w:r>
      <w:r w:rsidRPr="00031F88">
        <w:rPr>
          <w:rFonts w:ascii="Arial" w:hAnsi="Arial" w:cs="Arial"/>
          <w:color w:val="000000" w:themeColor="text1"/>
          <w:sz w:val="19"/>
          <w:szCs w:val="19"/>
        </w:rPr>
        <w:t>«En cuanto sean compatibles con la finalidad y los principios de esta ley, las normas que rigen los procedimientos y actuaciones en la función administrativa serán aplicables en las actuaciones contractuales. A falta de éstas, regirán las disposiciones del Código de Procedimiento Civil.</w:t>
      </w:r>
    </w:p>
    <w:p w14:paraId="047DA261" w14:textId="751B1369" w:rsidR="007B79F0" w:rsidRPr="00031F88" w:rsidRDefault="007B79F0" w:rsidP="00031F88">
      <w:pPr>
        <w:pStyle w:val="Textonotapie"/>
        <w:ind w:firstLine="709"/>
        <w:jc w:val="both"/>
        <w:rPr>
          <w:rFonts w:ascii="Arial" w:hAnsi="Arial" w:cs="Arial"/>
          <w:color w:val="000000" w:themeColor="text1"/>
          <w:sz w:val="19"/>
          <w:szCs w:val="19"/>
        </w:rPr>
      </w:pPr>
      <w:r w:rsidRPr="00031F88">
        <w:rPr>
          <w:rFonts w:ascii="Arial" w:hAnsi="Arial" w:cs="Arial"/>
          <w:color w:val="000000" w:themeColor="text1"/>
          <w:sz w:val="19"/>
          <w:szCs w:val="19"/>
        </w:rPr>
        <w:t>»Los actos administrativos que se produzcan con motivo u ocasión de la actividad contractual sólo serán susceptibles de recurso de reposición  y del ejercicio de la acción contractual, de acuerdo con las reglas del Código Contencioso Administrativo.</w:t>
      </w:r>
    </w:p>
    <w:p w14:paraId="6FF7CB68" w14:textId="41F0A025" w:rsidR="007B79F0" w:rsidRPr="00031F88" w:rsidRDefault="00DD5000" w:rsidP="00031F88">
      <w:pPr>
        <w:pStyle w:val="Textonotapie"/>
        <w:ind w:firstLine="709"/>
        <w:jc w:val="both"/>
        <w:rPr>
          <w:rFonts w:ascii="Arial" w:hAnsi="Arial" w:cs="Arial"/>
          <w:color w:val="000000" w:themeColor="text1"/>
          <w:sz w:val="19"/>
          <w:szCs w:val="19"/>
        </w:rPr>
      </w:pPr>
      <w:r w:rsidRPr="00031F88">
        <w:rPr>
          <w:rFonts w:ascii="Arial" w:hAnsi="Arial" w:cs="Arial"/>
          <w:color w:val="000000" w:themeColor="text1"/>
          <w:sz w:val="19"/>
          <w:szCs w:val="19"/>
        </w:rPr>
        <w:t>»[…]</w:t>
      </w:r>
      <w:r w:rsidR="007B79F0" w:rsidRPr="00031F88">
        <w:rPr>
          <w:rFonts w:ascii="Arial" w:hAnsi="Arial" w:cs="Arial"/>
          <w:color w:val="000000" w:themeColor="text1"/>
          <w:sz w:val="19"/>
          <w:szCs w:val="19"/>
        </w:rPr>
        <w:t>».</w:t>
      </w:r>
    </w:p>
    <w:p w14:paraId="16A14DA8" w14:textId="77777777" w:rsidR="007B79F0" w:rsidRPr="00031F88" w:rsidRDefault="007B79F0" w:rsidP="00031F88">
      <w:pPr>
        <w:pStyle w:val="Textonotapie"/>
        <w:ind w:firstLine="709"/>
        <w:jc w:val="both"/>
        <w:rPr>
          <w:rFonts w:ascii="Arial" w:hAnsi="Arial" w:cs="Arial"/>
          <w:color w:val="000000" w:themeColor="text1"/>
          <w:sz w:val="19"/>
          <w:szCs w:val="19"/>
        </w:rPr>
      </w:pPr>
    </w:p>
  </w:footnote>
  <w:footnote w:id="22">
    <w:p w14:paraId="6FF8CC77" w14:textId="77777777" w:rsidR="00317D34" w:rsidRPr="00031F88" w:rsidRDefault="00317D34" w:rsidP="00031F88">
      <w:pPr>
        <w:pStyle w:val="Textonotapie"/>
        <w:ind w:firstLine="709"/>
        <w:jc w:val="both"/>
        <w:rPr>
          <w:rFonts w:ascii="Arial" w:hAnsi="Arial" w:cs="Arial"/>
          <w:color w:val="000000" w:themeColor="text1"/>
          <w:sz w:val="19"/>
          <w:szCs w:val="19"/>
          <w:lang w:val="es-ES"/>
        </w:rPr>
      </w:pPr>
      <w:r w:rsidRPr="00031F88">
        <w:rPr>
          <w:rStyle w:val="Refdenotaalpie"/>
          <w:rFonts w:ascii="Arial" w:hAnsi="Arial" w:cs="Arial"/>
          <w:color w:val="000000" w:themeColor="text1"/>
          <w:sz w:val="19"/>
          <w:szCs w:val="19"/>
        </w:rPr>
        <w:footnoteRef/>
      </w:r>
      <w:r w:rsidRPr="00031F88">
        <w:rPr>
          <w:rFonts w:ascii="Arial" w:hAnsi="Arial" w:cs="Arial"/>
          <w:color w:val="000000" w:themeColor="text1"/>
          <w:sz w:val="19"/>
          <w:szCs w:val="19"/>
        </w:rPr>
        <w:t xml:space="preserve"> </w:t>
      </w:r>
      <w:r w:rsidRPr="00031F88">
        <w:rPr>
          <w:rFonts w:ascii="Arial" w:hAnsi="Arial" w:cs="Arial"/>
          <w:color w:val="000000" w:themeColor="text1"/>
          <w:sz w:val="19"/>
          <w:szCs w:val="19"/>
          <w:lang w:val="es-ES"/>
        </w:rPr>
        <w:t>«Por el cual se adoptan medidas de urgencia en materia de contratación estatal, con ocasión del Estado de Emergencia Económica, Social y Ecológica derivada de la Pandemia COVID-19».</w:t>
      </w:r>
    </w:p>
    <w:p w14:paraId="36C8EF30" w14:textId="77777777" w:rsidR="00317D34" w:rsidRPr="00031F88" w:rsidRDefault="00317D34" w:rsidP="00031F88">
      <w:pPr>
        <w:pStyle w:val="Textonotapie"/>
        <w:ind w:firstLine="709"/>
        <w:jc w:val="both"/>
        <w:rPr>
          <w:rFonts w:ascii="Arial" w:hAnsi="Arial" w:cs="Arial"/>
          <w:color w:val="000000" w:themeColor="text1"/>
          <w:sz w:val="19"/>
          <w:szCs w:val="19"/>
          <w:lang w:val="es-ES"/>
        </w:rPr>
      </w:pPr>
    </w:p>
  </w:footnote>
  <w:footnote w:id="23">
    <w:p w14:paraId="558CC4F3" w14:textId="77777777" w:rsidR="00317D34" w:rsidRPr="00031F88" w:rsidRDefault="00317D34" w:rsidP="00031F88">
      <w:pPr>
        <w:pStyle w:val="Textonotapie"/>
        <w:ind w:firstLine="709"/>
        <w:jc w:val="both"/>
        <w:rPr>
          <w:rFonts w:ascii="Arial" w:hAnsi="Arial" w:cs="Arial"/>
          <w:color w:val="000000" w:themeColor="text1"/>
          <w:sz w:val="19"/>
          <w:szCs w:val="19"/>
          <w:lang w:val="es-ES"/>
        </w:rPr>
      </w:pPr>
      <w:r w:rsidRPr="00031F88">
        <w:rPr>
          <w:rStyle w:val="Refdenotaalpie"/>
          <w:rFonts w:ascii="Arial" w:hAnsi="Arial" w:cs="Arial"/>
          <w:color w:val="000000" w:themeColor="text1"/>
          <w:sz w:val="19"/>
          <w:szCs w:val="19"/>
        </w:rPr>
        <w:footnoteRef/>
      </w:r>
      <w:r w:rsidRPr="00031F88">
        <w:rPr>
          <w:rFonts w:ascii="Arial" w:hAnsi="Arial" w:cs="Arial"/>
          <w:color w:val="000000" w:themeColor="text1"/>
          <w:sz w:val="19"/>
          <w:szCs w:val="19"/>
        </w:rPr>
        <w:t xml:space="preserve"> </w:t>
      </w:r>
      <w:r w:rsidRPr="00031F88">
        <w:rPr>
          <w:rFonts w:ascii="Arial" w:hAnsi="Arial" w:cs="Arial"/>
          <w:color w:val="000000" w:themeColor="text1"/>
          <w:sz w:val="19"/>
          <w:szCs w:val="19"/>
          <w:lang w:val="es-ES"/>
        </w:rPr>
        <w:t>En efecto, dentro de los considerandos del Decreto se expresa: «Que de conformidad con lo anterior, se hace necesario tomar algunas medidas en materia de contratación estatal, con la finalidad de prevenir la propagación de la pandemia, mediante el distanciamiento social, acudiendo a la realización de audiencias públicas electrónicas o virtuales, fortaleciendo el uso de las herramientas electrónicas, de manera que se evite el contacto entre los participantes en los procesos de contratación, pero sin afectar la publicidad y la transparencia; propósito que también se debe cumplir en la realización de las actuaciones contractuales sancionatorias, que deben incorporar medios electrónicos para evitar el contacto físico, pero que garanticen el debido proceso y el derecho de defensa; no obstante, en caso de ser necesario, y con el fin de facilitar que la Administración dirija los procedimientos de contratación, se debe autorizar la suspensión de los procedimientos, inclusive su revocatoria, cuando no haya mecanismos que permiten continuarlos de manera normal; adicionalmente, es necesario permitir que las autoridades administrativas, y en especial la Agencia Nacional de Contratación Pública – Colombia Compra Eficiente pueda adelantar procedimientos de contratación ágiles y expeditos, ante la urgencia en adquirir bienes, obras o servicios para contener la expansión del virus y atender la mitigación de la pandemia; inclusive se debe autorizar, entre otras medidas pertinentes, la adición ilimitada de los contratos vigentes que contribuyan a atender la epidemia».</w:t>
      </w:r>
    </w:p>
    <w:p w14:paraId="146C872E" w14:textId="77777777" w:rsidR="00317D34" w:rsidRPr="00031F88" w:rsidRDefault="00317D34" w:rsidP="00031F88">
      <w:pPr>
        <w:pStyle w:val="Textonotapie"/>
        <w:ind w:firstLine="709"/>
        <w:jc w:val="both"/>
        <w:rPr>
          <w:rFonts w:ascii="Arial" w:hAnsi="Arial" w:cs="Arial"/>
          <w:color w:val="000000" w:themeColor="text1"/>
          <w:sz w:val="19"/>
          <w:szCs w:val="19"/>
          <w:lang w:val="es-ES"/>
        </w:rPr>
      </w:pPr>
    </w:p>
  </w:footnote>
  <w:footnote w:id="24">
    <w:p w14:paraId="228AAE94" w14:textId="77777777" w:rsidR="00317D34" w:rsidRPr="00031F88" w:rsidRDefault="00317D34" w:rsidP="00031F88">
      <w:pPr>
        <w:pStyle w:val="Textonotapie"/>
        <w:ind w:firstLine="709"/>
        <w:jc w:val="both"/>
        <w:rPr>
          <w:rFonts w:ascii="Arial" w:hAnsi="Arial" w:cs="Arial"/>
          <w:color w:val="000000" w:themeColor="text1"/>
          <w:sz w:val="19"/>
          <w:szCs w:val="19"/>
          <w:lang w:val="es-ES"/>
        </w:rPr>
      </w:pPr>
      <w:r w:rsidRPr="00031F88">
        <w:rPr>
          <w:rStyle w:val="Refdenotaalpie"/>
          <w:rFonts w:ascii="Arial" w:hAnsi="Arial" w:cs="Arial"/>
          <w:color w:val="000000" w:themeColor="text1"/>
          <w:sz w:val="19"/>
          <w:szCs w:val="19"/>
        </w:rPr>
        <w:footnoteRef/>
      </w:r>
      <w:r w:rsidRPr="00031F88">
        <w:rPr>
          <w:rFonts w:ascii="Arial" w:hAnsi="Arial" w:cs="Arial"/>
          <w:color w:val="000000" w:themeColor="text1"/>
          <w:sz w:val="19"/>
          <w:szCs w:val="19"/>
        </w:rPr>
        <w:t xml:space="preserve"> </w:t>
      </w:r>
      <w:r w:rsidRPr="00031F88">
        <w:rPr>
          <w:rFonts w:ascii="Arial" w:hAnsi="Arial" w:cs="Arial"/>
          <w:color w:val="000000" w:themeColor="text1"/>
          <w:sz w:val="19"/>
          <w:szCs w:val="19"/>
          <w:lang w:val="es-ES"/>
        </w:rPr>
        <w:t>El artículo 1 establece: «Para evitar el contacto entre las personas y propiciar el distanciamiento individual, durante el estado de emergencia económica, social y ecológica, las audiencias públicas que deban realizarse en los procedimientos de selección podrán realizarse a través de medios electrónicos, garantizando el acceso a los proponentes, entes de control, y a cualquier ciudadano interesado en participar.</w:t>
      </w:r>
    </w:p>
    <w:p w14:paraId="3D582674" w14:textId="77777777" w:rsidR="00317D34" w:rsidRPr="00031F88" w:rsidRDefault="00317D34" w:rsidP="00031F88">
      <w:pPr>
        <w:pStyle w:val="Textonotapie"/>
        <w:ind w:firstLine="709"/>
        <w:jc w:val="both"/>
        <w:rPr>
          <w:rFonts w:ascii="Arial" w:hAnsi="Arial" w:cs="Arial"/>
          <w:color w:val="000000" w:themeColor="text1"/>
          <w:sz w:val="19"/>
          <w:szCs w:val="19"/>
          <w:lang w:val="es-ES"/>
        </w:rPr>
      </w:pPr>
      <w:r w:rsidRPr="00031F88">
        <w:rPr>
          <w:rFonts w:ascii="Arial" w:hAnsi="Arial" w:cs="Arial"/>
          <w:color w:val="000000" w:themeColor="text1"/>
          <w:sz w:val="19"/>
          <w:szCs w:val="19"/>
          <w:lang w:val="es-ES"/>
        </w:rPr>
        <w:t>»La entidad estatal deberá indicar y garantizar los medios electrónicos y de comunicación que serán utilizados, así como los mecanismos que empleará para el registro de toda la información generada, conforme al cronograma establecido en el procedimiento.</w:t>
      </w:r>
    </w:p>
    <w:p w14:paraId="79C7FCF0" w14:textId="77777777" w:rsidR="00317D34" w:rsidRPr="00031F88" w:rsidRDefault="00317D34" w:rsidP="00031F88">
      <w:pPr>
        <w:pStyle w:val="Textonotapie"/>
        <w:ind w:firstLine="709"/>
        <w:jc w:val="both"/>
        <w:rPr>
          <w:rFonts w:ascii="Arial" w:hAnsi="Arial" w:cs="Arial"/>
          <w:color w:val="000000" w:themeColor="text1"/>
          <w:sz w:val="19"/>
          <w:szCs w:val="19"/>
          <w:lang w:val="es-ES"/>
        </w:rPr>
      </w:pPr>
      <w:r w:rsidRPr="00031F88">
        <w:rPr>
          <w:rFonts w:ascii="Arial" w:hAnsi="Arial" w:cs="Arial"/>
          <w:color w:val="000000" w:themeColor="text1"/>
          <w:sz w:val="19"/>
          <w:szCs w:val="19"/>
          <w:lang w:val="es-ES"/>
        </w:rPr>
        <w:t>»En todo caso, debe garantizarse el procedimiento de intervención de los interesados, y se levantará un acta de lo acontecido en la audiencia.</w:t>
      </w:r>
    </w:p>
    <w:p w14:paraId="083F8A5D" w14:textId="77777777" w:rsidR="00317D34" w:rsidRPr="00031F88" w:rsidRDefault="00317D34" w:rsidP="00031F88">
      <w:pPr>
        <w:pStyle w:val="Textonotapie"/>
        <w:ind w:firstLine="709"/>
        <w:jc w:val="both"/>
        <w:rPr>
          <w:rFonts w:ascii="Arial" w:hAnsi="Arial" w:cs="Arial"/>
          <w:color w:val="000000" w:themeColor="text1"/>
          <w:sz w:val="19"/>
          <w:szCs w:val="19"/>
          <w:lang w:val="es-ES"/>
        </w:rPr>
      </w:pPr>
      <w:r w:rsidRPr="00031F88">
        <w:rPr>
          <w:rFonts w:ascii="Arial" w:hAnsi="Arial" w:cs="Arial"/>
          <w:color w:val="000000" w:themeColor="text1"/>
          <w:sz w:val="19"/>
          <w:szCs w:val="19"/>
          <w:lang w:val="es-ES"/>
        </w:rPr>
        <w:t>»Para la adquisición de bienes y servicios de características técnicas uniformes, mediante el procedimiento de selección abreviada por subasta inversa, el evento se podrá adelantar por medios electrónicos. En virtud de lo anterior, la Agencia Nacional de Contratación Pública – Colombia Compra Eficiente pondrá a disposición de las Entidades Estatales una aplicación para adelantar las subastas electrónicas en el Sistema Electrónico de Contratación Pública – SECOP II. En ausencia de la aplicación, las entidades estatales podrán adquirir de manera directa la plataforma electrónica dispuesta en el mercado para dichos efectos.</w:t>
      </w:r>
    </w:p>
    <w:p w14:paraId="08ABB8FA" w14:textId="77777777" w:rsidR="00317D34" w:rsidRPr="00031F88" w:rsidRDefault="00317D34" w:rsidP="00031F88">
      <w:pPr>
        <w:pStyle w:val="Textonotapie"/>
        <w:ind w:firstLine="709"/>
        <w:jc w:val="both"/>
        <w:rPr>
          <w:rFonts w:ascii="Arial" w:hAnsi="Arial" w:cs="Arial"/>
          <w:color w:val="000000" w:themeColor="text1"/>
          <w:sz w:val="19"/>
          <w:szCs w:val="19"/>
          <w:lang w:val="es-ES"/>
        </w:rPr>
      </w:pPr>
      <w:r w:rsidRPr="00031F88">
        <w:rPr>
          <w:rFonts w:ascii="Arial" w:hAnsi="Arial" w:cs="Arial"/>
          <w:color w:val="000000" w:themeColor="text1"/>
          <w:sz w:val="19"/>
          <w:szCs w:val="19"/>
          <w:lang w:val="es-ES"/>
        </w:rPr>
        <w:t>»Parágrafo 1. En los procedimientos de selección que se encuentren en trámite, no es necesario modificar el pliego de condiciones para este fin. Sin embargo, mínimo dos días hábiles antes de la realización, la entidad deberá informar la metodología y condiciones para el desarrollo de las audiencias».</w:t>
      </w:r>
    </w:p>
  </w:footnote>
  <w:footnote w:id="25">
    <w:p w14:paraId="1C0F3A9A" w14:textId="2466DCAD" w:rsidR="001B53F1" w:rsidRPr="00031F88" w:rsidRDefault="00731423" w:rsidP="00031F88">
      <w:pPr>
        <w:pStyle w:val="Textonotapie"/>
        <w:ind w:firstLine="709"/>
        <w:jc w:val="both"/>
        <w:rPr>
          <w:rFonts w:ascii="Arial" w:hAnsi="Arial" w:cs="Arial"/>
          <w:color w:val="000000" w:themeColor="text1"/>
          <w:sz w:val="19"/>
          <w:szCs w:val="19"/>
          <w:lang w:val="es-ES"/>
        </w:rPr>
      </w:pPr>
      <w:r w:rsidRPr="00031F88">
        <w:rPr>
          <w:rStyle w:val="Refdenotaalpie"/>
          <w:rFonts w:ascii="Arial" w:hAnsi="Arial" w:cs="Arial"/>
          <w:color w:val="000000" w:themeColor="text1"/>
          <w:sz w:val="19"/>
          <w:szCs w:val="19"/>
        </w:rPr>
        <w:footnoteRef/>
      </w:r>
      <w:r w:rsidRPr="00031F88">
        <w:rPr>
          <w:rFonts w:ascii="Arial" w:hAnsi="Arial" w:cs="Arial"/>
          <w:color w:val="000000" w:themeColor="text1"/>
          <w:sz w:val="19"/>
          <w:szCs w:val="19"/>
        </w:rPr>
        <w:t xml:space="preserve"> </w:t>
      </w:r>
      <w:r w:rsidR="001B53F1" w:rsidRPr="00031F88">
        <w:rPr>
          <w:rFonts w:ascii="Arial" w:hAnsi="Arial" w:cs="Arial"/>
          <w:color w:val="000000" w:themeColor="text1"/>
          <w:sz w:val="19"/>
          <w:szCs w:val="19"/>
        </w:rPr>
        <w:t xml:space="preserve">El referido artículo, dispuso: </w:t>
      </w:r>
      <w:r w:rsidR="001B53F1" w:rsidRPr="00031F88">
        <w:rPr>
          <w:rFonts w:ascii="Arial" w:hAnsi="Arial" w:cs="Arial"/>
          <w:color w:val="000000" w:themeColor="text1"/>
          <w:sz w:val="19"/>
          <w:szCs w:val="19"/>
          <w:lang w:val="es-ES"/>
        </w:rPr>
        <w:t>«Hasta tanto permanezca vigente la Emergencia Sanitaria declarada por el Ministerio de Salud y Protección Social, la notificación o comunicación de los actos administrativos se hará por medios electrónicos. Para el efecto en todo tramite, proceso o procedimiento que se inicie será obligatorio indicar la dirección electrónica para recibir notificaciones, y con la sola radicación se entenderá que se ha dado la autorización.</w:t>
      </w:r>
    </w:p>
    <w:p w14:paraId="5518F720" w14:textId="289D9971" w:rsidR="001B53F1" w:rsidRPr="00031F88" w:rsidRDefault="001B53F1" w:rsidP="00031F88">
      <w:pPr>
        <w:pStyle w:val="Textonotapie"/>
        <w:ind w:firstLine="709"/>
        <w:jc w:val="both"/>
        <w:rPr>
          <w:rFonts w:ascii="Arial" w:hAnsi="Arial" w:cs="Arial"/>
          <w:color w:val="000000" w:themeColor="text1"/>
          <w:sz w:val="19"/>
          <w:szCs w:val="19"/>
          <w:lang w:val="es-ES"/>
        </w:rPr>
      </w:pPr>
      <w:r w:rsidRPr="00031F88">
        <w:rPr>
          <w:rFonts w:ascii="Arial" w:hAnsi="Arial" w:cs="Arial"/>
          <w:color w:val="000000" w:themeColor="text1"/>
          <w:sz w:val="19"/>
          <w:szCs w:val="19"/>
          <w:lang w:val="es-ES"/>
        </w:rPr>
        <w:t>»En relación con las actuaciones administrativas que se encuentren en curso a la expedición del presente Decreto, los administrados deberán indicar a la autoridad competente la dirección electrónica en la cual recibirán notificaciones o comunicaciones. Las autoridades, dentro de los tres (3) días hábiles posteriores a la expedición del presente Decreto, deberán habilitar un buzón de correo electrónico exclusivamente para efectuar las notificaciones o comunicaciones a que se refiere el presente artículo.</w:t>
      </w:r>
    </w:p>
    <w:p w14:paraId="19676AF8" w14:textId="5E60E5C8" w:rsidR="001B53F1" w:rsidRPr="00031F88" w:rsidRDefault="001B53F1" w:rsidP="00031F88">
      <w:pPr>
        <w:pStyle w:val="Textonotapie"/>
        <w:ind w:firstLine="709"/>
        <w:jc w:val="both"/>
        <w:rPr>
          <w:rFonts w:ascii="Arial" w:hAnsi="Arial" w:cs="Arial"/>
          <w:color w:val="000000" w:themeColor="text1"/>
          <w:sz w:val="19"/>
          <w:szCs w:val="19"/>
          <w:lang w:val="es-ES"/>
        </w:rPr>
      </w:pPr>
      <w:r w:rsidRPr="00031F88">
        <w:rPr>
          <w:rFonts w:ascii="Arial" w:hAnsi="Arial" w:cs="Arial"/>
          <w:color w:val="000000" w:themeColor="text1"/>
          <w:sz w:val="19"/>
          <w:szCs w:val="19"/>
          <w:lang w:val="es-ES"/>
        </w:rPr>
        <w:t>»El mensaje que se envié al administrado deberá indicar el acto administrativo que se notifica o comunica, contener copia electrónica del acto administrativo, los recursos que legalmente proceden, las autoridades ante quienes deben interponerse y los plazos para hacerlo. La notificación o comunicación quedará surtida a partir de la fecha y hora en que el administrado acceda al acto administrativo, fecha y hora que deberá certificar la administración.</w:t>
      </w:r>
    </w:p>
    <w:p w14:paraId="4905C1B9" w14:textId="01BC9214" w:rsidR="001B53F1" w:rsidRPr="00031F88" w:rsidRDefault="001B53F1" w:rsidP="00031F88">
      <w:pPr>
        <w:pStyle w:val="Textonotapie"/>
        <w:ind w:firstLine="709"/>
        <w:jc w:val="both"/>
        <w:rPr>
          <w:rFonts w:ascii="Arial" w:hAnsi="Arial" w:cs="Arial"/>
          <w:color w:val="000000" w:themeColor="text1"/>
          <w:sz w:val="19"/>
          <w:szCs w:val="19"/>
          <w:lang w:val="es-ES"/>
        </w:rPr>
      </w:pPr>
      <w:r w:rsidRPr="00031F88">
        <w:rPr>
          <w:rFonts w:ascii="Arial" w:hAnsi="Arial" w:cs="Arial"/>
          <w:color w:val="000000" w:themeColor="text1"/>
          <w:sz w:val="19"/>
          <w:szCs w:val="19"/>
          <w:lang w:val="es-ES"/>
        </w:rPr>
        <w:t>»En el evento en que la notificación o comunicación no pueda hacerse de forma electrónica, se seguirá el procedimiento previsto en los artículos 67 y siguientes de la Ley 1437 de 2011».</w:t>
      </w:r>
    </w:p>
    <w:p w14:paraId="09642589" w14:textId="3A3CB9BF" w:rsidR="00731423" w:rsidRPr="00031F88" w:rsidRDefault="001B53F1" w:rsidP="00031F88">
      <w:pPr>
        <w:pStyle w:val="Textonotapie"/>
        <w:ind w:firstLine="709"/>
        <w:jc w:val="both"/>
        <w:rPr>
          <w:rFonts w:ascii="Arial" w:hAnsi="Arial" w:cs="Arial"/>
          <w:color w:val="000000" w:themeColor="text1"/>
          <w:sz w:val="19"/>
          <w:szCs w:val="19"/>
          <w:lang w:val="es-ES"/>
        </w:rPr>
      </w:pPr>
      <w:r w:rsidRPr="00031F88">
        <w:rPr>
          <w:rFonts w:ascii="Arial" w:hAnsi="Arial" w:cs="Arial"/>
          <w:color w:val="000000" w:themeColor="text1"/>
          <w:sz w:val="19"/>
          <w:szCs w:val="19"/>
          <w:lang w:val="es-ES"/>
        </w:rPr>
        <w:t>PARAGRAFO. La presente disposición no aplica para notificación de los actos de inscripción o registro regulada en el artículo 70 del Código de Procedimiento Administrativo y de lo Contencioso Administrativo».</w:t>
      </w:r>
    </w:p>
  </w:footnote>
  <w:footnote w:id="26">
    <w:p w14:paraId="3EE40239" w14:textId="77777777" w:rsidR="00317D34" w:rsidRPr="00031F88" w:rsidRDefault="00317D34" w:rsidP="00031F88">
      <w:pPr>
        <w:pStyle w:val="Textonotapie"/>
        <w:ind w:firstLine="709"/>
        <w:jc w:val="both"/>
        <w:rPr>
          <w:rFonts w:ascii="Arial" w:hAnsi="Arial" w:cs="Arial"/>
          <w:color w:val="000000" w:themeColor="text1"/>
          <w:sz w:val="19"/>
          <w:szCs w:val="19"/>
          <w:lang w:val="es-ES"/>
        </w:rPr>
      </w:pPr>
      <w:r w:rsidRPr="00031F88">
        <w:rPr>
          <w:rStyle w:val="Refdenotaalpie"/>
          <w:rFonts w:ascii="Arial" w:hAnsi="Arial" w:cs="Arial"/>
          <w:color w:val="000000" w:themeColor="text1"/>
          <w:sz w:val="19"/>
          <w:szCs w:val="19"/>
        </w:rPr>
        <w:footnoteRef/>
      </w:r>
      <w:r w:rsidRPr="00031F88">
        <w:rPr>
          <w:rFonts w:ascii="Arial" w:hAnsi="Arial" w:cs="Arial"/>
          <w:color w:val="000000" w:themeColor="text1"/>
          <w:sz w:val="19"/>
          <w:szCs w:val="19"/>
        </w:rPr>
        <w:t xml:space="preserve"> </w:t>
      </w:r>
      <w:r w:rsidRPr="00031F88">
        <w:rPr>
          <w:rFonts w:ascii="Arial" w:hAnsi="Arial" w:cs="Arial"/>
          <w:color w:val="000000" w:themeColor="text1"/>
          <w:sz w:val="19"/>
          <w:szCs w:val="19"/>
          <w:lang w:val="es-ES"/>
        </w:rPr>
        <w:t>REMOLINA, Nelson y PEÑA, Lisandro De los títulos valores y de los valores en el contexto digital. Bogotá: Temis, 2011. p. 120.</w:t>
      </w:r>
    </w:p>
    <w:p w14:paraId="4C360F69" w14:textId="77777777" w:rsidR="00317D34" w:rsidRPr="00031F88" w:rsidRDefault="00317D34" w:rsidP="00031F88">
      <w:pPr>
        <w:pStyle w:val="Textonotapie"/>
        <w:ind w:firstLine="709"/>
        <w:jc w:val="both"/>
        <w:rPr>
          <w:rFonts w:ascii="Arial" w:hAnsi="Arial" w:cs="Arial"/>
          <w:color w:val="000000" w:themeColor="text1"/>
          <w:sz w:val="19"/>
          <w:szCs w:val="19"/>
          <w:lang w:val="es-ES"/>
        </w:rPr>
      </w:pPr>
    </w:p>
  </w:footnote>
  <w:footnote w:id="27">
    <w:p w14:paraId="50FA0CA8" w14:textId="77777777" w:rsidR="00317D34" w:rsidRPr="00031F88" w:rsidRDefault="00317D34" w:rsidP="00031F88">
      <w:pPr>
        <w:pStyle w:val="Textonotapie"/>
        <w:ind w:firstLine="709"/>
        <w:jc w:val="both"/>
        <w:rPr>
          <w:rFonts w:ascii="Arial" w:hAnsi="Arial" w:cs="Arial"/>
          <w:color w:val="000000" w:themeColor="text1"/>
          <w:sz w:val="19"/>
          <w:szCs w:val="19"/>
        </w:rPr>
      </w:pPr>
      <w:r w:rsidRPr="00031F88">
        <w:rPr>
          <w:rStyle w:val="Refdenotaalpie"/>
          <w:rFonts w:ascii="Arial" w:hAnsi="Arial" w:cs="Arial"/>
          <w:color w:val="000000" w:themeColor="text1"/>
          <w:sz w:val="19"/>
          <w:szCs w:val="19"/>
        </w:rPr>
        <w:footnoteRef/>
      </w:r>
      <w:r w:rsidRPr="00031F88">
        <w:rPr>
          <w:rFonts w:ascii="Arial" w:hAnsi="Arial" w:cs="Arial"/>
          <w:color w:val="000000" w:themeColor="text1"/>
          <w:sz w:val="19"/>
          <w:szCs w:val="19"/>
        </w:rPr>
        <w:t xml:space="preserve"> Ley 527 de 1999: «Artículo 2. Definiciones […] c) Firma digital. Se entenderá como un valor numérico que se adhiere a un mensaje de datos y que, utilizando un procedimiento matemático conocido, vinculado a la clave del iniciador y al texto del mensaje permite determinar que este valor se ha obtenido exclusivamente con la clave del iniciador y que el mensaje inicial no ha sido modificado después de efectuada la transformación […]».</w:t>
      </w:r>
    </w:p>
    <w:p w14:paraId="23C456E2" w14:textId="77777777" w:rsidR="00317D34" w:rsidRPr="00031F88" w:rsidRDefault="00317D34" w:rsidP="00031F88">
      <w:pPr>
        <w:pStyle w:val="Textonotapie"/>
        <w:ind w:firstLine="709"/>
        <w:jc w:val="both"/>
        <w:rPr>
          <w:rFonts w:ascii="Arial" w:hAnsi="Arial" w:cs="Arial"/>
          <w:color w:val="000000" w:themeColor="text1"/>
          <w:sz w:val="19"/>
          <w:szCs w:val="19"/>
        </w:rPr>
      </w:pPr>
    </w:p>
  </w:footnote>
  <w:footnote w:id="28">
    <w:p w14:paraId="3E45EB60" w14:textId="77777777" w:rsidR="00317D34" w:rsidRPr="00031F88" w:rsidRDefault="00317D34" w:rsidP="00031F88">
      <w:pPr>
        <w:pStyle w:val="Textonotapie"/>
        <w:ind w:firstLine="709"/>
        <w:jc w:val="both"/>
        <w:rPr>
          <w:rFonts w:ascii="Arial" w:hAnsi="Arial" w:cs="Arial"/>
          <w:color w:val="000000" w:themeColor="text1"/>
          <w:sz w:val="19"/>
          <w:szCs w:val="19"/>
        </w:rPr>
      </w:pPr>
      <w:r w:rsidRPr="00031F88">
        <w:rPr>
          <w:rStyle w:val="Refdenotaalpie"/>
          <w:rFonts w:ascii="Arial" w:hAnsi="Arial" w:cs="Arial"/>
          <w:color w:val="000000" w:themeColor="text1"/>
          <w:sz w:val="19"/>
          <w:szCs w:val="19"/>
        </w:rPr>
        <w:footnoteRef/>
      </w:r>
      <w:r w:rsidRPr="00031F88">
        <w:rPr>
          <w:rFonts w:ascii="Arial" w:hAnsi="Arial" w:cs="Arial"/>
          <w:color w:val="000000" w:themeColor="text1"/>
          <w:sz w:val="19"/>
          <w:szCs w:val="19"/>
        </w:rPr>
        <w:t xml:space="preserve"> Ley 527 de 1999: «</w:t>
      </w:r>
      <w:hyperlink r:id="rId1" w:anchor="vid/438970057/node/30" w:history="1">
        <w:r w:rsidRPr="00031F88">
          <w:rPr>
            <w:rFonts w:ascii="Arial" w:hAnsi="Arial" w:cs="Arial"/>
            <w:color w:val="000000" w:themeColor="text1"/>
            <w:sz w:val="19"/>
            <w:szCs w:val="19"/>
          </w:rPr>
          <w:t>Artículo 30. Actividades de las entidades de certificación.</w:t>
        </w:r>
      </w:hyperlink>
      <w:r w:rsidRPr="00031F88">
        <w:rPr>
          <w:rFonts w:ascii="Arial" w:hAnsi="Arial" w:cs="Arial"/>
          <w:color w:val="000000" w:themeColor="text1"/>
          <w:sz w:val="19"/>
          <w:szCs w:val="19"/>
        </w:rPr>
        <w:t xml:space="preserve"> Las entidades de certificación acreditadas por el Organismo Nacional de Acreditación de Colombia para prestar sus servicios en el país, podrán realizar, entre otras, las siguientes actividades: […] 1. Emitir certificados en relación con las firmas electrónicas o digitales de personas naturales o jurídicas […]».</w:t>
      </w:r>
    </w:p>
  </w:footnote>
  <w:footnote w:id="29">
    <w:p w14:paraId="0EA0BCA3" w14:textId="6EEBC25E" w:rsidR="00660C77" w:rsidRPr="00031F88" w:rsidRDefault="00660C77" w:rsidP="00031F88">
      <w:pPr>
        <w:pStyle w:val="Textonotapie"/>
        <w:ind w:firstLine="709"/>
        <w:jc w:val="both"/>
        <w:rPr>
          <w:rFonts w:ascii="Arial" w:hAnsi="Arial" w:cs="Arial"/>
          <w:color w:val="000000" w:themeColor="text1"/>
          <w:sz w:val="19"/>
          <w:szCs w:val="19"/>
        </w:rPr>
      </w:pPr>
      <w:r w:rsidRPr="00031F88">
        <w:rPr>
          <w:rStyle w:val="Refdenotaalpie"/>
          <w:rFonts w:ascii="Arial" w:hAnsi="Arial" w:cs="Arial"/>
          <w:color w:val="000000" w:themeColor="text1"/>
          <w:sz w:val="19"/>
          <w:szCs w:val="19"/>
        </w:rPr>
        <w:footnoteRef/>
      </w:r>
      <w:r w:rsidRPr="00031F88">
        <w:rPr>
          <w:rFonts w:ascii="Arial" w:hAnsi="Arial" w:cs="Arial"/>
          <w:color w:val="000000" w:themeColor="text1"/>
          <w:sz w:val="19"/>
          <w:szCs w:val="19"/>
        </w:rPr>
        <w:t xml:space="preserve"> </w:t>
      </w:r>
      <w:r w:rsidR="001D5447" w:rsidRPr="00031F88">
        <w:rPr>
          <w:rFonts w:ascii="Arial" w:hAnsi="Arial" w:cs="Arial"/>
          <w:color w:val="000000" w:themeColor="text1"/>
          <w:sz w:val="19"/>
          <w:szCs w:val="19"/>
        </w:rPr>
        <w:t>Esta norma indica: «</w:t>
      </w:r>
      <w:r w:rsidRPr="00031F88">
        <w:rPr>
          <w:rFonts w:ascii="Arial" w:hAnsi="Arial" w:cs="Arial"/>
          <w:color w:val="000000" w:themeColor="text1"/>
          <w:sz w:val="19"/>
          <w:szCs w:val="19"/>
        </w:rPr>
        <w:t>Todos los actos de funcionario público competente se presumen auténticos. Por lo tanto no se requiere la autenticación en sede administrativa o notarial de los mismos. Los documentos producidos por las autoridades públicas o los particulares que cumplan funciones administrativas en sus distintas actuaciones, siempre que reposen en sus archivos, tampoco requieren autenticación o reconocimiento.</w:t>
      </w:r>
    </w:p>
    <w:p w14:paraId="644FA063" w14:textId="440B22A7" w:rsidR="00660C77" w:rsidRPr="00031F88" w:rsidRDefault="001D5447" w:rsidP="00031F88">
      <w:pPr>
        <w:pStyle w:val="Textonotapie"/>
        <w:ind w:firstLine="709"/>
        <w:jc w:val="both"/>
        <w:rPr>
          <w:rFonts w:ascii="Arial" w:hAnsi="Arial" w:cs="Arial"/>
          <w:color w:val="000000" w:themeColor="text1"/>
          <w:sz w:val="19"/>
          <w:szCs w:val="19"/>
        </w:rPr>
      </w:pPr>
      <w:r w:rsidRPr="00031F88">
        <w:rPr>
          <w:rFonts w:ascii="Arial" w:hAnsi="Arial" w:cs="Arial"/>
          <w:color w:val="000000" w:themeColor="text1"/>
          <w:sz w:val="19"/>
          <w:szCs w:val="19"/>
        </w:rPr>
        <w:t>»</w:t>
      </w:r>
      <w:r w:rsidR="00660C77" w:rsidRPr="00031F88">
        <w:rPr>
          <w:rFonts w:ascii="Arial" w:hAnsi="Arial" w:cs="Arial"/>
          <w:color w:val="000000" w:themeColor="text1"/>
          <w:sz w:val="19"/>
          <w:szCs w:val="19"/>
        </w:rPr>
        <w:t>Ninguna autoridad administrativa podrá exigir la presentación, suministro o entrega de documentos originales autenticados o copias o fotocopias autenticados, sin perjuicio de los controles o verificaciones que dichas entidades deban realizar, salvo para el reconocimiento o pago de pensiones.</w:t>
      </w:r>
    </w:p>
    <w:p w14:paraId="20F87EC8" w14:textId="4962C03D" w:rsidR="00660C77" w:rsidRPr="00031F88" w:rsidRDefault="001D5447" w:rsidP="00031F88">
      <w:pPr>
        <w:pStyle w:val="Textonotapie"/>
        <w:ind w:firstLine="709"/>
        <w:jc w:val="both"/>
        <w:rPr>
          <w:rFonts w:ascii="Arial" w:hAnsi="Arial" w:cs="Arial"/>
          <w:color w:val="000000" w:themeColor="text1"/>
          <w:sz w:val="19"/>
          <w:szCs w:val="19"/>
        </w:rPr>
      </w:pPr>
      <w:r w:rsidRPr="00031F88">
        <w:rPr>
          <w:rFonts w:ascii="Arial" w:hAnsi="Arial" w:cs="Arial"/>
          <w:color w:val="000000" w:themeColor="text1"/>
          <w:sz w:val="19"/>
          <w:szCs w:val="19"/>
        </w:rPr>
        <w:t>»</w:t>
      </w:r>
      <w:r w:rsidR="00660C77" w:rsidRPr="00031F88">
        <w:rPr>
          <w:rFonts w:ascii="Arial" w:hAnsi="Arial" w:cs="Arial"/>
          <w:color w:val="000000" w:themeColor="text1"/>
          <w:sz w:val="19"/>
          <w:szCs w:val="19"/>
        </w:rPr>
        <w:t>Los documentos privados, tuvieren o no como destino servir de prueba en actuaciones administrativas, incluyendo los provenientes de terceros, se presumen auténticos, mientras no se compruebe lo contrario mediante tacha de falsedad, con excepción de los poderes especiales y de las actas de asamblea general de accionistas, junta de socios y demás actos de personas jurídicas que deban registrarse ante las Cámaras de Comercio, las cuales deberán ser presentadas personalmente por sus otorgantes ante el secretario de la respectiva Cámara.</w:t>
      </w:r>
    </w:p>
    <w:p w14:paraId="7247F864" w14:textId="7B743E44" w:rsidR="00660C77" w:rsidRPr="00031F88" w:rsidRDefault="001D5447" w:rsidP="00031F88">
      <w:pPr>
        <w:pStyle w:val="Textonotapie"/>
        <w:ind w:firstLine="709"/>
        <w:jc w:val="both"/>
        <w:rPr>
          <w:rFonts w:ascii="Arial" w:hAnsi="Arial" w:cs="Arial"/>
          <w:color w:val="000000" w:themeColor="text1"/>
          <w:sz w:val="19"/>
          <w:szCs w:val="19"/>
          <w:lang w:val="es-ES"/>
        </w:rPr>
      </w:pPr>
      <w:r w:rsidRPr="00031F88">
        <w:rPr>
          <w:rFonts w:ascii="Arial" w:hAnsi="Arial" w:cs="Arial"/>
          <w:color w:val="000000" w:themeColor="text1"/>
          <w:sz w:val="19"/>
          <w:szCs w:val="19"/>
        </w:rPr>
        <w:t>»</w:t>
      </w:r>
      <w:r w:rsidR="00660C77" w:rsidRPr="00031F88">
        <w:rPr>
          <w:rFonts w:ascii="Arial" w:hAnsi="Arial" w:cs="Arial"/>
          <w:color w:val="000000" w:themeColor="text1"/>
          <w:sz w:val="19"/>
          <w:szCs w:val="19"/>
        </w:rPr>
        <w:t>Las copias simples que expidan los notarios de los documentos que reposan en los respectivos protocolos no se autenticarán, salvo que el interesado así lo solicite</w:t>
      </w:r>
      <w:r w:rsidRPr="00031F88">
        <w:rPr>
          <w:rFonts w:ascii="Arial" w:hAnsi="Arial" w:cs="Arial"/>
          <w:color w:val="000000" w:themeColor="text1"/>
          <w:sz w:val="19"/>
          <w:szCs w:val="19"/>
        </w:rPr>
        <w:t>»</w:t>
      </w:r>
      <w:r w:rsidR="00660C77" w:rsidRPr="00031F88">
        <w:rPr>
          <w:rFonts w:ascii="Arial" w:hAnsi="Arial" w:cs="Arial"/>
          <w:color w:val="000000" w:themeColor="text1"/>
          <w:sz w:val="19"/>
          <w:szCs w:val="19"/>
        </w:rPr>
        <w:t>.</w:t>
      </w:r>
    </w:p>
  </w:footnote>
  <w:footnote w:id="30">
    <w:p w14:paraId="461211AD" w14:textId="151EA477" w:rsidR="00102545" w:rsidRPr="00031F88" w:rsidRDefault="00102545" w:rsidP="00031F88">
      <w:pPr>
        <w:ind w:firstLine="709"/>
        <w:jc w:val="both"/>
        <w:rPr>
          <w:rFonts w:ascii="Arial" w:hAnsi="Arial" w:cs="Arial"/>
          <w:color w:val="000000" w:themeColor="text1"/>
          <w:sz w:val="19"/>
          <w:szCs w:val="19"/>
          <w:lang w:val="es-ES"/>
        </w:rPr>
      </w:pPr>
      <w:r w:rsidRPr="00031F88">
        <w:rPr>
          <w:rStyle w:val="Refdenotaalpie"/>
          <w:rFonts w:ascii="Arial" w:hAnsi="Arial" w:cs="Arial"/>
          <w:color w:val="000000" w:themeColor="text1"/>
          <w:sz w:val="19"/>
          <w:szCs w:val="19"/>
        </w:rPr>
        <w:footnoteRef/>
      </w:r>
      <w:r w:rsidRPr="00031F88">
        <w:rPr>
          <w:rFonts w:ascii="Arial" w:hAnsi="Arial" w:cs="Arial"/>
          <w:color w:val="000000" w:themeColor="text1"/>
          <w:sz w:val="19"/>
          <w:szCs w:val="19"/>
        </w:rPr>
        <w:t xml:space="preserve"> </w:t>
      </w:r>
      <w:r w:rsidRPr="00031F88">
        <w:rPr>
          <w:rFonts w:ascii="Arial" w:hAnsi="Arial" w:cs="Arial"/>
          <w:color w:val="000000" w:themeColor="text1"/>
          <w:sz w:val="19"/>
          <w:szCs w:val="19"/>
          <w:lang w:val="es-ES"/>
        </w:rPr>
        <w:t>«El SECOP II funciona como una plataforma transaccional con cuentas para las Entidades Estatales y los Proveedores. Cada cuenta tiene unos usuarios asociados a ella. Desde sus cuentas las Entidades Estatales crean, evalúan y adjudican Procesos de Contratación. Los Proveedores pueden hacer comentarios a los Documentos del Proceso, presentar ofertas y seguir el proceso de selección en línea». En: https://www.colombiacompra.gov.co/node/22829</w:t>
      </w:r>
    </w:p>
    <w:p w14:paraId="1CC9D20D" w14:textId="3E3CF184" w:rsidR="00102545" w:rsidRPr="00031F88" w:rsidRDefault="00102545" w:rsidP="00031F88">
      <w:pPr>
        <w:pStyle w:val="Textonotapie"/>
        <w:ind w:firstLine="709"/>
        <w:jc w:val="both"/>
        <w:rPr>
          <w:rFonts w:ascii="Arial" w:hAnsi="Arial" w:cs="Arial"/>
          <w:color w:val="000000" w:themeColor="text1"/>
          <w:sz w:val="19"/>
          <w:szCs w:val="19"/>
          <w:lang w:val="es-ES"/>
        </w:rPr>
      </w:pPr>
    </w:p>
  </w:footnote>
  <w:footnote w:id="31">
    <w:p w14:paraId="363B833D" w14:textId="38CBF9E5" w:rsidR="00B869CA" w:rsidRPr="00031F88" w:rsidRDefault="0041749E" w:rsidP="00031F88">
      <w:pPr>
        <w:pStyle w:val="Textonotapie"/>
        <w:ind w:firstLine="709"/>
        <w:jc w:val="both"/>
        <w:rPr>
          <w:rFonts w:ascii="Arial" w:hAnsi="Arial" w:cs="Arial"/>
          <w:color w:val="000000" w:themeColor="text1"/>
          <w:sz w:val="19"/>
          <w:szCs w:val="19"/>
          <w:lang w:val="es-ES"/>
        </w:rPr>
      </w:pPr>
      <w:r w:rsidRPr="00031F88">
        <w:rPr>
          <w:rStyle w:val="Refdenotaalpie"/>
          <w:rFonts w:ascii="Arial" w:hAnsi="Arial" w:cs="Arial"/>
          <w:color w:val="000000" w:themeColor="text1"/>
          <w:sz w:val="19"/>
          <w:szCs w:val="19"/>
        </w:rPr>
        <w:footnoteRef/>
      </w:r>
      <w:r w:rsidRPr="00031F88">
        <w:rPr>
          <w:rFonts w:ascii="Arial" w:hAnsi="Arial" w:cs="Arial"/>
          <w:color w:val="000000" w:themeColor="text1"/>
          <w:sz w:val="19"/>
          <w:szCs w:val="19"/>
        </w:rPr>
        <w:t xml:space="preserve"> </w:t>
      </w:r>
      <w:r w:rsidRPr="00031F88">
        <w:rPr>
          <w:rFonts w:ascii="Arial" w:hAnsi="Arial" w:cs="Arial"/>
          <w:color w:val="000000" w:themeColor="text1"/>
          <w:sz w:val="19"/>
          <w:szCs w:val="19"/>
          <w:lang w:val="es-ES"/>
        </w:rPr>
        <w:t>El artículo 8</w:t>
      </w:r>
      <w:r w:rsidR="00D26D71" w:rsidRPr="00031F88">
        <w:rPr>
          <w:rFonts w:ascii="Arial" w:hAnsi="Arial" w:cs="Arial"/>
          <w:color w:val="000000" w:themeColor="text1"/>
          <w:sz w:val="19"/>
          <w:szCs w:val="19"/>
          <w:lang w:val="es-ES"/>
        </w:rPr>
        <w:t xml:space="preserve">6 de la Ley 1474 de 2011 regula la audiencia del procedimiento administrativo sancionatorio contractual, del siguiente modo: </w:t>
      </w:r>
      <w:r w:rsidR="00B869CA" w:rsidRPr="00031F88">
        <w:rPr>
          <w:rFonts w:ascii="Arial" w:hAnsi="Arial" w:cs="Arial"/>
          <w:color w:val="000000" w:themeColor="text1"/>
          <w:sz w:val="19"/>
          <w:szCs w:val="19"/>
          <w:lang w:val="es-ES"/>
        </w:rPr>
        <w:t>«Las entidades sometidas al Estatuto General de Contratación de la Administración Pública podrán declarar el incumplimiento, cuantificando los perjuicios del mismo, imponer las multas y sanciones pactadas en el contrato, y hacer efectiva la cláusula penal. Para tal efecto observarán el siguiente procedimiento:</w:t>
      </w:r>
    </w:p>
    <w:p w14:paraId="6CED3ABF" w14:textId="18EE9EB2" w:rsidR="00B869CA" w:rsidRPr="00031F88" w:rsidRDefault="00952526" w:rsidP="00031F88">
      <w:pPr>
        <w:pStyle w:val="Textonotapie"/>
        <w:ind w:firstLine="709"/>
        <w:jc w:val="both"/>
        <w:rPr>
          <w:rFonts w:ascii="Arial" w:hAnsi="Arial" w:cs="Arial"/>
          <w:color w:val="000000" w:themeColor="text1"/>
          <w:sz w:val="19"/>
          <w:szCs w:val="19"/>
          <w:lang w:val="es-ES"/>
        </w:rPr>
      </w:pPr>
      <w:r w:rsidRPr="00031F88">
        <w:rPr>
          <w:rFonts w:ascii="Arial" w:hAnsi="Arial" w:cs="Arial"/>
          <w:color w:val="000000" w:themeColor="text1"/>
          <w:sz w:val="19"/>
          <w:szCs w:val="19"/>
          <w:lang w:val="es-ES"/>
        </w:rPr>
        <w:t>»</w:t>
      </w:r>
      <w:r w:rsidR="00B869CA" w:rsidRPr="00031F88">
        <w:rPr>
          <w:rFonts w:ascii="Arial" w:hAnsi="Arial" w:cs="Arial"/>
          <w:color w:val="000000" w:themeColor="text1"/>
          <w:sz w:val="19"/>
          <w:szCs w:val="19"/>
          <w:lang w:val="es-ES"/>
        </w:rPr>
        <w:t>a) Evidenciado un posible incumplimiento de las obligaciones a cargo del contratista, la entidad pública lo citará a audiencia para debatir lo ocurrido. En la citación, hará mención expresa y detallada de los hechos que la soportan, acompañando el informe de interventoría o de supervisión en el que se sustente la actuación y enunciará las normas o cláusulas posiblemente violadas y las consecuencias que podrían derivarse para el contratista en desarrollo de la actuación. En la misma se establecerá el lugar, fecha y hora para la realización de la audiencia, la que podrá tener lugar a la mayor brevedad posible, atendida la naturaleza del contrato y la periodicidad establecida para el cumplimiento de las obligaciones contractuales. En el evento en que la garantía de cumplimiento consista en póliza de seguros, el garante será citado de la misma manera;</w:t>
      </w:r>
    </w:p>
    <w:p w14:paraId="14C318B2" w14:textId="5F9A7FD7" w:rsidR="00B869CA" w:rsidRPr="00031F88" w:rsidRDefault="00952526" w:rsidP="00031F88">
      <w:pPr>
        <w:pStyle w:val="Textonotapie"/>
        <w:ind w:firstLine="709"/>
        <w:jc w:val="both"/>
        <w:rPr>
          <w:rFonts w:ascii="Arial" w:hAnsi="Arial" w:cs="Arial"/>
          <w:color w:val="000000" w:themeColor="text1"/>
          <w:sz w:val="19"/>
          <w:szCs w:val="19"/>
          <w:lang w:val="es-ES"/>
        </w:rPr>
      </w:pPr>
      <w:r w:rsidRPr="00031F88">
        <w:rPr>
          <w:rFonts w:ascii="Arial" w:hAnsi="Arial" w:cs="Arial"/>
          <w:color w:val="000000" w:themeColor="text1"/>
          <w:sz w:val="19"/>
          <w:szCs w:val="19"/>
          <w:lang w:val="es-ES"/>
        </w:rPr>
        <w:t>»</w:t>
      </w:r>
      <w:r w:rsidR="00B869CA" w:rsidRPr="00031F88">
        <w:rPr>
          <w:rFonts w:ascii="Arial" w:hAnsi="Arial" w:cs="Arial"/>
          <w:color w:val="000000" w:themeColor="text1"/>
          <w:sz w:val="19"/>
          <w:szCs w:val="19"/>
          <w:lang w:val="es-ES"/>
        </w:rPr>
        <w:t>b) En desarrollo de la audiencia, el jefe de la entidad o su delegado, presentará las circunstancias de hecho que motivan la actuación, enunciará las posibles normas o cláusulas posiblemente violadas y las consecuencias que podrían derivarse para el contratista en desarrollo de la actuación. Acto seguido se concederá el uso de la palabra al representante legal del contratista o a quien lo represente, y al garante, para que presenten sus descargos, en desarrollo de lo cual podrá rendir las explicaciones del caso, aportar pruebas y controvertir las presentadas por la entidad;</w:t>
      </w:r>
    </w:p>
    <w:p w14:paraId="0E944E1B" w14:textId="3A05BD2D" w:rsidR="00B869CA" w:rsidRPr="00031F88" w:rsidRDefault="00952526" w:rsidP="00031F88">
      <w:pPr>
        <w:pStyle w:val="Textonotapie"/>
        <w:ind w:firstLine="709"/>
        <w:jc w:val="both"/>
        <w:rPr>
          <w:rFonts w:ascii="Arial" w:hAnsi="Arial" w:cs="Arial"/>
          <w:color w:val="000000" w:themeColor="text1"/>
          <w:sz w:val="19"/>
          <w:szCs w:val="19"/>
          <w:lang w:val="es-ES"/>
        </w:rPr>
      </w:pPr>
      <w:r w:rsidRPr="00031F88">
        <w:rPr>
          <w:rFonts w:ascii="Arial" w:hAnsi="Arial" w:cs="Arial"/>
          <w:color w:val="000000" w:themeColor="text1"/>
          <w:sz w:val="19"/>
          <w:szCs w:val="19"/>
          <w:lang w:val="es-ES"/>
        </w:rPr>
        <w:t>»</w:t>
      </w:r>
      <w:r w:rsidR="00B869CA" w:rsidRPr="00031F88">
        <w:rPr>
          <w:rFonts w:ascii="Arial" w:hAnsi="Arial" w:cs="Arial"/>
          <w:color w:val="000000" w:themeColor="text1"/>
          <w:sz w:val="19"/>
          <w:szCs w:val="19"/>
          <w:lang w:val="es-ES"/>
        </w:rPr>
        <w:t>c) Hecho lo precedente, mediante resolución motivada en la que se consigne lo ocurrido en desarrollo de la audiencia y la cual se entenderá notificada en dicho acto público, la entidad procederá a decidir sobre la imposición o no de la multa, sanción o declaratoria de incumplimiento. Contra la decisión así proferida sólo procede el recurso de reposición que se interpondrá, sustentará y decidirá en la misma audiencia. La decisión sobre el recurso se entenderá notificada en la misma audiencia;</w:t>
      </w:r>
    </w:p>
    <w:p w14:paraId="11266552" w14:textId="0EE780AD" w:rsidR="00B869CA" w:rsidRPr="00031F88" w:rsidRDefault="00952526" w:rsidP="00031F88">
      <w:pPr>
        <w:pStyle w:val="Textonotapie"/>
        <w:ind w:firstLine="709"/>
        <w:jc w:val="both"/>
        <w:rPr>
          <w:rFonts w:ascii="Arial" w:hAnsi="Arial" w:cs="Arial"/>
          <w:color w:val="000000" w:themeColor="text1"/>
          <w:sz w:val="19"/>
          <w:szCs w:val="19"/>
          <w:lang w:val="es-ES"/>
        </w:rPr>
      </w:pPr>
      <w:r w:rsidRPr="00031F88">
        <w:rPr>
          <w:rFonts w:ascii="Arial" w:hAnsi="Arial" w:cs="Arial"/>
          <w:color w:val="000000" w:themeColor="text1"/>
          <w:sz w:val="19"/>
          <w:szCs w:val="19"/>
          <w:lang w:val="es-ES"/>
        </w:rPr>
        <w:t>»</w:t>
      </w:r>
      <w:r w:rsidR="00B869CA" w:rsidRPr="00031F88">
        <w:rPr>
          <w:rFonts w:ascii="Arial" w:hAnsi="Arial" w:cs="Arial"/>
          <w:color w:val="000000" w:themeColor="text1"/>
          <w:sz w:val="19"/>
          <w:szCs w:val="19"/>
          <w:lang w:val="es-ES"/>
        </w:rPr>
        <w:t>d) En cualquier momento del desarrollo de la audiencia, el jefe de la entidad o su delegado, podrá suspender la audiencia cuando de oficio o a petición de parte, ello resulte en su criterio necesario para allegar o practicar pruebas que estime conducentes y pertinentes, o cuando por cualquier otra razón debidamente sustentada, ello resulte necesario para el correcto desarrollo de la actuación administrativa. En todo caso, al adoptar la decisión, se señalará fecha y hora para reanudar la audiencia. La entidad podrá dar por terminado el procedimiento en cualquier momento, si por algún medio tiene conocimiento de la cesación de situación de incumplimiento.</w:t>
      </w:r>
    </w:p>
    <w:p w14:paraId="546F0CDD" w14:textId="46D48BE0" w:rsidR="00B869CA" w:rsidRPr="00031F88" w:rsidRDefault="00952526" w:rsidP="00031F88">
      <w:pPr>
        <w:pStyle w:val="Textonotapie"/>
        <w:ind w:firstLine="709"/>
        <w:jc w:val="both"/>
        <w:rPr>
          <w:rFonts w:ascii="Arial" w:hAnsi="Arial" w:cs="Arial"/>
          <w:color w:val="000000" w:themeColor="text1"/>
          <w:sz w:val="19"/>
          <w:szCs w:val="19"/>
          <w:lang w:val="es-ES"/>
        </w:rPr>
      </w:pPr>
      <w:r w:rsidRPr="00031F88">
        <w:rPr>
          <w:rFonts w:ascii="Arial" w:hAnsi="Arial" w:cs="Arial"/>
          <w:color w:val="000000" w:themeColor="text1"/>
          <w:sz w:val="19"/>
          <w:szCs w:val="19"/>
          <w:lang w:val="es-ES"/>
        </w:rPr>
        <w:t>»</w:t>
      </w:r>
      <w:r w:rsidR="00B869CA" w:rsidRPr="00031F88">
        <w:rPr>
          <w:rFonts w:ascii="Arial" w:hAnsi="Arial" w:cs="Arial"/>
          <w:color w:val="000000" w:themeColor="text1"/>
          <w:sz w:val="19"/>
          <w:szCs w:val="19"/>
          <w:lang w:val="es-ES"/>
        </w:rPr>
        <w:t>&lt;Texto adicionado por el artículo 2 del Decreto Legislativo 537 de 2020. El nuevo texto es el siguiente:&gt;</w:t>
      </w:r>
    </w:p>
    <w:p w14:paraId="0B16A4FA" w14:textId="010501D5" w:rsidR="00B869CA" w:rsidRPr="00031F88" w:rsidRDefault="00952526" w:rsidP="00031F88">
      <w:pPr>
        <w:pStyle w:val="Textonotapie"/>
        <w:ind w:firstLine="709"/>
        <w:jc w:val="both"/>
        <w:rPr>
          <w:rFonts w:ascii="Arial" w:hAnsi="Arial" w:cs="Arial"/>
          <w:color w:val="000000" w:themeColor="text1"/>
          <w:sz w:val="19"/>
          <w:szCs w:val="19"/>
          <w:lang w:val="es-ES"/>
        </w:rPr>
      </w:pPr>
      <w:r w:rsidRPr="00031F88">
        <w:rPr>
          <w:rFonts w:ascii="Arial" w:hAnsi="Arial" w:cs="Arial"/>
          <w:color w:val="000000" w:themeColor="text1"/>
          <w:sz w:val="19"/>
          <w:szCs w:val="19"/>
          <w:lang w:val="es-ES"/>
        </w:rPr>
        <w:t>»</w:t>
      </w:r>
      <w:r w:rsidR="00B869CA" w:rsidRPr="00031F88">
        <w:rPr>
          <w:rFonts w:ascii="Arial" w:hAnsi="Arial" w:cs="Arial"/>
          <w:color w:val="000000" w:themeColor="text1"/>
          <w:sz w:val="19"/>
          <w:szCs w:val="19"/>
          <w:lang w:val="es-ES"/>
        </w:rPr>
        <w:t>Procedimientos sancionatorios. Durante la vigencia de la Emergencia Sanitaria declarada por el Ministerio de Salud y Protección Social, con ocasión de la pandemia derivada del Coronavirus COVID-19, las audiencias programadas de conformidad con el procedimiento establecido en el presente artículo, se podrán realizar a través de medios electrónicos, los cuales deberán garantizar el acceso de los contratistas y de quienes hayan expedido la garantía.</w:t>
      </w:r>
    </w:p>
    <w:p w14:paraId="39117CA2" w14:textId="285E4FE7" w:rsidR="00B869CA" w:rsidRPr="00031F88" w:rsidRDefault="00952526" w:rsidP="00031F88">
      <w:pPr>
        <w:pStyle w:val="Textonotapie"/>
        <w:ind w:firstLine="709"/>
        <w:jc w:val="both"/>
        <w:rPr>
          <w:rFonts w:ascii="Arial" w:hAnsi="Arial" w:cs="Arial"/>
          <w:color w:val="000000" w:themeColor="text1"/>
          <w:sz w:val="19"/>
          <w:szCs w:val="19"/>
          <w:lang w:val="es-ES"/>
        </w:rPr>
      </w:pPr>
      <w:r w:rsidRPr="00031F88">
        <w:rPr>
          <w:rFonts w:ascii="Arial" w:hAnsi="Arial" w:cs="Arial"/>
          <w:color w:val="000000" w:themeColor="text1"/>
          <w:sz w:val="19"/>
          <w:szCs w:val="19"/>
          <w:lang w:val="es-ES"/>
        </w:rPr>
        <w:t>»</w:t>
      </w:r>
      <w:r w:rsidR="00B869CA" w:rsidRPr="00031F88">
        <w:rPr>
          <w:rFonts w:ascii="Arial" w:hAnsi="Arial" w:cs="Arial"/>
          <w:color w:val="000000" w:themeColor="text1"/>
          <w:sz w:val="19"/>
          <w:szCs w:val="19"/>
          <w:lang w:val="es-ES"/>
        </w:rPr>
        <w:t>La entidad estatal debe elegir y garantizar los medios electrónicos y de comunicación que utilizará, así como los mecanismos para el registro de la Información generada.</w:t>
      </w:r>
    </w:p>
    <w:p w14:paraId="08C1C377" w14:textId="452C212B" w:rsidR="0041749E" w:rsidRPr="00031F88" w:rsidRDefault="00952526" w:rsidP="00031F88">
      <w:pPr>
        <w:pStyle w:val="Textonotapie"/>
        <w:ind w:firstLine="709"/>
        <w:jc w:val="both"/>
        <w:rPr>
          <w:rFonts w:ascii="Arial" w:hAnsi="Arial" w:cs="Arial"/>
          <w:color w:val="000000" w:themeColor="text1"/>
          <w:sz w:val="19"/>
          <w:szCs w:val="19"/>
          <w:lang w:val="es-ES"/>
        </w:rPr>
      </w:pPr>
      <w:r w:rsidRPr="00031F88">
        <w:rPr>
          <w:rFonts w:ascii="Arial" w:hAnsi="Arial" w:cs="Arial"/>
          <w:color w:val="000000" w:themeColor="text1"/>
          <w:sz w:val="19"/>
          <w:szCs w:val="19"/>
          <w:lang w:val="es-ES"/>
        </w:rPr>
        <w:t>»</w:t>
      </w:r>
      <w:r w:rsidR="00B869CA" w:rsidRPr="00031F88">
        <w:rPr>
          <w:rFonts w:ascii="Arial" w:hAnsi="Arial" w:cs="Arial"/>
          <w:color w:val="000000" w:themeColor="text1"/>
          <w:sz w:val="19"/>
          <w:szCs w:val="19"/>
          <w:lang w:val="es-ES"/>
        </w:rPr>
        <w:t>Sin perjuicio de lo anterior, el ordenador del gasto o funcionario competente podrá decretar la suspensión de términos, inclusive los iniciados con anterioridad a la vigencia de este Decreto</w:t>
      </w:r>
      <w:r w:rsidRPr="00031F88">
        <w:rPr>
          <w:rFonts w:ascii="Arial" w:hAnsi="Arial" w:cs="Arial"/>
          <w:color w:val="000000" w:themeColor="text1"/>
          <w:sz w:val="19"/>
          <w:szCs w:val="19"/>
          <w:lang w:val="es-ES"/>
        </w:rPr>
        <w:t>»</w:t>
      </w:r>
      <w:r w:rsidR="00B869CA" w:rsidRPr="00031F88">
        <w:rPr>
          <w:rFonts w:ascii="Arial" w:hAnsi="Arial" w:cs="Arial"/>
          <w:color w:val="000000" w:themeColor="text1"/>
          <w:sz w:val="19"/>
          <w:szCs w:val="19"/>
          <w:lang w:val="es-ES"/>
        </w:rPr>
        <w:t>.</w:t>
      </w:r>
    </w:p>
  </w:footnote>
  <w:footnote w:id="32">
    <w:p w14:paraId="4B561808" w14:textId="0D9DB0DD" w:rsidR="0085484A" w:rsidRPr="00031F88" w:rsidRDefault="0085484A" w:rsidP="00031F88">
      <w:pPr>
        <w:pStyle w:val="Textonotapie"/>
        <w:ind w:firstLine="709"/>
        <w:jc w:val="both"/>
        <w:rPr>
          <w:rFonts w:ascii="Arial" w:hAnsi="Arial" w:cs="Arial"/>
          <w:color w:val="000000" w:themeColor="text1"/>
          <w:sz w:val="19"/>
          <w:szCs w:val="19"/>
          <w:lang w:val="es-ES"/>
        </w:rPr>
      </w:pPr>
      <w:r w:rsidRPr="00031F88">
        <w:rPr>
          <w:rStyle w:val="Refdenotaalpie"/>
          <w:rFonts w:ascii="Arial" w:hAnsi="Arial" w:cs="Arial"/>
          <w:color w:val="000000" w:themeColor="text1"/>
          <w:sz w:val="19"/>
          <w:szCs w:val="19"/>
        </w:rPr>
        <w:footnoteRef/>
      </w:r>
      <w:r w:rsidRPr="00031F88">
        <w:rPr>
          <w:rFonts w:ascii="Arial" w:hAnsi="Arial" w:cs="Arial"/>
          <w:color w:val="000000" w:themeColor="text1"/>
          <w:sz w:val="19"/>
          <w:szCs w:val="19"/>
        </w:rPr>
        <w:t xml:space="preserve"> </w:t>
      </w:r>
      <w:r w:rsidRPr="00031F88">
        <w:rPr>
          <w:rFonts w:ascii="Arial" w:hAnsi="Arial" w:cs="Arial"/>
          <w:color w:val="000000" w:themeColor="text1"/>
          <w:sz w:val="19"/>
          <w:szCs w:val="19"/>
          <w:lang w:val="es-ES"/>
        </w:rPr>
        <w:t>El artículo 77 de la Ley 80 de 1993 dispone: «En cuanto sean compatibles con la finalidad y los principios de esta ley, las normas que rigen los procedimientos y actuaciones en la Función administrativa, serán aplicables en las actuaciones contractuales. A falta de éstas, regirán las disposiciones del Código de Procedimiento Civil.</w:t>
      </w:r>
    </w:p>
    <w:p w14:paraId="219C393C" w14:textId="32C9698C" w:rsidR="0085484A" w:rsidRPr="00031F88" w:rsidRDefault="00113FE3" w:rsidP="00031F88">
      <w:pPr>
        <w:pStyle w:val="Textonotapie"/>
        <w:ind w:firstLine="709"/>
        <w:jc w:val="both"/>
        <w:rPr>
          <w:rFonts w:ascii="Arial" w:hAnsi="Arial" w:cs="Arial"/>
          <w:color w:val="000000" w:themeColor="text1"/>
          <w:sz w:val="19"/>
          <w:szCs w:val="19"/>
          <w:lang w:val="es-ES"/>
        </w:rPr>
      </w:pPr>
      <w:r w:rsidRPr="00031F88">
        <w:rPr>
          <w:rFonts w:ascii="Arial" w:hAnsi="Arial" w:cs="Arial"/>
          <w:color w:val="000000" w:themeColor="text1"/>
          <w:sz w:val="19"/>
          <w:szCs w:val="19"/>
          <w:lang w:val="es-ES"/>
        </w:rPr>
        <w:t>»</w:t>
      </w:r>
      <w:r w:rsidR="0085484A" w:rsidRPr="00031F88">
        <w:rPr>
          <w:rFonts w:ascii="Arial" w:hAnsi="Arial" w:cs="Arial"/>
          <w:color w:val="000000" w:themeColor="text1"/>
          <w:sz w:val="19"/>
          <w:szCs w:val="19"/>
          <w:lang w:val="es-ES"/>
        </w:rPr>
        <w:t>Los actos administrativos que se produzcan con motivo u ocasión de la actividad contractual sólo serán susceptibles de recurso de reposición y del ejercicio de la acción contractual, de acuerdo con las reglas del Código Contencioso Administrativo.</w:t>
      </w:r>
    </w:p>
    <w:p w14:paraId="6F466BB2" w14:textId="46D57720" w:rsidR="0085484A" w:rsidRPr="00031F88" w:rsidRDefault="00113FE3" w:rsidP="00031F88">
      <w:pPr>
        <w:pStyle w:val="Textonotapie"/>
        <w:ind w:firstLine="709"/>
        <w:jc w:val="both"/>
        <w:rPr>
          <w:rFonts w:ascii="Arial" w:hAnsi="Arial" w:cs="Arial"/>
          <w:color w:val="000000" w:themeColor="text1"/>
          <w:sz w:val="19"/>
          <w:szCs w:val="19"/>
          <w:lang w:val="es-ES"/>
        </w:rPr>
      </w:pPr>
      <w:r w:rsidRPr="00031F88">
        <w:rPr>
          <w:rFonts w:ascii="Arial" w:hAnsi="Arial" w:cs="Arial"/>
          <w:color w:val="000000" w:themeColor="text1"/>
          <w:sz w:val="19"/>
          <w:szCs w:val="19"/>
          <w:lang w:val="es-ES"/>
        </w:rPr>
        <w:t>»</w:t>
      </w:r>
      <w:r w:rsidR="0085484A" w:rsidRPr="00031F88">
        <w:rPr>
          <w:rFonts w:ascii="Arial" w:hAnsi="Arial" w:cs="Arial"/>
          <w:color w:val="000000" w:themeColor="text1"/>
          <w:sz w:val="19"/>
          <w:szCs w:val="19"/>
          <w:lang w:val="es-ES"/>
        </w:rPr>
        <w:t>PARÁGRAFO 1.- El acto de adjudicación no tendrá recursos por la vía gubernativa. Este podrá impugnarse mediante el ejercicio de la acción de nulidad y restablecimiento del derecho, según las reglas del Código Contencioso Administrativo.</w:t>
      </w:r>
    </w:p>
    <w:p w14:paraId="5A93E6B0" w14:textId="7D924A6C" w:rsidR="0085484A" w:rsidRPr="00031F88" w:rsidRDefault="00113FE3" w:rsidP="00031F88">
      <w:pPr>
        <w:pStyle w:val="Textonotapie"/>
        <w:ind w:firstLine="709"/>
        <w:jc w:val="both"/>
        <w:rPr>
          <w:rFonts w:ascii="Arial" w:hAnsi="Arial" w:cs="Arial"/>
          <w:color w:val="000000" w:themeColor="text1"/>
          <w:sz w:val="19"/>
          <w:szCs w:val="19"/>
          <w:lang w:val="es-ES"/>
        </w:rPr>
      </w:pPr>
      <w:r w:rsidRPr="00031F88">
        <w:rPr>
          <w:rFonts w:ascii="Arial" w:hAnsi="Arial" w:cs="Arial"/>
          <w:color w:val="000000" w:themeColor="text1"/>
          <w:sz w:val="19"/>
          <w:szCs w:val="19"/>
          <w:lang w:val="es-ES"/>
        </w:rPr>
        <w:t>»</w:t>
      </w:r>
      <w:r w:rsidR="0085484A" w:rsidRPr="00031F88">
        <w:rPr>
          <w:rFonts w:ascii="Arial" w:hAnsi="Arial" w:cs="Arial"/>
          <w:color w:val="000000" w:themeColor="text1"/>
          <w:sz w:val="19"/>
          <w:szCs w:val="19"/>
          <w:lang w:val="es-ES"/>
        </w:rPr>
        <w:t>PARÁGRAFO 2.- Para el ejercicio de las acciones contra los actos administrativos de la actividad contractual no es necesario demandar el contrato que los origina</w:t>
      </w:r>
      <w:r w:rsidRPr="00031F88">
        <w:rPr>
          <w:rFonts w:ascii="Arial" w:hAnsi="Arial" w:cs="Arial"/>
          <w:color w:val="000000" w:themeColor="text1"/>
          <w:sz w:val="19"/>
          <w:szCs w:val="19"/>
          <w:lang w:val="es-ES"/>
        </w:rPr>
        <w:t>»</w:t>
      </w:r>
      <w:r w:rsidR="0085484A" w:rsidRPr="00031F88">
        <w:rPr>
          <w:rFonts w:ascii="Arial" w:hAnsi="Arial" w:cs="Arial"/>
          <w:color w:val="000000" w:themeColor="text1"/>
          <w:sz w:val="19"/>
          <w:szCs w:val="19"/>
          <w:lang w:val="es-E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0770B" w14:textId="1A2BB94C" w:rsidR="009F5FAB" w:rsidRDefault="009F5FAB">
    <w:pPr>
      <w:pStyle w:val="Encabezado"/>
    </w:pPr>
    <w:r>
      <w:rPr>
        <w:noProof/>
        <w:lang w:val="en-US" w:eastAsia="en-US"/>
      </w:rPr>
      <w:drawing>
        <wp:anchor distT="0" distB="0" distL="114300" distR="114300" simplePos="0" relativeHeight="251661312"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1AF6C7A8"/>
    <w:lvl w:ilvl="0">
      <w:start w:val="1"/>
      <w:numFmt w:val="decimal"/>
      <w:lvlText w:val="%1."/>
      <w:lvlJc w:val="left"/>
      <w:pPr>
        <w:ind w:left="6601" w:hanging="360"/>
      </w:pPr>
      <w:rPr>
        <w:b/>
        <w:color w:val="4E4D4D"/>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FA1500B"/>
    <w:multiLevelType w:val="hybridMultilevel"/>
    <w:tmpl w:val="DB5603FA"/>
    <w:lvl w:ilvl="0" w:tplc="0F56936C">
      <w:start w:val="1"/>
      <w:numFmt w:val="lowerRoman"/>
      <w:lvlText w:val="%1."/>
      <w:lvlJc w:val="right"/>
      <w:pPr>
        <w:ind w:left="780" w:hanging="720"/>
      </w:pPr>
      <w:rPr>
        <w:rFonts w:hint="default"/>
        <w:b w:val="0"/>
        <w:bCs/>
      </w:rPr>
    </w:lvl>
    <w:lvl w:ilvl="1" w:tplc="240A0019" w:tentative="1">
      <w:start w:val="1"/>
      <w:numFmt w:val="lowerLetter"/>
      <w:lvlText w:val="%2."/>
      <w:lvlJc w:val="left"/>
      <w:pPr>
        <w:ind w:left="1140" w:hanging="360"/>
      </w:pPr>
    </w:lvl>
    <w:lvl w:ilvl="2" w:tplc="240A001B" w:tentative="1">
      <w:start w:val="1"/>
      <w:numFmt w:val="lowerRoman"/>
      <w:lvlText w:val="%3."/>
      <w:lvlJc w:val="right"/>
      <w:pPr>
        <w:ind w:left="1860" w:hanging="180"/>
      </w:pPr>
    </w:lvl>
    <w:lvl w:ilvl="3" w:tplc="240A000F" w:tentative="1">
      <w:start w:val="1"/>
      <w:numFmt w:val="decimal"/>
      <w:lvlText w:val="%4."/>
      <w:lvlJc w:val="left"/>
      <w:pPr>
        <w:ind w:left="2580" w:hanging="360"/>
      </w:pPr>
    </w:lvl>
    <w:lvl w:ilvl="4" w:tplc="240A0019" w:tentative="1">
      <w:start w:val="1"/>
      <w:numFmt w:val="lowerLetter"/>
      <w:lvlText w:val="%5."/>
      <w:lvlJc w:val="left"/>
      <w:pPr>
        <w:ind w:left="3300" w:hanging="360"/>
      </w:pPr>
    </w:lvl>
    <w:lvl w:ilvl="5" w:tplc="240A001B" w:tentative="1">
      <w:start w:val="1"/>
      <w:numFmt w:val="lowerRoman"/>
      <w:lvlText w:val="%6."/>
      <w:lvlJc w:val="right"/>
      <w:pPr>
        <w:ind w:left="4020" w:hanging="180"/>
      </w:pPr>
    </w:lvl>
    <w:lvl w:ilvl="6" w:tplc="240A000F" w:tentative="1">
      <w:start w:val="1"/>
      <w:numFmt w:val="decimal"/>
      <w:lvlText w:val="%7."/>
      <w:lvlJc w:val="left"/>
      <w:pPr>
        <w:ind w:left="4740" w:hanging="360"/>
      </w:pPr>
    </w:lvl>
    <w:lvl w:ilvl="7" w:tplc="240A0019" w:tentative="1">
      <w:start w:val="1"/>
      <w:numFmt w:val="lowerLetter"/>
      <w:lvlText w:val="%8."/>
      <w:lvlJc w:val="left"/>
      <w:pPr>
        <w:ind w:left="5460" w:hanging="360"/>
      </w:pPr>
    </w:lvl>
    <w:lvl w:ilvl="8" w:tplc="240A001B" w:tentative="1">
      <w:start w:val="1"/>
      <w:numFmt w:val="lowerRoman"/>
      <w:lvlText w:val="%9."/>
      <w:lvlJc w:val="right"/>
      <w:pPr>
        <w:ind w:left="6180" w:hanging="180"/>
      </w:pPr>
    </w:lvl>
  </w:abstractNum>
  <w:abstractNum w:abstractNumId="2" w15:restartNumberingAfterBreak="0">
    <w:nsid w:val="18CE39C3"/>
    <w:multiLevelType w:val="multilevel"/>
    <w:tmpl w:val="2E06F9A6"/>
    <w:lvl w:ilvl="0">
      <w:start w:val="1"/>
      <w:numFmt w:val="decimal"/>
      <w:lvlText w:val="%1."/>
      <w:lvlJc w:val="left"/>
      <w:pPr>
        <w:ind w:left="360" w:hanging="360"/>
      </w:pPr>
      <w:rPr>
        <w:rFonts w:hint="default"/>
        <w:color w:val="auto"/>
        <w:sz w:val="20"/>
        <w:szCs w:val="20"/>
      </w:rPr>
    </w:lvl>
    <w:lvl w:ilvl="1">
      <w:start w:val="1"/>
      <w:numFmt w:val="decimal"/>
      <w:lvlText w:val="3.%2."/>
      <w:lvlJc w:val="left"/>
      <w:pPr>
        <w:ind w:left="1004" w:hanging="720"/>
      </w:pPr>
      <w:rPr>
        <w:rFonts w:hint="default"/>
        <w:b/>
        <w:i w:val="0"/>
        <w:color w:val="000000"/>
      </w:rPr>
    </w:lvl>
    <w:lvl w:ilvl="2">
      <w:start w:val="1"/>
      <w:numFmt w:val="decimal"/>
      <w:lvlText w:val="3.4.%3."/>
      <w:lvlJc w:val="left"/>
      <w:pPr>
        <w:ind w:left="964" w:hanging="624"/>
      </w:pPr>
      <w:rPr>
        <w:rFonts w:hint="default"/>
        <w:b/>
        <w:i w:val="0"/>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2BAA45F7"/>
    <w:multiLevelType w:val="hybridMultilevel"/>
    <w:tmpl w:val="95902DEC"/>
    <w:lvl w:ilvl="0" w:tplc="00A4CB26">
      <w:start w:val="1"/>
      <w:numFmt w:val="decimal"/>
      <w:pStyle w:val="Capitulo3"/>
      <w:lvlText w:val="3.%1."/>
      <w:lvlJc w:val="left"/>
      <w:pPr>
        <w:ind w:left="502" w:hanging="360"/>
      </w:pPr>
      <w:rPr>
        <w:rFonts w:hint="default"/>
        <w:b/>
      </w:rPr>
    </w:lvl>
    <w:lvl w:ilvl="1" w:tplc="240A0019" w:tentative="1">
      <w:start w:val="1"/>
      <w:numFmt w:val="lowerLetter"/>
      <w:lvlText w:val="%2."/>
      <w:lvlJc w:val="left"/>
      <w:pPr>
        <w:ind w:left="1724" w:hanging="360"/>
      </w:pPr>
    </w:lvl>
    <w:lvl w:ilvl="2" w:tplc="240A001B">
      <w:start w:val="1"/>
      <w:numFmt w:val="lowerRoman"/>
      <w:lvlText w:val="%3."/>
      <w:lvlJc w:val="right"/>
      <w:pPr>
        <w:ind w:left="2444" w:hanging="180"/>
      </w:pPr>
    </w:lvl>
    <w:lvl w:ilvl="3" w:tplc="240A000F" w:tentative="1">
      <w:start w:val="1"/>
      <w:numFmt w:val="decimal"/>
      <w:lvlText w:val="%4."/>
      <w:lvlJc w:val="left"/>
      <w:pPr>
        <w:ind w:left="3164" w:hanging="360"/>
      </w:pPr>
    </w:lvl>
    <w:lvl w:ilvl="4" w:tplc="240A0019" w:tentative="1">
      <w:start w:val="1"/>
      <w:numFmt w:val="lowerLetter"/>
      <w:lvlText w:val="%5."/>
      <w:lvlJc w:val="left"/>
      <w:pPr>
        <w:ind w:left="3884" w:hanging="360"/>
      </w:pPr>
    </w:lvl>
    <w:lvl w:ilvl="5" w:tplc="240A001B" w:tentative="1">
      <w:start w:val="1"/>
      <w:numFmt w:val="lowerRoman"/>
      <w:lvlText w:val="%6."/>
      <w:lvlJc w:val="right"/>
      <w:pPr>
        <w:ind w:left="4604" w:hanging="180"/>
      </w:pPr>
    </w:lvl>
    <w:lvl w:ilvl="6" w:tplc="240A000F" w:tentative="1">
      <w:start w:val="1"/>
      <w:numFmt w:val="decimal"/>
      <w:lvlText w:val="%7."/>
      <w:lvlJc w:val="left"/>
      <w:pPr>
        <w:ind w:left="5324" w:hanging="360"/>
      </w:pPr>
    </w:lvl>
    <w:lvl w:ilvl="7" w:tplc="240A0019" w:tentative="1">
      <w:start w:val="1"/>
      <w:numFmt w:val="lowerLetter"/>
      <w:lvlText w:val="%8."/>
      <w:lvlJc w:val="left"/>
      <w:pPr>
        <w:ind w:left="6044" w:hanging="360"/>
      </w:pPr>
    </w:lvl>
    <w:lvl w:ilvl="8" w:tplc="240A001B" w:tentative="1">
      <w:start w:val="1"/>
      <w:numFmt w:val="lowerRoman"/>
      <w:lvlText w:val="%9."/>
      <w:lvlJc w:val="right"/>
      <w:pPr>
        <w:ind w:left="6764" w:hanging="180"/>
      </w:pPr>
    </w:lvl>
  </w:abstractNum>
  <w:abstractNum w:abstractNumId="4"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3CB53515"/>
    <w:multiLevelType w:val="hybridMultilevel"/>
    <w:tmpl w:val="9634C8AC"/>
    <w:lvl w:ilvl="0" w:tplc="B6046E8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56C75B3E"/>
    <w:multiLevelType w:val="multilevel"/>
    <w:tmpl w:val="768446FA"/>
    <w:lvl w:ilvl="0">
      <w:start w:val="1"/>
      <w:numFmt w:val="decimal"/>
      <w:lvlText w:val="%1."/>
      <w:lvlJc w:val="left"/>
      <w:pPr>
        <w:ind w:left="360" w:hanging="360"/>
      </w:pPr>
      <w:rPr>
        <w:rFonts w:hint="default"/>
        <w:b/>
        <w:color w:val="4E4D4D"/>
      </w:rPr>
    </w:lvl>
    <w:lvl w:ilvl="1">
      <w:start w:val="1"/>
      <w:numFmt w:val="decimal"/>
      <w:isLgl/>
      <w:lvlText w:val="%1.%2"/>
      <w:lvlJc w:val="left"/>
      <w:pPr>
        <w:ind w:left="390" w:hanging="39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9"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0"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1"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16cid:durableId="449057149">
    <w:abstractNumId w:val="5"/>
  </w:num>
  <w:num w:numId="2" w16cid:durableId="1953128185">
    <w:abstractNumId w:val="4"/>
  </w:num>
  <w:num w:numId="3" w16cid:durableId="301931073">
    <w:abstractNumId w:val="7"/>
  </w:num>
  <w:num w:numId="4" w16cid:durableId="771511829">
    <w:abstractNumId w:val="9"/>
  </w:num>
  <w:num w:numId="5" w16cid:durableId="83260929">
    <w:abstractNumId w:val="11"/>
  </w:num>
  <w:num w:numId="6" w16cid:durableId="534852177">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123695349">
    <w:abstractNumId w:val="10"/>
  </w:num>
  <w:num w:numId="8" w16cid:durableId="1866165848">
    <w:abstractNumId w:val="1"/>
  </w:num>
  <w:num w:numId="9" w16cid:durableId="215818904">
    <w:abstractNumId w:val="8"/>
  </w:num>
  <w:num w:numId="10" w16cid:durableId="1843811358">
    <w:abstractNumId w:val="3"/>
  </w:num>
  <w:num w:numId="11" w16cid:durableId="614215019">
    <w:abstractNumId w:val="2"/>
  </w:num>
  <w:num w:numId="12" w16cid:durableId="10053773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B07"/>
    <w:rsid w:val="0000101A"/>
    <w:rsid w:val="00002828"/>
    <w:rsid w:val="00003176"/>
    <w:rsid w:val="000042B3"/>
    <w:rsid w:val="00004858"/>
    <w:rsid w:val="000048F3"/>
    <w:rsid w:val="00006AF8"/>
    <w:rsid w:val="00006C92"/>
    <w:rsid w:val="0000781E"/>
    <w:rsid w:val="00012514"/>
    <w:rsid w:val="000125AF"/>
    <w:rsid w:val="000130B5"/>
    <w:rsid w:val="000139DD"/>
    <w:rsid w:val="00013A07"/>
    <w:rsid w:val="00013C48"/>
    <w:rsid w:val="00016573"/>
    <w:rsid w:val="00016848"/>
    <w:rsid w:val="000206C7"/>
    <w:rsid w:val="0002400D"/>
    <w:rsid w:val="00024297"/>
    <w:rsid w:val="000263FA"/>
    <w:rsid w:val="00026AEB"/>
    <w:rsid w:val="0002798A"/>
    <w:rsid w:val="00027C8A"/>
    <w:rsid w:val="0003020A"/>
    <w:rsid w:val="00031EDE"/>
    <w:rsid w:val="00031F88"/>
    <w:rsid w:val="00032733"/>
    <w:rsid w:val="000338E3"/>
    <w:rsid w:val="00033FA3"/>
    <w:rsid w:val="00034066"/>
    <w:rsid w:val="000350CC"/>
    <w:rsid w:val="00036247"/>
    <w:rsid w:val="00036363"/>
    <w:rsid w:val="00040A6B"/>
    <w:rsid w:val="00041061"/>
    <w:rsid w:val="0004163F"/>
    <w:rsid w:val="00042A3B"/>
    <w:rsid w:val="00046C02"/>
    <w:rsid w:val="000504A5"/>
    <w:rsid w:val="00052E6D"/>
    <w:rsid w:val="00053125"/>
    <w:rsid w:val="00053564"/>
    <w:rsid w:val="00053649"/>
    <w:rsid w:val="00053AE9"/>
    <w:rsid w:val="000560FC"/>
    <w:rsid w:val="00057FB9"/>
    <w:rsid w:val="00060155"/>
    <w:rsid w:val="000615B9"/>
    <w:rsid w:val="0006160F"/>
    <w:rsid w:val="00062363"/>
    <w:rsid w:val="00063F8B"/>
    <w:rsid w:val="000643ED"/>
    <w:rsid w:val="00065AC3"/>
    <w:rsid w:val="000665C6"/>
    <w:rsid w:val="00066B5C"/>
    <w:rsid w:val="00067A04"/>
    <w:rsid w:val="00067B86"/>
    <w:rsid w:val="0007160F"/>
    <w:rsid w:val="00072A53"/>
    <w:rsid w:val="00073B9F"/>
    <w:rsid w:val="00075060"/>
    <w:rsid w:val="00075BCA"/>
    <w:rsid w:val="00076389"/>
    <w:rsid w:val="00077F6C"/>
    <w:rsid w:val="00081B2B"/>
    <w:rsid w:val="000843DD"/>
    <w:rsid w:val="00084A7B"/>
    <w:rsid w:val="00084AA0"/>
    <w:rsid w:val="00084B97"/>
    <w:rsid w:val="00085147"/>
    <w:rsid w:val="00086E70"/>
    <w:rsid w:val="0008704C"/>
    <w:rsid w:val="000876A7"/>
    <w:rsid w:val="00087B9A"/>
    <w:rsid w:val="00090277"/>
    <w:rsid w:val="00091BA4"/>
    <w:rsid w:val="00091BB9"/>
    <w:rsid w:val="000921C6"/>
    <w:rsid w:val="00092AFC"/>
    <w:rsid w:val="000932C2"/>
    <w:rsid w:val="00093314"/>
    <w:rsid w:val="00093A25"/>
    <w:rsid w:val="000942EB"/>
    <w:rsid w:val="00095DBF"/>
    <w:rsid w:val="0009618E"/>
    <w:rsid w:val="00096641"/>
    <w:rsid w:val="00096EE0"/>
    <w:rsid w:val="00097B98"/>
    <w:rsid w:val="000A2643"/>
    <w:rsid w:val="000A3350"/>
    <w:rsid w:val="000A3B0F"/>
    <w:rsid w:val="000A4216"/>
    <w:rsid w:val="000A47E4"/>
    <w:rsid w:val="000A58C7"/>
    <w:rsid w:val="000A605F"/>
    <w:rsid w:val="000A64C3"/>
    <w:rsid w:val="000A6D18"/>
    <w:rsid w:val="000B03C1"/>
    <w:rsid w:val="000B103F"/>
    <w:rsid w:val="000B173D"/>
    <w:rsid w:val="000B40A9"/>
    <w:rsid w:val="000B4EEE"/>
    <w:rsid w:val="000B503F"/>
    <w:rsid w:val="000B5488"/>
    <w:rsid w:val="000B548C"/>
    <w:rsid w:val="000B65A3"/>
    <w:rsid w:val="000B6F0F"/>
    <w:rsid w:val="000B785C"/>
    <w:rsid w:val="000B7E2A"/>
    <w:rsid w:val="000C0D40"/>
    <w:rsid w:val="000C14EA"/>
    <w:rsid w:val="000C1F40"/>
    <w:rsid w:val="000C229C"/>
    <w:rsid w:val="000C3738"/>
    <w:rsid w:val="000C6017"/>
    <w:rsid w:val="000C781D"/>
    <w:rsid w:val="000C7BF0"/>
    <w:rsid w:val="000D2505"/>
    <w:rsid w:val="000D339B"/>
    <w:rsid w:val="000D4D96"/>
    <w:rsid w:val="000D50D4"/>
    <w:rsid w:val="000D568B"/>
    <w:rsid w:val="000D6A76"/>
    <w:rsid w:val="000E0A55"/>
    <w:rsid w:val="000E0B06"/>
    <w:rsid w:val="000E1D29"/>
    <w:rsid w:val="000E1EA5"/>
    <w:rsid w:val="000E25D4"/>
    <w:rsid w:val="000E351A"/>
    <w:rsid w:val="000E3712"/>
    <w:rsid w:val="000E37B2"/>
    <w:rsid w:val="000E3936"/>
    <w:rsid w:val="000E58AF"/>
    <w:rsid w:val="000E5EF4"/>
    <w:rsid w:val="000E60DD"/>
    <w:rsid w:val="000E6AC1"/>
    <w:rsid w:val="000E72E5"/>
    <w:rsid w:val="000E7578"/>
    <w:rsid w:val="000E7F34"/>
    <w:rsid w:val="000F0EC8"/>
    <w:rsid w:val="000F119B"/>
    <w:rsid w:val="000F1276"/>
    <w:rsid w:val="000F14E8"/>
    <w:rsid w:val="000F3DDC"/>
    <w:rsid w:val="000F4A0B"/>
    <w:rsid w:val="000F5854"/>
    <w:rsid w:val="0010019F"/>
    <w:rsid w:val="00100285"/>
    <w:rsid w:val="00102323"/>
    <w:rsid w:val="00102376"/>
    <w:rsid w:val="00102545"/>
    <w:rsid w:val="0010298F"/>
    <w:rsid w:val="00103426"/>
    <w:rsid w:val="00103915"/>
    <w:rsid w:val="0010443C"/>
    <w:rsid w:val="00104A47"/>
    <w:rsid w:val="00104B5F"/>
    <w:rsid w:val="00106194"/>
    <w:rsid w:val="00106294"/>
    <w:rsid w:val="00106AFE"/>
    <w:rsid w:val="00106B71"/>
    <w:rsid w:val="00111BC9"/>
    <w:rsid w:val="0011215C"/>
    <w:rsid w:val="00113FE3"/>
    <w:rsid w:val="001153DC"/>
    <w:rsid w:val="001154BE"/>
    <w:rsid w:val="00115A3B"/>
    <w:rsid w:val="00116128"/>
    <w:rsid w:val="00116FE8"/>
    <w:rsid w:val="00117BBC"/>
    <w:rsid w:val="00121F63"/>
    <w:rsid w:val="00122B23"/>
    <w:rsid w:val="00122D70"/>
    <w:rsid w:val="00123B50"/>
    <w:rsid w:val="00125012"/>
    <w:rsid w:val="00127DD3"/>
    <w:rsid w:val="00130067"/>
    <w:rsid w:val="001307C1"/>
    <w:rsid w:val="00130C64"/>
    <w:rsid w:val="00132207"/>
    <w:rsid w:val="001331C7"/>
    <w:rsid w:val="00133ACF"/>
    <w:rsid w:val="00134029"/>
    <w:rsid w:val="001347ED"/>
    <w:rsid w:val="00134CFA"/>
    <w:rsid w:val="00135806"/>
    <w:rsid w:val="00135E40"/>
    <w:rsid w:val="00136E16"/>
    <w:rsid w:val="001375E3"/>
    <w:rsid w:val="00137FFA"/>
    <w:rsid w:val="001404D8"/>
    <w:rsid w:val="00141239"/>
    <w:rsid w:val="00141E19"/>
    <w:rsid w:val="00141EE0"/>
    <w:rsid w:val="0014286B"/>
    <w:rsid w:val="00142C05"/>
    <w:rsid w:val="00142CEB"/>
    <w:rsid w:val="0014335D"/>
    <w:rsid w:val="00145551"/>
    <w:rsid w:val="00145A7A"/>
    <w:rsid w:val="00145D8C"/>
    <w:rsid w:val="001460F1"/>
    <w:rsid w:val="0014692F"/>
    <w:rsid w:val="00147F0A"/>
    <w:rsid w:val="0015046E"/>
    <w:rsid w:val="001505BC"/>
    <w:rsid w:val="00150BAE"/>
    <w:rsid w:val="001517EE"/>
    <w:rsid w:val="00153F52"/>
    <w:rsid w:val="00155152"/>
    <w:rsid w:val="001554C5"/>
    <w:rsid w:val="00155B70"/>
    <w:rsid w:val="00157A04"/>
    <w:rsid w:val="00160A52"/>
    <w:rsid w:val="00161BCB"/>
    <w:rsid w:val="00162B54"/>
    <w:rsid w:val="0016393C"/>
    <w:rsid w:val="001646D7"/>
    <w:rsid w:val="00165084"/>
    <w:rsid w:val="00165349"/>
    <w:rsid w:val="001659D9"/>
    <w:rsid w:val="00165E0F"/>
    <w:rsid w:val="00166931"/>
    <w:rsid w:val="00166C87"/>
    <w:rsid w:val="00166F08"/>
    <w:rsid w:val="0016755F"/>
    <w:rsid w:val="00170174"/>
    <w:rsid w:val="001704FF"/>
    <w:rsid w:val="00171C8E"/>
    <w:rsid w:val="001729E6"/>
    <w:rsid w:val="00172B22"/>
    <w:rsid w:val="00172D04"/>
    <w:rsid w:val="00174C64"/>
    <w:rsid w:val="00174E73"/>
    <w:rsid w:val="001751AB"/>
    <w:rsid w:val="00175628"/>
    <w:rsid w:val="00176B27"/>
    <w:rsid w:val="00177C7A"/>
    <w:rsid w:val="00177E3D"/>
    <w:rsid w:val="00177FB6"/>
    <w:rsid w:val="00180FB7"/>
    <w:rsid w:val="00181317"/>
    <w:rsid w:val="001821AC"/>
    <w:rsid w:val="0018295F"/>
    <w:rsid w:val="00182D39"/>
    <w:rsid w:val="00183789"/>
    <w:rsid w:val="00183D3C"/>
    <w:rsid w:val="00183DC3"/>
    <w:rsid w:val="001854F4"/>
    <w:rsid w:val="001865AE"/>
    <w:rsid w:val="00186AFF"/>
    <w:rsid w:val="00191551"/>
    <w:rsid w:val="00191592"/>
    <w:rsid w:val="001915DE"/>
    <w:rsid w:val="0019166A"/>
    <w:rsid w:val="00191B44"/>
    <w:rsid w:val="00192031"/>
    <w:rsid w:val="00192CFB"/>
    <w:rsid w:val="00192D7C"/>
    <w:rsid w:val="001936F0"/>
    <w:rsid w:val="001956B8"/>
    <w:rsid w:val="00196D5A"/>
    <w:rsid w:val="0019753C"/>
    <w:rsid w:val="001975FF"/>
    <w:rsid w:val="001A0222"/>
    <w:rsid w:val="001A040D"/>
    <w:rsid w:val="001A1C00"/>
    <w:rsid w:val="001A1EA7"/>
    <w:rsid w:val="001A22AC"/>
    <w:rsid w:val="001A24CC"/>
    <w:rsid w:val="001A251A"/>
    <w:rsid w:val="001A3296"/>
    <w:rsid w:val="001A4995"/>
    <w:rsid w:val="001A4EB9"/>
    <w:rsid w:val="001A644A"/>
    <w:rsid w:val="001A670C"/>
    <w:rsid w:val="001A7081"/>
    <w:rsid w:val="001A79E5"/>
    <w:rsid w:val="001B0062"/>
    <w:rsid w:val="001B0444"/>
    <w:rsid w:val="001B0B1B"/>
    <w:rsid w:val="001B21CC"/>
    <w:rsid w:val="001B2A80"/>
    <w:rsid w:val="001B3138"/>
    <w:rsid w:val="001B3C6F"/>
    <w:rsid w:val="001B53F1"/>
    <w:rsid w:val="001B5991"/>
    <w:rsid w:val="001B64A3"/>
    <w:rsid w:val="001B7169"/>
    <w:rsid w:val="001B74FA"/>
    <w:rsid w:val="001C05B2"/>
    <w:rsid w:val="001C2F54"/>
    <w:rsid w:val="001C39F7"/>
    <w:rsid w:val="001C3B7E"/>
    <w:rsid w:val="001C3E04"/>
    <w:rsid w:val="001C42FB"/>
    <w:rsid w:val="001C49EA"/>
    <w:rsid w:val="001C5B55"/>
    <w:rsid w:val="001C6D1F"/>
    <w:rsid w:val="001C767C"/>
    <w:rsid w:val="001C76E7"/>
    <w:rsid w:val="001C7A22"/>
    <w:rsid w:val="001C7FD3"/>
    <w:rsid w:val="001D07F1"/>
    <w:rsid w:val="001D188E"/>
    <w:rsid w:val="001D1991"/>
    <w:rsid w:val="001D1E0A"/>
    <w:rsid w:val="001D28FD"/>
    <w:rsid w:val="001D35F2"/>
    <w:rsid w:val="001D3BFA"/>
    <w:rsid w:val="001D4C36"/>
    <w:rsid w:val="001D5063"/>
    <w:rsid w:val="001D5447"/>
    <w:rsid w:val="001D756D"/>
    <w:rsid w:val="001D7F5C"/>
    <w:rsid w:val="001E014C"/>
    <w:rsid w:val="001E081B"/>
    <w:rsid w:val="001E08F0"/>
    <w:rsid w:val="001E2605"/>
    <w:rsid w:val="001E2751"/>
    <w:rsid w:val="001E2A7F"/>
    <w:rsid w:val="001E59F8"/>
    <w:rsid w:val="001E60CB"/>
    <w:rsid w:val="001E6DAC"/>
    <w:rsid w:val="001F0500"/>
    <w:rsid w:val="001F19DE"/>
    <w:rsid w:val="001F34D4"/>
    <w:rsid w:val="001F39E6"/>
    <w:rsid w:val="001F3BB2"/>
    <w:rsid w:val="001F4182"/>
    <w:rsid w:val="001F4538"/>
    <w:rsid w:val="001F48ED"/>
    <w:rsid w:val="001F52CF"/>
    <w:rsid w:val="001F659E"/>
    <w:rsid w:val="001F6C46"/>
    <w:rsid w:val="001F7287"/>
    <w:rsid w:val="001F74A8"/>
    <w:rsid w:val="001F7B70"/>
    <w:rsid w:val="001F7D57"/>
    <w:rsid w:val="00201EFB"/>
    <w:rsid w:val="0020497C"/>
    <w:rsid w:val="00205839"/>
    <w:rsid w:val="00206278"/>
    <w:rsid w:val="0020632A"/>
    <w:rsid w:val="00207E7A"/>
    <w:rsid w:val="00210AFC"/>
    <w:rsid w:val="00211096"/>
    <w:rsid w:val="002110EB"/>
    <w:rsid w:val="00211338"/>
    <w:rsid w:val="002117E9"/>
    <w:rsid w:val="0021415B"/>
    <w:rsid w:val="00220B18"/>
    <w:rsid w:val="00220EBC"/>
    <w:rsid w:val="0022163D"/>
    <w:rsid w:val="00222B2B"/>
    <w:rsid w:val="002233B1"/>
    <w:rsid w:val="00223D5F"/>
    <w:rsid w:val="00224AEC"/>
    <w:rsid w:val="002264E2"/>
    <w:rsid w:val="00230C8E"/>
    <w:rsid w:val="002314C9"/>
    <w:rsid w:val="00231820"/>
    <w:rsid w:val="002320F9"/>
    <w:rsid w:val="00232AF4"/>
    <w:rsid w:val="00232C4B"/>
    <w:rsid w:val="002345CE"/>
    <w:rsid w:val="00234B84"/>
    <w:rsid w:val="00236952"/>
    <w:rsid w:val="00236A01"/>
    <w:rsid w:val="00240130"/>
    <w:rsid w:val="00240A65"/>
    <w:rsid w:val="00240C72"/>
    <w:rsid w:val="00244E26"/>
    <w:rsid w:val="00247372"/>
    <w:rsid w:val="00247AB8"/>
    <w:rsid w:val="00247BB3"/>
    <w:rsid w:val="002507DD"/>
    <w:rsid w:val="00250952"/>
    <w:rsid w:val="00251F5C"/>
    <w:rsid w:val="00253927"/>
    <w:rsid w:val="00254705"/>
    <w:rsid w:val="00254CF3"/>
    <w:rsid w:val="00254DFA"/>
    <w:rsid w:val="0025616F"/>
    <w:rsid w:val="00256776"/>
    <w:rsid w:val="002601EB"/>
    <w:rsid w:val="00260F08"/>
    <w:rsid w:val="002613C0"/>
    <w:rsid w:val="00264334"/>
    <w:rsid w:val="00266A04"/>
    <w:rsid w:val="00267498"/>
    <w:rsid w:val="0027022A"/>
    <w:rsid w:val="00270AEA"/>
    <w:rsid w:val="002724A0"/>
    <w:rsid w:val="0027319E"/>
    <w:rsid w:val="00280D72"/>
    <w:rsid w:val="002814BB"/>
    <w:rsid w:val="00283229"/>
    <w:rsid w:val="002849B8"/>
    <w:rsid w:val="00285ED1"/>
    <w:rsid w:val="0028682E"/>
    <w:rsid w:val="00286B19"/>
    <w:rsid w:val="00287466"/>
    <w:rsid w:val="002908A4"/>
    <w:rsid w:val="00291F29"/>
    <w:rsid w:val="0029408B"/>
    <w:rsid w:val="002969BF"/>
    <w:rsid w:val="00296E0D"/>
    <w:rsid w:val="002974FA"/>
    <w:rsid w:val="002A0A48"/>
    <w:rsid w:val="002A0AD8"/>
    <w:rsid w:val="002A11F2"/>
    <w:rsid w:val="002A2658"/>
    <w:rsid w:val="002A34C5"/>
    <w:rsid w:val="002A439D"/>
    <w:rsid w:val="002A65C7"/>
    <w:rsid w:val="002A6685"/>
    <w:rsid w:val="002A7BA1"/>
    <w:rsid w:val="002B071B"/>
    <w:rsid w:val="002B2622"/>
    <w:rsid w:val="002B37A4"/>
    <w:rsid w:val="002B4B06"/>
    <w:rsid w:val="002B5441"/>
    <w:rsid w:val="002B64A5"/>
    <w:rsid w:val="002B70EC"/>
    <w:rsid w:val="002C130D"/>
    <w:rsid w:val="002C13A0"/>
    <w:rsid w:val="002C24CD"/>
    <w:rsid w:val="002C2533"/>
    <w:rsid w:val="002C39B5"/>
    <w:rsid w:val="002C4042"/>
    <w:rsid w:val="002C4436"/>
    <w:rsid w:val="002C4C0C"/>
    <w:rsid w:val="002C5B2A"/>
    <w:rsid w:val="002C6B79"/>
    <w:rsid w:val="002C7F9C"/>
    <w:rsid w:val="002D0005"/>
    <w:rsid w:val="002D0564"/>
    <w:rsid w:val="002D29A7"/>
    <w:rsid w:val="002D302A"/>
    <w:rsid w:val="002D31D4"/>
    <w:rsid w:val="002D4317"/>
    <w:rsid w:val="002D55B9"/>
    <w:rsid w:val="002D6C6B"/>
    <w:rsid w:val="002D7527"/>
    <w:rsid w:val="002D78D2"/>
    <w:rsid w:val="002D7D3E"/>
    <w:rsid w:val="002E1B07"/>
    <w:rsid w:val="002E1E84"/>
    <w:rsid w:val="002E2033"/>
    <w:rsid w:val="002E27AD"/>
    <w:rsid w:val="002E2C53"/>
    <w:rsid w:val="002E688C"/>
    <w:rsid w:val="002E6D7C"/>
    <w:rsid w:val="002F0DDD"/>
    <w:rsid w:val="002F1857"/>
    <w:rsid w:val="002F1DAC"/>
    <w:rsid w:val="002F454C"/>
    <w:rsid w:val="002F45E8"/>
    <w:rsid w:val="002F554C"/>
    <w:rsid w:val="002F6653"/>
    <w:rsid w:val="002F730B"/>
    <w:rsid w:val="002F7B2F"/>
    <w:rsid w:val="003014BB"/>
    <w:rsid w:val="003019BD"/>
    <w:rsid w:val="00302F85"/>
    <w:rsid w:val="003033BA"/>
    <w:rsid w:val="003035E9"/>
    <w:rsid w:val="00305687"/>
    <w:rsid w:val="003065CA"/>
    <w:rsid w:val="003074AE"/>
    <w:rsid w:val="0031120C"/>
    <w:rsid w:val="00311679"/>
    <w:rsid w:val="00311D93"/>
    <w:rsid w:val="003136BC"/>
    <w:rsid w:val="00317D34"/>
    <w:rsid w:val="00320E8A"/>
    <w:rsid w:val="0032112F"/>
    <w:rsid w:val="003211D8"/>
    <w:rsid w:val="00322570"/>
    <w:rsid w:val="00322937"/>
    <w:rsid w:val="00323221"/>
    <w:rsid w:val="0032544F"/>
    <w:rsid w:val="00325E6F"/>
    <w:rsid w:val="00327003"/>
    <w:rsid w:val="003275CE"/>
    <w:rsid w:val="003300C4"/>
    <w:rsid w:val="00332B42"/>
    <w:rsid w:val="00336972"/>
    <w:rsid w:val="00336C1E"/>
    <w:rsid w:val="00341249"/>
    <w:rsid w:val="0034177C"/>
    <w:rsid w:val="00343D80"/>
    <w:rsid w:val="00345306"/>
    <w:rsid w:val="0034595A"/>
    <w:rsid w:val="003462F1"/>
    <w:rsid w:val="0034680A"/>
    <w:rsid w:val="0034699E"/>
    <w:rsid w:val="00351771"/>
    <w:rsid w:val="00353D56"/>
    <w:rsid w:val="00353DD5"/>
    <w:rsid w:val="00354AC7"/>
    <w:rsid w:val="00356546"/>
    <w:rsid w:val="003569CC"/>
    <w:rsid w:val="00356A7C"/>
    <w:rsid w:val="003576FB"/>
    <w:rsid w:val="003612F7"/>
    <w:rsid w:val="003617BA"/>
    <w:rsid w:val="00363270"/>
    <w:rsid w:val="00365FE0"/>
    <w:rsid w:val="0036601C"/>
    <w:rsid w:val="00367703"/>
    <w:rsid w:val="00370080"/>
    <w:rsid w:val="00370996"/>
    <w:rsid w:val="00370A95"/>
    <w:rsid w:val="00371D32"/>
    <w:rsid w:val="003728B8"/>
    <w:rsid w:val="003745AB"/>
    <w:rsid w:val="00375DD3"/>
    <w:rsid w:val="0037645C"/>
    <w:rsid w:val="00376E0E"/>
    <w:rsid w:val="00377B5F"/>
    <w:rsid w:val="0038015A"/>
    <w:rsid w:val="003807E2"/>
    <w:rsid w:val="00380D4F"/>
    <w:rsid w:val="00381478"/>
    <w:rsid w:val="00382787"/>
    <w:rsid w:val="0038314E"/>
    <w:rsid w:val="003843B1"/>
    <w:rsid w:val="00386368"/>
    <w:rsid w:val="00386456"/>
    <w:rsid w:val="003864C9"/>
    <w:rsid w:val="00386578"/>
    <w:rsid w:val="003876F2"/>
    <w:rsid w:val="00390882"/>
    <w:rsid w:val="00392C69"/>
    <w:rsid w:val="00395843"/>
    <w:rsid w:val="003958FD"/>
    <w:rsid w:val="003961D8"/>
    <w:rsid w:val="003961EB"/>
    <w:rsid w:val="003962E3"/>
    <w:rsid w:val="0039790D"/>
    <w:rsid w:val="003A0725"/>
    <w:rsid w:val="003A0878"/>
    <w:rsid w:val="003A1EEB"/>
    <w:rsid w:val="003A2753"/>
    <w:rsid w:val="003A2836"/>
    <w:rsid w:val="003A30E2"/>
    <w:rsid w:val="003A312F"/>
    <w:rsid w:val="003A32C6"/>
    <w:rsid w:val="003A3CBA"/>
    <w:rsid w:val="003A581E"/>
    <w:rsid w:val="003A5AEB"/>
    <w:rsid w:val="003A61D6"/>
    <w:rsid w:val="003A6281"/>
    <w:rsid w:val="003A715B"/>
    <w:rsid w:val="003A7D0A"/>
    <w:rsid w:val="003B004C"/>
    <w:rsid w:val="003B14EB"/>
    <w:rsid w:val="003B15B1"/>
    <w:rsid w:val="003B1933"/>
    <w:rsid w:val="003B1DA5"/>
    <w:rsid w:val="003B2579"/>
    <w:rsid w:val="003B44AB"/>
    <w:rsid w:val="003B48C5"/>
    <w:rsid w:val="003B5017"/>
    <w:rsid w:val="003B76F3"/>
    <w:rsid w:val="003B7B4B"/>
    <w:rsid w:val="003C0F89"/>
    <w:rsid w:val="003C1386"/>
    <w:rsid w:val="003C20F3"/>
    <w:rsid w:val="003C23D4"/>
    <w:rsid w:val="003C3041"/>
    <w:rsid w:val="003C32BF"/>
    <w:rsid w:val="003C4537"/>
    <w:rsid w:val="003C5831"/>
    <w:rsid w:val="003C63A9"/>
    <w:rsid w:val="003C65F6"/>
    <w:rsid w:val="003C6BA3"/>
    <w:rsid w:val="003D2E2C"/>
    <w:rsid w:val="003D3DB7"/>
    <w:rsid w:val="003D44D1"/>
    <w:rsid w:val="003D4BDC"/>
    <w:rsid w:val="003D4F16"/>
    <w:rsid w:val="003D4F83"/>
    <w:rsid w:val="003D5905"/>
    <w:rsid w:val="003D60C4"/>
    <w:rsid w:val="003D6721"/>
    <w:rsid w:val="003E014E"/>
    <w:rsid w:val="003E1EC4"/>
    <w:rsid w:val="003E21CF"/>
    <w:rsid w:val="003E315A"/>
    <w:rsid w:val="003E3EE1"/>
    <w:rsid w:val="003E5136"/>
    <w:rsid w:val="003E5703"/>
    <w:rsid w:val="003E68A6"/>
    <w:rsid w:val="003E7918"/>
    <w:rsid w:val="003F0EE8"/>
    <w:rsid w:val="003F27EC"/>
    <w:rsid w:val="003F28A8"/>
    <w:rsid w:val="003F324A"/>
    <w:rsid w:val="003F5D1F"/>
    <w:rsid w:val="003F5EA9"/>
    <w:rsid w:val="003F68B1"/>
    <w:rsid w:val="003F7ACF"/>
    <w:rsid w:val="003F7CC8"/>
    <w:rsid w:val="00400351"/>
    <w:rsid w:val="00400EAD"/>
    <w:rsid w:val="004016D9"/>
    <w:rsid w:val="004031E0"/>
    <w:rsid w:val="00403D6D"/>
    <w:rsid w:val="00403EF8"/>
    <w:rsid w:val="00404BDF"/>
    <w:rsid w:val="004059C4"/>
    <w:rsid w:val="00405CAB"/>
    <w:rsid w:val="0040710A"/>
    <w:rsid w:val="00407A05"/>
    <w:rsid w:val="00410123"/>
    <w:rsid w:val="00411A5E"/>
    <w:rsid w:val="00412921"/>
    <w:rsid w:val="004129B5"/>
    <w:rsid w:val="00412B57"/>
    <w:rsid w:val="00412FF1"/>
    <w:rsid w:val="00413382"/>
    <w:rsid w:val="004135B0"/>
    <w:rsid w:val="00415EB9"/>
    <w:rsid w:val="00416062"/>
    <w:rsid w:val="00416F65"/>
    <w:rsid w:val="0041749E"/>
    <w:rsid w:val="00420891"/>
    <w:rsid w:val="00420E36"/>
    <w:rsid w:val="004215AE"/>
    <w:rsid w:val="0042181F"/>
    <w:rsid w:val="0042185B"/>
    <w:rsid w:val="00422DAF"/>
    <w:rsid w:val="00422FA3"/>
    <w:rsid w:val="00423F9F"/>
    <w:rsid w:val="00424073"/>
    <w:rsid w:val="00425A56"/>
    <w:rsid w:val="00425E09"/>
    <w:rsid w:val="00427331"/>
    <w:rsid w:val="004306AD"/>
    <w:rsid w:val="00431645"/>
    <w:rsid w:val="00431D17"/>
    <w:rsid w:val="004327BB"/>
    <w:rsid w:val="0043301A"/>
    <w:rsid w:val="00435BA9"/>
    <w:rsid w:val="00435EE4"/>
    <w:rsid w:val="0044022F"/>
    <w:rsid w:val="00440622"/>
    <w:rsid w:val="00440794"/>
    <w:rsid w:val="004422D6"/>
    <w:rsid w:val="00442798"/>
    <w:rsid w:val="00443283"/>
    <w:rsid w:val="00443FD2"/>
    <w:rsid w:val="004440A8"/>
    <w:rsid w:val="004442D5"/>
    <w:rsid w:val="00446ED5"/>
    <w:rsid w:val="00447068"/>
    <w:rsid w:val="00447183"/>
    <w:rsid w:val="004505FF"/>
    <w:rsid w:val="004516BF"/>
    <w:rsid w:val="00454BC6"/>
    <w:rsid w:val="00455A57"/>
    <w:rsid w:val="00455EB7"/>
    <w:rsid w:val="00456711"/>
    <w:rsid w:val="004569DB"/>
    <w:rsid w:val="0045721D"/>
    <w:rsid w:val="00457941"/>
    <w:rsid w:val="00457CBB"/>
    <w:rsid w:val="004602CA"/>
    <w:rsid w:val="00460792"/>
    <w:rsid w:val="00461BE9"/>
    <w:rsid w:val="0046342A"/>
    <w:rsid w:val="004638DC"/>
    <w:rsid w:val="00463931"/>
    <w:rsid w:val="00463A8F"/>
    <w:rsid w:val="00463E5E"/>
    <w:rsid w:val="00463FE5"/>
    <w:rsid w:val="004652CB"/>
    <w:rsid w:val="00467A6A"/>
    <w:rsid w:val="00467A7A"/>
    <w:rsid w:val="00467EA6"/>
    <w:rsid w:val="00471B1F"/>
    <w:rsid w:val="00471B5B"/>
    <w:rsid w:val="004721E6"/>
    <w:rsid w:val="00473679"/>
    <w:rsid w:val="00473979"/>
    <w:rsid w:val="004744FA"/>
    <w:rsid w:val="00476328"/>
    <w:rsid w:val="00480080"/>
    <w:rsid w:val="004805EA"/>
    <w:rsid w:val="004809B1"/>
    <w:rsid w:val="00480DE6"/>
    <w:rsid w:val="00481E78"/>
    <w:rsid w:val="00484BB0"/>
    <w:rsid w:val="00487B87"/>
    <w:rsid w:val="00487E2E"/>
    <w:rsid w:val="00487F16"/>
    <w:rsid w:val="004908F9"/>
    <w:rsid w:val="0049094E"/>
    <w:rsid w:val="0049241A"/>
    <w:rsid w:val="0049493D"/>
    <w:rsid w:val="00494AF1"/>
    <w:rsid w:val="004961BA"/>
    <w:rsid w:val="0049705F"/>
    <w:rsid w:val="00497F85"/>
    <w:rsid w:val="004A059C"/>
    <w:rsid w:val="004A0BC4"/>
    <w:rsid w:val="004A34D2"/>
    <w:rsid w:val="004A43B7"/>
    <w:rsid w:val="004A4D5F"/>
    <w:rsid w:val="004A4E6F"/>
    <w:rsid w:val="004A5EBB"/>
    <w:rsid w:val="004A6242"/>
    <w:rsid w:val="004A7552"/>
    <w:rsid w:val="004B0316"/>
    <w:rsid w:val="004B0AF1"/>
    <w:rsid w:val="004B0BBC"/>
    <w:rsid w:val="004B19A9"/>
    <w:rsid w:val="004B3AEA"/>
    <w:rsid w:val="004B4FDA"/>
    <w:rsid w:val="004B669F"/>
    <w:rsid w:val="004C40AA"/>
    <w:rsid w:val="004C58FF"/>
    <w:rsid w:val="004C6907"/>
    <w:rsid w:val="004C7B57"/>
    <w:rsid w:val="004D6481"/>
    <w:rsid w:val="004D6EC7"/>
    <w:rsid w:val="004D7F92"/>
    <w:rsid w:val="004D7FD1"/>
    <w:rsid w:val="004E0588"/>
    <w:rsid w:val="004E08B8"/>
    <w:rsid w:val="004E15B5"/>
    <w:rsid w:val="004E15F9"/>
    <w:rsid w:val="004E26C9"/>
    <w:rsid w:val="004E28E6"/>
    <w:rsid w:val="004E4065"/>
    <w:rsid w:val="004E523A"/>
    <w:rsid w:val="004E5BBA"/>
    <w:rsid w:val="004F2045"/>
    <w:rsid w:val="004F2806"/>
    <w:rsid w:val="004F3BBC"/>
    <w:rsid w:val="004F3BD8"/>
    <w:rsid w:val="004F454F"/>
    <w:rsid w:val="004F5405"/>
    <w:rsid w:val="004F57B1"/>
    <w:rsid w:val="004F5AB1"/>
    <w:rsid w:val="004F5AFF"/>
    <w:rsid w:val="004F61DE"/>
    <w:rsid w:val="004F6765"/>
    <w:rsid w:val="004F7D4B"/>
    <w:rsid w:val="00500A84"/>
    <w:rsid w:val="00500C9C"/>
    <w:rsid w:val="0050146F"/>
    <w:rsid w:val="00502009"/>
    <w:rsid w:val="00502AA3"/>
    <w:rsid w:val="00502BD8"/>
    <w:rsid w:val="00502FCE"/>
    <w:rsid w:val="005031CA"/>
    <w:rsid w:val="00503FF3"/>
    <w:rsid w:val="0050509B"/>
    <w:rsid w:val="005058C2"/>
    <w:rsid w:val="005106AD"/>
    <w:rsid w:val="0051074C"/>
    <w:rsid w:val="00510FD0"/>
    <w:rsid w:val="00511B66"/>
    <w:rsid w:val="0051220A"/>
    <w:rsid w:val="00513210"/>
    <w:rsid w:val="00513496"/>
    <w:rsid w:val="00513AF2"/>
    <w:rsid w:val="00513C06"/>
    <w:rsid w:val="00514171"/>
    <w:rsid w:val="005157F0"/>
    <w:rsid w:val="00515871"/>
    <w:rsid w:val="00515B54"/>
    <w:rsid w:val="005178B0"/>
    <w:rsid w:val="0052032F"/>
    <w:rsid w:val="00520695"/>
    <w:rsid w:val="00520A05"/>
    <w:rsid w:val="005237B3"/>
    <w:rsid w:val="00526438"/>
    <w:rsid w:val="005267D5"/>
    <w:rsid w:val="00526AA0"/>
    <w:rsid w:val="00527E7B"/>
    <w:rsid w:val="00530375"/>
    <w:rsid w:val="00533486"/>
    <w:rsid w:val="00533DCA"/>
    <w:rsid w:val="005344D6"/>
    <w:rsid w:val="0053556C"/>
    <w:rsid w:val="00536DFC"/>
    <w:rsid w:val="005413A0"/>
    <w:rsid w:val="00541E25"/>
    <w:rsid w:val="00542240"/>
    <w:rsid w:val="0054368F"/>
    <w:rsid w:val="00543803"/>
    <w:rsid w:val="0054413A"/>
    <w:rsid w:val="00544348"/>
    <w:rsid w:val="005445B2"/>
    <w:rsid w:val="00546D12"/>
    <w:rsid w:val="00550B73"/>
    <w:rsid w:val="00550E97"/>
    <w:rsid w:val="00552028"/>
    <w:rsid w:val="00553842"/>
    <w:rsid w:val="005543E6"/>
    <w:rsid w:val="00554833"/>
    <w:rsid w:val="00555050"/>
    <w:rsid w:val="005552EB"/>
    <w:rsid w:val="005564CA"/>
    <w:rsid w:val="0055716D"/>
    <w:rsid w:val="005612A7"/>
    <w:rsid w:val="0056182B"/>
    <w:rsid w:val="005620B0"/>
    <w:rsid w:val="005623DC"/>
    <w:rsid w:val="00563935"/>
    <w:rsid w:val="00564FDE"/>
    <w:rsid w:val="0056527A"/>
    <w:rsid w:val="00565DEC"/>
    <w:rsid w:val="00565FEF"/>
    <w:rsid w:val="00566B75"/>
    <w:rsid w:val="00566F22"/>
    <w:rsid w:val="00571F9E"/>
    <w:rsid w:val="00574280"/>
    <w:rsid w:val="005756AA"/>
    <w:rsid w:val="00575D80"/>
    <w:rsid w:val="0057797E"/>
    <w:rsid w:val="00581139"/>
    <w:rsid w:val="00581FA7"/>
    <w:rsid w:val="00582643"/>
    <w:rsid w:val="00582F8B"/>
    <w:rsid w:val="00583AE8"/>
    <w:rsid w:val="00590A6D"/>
    <w:rsid w:val="005918B6"/>
    <w:rsid w:val="00593E9E"/>
    <w:rsid w:val="005941C1"/>
    <w:rsid w:val="00594A44"/>
    <w:rsid w:val="00595122"/>
    <w:rsid w:val="00596054"/>
    <w:rsid w:val="0059611C"/>
    <w:rsid w:val="00596243"/>
    <w:rsid w:val="00596405"/>
    <w:rsid w:val="0059772E"/>
    <w:rsid w:val="005979D2"/>
    <w:rsid w:val="00597B75"/>
    <w:rsid w:val="005A097D"/>
    <w:rsid w:val="005A1D26"/>
    <w:rsid w:val="005A235A"/>
    <w:rsid w:val="005A4EB9"/>
    <w:rsid w:val="005A5194"/>
    <w:rsid w:val="005A5A29"/>
    <w:rsid w:val="005A62F6"/>
    <w:rsid w:val="005A7615"/>
    <w:rsid w:val="005B200D"/>
    <w:rsid w:val="005B2A2E"/>
    <w:rsid w:val="005B478A"/>
    <w:rsid w:val="005B4835"/>
    <w:rsid w:val="005B65D9"/>
    <w:rsid w:val="005B7226"/>
    <w:rsid w:val="005B72DC"/>
    <w:rsid w:val="005C0F65"/>
    <w:rsid w:val="005C1090"/>
    <w:rsid w:val="005C3A3D"/>
    <w:rsid w:val="005C4861"/>
    <w:rsid w:val="005C5278"/>
    <w:rsid w:val="005C5840"/>
    <w:rsid w:val="005C5DAC"/>
    <w:rsid w:val="005C6201"/>
    <w:rsid w:val="005C6D5A"/>
    <w:rsid w:val="005C6DF0"/>
    <w:rsid w:val="005C7602"/>
    <w:rsid w:val="005C7856"/>
    <w:rsid w:val="005C7B94"/>
    <w:rsid w:val="005C7FCD"/>
    <w:rsid w:val="005D09E1"/>
    <w:rsid w:val="005D0F03"/>
    <w:rsid w:val="005D2217"/>
    <w:rsid w:val="005D2F47"/>
    <w:rsid w:val="005D3341"/>
    <w:rsid w:val="005D3580"/>
    <w:rsid w:val="005D3EB0"/>
    <w:rsid w:val="005D51FA"/>
    <w:rsid w:val="005D560F"/>
    <w:rsid w:val="005D6A24"/>
    <w:rsid w:val="005D6D4F"/>
    <w:rsid w:val="005D791B"/>
    <w:rsid w:val="005E11B2"/>
    <w:rsid w:val="005E153E"/>
    <w:rsid w:val="005E3050"/>
    <w:rsid w:val="005E3E9F"/>
    <w:rsid w:val="005E495C"/>
    <w:rsid w:val="005E6A6B"/>
    <w:rsid w:val="005E73B2"/>
    <w:rsid w:val="005F088A"/>
    <w:rsid w:val="005F1772"/>
    <w:rsid w:val="005F1A12"/>
    <w:rsid w:val="005F1B74"/>
    <w:rsid w:val="005F20C0"/>
    <w:rsid w:val="005F2387"/>
    <w:rsid w:val="005F2C34"/>
    <w:rsid w:val="005F2CA1"/>
    <w:rsid w:val="005F3A33"/>
    <w:rsid w:val="005F59D5"/>
    <w:rsid w:val="005F5C19"/>
    <w:rsid w:val="005F60CF"/>
    <w:rsid w:val="005F72D0"/>
    <w:rsid w:val="005F76DD"/>
    <w:rsid w:val="006032CE"/>
    <w:rsid w:val="00604E01"/>
    <w:rsid w:val="00604E4B"/>
    <w:rsid w:val="0060502C"/>
    <w:rsid w:val="0060578E"/>
    <w:rsid w:val="00605BFD"/>
    <w:rsid w:val="006067E3"/>
    <w:rsid w:val="006078A1"/>
    <w:rsid w:val="00607A99"/>
    <w:rsid w:val="00607CD2"/>
    <w:rsid w:val="00611A83"/>
    <w:rsid w:val="00611B77"/>
    <w:rsid w:val="00614817"/>
    <w:rsid w:val="00615173"/>
    <w:rsid w:val="006170C0"/>
    <w:rsid w:val="006175EE"/>
    <w:rsid w:val="00617FF2"/>
    <w:rsid w:val="00620AAD"/>
    <w:rsid w:val="006210F3"/>
    <w:rsid w:val="0062131E"/>
    <w:rsid w:val="00621CD3"/>
    <w:rsid w:val="0062239E"/>
    <w:rsid w:val="006256B5"/>
    <w:rsid w:val="0063078B"/>
    <w:rsid w:val="006315C5"/>
    <w:rsid w:val="006315FD"/>
    <w:rsid w:val="006318C6"/>
    <w:rsid w:val="00631B0C"/>
    <w:rsid w:val="00632769"/>
    <w:rsid w:val="00633DBF"/>
    <w:rsid w:val="006344B7"/>
    <w:rsid w:val="006349E9"/>
    <w:rsid w:val="0063578A"/>
    <w:rsid w:val="006357D5"/>
    <w:rsid w:val="0063671B"/>
    <w:rsid w:val="00637565"/>
    <w:rsid w:val="00637BCB"/>
    <w:rsid w:val="00637E00"/>
    <w:rsid w:val="00640AEF"/>
    <w:rsid w:val="006426BC"/>
    <w:rsid w:val="00643033"/>
    <w:rsid w:val="006449A7"/>
    <w:rsid w:val="00644BDA"/>
    <w:rsid w:val="00644C0A"/>
    <w:rsid w:val="006465B3"/>
    <w:rsid w:val="006468FD"/>
    <w:rsid w:val="006502B4"/>
    <w:rsid w:val="00650627"/>
    <w:rsid w:val="00651532"/>
    <w:rsid w:val="00651B30"/>
    <w:rsid w:val="00651E65"/>
    <w:rsid w:val="00651E9C"/>
    <w:rsid w:val="00652B70"/>
    <w:rsid w:val="006535CE"/>
    <w:rsid w:val="006549D4"/>
    <w:rsid w:val="00655371"/>
    <w:rsid w:val="0065662F"/>
    <w:rsid w:val="00656C26"/>
    <w:rsid w:val="0065708A"/>
    <w:rsid w:val="00657841"/>
    <w:rsid w:val="00660B1A"/>
    <w:rsid w:val="00660C77"/>
    <w:rsid w:val="00662626"/>
    <w:rsid w:val="00663062"/>
    <w:rsid w:val="00663206"/>
    <w:rsid w:val="006633CE"/>
    <w:rsid w:val="006634A4"/>
    <w:rsid w:val="00666BB7"/>
    <w:rsid w:val="00666C67"/>
    <w:rsid w:val="0066776B"/>
    <w:rsid w:val="00673049"/>
    <w:rsid w:val="00674072"/>
    <w:rsid w:val="00675623"/>
    <w:rsid w:val="00676695"/>
    <w:rsid w:val="006840CA"/>
    <w:rsid w:val="00684A8A"/>
    <w:rsid w:val="00684CF0"/>
    <w:rsid w:val="00685ECC"/>
    <w:rsid w:val="00690034"/>
    <w:rsid w:val="00690116"/>
    <w:rsid w:val="006904A9"/>
    <w:rsid w:val="006911AD"/>
    <w:rsid w:val="00691414"/>
    <w:rsid w:val="00692366"/>
    <w:rsid w:val="00694173"/>
    <w:rsid w:val="006952B3"/>
    <w:rsid w:val="00695C7B"/>
    <w:rsid w:val="0069645C"/>
    <w:rsid w:val="006967F3"/>
    <w:rsid w:val="00696B65"/>
    <w:rsid w:val="00697322"/>
    <w:rsid w:val="006974CA"/>
    <w:rsid w:val="00697665"/>
    <w:rsid w:val="006A0F10"/>
    <w:rsid w:val="006A18A8"/>
    <w:rsid w:val="006A1EEE"/>
    <w:rsid w:val="006A1EF8"/>
    <w:rsid w:val="006A2CFE"/>
    <w:rsid w:val="006A31D4"/>
    <w:rsid w:val="006A543B"/>
    <w:rsid w:val="006A6537"/>
    <w:rsid w:val="006A73CC"/>
    <w:rsid w:val="006A746B"/>
    <w:rsid w:val="006A7CB5"/>
    <w:rsid w:val="006A7FD0"/>
    <w:rsid w:val="006B1690"/>
    <w:rsid w:val="006B22D5"/>
    <w:rsid w:val="006B424C"/>
    <w:rsid w:val="006B5224"/>
    <w:rsid w:val="006B5CD1"/>
    <w:rsid w:val="006B60C8"/>
    <w:rsid w:val="006B62FD"/>
    <w:rsid w:val="006B6709"/>
    <w:rsid w:val="006B7B3F"/>
    <w:rsid w:val="006B7D50"/>
    <w:rsid w:val="006C0A8A"/>
    <w:rsid w:val="006C1C9E"/>
    <w:rsid w:val="006C220C"/>
    <w:rsid w:val="006C232B"/>
    <w:rsid w:val="006C2A68"/>
    <w:rsid w:val="006C5CD8"/>
    <w:rsid w:val="006C6AEF"/>
    <w:rsid w:val="006C77A2"/>
    <w:rsid w:val="006D07A5"/>
    <w:rsid w:val="006D3DB0"/>
    <w:rsid w:val="006D504C"/>
    <w:rsid w:val="006D6321"/>
    <w:rsid w:val="006D6B0B"/>
    <w:rsid w:val="006D7687"/>
    <w:rsid w:val="006D7D0A"/>
    <w:rsid w:val="006E0572"/>
    <w:rsid w:val="006E146D"/>
    <w:rsid w:val="006E1FB8"/>
    <w:rsid w:val="006E20F3"/>
    <w:rsid w:val="006E3332"/>
    <w:rsid w:val="006E4119"/>
    <w:rsid w:val="006E61DE"/>
    <w:rsid w:val="006E66A6"/>
    <w:rsid w:val="006E7ED9"/>
    <w:rsid w:val="006F1B1E"/>
    <w:rsid w:val="006F2EE0"/>
    <w:rsid w:val="006F3295"/>
    <w:rsid w:val="006F337A"/>
    <w:rsid w:val="006F36DF"/>
    <w:rsid w:val="006F3743"/>
    <w:rsid w:val="006F3DA9"/>
    <w:rsid w:val="006F4260"/>
    <w:rsid w:val="006F457E"/>
    <w:rsid w:val="006F52DF"/>
    <w:rsid w:val="006F6E28"/>
    <w:rsid w:val="006F7F4C"/>
    <w:rsid w:val="007004F1"/>
    <w:rsid w:val="007029C7"/>
    <w:rsid w:val="00702F5E"/>
    <w:rsid w:val="007042FC"/>
    <w:rsid w:val="00704E69"/>
    <w:rsid w:val="00705631"/>
    <w:rsid w:val="00707D61"/>
    <w:rsid w:val="00707D7A"/>
    <w:rsid w:val="00710A4E"/>
    <w:rsid w:val="00710F76"/>
    <w:rsid w:val="0071140F"/>
    <w:rsid w:val="00711F5B"/>
    <w:rsid w:val="0071271E"/>
    <w:rsid w:val="007137C2"/>
    <w:rsid w:val="007142FE"/>
    <w:rsid w:val="00714537"/>
    <w:rsid w:val="0071470C"/>
    <w:rsid w:val="00715001"/>
    <w:rsid w:val="0071513E"/>
    <w:rsid w:val="00715EAA"/>
    <w:rsid w:val="00716151"/>
    <w:rsid w:val="00717623"/>
    <w:rsid w:val="007177BE"/>
    <w:rsid w:val="00720817"/>
    <w:rsid w:val="00720DAD"/>
    <w:rsid w:val="00722776"/>
    <w:rsid w:val="0072398E"/>
    <w:rsid w:val="007267ED"/>
    <w:rsid w:val="00727FE7"/>
    <w:rsid w:val="00730CAE"/>
    <w:rsid w:val="00731423"/>
    <w:rsid w:val="007317F9"/>
    <w:rsid w:val="0073184D"/>
    <w:rsid w:val="0073305C"/>
    <w:rsid w:val="0074294E"/>
    <w:rsid w:val="00742DD2"/>
    <w:rsid w:val="007455D3"/>
    <w:rsid w:val="007458F7"/>
    <w:rsid w:val="00746180"/>
    <w:rsid w:val="00746506"/>
    <w:rsid w:val="00746E08"/>
    <w:rsid w:val="0074796D"/>
    <w:rsid w:val="00747C96"/>
    <w:rsid w:val="0075050A"/>
    <w:rsid w:val="0075094E"/>
    <w:rsid w:val="00750C7C"/>
    <w:rsid w:val="00751284"/>
    <w:rsid w:val="00751504"/>
    <w:rsid w:val="00751B6C"/>
    <w:rsid w:val="007522E8"/>
    <w:rsid w:val="00752D5C"/>
    <w:rsid w:val="0075341A"/>
    <w:rsid w:val="00755090"/>
    <w:rsid w:val="00755B29"/>
    <w:rsid w:val="0075647A"/>
    <w:rsid w:val="00757B81"/>
    <w:rsid w:val="00760CBF"/>
    <w:rsid w:val="00760E12"/>
    <w:rsid w:val="007610B0"/>
    <w:rsid w:val="007634AD"/>
    <w:rsid w:val="00764971"/>
    <w:rsid w:val="00765260"/>
    <w:rsid w:val="00765F3B"/>
    <w:rsid w:val="0076740F"/>
    <w:rsid w:val="00772CB5"/>
    <w:rsid w:val="007744B6"/>
    <w:rsid w:val="00777BB2"/>
    <w:rsid w:val="0078122E"/>
    <w:rsid w:val="007812C4"/>
    <w:rsid w:val="007823A6"/>
    <w:rsid w:val="00782567"/>
    <w:rsid w:val="00782BC8"/>
    <w:rsid w:val="00783010"/>
    <w:rsid w:val="00783619"/>
    <w:rsid w:val="00785FD2"/>
    <w:rsid w:val="00786ECE"/>
    <w:rsid w:val="00790122"/>
    <w:rsid w:val="007918B3"/>
    <w:rsid w:val="00791FB4"/>
    <w:rsid w:val="00793898"/>
    <w:rsid w:val="0079499E"/>
    <w:rsid w:val="00795647"/>
    <w:rsid w:val="00797B9E"/>
    <w:rsid w:val="007A15D8"/>
    <w:rsid w:val="007A3CC5"/>
    <w:rsid w:val="007A3D77"/>
    <w:rsid w:val="007A3F2F"/>
    <w:rsid w:val="007A4609"/>
    <w:rsid w:val="007A4940"/>
    <w:rsid w:val="007A4A8D"/>
    <w:rsid w:val="007A5294"/>
    <w:rsid w:val="007A587B"/>
    <w:rsid w:val="007A6053"/>
    <w:rsid w:val="007A669E"/>
    <w:rsid w:val="007A6C15"/>
    <w:rsid w:val="007B0748"/>
    <w:rsid w:val="007B0854"/>
    <w:rsid w:val="007B0EB5"/>
    <w:rsid w:val="007B23B8"/>
    <w:rsid w:val="007B3970"/>
    <w:rsid w:val="007B6014"/>
    <w:rsid w:val="007B6B74"/>
    <w:rsid w:val="007B6DB7"/>
    <w:rsid w:val="007B6F1D"/>
    <w:rsid w:val="007B79F0"/>
    <w:rsid w:val="007B7B35"/>
    <w:rsid w:val="007C0047"/>
    <w:rsid w:val="007C025B"/>
    <w:rsid w:val="007C1E4A"/>
    <w:rsid w:val="007C20AD"/>
    <w:rsid w:val="007C2EF4"/>
    <w:rsid w:val="007C4A00"/>
    <w:rsid w:val="007C546D"/>
    <w:rsid w:val="007C6B93"/>
    <w:rsid w:val="007C74FF"/>
    <w:rsid w:val="007D0341"/>
    <w:rsid w:val="007D0F9A"/>
    <w:rsid w:val="007D19ED"/>
    <w:rsid w:val="007D4D19"/>
    <w:rsid w:val="007D6137"/>
    <w:rsid w:val="007D68C9"/>
    <w:rsid w:val="007D6FBB"/>
    <w:rsid w:val="007D7BD9"/>
    <w:rsid w:val="007E0B05"/>
    <w:rsid w:val="007E2207"/>
    <w:rsid w:val="007E2D1C"/>
    <w:rsid w:val="007E2F8B"/>
    <w:rsid w:val="007E34A9"/>
    <w:rsid w:val="007E3875"/>
    <w:rsid w:val="007E3DF0"/>
    <w:rsid w:val="007E4A8A"/>
    <w:rsid w:val="007E5C68"/>
    <w:rsid w:val="007E77BD"/>
    <w:rsid w:val="007F1531"/>
    <w:rsid w:val="007F1615"/>
    <w:rsid w:val="007F2DD2"/>
    <w:rsid w:val="007F31E1"/>
    <w:rsid w:val="007F32D2"/>
    <w:rsid w:val="007F41B1"/>
    <w:rsid w:val="007F4562"/>
    <w:rsid w:val="007F4CD9"/>
    <w:rsid w:val="007F5328"/>
    <w:rsid w:val="007F6B46"/>
    <w:rsid w:val="007F6DC2"/>
    <w:rsid w:val="007F72CB"/>
    <w:rsid w:val="007F7494"/>
    <w:rsid w:val="007F7757"/>
    <w:rsid w:val="008026E9"/>
    <w:rsid w:val="00803AF8"/>
    <w:rsid w:val="00803BD6"/>
    <w:rsid w:val="008043F3"/>
    <w:rsid w:val="00804B14"/>
    <w:rsid w:val="008055F5"/>
    <w:rsid w:val="0080617B"/>
    <w:rsid w:val="008075C5"/>
    <w:rsid w:val="0081129D"/>
    <w:rsid w:val="00811C91"/>
    <w:rsid w:val="008120F4"/>
    <w:rsid w:val="00812AF3"/>
    <w:rsid w:val="00813126"/>
    <w:rsid w:val="00813EA9"/>
    <w:rsid w:val="00814719"/>
    <w:rsid w:val="0081537B"/>
    <w:rsid w:val="00816237"/>
    <w:rsid w:val="00816517"/>
    <w:rsid w:val="0081695E"/>
    <w:rsid w:val="00816C2C"/>
    <w:rsid w:val="00816D56"/>
    <w:rsid w:val="00817CEC"/>
    <w:rsid w:val="00820542"/>
    <w:rsid w:val="008217B7"/>
    <w:rsid w:val="008224C7"/>
    <w:rsid w:val="00822E14"/>
    <w:rsid w:val="00824EE9"/>
    <w:rsid w:val="0083119B"/>
    <w:rsid w:val="00831F66"/>
    <w:rsid w:val="00833389"/>
    <w:rsid w:val="008350AD"/>
    <w:rsid w:val="008359C3"/>
    <w:rsid w:val="00836EAB"/>
    <w:rsid w:val="00836F38"/>
    <w:rsid w:val="00837B53"/>
    <w:rsid w:val="00840187"/>
    <w:rsid w:val="00841714"/>
    <w:rsid w:val="00842847"/>
    <w:rsid w:val="00843A2E"/>
    <w:rsid w:val="00843CEC"/>
    <w:rsid w:val="008441F0"/>
    <w:rsid w:val="00845C15"/>
    <w:rsid w:val="00846581"/>
    <w:rsid w:val="00846F6D"/>
    <w:rsid w:val="00847010"/>
    <w:rsid w:val="00847796"/>
    <w:rsid w:val="00847851"/>
    <w:rsid w:val="00847A3D"/>
    <w:rsid w:val="0085092D"/>
    <w:rsid w:val="00850F79"/>
    <w:rsid w:val="008529E3"/>
    <w:rsid w:val="00853950"/>
    <w:rsid w:val="008542F3"/>
    <w:rsid w:val="0085484A"/>
    <w:rsid w:val="00854ABB"/>
    <w:rsid w:val="00854E24"/>
    <w:rsid w:val="00854E4B"/>
    <w:rsid w:val="008554FA"/>
    <w:rsid w:val="00856129"/>
    <w:rsid w:val="008567EB"/>
    <w:rsid w:val="008601EB"/>
    <w:rsid w:val="00861E8F"/>
    <w:rsid w:val="00862C14"/>
    <w:rsid w:val="008646C8"/>
    <w:rsid w:val="00864F88"/>
    <w:rsid w:val="008662F1"/>
    <w:rsid w:val="00867608"/>
    <w:rsid w:val="00870659"/>
    <w:rsid w:val="00870E3B"/>
    <w:rsid w:val="00870F20"/>
    <w:rsid w:val="00871FD2"/>
    <w:rsid w:val="00873D70"/>
    <w:rsid w:val="00874556"/>
    <w:rsid w:val="00874B73"/>
    <w:rsid w:val="00874BD9"/>
    <w:rsid w:val="00875F1A"/>
    <w:rsid w:val="00877326"/>
    <w:rsid w:val="00880599"/>
    <w:rsid w:val="0088063D"/>
    <w:rsid w:val="00880FE3"/>
    <w:rsid w:val="0088146E"/>
    <w:rsid w:val="00881CF4"/>
    <w:rsid w:val="0088207B"/>
    <w:rsid w:val="00882264"/>
    <w:rsid w:val="008834BB"/>
    <w:rsid w:val="0088442D"/>
    <w:rsid w:val="008867B5"/>
    <w:rsid w:val="00887E46"/>
    <w:rsid w:val="0089245A"/>
    <w:rsid w:val="008926EF"/>
    <w:rsid w:val="00894B46"/>
    <w:rsid w:val="0089774F"/>
    <w:rsid w:val="00897ECB"/>
    <w:rsid w:val="008A10E7"/>
    <w:rsid w:val="008A1649"/>
    <w:rsid w:val="008A2CD9"/>
    <w:rsid w:val="008A3957"/>
    <w:rsid w:val="008A4057"/>
    <w:rsid w:val="008A525C"/>
    <w:rsid w:val="008A55BC"/>
    <w:rsid w:val="008B1E8D"/>
    <w:rsid w:val="008B56B2"/>
    <w:rsid w:val="008B5B04"/>
    <w:rsid w:val="008B65CC"/>
    <w:rsid w:val="008B6A9C"/>
    <w:rsid w:val="008C066E"/>
    <w:rsid w:val="008C0810"/>
    <w:rsid w:val="008C11C5"/>
    <w:rsid w:val="008C1B94"/>
    <w:rsid w:val="008C41AA"/>
    <w:rsid w:val="008C4327"/>
    <w:rsid w:val="008C44C1"/>
    <w:rsid w:val="008C4751"/>
    <w:rsid w:val="008C4FF4"/>
    <w:rsid w:val="008C567E"/>
    <w:rsid w:val="008C6A23"/>
    <w:rsid w:val="008C75CF"/>
    <w:rsid w:val="008D1490"/>
    <w:rsid w:val="008D2781"/>
    <w:rsid w:val="008D3EB3"/>
    <w:rsid w:val="008D538C"/>
    <w:rsid w:val="008D685A"/>
    <w:rsid w:val="008D6DE0"/>
    <w:rsid w:val="008D7242"/>
    <w:rsid w:val="008D72D1"/>
    <w:rsid w:val="008D7A98"/>
    <w:rsid w:val="008E06CA"/>
    <w:rsid w:val="008E1C15"/>
    <w:rsid w:val="008E1FA2"/>
    <w:rsid w:val="008E22BD"/>
    <w:rsid w:val="008E36A0"/>
    <w:rsid w:val="008E3DF4"/>
    <w:rsid w:val="008E3EC9"/>
    <w:rsid w:val="008E50DA"/>
    <w:rsid w:val="008E6238"/>
    <w:rsid w:val="008F0C30"/>
    <w:rsid w:val="008F101D"/>
    <w:rsid w:val="008F148D"/>
    <w:rsid w:val="008F24BA"/>
    <w:rsid w:val="008F436F"/>
    <w:rsid w:val="008F50C4"/>
    <w:rsid w:val="008F538E"/>
    <w:rsid w:val="008F5FB7"/>
    <w:rsid w:val="0090080A"/>
    <w:rsid w:val="009010AA"/>
    <w:rsid w:val="00901850"/>
    <w:rsid w:val="009020C2"/>
    <w:rsid w:val="009032EB"/>
    <w:rsid w:val="009038D7"/>
    <w:rsid w:val="00903C4D"/>
    <w:rsid w:val="009047C5"/>
    <w:rsid w:val="009058E3"/>
    <w:rsid w:val="0091308F"/>
    <w:rsid w:val="0091629D"/>
    <w:rsid w:val="00916B31"/>
    <w:rsid w:val="00916C0F"/>
    <w:rsid w:val="00916DA7"/>
    <w:rsid w:val="009209D9"/>
    <w:rsid w:val="00920E0E"/>
    <w:rsid w:val="009210D9"/>
    <w:rsid w:val="009221F8"/>
    <w:rsid w:val="00923F5C"/>
    <w:rsid w:val="009256D5"/>
    <w:rsid w:val="009259F2"/>
    <w:rsid w:val="00925F52"/>
    <w:rsid w:val="00927617"/>
    <w:rsid w:val="00930466"/>
    <w:rsid w:val="00931B0D"/>
    <w:rsid w:val="0093214C"/>
    <w:rsid w:val="00933989"/>
    <w:rsid w:val="0093616F"/>
    <w:rsid w:val="009369B6"/>
    <w:rsid w:val="009374F0"/>
    <w:rsid w:val="009413F0"/>
    <w:rsid w:val="009419ED"/>
    <w:rsid w:val="00941FD0"/>
    <w:rsid w:val="009425DF"/>
    <w:rsid w:val="009428FA"/>
    <w:rsid w:val="0094362D"/>
    <w:rsid w:val="009451B1"/>
    <w:rsid w:val="00946957"/>
    <w:rsid w:val="00946DD2"/>
    <w:rsid w:val="00947B7A"/>
    <w:rsid w:val="009502CF"/>
    <w:rsid w:val="00952526"/>
    <w:rsid w:val="00952DF1"/>
    <w:rsid w:val="0095385A"/>
    <w:rsid w:val="00954F87"/>
    <w:rsid w:val="00955483"/>
    <w:rsid w:val="009559D8"/>
    <w:rsid w:val="0095765C"/>
    <w:rsid w:val="00957C11"/>
    <w:rsid w:val="00957D1A"/>
    <w:rsid w:val="00960388"/>
    <w:rsid w:val="00960C70"/>
    <w:rsid w:val="00962E23"/>
    <w:rsid w:val="00962EDB"/>
    <w:rsid w:val="0096318D"/>
    <w:rsid w:val="00963EC1"/>
    <w:rsid w:val="00965C7C"/>
    <w:rsid w:val="009679B3"/>
    <w:rsid w:val="00967D81"/>
    <w:rsid w:val="00967F5E"/>
    <w:rsid w:val="00970451"/>
    <w:rsid w:val="009713D5"/>
    <w:rsid w:val="00971ACA"/>
    <w:rsid w:val="00971BD0"/>
    <w:rsid w:val="00972B52"/>
    <w:rsid w:val="00972E95"/>
    <w:rsid w:val="009731F5"/>
    <w:rsid w:val="00973C42"/>
    <w:rsid w:val="00974426"/>
    <w:rsid w:val="0097499A"/>
    <w:rsid w:val="00974CA6"/>
    <w:rsid w:val="00974E8B"/>
    <w:rsid w:val="00975FAA"/>
    <w:rsid w:val="00976325"/>
    <w:rsid w:val="00976945"/>
    <w:rsid w:val="00977B0E"/>
    <w:rsid w:val="00977C12"/>
    <w:rsid w:val="009803F0"/>
    <w:rsid w:val="0098264A"/>
    <w:rsid w:val="00985386"/>
    <w:rsid w:val="009853FE"/>
    <w:rsid w:val="00991E17"/>
    <w:rsid w:val="0099513A"/>
    <w:rsid w:val="0099575F"/>
    <w:rsid w:val="0099640A"/>
    <w:rsid w:val="00996D4D"/>
    <w:rsid w:val="00996EC7"/>
    <w:rsid w:val="0099786A"/>
    <w:rsid w:val="00997BBF"/>
    <w:rsid w:val="009A111E"/>
    <w:rsid w:val="009A1817"/>
    <w:rsid w:val="009A1DFD"/>
    <w:rsid w:val="009A228F"/>
    <w:rsid w:val="009A4374"/>
    <w:rsid w:val="009A46F3"/>
    <w:rsid w:val="009A52D5"/>
    <w:rsid w:val="009A570E"/>
    <w:rsid w:val="009A5E46"/>
    <w:rsid w:val="009A5FCB"/>
    <w:rsid w:val="009A6D1D"/>
    <w:rsid w:val="009A7824"/>
    <w:rsid w:val="009B0F32"/>
    <w:rsid w:val="009B1078"/>
    <w:rsid w:val="009B19DF"/>
    <w:rsid w:val="009B215F"/>
    <w:rsid w:val="009B30D3"/>
    <w:rsid w:val="009B34DB"/>
    <w:rsid w:val="009B39B0"/>
    <w:rsid w:val="009B4118"/>
    <w:rsid w:val="009B4886"/>
    <w:rsid w:val="009B7C24"/>
    <w:rsid w:val="009C7881"/>
    <w:rsid w:val="009D02C2"/>
    <w:rsid w:val="009D0AC4"/>
    <w:rsid w:val="009D0BBF"/>
    <w:rsid w:val="009D0DF6"/>
    <w:rsid w:val="009D1B2F"/>
    <w:rsid w:val="009D1F09"/>
    <w:rsid w:val="009D3A8A"/>
    <w:rsid w:val="009D4520"/>
    <w:rsid w:val="009D61EC"/>
    <w:rsid w:val="009D6529"/>
    <w:rsid w:val="009D658F"/>
    <w:rsid w:val="009E05AB"/>
    <w:rsid w:val="009E1923"/>
    <w:rsid w:val="009E1BE1"/>
    <w:rsid w:val="009E2873"/>
    <w:rsid w:val="009E2A3C"/>
    <w:rsid w:val="009E43F7"/>
    <w:rsid w:val="009E58E4"/>
    <w:rsid w:val="009E6186"/>
    <w:rsid w:val="009E667F"/>
    <w:rsid w:val="009E6929"/>
    <w:rsid w:val="009E6A3E"/>
    <w:rsid w:val="009E762C"/>
    <w:rsid w:val="009E7671"/>
    <w:rsid w:val="009F0189"/>
    <w:rsid w:val="009F08FE"/>
    <w:rsid w:val="009F0BB6"/>
    <w:rsid w:val="009F0E95"/>
    <w:rsid w:val="009F237C"/>
    <w:rsid w:val="009F59C2"/>
    <w:rsid w:val="009F5D34"/>
    <w:rsid w:val="009F5FAB"/>
    <w:rsid w:val="009F6280"/>
    <w:rsid w:val="009F63BF"/>
    <w:rsid w:val="009F6BFE"/>
    <w:rsid w:val="009F7121"/>
    <w:rsid w:val="009F7715"/>
    <w:rsid w:val="009F7731"/>
    <w:rsid w:val="00A01727"/>
    <w:rsid w:val="00A03406"/>
    <w:rsid w:val="00A04646"/>
    <w:rsid w:val="00A04A6D"/>
    <w:rsid w:val="00A04B82"/>
    <w:rsid w:val="00A06176"/>
    <w:rsid w:val="00A1023E"/>
    <w:rsid w:val="00A112D9"/>
    <w:rsid w:val="00A114A5"/>
    <w:rsid w:val="00A114CB"/>
    <w:rsid w:val="00A117E3"/>
    <w:rsid w:val="00A13D6C"/>
    <w:rsid w:val="00A13F2F"/>
    <w:rsid w:val="00A2018C"/>
    <w:rsid w:val="00A22E8B"/>
    <w:rsid w:val="00A230AD"/>
    <w:rsid w:val="00A24560"/>
    <w:rsid w:val="00A25723"/>
    <w:rsid w:val="00A25D79"/>
    <w:rsid w:val="00A263E3"/>
    <w:rsid w:val="00A26F88"/>
    <w:rsid w:val="00A27384"/>
    <w:rsid w:val="00A278BD"/>
    <w:rsid w:val="00A27ACD"/>
    <w:rsid w:val="00A27F23"/>
    <w:rsid w:val="00A30130"/>
    <w:rsid w:val="00A3092B"/>
    <w:rsid w:val="00A31686"/>
    <w:rsid w:val="00A32894"/>
    <w:rsid w:val="00A33893"/>
    <w:rsid w:val="00A34538"/>
    <w:rsid w:val="00A346CD"/>
    <w:rsid w:val="00A35692"/>
    <w:rsid w:val="00A359B7"/>
    <w:rsid w:val="00A3625C"/>
    <w:rsid w:val="00A3761A"/>
    <w:rsid w:val="00A37ECE"/>
    <w:rsid w:val="00A37FB6"/>
    <w:rsid w:val="00A4189D"/>
    <w:rsid w:val="00A43778"/>
    <w:rsid w:val="00A43E49"/>
    <w:rsid w:val="00A455ED"/>
    <w:rsid w:val="00A458B6"/>
    <w:rsid w:val="00A4675F"/>
    <w:rsid w:val="00A46B01"/>
    <w:rsid w:val="00A47350"/>
    <w:rsid w:val="00A50376"/>
    <w:rsid w:val="00A52AB9"/>
    <w:rsid w:val="00A5389D"/>
    <w:rsid w:val="00A53B66"/>
    <w:rsid w:val="00A54901"/>
    <w:rsid w:val="00A54F69"/>
    <w:rsid w:val="00A560E3"/>
    <w:rsid w:val="00A5651E"/>
    <w:rsid w:val="00A572E2"/>
    <w:rsid w:val="00A572E4"/>
    <w:rsid w:val="00A57BD6"/>
    <w:rsid w:val="00A63AB4"/>
    <w:rsid w:val="00A63F94"/>
    <w:rsid w:val="00A65FDC"/>
    <w:rsid w:val="00A671D2"/>
    <w:rsid w:val="00A67B62"/>
    <w:rsid w:val="00A709AA"/>
    <w:rsid w:val="00A71455"/>
    <w:rsid w:val="00A7306E"/>
    <w:rsid w:val="00A754E3"/>
    <w:rsid w:val="00A76992"/>
    <w:rsid w:val="00A76BEC"/>
    <w:rsid w:val="00A772F1"/>
    <w:rsid w:val="00A77E48"/>
    <w:rsid w:val="00A80604"/>
    <w:rsid w:val="00A8097A"/>
    <w:rsid w:val="00A814A8"/>
    <w:rsid w:val="00A8246E"/>
    <w:rsid w:val="00A84308"/>
    <w:rsid w:val="00A858CC"/>
    <w:rsid w:val="00A85FD2"/>
    <w:rsid w:val="00A86968"/>
    <w:rsid w:val="00A87724"/>
    <w:rsid w:val="00A9106C"/>
    <w:rsid w:val="00A91098"/>
    <w:rsid w:val="00A91D28"/>
    <w:rsid w:val="00A93A1C"/>
    <w:rsid w:val="00A93C3A"/>
    <w:rsid w:val="00A95282"/>
    <w:rsid w:val="00A95C24"/>
    <w:rsid w:val="00A95E6B"/>
    <w:rsid w:val="00A96302"/>
    <w:rsid w:val="00A97E4E"/>
    <w:rsid w:val="00AA0050"/>
    <w:rsid w:val="00AA0106"/>
    <w:rsid w:val="00AA01A7"/>
    <w:rsid w:val="00AA08E7"/>
    <w:rsid w:val="00AA1F3A"/>
    <w:rsid w:val="00AA2662"/>
    <w:rsid w:val="00AA37EA"/>
    <w:rsid w:val="00AA442B"/>
    <w:rsid w:val="00AA5899"/>
    <w:rsid w:val="00AA5938"/>
    <w:rsid w:val="00AA59E2"/>
    <w:rsid w:val="00AA6612"/>
    <w:rsid w:val="00AA669D"/>
    <w:rsid w:val="00AA66FF"/>
    <w:rsid w:val="00AA6EEB"/>
    <w:rsid w:val="00AA71A5"/>
    <w:rsid w:val="00AA7919"/>
    <w:rsid w:val="00AA7BC8"/>
    <w:rsid w:val="00AA7C4D"/>
    <w:rsid w:val="00AB0475"/>
    <w:rsid w:val="00AB0F67"/>
    <w:rsid w:val="00AB136C"/>
    <w:rsid w:val="00AB1776"/>
    <w:rsid w:val="00AB19D9"/>
    <w:rsid w:val="00AB2098"/>
    <w:rsid w:val="00AB2BD8"/>
    <w:rsid w:val="00AB2D91"/>
    <w:rsid w:val="00AB2D94"/>
    <w:rsid w:val="00AB3EF0"/>
    <w:rsid w:val="00AB5187"/>
    <w:rsid w:val="00AB61CE"/>
    <w:rsid w:val="00AB6CB0"/>
    <w:rsid w:val="00AB7B91"/>
    <w:rsid w:val="00AB7CB5"/>
    <w:rsid w:val="00AC04C9"/>
    <w:rsid w:val="00AC1406"/>
    <w:rsid w:val="00AC159E"/>
    <w:rsid w:val="00AC1754"/>
    <w:rsid w:val="00AC424E"/>
    <w:rsid w:val="00AC6C4D"/>
    <w:rsid w:val="00AC742D"/>
    <w:rsid w:val="00AC7720"/>
    <w:rsid w:val="00AC7B1D"/>
    <w:rsid w:val="00AC7C59"/>
    <w:rsid w:val="00AD0790"/>
    <w:rsid w:val="00AD0DAD"/>
    <w:rsid w:val="00AD16C8"/>
    <w:rsid w:val="00AD2D74"/>
    <w:rsid w:val="00AD3BE5"/>
    <w:rsid w:val="00AD3D1A"/>
    <w:rsid w:val="00AD4117"/>
    <w:rsid w:val="00AD47BF"/>
    <w:rsid w:val="00AD4964"/>
    <w:rsid w:val="00AD6028"/>
    <w:rsid w:val="00AD7079"/>
    <w:rsid w:val="00AD73B5"/>
    <w:rsid w:val="00AE06BC"/>
    <w:rsid w:val="00AE07A7"/>
    <w:rsid w:val="00AE0A0E"/>
    <w:rsid w:val="00AE0AB1"/>
    <w:rsid w:val="00AE0E14"/>
    <w:rsid w:val="00AE3D4E"/>
    <w:rsid w:val="00AE42D3"/>
    <w:rsid w:val="00AE4E39"/>
    <w:rsid w:val="00AE516F"/>
    <w:rsid w:val="00AE70B1"/>
    <w:rsid w:val="00AE768A"/>
    <w:rsid w:val="00AE778D"/>
    <w:rsid w:val="00AE7C6B"/>
    <w:rsid w:val="00AF0EB0"/>
    <w:rsid w:val="00AF185F"/>
    <w:rsid w:val="00AF22B8"/>
    <w:rsid w:val="00AF252C"/>
    <w:rsid w:val="00AF25B8"/>
    <w:rsid w:val="00AF2C96"/>
    <w:rsid w:val="00AF2DE4"/>
    <w:rsid w:val="00AF4B1D"/>
    <w:rsid w:val="00AF6276"/>
    <w:rsid w:val="00AF6A17"/>
    <w:rsid w:val="00AF6DAE"/>
    <w:rsid w:val="00B02235"/>
    <w:rsid w:val="00B02A47"/>
    <w:rsid w:val="00B030B1"/>
    <w:rsid w:val="00B03432"/>
    <w:rsid w:val="00B03EC6"/>
    <w:rsid w:val="00B0510D"/>
    <w:rsid w:val="00B05607"/>
    <w:rsid w:val="00B056A3"/>
    <w:rsid w:val="00B05A55"/>
    <w:rsid w:val="00B073F3"/>
    <w:rsid w:val="00B075F3"/>
    <w:rsid w:val="00B1069D"/>
    <w:rsid w:val="00B11029"/>
    <w:rsid w:val="00B12193"/>
    <w:rsid w:val="00B13233"/>
    <w:rsid w:val="00B13D95"/>
    <w:rsid w:val="00B13EC0"/>
    <w:rsid w:val="00B14275"/>
    <w:rsid w:val="00B173E1"/>
    <w:rsid w:val="00B205FF"/>
    <w:rsid w:val="00B2139A"/>
    <w:rsid w:val="00B22024"/>
    <w:rsid w:val="00B22DBE"/>
    <w:rsid w:val="00B22E22"/>
    <w:rsid w:val="00B23041"/>
    <w:rsid w:val="00B24685"/>
    <w:rsid w:val="00B25ADA"/>
    <w:rsid w:val="00B27676"/>
    <w:rsid w:val="00B3005F"/>
    <w:rsid w:val="00B3418C"/>
    <w:rsid w:val="00B342CD"/>
    <w:rsid w:val="00B353C1"/>
    <w:rsid w:val="00B362E4"/>
    <w:rsid w:val="00B37166"/>
    <w:rsid w:val="00B40DD7"/>
    <w:rsid w:val="00B41F2C"/>
    <w:rsid w:val="00B42606"/>
    <w:rsid w:val="00B42D45"/>
    <w:rsid w:val="00B43CD6"/>
    <w:rsid w:val="00B448AA"/>
    <w:rsid w:val="00B44975"/>
    <w:rsid w:val="00B44A11"/>
    <w:rsid w:val="00B45E2A"/>
    <w:rsid w:val="00B460E5"/>
    <w:rsid w:val="00B466B9"/>
    <w:rsid w:val="00B46D74"/>
    <w:rsid w:val="00B51832"/>
    <w:rsid w:val="00B525CB"/>
    <w:rsid w:val="00B525DF"/>
    <w:rsid w:val="00B5297C"/>
    <w:rsid w:val="00B53EE2"/>
    <w:rsid w:val="00B547D2"/>
    <w:rsid w:val="00B57700"/>
    <w:rsid w:val="00B57E5D"/>
    <w:rsid w:val="00B60417"/>
    <w:rsid w:val="00B617BC"/>
    <w:rsid w:val="00B62917"/>
    <w:rsid w:val="00B63872"/>
    <w:rsid w:val="00B63CB2"/>
    <w:rsid w:val="00B64277"/>
    <w:rsid w:val="00B64E69"/>
    <w:rsid w:val="00B64EDB"/>
    <w:rsid w:val="00B664BB"/>
    <w:rsid w:val="00B66921"/>
    <w:rsid w:val="00B674C6"/>
    <w:rsid w:val="00B67729"/>
    <w:rsid w:val="00B67B07"/>
    <w:rsid w:val="00B70EE5"/>
    <w:rsid w:val="00B71487"/>
    <w:rsid w:val="00B72050"/>
    <w:rsid w:val="00B72172"/>
    <w:rsid w:val="00B72526"/>
    <w:rsid w:val="00B72946"/>
    <w:rsid w:val="00B72BF4"/>
    <w:rsid w:val="00B7315F"/>
    <w:rsid w:val="00B73D1C"/>
    <w:rsid w:val="00B75424"/>
    <w:rsid w:val="00B80B7F"/>
    <w:rsid w:val="00B80F8F"/>
    <w:rsid w:val="00B81668"/>
    <w:rsid w:val="00B81C53"/>
    <w:rsid w:val="00B8475B"/>
    <w:rsid w:val="00B86997"/>
    <w:rsid w:val="00B869CA"/>
    <w:rsid w:val="00B87866"/>
    <w:rsid w:val="00B90E09"/>
    <w:rsid w:val="00B913A7"/>
    <w:rsid w:val="00B91B8E"/>
    <w:rsid w:val="00B92156"/>
    <w:rsid w:val="00B92EC6"/>
    <w:rsid w:val="00B94AF0"/>
    <w:rsid w:val="00B95481"/>
    <w:rsid w:val="00B95E32"/>
    <w:rsid w:val="00B960EE"/>
    <w:rsid w:val="00B97279"/>
    <w:rsid w:val="00BA0CB6"/>
    <w:rsid w:val="00BA1266"/>
    <w:rsid w:val="00BA4FC4"/>
    <w:rsid w:val="00BA7847"/>
    <w:rsid w:val="00BA7F43"/>
    <w:rsid w:val="00BB145C"/>
    <w:rsid w:val="00BB173E"/>
    <w:rsid w:val="00BB378B"/>
    <w:rsid w:val="00BB3D86"/>
    <w:rsid w:val="00BB4AE9"/>
    <w:rsid w:val="00BB50F5"/>
    <w:rsid w:val="00BB5168"/>
    <w:rsid w:val="00BB5611"/>
    <w:rsid w:val="00BB7AD4"/>
    <w:rsid w:val="00BC0E07"/>
    <w:rsid w:val="00BC2426"/>
    <w:rsid w:val="00BC2A98"/>
    <w:rsid w:val="00BC3394"/>
    <w:rsid w:val="00BC418B"/>
    <w:rsid w:val="00BC451F"/>
    <w:rsid w:val="00BC4E18"/>
    <w:rsid w:val="00BC4EE5"/>
    <w:rsid w:val="00BC5226"/>
    <w:rsid w:val="00BC5511"/>
    <w:rsid w:val="00BC553A"/>
    <w:rsid w:val="00BC5738"/>
    <w:rsid w:val="00BC5759"/>
    <w:rsid w:val="00BC6BEF"/>
    <w:rsid w:val="00BD038C"/>
    <w:rsid w:val="00BD31D8"/>
    <w:rsid w:val="00BD3D51"/>
    <w:rsid w:val="00BD5DA2"/>
    <w:rsid w:val="00BD61F5"/>
    <w:rsid w:val="00BD6A55"/>
    <w:rsid w:val="00BD6A8F"/>
    <w:rsid w:val="00BD6A96"/>
    <w:rsid w:val="00BD78FE"/>
    <w:rsid w:val="00BD7ABD"/>
    <w:rsid w:val="00BD7D93"/>
    <w:rsid w:val="00BE0B4C"/>
    <w:rsid w:val="00BE194E"/>
    <w:rsid w:val="00BE1A31"/>
    <w:rsid w:val="00BE1A4F"/>
    <w:rsid w:val="00BE3136"/>
    <w:rsid w:val="00BE33E3"/>
    <w:rsid w:val="00BE5263"/>
    <w:rsid w:val="00BE54E9"/>
    <w:rsid w:val="00BE56F4"/>
    <w:rsid w:val="00BE7299"/>
    <w:rsid w:val="00BF091E"/>
    <w:rsid w:val="00BF1021"/>
    <w:rsid w:val="00BF111D"/>
    <w:rsid w:val="00BF2E4A"/>
    <w:rsid w:val="00BF568B"/>
    <w:rsid w:val="00BF5C9A"/>
    <w:rsid w:val="00BF5DF7"/>
    <w:rsid w:val="00C00250"/>
    <w:rsid w:val="00C00E68"/>
    <w:rsid w:val="00C03034"/>
    <w:rsid w:val="00C04689"/>
    <w:rsid w:val="00C04D43"/>
    <w:rsid w:val="00C07CEA"/>
    <w:rsid w:val="00C07D92"/>
    <w:rsid w:val="00C10177"/>
    <w:rsid w:val="00C12D2F"/>
    <w:rsid w:val="00C15A75"/>
    <w:rsid w:val="00C1756E"/>
    <w:rsid w:val="00C23738"/>
    <w:rsid w:val="00C24648"/>
    <w:rsid w:val="00C24851"/>
    <w:rsid w:val="00C25B80"/>
    <w:rsid w:val="00C26C93"/>
    <w:rsid w:val="00C26DA0"/>
    <w:rsid w:val="00C3024A"/>
    <w:rsid w:val="00C357C9"/>
    <w:rsid w:val="00C35C82"/>
    <w:rsid w:val="00C37066"/>
    <w:rsid w:val="00C406B7"/>
    <w:rsid w:val="00C40E3E"/>
    <w:rsid w:val="00C44430"/>
    <w:rsid w:val="00C449F1"/>
    <w:rsid w:val="00C45DE7"/>
    <w:rsid w:val="00C4633D"/>
    <w:rsid w:val="00C47884"/>
    <w:rsid w:val="00C50C0B"/>
    <w:rsid w:val="00C518C4"/>
    <w:rsid w:val="00C51F3E"/>
    <w:rsid w:val="00C5234D"/>
    <w:rsid w:val="00C524CB"/>
    <w:rsid w:val="00C526F1"/>
    <w:rsid w:val="00C531C9"/>
    <w:rsid w:val="00C53B55"/>
    <w:rsid w:val="00C53CC5"/>
    <w:rsid w:val="00C548B1"/>
    <w:rsid w:val="00C55BC3"/>
    <w:rsid w:val="00C60032"/>
    <w:rsid w:val="00C60259"/>
    <w:rsid w:val="00C60414"/>
    <w:rsid w:val="00C604CF"/>
    <w:rsid w:val="00C6185D"/>
    <w:rsid w:val="00C61D16"/>
    <w:rsid w:val="00C6331A"/>
    <w:rsid w:val="00C634EA"/>
    <w:rsid w:val="00C639D2"/>
    <w:rsid w:val="00C653AC"/>
    <w:rsid w:val="00C6596C"/>
    <w:rsid w:val="00C6614A"/>
    <w:rsid w:val="00C663A4"/>
    <w:rsid w:val="00C6683B"/>
    <w:rsid w:val="00C706A5"/>
    <w:rsid w:val="00C74997"/>
    <w:rsid w:val="00C74B66"/>
    <w:rsid w:val="00C75D77"/>
    <w:rsid w:val="00C7616C"/>
    <w:rsid w:val="00C821BC"/>
    <w:rsid w:val="00C83579"/>
    <w:rsid w:val="00C83933"/>
    <w:rsid w:val="00C848C3"/>
    <w:rsid w:val="00C849F5"/>
    <w:rsid w:val="00C867D7"/>
    <w:rsid w:val="00C9149F"/>
    <w:rsid w:val="00C91FB2"/>
    <w:rsid w:val="00C920BB"/>
    <w:rsid w:val="00C92374"/>
    <w:rsid w:val="00C93425"/>
    <w:rsid w:val="00C93443"/>
    <w:rsid w:val="00C94E35"/>
    <w:rsid w:val="00C96C77"/>
    <w:rsid w:val="00C96D43"/>
    <w:rsid w:val="00C97575"/>
    <w:rsid w:val="00CA026B"/>
    <w:rsid w:val="00CA0995"/>
    <w:rsid w:val="00CA0A7E"/>
    <w:rsid w:val="00CA15D4"/>
    <w:rsid w:val="00CA3230"/>
    <w:rsid w:val="00CA4BEF"/>
    <w:rsid w:val="00CA5DA9"/>
    <w:rsid w:val="00CA65F0"/>
    <w:rsid w:val="00CA7854"/>
    <w:rsid w:val="00CA7FCD"/>
    <w:rsid w:val="00CB084D"/>
    <w:rsid w:val="00CB60B1"/>
    <w:rsid w:val="00CB6850"/>
    <w:rsid w:val="00CC00CD"/>
    <w:rsid w:val="00CC2112"/>
    <w:rsid w:val="00CC2733"/>
    <w:rsid w:val="00CC304F"/>
    <w:rsid w:val="00CC37FA"/>
    <w:rsid w:val="00CC476C"/>
    <w:rsid w:val="00CC5F0C"/>
    <w:rsid w:val="00CC668E"/>
    <w:rsid w:val="00CD078A"/>
    <w:rsid w:val="00CD0C65"/>
    <w:rsid w:val="00CD1717"/>
    <w:rsid w:val="00CD21F3"/>
    <w:rsid w:val="00CD3377"/>
    <w:rsid w:val="00CD4DEB"/>
    <w:rsid w:val="00CD4E6A"/>
    <w:rsid w:val="00CD58A1"/>
    <w:rsid w:val="00CD61DA"/>
    <w:rsid w:val="00CD70C7"/>
    <w:rsid w:val="00CD7CAD"/>
    <w:rsid w:val="00CE04D6"/>
    <w:rsid w:val="00CE0A86"/>
    <w:rsid w:val="00CE152B"/>
    <w:rsid w:val="00CE6353"/>
    <w:rsid w:val="00CE78C8"/>
    <w:rsid w:val="00CF1581"/>
    <w:rsid w:val="00CF1834"/>
    <w:rsid w:val="00CF2AFF"/>
    <w:rsid w:val="00CF3DB4"/>
    <w:rsid w:val="00CF445A"/>
    <w:rsid w:val="00CF5B72"/>
    <w:rsid w:val="00CF6A19"/>
    <w:rsid w:val="00CF7E04"/>
    <w:rsid w:val="00D000F2"/>
    <w:rsid w:val="00D01760"/>
    <w:rsid w:val="00D01D54"/>
    <w:rsid w:val="00D02290"/>
    <w:rsid w:val="00D029B6"/>
    <w:rsid w:val="00D035BA"/>
    <w:rsid w:val="00D0438F"/>
    <w:rsid w:val="00D04D02"/>
    <w:rsid w:val="00D05DA1"/>
    <w:rsid w:val="00D05E93"/>
    <w:rsid w:val="00D066C6"/>
    <w:rsid w:val="00D100F1"/>
    <w:rsid w:val="00D10B3F"/>
    <w:rsid w:val="00D11104"/>
    <w:rsid w:val="00D11EBF"/>
    <w:rsid w:val="00D1256A"/>
    <w:rsid w:val="00D12D91"/>
    <w:rsid w:val="00D13158"/>
    <w:rsid w:val="00D133CB"/>
    <w:rsid w:val="00D1355F"/>
    <w:rsid w:val="00D13C50"/>
    <w:rsid w:val="00D14E4C"/>
    <w:rsid w:val="00D15577"/>
    <w:rsid w:val="00D16E39"/>
    <w:rsid w:val="00D172FD"/>
    <w:rsid w:val="00D179D7"/>
    <w:rsid w:val="00D223B6"/>
    <w:rsid w:val="00D223BF"/>
    <w:rsid w:val="00D22EE2"/>
    <w:rsid w:val="00D23844"/>
    <w:rsid w:val="00D2472E"/>
    <w:rsid w:val="00D2477E"/>
    <w:rsid w:val="00D25858"/>
    <w:rsid w:val="00D262FF"/>
    <w:rsid w:val="00D26A74"/>
    <w:rsid w:val="00D26D71"/>
    <w:rsid w:val="00D27347"/>
    <w:rsid w:val="00D27753"/>
    <w:rsid w:val="00D31D03"/>
    <w:rsid w:val="00D335A1"/>
    <w:rsid w:val="00D339FA"/>
    <w:rsid w:val="00D34012"/>
    <w:rsid w:val="00D352DB"/>
    <w:rsid w:val="00D361BF"/>
    <w:rsid w:val="00D36A3F"/>
    <w:rsid w:val="00D37663"/>
    <w:rsid w:val="00D4100E"/>
    <w:rsid w:val="00D411BA"/>
    <w:rsid w:val="00D418ED"/>
    <w:rsid w:val="00D42155"/>
    <w:rsid w:val="00D444D4"/>
    <w:rsid w:val="00D45895"/>
    <w:rsid w:val="00D47D94"/>
    <w:rsid w:val="00D500DB"/>
    <w:rsid w:val="00D509AE"/>
    <w:rsid w:val="00D51C4D"/>
    <w:rsid w:val="00D51F79"/>
    <w:rsid w:val="00D523AC"/>
    <w:rsid w:val="00D52562"/>
    <w:rsid w:val="00D52943"/>
    <w:rsid w:val="00D5317A"/>
    <w:rsid w:val="00D539C4"/>
    <w:rsid w:val="00D53AAE"/>
    <w:rsid w:val="00D54817"/>
    <w:rsid w:val="00D550E1"/>
    <w:rsid w:val="00D55E06"/>
    <w:rsid w:val="00D56D9D"/>
    <w:rsid w:val="00D57FAA"/>
    <w:rsid w:val="00D60120"/>
    <w:rsid w:val="00D60327"/>
    <w:rsid w:val="00D603A8"/>
    <w:rsid w:val="00D6044C"/>
    <w:rsid w:val="00D629E0"/>
    <w:rsid w:val="00D63052"/>
    <w:rsid w:val="00D63D15"/>
    <w:rsid w:val="00D652A7"/>
    <w:rsid w:val="00D669E5"/>
    <w:rsid w:val="00D66CC3"/>
    <w:rsid w:val="00D6791C"/>
    <w:rsid w:val="00D67A53"/>
    <w:rsid w:val="00D71888"/>
    <w:rsid w:val="00D72E9D"/>
    <w:rsid w:val="00D77B53"/>
    <w:rsid w:val="00D80641"/>
    <w:rsid w:val="00D81753"/>
    <w:rsid w:val="00D81B3E"/>
    <w:rsid w:val="00D82CE5"/>
    <w:rsid w:val="00D84A95"/>
    <w:rsid w:val="00D851FB"/>
    <w:rsid w:val="00D86256"/>
    <w:rsid w:val="00D87DD1"/>
    <w:rsid w:val="00D90D27"/>
    <w:rsid w:val="00D90FE4"/>
    <w:rsid w:val="00D91282"/>
    <w:rsid w:val="00D91951"/>
    <w:rsid w:val="00D91FBA"/>
    <w:rsid w:val="00D94598"/>
    <w:rsid w:val="00D94962"/>
    <w:rsid w:val="00D94E7A"/>
    <w:rsid w:val="00D95733"/>
    <w:rsid w:val="00D95B43"/>
    <w:rsid w:val="00D9709C"/>
    <w:rsid w:val="00DA04C8"/>
    <w:rsid w:val="00DA0A0F"/>
    <w:rsid w:val="00DA23BC"/>
    <w:rsid w:val="00DA2E69"/>
    <w:rsid w:val="00DA395F"/>
    <w:rsid w:val="00DA4DC5"/>
    <w:rsid w:val="00DA520C"/>
    <w:rsid w:val="00DA5462"/>
    <w:rsid w:val="00DA5AB1"/>
    <w:rsid w:val="00DA5D71"/>
    <w:rsid w:val="00DA6397"/>
    <w:rsid w:val="00DA639F"/>
    <w:rsid w:val="00DA7706"/>
    <w:rsid w:val="00DB04D4"/>
    <w:rsid w:val="00DB259A"/>
    <w:rsid w:val="00DB2A7B"/>
    <w:rsid w:val="00DB63E9"/>
    <w:rsid w:val="00DB6633"/>
    <w:rsid w:val="00DB71A2"/>
    <w:rsid w:val="00DB7F47"/>
    <w:rsid w:val="00DB7F8F"/>
    <w:rsid w:val="00DC13B7"/>
    <w:rsid w:val="00DC2B8C"/>
    <w:rsid w:val="00DC3614"/>
    <w:rsid w:val="00DC39BB"/>
    <w:rsid w:val="00DC571C"/>
    <w:rsid w:val="00DC5871"/>
    <w:rsid w:val="00DC62E5"/>
    <w:rsid w:val="00DC6929"/>
    <w:rsid w:val="00DC6B75"/>
    <w:rsid w:val="00DC6DB4"/>
    <w:rsid w:val="00DD04F2"/>
    <w:rsid w:val="00DD0567"/>
    <w:rsid w:val="00DD1744"/>
    <w:rsid w:val="00DD1C32"/>
    <w:rsid w:val="00DD32C5"/>
    <w:rsid w:val="00DD4EA3"/>
    <w:rsid w:val="00DD5000"/>
    <w:rsid w:val="00DD6ABE"/>
    <w:rsid w:val="00DD735D"/>
    <w:rsid w:val="00DE0942"/>
    <w:rsid w:val="00DE1F24"/>
    <w:rsid w:val="00DE1F72"/>
    <w:rsid w:val="00DE21BD"/>
    <w:rsid w:val="00DE3119"/>
    <w:rsid w:val="00DE5636"/>
    <w:rsid w:val="00DE6E0C"/>
    <w:rsid w:val="00DE74A8"/>
    <w:rsid w:val="00DF236B"/>
    <w:rsid w:val="00DF50C0"/>
    <w:rsid w:val="00DF7651"/>
    <w:rsid w:val="00DF790F"/>
    <w:rsid w:val="00E00FD4"/>
    <w:rsid w:val="00E01903"/>
    <w:rsid w:val="00E029FA"/>
    <w:rsid w:val="00E04179"/>
    <w:rsid w:val="00E04DE3"/>
    <w:rsid w:val="00E05831"/>
    <w:rsid w:val="00E05991"/>
    <w:rsid w:val="00E0680B"/>
    <w:rsid w:val="00E06A99"/>
    <w:rsid w:val="00E06E08"/>
    <w:rsid w:val="00E07A3B"/>
    <w:rsid w:val="00E10A7E"/>
    <w:rsid w:val="00E10C5B"/>
    <w:rsid w:val="00E11C35"/>
    <w:rsid w:val="00E13AB8"/>
    <w:rsid w:val="00E14288"/>
    <w:rsid w:val="00E14F05"/>
    <w:rsid w:val="00E176E5"/>
    <w:rsid w:val="00E22816"/>
    <w:rsid w:val="00E22F43"/>
    <w:rsid w:val="00E230FD"/>
    <w:rsid w:val="00E23223"/>
    <w:rsid w:val="00E23798"/>
    <w:rsid w:val="00E2457C"/>
    <w:rsid w:val="00E24D3B"/>
    <w:rsid w:val="00E24DCE"/>
    <w:rsid w:val="00E24E1A"/>
    <w:rsid w:val="00E25CB3"/>
    <w:rsid w:val="00E25E81"/>
    <w:rsid w:val="00E25FD4"/>
    <w:rsid w:val="00E26359"/>
    <w:rsid w:val="00E263C0"/>
    <w:rsid w:val="00E265B7"/>
    <w:rsid w:val="00E308A1"/>
    <w:rsid w:val="00E30C68"/>
    <w:rsid w:val="00E3169E"/>
    <w:rsid w:val="00E318B7"/>
    <w:rsid w:val="00E323A4"/>
    <w:rsid w:val="00E32403"/>
    <w:rsid w:val="00E33300"/>
    <w:rsid w:val="00E33B62"/>
    <w:rsid w:val="00E34A7D"/>
    <w:rsid w:val="00E3604F"/>
    <w:rsid w:val="00E378A8"/>
    <w:rsid w:val="00E37911"/>
    <w:rsid w:val="00E4010D"/>
    <w:rsid w:val="00E4143A"/>
    <w:rsid w:val="00E41DA5"/>
    <w:rsid w:val="00E42F18"/>
    <w:rsid w:val="00E4341D"/>
    <w:rsid w:val="00E434C8"/>
    <w:rsid w:val="00E45440"/>
    <w:rsid w:val="00E45B03"/>
    <w:rsid w:val="00E462A2"/>
    <w:rsid w:val="00E471D7"/>
    <w:rsid w:val="00E516F9"/>
    <w:rsid w:val="00E53C0C"/>
    <w:rsid w:val="00E53D8F"/>
    <w:rsid w:val="00E551B1"/>
    <w:rsid w:val="00E56A6F"/>
    <w:rsid w:val="00E56D69"/>
    <w:rsid w:val="00E6039E"/>
    <w:rsid w:val="00E6049C"/>
    <w:rsid w:val="00E60A8C"/>
    <w:rsid w:val="00E61AEE"/>
    <w:rsid w:val="00E62D5F"/>
    <w:rsid w:val="00E630DD"/>
    <w:rsid w:val="00E64C62"/>
    <w:rsid w:val="00E65048"/>
    <w:rsid w:val="00E667E7"/>
    <w:rsid w:val="00E673D1"/>
    <w:rsid w:val="00E67555"/>
    <w:rsid w:val="00E67CC6"/>
    <w:rsid w:val="00E67FC7"/>
    <w:rsid w:val="00E7165F"/>
    <w:rsid w:val="00E75248"/>
    <w:rsid w:val="00E77C49"/>
    <w:rsid w:val="00E77DDF"/>
    <w:rsid w:val="00E8165D"/>
    <w:rsid w:val="00E83676"/>
    <w:rsid w:val="00E8398C"/>
    <w:rsid w:val="00E85716"/>
    <w:rsid w:val="00E85963"/>
    <w:rsid w:val="00E86D00"/>
    <w:rsid w:val="00E8759D"/>
    <w:rsid w:val="00E87965"/>
    <w:rsid w:val="00E87C04"/>
    <w:rsid w:val="00E91E36"/>
    <w:rsid w:val="00E921DD"/>
    <w:rsid w:val="00E95221"/>
    <w:rsid w:val="00E96B49"/>
    <w:rsid w:val="00EA067B"/>
    <w:rsid w:val="00EA0B3F"/>
    <w:rsid w:val="00EA1606"/>
    <w:rsid w:val="00EA1845"/>
    <w:rsid w:val="00EA1DFE"/>
    <w:rsid w:val="00EA3A6A"/>
    <w:rsid w:val="00EA6358"/>
    <w:rsid w:val="00EA63B7"/>
    <w:rsid w:val="00EA76CC"/>
    <w:rsid w:val="00EB12C7"/>
    <w:rsid w:val="00EB203A"/>
    <w:rsid w:val="00EB339C"/>
    <w:rsid w:val="00EB34B0"/>
    <w:rsid w:val="00EB3C17"/>
    <w:rsid w:val="00EB49E9"/>
    <w:rsid w:val="00EB4E04"/>
    <w:rsid w:val="00EB64D2"/>
    <w:rsid w:val="00EB6BC7"/>
    <w:rsid w:val="00EB7BAF"/>
    <w:rsid w:val="00EC02E9"/>
    <w:rsid w:val="00EC07B9"/>
    <w:rsid w:val="00EC1F51"/>
    <w:rsid w:val="00EC2C5E"/>
    <w:rsid w:val="00EC5B15"/>
    <w:rsid w:val="00EC5DE4"/>
    <w:rsid w:val="00EC6C6C"/>
    <w:rsid w:val="00ED030F"/>
    <w:rsid w:val="00ED069A"/>
    <w:rsid w:val="00ED137B"/>
    <w:rsid w:val="00ED229D"/>
    <w:rsid w:val="00ED3E1E"/>
    <w:rsid w:val="00ED58F6"/>
    <w:rsid w:val="00ED5EFB"/>
    <w:rsid w:val="00ED66AF"/>
    <w:rsid w:val="00ED77CC"/>
    <w:rsid w:val="00EE0A2B"/>
    <w:rsid w:val="00EE1B23"/>
    <w:rsid w:val="00EE59B5"/>
    <w:rsid w:val="00EE5DF7"/>
    <w:rsid w:val="00EE6F2B"/>
    <w:rsid w:val="00EF2BA2"/>
    <w:rsid w:val="00EF3228"/>
    <w:rsid w:val="00EF3A51"/>
    <w:rsid w:val="00EF58EE"/>
    <w:rsid w:val="00F0086F"/>
    <w:rsid w:val="00F01F44"/>
    <w:rsid w:val="00F02DE3"/>
    <w:rsid w:val="00F0318A"/>
    <w:rsid w:val="00F032A9"/>
    <w:rsid w:val="00F03817"/>
    <w:rsid w:val="00F06999"/>
    <w:rsid w:val="00F1003E"/>
    <w:rsid w:val="00F11A88"/>
    <w:rsid w:val="00F11E0E"/>
    <w:rsid w:val="00F12C0B"/>
    <w:rsid w:val="00F132C2"/>
    <w:rsid w:val="00F137D1"/>
    <w:rsid w:val="00F13DC5"/>
    <w:rsid w:val="00F14845"/>
    <w:rsid w:val="00F1742F"/>
    <w:rsid w:val="00F21247"/>
    <w:rsid w:val="00F23158"/>
    <w:rsid w:val="00F23B21"/>
    <w:rsid w:val="00F23C19"/>
    <w:rsid w:val="00F23E3A"/>
    <w:rsid w:val="00F24412"/>
    <w:rsid w:val="00F259F6"/>
    <w:rsid w:val="00F2666D"/>
    <w:rsid w:val="00F26C32"/>
    <w:rsid w:val="00F275DA"/>
    <w:rsid w:val="00F275ED"/>
    <w:rsid w:val="00F27B0C"/>
    <w:rsid w:val="00F27FB1"/>
    <w:rsid w:val="00F30C87"/>
    <w:rsid w:val="00F31A6E"/>
    <w:rsid w:val="00F32E6C"/>
    <w:rsid w:val="00F3318F"/>
    <w:rsid w:val="00F34399"/>
    <w:rsid w:val="00F358DD"/>
    <w:rsid w:val="00F376A3"/>
    <w:rsid w:val="00F37829"/>
    <w:rsid w:val="00F378FF"/>
    <w:rsid w:val="00F41C3E"/>
    <w:rsid w:val="00F42770"/>
    <w:rsid w:val="00F428B1"/>
    <w:rsid w:val="00F431BE"/>
    <w:rsid w:val="00F4351A"/>
    <w:rsid w:val="00F44920"/>
    <w:rsid w:val="00F44AD9"/>
    <w:rsid w:val="00F44E08"/>
    <w:rsid w:val="00F45492"/>
    <w:rsid w:val="00F45C5C"/>
    <w:rsid w:val="00F50FAB"/>
    <w:rsid w:val="00F5291B"/>
    <w:rsid w:val="00F545CE"/>
    <w:rsid w:val="00F54F42"/>
    <w:rsid w:val="00F561C2"/>
    <w:rsid w:val="00F562FB"/>
    <w:rsid w:val="00F57B4B"/>
    <w:rsid w:val="00F603CC"/>
    <w:rsid w:val="00F62DFF"/>
    <w:rsid w:val="00F634F2"/>
    <w:rsid w:val="00F6417E"/>
    <w:rsid w:val="00F646E0"/>
    <w:rsid w:val="00F660B1"/>
    <w:rsid w:val="00F672AB"/>
    <w:rsid w:val="00F672AC"/>
    <w:rsid w:val="00F673F5"/>
    <w:rsid w:val="00F676FB"/>
    <w:rsid w:val="00F7036D"/>
    <w:rsid w:val="00F71603"/>
    <w:rsid w:val="00F72043"/>
    <w:rsid w:val="00F73D90"/>
    <w:rsid w:val="00F74CF2"/>
    <w:rsid w:val="00F7523B"/>
    <w:rsid w:val="00F8082A"/>
    <w:rsid w:val="00F809A9"/>
    <w:rsid w:val="00F82A28"/>
    <w:rsid w:val="00F84899"/>
    <w:rsid w:val="00F84D74"/>
    <w:rsid w:val="00F859F0"/>
    <w:rsid w:val="00F8669E"/>
    <w:rsid w:val="00F86F03"/>
    <w:rsid w:val="00F87AEE"/>
    <w:rsid w:val="00F902D7"/>
    <w:rsid w:val="00F902F8"/>
    <w:rsid w:val="00F90481"/>
    <w:rsid w:val="00F909ED"/>
    <w:rsid w:val="00F91D46"/>
    <w:rsid w:val="00F92CAE"/>
    <w:rsid w:val="00F93217"/>
    <w:rsid w:val="00F935FB"/>
    <w:rsid w:val="00F953C5"/>
    <w:rsid w:val="00F95890"/>
    <w:rsid w:val="00F95F68"/>
    <w:rsid w:val="00F97D96"/>
    <w:rsid w:val="00F97ECF"/>
    <w:rsid w:val="00FA039C"/>
    <w:rsid w:val="00FA071D"/>
    <w:rsid w:val="00FA1298"/>
    <w:rsid w:val="00FA12FD"/>
    <w:rsid w:val="00FA19FB"/>
    <w:rsid w:val="00FA20E6"/>
    <w:rsid w:val="00FA2863"/>
    <w:rsid w:val="00FA3BA9"/>
    <w:rsid w:val="00FB0FA8"/>
    <w:rsid w:val="00FB1417"/>
    <w:rsid w:val="00FB1E59"/>
    <w:rsid w:val="00FB6A61"/>
    <w:rsid w:val="00FB6B20"/>
    <w:rsid w:val="00FB6BC4"/>
    <w:rsid w:val="00FC0CD0"/>
    <w:rsid w:val="00FC100F"/>
    <w:rsid w:val="00FC1A5C"/>
    <w:rsid w:val="00FC1D2E"/>
    <w:rsid w:val="00FC3C98"/>
    <w:rsid w:val="00FC4CDB"/>
    <w:rsid w:val="00FC53F2"/>
    <w:rsid w:val="00FC5C56"/>
    <w:rsid w:val="00FD13A8"/>
    <w:rsid w:val="00FD1B9A"/>
    <w:rsid w:val="00FD25AA"/>
    <w:rsid w:val="00FD29A3"/>
    <w:rsid w:val="00FD2BA2"/>
    <w:rsid w:val="00FD2BD3"/>
    <w:rsid w:val="00FD3296"/>
    <w:rsid w:val="00FD34E4"/>
    <w:rsid w:val="00FD385C"/>
    <w:rsid w:val="00FD4D9B"/>
    <w:rsid w:val="00FD61AC"/>
    <w:rsid w:val="00FD6306"/>
    <w:rsid w:val="00FD630C"/>
    <w:rsid w:val="00FD71E5"/>
    <w:rsid w:val="00FD75E0"/>
    <w:rsid w:val="00FD7D67"/>
    <w:rsid w:val="00FD7E1D"/>
    <w:rsid w:val="00FE01B6"/>
    <w:rsid w:val="00FE0ED9"/>
    <w:rsid w:val="00FE141E"/>
    <w:rsid w:val="00FE19F3"/>
    <w:rsid w:val="00FE3BCC"/>
    <w:rsid w:val="00FE3E0A"/>
    <w:rsid w:val="00FE42ED"/>
    <w:rsid w:val="00FE455B"/>
    <w:rsid w:val="00FE6D4C"/>
    <w:rsid w:val="00FE6D8B"/>
    <w:rsid w:val="00FE7555"/>
    <w:rsid w:val="00FF0706"/>
    <w:rsid w:val="00FF208F"/>
    <w:rsid w:val="00FF2F4B"/>
    <w:rsid w:val="00FF5251"/>
    <w:rsid w:val="00FF5843"/>
    <w:rsid w:val="00FF683C"/>
    <w:rsid w:val="00FF69D5"/>
    <w:rsid w:val="04D1C6D9"/>
    <w:rsid w:val="0623809C"/>
    <w:rsid w:val="38DB2C1E"/>
    <w:rsid w:val="3F6AA5EA"/>
    <w:rsid w:val="540242F6"/>
    <w:rsid w:val="6F9E2E32"/>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C74FF"/>
    <w:pPr>
      <w:spacing w:after="0" w:line="240" w:lineRule="auto"/>
    </w:pPr>
    <w:rPr>
      <w:rFonts w:ascii="Times New Roman" w:eastAsia="Times New Roman" w:hAnsi="Times New Roman" w:cs="Times New Roman"/>
      <w:sz w:val="24"/>
      <w:szCs w:val="24"/>
      <w:lang w:eastAsia="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sz w:val="20"/>
      <w:szCs w:val="20"/>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lang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symbol,Footnote,Ref. de nota al pie2,Pie de pagina"/>
    <w:basedOn w:val="Fuentedeprrafopredeter"/>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j">
    <w:name w:val="b_aj"/>
    <w:basedOn w:val="Fuentedeprrafopredeter"/>
    <w:rsid w:val="00F72043"/>
  </w:style>
  <w:style w:type="character" w:customStyle="1" w:styleId="iaj">
    <w:name w:val="i_aj"/>
    <w:basedOn w:val="Fuentedeprrafopredeter"/>
    <w:rsid w:val="00F72043"/>
  </w:style>
  <w:style w:type="character" w:styleId="Textoennegrita">
    <w:name w:val="Strong"/>
    <w:basedOn w:val="Fuentedeprrafopredeter"/>
    <w:uiPriority w:val="22"/>
    <w:qFormat/>
    <w:rsid w:val="00520695"/>
    <w:rPr>
      <w:b/>
      <w:bCs/>
    </w:rPr>
  </w:style>
  <w:style w:type="character" w:customStyle="1" w:styleId="Mencinsinresolver1">
    <w:name w:val="Mención sin resolver1"/>
    <w:basedOn w:val="Fuentedeprrafopredeter"/>
    <w:uiPriority w:val="99"/>
    <w:semiHidden/>
    <w:unhideWhenUsed/>
    <w:rsid w:val="00D2477E"/>
    <w:rPr>
      <w:color w:val="605E5C"/>
      <w:shd w:val="clear" w:color="auto" w:fill="E1DFDD"/>
    </w:rPr>
  </w:style>
  <w:style w:type="paragraph" w:customStyle="1" w:styleId="InviasNormal">
    <w:name w:val="Invias Normal"/>
    <w:basedOn w:val="Normal"/>
    <w:link w:val="InviasNormalCar"/>
    <w:qFormat/>
    <w:rsid w:val="00A230AD"/>
    <w:pPr>
      <w:tabs>
        <w:tab w:val="left" w:pos="-142"/>
      </w:tabs>
      <w:autoSpaceDE w:val="0"/>
      <w:autoSpaceDN w:val="0"/>
      <w:adjustRightInd w:val="0"/>
      <w:spacing w:before="120" w:after="240"/>
      <w:jc w:val="both"/>
    </w:pPr>
    <w:rPr>
      <w:rFonts w:ascii="Arial Narrow" w:hAnsi="Arial Narrow"/>
      <w:color w:val="3C3C3C" w:themeColor="background2" w:themeShade="40"/>
      <w:lang w:val="x-none" w:eastAsia="es-ES"/>
    </w:rPr>
  </w:style>
  <w:style w:type="character" w:customStyle="1" w:styleId="InviasNormalCar">
    <w:name w:val="Invias Normal Car"/>
    <w:link w:val="InviasNormal"/>
    <w:locked/>
    <w:rsid w:val="00A230AD"/>
    <w:rPr>
      <w:rFonts w:ascii="Arial Narrow" w:eastAsia="Times New Roman" w:hAnsi="Arial Narrow" w:cs="Times New Roman"/>
      <w:color w:val="3C3C3C" w:themeColor="background2" w:themeShade="40"/>
      <w:sz w:val="24"/>
      <w:szCs w:val="24"/>
      <w:lang w:val="x-none" w:eastAsia="es-ES"/>
    </w:rPr>
  </w:style>
  <w:style w:type="paragraph" w:customStyle="1" w:styleId="Capitulo3">
    <w:name w:val="Capitulo 3"/>
    <w:basedOn w:val="Normal"/>
    <w:qFormat/>
    <w:rsid w:val="00A230AD"/>
    <w:pPr>
      <w:keepNext/>
      <w:numPr>
        <w:numId w:val="10"/>
      </w:numPr>
      <w:spacing w:before="120" w:after="200" w:line="276" w:lineRule="auto"/>
      <w:outlineLvl w:val="1"/>
    </w:pPr>
    <w:rPr>
      <w:rFonts w:ascii="Arial" w:hAnsi="Arial" w:cs="Arial"/>
      <w:b/>
      <w:color w:val="000000"/>
      <w:sz w:val="20"/>
      <w:szCs w:val="20"/>
      <w:lang w:eastAsia="es-CO"/>
    </w:rPr>
  </w:style>
  <w:style w:type="character" w:customStyle="1" w:styleId="NormalWebCar">
    <w:name w:val="Normal (Web) Car"/>
    <w:link w:val="NormalWeb"/>
    <w:uiPriority w:val="99"/>
    <w:rsid w:val="0071470C"/>
    <w:rPr>
      <w:rFonts w:ascii="Times New Roman" w:eastAsia="Times New Roman" w:hAnsi="Times New Roman" w:cs="Times New Roman"/>
      <w:sz w:val="24"/>
      <w:szCs w:val="24"/>
      <w:lang w:eastAsia="es-CO"/>
    </w:rPr>
  </w:style>
  <w:style w:type="character" w:styleId="Textodelmarcadordeposicin">
    <w:name w:val="Placeholder Text"/>
    <w:basedOn w:val="Fuentedeprrafopredeter"/>
    <w:uiPriority w:val="99"/>
    <w:semiHidden/>
    <w:rsid w:val="00FD7E1D"/>
    <w:rPr>
      <w:color w:val="808080"/>
    </w:rPr>
  </w:style>
  <w:style w:type="paragraph" w:styleId="Textoindependiente">
    <w:name w:val="Body Text"/>
    <w:basedOn w:val="Normal"/>
    <w:link w:val="TextoindependienteCar"/>
    <w:uiPriority w:val="1"/>
    <w:qFormat/>
    <w:rsid w:val="00D12D91"/>
    <w:pPr>
      <w:widowControl w:val="0"/>
      <w:autoSpaceDE w:val="0"/>
      <w:autoSpaceDN w:val="0"/>
    </w:pPr>
    <w:rPr>
      <w:rFonts w:ascii="Arial" w:eastAsia="Arial" w:hAnsi="Arial" w:cs="Arial"/>
      <w:sz w:val="20"/>
      <w:szCs w:val="20"/>
      <w:lang w:val="es-ES" w:eastAsia="es-ES" w:bidi="es-ES"/>
    </w:rPr>
  </w:style>
  <w:style w:type="character" w:customStyle="1" w:styleId="TextoindependienteCar">
    <w:name w:val="Texto independiente Car"/>
    <w:basedOn w:val="Fuentedeprrafopredeter"/>
    <w:link w:val="Textoindependiente"/>
    <w:uiPriority w:val="1"/>
    <w:rsid w:val="00D12D91"/>
    <w:rPr>
      <w:rFonts w:ascii="Arial" w:eastAsia="Arial" w:hAnsi="Arial" w:cs="Arial"/>
      <w:sz w:val="20"/>
      <w:szCs w:val="20"/>
      <w:lang w:val="es-ES" w:eastAsia="es-ES" w:bidi="es-ES"/>
    </w:rPr>
  </w:style>
  <w:style w:type="character" w:styleId="Hipervnculovisitado">
    <w:name w:val="FollowedHyperlink"/>
    <w:basedOn w:val="Fuentedeprrafopredeter"/>
    <w:uiPriority w:val="99"/>
    <w:semiHidden/>
    <w:unhideWhenUsed/>
    <w:rsid w:val="00BD6A55"/>
    <w:rPr>
      <w:color w:val="F2F2F2" w:themeColor="followedHyperlink"/>
      <w:u w:val="single"/>
    </w:rPr>
  </w:style>
  <w:style w:type="paragraph" w:styleId="Revisin">
    <w:name w:val="Revision"/>
    <w:hidden/>
    <w:uiPriority w:val="99"/>
    <w:semiHidden/>
    <w:rsid w:val="003A30E2"/>
    <w:pPr>
      <w:spacing w:after="0" w:line="240" w:lineRule="auto"/>
    </w:pPr>
    <w:rPr>
      <w:rFonts w:ascii="Times New Roman" w:eastAsia="Times New Roman" w:hAnsi="Times New Roman" w:cs="Times New Roman"/>
      <w:sz w:val="24"/>
      <w:szCs w:val="24"/>
      <w:lang w:eastAsia="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567305">
      <w:bodyDiv w:val="1"/>
      <w:marLeft w:val="0"/>
      <w:marRight w:val="0"/>
      <w:marTop w:val="0"/>
      <w:marBottom w:val="0"/>
      <w:divBdr>
        <w:top w:val="none" w:sz="0" w:space="0" w:color="auto"/>
        <w:left w:val="none" w:sz="0" w:space="0" w:color="auto"/>
        <w:bottom w:val="none" w:sz="0" w:space="0" w:color="auto"/>
        <w:right w:val="none" w:sz="0" w:space="0" w:color="auto"/>
      </w:divBdr>
    </w:div>
    <w:div w:id="16125906">
      <w:bodyDiv w:val="1"/>
      <w:marLeft w:val="0"/>
      <w:marRight w:val="0"/>
      <w:marTop w:val="0"/>
      <w:marBottom w:val="0"/>
      <w:divBdr>
        <w:top w:val="none" w:sz="0" w:space="0" w:color="auto"/>
        <w:left w:val="none" w:sz="0" w:space="0" w:color="auto"/>
        <w:bottom w:val="none" w:sz="0" w:space="0" w:color="auto"/>
        <w:right w:val="none" w:sz="0" w:space="0" w:color="auto"/>
      </w:divBdr>
    </w:div>
    <w:div w:id="20325829">
      <w:bodyDiv w:val="1"/>
      <w:marLeft w:val="0"/>
      <w:marRight w:val="0"/>
      <w:marTop w:val="0"/>
      <w:marBottom w:val="0"/>
      <w:divBdr>
        <w:top w:val="none" w:sz="0" w:space="0" w:color="auto"/>
        <w:left w:val="none" w:sz="0" w:space="0" w:color="auto"/>
        <w:bottom w:val="none" w:sz="0" w:space="0" w:color="auto"/>
        <w:right w:val="none" w:sz="0" w:space="0" w:color="auto"/>
      </w:divBdr>
    </w:div>
    <w:div w:id="25764147">
      <w:bodyDiv w:val="1"/>
      <w:marLeft w:val="0"/>
      <w:marRight w:val="0"/>
      <w:marTop w:val="0"/>
      <w:marBottom w:val="0"/>
      <w:divBdr>
        <w:top w:val="none" w:sz="0" w:space="0" w:color="auto"/>
        <w:left w:val="none" w:sz="0" w:space="0" w:color="auto"/>
        <w:bottom w:val="none" w:sz="0" w:space="0" w:color="auto"/>
        <w:right w:val="none" w:sz="0" w:space="0" w:color="auto"/>
      </w:divBdr>
    </w:div>
    <w:div w:id="28799947">
      <w:bodyDiv w:val="1"/>
      <w:marLeft w:val="0"/>
      <w:marRight w:val="0"/>
      <w:marTop w:val="0"/>
      <w:marBottom w:val="0"/>
      <w:divBdr>
        <w:top w:val="none" w:sz="0" w:space="0" w:color="auto"/>
        <w:left w:val="none" w:sz="0" w:space="0" w:color="auto"/>
        <w:bottom w:val="none" w:sz="0" w:space="0" w:color="auto"/>
        <w:right w:val="none" w:sz="0" w:space="0" w:color="auto"/>
      </w:divBdr>
    </w:div>
    <w:div w:id="28801859">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59326511">
      <w:bodyDiv w:val="1"/>
      <w:marLeft w:val="0"/>
      <w:marRight w:val="0"/>
      <w:marTop w:val="0"/>
      <w:marBottom w:val="0"/>
      <w:divBdr>
        <w:top w:val="none" w:sz="0" w:space="0" w:color="auto"/>
        <w:left w:val="none" w:sz="0" w:space="0" w:color="auto"/>
        <w:bottom w:val="none" w:sz="0" w:space="0" w:color="auto"/>
        <w:right w:val="none" w:sz="0" w:space="0" w:color="auto"/>
      </w:divBdr>
    </w:div>
    <w:div w:id="80295624">
      <w:bodyDiv w:val="1"/>
      <w:marLeft w:val="0"/>
      <w:marRight w:val="0"/>
      <w:marTop w:val="0"/>
      <w:marBottom w:val="0"/>
      <w:divBdr>
        <w:top w:val="none" w:sz="0" w:space="0" w:color="auto"/>
        <w:left w:val="none" w:sz="0" w:space="0" w:color="auto"/>
        <w:bottom w:val="none" w:sz="0" w:space="0" w:color="auto"/>
        <w:right w:val="none" w:sz="0" w:space="0" w:color="auto"/>
      </w:divBdr>
    </w:div>
    <w:div w:id="119420003">
      <w:bodyDiv w:val="1"/>
      <w:marLeft w:val="0"/>
      <w:marRight w:val="0"/>
      <w:marTop w:val="0"/>
      <w:marBottom w:val="0"/>
      <w:divBdr>
        <w:top w:val="none" w:sz="0" w:space="0" w:color="auto"/>
        <w:left w:val="none" w:sz="0" w:space="0" w:color="auto"/>
        <w:bottom w:val="none" w:sz="0" w:space="0" w:color="auto"/>
        <w:right w:val="none" w:sz="0" w:space="0" w:color="auto"/>
      </w:divBdr>
    </w:div>
    <w:div w:id="123083174">
      <w:bodyDiv w:val="1"/>
      <w:marLeft w:val="0"/>
      <w:marRight w:val="0"/>
      <w:marTop w:val="0"/>
      <w:marBottom w:val="0"/>
      <w:divBdr>
        <w:top w:val="none" w:sz="0" w:space="0" w:color="auto"/>
        <w:left w:val="none" w:sz="0" w:space="0" w:color="auto"/>
        <w:bottom w:val="none" w:sz="0" w:space="0" w:color="auto"/>
        <w:right w:val="none" w:sz="0" w:space="0" w:color="auto"/>
      </w:divBdr>
    </w:div>
    <w:div w:id="144980232">
      <w:bodyDiv w:val="1"/>
      <w:marLeft w:val="0"/>
      <w:marRight w:val="0"/>
      <w:marTop w:val="0"/>
      <w:marBottom w:val="0"/>
      <w:divBdr>
        <w:top w:val="none" w:sz="0" w:space="0" w:color="auto"/>
        <w:left w:val="none" w:sz="0" w:space="0" w:color="auto"/>
        <w:bottom w:val="none" w:sz="0" w:space="0" w:color="auto"/>
        <w:right w:val="none" w:sz="0" w:space="0" w:color="auto"/>
      </w:divBdr>
    </w:div>
    <w:div w:id="151652217">
      <w:bodyDiv w:val="1"/>
      <w:marLeft w:val="0"/>
      <w:marRight w:val="0"/>
      <w:marTop w:val="0"/>
      <w:marBottom w:val="0"/>
      <w:divBdr>
        <w:top w:val="none" w:sz="0" w:space="0" w:color="auto"/>
        <w:left w:val="none" w:sz="0" w:space="0" w:color="auto"/>
        <w:bottom w:val="none" w:sz="0" w:space="0" w:color="auto"/>
        <w:right w:val="none" w:sz="0" w:space="0" w:color="auto"/>
      </w:divBdr>
    </w:div>
    <w:div w:id="158815170">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75270856">
      <w:bodyDiv w:val="1"/>
      <w:marLeft w:val="0"/>
      <w:marRight w:val="0"/>
      <w:marTop w:val="0"/>
      <w:marBottom w:val="0"/>
      <w:divBdr>
        <w:top w:val="none" w:sz="0" w:space="0" w:color="auto"/>
        <w:left w:val="none" w:sz="0" w:space="0" w:color="auto"/>
        <w:bottom w:val="none" w:sz="0" w:space="0" w:color="auto"/>
        <w:right w:val="none" w:sz="0" w:space="0" w:color="auto"/>
      </w:divBdr>
    </w:div>
    <w:div w:id="180701427">
      <w:bodyDiv w:val="1"/>
      <w:marLeft w:val="0"/>
      <w:marRight w:val="0"/>
      <w:marTop w:val="0"/>
      <w:marBottom w:val="0"/>
      <w:divBdr>
        <w:top w:val="none" w:sz="0" w:space="0" w:color="auto"/>
        <w:left w:val="none" w:sz="0" w:space="0" w:color="auto"/>
        <w:bottom w:val="none" w:sz="0" w:space="0" w:color="auto"/>
        <w:right w:val="none" w:sz="0" w:space="0" w:color="auto"/>
      </w:divBdr>
    </w:div>
    <w:div w:id="218438671">
      <w:bodyDiv w:val="1"/>
      <w:marLeft w:val="0"/>
      <w:marRight w:val="0"/>
      <w:marTop w:val="0"/>
      <w:marBottom w:val="0"/>
      <w:divBdr>
        <w:top w:val="none" w:sz="0" w:space="0" w:color="auto"/>
        <w:left w:val="none" w:sz="0" w:space="0" w:color="auto"/>
        <w:bottom w:val="none" w:sz="0" w:space="0" w:color="auto"/>
        <w:right w:val="none" w:sz="0" w:space="0" w:color="auto"/>
      </w:divBdr>
    </w:div>
    <w:div w:id="228734798">
      <w:bodyDiv w:val="1"/>
      <w:marLeft w:val="0"/>
      <w:marRight w:val="0"/>
      <w:marTop w:val="0"/>
      <w:marBottom w:val="0"/>
      <w:divBdr>
        <w:top w:val="none" w:sz="0" w:space="0" w:color="auto"/>
        <w:left w:val="none" w:sz="0" w:space="0" w:color="auto"/>
        <w:bottom w:val="none" w:sz="0" w:space="0" w:color="auto"/>
        <w:right w:val="none" w:sz="0" w:space="0" w:color="auto"/>
      </w:divBdr>
    </w:div>
    <w:div w:id="242111778">
      <w:bodyDiv w:val="1"/>
      <w:marLeft w:val="0"/>
      <w:marRight w:val="0"/>
      <w:marTop w:val="0"/>
      <w:marBottom w:val="0"/>
      <w:divBdr>
        <w:top w:val="none" w:sz="0" w:space="0" w:color="auto"/>
        <w:left w:val="none" w:sz="0" w:space="0" w:color="auto"/>
        <w:bottom w:val="none" w:sz="0" w:space="0" w:color="auto"/>
        <w:right w:val="none" w:sz="0" w:space="0" w:color="auto"/>
      </w:divBdr>
    </w:div>
    <w:div w:id="264269810">
      <w:bodyDiv w:val="1"/>
      <w:marLeft w:val="0"/>
      <w:marRight w:val="0"/>
      <w:marTop w:val="0"/>
      <w:marBottom w:val="0"/>
      <w:divBdr>
        <w:top w:val="none" w:sz="0" w:space="0" w:color="auto"/>
        <w:left w:val="none" w:sz="0" w:space="0" w:color="auto"/>
        <w:bottom w:val="none" w:sz="0" w:space="0" w:color="auto"/>
        <w:right w:val="none" w:sz="0" w:space="0" w:color="auto"/>
      </w:divBdr>
    </w:div>
    <w:div w:id="264578672">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303245686">
      <w:bodyDiv w:val="1"/>
      <w:marLeft w:val="0"/>
      <w:marRight w:val="0"/>
      <w:marTop w:val="0"/>
      <w:marBottom w:val="0"/>
      <w:divBdr>
        <w:top w:val="none" w:sz="0" w:space="0" w:color="auto"/>
        <w:left w:val="none" w:sz="0" w:space="0" w:color="auto"/>
        <w:bottom w:val="none" w:sz="0" w:space="0" w:color="auto"/>
        <w:right w:val="none" w:sz="0" w:space="0" w:color="auto"/>
      </w:divBdr>
    </w:div>
    <w:div w:id="311059861">
      <w:bodyDiv w:val="1"/>
      <w:marLeft w:val="0"/>
      <w:marRight w:val="0"/>
      <w:marTop w:val="0"/>
      <w:marBottom w:val="0"/>
      <w:divBdr>
        <w:top w:val="none" w:sz="0" w:space="0" w:color="auto"/>
        <w:left w:val="none" w:sz="0" w:space="0" w:color="auto"/>
        <w:bottom w:val="none" w:sz="0" w:space="0" w:color="auto"/>
        <w:right w:val="none" w:sz="0" w:space="0" w:color="auto"/>
      </w:divBdr>
    </w:div>
    <w:div w:id="325403141">
      <w:bodyDiv w:val="1"/>
      <w:marLeft w:val="0"/>
      <w:marRight w:val="0"/>
      <w:marTop w:val="0"/>
      <w:marBottom w:val="0"/>
      <w:divBdr>
        <w:top w:val="none" w:sz="0" w:space="0" w:color="auto"/>
        <w:left w:val="none" w:sz="0" w:space="0" w:color="auto"/>
        <w:bottom w:val="none" w:sz="0" w:space="0" w:color="auto"/>
        <w:right w:val="none" w:sz="0" w:space="0" w:color="auto"/>
      </w:divBdr>
    </w:div>
    <w:div w:id="335574819">
      <w:bodyDiv w:val="1"/>
      <w:marLeft w:val="0"/>
      <w:marRight w:val="0"/>
      <w:marTop w:val="0"/>
      <w:marBottom w:val="0"/>
      <w:divBdr>
        <w:top w:val="none" w:sz="0" w:space="0" w:color="auto"/>
        <w:left w:val="none" w:sz="0" w:space="0" w:color="auto"/>
        <w:bottom w:val="none" w:sz="0" w:space="0" w:color="auto"/>
        <w:right w:val="none" w:sz="0" w:space="0" w:color="auto"/>
      </w:divBdr>
    </w:div>
    <w:div w:id="342702889">
      <w:bodyDiv w:val="1"/>
      <w:marLeft w:val="0"/>
      <w:marRight w:val="0"/>
      <w:marTop w:val="0"/>
      <w:marBottom w:val="0"/>
      <w:divBdr>
        <w:top w:val="none" w:sz="0" w:space="0" w:color="auto"/>
        <w:left w:val="none" w:sz="0" w:space="0" w:color="auto"/>
        <w:bottom w:val="none" w:sz="0" w:space="0" w:color="auto"/>
        <w:right w:val="none" w:sz="0" w:space="0" w:color="auto"/>
      </w:divBdr>
    </w:div>
    <w:div w:id="348065759">
      <w:bodyDiv w:val="1"/>
      <w:marLeft w:val="0"/>
      <w:marRight w:val="0"/>
      <w:marTop w:val="0"/>
      <w:marBottom w:val="0"/>
      <w:divBdr>
        <w:top w:val="none" w:sz="0" w:space="0" w:color="auto"/>
        <w:left w:val="none" w:sz="0" w:space="0" w:color="auto"/>
        <w:bottom w:val="none" w:sz="0" w:space="0" w:color="auto"/>
        <w:right w:val="none" w:sz="0" w:space="0" w:color="auto"/>
      </w:divBdr>
    </w:div>
    <w:div w:id="361593297">
      <w:bodyDiv w:val="1"/>
      <w:marLeft w:val="0"/>
      <w:marRight w:val="0"/>
      <w:marTop w:val="0"/>
      <w:marBottom w:val="0"/>
      <w:divBdr>
        <w:top w:val="none" w:sz="0" w:space="0" w:color="auto"/>
        <w:left w:val="none" w:sz="0" w:space="0" w:color="auto"/>
        <w:bottom w:val="none" w:sz="0" w:space="0" w:color="auto"/>
        <w:right w:val="none" w:sz="0" w:space="0" w:color="auto"/>
      </w:divBdr>
    </w:div>
    <w:div w:id="387341911">
      <w:bodyDiv w:val="1"/>
      <w:marLeft w:val="0"/>
      <w:marRight w:val="0"/>
      <w:marTop w:val="0"/>
      <w:marBottom w:val="0"/>
      <w:divBdr>
        <w:top w:val="none" w:sz="0" w:space="0" w:color="auto"/>
        <w:left w:val="none" w:sz="0" w:space="0" w:color="auto"/>
        <w:bottom w:val="none" w:sz="0" w:space="0" w:color="auto"/>
        <w:right w:val="none" w:sz="0" w:space="0" w:color="auto"/>
      </w:divBdr>
    </w:div>
    <w:div w:id="413825589">
      <w:bodyDiv w:val="1"/>
      <w:marLeft w:val="0"/>
      <w:marRight w:val="0"/>
      <w:marTop w:val="0"/>
      <w:marBottom w:val="0"/>
      <w:divBdr>
        <w:top w:val="none" w:sz="0" w:space="0" w:color="auto"/>
        <w:left w:val="none" w:sz="0" w:space="0" w:color="auto"/>
        <w:bottom w:val="none" w:sz="0" w:space="0" w:color="auto"/>
        <w:right w:val="none" w:sz="0" w:space="0" w:color="auto"/>
      </w:divBdr>
    </w:div>
    <w:div w:id="439689662">
      <w:bodyDiv w:val="1"/>
      <w:marLeft w:val="0"/>
      <w:marRight w:val="0"/>
      <w:marTop w:val="0"/>
      <w:marBottom w:val="0"/>
      <w:divBdr>
        <w:top w:val="none" w:sz="0" w:space="0" w:color="auto"/>
        <w:left w:val="none" w:sz="0" w:space="0" w:color="auto"/>
        <w:bottom w:val="none" w:sz="0" w:space="0" w:color="auto"/>
        <w:right w:val="none" w:sz="0" w:space="0" w:color="auto"/>
      </w:divBdr>
    </w:div>
    <w:div w:id="458647536">
      <w:bodyDiv w:val="1"/>
      <w:marLeft w:val="0"/>
      <w:marRight w:val="0"/>
      <w:marTop w:val="0"/>
      <w:marBottom w:val="0"/>
      <w:divBdr>
        <w:top w:val="none" w:sz="0" w:space="0" w:color="auto"/>
        <w:left w:val="none" w:sz="0" w:space="0" w:color="auto"/>
        <w:bottom w:val="none" w:sz="0" w:space="0" w:color="auto"/>
        <w:right w:val="none" w:sz="0" w:space="0" w:color="auto"/>
      </w:divBdr>
    </w:div>
    <w:div w:id="467432805">
      <w:bodyDiv w:val="1"/>
      <w:marLeft w:val="0"/>
      <w:marRight w:val="0"/>
      <w:marTop w:val="0"/>
      <w:marBottom w:val="0"/>
      <w:divBdr>
        <w:top w:val="none" w:sz="0" w:space="0" w:color="auto"/>
        <w:left w:val="none" w:sz="0" w:space="0" w:color="auto"/>
        <w:bottom w:val="none" w:sz="0" w:space="0" w:color="auto"/>
        <w:right w:val="none" w:sz="0" w:space="0" w:color="auto"/>
      </w:divBdr>
    </w:div>
    <w:div w:id="468400294">
      <w:bodyDiv w:val="1"/>
      <w:marLeft w:val="0"/>
      <w:marRight w:val="0"/>
      <w:marTop w:val="0"/>
      <w:marBottom w:val="0"/>
      <w:divBdr>
        <w:top w:val="none" w:sz="0" w:space="0" w:color="auto"/>
        <w:left w:val="none" w:sz="0" w:space="0" w:color="auto"/>
        <w:bottom w:val="none" w:sz="0" w:space="0" w:color="auto"/>
        <w:right w:val="none" w:sz="0" w:space="0" w:color="auto"/>
      </w:divBdr>
    </w:div>
    <w:div w:id="499078524">
      <w:bodyDiv w:val="1"/>
      <w:marLeft w:val="0"/>
      <w:marRight w:val="0"/>
      <w:marTop w:val="0"/>
      <w:marBottom w:val="0"/>
      <w:divBdr>
        <w:top w:val="none" w:sz="0" w:space="0" w:color="auto"/>
        <w:left w:val="none" w:sz="0" w:space="0" w:color="auto"/>
        <w:bottom w:val="none" w:sz="0" w:space="0" w:color="auto"/>
        <w:right w:val="none" w:sz="0" w:space="0" w:color="auto"/>
      </w:divBdr>
    </w:div>
    <w:div w:id="526790893">
      <w:bodyDiv w:val="1"/>
      <w:marLeft w:val="0"/>
      <w:marRight w:val="0"/>
      <w:marTop w:val="0"/>
      <w:marBottom w:val="0"/>
      <w:divBdr>
        <w:top w:val="none" w:sz="0" w:space="0" w:color="auto"/>
        <w:left w:val="none" w:sz="0" w:space="0" w:color="auto"/>
        <w:bottom w:val="none" w:sz="0" w:space="0" w:color="auto"/>
        <w:right w:val="none" w:sz="0" w:space="0" w:color="auto"/>
      </w:divBdr>
    </w:div>
    <w:div w:id="545340714">
      <w:bodyDiv w:val="1"/>
      <w:marLeft w:val="0"/>
      <w:marRight w:val="0"/>
      <w:marTop w:val="0"/>
      <w:marBottom w:val="0"/>
      <w:divBdr>
        <w:top w:val="none" w:sz="0" w:space="0" w:color="auto"/>
        <w:left w:val="none" w:sz="0" w:space="0" w:color="auto"/>
        <w:bottom w:val="none" w:sz="0" w:space="0" w:color="auto"/>
        <w:right w:val="none" w:sz="0" w:space="0" w:color="auto"/>
      </w:divBdr>
    </w:div>
    <w:div w:id="583757767">
      <w:bodyDiv w:val="1"/>
      <w:marLeft w:val="0"/>
      <w:marRight w:val="0"/>
      <w:marTop w:val="0"/>
      <w:marBottom w:val="0"/>
      <w:divBdr>
        <w:top w:val="none" w:sz="0" w:space="0" w:color="auto"/>
        <w:left w:val="none" w:sz="0" w:space="0" w:color="auto"/>
        <w:bottom w:val="none" w:sz="0" w:space="0" w:color="auto"/>
        <w:right w:val="none" w:sz="0" w:space="0" w:color="auto"/>
      </w:divBdr>
    </w:div>
    <w:div w:id="596862565">
      <w:bodyDiv w:val="1"/>
      <w:marLeft w:val="0"/>
      <w:marRight w:val="0"/>
      <w:marTop w:val="0"/>
      <w:marBottom w:val="0"/>
      <w:divBdr>
        <w:top w:val="none" w:sz="0" w:space="0" w:color="auto"/>
        <w:left w:val="none" w:sz="0" w:space="0" w:color="auto"/>
        <w:bottom w:val="none" w:sz="0" w:space="0" w:color="auto"/>
        <w:right w:val="none" w:sz="0" w:space="0" w:color="auto"/>
      </w:divBdr>
    </w:div>
    <w:div w:id="617835004">
      <w:bodyDiv w:val="1"/>
      <w:marLeft w:val="0"/>
      <w:marRight w:val="0"/>
      <w:marTop w:val="0"/>
      <w:marBottom w:val="0"/>
      <w:divBdr>
        <w:top w:val="none" w:sz="0" w:space="0" w:color="auto"/>
        <w:left w:val="none" w:sz="0" w:space="0" w:color="auto"/>
        <w:bottom w:val="none" w:sz="0" w:space="0" w:color="auto"/>
        <w:right w:val="none" w:sz="0" w:space="0" w:color="auto"/>
      </w:divBdr>
    </w:div>
    <w:div w:id="636683572">
      <w:bodyDiv w:val="1"/>
      <w:marLeft w:val="0"/>
      <w:marRight w:val="0"/>
      <w:marTop w:val="0"/>
      <w:marBottom w:val="0"/>
      <w:divBdr>
        <w:top w:val="none" w:sz="0" w:space="0" w:color="auto"/>
        <w:left w:val="none" w:sz="0" w:space="0" w:color="auto"/>
        <w:bottom w:val="none" w:sz="0" w:space="0" w:color="auto"/>
        <w:right w:val="none" w:sz="0" w:space="0" w:color="auto"/>
      </w:divBdr>
    </w:div>
    <w:div w:id="652024098">
      <w:bodyDiv w:val="1"/>
      <w:marLeft w:val="0"/>
      <w:marRight w:val="0"/>
      <w:marTop w:val="0"/>
      <w:marBottom w:val="0"/>
      <w:divBdr>
        <w:top w:val="none" w:sz="0" w:space="0" w:color="auto"/>
        <w:left w:val="none" w:sz="0" w:space="0" w:color="auto"/>
        <w:bottom w:val="none" w:sz="0" w:space="0" w:color="auto"/>
        <w:right w:val="none" w:sz="0" w:space="0" w:color="auto"/>
      </w:divBdr>
    </w:div>
    <w:div w:id="653686835">
      <w:bodyDiv w:val="1"/>
      <w:marLeft w:val="0"/>
      <w:marRight w:val="0"/>
      <w:marTop w:val="0"/>
      <w:marBottom w:val="0"/>
      <w:divBdr>
        <w:top w:val="none" w:sz="0" w:space="0" w:color="auto"/>
        <w:left w:val="none" w:sz="0" w:space="0" w:color="auto"/>
        <w:bottom w:val="none" w:sz="0" w:space="0" w:color="auto"/>
        <w:right w:val="none" w:sz="0" w:space="0" w:color="auto"/>
      </w:divBdr>
    </w:div>
    <w:div w:id="679626875">
      <w:bodyDiv w:val="1"/>
      <w:marLeft w:val="0"/>
      <w:marRight w:val="0"/>
      <w:marTop w:val="0"/>
      <w:marBottom w:val="0"/>
      <w:divBdr>
        <w:top w:val="none" w:sz="0" w:space="0" w:color="auto"/>
        <w:left w:val="none" w:sz="0" w:space="0" w:color="auto"/>
        <w:bottom w:val="none" w:sz="0" w:space="0" w:color="auto"/>
        <w:right w:val="none" w:sz="0" w:space="0" w:color="auto"/>
      </w:divBdr>
    </w:div>
    <w:div w:id="687021404">
      <w:bodyDiv w:val="1"/>
      <w:marLeft w:val="0"/>
      <w:marRight w:val="0"/>
      <w:marTop w:val="0"/>
      <w:marBottom w:val="0"/>
      <w:divBdr>
        <w:top w:val="none" w:sz="0" w:space="0" w:color="auto"/>
        <w:left w:val="none" w:sz="0" w:space="0" w:color="auto"/>
        <w:bottom w:val="none" w:sz="0" w:space="0" w:color="auto"/>
        <w:right w:val="none" w:sz="0" w:space="0" w:color="auto"/>
      </w:divBdr>
    </w:div>
    <w:div w:id="690953534">
      <w:bodyDiv w:val="1"/>
      <w:marLeft w:val="0"/>
      <w:marRight w:val="0"/>
      <w:marTop w:val="0"/>
      <w:marBottom w:val="0"/>
      <w:divBdr>
        <w:top w:val="none" w:sz="0" w:space="0" w:color="auto"/>
        <w:left w:val="none" w:sz="0" w:space="0" w:color="auto"/>
        <w:bottom w:val="none" w:sz="0" w:space="0" w:color="auto"/>
        <w:right w:val="none" w:sz="0" w:space="0" w:color="auto"/>
      </w:divBdr>
    </w:div>
    <w:div w:id="692415404">
      <w:bodyDiv w:val="1"/>
      <w:marLeft w:val="0"/>
      <w:marRight w:val="0"/>
      <w:marTop w:val="0"/>
      <w:marBottom w:val="0"/>
      <w:divBdr>
        <w:top w:val="none" w:sz="0" w:space="0" w:color="auto"/>
        <w:left w:val="none" w:sz="0" w:space="0" w:color="auto"/>
        <w:bottom w:val="none" w:sz="0" w:space="0" w:color="auto"/>
        <w:right w:val="none" w:sz="0" w:space="0" w:color="auto"/>
      </w:divBdr>
    </w:div>
    <w:div w:id="700976589">
      <w:bodyDiv w:val="1"/>
      <w:marLeft w:val="0"/>
      <w:marRight w:val="0"/>
      <w:marTop w:val="0"/>
      <w:marBottom w:val="0"/>
      <w:divBdr>
        <w:top w:val="none" w:sz="0" w:space="0" w:color="auto"/>
        <w:left w:val="none" w:sz="0" w:space="0" w:color="auto"/>
        <w:bottom w:val="none" w:sz="0" w:space="0" w:color="auto"/>
        <w:right w:val="none" w:sz="0" w:space="0" w:color="auto"/>
      </w:divBdr>
    </w:div>
    <w:div w:id="705955107">
      <w:bodyDiv w:val="1"/>
      <w:marLeft w:val="0"/>
      <w:marRight w:val="0"/>
      <w:marTop w:val="0"/>
      <w:marBottom w:val="0"/>
      <w:divBdr>
        <w:top w:val="none" w:sz="0" w:space="0" w:color="auto"/>
        <w:left w:val="none" w:sz="0" w:space="0" w:color="auto"/>
        <w:bottom w:val="none" w:sz="0" w:space="0" w:color="auto"/>
        <w:right w:val="none" w:sz="0" w:space="0" w:color="auto"/>
      </w:divBdr>
    </w:div>
    <w:div w:id="736903666">
      <w:bodyDiv w:val="1"/>
      <w:marLeft w:val="0"/>
      <w:marRight w:val="0"/>
      <w:marTop w:val="0"/>
      <w:marBottom w:val="0"/>
      <w:divBdr>
        <w:top w:val="none" w:sz="0" w:space="0" w:color="auto"/>
        <w:left w:val="none" w:sz="0" w:space="0" w:color="auto"/>
        <w:bottom w:val="none" w:sz="0" w:space="0" w:color="auto"/>
        <w:right w:val="none" w:sz="0" w:space="0" w:color="auto"/>
      </w:divBdr>
    </w:div>
    <w:div w:id="747921652">
      <w:bodyDiv w:val="1"/>
      <w:marLeft w:val="0"/>
      <w:marRight w:val="0"/>
      <w:marTop w:val="0"/>
      <w:marBottom w:val="0"/>
      <w:divBdr>
        <w:top w:val="none" w:sz="0" w:space="0" w:color="auto"/>
        <w:left w:val="none" w:sz="0" w:space="0" w:color="auto"/>
        <w:bottom w:val="none" w:sz="0" w:space="0" w:color="auto"/>
        <w:right w:val="none" w:sz="0" w:space="0" w:color="auto"/>
      </w:divBdr>
    </w:div>
    <w:div w:id="751659973">
      <w:bodyDiv w:val="1"/>
      <w:marLeft w:val="0"/>
      <w:marRight w:val="0"/>
      <w:marTop w:val="0"/>
      <w:marBottom w:val="0"/>
      <w:divBdr>
        <w:top w:val="none" w:sz="0" w:space="0" w:color="auto"/>
        <w:left w:val="none" w:sz="0" w:space="0" w:color="auto"/>
        <w:bottom w:val="none" w:sz="0" w:space="0" w:color="auto"/>
        <w:right w:val="none" w:sz="0" w:space="0" w:color="auto"/>
      </w:divBdr>
    </w:div>
    <w:div w:id="757747170">
      <w:bodyDiv w:val="1"/>
      <w:marLeft w:val="0"/>
      <w:marRight w:val="0"/>
      <w:marTop w:val="0"/>
      <w:marBottom w:val="0"/>
      <w:divBdr>
        <w:top w:val="none" w:sz="0" w:space="0" w:color="auto"/>
        <w:left w:val="none" w:sz="0" w:space="0" w:color="auto"/>
        <w:bottom w:val="none" w:sz="0" w:space="0" w:color="auto"/>
        <w:right w:val="none" w:sz="0" w:space="0" w:color="auto"/>
      </w:divBdr>
    </w:div>
    <w:div w:id="767848408">
      <w:bodyDiv w:val="1"/>
      <w:marLeft w:val="0"/>
      <w:marRight w:val="0"/>
      <w:marTop w:val="0"/>
      <w:marBottom w:val="0"/>
      <w:divBdr>
        <w:top w:val="none" w:sz="0" w:space="0" w:color="auto"/>
        <w:left w:val="none" w:sz="0" w:space="0" w:color="auto"/>
        <w:bottom w:val="none" w:sz="0" w:space="0" w:color="auto"/>
        <w:right w:val="none" w:sz="0" w:space="0" w:color="auto"/>
      </w:divBdr>
    </w:div>
    <w:div w:id="824666425">
      <w:bodyDiv w:val="1"/>
      <w:marLeft w:val="0"/>
      <w:marRight w:val="0"/>
      <w:marTop w:val="0"/>
      <w:marBottom w:val="0"/>
      <w:divBdr>
        <w:top w:val="none" w:sz="0" w:space="0" w:color="auto"/>
        <w:left w:val="none" w:sz="0" w:space="0" w:color="auto"/>
        <w:bottom w:val="none" w:sz="0" w:space="0" w:color="auto"/>
        <w:right w:val="none" w:sz="0" w:space="0" w:color="auto"/>
      </w:divBdr>
    </w:div>
    <w:div w:id="833569365">
      <w:bodyDiv w:val="1"/>
      <w:marLeft w:val="0"/>
      <w:marRight w:val="0"/>
      <w:marTop w:val="0"/>
      <w:marBottom w:val="0"/>
      <w:divBdr>
        <w:top w:val="none" w:sz="0" w:space="0" w:color="auto"/>
        <w:left w:val="none" w:sz="0" w:space="0" w:color="auto"/>
        <w:bottom w:val="none" w:sz="0" w:space="0" w:color="auto"/>
        <w:right w:val="none" w:sz="0" w:space="0" w:color="auto"/>
      </w:divBdr>
    </w:div>
    <w:div w:id="836190382">
      <w:bodyDiv w:val="1"/>
      <w:marLeft w:val="0"/>
      <w:marRight w:val="0"/>
      <w:marTop w:val="0"/>
      <w:marBottom w:val="0"/>
      <w:divBdr>
        <w:top w:val="none" w:sz="0" w:space="0" w:color="auto"/>
        <w:left w:val="none" w:sz="0" w:space="0" w:color="auto"/>
        <w:bottom w:val="none" w:sz="0" w:space="0" w:color="auto"/>
        <w:right w:val="none" w:sz="0" w:space="0" w:color="auto"/>
      </w:divBdr>
    </w:div>
    <w:div w:id="846097842">
      <w:bodyDiv w:val="1"/>
      <w:marLeft w:val="0"/>
      <w:marRight w:val="0"/>
      <w:marTop w:val="0"/>
      <w:marBottom w:val="0"/>
      <w:divBdr>
        <w:top w:val="none" w:sz="0" w:space="0" w:color="auto"/>
        <w:left w:val="none" w:sz="0" w:space="0" w:color="auto"/>
        <w:bottom w:val="none" w:sz="0" w:space="0" w:color="auto"/>
        <w:right w:val="none" w:sz="0" w:space="0" w:color="auto"/>
      </w:divBdr>
    </w:div>
    <w:div w:id="861550086">
      <w:bodyDiv w:val="1"/>
      <w:marLeft w:val="0"/>
      <w:marRight w:val="0"/>
      <w:marTop w:val="0"/>
      <w:marBottom w:val="0"/>
      <w:divBdr>
        <w:top w:val="none" w:sz="0" w:space="0" w:color="auto"/>
        <w:left w:val="none" w:sz="0" w:space="0" w:color="auto"/>
        <w:bottom w:val="none" w:sz="0" w:space="0" w:color="auto"/>
        <w:right w:val="none" w:sz="0" w:space="0" w:color="auto"/>
      </w:divBdr>
    </w:div>
    <w:div w:id="870847796">
      <w:bodyDiv w:val="1"/>
      <w:marLeft w:val="0"/>
      <w:marRight w:val="0"/>
      <w:marTop w:val="0"/>
      <w:marBottom w:val="0"/>
      <w:divBdr>
        <w:top w:val="none" w:sz="0" w:space="0" w:color="auto"/>
        <w:left w:val="none" w:sz="0" w:space="0" w:color="auto"/>
        <w:bottom w:val="none" w:sz="0" w:space="0" w:color="auto"/>
        <w:right w:val="none" w:sz="0" w:space="0" w:color="auto"/>
      </w:divBdr>
    </w:div>
    <w:div w:id="880477967">
      <w:bodyDiv w:val="1"/>
      <w:marLeft w:val="0"/>
      <w:marRight w:val="0"/>
      <w:marTop w:val="0"/>
      <w:marBottom w:val="0"/>
      <w:divBdr>
        <w:top w:val="none" w:sz="0" w:space="0" w:color="auto"/>
        <w:left w:val="none" w:sz="0" w:space="0" w:color="auto"/>
        <w:bottom w:val="none" w:sz="0" w:space="0" w:color="auto"/>
        <w:right w:val="none" w:sz="0" w:space="0" w:color="auto"/>
      </w:divBdr>
    </w:div>
    <w:div w:id="893464468">
      <w:bodyDiv w:val="1"/>
      <w:marLeft w:val="0"/>
      <w:marRight w:val="0"/>
      <w:marTop w:val="0"/>
      <w:marBottom w:val="0"/>
      <w:divBdr>
        <w:top w:val="none" w:sz="0" w:space="0" w:color="auto"/>
        <w:left w:val="none" w:sz="0" w:space="0" w:color="auto"/>
        <w:bottom w:val="none" w:sz="0" w:space="0" w:color="auto"/>
        <w:right w:val="none" w:sz="0" w:space="0" w:color="auto"/>
      </w:divBdr>
    </w:div>
    <w:div w:id="923994922">
      <w:bodyDiv w:val="1"/>
      <w:marLeft w:val="0"/>
      <w:marRight w:val="0"/>
      <w:marTop w:val="0"/>
      <w:marBottom w:val="0"/>
      <w:divBdr>
        <w:top w:val="none" w:sz="0" w:space="0" w:color="auto"/>
        <w:left w:val="none" w:sz="0" w:space="0" w:color="auto"/>
        <w:bottom w:val="none" w:sz="0" w:space="0" w:color="auto"/>
        <w:right w:val="none" w:sz="0" w:space="0" w:color="auto"/>
      </w:divBdr>
    </w:div>
    <w:div w:id="929966820">
      <w:bodyDiv w:val="1"/>
      <w:marLeft w:val="0"/>
      <w:marRight w:val="0"/>
      <w:marTop w:val="0"/>
      <w:marBottom w:val="0"/>
      <w:divBdr>
        <w:top w:val="none" w:sz="0" w:space="0" w:color="auto"/>
        <w:left w:val="none" w:sz="0" w:space="0" w:color="auto"/>
        <w:bottom w:val="none" w:sz="0" w:space="0" w:color="auto"/>
        <w:right w:val="none" w:sz="0" w:space="0" w:color="auto"/>
      </w:divBdr>
    </w:div>
    <w:div w:id="944772892">
      <w:bodyDiv w:val="1"/>
      <w:marLeft w:val="0"/>
      <w:marRight w:val="0"/>
      <w:marTop w:val="0"/>
      <w:marBottom w:val="0"/>
      <w:divBdr>
        <w:top w:val="none" w:sz="0" w:space="0" w:color="auto"/>
        <w:left w:val="none" w:sz="0" w:space="0" w:color="auto"/>
        <w:bottom w:val="none" w:sz="0" w:space="0" w:color="auto"/>
        <w:right w:val="none" w:sz="0" w:space="0" w:color="auto"/>
      </w:divBdr>
    </w:div>
    <w:div w:id="977882652">
      <w:bodyDiv w:val="1"/>
      <w:marLeft w:val="0"/>
      <w:marRight w:val="0"/>
      <w:marTop w:val="0"/>
      <w:marBottom w:val="0"/>
      <w:divBdr>
        <w:top w:val="none" w:sz="0" w:space="0" w:color="auto"/>
        <w:left w:val="none" w:sz="0" w:space="0" w:color="auto"/>
        <w:bottom w:val="none" w:sz="0" w:space="0" w:color="auto"/>
        <w:right w:val="none" w:sz="0" w:space="0" w:color="auto"/>
      </w:divBdr>
    </w:div>
    <w:div w:id="978270207">
      <w:bodyDiv w:val="1"/>
      <w:marLeft w:val="0"/>
      <w:marRight w:val="0"/>
      <w:marTop w:val="0"/>
      <w:marBottom w:val="0"/>
      <w:divBdr>
        <w:top w:val="none" w:sz="0" w:space="0" w:color="auto"/>
        <w:left w:val="none" w:sz="0" w:space="0" w:color="auto"/>
        <w:bottom w:val="none" w:sz="0" w:space="0" w:color="auto"/>
        <w:right w:val="none" w:sz="0" w:space="0" w:color="auto"/>
      </w:divBdr>
    </w:div>
    <w:div w:id="981425225">
      <w:bodyDiv w:val="1"/>
      <w:marLeft w:val="0"/>
      <w:marRight w:val="0"/>
      <w:marTop w:val="0"/>
      <w:marBottom w:val="0"/>
      <w:divBdr>
        <w:top w:val="none" w:sz="0" w:space="0" w:color="auto"/>
        <w:left w:val="none" w:sz="0" w:space="0" w:color="auto"/>
        <w:bottom w:val="none" w:sz="0" w:space="0" w:color="auto"/>
        <w:right w:val="none" w:sz="0" w:space="0" w:color="auto"/>
      </w:divBdr>
    </w:div>
    <w:div w:id="989939260">
      <w:bodyDiv w:val="1"/>
      <w:marLeft w:val="0"/>
      <w:marRight w:val="0"/>
      <w:marTop w:val="0"/>
      <w:marBottom w:val="0"/>
      <w:divBdr>
        <w:top w:val="none" w:sz="0" w:space="0" w:color="auto"/>
        <w:left w:val="none" w:sz="0" w:space="0" w:color="auto"/>
        <w:bottom w:val="none" w:sz="0" w:space="0" w:color="auto"/>
        <w:right w:val="none" w:sz="0" w:space="0" w:color="auto"/>
      </w:divBdr>
    </w:div>
    <w:div w:id="997659016">
      <w:bodyDiv w:val="1"/>
      <w:marLeft w:val="0"/>
      <w:marRight w:val="0"/>
      <w:marTop w:val="0"/>
      <w:marBottom w:val="0"/>
      <w:divBdr>
        <w:top w:val="none" w:sz="0" w:space="0" w:color="auto"/>
        <w:left w:val="none" w:sz="0" w:space="0" w:color="auto"/>
        <w:bottom w:val="none" w:sz="0" w:space="0" w:color="auto"/>
        <w:right w:val="none" w:sz="0" w:space="0" w:color="auto"/>
      </w:divBdr>
    </w:div>
    <w:div w:id="998772356">
      <w:bodyDiv w:val="1"/>
      <w:marLeft w:val="0"/>
      <w:marRight w:val="0"/>
      <w:marTop w:val="0"/>
      <w:marBottom w:val="0"/>
      <w:divBdr>
        <w:top w:val="none" w:sz="0" w:space="0" w:color="auto"/>
        <w:left w:val="none" w:sz="0" w:space="0" w:color="auto"/>
        <w:bottom w:val="none" w:sz="0" w:space="0" w:color="auto"/>
        <w:right w:val="none" w:sz="0" w:space="0" w:color="auto"/>
      </w:divBdr>
    </w:div>
    <w:div w:id="1020161247">
      <w:bodyDiv w:val="1"/>
      <w:marLeft w:val="0"/>
      <w:marRight w:val="0"/>
      <w:marTop w:val="0"/>
      <w:marBottom w:val="0"/>
      <w:divBdr>
        <w:top w:val="none" w:sz="0" w:space="0" w:color="auto"/>
        <w:left w:val="none" w:sz="0" w:space="0" w:color="auto"/>
        <w:bottom w:val="none" w:sz="0" w:space="0" w:color="auto"/>
        <w:right w:val="none" w:sz="0" w:space="0" w:color="auto"/>
      </w:divBdr>
    </w:div>
    <w:div w:id="1035543022">
      <w:bodyDiv w:val="1"/>
      <w:marLeft w:val="0"/>
      <w:marRight w:val="0"/>
      <w:marTop w:val="0"/>
      <w:marBottom w:val="0"/>
      <w:divBdr>
        <w:top w:val="none" w:sz="0" w:space="0" w:color="auto"/>
        <w:left w:val="none" w:sz="0" w:space="0" w:color="auto"/>
        <w:bottom w:val="none" w:sz="0" w:space="0" w:color="auto"/>
        <w:right w:val="none" w:sz="0" w:space="0" w:color="auto"/>
      </w:divBdr>
    </w:div>
    <w:div w:id="1052656544">
      <w:bodyDiv w:val="1"/>
      <w:marLeft w:val="0"/>
      <w:marRight w:val="0"/>
      <w:marTop w:val="0"/>
      <w:marBottom w:val="0"/>
      <w:divBdr>
        <w:top w:val="none" w:sz="0" w:space="0" w:color="auto"/>
        <w:left w:val="none" w:sz="0" w:space="0" w:color="auto"/>
        <w:bottom w:val="none" w:sz="0" w:space="0" w:color="auto"/>
        <w:right w:val="none" w:sz="0" w:space="0" w:color="auto"/>
      </w:divBdr>
    </w:div>
    <w:div w:id="1055738692">
      <w:bodyDiv w:val="1"/>
      <w:marLeft w:val="0"/>
      <w:marRight w:val="0"/>
      <w:marTop w:val="0"/>
      <w:marBottom w:val="0"/>
      <w:divBdr>
        <w:top w:val="none" w:sz="0" w:space="0" w:color="auto"/>
        <w:left w:val="none" w:sz="0" w:space="0" w:color="auto"/>
        <w:bottom w:val="none" w:sz="0" w:space="0" w:color="auto"/>
        <w:right w:val="none" w:sz="0" w:space="0" w:color="auto"/>
      </w:divBdr>
    </w:div>
    <w:div w:id="1061101952">
      <w:bodyDiv w:val="1"/>
      <w:marLeft w:val="0"/>
      <w:marRight w:val="0"/>
      <w:marTop w:val="0"/>
      <w:marBottom w:val="0"/>
      <w:divBdr>
        <w:top w:val="none" w:sz="0" w:space="0" w:color="auto"/>
        <w:left w:val="none" w:sz="0" w:space="0" w:color="auto"/>
        <w:bottom w:val="none" w:sz="0" w:space="0" w:color="auto"/>
        <w:right w:val="none" w:sz="0" w:space="0" w:color="auto"/>
      </w:divBdr>
    </w:div>
    <w:div w:id="1105617107">
      <w:bodyDiv w:val="1"/>
      <w:marLeft w:val="0"/>
      <w:marRight w:val="0"/>
      <w:marTop w:val="0"/>
      <w:marBottom w:val="0"/>
      <w:divBdr>
        <w:top w:val="none" w:sz="0" w:space="0" w:color="auto"/>
        <w:left w:val="none" w:sz="0" w:space="0" w:color="auto"/>
        <w:bottom w:val="none" w:sz="0" w:space="0" w:color="auto"/>
        <w:right w:val="none" w:sz="0" w:space="0" w:color="auto"/>
      </w:divBdr>
    </w:div>
    <w:div w:id="1106192126">
      <w:bodyDiv w:val="1"/>
      <w:marLeft w:val="0"/>
      <w:marRight w:val="0"/>
      <w:marTop w:val="0"/>
      <w:marBottom w:val="0"/>
      <w:divBdr>
        <w:top w:val="none" w:sz="0" w:space="0" w:color="auto"/>
        <w:left w:val="none" w:sz="0" w:space="0" w:color="auto"/>
        <w:bottom w:val="none" w:sz="0" w:space="0" w:color="auto"/>
        <w:right w:val="none" w:sz="0" w:space="0" w:color="auto"/>
      </w:divBdr>
    </w:div>
    <w:div w:id="1117407736">
      <w:bodyDiv w:val="1"/>
      <w:marLeft w:val="0"/>
      <w:marRight w:val="0"/>
      <w:marTop w:val="0"/>
      <w:marBottom w:val="0"/>
      <w:divBdr>
        <w:top w:val="none" w:sz="0" w:space="0" w:color="auto"/>
        <w:left w:val="none" w:sz="0" w:space="0" w:color="auto"/>
        <w:bottom w:val="none" w:sz="0" w:space="0" w:color="auto"/>
        <w:right w:val="none" w:sz="0" w:space="0" w:color="auto"/>
      </w:divBdr>
    </w:div>
    <w:div w:id="1147211291">
      <w:bodyDiv w:val="1"/>
      <w:marLeft w:val="0"/>
      <w:marRight w:val="0"/>
      <w:marTop w:val="0"/>
      <w:marBottom w:val="0"/>
      <w:divBdr>
        <w:top w:val="none" w:sz="0" w:space="0" w:color="auto"/>
        <w:left w:val="none" w:sz="0" w:space="0" w:color="auto"/>
        <w:bottom w:val="none" w:sz="0" w:space="0" w:color="auto"/>
        <w:right w:val="none" w:sz="0" w:space="0" w:color="auto"/>
      </w:divBdr>
    </w:div>
    <w:div w:id="1154104550">
      <w:bodyDiv w:val="1"/>
      <w:marLeft w:val="0"/>
      <w:marRight w:val="0"/>
      <w:marTop w:val="0"/>
      <w:marBottom w:val="0"/>
      <w:divBdr>
        <w:top w:val="none" w:sz="0" w:space="0" w:color="auto"/>
        <w:left w:val="none" w:sz="0" w:space="0" w:color="auto"/>
        <w:bottom w:val="none" w:sz="0" w:space="0" w:color="auto"/>
        <w:right w:val="none" w:sz="0" w:space="0" w:color="auto"/>
      </w:divBdr>
    </w:div>
    <w:div w:id="1154832973">
      <w:bodyDiv w:val="1"/>
      <w:marLeft w:val="0"/>
      <w:marRight w:val="0"/>
      <w:marTop w:val="0"/>
      <w:marBottom w:val="0"/>
      <w:divBdr>
        <w:top w:val="none" w:sz="0" w:space="0" w:color="auto"/>
        <w:left w:val="none" w:sz="0" w:space="0" w:color="auto"/>
        <w:bottom w:val="none" w:sz="0" w:space="0" w:color="auto"/>
        <w:right w:val="none" w:sz="0" w:space="0" w:color="auto"/>
      </w:divBdr>
    </w:div>
    <w:div w:id="1190753971">
      <w:bodyDiv w:val="1"/>
      <w:marLeft w:val="0"/>
      <w:marRight w:val="0"/>
      <w:marTop w:val="0"/>
      <w:marBottom w:val="0"/>
      <w:divBdr>
        <w:top w:val="none" w:sz="0" w:space="0" w:color="auto"/>
        <w:left w:val="none" w:sz="0" w:space="0" w:color="auto"/>
        <w:bottom w:val="none" w:sz="0" w:space="0" w:color="auto"/>
        <w:right w:val="none" w:sz="0" w:space="0" w:color="auto"/>
      </w:divBdr>
    </w:div>
    <w:div w:id="1197161703">
      <w:bodyDiv w:val="1"/>
      <w:marLeft w:val="0"/>
      <w:marRight w:val="0"/>
      <w:marTop w:val="0"/>
      <w:marBottom w:val="0"/>
      <w:divBdr>
        <w:top w:val="none" w:sz="0" w:space="0" w:color="auto"/>
        <w:left w:val="none" w:sz="0" w:space="0" w:color="auto"/>
        <w:bottom w:val="none" w:sz="0" w:space="0" w:color="auto"/>
        <w:right w:val="none" w:sz="0" w:space="0" w:color="auto"/>
      </w:divBdr>
    </w:div>
    <w:div w:id="1202480406">
      <w:bodyDiv w:val="1"/>
      <w:marLeft w:val="0"/>
      <w:marRight w:val="0"/>
      <w:marTop w:val="0"/>
      <w:marBottom w:val="0"/>
      <w:divBdr>
        <w:top w:val="none" w:sz="0" w:space="0" w:color="auto"/>
        <w:left w:val="none" w:sz="0" w:space="0" w:color="auto"/>
        <w:bottom w:val="none" w:sz="0" w:space="0" w:color="auto"/>
        <w:right w:val="none" w:sz="0" w:space="0" w:color="auto"/>
      </w:divBdr>
    </w:div>
    <w:div w:id="1243099713">
      <w:bodyDiv w:val="1"/>
      <w:marLeft w:val="0"/>
      <w:marRight w:val="0"/>
      <w:marTop w:val="0"/>
      <w:marBottom w:val="0"/>
      <w:divBdr>
        <w:top w:val="none" w:sz="0" w:space="0" w:color="auto"/>
        <w:left w:val="none" w:sz="0" w:space="0" w:color="auto"/>
        <w:bottom w:val="none" w:sz="0" w:space="0" w:color="auto"/>
        <w:right w:val="none" w:sz="0" w:space="0" w:color="auto"/>
      </w:divBdr>
    </w:div>
    <w:div w:id="1266646549">
      <w:bodyDiv w:val="1"/>
      <w:marLeft w:val="0"/>
      <w:marRight w:val="0"/>
      <w:marTop w:val="0"/>
      <w:marBottom w:val="0"/>
      <w:divBdr>
        <w:top w:val="none" w:sz="0" w:space="0" w:color="auto"/>
        <w:left w:val="none" w:sz="0" w:space="0" w:color="auto"/>
        <w:bottom w:val="none" w:sz="0" w:space="0" w:color="auto"/>
        <w:right w:val="none" w:sz="0" w:space="0" w:color="auto"/>
      </w:divBdr>
    </w:div>
    <w:div w:id="1278954366">
      <w:bodyDiv w:val="1"/>
      <w:marLeft w:val="0"/>
      <w:marRight w:val="0"/>
      <w:marTop w:val="0"/>
      <w:marBottom w:val="0"/>
      <w:divBdr>
        <w:top w:val="none" w:sz="0" w:space="0" w:color="auto"/>
        <w:left w:val="none" w:sz="0" w:space="0" w:color="auto"/>
        <w:bottom w:val="none" w:sz="0" w:space="0" w:color="auto"/>
        <w:right w:val="none" w:sz="0" w:space="0" w:color="auto"/>
      </w:divBdr>
    </w:div>
    <w:div w:id="1279878112">
      <w:bodyDiv w:val="1"/>
      <w:marLeft w:val="0"/>
      <w:marRight w:val="0"/>
      <w:marTop w:val="0"/>
      <w:marBottom w:val="0"/>
      <w:divBdr>
        <w:top w:val="none" w:sz="0" w:space="0" w:color="auto"/>
        <w:left w:val="none" w:sz="0" w:space="0" w:color="auto"/>
        <w:bottom w:val="none" w:sz="0" w:space="0" w:color="auto"/>
        <w:right w:val="none" w:sz="0" w:space="0" w:color="auto"/>
      </w:divBdr>
    </w:div>
    <w:div w:id="1281038030">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300500163">
      <w:bodyDiv w:val="1"/>
      <w:marLeft w:val="0"/>
      <w:marRight w:val="0"/>
      <w:marTop w:val="0"/>
      <w:marBottom w:val="0"/>
      <w:divBdr>
        <w:top w:val="none" w:sz="0" w:space="0" w:color="auto"/>
        <w:left w:val="none" w:sz="0" w:space="0" w:color="auto"/>
        <w:bottom w:val="none" w:sz="0" w:space="0" w:color="auto"/>
        <w:right w:val="none" w:sz="0" w:space="0" w:color="auto"/>
      </w:divBdr>
      <w:divsChild>
        <w:div w:id="426851668">
          <w:marLeft w:val="0"/>
          <w:marRight w:val="0"/>
          <w:marTop w:val="0"/>
          <w:marBottom w:val="0"/>
          <w:divBdr>
            <w:top w:val="none" w:sz="0" w:space="0" w:color="auto"/>
            <w:left w:val="none" w:sz="0" w:space="0" w:color="auto"/>
            <w:bottom w:val="none" w:sz="0" w:space="0" w:color="auto"/>
            <w:right w:val="none" w:sz="0" w:space="0" w:color="auto"/>
          </w:divBdr>
          <w:divsChild>
            <w:div w:id="164781667">
              <w:marLeft w:val="0"/>
              <w:marRight w:val="0"/>
              <w:marTop w:val="0"/>
              <w:marBottom w:val="0"/>
              <w:divBdr>
                <w:top w:val="none" w:sz="0" w:space="0" w:color="auto"/>
                <w:left w:val="none" w:sz="0" w:space="0" w:color="auto"/>
                <w:bottom w:val="none" w:sz="0" w:space="0" w:color="auto"/>
                <w:right w:val="none" w:sz="0" w:space="0" w:color="auto"/>
              </w:divBdr>
              <w:divsChild>
                <w:div w:id="1823497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1205323">
      <w:bodyDiv w:val="1"/>
      <w:marLeft w:val="0"/>
      <w:marRight w:val="0"/>
      <w:marTop w:val="0"/>
      <w:marBottom w:val="0"/>
      <w:divBdr>
        <w:top w:val="none" w:sz="0" w:space="0" w:color="auto"/>
        <w:left w:val="none" w:sz="0" w:space="0" w:color="auto"/>
        <w:bottom w:val="none" w:sz="0" w:space="0" w:color="auto"/>
        <w:right w:val="none" w:sz="0" w:space="0" w:color="auto"/>
      </w:divBdr>
    </w:div>
    <w:div w:id="1315523885">
      <w:bodyDiv w:val="1"/>
      <w:marLeft w:val="0"/>
      <w:marRight w:val="0"/>
      <w:marTop w:val="0"/>
      <w:marBottom w:val="0"/>
      <w:divBdr>
        <w:top w:val="none" w:sz="0" w:space="0" w:color="auto"/>
        <w:left w:val="none" w:sz="0" w:space="0" w:color="auto"/>
        <w:bottom w:val="none" w:sz="0" w:space="0" w:color="auto"/>
        <w:right w:val="none" w:sz="0" w:space="0" w:color="auto"/>
      </w:divBdr>
    </w:div>
    <w:div w:id="1316375091">
      <w:bodyDiv w:val="1"/>
      <w:marLeft w:val="0"/>
      <w:marRight w:val="0"/>
      <w:marTop w:val="0"/>
      <w:marBottom w:val="0"/>
      <w:divBdr>
        <w:top w:val="none" w:sz="0" w:space="0" w:color="auto"/>
        <w:left w:val="none" w:sz="0" w:space="0" w:color="auto"/>
        <w:bottom w:val="none" w:sz="0" w:space="0" w:color="auto"/>
        <w:right w:val="none" w:sz="0" w:space="0" w:color="auto"/>
      </w:divBdr>
    </w:div>
    <w:div w:id="1338003324">
      <w:bodyDiv w:val="1"/>
      <w:marLeft w:val="0"/>
      <w:marRight w:val="0"/>
      <w:marTop w:val="0"/>
      <w:marBottom w:val="0"/>
      <w:divBdr>
        <w:top w:val="none" w:sz="0" w:space="0" w:color="auto"/>
        <w:left w:val="none" w:sz="0" w:space="0" w:color="auto"/>
        <w:bottom w:val="none" w:sz="0" w:space="0" w:color="auto"/>
        <w:right w:val="none" w:sz="0" w:space="0" w:color="auto"/>
      </w:divBdr>
    </w:div>
    <w:div w:id="1354067438">
      <w:bodyDiv w:val="1"/>
      <w:marLeft w:val="0"/>
      <w:marRight w:val="0"/>
      <w:marTop w:val="0"/>
      <w:marBottom w:val="0"/>
      <w:divBdr>
        <w:top w:val="none" w:sz="0" w:space="0" w:color="auto"/>
        <w:left w:val="none" w:sz="0" w:space="0" w:color="auto"/>
        <w:bottom w:val="none" w:sz="0" w:space="0" w:color="auto"/>
        <w:right w:val="none" w:sz="0" w:space="0" w:color="auto"/>
      </w:divBdr>
    </w:div>
    <w:div w:id="1365211058">
      <w:bodyDiv w:val="1"/>
      <w:marLeft w:val="0"/>
      <w:marRight w:val="0"/>
      <w:marTop w:val="0"/>
      <w:marBottom w:val="0"/>
      <w:divBdr>
        <w:top w:val="none" w:sz="0" w:space="0" w:color="auto"/>
        <w:left w:val="none" w:sz="0" w:space="0" w:color="auto"/>
        <w:bottom w:val="none" w:sz="0" w:space="0" w:color="auto"/>
        <w:right w:val="none" w:sz="0" w:space="0" w:color="auto"/>
      </w:divBdr>
    </w:div>
    <w:div w:id="1366255358">
      <w:bodyDiv w:val="1"/>
      <w:marLeft w:val="0"/>
      <w:marRight w:val="0"/>
      <w:marTop w:val="0"/>
      <w:marBottom w:val="0"/>
      <w:divBdr>
        <w:top w:val="none" w:sz="0" w:space="0" w:color="auto"/>
        <w:left w:val="none" w:sz="0" w:space="0" w:color="auto"/>
        <w:bottom w:val="none" w:sz="0" w:space="0" w:color="auto"/>
        <w:right w:val="none" w:sz="0" w:space="0" w:color="auto"/>
      </w:divBdr>
    </w:div>
    <w:div w:id="1369986926">
      <w:bodyDiv w:val="1"/>
      <w:marLeft w:val="0"/>
      <w:marRight w:val="0"/>
      <w:marTop w:val="0"/>
      <w:marBottom w:val="0"/>
      <w:divBdr>
        <w:top w:val="none" w:sz="0" w:space="0" w:color="auto"/>
        <w:left w:val="none" w:sz="0" w:space="0" w:color="auto"/>
        <w:bottom w:val="none" w:sz="0" w:space="0" w:color="auto"/>
        <w:right w:val="none" w:sz="0" w:space="0" w:color="auto"/>
      </w:divBdr>
    </w:div>
    <w:div w:id="1381635480">
      <w:bodyDiv w:val="1"/>
      <w:marLeft w:val="0"/>
      <w:marRight w:val="0"/>
      <w:marTop w:val="0"/>
      <w:marBottom w:val="0"/>
      <w:divBdr>
        <w:top w:val="none" w:sz="0" w:space="0" w:color="auto"/>
        <w:left w:val="none" w:sz="0" w:space="0" w:color="auto"/>
        <w:bottom w:val="none" w:sz="0" w:space="0" w:color="auto"/>
        <w:right w:val="none" w:sz="0" w:space="0" w:color="auto"/>
      </w:divBdr>
    </w:div>
    <w:div w:id="1388451986">
      <w:bodyDiv w:val="1"/>
      <w:marLeft w:val="0"/>
      <w:marRight w:val="0"/>
      <w:marTop w:val="0"/>
      <w:marBottom w:val="0"/>
      <w:divBdr>
        <w:top w:val="none" w:sz="0" w:space="0" w:color="auto"/>
        <w:left w:val="none" w:sz="0" w:space="0" w:color="auto"/>
        <w:bottom w:val="none" w:sz="0" w:space="0" w:color="auto"/>
        <w:right w:val="none" w:sz="0" w:space="0" w:color="auto"/>
      </w:divBdr>
    </w:div>
    <w:div w:id="1436172197">
      <w:bodyDiv w:val="1"/>
      <w:marLeft w:val="0"/>
      <w:marRight w:val="0"/>
      <w:marTop w:val="0"/>
      <w:marBottom w:val="0"/>
      <w:divBdr>
        <w:top w:val="none" w:sz="0" w:space="0" w:color="auto"/>
        <w:left w:val="none" w:sz="0" w:space="0" w:color="auto"/>
        <w:bottom w:val="none" w:sz="0" w:space="0" w:color="auto"/>
        <w:right w:val="none" w:sz="0" w:space="0" w:color="auto"/>
      </w:divBdr>
    </w:div>
    <w:div w:id="1436752679">
      <w:bodyDiv w:val="1"/>
      <w:marLeft w:val="0"/>
      <w:marRight w:val="0"/>
      <w:marTop w:val="0"/>
      <w:marBottom w:val="0"/>
      <w:divBdr>
        <w:top w:val="none" w:sz="0" w:space="0" w:color="auto"/>
        <w:left w:val="none" w:sz="0" w:space="0" w:color="auto"/>
        <w:bottom w:val="none" w:sz="0" w:space="0" w:color="auto"/>
        <w:right w:val="none" w:sz="0" w:space="0" w:color="auto"/>
      </w:divBdr>
    </w:div>
    <w:div w:id="1462962699">
      <w:bodyDiv w:val="1"/>
      <w:marLeft w:val="0"/>
      <w:marRight w:val="0"/>
      <w:marTop w:val="0"/>
      <w:marBottom w:val="0"/>
      <w:divBdr>
        <w:top w:val="none" w:sz="0" w:space="0" w:color="auto"/>
        <w:left w:val="none" w:sz="0" w:space="0" w:color="auto"/>
        <w:bottom w:val="none" w:sz="0" w:space="0" w:color="auto"/>
        <w:right w:val="none" w:sz="0" w:space="0" w:color="auto"/>
      </w:divBdr>
      <w:divsChild>
        <w:div w:id="1887372184">
          <w:marLeft w:val="0"/>
          <w:marRight w:val="0"/>
          <w:marTop w:val="0"/>
          <w:marBottom w:val="0"/>
          <w:divBdr>
            <w:top w:val="none" w:sz="0" w:space="0" w:color="auto"/>
            <w:left w:val="none" w:sz="0" w:space="0" w:color="auto"/>
            <w:bottom w:val="none" w:sz="0" w:space="0" w:color="auto"/>
            <w:right w:val="none" w:sz="0" w:space="0" w:color="auto"/>
          </w:divBdr>
        </w:div>
      </w:divsChild>
    </w:div>
    <w:div w:id="1479491204">
      <w:bodyDiv w:val="1"/>
      <w:marLeft w:val="0"/>
      <w:marRight w:val="0"/>
      <w:marTop w:val="0"/>
      <w:marBottom w:val="0"/>
      <w:divBdr>
        <w:top w:val="none" w:sz="0" w:space="0" w:color="auto"/>
        <w:left w:val="none" w:sz="0" w:space="0" w:color="auto"/>
        <w:bottom w:val="none" w:sz="0" w:space="0" w:color="auto"/>
        <w:right w:val="none" w:sz="0" w:space="0" w:color="auto"/>
      </w:divBdr>
    </w:div>
    <w:div w:id="1491100718">
      <w:bodyDiv w:val="1"/>
      <w:marLeft w:val="0"/>
      <w:marRight w:val="0"/>
      <w:marTop w:val="0"/>
      <w:marBottom w:val="0"/>
      <w:divBdr>
        <w:top w:val="none" w:sz="0" w:space="0" w:color="auto"/>
        <w:left w:val="none" w:sz="0" w:space="0" w:color="auto"/>
        <w:bottom w:val="none" w:sz="0" w:space="0" w:color="auto"/>
        <w:right w:val="none" w:sz="0" w:space="0" w:color="auto"/>
      </w:divBdr>
      <w:divsChild>
        <w:div w:id="406192133">
          <w:marLeft w:val="0"/>
          <w:marRight w:val="0"/>
          <w:marTop w:val="0"/>
          <w:marBottom w:val="0"/>
          <w:divBdr>
            <w:top w:val="none" w:sz="0" w:space="0" w:color="auto"/>
            <w:left w:val="none" w:sz="0" w:space="0" w:color="auto"/>
            <w:bottom w:val="none" w:sz="0" w:space="0" w:color="auto"/>
            <w:right w:val="none" w:sz="0" w:space="0" w:color="auto"/>
          </w:divBdr>
          <w:divsChild>
            <w:div w:id="1573931287">
              <w:marLeft w:val="0"/>
              <w:marRight w:val="0"/>
              <w:marTop w:val="0"/>
              <w:marBottom w:val="0"/>
              <w:divBdr>
                <w:top w:val="none" w:sz="0" w:space="0" w:color="auto"/>
                <w:left w:val="none" w:sz="0" w:space="0" w:color="auto"/>
                <w:bottom w:val="none" w:sz="0" w:space="0" w:color="auto"/>
                <w:right w:val="none" w:sz="0" w:space="0" w:color="auto"/>
              </w:divBdr>
              <w:divsChild>
                <w:div w:id="930312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6410142">
      <w:bodyDiv w:val="1"/>
      <w:marLeft w:val="0"/>
      <w:marRight w:val="0"/>
      <w:marTop w:val="0"/>
      <w:marBottom w:val="0"/>
      <w:divBdr>
        <w:top w:val="none" w:sz="0" w:space="0" w:color="auto"/>
        <w:left w:val="none" w:sz="0" w:space="0" w:color="auto"/>
        <w:bottom w:val="none" w:sz="0" w:space="0" w:color="auto"/>
        <w:right w:val="none" w:sz="0" w:space="0" w:color="auto"/>
      </w:divBdr>
    </w:div>
    <w:div w:id="1504662853">
      <w:bodyDiv w:val="1"/>
      <w:marLeft w:val="0"/>
      <w:marRight w:val="0"/>
      <w:marTop w:val="0"/>
      <w:marBottom w:val="0"/>
      <w:divBdr>
        <w:top w:val="none" w:sz="0" w:space="0" w:color="auto"/>
        <w:left w:val="none" w:sz="0" w:space="0" w:color="auto"/>
        <w:bottom w:val="none" w:sz="0" w:space="0" w:color="auto"/>
        <w:right w:val="none" w:sz="0" w:space="0" w:color="auto"/>
      </w:divBdr>
      <w:divsChild>
        <w:div w:id="290405025">
          <w:marLeft w:val="0"/>
          <w:marRight w:val="0"/>
          <w:marTop w:val="0"/>
          <w:marBottom w:val="0"/>
          <w:divBdr>
            <w:top w:val="none" w:sz="0" w:space="0" w:color="auto"/>
            <w:left w:val="none" w:sz="0" w:space="0" w:color="auto"/>
            <w:bottom w:val="none" w:sz="0" w:space="0" w:color="auto"/>
            <w:right w:val="none" w:sz="0" w:space="0" w:color="auto"/>
          </w:divBdr>
          <w:divsChild>
            <w:div w:id="1521891939">
              <w:marLeft w:val="0"/>
              <w:marRight w:val="0"/>
              <w:marTop w:val="0"/>
              <w:marBottom w:val="0"/>
              <w:divBdr>
                <w:top w:val="none" w:sz="0" w:space="0" w:color="auto"/>
                <w:left w:val="none" w:sz="0" w:space="0" w:color="auto"/>
                <w:bottom w:val="none" w:sz="0" w:space="0" w:color="auto"/>
                <w:right w:val="none" w:sz="0" w:space="0" w:color="auto"/>
              </w:divBdr>
              <w:divsChild>
                <w:div w:id="1261600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9297186">
      <w:bodyDiv w:val="1"/>
      <w:marLeft w:val="0"/>
      <w:marRight w:val="0"/>
      <w:marTop w:val="0"/>
      <w:marBottom w:val="0"/>
      <w:divBdr>
        <w:top w:val="none" w:sz="0" w:space="0" w:color="auto"/>
        <w:left w:val="none" w:sz="0" w:space="0" w:color="auto"/>
        <w:bottom w:val="none" w:sz="0" w:space="0" w:color="auto"/>
        <w:right w:val="none" w:sz="0" w:space="0" w:color="auto"/>
      </w:divBdr>
    </w:div>
    <w:div w:id="1514492636">
      <w:bodyDiv w:val="1"/>
      <w:marLeft w:val="0"/>
      <w:marRight w:val="0"/>
      <w:marTop w:val="0"/>
      <w:marBottom w:val="0"/>
      <w:divBdr>
        <w:top w:val="none" w:sz="0" w:space="0" w:color="auto"/>
        <w:left w:val="none" w:sz="0" w:space="0" w:color="auto"/>
        <w:bottom w:val="none" w:sz="0" w:space="0" w:color="auto"/>
        <w:right w:val="none" w:sz="0" w:space="0" w:color="auto"/>
      </w:divBdr>
    </w:div>
    <w:div w:id="1514955040">
      <w:bodyDiv w:val="1"/>
      <w:marLeft w:val="0"/>
      <w:marRight w:val="0"/>
      <w:marTop w:val="0"/>
      <w:marBottom w:val="0"/>
      <w:divBdr>
        <w:top w:val="none" w:sz="0" w:space="0" w:color="auto"/>
        <w:left w:val="none" w:sz="0" w:space="0" w:color="auto"/>
        <w:bottom w:val="none" w:sz="0" w:space="0" w:color="auto"/>
        <w:right w:val="none" w:sz="0" w:space="0" w:color="auto"/>
      </w:divBdr>
    </w:div>
    <w:div w:id="1575895669">
      <w:bodyDiv w:val="1"/>
      <w:marLeft w:val="0"/>
      <w:marRight w:val="0"/>
      <w:marTop w:val="0"/>
      <w:marBottom w:val="0"/>
      <w:divBdr>
        <w:top w:val="none" w:sz="0" w:space="0" w:color="auto"/>
        <w:left w:val="none" w:sz="0" w:space="0" w:color="auto"/>
        <w:bottom w:val="none" w:sz="0" w:space="0" w:color="auto"/>
        <w:right w:val="none" w:sz="0" w:space="0" w:color="auto"/>
      </w:divBdr>
    </w:div>
    <w:div w:id="1579558423">
      <w:bodyDiv w:val="1"/>
      <w:marLeft w:val="0"/>
      <w:marRight w:val="0"/>
      <w:marTop w:val="0"/>
      <w:marBottom w:val="0"/>
      <w:divBdr>
        <w:top w:val="none" w:sz="0" w:space="0" w:color="auto"/>
        <w:left w:val="none" w:sz="0" w:space="0" w:color="auto"/>
        <w:bottom w:val="none" w:sz="0" w:space="0" w:color="auto"/>
        <w:right w:val="none" w:sz="0" w:space="0" w:color="auto"/>
      </w:divBdr>
      <w:divsChild>
        <w:div w:id="572862499">
          <w:marLeft w:val="0"/>
          <w:marRight w:val="0"/>
          <w:marTop w:val="0"/>
          <w:marBottom w:val="0"/>
          <w:divBdr>
            <w:top w:val="none" w:sz="0" w:space="0" w:color="auto"/>
            <w:left w:val="none" w:sz="0" w:space="0" w:color="auto"/>
            <w:bottom w:val="none" w:sz="0" w:space="0" w:color="auto"/>
            <w:right w:val="none" w:sz="0" w:space="0" w:color="auto"/>
          </w:divBdr>
          <w:divsChild>
            <w:div w:id="1794787117">
              <w:marLeft w:val="0"/>
              <w:marRight w:val="0"/>
              <w:marTop w:val="0"/>
              <w:marBottom w:val="0"/>
              <w:divBdr>
                <w:top w:val="none" w:sz="0" w:space="0" w:color="auto"/>
                <w:left w:val="none" w:sz="0" w:space="0" w:color="auto"/>
                <w:bottom w:val="none" w:sz="0" w:space="0" w:color="auto"/>
                <w:right w:val="none" w:sz="0" w:space="0" w:color="auto"/>
              </w:divBdr>
              <w:divsChild>
                <w:div w:id="1637564900">
                  <w:marLeft w:val="0"/>
                  <w:marRight w:val="0"/>
                  <w:marTop w:val="0"/>
                  <w:marBottom w:val="0"/>
                  <w:divBdr>
                    <w:top w:val="none" w:sz="0" w:space="0" w:color="auto"/>
                    <w:left w:val="none" w:sz="0" w:space="0" w:color="auto"/>
                    <w:bottom w:val="none" w:sz="0" w:space="0" w:color="auto"/>
                    <w:right w:val="none" w:sz="0" w:space="0" w:color="auto"/>
                  </w:divBdr>
                  <w:divsChild>
                    <w:div w:id="1302806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5742692">
          <w:marLeft w:val="0"/>
          <w:marRight w:val="0"/>
          <w:marTop w:val="0"/>
          <w:marBottom w:val="0"/>
          <w:divBdr>
            <w:top w:val="none" w:sz="0" w:space="0" w:color="auto"/>
            <w:left w:val="none" w:sz="0" w:space="0" w:color="auto"/>
            <w:bottom w:val="none" w:sz="0" w:space="0" w:color="auto"/>
            <w:right w:val="none" w:sz="0" w:space="0" w:color="auto"/>
          </w:divBdr>
          <w:divsChild>
            <w:div w:id="1080181110">
              <w:marLeft w:val="0"/>
              <w:marRight w:val="0"/>
              <w:marTop w:val="0"/>
              <w:marBottom w:val="0"/>
              <w:divBdr>
                <w:top w:val="none" w:sz="0" w:space="0" w:color="auto"/>
                <w:left w:val="none" w:sz="0" w:space="0" w:color="auto"/>
                <w:bottom w:val="none" w:sz="0" w:space="0" w:color="auto"/>
                <w:right w:val="none" w:sz="0" w:space="0" w:color="auto"/>
              </w:divBdr>
              <w:divsChild>
                <w:div w:id="992104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380025">
          <w:marLeft w:val="0"/>
          <w:marRight w:val="0"/>
          <w:marTop w:val="0"/>
          <w:marBottom w:val="0"/>
          <w:divBdr>
            <w:top w:val="none" w:sz="0" w:space="0" w:color="auto"/>
            <w:left w:val="none" w:sz="0" w:space="0" w:color="auto"/>
            <w:bottom w:val="none" w:sz="0" w:space="0" w:color="auto"/>
            <w:right w:val="none" w:sz="0" w:space="0" w:color="auto"/>
          </w:divBdr>
          <w:divsChild>
            <w:div w:id="1404109763">
              <w:marLeft w:val="0"/>
              <w:marRight w:val="0"/>
              <w:marTop w:val="0"/>
              <w:marBottom w:val="0"/>
              <w:divBdr>
                <w:top w:val="none" w:sz="0" w:space="0" w:color="auto"/>
                <w:left w:val="none" w:sz="0" w:space="0" w:color="auto"/>
                <w:bottom w:val="none" w:sz="0" w:space="0" w:color="auto"/>
                <w:right w:val="none" w:sz="0" w:space="0" w:color="auto"/>
              </w:divBdr>
              <w:divsChild>
                <w:div w:id="580065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1673762">
      <w:bodyDiv w:val="1"/>
      <w:marLeft w:val="0"/>
      <w:marRight w:val="0"/>
      <w:marTop w:val="0"/>
      <w:marBottom w:val="0"/>
      <w:divBdr>
        <w:top w:val="none" w:sz="0" w:space="0" w:color="auto"/>
        <w:left w:val="none" w:sz="0" w:space="0" w:color="auto"/>
        <w:bottom w:val="none" w:sz="0" w:space="0" w:color="auto"/>
        <w:right w:val="none" w:sz="0" w:space="0" w:color="auto"/>
      </w:divBdr>
    </w:div>
    <w:div w:id="1584951963">
      <w:bodyDiv w:val="1"/>
      <w:marLeft w:val="0"/>
      <w:marRight w:val="0"/>
      <w:marTop w:val="0"/>
      <w:marBottom w:val="0"/>
      <w:divBdr>
        <w:top w:val="none" w:sz="0" w:space="0" w:color="auto"/>
        <w:left w:val="none" w:sz="0" w:space="0" w:color="auto"/>
        <w:bottom w:val="none" w:sz="0" w:space="0" w:color="auto"/>
        <w:right w:val="none" w:sz="0" w:space="0" w:color="auto"/>
      </w:divBdr>
    </w:div>
    <w:div w:id="1600942237">
      <w:bodyDiv w:val="1"/>
      <w:marLeft w:val="0"/>
      <w:marRight w:val="0"/>
      <w:marTop w:val="0"/>
      <w:marBottom w:val="0"/>
      <w:divBdr>
        <w:top w:val="none" w:sz="0" w:space="0" w:color="auto"/>
        <w:left w:val="none" w:sz="0" w:space="0" w:color="auto"/>
        <w:bottom w:val="none" w:sz="0" w:space="0" w:color="auto"/>
        <w:right w:val="none" w:sz="0" w:space="0" w:color="auto"/>
      </w:divBdr>
    </w:div>
    <w:div w:id="1626959793">
      <w:bodyDiv w:val="1"/>
      <w:marLeft w:val="0"/>
      <w:marRight w:val="0"/>
      <w:marTop w:val="0"/>
      <w:marBottom w:val="0"/>
      <w:divBdr>
        <w:top w:val="none" w:sz="0" w:space="0" w:color="auto"/>
        <w:left w:val="none" w:sz="0" w:space="0" w:color="auto"/>
        <w:bottom w:val="none" w:sz="0" w:space="0" w:color="auto"/>
        <w:right w:val="none" w:sz="0" w:space="0" w:color="auto"/>
      </w:divBdr>
    </w:div>
    <w:div w:id="1627001688">
      <w:bodyDiv w:val="1"/>
      <w:marLeft w:val="0"/>
      <w:marRight w:val="0"/>
      <w:marTop w:val="0"/>
      <w:marBottom w:val="0"/>
      <w:divBdr>
        <w:top w:val="none" w:sz="0" w:space="0" w:color="auto"/>
        <w:left w:val="none" w:sz="0" w:space="0" w:color="auto"/>
        <w:bottom w:val="none" w:sz="0" w:space="0" w:color="auto"/>
        <w:right w:val="none" w:sz="0" w:space="0" w:color="auto"/>
      </w:divBdr>
    </w:div>
    <w:div w:id="1651707840">
      <w:bodyDiv w:val="1"/>
      <w:marLeft w:val="0"/>
      <w:marRight w:val="0"/>
      <w:marTop w:val="0"/>
      <w:marBottom w:val="0"/>
      <w:divBdr>
        <w:top w:val="none" w:sz="0" w:space="0" w:color="auto"/>
        <w:left w:val="none" w:sz="0" w:space="0" w:color="auto"/>
        <w:bottom w:val="none" w:sz="0" w:space="0" w:color="auto"/>
        <w:right w:val="none" w:sz="0" w:space="0" w:color="auto"/>
      </w:divBdr>
    </w:div>
    <w:div w:id="1658531170">
      <w:bodyDiv w:val="1"/>
      <w:marLeft w:val="0"/>
      <w:marRight w:val="0"/>
      <w:marTop w:val="0"/>
      <w:marBottom w:val="0"/>
      <w:divBdr>
        <w:top w:val="none" w:sz="0" w:space="0" w:color="auto"/>
        <w:left w:val="none" w:sz="0" w:space="0" w:color="auto"/>
        <w:bottom w:val="none" w:sz="0" w:space="0" w:color="auto"/>
        <w:right w:val="none" w:sz="0" w:space="0" w:color="auto"/>
      </w:divBdr>
    </w:div>
    <w:div w:id="1665817872">
      <w:bodyDiv w:val="1"/>
      <w:marLeft w:val="0"/>
      <w:marRight w:val="0"/>
      <w:marTop w:val="0"/>
      <w:marBottom w:val="0"/>
      <w:divBdr>
        <w:top w:val="none" w:sz="0" w:space="0" w:color="auto"/>
        <w:left w:val="none" w:sz="0" w:space="0" w:color="auto"/>
        <w:bottom w:val="none" w:sz="0" w:space="0" w:color="auto"/>
        <w:right w:val="none" w:sz="0" w:space="0" w:color="auto"/>
      </w:divBdr>
    </w:div>
    <w:div w:id="1666854029">
      <w:bodyDiv w:val="1"/>
      <w:marLeft w:val="0"/>
      <w:marRight w:val="0"/>
      <w:marTop w:val="0"/>
      <w:marBottom w:val="0"/>
      <w:divBdr>
        <w:top w:val="none" w:sz="0" w:space="0" w:color="auto"/>
        <w:left w:val="none" w:sz="0" w:space="0" w:color="auto"/>
        <w:bottom w:val="none" w:sz="0" w:space="0" w:color="auto"/>
        <w:right w:val="none" w:sz="0" w:space="0" w:color="auto"/>
      </w:divBdr>
    </w:div>
    <w:div w:id="1713653390">
      <w:bodyDiv w:val="1"/>
      <w:marLeft w:val="0"/>
      <w:marRight w:val="0"/>
      <w:marTop w:val="0"/>
      <w:marBottom w:val="0"/>
      <w:divBdr>
        <w:top w:val="none" w:sz="0" w:space="0" w:color="auto"/>
        <w:left w:val="none" w:sz="0" w:space="0" w:color="auto"/>
        <w:bottom w:val="none" w:sz="0" w:space="0" w:color="auto"/>
        <w:right w:val="none" w:sz="0" w:space="0" w:color="auto"/>
      </w:divBdr>
    </w:div>
    <w:div w:id="1735468893">
      <w:bodyDiv w:val="1"/>
      <w:marLeft w:val="0"/>
      <w:marRight w:val="0"/>
      <w:marTop w:val="0"/>
      <w:marBottom w:val="0"/>
      <w:divBdr>
        <w:top w:val="none" w:sz="0" w:space="0" w:color="auto"/>
        <w:left w:val="none" w:sz="0" w:space="0" w:color="auto"/>
        <w:bottom w:val="none" w:sz="0" w:space="0" w:color="auto"/>
        <w:right w:val="none" w:sz="0" w:space="0" w:color="auto"/>
      </w:divBdr>
    </w:div>
    <w:div w:id="1762796114">
      <w:bodyDiv w:val="1"/>
      <w:marLeft w:val="0"/>
      <w:marRight w:val="0"/>
      <w:marTop w:val="0"/>
      <w:marBottom w:val="0"/>
      <w:divBdr>
        <w:top w:val="none" w:sz="0" w:space="0" w:color="auto"/>
        <w:left w:val="none" w:sz="0" w:space="0" w:color="auto"/>
        <w:bottom w:val="none" w:sz="0" w:space="0" w:color="auto"/>
        <w:right w:val="none" w:sz="0" w:space="0" w:color="auto"/>
      </w:divBdr>
    </w:div>
    <w:div w:id="1794204138">
      <w:bodyDiv w:val="1"/>
      <w:marLeft w:val="0"/>
      <w:marRight w:val="0"/>
      <w:marTop w:val="0"/>
      <w:marBottom w:val="0"/>
      <w:divBdr>
        <w:top w:val="none" w:sz="0" w:space="0" w:color="auto"/>
        <w:left w:val="none" w:sz="0" w:space="0" w:color="auto"/>
        <w:bottom w:val="none" w:sz="0" w:space="0" w:color="auto"/>
        <w:right w:val="none" w:sz="0" w:space="0" w:color="auto"/>
      </w:divBdr>
    </w:div>
    <w:div w:id="1804616194">
      <w:bodyDiv w:val="1"/>
      <w:marLeft w:val="0"/>
      <w:marRight w:val="0"/>
      <w:marTop w:val="0"/>
      <w:marBottom w:val="0"/>
      <w:divBdr>
        <w:top w:val="none" w:sz="0" w:space="0" w:color="auto"/>
        <w:left w:val="none" w:sz="0" w:space="0" w:color="auto"/>
        <w:bottom w:val="none" w:sz="0" w:space="0" w:color="auto"/>
        <w:right w:val="none" w:sz="0" w:space="0" w:color="auto"/>
      </w:divBdr>
    </w:div>
    <w:div w:id="1811248804">
      <w:bodyDiv w:val="1"/>
      <w:marLeft w:val="0"/>
      <w:marRight w:val="0"/>
      <w:marTop w:val="0"/>
      <w:marBottom w:val="0"/>
      <w:divBdr>
        <w:top w:val="none" w:sz="0" w:space="0" w:color="auto"/>
        <w:left w:val="none" w:sz="0" w:space="0" w:color="auto"/>
        <w:bottom w:val="none" w:sz="0" w:space="0" w:color="auto"/>
        <w:right w:val="none" w:sz="0" w:space="0" w:color="auto"/>
      </w:divBdr>
    </w:div>
    <w:div w:id="1835952454">
      <w:bodyDiv w:val="1"/>
      <w:marLeft w:val="0"/>
      <w:marRight w:val="0"/>
      <w:marTop w:val="0"/>
      <w:marBottom w:val="0"/>
      <w:divBdr>
        <w:top w:val="none" w:sz="0" w:space="0" w:color="auto"/>
        <w:left w:val="none" w:sz="0" w:space="0" w:color="auto"/>
        <w:bottom w:val="none" w:sz="0" w:space="0" w:color="auto"/>
        <w:right w:val="none" w:sz="0" w:space="0" w:color="auto"/>
      </w:divBdr>
    </w:div>
    <w:div w:id="1871721342">
      <w:bodyDiv w:val="1"/>
      <w:marLeft w:val="0"/>
      <w:marRight w:val="0"/>
      <w:marTop w:val="0"/>
      <w:marBottom w:val="0"/>
      <w:divBdr>
        <w:top w:val="none" w:sz="0" w:space="0" w:color="auto"/>
        <w:left w:val="none" w:sz="0" w:space="0" w:color="auto"/>
        <w:bottom w:val="none" w:sz="0" w:space="0" w:color="auto"/>
        <w:right w:val="none" w:sz="0" w:space="0" w:color="auto"/>
      </w:divBdr>
    </w:div>
    <w:div w:id="1897083191">
      <w:bodyDiv w:val="1"/>
      <w:marLeft w:val="0"/>
      <w:marRight w:val="0"/>
      <w:marTop w:val="0"/>
      <w:marBottom w:val="0"/>
      <w:divBdr>
        <w:top w:val="none" w:sz="0" w:space="0" w:color="auto"/>
        <w:left w:val="none" w:sz="0" w:space="0" w:color="auto"/>
        <w:bottom w:val="none" w:sz="0" w:space="0" w:color="auto"/>
        <w:right w:val="none" w:sz="0" w:space="0" w:color="auto"/>
      </w:divBdr>
    </w:div>
    <w:div w:id="1908109773">
      <w:bodyDiv w:val="1"/>
      <w:marLeft w:val="0"/>
      <w:marRight w:val="0"/>
      <w:marTop w:val="0"/>
      <w:marBottom w:val="0"/>
      <w:divBdr>
        <w:top w:val="none" w:sz="0" w:space="0" w:color="auto"/>
        <w:left w:val="none" w:sz="0" w:space="0" w:color="auto"/>
        <w:bottom w:val="none" w:sz="0" w:space="0" w:color="auto"/>
        <w:right w:val="none" w:sz="0" w:space="0" w:color="auto"/>
      </w:divBdr>
    </w:div>
    <w:div w:id="1909457373">
      <w:bodyDiv w:val="1"/>
      <w:marLeft w:val="0"/>
      <w:marRight w:val="0"/>
      <w:marTop w:val="0"/>
      <w:marBottom w:val="0"/>
      <w:divBdr>
        <w:top w:val="none" w:sz="0" w:space="0" w:color="auto"/>
        <w:left w:val="none" w:sz="0" w:space="0" w:color="auto"/>
        <w:bottom w:val="none" w:sz="0" w:space="0" w:color="auto"/>
        <w:right w:val="none" w:sz="0" w:space="0" w:color="auto"/>
      </w:divBdr>
    </w:div>
    <w:div w:id="1915507931">
      <w:bodyDiv w:val="1"/>
      <w:marLeft w:val="0"/>
      <w:marRight w:val="0"/>
      <w:marTop w:val="0"/>
      <w:marBottom w:val="0"/>
      <w:divBdr>
        <w:top w:val="none" w:sz="0" w:space="0" w:color="auto"/>
        <w:left w:val="none" w:sz="0" w:space="0" w:color="auto"/>
        <w:bottom w:val="none" w:sz="0" w:space="0" w:color="auto"/>
        <w:right w:val="none" w:sz="0" w:space="0" w:color="auto"/>
      </w:divBdr>
    </w:div>
    <w:div w:id="1924561165">
      <w:bodyDiv w:val="1"/>
      <w:marLeft w:val="0"/>
      <w:marRight w:val="0"/>
      <w:marTop w:val="0"/>
      <w:marBottom w:val="0"/>
      <w:divBdr>
        <w:top w:val="none" w:sz="0" w:space="0" w:color="auto"/>
        <w:left w:val="none" w:sz="0" w:space="0" w:color="auto"/>
        <w:bottom w:val="none" w:sz="0" w:space="0" w:color="auto"/>
        <w:right w:val="none" w:sz="0" w:space="0" w:color="auto"/>
      </w:divBdr>
    </w:div>
    <w:div w:id="1935701884">
      <w:bodyDiv w:val="1"/>
      <w:marLeft w:val="0"/>
      <w:marRight w:val="0"/>
      <w:marTop w:val="0"/>
      <w:marBottom w:val="0"/>
      <w:divBdr>
        <w:top w:val="none" w:sz="0" w:space="0" w:color="auto"/>
        <w:left w:val="none" w:sz="0" w:space="0" w:color="auto"/>
        <w:bottom w:val="none" w:sz="0" w:space="0" w:color="auto"/>
        <w:right w:val="none" w:sz="0" w:space="0" w:color="auto"/>
      </w:divBdr>
    </w:div>
    <w:div w:id="1946111828">
      <w:bodyDiv w:val="1"/>
      <w:marLeft w:val="0"/>
      <w:marRight w:val="0"/>
      <w:marTop w:val="0"/>
      <w:marBottom w:val="0"/>
      <w:divBdr>
        <w:top w:val="none" w:sz="0" w:space="0" w:color="auto"/>
        <w:left w:val="none" w:sz="0" w:space="0" w:color="auto"/>
        <w:bottom w:val="none" w:sz="0" w:space="0" w:color="auto"/>
        <w:right w:val="none" w:sz="0" w:space="0" w:color="auto"/>
      </w:divBdr>
    </w:div>
    <w:div w:id="1964656153">
      <w:bodyDiv w:val="1"/>
      <w:marLeft w:val="0"/>
      <w:marRight w:val="0"/>
      <w:marTop w:val="0"/>
      <w:marBottom w:val="0"/>
      <w:divBdr>
        <w:top w:val="none" w:sz="0" w:space="0" w:color="auto"/>
        <w:left w:val="none" w:sz="0" w:space="0" w:color="auto"/>
        <w:bottom w:val="none" w:sz="0" w:space="0" w:color="auto"/>
        <w:right w:val="none" w:sz="0" w:space="0" w:color="auto"/>
      </w:divBdr>
    </w:div>
    <w:div w:id="1967619022">
      <w:bodyDiv w:val="1"/>
      <w:marLeft w:val="0"/>
      <w:marRight w:val="0"/>
      <w:marTop w:val="0"/>
      <w:marBottom w:val="0"/>
      <w:divBdr>
        <w:top w:val="none" w:sz="0" w:space="0" w:color="auto"/>
        <w:left w:val="none" w:sz="0" w:space="0" w:color="auto"/>
        <w:bottom w:val="none" w:sz="0" w:space="0" w:color="auto"/>
        <w:right w:val="none" w:sz="0" w:space="0" w:color="auto"/>
      </w:divBdr>
    </w:div>
    <w:div w:id="1975214743">
      <w:bodyDiv w:val="1"/>
      <w:marLeft w:val="0"/>
      <w:marRight w:val="0"/>
      <w:marTop w:val="0"/>
      <w:marBottom w:val="0"/>
      <w:divBdr>
        <w:top w:val="none" w:sz="0" w:space="0" w:color="auto"/>
        <w:left w:val="none" w:sz="0" w:space="0" w:color="auto"/>
        <w:bottom w:val="none" w:sz="0" w:space="0" w:color="auto"/>
        <w:right w:val="none" w:sz="0" w:space="0" w:color="auto"/>
      </w:divBdr>
    </w:div>
    <w:div w:id="1981418703">
      <w:bodyDiv w:val="1"/>
      <w:marLeft w:val="0"/>
      <w:marRight w:val="0"/>
      <w:marTop w:val="0"/>
      <w:marBottom w:val="0"/>
      <w:divBdr>
        <w:top w:val="none" w:sz="0" w:space="0" w:color="auto"/>
        <w:left w:val="none" w:sz="0" w:space="0" w:color="auto"/>
        <w:bottom w:val="none" w:sz="0" w:space="0" w:color="auto"/>
        <w:right w:val="none" w:sz="0" w:space="0" w:color="auto"/>
      </w:divBdr>
    </w:div>
    <w:div w:id="1989824854">
      <w:bodyDiv w:val="1"/>
      <w:marLeft w:val="0"/>
      <w:marRight w:val="0"/>
      <w:marTop w:val="0"/>
      <w:marBottom w:val="0"/>
      <w:divBdr>
        <w:top w:val="none" w:sz="0" w:space="0" w:color="auto"/>
        <w:left w:val="none" w:sz="0" w:space="0" w:color="auto"/>
        <w:bottom w:val="none" w:sz="0" w:space="0" w:color="auto"/>
        <w:right w:val="none" w:sz="0" w:space="0" w:color="auto"/>
      </w:divBdr>
    </w:div>
    <w:div w:id="1993440466">
      <w:bodyDiv w:val="1"/>
      <w:marLeft w:val="0"/>
      <w:marRight w:val="0"/>
      <w:marTop w:val="0"/>
      <w:marBottom w:val="0"/>
      <w:divBdr>
        <w:top w:val="none" w:sz="0" w:space="0" w:color="auto"/>
        <w:left w:val="none" w:sz="0" w:space="0" w:color="auto"/>
        <w:bottom w:val="none" w:sz="0" w:space="0" w:color="auto"/>
        <w:right w:val="none" w:sz="0" w:space="0" w:color="auto"/>
      </w:divBdr>
    </w:div>
    <w:div w:id="1995374721">
      <w:bodyDiv w:val="1"/>
      <w:marLeft w:val="0"/>
      <w:marRight w:val="0"/>
      <w:marTop w:val="0"/>
      <w:marBottom w:val="0"/>
      <w:divBdr>
        <w:top w:val="none" w:sz="0" w:space="0" w:color="auto"/>
        <w:left w:val="none" w:sz="0" w:space="0" w:color="auto"/>
        <w:bottom w:val="none" w:sz="0" w:space="0" w:color="auto"/>
        <w:right w:val="none" w:sz="0" w:space="0" w:color="auto"/>
      </w:divBdr>
    </w:div>
    <w:div w:id="1997996295">
      <w:bodyDiv w:val="1"/>
      <w:marLeft w:val="0"/>
      <w:marRight w:val="0"/>
      <w:marTop w:val="0"/>
      <w:marBottom w:val="0"/>
      <w:divBdr>
        <w:top w:val="none" w:sz="0" w:space="0" w:color="auto"/>
        <w:left w:val="none" w:sz="0" w:space="0" w:color="auto"/>
        <w:bottom w:val="none" w:sz="0" w:space="0" w:color="auto"/>
        <w:right w:val="none" w:sz="0" w:space="0" w:color="auto"/>
      </w:divBdr>
    </w:div>
    <w:div w:id="2050493909">
      <w:bodyDiv w:val="1"/>
      <w:marLeft w:val="0"/>
      <w:marRight w:val="0"/>
      <w:marTop w:val="0"/>
      <w:marBottom w:val="0"/>
      <w:divBdr>
        <w:top w:val="none" w:sz="0" w:space="0" w:color="auto"/>
        <w:left w:val="none" w:sz="0" w:space="0" w:color="auto"/>
        <w:bottom w:val="none" w:sz="0" w:space="0" w:color="auto"/>
        <w:right w:val="none" w:sz="0" w:space="0" w:color="auto"/>
      </w:divBdr>
    </w:div>
    <w:div w:id="2073238207">
      <w:bodyDiv w:val="1"/>
      <w:marLeft w:val="0"/>
      <w:marRight w:val="0"/>
      <w:marTop w:val="0"/>
      <w:marBottom w:val="0"/>
      <w:divBdr>
        <w:top w:val="none" w:sz="0" w:space="0" w:color="auto"/>
        <w:left w:val="none" w:sz="0" w:space="0" w:color="auto"/>
        <w:bottom w:val="none" w:sz="0" w:space="0" w:color="auto"/>
        <w:right w:val="none" w:sz="0" w:space="0" w:color="auto"/>
      </w:divBdr>
    </w:div>
    <w:div w:id="2098550328">
      <w:bodyDiv w:val="1"/>
      <w:marLeft w:val="0"/>
      <w:marRight w:val="0"/>
      <w:marTop w:val="0"/>
      <w:marBottom w:val="0"/>
      <w:divBdr>
        <w:top w:val="none" w:sz="0" w:space="0" w:color="auto"/>
        <w:left w:val="none" w:sz="0" w:space="0" w:color="auto"/>
        <w:bottom w:val="none" w:sz="0" w:space="0" w:color="auto"/>
        <w:right w:val="none" w:sz="0" w:space="0" w:color="auto"/>
      </w:divBdr>
    </w:div>
    <w:div w:id="2106415557">
      <w:bodyDiv w:val="1"/>
      <w:marLeft w:val="0"/>
      <w:marRight w:val="0"/>
      <w:marTop w:val="0"/>
      <w:marBottom w:val="0"/>
      <w:divBdr>
        <w:top w:val="none" w:sz="0" w:space="0" w:color="auto"/>
        <w:left w:val="none" w:sz="0" w:space="0" w:color="auto"/>
        <w:bottom w:val="none" w:sz="0" w:space="0" w:color="auto"/>
        <w:right w:val="none" w:sz="0" w:space="0" w:color="auto"/>
      </w:divBdr>
    </w:div>
    <w:div w:id="2116561822">
      <w:bodyDiv w:val="1"/>
      <w:marLeft w:val="0"/>
      <w:marRight w:val="0"/>
      <w:marTop w:val="0"/>
      <w:marBottom w:val="0"/>
      <w:divBdr>
        <w:top w:val="none" w:sz="0" w:space="0" w:color="auto"/>
        <w:left w:val="none" w:sz="0" w:space="0" w:color="auto"/>
        <w:bottom w:val="none" w:sz="0" w:space="0" w:color="auto"/>
        <w:right w:val="none" w:sz="0" w:space="0" w:color="auto"/>
      </w:divBdr>
    </w:div>
    <w:div w:id="2116901590">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notes.xml.rels><?xml version="1.0" encoding="UTF-8" standalone="yes"?>
<Relationships xmlns="http://schemas.openxmlformats.org/package/2006/relationships"><Relationship Id="rId1" Type="http://schemas.openxmlformats.org/officeDocument/2006/relationships/hyperlink" Target="https://2019-vlex-com.ez.urosario.edu.co/"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4d0aff64a573d8785e6a72518a5ad9d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36a2f457a6205ac8ec841d28bbb076c"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2D8BA8B-F161-4364-AB73-33333757ACC0}">
  <ds:schemaRefs>
    <ds:schemaRef ds:uri="http://schemas.openxmlformats.org/officeDocument/2006/bibliography"/>
  </ds:schemaRefs>
</ds:datastoreItem>
</file>

<file path=customXml/itemProps2.xml><?xml version="1.0" encoding="utf-8"?>
<ds:datastoreItem xmlns:ds="http://schemas.openxmlformats.org/officeDocument/2006/customXml" ds:itemID="{D7ABC0F7-6BC9-4F23-A66C-D106622F951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4.xml><?xml version="1.0" encoding="utf-8"?>
<ds:datastoreItem xmlns:ds="http://schemas.openxmlformats.org/officeDocument/2006/customXml" ds:itemID="{40E94179-3739-4939-974A-26D2F434A7F9}">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22</Pages>
  <Words>7171</Words>
  <Characters>39446</Characters>
  <Application>Microsoft Office Word</Application>
  <DocSecurity>0</DocSecurity>
  <Lines>328</Lines>
  <Paragraphs>93</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46524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MARIA CLAUDIA DE LA OSSA BOBADILLA</cp:lastModifiedBy>
  <cp:revision>2</cp:revision>
  <cp:lastPrinted>2020-01-30T15:05:00Z</cp:lastPrinted>
  <dcterms:created xsi:type="dcterms:W3CDTF">2022-08-24T13:22:00Z</dcterms:created>
  <dcterms:modified xsi:type="dcterms:W3CDTF">2022-08-24T13:22:00Z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