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2E12FF" w14:textId="77777777" w:rsidR="001B075C" w:rsidRPr="001B075C" w:rsidRDefault="001B075C" w:rsidP="001B075C">
      <w:pPr>
        <w:spacing w:after="0"/>
        <w:jc w:val="both"/>
        <w:rPr>
          <w:rFonts w:ascii="Verdana" w:hAnsi="Verdana"/>
          <w:b/>
          <w:bCs/>
          <w:lang w:val="es-ES"/>
        </w:rPr>
      </w:pPr>
      <w:bookmarkStart w:id="0" w:name="_Hlk143780582"/>
      <w:r w:rsidRPr="001B075C">
        <w:rPr>
          <w:rFonts w:ascii="Verdana" w:hAnsi="Verdana"/>
          <w:b/>
          <w:bCs/>
          <w:lang w:val="es-ES"/>
        </w:rPr>
        <w:t xml:space="preserve">FIRMA – Concepto – Clases – Firma electrónica – Firma digital </w:t>
      </w:r>
    </w:p>
    <w:p w14:paraId="2CE6CD6B" w14:textId="12F760F0" w:rsidR="001B075C" w:rsidRDefault="001B075C" w:rsidP="001B075C">
      <w:pPr>
        <w:spacing w:after="0"/>
        <w:jc w:val="both"/>
        <w:rPr>
          <w:rFonts w:ascii="Verdana" w:hAnsi="Verdana"/>
          <w:b/>
          <w:bCs/>
          <w:lang w:val="es-ES"/>
        </w:rPr>
      </w:pPr>
    </w:p>
    <w:p w14:paraId="0ECCD6D6" w14:textId="4A2ABCE5" w:rsidR="00FE7D2F" w:rsidRDefault="00FE7D2F" w:rsidP="00FE7D2F">
      <w:pPr>
        <w:spacing w:after="0" w:line="240" w:lineRule="auto"/>
        <w:jc w:val="both"/>
        <w:rPr>
          <w:rFonts w:ascii="Verdana" w:eastAsia="Calibri" w:hAnsi="Verdana" w:cs="Arial"/>
          <w:sz w:val="20"/>
          <w:szCs w:val="20"/>
        </w:rPr>
      </w:pPr>
      <w:r w:rsidRPr="00FE7D2F">
        <w:rPr>
          <w:rFonts w:ascii="Verdana" w:eastAsia="Calibri" w:hAnsi="Verdana" w:cs="Arial"/>
          <w:sz w:val="20"/>
          <w:szCs w:val="20"/>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FE7D2F">
        <w:rPr>
          <w:rFonts w:ascii="Verdana" w:eastAsia="Calibri" w:hAnsi="Verdana" w:cs="Arial"/>
          <w:i/>
          <w:iCs/>
          <w:sz w:val="20"/>
          <w:szCs w:val="20"/>
          <w:lang w:val="es-ES_tradnl"/>
        </w:rPr>
        <w:t>firma manuscrita</w:t>
      </w:r>
      <w:r w:rsidRPr="00FE7D2F">
        <w:rPr>
          <w:rFonts w:ascii="Verdana" w:eastAsia="Calibri" w:hAnsi="Verdana" w:cs="Arial"/>
          <w:sz w:val="20"/>
          <w:szCs w:val="20"/>
          <w:lang w:val="es-ES_tradnl"/>
        </w:rPr>
        <w:t xml:space="preserve"> </w:t>
      </w:r>
      <w:r w:rsidRPr="00FE7D2F">
        <w:rPr>
          <w:rFonts w:ascii="Verdana" w:eastAsia="Calibri" w:hAnsi="Verdana" w:cs="Arial"/>
          <w:sz w:val="20"/>
          <w:szCs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649D7FF2" w14:textId="77777777" w:rsidR="00FE7D2F" w:rsidRPr="00FE7D2F" w:rsidRDefault="00FE7D2F" w:rsidP="00FE7D2F">
      <w:pPr>
        <w:spacing w:after="0" w:line="240" w:lineRule="auto"/>
        <w:jc w:val="both"/>
        <w:rPr>
          <w:rFonts w:ascii="Verdana" w:eastAsia="Calibri" w:hAnsi="Verdana" w:cs="Arial"/>
          <w:sz w:val="20"/>
          <w:szCs w:val="20"/>
          <w:lang w:val="es-ES_tradnl"/>
        </w:rPr>
      </w:pPr>
    </w:p>
    <w:p w14:paraId="635A8D42" w14:textId="1625B4A7" w:rsidR="00FE7D2F" w:rsidRDefault="00FE7D2F" w:rsidP="00FE7D2F">
      <w:pPr>
        <w:spacing w:after="0" w:line="240" w:lineRule="auto"/>
        <w:jc w:val="both"/>
        <w:rPr>
          <w:rFonts w:ascii="Verdana" w:eastAsia="Calibri" w:hAnsi="Verdana" w:cs="Arial"/>
          <w:sz w:val="20"/>
          <w:szCs w:val="20"/>
        </w:rPr>
      </w:pPr>
      <w:r w:rsidRPr="00FE7D2F">
        <w:rPr>
          <w:rFonts w:ascii="Verdana" w:eastAsia="Calibri" w:hAnsi="Verdana" w:cs="Arial"/>
          <w:sz w:val="20"/>
          <w:szCs w:val="20"/>
          <w:lang w:val="es-ES_tradnl"/>
        </w:rPr>
        <w:t>E</w:t>
      </w:r>
      <w:r w:rsidRPr="00FE7D2F">
        <w:rPr>
          <w:rFonts w:ascii="Verdana" w:eastAsia="Calibri" w:hAnsi="Verdana" w:cs="Arial"/>
          <w:sz w:val="20"/>
          <w:szCs w:val="20"/>
        </w:rPr>
        <w:t xml:space="preserve">l artículo 2 de la Ley 527 de 1999 define la </w:t>
      </w:r>
      <w:r w:rsidRPr="00FE7D2F">
        <w:rPr>
          <w:rFonts w:ascii="Verdana" w:eastAsia="Calibri" w:hAnsi="Verdana" w:cs="Arial"/>
          <w:i/>
          <w:iCs/>
          <w:sz w:val="20"/>
          <w:szCs w:val="20"/>
        </w:rPr>
        <w:t>firma digital</w:t>
      </w:r>
      <w:r w:rsidRPr="00FE7D2F">
        <w:rPr>
          <w:rFonts w:ascii="Verdana" w:eastAsia="Calibri" w:hAnsi="Verdana" w:cs="Arial"/>
          <w:sz w:val="20"/>
          <w:szCs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3F901694" w14:textId="77777777" w:rsidR="00FE7D2F" w:rsidRPr="00FE7D2F" w:rsidRDefault="00FE7D2F" w:rsidP="00FE7D2F">
      <w:pPr>
        <w:spacing w:after="0" w:line="240" w:lineRule="auto"/>
        <w:jc w:val="both"/>
        <w:rPr>
          <w:rFonts w:ascii="Verdana" w:eastAsia="Calibri" w:hAnsi="Verdana" w:cs="Arial"/>
          <w:sz w:val="20"/>
          <w:szCs w:val="20"/>
        </w:rPr>
      </w:pPr>
    </w:p>
    <w:p w14:paraId="23E9FBB0" w14:textId="77777777" w:rsidR="00FE7D2F" w:rsidRPr="00FE7D2F" w:rsidRDefault="00FE7D2F" w:rsidP="00FE7D2F">
      <w:pPr>
        <w:spacing w:after="0" w:line="240" w:lineRule="auto"/>
        <w:jc w:val="both"/>
        <w:rPr>
          <w:rFonts w:ascii="Verdana" w:eastAsia="Calibri" w:hAnsi="Verdana" w:cs="Arial"/>
          <w:sz w:val="20"/>
          <w:szCs w:val="20"/>
        </w:rPr>
      </w:pPr>
      <w:r w:rsidRPr="00FE7D2F">
        <w:rPr>
          <w:rFonts w:ascii="Verdana" w:eastAsia="Calibri" w:hAnsi="Verdana" w:cs="Arial"/>
          <w:sz w:val="20"/>
          <w:szCs w:val="20"/>
        </w:rPr>
        <w:t xml:space="preserve">Por otra parte, frente a la </w:t>
      </w:r>
      <w:r w:rsidRPr="00FE7D2F">
        <w:rPr>
          <w:rFonts w:ascii="Verdana" w:eastAsia="Calibri" w:hAnsi="Verdana" w:cs="Arial"/>
          <w:i/>
          <w:iCs/>
          <w:sz w:val="20"/>
          <w:szCs w:val="20"/>
        </w:rPr>
        <w:t>firma electrónica</w:t>
      </w:r>
      <w:r w:rsidRPr="00FE7D2F">
        <w:rPr>
          <w:rFonts w:ascii="Verdana" w:eastAsia="Calibri" w:hAnsi="Verdana" w:cs="Arial"/>
          <w:sz w:val="20"/>
          <w:szCs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374E8BA4" w14:textId="77777777" w:rsidR="001B075C" w:rsidRPr="00FE7D2F" w:rsidRDefault="001B075C" w:rsidP="001B075C">
      <w:pPr>
        <w:spacing w:after="0"/>
        <w:jc w:val="both"/>
        <w:rPr>
          <w:rFonts w:ascii="Verdana" w:hAnsi="Verdana"/>
          <w:b/>
          <w:bCs/>
        </w:rPr>
      </w:pPr>
    </w:p>
    <w:p w14:paraId="36F6EF53" w14:textId="1E5EC86A" w:rsidR="001B075C" w:rsidRPr="001B075C" w:rsidRDefault="001B075C" w:rsidP="001B075C">
      <w:pPr>
        <w:spacing w:after="0"/>
        <w:jc w:val="both"/>
        <w:rPr>
          <w:rFonts w:ascii="Verdana" w:hAnsi="Verdana"/>
          <w:b/>
          <w:bCs/>
          <w:lang w:val="es-ES"/>
        </w:rPr>
      </w:pPr>
      <w:r w:rsidRPr="001B075C">
        <w:rPr>
          <w:rFonts w:ascii="Verdana" w:hAnsi="Verdana"/>
          <w:b/>
          <w:bCs/>
          <w:lang w:val="es-ES"/>
        </w:rPr>
        <w:t>FIRMA ESCANEADA – Firma electrónica – características – autenticidad</w:t>
      </w:r>
    </w:p>
    <w:p w14:paraId="58B1B0DA" w14:textId="6AA41EDC" w:rsidR="001B075C" w:rsidRDefault="001B075C" w:rsidP="001B075C">
      <w:pPr>
        <w:spacing w:after="0"/>
        <w:jc w:val="both"/>
        <w:rPr>
          <w:rFonts w:ascii="Verdana" w:hAnsi="Verdana"/>
          <w:b/>
        </w:rPr>
      </w:pPr>
    </w:p>
    <w:p w14:paraId="2228C07E" w14:textId="77777777" w:rsidR="00FE7D2F" w:rsidRDefault="00FE7D2F" w:rsidP="00FE7D2F">
      <w:pPr>
        <w:spacing w:after="0" w:line="240" w:lineRule="auto"/>
        <w:jc w:val="both"/>
        <w:rPr>
          <w:rFonts w:ascii="Verdana" w:eastAsia="Aptos" w:hAnsi="Verdana" w:cs="Arial"/>
          <w:sz w:val="20"/>
        </w:rPr>
      </w:pPr>
      <w:r w:rsidRPr="00FE7D2F">
        <w:rPr>
          <w:rFonts w:ascii="Verdana" w:eastAsia="Aptos" w:hAnsi="Verdana" w:cs="Arial"/>
          <w:sz w:val="20"/>
          <w:lang w:val="es-ES_tradnl"/>
        </w:rPr>
        <w:t>La firma escaneada se constituye en un tipo de firma electrónica, que tiene la suficiente validez y autenticidad dentro de un documento. Es decir, Los documentos suscritos mediante firmas escaneadas tendrán la calidad de ser auténticos, según lo prescrito en el artículo 244 de la Ley 1564 de 2012. En esa orientación, el inciso segundo del artículo 10 de la Ley 527 de 1999 prescribe: “</w:t>
      </w:r>
      <w:r w:rsidRPr="00FE7D2F">
        <w:rPr>
          <w:rFonts w:ascii="Verdana" w:eastAsia="Aptos" w:hAnsi="Verdana" w:cs="Arial"/>
          <w:sz w:val="20"/>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Pr="00FE7D2F">
        <w:rPr>
          <w:rFonts w:ascii="Verdana" w:eastAsia="Arial" w:hAnsi="Verdana" w:cs="Arial"/>
          <w:sz w:val="20"/>
          <w:lang w:val="es-ES"/>
        </w:rPr>
        <w:t>”</w:t>
      </w:r>
      <w:r w:rsidRPr="00FE7D2F">
        <w:rPr>
          <w:rFonts w:ascii="Verdana" w:eastAsia="Aptos" w:hAnsi="Verdana" w:cs="Arial"/>
          <w:sz w:val="20"/>
        </w:rPr>
        <w:t>.</w:t>
      </w:r>
    </w:p>
    <w:p w14:paraId="18DBAEA2" w14:textId="3DCDFB26" w:rsidR="00FE7D2F" w:rsidRPr="00FE7D2F" w:rsidRDefault="00FE7D2F" w:rsidP="00FE7D2F">
      <w:pPr>
        <w:spacing w:after="0" w:line="240" w:lineRule="auto"/>
        <w:jc w:val="both"/>
        <w:rPr>
          <w:rFonts w:ascii="Verdana" w:eastAsia="Aptos" w:hAnsi="Verdana" w:cs="Arial"/>
          <w:sz w:val="20"/>
        </w:rPr>
      </w:pPr>
      <w:r w:rsidRPr="00FE7D2F">
        <w:rPr>
          <w:rFonts w:ascii="Verdana" w:eastAsia="Aptos" w:hAnsi="Verdana" w:cs="Arial"/>
          <w:sz w:val="20"/>
        </w:rPr>
        <w:t xml:space="preserve"> </w:t>
      </w:r>
    </w:p>
    <w:p w14:paraId="3540D5CF" w14:textId="07F9F149" w:rsidR="00FE7D2F" w:rsidRDefault="00FE7D2F" w:rsidP="00FE7D2F">
      <w:pPr>
        <w:spacing w:after="0" w:line="240" w:lineRule="auto"/>
        <w:jc w:val="both"/>
        <w:rPr>
          <w:rFonts w:ascii="Verdana" w:eastAsia="Aptos" w:hAnsi="Verdana" w:cs="Arial"/>
          <w:sz w:val="20"/>
          <w:lang w:val="es-ES"/>
        </w:rPr>
      </w:pPr>
      <w:r w:rsidRPr="00FE7D2F">
        <w:rPr>
          <w:rFonts w:ascii="Verdana" w:eastAsia="Aptos" w:hAnsi="Verdana" w:cs="Arial"/>
          <w:sz w:val="20"/>
          <w:lang w:val="es-ES"/>
        </w:rPr>
        <w:t xml:space="preserve">En suma, los documentos que contienen la firma escaneada se presumen auténticos, salvo que sean tachados de falsos. En torno a esta idea, la confiabilidad de la firma electrónica está contenida en el artículo 4 del Decreto 2364 de 2012, que dispone reglas para determinarla: i) los datos de creación de la firma en el contexto corresponden al firmante; y ii) la posibilidad de detectar cualquier alteración no autorizada del mensaje </w:t>
      </w:r>
      <w:r w:rsidRPr="00FE7D2F">
        <w:rPr>
          <w:rFonts w:ascii="Verdana" w:eastAsia="Aptos" w:hAnsi="Verdana" w:cs="Arial"/>
          <w:sz w:val="20"/>
          <w:lang w:val="es-ES"/>
        </w:rPr>
        <w:lastRenderedPageBreak/>
        <w:t>de datos, posterior a la firma. Estas reglas se aplican, sin perjuicio de demostrar la confiabilidad o no de la firma.</w:t>
      </w:r>
    </w:p>
    <w:p w14:paraId="1AAA253C" w14:textId="77777777" w:rsidR="00FE7D2F" w:rsidRPr="00FE7D2F" w:rsidRDefault="00FE7D2F" w:rsidP="00FE7D2F">
      <w:pPr>
        <w:spacing w:after="0" w:line="240" w:lineRule="auto"/>
        <w:jc w:val="both"/>
        <w:rPr>
          <w:rFonts w:ascii="Verdana" w:hAnsi="Verdana"/>
          <w:b/>
          <w:sz w:val="20"/>
        </w:rPr>
      </w:pPr>
    </w:p>
    <w:p w14:paraId="01E7F74B" w14:textId="53379CE1" w:rsidR="001B075C" w:rsidRPr="001B075C" w:rsidRDefault="001B075C" w:rsidP="001B075C">
      <w:pPr>
        <w:spacing w:after="0"/>
        <w:jc w:val="both"/>
        <w:rPr>
          <w:rFonts w:ascii="Verdana" w:hAnsi="Verdana"/>
          <w:b/>
        </w:rPr>
      </w:pPr>
      <w:r w:rsidRPr="001B075C">
        <w:rPr>
          <w:rFonts w:ascii="Verdana" w:eastAsia="Calibri" w:hAnsi="Verdana" w:cs="Arial"/>
          <w:b/>
          <w:bCs/>
          <w:lang w:val="es-ES"/>
        </w:rPr>
        <w:t>PRINCIPIO DE TRANSPARENCIA – Alcance</w:t>
      </w:r>
    </w:p>
    <w:p w14:paraId="1E7E3DC5" w14:textId="338B41C3" w:rsidR="001B075C" w:rsidRDefault="001B075C" w:rsidP="001B075C">
      <w:pPr>
        <w:spacing w:after="0"/>
        <w:jc w:val="both"/>
        <w:rPr>
          <w:rFonts w:ascii="Verdana" w:hAnsi="Verdana"/>
          <w:b/>
        </w:rPr>
      </w:pPr>
    </w:p>
    <w:p w14:paraId="0606AB4F" w14:textId="77777777" w:rsidR="00686B76" w:rsidRPr="00686B76" w:rsidRDefault="00686B76" w:rsidP="00686B76">
      <w:pPr>
        <w:spacing w:after="0" w:line="240" w:lineRule="auto"/>
        <w:jc w:val="both"/>
        <w:rPr>
          <w:rFonts w:ascii="Verdana" w:eastAsia="Calibri" w:hAnsi="Verdana" w:cs="Arial"/>
          <w:sz w:val="20"/>
          <w:shd w:val="clear" w:color="auto" w:fill="FFFFFF"/>
        </w:rPr>
      </w:pPr>
      <w:r w:rsidRPr="00686B76">
        <w:rPr>
          <w:rFonts w:ascii="Verdana" w:eastAsia="Calibri" w:hAnsi="Verdana" w:cs="Arial"/>
          <w:sz w:val="20"/>
          <w:shd w:val="clear" w:color="auto" w:fill="FFFFFF"/>
          <w:lang w:val="es-ES"/>
        </w:rPr>
        <w:t xml:space="preserve">Uno de los principios que rige la contratación del Estado es el de transparencia, que tiene varias implicaciones si se revisa desde la óptica del artículo 24 de la Ley 80 de 1993 que establece en su numeral 1°: “[…] </w:t>
      </w:r>
      <w:r w:rsidRPr="00686B76">
        <w:rPr>
          <w:rFonts w:ascii="Verdana" w:eastAsia="Calibri" w:hAnsi="Verdana" w:cs="Arial"/>
          <w:sz w:val="20"/>
          <w:shd w:val="clear" w:color="auto" w:fill="FFFFFF"/>
        </w:rPr>
        <w:t>La escogencia del contratista se efectuará siempre a través de licitación o concurso públicos, salvo en los siguientes casos en los que se podrá contratar directamente […]”. De igual forma, el numeral 2° prescribe: “[…]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0066AF3C" w14:textId="1BB7074B" w:rsidR="00686B76" w:rsidRPr="001B075C" w:rsidRDefault="00686B76" w:rsidP="00686B76">
      <w:pPr>
        <w:spacing w:after="0"/>
        <w:jc w:val="both"/>
        <w:rPr>
          <w:rFonts w:ascii="Verdana" w:hAnsi="Verdana"/>
          <w:b/>
        </w:rPr>
      </w:pPr>
      <w:r>
        <w:rPr>
          <w:rFonts w:ascii="Verdana" w:eastAsia="Calibri" w:hAnsi="Verdana" w:cs="Arial"/>
          <w:shd w:val="clear" w:color="auto" w:fill="FFFFFF"/>
        </w:rPr>
        <w:tab/>
      </w:r>
    </w:p>
    <w:p w14:paraId="6D5E302F" w14:textId="11BE6224" w:rsidR="001B075C" w:rsidRPr="001B075C" w:rsidRDefault="001B075C" w:rsidP="001B075C">
      <w:pPr>
        <w:spacing w:after="0"/>
        <w:jc w:val="both"/>
        <w:rPr>
          <w:rFonts w:ascii="Verdana" w:hAnsi="Verdana"/>
          <w:b/>
        </w:rPr>
      </w:pPr>
      <w:r w:rsidRPr="001B075C">
        <w:rPr>
          <w:rFonts w:ascii="Verdana" w:eastAsia="Calibri" w:hAnsi="Verdana" w:cs="Arial"/>
          <w:b/>
          <w:bCs/>
          <w:lang w:val="es-ES"/>
        </w:rPr>
        <w:t>INFORME DE EVALUACIÓN – Naturaleza – Término</w:t>
      </w:r>
    </w:p>
    <w:p w14:paraId="2AD9BC9E" w14:textId="4F9A4A14" w:rsidR="001B075C" w:rsidRPr="00985937" w:rsidRDefault="001B075C" w:rsidP="00985937">
      <w:pPr>
        <w:spacing w:after="0" w:line="240" w:lineRule="auto"/>
        <w:jc w:val="both"/>
        <w:rPr>
          <w:rFonts w:ascii="Verdana" w:hAnsi="Verdana"/>
          <w:b/>
          <w:sz w:val="20"/>
          <w:szCs w:val="20"/>
        </w:rPr>
      </w:pPr>
    </w:p>
    <w:p w14:paraId="1DE5CBFC" w14:textId="2F9E2D13" w:rsidR="00985937" w:rsidRDefault="00985937" w:rsidP="00985937">
      <w:pPr>
        <w:spacing w:after="0" w:line="240" w:lineRule="auto"/>
        <w:jc w:val="both"/>
        <w:rPr>
          <w:rFonts w:ascii="Verdana" w:eastAsia="Calibri" w:hAnsi="Verdana" w:cs="Arial"/>
          <w:sz w:val="20"/>
          <w:szCs w:val="20"/>
          <w:lang w:val="es-ES_tradnl"/>
        </w:rPr>
      </w:pPr>
      <w:r w:rsidRPr="00985937">
        <w:rPr>
          <w:rFonts w:ascii="Verdana" w:eastAsia="Calibri" w:hAnsi="Verdana" w:cs="Arial"/>
          <w:sz w:val="20"/>
          <w:szCs w:val="20"/>
          <w:lang w:val="es-ES_tradnl"/>
        </w:rPr>
        <w:t>Este informe de evaluación debe caracterizarse por justificarse en razones técnicas y jurídicas, que permitan decidir al ordenador del gasto mediante el acto administrativo de adjudicación o la comunicación de aceptación en los procesos de mínima cuantía. De esta manera, el informe de evaluación se constituye en un insumo de un elemento del acto administrativo de adjudicación, como es la debida motivación. Al respecto, el Consejo de Estado ha expresado: “</w:t>
      </w:r>
      <w:r w:rsidRPr="00985937">
        <w:rPr>
          <w:rFonts w:ascii="Verdana" w:eastAsia="Calibri" w:hAnsi="Verdana" w:cs="Arial"/>
          <w:sz w:val="20"/>
          <w:szCs w:val="20"/>
          <w:lang w:val="es-E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985937">
        <w:rPr>
          <w:rFonts w:ascii="Verdana" w:eastAsia="Calibri" w:hAnsi="Verdana" w:cs="Arial"/>
          <w:sz w:val="20"/>
          <w:szCs w:val="20"/>
          <w:lang w:val="es-ES_tradnl"/>
        </w:rPr>
        <w:t xml:space="preserve"> </w:t>
      </w:r>
    </w:p>
    <w:p w14:paraId="623400E0" w14:textId="77777777" w:rsidR="00985937" w:rsidRPr="00985937" w:rsidRDefault="00985937" w:rsidP="00985937">
      <w:pPr>
        <w:spacing w:after="0" w:line="240" w:lineRule="auto"/>
        <w:jc w:val="both"/>
        <w:rPr>
          <w:rFonts w:ascii="Verdana" w:eastAsia="Calibri" w:hAnsi="Verdana" w:cs="Arial"/>
          <w:sz w:val="20"/>
          <w:szCs w:val="20"/>
          <w:lang w:val="es-ES_tradnl"/>
        </w:rPr>
      </w:pPr>
    </w:p>
    <w:p w14:paraId="13CF5799" w14:textId="01D9B648" w:rsidR="00985937" w:rsidRDefault="00985937" w:rsidP="00985937">
      <w:pPr>
        <w:spacing w:after="0" w:line="240" w:lineRule="auto"/>
        <w:jc w:val="both"/>
        <w:rPr>
          <w:rFonts w:ascii="Verdana" w:eastAsia="Calibri" w:hAnsi="Verdana" w:cs="Arial"/>
          <w:sz w:val="20"/>
          <w:szCs w:val="20"/>
          <w:lang w:val="es-ES"/>
        </w:rPr>
      </w:pPr>
      <w:r w:rsidRPr="00985937">
        <w:rPr>
          <w:rFonts w:ascii="Verdana" w:eastAsia="Calibri" w:hAnsi="Verdana" w:cs="Arial"/>
          <w:sz w:val="20"/>
          <w:szCs w:val="20"/>
          <w:lang w:val="es-ES"/>
        </w:rPr>
        <w:t xml:space="preserve">Teniendo en cuenta la importancia del informe se señala que, para emitirlo,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constatará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1832AC1E" w14:textId="77777777" w:rsidR="00985937" w:rsidRPr="00985937" w:rsidRDefault="00985937" w:rsidP="00985937">
      <w:pPr>
        <w:spacing w:after="0" w:line="240" w:lineRule="auto"/>
        <w:jc w:val="both"/>
        <w:rPr>
          <w:rFonts w:ascii="Verdana" w:eastAsia="Calibri" w:hAnsi="Verdana" w:cs="Arial"/>
          <w:sz w:val="20"/>
          <w:szCs w:val="20"/>
          <w:lang w:val="es-ES"/>
        </w:rPr>
      </w:pPr>
    </w:p>
    <w:p w14:paraId="09D1728C" w14:textId="09908DF9" w:rsidR="001B075C" w:rsidRPr="001B075C" w:rsidRDefault="001B075C" w:rsidP="001B075C">
      <w:pPr>
        <w:spacing w:after="0"/>
        <w:jc w:val="both"/>
        <w:rPr>
          <w:rFonts w:ascii="Verdana" w:hAnsi="Verdana"/>
          <w:b/>
        </w:rPr>
      </w:pPr>
      <w:r w:rsidRPr="001B075C">
        <w:rPr>
          <w:rFonts w:ascii="Verdana" w:eastAsia="Calibri" w:hAnsi="Verdana" w:cs="Arial"/>
          <w:b/>
          <w:bCs/>
          <w:lang w:val="es-ES"/>
        </w:rPr>
        <w:t>INFORME DE EVALUACIÓN – Oportunidad – Observaciones - Respuesta a las observaciones – Derecho de controversia.</w:t>
      </w:r>
    </w:p>
    <w:p w14:paraId="779B2231" w14:textId="1EFF5C1D" w:rsidR="001B075C" w:rsidRDefault="001B075C" w:rsidP="00014F35">
      <w:pPr>
        <w:spacing w:after="0"/>
        <w:rPr>
          <w:rFonts w:ascii="Verdana" w:hAnsi="Verdana"/>
        </w:rPr>
      </w:pPr>
    </w:p>
    <w:p w14:paraId="14379D41" w14:textId="77777777" w:rsidR="00686B76" w:rsidRPr="00686B76" w:rsidRDefault="00686B76" w:rsidP="00686B76">
      <w:pPr>
        <w:spacing w:after="0" w:line="240" w:lineRule="auto"/>
        <w:jc w:val="both"/>
        <w:rPr>
          <w:rFonts w:ascii="Verdana" w:eastAsia="Calibri" w:hAnsi="Verdana" w:cs="Arial"/>
          <w:sz w:val="20"/>
          <w:lang w:val="es-ES"/>
        </w:rPr>
      </w:pPr>
      <w:r w:rsidRPr="00686B76">
        <w:rPr>
          <w:rFonts w:ascii="Verdana" w:eastAsia="Calibri" w:hAnsi="Verdana" w:cs="Arial"/>
          <w:sz w:val="20"/>
          <w:lang w:val="es-ES_tradnl"/>
        </w:rPr>
        <w:t xml:space="preserve">De tal manera, los </w:t>
      </w:r>
      <w:r w:rsidRPr="00686B76">
        <w:rPr>
          <w:rFonts w:ascii="Verdana" w:eastAsia="Calibri" w:hAnsi="Verdana" w:cs="Arial"/>
          <w:sz w:val="20"/>
          <w:lang w:val="es-ES"/>
        </w:rPr>
        <w:t xml:space="preserve">oferentes pueden pronunciarse sobre las respuestas que adoptó la entidad frente a las observaciones al informe de evaluación. Dicho informe de evaluación debe presentarse y publicarse por el </w:t>
      </w:r>
      <w:r w:rsidRPr="00686B76">
        <w:rPr>
          <w:rFonts w:ascii="Verdana" w:eastAsia="Calibri" w:hAnsi="Verdana" w:cs="Arial"/>
          <w:sz w:val="20"/>
        </w:rPr>
        <w:t>término de cinco (5) días hábiles para que los oferentes presenten las observaciones que estimen pertinentes</w:t>
      </w:r>
      <w:r w:rsidRPr="00686B76">
        <w:rPr>
          <w:rFonts w:ascii="Verdana" w:eastAsia="Calibri" w:hAnsi="Verdana" w:cs="Arial"/>
          <w:sz w:val="20"/>
          <w:lang w:val="es-ES"/>
        </w:rPr>
        <w:t xml:space="preserve">, sin que implique que </w:t>
      </w:r>
      <w:r w:rsidRPr="00686B76">
        <w:rPr>
          <w:rFonts w:ascii="Verdana" w:eastAsia="Calibri" w:hAnsi="Verdana" w:cs="Arial"/>
          <w:sz w:val="20"/>
          <w:lang w:val="es-ES"/>
        </w:rPr>
        <w:lastRenderedPageBreak/>
        <w:t>puedan mejorar, adicionar o modificar su oferta. De ser necesario, la entidad estatal puede suspender la audiencia cuando considere que debe verificar lo propuesta por alguno de los oferentes. Posteriormente, cuando se hagan observaciones respecto de alguna oferta, el proponente podrá responder los cuestionamientos. Se precisa que, quienes intervienen deben ser los oferentes o las personas designadas previamente por estos, y dentro del tiempo que la entidad señale.</w:t>
      </w:r>
    </w:p>
    <w:p w14:paraId="56F60B9B" w14:textId="77777777" w:rsidR="00686B76" w:rsidRDefault="00686B76" w:rsidP="00686B76">
      <w:pPr>
        <w:spacing w:after="0" w:line="240" w:lineRule="auto"/>
        <w:jc w:val="both"/>
        <w:rPr>
          <w:rFonts w:ascii="Verdana" w:eastAsia="Calibri" w:hAnsi="Verdana" w:cs="Arial"/>
          <w:color w:val="000000"/>
          <w:sz w:val="20"/>
          <w:lang w:val="es-ES"/>
        </w:rPr>
      </w:pPr>
    </w:p>
    <w:p w14:paraId="3498766B" w14:textId="299B4265" w:rsidR="00686B76" w:rsidRPr="00686B76" w:rsidRDefault="00686B76" w:rsidP="00686B76">
      <w:pPr>
        <w:spacing w:after="0" w:line="240" w:lineRule="auto"/>
        <w:jc w:val="both"/>
        <w:rPr>
          <w:rFonts w:ascii="Verdana" w:eastAsia="Calibri" w:hAnsi="Verdana" w:cs="Arial"/>
          <w:color w:val="000000"/>
          <w:sz w:val="20"/>
        </w:rPr>
      </w:pPr>
      <w:r w:rsidRPr="00686B76">
        <w:rPr>
          <w:rFonts w:ascii="Verdana" w:eastAsia="Calibri" w:hAnsi="Verdana" w:cs="Arial"/>
          <w:color w:val="000000"/>
          <w:sz w:val="20"/>
          <w:lang w:val="es-ES"/>
        </w:rPr>
        <w:t xml:space="preserve">En el supuesto de que no se presenten observaciones al informe de evaluación dentro del término dispuesto por la entidad estatal puede tener varios efectos jurídicos, pues implica que no podrá controvertir posteriormente dichos informes, al inferir que aceptó lo expresado por el comité evaluador, lo cual implica que no se tendrá en cuenta en el momento de la expedición de la resolución que adjudica el proceso. En otras palabras, el proponente perdió la oportunidad de contradecir lo dispuesto en el informe de evaluación por no sujetarse al término para la presentación de observaciones a este. En esta misma lógica, en la modalidad de selección abreviada de menor cuantía, así como en el concurso de méritos se establece que la </w:t>
      </w:r>
      <w:r w:rsidRPr="00686B76">
        <w:rPr>
          <w:rFonts w:ascii="Verdana" w:eastAsia="Calibri" w:hAnsi="Verdana" w:cs="Arial"/>
          <w:color w:val="000000"/>
          <w:sz w:val="20"/>
        </w:rPr>
        <w:t>Entidad Estatal debe publicar el informe de evaluación de ofertas durante tres (3) días hábiles. Esto, con el fin de que los participantes del proceso de contratación pública, como los oferentes presenten observaciones al informe de evaluación antes que se expida la resolución de adjudicación en el proceso de contratación. De igual modo, en la modalidad de selección de mínima cuantía, la Entidad Estatal debe publicar el informe de evaluación durante mínimo un (1) día hábil, para que durante este término los oferentes presenten las observaciones que deben responderse por la Entidad Estatal antes de realizar la aceptación de la oferta seleccionada.</w:t>
      </w:r>
    </w:p>
    <w:p w14:paraId="5B42820E" w14:textId="77777777" w:rsidR="00686B76" w:rsidRDefault="00686B76" w:rsidP="00686B76">
      <w:pPr>
        <w:spacing w:after="0" w:line="240" w:lineRule="auto"/>
        <w:jc w:val="both"/>
        <w:rPr>
          <w:rFonts w:ascii="Verdana" w:eastAsia="Calibri" w:hAnsi="Verdana" w:cs="Arial"/>
          <w:color w:val="000000"/>
          <w:sz w:val="20"/>
        </w:rPr>
      </w:pPr>
    </w:p>
    <w:p w14:paraId="5803BC5D" w14:textId="15E3B279" w:rsidR="00686B76" w:rsidRPr="00686B76" w:rsidRDefault="00686B76" w:rsidP="00686B76">
      <w:pPr>
        <w:spacing w:after="0" w:line="240" w:lineRule="auto"/>
        <w:jc w:val="both"/>
        <w:rPr>
          <w:rFonts w:ascii="Verdana" w:eastAsia="Calibri" w:hAnsi="Verdana" w:cs="Arial"/>
          <w:color w:val="000000"/>
          <w:sz w:val="20"/>
          <w:lang w:val="es-ES"/>
        </w:rPr>
      </w:pPr>
      <w:r w:rsidRPr="00686B76">
        <w:rPr>
          <w:rFonts w:ascii="Verdana" w:eastAsia="Calibri" w:hAnsi="Verdana" w:cs="Arial"/>
          <w:color w:val="000000"/>
          <w:sz w:val="20"/>
        </w:rPr>
        <w:t xml:space="preserve">Así las cosas, la presentación de observaciones al informe de evaluación por parte de los oferentes dentro de los procesos de contratación, es una facultad de controvertir, que por su naturaleza es optativa, por lo que no hacerla, implica aceptar de forma tácita lo expresado </w:t>
      </w:r>
      <w:r w:rsidRPr="00686B76">
        <w:rPr>
          <w:rFonts w:ascii="Verdana" w:eastAsia="Calibri" w:hAnsi="Verdana" w:cs="Arial"/>
          <w:color w:val="000000"/>
          <w:sz w:val="20"/>
        </w:rPr>
        <w:t xml:space="preserve">en </w:t>
      </w:r>
      <w:r w:rsidRPr="00686B76">
        <w:rPr>
          <w:rFonts w:ascii="Verdana" w:eastAsia="Calibri" w:hAnsi="Verdana" w:cs="Arial"/>
          <w:color w:val="000000"/>
          <w:sz w:val="20"/>
        </w:rPr>
        <w:t xml:space="preserve">dicho informe por parte del comité evaluador.  </w:t>
      </w:r>
    </w:p>
    <w:p w14:paraId="457D904A" w14:textId="77777777" w:rsidR="00686B76" w:rsidRPr="00686B76" w:rsidRDefault="00686B76" w:rsidP="00014F35">
      <w:pPr>
        <w:spacing w:after="0"/>
        <w:rPr>
          <w:rFonts w:ascii="Verdana" w:hAnsi="Verdana"/>
          <w:lang w:val="es-ES"/>
        </w:rPr>
      </w:pPr>
    </w:p>
    <w:p w14:paraId="76A03008" w14:textId="77777777" w:rsidR="00985937" w:rsidRDefault="00985937" w:rsidP="00014F35">
      <w:pPr>
        <w:spacing w:after="0"/>
        <w:rPr>
          <w:rFonts w:ascii="Verdana" w:hAnsi="Verdana"/>
        </w:rPr>
      </w:pPr>
    </w:p>
    <w:p w14:paraId="3F5CD4BA" w14:textId="77777777" w:rsidR="00985937" w:rsidRDefault="00985937" w:rsidP="00014F35">
      <w:pPr>
        <w:spacing w:after="0"/>
        <w:rPr>
          <w:rFonts w:ascii="Verdana" w:hAnsi="Verdana"/>
        </w:rPr>
      </w:pPr>
    </w:p>
    <w:p w14:paraId="37EDD2CB" w14:textId="77777777" w:rsidR="00985937" w:rsidRDefault="00985937" w:rsidP="00014F35">
      <w:pPr>
        <w:spacing w:after="0"/>
        <w:rPr>
          <w:rFonts w:ascii="Verdana" w:hAnsi="Verdana"/>
        </w:rPr>
      </w:pPr>
    </w:p>
    <w:p w14:paraId="0D3311E2" w14:textId="77777777" w:rsidR="00985937" w:rsidRDefault="00985937" w:rsidP="00014F35">
      <w:pPr>
        <w:spacing w:after="0"/>
        <w:rPr>
          <w:rFonts w:ascii="Verdana" w:hAnsi="Verdana"/>
        </w:rPr>
      </w:pPr>
    </w:p>
    <w:p w14:paraId="2BB992C3" w14:textId="77777777" w:rsidR="00985937" w:rsidRDefault="00985937" w:rsidP="00014F35">
      <w:pPr>
        <w:spacing w:after="0"/>
        <w:rPr>
          <w:rFonts w:ascii="Verdana" w:hAnsi="Verdana"/>
        </w:rPr>
      </w:pPr>
    </w:p>
    <w:p w14:paraId="4B908C53" w14:textId="77777777" w:rsidR="00985937" w:rsidRDefault="00985937" w:rsidP="00014F35">
      <w:pPr>
        <w:spacing w:after="0"/>
        <w:rPr>
          <w:rFonts w:ascii="Verdana" w:hAnsi="Verdana"/>
        </w:rPr>
      </w:pPr>
    </w:p>
    <w:p w14:paraId="63C120EE" w14:textId="77777777" w:rsidR="00985937" w:rsidRDefault="00985937" w:rsidP="00014F35">
      <w:pPr>
        <w:spacing w:after="0"/>
        <w:rPr>
          <w:rFonts w:ascii="Verdana" w:hAnsi="Verdana"/>
        </w:rPr>
      </w:pPr>
    </w:p>
    <w:p w14:paraId="27456F9F" w14:textId="77777777" w:rsidR="00985937" w:rsidRDefault="00985937" w:rsidP="00014F35">
      <w:pPr>
        <w:spacing w:after="0"/>
        <w:rPr>
          <w:rFonts w:ascii="Verdana" w:hAnsi="Verdana"/>
        </w:rPr>
      </w:pPr>
    </w:p>
    <w:p w14:paraId="019F88CE" w14:textId="77777777" w:rsidR="00985937" w:rsidRDefault="00985937" w:rsidP="00014F35">
      <w:pPr>
        <w:spacing w:after="0"/>
        <w:rPr>
          <w:rFonts w:ascii="Verdana" w:hAnsi="Verdana"/>
        </w:rPr>
      </w:pPr>
    </w:p>
    <w:p w14:paraId="4D15B2A7" w14:textId="77777777" w:rsidR="00985937" w:rsidRDefault="00985937" w:rsidP="00014F35">
      <w:pPr>
        <w:spacing w:after="0"/>
        <w:rPr>
          <w:rFonts w:ascii="Verdana" w:hAnsi="Verdana"/>
        </w:rPr>
      </w:pPr>
    </w:p>
    <w:p w14:paraId="15F43D9D" w14:textId="77777777" w:rsidR="00985937" w:rsidRDefault="00985937" w:rsidP="00014F35">
      <w:pPr>
        <w:spacing w:after="0"/>
        <w:rPr>
          <w:rFonts w:ascii="Verdana" w:hAnsi="Verdana"/>
        </w:rPr>
      </w:pPr>
    </w:p>
    <w:p w14:paraId="50115B88" w14:textId="77777777" w:rsidR="00985937" w:rsidRDefault="00985937" w:rsidP="00014F35">
      <w:pPr>
        <w:spacing w:after="0"/>
        <w:rPr>
          <w:rFonts w:ascii="Verdana" w:hAnsi="Verdana"/>
        </w:rPr>
      </w:pPr>
    </w:p>
    <w:p w14:paraId="5F4DEE2E" w14:textId="77777777" w:rsidR="00985937" w:rsidRDefault="00985937" w:rsidP="00014F35">
      <w:pPr>
        <w:spacing w:after="0"/>
        <w:rPr>
          <w:rFonts w:ascii="Verdana" w:hAnsi="Verdana"/>
        </w:rPr>
      </w:pPr>
    </w:p>
    <w:p w14:paraId="14CF1C39" w14:textId="77777777" w:rsidR="00985937" w:rsidRDefault="00985937" w:rsidP="00014F35">
      <w:pPr>
        <w:spacing w:after="0"/>
        <w:rPr>
          <w:rFonts w:ascii="Verdana" w:hAnsi="Verdana"/>
        </w:rPr>
      </w:pPr>
    </w:p>
    <w:p w14:paraId="7BE87D61" w14:textId="18C76ABB" w:rsidR="00985937" w:rsidRDefault="00985937" w:rsidP="00014F35">
      <w:pPr>
        <w:spacing w:after="0"/>
        <w:rPr>
          <w:rFonts w:ascii="Verdana" w:hAnsi="Verdana"/>
        </w:rPr>
      </w:pPr>
    </w:p>
    <w:p w14:paraId="0F943B21" w14:textId="1597CEE2" w:rsidR="00014F35" w:rsidRPr="0044528D" w:rsidRDefault="001B075C" w:rsidP="00014F35">
      <w:pPr>
        <w:spacing w:after="0"/>
        <w:rPr>
          <w:rFonts w:ascii="Verdana" w:hAnsi="Verdana"/>
        </w:rPr>
      </w:pPr>
      <w:r>
        <w:rPr>
          <w:rFonts w:ascii="Verdana" w:hAnsi="Verdana"/>
        </w:rPr>
        <w:lastRenderedPageBreak/>
        <w:t>Bogotá D.C., 9 de junio de 2025</w:t>
      </w:r>
      <w:r w:rsidR="00014F35" w:rsidRPr="0044528D">
        <w:rPr>
          <w:rFonts w:ascii="Verdana" w:hAnsi="Verdana"/>
        </w:rPr>
        <w:tab/>
      </w:r>
    </w:p>
    <w:p w14:paraId="44AD1091" w14:textId="31F3E65B" w:rsidR="00014F35" w:rsidRPr="006C07EE" w:rsidRDefault="009C506B" w:rsidP="00014F35">
      <w:pPr>
        <w:spacing w:after="0" w:line="240" w:lineRule="auto"/>
        <w:jc w:val="both"/>
        <w:rPr>
          <w:rFonts w:ascii="Verdana" w:hAnsi="Verdana"/>
        </w:rPr>
      </w:pPr>
      <w:r w:rsidRPr="001B075C">
        <w:rPr>
          <w:rFonts w:ascii="Verdana" w:hAnsi="Verdana"/>
          <w:b/>
          <w:noProof/>
          <w:lang w:val="en-US"/>
        </w:rPr>
        <w:drawing>
          <wp:anchor distT="0" distB="0" distL="114300" distR="114300" simplePos="0" relativeHeight="251658240" behindDoc="0" locked="0" layoutInCell="1" allowOverlap="1" wp14:anchorId="453F0CEB" wp14:editId="315C1217">
            <wp:simplePos x="0" y="0"/>
            <wp:positionH relativeFrom="column">
              <wp:posOffset>3120390</wp:posOffset>
            </wp:positionH>
            <wp:positionV relativeFrom="paragraph">
              <wp:posOffset>8255</wp:posOffset>
            </wp:positionV>
            <wp:extent cx="2543175" cy="752475"/>
            <wp:effectExtent l="0" t="0" r="952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31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6171A1" w14:textId="1513C186" w:rsidR="00014F35" w:rsidRDefault="00014F35" w:rsidP="00014F35">
      <w:pPr>
        <w:spacing w:after="0" w:line="240" w:lineRule="auto"/>
        <w:jc w:val="both"/>
        <w:rPr>
          <w:rFonts w:ascii="Verdana" w:hAnsi="Verdana" w:cs="Arial"/>
          <w:bCs/>
          <w:lang w:eastAsia="es-ES" w:bidi="es-ES"/>
        </w:rPr>
      </w:pPr>
    </w:p>
    <w:p w14:paraId="3B50F6FE" w14:textId="6649ED29" w:rsidR="00014F35" w:rsidRPr="006C07EE" w:rsidRDefault="00014F35" w:rsidP="00014F35">
      <w:pPr>
        <w:spacing w:after="0" w:line="240" w:lineRule="auto"/>
        <w:jc w:val="both"/>
        <w:rPr>
          <w:rFonts w:ascii="Verdana" w:hAnsi="Verdana" w:cs="Arial"/>
          <w:bCs/>
          <w:lang w:eastAsia="es-ES" w:bidi="es-ES"/>
        </w:rPr>
      </w:pPr>
    </w:p>
    <w:p w14:paraId="2C204F62" w14:textId="77777777" w:rsidR="00014F35" w:rsidRPr="000D3A83" w:rsidRDefault="00014F35" w:rsidP="009C506B">
      <w:pPr>
        <w:spacing w:after="0" w:line="240" w:lineRule="auto"/>
        <w:jc w:val="both"/>
        <w:rPr>
          <w:rFonts w:ascii="Verdana" w:hAnsi="Verdana" w:cs="Arial"/>
          <w:bCs/>
          <w:lang w:val="it-IT" w:eastAsia="es-ES" w:bidi="es-ES"/>
        </w:rPr>
      </w:pPr>
      <w:r w:rsidRPr="000D3A83">
        <w:rPr>
          <w:rFonts w:ascii="Verdana" w:hAnsi="Verdana" w:cs="Arial"/>
          <w:bCs/>
          <w:lang w:val="it-IT" w:eastAsia="es-ES" w:bidi="es-ES"/>
        </w:rPr>
        <w:t>Doctor</w:t>
      </w:r>
    </w:p>
    <w:p w14:paraId="6E9225A9" w14:textId="0F50F2E6" w:rsidR="00014F35" w:rsidRPr="000D3A83" w:rsidRDefault="00014F35" w:rsidP="009C506B">
      <w:pPr>
        <w:spacing w:after="0" w:line="240" w:lineRule="auto"/>
        <w:jc w:val="both"/>
        <w:rPr>
          <w:rFonts w:ascii="Verdana" w:hAnsi="Verdana"/>
          <w:b/>
        </w:rPr>
      </w:pPr>
      <w:r w:rsidRPr="000D3A83">
        <w:rPr>
          <w:rFonts w:ascii="Verdana" w:hAnsi="Verdana"/>
          <w:b/>
        </w:rPr>
        <w:t>Herinson Gustavo Burgos Tellez</w:t>
      </w:r>
      <w:r w:rsidR="001B075C" w:rsidRPr="001B075C">
        <w:rPr>
          <w:rFonts w:ascii="Verdana" w:hAnsi="Verdana"/>
          <w:b/>
        </w:rPr>
        <w:t xml:space="preserve"> </w:t>
      </w:r>
    </w:p>
    <w:p w14:paraId="77BBB409" w14:textId="77777777" w:rsidR="00014F35" w:rsidRPr="000D3A83" w:rsidRDefault="00014F35" w:rsidP="009C506B">
      <w:pPr>
        <w:spacing w:after="0" w:line="240" w:lineRule="auto"/>
        <w:jc w:val="both"/>
        <w:rPr>
          <w:rFonts w:ascii="Verdana" w:hAnsi="Verdana"/>
        </w:rPr>
      </w:pPr>
      <w:r w:rsidRPr="000D3A83">
        <w:rPr>
          <w:rFonts w:ascii="Verdana" w:hAnsi="Verdana"/>
        </w:rPr>
        <w:t>Personer</w:t>
      </w:r>
      <w:r>
        <w:rPr>
          <w:rFonts w:ascii="Verdana" w:hAnsi="Verdana"/>
        </w:rPr>
        <w:t>o</w:t>
      </w:r>
      <w:r w:rsidRPr="000D3A83">
        <w:rPr>
          <w:rFonts w:ascii="Verdana" w:hAnsi="Verdana"/>
        </w:rPr>
        <w:t xml:space="preserve"> Municipal de Sucre-Santander</w:t>
      </w:r>
    </w:p>
    <w:p w14:paraId="76F6AFFB" w14:textId="77777777" w:rsidR="00014F35" w:rsidRPr="000D3A83" w:rsidRDefault="00744F76" w:rsidP="009C506B">
      <w:pPr>
        <w:spacing w:after="0" w:line="240" w:lineRule="auto"/>
        <w:jc w:val="both"/>
        <w:rPr>
          <w:rFonts w:ascii="Verdana" w:hAnsi="Verdana" w:cs="Arial"/>
          <w:bCs/>
          <w:lang w:val="es-MX" w:eastAsia="es-ES" w:bidi="es-ES"/>
        </w:rPr>
      </w:pPr>
      <w:hyperlink r:id="rId12" w:history="1">
        <w:r w:rsidR="00014F35" w:rsidRPr="000D3A83">
          <w:rPr>
            <w:rStyle w:val="Hipervnculo"/>
            <w:rFonts w:ascii="Verdana" w:hAnsi="Verdana" w:cs="Arial"/>
            <w:bCs/>
            <w:lang w:val="es-MX" w:eastAsia="es-ES" w:bidi="es-ES"/>
          </w:rPr>
          <w:t>personeria@sucre-santander.gov.co</w:t>
        </w:r>
      </w:hyperlink>
    </w:p>
    <w:p w14:paraId="70CA33FB" w14:textId="77777777" w:rsidR="00014F35" w:rsidRPr="000D3A83" w:rsidRDefault="00014F35" w:rsidP="009C506B">
      <w:pPr>
        <w:spacing w:after="0" w:line="240" w:lineRule="auto"/>
        <w:jc w:val="both"/>
        <w:rPr>
          <w:rFonts w:ascii="Verdana" w:hAnsi="Verdana" w:cs="Arial"/>
          <w:bCs/>
          <w:lang w:val="es-MX" w:eastAsia="es-ES" w:bidi="es-ES"/>
        </w:rPr>
      </w:pPr>
      <w:r w:rsidRPr="000D3A83">
        <w:rPr>
          <w:rFonts w:ascii="Verdana" w:hAnsi="Verdana" w:cs="Arial"/>
          <w:bCs/>
          <w:lang w:val="es-MX" w:eastAsia="es-ES" w:bidi="es-ES"/>
        </w:rPr>
        <w:t xml:space="preserve">Sucre-Santander </w:t>
      </w:r>
    </w:p>
    <w:p w14:paraId="18391182" w14:textId="77777777" w:rsidR="00014F35" w:rsidRPr="00142346" w:rsidRDefault="00014F35" w:rsidP="00014F35">
      <w:pPr>
        <w:spacing w:after="0" w:line="240" w:lineRule="auto"/>
        <w:jc w:val="both"/>
        <w:rPr>
          <w:rFonts w:ascii="Verdana" w:hAnsi="Verdana" w:cs="Arial"/>
          <w:b/>
          <w:bCs/>
          <w:lang w:val="es-ES_tradnl" w:eastAsia="es-ES" w:bidi="es-ES"/>
        </w:rPr>
      </w:pPr>
    </w:p>
    <w:p w14:paraId="60615C4D" w14:textId="77777777" w:rsidR="00014F35" w:rsidRPr="00B31C7B" w:rsidRDefault="00014F35" w:rsidP="00014F35">
      <w:pPr>
        <w:tabs>
          <w:tab w:val="left" w:pos="7184"/>
        </w:tabs>
        <w:spacing w:after="0" w:line="240" w:lineRule="auto"/>
        <w:jc w:val="both"/>
        <w:rPr>
          <w:rFonts w:ascii="Verdana" w:hAnsi="Verdana" w:cs="Arial"/>
          <w:b/>
          <w:bCs/>
          <w:lang w:val="es-ES_tradnl" w:eastAsia="es-ES" w:bidi="es-ES"/>
        </w:rPr>
      </w:pPr>
      <w:r w:rsidRPr="00B31C7B">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014F35" w:rsidRPr="00B31C7B" w14:paraId="613C539A" w14:textId="77777777" w:rsidTr="00DF0533">
        <w:trPr>
          <w:trHeight w:val="312"/>
        </w:trPr>
        <w:tc>
          <w:tcPr>
            <w:tcW w:w="2689" w:type="dxa"/>
          </w:tcPr>
          <w:p w14:paraId="121ED908" w14:textId="77777777" w:rsidR="00014F35" w:rsidRPr="00B31C7B" w:rsidRDefault="00014F35" w:rsidP="00DF0533">
            <w:pPr>
              <w:jc w:val="both"/>
              <w:rPr>
                <w:rFonts w:ascii="Verdana" w:hAnsi="Verdana" w:cs="Arial"/>
                <w:b/>
                <w:bCs/>
                <w:lang w:val="es-ES_tradnl" w:eastAsia="es-ES" w:bidi="es-ES"/>
              </w:rPr>
            </w:pPr>
          </w:p>
        </w:tc>
        <w:tc>
          <w:tcPr>
            <w:tcW w:w="6242" w:type="dxa"/>
          </w:tcPr>
          <w:p w14:paraId="4478C054" w14:textId="77777777" w:rsidR="00014F35" w:rsidRPr="00B31C7B" w:rsidRDefault="00014F35" w:rsidP="00DF0533">
            <w:pPr>
              <w:tabs>
                <w:tab w:val="right" w:pos="6242"/>
              </w:tabs>
              <w:jc w:val="both"/>
              <w:rPr>
                <w:rFonts w:ascii="Verdana" w:hAnsi="Verdana" w:cs="Arial"/>
                <w:b/>
                <w:bCs/>
                <w:lang w:val="es-MX" w:eastAsia="es-ES" w:bidi="es-ES"/>
              </w:rPr>
            </w:pPr>
            <w:r>
              <w:rPr>
                <w:rFonts w:ascii="Verdana" w:hAnsi="Verdana" w:cs="Arial"/>
                <w:b/>
                <w:bCs/>
                <w:lang w:val="es-MX" w:eastAsia="es-ES" w:bidi="es-ES"/>
              </w:rPr>
              <w:t>Concepto C- 521</w:t>
            </w:r>
            <w:r w:rsidRPr="00B31C7B">
              <w:rPr>
                <w:rFonts w:ascii="Verdana" w:hAnsi="Verdana" w:cs="Arial"/>
                <w:b/>
                <w:bCs/>
                <w:lang w:val="es-MX" w:eastAsia="es-ES" w:bidi="es-ES"/>
              </w:rPr>
              <w:t xml:space="preserve"> de 2025</w:t>
            </w:r>
            <w:r w:rsidRPr="00B31C7B">
              <w:rPr>
                <w:rFonts w:ascii="Verdana" w:hAnsi="Verdana" w:cs="Arial"/>
                <w:b/>
                <w:bCs/>
                <w:lang w:val="es-MX" w:eastAsia="es-ES" w:bidi="es-ES"/>
              </w:rPr>
              <w:tab/>
            </w:r>
          </w:p>
          <w:p w14:paraId="677727BC" w14:textId="77777777" w:rsidR="00014F35" w:rsidRPr="00B31C7B" w:rsidRDefault="00014F35" w:rsidP="00DF0533">
            <w:pPr>
              <w:jc w:val="both"/>
              <w:rPr>
                <w:rFonts w:ascii="Verdana" w:hAnsi="Verdana" w:cs="Arial"/>
                <w:b/>
                <w:bCs/>
                <w:lang w:val="es-MX" w:eastAsia="es-ES" w:bidi="es-ES"/>
              </w:rPr>
            </w:pPr>
          </w:p>
        </w:tc>
      </w:tr>
      <w:tr w:rsidR="00014F35" w:rsidRPr="00B31C7B" w14:paraId="21207F03" w14:textId="77777777" w:rsidTr="00DF0533">
        <w:trPr>
          <w:trHeight w:val="884"/>
        </w:trPr>
        <w:tc>
          <w:tcPr>
            <w:tcW w:w="2689" w:type="dxa"/>
          </w:tcPr>
          <w:p w14:paraId="626021E5" w14:textId="77777777" w:rsidR="00014F35" w:rsidRPr="008D3302" w:rsidRDefault="00014F35" w:rsidP="00DF0533">
            <w:pPr>
              <w:jc w:val="both"/>
              <w:rPr>
                <w:rFonts w:ascii="Verdana" w:hAnsi="Verdana" w:cs="Arial"/>
                <w:b/>
                <w:bCs/>
                <w:lang w:val="es-MX" w:eastAsia="es-ES" w:bidi="es-ES"/>
              </w:rPr>
            </w:pPr>
            <w:r w:rsidRPr="008D3302">
              <w:rPr>
                <w:rFonts w:ascii="Verdana" w:hAnsi="Verdana" w:cs="Arial"/>
                <w:b/>
                <w:bCs/>
                <w:lang w:val="es-MX" w:eastAsia="es-ES" w:bidi="es-ES"/>
              </w:rPr>
              <w:t xml:space="preserve">Temas:                   </w:t>
            </w:r>
          </w:p>
        </w:tc>
        <w:tc>
          <w:tcPr>
            <w:tcW w:w="6242" w:type="dxa"/>
          </w:tcPr>
          <w:p w14:paraId="1D013E10" w14:textId="77777777" w:rsidR="00014F35" w:rsidRPr="00864806" w:rsidRDefault="00014F35" w:rsidP="00DF0533">
            <w:pPr>
              <w:jc w:val="both"/>
              <w:rPr>
                <w:rFonts w:ascii="Verdana" w:hAnsi="Verdana" w:cs="Arial"/>
                <w:bCs/>
                <w:lang w:eastAsia="es-ES" w:bidi="es-ES"/>
              </w:rPr>
            </w:pPr>
            <w:r w:rsidRPr="00864806">
              <w:rPr>
                <w:rFonts w:ascii="Verdana" w:eastAsia="Calibri" w:hAnsi="Verdana" w:cs="Arial"/>
                <w:bCs/>
                <w:lang w:val="es-ES"/>
              </w:rPr>
              <w:t>FIRMA</w:t>
            </w:r>
            <w:r>
              <w:rPr>
                <w:rFonts w:ascii="Verdana" w:eastAsia="Calibri" w:hAnsi="Verdana" w:cs="Arial"/>
                <w:bCs/>
                <w:lang w:val="es-ES"/>
              </w:rPr>
              <w:t xml:space="preserve"> – Concepto – Clases – Firma electrónica – Firma digital / FIRMA</w:t>
            </w:r>
            <w:r w:rsidRPr="00864806">
              <w:rPr>
                <w:rFonts w:ascii="Verdana" w:eastAsia="Calibri" w:hAnsi="Verdana" w:cs="Arial"/>
                <w:bCs/>
                <w:lang w:val="es-ES"/>
              </w:rPr>
              <w:t xml:space="preserve"> ESCANEADA – Firma electrónica – características – autenticidad</w:t>
            </w:r>
            <w:r>
              <w:rPr>
                <w:rFonts w:ascii="Verdana" w:eastAsia="Calibri" w:hAnsi="Verdana" w:cs="Arial"/>
                <w:bCs/>
                <w:lang w:val="es-ES"/>
              </w:rPr>
              <w:t xml:space="preserve"> / PRINCIPIO DE TRANSPARENCIA – Alcance / INFORME DE EVALUACIÓN – Naturaleza – Término / INFORME DE EVALUACIÓN – Oportunidad – Observaciones - Respuesta a las observaciones – Derecho de controversia. </w:t>
            </w:r>
          </w:p>
          <w:p w14:paraId="53B6A68E" w14:textId="77777777" w:rsidR="00014F35" w:rsidRPr="00DC0336" w:rsidRDefault="00014F35" w:rsidP="00DF0533">
            <w:pPr>
              <w:jc w:val="both"/>
              <w:rPr>
                <w:rFonts w:ascii="Verdana" w:hAnsi="Verdana" w:cs="Arial"/>
                <w:bCs/>
                <w:highlight w:val="yellow"/>
                <w:lang w:eastAsia="es-ES" w:bidi="es-ES"/>
              </w:rPr>
            </w:pPr>
          </w:p>
        </w:tc>
      </w:tr>
      <w:tr w:rsidR="00014F35" w:rsidRPr="00B31C7B" w14:paraId="73B4BAFA" w14:textId="77777777" w:rsidTr="00DF0533">
        <w:tc>
          <w:tcPr>
            <w:tcW w:w="2689" w:type="dxa"/>
          </w:tcPr>
          <w:p w14:paraId="76B55F5E" w14:textId="77777777" w:rsidR="00014F35" w:rsidRPr="008D3302" w:rsidRDefault="00014F35" w:rsidP="00DF0533">
            <w:pPr>
              <w:jc w:val="both"/>
              <w:rPr>
                <w:rFonts w:ascii="Verdana" w:hAnsi="Verdana" w:cs="Arial"/>
                <w:b/>
                <w:bCs/>
                <w:lang w:val="es-MX" w:eastAsia="es-ES" w:bidi="es-ES"/>
              </w:rPr>
            </w:pPr>
            <w:r w:rsidRPr="008D3302">
              <w:rPr>
                <w:rFonts w:ascii="Verdana" w:hAnsi="Verdana" w:cs="Arial"/>
                <w:b/>
                <w:bCs/>
                <w:lang w:val="es-MX" w:eastAsia="es-ES" w:bidi="es-ES"/>
              </w:rPr>
              <w:t xml:space="preserve">Radicación:               </w:t>
            </w:r>
          </w:p>
        </w:tc>
        <w:tc>
          <w:tcPr>
            <w:tcW w:w="6242" w:type="dxa"/>
          </w:tcPr>
          <w:p w14:paraId="27188BB7" w14:textId="77777777" w:rsidR="00014F35" w:rsidRPr="00B31C7B" w:rsidRDefault="00014F35" w:rsidP="00DF0533">
            <w:pPr>
              <w:jc w:val="both"/>
              <w:rPr>
                <w:rFonts w:ascii="Verdana" w:hAnsi="Verdana" w:cs="Arial"/>
                <w:bCs/>
                <w:lang w:val="es-MX" w:eastAsia="es-ES" w:bidi="es-ES"/>
              </w:rPr>
            </w:pPr>
            <w:r w:rsidRPr="00B31C7B">
              <w:rPr>
                <w:rFonts w:ascii="Verdana" w:hAnsi="Verdana" w:cs="Arial"/>
                <w:bCs/>
                <w:lang w:val="es-MX" w:eastAsia="es-ES" w:bidi="es-ES"/>
              </w:rPr>
              <w:t>Respuesta a c</w:t>
            </w:r>
            <w:r>
              <w:rPr>
                <w:rFonts w:ascii="Verdana" w:hAnsi="Verdana" w:cs="Arial"/>
                <w:bCs/>
                <w:lang w:val="es-MX" w:eastAsia="es-ES" w:bidi="es-ES"/>
              </w:rPr>
              <w:t xml:space="preserve">onsulta con radicado No. </w:t>
            </w:r>
            <w:r w:rsidRPr="00142346">
              <w:rPr>
                <w:rFonts w:ascii="Verdana" w:hAnsi="Verdana" w:cs="Arial"/>
                <w:bCs/>
                <w:lang w:eastAsia="es-ES" w:bidi="es-ES"/>
              </w:rPr>
              <w:t>P20250428004027</w:t>
            </w:r>
          </w:p>
        </w:tc>
      </w:tr>
    </w:tbl>
    <w:p w14:paraId="7775FE4E" w14:textId="77777777" w:rsidR="00014F35" w:rsidRPr="00B31C7B" w:rsidRDefault="00014F35" w:rsidP="00014F35">
      <w:pPr>
        <w:spacing w:after="0" w:line="240" w:lineRule="auto"/>
        <w:jc w:val="both"/>
        <w:rPr>
          <w:rFonts w:ascii="Verdana" w:hAnsi="Verdana" w:cs="Arial"/>
          <w:bCs/>
          <w:lang w:val="es-ES_tradnl" w:eastAsia="es-ES" w:bidi="es-ES"/>
        </w:rPr>
      </w:pPr>
    </w:p>
    <w:p w14:paraId="04A9EF59" w14:textId="77777777" w:rsidR="00014F35" w:rsidRPr="00B31C7B" w:rsidRDefault="00014F35" w:rsidP="00014F35">
      <w:pPr>
        <w:spacing w:after="0" w:line="240" w:lineRule="auto"/>
        <w:jc w:val="both"/>
        <w:rPr>
          <w:rFonts w:ascii="Verdana" w:hAnsi="Verdana" w:cs="Arial"/>
          <w:bCs/>
          <w:lang w:val="es-ES_tradnl" w:eastAsia="es-ES" w:bidi="es-ES"/>
        </w:rPr>
      </w:pPr>
    </w:p>
    <w:p w14:paraId="064FEA4C" w14:textId="77777777" w:rsidR="00014F35" w:rsidRPr="00B31C7B" w:rsidRDefault="00014F35" w:rsidP="00014F35">
      <w:pPr>
        <w:spacing w:after="0" w:line="276" w:lineRule="auto"/>
        <w:jc w:val="both"/>
        <w:rPr>
          <w:rFonts w:ascii="Verdana" w:hAnsi="Verdana" w:cs="Arial"/>
          <w:bCs/>
          <w:lang w:val="es-MX" w:eastAsia="es-ES" w:bidi="es-ES"/>
        </w:rPr>
      </w:pPr>
      <w:r>
        <w:rPr>
          <w:rFonts w:ascii="Verdana" w:hAnsi="Verdana" w:cs="Arial"/>
          <w:bCs/>
          <w:lang w:val="es-MX" w:eastAsia="es-ES" w:bidi="es-ES"/>
        </w:rPr>
        <w:t>Estimado Doctor Burgos</w:t>
      </w:r>
      <w:r w:rsidRPr="00B31C7B">
        <w:rPr>
          <w:rFonts w:ascii="Verdana" w:hAnsi="Verdana" w:cs="Arial"/>
          <w:bCs/>
          <w:lang w:val="es-MX" w:eastAsia="es-ES" w:bidi="es-ES"/>
        </w:rPr>
        <w:t>:</w:t>
      </w:r>
    </w:p>
    <w:p w14:paraId="42DC2B98" w14:textId="77777777" w:rsidR="00014F35" w:rsidRPr="00B31C7B" w:rsidRDefault="00014F35" w:rsidP="00014F35">
      <w:pPr>
        <w:spacing w:after="0" w:line="276" w:lineRule="auto"/>
        <w:jc w:val="both"/>
        <w:rPr>
          <w:rFonts w:ascii="Verdana" w:hAnsi="Verdana" w:cs="Arial"/>
          <w:bCs/>
          <w:lang w:val="es-ES" w:eastAsia="es-ES" w:bidi="es-ES"/>
        </w:rPr>
      </w:pPr>
      <w:r w:rsidRPr="00B31C7B">
        <w:rPr>
          <w:rFonts w:ascii="Verdana" w:hAnsi="Verdana" w:cs="Arial"/>
          <w:bCs/>
          <w:lang w:val="es-ES" w:eastAsia="es-ES" w:bidi="es-ES"/>
        </w:rPr>
        <w:tab/>
      </w:r>
    </w:p>
    <w:p w14:paraId="138132B9" w14:textId="490F087C" w:rsidR="00014F35" w:rsidRPr="00B31C7B" w:rsidRDefault="00014F35" w:rsidP="00014F35">
      <w:pPr>
        <w:spacing w:after="0" w:line="276" w:lineRule="auto"/>
        <w:jc w:val="both"/>
        <w:rPr>
          <w:rFonts w:ascii="Verdana" w:hAnsi="Verdana" w:cs="Arial"/>
          <w:bCs/>
          <w:lang w:val="es-ES" w:eastAsia="es-ES" w:bidi="es-ES"/>
        </w:rPr>
      </w:pPr>
      <w:r w:rsidRPr="00B31C7B">
        <w:rPr>
          <w:rFonts w:ascii="Verdana" w:hAnsi="Verdana" w:cs="Arial"/>
          <w:bCs/>
          <w:lang w:val="es-ES" w:eastAsia="es-ES" w:bidi="es-ES"/>
        </w:rPr>
        <w:t xml:space="preserve">En ejercicio de la competencia otorgada por los artículos 3, numeral 5º, y 11, numeral 8º, del Decreto Ley 4170 de 2011, </w:t>
      </w:r>
      <w:r w:rsidRPr="00B31C7B">
        <w:rPr>
          <w:rFonts w:ascii="Verdana" w:hAnsi="Verdana" w:cs="Arial"/>
          <w:bCs/>
          <w:lang w:eastAsia="es-ES" w:bidi="es-ES"/>
        </w:rPr>
        <w:t xml:space="preserve">así como lo establecido en el artículo 4 de la Resolución 1707 de 2018 expedida por esta Entidad, </w:t>
      </w:r>
      <w:r w:rsidRPr="00B31C7B">
        <w:rPr>
          <w:rFonts w:ascii="Verdana" w:hAnsi="Verdana" w:cs="Arial"/>
          <w:bCs/>
          <w:lang w:val="es-ES" w:eastAsia="es-ES" w:bidi="es-ES"/>
        </w:rPr>
        <w:t>la Agencia Nacional de Contratación Pública – Colombia Compra Eficiente– responde su solic</w:t>
      </w:r>
      <w:r w:rsidR="00FE7D2F">
        <w:rPr>
          <w:rFonts w:ascii="Verdana" w:hAnsi="Verdana" w:cs="Arial"/>
          <w:bCs/>
          <w:lang w:val="es-ES" w:eastAsia="es-ES" w:bidi="es-ES"/>
        </w:rPr>
        <w:t xml:space="preserve">itud de consulta presentada el </w:t>
      </w:r>
      <w:r>
        <w:rPr>
          <w:rFonts w:ascii="Verdana" w:hAnsi="Verdana" w:cs="Arial"/>
          <w:bCs/>
          <w:lang w:val="es-ES" w:eastAsia="es-ES" w:bidi="es-ES"/>
        </w:rPr>
        <w:t>28 de abril de 2025</w:t>
      </w:r>
      <w:r w:rsidR="00FE7D2F">
        <w:rPr>
          <w:rFonts w:ascii="Verdana" w:hAnsi="Verdana" w:cs="Arial"/>
          <w:bCs/>
          <w:lang w:val="es-ES" w:eastAsia="es-ES" w:bidi="es-ES"/>
        </w:rPr>
        <w:t>, en el que se</w:t>
      </w:r>
      <w:r w:rsidRPr="00B31C7B">
        <w:rPr>
          <w:rFonts w:ascii="Verdana" w:hAnsi="Verdana" w:cs="Arial"/>
          <w:bCs/>
          <w:lang w:val="es-ES" w:eastAsia="es-ES" w:bidi="es-ES"/>
        </w:rPr>
        <w:t xml:space="preserve"> manifiesta lo siguiente: </w:t>
      </w:r>
    </w:p>
    <w:p w14:paraId="5E83A824" w14:textId="77777777" w:rsidR="00014F35" w:rsidRPr="00C81FB1" w:rsidRDefault="00014F35" w:rsidP="00014F35">
      <w:pPr>
        <w:spacing w:after="0" w:line="276" w:lineRule="auto"/>
        <w:ind w:right="709"/>
        <w:jc w:val="both"/>
        <w:rPr>
          <w:rFonts w:ascii="Verdana" w:hAnsi="Verdana" w:cs="Arial"/>
          <w:bCs/>
          <w:sz w:val="21"/>
          <w:szCs w:val="21"/>
          <w:lang w:val="es-ES" w:eastAsia="es-ES" w:bidi="es-ES"/>
        </w:rPr>
      </w:pPr>
    </w:p>
    <w:p w14:paraId="7BD64B1C" w14:textId="77777777" w:rsidR="00014F35" w:rsidRPr="00142346" w:rsidRDefault="00014F35" w:rsidP="00014F35">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w:t>
      </w:r>
      <w:r w:rsidRPr="00142346">
        <w:rPr>
          <w:rFonts w:ascii="Verdana" w:hAnsi="Verdana" w:cs="Arial"/>
          <w:bCs/>
          <w:sz w:val="20"/>
          <w:szCs w:val="20"/>
          <w:lang w:eastAsia="es-ES" w:bidi="es-ES"/>
        </w:rPr>
        <w:t xml:space="preserve">1. Qué consecuencias trae presentar una oferta en un proceso de contratación estatal con firma impresa, cuando los estudios previos y la invitación establecen la presentación en original debidamente firmada por el representante legal. </w:t>
      </w:r>
    </w:p>
    <w:p w14:paraId="670C6FCC" w14:textId="77777777" w:rsidR="00014F35" w:rsidRPr="006C07EE" w:rsidRDefault="00014F35" w:rsidP="00014F35">
      <w:pPr>
        <w:spacing w:after="0" w:line="240" w:lineRule="auto"/>
        <w:ind w:left="709" w:right="709"/>
        <w:jc w:val="both"/>
        <w:rPr>
          <w:rFonts w:ascii="Verdana" w:hAnsi="Verdana" w:cs="Arial"/>
          <w:bCs/>
          <w:sz w:val="20"/>
          <w:szCs w:val="20"/>
          <w:lang w:eastAsia="es-ES" w:bidi="es-ES"/>
        </w:rPr>
      </w:pPr>
      <w:r w:rsidRPr="00142346">
        <w:rPr>
          <w:rFonts w:ascii="Verdana" w:hAnsi="Verdana" w:cs="Arial"/>
          <w:bCs/>
          <w:sz w:val="20"/>
          <w:szCs w:val="20"/>
          <w:lang w:eastAsia="es-ES" w:bidi="es-ES"/>
        </w:rPr>
        <w:t>2. Qué consecuencias trae para los oferentes no radicar observaciones a la</w:t>
      </w:r>
      <w:r>
        <w:rPr>
          <w:rFonts w:ascii="Verdana" w:hAnsi="Verdana" w:cs="Arial"/>
          <w:bCs/>
          <w:sz w:val="20"/>
          <w:szCs w:val="20"/>
          <w:lang w:eastAsia="es-ES" w:bidi="es-ES"/>
        </w:rPr>
        <w:t xml:space="preserve"> evaluación de las ofertas</w:t>
      </w:r>
      <w:r w:rsidRPr="006C07EE">
        <w:rPr>
          <w:rFonts w:ascii="Verdana" w:hAnsi="Verdana" w:cs="Arial"/>
          <w:bCs/>
          <w:sz w:val="20"/>
          <w:szCs w:val="20"/>
          <w:lang w:eastAsia="es-ES" w:bidi="es-ES"/>
        </w:rPr>
        <w:t xml:space="preserve">”. </w:t>
      </w:r>
    </w:p>
    <w:p w14:paraId="6329E469" w14:textId="77777777" w:rsidR="00014F35" w:rsidRPr="00B31C7B" w:rsidRDefault="00014F35" w:rsidP="00014F35">
      <w:pPr>
        <w:spacing w:after="0" w:line="276" w:lineRule="auto"/>
        <w:ind w:firstLine="709"/>
        <w:jc w:val="both"/>
        <w:rPr>
          <w:rFonts w:ascii="Verdana" w:hAnsi="Verdana" w:cs="Arial"/>
          <w:bCs/>
          <w:lang w:eastAsia="es-ES" w:bidi="es-ES"/>
        </w:rPr>
      </w:pPr>
    </w:p>
    <w:p w14:paraId="592C8149" w14:textId="77777777" w:rsidR="00014F35" w:rsidRPr="00B31C7B" w:rsidRDefault="00014F35" w:rsidP="00014F35">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t xml:space="preserve">De manera preliminar, resulta necesario acotar que esta entidad solo tiene competencia para responder consultas sobre la aplicación de normas de carácter </w:t>
      </w:r>
      <w:r w:rsidRPr="00B31C7B">
        <w:rPr>
          <w:rFonts w:ascii="Verdana" w:eastAsia="Calibri" w:hAnsi="Verdana" w:cs="Times New Roman"/>
          <w:lang w:val="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B68B200" w14:textId="77777777" w:rsidR="00014F35" w:rsidRPr="00B31C7B" w:rsidRDefault="00014F35" w:rsidP="00014F35">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los problemas jurídicos de su consulta. </w:t>
      </w:r>
    </w:p>
    <w:p w14:paraId="1A8173BB" w14:textId="77777777" w:rsidR="00014F35" w:rsidRPr="00B31C7B" w:rsidRDefault="00014F35" w:rsidP="00014F35">
      <w:pPr>
        <w:spacing w:after="0" w:line="256" w:lineRule="auto"/>
        <w:rPr>
          <w:rFonts w:ascii="Verdana" w:eastAsia="Calibri" w:hAnsi="Verdana" w:cs="Times New Roman"/>
          <w:lang w:val="es-ES"/>
        </w:rPr>
      </w:pPr>
    </w:p>
    <w:p w14:paraId="73419C94" w14:textId="77777777" w:rsidR="00014F35" w:rsidRPr="00B31C7B" w:rsidRDefault="00014F35" w:rsidP="00014F35">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3720DD31" w14:textId="77777777" w:rsidR="00014F35" w:rsidRPr="00B31C7B" w:rsidRDefault="00014F35" w:rsidP="00014F35">
      <w:pPr>
        <w:spacing w:after="0" w:line="256" w:lineRule="auto"/>
        <w:rPr>
          <w:rFonts w:ascii="Verdana" w:eastAsia="Calibri" w:hAnsi="Verdana" w:cs="Times New Roman"/>
        </w:rPr>
      </w:pPr>
    </w:p>
    <w:p w14:paraId="02D26B5C" w14:textId="77777777" w:rsidR="00014F35" w:rsidRPr="00B31C7B" w:rsidRDefault="00014F35" w:rsidP="00014F35">
      <w:pPr>
        <w:spacing w:after="0" w:line="276" w:lineRule="auto"/>
        <w:jc w:val="both"/>
        <w:rPr>
          <w:rFonts w:ascii="Verdana" w:eastAsia="Calibri" w:hAnsi="Verdana" w:cs="Times New Roman"/>
        </w:rPr>
      </w:pPr>
      <w:r>
        <w:rPr>
          <w:rFonts w:ascii="Verdana" w:eastAsia="Calibri" w:hAnsi="Verdana" w:cs="Times New Roman"/>
        </w:rPr>
        <w:t>De acuerdo al contenido de su solicitud, se presenta los siguientes problemas jurídicos</w:t>
      </w:r>
      <w:r w:rsidRPr="00B31C7B">
        <w:rPr>
          <w:rFonts w:ascii="Verdana" w:eastAsia="Calibri" w:hAnsi="Verdana" w:cs="Times New Roman"/>
        </w:rPr>
        <w:t xml:space="preserve">: </w:t>
      </w:r>
      <w:r>
        <w:rPr>
          <w:rFonts w:ascii="Verdana" w:eastAsia="Calibri" w:hAnsi="Verdana" w:cs="Times New Roman"/>
        </w:rPr>
        <w:t xml:space="preserve">¿Tiene validez la firma escaneada en una oferta dentro de un proceso de contratación? ¿Qué efectos jurídicos tiene la no presentación de observaciones al informe de evaluación dentro de un proceso de contratación?  </w:t>
      </w:r>
    </w:p>
    <w:p w14:paraId="5D6D51A2" w14:textId="77777777" w:rsidR="00014F35" w:rsidRPr="00B31C7B" w:rsidRDefault="00014F35" w:rsidP="00014F35">
      <w:pPr>
        <w:spacing w:after="0" w:line="276" w:lineRule="auto"/>
        <w:jc w:val="both"/>
        <w:rPr>
          <w:rFonts w:ascii="Verdana" w:eastAsia="Calibri" w:hAnsi="Verdana" w:cs="Times New Roman"/>
        </w:rPr>
      </w:pPr>
    </w:p>
    <w:p w14:paraId="45E189F2" w14:textId="77777777" w:rsidR="00014F35" w:rsidRPr="00B31C7B" w:rsidRDefault="00014F35" w:rsidP="00014F35">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7875EE70" w14:textId="77777777" w:rsidR="00014F35" w:rsidRPr="00B31C7B" w:rsidRDefault="00014F35" w:rsidP="00014F35">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4F35" w:rsidRPr="00B31C7B" w14:paraId="58D6878D" w14:textId="77777777" w:rsidTr="00DF0533">
        <w:trPr>
          <w:trHeight w:val="870"/>
          <w:jc w:val="center"/>
        </w:trPr>
        <w:tc>
          <w:tcPr>
            <w:tcW w:w="8647" w:type="dxa"/>
          </w:tcPr>
          <w:p w14:paraId="5F49439C" w14:textId="77777777" w:rsidR="00014F35" w:rsidRDefault="00014F35" w:rsidP="00DF0533">
            <w:pPr>
              <w:spacing w:before="120" w:line="276" w:lineRule="auto"/>
              <w:jc w:val="both"/>
              <w:rPr>
                <w:rFonts w:ascii="Verdana" w:eastAsia="Calibri" w:hAnsi="Verdana" w:cs="Arial"/>
              </w:rPr>
            </w:pPr>
            <w:r>
              <w:rPr>
                <w:rFonts w:ascii="Verdana" w:eastAsia="Calibri" w:hAnsi="Verdana" w:cs="Arial"/>
              </w:rPr>
              <w:t>Teniendo en cuenta los problemas jurídicos, objeto de consulta, se señala lo siguiente:</w:t>
            </w:r>
          </w:p>
          <w:p w14:paraId="18B39A81" w14:textId="77777777" w:rsidR="00014F35" w:rsidRDefault="00014F35" w:rsidP="00DF0533">
            <w:pPr>
              <w:spacing w:line="276" w:lineRule="auto"/>
              <w:jc w:val="both"/>
              <w:rPr>
                <w:rFonts w:ascii="Verdana" w:eastAsia="Calibri" w:hAnsi="Verdana" w:cs="Arial"/>
              </w:rPr>
            </w:pPr>
          </w:p>
          <w:p w14:paraId="3D3B10BE" w14:textId="77777777" w:rsidR="00014F35" w:rsidRPr="006A1EC1" w:rsidRDefault="00014F35" w:rsidP="00DF0533">
            <w:pPr>
              <w:spacing w:after="120" w:line="276" w:lineRule="auto"/>
              <w:jc w:val="both"/>
              <w:rPr>
                <w:rFonts w:ascii="Verdana" w:eastAsia="Calibri" w:hAnsi="Verdana" w:cs="Arial"/>
              </w:rPr>
            </w:pPr>
            <w:r>
              <w:rPr>
                <w:rFonts w:ascii="Verdana" w:eastAsia="Calibri" w:hAnsi="Verdana" w:cs="Arial"/>
              </w:rPr>
              <w:t xml:space="preserve">i. En torno al primer problema jurídico se precisa que teniendo en cuenta el artículo 7° de la Ley 527 de 1999, se infiere que </w:t>
            </w:r>
            <w:r w:rsidRPr="00670A6E">
              <w:rPr>
                <w:rFonts w:ascii="Verdana" w:eastAsia="Calibri" w:hAnsi="Verdana" w:cs="Arial"/>
              </w:rPr>
              <w:t xml:space="preserve">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w:t>
            </w:r>
            <w:r w:rsidRPr="00670A6E">
              <w:rPr>
                <w:rFonts w:ascii="Verdana" w:eastAsia="Calibri" w:hAnsi="Verdana" w:cs="Arial"/>
              </w:rPr>
              <w:lastRenderedPageBreak/>
              <w:t>documentos de la oferta estén firmados, no que se presenten en original. De acuerdo con el numeral 15</w:t>
            </w:r>
            <w:r>
              <w:rPr>
                <w:rFonts w:ascii="Verdana" w:eastAsia="Calibri" w:hAnsi="Verdana" w:cs="Arial"/>
              </w:rPr>
              <w:t>, del artículo 25</w:t>
            </w:r>
            <w:r w:rsidRPr="00670A6E">
              <w:rPr>
                <w:rFonts w:ascii="Verdana" w:eastAsia="Calibri" w:hAnsi="Verdana" w:cs="Arial"/>
              </w:rPr>
              <w:t xml:space="preserve">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 Conforme a lo anterior, si el oferente envía el documento con firma manuscrita y luego lo escanea para enviarlo, éste será válido, toda vez que la normativa no exige que se tenga que enviar el documento en original sino solo que tenga la firma de quien lo suscribe.</w:t>
            </w:r>
            <w:r>
              <w:rPr>
                <w:rFonts w:ascii="Verdana" w:eastAsia="Calibri" w:hAnsi="Verdana" w:cs="Arial"/>
              </w:rPr>
              <w:t xml:space="preserve"> </w:t>
            </w:r>
            <w:r w:rsidRPr="006A1EC1">
              <w:rPr>
                <w:rFonts w:ascii="Verdana" w:eastAsia="Calibri" w:hAnsi="Verdana" w:cs="Arial"/>
                <w:lang w:val="es-ES_tradnl"/>
              </w:rPr>
              <w:t xml:space="preserve">La firma escaneada se constituye en un tipo de firma electrónica, que tiene la suficiente validez y autenticidad dentro de un documento. Es decir, documentos suscritos mediante firmas escaneadas tendrán la calidad de ser auténticos, según lo prescrito en el artículo 244 de la Ley 1564 de 2012. En esa orientación, el inciso segundo del artículo 10 de la Ley 527 de 1999 prescribe: </w:t>
            </w:r>
            <w:r>
              <w:rPr>
                <w:rFonts w:ascii="Verdana" w:eastAsia="Arial" w:hAnsi="Verdana" w:cs="Arial"/>
                <w:lang w:val="es-ES_tradnl"/>
              </w:rPr>
              <w:t>“</w:t>
            </w:r>
            <w:r w:rsidRPr="006A1EC1">
              <w:rPr>
                <w:rFonts w:ascii="Verdana" w:eastAsia="Calibri" w:hAnsi="Verdana" w:cs="Arial"/>
                <w:lang w:val="es-MX"/>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Pr>
                <w:rFonts w:ascii="Verdana" w:eastAsia="Arial" w:hAnsi="Verdana" w:cs="Arial"/>
                <w:lang w:val="es-MX"/>
              </w:rPr>
              <w:t>”</w:t>
            </w:r>
            <w:r w:rsidRPr="006A1EC1">
              <w:rPr>
                <w:rFonts w:ascii="Verdana" w:eastAsia="Calibri" w:hAnsi="Verdana" w:cs="Arial"/>
                <w:lang w:val="es-MX"/>
              </w:rPr>
              <w:t xml:space="preserve">. </w:t>
            </w:r>
          </w:p>
          <w:p w14:paraId="1DFE269C" w14:textId="77777777" w:rsidR="00014F35" w:rsidRPr="006A1EC1" w:rsidRDefault="00014F35" w:rsidP="00DF0533">
            <w:pPr>
              <w:spacing w:after="120" w:line="276" w:lineRule="auto"/>
              <w:ind w:firstLine="708"/>
              <w:jc w:val="both"/>
              <w:rPr>
                <w:rFonts w:ascii="Verdana" w:eastAsia="Calibri" w:hAnsi="Verdana" w:cs="Times New Roman"/>
                <w:sz w:val="24"/>
                <w:lang w:val="es-ES_tradnl"/>
              </w:rPr>
            </w:pPr>
            <w:r>
              <w:rPr>
                <w:rFonts w:ascii="Verdana" w:eastAsia="Calibri" w:hAnsi="Verdana" w:cs="Arial"/>
              </w:rPr>
              <w:t>Así pues</w:t>
            </w:r>
            <w:r w:rsidRPr="006A1EC1">
              <w:rPr>
                <w:rFonts w:ascii="Verdana" w:eastAsia="Calibri" w:hAnsi="Verdana" w:cs="Arial"/>
                <w:lang w:val="es-ES_tradnl"/>
              </w:rPr>
              <w:t xml:space="preserve">, los documentos que contienen la firma escaneada se presumen auténticos, salvo que sean tachados de falsos. En torno a esta idea, la confiabilidad de la firma electrónica está contenida en el artículo 4 del Decreto 2364 de 2012, que dispone reglas para determinarla: i) los datos de creación de la firma en el contexto corresponden al firmante; y ii) la posibilidad de detectar cualquier alteración no autorizadas del mensaje de datos, posterior a la firma. Estas reglas se aplican, sin perjuicio de demostrar la confiabilidad o no de la firma.  </w:t>
            </w:r>
            <w:r w:rsidRPr="006A1EC1">
              <w:rPr>
                <w:rFonts w:ascii="Verdana" w:eastAsia="Calibri" w:hAnsi="Verdana" w:cs="Times New Roman"/>
                <w:sz w:val="24"/>
                <w:lang w:val="es-ES_tradnl"/>
              </w:rPr>
              <w:tab/>
            </w:r>
          </w:p>
          <w:p w14:paraId="3A1C037E" w14:textId="77777777" w:rsidR="00014F35" w:rsidRDefault="00014F35" w:rsidP="00DF0533">
            <w:pPr>
              <w:spacing w:after="120" w:line="276" w:lineRule="auto"/>
              <w:ind w:firstLine="708"/>
              <w:jc w:val="both"/>
              <w:rPr>
                <w:rFonts w:ascii="Verdana" w:eastAsia="Times New Roman" w:hAnsi="Verdana" w:cs="Arial"/>
                <w:szCs w:val="24"/>
                <w:shd w:val="clear" w:color="auto" w:fill="FFFFFF"/>
                <w:lang w:val="es-ES" w:eastAsia="es-MX"/>
              </w:rPr>
            </w:pPr>
            <w:r>
              <w:rPr>
                <w:rFonts w:ascii="Verdana" w:eastAsia="Times New Roman" w:hAnsi="Verdana" w:cs="Arial"/>
                <w:szCs w:val="24"/>
                <w:shd w:val="clear" w:color="auto" w:fill="FFFFFF"/>
                <w:lang w:val="es-ES_tradnl" w:eastAsia="es-MX"/>
              </w:rPr>
              <w:t xml:space="preserve">De este modo, </w:t>
            </w:r>
            <w:r w:rsidRPr="006A1EC1">
              <w:rPr>
                <w:rFonts w:ascii="Verdana" w:eastAsia="Times New Roman" w:hAnsi="Verdana" w:cs="Arial"/>
                <w:szCs w:val="24"/>
                <w:shd w:val="clear" w:color="auto" w:fill="FFFFFF"/>
                <w:lang w:val="es-ES" w:eastAsia="es-MX"/>
              </w:rPr>
              <w:t>la firma escaneada en los diferentes documentos que componen la pr</w:t>
            </w:r>
            <w:r>
              <w:rPr>
                <w:rFonts w:ascii="Verdana" w:eastAsia="Times New Roman" w:hAnsi="Verdana" w:cs="Arial"/>
                <w:szCs w:val="24"/>
                <w:shd w:val="clear" w:color="auto" w:fill="FFFFFF"/>
                <w:lang w:val="es-ES" w:eastAsia="es-MX"/>
              </w:rPr>
              <w:t>opuesta económica del oferente,</w:t>
            </w:r>
            <w:r w:rsidRPr="006A1EC1">
              <w:rPr>
                <w:rFonts w:ascii="Verdana" w:eastAsia="Times New Roman" w:hAnsi="Verdana" w:cs="Arial"/>
                <w:szCs w:val="24"/>
                <w:shd w:val="clear" w:color="auto" w:fill="FFFFFF"/>
                <w:lang w:val="es-ES" w:eastAsia="es-MX"/>
              </w:rPr>
              <w:t xml:space="preserve"> no es una causal de rechazo, pues se considera válida como mecanismo para identificar la intención del proponente en participar dentro del proceso de contratación. Esta idea se plantea, toda vez que la firma escaneada se entiende, según las</w:t>
            </w:r>
            <w:r>
              <w:rPr>
                <w:rFonts w:ascii="Verdana" w:eastAsia="Times New Roman" w:hAnsi="Verdana" w:cs="Arial"/>
                <w:szCs w:val="24"/>
                <w:shd w:val="clear" w:color="auto" w:fill="FFFFFF"/>
                <w:lang w:val="es-ES" w:eastAsia="es-MX"/>
              </w:rPr>
              <w:t xml:space="preserve"> razones de la respuesta</w:t>
            </w:r>
            <w:r w:rsidRPr="006A1EC1">
              <w:rPr>
                <w:rFonts w:ascii="Verdana" w:eastAsia="Times New Roman" w:hAnsi="Verdana" w:cs="Arial"/>
                <w:szCs w:val="24"/>
                <w:shd w:val="clear" w:color="auto" w:fill="FFFFFF"/>
                <w:lang w:val="es-ES" w:eastAsia="es-MX"/>
              </w:rPr>
              <w:t>, como una firma electróni</w:t>
            </w:r>
            <w:r>
              <w:rPr>
                <w:rFonts w:ascii="Verdana" w:eastAsia="Times New Roman" w:hAnsi="Verdana" w:cs="Arial"/>
                <w:szCs w:val="24"/>
                <w:shd w:val="clear" w:color="auto" w:fill="FFFFFF"/>
                <w:lang w:val="es-ES" w:eastAsia="es-MX"/>
              </w:rPr>
              <w:t>ca, sujetándose a las reglas de</w:t>
            </w:r>
            <w:r w:rsidRPr="006A1EC1">
              <w:rPr>
                <w:rFonts w:ascii="Verdana" w:eastAsia="Times New Roman" w:hAnsi="Verdana" w:cs="Arial"/>
                <w:szCs w:val="24"/>
                <w:shd w:val="clear" w:color="auto" w:fill="FFFFFF"/>
                <w:lang w:val="es-ES" w:eastAsia="es-MX"/>
              </w:rPr>
              <w:t xml:space="preserve"> lo dispuesto en el artículo 7 de la Ley 527 de 1999 y en su Decreto reglamentario 2364 de 2012.</w:t>
            </w:r>
          </w:p>
          <w:p w14:paraId="5FBEC3ED" w14:textId="77777777" w:rsidR="00014F35" w:rsidRDefault="00014F35" w:rsidP="00DF0533">
            <w:pPr>
              <w:spacing w:after="120" w:line="276" w:lineRule="auto"/>
              <w:jc w:val="both"/>
              <w:rPr>
                <w:rFonts w:ascii="Verdana" w:eastAsia="Times New Roman" w:hAnsi="Verdana" w:cs="Arial"/>
                <w:szCs w:val="24"/>
                <w:shd w:val="clear" w:color="auto" w:fill="FFFFFF"/>
                <w:lang w:val="es-ES" w:eastAsia="es-MX"/>
              </w:rPr>
            </w:pPr>
          </w:p>
          <w:p w14:paraId="346F3C0E" w14:textId="179D691C" w:rsidR="00014F35" w:rsidRDefault="00014F35" w:rsidP="00DF0533">
            <w:pPr>
              <w:spacing w:after="120" w:line="276" w:lineRule="auto"/>
              <w:jc w:val="both"/>
              <w:rPr>
                <w:rFonts w:ascii="Verdana" w:eastAsia="Calibri" w:hAnsi="Verdana" w:cs="Arial"/>
                <w:lang w:val="es-ES"/>
              </w:rPr>
            </w:pPr>
            <w:r>
              <w:rPr>
                <w:rFonts w:ascii="Verdana" w:eastAsia="Times New Roman" w:hAnsi="Verdana" w:cs="Arial"/>
                <w:szCs w:val="24"/>
                <w:shd w:val="clear" w:color="auto" w:fill="FFFFFF"/>
                <w:lang w:val="es-ES" w:eastAsia="es-MX"/>
              </w:rPr>
              <w:lastRenderedPageBreak/>
              <w:t xml:space="preserve">ii. En cuanto al segundo problema jurídico, se precisa </w:t>
            </w:r>
            <w:r>
              <w:rPr>
                <w:rFonts w:ascii="Verdana" w:eastAsia="Calibri" w:hAnsi="Verdana" w:cs="Arial"/>
                <w:lang w:val="es-ES_tradnl"/>
              </w:rPr>
              <w:t xml:space="preserve">que los </w:t>
            </w:r>
            <w:r w:rsidRPr="00923BBB">
              <w:rPr>
                <w:rFonts w:ascii="Verdana" w:eastAsia="Calibri" w:hAnsi="Verdana" w:cs="Arial"/>
                <w:lang w:val="es-ES"/>
              </w:rPr>
              <w:t>oferentes pueden pronunciarse sobre las respuestas que adoptó la entidad frente a las observaciones al informe de evaluación</w:t>
            </w:r>
            <w:r>
              <w:rPr>
                <w:rFonts w:ascii="Verdana" w:eastAsia="Calibri" w:hAnsi="Verdana" w:cs="Arial"/>
                <w:lang w:val="es-ES"/>
              </w:rPr>
              <w:t xml:space="preserve">. Dicho informe de evaluación debe presentarse y publicarse por el </w:t>
            </w:r>
            <w:r w:rsidRPr="00CA0B15">
              <w:rPr>
                <w:rFonts w:ascii="Verdana" w:eastAsia="Calibri" w:hAnsi="Verdana" w:cs="Arial"/>
              </w:rPr>
              <w:t>término de cinco (5) días hábiles para que los oferentes presenten las observ</w:t>
            </w:r>
            <w:r>
              <w:rPr>
                <w:rFonts w:ascii="Verdana" w:eastAsia="Calibri" w:hAnsi="Verdana" w:cs="Arial"/>
              </w:rPr>
              <w:t>aciones que estimen pertinentes</w:t>
            </w:r>
            <w:r w:rsidRPr="00923BBB">
              <w:rPr>
                <w:rFonts w:ascii="Verdana" w:eastAsia="Calibri" w:hAnsi="Verdana" w:cs="Arial"/>
                <w:lang w:val="es-ES"/>
              </w:rPr>
              <w:t>, sin que implique que puedan mejorar, adicionar o modificar su oferta. De ser necesario, la entidad estatal puede suspender la audiencia</w:t>
            </w:r>
            <w:r>
              <w:rPr>
                <w:rFonts w:ascii="Verdana" w:eastAsia="Calibri" w:hAnsi="Verdana" w:cs="Arial"/>
                <w:lang w:val="es-ES"/>
              </w:rPr>
              <w:t xml:space="preserve"> de adjudicación</w:t>
            </w:r>
            <w:r w:rsidRPr="00923BBB">
              <w:rPr>
                <w:rFonts w:ascii="Verdana" w:eastAsia="Calibri" w:hAnsi="Verdana" w:cs="Arial"/>
                <w:lang w:val="es-ES"/>
              </w:rPr>
              <w:t xml:space="preserve"> cuando consider</w:t>
            </w:r>
            <w:r w:rsidR="001B075C">
              <w:rPr>
                <w:rFonts w:ascii="Verdana" w:eastAsia="Calibri" w:hAnsi="Verdana" w:cs="Arial"/>
                <w:lang w:val="es-ES"/>
              </w:rPr>
              <w:t>e que debe verificar la</w:t>
            </w:r>
            <w:r>
              <w:rPr>
                <w:rFonts w:ascii="Verdana" w:eastAsia="Calibri" w:hAnsi="Verdana" w:cs="Arial"/>
                <w:lang w:val="es-ES"/>
              </w:rPr>
              <w:t xml:space="preserve"> propuesta</w:t>
            </w:r>
            <w:r w:rsidRPr="00923BBB">
              <w:rPr>
                <w:rFonts w:ascii="Verdana" w:eastAsia="Calibri" w:hAnsi="Verdana" w:cs="Arial"/>
                <w:lang w:val="es-ES"/>
              </w:rPr>
              <w:t xml:space="preserve"> por alguno de los oferentes.</w:t>
            </w:r>
            <w:r>
              <w:rPr>
                <w:rFonts w:ascii="Verdana" w:eastAsia="Calibri" w:hAnsi="Verdana" w:cs="Arial"/>
                <w:lang w:val="es-ES"/>
              </w:rPr>
              <w:t xml:space="preserve"> Posteriormente</w:t>
            </w:r>
            <w:r w:rsidRPr="00923BBB">
              <w:rPr>
                <w:rFonts w:ascii="Verdana" w:eastAsia="Calibri" w:hAnsi="Verdana" w:cs="Arial"/>
                <w:lang w:val="es-ES"/>
              </w:rPr>
              <w:t>, cuando se hagan observaciones respecto de alguna oferta, el proponente podrá</w:t>
            </w:r>
            <w:r>
              <w:rPr>
                <w:rFonts w:ascii="Verdana" w:eastAsia="Calibri" w:hAnsi="Verdana" w:cs="Arial"/>
                <w:lang w:val="es-ES"/>
              </w:rPr>
              <w:t xml:space="preserve"> responder los cuestionamientos. Se precisa que</w:t>
            </w:r>
            <w:r w:rsidRPr="00923BBB">
              <w:rPr>
                <w:rFonts w:ascii="Verdana" w:eastAsia="Calibri" w:hAnsi="Verdana" w:cs="Arial"/>
                <w:lang w:val="es-ES"/>
              </w:rPr>
              <w:t>, quienes intervienen deben ser los oferentes o las personas designadas previament</w:t>
            </w:r>
            <w:r w:rsidR="001B075C">
              <w:rPr>
                <w:rFonts w:ascii="Verdana" w:eastAsia="Calibri" w:hAnsi="Verdana" w:cs="Arial"/>
                <w:lang w:val="es-ES"/>
              </w:rPr>
              <w:t>e por estos, y dentro del término</w:t>
            </w:r>
            <w:r w:rsidRPr="00923BBB">
              <w:rPr>
                <w:rFonts w:ascii="Verdana" w:eastAsia="Calibri" w:hAnsi="Verdana" w:cs="Arial"/>
                <w:lang w:val="es-ES"/>
              </w:rPr>
              <w:t xml:space="preserve"> que la entidad señale.</w:t>
            </w:r>
          </w:p>
          <w:p w14:paraId="2A5FC093" w14:textId="77777777" w:rsidR="00014F35" w:rsidRDefault="00014F35" w:rsidP="00DF0533">
            <w:pPr>
              <w:spacing w:after="120" w:line="276" w:lineRule="auto"/>
              <w:jc w:val="both"/>
              <w:rPr>
                <w:rFonts w:ascii="Verdana" w:eastAsia="Calibri" w:hAnsi="Verdana" w:cs="Arial"/>
                <w:color w:val="000000"/>
              </w:rPr>
            </w:pPr>
            <w:r>
              <w:rPr>
                <w:rFonts w:ascii="Verdana" w:eastAsia="Calibri" w:hAnsi="Verdana" w:cs="Arial"/>
                <w:color w:val="000000"/>
                <w:lang w:val="es-ES"/>
              </w:rPr>
              <w:tab/>
              <w:t xml:space="preserve">En el supuesto de que no se presenten observaciones al informe de evaluación dentro del término dispuesto por la entidad estatal puede tener varios efectos jurídicos, pues implica que no podrá controvertir posteriormente dichos informes, al inferir que aceptó lo expresado por el comité evaluador, lo cual implica que no se tendrá en cuenta en el momento de la expedición de la resolución que adjudica el proceso. En otras palabras, el proponente perdió la oportunidad de contradecir lo dispuesto en el informe de evaluación por no sujetarse al término para la presentación de observaciones a este. En esta misma lógica, en la modalidad de selección abreviada de menor cuantía, así como en el concurso de méritos se establece que la </w:t>
            </w:r>
            <w:r w:rsidRPr="008E50B3">
              <w:rPr>
                <w:rFonts w:ascii="Verdana" w:eastAsia="Calibri" w:hAnsi="Verdana" w:cs="Arial"/>
                <w:color w:val="000000"/>
              </w:rPr>
              <w:t>Entidad Estatal debe publicar el informe de evaluación de ofertas durante tres (3) días hábiles</w:t>
            </w:r>
            <w:r>
              <w:rPr>
                <w:rFonts w:ascii="Verdana" w:eastAsia="Calibri" w:hAnsi="Verdana" w:cs="Arial"/>
                <w:color w:val="000000"/>
              </w:rPr>
              <w:t>. Esto, con el fin de que los participantes del proceso de contratación pública, como los oferentes presenten observaciones al informe de evaluación antes que se expida la resolución de adjudicación en el proceso de contratación. De igual modo, en la modalidad de selección de mínima cuantía, l</w:t>
            </w:r>
            <w:r w:rsidRPr="00DF4CB2">
              <w:rPr>
                <w:rFonts w:ascii="Verdana" w:eastAsia="Calibri" w:hAnsi="Verdana" w:cs="Arial"/>
                <w:color w:val="000000"/>
              </w:rPr>
              <w:t>a Entidad Estatal debe publicar el informe de evaluación durante mínimo un (1) día hábil, para que durante este término los oferentes presente</w:t>
            </w:r>
            <w:r>
              <w:rPr>
                <w:rFonts w:ascii="Verdana" w:eastAsia="Calibri" w:hAnsi="Verdana" w:cs="Arial"/>
                <w:color w:val="000000"/>
              </w:rPr>
              <w:t>n las observaciones que deben responderse</w:t>
            </w:r>
            <w:r w:rsidRPr="00DF4CB2">
              <w:rPr>
                <w:rFonts w:ascii="Verdana" w:eastAsia="Calibri" w:hAnsi="Verdana" w:cs="Arial"/>
                <w:color w:val="000000"/>
              </w:rPr>
              <w:t xml:space="preserve"> por la Entidad Estatal antes de realizar la aceptación de la oferta seleccionada.</w:t>
            </w:r>
          </w:p>
          <w:p w14:paraId="366B98ED" w14:textId="77777777" w:rsidR="00014F35" w:rsidRPr="00DC0336" w:rsidRDefault="00014F35" w:rsidP="00DF0533">
            <w:pPr>
              <w:spacing w:after="120" w:line="276" w:lineRule="auto"/>
              <w:jc w:val="both"/>
              <w:rPr>
                <w:rFonts w:ascii="Verdana" w:eastAsia="Calibri" w:hAnsi="Verdana" w:cs="Arial"/>
                <w:color w:val="000000"/>
              </w:rPr>
            </w:pPr>
            <w:r>
              <w:rPr>
                <w:rFonts w:ascii="Verdana" w:eastAsia="Calibri" w:hAnsi="Verdana" w:cs="Arial"/>
                <w:color w:val="000000"/>
              </w:rPr>
              <w:tab/>
              <w:t xml:space="preserve">Así las cosas, la presentación de observaciones al informe de evaluación por parte de los oferentes dentro de los procesos de contratación, es una facultad de controvertir, que por su naturaleza es optativa, por lo que no hacerla, implica aceptar de forma tácita lo expresado en dicho informe por parte del comité evaluador. </w:t>
            </w:r>
          </w:p>
        </w:tc>
      </w:tr>
    </w:tbl>
    <w:p w14:paraId="391B02B1" w14:textId="77777777" w:rsidR="00014F35" w:rsidRPr="00B31C7B" w:rsidRDefault="00014F35" w:rsidP="00014F35">
      <w:pPr>
        <w:spacing w:after="0" w:line="276" w:lineRule="auto"/>
        <w:jc w:val="both"/>
        <w:rPr>
          <w:rFonts w:ascii="Verdana" w:eastAsia="Calibri" w:hAnsi="Verdana" w:cs="Arial"/>
          <w:bCs/>
          <w:color w:val="000000" w:themeColor="text1"/>
        </w:rPr>
      </w:pPr>
    </w:p>
    <w:p w14:paraId="5C430B4D" w14:textId="77777777" w:rsidR="00014F35" w:rsidRPr="00B31C7B" w:rsidRDefault="00014F35" w:rsidP="00014F35">
      <w:pPr>
        <w:numPr>
          <w:ilvl w:val="0"/>
          <w:numId w:val="19"/>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1315825C" w14:textId="77777777" w:rsidR="00014F35" w:rsidRPr="00B31C7B" w:rsidRDefault="00014F35" w:rsidP="00014F35">
      <w:pPr>
        <w:spacing w:after="0" w:line="276" w:lineRule="auto"/>
        <w:rPr>
          <w:rFonts w:ascii="Verdana" w:eastAsia="Calibri" w:hAnsi="Verdana" w:cs="Times New Roman"/>
          <w:b/>
          <w:bCs/>
          <w:lang w:val="es-ES"/>
        </w:rPr>
      </w:pPr>
    </w:p>
    <w:p w14:paraId="3B36C0CA" w14:textId="77777777" w:rsidR="00014F35" w:rsidRPr="00B31C7B" w:rsidRDefault="00014F35" w:rsidP="00014F35">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3E8ED628" w14:textId="77777777" w:rsidR="00014F35" w:rsidRPr="00B31C7B" w:rsidRDefault="00014F35" w:rsidP="00014F35">
      <w:pPr>
        <w:spacing w:after="0" w:line="276" w:lineRule="auto"/>
        <w:jc w:val="both"/>
        <w:rPr>
          <w:rFonts w:ascii="Verdana" w:hAnsi="Verdana" w:cs="Arial"/>
          <w:bCs/>
          <w:lang w:val="es-ES" w:eastAsia="es-ES" w:bidi="es-ES"/>
        </w:rPr>
      </w:pPr>
    </w:p>
    <w:p w14:paraId="08BA8F08" w14:textId="77777777" w:rsidR="00014F35" w:rsidRPr="00670A6E" w:rsidRDefault="00014F35" w:rsidP="00014F35">
      <w:pPr>
        <w:spacing w:after="120" w:line="276" w:lineRule="auto"/>
        <w:jc w:val="both"/>
        <w:rPr>
          <w:rFonts w:ascii="Verdana" w:eastAsia="Calibri" w:hAnsi="Verdana" w:cs="Arial"/>
          <w:lang w:val="es-ES_tradnl"/>
        </w:rPr>
      </w:pPr>
      <w:r w:rsidRPr="00670A6E">
        <w:rPr>
          <w:rFonts w:ascii="Verdana" w:hAnsi="Verdana" w:cs="Arial"/>
          <w:bCs/>
          <w:lang w:val="es-ES" w:eastAsia="es-ES" w:bidi="es-ES"/>
        </w:rPr>
        <w:t xml:space="preserve">i. </w:t>
      </w:r>
      <w:bookmarkStart w:id="1" w:name="_Hlk35876968"/>
      <w:bookmarkStart w:id="2" w:name="_Hlk37183512"/>
      <w:r w:rsidRPr="00670A6E">
        <w:rPr>
          <w:rFonts w:ascii="Verdana" w:eastAsia="Calibri" w:hAnsi="Verdana" w:cs="Arial"/>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3" w:name="_Hlk35441008"/>
      <w:r w:rsidRPr="00670A6E">
        <w:rPr>
          <w:rFonts w:ascii="Verdana" w:eastAsia="Calibri" w:hAnsi="Verdana" w:cs="Arial"/>
          <w:lang w:val="es-ES_tradnl"/>
        </w:rPr>
        <w:t xml:space="preserve">Dentro del concepto general, la </w:t>
      </w:r>
      <w:r w:rsidRPr="00670A6E">
        <w:rPr>
          <w:rFonts w:ascii="Verdana" w:eastAsia="Calibri" w:hAnsi="Verdana" w:cs="Arial"/>
          <w:i/>
          <w:iCs/>
          <w:lang w:val="es-ES_tradnl"/>
        </w:rPr>
        <w:t>firma manuscrita</w:t>
      </w:r>
      <w:r w:rsidRPr="00670A6E">
        <w:rPr>
          <w:rFonts w:ascii="Verdana" w:eastAsia="Calibri" w:hAnsi="Verdana" w:cs="Arial"/>
          <w:lang w:val="es-ES_tradnl"/>
        </w:rPr>
        <w:t xml:space="preserve"> </w:t>
      </w:r>
      <w:r w:rsidRPr="00670A6E">
        <w:rPr>
          <w:rFonts w:ascii="Verdana" w:eastAsia="Calibri" w:hAnsi="Verdana" w:cs="Arial"/>
        </w:rPr>
        <w:t>es “[…] un rasgo o signo impuesto del puño y letra de una persona, con el cual, de forma general y reiterada, se compromete con el contenido de los documentos que la consignan, o da fe de que lo allí registrado obedece a la realidad”</w:t>
      </w:r>
      <w:r w:rsidRPr="00670A6E">
        <w:rPr>
          <w:rFonts w:ascii="Verdana" w:eastAsia="Calibri" w:hAnsi="Verdana" w:cs="Arial"/>
          <w:vertAlign w:val="superscript"/>
        </w:rPr>
        <w:footnoteReference w:id="2"/>
      </w:r>
      <w:r w:rsidRPr="00670A6E">
        <w:rPr>
          <w:rFonts w:ascii="Verdana" w:eastAsia="Calibri" w:hAnsi="Verdana" w:cs="Arial"/>
        </w:rPr>
        <w:t xml:space="preserve">. </w:t>
      </w:r>
    </w:p>
    <w:p w14:paraId="780DD8DB" w14:textId="77777777" w:rsidR="00014F35" w:rsidRDefault="00014F35" w:rsidP="00014F35">
      <w:pPr>
        <w:spacing w:after="120" w:line="276" w:lineRule="auto"/>
        <w:ind w:firstLine="708"/>
        <w:jc w:val="both"/>
        <w:rPr>
          <w:rFonts w:ascii="Verdana" w:eastAsia="Calibri" w:hAnsi="Verdana" w:cs="Arial"/>
        </w:rPr>
      </w:pPr>
      <w:r>
        <w:rPr>
          <w:rFonts w:ascii="Verdana" w:eastAsia="Calibri" w:hAnsi="Verdana" w:cs="Arial"/>
          <w:lang w:val="es-ES_tradnl"/>
        </w:rPr>
        <w:t>E</w:t>
      </w:r>
      <w:r w:rsidRPr="00670A6E">
        <w:rPr>
          <w:rFonts w:ascii="Verdana" w:eastAsia="Calibri" w:hAnsi="Verdana" w:cs="Arial"/>
        </w:rPr>
        <w:t xml:space="preserve">l artículo 2 de la Ley 527 de 1999 define la </w:t>
      </w:r>
      <w:r w:rsidRPr="00670A6E">
        <w:rPr>
          <w:rFonts w:ascii="Verdana" w:eastAsia="Calibri" w:hAnsi="Verdana" w:cs="Arial"/>
          <w:i/>
          <w:iCs/>
        </w:rPr>
        <w:t>firma digital</w:t>
      </w:r>
      <w:r w:rsidRPr="00670A6E">
        <w:rPr>
          <w:rFonts w:ascii="Verdana" w:eastAsia="Calibri" w:hAnsi="Verdana" w:cs="Aria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70A6E">
        <w:rPr>
          <w:rFonts w:ascii="Verdana" w:eastAsia="Calibri" w:hAnsi="Verdana" w:cs="Arial"/>
          <w:vertAlign w:val="superscript"/>
        </w:rPr>
        <w:footnoteReference w:id="3"/>
      </w:r>
      <w:r w:rsidRPr="00670A6E">
        <w:rPr>
          <w:rFonts w:ascii="Verdana" w:eastAsia="Calibri" w:hAnsi="Verdana" w:cs="Arial"/>
        </w:rPr>
        <w:t>. Además, esta normativa prevé que podrán emitir certificados en relación con las firmas digitales las entidades de certificación</w:t>
      </w:r>
      <w:r w:rsidRPr="00670A6E">
        <w:rPr>
          <w:rFonts w:ascii="Verdana" w:eastAsia="Calibri" w:hAnsi="Verdana" w:cs="Arial"/>
          <w:vertAlign w:val="superscript"/>
        </w:rPr>
        <w:footnoteReference w:id="4"/>
      </w:r>
      <w:r w:rsidRPr="00670A6E">
        <w:rPr>
          <w:rFonts w:ascii="Verdana" w:eastAsia="Calibri" w:hAnsi="Verdana" w:cs="Arial"/>
        </w:rPr>
        <w:t>.</w:t>
      </w:r>
    </w:p>
    <w:p w14:paraId="4645372E" w14:textId="77777777" w:rsidR="00014F35" w:rsidRPr="00670A6E"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t xml:space="preserve">Por otra parte, frente a la </w:t>
      </w:r>
      <w:r w:rsidRPr="00670A6E">
        <w:rPr>
          <w:rFonts w:ascii="Verdana" w:eastAsia="Calibri" w:hAnsi="Verdana" w:cs="Arial"/>
          <w:i/>
          <w:iCs/>
        </w:rPr>
        <w:t>firma electrónica</w:t>
      </w:r>
      <w:r w:rsidRPr="00670A6E">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w:t>
      </w:r>
      <w:r w:rsidRPr="00670A6E">
        <w:rPr>
          <w:rFonts w:ascii="Verdana" w:eastAsia="Calibri" w:hAnsi="Verdana" w:cs="Arial"/>
        </w:rPr>
        <w:lastRenderedPageBreak/>
        <w:t xml:space="preserve">firma electrónica son: i) identificar el firmante, ii) asegurar que el documento firmado es exactamente el mismo que el original y iii) asegurar que los datos que utiliza el firmante para realizar la firma son únicos y exclusivos. </w:t>
      </w:r>
    </w:p>
    <w:bookmarkEnd w:id="3"/>
    <w:p w14:paraId="6862AFA8" w14:textId="77777777" w:rsidR="00014F35"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deben servir para identificar a una persona como el autor del documento, dar certeza de la participación exclusiva de dicha persona en la firma y asociar esta última al contenido del mensaje de datos. Por ello, en relación con las firmas que se realizan por un mensaje de datos, el artículo 7 de la Ley 527 de 1999 señala que se deben cumplir los siguientes requisitos: </w:t>
      </w:r>
    </w:p>
    <w:p w14:paraId="2CF9B8F8" w14:textId="77777777" w:rsidR="00014F35" w:rsidRPr="00670A6E" w:rsidRDefault="00014F35" w:rsidP="00014F35">
      <w:pPr>
        <w:spacing w:after="0" w:line="276" w:lineRule="auto"/>
        <w:jc w:val="both"/>
        <w:rPr>
          <w:rFonts w:ascii="Verdana" w:eastAsia="Calibri" w:hAnsi="Verdana" w:cs="Arial"/>
          <w:b/>
          <w:lang w:val="es-ES"/>
        </w:rPr>
      </w:pPr>
    </w:p>
    <w:p w14:paraId="0339BC04" w14:textId="77777777" w:rsidR="00014F35" w:rsidRDefault="00014F35" w:rsidP="00014F35">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Cuando cualquier norma exija la presencia de una firma o establezca ciertas consecuencias en ausencia de la misma, en relación con un mensaje de datos, se entenderá satisfecho dicho requerimiento si:</w:t>
      </w:r>
    </w:p>
    <w:p w14:paraId="58EEA896" w14:textId="77777777" w:rsidR="00014F35" w:rsidRPr="00670A6E" w:rsidRDefault="00014F35" w:rsidP="00014F35">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 xml:space="preserve"> </w:t>
      </w:r>
    </w:p>
    <w:p w14:paraId="56C6791B" w14:textId="77777777" w:rsidR="00014F35" w:rsidRDefault="00014F35" w:rsidP="00014F35">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a) Se ha utilizado un método que permita identificar al iniciador de un mensaje de datos y para indicar que el contenido cuenta con su aprobación</w:t>
      </w:r>
      <w:r w:rsidRPr="00670A6E">
        <w:rPr>
          <w:rFonts w:ascii="Verdana" w:eastAsia="MS Mincho" w:hAnsi="Verdana" w:cs="Arial"/>
          <w:sz w:val="21"/>
          <w:szCs w:val="21"/>
          <w:lang w:eastAsia="es-ES"/>
        </w:rPr>
        <w:t>”</w:t>
      </w:r>
      <w:r w:rsidRPr="00670A6E">
        <w:rPr>
          <w:rFonts w:ascii="Verdana" w:eastAsia="Times New Roman" w:hAnsi="Verdana" w:cs="Arial"/>
          <w:sz w:val="21"/>
          <w:szCs w:val="21"/>
          <w:lang w:eastAsia="es-CO"/>
        </w:rPr>
        <w:t xml:space="preserve">. </w:t>
      </w:r>
    </w:p>
    <w:p w14:paraId="1720DFE5" w14:textId="77777777" w:rsidR="00014F35" w:rsidRPr="00670A6E" w:rsidRDefault="00014F35" w:rsidP="00014F35">
      <w:pPr>
        <w:spacing w:after="0"/>
        <w:ind w:left="709" w:right="709"/>
        <w:jc w:val="both"/>
        <w:rPr>
          <w:rFonts w:ascii="Verdana" w:eastAsia="Times New Roman" w:hAnsi="Verdana" w:cs="Arial"/>
          <w:sz w:val="21"/>
          <w:szCs w:val="21"/>
          <w:lang w:eastAsia="es-CO"/>
        </w:rPr>
      </w:pPr>
    </w:p>
    <w:p w14:paraId="633A1AEC" w14:textId="77777777" w:rsidR="00014F35" w:rsidRPr="00670A6E" w:rsidRDefault="00014F35" w:rsidP="00014F35">
      <w:pPr>
        <w:spacing w:after="0" w:line="240" w:lineRule="auto"/>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b) Que el método sea tanto confiable como apropiado para el propósito por el cual el mensaje fue generado o comunicado.</w:t>
      </w:r>
    </w:p>
    <w:p w14:paraId="4727BB8E" w14:textId="77777777" w:rsidR="00014F35" w:rsidRPr="00670A6E" w:rsidRDefault="00014F35" w:rsidP="00014F35">
      <w:pPr>
        <w:spacing w:after="0" w:line="240" w:lineRule="auto"/>
        <w:ind w:left="709" w:right="709"/>
        <w:jc w:val="both"/>
        <w:rPr>
          <w:rFonts w:ascii="Verdana" w:eastAsia="Times New Roman" w:hAnsi="Verdana" w:cs="Arial"/>
          <w:sz w:val="21"/>
          <w:szCs w:val="21"/>
          <w:lang w:val="es-ES" w:eastAsia="es-CO"/>
        </w:rPr>
      </w:pPr>
    </w:p>
    <w:p w14:paraId="5A531F09" w14:textId="77777777" w:rsidR="00014F35" w:rsidRPr="00670A6E" w:rsidRDefault="00014F35" w:rsidP="00014F35">
      <w:pPr>
        <w:spacing w:after="0" w:line="240" w:lineRule="auto"/>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Lo dispuesto en este artículo se aplicará tanto si el requisito establecido en cualquier norma constituye una obligación, como si las normas simplemente prevén consecuencias en el caso de que no exista una firma.</w:t>
      </w:r>
    </w:p>
    <w:p w14:paraId="41DA7E0D" w14:textId="77777777" w:rsidR="00014F35" w:rsidRPr="00670A6E" w:rsidRDefault="00014F35" w:rsidP="00014F35">
      <w:pPr>
        <w:spacing w:after="120" w:line="276" w:lineRule="auto"/>
        <w:ind w:firstLine="708"/>
        <w:jc w:val="both"/>
        <w:rPr>
          <w:rFonts w:ascii="Verdana" w:eastAsia="Times New Roman" w:hAnsi="Verdana" w:cs="Arial"/>
          <w:lang w:eastAsia="es-CO"/>
        </w:rPr>
      </w:pPr>
    </w:p>
    <w:p w14:paraId="76229422" w14:textId="77777777" w:rsidR="00014F35" w:rsidRPr="00670A6E"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t xml:space="preserve">Dentro de este marco, es necesario distinguir dos (2) situaciones: i) el documento original tiene la firma manuscrita y luego se escaneó para enviarlo a la entidad estatal por correo electrónico y ii) </w:t>
      </w:r>
      <w:bookmarkStart w:id="4" w:name="_Hlk35438181"/>
      <w:r w:rsidRPr="00670A6E">
        <w:rPr>
          <w:rFonts w:ascii="Verdana" w:eastAsia="Calibri" w:hAnsi="Verdana" w:cs="Arial"/>
        </w:rPr>
        <w:t>el documento tiene una imagen con la firma y se adjunta como archivo para enviarlo a la entidad</w:t>
      </w:r>
      <w:bookmarkEnd w:id="4"/>
      <w:r w:rsidRPr="00670A6E">
        <w:rPr>
          <w:rFonts w:ascii="Verdana" w:eastAsia="Calibri" w:hAnsi="Verdana" w:cs="Arial"/>
        </w:rPr>
        <w:t xml:space="preserve">. </w:t>
      </w:r>
    </w:p>
    <w:p w14:paraId="2799CD45" w14:textId="77777777" w:rsidR="00014F35" w:rsidRPr="00670A6E"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lastRenderedPageBreak/>
        <w:t xml:space="preserve">En el </w:t>
      </w:r>
      <w:r w:rsidRPr="00670A6E">
        <w:rPr>
          <w:rFonts w:ascii="Verdana" w:eastAsia="Calibri" w:hAnsi="Verdana" w:cs="Arial"/>
          <w:i/>
          <w:iCs/>
        </w:rPr>
        <w:t>primer supuesto</w:t>
      </w:r>
      <w:r w:rsidRPr="00670A6E">
        <w:rPr>
          <w:rFonts w:ascii="Verdana" w:eastAsia="Calibri" w:hAnsi="Verdana" w:cs="Arial"/>
        </w:rPr>
        <w:t>,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w:t>
      </w:r>
      <w:r>
        <w:rPr>
          <w:rFonts w:ascii="Verdana" w:eastAsia="Calibri" w:hAnsi="Verdana" w:cs="Arial"/>
        </w:rPr>
        <w:t>, del artículo 25</w:t>
      </w:r>
      <w:r w:rsidRPr="00670A6E">
        <w:rPr>
          <w:rFonts w:ascii="Verdana" w:eastAsia="Calibri" w:hAnsi="Verdana" w:cs="Arial"/>
        </w:rPr>
        <w:t xml:space="preserve">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670A6E">
        <w:rPr>
          <w:rFonts w:ascii="Verdana" w:eastAsia="Calibri" w:hAnsi="Verdana" w:cs="Arial"/>
          <w:vertAlign w:val="superscript"/>
        </w:rPr>
        <w:footnoteReference w:id="5"/>
      </w:r>
      <w:r w:rsidRPr="00670A6E">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52649FB7" w14:textId="77777777" w:rsidR="00014F35" w:rsidRPr="00670A6E"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t xml:space="preserve">En el </w:t>
      </w:r>
      <w:r w:rsidRPr="00670A6E">
        <w:rPr>
          <w:rFonts w:ascii="Verdana" w:eastAsia="Calibri" w:hAnsi="Verdana" w:cs="Arial"/>
          <w:i/>
          <w:iCs/>
        </w:rPr>
        <w:t>segundo supuesto</w:t>
      </w:r>
      <w:r w:rsidRPr="00670A6E">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79500C8A" w14:textId="77777777" w:rsidR="00014F35" w:rsidRPr="00670A6E" w:rsidRDefault="00014F35" w:rsidP="00014F35">
      <w:pPr>
        <w:spacing w:after="120" w:line="276" w:lineRule="auto"/>
        <w:ind w:firstLine="708"/>
        <w:jc w:val="both"/>
        <w:rPr>
          <w:rFonts w:ascii="Verdana" w:eastAsia="Calibri" w:hAnsi="Verdana" w:cs="Arial"/>
        </w:rPr>
      </w:pPr>
      <w:r w:rsidRPr="00670A6E">
        <w:rPr>
          <w:rFonts w:ascii="Verdana" w:eastAsia="Calibri" w:hAnsi="Verdana" w:cs="Arial"/>
        </w:rPr>
        <w:t xml:space="preserve">En materia probatoria, tanto la firma electrónica como la firma digital pueden producir los mismos efectos jurídicos como mecanismos de autenticación, pero su diferencia tiene que ver con la carga probatoria, pues en </w:t>
      </w:r>
      <w:r w:rsidRPr="00670A6E">
        <w:rPr>
          <w:rFonts w:ascii="Verdana" w:eastAsia="Calibri" w:hAnsi="Verdana" w:cs="Arial"/>
        </w:rPr>
        <w:lastRenderedPageBreak/>
        <w:t>la firma digital, por existir una entidad de certificación que avala la identidad del titular de la firma, de manera automática introduce la autenticidad, integridad y no repudio. En el caso de la firma electrónica es necesario probar dichos elementos, a más de la t</w:t>
      </w:r>
      <w:r>
        <w:rPr>
          <w:rFonts w:ascii="Verdana" w:eastAsia="Calibri" w:hAnsi="Verdana" w:cs="Arial"/>
        </w:rPr>
        <w:t>razabilidad, disponibilidad y</w:t>
      </w:r>
      <w:r w:rsidRPr="00670A6E">
        <w:rPr>
          <w:rFonts w:ascii="Verdana" w:eastAsia="Calibri" w:hAnsi="Verdana" w:cs="Arial"/>
        </w:rPr>
        <w:t xml:space="preserve"> demostrar que se trata el mecanismo confiable y apropiable.</w:t>
      </w:r>
      <w:r>
        <w:rPr>
          <w:rFonts w:ascii="Verdana" w:eastAsia="Calibri" w:hAnsi="Verdana" w:cs="Arial"/>
        </w:rPr>
        <w:t xml:space="preserve"> Por tanto</w:t>
      </w:r>
      <w:r w:rsidRPr="00670A6E">
        <w:rPr>
          <w:rFonts w:ascii="Verdana" w:eastAsia="Calibri" w:hAnsi="Verdana" w:cs="Arial"/>
        </w:rPr>
        <w:t>, para que un documento con la ima</w:t>
      </w:r>
      <w:r>
        <w:rPr>
          <w:rFonts w:ascii="Verdana" w:eastAsia="Calibri" w:hAnsi="Verdana" w:cs="Arial"/>
        </w:rPr>
        <w:t xml:space="preserve">gen de una firma sea válido, </w:t>
      </w:r>
      <w:r w:rsidRPr="00670A6E">
        <w:rPr>
          <w:rFonts w:ascii="Verdana" w:eastAsia="Calibri" w:hAnsi="Verdana" w:cs="Arial"/>
        </w:rPr>
        <w:t>deberá determinar</w:t>
      </w:r>
      <w:r>
        <w:rPr>
          <w:rFonts w:ascii="Verdana" w:eastAsia="Calibri" w:hAnsi="Verdana" w:cs="Arial"/>
        </w:rPr>
        <w:t>se</w:t>
      </w:r>
      <w:r w:rsidRPr="00670A6E">
        <w:rPr>
          <w:rFonts w:ascii="Verdana" w:eastAsia="Calibri" w:hAnsi="Verdana" w:cs="Arial"/>
        </w:rPr>
        <w:t xml:space="preserve">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son una copia simple del original y tienen validez, salvo que una norma expresa imponga la entrega del original. </w:t>
      </w:r>
    </w:p>
    <w:p w14:paraId="0EFDFAE7" w14:textId="12E6D40D" w:rsidR="00014F35" w:rsidRPr="006A1EC1" w:rsidRDefault="00014F35" w:rsidP="00014F35">
      <w:pPr>
        <w:spacing w:after="0" w:line="276" w:lineRule="auto"/>
        <w:jc w:val="both"/>
        <w:rPr>
          <w:rFonts w:ascii="Verdana" w:eastAsia="Times New Roman" w:hAnsi="Verdana" w:cs="Arial"/>
          <w:lang w:eastAsia="es-CO"/>
        </w:rPr>
      </w:pPr>
      <w:r w:rsidRPr="00670A6E">
        <w:rPr>
          <w:rFonts w:ascii="Verdana" w:eastAsia="Calibri" w:hAnsi="Verdana" w:cs="Arial"/>
          <w:b/>
          <w:lang w:val="es-ES"/>
        </w:rPr>
        <w:tab/>
      </w:r>
      <w:r>
        <w:rPr>
          <w:rFonts w:ascii="Verdana" w:eastAsia="Calibri" w:hAnsi="Verdana" w:cs="Arial"/>
          <w:lang w:val="es-ES"/>
        </w:rPr>
        <w:t>Al respecto, e</w:t>
      </w:r>
      <w:r w:rsidRPr="00B72BA3">
        <w:rPr>
          <w:rFonts w:ascii="Verdana" w:eastAsia="Calibri" w:hAnsi="Verdana" w:cs="Arial"/>
          <w:lang w:val="es-ES"/>
        </w:rPr>
        <w:t xml:space="preserve">sta Subdirección en respuesta a la consulta con Radicado </w:t>
      </w:r>
      <w:r w:rsidRPr="00B72BA3">
        <w:rPr>
          <w:rFonts w:ascii="Verdana" w:eastAsia="Calibri" w:hAnsi="Verdana" w:cs="Arial"/>
          <w:lang w:val="es-MX"/>
        </w:rPr>
        <w:t>4201814000004323 del 17 de mayo de 2018</w:t>
      </w:r>
      <w:r w:rsidRPr="00B72BA3">
        <w:rPr>
          <w:rFonts w:ascii="Verdana" w:eastAsia="Calibri" w:hAnsi="Verdana" w:cs="Arial"/>
          <w:lang w:val="es-ES"/>
        </w:rPr>
        <w:t>, expresó:</w:t>
      </w:r>
      <w:r>
        <w:rPr>
          <w:rFonts w:ascii="Verdana" w:eastAsia="Calibri" w:hAnsi="Verdana" w:cs="Arial"/>
          <w:b/>
          <w:lang w:val="es-ES"/>
        </w:rPr>
        <w:t xml:space="preserve"> </w:t>
      </w:r>
      <w:r w:rsidRPr="00670A6E">
        <w:rPr>
          <w:rFonts w:ascii="Verdana" w:eastAsia="Calibri" w:hAnsi="Verdana" w:cs="Arial"/>
          <w:lang w:val="es-ES"/>
        </w:rPr>
        <w:t>“</w:t>
      </w:r>
      <w:r w:rsidRPr="00670A6E">
        <w:rPr>
          <w:rFonts w:ascii="Verdana" w:eastAsia="Aptos" w:hAnsi="Verdana" w:cs="Arial"/>
        </w:rPr>
        <w:t>A la firma escaneada si es comunicada, generada, enviada, recibida por medios electrónicos, ópticos o similares, como pudieran ser, entre otros, el correo electrónico o el internet, no se negarán efectos jurídicos, validez o fuerza obligatoria a dicha información por la sola razón de que esté en forma de mensajes de datos</w:t>
      </w:r>
      <w:r w:rsidRPr="00670A6E">
        <w:rPr>
          <w:rFonts w:ascii="Verdana" w:eastAsia="Arial" w:hAnsi="Verdana" w:cs="Arial"/>
          <w:lang w:val="es-ES"/>
        </w:rPr>
        <w:t>”</w:t>
      </w:r>
      <w:r w:rsidRPr="00670A6E">
        <w:rPr>
          <w:rFonts w:ascii="Verdana" w:eastAsia="Aptos" w:hAnsi="Verdana" w:cs="Arial"/>
        </w:rPr>
        <w:t xml:space="preserve">. En esa orientación, esta Subdirección expresa que la firma escaneada se concibe como una firma electrónica, según </w:t>
      </w:r>
      <w:r w:rsidRPr="00670A6E">
        <w:rPr>
          <w:rFonts w:ascii="Verdana" w:eastAsia="MS Mincho" w:hAnsi="Verdana" w:cs="Arial"/>
          <w:lang w:eastAsia="es-ES"/>
        </w:rPr>
        <w:t>lo dispuesto en el artículo 7 de la Ley 527 de 1999</w:t>
      </w:r>
      <w:r>
        <w:rPr>
          <w:rFonts w:ascii="Verdana" w:eastAsia="MS Mincho" w:hAnsi="Verdana" w:cs="Arial"/>
          <w:lang w:eastAsia="es-ES"/>
        </w:rPr>
        <w:t xml:space="preserve"> que ya fue precitado</w:t>
      </w:r>
      <w:r>
        <w:rPr>
          <w:rFonts w:ascii="Verdana" w:eastAsia="Times New Roman" w:hAnsi="Verdana" w:cs="Arial"/>
          <w:lang w:eastAsia="es-CO"/>
        </w:rPr>
        <w:t xml:space="preserve">. </w:t>
      </w:r>
      <w:r w:rsidRPr="00670A6E">
        <w:rPr>
          <w:rFonts w:ascii="Verdana" w:eastAsia="MS Mincho" w:hAnsi="Verdana" w:cs="Arial"/>
          <w:lang w:eastAsia="es-ES"/>
        </w:rPr>
        <w:t>En esa misma línea, el Decreto 2364 de 2012, que desarrolla el artículo 7 de la Ley 527 de 1999, establece la firma electrónica, como los”[…] códigos, contraseñas, datos biométricos, o claves criptográficas privadas […]</w:t>
      </w:r>
      <w:r w:rsidRPr="00670A6E">
        <w:rPr>
          <w:rFonts w:ascii="Verdana" w:eastAsia="Arial" w:hAnsi="Verdana" w:cs="Arial"/>
          <w:lang w:val="es-ES"/>
        </w:rPr>
        <w:t>”,</w:t>
      </w:r>
      <w:r w:rsidRPr="00670A6E">
        <w:rPr>
          <w:rFonts w:ascii="Verdana" w:eastAsia="MS Mincho" w:hAnsi="Verdana" w:cs="Arial"/>
          <w:lang w:eastAsia="es-ES"/>
        </w:rPr>
        <w:t xml:space="preserve"> que permiten identificar a una persona, en relación con un mensaje de datos</w:t>
      </w:r>
      <w:r w:rsidRPr="00670A6E">
        <w:rPr>
          <w:rFonts w:ascii="Verdana" w:eastAsia="Calibri" w:hAnsi="Verdana" w:cs="Arial"/>
          <w:lang w:val="es-ES"/>
        </w:rPr>
        <w:t xml:space="preserve">. </w:t>
      </w:r>
      <w:r w:rsidRPr="00670A6E">
        <w:rPr>
          <w:rFonts w:ascii="Verdana" w:eastAsia="Calibri" w:hAnsi="Verdana" w:cs="Arial"/>
          <w:lang w:val="es-ES_tradnl"/>
        </w:rPr>
        <w:t>Al respecto, la Corte Suprema de Justicia</w:t>
      </w:r>
      <w:r w:rsidRPr="00670A6E">
        <w:rPr>
          <w:rFonts w:ascii="Verdana" w:eastAsia="Calibri" w:hAnsi="Verdana" w:cs="Arial"/>
          <w:vertAlign w:val="superscript"/>
          <w:lang w:val="es-ES_tradnl"/>
        </w:rPr>
        <w:footnoteReference w:id="6"/>
      </w:r>
      <w:r w:rsidRPr="00670A6E">
        <w:rPr>
          <w:rFonts w:ascii="Verdana" w:eastAsia="Calibri" w:hAnsi="Verdana" w:cs="Arial"/>
          <w:lang w:val="es-ES_tradnl"/>
        </w:rPr>
        <w:t xml:space="preserve"> en referencia a las firmas escaneadas, manifiesta: </w:t>
      </w:r>
    </w:p>
    <w:p w14:paraId="408F31A1" w14:textId="77777777" w:rsidR="00014F35" w:rsidRPr="00670A6E" w:rsidRDefault="00014F35" w:rsidP="00014F35">
      <w:pPr>
        <w:spacing w:after="0" w:line="276" w:lineRule="auto"/>
        <w:ind w:firstLine="709"/>
        <w:jc w:val="both"/>
        <w:rPr>
          <w:rFonts w:ascii="Verdana" w:eastAsia="Calibri" w:hAnsi="Verdana" w:cs="Arial"/>
          <w:lang w:val="es-ES_tradnl"/>
        </w:rPr>
      </w:pPr>
      <w:r w:rsidRPr="00670A6E">
        <w:rPr>
          <w:rFonts w:ascii="Verdana" w:eastAsia="Calibri" w:hAnsi="Verdana" w:cs="Arial"/>
          <w:lang w:val="es-ES_tradnl"/>
        </w:rPr>
        <w:t xml:space="preserve"> </w:t>
      </w:r>
    </w:p>
    <w:p w14:paraId="506FD2CA" w14:textId="77777777" w:rsidR="00014F35" w:rsidRDefault="00014F35" w:rsidP="00014F35">
      <w:pPr>
        <w:spacing w:after="0" w:line="240" w:lineRule="auto"/>
        <w:ind w:left="709" w:right="709"/>
        <w:jc w:val="both"/>
        <w:rPr>
          <w:rFonts w:ascii="Verdana" w:eastAsia="Aptos" w:hAnsi="Verdana" w:cs="Arial"/>
          <w:sz w:val="21"/>
          <w:szCs w:val="21"/>
        </w:rPr>
      </w:pPr>
      <w:r w:rsidRPr="008A21CC">
        <w:rPr>
          <w:rFonts w:ascii="Verdana" w:eastAsia="Aptos" w:hAnsi="Verdana" w:cs="Arial"/>
          <w:sz w:val="21"/>
          <w:szCs w:val="21"/>
        </w:rPr>
        <w:t xml:space="preserve">Ahora, la autenticidad del mensaje de datos corre paralela con la confiabilidad del mismo, determinada por la seguridad de que esté dotado en cuanto a la forma como se hubiese generado y conservado la integridad de la información y, por supuesto, en la forma en que se identifique a su iniciador y la asociación de este a su contenido. Como todo documento, la eficacia probatoria del electrónico dependerá, también, de su autenticidad, contándose con mecanismos tecnológicos que permiten identificar el autor del mismo y asociarlo con su contenido. </w:t>
      </w:r>
      <w:r w:rsidRPr="008A21CC">
        <w:rPr>
          <w:rFonts w:ascii="Verdana" w:eastAsia="Aptos" w:hAnsi="Verdana" w:cs="Arial"/>
          <w:i/>
          <w:sz w:val="21"/>
          <w:szCs w:val="21"/>
        </w:rPr>
        <w:t xml:space="preserve">En este aspecto cobra particular relevancia la firma </w:t>
      </w:r>
      <w:r w:rsidRPr="008A21CC">
        <w:rPr>
          <w:rFonts w:ascii="Verdana" w:eastAsia="Aptos" w:hAnsi="Verdana" w:cs="Arial"/>
          <w:i/>
          <w:sz w:val="21"/>
          <w:szCs w:val="21"/>
        </w:rPr>
        <w:lastRenderedPageBreak/>
        <w:t xml:space="preserve">electrónica, que es el género, y que puede comprender las firmas escaneadas, o los métodos biométricos (como el iris y las huellas digitales), y la firma digital -especie-, basada en la criptografía asimétrica </w:t>
      </w:r>
      <w:r w:rsidRPr="008A21CC">
        <w:rPr>
          <w:rFonts w:ascii="Verdana" w:eastAsia="Aptos" w:hAnsi="Verdana" w:cs="Arial"/>
          <w:sz w:val="21"/>
          <w:szCs w:val="21"/>
        </w:rPr>
        <w:t>(énfasis fuera de texto).</w:t>
      </w:r>
    </w:p>
    <w:p w14:paraId="6CF67F66" w14:textId="77777777" w:rsidR="00014F35" w:rsidRPr="008A21CC" w:rsidRDefault="00014F35" w:rsidP="00014F35">
      <w:pPr>
        <w:spacing w:after="0" w:line="240" w:lineRule="auto"/>
        <w:ind w:left="709" w:right="709"/>
        <w:jc w:val="both"/>
        <w:rPr>
          <w:rFonts w:ascii="Verdana" w:eastAsia="Aptos" w:hAnsi="Verdana" w:cs="Arial"/>
          <w:sz w:val="21"/>
          <w:szCs w:val="21"/>
        </w:rPr>
      </w:pPr>
    </w:p>
    <w:p w14:paraId="47825B19" w14:textId="77777777" w:rsidR="00014F35" w:rsidRPr="00670A6E" w:rsidRDefault="00014F35" w:rsidP="00014F35">
      <w:pPr>
        <w:spacing w:after="120" w:line="276" w:lineRule="auto"/>
        <w:ind w:firstLine="708"/>
        <w:jc w:val="both"/>
        <w:rPr>
          <w:rFonts w:ascii="Verdana" w:eastAsia="Aptos" w:hAnsi="Verdana" w:cs="Arial"/>
        </w:rPr>
      </w:pPr>
      <w:r w:rsidRPr="00670A6E">
        <w:rPr>
          <w:rFonts w:ascii="Verdana" w:eastAsia="Aptos" w:hAnsi="Verdana" w:cs="Arial"/>
          <w:lang w:val="es-ES_tradnl"/>
        </w:rPr>
        <w:t>La firma escaneada se constituye en un tipo de firma electrónica, que tiene la suficiente validez y autenticidad dentro de un documento. Es decir, Los documentos suscritos mediante firmas escaneadas tendrán la calidad de ser auténticos, según lo prescrito en el artículo 244 de la Ley 1564 de 2012</w:t>
      </w:r>
      <w:r w:rsidRPr="00670A6E">
        <w:rPr>
          <w:rFonts w:ascii="Verdana" w:eastAsia="Aptos" w:hAnsi="Verdana" w:cs="Arial"/>
          <w:vertAlign w:val="superscript"/>
          <w:lang w:val="es-ES_tradnl"/>
        </w:rPr>
        <w:footnoteReference w:id="7"/>
      </w:r>
      <w:r w:rsidRPr="00670A6E">
        <w:rPr>
          <w:rFonts w:ascii="Verdana" w:eastAsia="Aptos" w:hAnsi="Verdana" w:cs="Arial"/>
          <w:lang w:val="es-ES_tradnl"/>
        </w:rPr>
        <w:t>. En esa orientación, el inciso segundo del artículo 10 de la Ley 527 de 1999 prescribe: “</w:t>
      </w:r>
      <w:r w:rsidRPr="00670A6E">
        <w:rPr>
          <w:rFonts w:ascii="Verdana" w:eastAsia="Aptos" w:hAnsi="Verdana" w:cs="Arial"/>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Pr="00670A6E">
        <w:rPr>
          <w:rFonts w:ascii="Verdana" w:eastAsia="Arial" w:hAnsi="Verdana" w:cs="Arial"/>
          <w:lang w:val="es-ES"/>
        </w:rPr>
        <w:t>”</w:t>
      </w:r>
      <w:r w:rsidRPr="00670A6E">
        <w:rPr>
          <w:rFonts w:ascii="Verdana" w:eastAsia="Aptos" w:hAnsi="Verdana" w:cs="Arial"/>
        </w:rPr>
        <w:t xml:space="preserve">. </w:t>
      </w:r>
    </w:p>
    <w:p w14:paraId="6EEDAF69" w14:textId="77777777" w:rsidR="00014F35" w:rsidRPr="00670A6E" w:rsidRDefault="00014F35" w:rsidP="00014F35">
      <w:pPr>
        <w:spacing w:after="120" w:line="276" w:lineRule="auto"/>
        <w:ind w:firstLine="708"/>
        <w:jc w:val="both"/>
        <w:rPr>
          <w:rFonts w:ascii="Verdana" w:eastAsia="Aptos" w:hAnsi="Verdana" w:cs="Times New Roman"/>
          <w:lang w:val="es-ES"/>
        </w:rPr>
      </w:pPr>
      <w:r w:rsidRPr="0C42C258">
        <w:rPr>
          <w:rFonts w:ascii="Verdana" w:eastAsia="Aptos" w:hAnsi="Verdana" w:cs="Arial"/>
          <w:lang w:val="es-ES"/>
        </w:rPr>
        <w:t>En suma, los documentos que contienen la firma escaneada se presumen auténticos, salvo que sean tachados de falsos. En torno a esta idea, la confiabilidad de la firma electrónica está contenida en el artículo 4 del Decreto 2364 de 2012</w:t>
      </w:r>
      <w:r w:rsidRPr="0C42C258">
        <w:rPr>
          <w:rFonts w:ascii="Verdana" w:eastAsia="Aptos" w:hAnsi="Verdana" w:cs="Arial"/>
          <w:vertAlign w:val="superscript"/>
          <w:lang w:val="es-ES"/>
        </w:rPr>
        <w:footnoteReference w:id="8"/>
      </w:r>
      <w:r w:rsidRPr="0C42C258">
        <w:rPr>
          <w:rFonts w:ascii="Verdana" w:eastAsia="Aptos" w:hAnsi="Verdana" w:cs="Arial"/>
          <w:lang w:val="es-ES"/>
        </w:rPr>
        <w:t xml:space="preserve">, que dispone reglas para determinarla: i) los datos de creación de la firma en el contexto corresponden al firmante; y ii) la posibilidad de </w:t>
      </w:r>
      <w:r w:rsidRPr="0C42C258">
        <w:rPr>
          <w:rFonts w:ascii="Verdana" w:eastAsia="Aptos" w:hAnsi="Verdana" w:cs="Arial"/>
          <w:lang w:val="es-ES"/>
        </w:rPr>
        <w:lastRenderedPageBreak/>
        <w:t xml:space="preserve">detectar cualquier alteración no autorizada del mensaje de datos, posterior a la firma. Estas reglas se aplican, sin perjuicio de demostrar la confiabilidad o no de la firma. </w:t>
      </w:r>
      <w:r w:rsidRPr="00670A6E">
        <w:rPr>
          <w:rFonts w:ascii="Verdana" w:eastAsia="Aptos" w:hAnsi="Verdana" w:cs="Times New Roman"/>
          <w:lang w:val="es-ES_tradnl"/>
        </w:rPr>
        <w:tab/>
      </w:r>
    </w:p>
    <w:p w14:paraId="2F6F4D7A" w14:textId="77777777" w:rsidR="00014F35" w:rsidRPr="00670A6E" w:rsidRDefault="00014F35" w:rsidP="00014F35">
      <w:pPr>
        <w:spacing w:after="120" w:line="276" w:lineRule="auto"/>
        <w:ind w:firstLine="708"/>
        <w:jc w:val="both"/>
        <w:rPr>
          <w:rFonts w:ascii="Verdana" w:eastAsia="Times New Roman" w:hAnsi="Verdana" w:cs="Arial"/>
          <w:szCs w:val="24"/>
          <w:shd w:val="clear" w:color="auto" w:fill="FFFFFF"/>
          <w:lang w:val="es-ES" w:eastAsia="es-MX"/>
        </w:rPr>
      </w:pPr>
      <w:r w:rsidRPr="00670A6E">
        <w:rPr>
          <w:rFonts w:ascii="Verdana" w:eastAsia="Times New Roman" w:hAnsi="Verdana" w:cs="Arial"/>
          <w:szCs w:val="24"/>
          <w:shd w:val="clear" w:color="auto" w:fill="FFFFFF"/>
          <w:lang w:val="es-ES" w:eastAsia="es-MX"/>
        </w:rPr>
        <w:t xml:space="preserve">En el caso de la firma escaneada en los diferentes documentos que componen la propuesta económica del oferente, se señala que no es una causal de rechazo, pues se considera válida como mecanismo para identificar la intención del proponente en participar dentro del proceso de contratación. Esta idea se plantea, toda vez que la firma escaneada se entiende según las consideraciones precedentes como una firma electrónica, sujetándose a las reglas de lo dispuesto en el artículo 7 de la Ley 527 de 1999 y en su Decreto reglamentario 2364 de 2012. </w:t>
      </w:r>
    </w:p>
    <w:bookmarkEnd w:id="1"/>
    <w:bookmarkEnd w:id="2"/>
    <w:p w14:paraId="5BFBFE63" w14:textId="77777777" w:rsidR="00014F35" w:rsidRPr="008D3302" w:rsidRDefault="00014F35" w:rsidP="00014F35">
      <w:pPr>
        <w:spacing w:after="0" w:line="276" w:lineRule="auto"/>
        <w:jc w:val="both"/>
        <w:rPr>
          <w:rFonts w:ascii="Verdana" w:eastAsia="Calibri" w:hAnsi="Verdana" w:cs="Arial"/>
          <w:color w:val="000000"/>
        </w:rPr>
      </w:pPr>
    </w:p>
    <w:p w14:paraId="6D5AF73A" w14:textId="77777777" w:rsidR="00014F35" w:rsidRDefault="00014F35" w:rsidP="00014F35">
      <w:pPr>
        <w:spacing w:after="120" w:line="276" w:lineRule="auto"/>
        <w:jc w:val="both"/>
        <w:rPr>
          <w:rFonts w:ascii="Verdana" w:eastAsia="Calibri" w:hAnsi="Verdana" w:cs="Arial"/>
          <w:shd w:val="clear" w:color="auto" w:fill="FFFFFF"/>
        </w:rPr>
      </w:pPr>
      <w:r w:rsidRPr="00670A6E">
        <w:rPr>
          <w:rFonts w:ascii="Verdana" w:eastAsia="Times New Roman" w:hAnsi="Verdana" w:cs="Arial"/>
          <w:szCs w:val="24"/>
          <w:shd w:val="clear" w:color="auto" w:fill="FFFFFF"/>
          <w:lang w:val="es-ES" w:eastAsia="es-MX"/>
        </w:rPr>
        <w:t xml:space="preserve">ii. </w:t>
      </w:r>
      <w:r w:rsidRPr="00670A6E">
        <w:rPr>
          <w:rFonts w:ascii="Verdana" w:eastAsia="Calibri" w:hAnsi="Verdana" w:cs="Arial"/>
          <w:shd w:val="clear" w:color="auto" w:fill="FFFFFF"/>
          <w:lang w:val="es-ES"/>
        </w:rPr>
        <w:t xml:space="preserve">Uno de los principios que rige la contratación del Estado es el de transparencia, </w:t>
      </w:r>
      <w:r>
        <w:rPr>
          <w:rFonts w:ascii="Verdana" w:eastAsia="Calibri" w:hAnsi="Verdana" w:cs="Arial"/>
          <w:shd w:val="clear" w:color="auto" w:fill="FFFFFF"/>
          <w:lang w:val="es-ES"/>
        </w:rPr>
        <w:t xml:space="preserve">que tiene varias implicaciones si se revisa desde la óptica del artículo 24 de la Ley 80 de 1993 que establece en su numeral 1°: “[…] </w:t>
      </w:r>
      <w:r w:rsidRPr="005310E5">
        <w:rPr>
          <w:rFonts w:ascii="Verdana" w:eastAsia="Calibri" w:hAnsi="Verdana" w:cs="Arial"/>
          <w:shd w:val="clear" w:color="auto" w:fill="FFFFFF"/>
        </w:rPr>
        <w:t xml:space="preserve">La escogencia del contratista se efectuará siempre a través de licitación o concurso públicos, salvo en los siguientes casos en los que </w:t>
      </w:r>
      <w:r>
        <w:rPr>
          <w:rFonts w:ascii="Verdana" w:eastAsia="Calibri" w:hAnsi="Verdana" w:cs="Arial"/>
          <w:shd w:val="clear" w:color="auto" w:fill="FFFFFF"/>
        </w:rPr>
        <w:t xml:space="preserve">se podrá contratar directamente […]”. De igual forma, el numeral 2° prescribe: “[…] </w:t>
      </w:r>
      <w:r w:rsidRPr="005310E5">
        <w:rPr>
          <w:rFonts w:ascii="Verdana" w:eastAsia="Calibri" w:hAnsi="Verdana" w:cs="Arial"/>
          <w:shd w:val="clear" w:color="auto" w:fill="FFFFFF"/>
        </w:rPr>
        <w:t>En los procesos contractuales los interesados tendrán oportunidad de conocer y controvertir los informes, conceptos y decisiones que se rindan o adopten, para lo cual se establecerán etapas que permitan el conocimiento de dichas actuaciones y otorguen la posibil</w:t>
      </w:r>
      <w:r>
        <w:rPr>
          <w:rFonts w:ascii="Verdana" w:eastAsia="Calibri" w:hAnsi="Verdana" w:cs="Arial"/>
          <w:shd w:val="clear" w:color="auto" w:fill="FFFFFF"/>
        </w:rPr>
        <w:t>idad de expresar observaciones”.</w:t>
      </w:r>
    </w:p>
    <w:p w14:paraId="55CB4F0D" w14:textId="77777777" w:rsidR="00014F35" w:rsidRDefault="00014F35" w:rsidP="00014F35">
      <w:pPr>
        <w:spacing w:after="0" w:line="276" w:lineRule="auto"/>
        <w:jc w:val="both"/>
        <w:rPr>
          <w:rFonts w:ascii="Verdana" w:eastAsia="Calibri" w:hAnsi="Verdana" w:cs="Arial"/>
          <w:shd w:val="clear" w:color="auto" w:fill="FFFFFF"/>
        </w:rPr>
      </w:pPr>
      <w:r>
        <w:rPr>
          <w:rFonts w:ascii="Verdana" w:eastAsia="Calibri" w:hAnsi="Verdana" w:cs="Arial"/>
          <w:shd w:val="clear" w:color="auto" w:fill="FFFFFF"/>
        </w:rPr>
        <w:tab/>
        <w:t>Este numeral 2° tiene una connotación especial para efectos de resolver uno de los problemas jurídicos de su consulta, pues connota que los interesados en los procesos de contratación pública tienen el derecho de conocer y controvertir los informes, conceptos y decisiones que tomé la Administración, para la cual se establecen etapas que permitan conocer dichas actuaciones y otorgan la posibilidad de presentar observaciones. En efecto, con la posibilidad de presentar observaciones al informe de evaluación se garantiza el debido proceso administrativo, pues permite la posibilidad de conocer y controvertir los actos de trámite en el marco de un proceso de contratación. En torno al informe de evaluación, la doctrina lo concibe:</w:t>
      </w:r>
    </w:p>
    <w:p w14:paraId="73A47D9C" w14:textId="77777777" w:rsidR="00014F35" w:rsidRDefault="00014F35" w:rsidP="00014F35">
      <w:pPr>
        <w:spacing w:after="0" w:line="276" w:lineRule="auto"/>
        <w:jc w:val="both"/>
        <w:rPr>
          <w:rFonts w:ascii="Verdana" w:eastAsia="Calibri" w:hAnsi="Verdana" w:cs="Arial"/>
          <w:shd w:val="clear" w:color="auto" w:fill="FFFFFF"/>
        </w:rPr>
      </w:pPr>
    </w:p>
    <w:p w14:paraId="0873CC5A" w14:textId="77777777" w:rsidR="00014F35" w:rsidRPr="006E6FD7" w:rsidRDefault="00014F35" w:rsidP="00014F35">
      <w:pPr>
        <w:spacing w:after="0" w:line="240" w:lineRule="auto"/>
        <w:ind w:left="709" w:right="709"/>
        <w:jc w:val="both"/>
        <w:rPr>
          <w:rFonts w:ascii="Verdana" w:eastAsia="Calibri" w:hAnsi="Verdana" w:cs="Arial"/>
          <w:sz w:val="21"/>
          <w:szCs w:val="21"/>
          <w:shd w:val="clear" w:color="auto" w:fill="FFFFFF"/>
        </w:rPr>
      </w:pPr>
      <w:r w:rsidRPr="006E6FD7">
        <w:rPr>
          <w:rFonts w:ascii="Verdana" w:eastAsia="Calibri" w:hAnsi="Verdana" w:cs="Arial"/>
          <w:sz w:val="21"/>
          <w:szCs w:val="21"/>
          <w:shd w:val="clear" w:color="auto" w:fill="FFFFFF"/>
        </w:rPr>
        <w:t xml:space="preserve">El informe de evaluación realizado por el comité evaluador no es un acto administrativo que en consecuencia no es objeto de impugnación en sede judicial. Se trata de un documento de tramite o preparatorio necesario para formar en definitiva la voluntad del Estado que tampoco </w:t>
      </w:r>
      <w:r w:rsidRPr="006E6FD7">
        <w:rPr>
          <w:rFonts w:ascii="Verdana" w:eastAsia="Calibri" w:hAnsi="Verdana" w:cs="Arial"/>
          <w:sz w:val="21"/>
          <w:szCs w:val="21"/>
          <w:shd w:val="clear" w:color="auto" w:fill="FFFFFF"/>
        </w:rPr>
        <w:lastRenderedPageBreak/>
        <w:t>es vinculante en cuanto no determina el resultado final, amén de no ser producido por la autoridad competente para efectuar la selección. Además, debe ser motivado en cuanto a los resultados del examen, respecto de las ofertas rechazadas y de la evaluación propiamente dicha, indicando los puntos asignados a las propuestas para cada uno de los factores de selección y su correspondiente explicación</w:t>
      </w:r>
      <w:r>
        <w:rPr>
          <w:rStyle w:val="Refdenotaalpie"/>
          <w:rFonts w:ascii="Verdana" w:eastAsia="Calibri" w:hAnsi="Verdana" w:cs="Arial"/>
          <w:sz w:val="21"/>
          <w:szCs w:val="21"/>
          <w:shd w:val="clear" w:color="auto" w:fill="FFFFFF"/>
        </w:rPr>
        <w:footnoteReference w:id="9"/>
      </w:r>
      <w:r w:rsidRPr="006E6FD7">
        <w:rPr>
          <w:rFonts w:ascii="Verdana" w:eastAsia="Calibri" w:hAnsi="Verdana" w:cs="Arial"/>
          <w:sz w:val="21"/>
          <w:szCs w:val="21"/>
          <w:shd w:val="clear" w:color="auto" w:fill="FFFFFF"/>
        </w:rPr>
        <w:t>.</w:t>
      </w:r>
    </w:p>
    <w:p w14:paraId="5D7343C7" w14:textId="77777777" w:rsidR="00014F35" w:rsidRDefault="00014F35" w:rsidP="00014F35">
      <w:pPr>
        <w:spacing w:after="0" w:line="276" w:lineRule="auto"/>
        <w:jc w:val="both"/>
        <w:rPr>
          <w:rFonts w:ascii="Verdana" w:eastAsia="Calibri" w:hAnsi="Verdana" w:cs="Arial"/>
          <w:b/>
          <w:bCs/>
          <w:color w:val="000000"/>
        </w:rPr>
      </w:pPr>
      <w:r>
        <w:rPr>
          <w:rFonts w:ascii="Verdana" w:eastAsia="Calibri" w:hAnsi="Verdana" w:cs="Arial"/>
          <w:b/>
          <w:bCs/>
          <w:color w:val="000000"/>
        </w:rPr>
        <w:tab/>
      </w:r>
    </w:p>
    <w:p w14:paraId="29FC1424" w14:textId="77777777" w:rsidR="00014F35" w:rsidRPr="00923BBB" w:rsidRDefault="00014F35" w:rsidP="00014F35">
      <w:pPr>
        <w:spacing w:after="120" w:line="276" w:lineRule="auto"/>
        <w:jc w:val="both"/>
        <w:rPr>
          <w:rFonts w:ascii="Verdana" w:eastAsia="Calibri" w:hAnsi="Verdana" w:cs="Arial"/>
          <w:b/>
          <w:bCs/>
          <w:color w:val="000000"/>
        </w:rPr>
      </w:pPr>
      <w:r>
        <w:rPr>
          <w:rFonts w:ascii="Verdana" w:eastAsia="Calibri" w:hAnsi="Verdana" w:cs="Arial"/>
          <w:b/>
          <w:bCs/>
          <w:color w:val="000000"/>
        </w:rPr>
        <w:tab/>
      </w:r>
      <w:r w:rsidRPr="00923BBB">
        <w:rPr>
          <w:rFonts w:ascii="Verdana" w:eastAsia="Calibri" w:hAnsi="Verdana" w:cs="Arial"/>
          <w:bCs/>
          <w:color w:val="000000"/>
        </w:rPr>
        <w:t>Dicha presentación y publicación del informe de evaluación</w:t>
      </w:r>
      <w:r>
        <w:rPr>
          <w:rFonts w:ascii="Verdana" w:eastAsia="Calibri" w:hAnsi="Verdana" w:cs="Arial"/>
          <w:bCs/>
          <w:color w:val="000000"/>
        </w:rPr>
        <w:t xml:space="preserve"> pertenece pues, a una de las etapas de las modalidades de contratación público de carácter competitivo, como es el caso de la Licitación Pública, el cual es un </w:t>
      </w:r>
      <w:r w:rsidRPr="00923BBB">
        <w:rPr>
          <w:rFonts w:ascii="Verdana" w:eastAsia="Calibri" w:hAnsi="Verdana" w:cs="Arial"/>
          <w:bCs/>
          <w:color w:val="000000"/>
        </w:rPr>
        <w:t>procedimiento que</w:t>
      </w:r>
      <w:r>
        <w:rPr>
          <w:rFonts w:ascii="Verdana" w:eastAsia="Calibri" w:hAnsi="Verdana" w:cs="Arial"/>
          <w:b/>
          <w:bCs/>
          <w:color w:val="000000"/>
        </w:rPr>
        <w:t xml:space="preserve"> </w:t>
      </w:r>
      <w:r w:rsidRPr="00923BBB">
        <w:rPr>
          <w:rFonts w:ascii="Verdana" w:eastAsia="Calibri" w:hAnsi="Verdana" w:cs="Arial"/>
          <w:shd w:val="clear" w:color="auto" w:fill="FFFFFF"/>
          <w:lang w:val="es-ES"/>
        </w:rPr>
        <w:t>se estableció como regla general en el Estatuto General de Contratación de la Administración Pública para seleccionar al contratista, y las etapas se desarrollan mediante convocatoria pública, en igualdad de condiciones y con libre concurrencia. Dichas etapas están orientadas a seleccionar objetivamente la oferta de bienes, obras o servicios más favorable para la entidad. Esta modalidad de selección, así como las demás previstas con la expedición de la Ley 1150 de 2007 para realizarse mediante convocatoria pública, culminan con el acto de adjudicación, decisión motivada de la entidad contratante por la que se concede el derecho a celebrar el contrato al mejor oferente.</w:t>
      </w:r>
    </w:p>
    <w:p w14:paraId="469D83AB" w14:textId="77777777" w:rsidR="00014F35" w:rsidRPr="00923BBB" w:rsidRDefault="00014F35" w:rsidP="00014F35">
      <w:pPr>
        <w:spacing w:before="120" w:after="120" w:line="276" w:lineRule="auto"/>
        <w:ind w:firstLine="709"/>
        <w:jc w:val="both"/>
        <w:rPr>
          <w:rFonts w:ascii="Verdana" w:eastAsia="Calibri" w:hAnsi="Verdana" w:cs="Arial"/>
          <w:bCs/>
          <w:lang w:val="es-ES"/>
        </w:rPr>
      </w:pPr>
      <w:r w:rsidRPr="00923BBB">
        <w:rPr>
          <w:rFonts w:ascii="Verdana" w:eastAsia="Calibri" w:hAnsi="Verdana" w:cs="Arial"/>
          <w:bCs/>
          <w:lang w:val="es-ES"/>
        </w:rPr>
        <w:t>La audiencia de adjudicación es la etapa del proceso de selección en la cual se escoge la propuesta más favorable a los intereses de la entidad estatal, conforme a las reglas establecidas por el pliego de condiciones. Lo anterior como resultado de haberse evaluado las ofertas, publicitado el resultado y de haberse respondido a las eventuales observaciones formuladas por los participantes, en ejercicio del derecho de contradicción.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923BBB">
        <w:rPr>
          <w:rFonts w:ascii="Verdana" w:eastAsia="Calibri" w:hAnsi="Verdana" w:cs="Arial"/>
          <w:bCs/>
          <w:vertAlign w:val="superscript"/>
          <w:lang w:val="es-ES"/>
        </w:rPr>
        <w:footnoteReference w:id="10"/>
      </w:r>
      <w:r w:rsidRPr="00923BBB">
        <w:rPr>
          <w:rFonts w:ascii="Verdana" w:eastAsia="Calibri" w:hAnsi="Verdana" w:cs="Arial"/>
          <w:bCs/>
          <w:lang w:val="es-ES"/>
        </w:rPr>
        <w:t>.</w:t>
      </w:r>
    </w:p>
    <w:p w14:paraId="23D101C0" w14:textId="77777777" w:rsidR="00014F35" w:rsidRPr="00923BBB" w:rsidRDefault="00014F35" w:rsidP="00014F35">
      <w:pPr>
        <w:spacing w:before="120" w:after="120" w:line="276" w:lineRule="auto"/>
        <w:ind w:firstLine="709"/>
        <w:jc w:val="both"/>
        <w:rPr>
          <w:rFonts w:ascii="Verdana" w:eastAsia="Calibri" w:hAnsi="Verdana" w:cs="Arial"/>
          <w:lang w:val="es-ES"/>
        </w:rPr>
      </w:pPr>
      <w:r w:rsidRPr="00923BBB">
        <w:rPr>
          <w:rFonts w:ascii="Verdana" w:eastAsia="Calibri" w:hAnsi="Verdana" w:cs="Arial"/>
          <w:lang w:val="es-ES"/>
        </w:rPr>
        <w:t xml:space="preserve">Dicho artículo constitucional consagró una regla relativa a la publicidad de la audiencia de adjudicación por la cual, a solicitud de cualquier proponente, el Contralor General de la República y demás autoridades de control fiscal pueden </w:t>
      </w:r>
      <w:r w:rsidRPr="00923BBB">
        <w:rPr>
          <w:rFonts w:ascii="Verdana" w:eastAsia="Calibri" w:hAnsi="Verdana" w:cs="Arial"/>
          <w:lang w:val="es-ES"/>
        </w:rPr>
        <w:lastRenderedPageBreak/>
        <w:t>ordenar que el acto de adjudicación de una licitación se lleve a cabo en audiencia pública. Asimismo, defirió a la ley la competencia para regular aspectos puntuales sobre la audiencia de adjudicación, como la forma de evaluar las 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ii) oferentes o proponentes y iii) otras personas que deseen asistir</w:t>
      </w:r>
      <w:r w:rsidRPr="00923BBB">
        <w:rPr>
          <w:rFonts w:ascii="Verdana" w:eastAsia="Calibri" w:hAnsi="Verdana" w:cs="Arial"/>
          <w:vertAlign w:val="superscript"/>
          <w:lang w:val="es-ES"/>
        </w:rPr>
        <w:footnoteReference w:id="11"/>
      </w:r>
      <w:r w:rsidRPr="00923BBB">
        <w:rPr>
          <w:rFonts w:ascii="Verdana" w:eastAsia="Calibri" w:hAnsi="Verdana" w:cs="Arial"/>
          <w:lang w:val="es-ES"/>
        </w:rPr>
        <w:t>. Sin embargo, además de los sujetos señalados, como se observará, los oferentes pueden designar personas para que intervengan en la audiencia de adjudicación.</w:t>
      </w:r>
    </w:p>
    <w:p w14:paraId="243CF94B" w14:textId="77777777" w:rsidR="00014F35" w:rsidRDefault="00014F35" w:rsidP="00014F35">
      <w:pPr>
        <w:spacing w:after="120" w:line="276" w:lineRule="auto"/>
        <w:ind w:firstLine="708"/>
        <w:jc w:val="both"/>
        <w:rPr>
          <w:rFonts w:ascii="Verdana" w:eastAsia="Calibri" w:hAnsi="Verdana" w:cs="Arial"/>
          <w:lang w:val="es-ES_tradnl"/>
        </w:rPr>
      </w:pPr>
      <w:r w:rsidRPr="00923BBB">
        <w:rPr>
          <w:rFonts w:ascii="Verdana" w:eastAsia="Calibri" w:hAnsi="Verdana" w:cs="Arial"/>
          <w:lang w:val="es-ES"/>
        </w:rPr>
        <w:t>Posteriormente, el legislador reguló este asunto en la Ley 1150 de 2007, cuyo artículo 9 reguló la etapa de adjudicación como la fase final de los procesos de selección de contratistas del Estado</w:t>
      </w:r>
      <w:r w:rsidRPr="00923BBB">
        <w:rPr>
          <w:rFonts w:ascii="Verdana" w:eastAsia="Calibri" w:hAnsi="Verdana" w:cs="Arial"/>
          <w:vertAlign w:val="superscript"/>
          <w:lang w:val="es-ES"/>
        </w:rPr>
        <w:footnoteReference w:id="12"/>
      </w:r>
      <w:r w:rsidRPr="00923BBB">
        <w:rPr>
          <w:rFonts w:ascii="Verdana" w:eastAsia="Calibri" w:hAnsi="Verdana" w:cs="Arial"/>
          <w:lang w:val="es-ES"/>
        </w:rPr>
        <w:t>. La norma determinó que, en general, en los procesos de licitación pública la adjudicación se haría, obligatoriamente, en audiencia pública. Igualmente, señaló que</w:t>
      </w:r>
      <w:r w:rsidRPr="00521BE5">
        <w:rPr>
          <w:rFonts w:ascii="Verdana" w:eastAsia="Calibri" w:hAnsi="Verdana" w:cs="Arial"/>
          <w:lang w:val="es-ES"/>
        </w:rPr>
        <w:t>,</w:t>
      </w:r>
      <w:r w:rsidRPr="00923BBB">
        <w:rPr>
          <w:rFonts w:ascii="Verdana" w:eastAsia="Calibri" w:hAnsi="Verdana" w:cs="Arial"/>
          <w:lang w:val="es-ES"/>
        </w:rPr>
        <w:t xml:space="preserve"> en dicha audiencia, y de manera previa a la decisión de adjudicación, todos los interesados podrían pronunciarse </w:t>
      </w:r>
      <w:r w:rsidRPr="00923BBB">
        <w:rPr>
          <w:rFonts w:ascii="Verdana" w:eastAsia="Calibri" w:hAnsi="Verdana" w:cs="Arial"/>
          <w:lang w:val="es-ES"/>
        </w:rPr>
        <w:lastRenderedPageBreak/>
        <w:t xml:space="preserve">sobre las decisiones adoptadas por la entidad a las observaciones planteadas al informe de evaluación. </w:t>
      </w:r>
      <w:r>
        <w:rPr>
          <w:rFonts w:ascii="Verdana" w:eastAsia="Calibri" w:hAnsi="Verdana" w:cs="Arial"/>
          <w:lang w:val="es-ES"/>
        </w:rPr>
        <w:t>Al respecto, este informe de evaluación</w:t>
      </w:r>
      <w:r w:rsidRPr="00521BE5">
        <w:rPr>
          <w:rFonts w:ascii="Verdana" w:eastAsia="Calibri" w:hAnsi="Verdana" w:cs="Arial"/>
          <w:lang w:val="es-ES_tradnl"/>
        </w:rPr>
        <w:t xml:space="preserve"> realizada por el Comit</w:t>
      </w:r>
      <w:r>
        <w:rPr>
          <w:rFonts w:ascii="Verdana" w:eastAsia="Calibri" w:hAnsi="Verdana" w:cs="Arial"/>
          <w:lang w:val="es-ES_tradnl"/>
        </w:rPr>
        <w:t>é E</w:t>
      </w:r>
      <w:r w:rsidRPr="00521BE5">
        <w:rPr>
          <w:rFonts w:ascii="Verdana" w:eastAsia="Calibri" w:hAnsi="Verdana" w:cs="Arial"/>
          <w:lang w:val="es-ES_tradnl"/>
        </w:rPr>
        <w:t xml:space="preserve">valuador se materializará a través de la emisión de un concepto o dictamen o informe de evaluación, que deberá </w:t>
      </w:r>
      <w:r>
        <w:rPr>
          <w:rFonts w:ascii="Verdana" w:eastAsia="Calibri" w:hAnsi="Verdana" w:cs="Arial"/>
          <w:lang w:val="es-ES_tradnl"/>
        </w:rPr>
        <w:t>elaborarse y presentarse</w:t>
      </w:r>
      <w:r w:rsidRPr="00521BE5">
        <w:rPr>
          <w:rFonts w:ascii="Verdana" w:eastAsia="Calibri" w:hAnsi="Verdana" w:cs="Arial"/>
          <w:sz w:val="24"/>
          <w:lang w:val="es-MX"/>
        </w:rPr>
        <w:t xml:space="preserve"> </w:t>
      </w:r>
      <w:r w:rsidRPr="00521BE5">
        <w:rPr>
          <w:rFonts w:ascii="Verdana" w:eastAsia="Calibri" w:hAnsi="Verdana" w:cs="Arial"/>
          <w:lang w:val="es-ES_tradnl"/>
        </w:rPr>
        <w:t xml:space="preserve">tanto al ordenador del gasto, como a los demás interesados en el proceso de contratación, bajo las condiciones y plazos previamente definidos por la propia entidad. Su forma de presentación es la publicación en el SECOP dentro del término establecido para ello. </w:t>
      </w:r>
    </w:p>
    <w:p w14:paraId="52348438" w14:textId="77777777" w:rsidR="00014F35" w:rsidRPr="00521BE5" w:rsidRDefault="00014F35" w:rsidP="00014F35">
      <w:pPr>
        <w:spacing w:after="120" w:line="276" w:lineRule="auto"/>
        <w:ind w:firstLine="708"/>
        <w:jc w:val="both"/>
        <w:rPr>
          <w:rFonts w:ascii="Verdana" w:eastAsia="Calibri" w:hAnsi="Verdana" w:cs="Arial"/>
          <w:lang w:val="es-ES_tradnl"/>
        </w:rPr>
      </w:pPr>
      <w:r w:rsidRPr="00521BE5">
        <w:rPr>
          <w:rFonts w:ascii="Verdana" w:eastAsia="Calibri" w:hAnsi="Verdana" w:cs="Arial"/>
          <w:lang w:val="es-ES_tradnl"/>
        </w:rPr>
        <w:t xml:space="preserve">Este informe de evaluación debe caracterizarse por justificarse en razones técnicas y jurídicas, que permitan decidir al ordenador del gasto mediante el acto administrativo de adjudicación o la comunicación de aceptación en los procesos de mínima cuantía. De esta manera, el informe de evaluación se constituye en un insumo de un elemento del acto administrativo de adjudicación, como es la debida motivación. </w:t>
      </w:r>
      <w:r>
        <w:rPr>
          <w:rFonts w:ascii="Verdana" w:eastAsia="Calibri" w:hAnsi="Verdana" w:cs="Arial"/>
          <w:lang w:val="es-ES_tradnl"/>
        </w:rPr>
        <w:t>Al respecto, el Consejo de Estado ha expresado: “</w:t>
      </w:r>
      <w:r w:rsidRPr="00D15E13">
        <w:rPr>
          <w:rFonts w:ascii="Verdana" w:eastAsia="Calibri" w:hAnsi="Verdana" w:cs="Arial"/>
          <w:lang w:val="es-ES"/>
        </w:rPr>
        <w:t xml:space="preserve">[E]l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w:t>
      </w:r>
      <w:r>
        <w:rPr>
          <w:rFonts w:ascii="Verdana" w:eastAsia="Calibri" w:hAnsi="Verdana" w:cs="Arial"/>
          <w:lang w:val="es-ES"/>
        </w:rPr>
        <w:t>respectivo proceso de selección”</w:t>
      </w:r>
      <w:r>
        <w:rPr>
          <w:rStyle w:val="Refdenotaalpie"/>
          <w:rFonts w:ascii="Verdana" w:eastAsia="Calibri" w:hAnsi="Verdana" w:cs="Arial"/>
          <w:lang w:val="es-ES"/>
        </w:rPr>
        <w:footnoteReference w:id="13"/>
      </w:r>
      <w:r>
        <w:rPr>
          <w:rFonts w:ascii="Verdana" w:eastAsia="Calibri" w:hAnsi="Verdana" w:cs="Arial"/>
          <w:lang w:val="es-ES"/>
        </w:rPr>
        <w:t>.</w:t>
      </w:r>
      <w:r w:rsidRPr="00D15E13">
        <w:rPr>
          <w:rFonts w:ascii="Verdana" w:eastAsia="Calibri" w:hAnsi="Verdana" w:cs="Arial"/>
          <w:lang w:val="es-ES_tradnl"/>
        </w:rPr>
        <w:t xml:space="preserve"> </w:t>
      </w:r>
    </w:p>
    <w:p w14:paraId="43C1273E" w14:textId="77777777" w:rsidR="00014F35" w:rsidRPr="00521BE5" w:rsidRDefault="00014F35" w:rsidP="00014F35">
      <w:pPr>
        <w:spacing w:after="120" w:line="276" w:lineRule="auto"/>
        <w:ind w:firstLine="708"/>
        <w:jc w:val="both"/>
        <w:rPr>
          <w:rFonts w:ascii="Verdana" w:eastAsia="Calibri" w:hAnsi="Verdana" w:cs="Arial"/>
          <w:lang w:val="es-ES"/>
        </w:rPr>
      </w:pPr>
      <w:r w:rsidRPr="0C42C258">
        <w:rPr>
          <w:rFonts w:ascii="Verdana" w:eastAsia="Calibri" w:hAnsi="Verdana" w:cs="Arial"/>
          <w:lang w:val="es-ES"/>
        </w:rPr>
        <w:t xml:space="preserve">Teniendo en cuenta la importancia del informe se señala que, para emitirlo,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constatará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640B59A0" w14:textId="77777777" w:rsidR="00014F35" w:rsidRDefault="00014F35" w:rsidP="00014F35">
      <w:pPr>
        <w:spacing w:after="120" w:line="276" w:lineRule="auto"/>
        <w:ind w:firstLine="708"/>
        <w:jc w:val="both"/>
        <w:rPr>
          <w:rFonts w:ascii="Verdana" w:eastAsia="Calibri" w:hAnsi="Verdana" w:cs="Arial"/>
          <w:lang w:val="es-ES"/>
        </w:rPr>
      </w:pPr>
      <w:r w:rsidRPr="0C42C258">
        <w:rPr>
          <w:rFonts w:ascii="Verdana" w:eastAsia="Calibri" w:hAnsi="Verdana" w:cs="Arial"/>
          <w:lang w:val="es-ES"/>
        </w:rPr>
        <w:t xml:space="preserve">Los resultados del informe de evaluación se concretan en una serie de recomendaciones al ordenador del gasto de la entidad estatal, tales como: i) solicitar aclaraciones o explicaciones que consideren pertinentes; ii) subsanar requisitos que no otorguen puntajes; iii) rechazar propuestas que no cumplen la </w:t>
      </w:r>
      <w:r w:rsidRPr="0C42C258">
        <w:rPr>
          <w:rFonts w:ascii="Verdana" w:eastAsia="Calibri" w:hAnsi="Verdana" w:cs="Arial"/>
          <w:lang w:val="es-ES"/>
        </w:rPr>
        <w:lastRenderedPageBreak/>
        <w:t>acreditación de requisitos y no sean susceptibles de subsanación; iv)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de este realiza la entidad para que se surta su contradicción y, en el evento de que sea necesario, modifica el informe, que debe caracterizarse por estar debidamente motivado, en aras de garantizar el principio de transparencia en los procesos de contratación pública.</w:t>
      </w:r>
    </w:p>
    <w:p w14:paraId="227A42BE" w14:textId="77777777" w:rsidR="00014F35" w:rsidRDefault="00014F35" w:rsidP="00014F35">
      <w:pPr>
        <w:spacing w:after="120" w:line="276" w:lineRule="auto"/>
        <w:ind w:firstLine="708"/>
        <w:jc w:val="both"/>
        <w:rPr>
          <w:rFonts w:ascii="Verdana" w:eastAsia="Calibri" w:hAnsi="Verdana" w:cs="Arial"/>
          <w:lang w:val="es-ES"/>
        </w:rPr>
      </w:pPr>
      <w:r>
        <w:rPr>
          <w:rFonts w:ascii="Verdana" w:eastAsia="Calibri" w:hAnsi="Verdana" w:cs="Arial"/>
          <w:lang w:val="es-ES_tradnl"/>
        </w:rPr>
        <w:t xml:space="preserve">De tal manera, los </w:t>
      </w:r>
      <w:r w:rsidRPr="00923BBB">
        <w:rPr>
          <w:rFonts w:ascii="Verdana" w:eastAsia="Calibri" w:hAnsi="Verdana" w:cs="Arial"/>
          <w:lang w:val="es-ES"/>
        </w:rPr>
        <w:t>oferentes pueden pronunciarse sobre las respuestas que adoptó la entidad frente a las observaciones al informe de evaluación</w:t>
      </w:r>
      <w:r>
        <w:rPr>
          <w:rFonts w:ascii="Verdana" w:eastAsia="Calibri" w:hAnsi="Verdana" w:cs="Arial"/>
          <w:lang w:val="es-ES"/>
        </w:rPr>
        <w:t xml:space="preserve">. Dicho informe de evaluación debe presentarse y publicarse por el </w:t>
      </w:r>
      <w:r w:rsidRPr="00CA0B15">
        <w:rPr>
          <w:rFonts w:ascii="Verdana" w:eastAsia="Calibri" w:hAnsi="Verdana" w:cs="Arial"/>
        </w:rPr>
        <w:t>término de cinco (5) días hábiles para que los oferentes presenten las observ</w:t>
      </w:r>
      <w:r>
        <w:rPr>
          <w:rFonts w:ascii="Verdana" w:eastAsia="Calibri" w:hAnsi="Verdana" w:cs="Arial"/>
        </w:rPr>
        <w:t>aciones que estimen pertinentes</w:t>
      </w:r>
      <w:r w:rsidRPr="00923BBB">
        <w:rPr>
          <w:rFonts w:ascii="Verdana" w:eastAsia="Calibri" w:hAnsi="Verdana" w:cs="Arial"/>
          <w:lang w:val="es-ES"/>
        </w:rPr>
        <w:t>, sin que implique que puedan mejorar, adicionar o modificar su oferta. De ser necesario, la entidad estatal puede suspender la audiencia cuando consider</w:t>
      </w:r>
      <w:r>
        <w:rPr>
          <w:rFonts w:ascii="Verdana" w:eastAsia="Calibri" w:hAnsi="Verdana" w:cs="Arial"/>
          <w:lang w:val="es-ES"/>
        </w:rPr>
        <w:t>e que debe verificar lo propuesta</w:t>
      </w:r>
      <w:r w:rsidRPr="00923BBB">
        <w:rPr>
          <w:rFonts w:ascii="Verdana" w:eastAsia="Calibri" w:hAnsi="Verdana" w:cs="Arial"/>
          <w:lang w:val="es-ES"/>
        </w:rPr>
        <w:t xml:space="preserve"> por alguno de los oferentes.</w:t>
      </w:r>
      <w:r>
        <w:rPr>
          <w:rFonts w:ascii="Verdana" w:eastAsia="Calibri" w:hAnsi="Verdana" w:cs="Arial"/>
          <w:lang w:val="es-ES"/>
        </w:rPr>
        <w:t xml:space="preserve"> Posteriormente</w:t>
      </w:r>
      <w:r w:rsidRPr="00923BBB">
        <w:rPr>
          <w:rFonts w:ascii="Verdana" w:eastAsia="Calibri" w:hAnsi="Verdana" w:cs="Arial"/>
          <w:lang w:val="es-ES"/>
        </w:rPr>
        <w:t>, cuando se hagan observaciones respecto de alguna oferta, el proponente podrá</w:t>
      </w:r>
      <w:r>
        <w:rPr>
          <w:rFonts w:ascii="Verdana" w:eastAsia="Calibri" w:hAnsi="Verdana" w:cs="Arial"/>
          <w:lang w:val="es-ES"/>
        </w:rPr>
        <w:t xml:space="preserve"> responder los cuestionamientos. Se precisa que</w:t>
      </w:r>
      <w:r w:rsidRPr="00923BBB">
        <w:rPr>
          <w:rFonts w:ascii="Verdana" w:eastAsia="Calibri" w:hAnsi="Verdana" w:cs="Arial"/>
          <w:lang w:val="es-ES"/>
        </w:rPr>
        <w:t>, quienes intervienen deben ser los oferentes o las personas designadas previamente por estos, y dentro del tiempo que la entidad señale.</w:t>
      </w:r>
    </w:p>
    <w:p w14:paraId="475F30EA" w14:textId="77777777" w:rsidR="00014F35" w:rsidRDefault="00014F35" w:rsidP="00014F35">
      <w:pPr>
        <w:spacing w:after="120" w:line="276" w:lineRule="auto"/>
        <w:jc w:val="both"/>
        <w:rPr>
          <w:rFonts w:ascii="Verdana" w:eastAsia="Calibri" w:hAnsi="Verdana" w:cs="Arial"/>
          <w:color w:val="000000"/>
        </w:rPr>
      </w:pPr>
      <w:r>
        <w:rPr>
          <w:rFonts w:ascii="Verdana" w:eastAsia="Calibri" w:hAnsi="Verdana" w:cs="Arial"/>
          <w:color w:val="000000"/>
          <w:lang w:val="es-ES"/>
        </w:rPr>
        <w:tab/>
        <w:t>En el supuesto de que no se presenten observaciones al informe de evaluación dentro del término dispuesto por la entidad estatal puede tener varios efectos jurídicos, pues implica que no podrá controvertir posteriormente dichos informes, al inferir que aceptó lo expresado por el comité evaluador, lo cual implica que no se tendrá en cuenta en el momento de la expedición de la resolución que adjudica el proceso. En otras palabras, el proponente perdió la oportunidad de contradecir lo dispuesto en el informe de evaluación por no sujetarse al término para la presentación de observaciones a este. En esta misma lógica, en la modalidad de selección abreviada de menor cuantía</w:t>
      </w:r>
      <w:r>
        <w:rPr>
          <w:rStyle w:val="Refdenotaalpie"/>
          <w:rFonts w:ascii="Verdana" w:eastAsia="Calibri" w:hAnsi="Verdana" w:cs="Arial"/>
          <w:color w:val="000000"/>
          <w:lang w:val="es-ES"/>
        </w:rPr>
        <w:footnoteReference w:id="14"/>
      </w:r>
      <w:r>
        <w:rPr>
          <w:rFonts w:ascii="Verdana" w:eastAsia="Calibri" w:hAnsi="Verdana" w:cs="Arial"/>
          <w:color w:val="000000"/>
          <w:lang w:val="es-ES"/>
        </w:rPr>
        <w:t xml:space="preserve">, así </w:t>
      </w:r>
      <w:r>
        <w:rPr>
          <w:rFonts w:ascii="Verdana" w:eastAsia="Calibri" w:hAnsi="Verdana" w:cs="Arial"/>
          <w:color w:val="000000"/>
          <w:lang w:val="es-ES"/>
        </w:rPr>
        <w:lastRenderedPageBreak/>
        <w:t>como en el concurso de méritos</w:t>
      </w:r>
      <w:r>
        <w:rPr>
          <w:rStyle w:val="Refdenotaalpie"/>
          <w:rFonts w:ascii="Verdana" w:eastAsia="Calibri" w:hAnsi="Verdana" w:cs="Arial"/>
          <w:color w:val="000000"/>
          <w:lang w:val="es-ES"/>
        </w:rPr>
        <w:footnoteReference w:id="15"/>
      </w:r>
      <w:r>
        <w:rPr>
          <w:rFonts w:ascii="Verdana" w:eastAsia="Calibri" w:hAnsi="Verdana" w:cs="Arial"/>
          <w:color w:val="000000"/>
          <w:lang w:val="es-ES"/>
        </w:rPr>
        <w:t xml:space="preserve"> se establece que la </w:t>
      </w:r>
      <w:r w:rsidRPr="008E50B3">
        <w:rPr>
          <w:rFonts w:ascii="Verdana" w:eastAsia="Calibri" w:hAnsi="Verdana" w:cs="Arial"/>
          <w:color w:val="000000"/>
        </w:rPr>
        <w:t>Entidad Estatal debe publicar el informe de evaluación de ofertas durante tres (3) días hábiles</w:t>
      </w:r>
      <w:r>
        <w:rPr>
          <w:rFonts w:ascii="Verdana" w:eastAsia="Calibri" w:hAnsi="Verdana" w:cs="Arial"/>
          <w:color w:val="000000"/>
        </w:rPr>
        <w:t>. Esto, con el fin de que los participantes del proceso de contratación pública, como los oferentes presenten observaciones al informe de evaluación antes que se expida la resolución de adjudicación en el proceso de contratación. De igual modo, en la modalidad de selección de mínima cuantía, l</w:t>
      </w:r>
      <w:r w:rsidRPr="00DF4CB2">
        <w:rPr>
          <w:rFonts w:ascii="Verdana" w:eastAsia="Calibri" w:hAnsi="Verdana" w:cs="Arial"/>
          <w:color w:val="000000"/>
        </w:rPr>
        <w:t>a Entidad Estatal debe publicar el informe de evaluación durante mínimo un (1) día hábil</w:t>
      </w:r>
      <w:r>
        <w:rPr>
          <w:rStyle w:val="Refdenotaalpie"/>
          <w:rFonts w:ascii="Verdana" w:eastAsia="Calibri" w:hAnsi="Verdana" w:cs="Arial"/>
          <w:color w:val="000000"/>
        </w:rPr>
        <w:footnoteReference w:id="16"/>
      </w:r>
      <w:r w:rsidRPr="00DF4CB2">
        <w:rPr>
          <w:rFonts w:ascii="Verdana" w:eastAsia="Calibri" w:hAnsi="Verdana" w:cs="Arial"/>
          <w:color w:val="000000"/>
        </w:rPr>
        <w:t xml:space="preserve">, para que durante este </w:t>
      </w:r>
      <w:r w:rsidRPr="00DF4CB2">
        <w:rPr>
          <w:rFonts w:ascii="Verdana" w:eastAsia="Calibri" w:hAnsi="Verdana" w:cs="Arial"/>
          <w:color w:val="000000"/>
        </w:rPr>
        <w:lastRenderedPageBreak/>
        <w:t>término los oferentes present</w:t>
      </w:r>
      <w:r>
        <w:rPr>
          <w:rFonts w:ascii="Verdana" w:eastAsia="Calibri" w:hAnsi="Verdana" w:cs="Arial"/>
          <w:color w:val="000000"/>
        </w:rPr>
        <w:t>en las observaciones que deben responderse</w:t>
      </w:r>
      <w:r w:rsidRPr="00DF4CB2">
        <w:rPr>
          <w:rFonts w:ascii="Verdana" w:eastAsia="Calibri" w:hAnsi="Verdana" w:cs="Arial"/>
          <w:color w:val="000000"/>
        </w:rPr>
        <w:t xml:space="preserve"> por la Entidad Estatal antes de realizar la aceptación de la oferta seleccionada.</w:t>
      </w:r>
    </w:p>
    <w:p w14:paraId="29E45C32" w14:textId="0667262C" w:rsidR="00014F35" w:rsidRPr="00AD6CC3" w:rsidRDefault="00014F35" w:rsidP="00014F35">
      <w:pPr>
        <w:spacing w:after="120" w:line="276" w:lineRule="auto"/>
        <w:jc w:val="both"/>
        <w:rPr>
          <w:rFonts w:ascii="Verdana" w:eastAsia="Calibri" w:hAnsi="Verdana" w:cs="Arial"/>
          <w:color w:val="000000"/>
          <w:lang w:val="es-ES"/>
        </w:rPr>
      </w:pPr>
      <w:r>
        <w:rPr>
          <w:rFonts w:ascii="Verdana" w:eastAsia="Calibri" w:hAnsi="Verdana" w:cs="Arial"/>
          <w:color w:val="000000"/>
        </w:rPr>
        <w:tab/>
        <w:t xml:space="preserve">Así las cosas, la presentación de observaciones al informe de evaluación por parte de los oferentes dentro de los procesos de contratación, es una facultad de controvertir, que por su naturaleza es optativa, por lo que no hacerla, implica aceptar de forma tácita lo expresado </w:t>
      </w:r>
      <w:r w:rsidR="00686B76">
        <w:rPr>
          <w:rFonts w:ascii="Verdana" w:eastAsia="Calibri" w:hAnsi="Verdana" w:cs="Arial"/>
          <w:color w:val="000000"/>
        </w:rPr>
        <w:t xml:space="preserve">en </w:t>
      </w:r>
      <w:r>
        <w:rPr>
          <w:rFonts w:ascii="Verdana" w:eastAsia="Calibri" w:hAnsi="Verdana" w:cs="Arial"/>
          <w:color w:val="000000"/>
        </w:rPr>
        <w:t xml:space="preserve">dicho informe por parte del comité evaluador.  </w:t>
      </w:r>
    </w:p>
    <w:p w14:paraId="38B1C62D" w14:textId="77777777" w:rsidR="00014F35" w:rsidRPr="00AA77B6" w:rsidRDefault="00014F35" w:rsidP="00014F35">
      <w:pPr>
        <w:spacing w:after="0" w:line="276" w:lineRule="auto"/>
        <w:jc w:val="both"/>
        <w:rPr>
          <w:rFonts w:ascii="Verdana" w:eastAsia="Calibri" w:hAnsi="Verdana" w:cs="Arial"/>
          <w:color w:val="000000"/>
        </w:rPr>
      </w:pPr>
    </w:p>
    <w:p w14:paraId="170C884A" w14:textId="77777777" w:rsidR="00014F35" w:rsidRPr="00B31C7B" w:rsidRDefault="00014F35" w:rsidP="00014F35">
      <w:pPr>
        <w:numPr>
          <w:ilvl w:val="0"/>
          <w:numId w:val="19"/>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Referencias normativas</w:t>
      </w:r>
      <w:r>
        <w:rPr>
          <w:rFonts w:ascii="Verdana" w:eastAsia="Calibri" w:hAnsi="Verdana" w:cs="Times New Roman"/>
          <w:b/>
          <w:bCs/>
          <w:lang w:val="es-ES"/>
        </w:rPr>
        <w:t>, jurisprudenciales y doctrinales</w:t>
      </w:r>
      <w:r w:rsidRPr="00B31C7B">
        <w:rPr>
          <w:rFonts w:ascii="Verdana" w:eastAsia="Calibri" w:hAnsi="Verdana" w:cs="Times New Roman"/>
          <w:b/>
          <w:bCs/>
          <w:lang w:val="es-ES"/>
        </w:rPr>
        <w:t>:</w:t>
      </w:r>
    </w:p>
    <w:p w14:paraId="56D52D7D" w14:textId="77777777" w:rsidR="00014F35" w:rsidRPr="00B31C7B" w:rsidRDefault="00014F35" w:rsidP="00014F3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4F35" w:rsidRPr="00B31C7B" w14:paraId="2436556E" w14:textId="77777777" w:rsidTr="00DF0533">
        <w:trPr>
          <w:trHeight w:val="870"/>
          <w:jc w:val="center"/>
        </w:trPr>
        <w:tc>
          <w:tcPr>
            <w:tcW w:w="8647" w:type="dxa"/>
          </w:tcPr>
          <w:p w14:paraId="4B3EED80" w14:textId="77777777" w:rsidR="00014F35" w:rsidRPr="008664CA" w:rsidRDefault="00014F35" w:rsidP="00014F35">
            <w:pPr>
              <w:widowControl w:val="0"/>
              <w:numPr>
                <w:ilvl w:val="0"/>
                <w:numId w:val="20"/>
              </w:numPr>
              <w:autoSpaceDE w:val="0"/>
              <w:autoSpaceDN w:val="0"/>
              <w:spacing w:before="120"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 xml:space="preserve">Código de Comercio, artículo 836. </w:t>
            </w:r>
          </w:p>
          <w:p w14:paraId="482A2037" w14:textId="1F3DD6CC" w:rsidR="00014F35" w:rsidRPr="008664CA"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Ley 80 de 1993, artículos 24, 25,</w:t>
            </w:r>
            <w:r w:rsidR="009C506B">
              <w:rPr>
                <w:rFonts w:ascii="Verdana" w:hAnsi="Verdana" w:cs="Arial"/>
                <w:color w:val="000000" w:themeColor="text1"/>
                <w:lang w:val="es-ES"/>
              </w:rPr>
              <w:t xml:space="preserve"> </w:t>
            </w:r>
            <w:r w:rsidRPr="008664CA">
              <w:rPr>
                <w:rFonts w:ascii="Verdana" w:hAnsi="Verdana" w:cs="Arial"/>
                <w:color w:val="000000" w:themeColor="text1"/>
                <w:lang w:val="es-ES"/>
              </w:rPr>
              <w:t xml:space="preserve">30. </w:t>
            </w:r>
          </w:p>
          <w:p w14:paraId="1322BA38" w14:textId="77777777" w:rsidR="00014F35" w:rsidRPr="008664CA"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 xml:space="preserve"> Ley 527 de 1999, artículos 2, 7 y 10. </w:t>
            </w:r>
          </w:p>
          <w:p w14:paraId="364EC0D3" w14:textId="77777777" w:rsidR="00014F35" w:rsidRPr="008664CA"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 xml:space="preserve">Ley 1150 de 2007, artículo 9. </w:t>
            </w:r>
          </w:p>
          <w:p w14:paraId="06482743" w14:textId="77777777" w:rsidR="00014F35" w:rsidRPr="008664CA"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Ley 1564 de 2012, artículo</w:t>
            </w:r>
            <w:r>
              <w:rPr>
                <w:rFonts w:ascii="Verdana" w:hAnsi="Verdana" w:cs="Arial"/>
                <w:color w:val="000000" w:themeColor="text1"/>
                <w:lang w:val="es-ES"/>
              </w:rPr>
              <w:t xml:space="preserve">s 244 y 246. </w:t>
            </w:r>
            <w:r w:rsidRPr="008664CA">
              <w:rPr>
                <w:rFonts w:ascii="Verdana" w:hAnsi="Verdana" w:cs="Arial"/>
                <w:color w:val="000000" w:themeColor="text1"/>
                <w:lang w:val="es-ES"/>
              </w:rPr>
              <w:t xml:space="preserve"> </w:t>
            </w:r>
          </w:p>
          <w:p w14:paraId="1916E931" w14:textId="77777777" w:rsidR="00014F35" w:rsidRPr="008664CA"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t>Decreto 1082 de 2015, artículos 2.2.1.2.1.2.20, 2.2.1.2.1.3.2, 2.2.1.2.1.5.2.</w:t>
            </w:r>
          </w:p>
          <w:p w14:paraId="1EFCCAF4" w14:textId="77777777" w:rsidR="00014F35"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8664CA">
              <w:rPr>
                <w:rFonts w:ascii="Verdana" w:hAnsi="Verdana" w:cs="Arial"/>
                <w:color w:val="000000" w:themeColor="text1"/>
                <w:lang w:val="es-ES"/>
              </w:rPr>
              <w:lastRenderedPageBreak/>
              <w:t>Decreto 2364 de 2020.</w:t>
            </w:r>
          </w:p>
          <w:p w14:paraId="6302B76C" w14:textId="77777777" w:rsidR="00014F35" w:rsidRPr="00C81FB1" w:rsidRDefault="00014F35" w:rsidP="00014F35">
            <w:pPr>
              <w:widowControl w:val="0"/>
              <w:numPr>
                <w:ilvl w:val="0"/>
                <w:numId w:val="20"/>
              </w:numPr>
              <w:autoSpaceDE w:val="0"/>
              <w:autoSpaceDN w:val="0"/>
              <w:spacing w:after="120" w:line="276" w:lineRule="auto"/>
              <w:jc w:val="both"/>
              <w:rPr>
                <w:rFonts w:ascii="Verdana" w:hAnsi="Verdana" w:cs="Arial"/>
                <w:color w:val="000000" w:themeColor="text1"/>
                <w:lang w:val="es-ES"/>
              </w:rPr>
            </w:pPr>
            <w:r w:rsidRPr="00C81FB1">
              <w:rPr>
                <w:rFonts w:ascii="Verdana" w:hAnsi="Verdana" w:cs="Arial"/>
                <w:color w:val="000000" w:themeColor="text1"/>
                <w:lang w:val="es-ES"/>
              </w:rPr>
              <w:t>Consejo de Estado. Sección Tercera. Sentencia de 1 de abril de 2016, Exp. 47145 C.P. Jaime Orlando Santofimio Gamboa.</w:t>
            </w:r>
          </w:p>
          <w:p w14:paraId="7A43A0B1" w14:textId="77777777" w:rsidR="00014F35" w:rsidRDefault="00014F35" w:rsidP="00014F35">
            <w:pPr>
              <w:widowControl w:val="0"/>
              <w:numPr>
                <w:ilvl w:val="0"/>
                <w:numId w:val="20"/>
              </w:numPr>
              <w:autoSpaceDE w:val="0"/>
              <w:autoSpaceDN w:val="0"/>
              <w:spacing w:after="120" w:line="276" w:lineRule="auto"/>
              <w:jc w:val="both"/>
              <w:rPr>
                <w:rFonts w:ascii="Verdana" w:hAnsi="Verdana" w:cs="Arial"/>
                <w:color w:val="000000" w:themeColor="text1"/>
                <w:lang w:val="es-ES"/>
              </w:rPr>
            </w:pPr>
            <w:r w:rsidRPr="00C81FB1">
              <w:rPr>
                <w:rFonts w:ascii="Verdana" w:hAnsi="Verdana" w:cs="Arial"/>
                <w:color w:val="000000" w:themeColor="text1"/>
                <w:lang w:val="es-ES"/>
              </w:rPr>
              <w:t>Corte Suprema de Justicia, Sala de Casación Civil. Magistrado Ponente: Pedro Octavio Munar Cadena. Bogotá, D.C., dieciséis (16) de diciembre de dos mil diez (2010). Ref.: Expediente No.11001 3110 005 2004 01074 01.</w:t>
            </w:r>
          </w:p>
          <w:p w14:paraId="0F78AD2D" w14:textId="77777777" w:rsidR="00014F35" w:rsidRPr="00C81FB1" w:rsidRDefault="00014F35" w:rsidP="00014F35">
            <w:pPr>
              <w:widowControl w:val="0"/>
              <w:numPr>
                <w:ilvl w:val="0"/>
                <w:numId w:val="20"/>
              </w:numPr>
              <w:autoSpaceDE w:val="0"/>
              <w:autoSpaceDN w:val="0"/>
              <w:spacing w:after="120" w:line="276" w:lineRule="auto"/>
              <w:jc w:val="both"/>
              <w:rPr>
                <w:rFonts w:ascii="Verdana" w:hAnsi="Verdana" w:cs="Arial"/>
                <w:color w:val="000000" w:themeColor="text1"/>
                <w:lang w:val="es-ES"/>
              </w:rPr>
            </w:pPr>
            <w:r w:rsidRPr="00C81FB1">
              <w:rPr>
                <w:rFonts w:ascii="Verdana" w:hAnsi="Verdana" w:cs="Arial"/>
                <w:color w:val="000000" w:themeColor="text1"/>
                <w:lang w:val="es-ES"/>
              </w:rPr>
              <w:t>DÁVILA VINUEZA, Luis Guillermo. Régimen Jurídico de la Contratación Estatal. 3° ed. Bogotá: Legis, 2016. p. 439.</w:t>
            </w:r>
          </w:p>
          <w:p w14:paraId="23984907" w14:textId="77777777" w:rsidR="00014F35" w:rsidRPr="002B1BF1" w:rsidRDefault="00014F35" w:rsidP="00014F35">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C81FB1">
              <w:rPr>
                <w:rFonts w:ascii="Verdana" w:hAnsi="Verdana" w:cs="Arial"/>
                <w:color w:val="000000" w:themeColor="text1"/>
                <w:lang w:val="es-ES"/>
              </w:rPr>
              <w:t>REMOLINA, Nelson y PEÑA, Lisandro De los títulos valores y de los valores en el contexto digital. Bogotá: Temis, 2011.</w:t>
            </w:r>
          </w:p>
        </w:tc>
      </w:tr>
    </w:tbl>
    <w:p w14:paraId="5378262A" w14:textId="77777777" w:rsidR="00014F35" w:rsidRPr="00B31C7B" w:rsidRDefault="00014F35" w:rsidP="00014F35">
      <w:pPr>
        <w:spacing w:after="0" w:line="276" w:lineRule="auto"/>
        <w:ind w:right="709"/>
        <w:jc w:val="both"/>
        <w:rPr>
          <w:rFonts w:ascii="Verdana" w:hAnsi="Verdana" w:cs="Arial"/>
          <w:color w:val="000000" w:themeColor="text1"/>
          <w:lang w:val="es-ES_tradnl"/>
        </w:rPr>
      </w:pPr>
    </w:p>
    <w:p w14:paraId="435D04DB" w14:textId="77777777" w:rsidR="00014F35" w:rsidRPr="00B31C7B" w:rsidRDefault="00014F35" w:rsidP="00014F35">
      <w:pPr>
        <w:numPr>
          <w:ilvl w:val="0"/>
          <w:numId w:val="19"/>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Doctrina de la Agencia Nacional de Contratación Pública:</w:t>
      </w:r>
    </w:p>
    <w:p w14:paraId="6290191A" w14:textId="77777777" w:rsidR="00014F35" w:rsidRPr="00B31C7B" w:rsidRDefault="00014F35" w:rsidP="00014F35">
      <w:pPr>
        <w:widowControl w:val="0"/>
        <w:autoSpaceDE w:val="0"/>
        <w:autoSpaceDN w:val="0"/>
        <w:spacing w:after="0" w:line="276" w:lineRule="auto"/>
        <w:jc w:val="both"/>
        <w:rPr>
          <w:rFonts w:ascii="Verdana" w:hAnsi="Verdana" w:cs="Arial"/>
          <w:bCs/>
          <w:shd w:val="clear" w:color="auto" w:fill="FFFFFF"/>
        </w:rPr>
      </w:pPr>
    </w:p>
    <w:p w14:paraId="4D1FE897" w14:textId="77777777" w:rsidR="00014F35" w:rsidRPr="008664CA" w:rsidRDefault="00014F35" w:rsidP="00014F35">
      <w:pPr>
        <w:widowControl w:val="0"/>
        <w:autoSpaceDE w:val="0"/>
        <w:autoSpaceDN w:val="0"/>
        <w:spacing w:after="0" w:line="276" w:lineRule="auto"/>
        <w:jc w:val="both"/>
        <w:rPr>
          <w:rFonts w:ascii="Verdana" w:hAnsi="Verdana" w:cs="Arial"/>
          <w:bCs/>
          <w:shd w:val="clear" w:color="auto" w:fill="FFFFFF"/>
          <w:lang w:val="es-ES_tradnl"/>
        </w:rPr>
      </w:pPr>
      <w:r w:rsidRPr="00B31C7B">
        <w:rPr>
          <w:rFonts w:ascii="Verdana" w:hAnsi="Verdana" w:cs="Arial"/>
          <w:bCs/>
          <w:shd w:val="clear" w:color="auto" w:fill="FFFFFF"/>
        </w:rPr>
        <w:t>La Agencia Nacional de Contratación Pública – Colombia Compra Eficiente, se ha pronunciado en</w:t>
      </w:r>
      <w:r>
        <w:rPr>
          <w:rFonts w:ascii="Verdana" w:hAnsi="Verdana" w:cs="Arial"/>
          <w:bCs/>
          <w:shd w:val="clear" w:color="auto" w:fill="FFFFFF"/>
        </w:rPr>
        <w:t xml:space="preserve"> diferentes conceptos sobre la firma en los procesos de contratación pública:</w:t>
      </w:r>
      <w:r w:rsidRPr="008664CA">
        <w:rPr>
          <w:rFonts w:ascii="Verdana" w:hAnsi="Verdana" w:cs="Arial"/>
          <w:color w:val="000000" w:themeColor="text1"/>
          <w:shd w:val="clear" w:color="auto" w:fill="FFFFFF"/>
          <w:lang w:val="es-ES_tradnl"/>
        </w:rPr>
        <w:t xml:space="preserve"> </w:t>
      </w:r>
      <w:r w:rsidRPr="008664CA">
        <w:rPr>
          <w:rFonts w:ascii="Verdana" w:hAnsi="Verdana" w:cs="Arial"/>
          <w:bCs/>
          <w:shd w:val="clear" w:color="auto" w:fill="FFFFFF"/>
          <w:lang w:val="es-ES_tradnl"/>
        </w:rPr>
        <w:t xml:space="preserve">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w:t>
      </w:r>
      <w:r>
        <w:rPr>
          <w:rFonts w:ascii="Verdana" w:hAnsi="Verdana" w:cs="Arial"/>
          <w:bCs/>
          <w:shd w:val="clear" w:color="auto" w:fill="FFFFFF"/>
          <w:lang w:val="es-ES_tradnl"/>
        </w:rPr>
        <w:t xml:space="preserve">C-655 del 07 de octubre de 2022, C-921 del 3 de enero de 2025, entre otros. En cuanto a los conceptos sobre el informe de evaluación, se destacan los conceptos: C- 522 del 1 de octubre de 2021, C-753 del 6 de febrero de 2022, C-003 del 13 de febrero de 2025, así como nuevas consideraciones sobre la naturaleza y el alcance </w:t>
      </w:r>
      <w:bookmarkStart w:id="5" w:name="_GoBack"/>
      <w:bookmarkEnd w:id="5"/>
      <w:r>
        <w:rPr>
          <w:rFonts w:ascii="Verdana" w:hAnsi="Verdana" w:cs="Arial"/>
          <w:bCs/>
          <w:shd w:val="clear" w:color="auto" w:fill="FFFFFF"/>
          <w:lang w:val="es-ES_tradnl"/>
        </w:rPr>
        <w:t xml:space="preserve">de los informes de evaluación. </w:t>
      </w:r>
      <w:r w:rsidRPr="00B31C7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C2AC325" w14:textId="77777777" w:rsidR="00014F35" w:rsidRPr="00B31C7B" w:rsidRDefault="00744F76" w:rsidP="00014F35">
      <w:pPr>
        <w:spacing w:after="0" w:line="256" w:lineRule="auto"/>
        <w:jc w:val="both"/>
        <w:rPr>
          <w:rFonts w:ascii="Verdana" w:eastAsia="Calibri" w:hAnsi="Verdana" w:cs="Times New Roman"/>
        </w:rPr>
      </w:pPr>
      <w:hyperlink r:id="rId13" w:history="1">
        <w:r w:rsidR="00014F35" w:rsidRPr="00B31C7B">
          <w:rPr>
            <w:rFonts w:ascii="Verdana" w:eastAsia="Calibri" w:hAnsi="Verdana" w:cs="Times New Roman"/>
            <w:color w:val="0000FF"/>
            <w:u w:val="single"/>
            <w:lang w:val="es-ES"/>
          </w:rPr>
          <w:t>https://relatoria.colombiacompra.gov.co/busqueda/conceptos</w:t>
        </w:r>
      </w:hyperlink>
      <w:r w:rsidR="00014F35" w:rsidRPr="00B31C7B">
        <w:rPr>
          <w:rFonts w:ascii="Verdana" w:eastAsia="Calibri" w:hAnsi="Verdana" w:cs="Times New Roman"/>
        </w:rPr>
        <w:t xml:space="preserve">. </w:t>
      </w:r>
    </w:p>
    <w:p w14:paraId="6F8D378F" w14:textId="77777777" w:rsidR="00014F35" w:rsidRPr="00B31C7B" w:rsidRDefault="00014F35" w:rsidP="0085509C">
      <w:pPr>
        <w:spacing w:after="0" w:line="276" w:lineRule="auto"/>
        <w:jc w:val="both"/>
        <w:rPr>
          <w:rFonts w:ascii="Verdana" w:eastAsia="Calibri" w:hAnsi="Verdana" w:cs="Times New Roman"/>
          <w:lang w:val="es-ES"/>
        </w:rPr>
      </w:pPr>
    </w:p>
    <w:p w14:paraId="598DE3C6" w14:textId="77777777" w:rsidR="0085509C" w:rsidRPr="00C40177" w:rsidRDefault="0085509C" w:rsidP="0085509C">
      <w:pPr>
        <w:spacing w:after="0" w:line="276" w:lineRule="auto"/>
        <w:jc w:val="both"/>
        <w:rPr>
          <w:rFonts w:ascii="Verdana" w:eastAsia="Calibri" w:hAnsi="Verdana" w:cs="Arial"/>
          <w:color w:val="000000"/>
          <w:shd w:val="clear" w:color="auto" w:fill="FFFFFF"/>
        </w:rPr>
      </w:pPr>
      <w:r w:rsidRPr="00C40177">
        <w:rPr>
          <w:rFonts w:ascii="Verdana" w:eastAsia="Calibri" w:hAnsi="Verdana" w:cs="Arial"/>
          <w:color w:val="000000"/>
          <w:shd w:val="clear" w:color="auto" w:fill="FFFFFF"/>
        </w:rPr>
        <w:t>Te informamos que ya se encuentra disponible la </w:t>
      </w:r>
      <w:r w:rsidRPr="00C40177">
        <w:rPr>
          <w:rFonts w:ascii="Verdana" w:eastAsia="Calibri" w:hAnsi="Verdana" w:cs="Arial"/>
          <w:b/>
          <w:bCs/>
          <w:color w:val="000000"/>
          <w:shd w:val="clear" w:color="auto" w:fill="FFFFFF"/>
        </w:rPr>
        <w:t xml:space="preserve">Cartilla para incentivar y fortalecer el acceso a las compras y contratación pública de los pueblos </w:t>
      </w:r>
      <w:r w:rsidRPr="00C40177">
        <w:rPr>
          <w:rFonts w:ascii="Verdana" w:eastAsia="Calibri" w:hAnsi="Verdana" w:cs="Arial"/>
          <w:b/>
          <w:bCs/>
          <w:color w:val="000000"/>
          <w:shd w:val="clear" w:color="auto" w:fill="FFFFFF"/>
        </w:rPr>
        <w:lastRenderedPageBreak/>
        <w:t>y comunidades étnicas en Colombia.</w:t>
      </w:r>
      <w:r w:rsidRPr="00C40177">
        <w:rPr>
          <w:rFonts w:ascii="Verdana" w:eastAsia="Calibri" w:hAnsi="Verdana" w:cs="Arial"/>
          <w:color w:val="000000"/>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C40177">
          <w:rPr>
            <w:rFonts w:ascii="Verdana" w:eastAsia="Calibri" w:hAnsi="Verdana" w:cs="Arial"/>
            <w:color w:val="0000FF"/>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33680ADB" w14:textId="77777777" w:rsidR="0085509C" w:rsidRPr="00C40177" w:rsidRDefault="0085509C" w:rsidP="0085509C">
      <w:pPr>
        <w:spacing w:after="0" w:line="276" w:lineRule="auto"/>
        <w:jc w:val="both"/>
        <w:rPr>
          <w:rFonts w:ascii="Verdana" w:eastAsia="Calibri" w:hAnsi="Verdana" w:cs="Arial"/>
          <w:color w:val="000000"/>
          <w:shd w:val="clear" w:color="auto" w:fill="FFFFFF"/>
        </w:rPr>
      </w:pPr>
    </w:p>
    <w:p w14:paraId="39754AED" w14:textId="77777777" w:rsidR="0085509C" w:rsidRPr="00C40177" w:rsidRDefault="0085509C" w:rsidP="0085509C">
      <w:pPr>
        <w:spacing w:after="0" w:line="276" w:lineRule="auto"/>
        <w:jc w:val="both"/>
        <w:rPr>
          <w:rFonts w:ascii="Verdana" w:eastAsia="Calibri" w:hAnsi="Verdana" w:cs="Arial"/>
          <w:color w:val="000000"/>
          <w:shd w:val="clear" w:color="auto" w:fill="FFFFFF"/>
        </w:rPr>
      </w:pPr>
      <w:r w:rsidRPr="00C40177">
        <w:rPr>
          <w:rFonts w:ascii="Verdana" w:eastAsia="Calibri" w:hAnsi="Verdana" w:cs="Arial"/>
          <w:color w:val="000000"/>
          <w:shd w:val="clear" w:color="auto" w:fill="FFFFFF"/>
        </w:rPr>
        <w:t>De otra parte, te informamos que, con el objetivo de garantizar un conocimiento adecuado de las </w:t>
      </w:r>
      <w:r w:rsidRPr="00C40177">
        <w:rPr>
          <w:rFonts w:ascii="Verdana" w:eastAsia="Calibri" w:hAnsi="Verdana" w:cs="Arial"/>
          <w:b/>
          <w:bCs/>
          <w:color w:val="000000"/>
          <w:shd w:val="clear" w:color="auto" w:fill="FFFFFF"/>
        </w:rPr>
        <w:t>modificaciones y/o actualizaciones realizadas a los Documentos Tipo</w:t>
      </w:r>
      <w:r w:rsidRPr="00C40177">
        <w:rPr>
          <w:rFonts w:ascii="Verdana" w:eastAsia="Calibri" w:hAnsi="Verdana" w:cs="Arial"/>
          <w:color w:val="000000"/>
          <w:shd w:val="clear" w:color="auto" w:fill="FFFFFF"/>
        </w:rPr>
        <w:t>, hemos programado una serie de </w:t>
      </w:r>
      <w:r w:rsidRPr="00C40177">
        <w:rPr>
          <w:rFonts w:ascii="Verdana" w:eastAsia="Calibri" w:hAnsi="Verdana" w:cs="Arial"/>
          <w:b/>
          <w:bCs/>
          <w:color w:val="000000"/>
          <w:shd w:val="clear" w:color="auto" w:fill="FFFFFF"/>
        </w:rPr>
        <w:t>capacitaciones </w:t>
      </w:r>
      <w:r w:rsidRPr="00C40177">
        <w:rPr>
          <w:rFonts w:ascii="Verdana" w:eastAsia="Calibri" w:hAnsi="Verdana" w:cs="Arial"/>
          <w:color w:val="000000"/>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C40177">
          <w:rPr>
            <w:rFonts w:ascii="Verdana" w:eastAsia="Calibri" w:hAnsi="Verdana" w:cs="Arial"/>
            <w:color w:val="0000FF"/>
            <w:u w:val="single"/>
            <w:shd w:val="clear" w:color="auto" w:fill="FFFFFF"/>
          </w:rPr>
          <w:t>Calendario | Colombia Compra Eficiente | Agencia Nacional de Contratación Pública</w:t>
        </w:r>
      </w:hyperlink>
    </w:p>
    <w:p w14:paraId="63C837FE" w14:textId="77777777" w:rsidR="0085509C" w:rsidRPr="00C40177" w:rsidRDefault="0085509C" w:rsidP="0085509C">
      <w:pPr>
        <w:spacing w:after="0" w:line="276" w:lineRule="auto"/>
        <w:jc w:val="both"/>
        <w:rPr>
          <w:rFonts w:ascii="Verdana" w:eastAsia="Calibri" w:hAnsi="Verdana" w:cs="Arial"/>
          <w:color w:val="000000"/>
          <w:shd w:val="clear" w:color="auto" w:fill="FFFFFF"/>
        </w:rPr>
      </w:pPr>
    </w:p>
    <w:p w14:paraId="1318F992" w14:textId="77777777" w:rsidR="0085509C" w:rsidRPr="00C40177" w:rsidRDefault="0085509C" w:rsidP="0085509C">
      <w:pPr>
        <w:spacing w:after="0" w:line="276" w:lineRule="auto"/>
        <w:jc w:val="both"/>
        <w:rPr>
          <w:rFonts w:ascii="Verdana" w:eastAsia="Calibri" w:hAnsi="Verdana" w:cs="Arial"/>
          <w:color w:val="000000"/>
          <w:shd w:val="clear" w:color="auto" w:fill="FFFFFF"/>
        </w:rPr>
      </w:pPr>
      <w:r w:rsidRPr="00C40177">
        <w:rPr>
          <w:rFonts w:ascii="Verdana" w:eastAsia="Calibri" w:hAnsi="Verdana" w:cs="Arial"/>
          <w:color w:val="000000"/>
          <w:shd w:val="clear" w:color="auto" w:fill="FFFFFF"/>
        </w:rPr>
        <w:t>También, te contamos que ya publicamos </w:t>
      </w:r>
      <w:r w:rsidRPr="00C40177">
        <w:rPr>
          <w:rFonts w:ascii="Verdana" w:eastAsia="Calibri" w:hAnsi="Verdana" w:cs="Arial"/>
          <w:b/>
          <w:bCs/>
          <w:color w:val="000000"/>
          <w:shd w:val="clear" w:color="auto" w:fill="FFFFFF"/>
        </w:rPr>
        <w:t>la nueva Guía de Contratación Pública Sostenible y Socialmente Responsable</w:t>
      </w:r>
      <w:r w:rsidRPr="00C40177">
        <w:rPr>
          <w:rFonts w:ascii="Verdana" w:eastAsia="Calibri" w:hAnsi="Verdana" w:cs="Arial"/>
          <w:color w:val="000000"/>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C40177">
          <w:rPr>
            <w:rFonts w:ascii="Verdana" w:eastAsia="Calibri" w:hAnsi="Verdana" w:cs="Arial"/>
            <w:color w:val="0000FF"/>
            <w:u w:val="single"/>
            <w:shd w:val="clear" w:color="auto" w:fill="FFFFFF"/>
          </w:rPr>
          <w:t>Guía de Contratación Pública Sostenible y Socialmente Responsable | Colombia Compra Eficiente | Agencia Nacional de Contratación Pública</w:t>
        </w:r>
      </w:hyperlink>
      <w:r w:rsidRPr="00C40177">
        <w:rPr>
          <w:rFonts w:ascii="Verdana" w:eastAsia="Calibri" w:hAnsi="Verdana" w:cs="Arial"/>
          <w:color w:val="000000"/>
          <w:shd w:val="clear" w:color="auto" w:fill="FFFFFF"/>
        </w:rPr>
        <w:t>."</w:t>
      </w:r>
    </w:p>
    <w:p w14:paraId="402B17E7" w14:textId="77777777" w:rsidR="0085509C" w:rsidRPr="00C40177" w:rsidRDefault="0085509C" w:rsidP="0085509C">
      <w:pPr>
        <w:spacing w:after="0" w:line="240" w:lineRule="auto"/>
        <w:jc w:val="both"/>
        <w:rPr>
          <w:rFonts w:ascii="Verdana" w:eastAsia="Calibri" w:hAnsi="Verdana" w:cs="Arial"/>
          <w:color w:val="000000"/>
          <w:shd w:val="clear" w:color="auto" w:fill="FFFFFF"/>
        </w:rPr>
      </w:pPr>
    </w:p>
    <w:p w14:paraId="17994FFA" w14:textId="5040C5CB" w:rsidR="00014F35" w:rsidRPr="00B31C7B" w:rsidRDefault="0085509C" w:rsidP="0085509C">
      <w:pPr>
        <w:spacing w:after="0"/>
        <w:jc w:val="both"/>
        <w:rPr>
          <w:rFonts w:ascii="Verdana" w:hAnsi="Verdana"/>
        </w:rPr>
      </w:pPr>
      <w:r w:rsidRPr="00C40177">
        <w:rPr>
          <w:rFonts w:ascii="Verdana" w:eastAsia="Calibri" w:hAnsi="Verdana" w:cs="Times New Roman"/>
        </w:rPr>
        <w:t>Por último, aprove</w:t>
      </w:r>
      <w:r w:rsidR="00014F35" w:rsidRPr="00B31C7B">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F9DFA5E" w14:textId="77777777" w:rsidR="00014F35" w:rsidRPr="00B31C7B" w:rsidRDefault="00014F35" w:rsidP="00014F35">
      <w:pPr>
        <w:spacing w:after="0" w:line="240" w:lineRule="auto"/>
        <w:jc w:val="both"/>
        <w:rPr>
          <w:rFonts w:ascii="Verdana" w:hAnsi="Verdana"/>
        </w:rPr>
      </w:pPr>
    </w:p>
    <w:p w14:paraId="1A9ACC1B" w14:textId="77777777" w:rsidR="00014F35" w:rsidRPr="00B31C7B" w:rsidRDefault="00014F35" w:rsidP="00014F35">
      <w:pPr>
        <w:numPr>
          <w:ilvl w:val="0"/>
          <w:numId w:val="15"/>
        </w:numPr>
        <w:spacing w:after="0" w:line="240" w:lineRule="auto"/>
        <w:contextualSpacing/>
        <w:jc w:val="both"/>
        <w:rPr>
          <w:rFonts w:ascii="Verdana" w:hAnsi="Verdana"/>
          <w:lang w:val="es-ES"/>
        </w:rPr>
      </w:pPr>
      <w:r w:rsidRPr="00B31C7B">
        <w:rPr>
          <w:rFonts w:ascii="Verdana" w:hAnsi="Verdana"/>
          <w:lang w:val="es-ES"/>
        </w:rPr>
        <w:t>Línea nacional gratuita o servicio a la ciudadanía: 01800 0520808</w:t>
      </w:r>
    </w:p>
    <w:p w14:paraId="3F94E746" w14:textId="77777777" w:rsidR="00014F35" w:rsidRPr="00B31C7B" w:rsidRDefault="00014F35" w:rsidP="00014F35">
      <w:pPr>
        <w:numPr>
          <w:ilvl w:val="0"/>
          <w:numId w:val="15"/>
        </w:numPr>
        <w:spacing w:after="0" w:line="240" w:lineRule="auto"/>
        <w:contextualSpacing/>
        <w:jc w:val="both"/>
        <w:rPr>
          <w:rFonts w:ascii="Verdana" w:hAnsi="Verdana"/>
          <w:lang w:val="es-ES"/>
        </w:rPr>
      </w:pPr>
      <w:r w:rsidRPr="00B31C7B">
        <w:rPr>
          <w:rFonts w:ascii="Verdana" w:hAnsi="Verdana"/>
          <w:lang w:val="es-ES"/>
        </w:rPr>
        <w:t>Línea en Bogotá (Mesa de servicio): +57 601 7456788</w:t>
      </w:r>
    </w:p>
    <w:p w14:paraId="4E793C80" w14:textId="77777777" w:rsidR="00014F35" w:rsidRPr="00B31C7B" w:rsidRDefault="00014F35" w:rsidP="00014F35">
      <w:pPr>
        <w:numPr>
          <w:ilvl w:val="0"/>
          <w:numId w:val="15"/>
        </w:numPr>
        <w:spacing w:after="0" w:line="240" w:lineRule="auto"/>
        <w:contextualSpacing/>
        <w:jc w:val="both"/>
        <w:rPr>
          <w:rFonts w:ascii="Verdana" w:hAnsi="Verdana"/>
          <w:lang w:val="es-ES"/>
        </w:rPr>
      </w:pPr>
      <w:r w:rsidRPr="00B31C7B">
        <w:rPr>
          <w:rFonts w:ascii="Verdana" w:hAnsi="Verdana"/>
          <w:lang w:val="es-ES"/>
        </w:rPr>
        <w:t>Línea de servicio y atención al ciudadano: +57 601 7956600</w:t>
      </w:r>
    </w:p>
    <w:p w14:paraId="1C12CCB3" w14:textId="77777777" w:rsidR="00014F35" w:rsidRPr="00B31C7B" w:rsidRDefault="00014F35" w:rsidP="00014F35">
      <w:pPr>
        <w:numPr>
          <w:ilvl w:val="0"/>
          <w:numId w:val="15"/>
        </w:numPr>
        <w:spacing w:after="0" w:line="240" w:lineRule="auto"/>
        <w:contextualSpacing/>
        <w:jc w:val="both"/>
        <w:rPr>
          <w:rFonts w:ascii="Verdana" w:hAnsi="Verdana"/>
          <w:lang w:val="es-ES"/>
        </w:rPr>
      </w:pPr>
      <w:r w:rsidRPr="00B31C7B">
        <w:rPr>
          <w:rFonts w:ascii="Verdana" w:hAnsi="Verdana"/>
          <w:lang w:val="es-ES"/>
        </w:rPr>
        <w:t xml:space="preserve">Página web: </w:t>
      </w:r>
      <w:hyperlink r:id="rId17" w:history="1">
        <w:r w:rsidRPr="00B31C7B">
          <w:rPr>
            <w:rFonts w:ascii="Verdana" w:hAnsi="Verdana"/>
            <w:color w:val="0000FF"/>
            <w:u w:val="single"/>
            <w:lang w:val="es-ES"/>
          </w:rPr>
          <w:t>www.colombiacompra.gov.co</w:t>
        </w:r>
      </w:hyperlink>
    </w:p>
    <w:p w14:paraId="1843AC79" w14:textId="77777777" w:rsidR="00014F35" w:rsidRPr="00B31C7B" w:rsidRDefault="00014F35" w:rsidP="00014F35">
      <w:pPr>
        <w:spacing w:after="0" w:line="240" w:lineRule="auto"/>
        <w:ind w:left="785"/>
        <w:contextualSpacing/>
        <w:jc w:val="both"/>
        <w:rPr>
          <w:rFonts w:ascii="Verdana" w:hAnsi="Verdana"/>
          <w:lang w:val="es-ES"/>
        </w:rPr>
      </w:pPr>
    </w:p>
    <w:p w14:paraId="773C4F55" w14:textId="77777777" w:rsidR="00014F35" w:rsidRPr="00B31C7B" w:rsidRDefault="00014F35" w:rsidP="00014F35">
      <w:pPr>
        <w:spacing w:after="0" w:line="240" w:lineRule="auto"/>
        <w:jc w:val="both"/>
        <w:rPr>
          <w:rFonts w:ascii="Verdana" w:hAnsi="Verdana"/>
        </w:rPr>
      </w:pPr>
      <w:r w:rsidRPr="00B31C7B">
        <w:rPr>
          <w:rFonts w:ascii="Verdana" w:hAnsi="Verdana"/>
        </w:rPr>
        <w:t xml:space="preserve">Por último, lo invitamos a seguirnos en las redes sociales en las cuales se difunde información institucional: </w:t>
      </w:r>
    </w:p>
    <w:p w14:paraId="5FBC649E" w14:textId="77777777" w:rsidR="00014F35" w:rsidRPr="00B31C7B" w:rsidRDefault="00014F35" w:rsidP="00014F35">
      <w:pPr>
        <w:spacing w:after="0" w:line="240" w:lineRule="auto"/>
        <w:jc w:val="both"/>
        <w:rPr>
          <w:rFonts w:ascii="Verdana" w:hAnsi="Verdana"/>
        </w:rPr>
      </w:pPr>
    </w:p>
    <w:p w14:paraId="596CDB3C" w14:textId="77777777" w:rsidR="00014F35" w:rsidRPr="00B31C7B" w:rsidRDefault="00014F35" w:rsidP="00014F35">
      <w:pPr>
        <w:spacing w:after="0" w:line="240" w:lineRule="auto"/>
        <w:jc w:val="both"/>
        <w:rPr>
          <w:rFonts w:ascii="Verdana" w:hAnsi="Verdana"/>
        </w:rPr>
      </w:pPr>
      <w:r w:rsidRPr="00B31C7B">
        <w:rPr>
          <w:rFonts w:ascii="Verdana" w:hAnsi="Verdana"/>
        </w:rPr>
        <w:t xml:space="preserve">Twitter: </w:t>
      </w:r>
      <w:r w:rsidRPr="00B31C7B">
        <w:rPr>
          <w:rFonts w:ascii="Verdana" w:hAnsi="Verdana"/>
          <w:color w:val="0000FF"/>
          <w:u w:val="single"/>
        </w:rPr>
        <w:t>@colombiacompra</w:t>
      </w:r>
      <w:r w:rsidRPr="00B31C7B">
        <w:rPr>
          <w:rFonts w:ascii="Verdana" w:hAnsi="Verdana"/>
        </w:rPr>
        <w:t xml:space="preserve"> </w:t>
      </w:r>
    </w:p>
    <w:p w14:paraId="402384D5" w14:textId="77777777" w:rsidR="00014F35" w:rsidRPr="00B31C7B" w:rsidRDefault="00014F35" w:rsidP="00014F35">
      <w:pPr>
        <w:spacing w:after="0" w:line="240" w:lineRule="auto"/>
        <w:jc w:val="both"/>
        <w:rPr>
          <w:rFonts w:ascii="Verdana" w:hAnsi="Verdana"/>
        </w:rPr>
      </w:pPr>
      <w:r w:rsidRPr="00B31C7B">
        <w:rPr>
          <w:rFonts w:ascii="Verdana" w:hAnsi="Verdana"/>
        </w:rPr>
        <w:t xml:space="preserve">Facebook: </w:t>
      </w:r>
      <w:r w:rsidRPr="00B31C7B">
        <w:rPr>
          <w:rFonts w:ascii="Verdana" w:hAnsi="Verdana"/>
          <w:color w:val="0000FF"/>
          <w:u w:val="single"/>
        </w:rPr>
        <w:t>ColombiaCompraEficiente</w:t>
      </w:r>
    </w:p>
    <w:p w14:paraId="2DABB8C5" w14:textId="77777777" w:rsidR="00014F35" w:rsidRPr="00B31C7B" w:rsidRDefault="00014F35" w:rsidP="00014F35">
      <w:pPr>
        <w:spacing w:after="0" w:line="240" w:lineRule="auto"/>
        <w:jc w:val="both"/>
        <w:rPr>
          <w:rFonts w:ascii="Verdana" w:hAnsi="Verdana"/>
        </w:rPr>
      </w:pPr>
      <w:r w:rsidRPr="00B31C7B">
        <w:rPr>
          <w:rFonts w:ascii="Verdana" w:hAnsi="Verdana"/>
        </w:rPr>
        <w:t xml:space="preserve">LinkedIn: </w:t>
      </w:r>
      <w:r w:rsidRPr="00B31C7B">
        <w:rPr>
          <w:rFonts w:ascii="Verdana" w:hAnsi="Verdana"/>
          <w:color w:val="0000FF"/>
          <w:u w:val="single"/>
        </w:rPr>
        <w:t>Agencia Nacional de Contratación Pública - Colombia Compra Eficiente</w:t>
      </w:r>
      <w:r w:rsidRPr="00B31C7B">
        <w:rPr>
          <w:rFonts w:ascii="Verdana" w:hAnsi="Verdana"/>
        </w:rPr>
        <w:t xml:space="preserve"> Instagram: </w:t>
      </w:r>
      <w:r w:rsidRPr="00B31C7B">
        <w:rPr>
          <w:rFonts w:ascii="Verdana" w:hAnsi="Verdana"/>
          <w:color w:val="0000FF"/>
          <w:u w:val="single"/>
        </w:rPr>
        <w:t>@colombiacompraeficiente_cce</w:t>
      </w:r>
    </w:p>
    <w:p w14:paraId="2FDC2BCB" w14:textId="77777777" w:rsidR="00014F35" w:rsidRPr="00B31C7B" w:rsidRDefault="00014F35" w:rsidP="00014F35">
      <w:pPr>
        <w:spacing w:after="0" w:line="240" w:lineRule="auto"/>
        <w:jc w:val="both"/>
        <w:rPr>
          <w:rFonts w:ascii="Verdana" w:hAnsi="Verdana"/>
        </w:rPr>
      </w:pPr>
    </w:p>
    <w:p w14:paraId="2C88D680" w14:textId="77777777" w:rsidR="00014F35" w:rsidRPr="00B31C7B" w:rsidRDefault="00014F35" w:rsidP="00014F35">
      <w:pPr>
        <w:spacing w:after="0" w:line="256" w:lineRule="auto"/>
        <w:jc w:val="both"/>
        <w:rPr>
          <w:rFonts w:ascii="Verdana" w:eastAsia="Calibri" w:hAnsi="Verdana" w:cs="Times New Roman"/>
          <w:bCs/>
          <w:lang w:val="es-ES_tradnl"/>
        </w:rPr>
      </w:pPr>
      <w:r w:rsidRPr="00B31C7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899B87B" w14:textId="77777777" w:rsidR="00014F35" w:rsidRPr="00B31C7B" w:rsidRDefault="00014F35" w:rsidP="00014F35">
      <w:pPr>
        <w:spacing w:after="0" w:line="256" w:lineRule="auto"/>
        <w:jc w:val="both"/>
        <w:rPr>
          <w:rFonts w:ascii="Verdana" w:eastAsia="Calibri" w:hAnsi="Verdana" w:cs="Times New Roman"/>
        </w:rPr>
      </w:pPr>
    </w:p>
    <w:p w14:paraId="5C470134" w14:textId="77777777" w:rsidR="00014F35" w:rsidRDefault="00014F35" w:rsidP="00014F35">
      <w:pPr>
        <w:spacing w:after="0" w:line="256" w:lineRule="auto"/>
        <w:jc w:val="both"/>
        <w:rPr>
          <w:rFonts w:ascii="Verdana" w:eastAsia="Calibri" w:hAnsi="Verdana" w:cs="Times New Roman"/>
        </w:rPr>
      </w:pPr>
      <w:r w:rsidRPr="00B31C7B">
        <w:rPr>
          <w:rFonts w:ascii="Verdana" w:eastAsia="Calibri" w:hAnsi="Verdana" w:cs="Times New Roman"/>
        </w:rPr>
        <w:t>Atentamente,</w:t>
      </w:r>
    </w:p>
    <w:p w14:paraId="1FB11DCA" w14:textId="231AAD38" w:rsidR="00014F35" w:rsidRDefault="00014F35" w:rsidP="00FE7D2F">
      <w:pPr>
        <w:spacing w:after="0" w:line="276" w:lineRule="auto"/>
        <w:rPr>
          <w:noProof/>
          <w:lang w:val="en-US"/>
        </w:rPr>
      </w:pPr>
    </w:p>
    <w:p w14:paraId="74A470C8" w14:textId="2E2F713B" w:rsidR="00FE7D2F" w:rsidRPr="00FE7D2F" w:rsidRDefault="00FE7D2F" w:rsidP="00FE7D2F">
      <w:pPr>
        <w:spacing w:after="0" w:line="276" w:lineRule="auto"/>
        <w:jc w:val="center"/>
        <w:rPr>
          <w:noProof/>
          <w:lang w:val="en-US"/>
        </w:rPr>
      </w:pPr>
      <w:r w:rsidRPr="002C3AD6">
        <w:rPr>
          <w:rFonts w:ascii="Century Gothic" w:hAnsi="Century Gothic"/>
          <w:noProof/>
          <w:lang w:val="en-US"/>
        </w:rPr>
        <w:drawing>
          <wp:inline distT="0" distB="0" distL="0" distR="0" wp14:anchorId="72F19462" wp14:editId="38D673A8">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312722" cy="122972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14F35" w:rsidRPr="00D27231" w14:paraId="2EEE54C5" w14:textId="77777777" w:rsidTr="00DF0533">
        <w:trPr>
          <w:trHeight w:val="409"/>
        </w:trPr>
        <w:tc>
          <w:tcPr>
            <w:tcW w:w="817" w:type="dxa"/>
            <w:tcBorders>
              <w:top w:val="nil"/>
              <w:left w:val="nil"/>
              <w:bottom w:val="nil"/>
              <w:right w:val="nil"/>
            </w:tcBorders>
            <w:vAlign w:val="center"/>
            <w:hideMark/>
          </w:tcPr>
          <w:p w14:paraId="68D09975"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59C1DDC"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José Luis Sánchez Cardona</w:t>
            </w:r>
          </w:p>
          <w:p w14:paraId="71323A2A"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Contratista de la Subdirección de Gestión Contractual</w:t>
            </w:r>
          </w:p>
        </w:tc>
      </w:tr>
      <w:tr w:rsidR="00014F35" w:rsidRPr="00D27231" w14:paraId="54B3CF6F" w14:textId="77777777" w:rsidTr="00DF0533">
        <w:trPr>
          <w:trHeight w:val="409"/>
        </w:trPr>
        <w:tc>
          <w:tcPr>
            <w:tcW w:w="817" w:type="dxa"/>
            <w:tcBorders>
              <w:top w:val="nil"/>
              <w:left w:val="nil"/>
              <w:bottom w:val="nil"/>
              <w:right w:val="nil"/>
            </w:tcBorders>
            <w:vAlign w:val="center"/>
            <w:hideMark/>
          </w:tcPr>
          <w:p w14:paraId="0836D89F"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20F114"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Alejandro Sarmiento Cantillo</w:t>
            </w:r>
          </w:p>
          <w:p w14:paraId="79CD5145"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Gestor T1-15 de la Subdirección de Gestión Contractual </w:t>
            </w:r>
          </w:p>
        </w:tc>
      </w:tr>
      <w:tr w:rsidR="00014F35" w:rsidRPr="00D27231" w14:paraId="19CCA803" w14:textId="77777777" w:rsidTr="00DF0533">
        <w:trPr>
          <w:trHeight w:val="389"/>
        </w:trPr>
        <w:tc>
          <w:tcPr>
            <w:tcW w:w="817" w:type="dxa"/>
            <w:tcBorders>
              <w:top w:val="nil"/>
              <w:left w:val="nil"/>
              <w:bottom w:val="nil"/>
              <w:right w:val="nil"/>
            </w:tcBorders>
            <w:vAlign w:val="center"/>
            <w:hideMark/>
          </w:tcPr>
          <w:p w14:paraId="1129A979"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65739C3"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Carolina Quintero Gacharná</w:t>
            </w:r>
          </w:p>
          <w:p w14:paraId="5B4FA729" w14:textId="77777777" w:rsidR="00014F35" w:rsidRPr="00D27231" w:rsidRDefault="00014F35" w:rsidP="00DF0533">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Subdirectora de Gestión Contractual ANCP – CCE</w:t>
            </w:r>
          </w:p>
        </w:tc>
      </w:tr>
      <w:bookmarkEnd w:id="0"/>
    </w:tbl>
    <w:p w14:paraId="63E826D0" w14:textId="2C94B9B6" w:rsidR="0057702A" w:rsidRPr="00014F35" w:rsidRDefault="0057702A" w:rsidP="00014F35"/>
    <w:sectPr w:rsidR="0057702A" w:rsidRPr="00014F3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8C029" w14:textId="77777777" w:rsidR="00744F76" w:rsidRDefault="00744F76" w:rsidP="004A1847">
      <w:pPr>
        <w:spacing w:after="0" w:line="240" w:lineRule="auto"/>
      </w:pPr>
      <w:r>
        <w:separator/>
      </w:r>
    </w:p>
  </w:endnote>
  <w:endnote w:type="continuationSeparator" w:id="0">
    <w:p w14:paraId="1E0EB846" w14:textId="77777777" w:rsidR="00744F76" w:rsidRDefault="00744F76" w:rsidP="004A1847">
      <w:pPr>
        <w:spacing w:after="0" w:line="240" w:lineRule="auto"/>
      </w:pPr>
      <w:r>
        <w:continuationSeparator/>
      </w:r>
    </w:p>
  </w:endnote>
  <w:endnote w:type="continuationNotice" w:id="1">
    <w:p w14:paraId="280AA571" w14:textId="77777777" w:rsidR="00744F76" w:rsidRDefault="00744F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C81FB1" w:rsidRDefault="00C81FB1">
    <w:pPr>
      <w:pStyle w:val="Piedepgina"/>
    </w:pPr>
  </w:p>
  <w:p w14:paraId="594D6D9F" w14:textId="637AD2E5" w:rsidR="00C81FB1" w:rsidRPr="00174B77" w:rsidRDefault="00C81FB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71932">
      <w:rPr>
        <w:rFonts w:ascii="Verdana" w:eastAsia="Times New Roman" w:hAnsi="Verdana" w:cs="Times New Roman"/>
        <w:b/>
        <w:bCs/>
        <w:sz w:val="16"/>
        <w:szCs w:val="16"/>
        <w:lang w:val="es-ES"/>
      </w:rPr>
      <w:t xml:space="preserve">pág. </w:t>
    </w:r>
    <w:r w:rsidRPr="0057193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71932">
      <w:rPr>
        <w:rFonts w:ascii="Verdana" w:eastAsia="Times New Roman" w:hAnsi="Verdana"/>
        <w:b/>
        <w:bCs/>
        <w:sz w:val="16"/>
        <w:szCs w:val="16"/>
      </w:rPr>
      <w:fldChar w:fldCharType="separate"/>
    </w:r>
    <w:r w:rsidR="0085509C" w:rsidRPr="0085509C">
      <w:rPr>
        <w:rFonts w:ascii="Verdana" w:eastAsia="Times New Roman" w:hAnsi="Verdana"/>
        <w:b/>
        <w:bCs/>
        <w:noProof/>
        <w:sz w:val="16"/>
        <w:szCs w:val="16"/>
      </w:rPr>
      <w:t>1</w:t>
    </w:r>
    <w:r w:rsidRPr="0057193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C81FB1" w:rsidRDefault="00C81FB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C81FB1" w:rsidRPr="00E41027" w:rsidRDefault="00C81FB1"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C81FB1" w:rsidRDefault="00C81FB1">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088F0" w14:textId="77777777" w:rsidR="00744F76" w:rsidRDefault="00744F76" w:rsidP="004A1847">
      <w:pPr>
        <w:spacing w:after="0" w:line="240" w:lineRule="auto"/>
      </w:pPr>
      <w:r>
        <w:separator/>
      </w:r>
    </w:p>
  </w:footnote>
  <w:footnote w:type="continuationSeparator" w:id="0">
    <w:p w14:paraId="03D03C07" w14:textId="77777777" w:rsidR="00744F76" w:rsidRDefault="00744F76" w:rsidP="004A1847">
      <w:pPr>
        <w:spacing w:after="0" w:line="240" w:lineRule="auto"/>
      </w:pPr>
      <w:r>
        <w:continuationSeparator/>
      </w:r>
    </w:p>
  </w:footnote>
  <w:footnote w:type="continuationNotice" w:id="1">
    <w:p w14:paraId="7B066E93" w14:textId="77777777" w:rsidR="00744F76" w:rsidRDefault="00744F76">
      <w:pPr>
        <w:spacing w:after="0" w:line="240" w:lineRule="auto"/>
      </w:pPr>
    </w:p>
  </w:footnote>
  <w:footnote w:id="2">
    <w:p w14:paraId="316BEB91" w14:textId="77777777" w:rsidR="00014F35" w:rsidRPr="00FE7D2F" w:rsidRDefault="00014F35" w:rsidP="00014F35">
      <w:pPr>
        <w:pStyle w:val="Textonotapie"/>
        <w:ind w:firstLine="708"/>
        <w:rPr>
          <w:rFonts w:ascii="Verdana" w:hAnsi="Verdana" w:cs="Arial"/>
          <w:sz w:val="16"/>
          <w:szCs w:val="16"/>
          <w:lang w:val="es-ES"/>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lang w:val="es-ES"/>
        </w:rPr>
        <w:t>REMOLINA, Nelson y PEÑA, Lisandro De los títulos valores y de los valores en el contexto digital. Bogotá: Temis, 2011. p. 120.</w:t>
      </w:r>
    </w:p>
    <w:p w14:paraId="1438E222" w14:textId="77777777" w:rsidR="00014F35" w:rsidRPr="00FE7D2F" w:rsidRDefault="00014F35" w:rsidP="00014F35">
      <w:pPr>
        <w:pStyle w:val="Textonotapie"/>
        <w:ind w:firstLine="708"/>
        <w:rPr>
          <w:rFonts w:ascii="Verdana" w:hAnsi="Verdana" w:cs="Arial"/>
          <w:sz w:val="16"/>
          <w:szCs w:val="16"/>
          <w:lang w:val="es-ES"/>
        </w:rPr>
      </w:pPr>
    </w:p>
  </w:footnote>
  <w:footnote w:id="3">
    <w:p w14:paraId="6547FEA0" w14:textId="77777777" w:rsidR="00014F35" w:rsidRPr="00FE7D2F" w:rsidRDefault="00014F35" w:rsidP="00014F35">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16003CE2" w14:textId="77777777" w:rsidR="00014F35" w:rsidRPr="00FE7D2F" w:rsidRDefault="00014F35" w:rsidP="00014F35">
      <w:pPr>
        <w:pStyle w:val="Textonotapie"/>
        <w:ind w:firstLine="708"/>
        <w:jc w:val="both"/>
        <w:rPr>
          <w:rFonts w:ascii="Verdana" w:hAnsi="Verdana" w:cs="Arial"/>
          <w:sz w:val="16"/>
          <w:szCs w:val="16"/>
        </w:rPr>
      </w:pPr>
    </w:p>
  </w:footnote>
  <w:footnote w:id="4">
    <w:p w14:paraId="222C6E23" w14:textId="77777777" w:rsidR="00014F35" w:rsidRPr="00FE7D2F" w:rsidRDefault="00014F35" w:rsidP="00014F35">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Ley 527 de 1999: “</w:t>
      </w:r>
      <w:hyperlink r:id="rId1" w:anchor="vid/438970057/node/30" w:history="1">
        <w:r w:rsidRPr="00FE7D2F">
          <w:rPr>
            <w:rFonts w:ascii="Verdana" w:hAnsi="Verdana" w:cs="Arial"/>
            <w:sz w:val="16"/>
            <w:szCs w:val="16"/>
          </w:rPr>
          <w:t>Artículo 30. Actividades de las entidades de certificación.</w:t>
        </w:r>
      </w:hyperlink>
      <w:r w:rsidRPr="00FE7D2F">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5">
    <w:p w14:paraId="1D8A0BDC" w14:textId="77777777" w:rsidR="00014F35" w:rsidRPr="00FE7D2F" w:rsidRDefault="00014F35" w:rsidP="00014F35">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53F5B3EA" w14:textId="77777777" w:rsidR="00014F35" w:rsidRPr="00FE7D2F" w:rsidRDefault="00014F35" w:rsidP="00014F35">
      <w:pPr>
        <w:pStyle w:val="Textonotapie"/>
        <w:ind w:firstLine="708"/>
        <w:jc w:val="both"/>
        <w:rPr>
          <w:rFonts w:ascii="Verdana" w:hAnsi="Verdana" w:cs="Arial"/>
          <w:sz w:val="16"/>
          <w:szCs w:val="16"/>
        </w:rPr>
      </w:pPr>
      <w:r w:rsidRPr="00FE7D2F">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6">
    <w:p w14:paraId="1403EC4E" w14:textId="77777777" w:rsidR="00014F35" w:rsidRPr="00FE7D2F" w:rsidRDefault="00014F35" w:rsidP="00014F35">
      <w:pPr>
        <w:ind w:firstLine="709"/>
        <w:jc w:val="both"/>
        <w:rPr>
          <w:rFonts w:ascii="Verdana" w:eastAsia="Calibri" w:hAnsi="Verdana" w:cs="Arial"/>
          <w:sz w:val="16"/>
          <w:szCs w:val="16"/>
          <w:lang w:val="es-ES_tradnl"/>
        </w:rPr>
      </w:pPr>
      <w:r w:rsidRPr="00FE7D2F">
        <w:rPr>
          <w:rStyle w:val="Refdenotaalpie"/>
          <w:rFonts w:ascii="Verdana" w:hAnsi="Verdana" w:cs="Arial"/>
          <w:sz w:val="16"/>
          <w:szCs w:val="16"/>
        </w:rPr>
        <w:footnoteRef/>
      </w:r>
      <w:r w:rsidRPr="00FE7D2F">
        <w:rPr>
          <w:rFonts w:ascii="Verdana" w:hAnsi="Verdana" w:cs="Arial"/>
          <w:sz w:val="16"/>
          <w:szCs w:val="16"/>
        </w:rPr>
        <w:t xml:space="preserve"> Corte Suprema de Justicia, Sala de Casación Civil. Magistrado Ponente: Pedro Octavio Munar Cadena. Bogotá, D.C., dieciséis (16) de diciembre de dos mil diez (2010). Ref.: Expediente No.11001 3110 005 2004 01074 01.</w:t>
      </w:r>
    </w:p>
  </w:footnote>
  <w:footnote w:id="7">
    <w:p w14:paraId="758D2D12"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lang w:val="es-ES"/>
        </w:rPr>
      </w:pPr>
      <w:r w:rsidRPr="00FE7D2F">
        <w:rPr>
          <w:rStyle w:val="Refdenotaalpie"/>
          <w:rFonts w:ascii="Verdana" w:hAnsi="Verdana" w:cs="Arial"/>
          <w:sz w:val="16"/>
          <w:szCs w:val="16"/>
        </w:rPr>
        <w:footnoteRef/>
      </w:r>
      <w:r w:rsidRPr="00FE7D2F">
        <w:rPr>
          <w:rFonts w:ascii="Verdana" w:hAnsi="Verdana" w:cs="Arial"/>
          <w:sz w:val="16"/>
          <w:szCs w:val="16"/>
        </w:rPr>
        <w:t xml:space="preserve"> </w:t>
      </w:r>
      <w:r w:rsidRPr="00FE7D2F">
        <w:rPr>
          <w:rFonts w:ascii="Verdana" w:eastAsia="Arial" w:hAnsi="Verdana" w:cs="Arial"/>
          <w:sz w:val="16"/>
          <w:szCs w:val="16"/>
          <w:lang w:val="es-ES"/>
        </w:rPr>
        <w:t>“</w:t>
      </w:r>
      <w:r w:rsidRPr="00FE7D2F">
        <w:rPr>
          <w:rFonts w:ascii="Verdana" w:hAnsi="Verdana" w:cs="Arial"/>
          <w:bCs/>
          <w:sz w:val="16"/>
          <w:szCs w:val="16"/>
        </w:rPr>
        <w:t>ARTÍCULO 244. DOCUMENTO AUTÉNTICO.</w:t>
      </w:r>
      <w:r w:rsidRPr="00FE7D2F">
        <w:rPr>
          <w:rFonts w:ascii="Verdana" w:hAnsi="Verdana" w:cs="Arial"/>
          <w:sz w:val="16"/>
          <w:szCs w:val="16"/>
        </w:rPr>
        <w:t> Es auténtico un documento cuando existe certeza sobre la persona que lo ha elaborado, manuscrito, firmado, o cuando exista certeza respecto de la persona a quien se atribuya el documento.</w:t>
      </w:r>
    </w:p>
    <w:p w14:paraId="44070958"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rPr>
        <w:t>Los documentos públicos y los privados emanados de las partes o de terceros, en original o en copia, elaborados, firmados o manuscritos, y los que contengan la reproducción de la voz o de la imagen, se presumen auténticos, mientras no hayan sido tachados de falso o desconocidos, según el caso.</w:t>
      </w:r>
    </w:p>
    <w:p w14:paraId="5CFE4DE8"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rPr>
        <w:t>También se presumirán auténticos los memoriales presentados para que formen parte del expediente, incluidas las demandas, sus contestaciones, los que impliquen disposición del derecho en litigio y los poderes en caso de sustitución.</w:t>
      </w:r>
    </w:p>
    <w:p w14:paraId="22FFAE6D"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rPr>
        <w:t>Así mismo se presumen auténticos todos los documentos que reúnan los requisitos para ser título ejecutivo.</w:t>
      </w:r>
    </w:p>
    <w:p w14:paraId="45D349B7"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rPr>
        <w:t>La parte que aporte al proceso un documento, en original o en copia, reconoce con ello su autenticidad y no podrá impugnarlo, excepto cuando al presentarlo alegue su falsedad. Los documentos en forma de mensaje de datos se presumen auténticos.</w:t>
      </w:r>
    </w:p>
    <w:p w14:paraId="55BFBB35" w14:textId="77777777" w:rsidR="00014F35" w:rsidRPr="00FE7D2F" w:rsidRDefault="00014F35" w:rsidP="00014F35">
      <w:pPr>
        <w:pStyle w:val="NormalWeb"/>
        <w:spacing w:before="0" w:beforeAutospacing="0" w:after="0" w:afterAutospacing="0"/>
        <w:ind w:firstLine="709"/>
        <w:jc w:val="both"/>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rPr>
        <w:t>Lo dispuesto en este artículo se aplica en todos los procesos y en todas las jurisdicciones</w:t>
      </w:r>
      <w:r w:rsidRPr="00FE7D2F">
        <w:rPr>
          <w:rFonts w:ascii="Verdana" w:eastAsia="Arial" w:hAnsi="Verdana" w:cs="Arial"/>
          <w:sz w:val="16"/>
          <w:szCs w:val="16"/>
          <w:lang w:val="es-ES"/>
        </w:rPr>
        <w:t>”</w:t>
      </w:r>
      <w:r w:rsidRPr="00FE7D2F">
        <w:rPr>
          <w:rFonts w:ascii="Verdana" w:hAnsi="Verdana" w:cs="Arial"/>
          <w:sz w:val="16"/>
          <w:szCs w:val="16"/>
        </w:rPr>
        <w:t>.</w:t>
      </w:r>
      <w:r w:rsidRPr="00FE7D2F">
        <w:rPr>
          <w:rFonts w:ascii="Verdana" w:eastAsia="MS Mincho" w:hAnsi="Verdana" w:cs="Arial"/>
          <w:sz w:val="16"/>
          <w:szCs w:val="16"/>
          <w:lang w:eastAsia="es-ES"/>
        </w:rPr>
        <w:t xml:space="preserve"> </w:t>
      </w:r>
    </w:p>
    <w:p w14:paraId="377DD644" w14:textId="77777777" w:rsidR="00014F35" w:rsidRPr="00FE7D2F" w:rsidRDefault="00014F35" w:rsidP="00014F35">
      <w:pPr>
        <w:pStyle w:val="Textonotapie"/>
        <w:ind w:firstLine="709"/>
        <w:jc w:val="both"/>
        <w:rPr>
          <w:rFonts w:ascii="Verdana" w:hAnsi="Verdana" w:cs="Arial"/>
          <w:sz w:val="16"/>
          <w:szCs w:val="16"/>
          <w:lang w:val="es-CO"/>
        </w:rPr>
      </w:pPr>
    </w:p>
  </w:footnote>
  <w:footnote w:id="8">
    <w:p w14:paraId="7191CBC3"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lang w:val="es-ES"/>
        </w:rPr>
      </w:pPr>
      <w:r w:rsidRPr="00FE7D2F">
        <w:rPr>
          <w:rFonts w:ascii="Verdana" w:eastAsia="Arial" w:hAnsi="Verdana" w:cs="Arial"/>
          <w:sz w:val="16"/>
          <w:szCs w:val="16"/>
          <w:lang w:val="es-ES"/>
        </w:rPr>
        <w:t>“</w:t>
      </w:r>
      <w:r w:rsidRPr="00FE7D2F">
        <w:rPr>
          <w:rStyle w:val="Refdenotaalpie"/>
          <w:rFonts w:ascii="Verdana" w:hAnsi="Verdana" w:cs="Arial"/>
          <w:sz w:val="16"/>
          <w:szCs w:val="16"/>
        </w:rPr>
        <w:footnoteRef/>
      </w:r>
      <w:r w:rsidRPr="00FE7D2F">
        <w:rPr>
          <w:rFonts w:ascii="Verdana" w:hAnsi="Verdana" w:cs="Arial"/>
          <w:sz w:val="16"/>
          <w:szCs w:val="16"/>
        </w:rPr>
        <w:t xml:space="preserve"> </w:t>
      </w:r>
      <w:r w:rsidRPr="00FE7D2F">
        <w:rPr>
          <w:rFonts w:ascii="Verdana" w:hAnsi="Verdana" w:cs="Arial"/>
          <w:bCs/>
          <w:sz w:val="16"/>
          <w:szCs w:val="16"/>
          <w:bdr w:val="none" w:sz="0" w:space="0" w:color="auto" w:frame="1"/>
        </w:rPr>
        <w:t xml:space="preserve">Artículo 4. </w:t>
      </w:r>
      <w:r w:rsidRPr="00FE7D2F">
        <w:rPr>
          <w:rFonts w:ascii="Verdana" w:hAnsi="Verdana" w:cs="Arial"/>
          <w:bCs/>
          <w:iCs/>
          <w:sz w:val="16"/>
          <w:szCs w:val="16"/>
          <w:bdr w:val="none" w:sz="0" w:space="0" w:color="auto" w:frame="1"/>
        </w:rPr>
        <w:t>Confiabilidad de la firma electrónica.</w:t>
      </w:r>
      <w:r w:rsidRPr="00FE7D2F">
        <w:rPr>
          <w:rFonts w:ascii="Verdana" w:hAnsi="Verdana" w:cs="Arial"/>
          <w:iCs/>
          <w:sz w:val="16"/>
          <w:szCs w:val="16"/>
          <w:bdr w:val="none" w:sz="0" w:space="0" w:color="auto" w:frame="1"/>
        </w:rPr>
        <w:t> </w:t>
      </w:r>
      <w:r w:rsidRPr="00FE7D2F">
        <w:rPr>
          <w:rFonts w:ascii="Verdana" w:hAnsi="Verdana" w:cs="Arial"/>
          <w:sz w:val="16"/>
          <w:szCs w:val="16"/>
          <w:bdr w:val="none" w:sz="0" w:space="0" w:color="auto" w:frame="1"/>
        </w:rPr>
        <w:t>La firma electrónica se considerará confiable para el propósito por el cual el mensaje de datos fue generado o comunicado si:</w:t>
      </w:r>
    </w:p>
    <w:p w14:paraId="0142E89C"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1. Los datos de creación de la firma, en el contexto en que son utilizados, corresponden exclusivamente al firmante.</w:t>
      </w:r>
    </w:p>
    <w:p w14:paraId="7EE26A61"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2. Es posible detectar cualquier alteración no autorizada del mensaje de datos, hecha después del momento de la firma.</w:t>
      </w:r>
    </w:p>
    <w:p w14:paraId="4F1816E8"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Parágrafo. Lo dispuesto anteriormente se entenderá sin perjuicio de la posibilidad de que cualquier persona:</w:t>
      </w:r>
    </w:p>
    <w:p w14:paraId="6A339779"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1. Demuestre de otra manera que la firma electrónica es confiable; o</w:t>
      </w:r>
    </w:p>
    <w:p w14:paraId="5846EAF3" w14:textId="77777777" w:rsidR="00014F35" w:rsidRPr="00FE7D2F" w:rsidRDefault="00014F35" w:rsidP="00014F35">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2. Aduzca pruebas de que una firma electrónica no es confiable</w:t>
      </w:r>
      <w:r w:rsidRPr="00FE7D2F">
        <w:rPr>
          <w:rFonts w:ascii="Verdana" w:eastAsia="Arial" w:hAnsi="Verdana" w:cs="Arial"/>
          <w:sz w:val="16"/>
          <w:szCs w:val="16"/>
          <w:lang w:val="es-ES"/>
        </w:rPr>
        <w:t>”</w:t>
      </w:r>
      <w:r w:rsidRPr="00FE7D2F">
        <w:rPr>
          <w:rFonts w:ascii="Verdana" w:hAnsi="Verdana" w:cs="Arial"/>
          <w:sz w:val="16"/>
          <w:szCs w:val="16"/>
          <w:bdr w:val="none" w:sz="0" w:space="0" w:color="auto" w:frame="1"/>
        </w:rPr>
        <w:t>.</w:t>
      </w:r>
    </w:p>
    <w:p w14:paraId="33B05EFE" w14:textId="77777777" w:rsidR="00014F35" w:rsidRPr="00FE7D2F" w:rsidRDefault="00014F35" w:rsidP="00014F35">
      <w:pPr>
        <w:ind w:firstLine="709"/>
        <w:jc w:val="both"/>
        <w:rPr>
          <w:rFonts w:ascii="Verdana" w:hAnsi="Verdana" w:cs="Arial"/>
          <w:sz w:val="16"/>
          <w:szCs w:val="16"/>
        </w:rPr>
      </w:pPr>
    </w:p>
    <w:p w14:paraId="103913A3" w14:textId="77777777" w:rsidR="00014F35" w:rsidRPr="00FE7D2F" w:rsidRDefault="00014F35" w:rsidP="00014F35">
      <w:pPr>
        <w:pStyle w:val="Textonotapie"/>
        <w:ind w:firstLine="709"/>
        <w:rPr>
          <w:rFonts w:ascii="Verdana" w:hAnsi="Verdana" w:cs="Arial"/>
          <w:sz w:val="16"/>
          <w:szCs w:val="16"/>
          <w:lang w:val="es-CO"/>
        </w:rPr>
      </w:pPr>
    </w:p>
  </w:footnote>
  <w:footnote w:id="9">
    <w:p w14:paraId="78B31420" w14:textId="77777777" w:rsidR="00014F35" w:rsidRPr="00FE7D2F" w:rsidRDefault="00014F35" w:rsidP="00014F35">
      <w:pPr>
        <w:pStyle w:val="Textonotapie"/>
        <w:ind w:firstLine="708"/>
        <w:jc w:val="both"/>
        <w:rPr>
          <w:rFonts w:ascii="Verdana" w:hAnsi="Verdana"/>
          <w:sz w:val="16"/>
          <w:szCs w:val="16"/>
          <w:lang w:val="es-ES"/>
        </w:rPr>
      </w:pPr>
      <w:r w:rsidRPr="00FE7D2F">
        <w:rPr>
          <w:rStyle w:val="Refdenotaalpie"/>
          <w:rFonts w:ascii="Verdana" w:hAnsi="Verdana"/>
          <w:sz w:val="16"/>
          <w:szCs w:val="16"/>
        </w:rPr>
        <w:footnoteRef/>
      </w:r>
      <w:r w:rsidRPr="00FE7D2F">
        <w:rPr>
          <w:rFonts w:ascii="Verdana" w:hAnsi="Verdana"/>
          <w:sz w:val="16"/>
          <w:szCs w:val="16"/>
        </w:rPr>
        <w:t xml:space="preserve"> DÁVILA VINUEZA, Luis Guillermo. Régimen Jurídico de la Contratación Estatal. 3° ed. Bogotá: Legis, 2016. p. 439. </w:t>
      </w:r>
    </w:p>
  </w:footnote>
  <w:footnote w:id="10">
    <w:p w14:paraId="09180D82"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vertAlign w:val="superscript"/>
        </w:rPr>
        <w:footnoteRef/>
      </w:r>
      <w:r w:rsidRPr="00FE7D2F">
        <w:rPr>
          <w:rFonts w:ascii="Verdana" w:hAnsi="Verdana" w:cs="Arial"/>
          <w:sz w:val="16"/>
          <w:szCs w:val="16"/>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7ACAEDB1"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Los casos en que se aplique el mecanismo de audiencia pública, la manera como se efectuará la evaluación de las propuestas y las condiciones bajo las cuales se realizará aquella, serán señalados por la ley».</w:t>
      </w:r>
    </w:p>
    <w:p w14:paraId="560DABB7" w14:textId="77777777" w:rsidR="00014F35" w:rsidRPr="00FE7D2F" w:rsidRDefault="00014F35" w:rsidP="00014F35">
      <w:pPr>
        <w:pStyle w:val="Textonotapie"/>
        <w:ind w:firstLine="709"/>
        <w:jc w:val="both"/>
        <w:rPr>
          <w:rFonts w:ascii="Verdana" w:hAnsi="Verdana" w:cs="Arial"/>
          <w:sz w:val="16"/>
          <w:szCs w:val="16"/>
        </w:rPr>
      </w:pPr>
    </w:p>
  </w:footnote>
  <w:footnote w:id="11">
    <w:p w14:paraId="6581749A"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vertAlign w:val="superscript"/>
        </w:rPr>
        <w:footnoteRef/>
      </w:r>
      <w:r w:rsidRPr="00FE7D2F">
        <w:rPr>
          <w:rFonts w:ascii="Verdana" w:hAnsi="Verdana" w:cs="Arial"/>
          <w:sz w:val="16"/>
          <w:szCs w:val="16"/>
        </w:rPr>
        <w:t xml:space="preserve"> Ley 80 de 1993: “Artículo 30. De la estructura de los procedimientos de selección. La licitación se efectuará conforme a las siguientes reglas:</w:t>
      </w:r>
    </w:p>
    <w:p w14:paraId="32633214"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w:t>
      </w:r>
    </w:p>
    <w:p w14:paraId="228505F4"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64422F90"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De la audiencia se levantará un acta en la que se dejará constancia de las deliberaciones y decisiones que en el desarrollo de la misma se hubieren producido.</w:t>
      </w:r>
    </w:p>
    <w:p w14:paraId="5A27A3EB"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w:t>
      </w:r>
    </w:p>
    <w:p w14:paraId="3DC84AD5" w14:textId="77777777" w:rsidR="00014F35" w:rsidRPr="00FE7D2F" w:rsidRDefault="00014F35" w:rsidP="00014F35">
      <w:pPr>
        <w:pStyle w:val="Textonotapie"/>
        <w:ind w:firstLine="709"/>
        <w:jc w:val="both"/>
        <w:rPr>
          <w:rFonts w:ascii="Verdana" w:hAnsi="Verdana" w:cs="Arial"/>
          <w:sz w:val="16"/>
          <w:szCs w:val="16"/>
        </w:rPr>
      </w:pPr>
    </w:p>
  </w:footnote>
  <w:footnote w:id="12">
    <w:p w14:paraId="47EBACC3"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vertAlign w:val="superscript"/>
        </w:rPr>
        <w:footnoteRef/>
      </w:r>
      <w:r w:rsidRPr="00FE7D2F">
        <w:rPr>
          <w:rFonts w:ascii="Verdana" w:hAnsi="Verdana" w:cs="Arial"/>
          <w:sz w:val="16"/>
          <w:szCs w:val="16"/>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374F9772"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0371CBC1"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El acto de adjudicación es irrevocable y obliga a la entidad y al adjudicatario”.</w:t>
      </w:r>
    </w:p>
    <w:p w14:paraId="3FA26EB3"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2" w:tooltip="Haga clic para abrir TODA la Ley 80 de 1993" w:history="1">
        <w:r w:rsidRPr="00FE7D2F">
          <w:rPr>
            <w:rFonts w:ascii="Verdana" w:hAnsi="Verdana" w:cs="Arial"/>
            <w:sz w:val="16"/>
            <w:szCs w:val="16"/>
          </w:rPr>
          <w:t>Ley 80 de 1993</w:t>
        </w:r>
      </w:hyperlink>
      <w:r w:rsidRPr="00FE7D2F">
        <w:rPr>
          <w:rFonts w:ascii="Verdana" w:hAnsi="Verdana" w:cs="Arial"/>
          <w:sz w:val="16"/>
          <w:szCs w:val="16"/>
        </w:rPr>
        <w:t>.</w:t>
      </w:r>
    </w:p>
    <w:p w14:paraId="557D9CB9" w14:textId="77777777" w:rsidR="00014F35" w:rsidRPr="00FE7D2F" w:rsidRDefault="00014F35" w:rsidP="00014F35">
      <w:pPr>
        <w:pStyle w:val="Textonotapie"/>
        <w:ind w:firstLine="709"/>
        <w:jc w:val="both"/>
        <w:rPr>
          <w:rFonts w:ascii="Verdana" w:hAnsi="Verdana" w:cs="Arial"/>
          <w:sz w:val="16"/>
          <w:szCs w:val="16"/>
        </w:rPr>
      </w:pPr>
      <w:r w:rsidRPr="00FE7D2F">
        <w:rPr>
          <w:rFonts w:ascii="Verdana" w:hAnsi="Verdana" w:cs="Arial"/>
          <w:sz w:val="16"/>
          <w:szCs w:val="16"/>
        </w:rPr>
        <w:t>Sin perjuicio de las potestades a que se refiere el artículo 18 de la </w:t>
      </w:r>
      <w:hyperlink r:id="rId3" w:tooltip="Haga clic para abrir TODA la Ley 80 de 1993" w:history="1">
        <w:r w:rsidRPr="00FE7D2F">
          <w:rPr>
            <w:rFonts w:ascii="Verdana" w:hAnsi="Verdana" w:cs="Arial"/>
            <w:sz w:val="16"/>
            <w:szCs w:val="16"/>
          </w:rPr>
          <w:t>Ley 80 de 1993</w:t>
        </w:r>
      </w:hyperlink>
      <w:r w:rsidRPr="00FE7D2F">
        <w:rPr>
          <w:rFonts w:ascii="Verdana" w:hAnsi="Verdana" w:cs="Arial"/>
          <w:sz w:val="16"/>
          <w:szCs w:val="16"/>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4EF23AED" w14:textId="77777777" w:rsidR="00014F35" w:rsidRPr="00FE7D2F" w:rsidRDefault="00014F35" w:rsidP="00014F35">
      <w:pPr>
        <w:pStyle w:val="Textonotapie"/>
        <w:ind w:firstLine="709"/>
        <w:jc w:val="both"/>
        <w:rPr>
          <w:rFonts w:ascii="Arial" w:hAnsi="Arial" w:cs="Arial"/>
          <w:sz w:val="16"/>
          <w:szCs w:val="16"/>
        </w:rPr>
      </w:pPr>
    </w:p>
  </w:footnote>
  <w:footnote w:id="13">
    <w:p w14:paraId="3DCB6825" w14:textId="77777777" w:rsidR="00014F35" w:rsidRPr="00FE7D2F" w:rsidRDefault="00014F35" w:rsidP="00014F35">
      <w:pPr>
        <w:pStyle w:val="Textonotapie"/>
        <w:ind w:firstLine="708"/>
        <w:jc w:val="both"/>
        <w:rPr>
          <w:rFonts w:ascii="Verdana" w:hAnsi="Verdana"/>
          <w:sz w:val="16"/>
          <w:szCs w:val="16"/>
          <w:lang w:val="es-ES"/>
        </w:rPr>
      </w:pPr>
      <w:r w:rsidRPr="00FE7D2F">
        <w:rPr>
          <w:rStyle w:val="Refdenotaalpie"/>
          <w:rFonts w:ascii="Verdana" w:hAnsi="Verdana"/>
          <w:sz w:val="16"/>
          <w:szCs w:val="16"/>
        </w:rPr>
        <w:footnoteRef/>
      </w:r>
      <w:r w:rsidRPr="00FE7D2F">
        <w:rPr>
          <w:rFonts w:ascii="Verdana" w:hAnsi="Verdana"/>
          <w:sz w:val="16"/>
          <w:szCs w:val="16"/>
        </w:rPr>
        <w:t xml:space="preserve"> </w:t>
      </w:r>
      <w:r w:rsidRPr="00FE7D2F">
        <w:rPr>
          <w:rFonts w:ascii="Verdana" w:hAnsi="Verdana"/>
          <w:sz w:val="16"/>
          <w:szCs w:val="16"/>
          <w:lang w:val="es-ES_tradnl"/>
        </w:rPr>
        <w:t>Consejo de Estado. Sección Tercera. Sentencia de 1 de abril de 2016, Exp. 47145 C.P. Jaime Orlando Santofimio Gamboa</w:t>
      </w:r>
    </w:p>
  </w:footnote>
  <w:footnote w:id="14">
    <w:p w14:paraId="3F67294F" w14:textId="77777777" w:rsidR="00014F35" w:rsidRPr="00FE7D2F" w:rsidRDefault="00014F35" w:rsidP="00014F35">
      <w:pPr>
        <w:spacing w:after="0" w:line="240" w:lineRule="auto"/>
        <w:ind w:firstLine="708"/>
        <w:jc w:val="both"/>
        <w:rPr>
          <w:rFonts w:ascii="Verdana" w:eastAsia="Calibri" w:hAnsi="Verdana" w:cs="Arial"/>
          <w:color w:val="000000"/>
          <w:sz w:val="16"/>
          <w:szCs w:val="16"/>
        </w:rPr>
      </w:pPr>
      <w:r w:rsidRPr="00FE7D2F">
        <w:rPr>
          <w:rStyle w:val="Refdenotaalpie"/>
          <w:rFonts w:ascii="Verdana" w:hAnsi="Verdana"/>
          <w:sz w:val="16"/>
          <w:szCs w:val="16"/>
        </w:rPr>
        <w:footnoteRef/>
      </w:r>
      <w:r w:rsidRPr="00FE7D2F">
        <w:rPr>
          <w:rFonts w:ascii="Verdana" w:hAnsi="Verdana"/>
          <w:sz w:val="16"/>
          <w:szCs w:val="16"/>
        </w:rPr>
        <w:t xml:space="preserve"> </w:t>
      </w:r>
      <w:r w:rsidRPr="00FE7D2F">
        <w:rPr>
          <w:rFonts w:ascii="Verdana" w:eastAsia="Calibri" w:hAnsi="Verdana" w:cs="Arial"/>
          <w:bCs/>
          <w:color w:val="000000"/>
          <w:sz w:val="16"/>
          <w:szCs w:val="16"/>
        </w:rPr>
        <w:t>Artículo 2.2.1.2.1.2.20. </w:t>
      </w:r>
      <w:r w:rsidRPr="00FE7D2F">
        <w:rPr>
          <w:rFonts w:ascii="Verdana" w:eastAsia="Calibri" w:hAnsi="Verdana" w:cs="Arial"/>
          <w:bCs/>
          <w:i/>
          <w:iCs/>
          <w:color w:val="000000"/>
          <w:sz w:val="16"/>
          <w:szCs w:val="16"/>
        </w:rPr>
        <w:t>Procedimiento para la selección abreviada de menor cuantía. </w:t>
      </w:r>
      <w:r w:rsidRPr="00FE7D2F">
        <w:rPr>
          <w:rFonts w:ascii="Verdana" w:eastAsia="Calibri" w:hAnsi="Verdana" w:cs="Arial"/>
          <w:color w:val="000000"/>
          <w:sz w:val="16"/>
          <w:szCs w:val="16"/>
        </w:rPr>
        <w:t>Además de las normas generales establecidas en el presente título, las siguientes reglas son aplicables a la selección abreviada de menor cuantía: </w:t>
      </w:r>
    </w:p>
    <w:p w14:paraId="73A89BAE" w14:textId="77777777" w:rsidR="00014F35" w:rsidRPr="00FE7D2F" w:rsidRDefault="00014F35" w:rsidP="00014F35">
      <w:pPr>
        <w:spacing w:after="0" w:line="240" w:lineRule="auto"/>
        <w:ind w:firstLine="708"/>
        <w:jc w:val="both"/>
        <w:rPr>
          <w:rFonts w:ascii="Verdana" w:eastAsia="Calibri" w:hAnsi="Verdana" w:cs="Arial"/>
          <w:color w:val="000000"/>
          <w:sz w:val="16"/>
          <w:szCs w:val="16"/>
        </w:rPr>
      </w:pPr>
      <w:r w:rsidRPr="00FE7D2F">
        <w:rPr>
          <w:rFonts w:ascii="Verdana" w:eastAsia="Calibri" w:hAnsi="Verdana" w:cs="Arial"/>
          <w:color w:val="000000"/>
          <w:sz w:val="16"/>
          <w:szCs w:val="16"/>
        </w:rPr>
        <w:t>1. En un término no mayor a tres (3) días hábiles contados a partir de la fecha de apertura del Proceso de Contratación los interesados deben manifestar su intención de participar, a través del mecanismo establecido para el efecto en los pliegos de condiciones. </w:t>
      </w:r>
    </w:p>
    <w:p w14:paraId="26695634" w14:textId="77777777" w:rsidR="00014F35" w:rsidRPr="00FE7D2F" w:rsidRDefault="00014F35" w:rsidP="00014F35">
      <w:pPr>
        <w:spacing w:after="0" w:line="240" w:lineRule="auto"/>
        <w:ind w:firstLine="708"/>
        <w:jc w:val="both"/>
        <w:rPr>
          <w:rFonts w:ascii="Verdana" w:eastAsia="Calibri" w:hAnsi="Verdana" w:cs="Arial"/>
          <w:color w:val="000000"/>
          <w:sz w:val="16"/>
          <w:szCs w:val="16"/>
        </w:rPr>
      </w:pPr>
      <w:r w:rsidRPr="00FE7D2F">
        <w:rPr>
          <w:rFonts w:ascii="Verdana" w:eastAsia="Calibri" w:hAnsi="Verdana" w:cs="Arial"/>
          <w:color w:val="000000"/>
          <w:sz w:val="16"/>
          <w:szCs w:val="16"/>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p w14:paraId="321CC343" w14:textId="77777777" w:rsidR="00014F35" w:rsidRPr="00FE7D2F" w:rsidRDefault="00014F35" w:rsidP="00014F35">
      <w:pPr>
        <w:spacing w:after="0" w:line="240" w:lineRule="auto"/>
        <w:ind w:firstLine="708"/>
        <w:jc w:val="both"/>
        <w:rPr>
          <w:rFonts w:ascii="Verdana" w:eastAsia="Calibri" w:hAnsi="Verdana" w:cs="Arial"/>
          <w:color w:val="000000"/>
          <w:sz w:val="16"/>
          <w:szCs w:val="16"/>
        </w:rPr>
      </w:pPr>
      <w:r w:rsidRPr="00FE7D2F">
        <w:rPr>
          <w:rFonts w:ascii="Verdana" w:eastAsia="Calibri" w:hAnsi="Verdana" w:cs="Arial"/>
          <w:color w:val="000000"/>
          <w:sz w:val="16"/>
          <w:szCs w:val="16"/>
        </w:rPr>
        <w:t>3. Si hay lugar a sorteo, el plazo para la presentación de las ofertas empezará a correr el día hábil siguiente a la fecha en la cual la Entidad Estatal informe a los interesados el resultado del sorteo. </w:t>
      </w:r>
    </w:p>
    <w:p w14:paraId="147BA7ED" w14:textId="77777777" w:rsidR="00014F35" w:rsidRPr="00FE7D2F" w:rsidRDefault="00014F35" w:rsidP="00014F35">
      <w:pPr>
        <w:spacing w:after="0" w:line="240" w:lineRule="auto"/>
        <w:ind w:firstLine="708"/>
        <w:jc w:val="both"/>
        <w:rPr>
          <w:rFonts w:ascii="Verdana" w:eastAsia="Calibri" w:hAnsi="Verdana" w:cs="Arial"/>
          <w:color w:val="000000"/>
          <w:sz w:val="16"/>
          <w:szCs w:val="16"/>
        </w:rPr>
      </w:pPr>
      <w:r w:rsidRPr="00FE7D2F">
        <w:rPr>
          <w:rFonts w:ascii="Verdana" w:eastAsia="Calibri" w:hAnsi="Verdana" w:cs="Arial"/>
          <w:color w:val="000000"/>
          <w:sz w:val="16"/>
          <w:szCs w:val="16"/>
        </w:rPr>
        <w:t>4. La Entidad Estatal debe publicar el informe de evaluación de ofertas durante tres (3) días hábiles. </w:t>
      </w:r>
    </w:p>
    <w:p w14:paraId="66E5E69E" w14:textId="77777777" w:rsidR="00014F35" w:rsidRPr="00FE7D2F" w:rsidRDefault="00014F35" w:rsidP="00014F35">
      <w:pPr>
        <w:pStyle w:val="Textonotapie"/>
        <w:jc w:val="both"/>
        <w:rPr>
          <w:rFonts w:ascii="Verdana" w:hAnsi="Verdana"/>
          <w:sz w:val="16"/>
          <w:szCs w:val="16"/>
          <w:lang w:val="es-CO"/>
        </w:rPr>
      </w:pPr>
    </w:p>
  </w:footnote>
  <w:footnote w:id="15">
    <w:p w14:paraId="1CCD2C18" w14:textId="77777777" w:rsidR="00014F35" w:rsidRPr="00FE7D2F" w:rsidRDefault="00014F35" w:rsidP="00014F35">
      <w:pPr>
        <w:pStyle w:val="Textonotapie"/>
        <w:ind w:firstLine="708"/>
        <w:jc w:val="both"/>
        <w:rPr>
          <w:rFonts w:ascii="Verdana" w:hAnsi="Verdana"/>
          <w:sz w:val="16"/>
          <w:szCs w:val="16"/>
          <w:lang w:val="es-CO"/>
        </w:rPr>
      </w:pPr>
      <w:r w:rsidRPr="00FE7D2F">
        <w:rPr>
          <w:rStyle w:val="Refdenotaalpie"/>
          <w:rFonts w:ascii="Verdana" w:hAnsi="Verdana"/>
          <w:sz w:val="16"/>
          <w:szCs w:val="16"/>
        </w:rPr>
        <w:footnoteRef/>
      </w:r>
      <w:r w:rsidRPr="00FE7D2F">
        <w:rPr>
          <w:rFonts w:ascii="Verdana" w:hAnsi="Verdana"/>
          <w:sz w:val="16"/>
          <w:szCs w:val="16"/>
        </w:rPr>
        <w:t xml:space="preserve"> </w:t>
      </w:r>
      <w:r w:rsidRPr="00FE7D2F">
        <w:rPr>
          <w:rFonts w:ascii="Verdana" w:hAnsi="Verdana"/>
          <w:bCs/>
          <w:sz w:val="16"/>
          <w:szCs w:val="16"/>
          <w:lang w:val="es-CO"/>
        </w:rPr>
        <w:t>Artículo 2.2.1.2.1.3.2</w:t>
      </w:r>
      <w:r w:rsidRPr="00FE7D2F">
        <w:rPr>
          <w:rFonts w:ascii="Verdana" w:hAnsi="Verdana"/>
          <w:sz w:val="16"/>
          <w:szCs w:val="16"/>
          <w:lang w:val="es-CO"/>
        </w:rPr>
        <w:t>. </w:t>
      </w:r>
      <w:r w:rsidRPr="00FE7D2F">
        <w:rPr>
          <w:rFonts w:ascii="Verdana" w:hAnsi="Verdana"/>
          <w:bCs/>
          <w:sz w:val="16"/>
          <w:szCs w:val="16"/>
          <w:lang w:val="es-CO"/>
        </w:rPr>
        <w:t>Procedimiento del concurso de méritos</w:t>
      </w:r>
      <w:r w:rsidRPr="00FE7D2F">
        <w:rPr>
          <w:rFonts w:ascii="Verdana" w:hAnsi="Verdana"/>
          <w:sz w:val="16"/>
          <w:szCs w:val="16"/>
          <w:lang w:val="es-CO"/>
        </w:rPr>
        <w:t>. Además de las reglas generales previstas en la ley y en el presente título, las siguientes reglas son aplicables al concurso de méritos abierto o con precalificación:  </w:t>
      </w:r>
    </w:p>
    <w:p w14:paraId="06214F64"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1. La Entidad Estatal en los pliegos de condiciones debe indicar la forma como calificará, entre otros, los siguientes criterios: a) la experiencia del interesado y del equipo de trabajo y b) la formación académica del equipo de trabajo.  </w:t>
      </w:r>
    </w:p>
    <w:p w14:paraId="46EF6B6C"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  </w:t>
      </w:r>
    </w:p>
    <w:p w14:paraId="69F8DBA2" w14:textId="77777777" w:rsidR="00014F35" w:rsidRPr="00FE7D2F" w:rsidRDefault="00014F35" w:rsidP="00014F35">
      <w:pPr>
        <w:pStyle w:val="Textonotapie"/>
        <w:ind w:firstLine="708"/>
        <w:rPr>
          <w:rFonts w:ascii="Verdana" w:hAnsi="Verdana"/>
          <w:sz w:val="16"/>
          <w:szCs w:val="16"/>
          <w:lang w:val="es-CO"/>
        </w:rPr>
      </w:pPr>
      <w:r w:rsidRPr="00FE7D2F">
        <w:rPr>
          <w:rFonts w:ascii="Verdana" w:hAnsi="Verdana"/>
          <w:sz w:val="16"/>
          <w:szCs w:val="16"/>
          <w:lang w:val="es-CO"/>
        </w:rPr>
        <w:t>3. Una vez resueltas las observaciones al informe de evaluación, la entidad adjudicará el contrato mediante acto administrativo al oferente que haya cumplido todos los requisitos exigidos en el pliego de condiciones y haya obtenido el mayor puntaje. </w:t>
      </w:r>
    </w:p>
    <w:p w14:paraId="0B0EC80C" w14:textId="77777777" w:rsidR="00014F35" w:rsidRPr="00FE7D2F" w:rsidRDefault="00014F35" w:rsidP="00014F35">
      <w:pPr>
        <w:pStyle w:val="Textonotapie"/>
        <w:ind w:firstLine="708"/>
        <w:rPr>
          <w:sz w:val="16"/>
          <w:szCs w:val="16"/>
          <w:lang w:val="es-CO"/>
        </w:rPr>
      </w:pPr>
    </w:p>
  </w:footnote>
  <w:footnote w:id="16">
    <w:p w14:paraId="511D20F1" w14:textId="77777777" w:rsidR="00014F35" w:rsidRPr="00FE7D2F" w:rsidRDefault="00014F35" w:rsidP="00014F35">
      <w:pPr>
        <w:pStyle w:val="Textonotapie"/>
        <w:ind w:firstLine="708"/>
        <w:jc w:val="both"/>
        <w:rPr>
          <w:rFonts w:ascii="Verdana" w:hAnsi="Verdana"/>
          <w:sz w:val="16"/>
          <w:szCs w:val="16"/>
          <w:lang w:val="es-CO"/>
        </w:rPr>
      </w:pPr>
      <w:r w:rsidRPr="00FE7D2F">
        <w:rPr>
          <w:rStyle w:val="Refdenotaalpie"/>
          <w:sz w:val="16"/>
          <w:szCs w:val="16"/>
        </w:rPr>
        <w:footnoteRef/>
      </w:r>
      <w:r w:rsidRPr="00FE7D2F">
        <w:rPr>
          <w:sz w:val="16"/>
          <w:szCs w:val="16"/>
        </w:rPr>
        <w:t xml:space="preserve"> </w:t>
      </w:r>
      <w:r w:rsidRPr="00FE7D2F">
        <w:rPr>
          <w:rFonts w:ascii="Verdana" w:hAnsi="Verdana"/>
          <w:bCs/>
          <w:sz w:val="16"/>
          <w:szCs w:val="16"/>
          <w:lang w:val="es-CO"/>
        </w:rPr>
        <w:t>Artículo 2.2.1.2.1.5.2. Procedimiento para la contratación de mínima cuantía. </w:t>
      </w:r>
      <w:r w:rsidRPr="00FE7D2F">
        <w:rPr>
          <w:rFonts w:ascii="Verdana" w:hAnsi="Verdana"/>
          <w:sz w:val="16"/>
          <w:szCs w:val="16"/>
          <w:lang w:val="es-CO"/>
        </w:rPr>
        <w:t>Las siguientes reglas son aplicables a la contratación cuyo valor no excede del diez por ciento (10%) de la menor cuantía de la Entidad Estatal, independientemente de su objeto: </w:t>
      </w:r>
    </w:p>
    <w:p w14:paraId="65859A4F"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517DC3F5"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60D36020"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 colombianas.</w:t>
      </w:r>
    </w:p>
    <w:p w14:paraId="281B8877"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434EF2BB"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46C2BDEF"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 </w:t>
      </w:r>
    </w:p>
    <w:p w14:paraId="37FD5709"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0D00CC9D"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8. En caso de empate, la Entidad Estatal aplicará los criterios de que trata el artículo 35 de la Ley 2069 de 2020, conforme a los medios de acreditación del artículo 2.2.1.2.4.2.17. del presente Decreto o las normas que los modifiquen, adicionen o sustituyan.</w:t>
      </w:r>
    </w:p>
    <w:p w14:paraId="72B65C6D"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sz w:val="16"/>
          <w:szCs w:val="16"/>
          <w:lang w:val="es-CO"/>
        </w:rPr>
        <w:t>9. La oferta y su aceptación constituyen el contrato estatal.</w:t>
      </w:r>
    </w:p>
    <w:p w14:paraId="5904C70B" w14:textId="77777777" w:rsidR="00014F35" w:rsidRPr="00FE7D2F" w:rsidRDefault="00014F35" w:rsidP="00014F35">
      <w:pPr>
        <w:pStyle w:val="Textonotapie"/>
        <w:ind w:firstLine="708"/>
        <w:jc w:val="both"/>
        <w:rPr>
          <w:rFonts w:ascii="Verdana" w:hAnsi="Verdana"/>
          <w:sz w:val="16"/>
          <w:szCs w:val="16"/>
          <w:lang w:val="es-CO"/>
        </w:rPr>
      </w:pPr>
      <w:r w:rsidRPr="00FE7D2F">
        <w:rPr>
          <w:rFonts w:ascii="Verdana" w:hAnsi="Verdana"/>
          <w:bCs/>
          <w:sz w:val="16"/>
          <w:szCs w:val="16"/>
          <w:lang w:val="es-CO"/>
        </w:rPr>
        <w:t>Parágrafo.</w:t>
      </w:r>
      <w:r w:rsidRPr="00FE7D2F">
        <w:rPr>
          <w:rFonts w:ascii="Verdana" w:hAnsi="Verdana"/>
          <w:sz w:val="16"/>
          <w:szCs w:val="16"/>
          <w:lang w:val="es-CO"/>
        </w:rPr>
        <w:t> De conformidad con el parágrafo 1 del artículo 30 y el artículo 34 de la Ley 2069 de 2020, en estos procedimientos de selección para Mipyme se aplicará lo prescrito en los artículos 2.2.1.2.4.2.2 a 2.2.1.2.4.2.4 de este Decreto. No obstante, de conformidad con el numeral 3 del presente artículo, las solicitudes para limitar el proceso a Mipyme se recibirán durante el término previsto en dicho numeral. Además, en el aviso de que trata el numeral 4 de este artículo se indicará si en el proceso aplican las limitaciones territoriales de que trata el artículo 2.2.1.2.4.2.3 o si podrá participar cualquier Mipyme nacional.</w:t>
      </w:r>
    </w:p>
    <w:p w14:paraId="2754DE2B" w14:textId="77777777" w:rsidR="00014F35" w:rsidRPr="00FE7D2F" w:rsidRDefault="00014F35" w:rsidP="00014F35">
      <w:pPr>
        <w:pStyle w:val="Textonotapie"/>
        <w:ind w:firstLine="708"/>
        <w:rPr>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C81FB1" w:rsidRDefault="00C81FB1">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C81FB1" w:rsidRDefault="00C81FB1">
    <w:pPr>
      <w:pStyle w:val="Encabezado"/>
    </w:pPr>
  </w:p>
  <w:p w14:paraId="3079FC11" w14:textId="77777777" w:rsidR="00C81FB1" w:rsidRDefault="00C81FB1" w:rsidP="004A305D">
    <w:pPr>
      <w:spacing w:after="0"/>
      <w:rPr>
        <w:rFonts w:ascii="Verdana" w:hAnsi="Verdana"/>
        <w:b/>
        <w:bCs/>
      </w:rPr>
    </w:pPr>
  </w:p>
  <w:p w14:paraId="5E18350A" w14:textId="705F7B76" w:rsidR="00C81FB1" w:rsidRPr="004A305D" w:rsidRDefault="00C81FB1" w:rsidP="00B01B1A">
    <w:pPr>
      <w:spacing w:after="0" w:line="120" w:lineRule="auto"/>
      <w:rPr>
        <w:rFonts w:ascii="Century Gothic" w:eastAsia="Geo" w:hAnsi="Century Gothic" w:cs="Geo"/>
        <w:sz w:val="16"/>
        <w:szCs w:val="16"/>
        <w:lang w:eastAsia="es-CO"/>
      </w:rPr>
    </w:pPr>
  </w:p>
  <w:p w14:paraId="1FD1C243" w14:textId="6D74A3CF" w:rsidR="00C81FB1" w:rsidRDefault="00C81FB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ED3924"/>
    <w:multiLevelType w:val="multilevel"/>
    <w:tmpl w:val="CAE2FDF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abstractNum w:abstractNumId="34"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5"/>
  </w:num>
  <w:num w:numId="2">
    <w:abstractNumId w:val="2"/>
  </w:num>
  <w:num w:numId="3">
    <w:abstractNumId w:val="1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1"/>
  </w:num>
  <w:num w:numId="7">
    <w:abstractNumId w:val="14"/>
  </w:num>
  <w:num w:numId="8">
    <w:abstractNumId w:val="30"/>
  </w:num>
  <w:num w:numId="9">
    <w:abstractNumId w:val="16"/>
  </w:num>
  <w:num w:numId="10">
    <w:abstractNumId w:val="28"/>
  </w:num>
  <w:num w:numId="11">
    <w:abstractNumId w:val="17"/>
  </w:num>
  <w:num w:numId="12">
    <w:abstractNumId w:val="1"/>
  </w:num>
  <w:num w:numId="13">
    <w:abstractNumId w:val="8"/>
  </w:num>
  <w:num w:numId="14">
    <w:abstractNumId w:val="32"/>
  </w:num>
  <w:num w:numId="15">
    <w:abstractNumId w:val="27"/>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5"/>
  </w:num>
  <w:num w:numId="19">
    <w:abstractNumId w:val="11"/>
  </w:num>
  <w:num w:numId="20">
    <w:abstractNumId w:val="19"/>
  </w:num>
  <w:num w:numId="21">
    <w:abstractNumId w:val="35"/>
  </w:num>
  <w:num w:numId="22">
    <w:abstractNumId w:val="20"/>
  </w:num>
  <w:num w:numId="23">
    <w:abstractNumId w:val="0"/>
  </w:num>
  <w:num w:numId="24">
    <w:abstractNumId w:val="26"/>
  </w:num>
  <w:num w:numId="25">
    <w:abstractNumId w:val="22"/>
  </w:num>
  <w:num w:numId="26">
    <w:abstractNumId w:val="21"/>
  </w:num>
  <w:num w:numId="27">
    <w:abstractNumId w:val="6"/>
  </w:num>
  <w:num w:numId="28">
    <w:abstractNumId w:val="10"/>
  </w:num>
  <w:num w:numId="29">
    <w:abstractNumId w:val="3"/>
  </w:num>
  <w:num w:numId="30">
    <w:abstractNumId w:val="4"/>
  </w:num>
  <w:num w:numId="31">
    <w:abstractNumId w:val="24"/>
  </w:num>
  <w:num w:numId="32">
    <w:abstractNumId w:val="29"/>
  </w:num>
  <w:num w:numId="33">
    <w:abstractNumId w:val="34"/>
  </w:num>
  <w:num w:numId="34">
    <w:abstractNumId w:val="7"/>
  </w:num>
  <w:num w:numId="35">
    <w:abstractNumId w:val="13"/>
  </w:num>
  <w:num w:numId="36">
    <w:abstractNumId w:val="9"/>
  </w:num>
  <w:num w:numId="37">
    <w:abstractNumId w:val="23"/>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1FB"/>
    <w:rsid w:val="0000797D"/>
    <w:rsid w:val="00010C4F"/>
    <w:rsid w:val="0001328B"/>
    <w:rsid w:val="00014F35"/>
    <w:rsid w:val="000224F2"/>
    <w:rsid w:val="00023C3E"/>
    <w:rsid w:val="0002653B"/>
    <w:rsid w:val="00026C37"/>
    <w:rsid w:val="00035385"/>
    <w:rsid w:val="000355E9"/>
    <w:rsid w:val="00035D9F"/>
    <w:rsid w:val="00036498"/>
    <w:rsid w:val="00040F37"/>
    <w:rsid w:val="00041860"/>
    <w:rsid w:val="000434BC"/>
    <w:rsid w:val="0004434A"/>
    <w:rsid w:val="0005281E"/>
    <w:rsid w:val="0005682C"/>
    <w:rsid w:val="00056D71"/>
    <w:rsid w:val="00061B2A"/>
    <w:rsid w:val="0006203C"/>
    <w:rsid w:val="00062BAF"/>
    <w:rsid w:val="000630B9"/>
    <w:rsid w:val="000635D0"/>
    <w:rsid w:val="000643B2"/>
    <w:rsid w:val="000651AB"/>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3DF"/>
    <w:rsid w:val="000A3D63"/>
    <w:rsid w:val="000A683A"/>
    <w:rsid w:val="000A683E"/>
    <w:rsid w:val="000B158F"/>
    <w:rsid w:val="000B19B9"/>
    <w:rsid w:val="000B1E37"/>
    <w:rsid w:val="000B241D"/>
    <w:rsid w:val="000B2DCD"/>
    <w:rsid w:val="000C2889"/>
    <w:rsid w:val="000D0152"/>
    <w:rsid w:val="000D0334"/>
    <w:rsid w:val="000D25D7"/>
    <w:rsid w:val="000D2CFF"/>
    <w:rsid w:val="000D3A83"/>
    <w:rsid w:val="000D3B29"/>
    <w:rsid w:val="000E06F4"/>
    <w:rsid w:val="000E0F63"/>
    <w:rsid w:val="000E1070"/>
    <w:rsid w:val="000E4CE4"/>
    <w:rsid w:val="000E694F"/>
    <w:rsid w:val="000E6DD5"/>
    <w:rsid w:val="000E7122"/>
    <w:rsid w:val="000F56F9"/>
    <w:rsid w:val="000F6486"/>
    <w:rsid w:val="000F669F"/>
    <w:rsid w:val="001018FF"/>
    <w:rsid w:val="001063B3"/>
    <w:rsid w:val="00107ACA"/>
    <w:rsid w:val="001114A9"/>
    <w:rsid w:val="00111979"/>
    <w:rsid w:val="00115788"/>
    <w:rsid w:val="00116537"/>
    <w:rsid w:val="00120766"/>
    <w:rsid w:val="00121EA1"/>
    <w:rsid w:val="001240BD"/>
    <w:rsid w:val="00125105"/>
    <w:rsid w:val="00125BC7"/>
    <w:rsid w:val="00127233"/>
    <w:rsid w:val="00131D34"/>
    <w:rsid w:val="00136D0B"/>
    <w:rsid w:val="0014204F"/>
    <w:rsid w:val="00142346"/>
    <w:rsid w:val="00143E81"/>
    <w:rsid w:val="00143FD9"/>
    <w:rsid w:val="00145047"/>
    <w:rsid w:val="00146C57"/>
    <w:rsid w:val="00150565"/>
    <w:rsid w:val="001578A4"/>
    <w:rsid w:val="00160D5C"/>
    <w:rsid w:val="001631FE"/>
    <w:rsid w:val="0016332F"/>
    <w:rsid w:val="0016458A"/>
    <w:rsid w:val="001717E9"/>
    <w:rsid w:val="0017238A"/>
    <w:rsid w:val="00177DC9"/>
    <w:rsid w:val="00180A30"/>
    <w:rsid w:val="0018159B"/>
    <w:rsid w:val="00185EE9"/>
    <w:rsid w:val="00187F79"/>
    <w:rsid w:val="00195992"/>
    <w:rsid w:val="00196153"/>
    <w:rsid w:val="00197274"/>
    <w:rsid w:val="001A237A"/>
    <w:rsid w:val="001A26CF"/>
    <w:rsid w:val="001A2919"/>
    <w:rsid w:val="001B075C"/>
    <w:rsid w:val="001B0E6B"/>
    <w:rsid w:val="001B2CFE"/>
    <w:rsid w:val="001C222E"/>
    <w:rsid w:val="001C22F9"/>
    <w:rsid w:val="001D1C29"/>
    <w:rsid w:val="001E1E21"/>
    <w:rsid w:val="001E3C06"/>
    <w:rsid w:val="001E4177"/>
    <w:rsid w:val="001E741E"/>
    <w:rsid w:val="001F4EFD"/>
    <w:rsid w:val="001F5E13"/>
    <w:rsid w:val="001F6D11"/>
    <w:rsid w:val="001F7DC6"/>
    <w:rsid w:val="00202886"/>
    <w:rsid w:val="0020603D"/>
    <w:rsid w:val="00206A83"/>
    <w:rsid w:val="00211C5C"/>
    <w:rsid w:val="00213BC6"/>
    <w:rsid w:val="00215B75"/>
    <w:rsid w:val="00215CEF"/>
    <w:rsid w:val="00217A08"/>
    <w:rsid w:val="00220B77"/>
    <w:rsid w:val="00220C9C"/>
    <w:rsid w:val="00221D27"/>
    <w:rsid w:val="00227C89"/>
    <w:rsid w:val="00227E62"/>
    <w:rsid w:val="00233D5B"/>
    <w:rsid w:val="00234E14"/>
    <w:rsid w:val="00237233"/>
    <w:rsid w:val="002421BB"/>
    <w:rsid w:val="00243EB4"/>
    <w:rsid w:val="002442AC"/>
    <w:rsid w:val="00246A81"/>
    <w:rsid w:val="00251A5F"/>
    <w:rsid w:val="002571B0"/>
    <w:rsid w:val="0025796E"/>
    <w:rsid w:val="002603E5"/>
    <w:rsid w:val="00260FD9"/>
    <w:rsid w:val="002638B2"/>
    <w:rsid w:val="002660F2"/>
    <w:rsid w:val="002664BB"/>
    <w:rsid w:val="002707A2"/>
    <w:rsid w:val="00270FB6"/>
    <w:rsid w:val="002715B9"/>
    <w:rsid w:val="00274354"/>
    <w:rsid w:val="00276223"/>
    <w:rsid w:val="00276573"/>
    <w:rsid w:val="00281E93"/>
    <w:rsid w:val="00282584"/>
    <w:rsid w:val="002835A6"/>
    <w:rsid w:val="00284161"/>
    <w:rsid w:val="002844ED"/>
    <w:rsid w:val="002951A0"/>
    <w:rsid w:val="002962BC"/>
    <w:rsid w:val="002A093D"/>
    <w:rsid w:val="002A0DC4"/>
    <w:rsid w:val="002A0DD0"/>
    <w:rsid w:val="002A3450"/>
    <w:rsid w:val="002A49AC"/>
    <w:rsid w:val="002A64FD"/>
    <w:rsid w:val="002A6BBF"/>
    <w:rsid w:val="002B03E4"/>
    <w:rsid w:val="002B1E57"/>
    <w:rsid w:val="002B1F7F"/>
    <w:rsid w:val="002B290B"/>
    <w:rsid w:val="002B631F"/>
    <w:rsid w:val="002C110E"/>
    <w:rsid w:val="002C111E"/>
    <w:rsid w:val="002C379A"/>
    <w:rsid w:val="002C765E"/>
    <w:rsid w:val="002C7A84"/>
    <w:rsid w:val="002D13A1"/>
    <w:rsid w:val="002D19BE"/>
    <w:rsid w:val="002D1E42"/>
    <w:rsid w:val="002D22AD"/>
    <w:rsid w:val="002D3F0D"/>
    <w:rsid w:val="002E1D98"/>
    <w:rsid w:val="002E2C3F"/>
    <w:rsid w:val="002E2F4F"/>
    <w:rsid w:val="002E4FD9"/>
    <w:rsid w:val="002E5690"/>
    <w:rsid w:val="002E6F15"/>
    <w:rsid w:val="002E7EA1"/>
    <w:rsid w:val="002F13FD"/>
    <w:rsid w:val="002F6C42"/>
    <w:rsid w:val="00300023"/>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1261"/>
    <w:rsid w:val="0036594E"/>
    <w:rsid w:val="003665EE"/>
    <w:rsid w:val="00366A24"/>
    <w:rsid w:val="00367115"/>
    <w:rsid w:val="0037010E"/>
    <w:rsid w:val="003734F4"/>
    <w:rsid w:val="00374F5E"/>
    <w:rsid w:val="0037755E"/>
    <w:rsid w:val="00377E2D"/>
    <w:rsid w:val="00377E3E"/>
    <w:rsid w:val="003815E8"/>
    <w:rsid w:val="003826F4"/>
    <w:rsid w:val="00386837"/>
    <w:rsid w:val="00387C3F"/>
    <w:rsid w:val="003906F8"/>
    <w:rsid w:val="00392A49"/>
    <w:rsid w:val="003A26D1"/>
    <w:rsid w:val="003A3B30"/>
    <w:rsid w:val="003A779E"/>
    <w:rsid w:val="003B005A"/>
    <w:rsid w:val="003B6898"/>
    <w:rsid w:val="003C1BFE"/>
    <w:rsid w:val="003C1C0E"/>
    <w:rsid w:val="003C3FA5"/>
    <w:rsid w:val="003C5109"/>
    <w:rsid w:val="003D0B0E"/>
    <w:rsid w:val="003D0F4D"/>
    <w:rsid w:val="003D5B0D"/>
    <w:rsid w:val="003E0499"/>
    <w:rsid w:val="003E40F2"/>
    <w:rsid w:val="003F3941"/>
    <w:rsid w:val="003F4BAF"/>
    <w:rsid w:val="00400676"/>
    <w:rsid w:val="004008A9"/>
    <w:rsid w:val="00405A3E"/>
    <w:rsid w:val="00406575"/>
    <w:rsid w:val="00407C75"/>
    <w:rsid w:val="00410906"/>
    <w:rsid w:val="004136D9"/>
    <w:rsid w:val="0041655A"/>
    <w:rsid w:val="0041694B"/>
    <w:rsid w:val="004202A7"/>
    <w:rsid w:val="00420B46"/>
    <w:rsid w:val="00426FD7"/>
    <w:rsid w:val="0042722E"/>
    <w:rsid w:val="00427DA0"/>
    <w:rsid w:val="00432CA2"/>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376B"/>
    <w:rsid w:val="00484809"/>
    <w:rsid w:val="00484BB1"/>
    <w:rsid w:val="00493392"/>
    <w:rsid w:val="004A0980"/>
    <w:rsid w:val="004A0B8B"/>
    <w:rsid w:val="004A1847"/>
    <w:rsid w:val="004A305D"/>
    <w:rsid w:val="004A3312"/>
    <w:rsid w:val="004A6D9B"/>
    <w:rsid w:val="004B53F1"/>
    <w:rsid w:val="004B703F"/>
    <w:rsid w:val="004B740F"/>
    <w:rsid w:val="004C4B37"/>
    <w:rsid w:val="004D026D"/>
    <w:rsid w:val="004D3A9E"/>
    <w:rsid w:val="004D46AB"/>
    <w:rsid w:val="004E181C"/>
    <w:rsid w:val="004E221E"/>
    <w:rsid w:val="004E2892"/>
    <w:rsid w:val="004E409A"/>
    <w:rsid w:val="004E4C0B"/>
    <w:rsid w:val="004E505B"/>
    <w:rsid w:val="004F21C4"/>
    <w:rsid w:val="004F2B72"/>
    <w:rsid w:val="004F3012"/>
    <w:rsid w:val="004F5559"/>
    <w:rsid w:val="004F5A86"/>
    <w:rsid w:val="004F685F"/>
    <w:rsid w:val="004F7EC9"/>
    <w:rsid w:val="0050343D"/>
    <w:rsid w:val="00504336"/>
    <w:rsid w:val="00504CBE"/>
    <w:rsid w:val="00511CEF"/>
    <w:rsid w:val="00514598"/>
    <w:rsid w:val="00515557"/>
    <w:rsid w:val="00515E1E"/>
    <w:rsid w:val="005163B5"/>
    <w:rsid w:val="00520604"/>
    <w:rsid w:val="00520C55"/>
    <w:rsid w:val="00521BE5"/>
    <w:rsid w:val="00523453"/>
    <w:rsid w:val="0052543A"/>
    <w:rsid w:val="0052785C"/>
    <w:rsid w:val="005310E5"/>
    <w:rsid w:val="00533E1B"/>
    <w:rsid w:val="00540C2D"/>
    <w:rsid w:val="00541793"/>
    <w:rsid w:val="00552502"/>
    <w:rsid w:val="005566E8"/>
    <w:rsid w:val="00560CB5"/>
    <w:rsid w:val="00562470"/>
    <w:rsid w:val="00564F8B"/>
    <w:rsid w:val="00571932"/>
    <w:rsid w:val="00574122"/>
    <w:rsid w:val="00574867"/>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2A5A"/>
    <w:rsid w:val="005C3777"/>
    <w:rsid w:val="005C5CDC"/>
    <w:rsid w:val="005C6939"/>
    <w:rsid w:val="005C7629"/>
    <w:rsid w:val="005D16B3"/>
    <w:rsid w:val="005D17C8"/>
    <w:rsid w:val="005D2649"/>
    <w:rsid w:val="005D2B2B"/>
    <w:rsid w:val="005D476C"/>
    <w:rsid w:val="005D4E83"/>
    <w:rsid w:val="005D5F91"/>
    <w:rsid w:val="005D60A1"/>
    <w:rsid w:val="005D75E8"/>
    <w:rsid w:val="005D7B25"/>
    <w:rsid w:val="005F0EE5"/>
    <w:rsid w:val="005F183C"/>
    <w:rsid w:val="005F7C43"/>
    <w:rsid w:val="005F7CC8"/>
    <w:rsid w:val="00601A06"/>
    <w:rsid w:val="00601D76"/>
    <w:rsid w:val="00604396"/>
    <w:rsid w:val="00605A00"/>
    <w:rsid w:val="00610812"/>
    <w:rsid w:val="00612CE7"/>
    <w:rsid w:val="006149EF"/>
    <w:rsid w:val="006219F8"/>
    <w:rsid w:val="0062252A"/>
    <w:rsid w:val="0063165E"/>
    <w:rsid w:val="0063166A"/>
    <w:rsid w:val="006322EC"/>
    <w:rsid w:val="00632C08"/>
    <w:rsid w:val="00636BF8"/>
    <w:rsid w:val="00650FF7"/>
    <w:rsid w:val="0065102E"/>
    <w:rsid w:val="00652AB3"/>
    <w:rsid w:val="0065556B"/>
    <w:rsid w:val="006569FB"/>
    <w:rsid w:val="0066361C"/>
    <w:rsid w:val="00664B4D"/>
    <w:rsid w:val="00665D70"/>
    <w:rsid w:val="00667199"/>
    <w:rsid w:val="00670A6E"/>
    <w:rsid w:val="00671DAC"/>
    <w:rsid w:val="0067390E"/>
    <w:rsid w:val="006747C7"/>
    <w:rsid w:val="00675E5F"/>
    <w:rsid w:val="00681ADF"/>
    <w:rsid w:val="006827AC"/>
    <w:rsid w:val="006859A3"/>
    <w:rsid w:val="00686B76"/>
    <w:rsid w:val="006871DF"/>
    <w:rsid w:val="006900D9"/>
    <w:rsid w:val="006A0008"/>
    <w:rsid w:val="006A0F0E"/>
    <w:rsid w:val="006A10DF"/>
    <w:rsid w:val="006A1EC1"/>
    <w:rsid w:val="006A2A1F"/>
    <w:rsid w:val="006A3147"/>
    <w:rsid w:val="006A7312"/>
    <w:rsid w:val="006B0310"/>
    <w:rsid w:val="006B3255"/>
    <w:rsid w:val="006B6F7B"/>
    <w:rsid w:val="006C0240"/>
    <w:rsid w:val="006C07EE"/>
    <w:rsid w:val="006C1E81"/>
    <w:rsid w:val="006C5595"/>
    <w:rsid w:val="006D12F8"/>
    <w:rsid w:val="006D1F00"/>
    <w:rsid w:val="006D465A"/>
    <w:rsid w:val="006E1ADC"/>
    <w:rsid w:val="006E480D"/>
    <w:rsid w:val="006E5452"/>
    <w:rsid w:val="006E6FD7"/>
    <w:rsid w:val="006F0D40"/>
    <w:rsid w:val="006F2501"/>
    <w:rsid w:val="006F3A51"/>
    <w:rsid w:val="006F7C51"/>
    <w:rsid w:val="00703916"/>
    <w:rsid w:val="00704D9B"/>
    <w:rsid w:val="00705E5F"/>
    <w:rsid w:val="00706C16"/>
    <w:rsid w:val="00707DC1"/>
    <w:rsid w:val="00711C85"/>
    <w:rsid w:val="0071287D"/>
    <w:rsid w:val="0071458F"/>
    <w:rsid w:val="0071627C"/>
    <w:rsid w:val="00717903"/>
    <w:rsid w:val="00723A7F"/>
    <w:rsid w:val="00725BB1"/>
    <w:rsid w:val="007312C3"/>
    <w:rsid w:val="00737C53"/>
    <w:rsid w:val="00737DFA"/>
    <w:rsid w:val="00737E63"/>
    <w:rsid w:val="0074034F"/>
    <w:rsid w:val="00744F76"/>
    <w:rsid w:val="0074688A"/>
    <w:rsid w:val="00751A8E"/>
    <w:rsid w:val="00752A44"/>
    <w:rsid w:val="0075663D"/>
    <w:rsid w:val="00756680"/>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2A7"/>
    <w:rsid w:val="007B7D02"/>
    <w:rsid w:val="007C03DB"/>
    <w:rsid w:val="007C0C0F"/>
    <w:rsid w:val="007C1E3A"/>
    <w:rsid w:val="007C3DC2"/>
    <w:rsid w:val="007D0457"/>
    <w:rsid w:val="007D387B"/>
    <w:rsid w:val="007D43C9"/>
    <w:rsid w:val="007D483A"/>
    <w:rsid w:val="007D7461"/>
    <w:rsid w:val="007E5497"/>
    <w:rsid w:val="007F1B26"/>
    <w:rsid w:val="007F28CA"/>
    <w:rsid w:val="007F52A4"/>
    <w:rsid w:val="007F60FB"/>
    <w:rsid w:val="007F7B94"/>
    <w:rsid w:val="008032C1"/>
    <w:rsid w:val="00804981"/>
    <w:rsid w:val="0080567E"/>
    <w:rsid w:val="00806F5F"/>
    <w:rsid w:val="008163D7"/>
    <w:rsid w:val="00820278"/>
    <w:rsid w:val="008202D9"/>
    <w:rsid w:val="008232D6"/>
    <w:rsid w:val="00826620"/>
    <w:rsid w:val="008305F9"/>
    <w:rsid w:val="00834554"/>
    <w:rsid w:val="00834B31"/>
    <w:rsid w:val="00835438"/>
    <w:rsid w:val="00840ADC"/>
    <w:rsid w:val="00843BF7"/>
    <w:rsid w:val="008449B3"/>
    <w:rsid w:val="00846276"/>
    <w:rsid w:val="00850E23"/>
    <w:rsid w:val="00851137"/>
    <w:rsid w:val="00853978"/>
    <w:rsid w:val="0085432F"/>
    <w:rsid w:val="0085509C"/>
    <w:rsid w:val="008551B8"/>
    <w:rsid w:val="00856B1B"/>
    <w:rsid w:val="00862224"/>
    <w:rsid w:val="00864209"/>
    <w:rsid w:val="00864806"/>
    <w:rsid w:val="008664CA"/>
    <w:rsid w:val="00866586"/>
    <w:rsid w:val="0087325B"/>
    <w:rsid w:val="0087504A"/>
    <w:rsid w:val="0087570A"/>
    <w:rsid w:val="00875ACC"/>
    <w:rsid w:val="00881939"/>
    <w:rsid w:val="00881ABA"/>
    <w:rsid w:val="008823A8"/>
    <w:rsid w:val="008843B6"/>
    <w:rsid w:val="00886C89"/>
    <w:rsid w:val="0088779F"/>
    <w:rsid w:val="00891928"/>
    <w:rsid w:val="00894B8B"/>
    <w:rsid w:val="0089556C"/>
    <w:rsid w:val="00895808"/>
    <w:rsid w:val="008A00A4"/>
    <w:rsid w:val="008A21CC"/>
    <w:rsid w:val="008A446D"/>
    <w:rsid w:val="008A522A"/>
    <w:rsid w:val="008A7A64"/>
    <w:rsid w:val="008A7F08"/>
    <w:rsid w:val="008B25DF"/>
    <w:rsid w:val="008B2F0E"/>
    <w:rsid w:val="008B37D7"/>
    <w:rsid w:val="008B3958"/>
    <w:rsid w:val="008B5A2E"/>
    <w:rsid w:val="008C0232"/>
    <w:rsid w:val="008C7645"/>
    <w:rsid w:val="008D180B"/>
    <w:rsid w:val="008D3302"/>
    <w:rsid w:val="008D7227"/>
    <w:rsid w:val="008E1F92"/>
    <w:rsid w:val="008E50B3"/>
    <w:rsid w:val="008E7333"/>
    <w:rsid w:val="008E7B09"/>
    <w:rsid w:val="008E7D98"/>
    <w:rsid w:val="008F0E69"/>
    <w:rsid w:val="008F0EA7"/>
    <w:rsid w:val="008F21E6"/>
    <w:rsid w:val="008F7BB9"/>
    <w:rsid w:val="009029F9"/>
    <w:rsid w:val="00904692"/>
    <w:rsid w:val="00910097"/>
    <w:rsid w:val="00911C7C"/>
    <w:rsid w:val="00913DBA"/>
    <w:rsid w:val="0091561E"/>
    <w:rsid w:val="0091613A"/>
    <w:rsid w:val="00923BBB"/>
    <w:rsid w:val="00923EEF"/>
    <w:rsid w:val="00924FEE"/>
    <w:rsid w:val="00927CAA"/>
    <w:rsid w:val="00931BB5"/>
    <w:rsid w:val="00935BFB"/>
    <w:rsid w:val="0093793E"/>
    <w:rsid w:val="009411F5"/>
    <w:rsid w:val="009419F9"/>
    <w:rsid w:val="00944E84"/>
    <w:rsid w:val="00953AA4"/>
    <w:rsid w:val="00955305"/>
    <w:rsid w:val="00956664"/>
    <w:rsid w:val="0095685E"/>
    <w:rsid w:val="00956E12"/>
    <w:rsid w:val="009572D9"/>
    <w:rsid w:val="009600D2"/>
    <w:rsid w:val="00961409"/>
    <w:rsid w:val="00961B09"/>
    <w:rsid w:val="00962300"/>
    <w:rsid w:val="00962A07"/>
    <w:rsid w:val="00963186"/>
    <w:rsid w:val="00965334"/>
    <w:rsid w:val="00967DCC"/>
    <w:rsid w:val="0097093E"/>
    <w:rsid w:val="00972768"/>
    <w:rsid w:val="00976025"/>
    <w:rsid w:val="009800BE"/>
    <w:rsid w:val="00982BD4"/>
    <w:rsid w:val="00982E41"/>
    <w:rsid w:val="00984649"/>
    <w:rsid w:val="009858BE"/>
    <w:rsid w:val="00985937"/>
    <w:rsid w:val="00986BA8"/>
    <w:rsid w:val="00994041"/>
    <w:rsid w:val="009A0DFA"/>
    <w:rsid w:val="009A3C2C"/>
    <w:rsid w:val="009A4A40"/>
    <w:rsid w:val="009A6402"/>
    <w:rsid w:val="009B0A7A"/>
    <w:rsid w:val="009B2D26"/>
    <w:rsid w:val="009B780F"/>
    <w:rsid w:val="009C00CC"/>
    <w:rsid w:val="009C0C09"/>
    <w:rsid w:val="009C2DD0"/>
    <w:rsid w:val="009C3AC7"/>
    <w:rsid w:val="009C506B"/>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142A"/>
    <w:rsid w:val="00A23361"/>
    <w:rsid w:val="00A24433"/>
    <w:rsid w:val="00A2443A"/>
    <w:rsid w:val="00A246FA"/>
    <w:rsid w:val="00A332DD"/>
    <w:rsid w:val="00A339A9"/>
    <w:rsid w:val="00A33C78"/>
    <w:rsid w:val="00A34630"/>
    <w:rsid w:val="00A34B38"/>
    <w:rsid w:val="00A34D87"/>
    <w:rsid w:val="00A35538"/>
    <w:rsid w:val="00A3764D"/>
    <w:rsid w:val="00A37BC4"/>
    <w:rsid w:val="00A42050"/>
    <w:rsid w:val="00A43292"/>
    <w:rsid w:val="00A43975"/>
    <w:rsid w:val="00A445C0"/>
    <w:rsid w:val="00A46619"/>
    <w:rsid w:val="00A466EE"/>
    <w:rsid w:val="00A50E16"/>
    <w:rsid w:val="00A56FCA"/>
    <w:rsid w:val="00A6004A"/>
    <w:rsid w:val="00A613C2"/>
    <w:rsid w:val="00A617AC"/>
    <w:rsid w:val="00A63222"/>
    <w:rsid w:val="00A74DE6"/>
    <w:rsid w:val="00A8086A"/>
    <w:rsid w:val="00A80F32"/>
    <w:rsid w:val="00A8160E"/>
    <w:rsid w:val="00A81CDB"/>
    <w:rsid w:val="00A84898"/>
    <w:rsid w:val="00A85D57"/>
    <w:rsid w:val="00A87F7D"/>
    <w:rsid w:val="00A9244C"/>
    <w:rsid w:val="00A94D14"/>
    <w:rsid w:val="00AA5784"/>
    <w:rsid w:val="00AA77B6"/>
    <w:rsid w:val="00AB0ADB"/>
    <w:rsid w:val="00AB3FD1"/>
    <w:rsid w:val="00AB6C82"/>
    <w:rsid w:val="00AC0EAB"/>
    <w:rsid w:val="00AC1435"/>
    <w:rsid w:val="00AC1F8F"/>
    <w:rsid w:val="00AC4701"/>
    <w:rsid w:val="00AC49A2"/>
    <w:rsid w:val="00AC6FA5"/>
    <w:rsid w:val="00AD0483"/>
    <w:rsid w:val="00AD6288"/>
    <w:rsid w:val="00AD6CC3"/>
    <w:rsid w:val="00AD73E2"/>
    <w:rsid w:val="00AE2631"/>
    <w:rsid w:val="00AE3418"/>
    <w:rsid w:val="00AF1BEC"/>
    <w:rsid w:val="00AF58CB"/>
    <w:rsid w:val="00B009B8"/>
    <w:rsid w:val="00B01B1A"/>
    <w:rsid w:val="00B052CF"/>
    <w:rsid w:val="00B10F38"/>
    <w:rsid w:val="00B1354A"/>
    <w:rsid w:val="00B14E03"/>
    <w:rsid w:val="00B24457"/>
    <w:rsid w:val="00B26611"/>
    <w:rsid w:val="00B2672B"/>
    <w:rsid w:val="00B26B98"/>
    <w:rsid w:val="00B31A3F"/>
    <w:rsid w:val="00B31C7B"/>
    <w:rsid w:val="00B35ADC"/>
    <w:rsid w:val="00B37C24"/>
    <w:rsid w:val="00B405F1"/>
    <w:rsid w:val="00B40FBC"/>
    <w:rsid w:val="00B41B81"/>
    <w:rsid w:val="00B41DF7"/>
    <w:rsid w:val="00B421F5"/>
    <w:rsid w:val="00B46F27"/>
    <w:rsid w:val="00B47FD7"/>
    <w:rsid w:val="00B51F75"/>
    <w:rsid w:val="00B52CDB"/>
    <w:rsid w:val="00B53E27"/>
    <w:rsid w:val="00B54675"/>
    <w:rsid w:val="00B55136"/>
    <w:rsid w:val="00B558AF"/>
    <w:rsid w:val="00B6105C"/>
    <w:rsid w:val="00B615BA"/>
    <w:rsid w:val="00B622E7"/>
    <w:rsid w:val="00B62D8B"/>
    <w:rsid w:val="00B65805"/>
    <w:rsid w:val="00B72BA3"/>
    <w:rsid w:val="00B72CD3"/>
    <w:rsid w:val="00B72FFF"/>
    <w:rsid w:val="00B73EB6"/>
    <w:rsid w:val="00B76CEB"/>
    <w:rsid w:val="00B8257D"/>
    <w:rsid w:val="00B828EF"/>
    <w:rsid w:val="00B82B8B"/>
    <w:rsid w:val="00B86982"/>
    <w:rsid w:val="00B86FE2"/>
    <w:rsid w:val="00B870CD"/>
    <w:rsid w:val="00B878ED"/>
    <w:rsid w:val="00B87F69"/>
    <w:rsid w:val="00B91186"/>
    <w:rsid w:val="00B93423"/>
    <w:rsid w:val="00B96213"/>
    <w:rsid w:val="00BA2EF4"/>
    <w:rsid w:val="00BA7850"/>
    <w:rsid w:val="00BC0036"/>
    <w:rsid w:val="00BC05A6"/>
    <w:rsid w:val="00BC3D36"/>
    <w:rsid w:val="00BC4B34"/>
    <w:rsid w:val="00BD279A"/>
    <w:rsid w:val="00BD39BA"/>
    <w:rsid w:val="00BD7F72"/>
    <w:rsid w:val="00BE03BC"/>
    <w:rsid w:val="00BE0A18"/>
    <w:rsid w:val="00BE12F9"/>
    <w:rsid w:val="00BE2120"/>
    <w:rsid w:val="00BE2377"/>
    <w:rsid w:val="00BE7308"/>
    <w:rsid w:val="00BE7DBA"/>
    <w:rsid w:val="00BF0437"/>
    <w:rsid w:val="00BF1201"/>
    <w:rsid w:val="00BF1D4A"/>
    <w:rsid w:val="00BF230F"/>
    <w:rsid w:val="00BF714A"/>
    <w:rsid w:val="00C002E3"/>
    <w:rsid w:val="00C012CC"/>
    <w:rsid w:val="00C04FB3"/>
    <w:rsid w:val="00C05FE1"/>
    <w:rsid w:val="00C10179"/>
    <w:rsid w:val="00C147D0"/>
    <w:rsid w:val="00C159C1"/>
    <w:rsid w:val="00C16346"/>
    <w:rsid w:val="00C203C2"/>
    <w:rsid w:val="00C21B15"/>
    <w:rsid w:val="00C23C5E"/>
    <w:rsid w:val="00C26980"/>
    <w:rsid w:val="00C27B8B"/>
    <w:rsid w:val="00C32523"/>
    <w:rsid w:val="00C330EB"/>
    <w:rsid w:val="00C371C9"/>
    <w:rsid w:val="00C40E9F"/>
    <w:rsid w:val="00C41481"/>
    <w:rsid w:val="00C42469"/>
    <w:rsid w:val="00C46D91"/>
    <w:rsid w:val="00C47A07"/>
    <w:rsid w:val="00C57281"/>
    <w:rsid w:val="00C65D65"/>
    <w:rsid w:val="00C66566"/>
    <w:rsid w:val="00C67703"/>
    <w:rsid w:val="00C7173F"/>
    <w:rsid w:val="00C730B6"/>
    <w:rsid w:val="00C754BE"/>
    <w:rsid w:val="00C76466"/>
    <w:rsid w:val="00C76B1C"/>
    <w:rsid w:val="00C81FB1"/>
    <w:rsid w:val="00C84561"/>
    <w:rsid w:val="00C915DD"/>
    <w:rsid w:val="00C91B94"/>
    <w:rsid w:val="00CA0B15"/>
    <w:rsid w:val="00CA6A9D"/>
    <w:rsid w:val="00CA7F6B"/>
    <w:rsid w:val="00CA7FB6"/>
    <w:rsid w:val="00CB3853"/>
    <w:rsid w:val="00CB6357"/>
    <w:rsid w:val="00CB7326"/>
    <w:rsid w:val="00CC0FA3"/>
    <w:rsid w:val="00CC1B26"/>
    <w:rsid w:val="00CC4010"/>
    <w:rsid w:val="00CC49F7"/>
    <w:rsid w:val="00CC54DB"/>
    <w:rsid w:val="00CD087D"/>
    <w:rsid w:val="00CD1702"/>
    <w:rsid w:val="00CD1DD6"/>
    <w:rsid w:val="00CD4073"/>
    <w:rsid w:val="00CD41CB"/>
    <w:rsid w:val="00CD5EE0"/>
    <w:rsid w:val="00CD7A71"/>
    <w:rsid w:val="00CE509A"/>
    <w:rsid w:val="00CE5414"/>
    <w:rsid w:val="00CF1287"/>
    <w:rsid w:val="00CF7826"/>
    <w:rsid w:val="00D0157A"/>
    <w:rsid w:val="00D036D8"/>
    <w:rsid w:val="00D038ED"/>
    <w:rsid w:val="00D04446"/>
    <w:rsid w:val="00D06D26"/>
    <w:rsid w:val="00D10199"/>
    <w:rsid w:val="00D10B75"/>
    <w:rsid w:val="00D13351"/>
    <w:rsid w:val="00D13EA0"/>
    <w:rsid w:val="00D15E13"/>
    <w:rsid w:val="00D15E25"/>
    <w:rsid w:val="00D16D7E"/>
    <w:rsid w:val="00D17114"/>
    <w:rsid w:val="00D20368"/>
    <w:rsid w:val="00D2103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5566"/>
    <w:rsid w:val="00D7609E"/>
    <w:rsid w:val="00D81A63"/>
    <w:rsid w:val="00D81D25"/>
    <w:rsid w:val="00D85C60"/>
    <w:rsid w:val="00D908FC"/>
    <w:rsid w:val="00D94C40"/>
    <w:rsid w:val="00DA231B"/>
    <w:rsid w:val="00DA23A0"/>
    <w:rsid w:val="00DA7F66"/>
    <w:rsid w:val="00DB186F"/>
    <w:rsid w:val="00DB1CA2"/>
    <w:rsid w:val="00DB322A"/>
    <w:rsid w:val="00DB5175"/>
    <w:rsid w:val="00DC0336"/>
    <w:rsid w:val="00DC39FC"/>
    <w:rsid w:val="00DC4385"/>
    <w:rsid w:val="00DC484F"/>
    <w:rsid w:val="00DC4C27"/>
    <w:rsid w:val="00DC51BC"/>
    <w:rsid w:val="00DC793F"/>
    <w:rsid w:val="00DC7D35"/>
    <w:rsid w:val="00DE0D10"/>
    <w:rsid w:val="00DE4629"/>
    <w:rsid w:val="00DF11FD"/>
    <w:rsid w:val="00DF4CB2"/>
    <w:rsid w:val="00DF5254"/>
    <w:rsid w:val="00DF6AE7"/>
    <w:rsid w:val="00DF7BE3"/>
    <w:rsid w:val="00E0065E"/>
    <w:rsid w:val="00E12426"/>
    <w:rsid w:val="00E16408"/>
    <w:rsid w:val="00E1678E"/>
    <w:rsid w:val="00E20894"/>
    <w:rsid w:val="00E208C8"/>
    <w:rsid w:val="00E245AB"/>
    <w:rsid w:val="00E26239"/>
    <w:rsid w:val="00E2764C"/>
    <w:rsid w:val="00E27F2E"/>
    <w:rsid w:val="00E35D0E"/>
    <w:rsid w:val="00E377A2"/>
    <w:rsid w:val="00E413EA"/>
    <w:rsid w:val="00E45B7D"/>
    <w:rsid w:val="00E47F28"/>
    <w:rsid w:val="00E50AFE"/>
    <w:rsid w:val="00E52E49"/>
    <w:rsid w:val="00E53447"/>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A2C"/>
    <w:rsid w:val="00EC1FE1"/>
    <w:rsid w:val="00EC38A7"/>
    <w:rsid w:val="00ED042A"/>
    <w:rsid w:val="00ED0D4A"/>
    <w:rsid w:val="00ED2F67"/>
    <w:rsid w:val="00ED7AD8"/>
    <w:rsid w:val="00EE1AA8"/>
    <w:rsid w:val="00EF26C3"/>
    <w:rsid w:val="00EF419E"/>
    <w:rsid w:val="00EF489F"/>
    <w:rsid w:val="00F07875"/>
    <w:rsid w:val="00F11213"/>
    <w:rsid w:val="00F11BAA"/>
    <w:rsid w:val="00F12913"/>
    <w:rsid w:val="00F1445A"/>
    <w:rsid w:val="00F14B48"/>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22AE"/>
    <w:rsid w:val="00F5391F"/>
    <w:rsid w:val="00F55081"/>
    <w:rsid w:val="00F55168"/>
    <w:rsid w:val="00F5664F"/>
    <w:rsid w:val="00F626C4"/>
    <w:rsid w:val="00F643DF"/>
    <w:rsid w:val="00F64D9E"/>
    <w:rsid w:val="00F665D0"/>
    <w:rsid w:val="00F666C4"/>
    <w:rsid w:val="00F73DB7"/>
    <w:rsid w:val="00F7684C"/>
    <w:rsid w:val="00F76AFC"/>
    <w:rsid w:val="00F80CBE"/>
    <w:rsid w:val="00F82FD5"/>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B77"/>
    <w:rsid w:val="00FE7D2F"/>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6922BF7B-D604-4697-B359-3BC9426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F3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B3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3348">
      <w:bodyDiv w:val="1"/>
      <w:marLeft w:val="0"/>
      <w:marRight w:val="0"/>
      <w:marTop w:val="0"/>
      <w:marBottom w:val="0"/>
      <w:divBdr>
        <w:top w:val="none" w:sz="0" w:space="0" w:color="auto"/>
        <w:left w:val="none" w:sz="0" w:space="0" w:color="auto"/>
        <w:bottom w:val="none" w:sz="0" w:space="0" w:color="auto"/>
        <w:right w:val="none" w:sz="0" w:space="0" w:color="auto"/>
      </w:divBdr>
    </w:div>
    <w:div w:id="126630223">
      <w:bodyDiv w:val="1"/>
      <w:marLeft w:val="0"/>
      <w:marRight w:val="0"/>
      <w:marTop w:val="0"/>
      <w:marBottom w:val="0"/>
      <w:divBdr>
        <w:top w:val="none" w:sz="0" w:space="0" w:color="auto"/>
        <w:left w:val="none" w:sz="0" w:space="0" w:color="auto"/>
        <w:bottom w:val="none" w:sz="0" w:space="0" w:color="auto"/>
        <w:right w:val="none" w:sz="0" w:space="0" w:color="auto"/>
      </w:divBdr>
    </w:div>
    <w:div w:id="199829369">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0016685">
      <w:bodyDiv w:val="1"/>
      <w:marLeft w:val="0"/>
      <w:marRight w:val="0"/>
      <w:marTop w:val="0"/>
      <w:marBottom w:val="0"/>
      <w:divBdr>
        <w:top w:val="none" w:sz="0" w:space="0" w:color="auto"/>
        <w:left w:val="none" w:sz="0" w:space="0" w:color="auto"/>
        <w:bottom w:val="none" w:sz="0" w:space="0" w:color="auto"/>
        <w:right w:val="none" w:sz="0" w:space="0" w:color="auto"/>
      </w:divBdr>
      <w:divsChild>
        <w:div w:id="465241220">
          <w:marLeft w:val="0"/>
          <w:marRight w:val="0"/>
          <w:marTop w:val="0"/>
          <w:marBottom w:val="0"/>
          <w:divBdr>
            <w:top w:val="none" w:sz="0" w:space="0" w:color="auto"/>
            <w:left w:val="none" w:sz="0" w:space="0" w:color="auto"/>
            <w:bottom w:val="none" w:sz="0" w:space="0" w:color="auto"/>
            <w:right w:val="none" w:sz="0" w:space="0" w:color="auto"/>
          </w:divBdr>
        </w:div>
        <w:div w:id="1293293754">
          <w:marLeft w:val="0"/>
          <w:marRight w:val="0"/>
          <w:marTop w:val="0"/>
          <w:marBottom w:val="0"/>
          <w:divBdr>
            <w:top w:val="none" w:sz="0" w:space="0" w:color="auto"/>
            <w:left w:val="none" w:sz="0" w:space="0" w:color="auto"/>
            <w:bottom w:val="none" w:sz="0" w:space="0" w:color="auto"/>
            <w:right w:val="none" w:sz="0" w:space="0" w:color="auto"/>
          </w:divBdr>
        </w:div>
      </w:divsChild>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493180265">
      <w:bodyDiv w:val="1"/>
      <w:marLeft w:val="0"/>
      <w:marRight w:val="0"/>
      <w:marTop w:val="0"/>
      <w:marBottom w:val="0"/>
      <w:divBdr>
        <w:top w:val="none" w:sz="0" w:space="0" w:color="auto"/>
        <w:left w:val="none" w:sz="0" w:space="0" w:color="auto"/>
        <w:bottom w:val="none" w:sz="0" w:space="0" w:color="auto"/>
        <w:right w:val="none" w:sz="0" w:space="0" w:color="auto"/>
      </w:divBdr>
      <w:divsChild>
        <w:div w:id="1080754714">
          <w:marLeft w:val="0"/>
          <w:marRight w:val="0"/>
          <w:marTop w:val="0"/>
          <w:marBottom w:val="0"/>
          <w:divBdr>
            <w:top w:val="none" w:sz="0" w:space="0" w:color="auto"/>
            <w:left w:val="none" w:sz="0" w:space="0" w:color="auto"/>
            <w:bottom w:val="none" w:sz="0" w:space="0" w:color="auto"/>
            <w:right w:val="none" w:sz="0" w:space="0" w:color="auto"/>
          </w:divBdr>
        </w:div>
        <w:div w:id="1112440676">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92127646">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195776917">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4871997">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54995686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677802067">
      <w:bodyDiv w:val="1"/>
      <w:marLeft w:val="0"/>
      <w:marRight w:val="0"/>
      <w:marTop w:val="0"/>
      <w:marBottom w:val="0"/>
      <w:divBdr>
        <w:top w:val="none" w:sz="0" w:space="0" w:color="auto"/>
        <w:left w:val="none" w:sz="0" w:space="0" w:color="auto"/>
        <w:bottom w:val="none" w:sz="0" w:space="0" w:color="auto"/>
        <w:right w:val="none" w:sz="0" w:space="0" w:color="auto"/>
      </w:divBdr>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86648493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ersoneria@sucre-santander.gov.co"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lejandro.gamboa%40colombiacompra.gov.co%7Ceb0fd05604104aa4d3bc08dd4c4ad35e%7C7b09041e245149d08cb179d5e3d8c1be%7C0%7C0%7C638750606450289171%7CUnknown%7CTWFpbGZsb3d8eyJFbXB0eU1hcGkiOnRydWUsIlYiOiIwLjAuMDAwMCIsIlAiOiJXaW4zMiIsIkFOIjoiTWFpbCIsIldUIjoyfQ%3D%3D%7C0%7C%7C%7C&amp;sdata=2HC4Z7Kh3a1i3CjDiQ1EZpoGsR938A8OplCKLBXdhJg%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alejandro.gamboa%40colombiacompra.gov.co%7Ceb0fd05604104aa4d3bc08dd4c4ad35e%7C7b09041e245149d08cb179d5e3d8c1be%7C0%7C0%7C638750606450272829%7CUnknown%7CTWFpbGZsb3d8eyJFbXB0eU1hcGkiOnRydWUsIlYiOiIwLjAuMDAwMCIsIlAiOiJXaW4zMiIsIkFOIjoiTWFpbCIsIldUIjoyfQ%3D%3D%7C0%7C%7C%7C&amp;sdata=u1Dq3BYPlFzCuSMREHt62SAJywkL2Ktbw2iade%2FYh6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lexbase.biz/lexbase/normas/leyes/1993/L0080de1993.htm" TargetMode="External"/><Relationship Id="rId2" Type="http://schemas.openxmlformats.org/officeDocument/2006/relationships/hyperlink" Target="http://www.lexbase.biz/lexbase/normas/leyes/1993/L0080de1993.htm" TargetMode="External"/><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3A234CB0-CA59-4A58-8ECC-2AC4AF23D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22</Pages>
  <Words>7044</Words>
  <Characters>40157</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2023-01-10T21:18:00Z</cp:lastPrinted>
  <dcterms:created xsi:type="dcterms:W3CDTF">2025-06-10T01:24:00Z</dcterms:created>
  <dcterms:modified xsi:type="dcterms:W3CDTF">2025-06-10T12:41:00Z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