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B7ADB" w14:textId="77777777" w:rsidR="00E27BDF" w:rsidRDefault="006C0DA8">
      <w:pPr>
        <w:jc w:val="right"/>
        <w:rPr>
          <w:rFonts w:ascii="Arial" w:eastAsia="Arial" w:hAnsi="Arial" w:cs="Arial"/>
          <w:b/>
          <w:color w:val="000000"/>
          <w:sz w:val="16"/>
          <w:szCs w:val="16"/>
        </w:rPr>
      </w:pPr>
      <w:bookmarkStart w:id="0" w:name="_gjdgxs" w:colFirst="0" w:colLast="0"/>
      <w:bookmarkEnd w:id="0"/>
      <w:r>
        <w:rPr>
          <w:rFonts w:ascii="Arial" w:eastAsia="Arial" w:hAnsi="Arial" w:cs="Arial"/>
          <w:b/>
          <w:color w:val="000000"/>
          <w:sz w:val="16"/>
          <w:szCs w:val="16"/>
        </w:rPr>
        <w:t xml:space="preserve"> </w:t>
      </w:r>
    </w:p>
    <w:p w14:paraId="72B4F0CF" w14:textId="77777777" w:rsidR="00E27BDF" w:rsidRPr="00342184" w:rsidRDefault="006C0DA8">
      <w:pPr>
        <w:jc w:val="right"/>
        <w:rPr>
          <w:rFonts w:ascii="Arial" w:eastAsia="Arial" w:hAnsi="Arial" w:cs="Arial"/>
          <w:b/>
          <w:color w:val="000000"/>
          <w:sz w:val="16"/>
          <w:szCs w:val="16"/>
        </w:rPr>
      </w:pPr>
      <w:r>
        <w:rPr>
          <w:rFonts w:ascii="Arial" w:eastAsia="Arial" w:hAnsi="Arial" w:cs="Arial"/>
          <w:b/>
          <w:color w:val="000000"/>
          <w:sz w:val="16"/>
          <w:szCs w:val="16"/>
        </w:rPr>
        <w:tab/>
      </w:r>
      <w:r w:rsidRPr="00342184">
        <w:rPr>
          <w:rFonts w:ascii="Arial" w:eastAsia="Arial" w:hAnsi="Arial" w:cs="Arial"/>
          <w:b/>
          <w:color w:val="000000"/>
          <w:sz w:val="16"/>
          <w:szCs w:val="16"/>
        </w:rPr>
        <w:t>CCE-DES-FM-17</w:t>
      </w:r>
    </w:p>
    <w:p w14:paraId="22871975" w14:textId="77777777" w:rsidR="00E27BDF" w:rsidRPr="00342184" w:rsidRDefault="00E27BDF">
      <w:pPr>
        <w:jc w:val="right"/>
        <w:rPr>
          <w:rFonts w:ascii="Arial" w:eastAsia="Arial" w:hAnsi="Arial" w:cs="Arial"/>
          <w:b/>
          <w:color w:val="000000"/>
          <w:sz w:val="16"/>
          <w:szCs w:val="16"/>
        </w:rPr>
      </w:pPr>
    </w:p>
    <w:p w14:paraId="33E8527B" w14:textId="7FD716FE"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MIPYME</w:t>
      </w:r>
      <w:r w:rsidR="00F40E78">
        <w:rPr>
          <w:rFonts w:ascii="Arial" w:eastAsia="Arial" w:hAnsi="Arial" w:cs="Arial"/>
          <w:b/>
          <w:color w:val="000000"/>
          <w:sz w:val="22"/>
          <w:szCs w:val="22"/>
        </w:rPr>
        <w:t xml:space="preserve">S – Noción </w:t>
      </w:r>
      <w:r w:rsidR="00F40E78">
        <w:rPr>
          <w:rFonts w:ascii="Arial" w:hAnsi="Arial" w:cs="Arial"/>
          <w:b/>
          <w:sz w:val="22"/>
        </w:rPr>
        <w:t>– A</w:t>
      </w:r>
      <w:r w:rsidRPr="00342184">
        <w:rPr>
          <w:rFonts w:ascii="Arial" w:eastAsia="Arial" w:hAnsi="Arial" w:cs="Arial"/>
          <w:b/>
          <w:color w:val="000000"/>
          <w:sz w:val="22"/>
          <w:szCs w:val="22"/>
        </w:rPr>
        <w:t>lcance</w:t>
      </w:r>
      <w:r w:rsidRPr="00342184">
        <w:rPr>
          <w:rFonts w:ascii="Arial" w:eastAsia="Arial" w:hAnsi="Arial" w:cs="Arial"/>
          <w:color w:val="000000"/>
          <w:sz w:val="22"/>
          <w:szCs w:val="22"/>
        </w:rPr>
        <w:t xml:space="preserve"> </w:t>
      </w:r>
    </w:p>
    <w:p w14:paraId="72B0FC44" w14:textId="77777777" w:rsidR="00E27BDF" w:rsidRPr="00342184" w:rsidRDefault="00E27BDF">
      <w:pPr>
        <w:jc w:val="both"/>
        <w:rPr>
          <w:rFonts w:ascii="Arial" w:eastAsia="Arial" w:hAnsi="Arial" w:cs="Arial"/>
          <w:color w:val="000000"/>
          <w:sz w:val="21"/>
          <w:szCs w:val="21"/>
        </w:rPr>
      </w:pPr>
    </w:p>
    <w:p w14:paraId="0ACAB6C4" w14:textId="77777777" w:rsidR="00E27BDF" w:rsidRPr="00342184" w:rsidRDefault="006C0DA8">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 Pequeña y Mediana Empresa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1DD22CA3"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23071BDE" w14:textId="77777777" w:rsidR="00E27BDF" w:rsidRPr="00342184" w:rsidRDefault="00E27BDF">
      <w:pPr>
        <w:jc w:val="both"/>
        <w:rPr>
          <w:rFonts w:ascii="Arial" w:eastAsia="Arial" w:hAnsi="Arial" w:cs="Arial"/>
          <w:b/>
          <w:color w:val="000000"/>
          <w:sz w:val="21"/>
          <w:szCs w:val="21"/>
        </w:rPr>
      </w:pPr>
    </w:p>
    <w:p w14:paraId="62C4E565" w14:textId="77777777"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MIPYMES – Incentivos contractuales </w:t>
      </w:r>
    </w:p>
    <w:p w14:paraId="36A1340D" w14:textId="77777777" w:rsidR="00E27BDF" w:rsidRPr="00342184" w:rsidRDefault="00E27BDF">
      <w:pPr>
        <w:jc w:val="both"/>
        <w:rPr>
          <w:rFonts w:ascii="Arial" w:eastAsia="Arial" w:hAnsi="Arial" w:cs="Arial"/>
          <w:b/>
          <w:color w:val="000000"/>
          <w:sz w:val="22"/>
          <w:szCs w:val="22"/>
        </w:rPr>
      </w:pPr>
    </w:p>
    <w:p w14:paraId="6156A0D3"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 xml:space="preserve">A través del Decreto 1082 de 2015, el Gobierno Nacional reglamentó el artículo 12 de la Ley 1150 de 2007 ─posteriormente modificado por el artículo 32 de la Ley 1450 de 2011─, adoptando medidas para incentivar la contratación pública, dentro de las que se pueden resaltar la «limitación territorial»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y las «convocatorias limitadas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contenidas, respectivamente, en los artículos 2.2.1.2.4.2.3.  y 2.2.1.2.4.2.2. del Decreto 1082 de 2015.</w:t>
      </w:r>
    </w:p>
    <w:p w14:paraId="5364B124" w14:textId="77777777" w:rsidR="00E27BDF" w:rsidRPr="00342184" w:rsidRDefault="00E27BDF">
      <w:pPr>
        <w:jc w:val="both"/>
        <w:rPr>
          <w:rFonts w:ascii="Arial" w:eastAsia="Arial" w:hAnsi="Arial" w:cs="Arial"/>
          <w:color w:val="000000"/>
          <w:sz w:val="21"/>
          <w:szCs w:val="21"/>
        </w:rPr>
      </w:pPr>
    </w:p>
    <w:p w14:paraId="58ECA0E5" w14:textId="0E327308"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MIPYMES NACIONALES – Inexistencia </w:t>
      </w:r>
      <w:r w:rsidR="00F40E78">
        <w:rPr>
          <w:rFonts w:ascii="Arial" w:hAnsi="Arial" w:cs="Arial"/>
          <w:b/>
          <w:sz w:val="22"/>
        </w:rPr>
        <w:t xml:space="preserve">– </w:t>
      </w:r>
      <w:proofErr w:type="spellStart"/>
      <w:r w:rsidRPr="00342184">
        <w:rPr>
          <w:rFonts w:ascii="Arial" w:eastAsia="Arial" w:hAnsi="Arial" w:cs="Arial"/>
          <w:b/>
          <w:color w:val="000000"/>
          <w:sz w:val="22"/>
          <w:szCs w:val="22"/>
        </w:rPr>
        <w:t>Mipymes</w:t>
      </w:r>
      <w:proofErr w:type="spellEnd"/>
      <w:r w:rsidRPr="00342184">
        <w:rPr>
          <w:rFonts w:ascii="Arial" w:eastAsia="Arial" w:hAnsi="Arial" w:cs="Arial"/>
          <w:b/>
          <w:color w:val="000000"/>
          <w:sz w:val="22"/>
          <w:szCs w:val="22"/>
        </w:rPr>
        <w:t xml:space="preserve"> del orden territorial</w:t>
      </w:r>
    </w:p>
    <w:p w14:paraId="08E563D6" w14:textId="77777777" w:rsidR="00E27BDF" w:rsidRPr="00342184" w:rsidRDefault="00E27BDF">
      <w:pPr>
        <w:jc w:val="both"/>
        <w:rPr>
          <w:rFonts w:ascii="Arial" w:eastAsia="Arial" w:hAnsi="Arial" w:cs="Arial"/>
          <w:b/>
          <w:color w:val="000000"/>
          <w:sz w:val="21"/>
          <w:szCs w:val="21"/>
        </w:rPr>
      </w:pPr>
    </w:p>
    <w:p w14:paraId="6333B8C5"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 xml:space="preserve">Los artículos 2.2.1.2.4.2.3. y 2.2.1.2.4.2.2. del Decreto 1082 de 2015 se refieren a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genéricamente y, particularmente, a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«domiciliadas en los departamentos o municipios en donde se va a ejecutar el contrato». En ambos casos se refiere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distinguiéndolas de las empresas extranjeras. Del artículo 2.2.1.2.4.2.3. del Decreto 1082 de 2015 no se deriva que existan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del orden nacional. Otra cosa es que las normas de contratación permitan que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con «domicilio» en un municipio o departamento puedan beneficiarse en la ejecución de un contrato dentro de la entidad territorial en la que tienen su «domicilio». De todos modos,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domiciliadas en un municipio o departamento son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En consecuencia, no es procedente distinguir entre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y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municipales o departamentales, habida cuenta que estas últimas no existen como categoría dentro del ordenamiento normativo.</w:t>
      </w:r>
    </w:p>
    <w:p w14:paraId="524447F7" w14:textId="77777777" w:rsidR="00E27BDF" w:rsidRPr="00342184" w:rsidRDefault="00E27BDF">
      <w:pPr>
        <w:jc w:val="both"/>
        <w:rPr>
          <w:rFonts w:ascii="Arial" w:eastAsia="Arial" w:hAnsi="Arial" w:cs="Arial"/>
          <w:color w:val="000000"/>
          <w:sz w:val="21"/>
          <w:szCs w:val="21"/>
        </w:rPr>
      </w:pPr>
    </w:p>
    <w:p w14:paraId="2089A5E0" w14:textId="77777777"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CONVOCATORIAS LIMITADAS A MIPYMES NACIONALES – Requisitos</w:t>
      </w:r>
    </w:p>
    <w:p w14:paraId="5BAD3F5E" w14:textId="77777777" w:rsidR="00E27BDF" w:rsidRPr="00342184" w:rsidRDefault="00E27BDF">
      <w:pPr>
        <w:jc w:val="both"/>
        <w:rPr>
          <w:rFonts w:ascii="Arial" w:eastAsia="Arial" w:hAnsi="Arial" w:cs="Arial"/>
          <w:b/>
          <w:color w:val="000000"/>
          <w:sz w:val="21"/>
          <w:szCs w:val="21"/>
        </w:rPr>
      </w:pPr>
    </w:p>
    <w:p w14:paraId="2064CD72" w14:textId="77777777" w:rsidR="00E27BDF" w:rsidRPr="00342184" w:rsidRDefault="006C0DA8">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 xml:space="preserve">El artículo 2.2.1.2.4.2.2. del Decreto 1082 de 2015 establece los requisitos a acreditar en las «convocatorias limitadas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El numeral primero limita cuantitativamente los procesos contractuales en los que se puede hacer la «convocatoria limitada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562A4F27"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lastRenderedPageBreak/>
        <w:t xml:space="preserve">El numeral segundo establece dos exigencias: por un lado, que al menos tres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presenten la solicitud formal de limitar el proceso contractual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y, por el otro, que estas deben hacer dicha solicitud por lo menos un día antes de la apertura del proceso de contratación.</w:t>
      </w:r>
    </w:p>
    <w:p w14:paraId="302B629C"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w:t>
      </w:r>
    </w:p>
    <w:p w14:paraId="0B72D38A" w14:textId="77777777" w:rsidR="00E27BDF" w:rsidRPr="00342184" w:rsidRDefault="006C0DA8">
      <w:pPr>
        <w:spacing w:before="120"/>
        <w:jc w:val="both"/>
        <w:rPr>
          <w:rFonts w:ascii="Arial" w:eastAsia="Arial" w:hAnsi="Arial" w:cs="Arial"/>
          <w:color w:val="000000"/>
          <w:sz w:val="20"/>
          <w:szCs w:val="20"/>
        </w:rPr>
      </w:pPr>
      <w:r w:rsidRPr="00342184">
        <w:rPr>
          <w:rFonts w:ascii="Arial" w:eastAsia="Arial" w:hAnsi="Arial" w:cs="Arial"/>
          <w:color w:val="000000"/>
          <w:sz w:val="20"/>
          <w:szCs w:val="20"/>
        </w:rPr>
        <w:t xml:space="preserve">Por otro lado, esta entidad ha precisado que «[s]i bien la normativa del sistema de compra </w:t>
      </w:r>
      <w:r w:rsidRPr="00342184">
        <w:rPr>
          <w:rFonts w:ascii="Arial" w:eastAsia="Arial" w:hAnsi="Arial" w:cs="Arial"/>
          <w:sz w:val="20"/>
          <w:szCs w:val="20"/>
        </w:rPr>
        <w:t>pública</w:t>
      </w:r>
      <w:r w:rsidRPr="00342184">
        <w:rPr>
          <w:rFonts w:ascii="Arial" w:eastAsia="Arial" w:hAnsi="Arial" w:cs="Arial"/>
          <w:color w:val="000000"/>
          <w:sz w:val="20"/>
          <w:szCs w:val="20"/>
        </w:rPr>
        <w:t xml:space="preserve"> no establece como requisito acreditar la relación entre el objeto de la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y el objeto contrato, es imperativo que la entidad estatal verifique que quienes solicitan la limitación del proceso 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tienen un objeto social similar al objeto del contrato y, de ser así, la entidad deberá limitar el proceso de contratación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También ha dicho que la entidad estatal también debe aceptar las ofertas consorcios o uniones temporales formados exclusivamente por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y promesas de sociedad futura suscritas por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w:t>
      </w:r>
    </w:p>
    <w:p w14:paraId="4F2A18F1" w14:textId="77777777" w:rsidR="00E27BDF" w:rsidRPr="00342184" w:rsidRDefault="00E27BDF">
      <w:pPr>
        <w:jc w:val="both"/>
        <w:rPr>
          <w:rFonts w:ascii="Arial" w:eastAsia="Arial" w:hAnsi="Arial" w:cs="Arial"/>
          <w:color w:val="000000"/>
          <w:sz w:val="20"/>
          <w:szCs w:val="20"/>
        </w:rPr>
      </w:pPr>
    </w:p>
    <w:p w14:paraId="1D0BBE27" w14:textId="469C147B"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CONVOCATORIAS LIMITADAS A MIPYMES NACIONALES – Solicitud – Diferencia </w:t>
      </w:r>
      <w:r w:rsidR="00F40E78">
        <w:rPr>
          <w:rFonts w:ascii="Arial" w:hAnsi="Arial" w:cs="Arial"/>
          <w:b/>
          <w:sz w:val="22"/>
        </w:rPr>
        <w:t>–</w:t>
      </w:r>
      <w:r w:rsidR="00F40E78">
        <w:rPr>
          <w:rFonts w:ascii="Arial" w:eastAsia="Arial" w:hAnsi="Arial" w:cs="Arial"/>
          <w:b/>
          <w:color w:val="000000"/>
          <w:sz w:val="22"/>
          <w:szCs w:val="22"/>
        </w:rPr>
        <w:t xml:space="preserve"> A</w:t>
      </w:r>
      <w:r w:rsidRPr="00342184">
        <w:rPr>
          <w:rFonts w:ascii="Arial" w:eastAsia="Arial" w:hAnsi="Arial" w:cs="Arial"/>
          <w:b/>
          <w:color w:val="000000"/>
          <w:sz w:val="22"/>
          <w:szCs w:val="22"/>
        </w:rPr>
        <w:t xml:space="preserve">utonomía </w:t>
      </w:r>
      <w:r w:rsidR="00F40E78">
        <w:rPr>
          <w:rFonts w:ascii="Arial" w:hAnsi="Arial" w:cs="Arial"/>
          <w:b/>
          <w:sz w:val="22"/>
        </w:rPr>
        <w:t xml:space="preserve">– </w:t>
      </w:r>
      <w:r w:rsidR="00F40E78">
        <w:rPr>
          <w:rFonts w:ascii="Arial" w:eastAsia="Arial" w:hAnsi="Arial" w:cs="Arial"/>
          <w:b/>
          <w:color w:val="000000"/>
          <w:sz w:val="22"/>
          <w:szCs w:val="22"/>
        </w:rPr>
        <w:t>Pr</w:t>
      </w:r>
      <w:r w:rsidRPr="00342184">
        <w:rPr>
          <w:rFonts w:ascii="Arial" w:eastAsia="Arial" w:hAnsi="Arial" w:cs="Arial"/>
          <w:b/>
          <w:color w:val="000000"/>
          <w:sz w:val="22"/>
          <w:szCs w:val="22"/>
        </w:rPr>
        <w:t xml:space="preserve">opuesta del oferente – </w:t>
      </w:r>
      <w:r w:rsidR="00ED3D3F" w:rsidRPr="00342184">
        <w:rPr>
          <w:rFonts w:ascii="Arial" w:eastAsia="Arial" w:hAnsi="Arial" w:cs="Arial"/>
          <w:b/>
          <w:color w:val="000000"/>
          <w:sz w:val="22"/>
          <w:szCs w:val="22"/>
        </w:rPr>
        <w:t>R</w:t>
      </w:r>
      <w:r w:rsidRPr="00342184">
        <w:rPr>
          <w:rFonts w:ascii="Arial" w:eastAsia="Arial" w:hAnsi="Arial" w:cs="Arial"/>
          <w:b/>
          <w:color w:val="000000"/>
          <w:sz w:val="22"/>
          <w:szCs w:val="22"/>
        </w:rPr>
        <w:t>equisitos habilitantes</w:t>
      </w:r>
    </w:p>
    <w:p w14:paraId="668AA785" w14:textId="77777777" w:rsidR="00E27BDF" w:rsidRPr="00342184" w:rsidRDefault="00E27BDF">
      <w:pPr>
        <w:jc w:val="both"/>
        <w:rPr>
          <w:rFonts w:ascii="Arial" w:eastAsia="Arial" w:hAnsi="Arial" w:cs="Arial"/>
          <w:b/>
          <w:color w:val="000000"/>
          <w:sz w:val="21"/>
          <w:szCs w:val="21"/>
        </w:rPr>
      </w:pPr>
    </w:p>
    <w:p w14:paraId="704992D9" w14:textId="77777777" w:rsidR="00E27BDF" w:rsidRPr="00342184" w:rsidRDefault="006C0DA8">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 xml:space="preserve">Es importante resaltar dos aspectos, primero, que el documento que contiene la solicitud de limitación es diferente y autónomo en relación con el documento contentivo de la propuesta del oferente; y segundo,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w:t>
      </w:r>
      <w:proofErr w:type="spellStart"/>
      <w:r w:rsidRPr="00342184">
        <w:rPr>
          <w:rFonts w:ascii="Arial" w:eastAsia="Arial" w:hAnsi="Arial" w:cs="Arial"/>
          <w:color w:val="000000"/>
          <w:sz w:val="20"/>
          <w:szCs w:val="20"/>
        </w:rPr>
        <w:t>concluído</w:t>
      </w:r>
      <w:proofErr w:type="spellEnd"/>
      <w:r w:rsidRPr="00342184">
        <w:rPr>
          <w:rFonts w:ascii="Arial" w:eastAsia="Arial" w:hAnsi="Arial" w:cs="Arial"/>
          <w:color w:val="000000"/>
          <w:sz w:val="20"/>
          <w:szCs w:val="20"/>
        </w:rPr>
        <w:t xml:space="preserve"> el plazo para pedir la </w:t>
      </w:r>
      <w:r w:rsidRPr="00342184">
        <w:rPr>
          <w:rFonts w:ascii="Arial" w:eastAsia="Arial" w:hAnsi="Arial" w:cs="Arial"/>
          <w:sz w:val="20"/>
          <w:szCs w:val="20"/>
        </w:rPr>
        <w:t>limitación</w:t>
      </w:r>
      <w:r w:rsidRPr="00342184">
        <w:rPr>
          <w:rFonts w:ascii="Arial" w:eastAsia="Arial" w:hAnsi="Arial" w:cs="Arial"/>
          <w:color w:val="000000"/>
          <w:sz w:val="20"/>
          <w:szCs w:val="20"/>
        </w:rPr>
        <w:t xml:space="preserve"> del proceso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Tales conclusiones encuentran su fundamento normativo en el contenido de los artículos 2.2.1.1.2.1.5.  y 2.2.1.2.1.2.20.  del Decreto 1082 de 2015.</w:t>
      </w:r>
    </w:p>
    <w:p w14:paraId="5193807F"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 xml:space="preserve">Así las cosas, para los efectos de la solicitud de limitación a la que se refiere el artículo 2.2.1.2.4.2.2. del Decreto 1082 de 2015, no puede ocurrir lo que supone la ciudadana que nos consulta, esto es, que alguno de los solicitantes «no cumpla con las condiciones técnicas habilitantes para participar en el proceso de contratación convocado», debido a que estos aspectos se </w:t>
      </w:r>
      <w:r w:rsidRPr="00342184">
        <w:rPr>
          <w:rFonts w:ascii="Arial" w:eastAsia="Arial" w:hAnsi="Arial" w:cs="Arial"/>
          <w:sz w:val="20"/>
          <w:szCs w:val="20"/>
        </w:rPr>
        <w:t>verificarán</w:t>
      </w:r>
      <w:r w:rsidRPr="00342184">
        <w:rPr>
          <w:rFonts w:ascii="Arial" w:eastAsia="Arial" w:hAnsi="Arial" w:cs="Arial"/>
          <w:color w:val="000000"/>
          <w:sz w:val="20"/>
          <w:szCs w:val="20"/>
        </w:rPr>
        <w:t xml:space="preserve"> en una etapa posterior a la que el reglamento habilitó para pedir la limitación del proceso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Esto no quiere decir que la entidad </w:t>
      </w:r>
      <w:r w:rsidRPr="00342184">
        <w:rPr>
          <w:rFonts w:ascii="Arial" w:eastAsia="Arial" w:hAnsi="Arial" w:cs="Arial"/>
          <w:sz w:val="20"/>
          <w:szCs w:val="20"/>
        </w:rPr>
        <w:t>pública</w:t>
      </w:r>
      <w:r w:rsidRPr="00342184">
        <w:rPr>
          <w:rFonts w:ascii="Arial" w:eastAsia="Arial" w:hAnsi="Arial" w:cs="Arial"/>
          <w:color w:val="000000"/>
          <w:sz w:val="20"/>
          <w:szCs w:val="20"/>
        </w:rPr>
        <w:t xml:space="preserve"> no deba constatar el cumplimiento de los requisitos de procedencia de la solicitud de limitación del trámite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pues esta debe </w:t>
      </w:r>
      <w:r w:rsidRPr="00342184">
        <w:rPr>
          <w:rFonts w:ascii="Arial" w:eastAsia="Arial" w:hAnsi="Arial" w:cs="Arial"/>
          <w:sz w:val="20"/>
          <w:szCs w:val="20"/>
        </w:rPr>
        <w:t>verificar</w:t>
      </w:r>
      <w:r w:rsidRPr="00342184">
        <w:rPr>
          <w:rFonts w:ascii="Arial" w:eastAsia="Arial" w:hAnsi="Arial" w:cs="Arial"/>
          <w:color w:val="000000"/>
          <w:sz w:val="20"/>
          <w:szCs w:val="20"/>
        </w:rPr>
        <w:t xml:space="preserve">, por ejemplo, que el solicitante sea una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y que su objeto social tenga relación con el objeto del contrato a adjudicar.</w:t>
      </w:r>
    </w:p>
    <w:p w14:paraId="22B5771C" w14:textId="77777777" w:rsidR="00E27BDF" w:rsidRPr="00342184" w:rsidRDefault="00E27BDF">
      <w:pPr>
        <w:jc w:val="both"/>
        <w:rPr>
          <w:rFonts w:ascii="Arial" w:eastAsia="Arial" w:hAnsi="Arial" w:cs="Arial"/>
          <w:color w:val="000000"/>
          <w:sz w:val="21"/>
          <w:szCs w:val="21"/>
        </w:rPr>
      </w:pPr>
    </w:p>
    <w:p w14:paraId="26A72106" w14:textId="77777777"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CONVOCATORIAS LIMITADAS A MIPYMES NACIONALES – Limitación territorial – Requisitos</w:t>
      </w:r>
    </w:p>
    <w:p w14:paraId="74AAB154" w14:textId="77777777" w:rsidR="00E27BDF" w:rsidRPr="00342184" w:rsidRDefault="00E27BDF">
      <w:pPr>
        <w:jc w:val="both"/>
        <w:rPr>
          <w:rFonts w:ascii="Arial" w:eastAsia="Arial" w:hAnsi="Arial" w:cs="Arial"/>
          <w:b/>
          <w:color w:val="000000"/>
          <w:sz w:val="21"/>
          <w:szCs w:val="21"/>
        </w:rPr>
      </w:pPr>
    </w:p>
    <w:p w14:paraId="5361CEAA" w14:textId="03244894" w:rsidR="00E27BDF" w:rsidRPr="00342184" w:rsidRDefault="006C0DA8">
      <w:pPr>
        <w:jc w:val="both"/>
        <w:rPr>
          <w:rFonts w:ascii="Arial" w:eastAsia="Arial" w:hAnsi="Arial" w:cs="Arial"/>
          <w:color w:val="000000"/>
          <w:sz w:val="20"/>
          <w:szCs w:val="20"/>
        </w:rPr>
      </w:pPr>
      <w:bookmarkStart w:id="1" w:name="_30j0zll" w:colFirst="0" w:colLast="0"/>
      <w:bookmarkEnd w:id="1"/>
      <w:r w:rsidRPr="00342184">
        <w:rPr>
          <w:rFonts w:ascii="Arial" w:eastAsia="Arial" w:hAnsi="Arial" w:cs="Arial"/>
          <w:color w:val="000000"/>
          <w:sz w:val="20"/>
          <w:szCs w:val="20"/>
        </w:rPr>
        <w:t xml:space="preserve">Esta entidad ha sostenido que es discrecional la decisión de limitar territorialmente una convocatoria de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beneficiadas deben tener su «domicilio» principal en el municipio o departamento donde se ejecutará el contrato para poder participar en una convocatoria limitada territorialmente.</w:t>
      </w:r>
    </w:p>
    <w:p w14:paraId="22010A25" w14:textId="1CEEDFA6" w:rsidR="00400462" w:rsidRPr="00342184" w:rsidRDefault="00400462">
      <w:pPr>
        <w:jc w:val="both"/>
        <w:rPr>
          <w:rFonts w:ascii="Arial" w:eastAsia="Arial" w:hAnsi="Arial" w:cs="Arial"/>
          <w:color w:val="000000"/>
          <w:sz w:val="20"/>
          <w:szCs w:val="20"/>
        </w:rPr>
      </w:pPr>
    </w:p>
    <w:p w14:paraId="3A4E78A3" w14:textId="05214AF7" w:rsidR="00400462" w:rsidRPr="00342184" w:rsidRDefault="00400462" w:rsidP="00400462">
      <w:pPr>
        <w:jc w:val="both"/>
        <w:rPr>
          <w:rFonts w:ascii="Arial" w:eastAsia="Arial" w:hAnsi="Arial" w:cs="Arial"/>
          <w:b/>
          <w:color w:val="000000"/>
          <w:sz w:val="22"/>
          <w:szCs w:val="22"/>
        </w:rPr>
      </w:pPr>
      <w:r w:rsidRPr="00342184">
        <w:rPr>
          <w:rFonts w:ascii="Arial" w:eastAsia="Arial" w:hAnsi="Arial" w:cs="Arial"/>
          <w:b/>
          <w:color w:val="000000"/>
          <w:sz w:val="22"/>
          <w:szCs w:val="22"/>
        </w:rPr>
        <w:t>CONVOCATORIAS LIMITADAS A MIPYMES NACIONALES – Limitación territorial – Consorcios y uniones temporales – Requisitos</w:t>
      </w:r>
    </w:p>
    <w:p w14:paraId="1306A23F" w14:textId="008B148C" w:rsidR="00400462" w:rsidRPr="00342184" w:rsidRDefault="00400462">
      <w:pPr>
        <w:jc w:val="both"/>
        <w:rPr>
          <w:rFonts w:ascii="Arial" w:eastAsia="Arial" w:hAnsi="Arial" w:cs="Arial"/>
          <w:color w:val="000000"/>
          <w:sz w:val="20"/>
          <w:szCs w:val="20"/>
        </w:rPr>
      </w:pPr>
    </w:p>
    <w:p w14:paraId="220FD61D" w14:textId="1B85A45B" w:rsidR="00400462" w:rsidRPr="00342184" w:rsidRDefault="00400462" w:rsidP="00400462">
      <w:pPr>
        <w:jc w:val="both"/>
        <w:rPr>
          <w:rFonts w:ascii="Arial" w:eastAsia="Arial" w:hAnsi="Arial" w:cs="Arial"/>
          <w:color w:val="000000"/>
          <w:sz w:val="20"/>
          <w:szCs w:val="20"/>
        </w:rPr>
      </w:pPr>
      <w:r w:rsidRPr="00342184">
        <w:rPr>
          <w:rFonts w:ascii="Arial" w:eastAsia="Arial" w:hAnsi="Arial" w:cs="Arial"/>
          <w:color w:val="000000"/>
          <w:sz w:val="20"/>
          <w:szCs w:val="20"/>
        </w:rPr>
        <w:lastRenderedPageBreak/>
        <w:t xml:space="preserve">Cuando se trata de consorcios o uniones temporales formados exclusivamente por </w:t>
      </w:r>
      <w:proofErr w:type="spellStart"/>
      <w:r w:rsidRPr="00342184">
        <w:rPr>
          <w:rFonts w:ascii="Arial" w:eastAsia="Arial" w:hAnsi="Arial" w:cs="Arial"/>
          <w:color w:val="000000"/>
          <w:sz w:val="20"/>
          <w:szCs w:val="20"/>
        </w:rPr>
        <w:t>Mipyme</w:t>
      </w:r>
      <w:r w:rsidR="00843C86" w:rsidRPr="00342184">
        <w:rPr>
          <w:rFonts w:ascii="Arial" w:eastAsia="Arial" w:hAnsi="Arial" w:cs="Arial"/>
          <w:color w:val="000000"/>
          <w:sz w:val="20"/>
          <w:szCs w:val="20"/>
        </w:rPr>
        <w:t>s</w:t>
      </w:r>
      <w:proofErr w:type="spellEnd"/>
      <w:r w:rsidRPr="00342184">
        <w:rPr>
          <w:rFonts w:ascii="Arial" w:eastAsia="Arial" w:hAnsi="Arial" w:cs="Arial"/>
          <w:color w:val="000000"/>
          <w:sz w:val="20"/>
          <w:szCs w:val="20"/>
        </w:rPr>
        <w:t xml:space="preserve"> y promesas de sociedad futura suscritas por </w:t>
      </w:r>
      <w:proofErr w:type="spellStart"/>
      <w:r w:rsidRPr="00342184">
        <w:rPr>
          <w:rFonts w:ascii="Arial" w:eastAsia="Arial" w:hAnsi="Arial" w:cs="Arial"/>
          <w:color w:val="000000"/>
          <w:sz w:val="20"/>
          <w:szCs w:val="20"/>
        </w:rPr>
        <w:t>Mipyme</w:t>
      </w:r>
      <w:r w:rsidR="00EA2D8B" w:rsidRPr="00342184">
        <w:rPr>
          <w:rFonts w:ascii="Arial" w:eastAsia="Arial" w:hAnsi="Arial" w:cs="Arial"/>
          <w:color w:val="000000"/>
          <w:sz w:val="20"/>
          <w:szCs w:val="20"/>
        </w:rPr>
        <w:t>s</w:t>
      </w:r>
      <w:proofErr w:type="spellEnd"/>
      <w:r w:rsidRPr="00342184">
        <w:rPr>
          <w:rFonts w:ascii="Arial" w:eastAsia="Arial" w:hAnsi="Arial" w:cs="Arial"/>
          <w:color w:val="000000"/>
          <w:sz w:val="20"/>
          <w:szCs w:val="20"/>
        </w:rPr>
        <w:t xml:space="preserve">, habilitados para solicitar la limitación del proceso </w:t>
      </w:r>
      <w:r w:rsidR="00E737A2" w:rsidRPr="00342184">
        <w:rPr>
          <w:rFonts w:ascii="Arial" w:eastAsia="Arial" w:hAnsi="Arial" w:cs="Arial"/>
          <w:color w:val="000000"/>
          <w:sz w:val="20"/>
          <w:szCs w:val="20"/>
        </w:rPr>
        <w:t>contractual</w:t>
      </w:r>
      <w:r w:rsidRPr="00342184">
        <w:rPr>
          <w:rFonts w:ascii="Arial" w:eastAsia="Arial" w:hAnsi="Arial" w:cs="Arial"/>
          <w:color w:val="000000"/>
          <w:sz w:val="20"/>
          <w:szCs w:val="20"/>
        </w:rPr>
        <w:t xml:space="preserve">, según se explicó en el </w:t>
      </w:r>
      <w:proofErr w:type="spellStart"/>
      <w:r w:rsidRPr="00342184">
        <w:rPr>
          <w:rFonts w:ascii="Arial" w:eastAsia="Arial" w:hAnsi="Arial" w:cs="Arial"/>
          <w:color w:val="000000"/>
          <w:sz w:val="20"/>
          <w:szCs w:val="20"/>
        </w:rPr>
        <w:t>liteal</w:t>
      </w:r>
      <w:proofErr w:type="spellEnd"/>
      <w:r w:rsidRPr="00342184">
        <w:rPr>
          <w:rFonts w:ascii="Arial" w:eastAsia="Arial" w:hAnsi="Arial" w:cs="Arial"/>
          <w:color w:val="000000"/>
          <w:sz w:val="20"/>
          <w:szCs w:val="20"/>
        </w:rPr>
        <w:t xml:space="preserve"> a supra, todas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que participarán en la figura asociativa deben tener su domicilio en </w:t>
      </w:r>
      <w:r w:rsidR="00B10C9C" w:rsidRPr="00342184">
        <w:rPr>
          <w:rFonts w:ascii="Arial" w:eastAsia="Arial" w:hAnsi="Arial" w:cs="Arial"/>
          <w:color w:val="000000"/>
          <w:sz w:val="20"/>
          <w:szCs w:val="20"/>
        </w:rPr>
        <w:t xml:space="preserve">el </w:t>
      </w:r>
      <w:r w:rsidRPr="00342184">
        <w:rPr>
          <w:rFonts w:ascii="Arial" w:eastAsia="Arial" w:hAnsi="Arial" w:cs="Arial"/>
          <w:color w:val="000000"/>
          <w:sz w:val="20"/>
          <w:szCs w:val="20"/>
        </w:rPr>
        <w:t xml:space="preserve">departamento o municipio en relación con </w:t>
      </w:r>
      <w:r w:rsidR="00E737A2" w:rsidRPr="00342184">
        <w:rPr>
          <w:rFonts w:ascii="Arial" w:eastAsia="Arial" w:hAnsi="Arial" w:cs="Arial"/>
          <w:color w:val="000000"/>
          <w:sz w:val="20"/>
          <w:szCs w:val="20"/>
        </w:rPr>
        <w:t>el</w:t>
      </w:r>
      <w:r w:rsidRPr="00342184">
        <w:rPr>
          <w:rFonts w:ascii="Arial" w:eastAsia="Arial" w:hAnsi="Arial" w:cs="Arial"/>
          <w:color w:val="000000"/>
          <w:sz w:val="20"/>
          <w:szCs w:val="20"/>
        </w:rPr>
        <w:t xml:space="preserve"> cual se limitará el proceso contractual. En este caso, la exigencia de estar domiciliado en el lugar de ejecución del contrato se entiende acreditada cuando todas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tienen su domicilio en el lugar de ejecución del contrato, no cuando una o varias de ellas lo tienen, pues con una sola que no acredite dicha exigencia, el consorcio o unión temporal estaría </w:t>
      </w:r>
      <w:r w:rsidR="00E737A2" w:rsidRPr="00342184">
        <w:rPr>
          <w:rFonts w:ascii="Arial" w:eastAsia="Arial" w:hAnsi="Arial" w:cs="Arial"/>
          <w:color w:val="000000"/>
          <w:sz w:val="20"/>
          <w:szCs w:val="20"/>
        </w:rPr>
        <w:t>imposibilitado</w:t>
      </w:r>
      <w:r w:rsidRPr="00342184">
        <w:rPr>
          <w:rFonts w:ascii="Arial" w:eastAsia="Arial" w:hAnsi="Arial" w:cs="Arial"/>
          <w:color w:val="000000"/>
          <w:sz w:val="20"/>
          <w:szCs w:val="20"/>
        </w:rPr>
        <w:t xml:space="preserve"> para participar en el proceso de selección.</w:t>
      </w:r>
    </w:p>
    <w:p w14:paraId="729FE12C" w14:textId="01707B6B" w:rsidR="00400462" w:rsidRPr="00342184" w:rsidRDefault="00400462" w:rsidP="00400462">
      <w:pPr>
        <w:spacing w:before="120"/>
        <w:jc w:val="both"/>
        <w:rPr>
          <w:rFonts w:ascii="Arial" w:eastAsia="Arial" w:hAnsi="Arial" w:cs="Arial"/>
          <w:color w:val="000000"/>
          <w:sz w:val="20"/>
          <w:szCs w:val="20"/>
        </w:rPr>
      </w:pPr>
      <w:r w:rsidRPr="00342184">
        <w:rPr>
          <w:rFonts w:ascii="Arial" w:eastAsia="Arial" w:hAnsi="Arial" w:cs="Arial"/>
          <w:color w:val="000000"/>
          <w:sz w:val="20"/>
          <w:szCs w:val="20"/>
        </w:rPr>
        <w:t>De esta forma, si el consorcio o unión temporal está conformado por tres sociedades, y la entidad decide ejercer la facultad que le otorga el artículo 2.2.1.2.4.2.3. del Decreto 1082 de 2015, las tres sociedades debe</w:t>
      </w:r>
      <w:r w:rsidR="00E737A2" w:rsidRPr="00342184">
        <w:rPr>
          <w:rFonts w:ascii="Arial" w:eastAsia="Arial" w:hAnsi="Arial" w:cs="Arial"/>
          <w:color w:val="000000"/>
          <w:sz w:val="20"/>
          <w:szCs w:val="20"/>
        </w:rPr>
        <w:t>rán</w:t>
      </w:r>
      <w:r w:rsidRPr="00342184">
        <w:rPr>
          <w:rFonts w:ascii="Arial" w:eastAsia="Arial" w:hAnsi="Arial" w:cs="Arial"/>
          <w:color w:val="000000"/>
          <w:sz w:val="20"/>
          <w:szCs w:val="20"/>
        </w:rPr>
        <w:t xml:space="preserve"> acreditar que tienen su domicilio en el lugar de ejecución del contrato, so pena de que la figura asociativa no pueda participar en el proceso de contratación estatal. Aceptar lo contrario, a juicio de Colombia Compra Eficiente, implicaría hacer nugatorios los efectos de la mencionada disposición normativa.</w:t>
      </w:r>
    </w:p>
    <w:p w14:paraId="6A422001" w14:textId="77777777" w:rsidR="00E27BDF" w:rsidRPr="00342184" w:rsidRDefault="00E27BDF">
      <w:pPr>
        <w:jc w:val="both"/>
        <w:rPr>
          <w:rFonts w:ascii="Arial" w:eastAsia="Arial" w:hAnsi="Arial" w:cs="Arial"/>
          <w:b/>
          <w:color w:val="000000"/>
          <w:sz w:val="21"/>
          <w:szCs w:val="21"/>
        </w:rPr>
      </w:pPr>
    </w:p>
    <w:p w14:paraId="05D2B4D0" w14:textId="19A887FD"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CONVOCATORIAS LIMITADAS A MIPYMES NACIONALES – Procedencia </w:t>
      </w:r>
      <w:r w:rsidR="00F40E78">
        <w:rPr>
          <w:rFonts w:ascii="Arial" w:hAnsi="Arial" w:cs="Arial"/>
          <w:b/>
          <w:sz w:val="22"/>
        </w:rPr>
        <w:t xml:space="preserve">– </w:t>
      </w:r>
      <w:r w:rsidRPr="00342184">
        <w:rPr>
          <w:rFonts w:ascii="Arial" w:eastAsia="Arial" w:hAnsi="Arial" w:cs="Arial"/>
          <w:b/>
          <w:color w:val="000000"/>
          <w:sz w:val="22"/>
          <w:szCs w:val="22"/>
        </w:rPr>
        <w:t>«limitación territorial»</w:t>
      </w:r>
    </w:p>
    <w:p w14:paraId="7F6F38FF" w14:textId="77777777" w:rsidR="00E27BDF" w:rsidRPr="00342184" w:rsidRDefault="00E27BDF">
      <w:pPr>
        <w:jc w:val="both"/>
        <w:rPr>
          <w:rFonts w:ascii="Arial" w:eastAsia="Arial" w:hAnsi="Arial" w:cs="Arial"/>
          <w:b/>
          <w:color w:val="000000"/>
          <w:sz w:val="21"/>
          <w:szCs w:val="21"/>
        </w:rPr>
      </w:pPr>
    </w:p>
    <w:p w14:paraId="68EA79A2"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 xml:space="preserve">[…] La limitación a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a la que se refiere el artículo 2.2.1.2.4.2.2. del Decreto 1082 de 2015, opera de pleno derecho, pero no la «limitación territorial» referida en el artículo 2.2.1.2.4.2.3. ibidem, pues esta es facultativa de la entidad. Las únicas exigencias son que la convocatoria esté limitada «a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nacionales domiciliadas en los departamentos o municipios en donde se va a ejecutar el contrato» y que la entidad justifique su decisión en los «estudios del sector».</w:t>
      </w:r>
    </w:p>
    <w:p w14:paraId="06492461" w14:textId="77777777" w:rsidR="00E27BDF" w:rsidRPr="00342184" w:rsidRDefault="00E27BDF">
      <w:pPr>
        <w:jc w:val="both"/>
        <w:rPr>
          <w:rFonts w:ascii="Arial" w:eastAsia="Arial" w:hAnsi="Arial" w:cs="Arial"/>
          <w:b/>
          <w:color w:val="000000"/>
          <w:sz w:val="21"/>
          <w:szCs w:val="21"/>
        </w:rPr>
      </w:pPr>
    </w:p>
    <w:p w14:paraId="3F055FA0" w14:textId="77777777"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CONVOCATORIAS LIMITADAS A MIPYMES NACIONALES – Limitación territorial – Procedencia</w:t>
      </w:r>
    </w:p>
    <w:p w14:paraId="4C32546B" w14:textId="77777777" w:rsidR="00E27BDF" w:rsidRPr="00342184" w:rsidRDefault="00E27BDF">
      <w:pPr>
        <w:jc w:val="both"/>
        <w:rPr>
          <w:rFonts w:ascii="Arial" w:eastAsia="Arial" w:hAnsi="Arial" w:cs="Arial"/>
          <w:b/>
          <w:color w:val="000000"/>
          <w:sz w:val="21"/>
          <w:szCs w:val="21"/>
        </w:rPr>
      </w:pPr>
    </w:p>
    <w:p w14:paraId="41DD57CD"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 xml:space="preserve">[…] una vez se verifican los requisitos de los numerales 1 y 2 del artículo 2.2.1.2.4.2.2. del Decreto 1082 de 2015, la entidad queda habilitada para decidir si limita o no la convocatoria «a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nacionales domiciliadas en los departamentos o municipios en donde se va a ejecutar el contrato», sin que sea relevante el «domicilio» de las </w:t>
      </w:r>
      <w:proofErr w:type="spellStart"/>
      <w:r w:rsidRPr="00342184">
        <w:rPr>
          <w:rFonts w:ascii="Arial" w:eastAsia="Arial" w:hAnsi="Arial" w:cs="Arial"/>
          <w:color w:val="000000"/>
          <w:sz w:val="20"/>
          <w:szCs w:val="20"/>
        </w:rPr>
        <w:t>Mipymes</w:t>
      </w:r>
      <w:proofErr w:type="spellEnd"/>
      <w:r w:rsidRPr="00342184">
        <w:rPr>
          <w:rFonts w:ascii="Arial" w:eastAsia="Arial" w:hAnsi="Arial" w:cs="Arial"/>
          <w:color w:val="000000"/>
          <w:sz w:val="20"/>
          <w:szCs w:val="20"/>
        </w:rPr>
        <w:t xml:space="preserve"> nacionales que solicitaron limitar la convocatoria.</w:t>
      </w:r>
    </w:p>
    <w:p w14:paraId="637E1F86" w14:textId="77777777" w:rsidR="00E27BDF" w:rsidRPr="00342184" w:rsidRDefault="00E27BDF">
      <w:pPr>
        <w:jc w:val="both"/>
        <w:rPr>
          <w:rFonts w:ascii="Arial" w:eastAsia="Arial" w:hAnsi="Arial" w:cs="Arial"/>
          <w:color w:val="000000"/>
          <w:sz w:val="20"/>
          <w:szCs w:val="20"/>
        </w:rPr>
      </w:pPr>
    </w:p>
    <w:p w14:paraId="788C3F87" w14:textId="7C0ECD3D"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CONVOCATORIAS LIMITADAS A MIPYMES NACIONALES – Limitación territorial – Procedencia </w:t>
      </w:r>
      <w:r w:rsidR="00F40E78">
        <w:rPr>
          <w:rFonts w:ascii="Arial" w:hAnsi="Arial" w:cs="Arial"/>
          <w:b/>
          <w:sz w:val="22"/>
        </w:rPr>
        <w:t>– R</w:t>
      </w:r>
      <w:r w:rsidR="00F40E78">
        <w:rPr>
          <w:rFonts w:ascii="Arial" w:eastAsia="Arial" w:hAnsi="Arial" w:cs="Arial"/>
          <w:b/>
          <w:color w:val="000000"/>
          <w:sz w:val="22"/>
          <w:szCs w:val="22"/>
        </w:rPr>
        <w:t xml:space="preserve">elación </w:t>
      </w:r>
      <w:r w:rsidR="00F40E78">
        <w:rPr>
          <w:rFonts w:ascii="Arial" w:hAnsi="Arial" w:cs="Arial"/>
          <w:b/>
          <w:sz w:val="22"/>
        </w:rPr>
        <w:t>– M</w:t>
      </w:r>
      <w:r w:rsidRPr="00342184">
        <w:rPr>
          <w:rFonts w:ascii="Arial" w:eastAsia="Arial" w:hAnsi="Arial" w:cs="Arial"/>
          <w:b/>
          <w:color w:val="000000"/>
          <w:sz w:val="22"/>
          <w:szCs w:val="22"/>
        </w:rPr>
        <w:t>odalidades de contratación</w:t>
      </w:r>
    </w:p>
    <w:p w14:paraId="376E14CE" w14:textId="77777777" w:rsidR="00E27BDF" w:rsidRPr="00342184" w:rsidRDefault="00E27BDF">
      <w:pPr>
        <w:jc w:val="both"/>
        <w:rPr>
          <w:rFonts w:ascii="Arial" w:eastAsia="Arial" w:hAnsi="Arial" w:cs="Arial"/>
          <w:b/>
          <w:color w:val="000000"/>
          <w:sz w:val="21"/>
          <w:szCs w:val="21"/>
        </w:rPr>
      </w:pPr>
    </w:p>
    <w:p w14:paraId="1520F8EE" w14:textId="77777777"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14:paraId="2CFA90FD" w14:textId="77777777" w:rsidR="00E27BDF" w:rsidRPr="00342184" w:rsidRDefault="00E27BDF">
      <w:pPr>
        <w:jc w:val="both"/>
        <w:rPr>
          <w:rFonts w:ascii="Arial" w:eastAsia="Arial" w:hAnsi="Arial" w:cs="Arial"/>
          <w:color w:val="000000"/>
          <w:sz w:val="20"/>
          <w:szCs w:val="20"/>
        </w:rPr>
      </w:pPr>
    </w:p>
    <w:p w14:paraId="2398FB2D" w14:textId="6945A184" w:rsidR="00E27BDF" w:rsidRPr="00342184" w:rsidRDefault="006C0DA8">
      <w:pPr>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CONVOCATORIAS LIMITADAS A MIPYMES NACIONALES – Limitación territorial – Relevancia </w:t>
      </w:r>
      <w:r w:rsidR="00F40E78">
        <w:rPr>
          <w:rFonts w:ascii="Arial" w:hAnsi="Arial" w:cs="Arial"/>
          <w:b/>
          <w:sz w:val="22"/>
        </w:rPr>
        <w:t>–</w:t>
      </w:r>
      <w:r w:rsidR="00F40E78">
        <w:rPr>
          <w:rFonts w:ascii="Arial" w:eastAsia="Arial" w:hAnsi="Arial" w:cs="Arial"/>
          <w:b/>
          <w:color w:val="000000"/>
          <w:sz w:val="22"/>
          <w:szCs w:val="22"/>
        </w:rPr>
        <w:t xml:space="preserve"> Domicilio de </w:t>
      </w:r>
      <w:proofErr w:type="spellStart"/>
      <w:r w:rsidRPr="00342184">
        <w:rPr>
          <w:rFonts w:ascii="Arial" w:eastAsia="Arial" w:hAnsi="Arial" w:cs="Arial"/>
          <w:b/>
          <w:color w:val="000000"/>
          <w:sz w:val="22"/>
          <w:szCs w:val="22"/>
        </w:rPr>
        <w:t>Mipymes</w:t>
      </w:r>
      <w:proofErr w:type="spellEnd"/>
    </w:p>
    <w:p w14:paraId="3EE8A8D7" w14:textId="77777777" w:rsidR="00E27BDF" w:rsidRPr="00342184" w:rsidRDefault="00E27BDF">
      <w:pPr>
        <w:jc w:val="both"/>
        <w:rPr>
          <w:rFonts w:ascii="Arial" w:eastAsia="Arial" w:hAnsi="Arial" w:cs="Arial"/>
          <w:b/>
          <w:color w:val="000000"/>
          <w:sz w:val="21"/>
          <w:szCs w:val="21"/>
        </w:rPr>
      </w:pPr>
    </w:p>
    <w:p w14:paraId="7EA2227C" w14:textId="77777777" w:rsidR="00E27BDF" w:rsidRPr="00342184" w:rsidRDefault="006C0DA8">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 el artículo 2.2.1.2.4.2.3. del Decreto 1082 de 2015 se refiere a las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342184">
        <w:rPr>
          <w:rFonts w:ascii="Arial" w:eastAsia="Arial" w:hAnsi="Arial" w:cs="Arial"/>
          <w:color w:val="000000"/>
          <w:sz w:val="20"/>
          <w:szCs w:val="20"/>
        </w:rPr>
        <w:t>Mipyme</w:t>
      </w:r>
      <w:proofErr w:type="spellEnd"/>
      <w:r w:rsidRPr="00342184">
        <w:rPr>
          <w:rFonts w:ascii="Arial" w:eastAsia="Arial" w:hAnsi="Arial" w:cs="Arial"/>
          <w:color w:val="000000"/>
          <w:sz w:val="20"/>
          <w:szCs w:val="20"/>
        </w:rPr>
        <w:t xml:space="preserve"> tiene su «domicilio», y no en donde tiene sucursales.</w:t>
      </w:r>
    </w:p>
    <w:p w14:paraId="2D11DBD8" w14:textId="2A9C11A2" w:rsidR="00E27BDF" w:rsidRPr="00342184" w:rsidRDefault="006C0DA8">
      <w:pPr>
        <w:jc w:val="both"/>
        <w:rPr>
          <w:rFonts w:ascii="Arial" w:eastAsia="Arial" w:hAnsi="Arial" w:cs="Arial"/>
          <w:color w:val="000000"/>
          <w:sz w:val="20"/>
          <w:szCs w:val="20"/>
        </w:rPr>
      </w:pPr>
      <w:r w:rsidRPr="00342184">
        <w:rPr>
          <w:rFonts w:ascii="Arial" w:eastAsia="Arial" w:hAnsi="Arial" w:cs="Arial"/>
          <w:color w:val="000000"/>
          <w:sz w:val="20"/>
          <w:szCs w:val="20"/>
        </w:rPr>
        <w:lastRenderedPageBreak/>
        <w:t xml:space="preserve">Los artículos 110 y 111 </w:t>
      </w:r>
      <w:r w:rsidR="00FF0DAA" w:rsidRPr="00342184">
        <w:rPr>
          <w:rFonts w:ascii="Arial" w:eastAsia="Arial" w:hAnsi="Arial" w:cs="Arial"/>
          <w:color w:val="000000"/>
          <w:sz w:val="20"/>
          <w:szCs w:val="20"/>
        </w:rPr>
        <w:t>[</w:t>
      </w:r>
      <w:r w:rsidRPr="00342184">
        <w:rPr>
          <w:rFonts w:ascii="Arial" w:eastAsia="Arial" w:hAnsi="Arial" w:cs="Arial"/>
          <w:color w:val="000000"/>
          <w:sz w:val="20"/>
          <w:szCs w:val="20"/>
        </w:rPr>
        <w:t>del Código de Comercio</w:t>
      </w:r>
      <w:r w:rsidR="00FF0DAA" w:rsidRPr="00342184">
        <w:rPr>
          <w:rFonts w:ascii="Arial" w:eastAsia="Arial" w:hAnsi="Arial" w:cs="Arial"/>
          <w:color w:val="000000"/>
          <w:sz w:val="20"/>
          <w:szCs w:val="20"/>
        </w:rPr>
        <w:t>]</w:t>
      </w:r>
      <w:r w:rsidRPr="00342184">
        <w:rPr>
          <w:rFonts w:ascii="Arial" w:eastAsia="Arial" w:hAnsi="Arial" w:cs="Arial"/>
          <w:color w:val="000000"/>
          <w:sz w:val="20"/>
          <w:szCs w:val="20"/>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w:t>
      </w:r>
      <w:proofErr w:type="spellStart"/>
      <w:r w:rsidRPr="00342184">
        <w:rPr>
          <w:rFonts w:ascii="Arial" w:eastAsia="Arial" w:hAnsi="Arial" w:cs="Arial"/>
          <w:color w:val="000000"/>
          <w:sz w:val="20"/>
          <w:szCs w:val="20"/>
        </w:rPr>
        <w:t>ibídem</w:t>
      </w:r>
      <w:proofErr w:type="spellEnd"/>
      <w:r w:rsidRPr="00342184">
        <w:rPr>
          <w:rFonts w:ascii="Arial" w:eastAsia="Arial" w:hAnsi="Arial" w:cs="Arial"/>
          <w:color w:val="000000"/>
          <w:sz w:val="20"/>
          <w:szCs w:val="20"/>
        </w:rPr>
        <w:t xml:space="preserve"> a las entidades que tienen «sucursales» en el municipio o departamento en donde se va a ejecutar el contrato estatal.</w:t>
      </w:r>
    </w:p>
    <w:p w14:paraId="6752CAA5" w14:textId="77777777" w:rsidR="00E27BDF" w:rsidRPr="00342184" w:rsidRDefault="00E27BDF">
      <w:pPr>
        <w:rPr>
          <w:rFonts w:ascii="Arial" w:eastAsia="Arial" w:hAnsi="Arial" w:cs="Arial"/>
          <w:color w:val="000000"/>
          <w:sz w:val="20"/>
          <w:szCs w:val="20"/>
        </w:rPr>
      </w:pPr>
    </w:p>
    <w:p w14:paraId="5EB47057" w14:textId="77777777" w:rsidR="00FE08B2" w:rsidRPr="00FE08B2" w:rsidRDefault="00FE08B2" w:rsidP="00FE08B2">
      <w:pPr>
        <w:pStyle w:val="Default"/>
        <w:rPr>
          <w:sz w:val="20"/>
          <w:szCs w:val="20"/>
        </w:rPr>
      </w:pPr>
    </w:p>
    <w:p w14:paraId="4B46AF51" w14:textId="17093AA9" w:rsidR="00FE08B2" w:rsidRPr="00FE08B2" w:rsidRDefault="00FE08B2" w:rsidP="00FE08B2">
      <w:pPr>
        <w:pStyle w:val="Default"/>
        <w:rPr>
          <w:sz w:val="22"/>
          <w:szCs w:val="22"/>
        </w:rPr>
      </w:pPr>
      <w:r w:rsidRPr="00FE08B2">
        <w:rPr>
          <w:sz w:val="22"/>
          <w:szCs w:val="22"/>
        </w:rPr>
        <w:t xml:space="preserve">Bogotá D.C., </w:t>
      </w:r>
      <w:r w:rsidRPr="00FE08B2">
        <w:rPr>
          <w:b/>
          <w:bCs/>
          <w:sz w:val="22"/>
          <w:szCs w:val="22"/>
        </w:rPr>
        <w:t xml:space="preserve">11/08/2020 Hora 15:22:5s </w:t>
      </w:r>
    </w:p>
    <w:p w14:paraId="378E218B" w14:textId="0AF25FCB" w:rsidR="00E27BDF" w:rsidRPr="00FE08B2" w:rsidRDefault="00FE08B2" w:rsidP="00FE08B2">
      <w:pPr>
        <w:jc w:val="right"/>
        <w:rPr>
          <w:rFonts w:ascii="Arial" w:eastAsia="Arial" w:hAnsi="Arial" w:cs="Arial"/>
          <w:color w:val="000000"/>
          <w:sz w:val="22"/>
          <w:szCs w:val="22"/>
        </w:rPr>
      </w:pPr>
      <w:proofErr w:type="spellStart"/>
      <w:r w:rsidRPr="00FE08B2">
        <w:rPr>
          <w:rFonts w:ascii="Arial" w:hAnsi="Arial" w:cs="Arial"/>
          <w:b/>
          <w:bCs/>
          <w:sz w:val="22"/>
          <w:szCs w:val="22"/>
        </w:rPr>
        <w:t>N°</w:t>
      </w:r>
      <w:proofErr w:type="spellEnd"/>
      <w:r w:rsidRPr="00FE08B2">
        <w:rPr>
          <w:rFonts w:ascii="Arial" w:hAnsi="Arial" w:cs="Arial"/>
          <w:b/>
          <w:bCs/>
          <w:sz w:val="22"/>
          <w:szCs w:val="22"/>
        </w:rPr>
        <w:t xml:space="preserve"> Radicado: 2202013000007335 </w:t>
      </w:r>
    </w:p>
    <w:p w14:paraId="4D260451" w14:textId="77777777" w:rsidR="00FE08B2" w:rsidRDefault="00FE08B2">
      <w:pPr>
        <w:rPr>
          <w:rFonts w:ascii="Arial" w:eastAsia="Arial" w:hAnsi="Arial" w:cs="Arial"/>
          <w:b/>
          <w:color w:val="000000"/>
          <w:sz w:val="22"/>
          <w:szCs w:val="22"/>
        </w:rPr>
      </w:pPr>
    </w:p>
    <w:p w14:paraId="47721BCA" w14:textId="6095553D" w:rsidR="00FE08B2" w:rsidRPr="00FE08B2" w:rsidRDefault="00FE08B2">
      <w:pPr>
        <w:rPr>
          <w:rFonts w:ascii="Arial" w:eastAsia="Arial" w:hAnsi="Arial" w:cs="Arial"/>
          <w:bCs/>
          <w:color w:val="000000"/>
          <w:sz w:val="22"/>
          <w:szCs w:val="22"/>
        </w:rPr>
      </w:pPr>
      <w:r w:rsidRPr="00FE08B2">
        <w:rPr>
          <w:rFonts w:ascii="Arial" w:eastAsia="Arial" w:hAnsi="Arial" w:cs="Arial"/>
          <w:bCs/>
          <w:color w:val="000000"/>
          <w:sz w:val="22"/>
          <w:szCs w:val="22"/>
        </w:rPr>
        <w:t>Señor</w:t>
      </w:r>
    </w:p>
    <w:p w14:paraId="62A9B29A" w14:textId="46806A12" w:rsidR="00E27BDF" w:rsidRPr="00342184" w:rsidRDefault="00BC2B94">
      <w:pPr>
        <w:rPr>
          <w:rFonts w:ascii="Arial" w:eastAsia="Arial" w:hAnsi="Arial" w:cs="Arial"/>
          <w:b/>
          <w:color w:val="000000"/>
          <w:sz w:val="22"/>
          <w:szCs w:val="22"/>
        </w:rPr>
      </w:pPr>
      <w:r w:rsidRPr="00342184">
        <w:rPr>
          <w:rFonts w:ascii="Arial" w:eastAsia="Arial" w:hAnsi="Arial" w:cs="Arial"/>
          <w:b/>
          <w:color w:val="000000"/>
          <w:sz w:val="22"/>
          <w:szCs w:val="22"/>
        </w:rPr>
        <w:t>Víctor Augusto Ortiz</w:t>
      </w:r>
    </w:p>
    <w:p w14:paraId="2335A75F" w14:textId="77777777" w:rsidR="00E27BDF" w:rsidRPr="00342184" w:rsidRDefault="006C0DA8">
      <w:pPr>
        <w:rPr>
          <w:rFonts w:ascii="Arial" w:eastAsia="Arial" w:hAnsi="Arial" w:cs="Arial"/>
          <w:color w:val="000000"/>
          <w:sz w:val="22"/>
          <w:szCs w:val="22"/>
        </w:rPr>
      </w:pPr>
      <w:r w:rsidRPr="00342184">
        <w:rPr>
          <w:rFonts w:ascii="Arial" w:eastAsia="Arial" w:hAnsi="Arial" w:cs="Arial"/>
          <w:color w:val="000000"/>
          <w:sz w:val="22"/>
          <w:szCs w:val="22"/>
        </w:rPr>
        <w:t>Neiva, Huila</w:t>
      </w:r>
    </w:p>
    <w:p w14:paraId="5C62B0CA" w14:textId="77777777" w:rsidR="00E27BDF" w:rsidRPr="00342184" w:rsidRDefault="00E27BDF">
      <w:pPr>
        <w:rPr>
          <w:rFonts w:ascii="Arial" w:eastAsia="Arial" w:hAnsi="Arial" w:cs="Arial"/>
          <w:color w:val="000000"/>
          <w:sz w:val="22"/>
          <w:szCs w:val="22"/>
        </w:rPr>
      </w:pPr>
    </w:p>
    <w:p w14:paraId="512527F3" w14:textId="77777777" w:rsidR="00E27BDF" w:rsidRPr="00342184" w:rsidRDefault="00E27BDF">
      <w:pPr>
        <w:rPr>
          <w:rFonts w:ascii="Arial" w:eastAsia="Arial" w:hAnsi="Arial" w:cs="Arial"/>
          <w:color w:val="000000"/>
          <w:sz w:val="22"/>
          <w:szCs w:val="22"/>
        </w:rPr>
      </w:pPr>
    </w:p>
    <w:p w14:paraId="197A64B4" w14:textId="70FF0A27" w:rsidR="00E27BDF" w:rsidRPr="00342184" w:rsidRDefault="006C0DA8">
      <w:pPr>
        <w:ind w:firstLine="2694"/>
        <w:rPr>
          <w:rFonts w:ascii="Arial" w:eastAsia="Arial" w:hAnsi="Arial" w:cs="Arial"/>
          <w:b/>
          <w:color w:val="000000"/>
          <w:sz w:val="22"/>
          <w:szCs w:val="22"/>
        </w:rPr>
      </w:pPr>
      <w:r w:rsidRPr="00342184">
        <w:rPr>
          <w:rFonts w:ascii="Arial" w:eastAsia="Arial" w:hAnsi="Arial" w:cs="Arial"/>
          <w:b/>
          <w:color w:val="000000"/>
          <w:sz w:val="22"/>
          <w:szCs w:val="22"/>
        </w:rPr>
        <w:t xml:space="preserve">Concepto C – </w:t>
      </w:r>
      <w:r w:rsidR="00BC2B94" w:rsidRPr="00342184">
        <w:rPr>
          <w:rFonts w:ascii="Arial" w:eastAsia="Arial" w:hAnsi="Arial" w:cs="Arial"/>
          <w:b/>
          <w:color w:val="000000"/>
          <w:sz w:val="22"/>
          <w:szCs w:val="22"/>
        </w:rPr>
        <w:t>5</w:t>
      </w:r>
      <w:r w:rsidR="00FD49F0" w:rsidRPr="00342184">
        <w:rPr>
          <w:rFonts w:ascii="Arial" w:eastAsia="Arial" w:hAnsi="Arial" w:cs="Arial"/>
          <w:b/>
          <w:color w:val="000000"/>
          <w:sz w:val="22"/>
          <w:szCs w:val="22"/>
        </w:rPr>
        <w:t>23</w:t>
      </w:r>
      <w:r w:rsidR="00BC2B94" w:rsidRPr="00342184">
        <w:rPr>
          <w:rFonts w:ascii="Arial" w:eastAsia="Arial" w:hAnsi="Arial" w:cs="Arial"/>
          <w:b/>
          <w:color w:val="000000"/>
          <w:sz w:val="22"/>
          <w:szCs w:val="22"/>
        </w:rPr>
        <w:t xml:space="preserve"> </w:t>
      </w:r>
      <w:r w:rsidRPr="00342184">
        <w:rPr>
          <w:rFonts w:ascii="Arial" w:eastAsia="Arial" w:hAnsi="Arial" w:cs="Arial"/>
          <w:b/>
          <w:color w:val="000000"/>
          <w:sz w:val="22"/>
          <w:szCs w:val="22"/>
        </w:rPr>
        <w:t>de 2020</w:t>
      </w:r>
    </w:p>
    <w:p w14:paraId="0776158D" w14:textId="77777777" w:rsidR="00E27BDF" w:rsidRPr="00342184" w:rsidRDefault="00E27BDF">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E27BDF" w:rsidRPr="00342184" w14:paraId="322C87C9" w14:textId="77777777">
        <w:tc>
          <w:tcPr>
            <w:tcW w:w="2689" w:type="dxa"/>
          </w:tcPr>
          <w:p w14:paraId="582572A0" w14:textId="77777777" w:rsidR="00E27BDF" w:rsidRPr="00342184" w:rsidRDefault="006C0DA8">
            <w:pPr>
              <w:rPr>
                <w:rFonts w:ascii="Arial" w:eastAsia="Arial" w:hAnsi="Arial" w:cs="Arial"/>
                <w:color w:val="000000"/>
                <w:sz w:val="22"/>
                <w:szCs w:val="22"/>
              </w:rPr>
            </w:pPr>
            <w:r w:rsidRPr="00342184">
              <w:rPr>
                <w:rFonts w:ascii="Arial" w:eastAsia="Arial" w:hAnsi="Arial" w:cs="Arial"/>
                <w:b/>
                <w:color w:val="000000"/>
                <w:sz w:val="22"/>
                <w:szCs w:val="22"/>
              </w:rPr>
              <w:t>Temas:</w:t>
            </w:r>
            <w:r w:rsidRPr="00342184">
              <w:rPr>
                <w:rFonts w:ascii="Arial" w:eastAsia="Arial" w:hAnsi="Arial" w:cs="Arial"/>
                <w:color w:val="000000"/>
                <w:sz w:val="22"/>
                <w:szCs w:val="22"/>
              </w:rPr>
              <w:t xml:space="preserve">           </w:t>
            </w:r>
          </w:p>
          <w:p w14:paraId="2FAB4B01" w14:textId="77777777" w:rsidR="00E27BDF" w:rsidRPr="00342184" w:rsidRDefault="006C0DA8">
            <w:pPr>
              <w:rPr>
                <w:rFonts w:ascii="Arial" w:eastAsia="Arial" w:hAnsi="Arial" w:cs="Arial"/>
                <w:color w:val="000000"/>
                <w:sz w:val="22"/>
                <w:szCs w:val="22"/>
              </w:rPr>
            </w:pPr>
            <w:r w:rsidRPr="00342184">
              <w:rPr>
                <w:rFonts w:ascii="Arial" w:eastAsia="Arial" w:hAnsi="Arial" w:cs="Arial"/>
                <w:color w:val="000000"/>
                <w:sz w:val="22"/>
                <w:szCs w:val="22"/>
              </w:rPr>
              <w:t xml:space="preserve">                           </w:t>
            </w:r>
          </w:p>
        </w:tc>
        <w:tc>
          <w:tcPr>
            <w:tcW w:w="6237" w:type="dxa"/>
          </w:tcPr>
          <w:p w14:paraId="596927E6" w14:textId="06A3A422" w:rsidR="00E27BDF" w:rsidRPr="00342184" w:rsidRDefault="006C0DA8" w:rsidP="00E737A2">
            <w:pPr>
              <w:jc w:val="both"/>
              <w:rPr>
                <w:rFonts w:ascii="Arial" w:eastAsia="Arial" w:hAnsi="Arial" w:cs="Arial"/>
                <w:color w:val="000000"/>
                <w:sz w:val="22"/>
                <w:szCs w:val="22"/>
              </w:rPr>
            </w:pPr>
            <w:r w:rsidRPr="00342184">
              <w:rPr>
                <w:rFonts w:ascii="Arial" w:eastAsia="Arial" w:hAnsi="Arial" w:cs="Arial"/>
                <w:color w:val="000000"/>
                <w:sz w:val="22"/>
                <w:szCs w:val="22"/>
              </w:rPr>
              <w:t xml:space="preserve">MIPYME ― Noción y alcance / MIPYMES ― Incentivos contractuales / MIPYMES NACIONALES ― Inexistencia de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del orden territorial / CONVOCATORIAS LIMITADAS A MIPYMES NACIONALES ― Requisitos / CONVOCATORIAS LIMITADAS A MIPYMES NACIONALES – Solicitud – Diferencia y autonomía frente a la propuesta del oferente – </w:t>
            </w:r>
            <w:r w:rsidR="00ED3D3F" w:rsidRPr="00342184">
              <w:rPr>
                <w:rFonts w:ascii="Arial" w:eastAsia="Arial" w:hAnsi="Arial" w:cs="Arial"/>
                <w:color w:val="000000"/>
                <w:sz w:val="22"/>
                <w:szCs w:val="22"/>
              </w:rPr>
              <w:t>R</w:t>
            </w:r>
            <w:r w:rsidRPr="00342184">
              <w:rPr>
                <w:rFonts w:ascii="Arial" w:eastAsia="Arial" w:hAnsi="Arial" w:cs="Arial"/>
                <w:color w:val="000000"/>
                <w:sz w:val="22"/>
                <w:szCs w:val="22"/>
              </w:rPr>
              <w:t xml:space="preserve">equisitos habilitantes / CONVOCATORIAS LIMITADAS A MIPYMES NACIONALES ― Limitación territorial ― Requisitos / </w:t>
            </w:r>
            <w:r w:rsidR="00E737A2" w:rsidRPr="00342184">
              <w:rPr>
                <w:rFonts w:ascii="Arial" w:eastAsia="Arial" w:hAnsi="Arial" w:cs="Arial"/>
                <w:color w:val="000000"/>
                <w:sz w:val="22"/>
                <w:szCs w:val="22"/>
              </w:rPr>
              <w:t xml:space="preserve">CONVOCATORIAS LIMITADAS A MIPYMES NACIONALES – Limitación territorial – Consorcios y uniones temporales – Requisitos / </w:t>
            </w:r>
            <w:r w:rsidRPr="00342184">
              <w:rPr>
                <w:rFonts w:ascii="Arial" w:eastAsia="Arial" w:hAnsi="Arial" w:cs="Arial"/>
                <w:color w:val="000000"/>
                <w:sz w:val="22"/>
                <w:szCs w:val="22"/>
              </w:rPr>
              <w:t xml:space="preserve">CONVOCATORIAS LIMITADAS A MIPYMES NACIONALES ― Procedencia de la «limitación territorial» / CONVOCATORIAS LIMITADAS A MIPYMES NACIONALES ― Limitación territorial – Procedencia ― Procedencia en relación con las modalidades de contratación / CONVOCATORIAS LIMITADAS A MIPYMES NACIONALES ― Limitación territorial ― Relevancia del domicilio de la </w:t>
            </w:r>
            <w:proofErr w:type="spellStart"/>
            <w:r w:rsidRPr="00342184">
              <w:rPr>
                <w:rFonts w:ascii="Arial" w:eastAsia="Arial" w:hAnsi="Arial" w:cs="Arial"/>
                <w:color w:val="000000"/>
                <w:sz w:val="22"/>
                <w:szCs w:val="22"/>
              </w:rPr>
              <w:t>Mipymes</w:t>
            </w:r>
            <w:proofErr w:type="spellEnd"/>
          </w:p>
        </w:tc>
      </w:tr>
      <w:tr w:rsidR="00E27BDF" w:rsidRPr="00342184" w14:paraId="2355401D" w14:textId="77777777">
        <w:tc>
          <w:tcPr>
            <w:tcW w:w="2689" w:type="dxa"/>
          </w:tcPr>
          <w:p w14:paraId="7161ECB4" w14:textId="77777777" w:rsidR="00E27BDF" w:rsidRPr="00342184" w:rsidRDefault="006C0DA8">
            <w:pPr>
              <w:spacing w:before="60"/>
              <w:rPr>
                <w:rFonts w:ascii="Arial" w:eastAsia="Arial" w:hAnsi="Arial" w:cs="Arial"/>
                <w:b/>
                <w:color w:val="000000"/>
                <w:sz w:val="22"/>
                <w:szCs w:val="22"/>
              </w:rPr>
            </w:pPr>
            <w:r w:rsidRPr="00342184">
              <w:rPr>
                <w:rFonts w:ascii="Arial" w:eastAsia="Arial" w:hAnsi="Arial" w:cs="Arial"/>
                <w:b/>
                <w:color w:val="000000"/>
                <w:sz w:val="22"/>
                <w:szCs w:val="22"/>
              </w:rPr>
              <w:t>Radicación:</w:t>
            </w:r>
            <w:r w:rsidRPr="00342184">
              <w:rPr>
                <w:rFonts w:ascii="Arial" w:eastAsia="Arial" w:hAnsi="Arial" w:cs="Arial"/>
                <w:color w:val="000000"/>
                <w:sz w:val="22"/>
                <w:szCs w:val="22"/>
              </w:rPr>
              <w:t xml:space="preserve">                              </w:t>
            </w:r>
          </w:p>
        </w:tc>
        <w:tc>
          <w:tcPr>
            <w:tcW w:w="6237" w:type="dxa"/>
          </w:tcPr>
          <w:p w14:paraId="54C2A88E" w14:textId="172F1286" w:rsidR="00E27BDF" w:rsidRPr="00342184" w:rsidRDefault="006C0DA8">
            <w:pPr>
              <w:spacing w:before="60"/>
              <w:rPr>
                <w:rFonts w:ascii="Arial" w:eastAsia="Arial" w:hAnsi="Arial" w:cs="Arial"/>
                <w:color w:val="000000"/>
                <w:sz w:val="22"/>
                <w:szCs w:val="22"/>
              </w:rPr>
            </w:pPr>
            <w:r w:rsidRPr="00342184">
              <w:rPr>
                <w:rFonts w:ascii="Arial" w:eastAsia="Arial" w:hAnsi="Arial" w:cs="Arial"/>
                <w:color w:val="000000"/>
                <w:sz w:val="22"/>
                <w:szCs w:val="22"/>
              </w:rPr>
              <w:t>Respuesta a consulta # 4202013000006</w:t>
            </w:r>
            <w:r w:rsidR="00BC2B94" w:rsidRPr="00342184">
              <w:rPr>
                <w:rFonts w:ascii="Arial" w:eastAsia="Arial" w:hAnsi="Arial" w:cs="Arial"/>
                <w:color w:val="000000"/>
                <w:sz w:val="22"/>
                <w:szCs w:val="22"/>
              </w:rPr>
              <w:t>557</w:t>
            </w:r>
          </w:p>
          <w:p w14:paraId="4AC93078" w14:textId="77777777" w:rsidR="00E27BDF" w:rsidRPr="00342184" w:rsidRDefault="00E27BDF">
            <w:pPr>
              <w:spacing w:before="60"/>
              <w:jc w:val="both"/>
              <w:rPr>
                <w:rFonts w:ascii="Arial" w:eastAsia="Arial" w:hAnsi="Arial" w:cs="Arial"/>
                <w:color w:val="000000"/>
                <w:sz w:val="22"/>
                <w:szCs w:val="22"/>
              </w:rPr>
            </w:pPr>
          </w:p>
        </w:tc>
      </w:tr>
    </w:tbl>
    <w:p w14:paraId="6B54A5C9" w14:textId="658CD541" w:rsidR="00E27BDF" w:rsidRPr="00342184" w:rsidRDefault="006C0DA8">
      <w:pPr>
        <w:rPr>
          <w:rFonts w:ascii="Arial" w:eastAsia="Arial" w:hAnsi="Arial" w:cs="Arial"/>
          <w:color w:val="000000"/>
          <w:sz w:val="22"/>
          <w:szCs w:val="22"/>
        </w:rPr>
      </w:pPr>
      <w:r w:rsidRPr="00342184">
        <w:rPr>
          <w:rFonts w:ascii="Arial" w:eastAsia="Arial" w:hAnsi="Arial" w:cs="Arial"/>
          <w:color w:val="000000"/>
          <w:sz w:val="22"/>
          <w:szCs w:val="22"/>
        </w:rPr>
        <w:t>Estimad</w:t>
      </w:r>
      <w:r w:rsidR="00BC2B94" w:rsidRPr="00342184">
        <w:rPr>
          <w:rFonts w:ascii="Arial" w:eastAsia="Arial" w:hAnsi="Arial" w:cs="Arial"/>
          <w:color w:val="000000"/>
          <w:sz w:val="22"/>
          <w:szCs w:val="22"/>
        </w:rPr>
        <w:t>o</w:t>
      </w:r>
      <w:r w:rsidRPr="00342184">
        <w:rPr>
          <w:rFonts w:ascii="Arial" w:eastAsia="Arial" w:hAnsi="Arial" w:cs="Arial"/>
          <w:color w:val="000000"/>
          <w:sz w:val="22"/>
          <w:szCs w:val="22"/>
        </w:rPr>
        <w:t xml:space="preserve"> señor </w:t>
      </w:r>
      <w:r w:rsidR="00BC2B94" w:rsidRPr="00342184">
        <w:rPr>
          <w:rFonts w:ascii="Arial" w:eastAsia="Arial" w:hAnsi="Arial" w:cs="Arial"/>
          <w:color w:val="000000"/>
          <w:sz w:val="22"/>
          <w:szCs w:val="22"/>
        </w:rPr>
        <w:t>Ortiz</w:t>
      </w:r>
      <w:r w:rsidRPr="00342184">
        <w:rPr>
          <w:rFonts w:ascii="Arial" w:eastAsia="Arial" w:hAnsi="Arial" w:cs="Arial"/>
          <w:color w:val="000000"/>
          <w:sz w:val="22"/>
          <w:szCs w:val="22"/>
        </w:rPr>
        <w:t>:</w:t>
      </w:r>
    </w:p>
    <w:p w14:paraId="29691060" w14:textId="77777777" w:rsidR="00E27BDF" w:rsidRPr="00342184" w:rsidRDefault="00E27BDF">
      <w:pPr>
        <w:rPr>
          <w:rFonts w:ascii="Arial" w:eastAsia="Arial" w:hAnsi="Arial" w:cs="Arial"/>
          <w:color w:val="000000"/>
          <w:sz w:val="22"/>
          <w:szCs w:val="22"/>
        </w:rPr>
      </w:pPr>
    </w:p>
    <w:p w14:paraId="3EA5EC32" w14:textId="6C76BA45" w:rsidR="00E27BDF" w:rsidRPr="00342184" w:rsidRDefault="006C0DA8">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 xml:space="preserve">En ejercicio de la competencia otorgada por los artículos 11, numeral 8º, y 3º, numeral 5º, del Decreto Ley 4170 de 2011, la Agencia Nacional de Contratación Pública―Colombia Compra Eficiente responde su consulta del </w:t>
      </w:r>
      <w:r w:rsidR="00BC2B94" w:rsidRPr="00342184">
        <w:rPr>
          <w:rFonts w:ascii="Arial" w:eastAsia="Arial" w:hAnsi="Arial" w:cs="Arial"/>
          <w:color w:val="000000"/>
          <w:sz w:val="22"/>
          <w:szCs w:val="22"/>
        </w:rPr>
        <w:t>1 de agosto</w:t>
      </w:r>
      <w:r w:rsidRPr="00342184">
        <w:rPr>
          <w:rFonts w:ascii="Arial" w:eastAsia="Arial" w:hAnsi="Arial" w:cs="Arial"/>
          <w:color w:val="000000"/>
          <w:sz w:val="22"/>
          <w:szCs w:val="22"/>
        </w:rPr>
        <w:t xml:space="preserve"> de 2020. </w:t>
      </w:r>
    </w:p>
    <w:p w14:paraId="7E631247" w14:textId="77777777" w:rsidR="00E27BDF" w:rsidRPr="00342184" w:rsidRDefault="00E27BDF">
      <w:pPr>
        <w:spacing w:line="276" w:lineRule="auto"/>
        <w:jc w:val="both"/>
        <w:rPr>
          <w:rFonts w:ascii="Arial" w:eastAsia="Arial" w:hAnsi="Arial" w:cs="Arial"/>
          <w:color w:val="000000"/>
          <w:sz w:val="22"/>
          <w:szCs w:val="22"/>
        </w:rPr>
      </w:pPr>
    </w:p>
    <w:p w14:paraId="39C11F03" w14:textId="77777777" w:rsidR="00E27BDF" w:rsidRPr="00342184" w:rsidRDefault="006C0DA8">
      <w:pPr>
        <w:numPr>
          <w:ilvl w:val="0"/>
          <w:numId w:val="1"/>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sidRPr="00342184">
        <w:rPr>
          <w:rFonts w:ascii="Arial" w:eastAsia="Arial" w:hAnsi="Arial" w:cs="Arial"/>
          <w:b/>
          <w:color w:val="000000"/>
          <w:sz w:val="22"/>
          <w:szCs w:val="22"/>
        </w:rPr>
        <w:t xml:space="preserve">Problemas planteados </w:t>
      </w:r>
    </w:p>
    <w:p w14:paraId="40CF7B40" w14:textId="77777777" w:rsidR="00E27BDF" w:rsidRPr="00342184" w:rsidRDefault="00E27BDF">
      <w:pPr>
        <w:tabs>
          <w:tab w:val="left" w:pos="426"/>
        </w:tabs>
        <w:spacing w:line="276" w:lineRule="auto"/>
        <w:jc w:val="both"/>
        <w:rPr>
          <w:rFonts w:ascii="Arial" w:eastAsia="Arial" w:hAnsi="Arial" w:cs="Arial"/>
          <w:b/>
          <w:color w:val="000000"/>
          <w:sz w:val="22"/>
          <w:szCs w:val="22"/>
        </w:rPr>
      </w:pPr>
    </w:p>
    <w:p w14:paraId="72B812D3" w14:textId="326B654D" w:rsidR="00E27BDF" w:rsidRPr="00342184" w:rsidRDefault="006C0DA8">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lastRenderedPageBreak/>
        <w:t xml:space="preserve">Usted realiza las siguientes preguntas frente a lo consagrado en el artículo 2.2.1.2.4.2.4 del Decreto 1082 de 2015: </w:t>
      </w:r>
      <w:r w:rsidR="00E54CD2" w:rsidRPr="00342184">
        <w:rPr>
          <w:rFonts w:ascii="Arial" w:eastAsia="Arial" w:hAnsi="Arial" w:cs="Arial"/>
          <w:color w:val="000000"/>
          <w:sz w:val="22"/>
          <w:szCs w:val="22"/>
        </w:rPr>
        <w:t>«</w:t>
      </w:r>
      <w:r w:rsidRPr="00342184">
        <w:rPr>
          <w:rFonts w:ascii="Arial" w:eastAsia="Arial" w:hAnsi="Arial" w:cs="Arial"/>
          <w:color w:val="000000"/>
          <w:sz w:val="22"/>
          <w:szCs w:val="22"/>
        </w:rPr>
        <w:t xml:space="preserve">¿[…] </w:t>
      </w:r>
      <w:r w:rsidR="00234CD2" w:rsidRPr="00342184">
        <w:rPr>
          <w:rFonts w:ascii="Arial" w:eastAsia="Arial" w:hAnsi="Arial" w:cs="Arial"/>
          <w:color w:val="000000"/>
          <w:sz w:val="22"/>
          <w:szCs w:val="22"/>
        </w:rPr>
        <w:t xml:space="preserve">se pueden presentar y habilitar Consorcios o Uniones temporales o promesas de sociedad futura suscritas como MIPYMES todas y donde al menos uno de sus integrantes sea una MIPYME municipal y los </w:t>
      </w:r>
      <w:proofErr w:type="spellStart"/>
      <w:r w:rsidR="00234CD2" w:rsidRPr="00342184">
        <w:rPr>
          <w:rFonts w:ascii="Arial" w:eastAsia="Arial" w:hAnsi="Arial" w:cs="Arial"/>
          <w:color w:val="000000"/>
          <w:sz w:val="22"/>
          <w:szCs w:val="22"/>
        </w:rPr>
        <w:t>demas</w:t>
      </w:r>
      <w:proofErr w:type="spellEnd"/>
      <w:r w:rsidR="00234CD2" w:rsidRPr="00342184">
        <w:rPr>
          <w:rFonts w:ascii="Arial" w:eastAsia="Arial" w:hAnsi="Arial" w:cs="Arial"/>
          <w:color w:val="000000"/>
          <w:sz w:val="22"/>
          <w:szCs w:val="22"/>
        </w:rPr>
        <w:t xml:space="preserve"> integrantes sean MIPYMES nacional?</w:t>
      </w:r>
      <w:r w:rsidRPr="00342184">
        <w:rPr>
          <w:rFonts w:ascii="Arial" w:eastAsia="Arial" w:hAnsi="Arial" w:cs="Arial"/>
          <w:color w:val="000000"/>
          <w:sz w:val="22"/>
          <w:szCs w:val="22"/>
        </w:rPr>
        <w:t>»</w:t>
      </w:r>
    </w:p>
    <w:p w14:paraId="1AB71AEC" w14:textId="77777777" w:rsidR="00E27BDF" w:rsidRPr="00342184" w:rsidRDefault="00E27BDF">
      <w:pPr>
        <w:jc w:val="both"/>
        <w:rPr>
          <w:rFonts w:ascii="Arial" w:eastAsia="Arial" w:hAnsi="Arial" w:cs="Arial"/>
          <w:color w:val="000000"/>
          <w:sz w:val="22"/>
          <w:szCs w:val="22"/>
        </w:rPr>
      </w:pPr>
    </w:p>
    <w:p w14:paraId="7D90835B" w14:textId="77777777" w:rsidR="00E27BDF" w:rsidRPr="00342184" w:rsidRDefault="006C0DA8">
      <w:pPr>
        <w:numPr>
          <w:ilvl w:val="0"/>
          <w:numId w:val="1"/>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sidRPr="00342184">
        <w:rPr>
          <w:rFonts w:ascii="Arial" w:eastAsia="Arial" w:hAnsi="Arial" w:cs="Arial"/>
          <w:b/>
          <w:color w:val="000000"/>
          <w:sz w:val="22"/>
          <w:szCs w:val="22"/>
        </w:rPr>
        <w:t>Consideraciones</w:t>
      </w:r>
    </w:p>
    <w:p w14:paraId="2C0C4008" w14:textId="77777777" w:rsidR="00E27BDF" w:rsidRPr="00342184" w:rsidRDefault="00E27BDF">
      <w:pPr>
        <w:spacing w:line="276" w:lineRule="auto"/>
        <w:jc w:val="both"/>
        <w:rPr>
          <w:rFonts w:ascii="Arial" w:eastAsia="Arial" w:hAnsi="Arial" w:cs="Arial"/>
          <w:color w:val="000000"/>
          <w:sz w:val="22"/>
          <w:szCs w:val="22"/>
        </w:rPr>
      </w:pPr>
    </w:p>
    <w:p w14:paraId="6D01440D" w14:textId="1B0827D2" w:rsidR="00E27BDF" w:rsidRPr="00342184" w:rsidRDefault="006C0DA8">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 xml:space="preserve">La Agencia Nacional de Contratación Pública–Colombia Compra Eficiente se ha pronunciado en diferentes conceptos sobre la posibilidad de limitar los procesos contractuales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en los conceptos del 5 y el 20 de agosto de 2019 –radicados Nos. 2201913000005596 y 2201913000006007–, cuyas ideas fueron unificadas en el concepto CU-021 del 21 de febrero 2020, y reiteradas pacíficamente en los conceptos C-045 del 17 de marzo de 2020, C-050 y C-058 del 25 de febrero de 2020, C-083 del 11 de marzo de 2020, C-092 del 4 de marzo de 2020, C-162 del 6 de abril de 2020, C-214 del 21 de abril de 2020, C-219 del 29 de abril de 2020, C-252 del 26 de mayo de 2020, C-258 del 17 de abril de 2020, C-285 del 4 de mayo de 2020; y, recientemente, en los conceptos C-364 del 4 de junio de 2020, C-401 del 12 de junio de 2020</w:t>
      </w:r>
      <w:r w:rsidR="005322A2" w:rsidRPr="00342184">
        <w:rPr>
          <w:rFonts w:ascii="Arial" w:eastAsia="Arial" w:hAnsi="Arial" w:cs="Arial"/>
          <w:color w:val="000000"/>
          <w:sz w:val="22"/>
          <w:szCs w:val="22"/>
        </w:rPr>
        <w:t xml:space="preserve">, </w:t>
      </w:r>
      <w:r w:rsidRPr="00342184">
        <w:rPr>
          <w:rFonts w:ascii="Arial" w:eastAsia="Arial" w:hAnsi="Arial" w:cs="Arial"/>
          <w:color w:val="000000"/>
          <w:sz w:val="22"/>
          <w:szCs w:val="22"/>
        </w:rPr>
        <w:t>C-413 del 30 de junio de 2020</w:t>
      </w:r>
      <w:r w:rsidR="005322A2" w:rsidRPr="00342184">
        <w:rPr>
          <w:rFonts w:ascii="Arial" w:eastAsia="Arial" w:hAnsi="Arial" w:cs="Arial"/>
          <w:color w:val="000000"/>
          <w:sz w:val="22"/>
          <w:szCs w:val="22"/>
        </w:rPr>
        <w:t xml:space="preserve"> y C-492 del 24 de julio de 2020</w:t>
      </w:r>
      <w:r w:rsidRPr="00342184">
        <w:rPr>
          <w:rFonts w:ascii="Arial" w:eastAsia="Arial" w:hAnsi="Arial" w:cs="Arial"/>
          <w:color w:val="000000"/>
          <w:sz w:val="22"/>
          <w:szCs w:val="22"/>
        </w:rPr>
        <w:t>. Las tesis propuestas se exponen a continuación.</w:t>
      </w:r>
    </w:p>
    <w:p w14:paraId="649C9C0F" w14:textId="77777777" w:rsidR="00E27BDF" w:rsidRPr="00342184" w:rsidRDefault="00E27BDF">
      <w:pPr>
        <w:spacing w:line="276" w:lineRule="auto"/>
        <w:jc w:val="both"/>
        <w:rPr>
          <w:rFonts w:ascii="Arial" w:eastAsia="Arial" w:hAnsi="Arial" w:cs="Arial"/>
          <w:color w:val="000000"/>
          <w:sz w:val="22"/>
          <w:szCs w:val="22"/>
        </w:rPr>
      </w:pPr>
    </w:p>
    <w:p w14:paraId="671BD6AB" w14:textId="77777777" w:rsidR="00E27BDF" w:rsidRPr="00342184" w:rsidRDefault="006C0DA8">
      <w:pPr>
        <w:spacing w:line="276" w:lineRule="auto"/>
        <w:jc w:val="both"/>
        <w:rPr>
          <w:rFonts w:ascii="Arial" w:eastAsia="Arial" w:hAnsi="Arial" w:cs="Arial"/>
          <w:b/>
          <w:color w:val="000000"/>
          <w:sz w:val="22"/>
          <w:szCs w:val="22"/>
        </w:rPr>
      </w:pPr>
      <w:r w:rsidRPr="00342184">
        <w:rPr>
          <w:rFonts w:ascii="Arial" w:eastAsia="Arial" w:hAnsi="Arial" w:cs="Arial"/>
          <w:b/>
          <w:color w:val="000000"/>
          <w:sz w:val="22"/>
          <w:szCs w:val="22"/>
        </w:rPr>
        <w:t xml:space="preserve">2.1. Limitación de los procesos contractuales a </w:t>
      </w:r>
      <w:proofErr w:type="spellStart"/>
      <w:r w:rsidRPr="00342184">
        <w:rPr>
          <w:rFonts w:ascii="Arial" w:eastAsia="Arial" w:hAnsi="Arial" w:cs="Arial"/>
          <w:b/>
          <w:color w:val="000000"/>
          <w:sz w:val="22"/>
          <w:szCs w:val="22"/>
        </w:rPr>
        <w:t>Mipymes</w:t>
      </w:r>
      <w:proofErr w:type="spellEnd"/>
    </w:p>
    <w:p w14:paraId="32075B8D" w14:textId="77777777" w:rsidR="00E27BDF" w:rsidRPr="00342184" w:rsidRDefault="00E27BDF">
      <w:pPr>
        <w:spacing w:before="120" w:line="276" w:lineRule="auto"/>
        <w:jc w:val="both"/>
        <w:rPr>
          <w:rFonts w:ascii="Arial" w:eastAsia="Arial" w:hAnsi="Arial" w:cs="Arial"/>
          <w:color w:val="000000"/>
          <w:sz w:val="22"/>
          <w:szCs w:val="22"/>
        </w:rPr>
      </w:pPr>
    </w:p>
    <w:p w14:paraId="5F500C9C" w14:textId="77777777" w:rsidR="00E27BDF" w:rsidRPr="00342184" w:rsidRDefault="006C0DA8">
      <w:pPr>
        <w:spacing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Según el artículo 2 de La Ley 905 de 2004</w:t>
      </w:r>
      <w:r w:rsidRPr="00342184">
        <w:rPr>
          <w:rFonts w:ascii="Arial" w:eastAsia="Arial" w:hAnsi="Arial" w:cs="Arial"/>
          <w:color w:val="000000"/>
          <w:sz w:val="22"/>
          <w:szCs w:val="22"/>
          <w:vertAlign w:val="superscript"/>
        </w:rPr>
        <w:footnoteReference w:id="1"/>
      </w:r>
      <w:r w:rsidRPr="00342184">
        <w:rPr>
          <w:rFonts w:ascii="Arial" w:eastAsia="Arial" w:hAnsi="Arial" w:cs="Arial"/>
          <w:color w:val="000000"/>
          <w:sz w:val="22"/>
          <w:szCs w:val="22"/>
        </w:rPr>
        <w:t>, que modificó la Ley 590 de 2000, la Micro, Pequeña y Mediana Empresa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1D009517"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En ese sentido, la norma dispone que: i) la mediana empresa es aquella que tiene una planta de personal entre 51 y 200 trabajadores o activos totales por un valor entre </w:t>
      </w:r>
      <w:r w:rsidRPr="00342184">
        <w:rPr>
          <w:rFonts w:ascii="Arial" w:eastAsia="Arial" w:hAnsi="Arial" w:cs="Arial"/>
          <w:color w:val="000000"/>
          <w:sz w:val="22"/>
          <w:szCs w:val="22"/>
        </w:rPr>
        <w:lastRenderedPageBreak/>
        <w:t xml:space="preserve">100.000 y 610.000 Unidades de valor Tributaria ─UVT─, </w:t>
      </w:r>
      <w:proofErr w:type="spellStart"/>
      <w:r w:rsidRPr="00342184">
        <w:rPr>
          <w:rFonts w:ascii="Arial" w:eastAsia="Arial" w:hAnsi="Arial" w:cs="Arial"/>
          <w:color w:val="000000"/>
          <w:sz w:val="22"/>
          <w:szCs w:val="22"/>
        </w:rPr>
        <w:t>ii</w:t>
      </w:r>
      <w:proofErr w:type="spellEnd"/>
      <w:r w:rsidRPr="00342184">
        <w:rPr>
          <w:rFonts w:ascii="Arial" w:eastAsia="Arial" w:hAnsi="Arial" w:cs="Arial"/>
          <w:color w:val="000000"/>
          <w:sz w:val="22"/>
          <w:szCs w:val="22"/>
        </w:rPr>
        <w:t xml:space="preserve">) la pequeña empresa es aquella que tiene una planta de personal entre 11 y 50 trabajadores o activos totales por un valor entre 501 y 5000 salarios mínimos mensuales legales vigentes, y </w:t>
      </w:r>
      <w:proofErr w:type="spellStart"/>
      <w:r w:rsidRPr="00342184">
        <w:rPr>
          <w:rFonts w:ascii="Arial" w:eastAsia="Arial" w:hAnsi="Arial" w:cs="Arial"/>
          <w:color w:val="000000"/>
          <w:sz w:val="22"/>
          <w:szCs w:val="22"/>
        </w:rPr>
        <w:t>iii</w:t>
      </w:r>
      <w:proofErr w:type="spellEnd"/>
      <w:r w:rsidRPr="00342184">
        <w:rPr>
          <w:rFonts w:ascii="Arial" w:eastAsia="Arial" w:hAnsi="Arial" w:cs="Arial"/>
          <w:color w:val="000000"/>
          <w:sz w:val="22"/>
          <w:szCs w:val="22"/>
        </w:rPr>
        <w:t>) la microempresa es aquella que tiene una planta de personal de 10 trabajadores o menos o activos totales por un valor inferior a 500 salarios mínimos legales mensuales</w:t>
      </w:r>
      <w:r w:rsidRPr="00342184">
        <w:rPr>
          <w:rFonts w:ascii="Arial" w:eastAsia="Arial" w:hAnsi="Arial" w:cs="Arial"/>
          <w:color w:val="000000"/>
          <w:sz w:val="22"/>
          <w:szCs w:val="22"/>
          <w:vertAlign w:val="superscript"/>
        </w:rPr>
        <w:footnoteReference w:id="2"/>
      </w:r>
      <w:r w:rsidRPr="00342184">
        <w:rPr>
          <w:rFonts w:ascii="Arial" w:eastAsia="Arial" w:hAnsi="Arial" w:cs="Arial"/>
          <w:color w:val="000000"/>
          <w:sz w:val="22"/>
          <w:szCs w:val="22"/>
        </w:rPr>
        <w:t>.</w:t>
      </w:r>
    </w:p>
    <w:p w14:paraId="3A6453B8"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Por otro lado, el numeral 4º del artículo 12 de la Ley 590 de 2000 estableció que las entidades públicas deben preferir, en condiciones de igual precio, calidad y capacidad de suministros, a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en las adquisiciones necesarias para su funcionamiento</w:t>
      </w:r>
      <w:r w:rsidRPr="00342184">
        <w:rPr>
          <w:rFonts w:ascii="Arial" w:eastAsia="Arial" w:hAnsi="Arial" w:cs="Arial"/>
          <w:color w:val="000000"/>
          <w:sz w:val="22"/>
          <w:szCs w:val="22"/>
          <w:vertAlign w:val="superscript"/>
        </w:rPr>
        <w:footnoteReference w:id="3"/>
      </w:r>
      <w:r w:rsidRPr="00342184">
        <w:rPr>
          <w:rFonts w:ascii="Arial" w:eastAsia="Arial" w:hAnsi="Arial" w:cs="Arial"/>
          <w:color w:val="000000"/>
          <w:sz w:val="22"/>
          <w:szCs w:val="22"/>
        </w:rPr>
        <w:t>.</w:t>
      </w:r>
    </w:p>
    <w:p w14:paraId="35EC94CF"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5015904E"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Al respecto, el Consejo de Estado, Sala de lo Contencioso Administrativo, Sección Tercera, Subsección C, mediante sentencia con número de expediente 40.743, del 23 de mayo de 2012</w:t>
      </w:r>
      <w:r w:rsidRPr="00342184">
        <w:rPr>
          <w:rFonts w:ascii="Arial" w:eastAsia="Arial" w:hAnsi="Arial" w:cs="Arial"/>
          <w:color w:val="000000"/>
          <w:sz w:val="22"/>
          <w:szCs w:val="22"/>
          <w:vertAlign w:val="superscript"/>
        </w:rPr>
        <w:footnoteReference w:id="4"/>
      </w:r>
      <w:r w:rsidRPr="00342184">
        <w:rPr>
          <w:rFonts w:ascii="Arial" w:eastAsia="Arial" w:hAnsi="Arial" w:cs="Arial"/>
          <w:color w:val="000000"/>
          <w:sz w:val="22"/>
          <w:szCs w:val="22"/>
        </w:rPr>
        <w:t xml:space="preserve">, con ponencia del Magistrado Enrique Gil Botero, destacó que las entidades públicas deben, por un lado, promocionar e incrementar, conforme con su presupuesto, la participación de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como proveedoras de bienes y servicios que demanden y, por </w:t>
      </w:r>
      <w:r w:rsidRPr="00342184">
        <w:rPr>
          <w:rFonts w:ascii="Arial" w:eastAsia="Arial" w:hAnsi="Arial" w:cs="Arial"/>
          <w:color w:val="000000"/>
          <w:sz w:val="22"/>
          <w:szCs w:val="22"/>
        </w:rPr>
        <w:lastRenderedPageBreak/>
        <w:t>el otro, establecer procedimientos administrativos que les faciliten el cumplimiento de los requisitos y trámites relativos a pedidos, recepción de bienes o servicios, condiciones de pago y acceso a la información sobre sus programas de inversión y gasto.</w:t>
      </w:r>
    </w:p>
    <w:p w14:paraId="664DE8A2"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Junto con la promoción dispuesta en la Ley 590 de 2000 se encuentra el </w:t>
      </w:r>
      <w:r w:rsidRPr="00342184">
        <w:rPr>
          <w:rFonts w:ascii="Arial" w:eastAsia="Arial" w:hAnsi="Arial" w:cs="Arial"/>
          <w:sz w:val="22"/>
          <w:szCs w:val="22"/>
        </w:rPr>
        <w:t>artículo</w:t>
      </w:r>
      <w:r w:rsidRPr="00342184">
        <w:rPr>
          <w:rFonts w:ascii="Arial" w:eastAsia="Arial" w:hAnsi="Arial" w:cs="Arial"/>
          <w:color w:val="000000"/>
          <w:sz w:val="22"/>
          <w:szCs w:val="22"/>
        </w:rPr>
        <w:t xml:space="preserve"> 12 la Ley 1150 de 2007, modificado por el artículo 32 de la Ley 1450 de 2011, que estableció las convocatorias limitadas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en contratación pública, en los siguientes términos:</w:t>
      </w:r>
    </w:p>
    <w:p w14:paraId="55E2890F" w14:textId="77777777" w:rsidR="00E27BDF" w:rsidRPr="00342184" w:rsidRDefault="00E27BDF">
      <w:pPr>
        <w:jc w:val="both"/>
        <w:rPr>
          <w:rFonts w:ascii="Arial" w:eastAsia="Arial" w:hAnsi="Arial" w:cs="Arial"/>
          <w:color w:val="000000"/>
          <w:sz w:val="22"/>
          <w:szCs w:val="22"/>
        </w:rPr>
      </w:pPr>
    </w:p>
    <w:p w14:paraId="6EB0E81A"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342184">
        <w:rPr>
          <w:rFonts w:ascii="Arial" w:eastAsia="Arial" w:hAnsi="Arial" w:cs="Arial"/>
          <w:i/>
          <w:color w:val="000000"/>
          <w:sz w:val="21"/>
          <w:szCs w:val="21"/>
        </w:rPr>
        <w:t xml:space="preserve">las entidades estatales adopten en beneficio de las </w:t>
      </w:r>
      <w:proofErr w:type="spellStart"/>
      <w:r w:rsidRPr="00342184">
        <w:rPr>
          <w:rFonts w:ascii="Arial" w:eastAsia="Arial" w:hAnsi="Arial" w:cs="Arial"/>
          <w:i/>
          <w:color w:val="000000"/>
          <w:sz w:val="21"/>
          <w:szCs w:val="21"/>
        </w:rPr>
        <w:t>Mipymes</w:t>
      </w:r>
      <w:proofErr w:type="spellEnd"/>
      <w:r w:rsidRPr="00342184">
        <w:rPr>
          <w:rFonts w:ascii="Arial" w:eastAsia="Arial" w:hAnsi="Arial" w:cs="Arial"/>
          <w:i/>
          <w:color w:val="000000"/>
          <w:sz w:val="21"/>
          <w:szCs w:val="21"/>
        </w:rPr>
        <w:t xml:space="preserve">, convocatorias limitadas a estas en las que, previo a la Resolución de apertura del proceso respectivo, se haya manifestado el interés del número plural de </w:t>
      </w:r>
      <w:proofErr w:type="spellStart"/>
      <w:r w:rsidRPr="00342184">
        <w:rPr>
          <w:rFonts w:ascii="Arial" w:eastAsia="Arial" w:hAnsi="Arial" w:cs="Arial"/>
          <w:i/>
          <w:color w:val="000000"/>
          <w:sz w:val="21"/>
          <w:szCs w:val="21"/>
        </w:rPr>
        <w:t>Mipymes</w:t>
      </w:r>
      <w:proofErr w:type="spellEnd"/>
      <w:r w:rsidRPr="00342184">
        <w:rPr>
          <w:rFonts w:ascii="Arial" w:eastAsia="Arial" w:hAnsi="Arial" w:cs="Arial"/>
          <w:i/>
          <w:color w:val="000000"/>
          <w:sz w:val="21"/>
          <w:szCs w:val="21"/>
        </w:rPr>
        <w:t xml:space="preserve"> que haya sido determinado en el reglamento</w:t>
      </w:r>
      <w:r w:rsidRPr="00342184">
        <w:rPr>
          <w:rFonts w:ascii="Arial" w:eastAsia="Arial" w:hAnsi="Arial" w:cs="Arial"/>
          <w:color w:val="000000"/>
          <w:sz w:val="21"/>
          <w:szCs w:val="21"/>
        </w:rPr>
        <w:t>.</w:t>
      </w:r>
    </w:p>
    <w:p w14:paraId="13C51D9E" w14:textId="77777777" w:rsidR="00E27BDF" w:rsidRPr="00342184" w:rsidRDefault="00E27BDF">
      <w:pPr>
        <w:ind w:left="709" w:right="709"/>
        <w:jc w:val="both"/>
        <w:rPr>
          <w:rFonts w:ascii="Arial" w:eastAsia="Arial" w:hAnsi="Arial" w:cs="Arial"/>
          <w:color w:val="000000"/>
          <w:sz w:val="21"/>
          <w:szCs w:val="21"/>
        </w:rPr>
      </w:pPr>
    </w:p>
    <w:p w14:paraId="0C0DE6BB"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 xml:space="preserve">Asimismo, el reglamento podrá establecer condiciones preferenciales en favor de la oferta de bienes y servicios producidos por las </w:t>
      </w:r>
      <w:proofErr w:type="spellStart"/>
      <w:r w:rsidRPr="00342184">
        <w:rPr>
          <w:rFonts w:ascii="Arial" w:eastAsia="Arial" w:hAnsi="Arial" w:cs="Arial"/>
          <w:color w:val="000000"/>
          <w:sz w:val="21"/>
          <w:szCs w:val="21"/>
        </w:rPr>
        <w:t>Mipymes</w:t>
      </w:r>
      <w:proofErr w:type="spellEnd"/>
      <w:r w:rsidRPr="00342184">
        <w:rPr>
          <w:rFonts w:ascii="Arial" w:eastAsia="Arial" w:hAnsi="Arial" w:cs="Arial"/>
          <w:color w:val="000000"/>
          <w:sz w:val="21"/>
          <w:szCs w:val="21"/>
        </w:rPr>
        <w:t>, respetando los montos y las condiciones contenidas en los compromisos internacionales vigentes.</w:t>
      </w:r>
    </w:p>
    <w:p w14:paraId="0C594D7B" w14:textId="77777777" w:rsidR="00E27BDF" w:rsidRPr="00342184" w:rsidRDefault="00E27BDF">
      <w:pPr>
        <w:ind w:left="709" w:right="709"/>
        <w:jc w:val="both"/>
        <w:rPr>
          <w:rFonts w:ascii="Arial" w:eastAsia="Arial" w:hAnsi="Arial" w:cs="Arial"/>
          <w:color w:val="000000"/>
          <w:sz w:val="21"/>
          <w:szCs w:val="21"/>
        </w:rPr>
      </w:pPr>
    </w:p>
    <w:p w14:paraId="58FE2E57"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2A44A476" w14:textId="77777777" w:rsidR="00E27BDF" w:rsidRPr="00342184" w:rsidRDefault="00E27BDF">
      <w:pPr>
        <w:ind w:left="709" w:right="709"/>
        <w:jc w:val="both"/>
        <w:rPr>
          <w:rFonts w:ascii="Arial" w:eastAsia="Arial" w:hAnsi="Arial" w:cs="Arial"/>
          <w:color w:val="000000"/>
          <w:sz w:val="21"/>
          <w:szCs w:val="21"/>
        </w:rPr>
      </w:pPr>
    </w:p>
    <w:p w14:paraId="26660914"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3376FF4F" w14:textId="77777777" w:rsidR="00E27BDF" w:rsidRPr="00342184" w:rsidRDefault="00E27BDF">
      <w:pPr>
        <w:ind w:left="709" w:right="709"/>
        <w:jc w:val="both"/>
        <w:rPr>
          <w:rFonts w:ascii="Arial" w:eastAsia="Arial" w:hAnsi="Arial" w:cs="Arial"/>
          <w:color w:val="000000"/>
          <w:sz w:val="21"/>
          <w:szCs w:val="21"/>
        </w:rPr>
      </w:pPr>
    </w:p>
    <w:p w14:paraId="772D58A1"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 xml:space="preserve">PARÁGRAFO 1o. En los procesos de selección que se desarrollen con base en el primer inciso, las entidades podrán realizar las convocatorias limitadas que beneficien a las </w:t>
      </w:r>
      <w:proofErr w:type="spellStart"/>
      <w:r w:rsidRPr="00342184">
        <w:rPr>
          <w:rFonts w:ascii="Arial" w:eastAsia="Arial" w:hAnsi="Arial" w:cs="Arial"/>
          <w:color w:val="000000"/>
          <w:sz w:val="21"/>
          <w:szCs w:val="21"/>
        </w:rPr>
        <w:t>Mipymes</w:t>
      </w:r>
      <w:proofErr w:type="spellEnd"/>
      <w:r w:rsidRPr="00342184">
        <w:rPr>
          <w:rFonts w:ascii="Arial" w:eastAsia="Arial" w:hAnsi="Arial" w:cs="Arial"/>
          <w:color w:val="000000"/>
          <w:sz w:val="21"/>
          <w:szCs w:val="21"/>
        </w:rPr>
        <w:t xml:space="preserve"> del ámbito municipal o departamental correspondiente al de la ejecución del contrato.</w:t>
      </w:r>
    </w:p>
    <w:p w14:paraId="21AE1E03" w14:textId="77777777" w:rsidR="00E27BDF" w:rsidRPr="00342184" w:rsidRDefault="00E27BDF">
      <w:pPr>
        <w:ind w:left="709" w:right="709"/>
        <w:jc w:val="both"/>
        <w:rPr>
          <w:rFonts w:ascii="Arial" w:eastAsia="Arial" w:hAnsi="Arial" w:cs="Arial"/>
          <w:color w:val="000000"/>
          <w:sz w:val="21"/>
          <w:szCs w:val="21"/>
        </w:rPr>
      </w:pPr>
    </w:p>
    <w:p w14:paraId="2FC226F1"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 xml:space="preserve">PARÁGRAFO 2o. Sin perjuicio de lo dispuesto en los artículos 5 y 6 de la Ley 1150 de 2007, para que las </w:t>
      </w:r>
      <w:proofErr w:type="spellStart"/>
      <w:r w:rsidRPr="00342184">
        <w:rPr>
          <w:rFonts w:ascii="Arial" w:eastAsia="Arial" w:hAnsi="Arial" w:cs="Arial"/>
          <w:color w:val="000000"/>
          <w:sz w:val="21"/>
          <w:szCs w:val="21"/>
        </w:rPr>
        <w:t>Mipymes</w:t>
      </w:r>
      <w:proofErr w:type="spellEnd"/>
      <w:r w:rsidRPr="00342184">
        <w:rPr>
          <w:rFonts w:ascii="Arial" w:eastAsia="Arial" w:hAnsi="Arial" w:cs="Arial"/>
          <w:color w:val="000000"/>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65CBAD3" w14:textId="77777777" w:rsidR="00E27BDF" w:rsidRPr="00342184" w:rsidRDefault="00E27BDF">
      <w:pPr>
        <w:ind w:left="709" w:right="709"/>
        <w:jc w:val="both"/>
        <w:rPr>
          <w:rFonts w:ascii="Arial" w:eastAsia="Arial" w:hAnsi="Arial" w:cs="Arial"/>
          <w:color w:val="000000"/>
          <w:sz w:val="21"/>
          <w:szCs w:val="21"/>
        </w:rPr>
      </w:pPr>
    </w:p>
    <w:p w14:paraId="6E78113B" w14:textId="77777777" w:rsidR="00E27BDF" w:rsidRPr="00342184" w:rsidRDefault="006C0DA8">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 xml:space="preserve">PARÁGRAFO 3o. En la ejecución de los contratos a que se refiere el presente artículo, las entidades y los contratistas, deberán observar lo dispuesto en los </w:t>
      </w:r>
      <w:r w:rsidRPr="00342184">
        <w:rPr>
          <w:rFonts w:ascii="Arial" w:eastAsia="Arial" w:hAnsi="Arial" w:cs="Arial"/>
          <w:color w:val="000000"/>
          <w:sz w:val="21"/>
          <w:szCs w:val="21"/>
        </w:rPr>
        <w:lastRenderedPageBreak/>
        <w:t>artículos 90 a 95 de la Ley 418 de 1997 y las normas que la modifiquen, adicionen o subroguen (Cursivas fuera de texto).</w:t>
      </w:r>
    </w:p>
    <w:p w14:paraId="0F3A09CF" w14:textId="77777777" w:rsidR="00E27BDF" w:rsidRPr="00342184" w:rsidRDefault="00E27BDF">
      <w:pPr>
        <w:jc w:val="both"/>
        <w:rPr>
          <w:rFonts w:ascii="Arial" w:eastAsia="Arial" w:hAnsi="Arial" w:cs="Arial"/>
          <w:color w:val="000000"/>
          <w:sz w:val="22"/>
          <w:szCs w:val="22"/>
        </w:rPr>
      </w:pPr>
    </w:p>
    <w:p w14:paraId="409709F7" w14:textId="77777777" w:rsidR="00E27BDF" w:rsidRPr="00342184" w:rsidRDefault="006C0DA8">
      <w:pPr>
        <w:spacing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La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7D66124E"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y la «limitación territorial»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contenidas, respectivamente, en los artículos 2.2.1.2.4.2.2. y 2.2.1.2.4.2.3. Este último dice lo siguiente:</w:t>
      </w:r>
    </w:p>
    <w:p w14:paraId="4FD948C6" w14:textId="77777777" w:rsidR="00E27BDF" w:rsidRPr="00342184" w:rsidRDefault="00E27BDF">
      <w:pPr>
        <w:ind w:firstLine="709"/>
        <w:jc w:val="both"/>
        <w:rPr>
          <w:rFonts w:ascii="Arial" w:eastAsia="Arial" w:hAnsi="Arial" w:cs="Arial"/>
          <w:color w:val="000000"/>
          <w:sz w:val="22"/>
          <w:szCs w:val="22"/>
        </w:rPr>
      </w:pPr>
    </w:p>
    <w:p w14:paraId="5DC9B94E" w14:textId="77777777" w:rsidR="00E27BDF" w:rsidRPr="00342184" w:rsidRDefault="006C0DA8">
      <w:pP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Las Entidades Estatales pueden realizar convocatorias limitadas a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nacionales domiciliadas en los departamentos o municipios en donde se va a ejecutar el contrato. La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debe acreditar su domicilio con el registro mercantil o el certificado de existencia y representación legal de la empresa.</w:t>
      </w:r>
    </w:p>
    <w:p w14:paraId="1ED6DC53" w14:textId="77777777" w:rsidR="00E27BDF" w:rsidRPr="00342184" w:rsidRDefault="00E27BDF">
      <w:pPr>
        <w:ind w:left="709" w:right="760"/>
        <w:jc w:val="both"/>
        <w:rPr>
          <w:rFonts w:ascii="Arial" w:eastAsia="Arial" w:hAnsi="Arial" w:cs="Arial"/>
          <w:color w:val="000000"/>
          <w:sz w:val="21"/>
          <w:szCs w:val="21"/>
        </w:rPr>
      </w:pPr>
    </w:p>
    <w:p w14:paraId="33CF20B6" w14:textId="77777777" w:rsidR="00E27BDF" w:rsidRPr="00342184" w:rsidRDefault="006C0DA8">
      <w:pPr>
        <w:ind w:right="760"/>
        <w:jc w:val="both"/>
        <w:rPr>
          <w:rFonts w:ascii="Arial" w:eastAsia="Arial" w:hAnsi="Arial" w:cs="Arial"/>
          <w:color w:val="000000"/>
          <w:sz w:val="22"/>
          <w:szCs w:val="22"/>
        </w:rPr>
      </w:pPr>
      <w:r w:rsidRPr="00342184">
        <w:rPr>
          <w:rFonts w:ascii="Arial" w:eastAsia="Arial" w:hAnsi="Arial" w:cs="Arial"/>
          <w:color w:val="000000"/>
          <w:sz w:val="22"/>
          <w:szCs w:val="22"/>
        </w:rPr>
        <w:t>El artículo 2.2.1.2.4.2.2., por su parte, es del siguiente tenor:</w:t>
      </w:r>
    </w:p>
    <w:p w14:paraId="2C26C7AD" w14:textId="77777777" w:rsidR="00E27BDF" w:rsidRPr="00342184" w:rsidRDefault="00E27BDF">
      <w:pPr>
        <w:ind w:left="709" w:right="760"/>
        <w:jc w:val="both"/>
        <w:rPr>
          <w:rFonts w:ascii="Arial" w:eastAsia="Arial" w:hAnsi="Arial" w:cs="Arial"/>
          <w:color w:val="000000"/>
          <w:sz w:val="21"/>
          <w:szCs w:val="21"/>
        </w:rPr>
      </w:pPr>
    </w:p>
    <w:p w14:paraId="66C6FE5A" w14:textId="77777777" w:rsidR="00E27BDF" w:rsidRPr="00342184" w:rsidRDefault="006C0DA8">
      <w:pP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La Entidad Estatal debe limitar a las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nacionales con mínimo un (1) año de existencia la convocatoria del Proceso de Contratación en la modalidad de licitación pública, selección abreviada y concurso de méritos cuando:</w:t>
      </w:r>
    </w:p>
    <w:p w14:paraId="7B18BFF9" w14:textId="77777777" w:rsidR="00E27BDF" w:rsidRPr="00342184" w:rsidRDefault="00E27BDF">
      <w:pPr>
        <w:ind w:left="709" w:right="760"/>
        <w:jc w:val="both"/>
        <w:rPr>
          <w:rFonts w:ascii="Arial" w:eastAsia="Arial" w:hAnsi="Arial" w:cs="Arial"/>
          <w:color w:val="000000"/>
          <w:sz w:val="21"/>
          <w:szCs w:val="21"/>
        </w:rPr>
      </w:pPr>
    </w:p>
    <w:p w14:paraId="7F89A844" w14:textId="77777777" w:rsidR="00E27BDF" w:rsidRPr="00342184" w:rsidRDefault="006C0DA8">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5F093FCC" w14:textId="77777777" w:rsidR="00E27BDF" w:rsidRPr="00342184" w:rsidRDefault="00E27BDF">
      <w:pPr>
        <w:pBdr>
          <w:top w:val="nil"/>
          <w:left w:val="nil"/>
          <w:bottom w:val="nil"/>
          <w:right w:val="nil"/>
          <w:between w:val="nil"/>
        </w:pBdr>
        <w:ind w:left="709" w:right="760"/>
        <w:jc w:val="both"/>
        <w:rPr>
          <w:rFonts w:ascii="Arial" w:eastAsia="Arial" w:hAnsi="Arial" w:cs="Arial"/>
          <w:color w:val="000000"/>
          <w:sz w:val="21"/>
          <w:szCs w:val="21"/>
        </w:rPr>
      </w:pPr>
    </w:p>
    <w:p w14:paraId="00E16222" w14:textId="77777777" w:rsidR="00E27BDF" w:rsidRPr="00342184" w:rsidRDefault="006C0DA8">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2. La Entidad Estatal ha recibido solicitudes de por lo menos tres (3)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nacionales para limitar la convocatoria a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nacionales. La Entidad Estatal debe recibir estas solicitudes por lo menos un (1) día hábil antes de la apertura del Proceso de Contratación.</w:t>
      </w:r>
    </w:p>
    <w:p w14:paraId="617E70D7" w14:textId="77777777" w:rsidR="00E27BDF" w:rsidRPr="00342184" w:rsidRDefault="00E27BDF">
      <w:pPr>
        <w:jc w:val="both"/>
        <w:rPr>
          <w:rFonts w:ascii="Arial" w:eastAsia="Arial" w:hAnsi="Arial" w:cs="Arial"/>
          <w:color w:val="000000"/>
          <w:sz w:val="20"/>
          <w:szCs w:val="20"/>
        </w:rPr>
      </w:pPr>
    </w:p>
    <w:p w14:paraId="4ABBD4AD" w14:textId="77777777" w:rsidR="00E27BDF" w:rsidRPr="00342184" w:rsidRDefault="006C0DA8">
      <w:pPr>
        <w:spacing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Puede decirse, entonces, que el Decreto 1082 de 2015 regula la limitación de convocatorias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en dos normas distintas, las cuales, sin embargo, deben leerse conjunta y armónicamente. Por un lado, la que prevé los requisitos generales para que la entidad limite sus convocatorias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w:t>
      </w:r>
      <w:r w:rsidRPr="00342184">
        <w:rPr>
          <w:rFonts w:ascii="Arial" w:eastAsia="Arial" w:hAnsi="Arial" w:cs="Arial"/>
          <w:i/>
          <w:color w:val="000000"/>
          <w:sz w:val="22"/>
          <w:szCs w:val="22"/>
        </w:rPr>
        <w:t>infra</w:t>
      </w:r>
      <w:r w:rsidRPr="00342184">
        <w:rPr>
          <w:rFonts w:ascii="Arial" w:eastAsia="Arial" w:hAnsi="Arial" w:cs="Arial"/>
          <w:color w:val="000000"/>
          <w:sz w:val="22"/>
          <w:szCs w:val="22"/>
        </w:rPr>
        <w:t xml:space="preserve"> literal a» y, por el otro, la que establece la posibilidad de regular la convocatoria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los departamentos o municipios en donde se va a ejecutar el contrato «</w:t>
      </w:r>
      <w:r w:rsidRPr="00342184">
        <w:rPr>
          <w:rFonts w:ascii="Arial" w:eastAsia="Arial" w:hAnsi="Arial" w:cs="Arial"/>
          <w:i/>
          <w:color w:val="000000"/>
          <w:sz w:val="22"/>
          <w:szCs w:val="22"/>
        </w:rPr>
        <w:t xml:space="preserve">infra </w:t>
      </w:r>
      <w:r w:rsidRPr="00342184">
        <w:rPr>
          <w:rFonts w:ascii="Arial" w:eastAsia="Arial" w:hAnsi="Arial" w:cs="Arial"/>
          <w:color w:val="000000"/>
          <w:sz w:val="22"/>
          <w:szCs w:val="22"/>
        </w:rPr>
        <w:t xml:space="preserve">literal b». </w:t>
      </w:r>
    </w:p>
    <w:p w14:paraId="22DADDB8"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Es de resaltar que estas normas se refieren a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genéricamente y, particularmente, a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los departamentos o municipios en donde se va a ejecutar el contrato». En ambos casos se refiere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distinguiéndolas de las empresas extranjeras. Del artículo </w:t>
      </w:r>
      <w:r w:rsidRPr="00342184">
        <w:rPr>
          <w:rFonts w:ascii="Arial" w:eastAsia="Arial" w:hAnsi="Arial" w:cs="Arial"/>
          <w:color w:val="000000"/>
          <w:sz w:val="22"/>
          <w:szCs w:val="22"/>
        </w:rPr>
        <w:lastRenderedPageBreak/>
        <w:t xml:space="preserve">2.2.1.2.4.2.3. del Decreto 1082 de 2015 no se deriva que existan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del orden nacional. Otra cosa es que las normas de contratación permitan que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con «domicilio» en un municipio o departamento puedan beneficiarse en la ejecución de un contrato dentro de la entidad territorial en la que tienen su «domicilio». De todos modos,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domiciliadas en un municipio o departamento son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En consecuencia, no es procedente distinguir entre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y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municipales o departamentales, habida cuenta que estas últimas no existen como categoría dentro del ordenamiento normativo.</w:t>
      </w:r>
    </w:p>
    <w:p w14:paraId="4178B2C3"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Igualmente, se debe precisar que el artículo 2.2.1.2.4.2.3. del Decreto 1082 de 2015 se refiere a las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nacionales </w:t>
      </w:r>
      <w:r w:rsidRPr="00342184">
        <w:rPr>
          <w:rFonts w:ascii="Arial" w:eastAsia="Arial" w:hAnsi="Arial" w:cs="Arial"/>
          <w:i/>
          <w:color w:val="000000"/>
          <w:sz w:val="22"/>
          <w:szCs w:val="22"/>
        </w:rPr>
        <w:t>domiciliadas</w:t>
      </w:r>
      <w:r w:rsidRPr="00342184">
        <w:rPr>
          <w:rFonts w:ascii="Arial" w:eastAsia="Arial" w:hAnsi="Arial" w:cs="Arial"/>
          <w:color w:val="000000"/>
          <w:sz w:val="22"/>
          <w:szCs w:val="22"/>
        </w:rPr>
        <w:t xml:space="preserve">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tiene su «domicilio», y no en donde tiene sucursales. </w:t>
      </w:r>
    </w:p>
    <w:p w14:paraId="4E6EB14A"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 tener una o varias sucursales. En ese mismo sentido, los artículos 110 y 111 </w:t>
      </w:r>
      <w:proofErr w:type="spellStart"/>
      <w:r w:rsidRPr="00342184">
        <w:rPr>
          <w:rFonts w:ascii="Arial" w:eastAsia="Arial" w:hAnsi="Arial" w:cs="Arial"/>
          <w:i/>
          <w:color w:val="000000"/>
          <w:sz w:val="22"/>
          <w:szCs w:val="22"/>
        </w:rPr>
        <w:t>ibídem</w:t>
      </w:r>
      <w:proofErr w:type="spellEnd"/>
      <w:r w:rsidRPr="00342184">
        <w:rPr>
          <w:rFonts w:ascii="Arial" w:eastAsia="Arial" w:hAnsi="Arial" w:cs="Arial"/>
          <w:color w:val="000000"/>
          <w:sz w:val="22"/>
          <w:szCs w:val="22"/>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proofErr w:type="spellStart"/>
      <w:r w:rsidRPr="00342184">
        <w:rPr>
          <w:rFonts w:ascii="Arial" w:eastAsia="Arial" w:hAnsi="Arial" w:cs="Arial"/>
          <w:i/>
          <w:color w:val="000000"/>
          <w:sz w:val="22"/>
          <w:szCs w:val="22"/>
        </w:rPr>
        <w:t>ibídem</w:t>
      </w:r>
      <w:proofErr w:type="spellEnd"/>
      <w:r w:rsidRPr="00342184">
        <w:rPr>
          <w:rFonts w:ascii="Arial" w:eastAsia="Arial" w:hAnsi="Arial" w:cs="Arial"/>
          <w:i/>
          <w:color w:val="000000"/>
          <w:sz w:val="22"/>
          <w:szCs w:val="22"/>
        </w:rPr>
        <w:t xml:space="preserve"> </w:t>
      </w:r>
      <w:r w:rsidRPr="00342184">
        <w:rPr>
          <w:rFonts w:ascii="Arial" w:eastAsia="Arial" w:hAnsi="Arial" w:cs="Arial"/>
          <w:color w:val="000000"/>
          <w:sz w:val="22"/>
          <w:szCs w:val="22"/>
        </w:rPr>
        <w:t>a las entidades que tienen «sucursales» en el municipio o departamento en donde se va a ejecutar el contrato estatal.</w:t>
      </w:r>
    </w:p>
    <w:p w14:paraId="0794448B"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a) El artículo 2.2.1.2.4.2.2. del Decreto 1082 de 2015 establece los requisitos que se deben acreditar en las «convocatorias limitadas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La primera limitación se deriva del inciso primero de la referida norma, en cuanto a las modalidades de selección de contratistas, en el entendido de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342184">
        <w:rPr>
          <w:rFonts w:ascii="Arial" w:eastAsia="Arial" w:hAnsi="Arial" w:cs="Arial"/>
          <w:i/>
          <w:color w:val="000000"/>
          <w:sz w:val="22"/>
          <w:szCs w:val="22"/>
        </w:rPr>
        <w:t>mínima cuantía</w:t>
      </w:r>
      <w:r w:rsidRPr="00342184">
        <w:rPr>
          <w:rFonts w:ascii="Arial" w:eastAsia="Arial" w:hAnsi="Arial" w:cs="Arial"/>
          <w:color w:val="000000"/>
          <w:sz w:val="22"/>
          <w:szCs w:val="22"/>
        </w:rPr>
        <w:t xml:space="preserve"> y también en los de </w:t>
      </w:r>
      <w:r w:rsidRPr="00342184">
        <w:rPr>
          <w:rFonts w:ascii="Arial" w:eastAsia="Arial" w:hAnsi="Arial" w:cs="Arial"/>
          <w:i/>
          <w:color w:val="000000"/>
          <w:sz w:val="22"/>
          <w:szCs w:val="22"/>
        </w:rPr>
        <w:t>contratación directa</w:t>
      </w:r>
      <w:r w:rsidRPr="00342184">
        <w:rPr>
          <w:rFonts w:ascii="Arial" w:eastAsia="Arial" w:hAnsi="Arial" w:cs="Arial"/>
          <w:color w:val="000000"/>
          <w:sz w:val="22"/>
          <w:szCs w:val="22"/>
        </w:rPr>
        <w:t xml:space="preserve">. Para los efectos de la consulta </w:t>
      </w:r>
      <w:r w:rsidRPr="00342184">
        <w:rPr>
          <w:rFonts w:ascii="Arial" w:eastAsia="Arial" w:hAnsi="Arial" w:cs="Arial"/>
          <w:i/>
          <w:color w:val="000000"/>
          <w:sz w:val="22"/>
          <w:szCs w:val="22"/>
        </w:rPr>
        <w:t xml:space="preserve">sub </w:t>
      </w:r>
      <w:r w:rsidRPr="00342184">
        <w:rPr>
          <w:rFonts w:ascii="Arial" w:eastAsia="Arial" w:hAnsi="Arial" w:cs="Arial"/>
          <w:color w:val="000000"/>
          <w:sz w:val="22"/>
          <w:szCs w:val="22"/>
        </w:rPr>
        <w:t xml:space="preserve">examine, se debe precisar que una de las causales de </w:t>
      </w:r>
      <w:r w:rsidRPr="00342184">
        <w:rPr>
          <w:rFonts w:ascii="Arial" w:eastAsia="Arial" w:hAnsi="Arial" w:cs="Arial"/>
          <w:i/>
          <w:color w:val="000000"/>
          <w:sz w:val="22"/>
          <w:szCs w:val="22"/>
        </w:rPr>
        <w:t>selección abreviada</w:t>
      </w:r>
      <w:r w:rsidRPr="00342184">
        <w:rPr>
          <w:rFonts w:ascii="Arial" w:eastAsia="Arial" w:hAnsi="Arial" w:cs="Arial"/>
          <w:color w:val="000000"/>
          <w:sz w:val="22"/>
          <w:szCs w:val="22"/>
        </w:rPr>
        <w:t xml:space="preserve"> es la </w:t>
      </w:r>
      <w:r w:rsidRPr="00342184">
        <w:rPr>
          <w:rFonts w:ascii="Arial" w:eastAsia="Arial" w:hAnsi="Arial" w:cs="Arial"/>
          <w:i/>
          <w:color w:val="000000"/>
          <w:sz w:val="22"/>
          <w:szCs w:val="22"/>
        </w:rPr>
        <w:t>contratación de menor cuantía</w:t>
      </w:r>
      <w:r w:rsidRPr="00342184">
        <w:rPr>
          <w:rFonts w:ascii="Arial" w:eastAsia="Arial" w:hAnsi="Arial" w:cs="Arial"/>
          <w:color w:val="000000"/>
          <w:sz w:val="22"/>
          <w:szCs w:val="22"/>
        </w:rPr>
        <w:t>, según lo que establece el artículo 2, numeral 2, literal b, de la Ley 1150 de 2007.</w:t>
      </w:r>
    </w:p>
    <w:p w14:paraId="5E16481C"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lastRenderedPageBreak/>
        <w:t xml:space="preserve">El numeral primero limita cuantitativamente los procesos contractuales en los que se puede hacer esa «convocatoria limitada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342184">
        <w:rPr>
          <w:rFonts w:ascii="Arial" w:eastAsia="Arial" w:hAnsi="Arial" w:cs="Arial"/>
          <w:color w:val="000000"/>
          <w:sz w:val="22"/>
          <w:szCs w:val="22"/>
          <w:vertAlign w:val="superscript"/>
        </w:rPr>
        <w:footnoteReference w:id="5"/>
      </w:r>
      <w:r w:rsidRPr="00342184">
        <w:rPr>
          <w:rFonts w:ascii="Arial" w:eastAsia="Arial" w:hAnsi="Arial" w:cs="Arial"/>
          <w:color w:val="000000"/>
          <w:sz w:val="22"/>
          <w:szCs w:val="22"/>
        </w:rPr>
        <w:t>─, establecida diariamente por la Superintendencia Financiera de Colombia, según lo que establece el artículo 40 de la Resolución Externa No. 1 de 2018 y la Circular Reglamentaria Externa- DODM-146, ambas expedidas por el Banco de la República.</w:t>
      </w:r>
    </w:p>
    <w:p w14:paraId="17D93C2E"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Para establecer dicha tasa, el Ministerio toma en cuenta como parámetros, por un lado, el promedio de la TRM</w:t>
      </w:r>
      <w:r w:rsidRPr="00342184">
        <w:rPr>
          <w:rFonts w:ascii="Arial" w:eastAsia="Arial" w:hAnsi="Arial" w:cs="Arial"/>
          <w:color w:val="000000"/>
          <w:sz w:val="22"/>
          <w:szCs w:val="22"/>
          <w:vertAlign w:val="superscript"/>
        </w:rPr>
        <w:footnoteReference w:id="6"/>
      </w:r>
      <w:r w:rsidRPr="00342184">
        <w:rPr>
          <w:rFonts w:ascii="Arial" w:eastAsia="Arial" w:hAnsi="Arial" w:cs="Arial"/>
          <w:color w:val="000000"/>
          <w:sz w:val="22"/>
          <w:szCs w:val="22"/>
        </w:rPr>
        <w:t xml:space="preserve"> de los dos años anteriores al período a calcular y, por el otro, los «veinticinco mil dólares de los Estados Unidos de América» a los que se refiere el numeral 1º del artículo 2.2.1.2.4.2.2. del Decreto 1082 de 2015. Así lo ha hecho para los períodos 2015</w:t>
      </w:r>
      <w:r w:rsidRPr="00342184">
        <w:rPr>
          <w:rFonts w:ascii="Arial" w:eastAsia="Arial" w:hAnsi="Arial" w:cs="Arial"/>
          <w:color w:val="000000"/>
          <w:sz w:val="22"/>
          <w:szCs w:val="22"/>
          <w:vertAlign w:val="superscript"/>
        </w:rPr>
        <w:footnoteReference w:id="7"/>
      </w:r>
      <w:r w:rsidRPr="00342184">
        <w:rPr>
          <w:rFonts w:ascii="Arial" w:eastAsia="Arial" w:hAnsi="Arial" w:cs="Arial"/>
          <w:color w:val="000000"/>
          <w:sz w:val="22"/>
          <w:szCs w:val="22"/>
        </w:rPr>
        <w:t>-2017, 2018-2019 y 2020-2021 (vigente)</w:t>
      </w:r>
      <w:r w:rsidRPr="00342184">
        <w:rPr>
          <w:rFonts w:ascii="Arial" w:eastAsia="Arial" w:hAnsi="Arial" w:cs="Arial"/>
          <w:color w:val="000000"/>
          <w:sz w:val="22"/>
          <w:szCs w:val="22"/>
          <w:vertAlign w:val="superscript"/>
        </w:rPr>
        <w:footnoteReference w:id="8"/>
      </w:r>
      <w:r w:rsidRPr="00342184">
        <w:rPr>
          <w:rFonts w:ascii="Arial" w:eastAsia="Arial" w:hAnsi="Arial" w:cs="Arial"/>
          <w:color w:val="000000"/>
          <w:sz w:val="22"/>
          <w:szCs w:val="22"/>
        </w:rPr>
        <w:t>. Esta entidad, por otro lado, en ejercicio de sus competencias legales y reglamentarias, está encargada de la publicación de la información en su portal Web: https://www.colombiacompra.gov.co/.</w:t>
      </w:r>
    </w:p>
    <w:p w14:paraId="03E67AAB" w14:textId="77777777" w:rsidR="00E27BDF" w:rsidRPr="00342184" w:rsidRDefault="006C0DA8">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 xml:space="preserve">El numeral segundo establece dos exigencias: por un lado, que al menos tres (3)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presenten a la entidad la solicitud formal de limitar el proceso contractual; y por el otro, que hagan la solicitud por lo menos un día antes de la apertura del proceso de contratación. En relación con esto último, por su relación con la pregunta </w:t>
      </w:r>
      <w:r w:rsidRPr="00342184">
        <w:rPr>
          <w:rFonts w:ascii="Arial" w:eastAsia="Arial" w:hAnsi="Arial" w:cs="Arial"/>
          <w:i/>
          <w:color w:val="000000"/>
          <w:sz w:val="22"/>
          <w:szCs w:val="22"/>
        </w:rPr>
        <w:t>sub examine</w:t>
      </w:r>
      <w:r w:rsidRPr="00342184">
        <w:rPr>
          <w:rFonts w:ascii="Arial" w:eastAsia="Arial" w:hAnsi="Arial" w:cs="Arial"/>
          <w:color w:val="000000"/>
          <w:sz w:val="22"/>
          <w:szCs w:val="22"/>
        </w:rPr>
        <w:t>, se transcribe el numeral 2 del artículo 2.2.1.2.4.2.2. del Decreto 1082 de 2015:</w:t>
      </w:r>
    </w:p>
    <w:p w14:paraId="3BFCB050" w14:textId="77777777" w:rsidR="00E27BDF" w:rsidRPr="00342184" w:rsidRDefault="00E27BDF">
      <w:pPr>
        <w:ind w:left="709" w:right="760"/>
        <w:jc w:val="both"/>
        <w:rPr>
          <w:rFonts w:ascii="Arial" w:eastAsia="Arial" w:hAnsi="Arial" w:cs="Arial"/>
          <w:color w:val="000000"/>
          <w:sz w:val="21"/>
          <w:szCs w:val="21"/>
        </w:rPr>
      </w:pPr>
    </w:p>
    <w:p w14:paraId="6804BDC2" w14:textId="77777777" w:rsidR="00E27BDF" w:rsidRPr="00342184" w:rsidRDefault="006C0DA8">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 2. La Entidad Estatal ha recibido solicitudes de por lo menos tres (3)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nacionales para limitar la convocatoria a </w:t>
      </w:r>
      <w:proofErr w:type="spellStart"/>
      <w:r w:rsidRPr="00342184">
        <w:rPr>
          <w:rFonts w:ascii="Arial" w:eastAsia="Arial" w:hAnsi="Arial" w:cs="Arial"/>
          <w:color w:val="000000"/>
          <w:sz w:val="21"/>
          <w:szCs w:val="21"/>
        </w:rPr>
        <w:t>Mipyme</w:t>
      </w:r>
      <w:proofErr w:type="spellEnd"/>
      <w:r w:rsidRPr="00342184">
        <w:rPr>
          <w:rFonts w:ascii="Arial" w:eastAsia="Arial" w:hAnsi="Arial" w:cs="Arial"/>
          <w:color w:val="000000"/>
          <w:sz w:val="21"/>
          <w:szCs w:val="21"/>
        </w:rPr>
        <w:t xml:space="preserve"> nacionales. </w:t>
      </w:r>
      <w:r w:rsidRPr="00342184">
        <w:rPr>
          <w:rFonts w:ascii="Arial" w:eastAsia="Arial" w:hAnsi="Arial" w:cs="Arial"/>
          <w:i/>
          <w:color w:val="000000"/>
          <w:sz w:val="21"/>
          <w:szCs w:val="21"/>
        </w:rPr>
        <w:t>La Entidad Estatal debe recibir estas solicitudes por lo menos un (1) día hábil antes de la apertura del Proceso de Contratación</w:t>
      </w:r>
      <w:r w:rsidRPr="00342184">
        <w:rPr>
          <w:rFonts w:ascii="Arial" w:eastAsia="Arial" w:hAnsi="Arial" w:cs="Arial"/>
          <w:color w:val="000000"/>
          <w:sz w:val="21"/>
          <w:szCs w:val="21"/>
        </w:rPr>
        <w:t>.</w:t>
      </w:r>
    </w:p>
    <w:p w14:paraId="18F0AD5F" w14:textId="77777777" w:rsidR="00E27BDF" w:rsidRPr="00342184" w:rsidRDefault="00E27BDF">
      <w:pPr>
        <w:jc w:val="both"/>
        <w:rPr>
          <w:rFonts w:ascii="Arial" w:eastAsia="Arial" w:hAnsi="Arial" w:cs="Arial"/>
          <w:color w:val="000000"/>
          <w:sz w:val="22"/>
          <w:szCs w:val="22"/>
        </w:rPr>
      </w:pPr>
    </w:p>
    <w:p w14:paraId="6437CC95" w14:textId="51A0EF5E" w:rsidR="00E27BDF" w:rsidRPr="00342184" w:rsidRDefault="006C0DA8">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 xml:space="preserve">Es importante resaltar dos aspectos, </w:t>
      </w:r>
      <w:r w:rsidRPr="00342184">
        <w:rPr>
          <w:rFonts w:ascii="Arial" w:eastAsia="Arial" w:hAnsi="Arial" w:cs="Arial"/>
          <w:i/>
          <w:color w:val="000000"/>
          <w:sz w:val="22"/>
          <w:szCs w:val="22"/>
        </w:rPr>
        <w:t xml:space="preserve">primero, </w:t>
      </w:r>
      <w:r w:rsidRPr="00342184">
        <w:rPr>
          <w:rFonts w:ascii="Arial" w:eastAsia="Arial" w:hAnsi="Arial" w:cs="Arial"/>
          <w:color w:val="000000"/>
          <w:sz w:val="22"/>
          <w:szCs w:val="22"/>
        </w:rPr>
        <w:t xml:space="preserve">que el documento que contiene la solicitud de limitación es diferente y autónomo en relación con el documento contentivo de </w:t>
      </w:r>
      <w:r w:rsidRPr="00342184">
        <w:rPr>
          <w:rFonts w:ascii="Arial" w:eastAsia="Arial" w:hAnsi="Arial" w:cs="Arial"/>
          <w:color w:val="000000"/>
          <w:sz w:val="22"/>
          <w:szCs w:val="22"/>
        </w:rPr>
        <w:lastRenderedPageBreak/>
        <w:t xml:space="preserve">la propuesta del oferente; y </w:t>
      </w:r>
      <w:r w:rsidRPr="00342184">
        <w:rPr>
          <w:rFonts w:ascii="Arial" w:eastAsia="Arial" w:hAnsi="Arial" w:cs="Arial"/>
          <w:i/>
          <w:color w:val="000000"/>
          <w:sz w:val="22"/>
          <w:szCs w:val="22"/>
        </w:rPr>
        <w:t>segundo</w:t>
      </w:r>
      <w:r w:rsidRPr="00342184">
        <w:rPr>
          <w:rFonts w:ascii="Arial" w:eastAsia="Arial" w:hAnsi="Arial" w:cs="Arial"/>
          <w:color w:val="000000"/>
          <w:sz w:val="22"/>
          <w:szCs w:val="22"/>
        </w:rPr>
        <w:t xml:space="preserve">,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w:t>
      </w:r>
      <w:proofErr w:type="spellStart"/>
      <w:r w:rsidRPr="00342184">
        <w:rPr>
          <w:rFonts w:ascii="Arial" w:eastAsia="Arial" w:hAnsi="Arial" w:cs="Arial"/>
          <w:color w:val="000000"/>
          <w:sz w:val="22"/>
          <w:szCs w:val="22"/>
        </w:rPr>
        <w:t>concluído</w:t>
      </w:r>
      <w:proofErr w:type="spellEnd"/>
      <w:r w:rsidRPr="00342184">
        <w:rPr>
          <w:rFonts w:ascii="Arial" w:eastAsia="Arial" w:hAnsi="Arial" w:cs="Arial"/>
          <w:color w:val="000000"/>
          <w:sz w:val="22"/>
          <w:szCs w:val="22"/>
        </w:rPr>
        <w:t xml:space="preserve"> el plazo para pedir la </w:t>
      </w:r>
      <w:r w:rsidRPr="00342184">
        <w:rPr>
          <w:rFonts w:ascii="Arial" w:eastAsia="Arial" w:hAnsi="Arial" w:cs="Arial"/>
          <w:sz w:val="22"/>
          <w:szCs w:val="22"/>
        </w:rPr>
        <w:t>limitación</w:t>
      </w:r>
      <w:r w:rsidRPr="00342184">
        <w:rPr>
          <w:rFonts w:ascii="Arial" w:eastAsia="Arial" w:hAnsi="Arial" w:cs="Arial"/>
          <w:color w:val="000000"/>
          <w:sz w:val="22"/>
          <w:szCs w:val="22"/>
        </w:rPr>
        <w:t xml:space="preserve"> del proceso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Tales conclusiones encuentran fundamento normativo en los artículos 2.2.1.1.2.1.5.</w:t>
      </w:r>
      <w:r w:rsidRPr="00342184">
        <w:rPr>
          <w:rFonts w:ascii="Arial" w:eastAsia="Arial" w:hAnsi="Arial" w:cs="Arial"/>
          <w:color w:val="000000"/>
          <w:sz w:val="22"/>
          <w:szCs w:val="22"/>
          <w:vertAlign w:val="superscript"/>
        </w:rPr>
        <w:footnoteReference w:id="9"/>
      </w:r>
      <w:r w:rsidRPr="00342184">
        <w:rPr>
          <w:rFonts w:ascii="Arial" w:eastAsia="Arial" w:hAnsi="Arial" w:cs="Arial"/>
          <w:color w:val="000000"/>
          <w:sz w:val="22"/>
          <w:szCs w:val="22"/>
        </w:rPr>
        <w:t xml:space="preserve"> y 2.2.1.2.1.2.20.</w:t>
      </w:r>
      <w:r w:rsidRPr="00342184">
        <w:rPr>
          <w:rFonts w:ascii="Arial" w:eastAsia="Arial" w:hAnsi="Arial" w:cs="Arial"/>
          <w:color w:val="000000"/>
          <w:sz w:val="22"/>
          <w:szCs w:val="22"/>
          <w:vertAlign w:val="superscript"/>
        </w:rPr>
        <w:footnoteReference w:id="10"/>
      </w:r>
      <w:r w:rsidRPr="00342184">
        <w:rPr>
          <w:rFonts w:ascii="Arial" w:eastAsia="Arial" w:hAnsi="Arial" w:cs="Arial"/>
          <w:color w:val="000000"/>
          <w:sz w:val="22"/>
          <w:szCs w:val="22"/>
        </w:rPr>
        <w:t xml:space="preserve"> del Decreto 1082 de 2015.</w:t>
      </w:r>
    </w:p>
    <w:p w14:paraId="47FAFF45" w14:textId="0D9E04F1" w:rsidR="00E27BDF" w:rsidRPr="00342184" w:rsidRDefault="00ED3D3F">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 xml:space="preserve">En relación con </w:t>
      </w:r>
      <w:r w:rsidR="00F878C8" w:rsidRPr="00342184">
        <w:rPr>
          <w:rFonts w:ascii="Arial" w:eastAsia="Arial" w:hAnsi="Arial" w:cs="Arial"/>
          <w:color w:val="000000"/>
          <w:sz w:val="22"/>
          <w:szCs w:val="22"/>
        </w:rPr>
        <w:t>la primera exigencia</w:t>
      </w:r>
      <w:r w:rsidR="006C0DA8" w:rsidRPr="00342184">
        <w:rPr>
          <w:rFonts w:ascii="Arial" w:eastAsia="Arial" w:hAnsi="Arial" w:cs="Arial"/>
          <w:color w:val="000000"/>
          <w:sz w:val="22"/>
          <w:szCs w:val="22"/>
        </w:rPr>
        <w:t xml:space="preserve">, Colombia Compra Eficiente ha precisado que «[s]i bien la normativa del sistema de compra </w:t>
      </w:r>
      <w:r w:rsidR="006C0DA8" w:rsidRPr="00342184">
        <w:rPr>
          <w:rFonts w:ascii="Arial" w:eastAsia="Arial" w:hAnsi="Arial" w:cs="Arial"/>
          <w:sz w:val="22"/>
          <w:szCs w:val="22"/>
        </w:rPr>
        <w:t>pública</w:t>
      </w:r>
      <w:r w:rsidR="006C0DA8" w:rsidRPr="00342184">
        <w:rPr>
          <w:rFonts w:ascii="Arial" w:eastAsia="Arial" w:hAnsi="Arial" w:cs="Arial"/>
          <w:color w:val="000000"/>
          <w:sz w:val="22"/>
          <w:szCs w:val="22"/>
        </w:rPr>
        <w:t xml:space="preserve"> no establece como requisito acreditar la relación entre el objeto de la </w:t>
      </w:r>
      <w:proofErr w:type="spellStart"/>
      <w:r w:rsidR="006C0DA8" w:rsidRPr="00342184">
        <w:rPr>
          <w:rFonts w:ascii="Arial" w:eastAsia="Arial" w:hAnsi="Arial" w:cs="Arial"/>
          <w:color w:val="000000"/>
          <w:sz w:val="22"/>
          <w:szCs w:val="22"/>
        </w:rPr>
        <w:t>Mipyme</w:t>
      </w:r>
      <w:proofErr w:type="spellEnd"/>
      <w:r w:rsidR="006C0DA8" w:rsidRPr="00342184">
        <w:rPr>
          <w:rFonts w:ascii="Arial" w:eastAsia="Arial" w:hAnsi="Arial" w:cs="Arial"/>
          <w:color w:val="000000"/>
          <w:sz w:val="22"/>
          <w:szCs w:val="22"/>
        </w:rPr>
        <w:t xml:space="preserve"> y el objeto contrato, es imperativo que la entidad estatal verifique que quienes solicitan la limitación del proceso a </w:t>
      </w:r>
      <w:proofErr w:type="spellStart"/>
      <w:r w:rsidR="006C0DA8" w:rsidRPr="00342184">
        <w:rPr>
          <w:rFonts w:ascii="Arial" w:eastAsia="Arial" w:hAnsi="Arial" w:cs="Arial"/>
          <w:color w:val="000000"/>
          <w:sz w:val="22"/>
          <w:szCs w:val="22"/>
        </w:rPr>
        <w:t>Mipyme</w:t>
      </w:r>
      <w:proofErr w:type="spellEnd"/>
      <w:r w:rsidR="006C0DA8" w:rsidRPr="00342184">
        <w:rPr>
          <w:rFonts w:ascii="Arial" w:eastAsia="Arial" w:hAnsi="Arial" w:cs="Arial"/>
          <w:color w:val="000000"/>
          <w:sz w:val="22"/>
          <w:szCs w:val="22"/>
        </w:rPr>
        <w:t xml:space="preserve"> tienen un objeto social similar al objeto del contrato y, de ser así, la entidad deberá limitar el proceso de contratación a </w:t>
      </w:r>
      <w:proofErr w:type="spellStart"/>
      <w:r w:rsidR="006C0DA8" w:rsidRPr="00342184">
        <w:rPr>
          <w:rFonts w:ascii="Arial" w:eastAsia="Arial" w:hAnsi="Arial" w:cs="Arial"/>
          <w:color w:val="000000"/>
          <w:sz w:val="22"/>
          <w:szCs w:val="22"/>
        </w:rPr>
        <w:t>Mipymes</w:t>
      </w:r>
      <w:proofErr w:type="spellEnd"/>
      <w:r w:rsidR="006C0DA8" w:rsidRPr="00342184">
        <w:rPr>
          <w:rFonts w:ascii="Arial" w:eastAsia="Arial" w:hAnsi="Arial" w:cs="Arial"/>
          <w:color w:val="000000"/>
          <w:sz w:val="22"/>
          <w:szCs w:val="22"/>
        </w:rPr>
        <w:t>»</w:t>
      </w:r>
      <w:r w:rsidR="006C0DA8" w:rsidRPr="00342184">
        <w:rPr>
          <w:rFonts w:ascii="Arial" w:eastAsia="Arial" w:hAnsi="Arial" w:cs="Arial"/>
          <w:color w:val="000000"/>
          <w:sz w:val="22"/>
          <w:szCs w:val="22"/>
          <w:vertAlign w:val="superscript"/>
        </w:rPr>
        <w:footnoteReference w:id="11"/>
      </w:r>
      <w:r w:rsidR="006C0DA8" w:rsidRPr="00342184">
        <w:rPr>
          <w:rFonts w:ascii="Arial" w:eastAsia="Arial" w:hAnsi="Arial" w:cs="Arial"/>
          <w:color w:val="000000"/>
          <w:sz w:val="22"/>
          <w:szCs w:val="22"/>
        </w:rPr>
        <w:t>.</w:t>
      </w:r>
      <w:r w:rsidR="006C0DA8" w:rsidRPr="00342184">
        <w:rPr>
          <w:rFonts w:ascii="Arial" w:eastAsia="Arial" w:hAnsi="Arial" w:cs="Arial"/>
          <w:i/>
          <w:color w:val="000000"/>
          <w:sz w:val="22"/>
          <w:szCs w:val="22"/>
        </w:rPr>
        <w:t xml:space="preserve"> </w:t>
      </w:r>
      <w:r w:rsidR="006C0DA8" w:rsidRPr="00342184">
        <w:rPr>
          <w:rFonts w:ascii="Arial" w:eastAsia="Arial" w:hAnsi="Arial" w:cs="Arial"/>
          <w:color w:val="000000"/>
          <w:sz w:val="22"/>
          <w:szCs w:val="22"/>
        </w:rPr>
        <w:t xml:space="preserve">También ha dicho que la entidad estatal debe aceptar las ofertas de consorcios o uniones temporales formados exclusivamente por </w:t>
      </w:r>
      <w:proofErr w:type="spellStart"/>
      <w:r w:rsidR="006C0DA8" w:rsidRPr="00342184">
        <w:rPr>
          <w:rFonts w:ascii="Arial" w:eastAsia="Arial" w:hAnsi="Arial" w:cs="Arial"/>
          <w:color w:val="000000"/>
          <w:sz w:val="22"/>
          <w:szCs w:val="22"/>
        </w:rPr>
        <w:t>Mipyme</w:t>
      </w:r>
      <w:proofErr w:type="spellEnd"/>
      <w:r w:rsidR="006C0DA8" w:rsidRPr="00342184">
        <w:rPr>
          <w:rFonts w:ascii="Arial" w:eastAsia="Arial" w:hAnsi="Arial" w:cs="Arial"/>
          <w:color w:val="000000"/>
          <w:sz w:val="22"/>
          <w:szCs w:val="22"/>
        </w:rPr>
        <w:t xml:space="preserve"> y promesas de sociedad futura suscritas por </w:t>
      </w:r>
      <w:proofErr w:type="spellStart"/>
      <w:r w:rsidR="006C0DA8" w:rsidRPr="00342184">
        <w:rPr>
          <w:rFonts w:ascii="Arial" w:eastAsia="Arial" w:hAnsi="Arial" w:cs="Arial"/>
          <w:color w:val="000000"/>
          <w:sz w:val="22"/>
          <w:szCs w:val="22"/>
        </w:rPr>
        <w:t>Mipyme</w:t>
      </w:r>
      <w:proofErr w:type="spellEnd"/>
      <w:r w:rsidR="006C0DA8" w:rsidRPr="00342184">
        <w:rPr>
          <w:rFonts w:ascii="Arial" w:eastAsia="Arial" w:hAnsi="Arial" w:cs="Arial"/>
          <w:color w:val="000000"/>
          <w:sz w:val="22"/>
          <w:szCs w:val="22"/>
        </w:rPr>
        <w:t>»</w:t>
      </w:r>
      <w:r w:rsidR="006C0DA8" w:rsidRPr="00342184">
        <w:rPr>
          <w:rFonts w:ascii="Arial" w:eastAsia="Arial" w:hAnsi="Arial" w:cs="Arial"/>
          <w:color w:val="000000"/>
          <w:sz w:val="22"/>
          <w:szCs w:val="22"/>
          <w:vertAlign w:val="superscript"/>
        </w:rPr>
        <w:footnoteReference w:id="12"/>
      </w:r>
      <w:r w:rsidR="006C0DA8" w:rsidRPr="00342184">
        <w:rPr>
          <w:rFonts w:ascii="Arial" w:eastAsia="Arial" w:hAnsi="Arial" w:cs="Arial"/>
          <w:color w:val="000000"/>
          <w:sz w:val="22"/>
          <w:szCs w:val="22"/>
        </w:rPr>
        <w:t>.</w:t>
      </w:r>
    </w:p>
    <w:p w14:paraId="031FDA47"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De todos modos,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342184">
        <w:rPr>
          <w:rFonts w:ascii="Arial" w:eastAsia="Arial" w:hAnsi="Arial" w:cs="Arial"/>
          <w:color w:val="000000"/>
          <w:sz w:val="22"/>
          <w:szCs w:val="22"/>
          <w:vertAlign w:val="superscript"/>
        </w:rPr>
        <w:footnoteReference w:id="13"/>
      </w:r>
      <w:r w:rsidRPr="00342184">
        <w:rPr>
          <w:rFonts w:ascii="Arial" w:eastAsia="Arial" w:hAnsi="Arial" w:cs="Arial"/>
          <w:color w:val="000000"/>
          <w:sz w:val="22"/>
          <w:szCs w:val="22"/>
        </w:rPr>
        <w:t xml:space="preserve">. </w:t>
      </w:r>
    </w:p>
    <w:p w14:paraId="780591F5" w14:textId="77777777" w:rsidR="00E27BDF" w:rsidRPr="00342184" w:rsidRDefault="006C0DA8">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lastRenderedPageBreak/>
        <w:t xml:space="preserve">b) Cumplidos los dos requisitos del artículo 2.2.1.2.4.2.2. </w:t>
      </w:r>
      <w:r w:rsidRPr="00342184">
        <w:rPr>
          <w:rFonts w:ascii="Arial" w:eastAsia="Arial" w:hAnsi="Arial" w:cs="Arial"/>
          <w:i/>
          <w:color w:val="000000"/>
          <w:sz w:val="22"/>
          <w:szCs w:val="22"/>
        </w:rPr>
        <w:t>ibidem</w:t>
      </w:r>
      <w:r w:rsidRPr="00342184">
        <w:rPr>
          <w:rFonts w:ascii="Arial" w:eastAsia="Arial" w:hAnsi="Arial" w:cs="Arial"/>
          <w:color w:val="000000"/>
          <w:sz w:val="22"/>
          <w:szCs w:val="22"/>
        </w:rPr>
        <w:t xml:space="preserve">, la entidad puede ─no tiene que─ decidir si limita la convocatoria a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el municipio o departamento en el que se ejecutará el contrato</w:t>
      </w:r>
      <w:r w:rsidRPr="00342184">
        <w:rPr>
          <w:rFonts w:ascii="Arial" w:eastAsia="Arial" w:hAnsi="Arial" w:cs="Arial"/>
          <w:color w:val="000000"/>
          <w:sz w:val="22"/>
          <w:szCs w:val="22"/>
          <w:vertAlign w:val="superscript"/>
        </w:rPr>
        <w:footnoteReference w:id="14"/>
      </w:r>
      <w:r w:rsidRPr="00342184">
        <w:rPr>
          <w:rFonts w:ascii="Arial" w:eastAsia="Arial" w:hAnsi="Arial" w:cs="Arial"/>
          <w:color w:val="000000"/>
          <w:sz w:val="22"/>
          <w:szCs w:val="22"/>
        </w:rPr>
        <w:t xml:space="preserve">. Esto de acuerdo con lo establecido en artículo 2.2.1.2.4.2.3. del Decreto 1082 de 2015, norma que se refiere a la facultad de la administración con el verbo infinitivo «poder», no «deber». </w:t>
      </w:r>
    </w:p>
    <w:p w14:paraId="08BD5EBE"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Colombia Compra Eficiente ha sostenido que es discrecional la decisión de limitar territorialmente una convocatoria de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beneficiadas deben tener su domicilio principal en el municipio o departamento donde se ejecutará el contrato para poder participar en una convocatoria limitada territorialmente</w:t>
      </w:r>
      <w:r w:rsidRPr="00342184">
        <w:rPr>
          <w:rFonts w:ascii="Arial" w:eastAsia="Arial" w:hAnsi="Arial" w:cs="Arial"/>
          <w:color w:val="000000"/>
          <w:sz w:val="22"/>
          <w:szCs w:val="22"/>
          <w:vertAlign w:val="superscript"/>
        </w:rPr>
        <w:footnoteReference w:id="15"/>
      </w:r>
      <w:r w:rsidRPr="00342184">
        <w:rPr>
          <w:rFonts w:ascii="Arial" w:eastAsia="Arial" w:hAnsi="Arial" w:cs="Arial"/>
          <w:color w:val="000000"/>
          <w:sz w:val="22"/>
          <w:szCs w:val="22"/>
        </w:rPr>
        <w:t>.</w:t>
      </w:r>
    </w:p>
    <w:p w14:paraId="63E85771"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Adicionalmente, en la consulta No. 215130008193, del 9 de noviembre de 2015, esta Subdirección sostuvo que «[p]ara limitar un Proceso de Contratación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342184">
        <w:rPr>
          <w:rFonts w:ascii="Arial" w:eastAsia="Arial" w:hAnsi="Arial" w:cs="Arial"/>
          <w:i/>
          <w:color w:val="000000"/>
          <w:sz w:val="22"/>
          <w:szCs w:val="22"/>
        </w:rPr>
        <w:t>ibidem</w:t>
      </w:r>
      <w:r w:rsidRPr="00342184">
        <w:rPr>
          <w:rFonts w:ascii="Arial" w:eastAsia="Arial" w:hAnsi="Arial" w:cs="Arial"/>
          <w:color w:val="000000"/>
          <w:sz w:val="22"/>
          <w:szCs w:val="22"/>
        </w:rPr>
        <w:t xml:space="preserve">. Este último «debe entenderse en el sentido que si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que manifiestan su interés en limitar la convocatoria son por lo menos tres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domiciliadas en el departamento o municipio, la limitación será territorial y no nacional». Este entendimiento de la norma, sin embargo, da lugar a dos interpretaciones sobre las que se deben hacer unas precisiones.</w:t>
      </w:r>
    </w:p>
    <w:p w14:paraId="636F81A2"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i/>
          <w:color w:val="000000"/>
          <w:sz w:val="22"/>
          <w:szCs w:val="22"/>
        </w:rPr>
        <w:t>Por un lado</w:t>
      </w:r>
      <w:r w:rsidRPr="00342184">
        <w:rPr>
          <w:rFonts w:ascii="Arial" w:eastAsia="Arial" w:hAnsi="Arial" w:cs="Arial"/>
          <w:color w:val="000000"/>
          <w:sz w:val="22"/>
          <w:szCs w:val="22"/>
        </w:rPr>
        <w:t xml:space="preserve">, supone que la decisión de limitar territorialmente la convocatoria opera de pleno derecho, cuando lo solicitan tres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el municipio o en el departamento en el que se va a ejecutar el contrato. Sin embargo, se debe tener presente que lo que sucede de pleno derecho es la limitación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a la que se refiere el artículo 2.2.1.2.4.2.2. del Decreto 1082 de 2015, pero no la «limitación territorial» referida en el artículo 2.2.1.2.4.2.3. </w:t>
      </w:r>
      <w:proofErr w:type="spellStart"/>
      <w:r w:rsidRPr="00342184">
        <w:rPr>
          <w:rFonts w:ascii="Arial" w:eastAsia="Arial" w:hAnsi="Arial" w:cs="Arial"/>
          <w:i/>
          <w:color w:val="000000"/>
          <w:sz w:val="22"/>
          <w:szCs w:val="22"/>
        </w:rPr>
        <w:t>ibídem</w:t>
      </w:r>
      <w:proofErr w:type="spellEnd"/>
      <w:r w:rsidRPr="00342184">
        <w:rPr>
          <w:rFonts w:ascii="Arial" w:eastAsia="Arial" w:hAnsi="Arial" w:cs="Arial"/>
          <w:color w:val="000000"/>
          <w:sz w:val="22"/>
          <w:szCs w:val="22"/>
        </w:rPr>
        <w:t xml:space="preserve">, pues esta, como ya se dijo, es facultativa para la entidad. Las únicas exigencias son que la convocatoria esté limitada a las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nacionales «domiciliadas en los departamentos o municipios en donde se va a ejecutar el contrato» y que la entidad justifique su decisión en los «estudios del sector». No </w:t>
      </w:r>
      <w:r w:rsidRPr="00342184">
        <w:rPr>
          <w:rFonts w:ascii="Arial" w:eastAsia="Arial" w:hAnsi="Arial" w:cs="Arial"/>
          <w:color w:val="000000"/>
          <w:sz w:val="22"/>
          <w:szCs w:val="22"/>
        </w:rPr>
        <w:lastRenderedPageBreak/>
        <w:t xml:space="preserve">es procedente, entonces, que sean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las que soliciten la «limitación territorial» a la que se refiere el artículo 2.2.1.2.4.2.3. del Decreto 1082 de 2015.</w:t>
      </w:r>
    </w:p>
    <w:p w14:paraId="47CD2028"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que solicitan la «limitación territorial» no es relevante frente a dicha decisión, por dos razones. Primero, porque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no están habilitadas para pedir la «limitación territorial», lo están para pedir la «convocatoria limitada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y, segundo, porque el único criterio </w:t>
      </w:r>
      <w:proofErr w:type="gramStart"/>
      <w:r w:rsidRPr="00342184">
        <w:rPr>
          <w:rFonts w:ascii="Arial" w:eastAsia="Arial" w:hAnsi="Arial" w:cs="Arial"/>
          <w:color w:val="000000"/>
          <w:sz w:val="22"/>
          <w:szCs w:val="22"/>
        </w:rPr>
        <w:t>a</w:t>
      </w:r>
      <w:proofErr w:type="gramEnd"/>
      <w:r w:rsidRPr="00342184">
        <w:rPr>
          <w:rFonts w:ascii="Arial" w:eastAsia="Arial" w:hAnsi="Arial" w:cs="Arial"/>
          <w:color w:val="000000"/>
          <w:sz w:val="22"/>
          <w:szCs w:val="22"/>
        </w:rPr>
        <w:t xml:space="preserve"> tener en cuenta, una vez se ha decidido justificadamente limitar territorialmente la convocatoria previamente limitada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es el lugar donde se va a ejecutar el contrato.</w:t>
      </w:r>
    </w:p>
    <w:p w14:paraId="2357857C"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i/>
          <w:color w:val="000000"/>
          <w:sz w:val="22"/>
          <w:szCs w:val="22"/>
        </w:rPr>
        <w:t>Por otro lado</w:t>
      </w:r>
      <w:r w:rsidRPr="00342184">
        <w:rPr>
          <w:rFonts w:ascii="Arial" w:eastAsia="Arial" w:hAnsi="Arial" w:cs="Arial"/>
          <w:color w:val="000000"/>
          <w:sz w:val="22"/>
          <w:szCs w:val="22"/>
        </w:rPr>
        <w:t xml:space="preserve">, supone que la decisión de la entidad únicamente puede darse si la solicitud provino de tres o más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nacionales domiciliadas en los departamentos o municipios en donde se va a ejecutar el contrato», sin que sea relevante el «domicilio» de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que solicitaron limitar la convocatoria.</w:t>
      </w:r>
    </w:p>
    <w:p w14:paraId="6FA8AF8D"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Puede pasar, por ejemplo, que tres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claro está, siempre que se cumplan los requisitos legales, pero se reservaría la posibilidad de limitar el proceso contractual a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nacionales domiciliadas en los departamentos o municipios en donde se va a ejecutar el contrato», esto es, para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35639555"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w:t>
      </w:r>
      <w:r w:rsidRPr="00342184">
        <w:rPr>
          <w:rFonts w:ascii="Arial" w:eastAsia="Arial" w:hAnsi="Arial" w:cs="Arial"/>
          <w:color w:val="000000"/>
          <w:sz w:val="22"/>
          <w:szCs w:val="22"/>
        </w:rPr>
        <w:lastRenderedPageBreak/>
        <w:t>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4864A0F1" w14:textId="38D8F40D"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Sin perjuicio de lo anterior, no puede perderse de vista que la decisión de limitar «a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no puede </w:t>
      </w:r>
      <w:r w:rsidRPr="00342184">
        <w:rPr>
          <w:rFonts w:ascii="Arial" w:eastAsia="Arial" w:hAnsi="Arial" w:cs="Arial"/>
          <w:i/>
          <w:color w:val="000000"/>
          <w:sz w:val="22"/>
          <w:szCs w:val="22"/>
        </w:rPr>
        <w:t xml:space="preserve">motu propio </w:t>
      </w:r>
      <w:r w:rsidRPr="00342184">
        <w:rPr>
          <w:rFonts w:ascii="Arial" w:eastAsia="Arial" w:hAnsi="Arial" w:cs="Arial"/>
          <w:color w:val="000000"/>
          <w:sz w:val="22"/>
          <w:szCs w:val="22"/>
        </w:rPr>
        <w:t xml:space="preserve">hacer la «limitación territorial» de que trata el artículo 2.2.1.2.4.2.3. del Decreto 1082 de 2015, ya que el ejercicio de esta facultad solo puede darse ante «limitación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lo cual supone la verificación de los supuestos legales establecidos en los mencionados numerales.</w:t>
      </w:r>
    </w:p>
    <w:p w14:paraId="5AD65D38" w14:textId="4B920444" w:rsidR="00E737A2" w:rsidRPr="00342184" w:rsidRDefault="00E737A2" w:rsidP="00E737A2">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Cuando se trata de consorcios o uniones temporales formados exclusivamente por </w:t>
      </w:r>
      <w:proofErr w:type="spellStart"/>
      <w:r w:rsidRPr="00342184">
        <w:rPr>
          <w:rFonts w:ascii="Arial" w:eastAsia="Arial" w:hAnsi="Arial" w:cs="Arial"/>
          <w:color w:val="000000"/>
          <w:sz w:val="22"/>
          <w:szCs w:val="22"/>
        </w:rPr>
        <w:t>Mipyme</w:t>
      </w:r>
      <w:r w:rsidR="00F22099" w:rsidRPr="00342184">
        <w:rPr>
          <w:rFonts w:ascii="Arial" w:eastAsia="Arial" w:hAnsi="Arial" w:cs="Arial"/>
          <w:color w:val="000000"/>
          <w:sz w:val="22"/>
          <w:szCs w:val="22"/>
        </w:rPr>
        <w:t>s</w:t>
      </w:r>
      <w:proofErr w:type="spellEnd"/>
      <w:r w:rsidRPr="00342184">
        <w:rPr>
          <w:rFonts w:ascii="Arial" w:eastAsia="Arial" w:hAnsi="Arial" w:cs="Arial"/>
          <w:color w:val="000000"/>
          <w:sz w:val="22"/>
          <w:szCs w:val="22"/>
        </w:rPr>
        <w:t xml:space="preserve"> y promesas de sociedad futura suscritas por </w:t>
      </w:r>
      <w:proofErr w:type="spellStart"/>
      <w:r w:rsidRPr="00342184">
        <w:rPr>
          <w:rFonts w:ascii="Arial" w:eastAsia="Arial" w:hAnsi="Arial" w:cs="Arial"/>
          <w:color w:val="000000"/>
          <w:sz w:val="22"/>
          <w:szCs w:val="22"/>
        </w:rPr>
        <w:t>Mipyme</w:t>
      </w:r>
      <w:r w:rsidR="00F22099" w:rsidRPr="00342184">
        <w:rPr>
          <w:rFonts w:ascii="Arial" w:eastAsia="Arial" w:hAnsi="Arial" w:cs="Arial"/>
          <w:color w:val="000000"/>
          <w:sz w:val="22"/>
          <w:szCs w:val="22"/>
        </w:rPr>
        <w:t>s</w:t>
      </w:r>
      <w:proofErr w:type="spellEnd"/>
      <w:r w:rsidRPr="00342184">
        <w:rPr>
          <w:rFonts w:ascii="Arial" w:eastAsia="Arial" w:hAnsi="Arial" w:cs="Arial"/>
          <w:color w:val="000000"/>
          <w:sz w:val="22"/>
          <w:szCs w:val="22"/>
        </w:rPr>
        <w:t xml:space="preserve">, habilitados para solicitar la limitación del proceso contractual, según se explicó en el </w:t>
      </w:r>
      <w:proofErr w:type="spellStart"/>
      <w:r w:rsidRPr="00342184">
        <w:rPr>
          <w:rFonts w:ascii="Arial" w:eastAsia="Arial" w:hAnsi="Arial" w:cs="Arial"/>
          <w:color w:val="000000"/>
          <w:sz w:val="22"/>
          <w:szCs w:val="22"/>
        </w:rPr>
        <w:t>liteal</w:t>
      </w:r>
      <w:proofErr w:type="spellEnd"/>
      <w:r w:rsidRPr="00342184">
        <w:rPr>
          <w:rFonts w:ascii="Arial" w:eastAsia="Arial" w:hAnsi="Arial" w:cs="Arial"/>
          <w:color w:val="000000"/>
          <w:sz w:val="22"/>
          <w:szCs w:val="22"/>
        </w:rPr>
        <w:t xml:space="preserve"> a supra, todas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que participarán en la figura asociativa deben tener su domicilio en </w:t>
      </w:r>
      <w:r w:rsidR="00D35515" w:rsidRPr="00342184">
        <w:rPr>
          <w:rFonts w:ascii="Arial" w:eastAsia="Arial" w:hAnsi="Arial" w:cs="Arial"/>
          <w:color w:val="000000"/>
          <w:sz w:val="22"/>
          <w:szCs w:val="22"/>
        </w:rPr>
        <w:t xml:space="preserve">el </w:t>
      </w:r>
      <w:r w:rsidRPr="00342184">
        <w:rPr>
          <w:rFonts w:ascii="Arial" w:eastAsia="Arial" w:hAnsi="Arial" w:cs="Arial"/>
          <w:color w:val="000000"/>
          <w:sz w:val="22"/>
          <w:szCs w:val="22"/>
        </w:rPr>
        <w:t xml:space="preserve">departamento o municipio en relación con el cual se limitará el proceso contractual. En este caso, la exigencia de estar domiciliado en el lugar de ejecución del contrato se entiende acreditada cuando todas las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tienen su domicilio en el lugar de ejecución del contrato, no cuando una o varias de ellas lo tienen, pues con una sola que no acredite dicha exigencia, el consorcio o unión temporal estaría imposibilitado para participar en el proceso de selección.</w:t>
      </w:r>
    </w:p>
    <w:p w14:paraId="350A3300" w14:textId="77777777" w:rsidR="00E737A2" w:rsidRPr="00342184" w:rsidRDefault="00E737A2" w:rsidP="00E737A2">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De esta forma, si el consorcio o unión temporal está conformado por tres sociedades, y la entidad decide ejercer la facultad que le otorga el artículo 2.2.1.2.4.2.3. del Decreto 1082 de 2015, las tres sociedades deberán acreditar que tienen su domicilio en el lugar de ejecución del contrato, so pena de que la figura asociativa no pueda participar en el proceso de contratación estatal. Aceptar lo contrario, a juicio de Colombia Compra Eficiente, implicaría hacer nugatorios los efectos de la mencionada disposición normativa.</w:t>
      </w:r>
    </w:p>
    <w:p w14:paraId="577F06D4" w14:textId="1386CA43" w:rsidR="00E27BDF" w:rsidRPr="00342184" w:rsidRDefault="006C0DA8" w:rsidP="00E737A2">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En suma, el Decreto 1082 de 2015 regula la limitación de convocatorias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en dos normas distintas que deben leerse conjunta y armónicamente. Por un lado, el artículo 2.2.1.2.4.2.2. prevé los requisitos generales para que la entidad limite sus convocatorias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Por el otro, el artículo 2.2.1.2.4.2.3. establece la posibilidad de limitar la convocatoria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los departamentos o municipios en donde se va a ejecutar el contrato, por supuesto, siempre que la entidad así lo decida y solo si se cumplen las exigencias del artículo 2.2.1.2.4.2.2.</w:t>
      </w:r>
    </w:p>
    <w:p w14:paraId="3F35E595" w14:textId="77777777" w:rsidR="00E27BDF" w:rsidRPr="00342184" w:rsidRDefault="006C0DA8">
      <w:pPr>
        <w:spacing w:before="120" w:line="276" w:lineRule="auto"/>
        <w:ind w:firstLine="709"/>
        <w:jc w:val="both"/>
        <w:rPr>
          <w:rFonts w:ascii="Arial" w:eastAsia="Arial" w:hAnsi="Arial" w:cs="Arial"/>
          <w:color w:val="000000"/>
          <w:sz w:val="22"/>
          <w:szCs w:val="22"/>
        </w:rPr>
      </w:pPr>
      <w:r w:rsidRPr="00342184">
        <w:rPr>
          <w:rFonts w:ascii="Arial" w:eastAsia="Arial" w:hAnsi="Arial" w:cs="Arial"/>
          <w:color w:val="000000"/>
          <w:sz w:val="22"/>
          <w:szCs w:val="22"/>
        </w:rPr>
        <w:t xml:space="preserve">Sin perjuicio de lo anterior, la Agencia Nacional de Contratación Pública – Colombia Compra Eficiente considera que lo </w:t>
      </w:r>
      <w:r w:rsidRPr="00342184">
        <w:rPr>
          <w:rFonts w:ascii="Arial" w:eastAsia="Arial" w:hAnsi="Arial" w:cs="Arial"/>
          <w:i/>
          <w:iCs/>
          <w:color w:val="000000"/>
          <w:sz w:val="22"/>
          <w:szCs w:val="22"/>
        </w:rPr>
        <w:t>recomendable</w:t>
      </w:r>
      <w:r w:rsidRPr="00342184">
        <w:rPr>
          <w:rFonts w:ascii="Arial" w:eastAsia="Arial" w:hAnsi="Arial" w:cs="Arial"/>
          <w:color w:val="000000"/>
          <w:sz w:val="22"/>
          <w:szCs w:val="22"/>
        </w:rPr>
        <w:t xml:space="preserve"> es que las entidades establezcan </w:t>
      </w:r>
      <w:r w:rsidRPr="00342184">
        <w:rPr>
          <w:rFonts w:ascii="Arial" w:eastAsia="Arial" w:hAnsi="Arial" w:cs="Arial"/>
          <w:i/>
          <w:color w:val="000000"/>
          <w:sz w:val="22"/>
          <w:szCs w:val="22"/>
        </w:rPr>
        <w:t xml:space="preserve">ex ante </w:t>
      </w:r>
      <w:r w:rsidRPr="00342184">
        <w:rPr>
          <w:rFonts w:ascii="Arial" w:eastAsia="Arial" w:hAnsi="Arial" w:cs="Arial"/>
          <w:color w:val="000000"/>
          <w:sz w:val="22"/>
          <w:szCs w:val="22"/>
        </w:rPr>
        <w:t xml:space="preserve">las condiciones en las que, eventualmente, harían la «limitación territorial». Para tales fines, </w:t>
      </w:r>
      <w:r w:rsidRPr="00342184">
        <w:rPr>
          <w:rFonts w:ascii="Arial" w:eastAsia="Arial" w:hAnsi="Arial" w:cs="Arial"/>
          <w:color w:val="000000"/>
          <w:sz w:val="22"/>
          <w:szCs w:val="22"/>
        </w:rPr>
        <w:lastRenderedPageBreak/>
        <w:t xml:space="preserve">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como, por ejemplo, en relación con cuál o cuáles municipios o departamentos harían la limitación territorial de que trata el artículo 2.2.1.2.4.2.3. del Decreto 1082 de 2015.</w:t>
      </w:r>
    </w:p>
    <w:p w14:paraId="11B5548E" w14:textId="77777777" w:rsidR="00E27BDF" w:rsidRPr="00342184" w:rsidRDefault="006C0DA8">
      <w:pPr>
        <w:spacing w:before="120" w:line="276" w:lineRule="auto"/>
        <w:ind w:firstLine="709"/>
        <w:jc w:val="both"/>
        <w:rPr>
          <w:rFonts w:ascii="Arial" w:eastAsia="Arial" w:hAnsi="Arial" w:cs="Arial"/>
          <w:sz w:val="22"/>
          <w:szCs w:val="22"/>
        </w:rPr>
      </w:pPr>
      <w:r w:rsidRPr="00342184">
        <w:rPr>
          <w:rFonts w:ascii="Arial" w:eastAsia="Arial" w:hAnsi="Arial" w:cs="Arial"/>
          <w:sz w:val="22"/>
          <w:szCs w:val="22"/>
        </w:rPr>
        <w:t>Con fundamento en las consideraciones anteriores, se contestarán las inquietudes formuladas.</w:t>
      </w:r>
    </w:p>
    <w:p w14:paraId="747993BD" w14:textId="77777777" w:rsidR="00E27BDF" w:rsidRPr="00342184" w:rsidRDefault="00E27BDF">
      <w:pPr>
        <w:spacing w:line="276" w:lineRule="auto"/>
        <w:ind w:right="709"/>
        <w:jc w:val="both"/>
        <w:rPr>
          <w:rFonts w:ascii="Arial" w:eastAsia="Arial" w:hAnsi="Arial" w:cs="Arial"/>
          <w:color w:val="000000"/>
          <w:sz w:val="21"/>
          <w:szCs w:val="21"/>
        </w:rPr>
      </w:pPr>
    </w:p>
    <w:p w14:paraId="7725B6CA" w14:textId="77777777" w:rsidR="00E27BDF" w:rsidRPr="00342184" w:rsidRDefault="006C0DA8">
      <w:pPr>
        <w:numPr>
          <w:ilvl w:val="0"/>
          <w:numId w:val="1"/>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sidRPr="00342184">
        <w:rPr>
          <w:rFonts w:ascii="Arial" w:eastAsia="Arial" w:hAnsi="Arial" w:cs="Arial"/>
          <w:b/>
          <w:color w:val="000000"/>
          <w:sz w:val="22"/>
          <w:szCs w:val="22"/>
        </w:rPr>
        <w:t xml:space="preserve">Respuesta </w:t>
      </w:r>
    </w:p>
    <w:p w14:paraId="7CE24A68" w14:textId="77777777" w:rsidR="00E27BDF" w:rsidRPr="00342184" w:rsidRDefault="00E27BDF">
      <w:pPr>
        <w:tabs>
          <w:tab w:val="left" w:pos="284"/>
        </w:tabs>
        <w:spacing w:line="276" w:lineRule="auto"/>
        <w:rPr>
          <w:rFonts w:ascii="Arial" w:eastAsia="Arial" w:hAnsi="Arial" w:cs="Arial"/>
          <w:b/>
          <w:color w:val="000000"/>
          <w:sz w:val="22"/>
          <w:szCs w:val="22"/>
        </w:rPr>
      </w:pPr>
    </w:p>
    <w:p w14:paraId="059C6055" w14:textId="7B19FD3C" w:rsidR="00E27BDF" w:rsidRPr="00342184" w:rsidRDefault="00444BF9" w:rsidP="00444BF9">
      <w:pPr>
        <w:ind w:left="709" w:right="758"/>
        <w:jc w:val="both"/>
        <w:rPr>
          <w:rFonts w:ascii="Arial" w:eastAsia="Arial" w:hAnsi="Arial" w:cs="Arial"/>
          <w:color w:val="000000"/>
          <w:sz w:val="21"/>
          <w:szCs w:val="21"/>
        </w:rPr>
      </w:pPr>
      <w:r w:rsidRPr="00342184">
        <w:rPr>
          <w:rFonts w:ascii="Arial" w:eastAsia="Arial" w:hAnsi="Arial" w:cs="Arial"/>
          <w:color w:val="000000"/>
          <w:sz w:val="21"/>
          <w:szCs w:val="21"/>
        </w:rPr>
        <w:t xml:space="preserve">Frente al artículo 2.2.1.2.4.2.4 del Decreto 1082 de 2015, se pregunta: </w:t>
      </w:r>
      <w:r w:rsidR="00096B16" w:rsidRPr="00342184">
        <w:rPr>
          <w:rFonts w:ascii="Arial" w:eastAsia="Arial" w:hAnsi="Arial" w:cs="Arial"/>
          <w:color w:val="000000"/>
          <w:sz w:val="21"/>
          <w:szCs w:val="21"/>
        </w:rPr>
        <w:t>«</w:t>
      </w:r>
      <w:r w:rsidRPr="00342184">
        <w:rPr>
          <w:rFonts w:ascii="Arial" w:eastAsia="Arial" w:hAnsi="Arial" w:cs="Arial"/>
          <w:color w:val="000000"/>
          <w:sz w:val="21"/>
          <w:szCs w:val="21"/>
        </w:rPr>
        <w:t xml:space="preserve">¿[…] se pueden presentar y habilitar Consorcios o Uniones temporales o promesas de sociedad futura suscritas como MIPYMES todas y donde al menos uno de sus integrantes sea una MIPYME municipal y los </w:t>
      </w:r>
      <w:proofErr w:type="spellStart"/>
      <w:r w:rsidRPr="00342184">
        <w:rPr>
          <w:rFonts w:ascii="Arial" w:eastAsia="Arial" w:hAnsi="Arial" w:cs="Arial"/>
          <w:color w:val="000000"/>
          <w:sz w:val="21"/>
          <w:szCs w:val="21"/>
        </w:rPr>
        <w:t>demas</w:t>
      </w:r>
      <w:proofErr w:type="spellEnd"/>
      <w:r w:rsidRPr="00342184">
        <w:rPr>
          <w:rFonts w:ascii="Arial" w:eastAsia="Arial" w:hAnsi="Arial" w:cs="Arial"/>
          <w:color w:val="000000"/>
          <w:sz w:val="21"/>
          <w:szCs w:val="21"/>
        </w:rPr>
        <w:t xml:space="preserve"> integrantes sean MIPYMES nacional?»</w:t>
      </w:r>
    </w:p>
    <w:p w14:paraId="5531942B" w14:textId="77777777" w:rsidR="00444BF9" w:rsidRPr="00342184" w:rsidRDefault="00444BF9">
      <w:pPr>
        <w:jc w:val="both"/>
        <w:rPr>
          <w:rFonts w:ascii="Arial" w:eastAsia="Arial" w:hAnsi="Arial" w:cs="Arial"/>
          <w:color w:val="000000"/>
          <w:sz w:val="22"/>
          <w:szCs w:val="22"/>
        </w:rPr>
      </w:pPr>
    </w:p>
    <w:p w14:paraId="731A60EA" w14:textId="6241010F" w:rsidR="00380953" w:rsidRPr="00342184" w:rsidRDefault="0020643E" w:rsidP="0020643E">
      <w:pPr>
        <w:spacing w:before="120"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 xml:space="preserve">El Decreto 1082 de 2015 regula la limitación de convocatorias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en dos normas distintas que deben leerse conjunta y armónicamente. Por un lado, el artículo 2.2.1.2.4.2.2. prevé los requisitos generales para que la entidad limite sus convocatorias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Por el otro, el artículo 2.2.1.2.4.2.3. establece la posibilidad de limitar la convocatoria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nacionales domiciliadas en los departamentos o municipios en donde se va a ejecutar el contrato, por supuesto, siempre que la entidad así lo decida y solo si se cumplen las exigencias del artículo 2.2.1.2.4.2.2.</w:t>
      </w:r>
      <w:r w:rsidR="00380953" w:rsidRPr="00342184">
        <w:rPr>
          <w:rFonts w:ascii="Arial" w:eastAsia="Arial" w:hAnsi="Arial" w:cs="Arial"/>
          <w:color w:val="000000"/>
          <w:sz w:val="22"/>
          <w:szCs w:val="22"/>
        </w:rPr>
        <w:t xml:space="preserve"> En ambos casos, la</w:t>
      </w:r>
      <w:r w:rsidR="00A30582" w:rsidRPr="00342184">
        <w:rPr>
          <w:rFonts w:ascii="Arial" w:eastAsia="Arial" w:hAnsi="Arial" w:cs="Arial"/>
          <w:color w:val="000000"/>
          <w:sz w:val="22"/>
          <w:szCs w:val="22"/>
        </w:rPr>
        <w:t>s</w:t>
      </w:r>
      <w:r w:rsidR="00380953" w:rsidRPr="00342184">
        <w:rPr>
          <w:rFonts w:ascii="Arial" w:eastAsia="Arial" w:hAnsi="Arial" w:cs="Arial"/>
          <w:color w:val="000000"/>
          <w:sz w:val="22"/>
          <w:szCs w:val="22"/>
        </w:rPr>
        <w:t xml:space="preserve"> entidad</w:t>
      </w:r>
      <w:r w:rsidR="00A30582" w:rsidRPr="00342184">
        <w:rPr>
          <w:rFonts w:ascii="Arial" w:eastAsia="Arial" w:hAnsi="Arial" w:cs="Arial"/>
          <w:color w:val="000000"/>
          <w:sz w:val="22"/>
          <w:szCs w:val="22"/>
        </w:rPr>
        <w:t>es</w:t>
      </w:r>
      <w:r w:rsidR="00380953" w:rsidRPr="00342184">
        <w:rPr>
          <w:rFonts w:ascii="Arial" w:eastAsia="Arial" w:hAnsi="Arial" w:cs="Arial"/>
          <w:color w:val="000000"/>
          <w:sz w:val="22"/>
          <w:szCs w:val="22"/>
        </w:rPr>
        <w:t xml:space="preserve"> estatal</w:t>
      </w:r>
      <w:r w:rsidR="00A30582" w:rsidRPr="00342184">
        <w:rPr>
          <w:rFonts w:ascii="Arial" w:eastAsia="Arial" w:hAnsi="Arial" w:cs="Arial"/>
          <w:color w:val="000000"/>
          <w:sz w:val="22"/>
          <w:szCs w:val="22"/>
        </w:rPr>
        <w:t>es</w:t>
      </w:r>
      <w:r w:rsidR="00380953" w:rsidRPr="00342184">
        <w:rPr>
          <w:rFonts w:ascii="Arial" w:eastAsia="Arial" w:hAnsi="Arial" w:cs="Arial"/>
          <w:color w:val="000000"/>
          <w:sz w:val="22"/>
          <w:szCs w:val="22"/>
        </w:rPr>
        <w:t xml:space="preserve"> debe</w:t>
      </w:r>
      <w:r w:rsidR="00A30582" w:rsidRPr="00342184">
        <w:rPr>
          <w:rFonts w:ascii="Arial" w:eastAsia="Arial" w:hAnsi="Arial" w:cs="Arial"/>
          <w:color w:val="000000"/>
          <w:sz w:val="22"/>
          <w:szCs w:val="22"/>
        </w:rPr>
        <w:t>n</w:t>
      </w:r>
      <w:r w:rsidR="00380953" w:rsidRPr="00342184">
        <w:rPr>
          <w:rFonts w:ascii="Arial" w:eastAsia="Arial" w:hAnsi="Arial" w:cs="Arial"/>
          <w:color w:val="000000"/>
          <w:sz w:val="22"/>
          <w:szCs w:val="22"/>
        </w:rPr>
        <w:t xml:space="preserve"> aceptar las </w:t>
      </w:r>
      <w:r w:rsidR="00344A58" w:rsidRPr="00342184">
        <w:rPr>
          <w:rFonts w:ascii="Arial" w:eastAsia="Arial" w:hAnsi="Arial" w:cs="Arial"/>
          <w:color w:val="000000"/>
          <w:sz w:val="22"/>
          <w:szCs w:val="22"/>
        </w:rPr>
        <w:t>solicitude</w:t>
      </w:r>
      <w:r w:rsidR="00F82631" w:rsidRPr="00342184">
        <w:rPr>
          <w:rFonts w:ascii="Arial" w:eastAsia="Arial" w:hAnsi="Arial" w:cs="Arial"/>
          <w:color w:val="000000"/>
          <w:sz w:val="22"/>
          <w:szCs w:val="22"/>
        </w:rPr>
        <w:t>s</w:t>
      </w:r>
      <w:r w:rsidR="00344A58" w:rsidRPr="00342184">
        <w:rPr>
          <w:rFonts w:ascii="Arial" w:eastAsia="Arial" w:hAnsi="Arial" w:cs="Arial"/>
          <w:color w:val="000000"/>
          <w:sz w:val="22"/>
          <w:szCs w:val="22"/>
        </w:rPr>
        <w:t xml:space="preserve"> y </w:t>
      </w:r>
      <w:r w:rsidR="00380953" w:rsidRPr="00342184">
        <w:rPr>
          <w:rFonts w:ascii="Arial" w:eastAsia="Arial" w:hAnsi="Arial" w:cs="Arial"/>
          <w:color w:val="000000"/>
          <w:sz w:val="22"/>
          <w:szCs w:val="22"/>
        </w:rPr>
        <w:t xml:space="preserve">ofertas de consorcios o uniones temporales formados exclusivamente por </w:t>
      </w:r>
      <w:proofErr w:type="spellStart"/>
      <w:r w:rsidR="00380953" w:rsidRPr="00342184">
        <w:rPr>
          <w:rFonts w:ascii="Arial" w:eastAsia="Arial" w:hAnsi="Arial" w:cs="Arial"/>
          <w:color w:val="000000"/>
          <w:sz w:val="22"/>
          <w:szCs w:val="22"/>
        </w:rPr>
        <w:t>Mipyme</w:t>
      </w:r>
      <w:proofErr w:type="spellEnd"/>
      <w:r w:rsidR="00380953" w:rsidRPr="00342184">
        <w:rPr>
          <w:rFonts w:ascii="Arial" w:eastAsia="Arial" w:hAnsi="Arial" w:cs="Arial"/>
          <w:color w:val="000000"/>
          <w:sz w:val="22"/>
          <w:szCs w:val="22"/>
        </w:rPr>
        <w:t xml:space="preserve"> y promesas de sociedad futura suscritas por </w:t>
      </w:r>
      <w:proofErr w:type="spellStart"/>
      <w:r w:rsidR="00380953" w:rsidRPr="00342184">
        <w:rPr>
          <w:rFonts w:ascii="Arial" w:eastAsia="Arial" w:hAnsi="Arial" w:cs="Arial"/>
          <w:color w:val="000000"/>
          <w:sz w:val="22"/>
          <w:szCs w:val="22"/>
        </w:rPr>
        <w:t>Mipyme</w:t>
      </w:r>
      <w:proofErr w:type="spellEnd"/>
      <w:r w:rsidR="00380953" w:rsidRPr="00342184">
        <w:rPr>
          <w:rFonts w:ascii="Arial" w:eastAsia="Arial" w:hAnsi="Arial" w:cs="Arial"/>
          <w:color w:val="000000"/>
          <w:sz w:val="22"/>
          <w:szCs w:val="22"/>
        </w:rPr>
        <w:t>.</w:t>
      </w:r>
    </w:p>
    <w:p w14:paraId="77F64001" w14:textId="2F14ED72" w:rsidR="00380953" w:rsidRPr="00342184" w:rsidRDefault="00283D9B" w:rsidP="00380953">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E</w:t>
      </w:r>
      <w:r w:rsidR="00380953" w:rsidRPr="00342184">
        <w:rPr>
          <w:rFonts w:ascii="Arial" w:eastAsia="Arial" w:hAnsi="Arial" w:cs="Arial"/>
          <w:color w:val="000000"/>
          <w:sz w:val="22"/>
          <w:szCs w:val="22"/>
        </w:rPr>
        <w:t xml:space="preserve">n lo que respecta a la facultad que otorga el artículo 2.2.1.2.4.2.3. del Decreto 1082 de 2015, todas las </w:t>
      </w:r>
      <w:proofErr w:type="spellStart"/>
      <w:r w:rsidR="00380953" w:rsidRPr="00342184">
        <w:rPr>
          <w:rFonts w:ascii="Arial" w:eastAsia="Arial" w:hAnsi="Arial" w:cs="Arial"/>
          <w:color w:val="000000"/>
          <w:sz w:val="22"/>
          <w:szCs w:val="22"/>
        </w:rPr>
        <w:t>Mipymes</w:t>
      </w:r>
      <w:proofErr w:type="spellEnd"/>
      <w:r w:rsidR="00380953" w:rsidRPr="00342184">
        <w:rPr>
          <w:rFonts w:ascii="Arial" w:eastAsia="Arial" w:hAnsi="Arial" w:cs="Arial"/>
          <w:color w:val="000000"/>
          <w:sz w:val="22"/>
          <w:szCs w:val="22"/>
        </w:rPr>
        <w:t xml:space="preserve"> que participarán en la figura asociativa deben tener su domicilio en </w:t>
      </w:r>
      <w:r w:rsidR="00C5309F" w:rsidRPr="00342184">
        <w:rPr>
          <w:rFonts w:ascii="Arial" w:eastAsia="Arial" w:hAnsi="Arial" w:cs="Arial"/>
          <w:color w:val="000000"/>
          <w:sz w:val="22"/>
          <w:szCs w:val="22"/>
        </w:rPr>
        <w:t xml:space="preserve">el </w:t>
      </w:r>
      <w:r w:rsidR="00380953" w:rsidRPr="00342184">
        <w:rPr>
          <w:rFonts w:ascii="Arial" w:eastAsia="Arial" w:hAnsi="Arial" w:cs="Arial"/>
          <w:color w:val="000000"/>
          <w:sz w:val="22"/>
          <w:szCs w:val="22"/>
        </w:rPr>
        <w:t>departamento o municipio en relación con los cuale</w:t>
      </w:r>
      <w:r w:rsidR="003D6EAA" w:rsidRPr="00342184">
        <w:rPr>
          <w:rFonts w:ascii="Arial" w:eastAsia="Arial" w:hAnsi="Arial" w:cs="Arial"/>
          <w:color w:val="000000"/>
          <w:sz w:val="22"/>
          <w:szCs w:val="22"/>
        </w:rPr>
        <w:t>s</w:t>
      </w:r>
      <w:r w:rsidR="00380953" w:rsidRPr="00342184">
        <w:rPr>
          <w:rFonts w:ascii="Arial" w:eastAsia="Arial" w:hAnsi="Arial" w:cs="Arial"/>
          <w:color w:val="000000"/>
          <w:sz w:val="22"/>
          <w:szCs w:val="22"/>
        </w:rPr>
        <w:t xml:space="preserve"> se limitará el proceso contractual. En este caso, la exigencia de estar domiciliado en dicho </w:t>
      </w:r>
      <w:proofErr w:type="gramStart"/>
      <w:r w:rsidR="00380953" w:rsidRPr="00342184">
        <w:rPr>
          <w:rFonts w:ascii="Arial" w:eastAsia="Arial" w:hAnsi="Arial" w:cs="Arial"/>
          <w:color w:val="000000"/>
          <w:sz w:val="22"/>
          <w:szCs w:val="22"/>
        </w:rPr>
        <w:t>lugar,</w:t>
      </w:r>
      <w:proofErr w:type="gramEnd"/>
      <w:r w:rsidR="00380953" w:rsidRPr="00342184">
        <w:rPr>
          <w:rFonts w:ascii="Arial" w:eastAsia="Arial" w:hAnsi="Arial" w:cs="Arial"/>
          <w:color w:val="000000"/>
          <w:sz w:val="22"/>
          <w:szCs w:val="22"/>
        </w:rPr>
        <w:t xml:space="preserve"> se entiende acreditada cuando todas las </w:t>
      </w:r>
      <w:proofErr w:type="spellStart"/>
      <w:r w:rsidR="00380953" w:rsidRPr="00342184">
        <w:rPr>
          <w:rFonts w:ascii="Arial" w:eastAsia="Arial" w:hAnsi="Arial" w:cs="Arial"/>
          <w:color w:val="000000"/>
          <w:sz w:val="22"/>
          <w:szCs w:val="22"/>
        </w:rPr>
        <w:t>Mipymes</w:t>
      </w:r>
      <w:proofErr w:type="spellEnd"/>
      <w:r w:rsidR="00380953" w:rsidRPr="00342184">
        <w:rPr>
          <w:rFonts w:ascii="Arial" w:eastAsia="Arial" w:hAnsi="Arial" w:cs="Arial"/>
          <w:color w:val="000000"/>
          <w:sz w:val="22"/>
          <w:szCs w:val="22"/>
        </w:rPr>
        <w:t xml:space="preserve"> tienen su domicilio en el lugar de ejecución del contrato, no cuando una o varias de ellas lo tienen. Esto implica que, con una sola </w:t>
      </w:r>
      <w:proofErr w:type="spellStart"/>
      <w:r w:rsidR="00380953" w:rsidRPr="00342184">
        <w:rPr>
          <w:rFonts w:ascii="Arial" w:eastAsia="Arial" w:hAnsi="Arial" w:cs="Arial"/>
          <w:color w:val="000000"/>
          <w:sz w:val="22"/>
          <w:szCs w:val="22"/>
        </w:rPr>
        <w:t>Mipyme</w:t>
      </w:r>
      <w:proofErr w:type="spellEnd"/>
      <w:r w:rsidR="00380953" w:rsidRPr="00342184">
        <w:rPr>
          <w:rFonts w:ascii="Arial" w:eastAsia="Arial" w:hAnsi="Arial" w:cs="Arial"/>
          <w:color w:val="000000"/>
          <w:sz w:val="22"/>
          <w:szCs w:val="22"/>
        </w:rPr>
        <w:t xml:space="preserve"> que no acredite dicha exigencia, el consorcio o unión temporal estaría imposibilitado para participar en el proceso de selección.</w:t>
      </w:r>
    </w:p>
    <w:p w14:paraId="44C36E0D" w14:textId="3EDC989A" w:rsidR="00380953" w:rsidRPr="00342184" w:rsidRDefault="001851BE" w:rsidP="00380953">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Por otro lado, e</w:t>
      </w:r>
      <w:r w:rsidR="00283D9B" w:rsidRPr="00342184">
        <w:rPr>
          <w:rFonts w:ascii="Arial" w:eastAsia="Arial" w:hAnsi="Arial" w:cs="Arial"/>
          <w:color w:val="000000"/>
          <w:sz w:val="22"/>
          <w:szCs w:val="22"/>
        </w:rPr>
        <w:t>n</w:t>
      </w:r>
      <w:r w:rsidR="00380953" w:rsidRPr="00342184">
        <w:rPr>
          <w:rFonts w:ascii="Arial" w:eastAsia="Arial" w:hAnsi="Arial" w:cs="Arial"/>
          <w:color w:val="000000"/>
          <w:sz w:val="22"/>
          <w:szCs w:val="22"/>
        </w:rPr>
        <w:t xml:space="preserve"> relación con </w:t>
      </w:r>
      <w:r w:rsidR="00283D9B" w:rsidRPr="00342184">
        <w:rPr>
          <w:rFonts w:ascii="Arial" w:eastAsia="Arial" w:hAnsi="Arial" w:cs="Arial"/>
          <w:color w:val="000000"/>
          <w:sz w:val="22"/>
          <w:szCs w:val="22"/>
        </w:rPr>
        <w:t xml:space="preserve">la posibilidad de que la entidad limite sus convocatorias a </w:t>
      </w:r>
      <w:proofErr w:type="spellStart"/>
      <w:r w:rsidR="00283D9B" w:rsidRPr="00342184">
        <w:rPr>
          <w:rFonts w:ascii="Arial" w:eastAsia="Arial" w:hAnsi="Arial" w:cs="Arial"/>
          <w:color w:val="000000"/>
          <w:sz w:val="22"/>
          <w:szCs w:val="22"/>
        </w:rPr>
        <w:t>Mipymes</w:t>
      </w:r>
      <w:proofErr w:type="spellEnd"/>
      <w:r w:rsidR="00283D9B" w:rsidRPr="00342184">
        <w:rPr>
          <w:rFonts w:ascii="Arial" w:eastAsia="Arial" w:hAnsi="Arial" w:cs="Arial"/>
          <w:color w:val="000000"/>
          <w:sz w:val="22"/>
          <w:szCs w:val="22"/>
        </w:rPr>
        <w:t xml:space="preserve"> nacionales, </w:t>
      </w:r>
      <w:r w:rsidR="00F82631" w:rsidRPr="00342184">
        <w:rPr>
          <w:rFonts w:ascii="Arial" w:eastAsia="Arial" w:hAnsi="Arial" w:cs="Arial"/>
          <w:color w:val="000000"/>
          <w:sz w:val="22"/>
          <w:szCs w:val="22"/>
        </w:rPr>
        <w:t>regulada</w:t>
      </w:r>
      <w:r w:rsidR="00283D9B" w:rsidRPr="00342184">
        <w:rPr>
          <w:rFonts w:ascii="Arial" w:eastAsia="Arial" w:hAnsi="Arial" w:cs="Arial"/>
          <w:color w:val="000000"/>
          <w:sz w:val="22"/>
          <w:szCs w:val="22"/>
        </w:rPr>
        <w:t xml:space="preserve"> </w:t>
      </w:r>
      <w:r w:rsidR="00F82631" w:rsidRPr="00342184">
        <w:rPr>
          <w:rFonts w:ascii="Arial" w:eastAsia="Arial" w:hAnsi="Arial" w:cs="Arial"/>
          <w:color w:val="000000"/>
          <w:sz w:val="22"/>
          <w:szCs w:val="22"/>
        </w:rPr>
        <w:t xml:space="preserve">en </w:t>
      </w:r>
      <w:r w:rsidR="00283D9B" w:rsidRPr="00342184">
        <w:rPr>
          <w:rFonts w:ascii="Arial" w:eastAsia="Arial" w:hAnsi="Arial" w:cs="Arial"/>
          <w:color w:val="000000"/>
          <w:sz w:val="22"/>
          <w:szCs w:val="22"/>
        </w:rPr>
        <w:t>el artículo 2.2.1.2.4.2.2.</w:t>
      </w:r>
      <w:r w:rsidR="00F82631" w:rsidRPr="00342184">
        <w:rPr>
          <w:rFonts w:ascii="Arial" w:eastAsia="Arial" w:hAnsi="Arial" w:cs="Arial"/>
          <w:color w:val="000000"/>
          <w:sz w:val="22"/>
          <w:szCs w:val="22"/>
        </w:rPr>
        <w:t xml:space="preserve"> del Decreto 1082 de 2015</w:t>
      </w:r>
      <w:r w:rsidR="00380953" w:rsidRPr="00342184">
        <w:rPr>
          <w:rFonts w:ascii="Arial" w:eastAsia="Arial" w:hAnsi="Arial" w:cs="Arial"/>
          <w:color w:val="000000"/>
          <w:sz w:val="22"/>
          <w:szCs w:val="22"/>
        </w:rPr>
        <w:t xml:space="preserve">, resulta irrelevante </w:t>
      </w:r>
      <w:r w:rsidRPr="00342184">
        <w:rPr>
          <w:rFonts w:ascii="Arial" w:eastAsia="Arial" w:hAnsi="Arial" w:cs="Arial"/>
          <w:color w:val="000000"/>
          <w:sz w:val="22"/>
          <w:szCs w:val="22"/>
        </w:rPr>
        <w:t xml:space="preserve">determinar </w:t>
      </w:r>
      <w:r w:rsidR="00380953" w:rsidRPr="00342184">
        <w:rPr>
          <w:rFonts w:ascii="Arial" w:eastAsia="Arial" w:hAnsi="Arial" w:cs="Arial"/>
          <w:color w:val="000000"/>
          <w:sz w:val="22"/>
          <w:szCs w:val="22"/>
        </w:rPr>
        <w:t xml:space="preserve">el </w:t>
      </w:r>
      <w:r w:rsidR="00F82631" w:rsidRPr="00342184">
        <w:rPr>
          <w:rFonts w:ascii="Arial" w:eastAsia="Arial" w:hAnsi="Arial" w:cs="Arial"/>
          <w:color w:val="000000"/>
          <w:sz w:val="22"/>
          <w:szCs w:val="22"/>
        </w:rPr>
        <w:t xml:space="preserve">lugar del </w:t>
      </w:r>
      <w:r w:rsidR="00380953" w:rsidRPr="00342184">
        <w:rPr>
          <w:rFonts w:ascii="Arial" w:eastAsia="Arial" w:hAnsi="Arial" w:cs="Arial"/>
          <w:color w:val="000000"/>
          <w:sz w:val="22"/>
          <w:szCs w:val="22"/>
        </w:rPr>
        <w:t xml:space="preserve">domicilio </w:t>
      </w:r>
      <w:r w:rsidR="00283D9B" w:rsidRPr="00342184">
        <w:rPr>
          <w:rFonts w:ascii="Arial" w:eastAsia="Arial" w:hAnsi="Arial" w:cs="Arial"/>
          <w:color w:val="000000"/>
          <w:sz w:val="22"/>
          <w:szCs w:val="22"/>
        </w:rPr>
        <w:t xml:space="preserve">de la </w:t>
      </w:r>
      <w:proofErr w:type="spellStart"/>
      <w:r w:rsidR="00283D9B"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pues lo importante </w:t>
      </w:r>
      <w:r w:rsidR="00F82631" w:rsidRPr="00342184">
        <w:rPr>
          <w:rFonts w:ascii="Arial" w:eastAsia="Arial" w:hAnsi="Arial" w:cs="Arial"/>
          <w:color w:val="000000"/>
          <w:sz w:val="22"/>
          <w:szCs w:val="22"/>
        </w:rPr>
        <w:t xml:space="preserve">en este evento </w:t>
      </w:r>
      <w:r w:rsidRPr="00342184">
        <w:rPr>
          <w:rFonts w:ascii="Arial" w:eastAsia="Arial" w:hAnsi="Arial" w:cs="Arial"/>
          <w:color w:val="000000"/>
          <w:sz w:val="22"/>
          <w:szCs w:val="22"/>
        </w:rPr>
        <w:t xml:space="preserve">es que la </w:t>
      </w:r>
      <w:proofErr w:type="spellStart"/>
      <w:r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acredite su naturaleza jurídica en los términos del artículo 2.2.1.2.4.2.4. </w:t>
      </w:r>
      <w:proofErr w:type="spellStart"/>
      <w:r w:rsidRPr="00342184">
        <w:rPr>
          <w:rFonts w:ascii="Arial" w:eastAsia="Arial" w:hAnsi="Arial" w:cs="Arial"/>
          <w:i/>
          <w:color w:val="000000"/>
          <w:sz w:val="22"/>
          <w:szCs w:val="22"/>
        </w:rPr>
        <w:t>ibídem</w:t>
      </w:r>
      <w:proofErr w:type="spellEnd"/>
      <w:r w:rsidR="00283D9B" w:rsidRPr="00342184">
        <w:rPr>
          <w:rFonts w:ascii="Arial" w:eastAsia="Arial" w:hAnsi="Arial" w:cs="Arial"/>
          <w:color w:val="000000"/>
          <w:sz w:val="22"/>
          <w:szCs w:val="22"/>
        </w:rPr>
        <w:t>. En esta hipótesis</w:t>
      </w:r>
      <w:r w:rsidRPr="00342184">
        <w:rPr>
          <w:rFonts w:ascii="Arial" w:eastAsia="Arial" w:hAnsi="Arial" w:cs="Arial"/>
          <w:color w:val="000000"/>
          <w:sz w:val="22"/>
          <w:szCs w:val="22"/>
        </w:rPr>
        <w:t>, se insiste,</w:t>
      </w:r>
      <w:r w:rsidR="00283D9B" w:rsidRPr="00342184">
        <w:rPr>
          <w:rFonts w:ascii="Arial" w:eastAsia="Arial" w:hAnsi="Arial" w:cs="Arial"/>
          <w:color w:val="000000"/>
          <w:sz w:val="22"/>
          <w:szCs w:val="22"/>
        </w:rPr>
        <w:t xml:space="preserve"> nada tiene que ver el domicilio de la</w:t>
      </w:r>
      <w:r w:rsidRPr="00342184">
        <w:rPr>
          <w:rFonts w:ascii="Arial" w:eastAsia="Arial" w:hAnsi="Arial" w:cs="Arial"/>
          <w:color w:val="000000"/>
          <w:sz w:val="22"/>
          <w:szCs w:val="22"/>
        </w:rPr>
        <w:t>s</w:t>
      </w:r>
      <w:r w:rsidR="00283D9B" w:rsidRPr="00342184">
        <w:rPr>
          <w:rFonts w:ascii="Arial" w:eastAsia="Arial" w:hAnsi="Arial" w:cs="Arial"/>
          <w:color w:val="000000"/>
          <w:sz w:val="22"/>
          <w:szCs w:val="22"/>
        </w:rPr>
        <w:t xml:space="preserve"> </w:t>
      </w:r>
      <w:proofErr w:type="spellStart"/>
      <w:r w:rsidR="00283D9B" w:rsidRPr="00342184">
        <w:rPr>
          <w:rFonts w:ascii="Arial" w:eastAsia="Arial" w:hAnsi="Arial" w:cs="Arial"/>
          <w:color w:val="000000"/>
          <w:sz w:val="22"/>
          <w:szCs w:val="22"/>
        </w:rPr>
        <w:t>Mipyme</w:t>
      </w:r>
      <w:proofErr w:type="spellEnd"/>
      <w:r w:rsidRPr="00342184">
        <w:rPr>
          <w:rFonts w:ascii="Arial" w:eastAsia="Arial" w:hAnsi="Arial" w:cs="Arial"/>
          <w:color w:val="000000"/>
          <w:sz w:val="22"/>
          <w:szCs w:val="22"/>
        </w:rPr>
        <w:t xml:space="preserve"> que conforman el consorcio o la unión temporal</w:t>
      </w:r>
      <w:r w:rsidR="00283D9B" w:rsidRPr="00342184">
        <w:rPr>
          <w:rFonts w:ascii="Arial" w:eastAsia="Arial" w:hAnsi="Arial" w:cs="Arial"/>
          <w:color w:val="000000"/>
          <w:sz w:val="22"/>
          <w:szCs w:val="22"/>
        </w:rPr>
        <w:t xml:space="preserve"> </w:t>
      </w:r>
      <w:r w:rsidRPr="00342184">
        <w:rPr>
          <w:rFonts w:ascii="Arial" w:eastAsia="Arial" w:hAnsi="Arial" w:cs="Arial"/>
          <w:color w:val="000000"/>
          <w:sz w:val="22"/>
          <w:szCs w:val="22"/>
        </w:rPr>
        <w:t>que le pide a la entidad limitar el proceso de contratación</w:t>
      </w:r>
      <w:r w:rsidR="00283D9B" w:rsidRPr="00342184">
        <w:rPr>
          <w:rFonts w:ascii="Arial" w:eastAsia="Arial" w:hAnsi="Arial" w:cs="Arial"/>
          <w:color w:val="000000"/>
          <w:sz w:val="22"/>
          <w:szCs w:val="22"/>
        </w:rPr>
        <w:t>.</w:t>
      </w:r>
    </w:p>
    <w:p w14:paraId="09FCF262" w14:textId="67D977B1" w:rsidR="00380953" w:rsidRPr="00342184" w:rsidRDefault="00D00AC2" w:rsidP="00D00AC2">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lastRenderedPageBreak/>
        <w:t>Finalmente, se debe precisar que</w:t>
      </w:r>
      <w:r w:rsidR="00283D9B" w:rsidRPr="00342184">
        <w:rPr>
          <w:rFonts w:ascii="Arial" w:eastAsia="Arial" w:hAnsi="Arial" w:cs="Arial"/>
          <w:color w:val="000000"/>
          <w:sz w:val="22"/>
          <w:szCs w:val="22"/>
        </w:rPr>
        <w:t xml:space="preserve"> </w:t>
      </w:r>
      <w:r w:rsidRPr="00342184">
        <w:rPr>
          <w:rFonts w:ascii="Arial" w:eastAsia="Arial" w:hAnsi="Arial" w:cs="Arial"/>
          <w:color w:val="000000"/>
          <w:sz w:val="22"/>
          <w:szCs w:val="22"/>
        </w:rPr>
        <w:t>el 2.2.1.2.4.2.4. del Decreto 1082 de 2015, no se refiere 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municipales»; omisión </w:t>
      </w:r>
      <w:proofErr w:type="spellStart"/>
      <w:r w:rsidR="00283D9B" w:rsidRPr="00342184">
        <w:rPr>
          <w:rFonts w:ascii="Arial" w:eastAsia="Arial" w:hAnsi="Arial" w:cs="Arial"/>
          <w:color w:val="000000"/>
          <w:sz w:val="22"/>
          <w:szCs w:val="22"/>
        </w:rPr>
        <w:t>omisión</w:t>
      </w:r>
      <w:proofErr w:type="spellEnd"/>
      <w:r w:rsidR="00283D9B" w:rsidRPr="00342184">
        <w:rPr>
          <w:rFonts w:ascii="Arial" w:eastAsia="Arial" w:hAnsi="Arial" w:cs="Arial"/>
          <w:color w:val="000000"/>
          <w:sz w:val="22"/>
          <w:szCs w:val="22"/>
        </w:rPr>
        <w:t xml:space="preserve"> que se explica en que </w:t>
      </w:r>
      <w:r w:rsidRPr="00342184">
        <w:rPr>
          <w:rFonts w:ascii="Arial" w:eastAsia="Arial" w:hAnsi="Arial" w:cs="Arial"/>
          <w:color w:val="000000"/>
          <w:sz w:val="22"/>
          <w:szCs w:val="22"/>
        </w:rPr>
        <w:t xml:space="preserve">tal concepto no existe en el ordenamiento jurídico, pues toda empresa constituida bajo las leyes colombianas o que tenga su domicilio principal en el territorio colombiano y, además, cumpla los criterios previstos por la Ley 590 de 2000 y el Decreto 957 de 2019, será considerada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del orden nacional</w:t>
      </w:r>
      <w:r w:rsidR="00283D9B" w:rsidRPr="00342184">
        <w:rPr>
          <w:rFonts w:ascii="Arial" w:eastAsia="Arial" w:hAnsi="Arial" w:cs="Arial"/>
          <w:color w:val="000000"/>
          <w:sz w:val="22"/>
          <w:szCs w:val="22"/>
        </w:rPr>
        <w:t xml:space="preserve">, </w:t>
      </w:r>
      <w:r w:rsidR="00023405" w:rsidRPr="00342184">
        <w:rPr>
          <w:rFonts w:ascii="Arial" w:eastAsia="Arial" w:hAnsi="Arial" w:cs="Arial"/>
          <w:color w:val="000000"/>
          <w:sz w:val="22"/>
          <w:szCs w:val="22"/>
        </w:rPr>
        <w:t xml:space="preserve">tal </w:t>
      </w:r>
      <w:r w:rsidR="00283D9B" w:rsidRPr="00342184">
        <w:rPr>
          <w:rFonts w:ascii="Arial" w:eastAsia="Arial" w:hAnsi="Arial" w:cs="Arial"/>
          <w:color w:val="000000"/>
          <w:sz w:val="22"/>
          <w:szCs w:val="22"/>
        </w:rPr>
        <w:t xml:space="preserve">como se </w:t>
      </w:r>
      <w:proofErr w:type="spellStart"/>
      <w:r w:rsidR="00380953" w:rsidRPr="00342184">
        <w:rPr>
          <w:rFonts w:ascii="Arial" w:eastAsia="Arial" w:hAnsi="Arial" w:cs="Arial"/>
          <w:color w:val="000000"/>
          <w:sz w:val="22"/>
          <w:szCs w:val="22"/>
        </w:rPr>
        <w:t>se</w:t>
      </w:r>
      <w:proofErr w:type="spellEnd"/>
      <w:r w:rsidR="00380953" w:rsidRPr="00342184">
        <w:rPr>
          <w:rFonts w:ascii="Arial" w:eastAsia="Arial" w:hAnsi="Arial" w:cs="Arial"/>
          <w:color w:val="000000"/>
          <w:sz w:val="22"/>
          <w:szCs w:val="22"/>
        </w:rPr>
        <w:t xml:space="preserve"> explicó en </w:t>
      </w:r>
      <w:r w:rsidR="00023405" w:rsidRPr="00342184">
        <w:rPr>
          <w:rFonts w:ascii="Arial" w:eastAsia="Arial" w:hAnsi="Arial" w:cs="Arial"/>
          <w:color w:val="000000"/>
          <w:sz w:val="22"/>
          <w:szCs w:val="22"/>
        </w:rPr>
        <w:t>el presente</w:t>
      </w:r>
      <w:r w:rsidR="00380953" w:rsidRPr="00342184">
        <w:rPr>
          <w:rFonts w:ascii="Arial" w:eastAsia="Arial" w:hAnsi="Arial" w:cs="Arial"/>
          <w:color w:val="000000"/>
          <w:sz w:val="22"/>
          <w:szCs w:val="22"/>
        </w:rPr>
        <w:t xml:space="preserve"> concepto</w:t>
      </w:r>
      <w:r w:rsidR="00023405" w:rsidRPr="00342184">
        <w:rPr>
          <w:rFonts w:ascii="Arial" w:eastAsia="Arial" w:hAnsi="Arial" w:cs="Arial"/>
          <w:color w:val="000000"/>
          <w:sz w:val="22"/>
          <w:szCs w:val="22"/>
        </w:rPr>
        <w:t>.</w:t>
      </w:r>
    </w:p>
    <w:p w14:paraId="5368500E" w14:textId="7CAED78A" w:rsidR="0016722F" w:rsidRPr="00342184" w:rsidRDefault="0016722F" w:rsidP="0016722F">
      <w:pPr>
        <w:spacing w:before="120" w:line="276" w:lineRule="auto"/>
        <w:ind w:firstLine="708"/>
        <w:jc w:val="both"/>
        <w:rPr>
          <w:rFonts w:ascii="Arial" w:eastAsia="Arial" w:hAnsi="Arial" w:cs="Arial"/>
          <w:color w:val="000000"/>
          <w:sz w:val="22"/>
          <w:szCs w:val="22"/>
        </w:rPr>
      </w:pPr>
      <w:r w:rsidRPr="00342184">
        <w:rPr>
          <w:rFonts w:ascii="Arial" w:eastAsia="Arial" w:hAnsi="Arial" w:cs="Arial"/>
          <w:color w:val="000000"/>
          <w:sz w:val="22"/>
          <w:szCs w:val="22"/>
        </w:rPr>
        <w:t xml:space="preserve">Así las cosas, se le informa que sí «[…] se pueden presentar y habilitar Consorcios o Uniones temporales o promesas de sociedad futura suscritas como MIPYMES […]», pero debe usted tener en cuenta lo explicado en los párrafos precedentes, especialmente, </w:t>
      </w:r>
      <w:r w:rsidR="006B1BA1" w:rsidRPr="00342184">
        <w:rPr>
          <w:rFonts w:ascii="Arial" w:eastAsia="Arial" w:hAnsi="Arial" w:cs="Arial"/>
          <w:color w:val="000000"/>
          <w:sz w:val="22"/>
          <w:szCs w:val="22"/>
        </w:rPr>
        <w:t>el hecho que</w:t>
      </w:r>
      <w:r w:rsidR="007041E6" w:rsidRPr="00342184">
        <w:rPr>
          <w:rFonts w:ascii="Arial" w:eastAsia="Arial" w:hAnsi="Arial" w:cs="Arial"/>
          <w:color w:val="000000"/>
          <w:sz w:val="22"/>
          <w:szCs w:val="22"/>
        </w:rPr>
        <w:t xml:space="preserve">, hasta el momento, </w:t>
      </w:r>
      <w:r w:rsidRPr="00342184">
        <w:rPr>
          <w:rFonts w:ascii="Arial" w:eastAsia="Arial" w:hAnsi="Arial" w:cs="Arial"/>
          <w:color w:val="000000"/>
          <w:sz w:val="22"/>
          <w:szCs w:val="22"/>
        </w:rPr>
        <w:t>en el orden</w:t>
      </w:r>
      <w:r w:rsidR="007041E6" w:rsidRPr="00342184">
        <w:rPr>
          <w:rFonts w:ascii="Arial" w:eastAsia="Arial" w:hAnsi="Arial" w:cs="Arial"/>
          <w:color w:val="000000"/>
          <w:sz w:val="22"/>
          <w:szCs w:val="22"/>
        </w:rPr>
        <w:t>amiento</w:t>
      </w:r>
      <w:r w:rsidRPr="00342184">
        <w:rPr>
          <w:rFonts w:ascii="Arial" w:eastAsia="Arial" w:hAnsi="Arial" w:cs="Arial"/>
          <w:color w:val="000000"/>
          <w:sz w:val="22"/>
          <w:szCs w:val="22"/>
        </w:rPr>
        <w:t xml:space="preserve"> jurídico colombiano</w:t>
      </w:r>
      <w:r w:rsidR="007041E6" w:rsidRPr="00342184">
        <w:rPr>
          <w:rFonts w:ascii="Arial" w:eastAsia="Arial" w:hAnsi="Arial" w:cs="Arial"/>
          <w:color w:val="000000"/>
          <w:sz w:val="22"/>
          <w:szCs w:val="22"/>
        </w:rPr>
        <w:t xml:space="preserve"> </w:t>
      </w:r>
      <w:r w:rsidRPr="00342184">
        <w:rPr>
          <w:rFonts w:ascii="Arial" w:eastAsia="Arial" w:hAnsi="Arial" w:cs="Arial"/>
          <w:color w:val="000000"/>
          <w:sz w:val="22"/>
          <w:szCs w:val="22"/>
        </w:rPr>
        <w:t>no existen «</w:t>
      </w:r>
      <w:proofErr w:type="spellStart"/>
      <w:r w:rsidRPr="00342184">
        <w:rPr>
          <w:rFonts w:ascii="Arial" w:eastAsia="Arial" w:hAnsi="Arial" w:cs="Arial"/>
          <w:color w:val="000000"/>
          <w:sz w:val="22"/>
          <w:szCs w:val="22"/>
        </w:rPr>
        <w:t>Mipymes</w:t>
      </w:r>
      <w:proofErr w:type="spellEnd"/>
      <w:r w:rsidRPr="00342184">
        <w:rPr>
          <w:rFonts w:ascii="Arial" w:eastAsia="Arial" w:hAnsi="Arial" w:cs="Arial"/>
          <w:color w:val="000000"/>
          <w:sz w:val="22"/>
          <w:szCs w:val="22"/>
        </w:rPr>
        <w:t xml:space="preserve"> municipales».</w:t>
      </w:r>
    </w:p>
    <w:p w14:paraId="1DE96592" w14:textId="77777777" w:rsidR="00E27BDF" w:rsidRPr="00342184" w:rsidRDefault="00E27BDF">
      <w:pPr>
        <w:spacing w:line="276" w:lineRule="auto"/>
        <w:jc w:val="both"/>
        <w:rPr>
          <w:rFonts w:ascii="Arial" w:eastAsia="Arial" w:hAnsi="Arial" w:cs="Arial"/>
          <w:color w:val="000000"/>
          <w:sz w:val="22"/>
          <w:szCs w:val="22"/>
        </w:rPr>
      </w:pPr>
    </w:p>
    <w:p w14:paraId="1DEA64EA" w14:textId="77777777" w:rsidR="00E27BDF" w:rsidRPr="00342184" w:rsidRDefault="006C0DA8">
      <w:pPr>
        <w:spacing w:before="120" w:line="276" w:lineRule="auto"/>
        <w:jc w:val="both"/>
        <w:rPr>
          <w:rFonts w:ascii="Arial" w:eastAsia="Arial" w:hAnsi="Arial" w:cs="Arial"/>
          <w:color w:val="000000"/>
          <w:sz w:val="22"/>
          <w:szCs w:val="22"/>
        </w:rPr>
      </w:pPr>
      <w:r w:rsidRPr="00342184">
        <w:rPr>
          <w:rFonts w:ascii="Arial" w:eastAsia="Arial" w:hAnsi="Arial" w:cs="Arial"/>
          <w:color w:val="000000"/>
          <w:sz w:val="22"/>
          <w:szCs w:val="22"/>
        </w:rPr>
        <w:t>Este concepto tiene el alcance previsto en el artículo 28 del Código de Procedimiento Administrativo y de lo Contencioso Administrativo.</w:t>
      </w:r>
    </w:p>
    <w:p w14:paraId="442E1470" w14:textId="77777777" w:rsidR="00E27BDF" w:rsidRPr="00342184" w:rsidRDefault="00E27BDF">
      <w:pPr>
        <w:ind w:firstLine="709"/>
        <w:jc w:val="both"/>
        <w:rPr>
          <w:rFonts w:ascii="Arial" w:eastAsia="Arial" w:hAnsi="Arial" w:cs="Arial"/>
          <w:color w:val="000000"/>
          <w:sz w:val="22"/>
          <w:szCs w:val="22"/>
        </w:rPr>
      </w:pPr>
    </w:p>
    <w:p w14:paraId="36D2E5B4" w14:textId="77777777" w:rsidR="00E27BDF" w:rsidRPr="00342184" w:rsidRDefault="006C0DA8">
      <w:pPr>
        <w:spacing w:line="276" w:lineRule="auto"/>
        <w:rPr>
          <w:rFonts w:ascii="Arial" w:eastAsia="Arial" w:hAnsi="Arial" w:cs="Arial"/>
          <w:color w:val="000000"/>
          <w:sz w:val="22"/>
          <w:szCs w:val="22"/>
        </w:rPr>
      </w:pPr>
      <w:r w:rsidRPr="00342184">
        <w:rPr>
          <w:rFonts w:ascii="Arial" w:eastAsia="Arial" w:hAnsi="Arial" w:cs="Arial"/>
          <w:color w:val="000000"/>
          <w:sz w:val="22"/>
          <w:szCs w:val="22"/>
        </w:rPr>
        <w:t>Atentamente,</w:t>
      </w:r>
    </w:p>
    <w:p w14:paraId="53C2FC23" w14:textId="321FA60E" w:rsidR="00E27BDF" w:rsidRPr="00342184" w:rsidRDefault="005A73DD">
      <w:pPr>
        <w:jc w:val="center"/>
        <w:rPr>
          <w:rFonts w:ascii="Arial" w:eastAsia="Arial" w:hAnsi="Arial" w:cs="Arial"/>
          <w:color w:val="000000"/>
          <w:sz w:val="18"/>
          <w:szCs w:val="18"/>
        </w:rPr>
      </w:pPr>
      <w:r>
        <w:rPr>
          <w:noProof/>
          <w:lang w:val="en-US" w:eastAsia="en-US"/>
        </w:rPr>
        <w:drawing>
          <wp:inline distT="0" distB="0" distL="0" distR="0" wp14:anchorId="033222BC" wp14:editId="356B29E4">
            <wp:extent cx="2771775" cy="990600"/>
            <wp:effectExtent l="0" t="0" r="0" b="0"/>
            <wp:docPr id="1482046347" name="Imagen 148204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A4FAB12" w14:textId="77777777" w:rsidR="00E27BDF" w:rsidRPr="00342184" w:rsidRDefault="00E27BDF">
      <w:pPr>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E27BDF" w:rsidRPr="00342184" w14:paraId="5E3E639F" w14:textId="77777777">
        <w:trPr>
          <w:trHeight w:val="315"/>
        </w:trPr>
        <w:tc>
          <w:tcPr>
            <w:tcW w:w="812" w:type="dxa"/>
            <w:vAlign w:val="center"/>
          </w:tcPr>
          <w:p w14:paraId="5D62C201" w14:textId="77777777" w:rsidR="00E27BDF" w:rsidRPr="00342184" w:rsidRDefault="006C0DA8">
            <w:pPr>
              <w:rPr>
                <w:rFonts w:ascii="Arial" w:eastAsia="Arial" w:hAnsi="Arial" w:cs="Arial"/>
                <w:color w:val="000000"/>
                <w:sz w:val="16"/>
                <w:szCs w:val="16"/>
              </w:rPr>
            </w:pPr>
            <w:r w:rsidRPr="00342184">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30B992EE" w14:textId="77777777" w:rsidR="00E27BDF" w:rsidRPr="00342184" w:rsidRDefault="006C0DA8">
            <w:pPr>
              <w:rPr>
                <w:rFonts w:ascii="Arial" w:eastAsia="Arial" w:hAnsi="Arial" w:cs="Arial"/>
                <w:color w:val="000000"/>
                <w:sz w:val="16"/>
                <w:szCs w:val="16"/>
              </w:rPr>
            </w:pPr>
            <w:r w:rsidRPr="00342184">
              <w:rPr>
                <w:rFonts w:ascii="Arial" w:eastAsia="Arial" w:hAnsi="Arial" w:cs="Arial"/>
                <w:color w:val="000000"/>
                <w:sz w:val="16"/>
                <w:szCs w:val="16"/>
              </w:rPr>
              <w:t>David Castellanos Carreño</w:t>
            </w:r>
          </w:p>
          <w:p w14:paraId="5A4683E2" w14:textId="77777777" w:rsidR="00E27BDF" w:rsidRPr="00342184" w:rsidRDefault="006C0DA8">
            <w:pPr>
              <w:rPr>
                <w:rFonts w:ascii="Arial" w:eastAsia="Arial" w:hAnsi="Arial" w:cs="Arial"/>
                <w:color w:val="000000"/>
                <w:sz w:val="16"/>
                <w:szCs w:val="16"/>
              </w:rPr>
            </w:pPr>
            <w:r w:rsidRPr="00342184">
              <w:rPr>
                <w:rFonts w:ascii="Arial" w:eastAsia="Arial" w:hAnsi="Arial" w:cs="Arial"/>
                <w:color w:val="000000"/>
                <w:sz w:val="16"/>
                <w:szCs w:val="16"/>
              </w:rPr>
              <w:t>Contratista de la Subdirección de Gestión Contractual</w:t>
            </w:r>
          </w:p>
        </w:tc>
      </w:tr>
      <w:tr w:rsidR="00E27BDF" w:rsidRPr="00342184" w14:paraId="36FDEA4C" w14:textId="77777777">
        <w:trPr>
          <w:trHeight w:val="330"/>
        </w:trPr>
        <w:tc>
          <w:tcPr>
            <w:tcW w:w="812" w:type="dxa"/>
            <w:vAlign w:val="center"/>
          </w:tcPr>
          <w:p w14:paraId="1A80A188" w14:textId="77777777" w:rsidR="00E27BDF" w:rsidRPr="00342184" w:rsidRDefault="006C0DA8">
            <w:pPr>
              <w:rPr>
                <w:rFonts w:ascii="Arial" w:eastAsia="Arial" w:hAnsi="Arial" w:cs="Arial"/>
                <w:color w:val="000000"/>
                <w:sz w:val="16"/>
                <w:szCs w:val="16"/>
              </w:rPr>
            </w:pPr>
            <w:r w:rsidRPr="00342184">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4F97E7C" w14:textId="50E5F1A0" w:rsidR="0091566F" w:rsidRPr="00342184" w:rsidRDefault="001B218A" w:rsidP="0091566F">
            <w:pPr>
              <w:rPr>
                <w:rFonts w:ascii="Arial" w:eastAsia="Arial" w:hAnsi="Arial" w:cs="Arial"/>
                <w:color w:val="000000"/>
                <w:sz w:val="16"/>
                <w:szCs w:val="16"/>
              </w:rPr>
            </w:pPr>
            <w:r w:rsidRPr="00342184">
              <w:rPr>
                <w:rFonts w:ascii="Arial" w:eastAsia="Arial" w:hAnsi="Arial" w:cs="Arial"/>
                <w:color w:val="000000"/>
                <w:sz w:val="16"/>
                <w:szCs w:val="16"/>
              </w:rPr>
              <w:t>Cristian Andrés Díaz Díez</w:t>
            </w:r>
          </w:p>
          <w:p w14:paraId="45FA8645" w14:textId="20735E58" w:rsidR="00E27BDF" w:rsidRPr="00342184" w:rsidRDefault="001B218A" w:rsidP="0091566F">
            <w:pPr>
              <w:rPr>
                <w:rFonts w:ascii="Arial" w:eastAsia="Arial" w:hAnsi="Arial" w:cs="Arial"/>
                <w:color w:val="000000"/>
                <w:sz w:val="16"/>
                <w:szCs w:val="16"/>
              </w:rPr>
            </w:pPr>
            <w:r w:rsidRPr="00342184">
              <w:rPr>
                <w:rFonts w:ascii="Arial" w:eastAsia="Arial" w:hAnsi="Arial" w:cs="Arial"/>
                <w:color w:val="000000"/>
                <w:sz w:val="16"/>
                <w:szCs w:val="16"/>
              </w:rPr>
              <w:t xml:space="preserve">Contratista, </w:t>
            </w:r>
            <w:r w:rsidR="0091566F" w:rsidRPr="00342184">
              <w:rPr>
                <w:rFonts w:ascii="Arial" w:eastAsia="Arial" w:hAnsi="Arial" w:cs="Arial"/>
                <w:color w:val="000000"/>
                <w:sz w:val="16"/>
                <w:szCs w:val="16"/>
              </w:rPr>
              <w:t>Subdirec</w:t>
            </w:r>
            <w:r w:rsidRPr="00342184">
              <w:rPr>
                <w:rFonts w:ascii="Arial" w:eastAsia="Arial" w:hAnsi="Arial" w:cs="Arial"/>
                <w:color w:val="000000"/>
                <w:sz w:val="16"/>
                <w:szCs w:val="16"/>
              </w:rPr>
              <w:t>ción</w:t>
            </w:r>
            <w:r w:rsidR="0091566F" w:rsidRPr="00342184">
              <w:rPr>
                <w:rFonts w:ascii="Arial" w:eastAsia="Arial" w:hAnsi="Arial" w:cs="Arial"/>
                <w:color w:val="000000"/>
                <w:sz w:val="16"/>
                <w:szCs w:val="16"/>
              </w:rPr>
              <w:t xml:space="preserve"> de Gestión Contractual</w:t>
            </w:r>
          </w:p>
        </w:tc>
      </w:tr>
      <w:tr w:rsidR="00E27BDF" w14:paraId="2AC68231" w14:textId="77777777">
        <w:trPr>
          <w:trHeight w:val="300"/>
        </w:trPr>
        <w:tc>
          <w:tcPr>
            <w:tcW w:w="812" w:type="dxa"/>
            <w:vAlign w:val="center"/>
          </w:tcPr>
          <w:p w14:paraId="4612284C" w14:textId="77777777" w:rsidR="00E27BDF" w:rsidRPr="00342184" w:rsidRDefault="006C0DA8">
            <w:pPr>
              <w:rPr>
                <w:rFonts w:ascii="Arial" w:eastAsia="Arial" w:hAnsi="Arial" w:cs="Arial"/>
                <w:color w:val="000000"/>
                <w:sz w:val="16"/>
                <w:szCs w:val="16"/>
              </w:rPr>
            </w:pPr>
            <w:r w:rsidRPr="00342184">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41A0B869" w14:textId="77777777" w:rsidR="00E27BDF" w:rsidRPr="00342184" w:rsidRDefault="006C0DA8">
            <w:pPr>
              <w:rPr>
                <w:rFonts w:ascii="Arial" w:eastAsia="Arial" w:hAnsi="Arial" w:cs="Arial"/>
                <w:color w:val="000000"/>
                <w:sz w:val="16"/>
                <w:szCs w:val="16"/>
              </w:rPr>
            </w:pPr>
            <w:r w:rsidRPr="00342184">
              <w:rPr>
                <w:rFonts w:ascii="Arial" w:eastAsia="Arial" w:hAnsi="Arial" w:cs="Arial"/>
                <w:color w:val="000000"/>
                <w:sz w:val="16"/>
                <w:szCs w:val="16"/>
              </w:rPr>
              <w:t>Fabián Gonzalo Marín Cortés</w:t>
            </w:r>
          </w:p>
          <w:p w14:paraId="4DCF74F4" w14:textId="77777777" w:rsidR="00E27BDF" w:rsidRDefault="006C0DA8">
            <w:pPr>
              <w:rPr>
                <w:rFonts w:ascii="Arial" w:eastAsia="Arial" w:hAnsi="Arial" w:cs="Arial"/>
                <w:color w:val="000000"/>
                <w:sz w:val="16"/>
                <w:szCs w:val="16"/>
              </w:rPr>
            </w:pPr>
            <w:r w:rsidRPr="00342184">
              <w:rPr>
                <w:rFonts w:ascii="Arial" w:eastAsia="Arial" w:hAnsi="Arial" w:cs="Arial"/>
                <w:color w:val="000000"/>
                <w:sz w:val="16"/>
                <w:szCs w:val="16"/>
              </w:rPr>
              <w:t>Subdirector de Gestión Contractual</w:t>
            </w:r>
          </w:p>
        </w:tc>
      </w:tr>
    </w:tbl>
    <w:p w14:paraId="1C7D6B91" w14:textId="77777777" w:rsidR="00E27BDF" w:rsidRDefault="00E27BDF">
      <w:pPr>
        <w:rPr>
          <w:rFonts w:ascii="Arial" w:eastAsia="Arial" w:hAnsi="Arial" w:cs="Arial"/>
          <w:color w:val="000000"/>
          <w:sz w:val="16"/>
          <w:szCs w:val="16"/>
        </w:rPr>
      </w:pPr>
    </w:p>
    <w:p w14:paraId="12946462" w14:textId="77777777" w:rsidR="00E27BDF" w:rsidRDefault="00E27BDF">
      <w:pPr>
        <w:jc w:val="both"/>
        <w:rPr>
          <w:color w:val="000000"/>
        </w:rPr>
      </w:pPr>
    </w:p>
    <w:sectPr w:rsidR="00E27BDF">
      <w:headerReference w:type="default" r:id="rId11"/>
      <w:footerReference w:type="default" r:id="rId12"/>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E76E2" w14:textId="77777777" w:rsidR="00820724" w:rsidRDefault="00820724">
      <w:r>
        <w:separator/>
      </w:r>
    </w:p>
  </w:endnote>
  <w:endnote w:type="continuationSeparator" w:id="0">
    <w:p w14:paraId="52292A33" w14:textId="77777777" w:rsidR="00820724" w:rsidRDefault="0082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1E0B4" w14:textId="77777777" w:rsidR="00E27BDF" w:rsidRDefault="00E27BDF">
    <w:pPr>
      <w:pBdr>
        <w:top w:val="nil"/>
        <w:left w:val="nil"/>
        <w:bottom w:val="nil"/>
        <w:right w:val="nil"/>
        <w:between w:val="nil"/>
      </w:pBdr>
      <w:jc w:val="right"/>
      <w:rPr>
        <w:rFonts w:ascii="Arial" w:eastAsia="Arial" w:hAnsi="Arial" w:cs="Arial"/>
        <w:color w:val="000000"/>
        <w:sz w:val="18"/>
        <w:szCs w:val="18"/>
      </w:rPr>
    </w:pPr>
  </w:p>
  <w:p w14:paraId="1E263B40" w14:textId="43348652" w:rsidR="00E27BDF" w:rsidRDefault="006C0DA8">
    <w:pPr>
      <w:pBdr>
        <w:top w:val="nil"/>
        <w:left w:val="nil"/>
        <w:bottom w:val="nil"/>
        <w:right w:val="nil"/>
        <w:between w:val="nil"/>
      </w:pBdr>
      <w:tabs>
        <w:tab w:val="center" w:pos="4419"/>
        <w:tab w:val="right" w:pos="8838"/>
      </w:tabs>
      <w:jc w:val="center"/>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F40E78">
      <w:rPr>
        <w:rFonts w:ascii="Arial" w:eastAsia="Arial" w:hAnsi="Arial" w:cs="Arial"/>
        <w:b/>
        <w:noProof/>
        <w:color w:val="7F7F7F"/>
        <w:sz w:val="16"/>
        <w:szCs w:val="16"/>
      </w:rPr>
      <w:t>4</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F40E78">
      <w:rPr>
        <w:rFonts w:ascii="Arial" w:eastAsia="Arial" w:hAnsi="Arial" w:cs="Arial"/>
        <w:b/>
        <w:noProof/>
        <w:color w:val="7F7F7F"/>
        <w:sz w:val="16"/>
        <w:szCs w:val="16"/>
      </w:rPr>
      <w:t>16</w:t>
    </w:r>
    <w:r>
      <w:rPr>
        <w:rFonts w:ascii="Arial" w:eastAsia="Arial" w:hAnsi="Arial" w:cs="Arial"/>
        <w:b/>
        <w:color w:val="7F7F7F"/>
        <w:sz w:val="16"/>
        <w:szCs w:val="16"/>
      </w:rPr>
      <w:fldChar w:fldCharType="end"/>
    </w:r>
  </w:p>
  <w:p w14:paraId="3BBBC245" w14:textId="77777777" w:rsidR="00E27BDF" w:rsidRDefault="006C0DA8">
    <w:pPr>
      <w:pBdr>
        <w:top w:val="nil"/>
        <w:left w:val="nil"/>
        <w:bottom w:val="nil"/>
        <w:right w:val="nil"/>
        <w:between w:val="nil"/>
      </w:pBdr>
      <w:tabs>
        <w:tab w:val="center" w:pos="4419"/>
        <w:tab w:val="right" w:pos="8838"/>
      </w:tabs>
      <w:jc w:val="center"/>
      <w:rPr>
        <w:color w:val="000000"/>
      </w:rPr>
    </w:pPr>
    <w:r>
      <w:rPr>
        <w:noProof/>
        <w:color w:val="000000"/>
        <w:lang w:val="en-US" w:eastAsia="en-US"/>
      </w:rPr>
      <w:drawing>
        <wp:inline distT="0" distB="0" distL="0" distR="0" wp14:anchorId="30E83ACA" wp14:editId="5824278E">
          <wp:extent cx="3700130" cy="51913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2378D973" w14:textId="77777777" w:rsidR="00E27BDF" w:rsidRDefault="00E27BDF" w:rsidP="00E737A2">
    <w:pPr>
      <w:pBdr>
        <w:top w:val="nil"/>
        <w:left w:val="nil"/>
        <w:bottom w:val="nil"/>
        <w:right w:val="nil"/>
        <w:between w:val="nil"/>
      </w:pBdr>
      <w:tabs>
        <w:tab w:val="center" w:pos="4419"/>
        <w:tab w:val="right" w:pos="8838"/>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82A75" w14:textId="77777777" w:rsidR="00820724" w:rsidRDefault="00820724">
      <w:r>
        <w:separator/>
      </w:r>
    </w:p>
  </w:footnote>
  <w:footnote w:type="continuationSeparator" w:id="0">
    <w:p w14:paraId="06F88F53" w14:textId="77777777" w:rsidR="00820724" w:rsidRDefault="00820724">
      <w:r>
        <w:continuationSeparator/>
      </w:r>
    </w:p>
  </w:footnote>
  <w:footnote w:id="1">
    <w:p w14:paraId="7E0E5A0F"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7A1EBBC"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»1. Mediana empresa: // a) Planta de personal entre cincuenta y uno (51) y doscientos (200) trabajadores, o // b) Activos totales por valor entre 100.000 a 610.000 UVT.  </w:t>
      </w:r>
    </w:p>
    <w:p w14:paraId="69DD4F8E"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Pequeña empresa: // a) Planta de personal entre once (11) y cincuenta (50) trabajadores, o // b) Activos totales por valor entre quinientos uno (501) y menos de cinco mil (5.000) salarios mínimos mensuales legales vigentes o,</w:t>
      </w:r>
    </w:p>
    <w:p w14:paraId="6A41E6A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»3. Microempresa: // a) Planta de personal no superior a los diez (10) trabajadores o, // b) Activos totales excluida la vivienda por valor inferior a quinientos (500) salarios mínimos mensuales legales vigentes».</w:t>
      </w:r>
    </w:p>
  </w:footnote>
  <w:footnote w:id="2">
    <w:p w14:paraId="7D39ABD7"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vertAlign w:val="superscript"/>
        </w:rPr>
        <w:footnoteRef/>
      </w:r>
    </w:p>
  </w:footnote>
  <w:footnote w:id="3">
    <w:p w14:paraId="288252E4"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12. Concurrencia de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2AB2AB01"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ab/>
        <w:t xml:space="preserve">»4. Las entidades públicas del orden nacional, departamental y municipal preferirán en condiciones de igual precio, calidad y capacidad de suministros y servicio a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nacionales».</w:t>
      </w:r>
    </w:p>
    <w:p w14:paraId="2357055B" w14:textId="77777777" w:rsidR="00E27BDF" w:rsidRDefault="00E27BDF">
      <w:pPr>
        <w:pBdr>
          <w:top w:val="nil"/>
          <w:left w:val="nil"/>
          <w:bottom w:val="nil"/>
          <w:right w:val="nil"/>
          <w:between w:val="nil"/>
        </w:pBdr>
        <w:jc w:val="both"/>
        <w:rPr>
          <w:rFonts w:ascii="Arial" w:eastAsia="Arial" w:hAnsi="Arial" w:cs="Arial"/>
          <w:color w:val="000000"/>
          <w:sz w:val="19"/>
          <w:szCs w:val="19"/>
        </w:rPr>
      </w:pPr>
    </w:p>
  </w:footnote>
  <w:footnote w:id="4">
    <w:p w14:paraId="5C752C2E"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Allí se dijo: «La ley establece mecanismos indispensables para permitir la creación y operación de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como proveedoras de bienes y servicios que demanden; 3. Establecer procedimientos administrativos que faciliten que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nacionales».</w:t>
      </w:r>
    </w:p>
    <w:p w14:paraId="162CBC6D"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5">
    <w:p w14:paraId="4D4561A9"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79C075D8"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6">
    <w:p w14:paraId="6775DD6C"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La TRM diaria se puede consultar en </w:t>
      </w:r>
      <w:hyperlink r:id="rId1">
        <w:r>
          <w:rPr>
            <w:rFonts w:ascii="Arial" w:eastAsia="Arial" w:hAnsi="Arial" w:cs="Arial"/>
            <w:color w:val="000000"/>
            <w:sz w:val="19"/>
            <w:szCs w:val="19"/>
            <w:u w:val="single"/>
          </w:rPr>
          <w:t>https://www.banrep.gov.co/es/estadisticas/trm</w:t>
        </w:r>
      </w:hyperlink>
      <w:r>
        <w:rPr>
          <w:rFonts w:ascii="Arial" w:eastAsia="Arial" w:hAnsi="Arial" w:cs="Arial"/>
          <w:color w:val="000000"/>
          <w:sz w:val="19"/>
          <w:szCs w:val="19"/>
        </w:rPr>
        <w:t>.</w:t>
      </w:r>
    </w:p>
    <w:p w14:paraId="2FBC5F1D"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7">
    <w:p w14:paraId="68999E12"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Fecha de expedición del Decreto 1082.</w:t>
      </w:r>
    </w:p>
    <w:p w14:paraId="6851FDC4" w14:textId="77777777" w:rsidR="00E27BDF" w:rsidRDefault="00E27BDF">
      <w:pPr>
        <w:pBdr>
          <w:top w:val="nil"/>
          <w:left w:val="nil"/>
          <w:bottom w:val="nil"/>
          <w:right w:val="nil"/>
          <w:between w:val="nil"/>
        </w:pBdr>
        <w:jc w:val="both"/>
        <w:rPr>
          <w:rFonts w:ascii="Arial" w:eastAsia="Arial" w:hAnsi="Arial" w:cs="Arial"/>
          <w:color w:val="000000"/>
          <w:sz w:val="19"/>
          <w:szCs w:val="19"/>
        </w:rPr>
      </w:pPr>
    </w:p>
  </w:footnote>
  <w:footnote w:id="8">
    <w:p w14:paraId="2C81314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hyperlink r:id="rId2">
        <w:r>
          <w:rPr>
            <w:rFonts w:ascii="Arial" w:eastAsia="Arial" w:hAnsi="Arial" w:cs="Arial"/>
            <w:color w:val="000000"/>
            <w:sz w:val="19"/>
            <w:szCs w:val="19"/>
            <w:u w:val="single"/>
          </w:rPr>
          <w:t>https://www.colombiacompra.gov.co/sites/cce_public/files/cce_documentos/umbrales_2020_-_2021.pdf</w:t>
        </w:r>
      </w:hyperlink>
    </w:p>
    <w:p w14:paraId="734B5769"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9">
    <w:p w14:paraId="2C655E5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2.2.1.1.2.1.5. Acto administrativo de apertura del proceso de selección. 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47E016FA"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w:t>
      </w:r>
    </w:p>
    <w:p w14:paraId="7ADE4E95"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»El</w:t>
      </w:r>
      <w:proofErr w:type="gramEnd"/>
      <w:r>
        <w:rPr>
          <w:rFonts w:ascii="Arial" w:eastAsia="Arial" w:hAnsi="Arial" w:cs="Arial"/>
          <w:color w:val="000000"/>
          <w:sz w:val="19"/>
          <w:szCs w:val="19"/>
        </w:rPr>
        <w:t xml:space="preserve"> acto administrativo de que trata el presente artículo debe señalar:</w:t>
      </w:r>
    </w:p>
    <w:p w14:paraId="3D799B32"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w:t>
      </w:r>
    </w:p>
    <w:p w14:paraId="7D43AABF"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»3.    El Cronograma. […]”.</w:t>
      </w:r>
    </w:p>
    <w:p w14:paraId="27FA5C92" w14:textId="77777777" w:rsidR="00E27BDF" w:rsidRDefault="00E27BDF">
      <w:pPr>
        <w:pBdr>
          <w:top w:val="nil"/>
          <w:left w:val="nil"/>
          <w:bottom w:val="nil"/>
          <w:right w:val="nil"/>
          <w:between w:val="nil"/>
        </w:pBdr>
        <w:jc w:val="both"/>
        <w:rPr>
          <w:rFonts w:ascii="Arial" w:eastAsia="Arial" w:hAnsi="Arial" w:cs="Arial"/>
          <w:color w:val="000000"/>
          <w:sz w:val="19"/>
          <w:szCs w:val="19"/>
        </w:rPr>
      </w:pPr>
    </w:p>
  </w:footnote>
  <w:footnote w:id="10">
    <w:p w14:paraId="4ABE183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2.2.1.2.1.2.20. Procedimiento para la selección abreviada de menor cuantía. Además de las normas generales establecidas en el presente título, las siguientes reglas son aplicables a la selección abreviada de menor cuantía:</w:t>
      </w:r>
    </w:p>
    <w:p w14:paraId="79B2F0C1"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p w14:paraId="60CB1DF6"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6B495E53" w14:textId="4EEF04D0"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42987C19" w14:textId="77777777" w:rsidR="00ED3D3F" w:rsidRDefault="00ED3D3F">
      <w:pPr>
        <w:pBdr>
          <w:top w:val="nil"/>
          <w:left w:val="nil"/>
          <w:bottom w:val="nil"/>
          <w:right w:val="nil"/>
          <w:between w:val="nil"/>
        </w:pBdr>
        <w:ind w:firstLine="708"/>
        <w:jc w:val="both"/>
        <w:rPr>
          <w:rFonts w:ascii="Arial" w:eastAsia="Arial" w:hAnsi="Arial" w:cs="Arial"/>
          <w:color w:val="000000"/>
          <w:sz w:val="19"/>
          <w:szCs w:val="19"/>
        </w:rPr>
      </w:pPr>
    </w:p>
  </w:footnote>
  <w:footnote w:id="11">
    <w:p w14:paraId="78B48EEF"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Ibidem.</w:t>
      </w:r>
    </w:p>
    <w:p w14:paraId="41DC5F89"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12">
    <w:p w14:paraId="3E49D639"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Concepto emitido en el radicado 4201913000005674, dictado el 27 de septiembre de 2019.</w:t>
      </w:r>
    </w:p>
  </w:footnote>
  <w:footnote w:id="13">
    <w:p w14:paraId="31AC1F2D"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vertAlign w:val="superscript"/>
        </w:rPr>
        <w:footnoteRef/>
      </w:r>
    </w:p>
    <w:p w14:paraId="3334CC5A"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Ley 1450 de 2011: «Artículo 32. Parágrafo 2°. Sin perjuicio de lo dispuesto en los artículos 5 y 6 de la Ley 1150 de 2007, para que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4">
    <w:p w14:paraId="0B906BB8"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p>
    <w:p w14:paraId="3E812F36"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Pr>
          <w:rFonts w:ascii="Arial" w:eastAsia="Arial" w:hAnsi="Arial" w:cs="Arial"/>
          <w:color w:val="000000"/>
          <w:sz w:val="19"/>
          <w:szCs w:val="19"/>
        </w:rPr>
        <w:t>Mipymes</w:t>
      </w:r>
      <w:proofErr w:type="spellEnd"/>
      <w:r>
        <w:rPr>
          <w:rFonts w:ascii="Arial" w:eastAsia="Arial" w:hAnsi="Arial" w:cs="Arial"/>
          <w:color w:val="000000"/>
          <w:sz w:val="19"/>
          <w:szCs w:val="19"/>
        </w:rPr>
        <w:t xml:space="preserve"> del ámbito municipal o departamental correspondiente al de la ejecución del contrato».</w:t>
      </w:r>
    </w:p>
    <w:p w14:paraId="7CFCFB63"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15">
    <w:p w14:paraId="1044FDD4"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Cfr. Concepto emitido en el radicado 4201913000005674, dictado el 27 de septiembre de 2019.</w:t>
      </w:r>
    </w:p>
    <w:p w14:paraId="41CA610B"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ED637" w14:textId="77777777" w:rsidR="00E27BDF" w:rsidRDefault="006C0DA8">
    <w:pPr>
      <w:pBdr>
        <w:top w:val="nil"/>
        <w:left w:val="nil"/>
        <w:bottom w:val="nil"/>
        <w:right w:val="nil"/>
        <w:between w:val="nil"/>
      </w:pBdr>
      <w:tabs>
        <w:tab w:val="center" w:pos="4252"/>
        <w:tab w:val="right" w:pos="8504"/>
      </w:tabs>
      <w:rPr>
        <w:color w:val="000000"/>
      </w:rPr>
    </w:pPr>
    <w:r>
      <w:rPr>
        <w:noProof/>
        <w:lang w:val="en-US" w:eastAsia="en-US"/>
      </w:rPr>
      <w:drawing>
        <wp:anchor distT="0" distB="0" distL="114300" distR="114300" simplePos="0" relativeHeight="251658240" behindDoc="0" locked="0" layoutInCell="1" hidden="0" allowOverlap="1" wp14:anchorId="3A81499C" wp14:editId="0CF1BCE4">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011DDC"/>
    <w:multiLevelType w:val="multilevel"/>
    <w:tmpl w:val="6DDE7706"/>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DF"/>
    <w:rsid w:val="00023405"/>
    <w:rsid w:val="00096B16"/>
    <w:rsid w:val="000973C9"/>
    <w:rsid w:val="00156DC9"/>
    <w:rsid w:val="0016722F"/>
    <w:rsid w:val="001851BE"/>
    <w:rsid w:val="001B218A"/>
    <w:rsid w:val="001E2D51"/>
    <w:rsid w:val="0020643E"/>
    <w:rsid w:val="00234CD2"/>
    <w:rsid w:val="00265428"/>
    <w:rsid w:val="00283D9B"/>
    <w:rsid w:val="00340E1E"/>
    <w:rsid w:val="00342184"/>
    <w:rsid w:val="00344A58"/>
    <w:rsid w:val="00345C31"/>
    <w:rsid w:val="00380953"/>
    <w:rsid w:val="003D6EAA"/>
    <w:rsid w:val="003E308C"/>
    <w:rsid w:val="00400462"/>
    <w:rsid w:val="00410227"/>
    <w:rsid w:val="00444BF9"/>
    <w:rsid w:val="00471720"/>
    <w:rsid w:val="00487C57"/>
    <w:rsid w:val="004B224F"/>
    <w:rsid w:val="00521C0D"/>
    <w:rsid w:val="005322A2"/>
    <w:rsid w:val="00577C31"/>
    <w:rsid w:val="005A73DD"/>
    <w:rsid w:val="005B1D18"/>
    <w:rsid w:val="00667293"/>
    <w:rsid w:val="006A1655"/>
    <w:rsid w:val="006B1BA1"/>
    <w:rsid w:val="006C0DA8"/>
    <w:rsid w:val="007041E6"/>
    <w:rsid w:val="00752C35"/>
    <w:rsid w:val="007653CD"/>
    <w:rsid w:val="007A4140"/>
    <w:rsid w:val="007E2F69"/>
    <w:rsid w:val="007F5838"/>
    <w:rsid w:val="00813E74"/>
    <w:rsid w:val="00820724"/>
    <w:rsid w:val="00843C86"/>
    <w:rsid w:val="0091566F"/>
    <w:rsid w:val="009660DB"/>
    <w:rsid w:val="00A30582"/>
    <w:rsid w:val="00A327F9"/>
    <w:rsid w:val="00A54A41"/>
    <w:rsid w:val="00A567C0"/>
    <w:rsid w:val="00A67F5F"/>
    <w:rsid w:val="00A82150"/>
    <w:rsid w:val="00AA1772"/>
    <w:rsid w:val="00AB186F"/>
    <w:rsid w:val="00AC5716"/>
    <w:rsid w:val="00B076A4"/>
    <w:rsid w:val="00B10C9C"/>
    <w:rsid w:val="00B45CA9"/>
    <w:rsid w:val="00B46C78"/>
    <w:rsid w:val="00BB77BF"/>
    <w:rsid w:val="00BC2B94"/>
    <w:rsid w:val="00C422FF"/>
    <w:rsid w:val="00C5309F"/>
    <w:rsid w:val="00D00AC2"/>
    <w:rsid w:val="00D35515"/>
    <w:rsid w:val="00DB3E6A"/>
    <w:rsid w:val="00DD4145"/>
    <w:rsid w:val="00E27BDF"/>
    <w:rsid w:val="00E4260B"/>
    <w:rsid w:val="00E54CD2"/>
    <w:rsid w:val="00E737A2"/>
    <w:rsid w:val="00EA2D8B"/>
    <w:rsid w:val="00ED3D3F"/>
    <w:rsid w:val="00F22099"/>
    <w:rsid w:val="00F40E78"/>
    <w:rsid w:val="00F82631"/>
    <w:rsid w:val="00F878C8"/>
    <w:rsid w:val="00FB180B"/>
    <w:rsid w:val="00FD49F0"/>
    <w:rsid w:val="00FE08B2"/>
    <w:rsid w:val="00FF0D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B1D8"/>
  <w15:docId w15:val="{17415381-3A80-9F4C-A81C-951A17DE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0973C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973C9"/>
    <w:rPr>
      <w:rFonts w:ascii="Times New Roman" w:hAnsi="Times New Roman" w:cs="Times New Roman"/>
      <w:sz w:val="18"/>
      <w:szCs w:val="18"/>
    </w:rPr>
  </w:style>
  <w:style w:type="paragraph" w:styleId="Asuntodelcomentario">
    <w:name w:val="annotation subject"/>
    <w:basedOn w:val="Textocomentario"/>
    <w:next w:val="Textocomentario"/>
    <w:link w:val="AsuntodelcomentarioCar"/>
    <w:uiPriority w:val="99"/>
    <w:semiHidden/>
    <w:unhideWhenUsed/>
    <w:rsid w:val="00400462"/>
    <w:rPr>
      <w:b/>
      <w:bCs/>
    </w:rPr>
  </w:style>
  <w:style w:type="character" w:customStyle="1" w:styleId="AsuntodelcomentarioCar">
    <w:name w:val="Asunto del comentario Car"/>
    <w:basedOn w:val="TextocomentarioCar"/>
    <w:link w:val="Asuntodelcomentario"/>
    <w:uiPriority w:val="99"/>
    <w:semiHidden/>
    <w:rsid w:val="00400462"/>
    <w:rPr>
      <w:b/>
      <w:bCs/>
      <w:sz w:val="20"/>
      <w:szCs w:val="20"/>
    </w:rPr>
  </w:style>
  <w:style w:type="paragraph" w:styleId="Encabezado">
    <w:name w:val="header"/>
    <w:basedOn w:val="Normal"/>
    <w:link w:val="EncabezadoCar"/>
    <w:uiPriority w:val="99"/>
    <w:unhideWhenUsed/>
    <w:rsid w:val="00E737A2"/>
    <w:pPr>
      <w:tabs>
        <w:tab w:val="center" w:pos="4419"/>
        <w:tab w:val="right" w:pos="8838"/>
      </w:tabs>
    </w:pPr>
  </w:style>
  <w:style w:type="character" w:customStyle="1" w:styleId="EncabezadoCar">
    <w:name w:val="Encabezado Car"/>
    <w:basedOn w:val="Fuentedeprrafopredeter"/>
    <w:link w:val="Encabezado"/>
    <w:uiPriority w:val="99"/>
    <w:rsid w:val="00E737A2"/>
  </w:style>
  <w:style w:type="paragraph" w:styleId="Piedepgina">
    <w:name w:val="footer"/>
    <w:basedOn w:val="Normal"/>
    <w:link w:val="PiedepginaCar"/>
    <w:uiPriority w:val="99"/>
    <w:unhideWhenUsed/>
    <w:rsid w:val="00E737A2"/>
    <w:pPr>
      <w:tabs>
        <w:tab w:val="center" w:pos="4419"/>
        <w:tab w:val="right" w:pos="8838"/>
      </w:tabs>
    </w:pPr>
  </w:style>
  <w:style w:type="character" w:customStyle="1" w:styleId="PiedepginaCar">
    <w:name w:val="Pie de página Car"/>
    <w:basedOn w:val="Fuentedeprrafopredeter"/>
    <w:link w:val="Piedepgina"/>
    <w:uiPriority w:val="99"/>
    <w:rsid w:val="00E737A2"/>
  </w:style>
  <w:style w:type="paragraph" w:customStyle="1" w:styleId="Default">
    <w:name w:val="Default"/>
    <w:rsid w:val="00FE08B2"/>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8355">
      <w:bodyDiv w:val="1"/>
      <w:marLeft w:val="0"/>
      <w:marRight w:val="0"/>
      <w:marTop w:val="0"/>
      <w:marBottom w:val="0"/>
      <w:divBdr>
        <w:top w:val="none" w:sz="0" w:space="0" w:color="auto"/>
        <w:left w:val="none" w:sz="0" w:space="0" w:color="auto"/>
        <w:bottom w:val="none" w:sz="0" w:space="0" w:color="auto"/>
        <w:right w:val="none" w:sz="0" w:space="0" w:color="auto"/>
      </w:divBdr>
      <w:divsChild>
        <w:div w:id="1551696032">
          <w:marLeft w:val="0"/>
          <w:marRight w:val="0"/>
          <w:marTop w:val="0"/>
          <w:marBottom w:val="0"/>
          <w:divBdr>
            <w:top w:val="none" w:sz="0" w:space="0" w:color="auto"/>
            <w:left w:val="none" w:sz="0" w:space="0" w:color="auto"/>
            <w:bottom w:val="none" w:sz="0" w:space="0" w:color="auto"/>
            <w:right w:val="none" w:sz="0" w:space="0" w:color="auto"/>
          </w:divBdr>
          <w:divsChild>
            <w:div w:id="279841929">
              <w:marLeft w:val="0"/>
              <w:marRight w:val="0"/>
              <w:marTop w:val="0"/>
              <w:marBottom w:val="0"/>
              <w:divBdr>
                <w:top w:val="none" w:sz="0" w:space="0" w:color="auto"/>
                <w:left w:val="none" w:sz="0" w:space="0" w:color="auto"/>
                <w:bottom w:val="none" w:sz="0" w:space="0" w:color="auto"/>
                <w:right w:val="none" w:sz="0" w:space="0" w:color="auto"/>
              </w:divBdr>
              <w:divsChild>
                <w:div w:id="12406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536051">
      <w:bodyDiv w:val="1"/>
      <w:marLeft w:val="0"/>
      <w:marRight w:val="0"/>
      <w:marTop w:val="0"/>
      <w:marBottom w:val="0"/>
      <w:divBdr>
        <w:top w:val="none" w:sz="0" w:space="0" w:color="auto"/>
        <w:left w:val="none" w:sz="0" w:space="0" w:color="auto"/>
        <w:bottom w:val="none" w:sz="0" w:space="0" w:color="auto"/>
        <w:right w:val="none" w:sz="0" w:space="0" w:color="auto"/>
      </w:divBdr>
      <w:divsChild>
        <w:div w:id="1229417840">
          <w:marLeft w:val="0"/>
          <w:marRight w:val="0"/>
          <w:marTop w:val="0"/>
          <w:marBottom w:val="0"/>
          <w:divBdr>
            <w:top w:val="none" w:sz="0" w:space="0" w:color="auto"/>
            <w:left w:val="none" w:sz="0" w:space="0" w:color="auto"/>
            <w:bottom w:val="none" w:sz="0" w:space="0" w:color="auto"/>
            <w:right w:val="none" w:sz="0" w:space="0" w:color="auto"/>
          </w:divBdr>
          <w:divsChild>
            <w:div w:id="618335925">
              <w:marLeft w:val="0"/>
              <w:marRight w:val="0"/>
              <w:marTop w:val="0"/>
              <w:marBottom w:val="0"/>
              <w:divBdr>
                <w:top w:val="none" w:sz="0" w:space="0" w:color="auto"/>
                <w:left w:val="none" w:sz="0" w:space="0" w:color="auto"/>
                <w:bottom w:val="none" w:sz="0" w:space="0" w:color="auto"/>
                <w:right w:val="none" w:sz="0" w:space="0" w:color="auto"/>
              </w:divBdr>
              <w:divsChild>
                <w:div w:id="1656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971330">
      <w:bodyDiv w:val="1"/>
      <w:marLeft w:val="0"/>
      <w:marRight w:val="0"/>
      <w:marTop w:val="0"/>
      <w:marBottom w:val="0"/>
      <w:divBdr>
        <w:top w:val="none" w:sz="0" w:space="0" w:color="auto"/>
        <w:left w:val="none" w:sz="0" w:space="0" w:color="auto"/>
        <w:bottom w:val="none" w:sz="0" w:space="0" w:color="auto"/>
        <w:right w:val="none" w:sz="0" w:space="0" w:color="auto"/>
      </w:divBdr>
      <w:divsChild>
        <w:div w:id="1688866603">
          <w:marLeft w:val="0"/>
          <w:marRight w:val="0"/>
          <w:marTop w:val="0"/>
          <w:marBottom w:val="0"/>
          <w:divBdr>
            <w:top w:val="none" w:sz="0" w:space="0" w:color="auto"/>
            <w:left w:val="none" w:sz="0" w:space="0" w:color="auto"/>
            <w:bottom w:val="none" w:sz="0" w:space="0" w:color="auto"/>
            <w:right w:val="none" w:sz="0" w:space="0" w:color="auto"/>
          </w:divBdr>
          <w:divsChild>
            <w:div w:id="1611862924">
              <w:marLeft w:val="0"/>
              <w:marRight w:val="0"/>
              <w:marTop w:val="0"/>
              <w:marBottom w:val="0"/>
              <w:divBdr>
                <w:top w:val="none" w:sz="0" w:space="0" w:color="auto"/>
                <w:left w:val="none" w:sz="0" w:space="0" w:color="auto"/>
                <w:bottom w:val="none" w:sz="0" w:space="0" w:color="auto"/>
                <w:right w:val="none" w:sz="0" w:space="0" w:color="auto"/>
              </w:divBdr>
              <w:divsChild>
                <w:div w:id="4138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EE5510-9DF7-442C-B9B0-A2DA9488BF79}">
  <ds:schemaRefs>
    <ds:schemaRef ds:uri="http://schemas.microsoft.com/sharepoint/v3/contenttype/forms"/>
  </ds:schemaRefs>
</ds:datastoreItem>
</file>

<file path=customXml/itemProps2.xml><?xml version="1.0" encoding="utf-8"?>
<ds:datastoreItem xmlns:ds="http://schemas.openxmlformats.org/officeDocument/2006/customXml" ds:itemID="{5CB9A1DD-A426-46A7-A69B-34BB156A2BC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5D3D2B8-7248-488C-B702-266D21EE6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6637</Words>
  <Characters>36504</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Padron</dc:creator>
  <cp:lastModifiedBy>Carlos Mario Castrillón Endo</cp:lastModifiedBy>
  <cp:revision>5</cp:revision>
  <dcterms:created xsi:type="dcterms:W3CDTF">2020-08-19T15:45:00Z</dcterms:created>
  <dcterms:modified xsi:type="dcterms:W3CDTF">2020-08-19T16:35:00Z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