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3A675" w14:textId="77777777" w:rsidR="004F551E" w:rsidRPr="004F551E" w:rsidRDefault="004F551E" w:rsidP="004F551E">
      <w:pPr>
        <w:jc w:val="both"/>
        <w:rPr>
          <w:rFonts w:ascii="Verdana" w:eastAsia="Geomanist Light" w:hAnsi="Verdana" w:cs="Arial"/>
          <w:b/>
          <w:bCs/>
          <w:color w:val="000000"/>
          <w:sz w:val="22"/>
          <w:szCs w:val="22"/>
        </w:rPr>
      </w:pPr>
      <w:r w:rsidRPr="004F551E">
        <w:rPr>
          <w:rFonts w:ascii="Verdana" w:eastAsia="Geomanist Light" w:hAnsi="Verdana" w:cs="Arial"/>
          <w:b/>
          <w:bCs/>
          <w:color w:val="000000"/>
          <w:sz w:val="22"/>
          <w:szCs w:val="22"/>
        </w:rPr>
        <w:t>LEY DE EMPRENDIMIENTO – Ley 2069 de 2020 – Finalidad</w:t>
      </w:r>
    </w:p>
    <w:p w14:paraId="6FA5C78F" w14:textId="77777777" w:rsidR="004F551E" w:rsidRPr="004F551E" w:rsidRDefault="004F551E" w:rsidP="004F551E">
      <w:pPr>
        <w:jc w:val="both"/>
        <w:rPr>
          <w:rFonts w:ascii="Verdana" w:eastAsia="Geomanist Light" w:hAnsi="Verdana" w:cs="Arial"/>
          <w:b/>
          <w:bCs/>
          <w:color w:val="000000"/>
          <w:sz w:val="22"/>
          <w:szCs w:val="22"/>
        </w:rPr>
      </w:pPr>
    </w:p>
    <w:p w14:paraId="4B9E3F3C" w14:textId="03C8D61E" w:rsidR="004F551E" w:rsidRPr="004F551E" w:rsidRDefault="004F551E" w:rsidP="004F551E">
      <w:pPr>
        <w:jc w:val="both"/>
        <w:rPr>
          <w:rFonts w:ascii="Verdana" w:eastAsia="Geomanist Light" w:hAnsi="Verdana" w:cs="Arial"/>
          <w:color w:val="000000"/>
          <w:sz w:val="22"/>
          <w:szCs w:val="22"/>
        </w:rPr>
      </w:pPr>
      <w:r w:rsidRPr="004F551E">
        <w:rPr>
          <w:rFonts w:ascii="Verdana" w:eastAsia="Geomanist Light" w:hAnsi="Verdana" w:cs="Arial"/>
          <w:color w:val="000000"/>
          <w:sz w:val="22"/>
          <w:szCs w:val="22"/>
        </w:rPr>
        <w:t xml:space="preserve">[...] es importante señalar que, como dispone el artículo 1, aquella </w:t>
      </w:r>
      <w:r>
        <w:rPr>
          <w:rFonts w:ascii="Verdana" w:eastAsia="Geomanist Light" w:hAnsi="Verdana" w:cs="Arial"/>
          <w:color w:val="000000"/>
          <w:sz w:val="22"/>
          <w:szCs w:val="22"/>
        </w:rPr>
        <w:t>“</w:t>
      </w:r>
      <w:r w:rsidRPr="004F551E">
        <w:rPr>
          <w:rFonts w:ascii="Verdana" w:eastAsia="Geomanist Light" w:hAnsi="Verdana" w:cs="Arial"/>
          <w:color w:val="000000"/>
          <w:sz w:val="22"/>
          <w:szCs w:val="22"/>
        </w:rPr>
        <w:t>tiene por objeto establecer un marco regulatorio que propicie el emprendimiento y el crecimiento,</w:t>
      </w:r>
      <w:r>
        <w:rPr>
          <w:rFonts w:ascii="Verdana" w:eastAsia="Geomanist Light" w:hAnsi="Verdana" w:cs="Arial"/>
          <w:color w:val="000000"/>
          <w:sz w:val="22"/>
          <w:szCs w:val="22"/>
        </w:rPr>
        <w:t xml:space="preserve"> </w:t>
      </w:r>
      <w:r w:rsidRPr="004F551E">
        <w:rPr>
          <w:rFonts w:ascii="Verdana" w:eastAsia="Geomanist Light" w:hAnsi="Verdana" w:cs="Arial"/>
          <w:color w:val="000000"/>
          <w:sz w:val="22"/>
          <w:szCs w:val="22"/>
        </w:rPr>
        <w:t>consolidación y sostenibilidad de las empresas, con el fin de aumentar el bienestar social y generar equidad</w:t>
      </w:r>
      <w:r>
        <w:rPr>
          <w:rFonts w:ascii="Verdana" w:eastAsia="Geomanist Light" w:hAnsi="Verdana" w:cs="Arial"/>
          <w:color w:val="000000"/>
          <w:sz w:val="22"/>
          <w:szCs w:val="22"/>
        </w:rPr>
        <w:t>”</w:t>
      </w:r>
      <w:r w:rsidRPr="004F551E">
        <w:rPr>
          <w:rFonts w:ascii="Verdana" w:eastAsia="Geomanist Light" w:hAnsi="Verdana" w:cs="Arial"/>
          <w:color w:val="000000"/>
          <w:sz w:val="22"/>
          <w:szCs w:val="22"/>
        </w:rPr>
        <w:t xml:space="preserve">. </w:t>
      </w:r>
    </w:p>
    <w:p w14:paraId="10ECCB93" w14:textId="015FFAD2" w:rsidR="004F551E" w:rsidRDefault="004F551E" w:rsidP="004F551E">
      <w:pPr>
        <w:jc w:val="both"/>
        <w:rPr>
          <w:rFonts w:ascii="Verdana" w:eastAsia="Geomanist Light" w:hAnsi="Verdana" w:cs="Arial"/>
          <w:color w:val="000000"/>
          <w:sz w:val="22"/>
          <w:szCs w:val="22"/>
        </w:rPr>
      </w:pPr>
      <w:r w:rsidRPr="004F551E">
        <w:rPr>
          <w:rFonts w:ascii="Verdana" w:eastAsia="Geomanist Light" w:hAnsi="Verdana" w:cs="Arial"/>
          <w:color w:val="000000"/>
          <w:sz w:val="22"/>
          <w:szCs w:val="22"/>
        </w:rPr>
        <w:t xml:space="preserve">Esto, a partir de </w:t>
      </w:r>
      <w:r>
        <w:rPr>
          <w:rFonts w:ascii="Verdana" w:eastAsia="Geomanist Light" w:hAnsi="Verdana" w:cs="Arial"/>
          <w:color w:val="000000"/>
          <w:sz w:val="22"/>
          <w:szCs w:val="22"/>
        </w:rPr>
        <w:t>“</w:t>
      </w:r>
      <w:r w:rsidRPr="004F551E">
        <w:rPr>
          <w:rFonts w:ascii="Verdana" w:eastAsia="Geomanist Light" w:hAnsi="Verdana" w:cs="Arial"/>
          <w:color w:val="000000"/>
          <w:sz w:val="22"/>
          <w:szCs w:val="22"/>
        </w:rPr>
        <w:t>[…] un enfoque regionalizado de acuerdo con las realidades socioeconómicas de cada región</w:t>
      </w:r>
      <w:r>
        <w:rPr>
          <w:rFonts w:ascii="Verdana" w:eastAsia="Geomanist Light" w:hAnsi="Verdana" w:cs="Arial"/>
          <w:color w:val="000000"/>
          <w:sz w:val="22"/>
          <w:szCs w:val="22"/>
        </w:rPr>
        <w:t>”</w:t>
      </w:r>
      <w:r w:rsidRPr="004F551E">
        <w:rPr>
          <w:rFonts w:ascii="Verdana" w:eastAsia="Geomanist Light" w:hAnsi="Verdana" w:cs="Arial"/>
          <w:color w:val="000000"/>
          <w:sz w:val="22"/>
          <w:szCs w:val="22"/>
        </w:rPr>
        <w:t>. En desarrollo de esta finalidad, se establecen medidas de apoyo para las micro, pequeñas y medianas empresas –</w:t>
      </w:r>
      <w:proofErr w:type="spellStart"/>
      <w:r w:rsidRPr="004F551E">
        <w:rPr>
          <w:rFonts w:ascii="Verdana" w:eastAsia="Geomanist Light" w:hAnsi="Verdana" w:cs="Arial"/>
          <w:color w:val="000000"/>
          <w:sz w:val="22"/>
          <w:szCs w:val="22"/>
        </w:rPr>
        <w:t>mipymes</w:t>
      </w:r>
      <w:proofErr w:type="spellEnd"/>
      <w:r w:rsidRPr="004F551E">
        <w:rPr>
          <w:rFonts w:ascii="Verdana" w:eastAsia="Geomanist Light" w:hAnsi="Verdana" w:cs="Arial"/>
          <w:color w:val="000000"/>
          <w:sz w:val="22"/>
          <w:szCs w:val="22"/>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D6E466B" w14:textId="77777777" w:rsidR="004F551E" w:rsidRDefault="004F551E" w:rsidP="004F551E">
      <w:pPr>
        <w:jc w:val="both"/>
        <w:rPr>
          <w:rFonts w:ascii="Verdana" w:eastAsia="Geomanist Light" w:hAnsi="Verdana" w:cs="Arial"/>
          <w:color w:val="000000"/>
          <w:sz w:val="22"/>
          <w:szCs w:val="22"/>
        </w:rPr>
      </w:pPr>
    </w:p>
    <w:p w14:paraId="6C0D7330" w14:textId="77777777" w:rsidR="004F551E" w:rsidRPr="004F551E" w:rsidRDefault="004F551E" w:rsidP="004F551E">
      <w:pPr>
        <w:jc w:val="both"/>
        <w:rPr>
          <w:rFonts w:ascii="Verdana" w:eastAsia="Geomanist Light" w:hAnsi="Verdana" w:cs="Arial"/>
          <w:b/>
          <w:color w:val="000000"/>
          <w:sz w:val="22"/>
          <w:szCs w:val="22"/>
          <w:lang w:val="es-ES"/>
        </w:rPr>
      </w:pPr>
      <w:r w:rsidRPr="004F551E">
        <w:rPr>
          <w:rFonts w:ascii="Verdana" w:eastAsia="Geomanist Light" w:hAnsi="Verdana" w:cs="Arial"/>
          <w:b/>
          <w:color w:val="000000"/>
          <w:sz w:val="22"/>
          <w:szCs w:val="22"/>
          <w:lang w:val="es-ES"/>
        </w:rPr>
        <w:t>DECRETO 1860 DE 2021 – Vigencia</w:t>
      </w:r>
    </w:p>
    <w:p w14:paraId="5B08D7BD" w14:textId="77777777" w:rsidR="004F551E" w:rsidRPr="004F551E" w:rsidRDefault="004F551E" w:rsidP="004F551E">
      <w:pPr>
        <w:jc w:val="both"/>
        <w:rPr>
          <w:rFonts w:ascii="Verdana" w:eastAsia="Geomanist Light" w:hAnsi="Verdana" w:cs="Arial"/>
          <w:b/>
          <w:color w:val="000000"/>
          <w:sz w:val="22"/>
          <w:szCs w:val="22"/>
          <w:lang w:val="es-ES"/>
        </w:rPr>
      </w:pPr>
    </w:p>
    <w:p w14:paraId="7D495CA0" w14:textId="77777777" w:rsidR="004F551E" w:rsidRPr="004F551E" w:rsidRDefault="004F551E" w:rsidP="004F551E">
      <w:pPr>
        <w:jc w:val="both"/>
        <w:rPr>
          <w:rFonts w:ascii="Verdana" w:eastAsia="Geomanist Light" w:hAnsi="Verdana" w:cs="Arial"/>
          <w:bCs/>
          <w:color w:val="000000"/>
          <w:sz w:val="22"/>
          <w:szCs w:val="22"/>
        </w:rPr>
      </w:pPr>
      <w:r w:rsidRPr="004F551E">
        <w:rPr>
          <w:rFonts w:ascii="Verdana" w:eastAsia="Geomanist Light" w:hAnsi="Verdana" w:cs="Arial"/>
          <w:color w:val="000000"/>
          <w:sz w:val="22"/>
          <w:szCs w:val="22"/>
        </w:rPr>
        <w:t>[…] 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comenzó una vez transcurridos tres (3) meses contados a partir de entonces, en los procesos cuyos avisos de convocatorias, invitaciones o documentos equivalentes –según corresponda– sean publicados con posterioridad a dicho momento, es decir, a partir del 24 de marzo de 2022, por lo que actualmente esta es la regulación vigente.</w:t>
      </w:r>
    </w:p>
    <w:p w14:paraId="027366B5" w14:textId="77777777" w:rsidR="004F551E" w:rsidRPr="004F551E" w:rsidRDefault="004F551E" w:rsidP="004F551E">
      <w:pPr>
        <w:jc w:val="both"/>
        <w:rPr>
          <w:rFonts w:ascii="Verdana" w:eastAsia="Geomanist Light" w:hAnsi="Verdana" w:cs="Arial"/>
          <w:b/>
          <w:color w:val="000000"/>
          <w:sz w:val="22"/>
          <w:szCs w:val="22"/>
          <w:lang w:val="es-ES"/>
        </w:rPr>
      </w:pPr>
    </w:p>
    <w:p w14:paraId="2037D58B" w14:textId="77777777" w:rsidR="004F551E" w:rsidRPr="004F551E" w:rsidRDefault="004F551E" w:rsidP="004F551E">
      <w:pPr>
        <w:jc w:val="both"/>
        <w:rPr>
          <w:rFonts w:ascii="Verdana" w:eastAsia="Geomanist Light" w:hAnsi="Verdana" w:cs="Arial"/>
          <w:b/>
          <w:color w:val="000000"/>
          <w:sz w:val="22"/>
          <w:szCs w:val="22"/>
          <w:lang w:val="es-ES_tradnl"/>
        </w:rPr>
      </w:pPr>
      <w:r w:rsidRPr="004F551E">
        <w:rPr>
          <w:rFonts w:ascii="Verdana" w:eastAsia="Geomanist Light" w:hAnsi="Verdana" w:cs="Arial"/>
          <w:b/>
          <w:color w:val="000000"/>
          <w:sz w:val="22"/>
          <w:szCs w:val="22"/>
          <w:lang w:val="es-ES"/>
        </w:rPr>
        <w:t xml:space="preserve">DECRETO 1860 DE 2021 – Emprendimientos y empresas de mujeres – Definición – Artículo 2.2.1.2.4.2.14 – Numeral 2 - </w:t>
      </w:r>
      <w:r w:rsidRPr="004F551E">
        <w:rPr>
          <w:rFonts w:ascii="Verdana" w:eastAsia="Geomanist Light" w:hAnsi="Verdana" w:cs="Arial"/>
          <w:b/>
          <w:color w:val="000000"/>
          <w:sz w:val="22"/>
          <w:szCs w:val="22"/>
          <w:lang w:val="es-ES_tradnl"/>
        </w:rPr>
        <w:t>Acreditación</w:t>
      </w:r>
    </w:p>
    <w:p w14:paraId="1907FA49" w14:textId="77777777" w:rsidR="004F551E" w:rsidRPr="004F551E" w:rsidRDefault="004F551E" w:rsidP="004F551E">
      <w:pPr>
        <w:jc w:val="both"/>
        <w:rPr>
          <w:rFonts w:ascii="Verdana" w:eastAsia="Geomanist Light" w:hAnsi="Verdana" w:cs="Arial"/>
          <w:b/>
          <w:color w:val="000000"/>
          <w:sz w:val="22"/>
          <w:szCs w:val="22"/>
          <w:lang w:val="es-ES_tradnl"/>
        </w:rPr>
      </w:pPr>
    </w:p>
    <w:p w14:paraId="62198341" w14:textId="77777777" w:rsidR="004F551E" w:rsidRPr="004F551E" w:rsidRDefault="004F551E" w:rsidP="004F551E">
      <w:pPr>
        <w:jc w:val="both"/>
        <w:rPr>
          <w:rFonts w:ascii="Verdana" w:eastAsia="Geomanist Light" w:hAnsi="Verdana" w:cs="Arial"/>
          <w:color w:val="000000"/>
          <w:sz w:val="22"/>
          <w:szCs w:val="22"/>
          <w:lang w:val="es-ES_tradnl"/>
        </w:rPr>
      </w:pPr>
      <w:r w:rsidRPr="004F551E">
        <w:rPr>
          <w:rFonts w:ascii="Verdana" w:eastAsia="Geomanist Light" w:hAnsi="Verdana" w:cs="Arial"/>
          <w:color w:val="000000"/>
          <w:sz w:val="22"/>
          <w:szCs w:val="22"/>
          <w:lang w:val="es-ES_tradnl"/>
        </w:rPr>
        <w:t xml:space="preserve">[…]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 </w:t>
      </w:r>
    </w:p>
    <w:p w14:paraId="07CD526C" w14:textId="77777777" w:rsidR="004F551E" w:rsidRPr="004F551E" w:rsidRDefault="004F551E" w:rsidP="68193490">
      <w:pPr>
        <w:jc w:val="both"/>
        <w:rPr>
          <w:rFonts w:ascii="Verdana" w:eastAsia="Geomanist Light" w:hAnsi="Verdana" w:cs="Arial"/>
          <w:color w:val="000000"/>
          <w:sz w:val="22"/>
          <w:szCs w:val="22"/>
          <w:lang w:val="es-ES"/>
        </w:rPr>
      </w:pPr>
      <w:r w:rsidRPr="68193490">
        <w:rPr>
          <w:rFonts w:ascii="Verdana" w:eastAsia="Geomanist Light" w:hAnsi="Verdana" w:cs="Arial"/>
          <w:color w:val="000000" w:themeColor="text1"/>
          <w:sz w:val="22"/>
          <w:szCs w:val="22"/>
          <w:lang w:val="es-ES"/>
        </w:rPr>
        <w:t xml:space="preserve">[…]  tratándose de personas jurídicas,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los empleos del nivel directivo sean ejercidos por mujeres, </w:t>
      </w:r>
      <w:proofErr w:type="spellStart"/>
      <w:r w:rsidRPr="68193490">
        <w:rPr>
          <w:rFonts w:ascii="Verdana" w:eastAsia="Geomanist Light" w:hAnsi="Verdana" w:cs="Arial"/>
          <w:color w:val="000000" w:themeColor="text1"/>
          <w:sz w:val="22"/>
          <w:szCs w:val="22"/>
          <w:lang w:val="es-ES"/>
        </w:rPr>
        <w:t>ii</w:t>
      </w:r>
      <w:proofErr w:type="spellEnd"/>
      <w:r w:rsidRPr="68193490">
        <w:rPr>
          <w:rFonts w:ascii="Verdana" w:eastAsia="Geomanist Light" w:hAnsi="Verdana" w:cs="Arial"/>
          <w:color w:val="000000" w:themeColor="text1"/>
          <w:sz w:val="22"/>
          <w:szCs w:val="22"/>
          <w:lang w:val="es-ES"/>
        </w:rPr>
        <w:t xml:space="preserve">) estas </w:t>
      </w:r>
      <w:r w:rsidRPr="68193490">
        <w:rPr>
          <w:rFonts w:ascii="Verdana" w:eastAsia="Geomanist Light" w:hAnsi="Verdana" w:cs="Arial"/>
          <w:color w:val="000000" w:themeColor="text1"/>
          <w:sz w:val="22"/>
          <w:szCs w:val="22"/>
          <w:lang w:val="es-ES"/>
        </w:rPr>
        <w:lastRenderedPageBreak/>
        <w:t xml:space="preserve">hayan estado vinculadas laboralmente en dichos cargos durante y </w:t>
      </w:r>
      <w:proofErr w:type="spellStart"/>
      <w:r w:rsidRPr="68193490">
        <w:rPr>
          <w:rFonts w:ascii="Verdana" w:eastAsia="Geomanist Light" w:hAnsi="Verdana" w:cs="Arial"/>
          <w:color w:val="000000" w:themeColor="text1"/>
          <w:sz w:val="22"/>
          <w:szCs w:val="22"/>
          <w:lang w:val="es-ES"/>
        </w:rPr>
        <w:t>iii</w:t>
      </w:r>
      <w:proofErr w:type="spellEnd"/>
      <w:r w:rsidRPr="68193490">
        <w:rPr>
          <w:rFonts w:ascii="Verdana" w:eastAsia="Geomanist Light" w:hAnsi="Verdana" w:cs="Arial"/>
          <w:color w:val="000000" w:themeColor="text1"/>
          <w:sz w:val="22"/>
          <w:szCs w:val="22"/>
          <w:lang w:val="es-ES"/>
        </w:rPr>
        <w:t>) que esta vinculación haya permanecido, al menos, el año inmediato anterior a la fecha del cierre del proceso de selección.</w:t>
      </w:r>
    </w:p>
    <w:p w14:paraId="6ADFABBC" w14:textId="77777777" w:rsidR="004F551E" w:rsidRPr="004F551E" w:rsidRDefault="004F551E" w:rsidP="68193490">
      <w:pPr>
        <w:jc w:val="both"/>
        <w:rPr>
          <w:rFonts w:ascii="Verdana" w:eastAsia="Geomanist Light" w:hAnsi="Verdana" w:cs="Arial"/>
          <w:color w:val="000000"/>
          <w:sz w:val="22"/>
          <w:szCs w:val="22"/>
          <w:lang w:val="es-ES"/>
        </w:rPr>
      </w:pPr>
      <w:r w:rsidRPr="68193490">
        <w:rPr>
          <w:rFonts w:ascii="Verdana" w:eastAsia="Geomanist Light" w:hAnsi="Verdana" w:cs="Arial"/>
          <w:color w:val="000000" w:themeColor="text1"/>
          <w:sz w:val="22"/>
          <w:szCs w:val="22"/>
          <w:lang w:val="es-ES"/>
        </w:rPr>
        <w:t xml:space="preserve">[…] el artículo 2.2.1.2.4.2.14 del Decreto 1082 de 2015, adicionado por el Decreto 1860 de 2021, reglamentó </w:t>
      </w:r>
      <w:proofErr w:type="gramStart"/>
      <w:r w:rsidRPr="68193490">
        <w:rPr>
          <w:rFonts w:ascii="Verdana" w:eastAsia="Geomanist Light" w:hAnsi="Verdana" w:cs="Arial"/>
          <w:color w:val="000000" w:themeColor="text1"/>
          <w:sz w:val="22"/>
          <w:szCs w:val="22"/>
          <w:lang w:val="es-ES"/>
        </w:rPr>
        <w:t>in extenso</w:t>
      </w:r>
      <w:proofErr w:type="gramEnd"/>
      <w:r w:rsidRPr="68193490">
        <w:rPr>
          <w:rFonts w:ascii="Verdana" w:eastAsia="Geomanist Light" w:hAnsi="Verdana" w:cs="Arial"/>
          <w:color w:val="000000" w:themeColor="text1"/>
          <w:sz w:val="22"/>
          <w:szCs w:val="22"/>
          <w:lang w:val="es-ES"/>
        </w:rPr>
        <w:t xml:space="preserve">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p>
    <w:p w14:paraId="6185B90C" w14:textId="77777777" w:rsidR="004F551E" w:rsidRPr="004F551E" w:rsidRDefault="004F551E" w:rsidP="004F551E">
      <w:pPr>
        <w:jc w:val="both"/>
        <w:rPr>
          <w:rFonts w:ascii="Verdana" w:eastAsia="Geomanist Light" w:hAnsi="Verdana" w:cs="Arial"/>
          <w:color w:val="000000"/>
          <w:sz w:val="22"/>
          <w:szCs w:val="22"/>
        </w:rPr>
      </w:pPr>
    </w:p>
    <w:p w14:paraId="263B7943" w14:textId="77777777" w:rsidR="004F551E" w:rsidRDefault="004F551E" w:rsidP="004F551E">
      <w:pPr>
        <w:jc w:val="both"/>
        <w:rPr>
          <w:rFonts w:ascii="Verdana" w:eastAsia="Geomanist Light" w:hAnsi="Verdana" w:cs="Arial"/>
          <w:color w:val="000000"/>
          <w:lang w:val="es-MX"/>
        </w:rPr>
      </w:pPr>
    </w:p>
    <w:p w14:paraId="09B428DF" w14:textId="77777777" w:rsidR="004F551E" w:rsidRDefault="004F551E" w:rsidP="00C6766C">
      <w:pPr>
        <w:rPr>
          <w:rFonts w:ascii="Verdana" w:eastAsia="Geomanist Light" w:hAnsi="Verdana" w:cs="Arial"/>
          <w:color w:val="000000"/>
          <w:lang w:val="es-MX"/>
        </w:rPr>
      </w:pPr>
    </w:p>
    <w:p w14:paraId="4E12FB44" w14:textId="77777777" w:rsidR="004F551E" w:rsidRDefault="004F551E" w:rsidP="00C6766C">
      <w:pPr>
        <w:rPr>
          <w:rFonts w:ascii="Verdana" w:eastAsia="Geomanist Light" w:hAnsi="Verdana" w:cs="Arial"/>
          <w:color w:val="000000"/>
          <w:lang w:val="es-MX"/>
        </w:rPr>
      </w:pPr>
    </w:p>
    <w:p w14:paraId="766E35EB" w14:textId="77777777" w:rsidR="004F551E" w:rsidRDefault="004F551E" w:rsidP="00C6766C">
      <w:pPr>
        <w:rPr>
          <w:rFonts w:ascii="Verdana" w:eastAsia="Geomanist Light" w:hAnsi="Verdana" w:cs="Arial"/>
          <w:color w:val="000000"/>
          <w:lang w:val="es-MX"/>
        </w:rPr>
      </w:pPr>
    </w:p>
    <w:p w14:paraId="08C42DCA" w14:textId="77777777" w:rsidR="004F551E" w:rsidRDefault="004F551E" w:rsidP="00C6766C">
      <w:pPr>
        <w:rPr>
          <w:rFonts w:ascii="Verdana" w:eastAsia="Geomanist Light" w:hAnsi="Verdana" w:cs="Arial"/>
          <w:color w:val="000000"/>
          <w:lang w:val="es-MX"/>
        </w:rPr>
      </w:pPr>
    </w:p>
    <w:p w14:paraId="2707DD82" w14:textId="77777777" w:rsidR="004F551E" w:rsidRDefault="004F551E" w:rsidP="00C6766C">
      <w:pPr>
        <w:rPr>
          <w:rFonts w:ascii="Verdana" w:eastAsia="Geomanist Light" w:hAnsi="Verdana" w:cs="Arial"/>
          <w:color w:val="000000"/>
          <w:lang w:val="es-MX"/>
        </w:rPr>
      </w:pPr>
    </w:p>
    <w:p w14:paraId="13DC7C3D" w14:textId="77777777" w:rsidR="004F551E" w:rsidRDefault="004F551E" w:rsidP="00C6766C">
      <w:pPr>
        <w:rPr>
          <w:rFonts w:ascii="Verdana" w:eastAsia="Geomanist Light" w:hAnsi="Verdana" w:cs="Arial"/>
          <w:color w:val="000000"/>
          <w:lang w:val="es-MX"/>
        </w:rPr>
      </w:pPr>
    </w:p>
    <w:p w14:paraId="12AAC145" w14:textId="77777777" w:rsidR="004F551E" w:rsidRDefault="004F551E" w:rsidP="00C6766C">
      <w:pPr>
        <w:rPr>
          <w:rFonts w:ascii="Verdana" w:eastAsia="Geomanist Light" w:hAnsi="Verdana" w:cs="Arial"/>
          <w:color w:val="000000"/>
          <w:lang w:val="es-MX"/>
        </w:rPr>
      </w:pPr>
    </w:p>
    <w:p w14:paraId="181473F1" w14:textId="77777777" w:rsidR="004F551E" w:rsidRDefault="004F551E" w:rsidP="00C6766C">
      <w:pPr>
        <w:rPr>
          <w:rFonts w:ascii="Verdana" w:eastAsia="Geomanist Light" w:hAnsi="Verdana" w:cs="Arial"/>
          <w:color w:val="000000"/>
          <w:lang w:val="es-MX"/>
        </w:rPr>
      </w:pPr>
    </w:p>
    <w:p w14:paraId="0CDB6725" w14:textId="77777777" w:rsidR="004F551E" w:rsidRDefault="004F551E" w:rsidP="00C6766C">
      <w:pPr>
        <w:rPr>
          <w:rFonts w:ascii="Verdana" w:eastAsia="Geomanist Light" w:hAnsi="Verdana" w:cs="Arial"/>
          <w:color w:val="000000"/>
          <w:lang w:val="es-MX"/>
        </w:rPr>
      </w:pPr>
    </w:p>
    <w:p w14:paraId="11ACB58C" w14:textId="77777777" w:rsidR="004F551E" w:rsidRDefault="004F551E" w:rsidP="00C6766C">
      <w:pPr>
        <w:rPr>
          <w:rFonts w:ascii="Verdana" w:eastAsia="Geomanist Light" w:hAnsi="Verdana" w:cs="Arial"/>
          <w:color w:val="000000"/>
          <w:lang w:val="es-MX"/>
        </w:rPr>
      </w:pPr>
    </w:p>
    <w:p w14:paraId="64A6F96D" w14:textId="77777777" w:rsidR="004F551E" w:rsidRDefault="004F551E" w:rsidP="00C6766C">
      <w:pPr>
        <w:rPr>
          <w:rFonts w:ascii="Verdana" w:eastAsia="Geomanist Light" w:hAnsi="Verdana" w:cs="Arial"/>
          <w:color w:val="000000"/>
          <w:lang w:val="es-MX"/>
        </w:rPr>
      </w:pPr>
    </w:p>
    <w:p w14:paraId="6320AEFD" w14:textId="77777777" w:rsidR="004F551E" w:rsidRDefault="004F551E" w:rsidP="00C6766C">
      <w:pPr>
        <w:rPr>
          <w:rFonts w:ascii="Verdana" w:eastAsia="Geomanist Light" w:hAnsi="Verdana" w:cs="Arial"/>
          <w:color w:val="000000"/>
          <w:lang w:val="es-MX"/>
        </w:rPr>
      </w:pPr>
    </w:p>
    <w:p w14:paraId="4EB07525" w14:textId="77777777" w:rsidR="004F551E" w:rsidRDefault="004F551E" w:rsidP="00C6766C">
      <w:pPr>
        <w:rPr>
          <w:rFonts w:ascii="Verdana" w:eastAsia="Geomanist Light" w:hAnsi="Verdana" w:cs="Arial"/>
          <w:color w:val="000000"/>
          <w:lang w:val="es-MX"/>
        </w:rPr>
      </w:pPr>
    </w:p>
    <w:p w14:paraId="03B74098" w14:textId="77777777" w:rsidR="004F551E" w:rsidRDefault="004F551E" w:rsidP="00C6766C">
      <w:pPr>
        <w:rPr>
          <w:rFonts w:ascii="Verdana" w:eastAsia="Geomanist Light" w:hAnsi="Verdana" w:cs="Arial"/>
          <w:color w:val="000000"/>
          <w:lang w:val="es-MX"/>
        </w:rPr>
      </w:pPr>
    </w:p>
    <w:p w14:paraId="2FACD752" w14:textId="77777777" w:rsidR="004F551E" w:rsidRDefault="004F551E" w:rsidP="00C6766C">
      <w:pPr>
        <w:rPr>
          <w:rFonts w:ascii="Verdana" w:eastAsia="Geomanist Light" w:hAnsi="Verdana" w:cs="Arial"/>
          <w:color w:val="000000"/>
          <w:lang w:val="es-MX"/>
        </w:rPr>
      </w:pPr>
    </w:p>
    <w:p w14:paraId="1FB20621" w14:textId="77777777" w:rsidR="004F551E" w:rsidRDefault="004F551E" w:rsidP="00C6766C">
      <w:pPr>
        <w:rPr>
          <w:rFonts w:ascii="Verdana" w:eastAsia="Geomanist Light" w:hAnsi="Verdana" w:cs="Arial"/>
          <w:color w:val="000000"/>
          <w:lang w:val="es-MX"/>
        </w:rPr>
      </w:pPr>
    </w:p>
    <w:p w14:paraId="5D9E66D8" w14:textId="77777777" w:rsidR="004F551E" w:rsidRDefault="004F551E" w:rsidP="00C6766C">
      <w:pPr>
        <w:rPr>
          <w:rFonts w:ascii="Verdana" w:eastAsia="Geomanist Light" w:hAnsi="Verdana" w:cs="Arial"/>
          <w:color w:val="000000"/>
          <w:lang w:val="es-MX"/>
        </w:rPr>
      </w:pPr>
    </w:p>
    <w:p w14:paraId="40A6F229" w14:textId="77777777" w:rsidR="004F551E" w:rsidRDefault="004F551E" w:rsidP="00C6766C">
      <w:pPr>
        <w:rPr>
          <w:rFonts w:ascii="Verdana" w:eastAsia="Geomanist Light" w:hAnsi="Verdana" w:cs="Arial"/>
          <w:color w:val="000000"/>
          <w:lang w:val="es-MX"/>
        </w:rPr>
      </w:pPr>
    </w:p>
    <w:p w14:paraId="53FD0BEB" w14:textId="77777777" w:rsidR="004F551E" w:rsidRDefault="004F551E" w:rsidP="00C6766C">
      <w:pPr>
        <w:rPr>
          <w:rFonts w:ascii="Verdana" w:eastAsia="Geomanist Light" w:hAnsi="Verdana" w:cs="Arial"/>
          <w:color w:val="000000"/>
          <w:lang w:val="es-MX"/>
        </w:rPr>
      </w:pPr>
    </w:p>
    <w:p w14:paraId="15763DF3" w14:textId="77777777" w:rsidR="004F551E" w:rsidRDefault="004F551E" w:rsidP="00C6766C">
      <w:pPr>
        <w:rPr>
          <w:rFonts w:ascii="Verdana" w:eastAsia="Geomanist Light" w:hAnsi="Verdana" w:cs="Arial"/>
          <w:color w:val="000000"/>
          <w:lang w:val="es-MX"/>
        </w:rPr>
      </w:pPr>
    </w:p>
    <w:p w14:paraId="6D59755A" w14:textId="77777777" w:rsidR="004F551E" w:rsidRDefault="004F551E" w:rsidP="00C6766C">
      <w:pPr>
        <w:rPr>
          <w:rFonts w:ascii="Verdana" w:eastAsia="Geomanist Light" w:hAnsi="Verdana" w:cs="Arial"/>
          <w:color w:val="000000"/>
          <w:lang w:val="es-MX"/>
        </w:rPr>
      </w:pPr>
    </w:p>
    <w:p w14:paraId="13783671" w14:textId="77777777" w:rsidR="004F551E" w:rsidRDefault="004F551E" w:rsidP="00C6766C">
      <w:pPr>
        <w:rPr>
          <w:rFonts w:ascii="Verdana" w:eastAsia="Geomanist Light" w:hAnsi="Verdana" w:cs="Arial"/>
          <w:color w:val="000000"/>
          <w:lang w:val="es-MX"/>
        </w:rPr>
      </w:pPr>
    </w:p>
    <w:p w14:paraId="31AF447F" w14:textId="77777777" w:rsidR="004F551E" w:rsidRDefault="004F551E" w:rsidP="00C6766C">
      <w:pPr>
        <w:rPr>
          <w:rFonts w:ascii="Verdana" w:eastAsia="Geomanist Light" w:hAnsi="Verdana" w:cs="Arial"/>
          <w:color w:val="000000"/>
          <w:lang w:val="es-MX"/>
        </w:rPr>
      </w:pPr>
    </w:p>
    <w:p w14:paraId="5293654C" w14:textId="77777777" w:rsidR="004F551E" w:rsidRDefault="004F551E" w:rsidP="00C6766C">
      <w:pPr>
        <w:rPr>
          <w:rFonts w:ascii="Verdana" w:eastAsia="Geomanist Light" w:hAnsi="Verdana" w:cs="Arial"/>
          <w:color w:val="000000"/>
          <w:lang w:val="es-MX"/>
        </w:rPr>
      </w:pPr>
    </w:p>
    <w:p w14:paraId="0EC11DE4" w14:textId="77777777" w:rsidR="004F551E" w:rsidRDefault="004F551E" w:rsidP="00C6766C">
      <w:pPr>
        <w:rPr>
          <w:rFonts w:ascii="Verdana" w:eastAsia="Geomanist Light" w:hAnsi="Verdana" w:cs="Arial"/>
          <w:color w:val="000000"/>
          <w:lang w:val="es-MX"/>
        </w:rPr>
      </w:pPr>
    </w:p>
    <w:p w14:paraId="3D3E1470" w14:textId="77777777" w:rsidR="004F551E" w:rsidRDefault="004F551E" w:rsidP="00C6766C">
      <w:pPr>
        <w:rPr>
          <w:rFonts w:ascii="Verdana" w:eastAsia="Geomanist Light" w:hAnsi="Verdana" w:cs="Arial"/>
          <w:color w:val="000000"/>
          <w:lang w:val="es-MX"/>
        </w:rPr>
      </w:pPr>
    </w:p>
    <w:p w14:paraId="2F05B6A7" w14:textId="77777777" w:rsidR="004F551E" w:rsidRDefault="004F551E" w:rsidP="00C6766C">
      <w:pPr>
        <w:rPr>
          <w:rFonts w:ascii="Verdana" w:eastAsia="Geomanist Light" w:hAnsi="Verdana" w:cs="Arial"/>
          <w:color w:val="000000"/>
          <w:lang w:val="es-MX"/>
        </w:rPr>
      </w:pPr>
    </w:p>
    <w:p w14:paraId="7F568870" w14:textId="77777777" w:rsidR="004F551E" w:rsidRDefault="004F551E" w:rsidP="00C6766C">
      <w:pPr>
        <w:rPr>
          <w:rFonts w:ascii="Verdana" w:eastAsia="Geomanist Light" w:hAnsi="Verdana" w:cs="Arial"/>
          <w:color w:val="000000"/>
          <w:lang w:val="es-MX"/>
        </w:rPr>
      </w:pPr>
    </w:p>
    <w:p w14:paraId="31BA50E2" w14:textId="77777777" w:rsidR="004F551E" w:rsidRDefault="004F551E" w:rsidP="00C6766C">
      <w:pPr>
        <w:rPr>
          <w:rFonts w:ascii="Verdana" w:eastAsia="Geomanist Light" w:hAnsi="Verdana" w:cs="Arial"/>
          <w:color w:val="000000"/>
          <w:lang w:val="es-MX"/>
        </w:rPr>
      </w:pPr>
    </w:p>
    <w:p w14:paraId="6E940065" w14:textId="37B4E4CD" w:rsidR="00C6766C" w:rsidRPr="00C6766C" w:rsidRDefault="00C6766C" w:rsidP="00C6766C">
      <w:pPr>
        <w:rPr>
          <w:rFonts w:ascii="Verdana" w:eastAsia="Geomanist Light" w:hAnsi="Verdana" w:cs="Arial"/>
          <w:color w:val="000000"/>
          <w:lang w:val="es-MX"/>
        </w:rPr>
      </w:pPr>
      <w:r w:rsidRPr="00C6766C">
        <w:rPr>
          <w:rFonts w:ascii="Verdana" w:eastAsia="Geomanist Light" w:hAnsi="Verdana" w:cs="Arial"/>
          <w:color w:val="000000"/>
          <w:lang w:val="es-MX"/>
        </w:rPr>
        <w:lastRenderedPageBreak/>
        <w:t>Bogotá D.C., [Día] de [</w:t>
      </w:r>
      <w:proofErr w:type="spellStart"/>
      <w:r w:rsidRPr="00C6766C">
        <w:rPr>
          <w:rFonts w:ascii="Verdana" w:eastAsia="Geomanist Light" w:hAnsi="Verdana" w:cs="Arial"/>
          <w:color w:val="000000"/>
          <w:lang w:val="es-MX"/>
        </w:rPr>
        <w:t>Mes.NombreCapitalizado</w:t>
      </w:r>
      <w:proofErr w:type="spellEnd"/>
      <w:r w:rsidRPr="00C6766C">
        <w:rPr>
          <w:rFonts w:ascii="Verdana" w:eastAsia="Geomanist Light" w:hAnsi="Verdana" w:cs="Arial"/>
          <w:color w:val="000000"/>
          <w:lang w:val="es-MX"/>
        </w:rPr>
        <w:t>] de [Año]</w:t>
      </w:r>
    </w:p>
    <w:p w14:paraId="3EE024FE" w14:textId="7445A71B" w:rsidR="00C6766C" w:rsidRDefault="004F551E" w:rsidP="00C6766C">
      <w:pPr>
        <w:jc w:val="both"/>
        <w:rPr>
          <w:rFonts w:ascii="Verdana" w:eastAsia="Calibri" w:hAnsi="Verdana" w:cs="Arial"/>
          <w:color w:val="000000"/>
          <w:lang w:val="es-ES"/>
        </w:rPr>
      </w:pPr>
      <w:r w:rsidRPr="004F551E">
        <w:rPr>
          <w:rFonts w:ascii="Verdana" w:eastAsia="Calibri" w:hAnsi="Verdana" w:cs="Arial"/>
          <w:noProof/>
          <w:color w:val="000000"/>
          <w:lang w:val="es-ES"/>
        </w:rPr>
        <w:drawing>
          <wp:anchor distT="0" distB="0" distL="114300" distR="114300" simplePos="0" relativeHeight="251658240" behindDoc="1" locked="0" layoutInCell="1" allowOverlap="1" wp14:anchorId="7623A0F3" wp14:editId="22CFD463">
            <wp:simplePos x="0" y="0"/>
            <wp:positionH relativeFrom="margin">
              <wp:align>right</wp:align>
            </wp:positionH>
            <wp:positionV relativeFrom="paragraph">
              <wp:posOffset>16510</wp:posOffset>
            </wp:positionV>
            <wp:extent cx="3677163" cy="1143160"/>
            <wp:effectExtent l="0" t="0" r="0" b="0"/>
            <wp:wrapTight wrapText="bothSides">
              <wp:wrapPolygon edited="0">
                <wp:start x="0" y="0"/>
                <wp:lineTo x="0" y="21240"/>
                <wp:lineTo x="21488" y="21240"/>
                <wp:lineTo x="21488" y="0"/>
                <wp:lineTo x="0" y="0"/>
              </wp:wrapPolygon>
            </wp:wrapTight>
            <wp:docPr id="15146379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3796"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677163" cy="1143160"/>
                    </a:xfrm>
                    <a:prstGeom prst="rect">
                      <a:avLst/>
                    </a:prstGeom>
                  </pic:spPr>
                </pic:pic>
              </a:graphicData>
            </a:graphic>
          </wp:anchor>
        </w:drawing>
      </w:r>
    </w:p>
    <w:p w14:paraId="7913689A" w14:textId="77777777" w:rsidR="004F551E" w:rsidRDefault="004F551E" w:rsidP="00C6766C">
      <w:pPr>
        <w:jc w:val="both"/>
        <w:rPr>
          <w:rFonts w:ascii="Verdana" w:eastAsia="Calibri" w:hAnsi="Verdana" w:cs="Arial"/>
          <w:color w:val="000000"/>
          <w:lang w:val="es-ES"/>
        </w:rPr>
      </w:pPr>
    </w:p>
    <w:p w14:paraId="5A0E7415" w14:textId="77777777" w:rsidR="004F551E" w:rsidRDefault="004F551E" w:rsidP="00C6766C">
      <w:pPr>
        <w:jc w:val="both"/>
        <w:rPr>
          <w:rFonts w:ascii="Verdana" w:eastAsia="Calibri" w:hAnsi="Verdana" w:cs="Arial"/>
          <w:color w:val="000000"/>
          <w:lang w:val="es-ES"/>
        </w:rPr>
      </w:pPr>
    </w:p>
    <w:p w14:paraId="3BBFF009" w14:textId="77777777" w:rsidR="004F551E" w:rsidRDefault="004F551E" w:rsidP="00C6766C">
      <w:pPr>
        <w:jc w:val="both"/>
        <w:rPr>
          <w:rFonts w:ascii="Verdana" w:eastAsia="Calibri" w:hAnsi="Verdana" w:cs="Arial"/>
          <w:color w:val="000000"/>
          <w:lang w:val="es-ES"/>
        </w:rPr>
      </w:pPr>
    </w:p>
    <w:p w14:paraId="37F7F951" w14:textId="77777777" w:rsidR="00C6766C" w:rsidRDefault="00C6766C" w:rsidP="00C6766C">
      <w:pPr>
        <w:jc w:val="both"/>
        <w:rPr>
          <w:rFonts w:ascii="Verdana" w:eastAsia="Calibri" w:hAnsi="Verdana" w:cs="Arial"/>
          <w:color w:val="000000"/>
          <w:lang w:val="es-ES"/>
        </w:rPr>
      </w:pPr>
    </w:p>
    <w:p w14:paraId="004D5E5E" w14:textId="77777777" w:rsidR="004F551E" w:rsidRDefault="004F551E" w:rsidP="00C6766C">
      <w:pPr>
        <w:jc w:val="both"/>
        <w:rPr>
          <w:rFonts w:ascii="Verdana" w:eastAsia="Calibri" w:hAnsi="Verdana" w:cs="Arial"/>
          <w:color w:val="000000"/>
          <w:lang w:val="es-ES"/>
        </w:rPr>
      </w:pPr>
    </w:p>
    <w:p w14:paraId="690613E0" w14:textId="77777777" w:rsidR="004F551E" w:rsidRPr="00C6766C" w:rsidRDefault="004F551E" w:rsidP="00C6766C">
      <w:pPr>
        <w:jc w:val="both"/>
        <w:rPr>
          <w:rFonts w:ascii="Verdana" w:eastAsia="Calibri" w:hAnsi="Verdana" w:cs="Arial"/>
          <w:color w:val="000000"/>
          <w:lang w:val="es-ES" w:eastAsia="es-ES"/>
        </w:rPr>
      </w:pPr>
    </w:p>
    <w:p w14:paraId="3F24787C" w14:textId="77777777" w:rsidR="00C6766C" w:rsidRPr="00C6766C" w:rsidRDefault="00C6766C" w:rsidP="00C6766C">
      <w:pPr>
        <w:jc w:val="both"/>
        <w:rPr>
          <w:rFonts w:ascii="Verdana" w:eastAsia="Calibri" w:hAnsi="Verdana" w:cs="Arial"/>
          <w:color w:val="000000"/>
          <w:lang w:val="es-ES" w:eastAsia="es-ES"/>
        </w:rPr>
      </w:pPr>
      <w:r w:rsidRPr="00C6766C">
        <w:rPr>
          <w:rFonts w:ascii="Verdana" w:eastAsia="Calibri" w:hAnsi="Verdana" w:cs="Arial"/>
          <w:color w:val="000000"/>
          <w:lang w:val="es-ES" w:eastAsia="es-ES"/>
        </w:rPr>
        <w:t>Señora</w:t>
      </w:r>
    </w:p>
    <w:p w14:paraId="752F01A3" w14:textId="77777777" w:rsidR="00C6766C" w:rsidRPr="004B0C67" w:rsidRDefault="00C6766C" w:rsidP="00C6766C">
      <w:pPr>
        <w:rPr>
          <w:rFonts w:ascii="Verdana" w:eastAsia="Calibri" w:hAnsi="Verdana" w:cs="Arial"/>
          <w:b/>
          <w:color w:val="000000"/>
          <w:lang w:eastAsia="es-ES_tradnl"/>
        </w:rPr>
      </w:pPr>
      <w:r w:rsidRPr="004B0C67">
        <w:rPr>
          <w:rFonts w:ascii="Verdana" w:eastAsia="Calibri" w:hAnsi="Verdana" w:cs="Arial"/>
          <w:b/>
          <w:color w:val="000000"/>
          <w:lang w:eastAsia="es-ES_tradnl"/>
        </w:rPr>
        <w:t>Julieth Alexandra López</w:t>
      </w:r>
    </w:p>
    <w:p w14:paraId="275ECD31" w14:textId="77777777" w:rsidR="00C6766C" w:rsidRPr="004B0C67" w:rsidRDefault="00C6766C" w:rsidP="00C6766C">
      <w:pPr>
        <w:rPr>
          <w:rFonts w:ascii="Verdana" w:eastAsia="Calibri" w:hAnsi="Verdana" w:cs="Arial"/>
          <w:lang w:eastAsia="es-ES"/>
        </w:rPr>
      </w:pPr>
      <w:hyperlink r:id="rId12" w:history="1">
        <w:r w:rsidRPr="004B0C67">
          <w:rPr>
            <w:rFonts w:ascii="Verdana" w:eastAsia="Calibri" w:hAnsi="Verdana" w:cs="Arial"/>
            <w:color w:val="467886"/>
            <w:u w:val="single"/>
            <w:lang w:eastAsia="es-ES"/>
          </w:rPr>
          <w:t>lopezjulieth@gmail.com</w:t>
        </w:r>
      </w:hyperlink>
    </w:p>
    <w:p w14:paraId="7AF297C1" w14:textId="77777777" w:rsidR="00C6766C" w:rsidRPr="00C6766C" w:rsidRDefault="00C6766C" w:rsidP="00C6766C">
      <w:pPr>
        <w:rPr>
          <w:rFonts w:ascii="Verdana" w:eastAsia="Calibri" w:hAnsi="Verdana" w:cs="Arial"/>
          <w:lang w:val="en-US" w:eastAsia="es-ES"/>
        </w:rPr>
      </w:pPr>
      <w:r w:rsidRPr="00C6766C">
        <w:rPr>
          <w:rFonts w:ascii="Verdana" w:eastAsia="Calibri" w:hAnsi="Verdana" w:cs="Arial"/>
          <w:lang w:val="en-US" w:eastAsia="es-ES"/>
        </w:rPr>
        <w:t>Ciudad</w:t>
      </w:r>
    </w:p>
    <w:p w14:paraId="47B4C7D7" w14:textId="77777777" w:rsidR="00C6766C" w:rsidRPr="00C6766C" w:rsidRDefault="00C6766C" w:rsidP="00C6766C">
      <w:pPr>
        <w:rPr>
          <w:rFonts w:ascii="Verdana" w:eastAsia="Calibri" w:hAnsi="Verdana" w:cs="Arial"/>
          <w:b/>
          <w:bCs/>
          <w:color w:val="000000"/>
          <w:lang w:eastAsia="es-ES_tradnl"/>
        </w:rPr>
      </w:pPr>
    </w:p>
    <w:p w14:paraId="7D635F57" w14:textId="77777777" w:rsidR="00C6766C" w:rsidRPr="00C6766C" w:rsidRDefault="00C6766C" w:rsidP="00C6766C">
      <w:pPr>
        <w:rPr>
          <w:rFonts w:ascii="Verdana" w:eastAsia="Calibri" w:hAnsi="Verdana" w:cs="Arial"/>
          <w:b/>
          <w:bCs/>
          <w:color w:val="000000"/>
          <w:lang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C6766C" w:rsidRPr="00C6766C" w14:paraId="46C0E28E" w14:textId="77777777" w:rsidTr="009F797D">
        <w:trPr>
          <w:trHeight w:val="884"/>
        </w:trPr>
        <w:tc>
          <w:tcPr>
            <w:tcW w:w="2689" w:type="dxa"/>
          </w:tcPr>
          <w:p w14:paraId="684D7D72" w14:textId="77777777" w:rsidR="00C6766C" w:rsidRPr="00C6766C" w:rsidRDefault="00C6766C" w:rsidP="00C6766C">
            <w:pPr>
              <w:jc w:val="both"/>
              <w:rPr>
                <w:rFonts w:ascii="Verdana" w:eastAsia="Calibri" w:hAnsi="Verdana" w:cs="Arial"/>
                <w:b/>
                <w:bCs/>
                <w:color w:val="000000"/>
                <w:lang w:eastAsia="es-ES_tradnl"/>
              </w:rPr>
            </w:pPr>
          </w:p>
        </w:tc>
        <w:tc>
          <w:tcPr>
            <w:tcW w:w="6242" w:type="dxa"/>
          </w:tcPr>
          <w:p w14:paraId="7FD26D87" w14:textId="77777777" w:rsidR="00C6766C" w:rsidRPr="00C6766C" w:rsidRDefault="00C6766C" w:rsidP="00C6766C">
            <w:pPr>
              <w:jc w:val="both"/>
              <w:rPr>
                <w:rFonts w:ascii="Verdana" w:eastAsia="Calibri" w:hAnsi="Verdana" w:cs="Arial"/>
                <w:b/>
                <w:bCs/>
                <w:color w:val="000000"/>
                <w:lang w:val="es-ES" w:eastAsia="es-ES"/>
              </w:rPr>
            </w:pPr>
            <w:r w:rsidRPr="00C6766C">
              <w:rPr>
                <w:rFonts w:ascii="Verdana" w:eastAsia="Calibri" w:hAnsi="Verdana" w:cs="Arial"/>
                <w:b/>
                <w:bCs/>
                <w:color w:val="000000"/>
                <w:lang w:val="es-ES" w:eastAsia="es-ES"/>
              </w:rPr>
              <w:t>Concepto C- 526 de 2024</w:t>
            </w:r>
          </w:p>
        </w:tc>
      </w:tr>
      <w:tr w:rsidR="00C6766C" w:rsidRPr="00C6766C" w14:paraId="0125FEC3" w14:textId="77777777" w:rsidTr="009F797D">
        <w:trPr>
          <w:trHeight w:val="884"/>
        </w:trPr>
        <w:tc>
          <w:tcPr>
            <w:tcW w:w="2689" w:type="dxa"/>
          </w:tcPr>
          <w:p w14:paraId="70C04E01" w14:textId="77777777" w:rsidR="00C6766C" w:rsidRPr="00C6766C" w:rsidRDefault="00C6766C" w:rsidP="00C6766C">
            <w:pPr>
              <w:jc w:val="both"/>
              <w:rPr>
                <w:rFonts w:ascii="Verdana" w:eastAsia="Calibri" w:hAnsi="Verdana" w:cs="Arial"/>
                <w:color w:val="000000"/>
                <w:lang w:val="es-ES_tradnl" w:eastAsia="es-ES_tradnl"/>
              </w:rPr>
            </w:pPr>
            <w:r w:rsidRPr="00C6766C">
              <w:rPr>
                <w:rFonts w:ascii="Verdana" w:eastAsia="Calibri" w:hAnsi="Verdana" w:cs="Arial"/>
                <w:b/>
                <w:color w:val="000000"/>
                <w:lang w:val="es-ES_tradnl" w:eastAsia="es-ES_tradnl"/>
              </w:rPr>
              <w:t>Temas:</w:t>
            </w:r>
            <w:r w:rsidRPr="00C6766C">
              <w:rPr>
                <w:rFonts w:ascii="Verdana" w:eastAsia="Calibri" w:hAnsi="Verdana" w:cs="Arial"/>
                <w:color w:val="000000"/>
                <w:lang w:val="es-ES_tradnl" w:eastAsia="es-ES_tradnl"/>
              </w:rPr>
              <w:t xml:space="preserve">                   </w:t>
            </w:r>
          </w:p>
        </w:tc>
        <w:tc>
          <w:tcPr>
            <w:tcW w:w="6242" w:type="dxa"/>
          </w:tcPr>
          <w:p w14:paraId="1C7D7633" w14:textId="77777777" w:rsidR="00C6766C" w:rsidRPr="00C6766C" w:rsidRDefault="00C6766C" w:rsidP="00C6766C">
            <w:pPr>
              <w:jc w:val="both"/>
              <w:rPr>
                <w:rFonts w:ascii="Verdana" w:eastAsia="Aptos" w:hAnsi="Verdana" w:cs="Arial"/>
                <w:lang w:val="es-ES_tradnl" w:eastAsia="es-ES_tradnl"/>
              </w:rPr>
            </w:pPr>
            <w:r w:rsidRPr="00C6766C">
              <w:rPr>
                <w:rFonts w:ascii="Verdana" w:eastAsia="Aptos" w:hAnsi="Verdana" w:cs="Arial"/>
                <w:lang w:eastAsia="es-ES_tradnl"/>
              </w:rPr>
              <w:t xml:space="preserve">LEY DE EMPRENDIMIENTO – Requisitos – Ley 2069 de 2020 – Artículo 32 – Criterios diferenciales – Emprendimientos de mujeres – Empresas extranjeras / DECRETO 1860 DE 2021 – Vigencia / DECRETO 1860 DE 2021 – Emprendimientos y empresas de mujeres – Definición – Artículo 2.2.1.2.4.2.14 – Numeral 1 – </w:t>
            </w:r>
            <w:r w:rsidRPr="00C6766C">
              <w:rPr>
                <w:rFonts w:ascii="Verdana" w:eastAsia="Aptos" w:hAnsi="Verdana" w:cs="Arial"/>
                <w:lang w:val="es-ES_tradnl" w:eastAsia="es-ES_tradnl"/>
              </w:rPr>
              <w:t>Acreditación</w:t>
            </w:r>
          </w:p>
          <w:p w14:paraId="142C437E" w14:textId="77777777" w:rsidR="00C6766C" w:rsidRPr="00C6766C" w:rsidRDefault="00C6766C" w:rsidP="00C6766C">
            <w:pPr>
              <w:spacing w:line="276" w:lineRule="auto"/>
              <w:jc w:val="both"/>
              <w:rPr>
                <w:rFonts w:ascii="Verdana" w:eastAsia="Calibri" w:hAnsi="Verdana" w:cs="Arial"/>
                <w:color w:val="000000"/>
                <w:lang w:val="es-ES_tradnl" w:eastAsia="es-ES"/>
              </w:rPr>
            </w:pPr>
          </w:p>
        </w:tc>
      </w:tr>
      <w:tr w:rsidR="00C6766C" w:rsidRPr="00C6766C" w14:paraId="63DE466F" w14:textId="77777777" w:rsidTr="009F797D">
        <w:tc>
          <w:tcPr>
            <w:tcW w:w="2689" w:type="dxa"/>
          </w:tcPr>
          <w:p w14:paraId="29AB24FB" w14:textId="77777777" w:rsidR="00C6766C" w:rsidRPr="00C6766C" w:rsidRDefault="00C6766C" w:rsidP="00C6766C">
            <w:pPr>
              <w:jc w:val="both"/>
              <w:rPr>
                <w:rFonts w:ascii="Verdana" w:eastAsia="Calibri" w:hAnsi="Verdana" w:cs="Arial"/>
                <w:b/>
                <w:color w:val="000000"/>
                <w:lang w:val="es-ES_tradnl" w:eastAsia="es-ES_tradnl"/>
              </w:rPr>
            </w:pPr>
            <w:r w:rsidRPr="00C6766C">
              <w:rPr>
                <w:rFonts w:ascii="Verdana" w:eastAsia="Calibri" w:hAnsi="Verdana" w:cs="Arial"/>
                <w:b/>
                <w:color w:val="000000"/>
                <w:lang w:val="es-ES_tradnl" w:eastAsia="es-ES_tradnl"/>
              </w:rPr>
              <w:t>Radicación:</w:t>
            </w:r>
            <w:r w:rsidRPr="00C6766C">
              <w:rPr>
                <w:rFonts w:ascii="Verdana" w:eastAsia="Calibri" w:hAnsi="Verdana" w:cs="Arial"/>
                <w:color w:val="000000"/>
                <w:lang w:val="es-ES_tradnl" w:eastAsia="es-ES_tradnl"/>
              </w:rPr>
              <w:t xml:space="preserve">               </w:t>
            </w:r>
          </w:p>
        </w:tc>
        <w:tc>
          <w:tcPr>
            <w:tcW w:w="6242" w:type="dxa"/>
          </w:tcPr>
          <w:p w14:paraId="25B6761F" w14:textId="77777777" w:rsidR="00C6766C" w:rsidRPr="00C6766C" w:rsidRDefault="00C6766C" w:rsidP="00C6766C">
            <w:pPr>
              <w:jc w:val="both"/>
              <w:rPr>
                <w:rFonts w:ascii="Verdana" w:eastAsia="Calibri" w:hAnsi="Verdana" w:cs="Arial"/>
                <w:color w:val="000000"/>
                <w:lang w:val="es-ES_tradnl" w:eastAsia="es-ES_tradnl"/>
              </w:rPr>
            </w:pPr>
            <w:r w:rsidRPr="00C6766C">
              <w:rPr>
                <w:rFonts w:ascii="Verdana" w:eastAsia="Calibri" w:hAnsi="Verdana" w:cs="Arial"/>
                <w:color w:val="000000"/>
                <w:lang w:val="es-ES_tradnl" w:eastAsia="es-ES_tradnl"/>
              </w:rPr>
              <w:t>Respuesta a consulta con radicado No. P20240828008742</w:t>
            </w:r>
          </w:p>
        </w:tc>
      </w:tr>
    </w:tbl>
    <w:p w14:paraId="6140F73D" w14:textId="77777777" w:rsidR="00C6766C" w:rsidRPr="00C6766C" w:rsidRDefault="00C6766C" w:rsidP="00C6766C">
      <w:pPr>
        <w:jc w:val="both"/>
        <w:rPr>
          <w:rFonts w:ascii="Verdana" w:eastAsia="Calibri" w:hAnsi="Verdana" w:cs="Arial"/>
          <w:color w:val="000000"/>
          <w:lang w:val="es-ES_tradnl" w:eastAsia="es-ES_tradnl"/>
        </w:rPr>
      </w:pPr>
    </w:p>
    <w:p w14:paraId="1459B854" w14:textId="77777777" w:rsidR="00C6766C" w:rsidRPr="00C6766C" w:rsidRDefault="00C6766C" w:rsidP="00C6766C">
      <w:pPr>
        <w:jc w:val="both"/>
        <w:rPr>
          <w:rFonts w:ascii="Verdana" w:eastAsia="Calibri" w:hAnsi="Verdana" w:cs="Arial"/>
          <w:color w:val="000000"/>
          <w:lang w:val="es-ES_tradnl" w:eastAsia="es-ES_tradnl"/>
        </w:rPr>
      </w:pPr>
    </w:p>
    <w:p w14:paraId="510127D6" w14:textId="77777777" w:rsidR="00C6766C" w:rsidRPr="00C6766C" w:rsidRDefault="00C6766C" w:rsidP="00C6766C">
      <w:pPr>
        <w:spacing w:line="276" w:lineRule="auto"/>
        <w:jc w:val="both"/>
        <w:rPr>
          <w:rFonts w:ascii="Verdana" w:eastAsia="Calibri" w:hAnsi="Verdana" w:cs="Arial"/>
          <w:color w:val="000000"/>
          <w:lang w:val="es-ES" w:eastAsia="es-ES"/>
        </w:rPr>
      </w:pPr>
      <w:r w:rsidRPr="00C6766C">
        <w:rPr>
          <w:rFonts w:ascii="Verdana" w:eastAsia="Calibri" w:hAnsi="Verdana" w:cs="Arial"/>
          <w:color w:val="000000"/>
          <w:lang w:val="es-ES" w:eastAsia="es-ES"/>
        </w:rPr>
        <w:t xml:space="preserve">Estimado señora López: </w:t>
      </w:r>
    </w:p>
    <w:p w14:paraId="346214DC" w14:textId="77777777" w:rsidR="00C6766C" w:rsidRPr="00C6766C" w:rsidRDefault="00C6766C" w:rsidP="00C6766C">
      <w:pPr>
        <w:tabs>
          <w:tab w:val="left" w:pos="3768"/>
        </w:tabs>
        <w:spacing w:line="276" w:lineRule="auto"/>
        <w:jc w:val="both"/>
        <w:rPr>
          <w:rFonts w:ascii="Verdana" w:eastAsia="Calibri" w:hAnsi="Verdana" w:cs="Arial"/>
          <w:color w:val="000000"/>
          <w:lang w:val="es-ES" w:eastAsia="es-ES"/>
        </w:rPr>
      </w:pPr>
      <w:r w:rsidRPr="00C6766C">
        <w:rPr>
          <w:rFonts w:ascii="Verdana" w:eastAsia="Calibri" w:hAnsi="Verdana" w:cs="Arial"/>
          <w:color w:val="000000"/>
          <w:lang w:val="es-ES" w:eastAsia="es-ES"/>
        </w:rPr>
        <w:tab/>
      </w:r>
    </w:p>
    <w:p w14:paraId="31C706C7" w14:textId="77777777" w:rsidR="00C6766C" w:rsidRPr="00C6766C" w:rsidRDefault="00C6766C" w:rsidP="00C6766C">
      <w:pPr>
        <w:spacing w:line="276" w:lineRule="auto"/>
        <w:jc w:val="both"/>
        <w:rPr>
          <w:rFonts w:ascii="Verdana" w:eastAsia="Calibri" w:hAnsi="Verdana" w:cs="Arial"/>
          <w:color w:val="000000"/>
          <w:lang w:val="es-ES" w:eastAsia="es-ES"/>
        </w:rPr>
      </w:pPr>
      <w:r w:rsidRPr="00C6766C">
        <w:rPr>
          <w:rFonts w:ascii="Verdana" w:eastAsia="Calibri" w:hAnsi="Verdana" w:cs="Arial"/>
          <w:color w:val="000000"/>
          <w:lang w:val="es-ES" w:eastAsia="es-ES"/>
        </w:rPr>
        <w:t>En ejercicio de la competencia otorgada por los artículos 3, numeral 5º, y 11, numeral 8º, del Decreto Ley 4170 de 2011,</w:t>
      </w:r>
      <w:r w:rsidRPr="00C6766C">
        <w:rPr>
          <w:rFonts w:ascii="Verdana" w:eastAsia="Arial MT" w:hAnsi="Verdana" w:cs="Arial MT"/>
          <w:color w:val="000000"/>
          <w:lang w:val="es-ES" w:eastAsia="es-ES"/>
        </w:rPr>
        <w:t xml:space="preserve"> </w:t>
      </w:r>
      <w:r w:rsidRPr="00C6766C">
        <w:rPr>
          <w:rFonts w:ascii="Verdana" w:eastAsia="Aptos" w:hAnsi="Verdana" w:cs="Arial"/>
          <w:color w:val="000000"/>
        </w:rPr>
        <w:t xml:space="preserve">así como lo establecido en el artículo 4 de la Resolución 1707 de 2018 expedida por esta Entidad, </w:t>
      </w:r>
      <w:r w:rsidRPr="00C6766C">
        <w:rPr>
          <w:rFonts w:ascii="Verdana" w:eastAsia="Calibri" w:hAnsi="Verdana" w:cs="Arial"/>
          <w:color w:val="000000"/>
          <w:lang w:val="es-ES" w:eastAsia="es-ES"/>
        </w:rPr>
        <w:t xml:space="preserve">la Agencia Nacional de Contratación Pública – Colombia Compra Eficiente– responde su solicitud de consulta de fecha 28 de agosto de 2024, en la cual manifiesta lo siguiente: </w:t>
      </w:r>
    </w:p>
    <w:p w14:paraId="3B5BC561" w14:textId="77777777" w:rsidR="00C6766C" w:rsidRPr="00C6766C" w:rsidRDefault="00C6766C" w:rsidP="00C6766C">
      <w:pPr>
        <w:tabs>
          <w:tab w:val="left" w:pos="142"/>
          <w:tab w:val="left" w:pos="284"/>
        </w:tabs>
        <w:spacing w:line="276" w:lineRule="auto"/>
        <w:contextualSpacing/>
        <w:jc w:val="both"/>
        <w:rPr>
          <w:rFonts w:ascii="Verdana" w:eastAsia="Century Gothic" w:hAnsi="Verdana" w:cs="Century Gothic"/>
          <w:b/>
          <w:bCs/>
          <w:color w:val="000000"/>
          <w:lang w:val="es-ES"/>
        </w:rPr>
      </w:pPr>
    </w:p>
    <w:p w14:paraId="4AAFDFD9" w14:textId="77777777" w:rsidR="00C6766C" w:rsidRPr="00C6766C" w:rsidRDefault="00C6766C" w:rsidP="00C6766C">
      <w:pPr>
        <w:ind w:left="709" w:right="709"/>
        <w:jc w:val="both"/>
        <w:rPr>
          <w:rFonts w:ascii="Verdana" w:eastAsia="Century Gothic" w:hAnsi="Verdana" w:cs="Century Gothic"/>
          <w:i/>
          <w:iCs/>
          <w:color w:val="000000"/>
          <w:sz w:val="20"/>
          <w:szCs w:val="20"/>
          <w:lang w:val="es-ES"/>
        </w:rPr>
      </w:pPr>
      <w:bookmarkStart w:id="0" w:name="_Hlk95313578"/>
      <w:r w:rsidRPr="00C6766C">
        <w:rPr>
          <w:rFonts w:ascii="Verdana" w:eastAsia="Century Gothic" w:hAnsi="Verdana" w:cs="Century Gothic"/>
          <w:i/>
          <w:iCs/>
          <w:color w:val="000000"/>
          <w:sz w:val="20"/>
          <w:szCs w:val="20"/>
          <w:lang w:val="es-ES"/>
        </w:rPr>
        <w:lastRenderedPageBreak/>
        <w:t>“</w:t>
      </w:r>
      <w:bookmarkEnd w:id="0"/>
      <w:r w:rsidRPr="00C6766C">
        <w:rPr>
          <w:rFonts w:ascii="Verdana" w:eastAsia="Century Gothic" w:hAnsi="Verdana" w:cs="Century Gothic"/>
          <w:i/>
          <w:iCs/>
          <w:color w:val="000000"/>
          <w:sz w:val="20"/>
          <w:szCs w:val="20"/>
          <w:lang w:val="es-ES"/>
        </w:rPr>
        <w:t xml:space="preserve">Considerando lo establecido en el artículo 2.2.1.2.4.2.14 del Decreto 1860 de 2021, ¿la acreditación requerida para las empresas extranjeras con sucursales en Colombia aplica al 50% de los cargos directivos de la sucursal en el país, y esta acreditación debe ser certificada por su representante legal y el revisor </w:t>
      </w:r>
      <w:proofErr w:type="gramStart"/>
      <w:r w:rsidRPr="00C6766C">
        <w:rPr>
          <w:rFonts w:ascii="Verdana" w:eastAsia="Century Gothic" w:hAnsi="Verdana" w:cs="Century Gothic"/>
          <w:i/>
          <w:iCs/>
          <w:color w:val="000000"/>
          <w:sz w:val="20"/>
          <w:szCs w:val="20"/>
          <w:lang w:val="es-ES"/>
        </w:rPr>
        <w:t>fiscal?.</w:t>
      </w:r>
      <w:proofErr w:type="gramEnd"/>
      <w:r w:rsidRPr="00C6766C">
        <w:rPr>
          <w:rFonts w:ascii="Verdana" w:eastAsia="Century Gothic" w:hAnsi="Verdana" w:cs="Century Gothic"/>
          <w:i/>
          <w:iCs/>
          <w:color w:val="000000"/>
          <w:sz w:val="20"/>
          <w:szCs w:val="20"/>
          <w:lang w:val="es-ES"/>
        </w:rPr>
        <w:t>”</w:t>
      </w:r>
    </w:p>
    <w:p w14:paraId="582B57DB" w14:textId="77777777" w:rsidR="00C6766C" w:rsidRPr="00C6766C" w:rsidRDefault="00C6766C" w:rsidP="00C6766C">
      <w:pPr>
        <w:tabs>
          <w:tab w:val="left" w:pos="142"/>
          <w:tab w:val="left" w:pos="284"/>
        </w:tabs>
        <w:spacing w:line="276" w:lineRule="auto"/>
        <w:contextualSpacing/>
        <w:jc w:val="both"/>
        <w:rPr>
          <w:rFonts w:ascii="Verdana" w:eastAsia="Century Gothic" w:hAnsi="Verdana" w:cs="Century Gothic"/>
          <w:b/>
          <w:bCs/>
          <w:color w:val="000000"/>
          <w:lang w:val="es-ES"/>
        </w:rPr>
      </w:pPr>
    </w:p>
    <w:p w14:paraId="11D6461A" w14:textId="77777777" w:rsidR="00C6766C" w:rsidRPr="00C6766C" w:rsidRDefault="00C6766C" w:rsidP="00C6766C">
      <w:pPr>
        <w:spacing w:after="120" w:line="276" w:lineRule="auto"/>
        <w:ind w:firstLine="709"/>
        <w:jc w:val="both"/>
        <w:rPr>
          <w:rFonts w:ascii="Verdana" w:eastAsia="Calibri" w:hAnsi="Verdana" w:cs="Arial"/>
          <w:color w:val="000000"/>
          <w:lang w:val="es-ES_tradnl" w:eastAsia="es-ES_tradnl"/>
        </w:rPr>
      </w:pPr>
      <w:r w:rsidRPr="00C6766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6766C">
        <w:rPr>
          <w:rFonts w:ascii="Verdana" w:eastAsia="Calibri" w:hAnsi="Verdana" w:cs="Arial"/>
          <w:color w:val="000000"/>
          <w:lang w:val="es-ES_tradnl" w:eastAsia="es-ES_tradnl"/>
        </w:rPr>
        <w:tab/>
      </w:r>
    </w:p>
    <w:p w14:paraId="644C093E" w14:textId="77777777" w:rsidR="00C6766C" w:rsidRPr="00C6766C" w:rsidRDefault="00C6766C" w:rsidP="00C6766C">
      <w:pPr>
        <w:spacing w:line="276" w:lineRule="auto"/>
        <w:ind w:firstLine="709"/>
        <w:jc w:val="both"/>
        <w:rPr>
          <w:rFonts w:ascii="Verdana" w:eastAsia="Calibri" w:hAnsi="Verdana" w:cs="Arial"/>
          <w:color w:val="000000"/>
          <w:lang w:val="es-ES" w:eastAsia="es-ES"/>
        </w:rPr>
      </w:pPr>
      <w:r w:rsidRPr="00C6766C">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40B7965" w14:textId="77777777" w:rsidR="00C6766C" w:rsidRPr="00C6766C" w:rsidRDefault="00C6766C" w:rsidP="00C6766C">
      <w:pPr>
        <w:spacing w:line="276" w:lineRule="auto"/>
        <w:ind w:firstLine="709"/>
        <w:jc w:val="both"/>
        <w:rPr>
          <w:rFonts w:ascii="Verdana" w:eastAsia="Calibri" w:hAnsi="Verdana" w:cs="Arial"/>
          <w:color w:val="000000"/>
          <w:lang w:val="es-ES" w:eastAsia="es-ES"/>
        </w:rPr>
      </w:pPr>
    </w:p>
    <w:p w14:paraId="573D0AC8" w14:textId="77777777" w:rsidR="00C6766C" w:rsidRPr="00C6766C" w:rsidRDefault="00C6766C" w:rsidP="00C6766C">
      <w:pPr>
        <w:numPr>
          <w:ilvl w:val="0"/>
          <w:numId w:val="16"/>
        </w:numPr>
        <w:tabs>
          <w:tab w:val="left" w:pos="142"/>
          <w:tab w:val="left" w:pos="284"/>
        </w:tabs>
        <w:spacing w:line="276" w:lineRule="auto"/>
        <w:ind w:left="0" w:firstLine="0"/>
        <w:contextualSpacing/>
        <w:jc w:val="both"/>
        <w:rPr>
          <w:rFonts w:ascii="Verdana" w:eastAsia="Century Gothic" w:hAnsi="Verdana" w:cs="Century Gothic"/>
          <w:b/>
          <w:bCs/>
          <w:color w:val="000000"/>
          <w:lang w:val="es-ES"/>
        </w:rPr>
      </w:pPr>
      <w:r w:rsidRPr="00C6766C">
        <w:rPr>
          <w:rFonts w:ascii="Verdana" w:eastAsia="Century Gothic" w:hAnsi="Verdana" w:cs="Century Gothic"/>
          <w:b/>
          <w:bCs/>
          <w:color w:val="000000"/>
          <w:lang w:val="es-ES"/>
        </w:rPr>
        <w:t>Problema planteado:</w:t>
      </w:r>
    </w:p>
    <w:p w14:paraId="5BD3747E" w14:textId="77777777" w:rsidR="00C6766C" w:rsidRPr="00C6766C" w:rsidRDefault="00C6766C" w:rsidP="00C6766C">
      <w:pPr>
        <w:tabs>
          <w:tab w:val="left" w:pos="426"/>
        </w:tabs>
        <w:spacing w:line="276" w:lineRule="auto"/>
        <w:jc w:val="both"/>
        <w:rPr>
          <w:rFonts w:ascii="Verdana" w:eastAsia="Century Gothic" w:hAnsi="Verdana" w:cs="Century Gothic"/>
          <w:color w:val="000000"/>
          <w:lang w:val="es-ES"/>
        </w:rPr>
      </w:pPr>
    </w:p>
    <w:p w14:paraId="5A28FDCF" w14:textId="77777777" w:rsidR="00C6766C" w:rsidRPr="00C6766C" w:rsidRDefault="00C6766C" w:rsidP="00C6766C">
      <w:pPr>
        <w:spacing w:line="276" w:lineRule="auto"/>
        <w:jc w:val="both"/>
        <w:rPr>
          <w:rFonts w:ascii="Verdana" w:eastAsia="Century Gothic" w:hAnsi="Verdana" w:cs="Century Gothic"/>
          <w:color w:val="000000"/>
        </w:rPr>
      </w:pPr>
      <w:r w:rsidRPr="00C6766C">
        <w:rPr>
          <w:rFonts w:ascii="Verdana" w:eastAsia="Century Gothic" w:hAnsi="Verdana" w:cs="Century Gothic"/>
          <w:color w:val="000000"/>
        </w:rPr>
        <w:t xml:space="preserve">De acuerdo con el contenido de su solicitud, esta Agencia resolverá el siguiente problema jurídico: </w:t>
      </w:r>
    </w:p>
    <w:p w14:paraId="719DC796" w14:textId="77777777" w:rsidR="00C6766C" w:rsidRPr="00C6766C" w:rsidRDefault="00C6766C" w:rsidP="00C6766C">
      <w:pPr>
        <w:spacing w:line="276" w:lineRule="auto"/>
        <w:jc w:val="both"/>
        <w:rPr>
          <w:rFonts w:ascii="Verdana" w:eastAsia="Century Gothic" w:hAnsi="Verdana" w:cs="Century Gothic"/>
          <w:color w:val="000000"/>
        </w:rPr>
      </w:pPr>
    </w:p>
    <w:p w14:paraId="4CFEBA15" w14:textId="77777777" w:rsidR="00C6766C" w:rsidRPr="00C6766C" w:rsidRDefault="00C6766C" w:rsidP="00C6766C">
      <w:pPr>
        <w:spacing w:line="276" w:lineRule="auto"/>
        <w:jc w:val="both"/>
        <w:rPr>
          <w:rFonts w:ascii="Verdana" w:eastAsia="Century Gothic" w:hAnsi="Verdana" w:cs="Century Gothic"/>
          <w:color w:val="000000"/>
        </w:rPr>
      </w:pPr>
      <w:r w:rsidRPr="00C6766C">
        <w:rPr>
          <w:rFonts w:ascii="Verdana" w:eastAsia="Century Gothic" w:hAnsi="Verdana" w:cs="Century Gothic"/>
          <w:color w:val="000000"/>
          <w:lang w:val="es-ES"/>
        </w:rPr>
        <w:t>¿La acreditación requerida para las empresas extranjeras con sucursales en Colombia aplica al 50% de los cargos directivos de la sucursal en el país, y esta acreditación debe ser certificada por su representante legal y el revisor fiscal?</w:t>
      </w:r>
    </w:p>
    <w:p w14:paraId="63358361" w14:textId="77777777" w:rsidR="00C6766C" w:rsidRPr="00C6766C" w:rsidRDefault="00C6766C" w:rsidP="00C6766C">
      <w:pPr>
        <w:spacing w:line="276" w:lineRule="auto"/>
        <w:jc w:val="both"/>
        <w:rPr>
          <w:rFonts w:ascii="Verdana" w:eastAsia="Calibri" w:hAnsi="Verdana" w:cs="Arial"/>
          <w:color w:val="000000"/>
          <w:lang w:val="es-ES"/>
        </w:rPr>
      </w:pPr>
    </w:p>
    <w:p w14:paraId="16FE1295" w14:textId="77777777" w:rsidR="00C6766C" w:rsidRPr="00C6766C" w:rsidRDefault="00C6766C" w:rsidP="00C6766C">
      <w:pPr>
        <w:numPr>
          <w:ilvl w:val="0"/>
          <w:numId w:val="16"/>
        </w:numPr>
        <w:tabs>
          <w:tab w:val="left" w:pos="142"/>
          <w:tab w:val="left" w:pos="284"/>
        </w:tabs>
        <w:spacing w:line="276" w:lineRule="auto"/>
        <w:ind w:left="0" w:firstLine="0"/>
        <w:jc w:val="both"/>
        <w:rPr>
          <w:rFonts w:ascii="Verdana" w:eastAsia="Century Gothic" w:hAnsi="Verdana" w:cs="Century Gothic"/>
          <w:b/>
          <w:bCs/>
          <w:color w:val="000000"/>
          <w:lang w:val="es-ES"/>
        </w:rPr>
      </w:pPr>
      <w:r w:rsidRPr="00C6766C">
        <w:rPr>
          <w:rFonts w:ascii="Verdana" w:eastAsia="Century Gothic" w:hAnsi="Verdana" w:cs="Century Gothic"/>
          <w:b/>
          <w:bCs/>
          <w:color w:val="000000"/>
          <w:lang w:val="es-ES"/>
        </w:rPr>
        <w:t>Respuesta:</w:t>
      </w:r>
    </w:p>
    <w:p w14:paraId="2C1B98A6" w14:textId="77777777" w:rsidR="00C6766C" w:rsidRPr="00C6766C" w:rsidRDefault="00C6766C" w:rsidP="00C6766C">
      <w:pPr>
        <w:tabs>
          <w:tab w:val="left" w:pos="142"/>
          <w:tab w:val="left" w:pos="284"/>
        </w:tabs>
        <w:spacing w:line="276" w:lineRule="auto"/>
        <w:jc w:val="both"/>
        <w:rPr>
          <w:rFonts w:ascii="Verdana" w:eastAsia="Century Gothic" w:hAnsi="Verdana" w:cs="Century Gothic"/>
          <w:b/>
          <w:bCs/>
          <w:color w:val="00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6766C" w:rsidRPr="00C6766C" w14:paraId="393E9EB0" w14:textId="77777777" w:rsidTr="00F32836">
        <w:trPr>
          <w:trHeight w:val="2911"/>
        </w:trPr>
        <w:tc>
          <w:tcPr>
            <w:tcW w:w="8828" w:type="dxa"/>
            <w:shd w:val="clear" w:color="auto" w:fill="auto"/>
          </w:tcPr>
          <w:p w14:paraId="03DBDC22" w14:textId="60049573" w:rsidR="004B0C67" w:rsidRDefault="00C6766C" w:rsidP="00C6766C">
            <w:pPr>
              <w:spacing w:after="120" w:line="276" w:lineRule="auto"/>
              <w:jc w:val="both"/>
              <w:rPr>
                <w:rFonts w:ascii="Verdana" w:hAnsi="Verdana" w:cs="Arial"/>
                <w:lang w:eastAsia="es-ES_tradnl"/>
              </w:rPr>
            </w:pPr>
            <w:r w:rsidRPr="00C6766C">
              <w:rPr>
                <w:rFonts w:ascii="Verdana" w:hAnsi="Verdana" w:cs="Arial"/>
                <w:lang w:val="es-MX" w:eastAsia="es-ES_tradnl"/>
              </w:rPr>
              <w:t>El artículo 2.2.1.2.4.2.14 del Decreto 1</w:t>
            </w:r>
            <w:r w:rsidR="006C44AD">
              <w:rPr>
                <w:rFonts w:ascii="Verdana" w:hAnsi="Verdana" w:cs="Arial"/>
                <w:lang w:val="es-MX" w:eastAsia="es-ES_tradnl"/>
              </w:rPr>
              <w:t>082</w:t>
            </w:r>
            <w:r w:rsidRPr="00C6766C">
              <w:rPr>
                <w:rFonts w:ascii="Verdana" w:hAnsi="Verdana" w:cs="Arial"/>
                <w:lang w:val="es-MX" w:eastAsia="es-ES_tradnl"/>
              </w:rPr>
              <w:t xml:space="preserve"> de 20</w:t>
            </w:r>
            <w:r w:rsidR="006C44AD">
              <w:rPr>
                <w:rFonts w:ascii="Verdana" w:hAnsi="Verdana" w:cs="Arial"/>
                <w:lang w:val="es-MX" w:eastAsia="es-ES_tradnl"/>
              </w:rPr>
              <w:t>15</w:t>
            </w:r>
            <w:r w:rsidRPr="00C6766C">
              <w:rPr>
                <w:rFonts w:ascii="Verdana" w:hAnsi="Verdana" w:cs="Arial"/>
                <w:lang w:val="es-MX" w:eastAsia="es-ES_tradnl"/>
              </w:rPr>
              <w:t xml:space="preserve">, </w:t>
            </w:r>
            <w:r w:rsidR="006C44AD">
              <w:rPr>
                <w:rFonts w:ascii="Verdana" w:hAnsi="Verdana" w:cs="Arial"/>
                <w:lang w:val="es-MX" w:eastAsia="es-ES_tradnl"/>
              </w:rPr>
              <w:t>modificado por el articulo 3</w:t>
            </w:r>
            <w:r w:rsidR="00B93C73">
              <w:rPr>
                <w:rFonts w:ascii="Verdana" w:hAnsi="Verdana" w:cs="Arial"/>
                <w:lang w:val="es-MX" w:eastAsia="es-ES_tradnl"/>
              </w:rPr>
              <w:t xml:space="preserve"> </w:t>
            </w:r>
            <w:r w:rsidR="00B93C73" w:rsidRPr="00B93C73">
              <w:rPr>
                <w:rFonts w:ascii="Verdana" w:hAnsi="Verdana" w:cs="Arial"/>
                <w:lang w:eastAsia="es-ES_tradnl"/>
              </w:rPr>
              <w:t>del Decreto 1860 de 2021</w:t>
            </w:r>
            <w:r w:rsidR="00B93C73">
              <w:rPr>
                <w:rFonts w:ascii="Verdana" w:hAnsi="Verdana" w:cs="Arial"/>
                <w:lang w:eastAsia="es-ES_tradnl"/>
              </w:rPr>
              <w:t>,</w:t>
            </w:r>
            <w:r w:rsidR="004B0C67">
              <w:rPr>
                <w:rFonts w:ascii="Verdana" w:hAnsi="Verdana" w:cs="Arial"/>
                <w:lang w:eastAsia="es-ES_tradnl"/>
              </w:rPr>
              <w:t xml:space="preserve"> establece que se</w:t>
            </w:r>
            <w:r w:rsidR="004B0C67" w:rsidRPr="004B0C67">
              <w:rPr>
                <w:rFonts w:ascii="Verdana" w:hAnsi="Verdana" w:cs="Arial"/>
                <w:lang w:eastAsia="es-ES_tradnl"/>
              </w:rPr>
              <w:t xml:space="preserve"> entenderán como emprendimientos y empresas de mujeres aquellas que cumplan con alguna de las </w:t>
            </w:r>
            <w:r w:rsidR="004B0C67">
              <w:rPr>
                <w:rFonts w:ascii="Verdana" w:hAnsi="Verdana" w:cs="Arial"/>
                <w:lang w:eastAsia="es-ES_tradnl"/>
              </w:rPr>
              <w:t xml:space="preserve">condiciones señaladas en la norma ibidem. Para el caso de la pregunta en concreto, corresponde al numeral </w:t>
            </w:r>
            <w:r w:rsidR="00651D03">
              <w:rPr>
                <w:rFonts w:ascii="Verdana" w:hAnsi="Verdana" w:cs="Arial"/>
                <w:lang w:eastAsia="es-ES_tradnl"/>
              </w:rPr>
              <w:t>2</w:t>
            </w:r>
            <w:r w:rsidR="004B0C67">
              <w:rPr>
                <w:rFonts w:ascii="Verdana" w:hAnsi="Verdana" w:cs="Arial"/>
                <w:lang w:eastAsia="es-ES_tradnl"/>
              </w:rPr>
              <w:t xml:space="preserve"> de la norma citada, el cual prescribe</w:t>
            </w:r>
            <w:r w:rsidR="002C17A8">
              <w:rPr>
                <w:rFonts w:ascii="Verdana" w:hAnsi="Verdana" w:cs="Arial"/>
                <w:lang w:eastAsia="es-ES_tradnl"/>
              </w:rPr>
              <w:t>:</w:t>
            </w:r>
          </w:p>
          <w:p w14:paraId="00AB9DAA" w14:textId="77777777" w:rsidR="00651D03" w:rsidRPr="002C17A8" w:rsidRDefault="004B0C67" w:rsidP="00651D03">
            <w:pPr>
              <w:spacing w:after="120" w:line="276" w:lineRule="auto"/>
              <w:jc w:val="both"/>
              <w:rPr>
                <w:rFonts w:ascii="Verdana" w:hAnsi="Verdana" w:cs="Arial"/>
                <w:i/>
                <w:iCs/>
                <w:sz w:val="20"/>
                <w:szCs w:val="20"/>
                <w:lang w:eastAsia="es-ES_tradnl"/>
              </w:rPr>
            </w:pPr>
            <w:r>
              <w:rPr>
                <w:rFonts w:ascii="Verdana" w:hAnsi="Verdana" w:cs="Arial"/>
                <w:lang w:eastAsia="es-ES_tradnl"/>
              </w:rPr>
              <w:t xml:space="preserve"> </w:t>
            </w:r>
            <w:r w:rsidRPr="002911D7">
              <w:rPr>
                <w:rFonts w:ascii="Verdana" w:hAnsi="Verdana" w:cs="Arial"/>
                <w:i/>
                <w:iCs/>
                <w:sz w:val="20"/>
                <w:szCs w:val="20"/>
                <w:lang w:eastAsia="es-ES_tradnl"/>
              </w:rPr>
              <w:t>“</w:t>
            </w:r>
            <w:r w:rsidRPr="002C17A8">
              <w:rPr>
                <w:rFonts w:ascii="Verdana" w:hAnsi="Verdana" w:cs="Arial"/>
                <w:i/>
                <w:iCs/>
                <w:sz w:val="20"/>
                <w:szCs w:val="20"/>
                <w:lang w:eastAsia="es-ES_tradnl"/>
              </w:rPr>
              <w:t>(…)</w:t>
            </w:r>
            <w:r w:rsidR="00651D03" w:rsidRPr="002C17A8">
              <w:rPr>
                <w:rFonts w:ascii="Verdana" w:hAnsi="Verdana" w:cs="Arial"/>
                <w:i/>
                <w:iCs/>
                <w:sz w:val="20"/>
                <w:szCs w:val="20"/>
                <w:lang w:eastAsia="es-ES_tradnl"/>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52CC3A94" w14:textId="77777777" w:rsidR="00651D03" w:rsidRPr="002C17A8" w:rsidRDefault="00651D03" w:rsidP="00651D03">
            <w:pPr>
              <w:spacing w:after="120" w:line="276" w:lineRule="auto"/>
              <w:jc w:val="both"/>
              <w:rPr>
                <w:rFonts w:ascii="Verdana" w:hAnsi="Verdana" w:cs="Arial"/>
                <w:i/>
                <w:iCs/>
                <w:sz w:val="20"/>
                <w:szCs w:val="20"/>
                <w:lang w:eastAsia="es-ES_tradnl"/>
              </w:rPr>
            </w:pPr>
          </w:p>
          <w:p w14:paraId="7DF75D50" w14:textId="77777777" w:rsidR="00651D03" w:rsidRPr="002C17A8" w:rsidRDefault="00651D03" w:rsidP="00651D03">
            <w:pPr>
              <w:spacing w:after="120" w:line="276" w:lineRule="auto"/>
              <w:jc w:val="both"/>
              <w:rPr>
                <w:rFonts w:ascii="Verdana" w:hAnsi="Verdana" w:cs="Arial"/>
                <w:i/>
                <w:iCs/>
                <w:sz w:val="20"/>
                <w:szCs w:val="20"/>
                <w:lang w:eastAsia="es-ES_tradnl"/>
              </w:rPr>
            </w:pPr>
            <w:r w:rsidRPr="002C17A8">
              <w:rPr>
                <w:rFonts w:ascii="Verdana" w:hAnsi="Verdana" w:cs="Arial"/>
                <w:i/>
                <w:iCs/>
                <w:sz w:val="20"/>
                <w:szCs w:val="20"/>
                <w:lang w:eastAsia="es-ES_tradnl"/>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5C3CD03" w14:textId="6A793D82" w:rsidR="00651D03" w:rsidRPr="002C17A8" w:rsidRDefault="00651D03" w:rsidP="00651D03">
            <w:pPr>
              <w:spacing w:after="120" w:line="276" w:lineRule="auto"/>
              <w:jc w:val="both"/>
              <w:rPr>
                <w:rFonts w:ascii="Verdana" w:hAnsi="Verdana" w:cs="Arial"/>
                <w:i/>
                <w:iCs/>
                <w:sz w:val="20"/>
                <w:szCs w:val="20"/>
                <w:lang w:eastAsia="es-ES_tradnl"/>
              </w:rPr>
            </w:pPr>
            <w:r w:rsidRPr="002C17A8">
              <w:rPr>
                <w:rFonts w:ascii="Verdana" w:hAnsi="Verdana" w:cs="Arial"/>
                <w:i/>
                <w:iCs/>
                <w:sz w:val="20"/>
                <w:szCs w:val="20"/>
                <w:lang w:eastAsia="es-ES_tradnl"/>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 (…)”</w:t>
            </w:r>
          </w:p>
          <w:p w14:paraId="139CA4D0" w14:textId="77777777" w:rsidR="00651D03" w:rsidRPr="002C17A8" w:rsidRDefault="00651D03" w:rsidP="00651D03">
            <w:pPr>
              <w:spacing w:after="120" w:line="276" w:lineRule="auto"/>
              <w:jc w:val="both"/>
              <w:rPr>
                <w:rFonts w:ascii="Verdana" w:hAnsi="Verdana" w:cs="Arial"/>
                <w:i/>
                <w:iCs/>
                <w:sz w:val="20"/>
                <w:szCs w:val="20"/>
                <w:lang w:eastAsia="es-ES_tradnl"/>
              </w:rPr>
            </w:pPr>
          </w:p>
          <w:p w14:paraId="0CF3DC48" w14:textId="6A8BCE34" w:rsidR="004B0C67" w:rsidRPr="004B0C67" w:rsidRDefault="004B0C67" w:rsidP="00C6766C">
            <w:pPr>
              <w:spacing w:after="120" w:line="276" w:lineRule="auto"/>
              <w:jc w:val="both"/>
              <w:rPr>
                <w:rFonts w:ascii="Verdana" w:hAnsi="Verdana" w:cs="Arial"/>
                <w:lang w:eastAsia="es-ES_tradnl"/>
              </w:rPr>
            </w:pPr>
            <w:r w:rsidRPr="002911D7">
              <w:rPr>
                <w:rFonts w:ascii="Verdana" w:hAnsi="Verdana" w:cs="Arial"/>
                <w:i/>
                <w:iCs/>
                <w:sz w:val="20"/>
                <w:szCs w:val="20"/>
                <w:lang w:eastAsia="es-ES_tradnl"/>
              </w:rPr>
              <w:t>En ese sentido la norma es clara,  sobre la forma de acreditación de una empresa y emprendimiento de mujeres y exige  “</w:t>
            </w:r>
            <w:r w:rsidR="00651D03" w:rsidRPr="002C17A8">
              <w:rPr>
                <w:rFonts w:ascii="Verdana" w:hAnsi="Verdana" w:cs="Arial"/>
                <w:i/>
                <w:iCs/>
                <w:sz w:val="20"/>
                <w:szCs w:val="20"/>
                <w:lang w:eastAsia="es-ES_tradnl"/>
              </w:rPr>
              <w:t>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r w:rsidRPr="002C17A8">
              <w:rPr>
                <w:rFonts w:ascii="Verdana" w:hAnsi="Verdana" w:cs="Arial"/>
                <w:i/>
                <w:iCs/>
                <w:sz w:val="20"/>
                <w:szCs w:val="20"/>
                <w:lang w:eastAsia="es-ES_tradnl"/>
              </w:rPr>
              <w:t>”,</w:t>
            </w:r>
            <w:r>
              <w:rPr>
                <w:rFonts w:ascii="Verdana" w:hAnsi="Verdana" w:cs="Arial"/>
                <w:i/>
                <w:iCs/>
                <w:sz w:val="20"/>
                <w:szCs w:val="20"/>
                <w:lang w:eastAsia="es-ES_tradnl"/>
              </w:rPr>
              <w:t xml:space="preserve"> </w:t>
            </w:r>
            <w:r w:rsidRPr="002911D7">
              <w:rPr>
                <w:rFonts w:ascii="Verdana" w:hAnsi="Verdana" w:cs="Arial"/>
                <w:lang w:eastAsia="es-ES_tradnl"/>
              </w:rPr>
              <w:t xml:space="preserve">es decir, no </w:t>
            </w:r>
            <w:r w:rsidR="00651D03" w:rsidRPr="002911D7">
              <w:rPr>
                <w:rFonts w:ascii="Verdana" w:hAnsi="Verdana" w:cs="Arial"/>
                <w:lang w:eastAsia="es-ES_tradnl"/>
              </w:rPr>
              <w:t xml:space="preserve"> se establece diferencia entre persona jurídica nacional o extranjera, por lo cual el requisito de acreditación ante la entidad contratante opera sin distinción alguna sobre la calidad de nacional o extranjera del proponente.</w:t>
            </w:r>
          </w:p>
          <w:p w14:paraId="0BCDD0BB" w14:textId="6CCCAA69" w:rsidR="002C17A8" w:rsidRPr="002C17A8" w:rsidRDefault="00BB5023" w:rsidP="00FC32CA">
            <w:pPr>
              <w:spacing w:after="120" w:line="276" w:lineRule="auto"/>
              <w:jc w:val="both"/>
              <w:rPr>
                <w:rFonts w:ascii="Verdana" w:hAnsi="Verdana" w:cs="Arial"/>
                <w:lang w:eastAsia="es-ES_tradnl"/>
              </w:rPr>
            </w:pPr>
            <w:r w:rsidRPr="002C17A8">
              <w:rPr>
                <w:rFonts w:ascii="Verdana" w:hAnsi="Verdana" w:cs="Arial"/>
                <w:lang w:eastAsia="es-ES_tradnl"/>
              </w:rPr>
              <w:lastRenderedPageBreak/>
              <w:t>Ahora bien, respecto a la persona jurídica extranjera, se entiende que sus sucursales</w:t>
            </w:r>
            <w:r w:rsidR="002C17A8">
              <w:rPr>
                <w:rFonts w:ascii="Verdana" w:hAnsi="Verdana" w:cs="Arial"/>
                <w:lang w:eastAsia="es-ES_tradnl"/>
              </w:rPr>
              <w:t xml:space="preserve"> son bienes </w:t>
            </w:r>
            <w:r w:rsidR="00BB59AB">
              <w:rPr>
                <w:rFonts w:ascii="Verdana" w:hAnsi="Verdana" w:cs="Arial"/>
                <w:lang w:eastAsia="es-ES_tradnl"/>
              </w:rPr>
              <w:t>de esta,</w:t>
            </w:r>
            <w:r w:rsidRPr="002C17A8">
              <w:rPr>
                <w:rFonts w:ascii="Verdana" w:hAnsi="Verdana" w:cs="Arial"/>
                <w:lang w:eastAsia="es-ES_tradnl"/>
              </w:rPr>
              <w:t xml:space="preserve"> tal y como lo prescribe el artículo 263 del </w:t>
            </w:r>
            <w:r w:rsidR="00BB59AB">
              <w:rPr>
                <w:rFonts w:ascii="Verdana" w:hAnsi="Verdana" w:cs="Arial"/>
                <w:lang w:eastAsia="es-ES_tradnl"/>
              </w:rPr>
              <w:t xml:space="preserve">Código de </w:t>
            </w:r>
            <w:r w:rsidR="00BB59AB" w:rsidRPr="002C17A8">
              <w:rPr>
                <w:rFonts w:ascii="Verdana" w:hAnsi="Verdana" w:cs="Arial"/>
                <w:lang w:eastAsia="es-ES_tradnl"/>
              </w:rPr>
              <w:t>Come</w:t>
            </w:r>
            <w:r w:rsidR="00BB59AB">
              <w:rPr>
                <w:rFonts w:ascii="Verdana" w:hAnsi="Verdana" w:cs="Arial"/>
                <w:lang w:eastAsia="es-ES_tradnl"/>
              </w:rPr>
              <w:t xml:space="preserve">rcio, </w:t>
            </w:r>
            <w:r w:rsidRPr="002C17A8">
              <w:rPr>
                <w:rFonts w:ascii="Verdana" w:hAnsi="Verdana" w:cs="Arial"/>
                <w:lang w:eastAsia="es-ES_tradnl"/>
              </w:rPr>
              <w:t>que establece “</w:t>
            </w:r>
            <w:r w:rsidRPr="002911D7">
              <w:rPr>
                <w:rFonts w:ascii="Verdana" w:hAnsi="Verdana" w:cs="Arial"/>
                <w:i/>
                <w:iCs/>
                <w:lang w:eastAsia="es-ES_tradnl"/>
              </w:rPr>
              <w:t>son sucursales los establecimientos de comercio abiertos por una sociedad, dentro o fuera de su domicilio, para el desarrollo de los negocios sociales o de parte de ellos, administrados por mandatarios con facultades para representar a la sociedad”</w:t>
            </w:r>
            <w:r w:rsidR="002C17A8" w:rsidRPr="002C17A8">
              <w:rPr>
                <w:rFonts w:ascii="Verdana" w:hAnsi="Verdana" w:cs="Arial"/>
                <w:i/>
                <w:iCs/>
                <w:lang w:eastAsia="es-ES_tradnl"/>
              </w:rPr>
              <w:t xml:space="preserve">; </w:t>
            </w:r>
            <w:r w:rsidR="002C17A8" w:rsidRPr="002C17A8">
              <w:rPr>
                <w:rFonts w:ascii="Verdana" w:hAnsi="Verdana" w:cs="Arial"/>
                <w:lang w:eastAsia="es-ES_tradnl"/>
              </w:rPr>
              <w:t xml:space="preserve">así mismo, el artículo  515 del C.co </w:t>
            </w:r>
            <w:r w:rsidR="00BB59AB">
              <w:rPr>
                <w:rFonts w:ascii="Verdana" w:hAnsi="Verdana" w:cs="Arial"/>
                <w:lang w:eastAsia="es-ES_tradnl"/>
              </w:rPr>
              <w:t xml:space="preserve">define </w:t>
            </w:r>
            <w:r w:rsidR="002C17A8" w:rsidRPr="002C17A8">
              <w:rPr>
                <w:rFonts w:ascii="Verdana" w:hAnsi="Verdana" w:cs="Arial"/>
                <w:lang w:eastAsia="es-ES_tradnl"/>
              </w:rPr>
              <w:t xml:space="preserve">que </w:t>
            </w:r>
            <w:r w:rsidR="00BB59AB">
              <w:rPr>
                <w:rFonts w:ascii="Verdana" w:hAnsi="Verdana" w:cs="Arial"/>
                <w:lang w:eastAsia="es-ES_tradnl"/>
              </w:rPr>
              <w:t xml:space="preserve"> un establecimiento de comercio, es “</w:t>
            </w:r>
            <w:r w:rsidR="002C17A8" w:rsidRPr="002C17A8">
              <w:rPr>
                <w:rFonts w:ascii="Verdana" w:hAnsi="Verdana" w:cs="Arial"/>
                <w:lang w:eastAsia="es-ES_tradnl"/>
              </w:rPr>
              <w:t>un conjunto de bienes organizados por el empresario para realizar los fines de la empresa</w:t>
            </w:r>
            <w:r w:rsidR="00BB59AB">
              <w:rPr>
                <w:rFonts w:ascii="Verdana" w:hAnsi="Verdana" w:cs="Arial"/>
                <w:lang w:eastAsia="es-ES_tradnl"/>
              </w:rPr>
              <w:t xml:space="preserve"> (…) </w:t>
            </w:r>
            <w:r w:rsidR="002C17A8" w:rsidRPr="002C17A8">
              <w:rPr>
                <w:rFonts w:ascii="Verdana" w:hAnsi="Verdana" w:cs="Arial"/>
                <w:lang w:eastAsia="es-ES_tradnl"/>
              </w:rPr>
              <w:t>”.</w:t>
            </w:r>
          </w:p>
          <w:p w14:paraId="37BF3D9D" w14:textId="295C07C5" w:rsidR="00FC32CA" w:rsidRPr="00FC32CA" w:rsidRDefault="00BB59AB" w:rsidP="00FC32CA">
            <w:pPr>
              <w:spacing w:after="120" w:line="276" w:lineRule="auto"/>
              <w:jc w:val="both"/>
              <w:rPr>
                <w:rFonts w:ascii="Verdana" w:hAnsi="Verdana" w:cs="Arial"/>
                <w:lang w:eastAsia="es-ES_tradnl"/>
              </w:rPr>
            </w:pPr>
            <w:r>
              <w:rPr>
                <w:rFonts w:ascii="Verdana" w:hAnsi="Verdana" w:cs="Arial"/>
                <w:lang w:eastAsia="es-ES_tradnl"/>
              </w:rPr>
              <w:t>E</w:t>
            </w:r>
            <w:r w:rsidR="00BB5023" w:rsidRPr="002C17A8">
              <w:rPr>
                <w:rFonts w:ascii="Verdana" w:hAnsi="Verdana" w:cs="Arial"/>
                <w:lang w:eastAsia="es-ES_tradnl"/>
              </w:rPr>
              <w:t xml:space="preserve">n ese orden de ideas, </w:t>
            </w:r>
            <w:r w:rsidR="00B3090D" w:rsidRPr="002C17A8">
              <w:rPr>
                <w:rFonts w:ascii="Verdana" w:hAnsi="Verdana" w:cs="Arial"/>
                <w:lang w:eastAsia="es-ES_tradnl"/>
              </w:rPr>
              <w:t xml:space="preserve">para que </w:t>
            </w:r>
            <w:r>
              <w:rPr>
                <w:rFonts w:ascii="Verdana" w:hAnsi="Verdana" w:cs="Arial"/>
                <w:lang w:eastAsia="es-ES_tradnl"/>
              </w:rPr>
              <w:t xml:space="preserve">una persona jurídica </w:t>
            </w:r>
            <w:r w:rsidR="00B3090D" w:rsidRPr="002C17A8">
              <w:rPr>
                <w:rFonts w:ascii="Verdana" w:hAnsi="Verdana" w:cs="Arial"/>
                <w:lang w:eastAsia="es-ES_tradnl"/>
              </w:rPr>
              <w:t xml:space="preserve">sea considerada una empresa de mujeres deberá tener </w:t>
            </w:r>
            <w:r w:rsidR="00B3090D" w:rsidRPr="002911D7">
              <w:rPr>
                <w:rFonts w:ascii="Verdana" w:hAnsi="Verdana" w:cs="Arial"/>
                <w:lang w:eastAsia="es-ES_tradnl"/>
              </w:rPr>
              <w:t xml:space="preserve">por lo menos el cincuenta por ciento (50%) de los empleos del nivel directivo de la persona jurídica ser ejercido por mujeres y éstas </w:t>
            </w:r>
            <w:r w:rsidR="00EF62AA">
              <w:rPr>
                <w:rFonts w:ascii="Verdana" w:hAnsi="Verdana" w:cs="Arial"/>
                <w:lang w:eastAsia="es-ES_tradnl"/>
              </w:rPr>
              <w:t xml:space="preserve">a la vez </w:t>
            </w:r>
            <w:r w:rsidR="00B3090D" w:rsidRPr="002911D7">
              <w:rPr>
                <w:rFonts w:ascii="Verdana" w:hAnsi="Verdana" w:cs="Arial"/>
                <w:lang w:eastAsia="es-ES_tradnl"/>
              </w:rPr>
              <w:t>estar vinculadas laboralmente a la empresa durante al menos el último año anterior a la fecha de cierre del Proceso de Selección en el mismo cargo u otro del mismo nivel</w:t>
            </w:r>
            <w:r w:rsidR="00B3090D" w:rsidRPr="002911D7">
              <w:rPr>
                <w:rFonts w:ascii="Verdana" w:hAnsi="Verdana" w:cs="Arial"/>
                <w:sz w:val="22"/>
                <w:szCs w:val="22"/>
                <w:lang w:eastAsia="es-ES_tradnl"/>
              </w:rPr>
              <w:t>.</w:t>
            </w:r>
          </w:p>
          <w:p w14:paraId="0E943E23" w14:textId="4D2E421F" w:rsidR="00C6766C" w:rsidRDefault="002C17A8" w:rsidP="00C6766C">
            <w:pPr>
              <w:spacing w:after="120" w:line="276" w:lineRule="auto"/>
              <w:jc w:val="both"/>
              <w:rPr>
                <w:rFonts w:ascii="Verdana" w:hAnsi="Verdana" w:cs="Arial"/>
                <w:lang w:val="es-MX" w:eastAsia="es-ES_tradnl"/>
              </w:rPr>
            </w:pPr>
            <w:r>
              <w:rPr>
                <w:rFonts w:ascii="Verdana" w:hAnsi="Verdana" w:cs="Arial"/>
              </w:rPr>
              <w:t>En conclusión, l</w:t>
            </w:r>
            <w:r w:rsidRPr="00C6766C">
              <w:rPr>
                <w:rFonts w:ascii="Verdana" w:eastAsia="Century Gothic" w:hAnsi="Verdana" w:cs="Century Gothic"/>
                <w:color w:val="000000"/>
                <w:lang w:val="es-ES"/>
              </w:rPr>
              <w:t xml:space="preserve">a acreditación requerida para las empresas extranjeras con sucursales en Colombia aplica al 50% de los cargos directivos de </w:t>
            </w:r>
            <w:r>
              <w:rPr>
                <w:rFonts w:ascii="Verdana" w:eastAsia="Century Gothic" w:hAnsi="Verdana" w:cs="Century Gothic"/>
                <w:color w:val="000000"/>
                <w:lang w:val="es-ES"/>
              </w:rPr>
              <w:t>la persona jurídica</w:t>
            </w:r>
            <w:r w:rsidRPr="00C6766C">
              <w:rPr>
                <w:rFonts w:ascii="Verdana" w:eastAsia="Century Gothic" w:hAnsi="Verdana" w:cs="Century Gothic"/>
                <w:color w:val="000000"/>
                <w:lang w:val="es-ES"/>
              </w:rPr>
              <w:t>, y esta acreditación debe ser certificada por su representante legal y el revisor fiscal</w:t>
            </w:r>
            <w:r>
              <w:rPr>
                <w:rFonts w:ascii="Verdana" w:eastAsia="Century Gothic" w:hAnsi="Verdana" w:cs="Century Gothic"/>
                <w:color w:val="000000"/>
                <w:lang w:val="es-ES"/>
              </w:rPr>
              <w:t>, tal y como señala la norma ibidem.</w:t>
            </w:r>
          </w:p>
          <w:p w14:paraId="7979304B" w14:textId="468820C8" w:rsidR="00A01D9C" w:rsidRPr="00C6766C" w:rsidRDefault="00A01D9C" w:rsidP="00C6766C">
            <w:pPr>
              <w:spacing w:after="120" w:line="276" w:lineRule="auto"/>
              <w:jc w:val="both"/>
              <w:rPr>
                <w:rFonts w:ascii="Verdana" w:hAnsi="Verdana" w:cs="Arial"/>
                <w:lang w:val="es-MX" w:eastAsia="es-ES_tradnl"/>
              </w:rPr>
            </w:pPr>
          </w:p>
        </w:tc>
      </w:tr>
    </w:tbl>
    <w:p w14:paraId="325AA014" w14:textId="77777777" w:rsidR="00C6766C" w:rsidRPr="00C6766C" w:rsidRDefault="00C6766C" w:rsidP="00C6766C">
      <w:pPr>
        <w:tabs>
          <w:tab w:val="left" w:pos="142"/>
          <w:tab w:val="left" w:pos="284"/>
        </w:tabs>
        <w:spacing w:line="276" w:lineRule="auto"/>
        <w:jc w:val="both"/>
        <w:rPr>
          <w:rFonts w:ascii="Verdana" w:eastAsia="Century Gothic" w:hAnsi="Verdana" w:cs="Century Gothic"/>
          <w:b/>
          <w:bCs/>
          <w:color w:val="000000"/>
          <w:lang w:val="es-ES"/>
        </w:rPr>
      </w:pPr>
    </w:p>
    <w:p w14:paraId="59BBE672" w14:textId="77777777" w:rsidR="00C6766C" w:rsidRPr="00C6766C" w:rsidRDefault="00C6766C" w:rsidP="00C6766C">
      <w:pPr>
        <w:numPr>
          <w:ilvl w:val="0"/>
          <w:numId w:val="16"/>
        </w:numPr>
        <w:tabs>
          <w:tab w:val="left" w:pos="142"/>
          <w:tab w:val="left" w:pos="284"/>
        </w:tabs>
        <w:spacing w:line="276" w:lineRule="auto"/>
        <w:ind w:left="0" w:firstLine="0"/>
        <w:jc w:val="both"/>
        <w:rPr>
          <w:rFonts w:ascii="Verdana" w:eastAsia="Century Gothic" w:hAnsi="Verdana" w:cs="Century Gothic"/>
          <w:b/>
          <w:bCs/>
          <w:color w:val="000000"/>
          <w:lang w:val="es-ES"/>
        </w:rPr>
      </w:pPr>
      <w:r w:rsidRPr="00C6766C">
        <w:rPr>
          <w:rFonts w:ascii="Verdana" w:eastAsia="Century Gothic" w:hAnsi="Verdana" w:cs="Century Gothic"/>
          <w:b/>
          <w:bCs/>
          <w:color w:val="000000"/>
          <w:lang w:val="es-ES"/>
        </w:rPr>
        <w:t>Razones de la respuesta:</w:t>
      </w:r>
    </w:p>
    <w:p w14:paraId="188492AF" w14:textId="77777777" w:rsidR="00C6766C" w:rsidRPr="00C6766C" w:rsidRDefault="00C6766C" w:rsidP="00C6766C">
      <w:pPr>
        <w:spacing w:line="276" w:lineRule="auto"/>
        <w:jc w:val="both"/>
        <w:rPr>
          <w:rFonts w:ascii="Verdana" w:eastAsia="Calibri" w:hAnsi="Verdana" w:cs="Arial"/>
          <w:color w:val="000000"/>
          <w:lang w:val="es-ES"/>
        </w:rPr>
      </w:pPr>
    </w:p>
    <w:p w14:paraId="30FC134D" w14:textId="77777777" w:rsidR="00C6766C" w:rsidRPr="00C6766C" w:rsidRDefault="00C6766C" w:rsidP="00C6766C">
      <w:pPr>
        <w:spacing w:line="276" w:lineRule="auto"/>
        <w:jc w:val="both"/>
        <w:rPr>
          <w:rFonts w:ascii="Verdana" w:eastAsia="Calibri" w:hAnsi="Verdana" w:cs="Arial"/>
          <w:color w:val="000000"/>
          <w:lang w:val="es-ES"/>
        </w:rPr>
      </w:pPr>
      <w:r w:rsidRPr="00C6766C">
        <w:rPr>
          <w:rFonts w:ascii="Verdana" w:eastAsia="Calibri" w:hAnsi="Verdana" w:cs="Arial"/>
          <w:color w:val="000000"/>
          <w:lang w:val="es-ES"/>
        </w:rPr>
        <w:t xml:space="preserve">Lo anterior se sustenta en las siguientes consideraciones: </w:t>
      </w:r>
    </w:p>
    <w:p w14:paraId="616C656C" w14:textId="77777777" w:rsidR="00C6766C" w:rsidRPr="00C6766C" w:rsidRDefault="00C6766C" w:rsidP="00C6766C">
      <w:pPr>
        <w:widowControl w:val="0"/>
        <w:autoSpaceDE w:val="0"/>
        <w:autoSpaceDN w:val="0"/>
        <w:spacing w:line="276" w:lineRule="auto"/>
        <w:jc w:val="both"/>
        <w:rPr>
          <w:rFonts w:ascii="Verdana" w:eastAsia="Aptos" w:hAnsi="Verdana" w:cs="Arial"/>
          <w:color w:val="000000"/>
        </w:rPr>
      </w:pPr>
    </w:p>
    <w:p w14:paraId="167BBFC5" w14:textId="77777777" w:rsidR="00C6766C" w:rsidRPr="00C6766C" w:rsidRDefault="00C6766C" w:rsidP="00C6766C">
      <w:pPr>
        <w:spacing w:after="120" w:line="276" w:lineRule="auto"/>
        <w:jc w:val="both"/>
        <w:rPr>
          <w:rFonts w:ascii="Verdana" w:hAnsi="Verdana" w:cs="Arial"/>
          <w:lang w:val="es-ES_tradnl" w:eastAsia="es-ES_tradnl"/>
        </w:rPr>
      </w:pPr>
      <w:r w:rsidRPr="00C6766C">
        <w:rPr>
          <w:rFonts w:ascii="Verdana" w:hAnsi="Verdana" w:cs="Arial"/>
        </w:rPr>
        <w:t xml:space="preserve">En primer lugar, respecto del objeto de su consulta debe advertirse que, </w:t>
      </w:r>
      <w:r w:rsidRPr="00C6766C">
        <w:rPr>
          <w:rFonts w:ascii="Verdana" w:hAnsi="Verdana" w:cs="Arial"/>
          <w:lang w:val="es-ES_tradnl" w:eastAsia="es-ES_tradnl"/>
        </w:rPr>
        <w:t xml:space="preserve">el 31 de diciembre de 2020 se promulgó la Ley 2069, “Por medio de la cual se impulsa el emprendimiento en Colombia”. Como dispone el artículo 1°, aquella “tiene por objeto establecer un marco regulatorio que propicie el emprendimiento y el crecimiento, consolidación y sostenibilidad de las empresas, con el fin de aumentar el bienestar social </w:t>
      </w:r>
      <w:r w:rsidRPr="00C6766C">
        <w:rPr>
          <w:rFonts w:ascii="Verdana" w:hAnsi="Verdana" w:cs="Arial"/>
          <w:lang w:val="es-ES_tradnl" w:eastAsia="es-ES_tradnl"/>
        </w:rPr>
        <w:lastRenderedPageBreak/>
        <w:t>y generar equidad”</w:t>
      </w:r>
      <w:r w:rsidRPr="00C6766C">
        <w:rPr>
          <w:rFonts w:ascii="Calibri" w:hAnsi="Calibri"/>
          <w:vertAlign w:val="superscript"/>
          <w:lang w:eastAsia="es-ES_tradnl"/>
        </w:rPr>
        <w:footnoteReference w:id="2"/>
      </w:r>
      <w:r w:rsidRPr="00C6766C">
        <w:rPr>
          <w:rFonts w:ascii="Verdana" w:hAnsi="Verdana" w:cs="Arial"/>
          <w:lang w:val="es-ES_tradnl" w:eastAsia="es-ES_tradnl"/>
        </w:rPr>
        <w:t xml:space="preserve">. Esto, a partir de “[…] un enfoque regionalizado de acuerdo con las realidades socioeconómicas de cada región”. </w:t>
      </w:r>
    </w:p>
    <w:p w14:paraId="2478B2BF" w14:textId="77777777" w:rsidR="00C6766C" w:rsidRPr="00C6766C" w:rsidRDefault="00C6766C" w:rsidP="00C6766C">
      <w:pPr>
        <w:spacing w:after="120" w:line="276" w:lineRule="auto"/>
        <w:ind w:firstLine="708"/>
        <w:jc w:val="both"/>
        <w:rPr>
          <w:rFonts w:ascii="Verdana" w:hAnsi="Verdana" w:cs="Arial"/>
          <w:lang w:val="es-ES_tradnl" w:eastAsia="es-ES_tradnl"/>
        </w:rPr>
      </w:pPr>
      <w:r w:rsidRPr="00C6766C">
        <w:rPr>
          <w:rFonts w:ascii="Verdana" w:hAnsi="Verdana" w:cs="Arial"/>
          <w:lang w:val="es-ES_tradnl" w:eastAsia="es-ES_tradnl"/>
        </w:rPr>
        <w:t>En desarrollo de esta finalidad, se establecen medidas de apoyo para las micro, pequeñas y medianas empresas –</w:t>
      </w:r>
      <w:proofErr w:type="spellStart"/>
      <w:r w:rsidRPr="00C6766C">
        <w:rPr>
          <w:rFonts w:ascii="Verdana" w:hAnsi="Verdana" w:cs="Arial"/>
          <w:lang w:val="es-ES_tradnl" w:eastAsia="es-ES_tradnl"/>
        </w:rPr>
        <w:t>Mipymes</w:t>
      </w:r>
      <w:proofErr w:type="spellEnd"/>
      <w:r w:rsidRPr="00C6766C">
        <w:rPr>
          <w:rFonts w:ascii="Verdana" w:hAnsi="Verdana" w:cs="Arial"/>
          <w:lang w:val="es-ES_tradnl" w:eastAsia="es-ES_tradnl"/>
        </w:rPr>
        <w:t>–, mediante la racionalización y simplificación de los trámites y tarifas</w:t>
      </w:r>
      <w:r w:rsidRPr="00C6766C">
        <w:rPr>
          <w:rFonts w:ascii="Calibri" w:hAnsi="Calibri"/>
          <w:vertAlign w:val="superscript"/>
          <w:lang w:eastAsia="es-ES_tradnl"/>
        </w:rPr>
        <w:footnoteReference w:id="3"/>
      </w:r>
      <w:r w:rsidRPr="00C6766C">
        <w:rPr>
          <w:rFonts w:ascii="Verdana" w:hAnsi="Verdana" w:cs="Arial"/>
          <w:lang w:val="es-ES_tradnl" w:eastAsia="es-ES_tradnl"/>
        </w:rPr>
        <w:t>, así como incentivos a favor de aquellas dentro del sistema de compras y contratación pública</w:t>
      </w:r>
      <w:r w:rsidRPr="00C6766C">
        <w:rPr>
          <w:rFonts w:ascii="Calibri" w:hAnsi="Calibri"/>
          <w:vertAlign w:val="superscript"/>
          <w:lang w:eastAsia="es-ES_tradnl"/>
        </w:rPr>
        <w:footnoteReference w:id="4"/>
      </w:r>
      <w:r w:rsidRPr="00C6766C">
        <w:rPr>
          <w:rFonts w:ascii="Verdana" w:hAnsi="Verdana" w:cs="Arial"/>
          <w:lang w:val="es-ES_tradnl" w:eastAsia="es-ES_tradnl"/>
        </w:rPr>
        <w:t>. También se consagran mecanismos de acceso al financiamiento</w:t>
      </w:r>
      <w:r w:rsidRPr="00C6766C">
        <w:rPr>
          <w:rFonts w:ascii="Calibri" w:hAnsi="Calibri"/>
          <w:vertAlign w:val="superscript"/>
          <w:lang w:eastAsia="es-ES_tradnl"/>
        </w:rPr>
        <w:footnoteReference w:id="5"/>
      </w:r>
      <w:r w:rsidRPr="00C6766C">
        <w:rPr>
          <w:rFonts w:ascii="Verdana" w:hAnsi="Verdana" w:cs="Arial"/>
          <w:lang w:val="es-ES_tradnl" w:eastAsia="es-ES_tradnl"/>
        </w:rPr>
        <w:t>, se unifican las fuentes de emprendimiento y de desarrollo empresarial, para fortalecer y promover los distintos sectores de la economía</w:t>
      </w:r>
      <w:r w:rsidRPr="00C6766C">
        <w:rPr>
          <w:rFonts w:ascii="Calibri" w:hAnsi="Calibri"/>
          <w:vertAlign w:val="superscript"/>
          <w:lang w:eastAsia="es-ES_tradnl"/>
        </w:rPr>
        <w:footnoteReference w:id="6"/>
      </w:r>
      <w:r w:rsidRPr="00C6766C">
        <w:rPr>
          <w:rFonts w:ascii="Verdana" w:hAnsi="Verdana" w:cs="Arial"/>
          <w:lang w:val="es-ES_tradnl" w:eastAsia="es-ES_tradnl"/>
        </w:rPr>
        <w:t xml:space="preserve"> y se prevén medidas de educación para el emprendimiento y la innovación</w:t>
      </w:r>
      <w:r w:rsidRPr="00C6766C">
        <w:rPr>
          <w:rFonts w:ascii="Calibri" w:hAnsi="Calibri"/>
          <w:vertAlign w:val="superscript"/>
          <w:lang w:eastAsia="es-ES_tradnl"/>
        </w:rPr>
        <w:footnoteReference w:id="7"/>
      </w:r>
      <w:r w:rsidRPr="00C6766C">
        <w:rPr>
          <w:rFonts w:ascii="Verdana" w:hAnsi="Verdana" w:cs="Arial"/>
          <w:lang w:val="es-ES_tradnl" w:eastAsia="es-ES_tradnl"/>
        </w:rPr>
        <w:t>.</w:t>
      </w:r>
    </w:p>
    <w:p w14:paraId="456E1C7B" w14:textId="77777777" w:rsidR="00C6766C" w:rsidRPr="00C6766C" w:rsidRDefault="00C6766C" w:rsidP="00C6766C">
      <w:pPr>
        <w:spacing w:line="276" w:lineRule="auto"/>
        <w:ind w:firstLine="708"/>
        <w:jc w:val="both"/>
        <w:rPr>
          <w:rFonts w:ascii="Verdana" w:hAnsi="Verdana" w:cs="Arial"/>
          <w:lang w:val="es-ES_tradnl" w:eastAsia="es-ES_tradnl"/>
        </w:rPr>
      </w:pPr>
      <w:r w:rsidRPr="00C6766C">
        <w:rPr>
          <w:rFonts w:ascii="Verdana" w:hAnsi="Verdana" w:cs="Arial"/>
          <w:lang w:val="es-ES_tradnl" w:eastAsia="es-ES_tradnl"/>
        </w:rPr>
        <w:t xml:space="preserve">Como se indicó, parte de la </w:t>
      </w:r>
      <w:bookmarkStart w:id="1" w:name="_Hlk175579524"/>
      <w:r w:rsidRPr="00C6766C">
        <w:rPr>
          <w:rFonts w:ascii="Verdana" w:hAnsi="Verdana" w:cs="Arial"/>
          <w:lang w:val="es-ES_tradnl" w:eastAsia="es-ES_tradnl"/>
        </w:rPr>
        <w:t xml:space="preserve">Ley 2069 </w:t>
      </w:r>
      <w:bookmarkEnd w:id="1"/>
      <w:r w:rsidRPr="00C6766C">
        <w:rPr>
          <w:rFonts w:ascii="Verdana" w:hAnsi="Verdana" w:cs="Arial"/>
          <w:lang w:val="es-ES_tradnl" w:eastAsia="es-ES_tradnl"/>
        </w:rPr>
        <w:t xml:space="preserve">contiene normas que modifican algunos aspectos de la contratación estatal para promover el emprendimiento. </w:t>
      </w:r>
      <w:r w:rsidRPr="00C6766C">
        <w:rPr>
          <w:rFonts w:ascii="Verdana" w:hAnsi="Verdana" w:cs="Arial"/>
          <w:lang w:eastAsia="es-ES_tradnl"/>
        </w:rPr>
        <w:t xml:space="preserve">Particularmente, el </w:t>
      </w:r>
      <w:bookmarkStart w:id="2" w:name="_Hlk175579539"/>
      <w:r w:rsidRPr="00C6766C">
        <w:rPr>
          <w:rFonts w:ascii="Verdana" w:hAnsi="Verdana" w:cs="Arial"/>
          <w:lang w:eastAsia="es-ES_tradnl"/>
        </w:rPr>
        <w:t xml:space="preserve">artículo 32 </w:t>
      </w:r>
      <w:bookmarkEnd w:id="2"/>
      <w:r w:rsidRPr="00C6766C">
        <w:rPr>
          <w:rFonts w:ascii="Verdana" w:hAnsi="Verdana" w:cs="Arial"/>
          <w:i/>
          <w:lang w:eastAsia="es-ES_tradnl"/>
        </w:rPr>
        <w:t>ibidem</w:t>
      </w:r>
      <w:r w:rsidRPr="00C6766C">
        <w:rPr>
          <w:rFonts w:ascii="Calibri" w:hAnsi="Calibri"/>
          <w:vertAlign w:val="superscript"/>
          <w:lang w:eastAsia="es-ES_tradnl"/>
        </w:rPr>
        <w:footnoteReference w:id="8"/>
      </w:r>
      <w:r w:rsidRPr="00C6766C">
        <w:rPr>
          <w:rFonts w:ascii="Verdana" w:hAnsi="Verdana" w:cs="Arial"/>
          <w:lang w:eastAsia="es-ES_tradnl"/>
        </w:rPr>
        <w:t xml:space="preserve"> regula criterios diferenciales y puntajes adicionales para los “emprendimientos y empresas de mujeres” en el sistema de compras y contratación pública. En relación con este aspecto, el inciso primero de la norma citada prescribe: </w:t>
      </w:r>
    </w:p>
    <w:p w14:paraId="2C478562" w14:textId="77777777" w:rsidR="00C6766C" w:rsidRPr="00C6766C" w:rsidRDefault="00C6766C" w:rsidP="00C6766C">
      <w:pPr>
        <w:tabs>
          <w:tab w:val="left" w:pos="709"/>
        </w:tabs>
        <w:spacing w:line="276" w:lineRule="auto"/>
        <w:ind w:left="709" w:right="709"/>
        <w:jc w:val="both"/>
        <w:rPr>
          <w:rFonts w:ascii="Verdana" w:hAnsi="Verdana" w:cs="Arial"/>
          <w:bCs/>
          <w:lang w:eastAsia="es-ES_tradnl"/>
        </w:rPr>
      </w:pPr>
    </w:p>
    <w:p w14:paraId="4ED4CD41" w14:textId="77777777" w:rsidR="00C6766C" w:rsidRPr="00C6766C" w:rsidRDefault="00C6766C" w:rsidP="00C6766C">
      <w:pPr>
        <w:tabs>
          <w:tab w:val="left" w:pos="709"/>
        </w:tabs>
        <w:ind w:left="709" w:right="709"/>
        <w:contextualSpacing/>
        <w:jc w:val="both"/>
        <w:rPr>
          <w:rFonts w:ascii="Verdana" w:hAnsi="Verdana" w:cs="Arial"/>
          <w:bCs/>
          <w:sz w:val="20"/>
          <w:szCs w:val="20"/>
          <w:lang w:eastAsia="es-ES_tradnl"/>
        </w:rPr>
      </w:pPr>
      <w:r w:rsidRPr="00C6766C">
        <w:rPr>
          <w:rFonts w:ascii="Verdana" w:hAnsi="Verdana" w:cs="Arial"/>
          <w:bCs/>
          <w:sz w:val="20"/>
          <w:szCs w:val="20"/>
          <w:lang w:eastAsia="es-ES_tradnl"/>
        </w:rPr>
        <w:t xml:space="preserve">De acuerdo con el resultado del análisis del sector, las entidades estatales incluirán requisitos diferenciales y puntajes adicionales en los procesos de </w:t>
      </w:r>
      <w:bookmarkStart w:id="3" w:name="_Hlk63770487"/>
      <w:r w:rsidRPr="00C6766C">
        <w:rPr>
          <w:rFonts w:ascii="Verdana" w:hAnsi="Verdana" w:cs="Arial"/>
          <w:bCs/>
          <w:sz w:val="20"/>
          <w:szCs w:val="20"/>
          <w:lang w:eastAsia="es-ES_tradnl"/>
        </w:rPr>
        <w:t>licitación pública, selección abreviada de menor cuantía y concurso de méritos</w:t>
      </w:r>
      <w:bookmarkEnd w:id="3"/>
      <w:r w:rsidRPr="00C6766C">
        <w:rPr>
          <w:rFonts w:ascii="Verdana" w:hAnsi="Verdana" w:cs="Arial"/>
          <w:bCs/>
          <w:sz w:val="20"/>
          <w:szCs w:val="20"/>
          <w:lang w:eastAsia="es-ES_tradnl"/>
        </w:rPr>
        <w:t xml:space="preserve">, así como en los procesos competitivos que adelanten las entidades estatales que no apliquen en su gestión contractual el Estatuto General de Contratación Administrativa, como medidas de acción afirmativa, para incentivar emprendimientos y empresas de mujeres en el </w:t>
      </w:r>
      <w:r w:rsidRPr="00C6766C">
        <w:rPr>
          <w:rFonts w:ascii="Verdana" w:hAnsi="Verdana" w:cs="Arial"/>
          <w:bCs/>
          <w:sz w:val="20"/>
          <w:szCs w:val="20"/>
          <w:lang w:eastAsia="es-ES_tradnl"/>
        </w:rPr>
        <w:lastRenderedPageBreak/>
        <w:t>sistema de compras públicas, sin perjuicio de los compromisos adquiridos por Colombia en los acuerdos comerciales en vigor.</w:t>
      </w:r>
    </w:p>
    <w:p w14:paraId="54D3097C" w14:textId="77777777" w:rsidR="00C6766C" w:rsidRPr="00C6766C" w:rsidRDefault="00C6766C" w:rsidP="00C6766C">
      <w:pPr>
        <w:tabs>
          <w:tab w:val="left" w:pos="709"/>
        </w:tabs>
        <w:spacing w:line="276" w:lineRule="auto"/>
        <w:ind w:left="709" w:right="709"/>
        <w:jc w:val="both"/>
        <w:rPr>
          <w:rFonts w:ascii="Verdana" w:hAnsi="Verdana" w:cs="Arial"/>
          <w:bCs/>
          <w:lang w:eastAsia="es-ES_tradnl"/>
        </w:rPr>
      </w:pPr>
    </w:p>
    <w:p w14:paraId="3F1FAFD7" w14:textId="77777777" w:rsidR="00C6766C" w:rsidRPr="00C6766C" w:rsidRDefault="00C6766C" w:rsidP="00C6766C">
      <w:pPr>
        <w:spacing w:after="120" w:line="276" w:lineRule="auto"/>
        <w:ind w:firstLine="708"/>
        <w:jc w:val="both"/>
        <w:rPr>
          <w:rFonts w:ascii="Verdana" w:hAnsi="Verdana" w:cs="Arial"/>
          <w:lang w:val="es-ES_tradnl" w:eastAsia="es-ES_tradnl"/>
        </w:rPr>
      </w:pPr>
      <w:r w:rsidRPr="00C6766C">
        <w:rPr>
          <w:rFonts w:ascii="Verdana" w:hAnsi="Verdana" w:cs="Arial"/>
          <w:lang w:val="es-ES_tradnl" w:eastAsia="es-ES_tradnl"/>
        </w:rPr>
        <w:t xml:space="preserve">De esta manera, los denominados “criterios diferenciales” del artículo señalado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3DA9A41F" w14:textId="77777777" w:rsidR="00C6766C" w:rsidRPr="00C6766C" w:rsidRDefault="00C6766C" w:rsidP="00C6766C">
      <w:pPr>
        <w:spacing w:after="120" w:line="276" w:lineRule="auto"/>
        <w:ind w:firstLine="709"/>
        <w:jc w:val="both"/>
        <w:rPr>
          <w:rFonts w:ascii="Verdana" w:hAnsi="Verdana" w:cs="Arial"/>
          <w:lang w:val="es-ES_tradnl" w:eastAsia="es-ES_tradnl"/>
        </w:rPr>
      </w:pPr>
      <w:r w:rsidRPr="00C6766C">
        <w:rPr>
          <w:rFonts w:ascii="Verdana" w:hAnsi="Verdana" w:cs="Arial"/>
          <w:lang w:val="es-ES_tradnl" w:eastAsia="es-ES_tradnl"/>
        </w:rPr>
        <w:t xml:space="preserve">No obstante, el artículo 32 de la Ley 2069 de 2020 alude a la necesidad del desarrollo normativo posterior. Al respecto, el parágrafo dispone que “La definición de emprendimientos y empresas de mujeres se reglamentará por el gobierno nacional”. En ese sentido, la aplicación de criterios diferenciales en favor de emprendimientos y empresas de mujeres estaba condicionada por el ejercicio de la potestad reglamentaria, en orden de establecer la regulación en marco de la cual las Entidades Estatales deben aplicar los criterios diferenciales establecidos en el artículo 32 de la Ley 2069 de 2020. </w:t>
      </w:r>
    </w:p>
    <w:p w14:paraId="300A0B03" w14:textId="77777777" w:rsidR="00C6766C" w:rsidRPr="00C6766C" w:rsidRDefault="00C6766C" w:rsidP="00C6766C">
      <w:pPr>
        <w:spacing w:after="120" w:line="276" w:lineRule="auto"/>
        <w:ind w:firstLine="709"/>
        <w:jc w:val="both"/>
        <w:rPr>
          <w:rFonts w:ascii="Verdana" w:hAnsi="Verdana" w:cs="Arial"/>
          <w:lang w:val="es-ES_tradnl" w:eastAsia="es-ES_tradnl"/>
        </w:rPr>
      </w:pPr>
      <w:r w:rsidRPr="00C6766C">
        <w:rPr>
          <w:rFonts w:ascii="Verdana" w:hAnsi="Verdana" w:cs="Arial"/>
          <w:lang w:val="es-ES_tradnl" w:eastAsia="es-ES_tradnl"/>
        </w:rPr>
        <w:t xml:space="preserve">En este contexto,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En lo relativo al artículo 32 de la Ley 2069 de 2020, el </w:t>
      </w:r>
      <w:bookmarkStart w:id="4" w:name="_Hlk175579606"/>
      <w:r w:rsidRPr="00C6766C">
        <w:rPr>
          <w:rFonts w:ascii="Verdana" w:hAnsi="Verdana" w:cs="Arial"/>
          <w:lang w:val="es-ES_tradnl" w:eastAsia="es-ES_tradnl"/>
        </w:rPr>
        <w:t>artículo 3 del Decreto 1860 de 2021 adiciona los artículos 2.2.1.2.4.2.14 y 2.2.1.2.4.2.15 a la Subsección 2 de la Sección 4 del Capítulo 2 del Título 1 de la Parte 2 del Libro 2 del Decreto 1082 de 2015</w:t>
      </w:r>
      <w:bookmarkEnd w:id="4"/>
      <w:r w:rsidRPr="00C6766C">
        <w:rPr>
          <w:rFonts w:ascii="Verdana" w:hAnsi="Verdana" w:cs="Arial"/>
          <w:lang w:val="es-ES_tradnl" w:eastAsia="es-ES_tradnl"/>
        </w:rPr>
        <w:t xml:space="preserve">. La primera de las normas adicionadas consagra la definición de emprendimientos y empresas de mujeres, mientras que la segunda establece los criterios diferenciales incluyendo los puntajes adicionales y regula su aplicación. </w:t>
      </w:r>
    </w:p>
    <w:p w14:paraId="0C552C16" w14:textId="77777777" w:rsidR="00C6766C" w:rsidRPr="00C6766C" w:rsidRDefault="00C6766C" w:rsidP="00C6766C">
      <w:pPr>
        <w:spacing w:line="276" w:lineRule="auto"/>
        <w:ind w:firstLine="708"/>
        <w:jc w:val="both"/>
        <w:rPr>
          <w:rFonts w:ascii="Verdana" w:hAnsi="Verdana" w:cs="Arial"/>
          <w:lang w:val="es-ES_tradnl" w:eastAsia="es-ES_tradnl"/>
        </w:rPr>
      </w:pPr>
      <w:r w:rsidRPr="00C6766C">
        <w:rPr>
          <w:rFonts w:ascii="Verdana" w:hAnsi="Verdana" w:cs="Arial"/>
          <w:lang w:val="es-ES_tradnl" w:eastAsia="es-ES_tradnl"/>
        </w:rPr>
        <w:t xml:space="preserve">Así las cosas, el </w:t>
      </w:r>
      <w:bookmarkStart w:id="5" w:name="_Hlk175579627"/>
      <w:r w:rsidRPr="00C6766C">
        <w:rPr>
          <w:rFonts w:ascii="Verdana" w:hAnsi="Verdana" w:cs="Arial"/>
          <w:lang w:val="es-ES_tradnl" w:eastAsia="es-ES_tradnl"/>
        </w:rPr>
        <w:t xml:space="preserve">artículo 2.2.1.2.4.2.14 del Decreto 1082 de 2015 </w:t>
      </w:r>
      <w:bookmarkEnd w:id="5"/>
      <w:r w:rsidRPr="00C6766C">
        <w:rPr>
          <w:rFonts w:ascii="Verdana" w:hAnsi="Verdana" w:cs="Arial"/>
          <w:lang w:val="es-ES_tradnl" w:eastAsia="es-ES_tradnl"/>
        </w:rPr>
        <w:t xml:space="preserve">establece las condiciones y requisitos en atención a los cuales se definen los emprendimientos y empresas de mujeres, a las que les aplican los </w:t>
      </w:r>
      <w:r w:rsidRPr="00C6766C">
        <w:rPr>
          <w:rFonts w:ascii="Verdana" w:hAnsi="Verdana" w:cs="Arial"/>
          <w:lang w:val="es-ES_tradnl" w:eastAsia="es-ES_tradnl"/>
        </w:rPr>
        <w:lastRenderedPageBreak/>
        <w:t xml:space="preserve">criterios diferenciales. Para estos efectos, cada uno de los cuatro (4) numerales de la norma establecen unas condiciones alternativas que definen los emprendimientos y empresas de mujeres, en los siguientes términos:   </w:t>
      </w:r>
    </w:p>
    <w:p w14:paraId="3A891219" w14:textId="77777777" w:rsidR="00C6766C" w:rsidRPr="00C6766C" w:rsidRDefault="00C6766C" w:rsidP="00C6766C">
      <w:pPr>
        <w:spacing w:line="276" w:lineRule="auto"/>
        <w:ind w:left="360"/>
        <w:jc w:val="both"/>
        <w:rPr>
          <w:rFonts w:ascii="Verdana" w:hAnsi="Verdana" w:cs="Arial"/>
          <w:lang w:val="es-ES_tradnl" w:eastAsia="es-ES_tradnl"/>
        </w:rPr>
      </w:pPr>
    </w:p>
    <w:p w14:paraId="37881536" w14:textId="77777777" w:rsidR="00C6766C" w:rsidRPr="00C6766C" w:rsidRDefault="00C6766C" w:rsidP="00C6766C">
      <w:pPr>
        <w:shd w:val="clear" w:color="auto" w:fill="FFFFFF"/>
        <w:ind w:left="709" w:right="709"/>
        <w:contextualSpacing/>
        <w:jc w:val="both"/>
        <w:textAlignment w:val="baseline"/>
        <w:rPr>
          <w:rFonts w:ascii="Verdana" w:hAnsi="Verdana" w:cs="Arial"/>
          <w:sz w:val="20"/>
          <w:szCs w:val="20"/>
          <w:lang w:eastAsia="es-CO"/>
        </w:rPr>
      </w:pPr>
      <w:r w:rsidRPr="00C6766C">
        <w:rPr>
          <w:rFonts w:ascii="Verdana"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7AA28112" w14:textId="77777777" w:rsidR="00C6766C" w:rsidRPr="00C6766C" w:rsidRDefault="00C6766C" w:rsidP="00C6766C">
      <w:pPr>
        <w:shd w:val="clear" w:color="auto" w:fill="FFFFFF"/>
        <w:ind w:left="709" w:right="709"/>
        <w:contextualSpacing/>
        <w:jc w:val="both"/>
        <w:textAlignment w:val="baseline"/>
        <w:rPr>
          <w:rFonts w:ascii="Verdana" w:hAnsi="Verdana" w:cs="Arial"/>
          <w:sz w:val="20"/>
          <w:szCs w:val="20"/>
          <w:lang w:eastAsia="es-CO"/>
        </w:rPr>
      </w:pPr>
      <w:r w:rsidRPr="00C6766C">
        <w:rPr>
          <w:rFonts w:ascii="Verdana" w:hAnsi="Verdana" w:cs="Arial"/>
          <w:sz w:val="20"/>
          <w:szCs w:val="20"/>
          <w:lang w:eastAsia="es-CO"/>
        </w:rPr>
        <w:t>  </w:t>
      </w:r>
    </w:p>
    <w:p w14:paraId="473E822E" w14:textId="77777777" w:rsidR="00C6766C" w:rsidRPr="00C6766C" w:rsidRDefault="00C6766C" w:rsidP="00C6766C">
      <w:pPr>
        <w:shd w:val="clear" w:color="auto" w:fill="FFFFFF"/>
        <w:ind w:left="709" w:right="709"/>
        <w:contextualSpacing/>
        <w:jc w:val="both"/>
        <w:textAlignment w:val="baseline"/>
        <w:rPr>
          <w:rFonts w:ascii="Verdana" w:hAnsi="Verdana" w:cs="Arial"/>
          <w:i/>
          <w:iCs/>
          <w:sz w:val="20"/>
          <w:szCs w:val="20"/>
          <w:lang w:eastAsia="es-CO"/>
        </w:rPr>
      </w:pPr>
      <w:r w:rsidRPr="00C6766C">
        <w:rPr>
          <w:rFonts w:ascii="Verdana" w:hAnsi="Verdana" w:cs="Arial"/>
          <w:i/>
          <w:iCs/>
          <w:sz w:val="20"/>
          <w:szCs w:val="20"/>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4414F541" w14:textId="77777777" w:rsidR="00C6766C" w:rsidRPr="00C6766C" w:rsidRDefault="00C6766C" w:rsidP="00C6766C">
      <w:pPr>
        <w:shd w:val="clear" w:color="auto" w:fill="FFFFFF"/>
        <w:ind w:left="709" w:right="709"/>
        <w:contextualSpacing/>
        <w:jc w:val="both"/>
        <w:textAlignment w:val="baseline"/>
        <w:rPr>
          <w:rFonts w:ascii="Verdana" w:hAnsi="Verdana" w:cs="Arial"/>
          <w:i/>
          <w:iCs/>
          <w:sz w:val="20"/>
          <w:szCs w:val="20"/>
          <w:lang w:eastAsia="es-CO"/>
        </w:rPr>
      </w:pPr>
    </w:p>
    <w:p w14:paraId="73119095" w14:textId="77777777" w:rsidR="00C6766C" w:rsidRPr="00C6766C" w:rsidRDefault="00C6766C" w:rsidP="00C6766C">
      <w:pPr>
        <w:shd w:val="clear" w:color="auto" w:fill="FFFFFF"/>
        <w:ind w:left="709" w:right="709"/>
        <w:contextualSpacing/>
        <w:jc w:val="both"/>
        <w:textAlignment w:val="baseline"/>
        <w:rPr>
          <w:rFonts w:ascii="Verdana" w:hAnsi="Verdana" w:cs="Arial"/>
          <w:i/>
          <w:iCs/>
          <w:sz w:val="20"/>
          <w:szCs w:val="20"/>
          <w:lang w:eastAsia="es-CO"/>
        </w:rPr>
      </w:pPr>
      <w:r w:rsidRPr="00C6766C">
        <w:rPr>
          <w:rFonts w:ascii="Verdana" w:hAnsi="Verdana" w:cs="Arial"/>
          <w:i/>
          <w:iCs/>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03E49965" w14:textId="77777777" w:rsidR="00C6766C" w:rsidRPr="00C6766C" w:rsidRDefault="00C6766C" w:rsidP="00C6766C">
      <w:pPr>
        <w:shd w:val="clear" w:color="auto" w:fill="FFFFFF"/>
        <w:ind w:left="709" w:right="709"/>
        <w:contextualSpacing/>
        <w:jc w:val="both"/>
        <w:textAlignment w:val="baseline"/>
        <w:rPr>
          <w:rFonts w:ascii="Verdana" w:hAnsi="Verdana" w:cs="Arial"/>
          <w:i/>
          <w:iCs/>
          <w:sz w:val="20"/>
          <w:szCs w:val="20"/>
          <w:lang w:eastAsia="es-CO"/>
        </w:rPr>
      </w:pPr>
    </w:p>
    <w:p w14:paraId="73DD7581" w14:textId="77777777" w:rsidR="00C6766C" w:rsidRPr="00C6766C" w:rsidRDefault="00C6766C" w:rsidP="00C6766C">
      <w:pPr>
        <w:shd w:val="clear" w:color="auto" w:fill="FFFFFF"/>
        <w:ind w:left="709" w:right="709"/>
        <w:contextualSpacing/>
        <w:jc w:val="both"/>
        <w:textAlignment w:val="baseline"/>
        <w:rPr>
          <w:rFonts w:ascii="Verdana" w:hAnsi="Verdana" w:cs="Arial"/>
          <w:i/>
          <w:iCs/>
          <w:sz w:val="20"/>
          <w:szCs w:val="20"/>
          <w:lang w:eastAsia="es-CO"/>
        </w:rPr>
      </w:pPr>
      <w:r w:rsidRPr="00C6766C">
        <w:rPr>
          <w:rFonts w:ascii="Verdana"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11F1D073" w14:textId="77777777" w:rsidR="00C6766C" w:rsidRPr="00C6766C" w:rsidRDefault="00C6766C" w:rsidP="00C6766C">
      <w:pPr>
        <w:shd w:val="clear" w:color="auto" w:fill="FFFFFF"/>
        <w:ind w:left="709" w:right="709"/>
        <w:contextualSpacing/>
        <w:jc w:val="both"/>
        <w:textAlignment w:val="baseline"/>
        <w:rPr>
          <w:rFonts w:ascii="Verdana" w:hAnsi="Verdana" w:cs="Arial"/>
          <w:i/>
          <w:iCs/>
          <w:sz w:val="20"/>
          <w:szCs w:val="20"/>
          <w:lang w:eastAsia="es-CO"/>
        </w:rPr>
      </w:pPr>
    </w:p>
    <w:p w14:paraId="04D6858D" w14:textId="77777777" w:rsidR="00C6766C" w:rsidRPr="00C6766C" w:rsidRDefault="00C6766C" w:rsidP="00C6766C">
      <w:pPr>
        <w:shd w:val="clear" w:color="auto" w:fill="FFFFFF"/>
        <w:ind w:left="709" w:right="709"/>
        <w:contextualSpacing/>
        <w:jc w:val="both"/>
        <w:textAlignment w:val="baseline"/>
        <w:rPr>
          <w:rFonts w:ascii="Verdana" w:hAnsi="Verdana" w:cs="Arial"/>
          <w:i/>
          <w:iCs/>
          <w:sz w:val="20"/>
          <w:szCs w:val="20"/>
          <w:lang w:eastAsia="es-CO"/>
        </w:rPr>
      </w:pPr>
      <w:r w:rsidRPr="00C6766C">
        <w:rPr>
          <w:rFonts w:ascii="Verdana"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34CE276C" w14:textId="77777777" w:rsidR="00C6766C" w:rsidRPr="00C6766C" w:rsidRDefault="00C6766C" w:rsidP="00C6766C">
      <w:pPr>
        <w:shd w:val="clear" w:color="auto" w:fill="FFFFFF"/>
        <w:ind w:left="709" w:right="709"/>
        <w:contextualSpacing/>
        <w:jc w:val="both"/>
        <w:textAlignment w:val="baseline"/>
        <w:rPr>
          <w:rFonts w:ascii="Verdana" w:hAnsi="Verdana" w:cs="Arial"/>
          <w:i/>
          <w:iCs/>
          <w:sz w:val="20"/>
          <w:szCs w:val="20"/>
          <w:lang w:eastAsia="es-CO"/>
        </w:rPr>
      </w:pPr>
    </w:p>
    <w:p w14:paraId="63CB32B9" w14:textId="77777777" w:rsidR="00C6766C" w:rsidRPr="00C6766C" w:rsidRDefault="00C6766C" w:rsidP="00C6766C">
      <w:pPr>
        <w:shd w:val="clear" w:color="auto" w:fill="FFFFFF"/>
        <w:ind w:left="709" w:right="709"/>
        <w:contextualSpacing/>
        <w:jc w:val="both"/>
        <w:textAlignment w:val="baseline"/>
        <w:rPr>
          <w:rFonts w:ascii="Verdana" w:hAnsi="Verdana" w:cs="Arial"/>
          <w:i/>
          <w:iCs/>
          <w:sz w:val="20"/>
          <w:szCs w:val="20"/>
          <w:lang w:eastAsia="es-CO"/>
        </w:rPr>
      </w:pPr>
      <w:r w:rsidRPr="00C6766C">
        <w:rPr>
          <w:rFonts w:ascii="Verdana" w:hAnsi="Verdana" w:cs="Arial"/>
          <w:i/>
          <w:iCs/>
          <w:sz w:val="20"/>
          <w:szCs w:val="20"/>
          <w:lang w:eastAsia="es-CO"/>
        </w:rPr>
        <w:t xml:space="preserve">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w:t>
      </w:r>
      <w:r w:rsidRPr="00C6766C">
        <w:rPr>
          <w:rFonts w:ascii="Verdana" w:hAnsi="Verdana" w:cs="Arial"/>
          <w:i/>
          <w:iCs/>
          <w:sz w:val="20"/>
          <w:szCs w:val="20"/>
          <w:lang w:eastAsia="es-CO"/>
        </w:rPr>
        <w:lastRenderedPageBreak/>
        <w:t>seguridad social del último año en el que se demuestren los pagos realizados por el empleador.</w:t>
      </w:r>
    </w:p>
    <w:p w14:paraId="0565D0E8" w14:textId="77777777" w:rsidR="00C6766C" w:rsidRPr="00C6766C" w:rsidRDefault="00C6766C" w:rsidP="00C6766C">
      <w:pPr>
        <w:shd w:val="clear" w:color="auto" w:fill="FFFFFF"/>
        <w:ind w:left="709" w:right="709"/>
        <w:contextualSpacing/>
        <w:jc w:val="both"/>
        <w:textAlignment w:val="baseline"/>
        <w:rPr>
          <w:rFonts w:ascii="Verdana" w:hAnsi="Verdana" w:cs="Arial"/>
          <w:sz w:val="20"/>
          <w:szCs w:val="20"/>
          <w:lang w:eastAsia="es-CO"/>
        </w:rPr>
      </w:pPr>
    </w:p>
    <w:p w14:paraId="2E0C04C3" w14:textId="77777777" w:rsidR="00C6766C" w:rsidRPr="00C6766C" w:rsidRDefault="00C6766C" w:rsidP="00C6766C">
      <w:pPr>
        <w:shd w:val="clear" w:color="auto" w:fill="FFFFFF"/>
        <w:ind w:left="709" w:right="709"/>
        <w:contextualSpacing/>
        <w:jc w:val="both"/>
        <w:textAlignment w:val="baseline"/>
        <w:rPr>
          <w:rFonts w:ascii="Verdana" w:hAnsi="Verdana" w:cs="Arial"/>
          <w:sz w:val="20"/>
          <w:szCs w:val="20"/>
          <w:lang w:eastAsia="es-CO"/>
        </w:rPr>
      </w:pPr>
      <w:r w:rsidRPr="00C6766C">
        <w:rPr>
          <w:rFonts w:ascii="Verdana"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1E1F7453" w14:textId="77777777" w:rsidR="00C6766C" w:rsidRPr="00C6766C" w:rsidRDefault="00C6766C" w:rsidP="00C6766C">
      <w:pPr>
        <w:shd w:val="clear" w:color="auto" w:fill="FFFFFF"/>
        <w:ind w:left="709" w:right="709"/>
        <w:contextualSpacing/>
        <w:jc w:val="both"/>
        <w:textAlignment w:val="baseline"/>
        <w:rPr>
          <w:rFonts w:ascii="Verdana" w:hAnsi="Verdana" w:cs="Arial"/>
          <w:sz w:val="20"/>
          <w:szCs w:val="20"/>
          <w:lang w:eastAsia="es-CO"/>
        </w:rPr>
      </w:pPr>
    </w:p>
    <w:p w14:paraId="37BE5292" w14:textId="77777777" w:rsidR="00C6766C" w:rsidRPr="00C6766C" w:rsidRDefault="00C6766C" w:rsidP="00C6766C">
      <w:pPr>
        <w:shd w:val="clear" w:color="auto" w:fill="FFFFFF"/>
        <w:ind w:left="709" w:right="709"/>
        <w:contextualSpacing/>
        <w:jc w:val="both"/>
        <w:textAlignment w:val="baseline"/>
        <w:rPr>
          <w:rFonts w:ascii="Verdana" w:hAnsi="Verdana" w:cs="Arial"/>
          <w:sz w:val="20"/>
          <w:szCs w:val="20"/>
          <w:lang w:eastAsia="es-CO"/>
        </w:rPr>
      </w:pPr>
      <w:r w:rsidRPr="00C6766C">
        <w:rPr>
          <w:rFonts w:ascii="Verdana"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1B726A48" w14:textId="77777777" w:rsidR="00C6766C" w:rsidRPr="00C6766C" w:rsidRDefault="00C6766C" w:rsidP="00C6766C">
      <w:pPr>
        <w:shd w:val="clear" w:color="auto" w:fill="FFFFFF"/>
        <w:ind w:left="709" w:right="709"/>
        <w:contextualSpacing/>
        <w:jc w:val="both"/>
        <w:textAlignment w:val="baseline"/>
        <w:rPr>
          <w:rFonts w:ascii="Verdana" w:hAnsi="Verdana" w:cs="Arial"/>
          <w:sz w:val="20"/>
          <w:szCs w:val="20"/>
          <w:lang w:eastAsia="es-CO"/>
        </w:rPr>
      </w:pPr>
    </w:p>
    <w:p w14:paraId="0F640B53" w14:textId="77777777" w:rsidR="00C6766C" w:rsidRPr="00C6766C" w:rsidRDefault="00C6766C" w:rsidP="00C6766C">
      <w:pPr>
        <w:shd w:val="clear" w:color="auto" w:fill="FFFFFF"/>
        <w:ind w:left="709" w:right="709"/>
        <w:contextualSpacing/>
        <w:jc w:val="both"/>
        <w:textAlignment w:val="baseline"/>
        <w:rPr>
          <w:rFonts w:ascii="Verdana" w:hAnsi="Verdana" w:cs="Arial"/>
          <w:sz w:val="20"/>
          <w:szCs w:val="20"/>
          <w:lang w:eastAsia="es-CO"/>
        </w:rPr>
      </w:pPr>
      <w:r w:rsidRPr="00C6766C">
        <w:rPr>
          <w:rFonts w:ascii="Verdana"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0C13275A" w14:textId="77777777" w:rsidR="00C6766C" w:rsidRPr="00C6766C" w:rsidRDefault="00C6766C" w:rsidP="00C6766C">
      <w:pPr>
        <w:spacing w:line="276" w:lineRule="auto"/>
        <w:ind w:firstLine="709"/>
        <w:jc w:val="both"/>
        <w:rPr>
          <w:rFonts w:ascii="Verdana" w:hAnsi="Verdana" w:cs="Arial"/>
          <w:lang w:val="es-ES_tradnl" w:eastAsia="es-ES_tradnl"/>
        </w:rPr>
      </w:pPr>
    </w:p>
    <w:p w14:paraId="0F651B01" w14:textId="5F048E1E" w:rsidR="00C659DE" w:rsidRDefault="00C6766C" w:rsidP="00C6766C">
      <w:pPr>
        <w:spacing w:after="120" w:line="276" w:lineRule="auto"/>
        <w:ind w:firstLine="708"/>
        <w:jc w:val="both"/>
        <w:rPr>
          <w:rFonts w:ascii="Verdana" w:hAnsi="Verdana" w:cs="Arial"/>
          <w:lang w:eastAsia="es-ES"/>
        </w:rPr>
      </w:pPr>
      <w:r w:rsidRPr="00C6766C">
        <w:rPr>
          <w:rFonts w:ascii="Verdana" w:hAnsi="Verdana" w:cs="Arial"/>
          <w:lang w:val="es-ES" w:eastAsia="es-ES"/>
        </w:rPr>
        <w:t xml:space="preserve">Teniendo en cuenta el objeto de la consulta, resulta relevante el análisis del criterio definido en el </w:t>
      </w:r>
      <w:r w:rsidRPr="00D76399">
        <w:rPr>
          <w:rFonts w:ascii="Verdana" w:hAnsi="Verdana" w:cs="Arial"/>
          <w:lang w:val="es-ES" w:eastAsia="es-ES"/>
        </w:rPr>
        <w:t>numeral</w:t>
      </w:r>
      <w:r w:rsidR="00C659DE" w:rsidRPr="002911D7">
        <w:rPr>
          <w:rFonts w:ascii="Verdana" w:hAnsi="Verdana" w:cs="Arial"/>
          <w:lang w:val="es-ES" w:eastAsia="es-ES"/>
        </w:rPr>
        <w:t xml:space="preserve"> segundo</w:t>
      </w:r>
      <w:r w:rsidRPr="00D76399">
        <w:rPr>
          <w:rFonts w:ascii="Verdana" w:hAnsi="Verdana" w:cs="Arial"/>
          <w:lang w:val="es-ES" w:eastAsia="es-ES"/>
        </w:rPr>
        <w:t xml:space="preserve"> del artículo precitado</w:t>
      </w:r>
      <w:r w:rsidR="00C659DE" w:rsidRPr="00D76399">
        <w:rPr>
          <w:rFonts w:ascii="Verdana" w:hAnsi="Verdana" w:cs="Arial"/>
          <w:lang w:val="es-ES_tradnl" w:eastAsia="es-ES"/>
        </w:rPr>
        <w:t>,</w:t>
      </w:r>
      <w:r w:rsidR="00C659DE">
        <w:rPr>
          <w:rFonts w:ascii="Verdana" w:hAnsi="Verdana" w:cs="Arial"/>
          <w:lang w:val="es-ES_tradnl" w:eastAsia="es-ES"/>
        </w:rPr>
        <w:t xml:space="preserve"> el cual </w:t>
      </w:r>
      <w:r w:rsidR="00C659DE" w:rsidRPr="00C659DE">
        <w:rPr>
          <w:rFonts w:ascii="Verdana" w:hAnsi="Verdana" w:cs="Arial"/>
          <w:lang w:val="es-ES_tradnl" w:eastAsia="es-ES"/>
        </w:rPr>
        <w:t>una persona jurídica podrá ser considerada como un emprendimiento o empresa de mujeres cuando más del cincuenta por ciento (50%) de los empleos del nivel directivo de la persona jurídica sean ejercidos por mujeres. </w:t>
      </w:r>
      <w:r w:rsidR="00C659DE" w:rsidRPr="00C659DE">
        <w:rPr>
          <w:rFonts w:ascii="Verdana" w:hAnsi="Verdana" w:cs="Arial"/>
          <w:lang w:eastAsia="es-ES"/>
        </w:rPr>
        <w:t>Tales empleos son aquellos relacionados con la dirección de áreas misionales y las decisiones de nivel estratégico de la respectiva empresa. De esta manera los cargos directivos deben identificarse de acuerdo con la definición que para el efecto estableció el Decreto </w:t>
      </w:r>
      <w:hyperlink r:id="rId13" w:history="1">
        <w:r w:rsidR="00C659DE" w:rsidRPr="00C659DE">
          <w:rPr>
            <w:rStyle w:val="Hipervnculo"/>
            <w:rFonts w:ascii="Verdana" w:hAnsi="Verdana" w:cs="Arial"/>
            <w:lang w:eastAsia="es-ES"/>
          </w:rPr>
          <w:t>1082</w:t>
        </w:r>
      </w:hyperlink>
      <w:r w:rsidR="00C659DE" w:rsidRPr="00C659DE">
        <w:rPr>
          <w:rFonts w:ascii="Verdana" w:hAnsi="Verdana" w:cs="Arial"/>
          <w:lang w:eastAsia="es-ES"/>
        </w:rPr>
        <w:t> de 2015, adicionado por el Decreto </w:t>
      </w:r>
      <w:hyperlink r:id="rId14" w:history="1">
        <w:r w:rsidR="00C659DE" w:rsidRPr="00C659DE">
          <w:rPr>
            <w:rStyle w:val="Hipervnculo"/>
            <w:rFonts w:ascii="Verdana" w:hAnsi="Verdana" w:cs="Arial"/>
            <w:lang w:eastAsia="es-ES"/>
          </w:rPr>
          <w:t>1860</w:t>
        </w:r>
      </w:hyperlink>
      <w:r w:rsidR="00C659DE" w:rsidRPr="00C659DE">
        <w:rPr>
          <w:rFonts w:ascii="Verdana" w:hAnsi="Verdana" w:cs="Arial"/>
          <w:lang w:eastAsia="es-ES"/>
        </w:rPr>
        <w:t xml:space="preserve"> de 2021. En ese sentido, independientemente de la denominación del cargo, su naturaleza será directiva bien porque se encuentra en un nivel especial de mando o, porque </w:t>
      </w:r>
      <w:proofErr w:type="gramStart"/>
      <w:r w:rsidR="00C659DE" w:rsidRPr="00C659DE">
        <w:rPr>
          <w:rFonts w:ascii="Verdana" w:hAnsi="Verdana" w:cs="Arial"/>
          <w:lang w:eastAsia="es-ES"/>
        </w:rPr>
        <w:t>de acuerdo a</w:t>
      </w:r>
      <w:proofErr w:type="gramEnd"/>
      <w:r w:rsidR="00C659DE" w:rsidRPr="00C659DE">
        <w:rPr>
          <w:rFonts w:ascii="Verdana" w:hAnsi="Verdana" w:cs="Arial"/>
          <w:lang w:eastAsia="es-ES"/>
        </w:rPr>
        <w:t xml:space="preserve"> su jerarquía, representan al empleador en los términos del artículo </w:t>
      </w:r>
      <w:hyperlink r:id="rId15" w:anchor="32" w:history="1">
        <w:r w:rsidR="00C659DE" w:rsidRPr="00C659DE">
          <w:rPr>
            <w:rStyle w:val="Hipervnculo"/>
            <w:rFonts w:ascii="Verdana" w:hAnsi="Verdana" w:cs="Arial"/>
            <w:lang w:eastAsia="es-ES"/>
          </w:rPr>
          <w:t>32</w:t>
        </w:r>
      </w:hyperlink>
      <w:r w:rsidR="00C659DE" w:rsidRPr="00C659DE">
        <w:rPr>
          <w:rFonts w:ascii="Verdana" w:hAnsi="Verdana" w:cs="Arial"/>
          <w:lang w:eastAsia="es-ES"/>
        </w:rPr>
        <w:t> del Código Sustantivo del Trabajo</w:t>
      </w:r>
      <w:r w:rsidR="00C659DE">
        <w:rPr>
          <w:rStyle w:val="Refdenotaalpie"/>
          <w:rFonts w:ascii="Verdana" w:hAnsi="Verdana" w:cs="Arial"/>
          <w:lang w:val="es-ES" w:eastAsia="es-ES"/>
        </w:rPr>
        <w:footnoteReference w:id="9"/>
      </w:r>
    </w:p>
    <w:p w14:paraId="6B938007" w14:textId="7E8D53ED" w:rsidR="00B47E35" w:rsidRDefault="00B47E35" w:rsidP="68193490">
      <w:pPr>
        <w:spacing w:after="120" w:line="276" w:lineRule="auto"/>
        <w:ind w:firstLine="708"/>
        <w:jc w:val="both"/>
        <w:rPr>
          <w:rFonts w:ascii="Verdana" w:hAnsi="Verdana" w:cs="Arial"/>
          <w:lang w:val="es-ES" w:eastAsia="es-ES"/>
        </w:rPr>
      </w:pPr>
      <w:r w:rsidRPr="68193490">
        <w:rPr>
          <w:rFonts w:ascii="Verdana" w:hAnsi="Verdana" w:cs="Arial"/>
          <w:lang w:val="es-ES" w:eastAsia="es-ES"/>
        </w:rPr>
        <w:lastRenderedPageBreak/>
        <w:t xml:space="preserve">Para la aplicación de la norma en comento debe tenerse en cuenta únicamente </w:t>
      </w:r>
      <w:r w:rsidR="00EF62AA" w:rsidRPr="68193490">
        <w:rPr>
          <w:rFonts w:ascii="Verdana" w:hAnsi="Verdana" w:cs="Arial"/>
          <w:lang w:val="es-ES" w:eastAsia="es-ES"/>
        </w:rPr>
        <w:t>que</w:t>
      </w:r>
      <w:r w:rsidRPr="68193490">
        <w:rPr>
          <w:rFonts w:ascii="Verdana" w:hAnsi="Verdana" w:cs="Arial"/>
          <w:lang w:val="es-ES" w:eastAsia="es-ES"/>
        </w:rPr>
        <w:t xml:space="preserve"> se encontraran inmerso en el condicional de la norma ibidem los empleos del nivel directivo, lo que excluye a los demás empleos de la planta de personal, como por ejemplo los operativos. Ahora bien, no basta con que los cargos directivos en una sociedad sean mayoritariamente de mujeres para que sea considerada como un empresa o emprendimiento a los que se refiere la norma, sino que además es necesario que dicha vinculación mayoritaria de mujeres en los empleos del nivel directivo de la empresa se haya mantenido como mínimo durante el periodo de un año, contado a partir de la fecha de cierre del proceso de selección. </w:t>
      </w:r>
    </w:p>
    <w:p w14:paraId="79AFD2DA" w14:textId="2801E3F9" w:rsidR="00B47E35" w:rsidRPr="002911D7" w:rsidRDefault="00B47E35" w:rsidP="68193490">
      <w:pPr>
        <w:spacing w:after="120" w:line="276" w:lineRule="auto"/>
        <w:ind w:firstLine="708"/>
        <w:jc w:val="both"/>
        <w:rPr>
          <w:rFonts w:ascii="Verdana" w:hAnsi="Verdana" w:cs="Arial"/>
          <w:lang w:val="es-ES" w:eastAsia="es-ES"/>
        </w:rPr>
      </w:pPr>
      <w:r w:rsidRPr="68193490">
        <w:rPr>
          <w:rFonts w:ascii="Verdana" w:hAnsi="Verdana" w:cs="Arial"/>
          <w:lang w:val="es-ES" w:eastAsia="es-ES"/>
        </w:rPr>
        <w:t>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año.</w:t>
      </w:r>
    </w:p>
    <w:p w14:paraId="6938EA02" w14:textId="2A1AEF70" w:rsidR="00B47E35" w:rsidRDefault="00B47E35" w:rsidP="68193490">
      <w:pPr>
        <w:spacing w:after="120" w:line="276" w:lineRule="auto"/>
        <w:ind w:firstLine="708"/>
        <w:jc w:val="both"/>
        <w:rPr>
          <w:rFonts w:ascii="Verdana" w:hAnsi="Verdana" w:cs="Arial"/>
          <w:lang w:val="es-ES" w:eastAsia="es-ES"/>
        </w:rPr>
      </w:pPr>
      <w:r w:rsidRPr="68193490">
        <w:rPr>
          <w:rFonts w:ascii="Verdana" w:hAnsi="Verdana" w:cs="Arial"/>
          <w:lang w:val="es-ES" w:eastAsia="es-ES"/>
        </w:rPr>
        <w:t>Ahora bien, 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w:t>
      </w:r>
    </w:p>
    <w:p w14:paraId="79F2431F" w14:textId="4C46207B" w:rsidR="00B47E35" w:rsidRPr="00B47E35" w:rsidRDefault="00B47E35" w:rsidP="00EF62AA">
      <w:pPr>
        <w:spacing w:after="120" w:line="276" w:lineRule="auto"/>
        <w:ind w:firstLine="708"/>
        <w:jc w:val="both"/>
        <w:rPr>
          <w:rFonts w:ascii="Verdana" w:hAnsi="Verdana" w:cs="Arial"/>
          <w:lang w:eastAsia="es-ES"/>
        </w:rPr>
      </w:pPr>
      <w:r>
        <w:rPr>
          <w:rFonts w:ascii="Verdana" w:hAnsi="Verdana" w:cs="Arial"/>
          <w:lang w:val="es-ES_tradnl" w:eastAsia="es-ES"/>
        </w:rPr>
        <w:t>La norma también es clara frente a l</w:t>
      </w:r>
      <w:r w:rsidRPr="00B47E35">
        <w:rPr>
          <w:rFonts w:ascii="Verdana" w:hAnsi="Verdana" w:cs="Arial"/>
          <w:lang w:val="es-ES_tradnl" w:eastAsia="es-ES"/>
        </w:rPr>
        <w:t>os documentos a los que se refieren los distintos numerales del artículo </w:t>
      </w:r>
      <w:hyperlink r:id="rId16" w:anchor="2.2.1.2.4.2.14" w:history="1">
        <w:r w:rsidRPr="00B47E35">
          <w:rPr>
            <w:rStyle w:val="Hipervnculo"/>
            <w:rFonts w:ascii="Verdana" w:hAnsi="Verdana" w:cs="Arial"/>
            <w:lang w:val="es-ES_tradnl" w:eastAsia="es-ES"/>
          </w:rPr>
          <w:t>2.2.1.2.4.2.14</w:t>
        </w:r>
      </w:hyperlink>
      <w:r w:rsidRPr="00B47E35">
        <w:rPr>
          <w:rFonts w:ascii="Verdana" w:hAnsi="Verdana" w:cs="Arial"/>
          <w:lang w:val="es-ES_tradnl" w:eastAsia="es-ES"/>
        </w:rPr>
        <w:t> </w:t>
      </w:r>
      <w:r>
        <w:rPr>
          <w:rFonts w:ascii="Verdana" w:hAnsi="Verdana" w:cs="Arial"/>
          <w:lang w:val="es-ES_tradnl" w:eastAsia="es-ES"/>
        </w:rPr>
        <w:t xml:space="preserve">pues estos </w:t>
      </w:r>
      <w:r w:rsidRPr="00B47E35">
        <w:rPr>
          <w:rFonts w:ascii="Verdana" w:hAnsi="Verdana" w:cs="Arial"/>
          <w:lang w:val="es-ES_tradnl" w:eastAsia="es-ES"/>
        </w:rPr>
        <w:lastRenderedPageBreak/>
        <w:t>constituyen una tarifa legal probatoria para demostrar que los proponentes son emprendimientos o empresas de mujeres, y que, por lo tanto, tienen derecho a la aplicación de los criterios diferenciales reglamentados por el artículo </w:t>
      </w:r>
      <w:hyperlink r:id="rId17" w:anchor="2.2.1.2.4.2.15" w:history="1">
        <w:r w:rsidRPr="00B47E35">
          <w:rPr>
            <w:rStyle w:val="Hipervnculo"/>
            <w:rFonts w:ascii="Verdana" w:hAnsi="Verdana" w:cs="Arial"/>
            <w:lang w:val="es-ES_tradnl" w:eastAsia="es-ES"/>
          </w:rPr>
          <w:t>2.2.1.2.4.2.15</w:t>
        </w:r>
      </w:hyperlink>
      <w:r w:rsidRPr="00B47E35">
        <w:rPr>
          <w:rFonts w:ascii="Verdana" w:hAnsi="Verdana" w:cs="Arial"/>
          <w:lang w:val="es-ES_tradnl" w:eastAsia="es-ES"/>
        </w:rPr>
        <w:t> del Decreto 1082 de 2015, en desarrollo del artículo </w:t>
      </w:r>
      <w:hyperlink r:id="rId18" w:anchor="32" w:history="1">
        <w:r w:rsidRPr="00B47E35">
          <w:rPr>
            <w:rStyle w:val="Hipervnculo"/>
            <w:rFonts w:ascii="Verdana" w:hAnsi="Verdana" w:cs="Arial"/>
            <w:lang w:val="es-ES_tradnl" w:eastAsia="es-ES"/>
          </w:rPr>
          <w:t>32</w:t>
        </w:r>
      </w:hyperlink>
      <w:r w:rsidRPr="00B47E35">
        <w:rPr>
          <w:rFonts w:ascii="Verdana" w:hAnsi="Verdana" w:cs="Arial"/>
          <w:lang w:val="es-ES_tradnl" w:eastAsia="es-ES"/>
        </w:rPr>
        <w:t> de la Ley 2069 de 2020. Esto significa que a quienes pretendan acceder a tales beneficios en consideración a la definición establecida en el numeral </w:t>
      </w:r>
      <w:hyperlink r:id="rId19" w:anchor="2.2.1.2.4.2.14.n.2" w:history="1">
        <w:r w:rsidRPr="00B47E35">
          <w:rPr>
            <w:rStyle w:val="Hipervnculo"/>
            <w:rFonts w:ascii="Verdana" w:hAnsi="Verdana" w:cs="Arial"/>
            <w:lang w:val="es-ES_tradnl" w:eastAsia="es-ES"/>
          </w:rPr>
          <w:t>2</w:t>
        </w:r>
      </w:hyperlink>
      <w:r w:rsidRPr="00B47E35">
        <w:rPr>
          <w:rFonts w:ascii="Verdana" w:hAnsi="Verdana" w:cs="Arial"/>
          <w:lang w:val="es-ES_tradnl" w:eastAsia="es-ES"/>
        </w:rPr>
        <w:t> del artículo 2.2.1.2.4.2.14</w:t>
      </w:r>
      <w:r>
        <w:rPr>
          <w:rFonts w:ascii="Verdana" w:hAnsi="Verdana" w:cs="Arial"/>
          <w:lang w:val="es-ES_tradnl" w:eastAsia="es-ES"/>
        </w:rPr>
        <w:t xml:space="preserve"> del Decreto 1082 de 2015</w:t>
      </w:r>
      <w:r w:rsidRPr="00B47E35">
        <w:rPr>
          <w:rFonts w:ascii="Verdana" w:hAnsi="Verdana" w:cs="Arial"/>
          <w:lang w:val="es-ES_tradnl" w:eastAsia="es-ES"/>
        </w:rPr>
        <w:t xml:space="preserve"> les corresponde presentar la mencionada certificación con sus respectivos soportes.</w:t>
      </w:r>
    </w:p>
    <w:p w14:paraId="247FCC54" w14:textId="76321E83" w:rsidR="00B47E35" w:rsidRPr="00B47E35" w:rsidRDefault="00B47E35" w:rsidP="00B47E35">
      <w:pPr>
        <w:spacing w:after="120" w:line="276" w:lineRule="auto"/>
        <w:ind w:firstLine="708"/>
        <w:jc w:val="both"/>
        <w:rPr>
          <w:rFonts w:ascii="Verdana" w:hAnsi="Verdana" w:cs="Arial"/>
          <w:lang w:eastAsia="es-ES"/>
        </w:rPr>
      </w:pPr>
      <w:r w:rsidRPr="00B47E35">
        <w:rPr>
          <w:rFonts w:ascii="Verdana" w:hAnsi="Verdana" w:cs="Arial"/>
          <w:lang w:val="es-ES_tradnl" w:eastAsia="es-ES"/>
        </w:rPr>
        <w:t>Sin perjuicio de lo anterior, la sola presentación de la certificación con las copias de los documentos de identidad, de los contratos laborales y los certificados de aportes a seguridad social no confiere automáticamente el acceso a los criterios diferenciales. Esto por cuanto es deber de la entidad verificar que los documentos presentados acrediten las condiciones descritas en el primer y segundo inciso del numeral </w:t>
      </w:r>
      <w:hyperlink r:id="rId20" w:anchor="2.2.1.2.4.2.14.n.2" w:history="1">
        <w:r w:rsidRPr="00B47E35">
          <w:rPr>
            <w:rStyle w:val="Hipervnculo"/>
            <w:rFonts w:ascii="Verdana" w:hAnsi="Verdana" w:cs="Arial"/>
            <w:lang w:val="es-ES_tradnl" w:eastAsia="es-ES"/>
          </w:rPr>
          <w:t>2</w:t>
        </w:r>
      </w:hyperlink>
      <w:r w:rsidRPr="00B47E35">
        <w:rPr>
          <w:rFonts w:ascii="Verdana" w:hAnsi="Verdana" w:cs="Arial"/>
          <w:lang w:val="es-ES_tradnl" w:eastAsia="es-ES"/>
        </w:rPr>
        <w:t> del artículo 2.2.1.2.4.2.14 del Decreto 1082 de 2015</w:t>
      </w:r>
      <w:r>
        <w:rPr>
          <w:rFonts w:ascii="Verdana" w:hAnsi="Verdana" w:cs="Arial"/>
          <w:lang w:val="es-ES_tradnl" w:eastAsia="es-ES"/>
        </w:rPr>
        <w:t>.</w:t>
      </w:r>
      <w:r w:rsidRPr="00B47E35">
        <w:rPr>
          <w:rFonts w:ascii="Verdana" w:hAnsi="Verdana" w:cs="Arial"/>
          <w:lang w:val="es-ES_tradnl" w:eastAsia="es-ES"/>
        </w:rPr>
        <w:t> </w:t>
      </w:r>
    </w:p>
    <w:p w14:paraId="6B762412" w14:textId="308A1009" w:rsidR="00B47E35" w:rsidRPr="00B47E35" w:rsidRDefault="00B47E35" w:rsidP="00B47E35">
      <w:pPr>
        <w:spacing w:after="120" w:line="276" w:lineRule="auto"/>
        <w:ind w:firstLine="708"/>
        <w:jc w:val="both"/>
        <w:rPr>
          <w:rFonts w:ascii="Verdana" w:hAnsi="Verdana" w:cs="Arial"/>
          <w:lang w:eastAsia="es-ES"/>
        </w:rPr>
      </w:pPr>
      <w:r w:rsidRPr="00B47E35">
        <w:rPr>
          <w:rFonts w:ascii="Verdana" w:hAnsi="Verdana" w:cs="Arial"/>
          <w:lang w:val="es-ES_tradnl" w:eastAsia="es-ES"/>
        </w:rPr>
        <w:t>En ese sentido, para aplicar la mencionada definición la entidad debe comprobar que el número de mujeres vinculadas equivale a un porcentaje igual o superior al cincuenta por ciento (50%) de los empleos del nivel directivo, lo que se puede verificar con la información incluida en la certificación.  Así mismo deberá establecerse si en efecto tal porcentaje de empleos en 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 las personas relacionadas en la certificación efectivamente son del nivel directivo, para lo que deberá analizarse si las funciones descritas en el contrato o certificación aportada se subsumen en la noción establecida en el segundo inciso del numeral </w:t>
      </w:r>
      <w:hyperlink r:id="rId21" w:anchor="2.2.1.2.4.2.14.n.2" w:history="1">
        <w:r w:rsidRPr="00B47E35">
          <w:rPr>
            <w:rStyle w:val="Hipervnculo"/>
            <w:rFonts w:ascii="Verdana" w:hAnsi="Verdana" w:cs="Arial"/>
            <w:lang w:val="es-ES_tradnl" w:eastAsia="es-ES"/>
          </w:rPr>
          <w:t>2</w:t>
        </w:r>
      </w:hyperlink>
      <w:r w:rsidRPr="00B47E35">
        <w:rPr>
          <w:rFonts w:ascii="Verdana" w:hAnsi="Verdana" w:cs="Arial"/>
          <w:lang w:val="es-ES_tradnl" w:eastAsia="es-ES"/>
        </w:rPr>
        <w:t> del artículo 2.2.1.2.4.2.14 del Decreto 1082 de 2015.  </w:t>
      </w:r>
    </w:p>
    <w:p w14:paraId="74CDA602" w14:textId="77777777" w:rsidR="00B47E35" w:rsidRDefault="00B47E35" w:rsidP="68193490">
      <w:pPr>
        <w:spacing w:after="120" w:line="276" w:lineRule="auto"/>
        <w:ind w:firstLine="708"/>
        <w:jc w:val="both"/>
        <w:rPr>
          <w:rFonts w:ascii="Verdana" w:hAnsi="Verdana" w:cs="Arial"/>
          <w:lang w:val="es-ES" w:eastAsia="es-ES"/>
        </w:rPr>
      </w:pPr>
      <w:r w:rsidRPr="68193490">
        <w:rPr>
          <w:rFonts w:ascii="Verdana" w:hAnsi="Verdana" w:cs="Arial"/>
          <w:lang w:val="es-ES" w:eastAsia="es-ES"/>
        </w:rPr>
        <w:t>Conforme a lo anterior, en el evento en que un proponente presente la referida certificación con los respectivos soportes, pero se encuentre que los mismos no acreditan las condiciones descritas en el numeral </w:t>
      </w:r>
      <w:hyperlink r:id="rId22" w:anchor="2.2.1.2.4.2.14.n.2">
        <w:r w:rsidRPr="68193490">
          <w:rPr>
            <w:rStyle w:val="Hipervnculo"/>
            <w:rFonts w:ascii="Verdana" w:hAnsi="Verdana" w:cs="Arial"/>
            <w:lang w:val="es-ES" w:eastAsia="es-ES"/>
          </w:rPr>
          <w:t>2</w:t>
        </w:r>
      </w:hyperlink>
      <w:r w:rsidRPr="68193490">
        <w:rPr>
          <w:rFonts w:ascii="Verdana" w:hAnsi="Verdana" w:cs="Arial"/>
          <w:lang w:val="es-ES" w:eastAsia="es-ES"/>
        </w:rPr>
        <w:t xml:space="preserve"> del artículo 2.2.1.2.4.2.14 de la norma ibidem,  la entidad deberá tener por </w:t>
      </w:r>
      <w:r w:rsidRPr="68193490">
        <w:rPr>
          <w:rFonts w:ascii="Verdana" w:hAnsi="Verdana" w:cs="Arial"/>
          <w:lang w:val="es-ES" w:eastAsia="es-ES"/>
        </w:rPr>
        <w:lastRenderedPageBreak/>
        <w:t>no acreditada la condición de emprendimiento o empresa de mujeres, y, en consecuencia, abstenerse de aplicar criterios diferenciales en favor de este oferente.</w:t>
      </w:r>
    </w:p>
    <w:p w14:paraId="2E52B8BB" w14:textId="14AABAD1" w:rsidR="00B47E35" w:rsidRPr="00B47E35" w:rsidRDefault="00B47E35" w:rsidP="00B47E35">
      <w:pPr>
        <w:spacing w:after="120" w:line="276" w:lineRule="auto"/>
        <w:ind w:firstLine="708"/>
        <w:jc w:val="both"/>
        <w:rPr>
          <w:rFonts w:ascii="Verdana" w:hAnsi="Verdana" w:cs="Arial"/>
          <w:lang w:eastAsia="es-ES"/>
        </w:rPr>
      </w:pPr>
      <w:r w:rsidRPr="00B47E35">
        <w:rPr>
          <w:rFonts w:ascii="Verdana" w:hAnsi="Verdana" w:cs="Arial"/>
          <w:lang w:val="es-ES_tradnl" w:eastAsia="es-ES"/>
        </w:rPr>
        <w:t xml:space="preserv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w:t>
      </w:r>
    </w:p>
    <w:p w14:paraId="1FE24E7D" w14:textId="20DCAE3B" w:rsidR="00D55027" w:rsidRPr="002911D7" w:rsidRDefault="00D76399" w:rsidP="00D76399">
      <w:pPr>
        <w:spacing w:after="120" w:line="276" w:lineRule="auto"/>
        <w:ind w:firstLine="708"/>
        <w:jc w:val="both"/>
        <w:rPr>
          <w:rFonts w:ascii="Verdana" w:hAnsi="Verdana" w:cs="Arial"/>
          <w:lang w:eastAsia="es-ES_tradnl"/>
        </w:rPr>
      </w:pPr>
      <w:r>
        <w:rPr>
          <w:rFonts w:ascii="Verdana" w:hAnsi="Verdana" w:cs="Arial"/>
          <w:lang w:eastAsia="es-ES"/>
        </w:rPr>
        <w:t xml:space="preserve">Por otro lado, </w:t>
      </w:r>
      <w:r>
        <w:rPr>
          <w:rFonts w:ascii="Verdana" w:hAnsi="Verdana" w:cs="Arial"/>
          <w:lang w:eastAsia="es-ES_tradnl"/>
        </w:rPr>
        <w:t>deberá entrarse a estudiar la persona jurídica, la cual de conformidad al artículo 633 del Código Civil Colombiano</w:t>
      </w:r>
      <w:r w:rsidR="00D55027">
        <w:rPr>
          <w:rFonts w:ascii="Verdana" w:hAnsi="Verdana" w:cs="Arial"/>
          <w:lang w:eastAsia="es-ES_tradnl"/>
        </w:rPr>
        <w:t xml:space="preserve"> es</w:t>
      </w:r>
      <w:r>
        <w:rPr>
          <w:rFonts w:ascii="Verdana" w:hAnsi="Verdana" w:cs="Arial"/>
          <w:lang w:eastAsia="es-ES_tradnl"/>
        </w:rPr>
        <w:t xml:space="preserve">, </w:t>
      </w:r>
      <w:r w:rsidRPr="002911D7">
        <w:rPr>
          <w:rFonts w:ascii="Verdana" w:hAnsi="Verdana" w:cs="Arial"/>
          <w:i/>
          <w:iCs/>
          <w:lang w:eastAsia="es-ES_tradnl"/>
        </w:rPr>
        <w:t>“</w:t>
      </w:r>
      <w:r w:rsidRPr="002911D7">
        <w:rPr>
          <w:rFonts w:ascii="Verdana" w:hAnsi="Verdana" w:cs="Arial"/>
          <w:i/>
          <w:iCs/>
          <w:sz w:val="22"/>
          <w:szCs w:val="22"/>
          <w:lang w:eastAsia="es-ES_tradnl"/>
        </w:rPr>
        <w:t xml:space="preserve">una persona ficticia, capaz de ejercer derechos y contraer obligaciones civiles, y de ser representada judicial y </w:t>
      </w:r>
      <w:proofErr w:type="gramStart"/>
      <w:r w:rsidRPr="002911D7">
        <w:rPr>
          <w:rFonts w:ascii="Verdana" w:hAnsi="Verdana" w:cs="Arial"/>
          <w:i/>
          <w:iCs/>
          <w:sz w:val="22"/>
          <w:szCs w:val="22"/>
          <w:lang w:eastAsia="es-ES_tradnl"/>
        </w:rPr>
        <w:t>extrajudicialmente.</w:t>
      </w:r>
      <w:r w:rsidRPr="002911D7">
        <w:rPr>
          <w:rFonts w:ascii="Verdana" w:hAnsi="Verdana" w:cs="Arial"/>
          <w:i/>
          <w:iCs/>
          <w:lang w:eastAsia="es-ES_tradnl"/>
        </w:rPr>
        <w:t>(</w:t>
      </w:r>
      <w:proofErr w:type="gramEnd"/>
      <w:r w:rsidRPr="002911D7">
        <w:rPr>
          <w:rFonts w:ascii="Verdana" w:hAnsi="Verdana" w:cs="Arial"/>
          <w:i/>
          <w:iCs/>
          <w:lang w:eastAsia="es-ES_tradnl"/>
        </w:rPr>
        <w:t>…)”</w:t>
      </w:r>
      <w:r w:rsidR="00D55027">
        <w:rPr>
          <w:rFonts w:ascii="Verdana" w:hAnsi="Verdana" w:cs="Arial"/>
          <w:i/>
          <w:iCs/>
          <w:lang w:eastAsia="es-ES_tradnl"/>
        </w:rPr>
        <w:t xml:space="preserve">, </w:t>
      </w:r>
      <w:r w:rsidR="00D55027">
        <w:rPr>
          <w:rFonts w:ascii="Verdana" w:hAnsi="Verdana" w:cs="Arial"/>
          <w:lang w:eastAsia="es-ES_tradnl"/>
        </w:rPr>
        <w:t xml:space="preserve">las cuales </w:t>
      </w:r>
      <w:r w:rsidR="00D55027" w:rsidRPr="002911D7">
        <w:rPr>
          <w:rFonts w:ascii="Verdana" w:hAnsi="Verdana" w:cs="Arial"/>
          <w:lang w:eastAsia="es-ES_tradnl"/>
        </w:rPr>
        <w:t>pueden ser nacionales o extranjeras</w:t>
      </w:r>
      <w:r w:rsidR="00D55027">
        <w:rPr>
          <w:rFonts w:ascii="Verdana" w:hAnsi="Verdana" w:cs="Arial"/>
          <w:lang w:eastAsia="es-ES_tradnl"/>
        </w:rPr>
        <w:t xml:space="preserve">. Al respecto el artículo </w:t>
      </w:r>
      <w:r w:rsidR="00D55027" w:rsidRPr="00B47E35">
        <w:rPr>
          <w:rFonts w:ascii="Verdana" w:hAnsi="Verdana" w:cs="Arial"/>
          <w:lang w:val="es-ES_tradnl" w:eastAsia="es-ES"/>
        </w:rPr>
        <w:t>2.2.1.2.4.2.14</w:t>
      </w:r>
      <w:r w:rsidR="00D55027">
        <w:rPr>
          <w:rFonts w:ascii="Verdana" w:hAnsi="Verdana" w:cs="Arial"/>
          <w:lang w:val="es-ES_tradnl" w:eastAsia="es-ES"/>
        </w:rPr>
        <w:t xml:space="preserve"> del Decreto 1082 de 2015, este no hace distinción entre el tipo de persona jurídica que puede acreditarse como empresa y emprendimiento de mujer.</w:t>
      </w:r>
    </w:p>
    <w:p w14:paraId="73161826" w14:textId="2F181A7D" w:rsidR="00D55027" w:rsidRDefault="00D55027" w:rsidP="00D55027">
      <w:pPr>
        <w:spacing w:after="120" w:line="276" w:lineRule="auto"/>
        <w:ind w:firstLine="708"/>
        <w:jc w:val="both"/>
        <w:rPr>
          <w:rFonts w:ascii="Verdana" w:hAnsi="Verdana" w:cs="Arial"/>
          <w:lang w:eastAsia="es-ES_tradnl"/>
        </w:rPr>
      </w:pPr>
      <w:r>
        <w:rPr>
          <w:rFonts w:ascii="Verdana" w:hAnsi="Verdana" w:cs="Arial"/>
          <w:lang w:eastAsia="es-ES_tradnl"/>
        </w:rPr>
        <w:t xml:space="preserve">Ahora bien, se debe tener en cuenta que, </w:t>
      </w:r>
      <w:r w:rsidR="00D76399">
        <w:rPr>
          <w:rFonts w:ascii="Verdana" w:hAnsi="Verdana" w:cs="Arial"/>
          <w:lang w:eastAsia="es-ES_tradnl"/>
        </w:rPr>
        <w:t xml:space="preserve">de conformidad al artículo 263 del </w:t>
      </w:r>
      <w:proofErr w:type="spellStart"/>
      <w:proofErr w:type="gramStart"/>
      <w:r w:rsidR="00D76399">
        <w:rPr>
          <w:rFonts w:ascii="Verdana" w:hAnsi="Verdana" w:cs="Arial"/>
          <w:lang w:eastAsia="es-ES_tradnl"/>
        </w:rPr>
        <w:t>C.Co</w:t>
      </w:r>
      <w:proofErr w:type="spellEnd"/>
      <w:proofErr w:type="gramEnd"/>
      <w:r w:rsidR="00D76399">
        <w:rPr>
          <w:rFonts w:ascii="Verdana" w:hAnsi="Verdana" w:cs="Arial"/>
          <w:lang w:eastAsia="es-ES_tradnl"/>
        </w:rPr>
        <w:t xml:space="preserve"> </w:t>
      </w:r>
      <w:r w:rsidR="00D76399" w:rsidRPr="002911D7">
        <w:rPr>
          <w:rFonts w:ascii="Verdana" w:hAnsi="Verdana" w:cs="Arial"/>
          <w:lang w:eastAsia="es-ES_tradnl"/>
        </w:rPr>
        <w:t>son sucursales los establecimientos de comercio abiertos por una sociedad, dentro o fuera de su domicilio, para el desarrollo de los negocios sociales o de parte de ellos, administrados por mandatarios con facultades para representar a la sociedad</w:t>
      </w:r>
      <w:r>
        <w:rPr>
          <w:rFonts w:ascii="Verdana" w:hAnsi="Verdana" w:cs="Arial"/>
          <w:lang w:eastAsia="es-ES_tradnl"/>
        </w:rPr>
        <w:t xml:space="preserve">, es decir, la sucursal es </w:t>
      </w:r>
      <w:r w:rsidR="002C17A8">
        <w:rPr>
          <w:rFonts w:ascii="Verdana" w:hAnsi="Verdana" w:cs="Arial"/>
          <w:lang w:eastAsia="es-ES_tradnl"/>
        </w:rPr>
        <w:t>un bien</w:t>
      </w:r>
      <w:r>
        <w:rPr>
          <w:rFonts w:ascii="Verdana" w:hAnsi="Verdana" w:cs="Arial"/>
          <w:lang w:eastAsia="es-ES_tradnl"/>
        </w:rPr>
        <w:t xml:space="preserve"> de la persona jurídica, en este caso empresa extranjera.</w:t>
      </w:r>
    </w:p>
    <w:p w14:paraId="3EBC8FE7" w14:textId="5B81BE6A" w:rsidR="00D55027" w:rsidRPr="002911D7" w:rsidRDefault="00D55027" w:rsidP="00D55027">
      <w:pPr>
        <w:spacing w:after="120" w:line="276" w:lineRule="auto"/>
        <w:ind w:firstLine="708"/>
        <w:jc w:val="both"/>
        <w:rPr>
          <w:rFonts w:ascii="Verdana" w:hAnsi="Verdana" w:cs="Arial"/>
          <w:i/>
          <w:iCs/>
          <w:lang w:eastAsia="es-ES_tradnl"/>
        </w:rPr>
      </w:pPr>
      <w:r>
        <w:rPr>
          <w:rFonts w:ascii="Verdana" w:hAnsi="Verdana" w:cs="Arial"/>
          <w:lang w:eastAsia="es-ES_tradnl"/>
        </w:rPr>
        <w:t>De tal manera que, el proponente deberá acreditar lo establecido por la norma de forma taxativa, “</w:t>
      </w:r>
      <w:r w:rsidRPr="002911D7">
        <w:rPr>
          <w:rFonts w:ascii="Verdana" w:hAnsi="Verdana" w:cs="Arial"/>
          <w:i/>
          <w:iCs/>
          <w:lang w:eastAsia="es-ES_tradnl"/>
        </w:rPr>
        <w:t>p</w:t>
      </w:r>
      <w:r w:rsidRPr="002911D7">
        <w:rPr>
          <w:rFonts w:ascii="Work Sans" w:hAnsi="Work Sans"/>
          <w:i/>
          <w:iCs/>
          <w:color w:val="333333"/>
          <w:sz w:val="25"/>
          <w:szCs w:val="25"/>
        </w:rPr>
        <w:t xml:space="preserve">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w:t>
      </w:r>
      <w:r>
        <w:rPr>
          <w:rStyle w:val="Refdenotaalpie"/>
          <w:rFonts w:ascii="Verdana" w:hAnsi="Verdana" w:cs="Arial"/>
          <w:i/>
          <w:iCs/>
          <w:lang w:eastAsia="es-ES_tradnl"/>
        </w:rPr>
        <w:footnoteReference w:id="10"/>
      </w:r>
    </w:p>
    <w:p w14:paraId="39B9916C" w14:textId="77777777" w:rsidR="00C6766C" w:rsidRPr="00C6766C" w:rsidRDefault="00C6766C" w:rsidP="00C6766C">
      <w:pPr>
        <w:spacing w:after="120" w:line="276" w:lineRule="auto"/>
        <w:ind w:firstLine="708"/>
        <w:jc w:val="both"/>
        <w:rPr>
          <w:rFonts w:ascii="Verdana" w:hAnsi="Verdana" w:cs="Arial"/>
          <w:color w:val="000000"/>
        </w:rPr>
      </w:pPr>
      <w:r w:rsidRPr="00D55027">
        <w:rPr>
          <w:rFonts w:ascii="Verdana" w:hAnsi="Verdana" w:cs="Arial"/>
          <w:color w:val="000000"/>
        </w:rPr>
        <w:lastRenderedPageBreak/>
        <w:t>Ahora bien, las normas de la Ley 222 de 1995 y la Ley 1116 de 2006 definen los conceptos de situación de control y de grupo empresarial y los correspondientes efectos, tales como la inscripción en el Registro Mercantil, la consolidación de estados financieros, la posibilidad de hacer efectiva la responsabilidad subsidiaria de la matriz o controlante en casos de liquidación de las subordinadas, la prohibición de imbricación y la facultad de los organismos de inspección, vigilancia y control para comprobar la realidad de las operaciones, imponer multas y ordenar la suspensión de tales operaciones. Estas disposiciones definen la posibilidad del control de hecho sobre las sociedades, sin que se excluyan otros mecanismos de control formal o contractual. El control puede ser ejercido en Colombia o desde Colombia por personas naturales o jurídicas nacionales o extranjeras</w:t>
      </w:r>
      <w:r w:rsidRPr="00D55027">
        <w:rPr>
          <w:rFonts w:ascii="Verdana" w:hAnsi="Verdana" w:cs="Arial"/>
          <w:color w:val="000000"/>
          <w:vertAlign w:val="superscript"/>
        </w:rPr>
        <w:footnoteReference w:id="11"/>
      </w:r>
      <w:r w:rsidRPr="00D55027">
        <w:rPr>
          <w:rFonts w:ascii="Verdana" w:hAnsi="Verdana" w:cs="Arial"/>
          <w:color w:val="000000"/>
        </w:rPr>
        <w:t>.</w:t>
      </w:r>
    </w:p>
    <w:p w14:paraId="1F0CB5DA" w14:textId="77777777" w:rsidR="00C6766C" w:rsidRPr="00C6766C" w:rsidRDefault="00C6766C" w:rsidP="00C6766C">
      <w:pPr>
        <w:spacing w:after="120" w:line="276" w:lineRule="auto"/>
        <w:ind w:firstLine="708"/>
        <w:jc w:val="both"/>
        <w:rPr>
          <w:rFonts w:ascii="Verdana" w:hAnsi="Verdana" w:cs="Arial"/>
          <w:color w:val="000000"/>
          <w:lang w:val="es-MX"/>
        </w:rPr>
      </w:pPr>
      <w:r w:rsidRPr="00C6766C">
        <w:rPr>
          <w:rFonts w:ascii="Verdana" w:hAnsi="Verdana" w:cs="Arial"/>
          <w:color w:val="000000"/>
        </w:rPr>
        <w:t xml:space="preserve">Respecto a las modalidades de control, el </w:t>
      </w:r>
      <w:bookmarkStart w:id="6" w:name="_Hlk175579998"/>
      <w:r w:rsidRPr="00C6766C">
        <w:rPr>
          <w:rFonts w:ascii="Verdana" w:hAnsi="Verdana" w:cs="Arial"/>
          <w:color w:val="000000"/>
        </w:rPr>
        <w:t>Código de Comercio, en el artículo 261 – al cual se refiere en su consulta –, subrogado por el artículo 27 de la Ley 222 de 1995</w:t>
      </w:r>
      <w:bookmarkEnd w:id="6"/>
      <w:r w:rsidRPr="00C6766C">
        <w:rPr>
          <w:rFonts w:ascii="Verdana" w:hAnsi="Verdana" w:cs="Arial"/>
          <w:color w:val="000000"/>
        </w:rPr>
        <w:t xml:space="preserve">, aclara y especifica los supuestos de subordinación para el control societario. Una de las modalidades se refiere al control interno por participación, el cual se verifica cuando se posea más del cincuenta por ciento (50%) del capital en la subordinada, sea directamente o por intermedio o con el concurso de las subordinadas, o las subordinadas de estas- </w:t>
      </w:r>
    </w:p>
    <w:p w14:paraId="45A928F6" w14:textId="77777777" w:rsidR="00C6766C" w:rsidRPr="00C6766C" w:rsidRDefault="00C6766C" w:rsidP="00C6766C">
      <w:pPr>
        <w:spacing w:after="120" w:line="276" w:lineRule="auto"/>
        <w:ind w:firstLine="708"/>
        <w:jc w:val="both"/>
        <w:rPr>
          <w:rFonts w:ascii="Verdana" w:hAnsi="Verdana" w:cs="Arial"/>
          <w:color w:val="000000"/>
        </w:rPr>
      </w:pPr>
      <w:bookmarkStart w:id="7" w:name="_Hlk175580433"/>
      <w:r w:rsidRPr="00C6766C">
        <w:rPr>
          <w:rFonts w:ascii="Verdana" w:hAnsi="Verdana" w:cs="Arial"/>
          <w:color w:val="000000"/>
        </w:rPr>
        <w:t xml:space="preserve">El artículo 30 de la Ley 222 de 1995, señala la obligatoriedad de inscripción en el Registro Mercantil de las situaciones de control o de los grupos empresariales. Esta se obtiene mediante un documento privado suscrito por la persona o personas controlantes, que debe contener la información relativa al nombre, domicilio, nacionalidad y actividad de los vinculados, así como el presupuesto que da lugar a la situación de control. El documento debe presentarse para su inscripción en el Registro Mercantil correspondiente a la circunscripción de cada uno de los </w:t>
      </w:r>
      <w:r w:rsidRPr="00C6766C">
        <w:rPr>
          <w:rFonts w:ascii="Verdana" w:hAnsi="Verdana" w:cs="Arial"/>
          <w:color w:val="000000"/>
        </w:rPr>
        <w:lastRenderedPageBreak/>
        <w:t>vinculados, dentro de los treinta (30) días siguientes a la configuración de la situación de control o del grupo empresarial</w:t>
      </w:r>
      <w:bookmarkEnd w:id="7"/>
      <w:r w:rsidRPr="00C6766C">
        <w:rPr>
          <w:rFonts w:ascii="Verdana" w:hAnsi="Verdana" w:cs="Arial"/>
          <w:color w:val="000000"/>
          <w:vertAlign w:val="superscript"/>
        </w:rPr>
        <w:footnoteReference w:id="12"/>
      </w:r>
      <w:r w:rsidRPr="00C6766C">
        <w:rPr>
          <w:rFonts w:ascii="Verdana" w:hAnsi="Verdana" w:cs="Arial"/>
          <w:color w:val="000000"/>
        </w:rPr>
        <w:t>.</w:t>
      </w:r>
    </w:p>
    <w:p w14:paraId="05954B20" w14:textId="77777777" w:rsidR="00C6766C" w:rsidRPr="00C6766C" w:rsidRDefault="00C6766C" w:rsidP="00C6766C">
      <w:pPr>
        <w:spacing w:after="120" w:line="276" w:lineRule="auto"/>
        <w:ind w:firstLine="708"/>
        <w:jc w:val="both"/>
        <w:rPr>
          <w:rFonts w:ascii="Verdana" w:hAnsi="Verdana" w:cs="Arial"/>
          <w:color w:val="000000"/>
          <w:lang w:val="es-MX"/>
        </w:rPr>
      </w:pPr>
      <w:r w:rsidRPr="00C6766C">
        <w:rPr>
          <w:rFonts w:ascii="Verdana" w:hAnsi="Verdana" w:cs="Arial"/>
          <w:color w:val="000000"/>
        </w:rPr>
        <w:t xml:space="preserve">El parágrafo 1º del artículo 27 de dicha ley señala: “Igualmente habrá subordinación, para todos los efectos legales, cuando el control conforme a los supuestos previstos en el presente artículo, sea ejercido por una o varias personas naturales o jurídicas de naturaleza no societaria, bien sea directamente o por intermedio o con el concurso de entidades en las cuales estas poseen más del cincuenta por ciento del capital o configure la mayoría mínima para la toma de decisiones o ejerzan influencia dominante en la dirección o toma de la entidad”. Es así </w:t>
      </w:r>
      <w:proofErr w:type="gramStart"/>
      <w:r w:rsidRPr="00C6766C">
        <w:rPr>
          <w:rFonts w:ascii="Verdana" w:hAnsi="Verdana" w:cs="Arial"/>
          <w:color w:val="000000"/>
        </w:rPr>
        <w:t>que</w:t>
      </w:r>
      <w:proofErr w:type="gramEnd"/>
      <w:r w:rsidRPr="00C6766C">
        <w:rPr>
          <w:rFonts w:ascii="Verdana" w:hAnsi="Verdana" w:cs="Arial"/>
          <w:color w:val="000000"/>
        </w:rPr>
        <w:t xml:space="preserve"> la obligación establecida en el citado artículo 30 es uno de los efectos del control; luego, las personas controlantes que no sean sociedades también se encuentran cobijadas por dicha norma.</w:t>
      </w:r>
    </w:p>
    <w:p w14:paraId="4B6FB15D" w14:textId="77777777" w:rsidR="00C6766C" w:rsidRPr="00C6766C" w:rsidRDefault="00C6766C" w:rsidP="00C6766C">
      <w:pPr>
        <w:spacing w:after="120" w:line="276" w:lineRule="auto"/>
        <w:ind w:firstLine="708"/>
        <w:jc w:val="both"/>
        <w:rPr>
          <w:rFonts w:ascii="Verdana" w:hAnsi="Verdana" w:cs="Arial"/>
          <w:color w:val="000000"/>
          <w:lang w:val="es-MX"/>
        </w:rPr>
      </w:pPr>
      <w:bookmarkStart w:id="8" w:name="_Hlk175580469"/>
      <w:r w:rsidRPr="00C6766C">
        <w:rPr>
          <w:rFonts w:ascii="Verdana" w:hAnsi="Verdana" w:cs="Arial"/>
          <w:color w:val="000000"/>
        </w:rPr>
        <w:t xml:space="preserve">La norma faculta a la Superintendencia Financiera para que de oficio o a solicitud de cualquier interesado, declare la situación de vinculación y ordene la inscripción en el Registro Mercantil, sin perjuicio de la imposición de multas a que haya lugar por dicha omisión. Así las cosas, es claro que es competencia de esta entidad la declaratoria de la situación, no a cada una de las Entidades Estatales que adelanten el proceso de contratación, quienes para efecto de aplicar los criterios diferenciales de que trata el artículo 32 de la Ley 2069 de 2021 y el Decreto 1860 de 2021 deberán verificar el cumplimiento de los requisitos de que trata el </w:t>
      </w:r>
      <w:r w:rsidRPr="00C6766C">
        <w:rPr>
          <w:rFonts w:ascii="Verdana" w:hAnsi="Verdana" w:cs="Arial"/>
          <w:lang w:val="es-ES_tradnl" w:eastAsia="es-ES_tradnl"/>
        </w:rPr>
        <w:t xml:space="preserve">Artículo 2.2.1.2.4.2.14. – adicionado por el artículo 3 del Decreto 1860 de 2021. </w:t>
      </w:r>
    </w:p>
    <w:p w14:paraId="6A6FA59F" w14:textId="4EA4F64F" w:rsidR="002C17A8" w:rsidRPr="00C6766C" w:rsidRDefault="00D55027" w:rsidP="00C6766C">
      <w:pPr>
        <w:spacing w:line="276" w:lineRule="auto"/>
        <w:ind w:firstLine="708"/>
        <w:jc w:val="both"/>
        <w:rPr>
          <w:rFonts w:ascii="Verdana" w:hAnsi="Verdana" w:cs="Arial"/>
          <w:color w:val="000000"/>
        </w:rPr>
      </w:pPr>
      <w:r>
        <w:rPr>
          <w:rFonts w:ascii="Verdana" w:hAnsi="Verdana" w:cs="Arial"/>
        </w:rPr>
        <w:t xml:space="preserve">En conclusión, </w:t>
      </w:r>
      <w:r w:rsidR="002C17A8">
        <w:rPr>
          <w:rFonts w:ascii="Verdana" w:eastAsia="Century Gothic" w:hAnsi="Verdana" w:cs="Century Gothic"/>
          <w:color w:val="000000"/>
          <w:lang w:val="es-ES"/>
        </w:rPr>
        <w:t>l</w:t>
      </w:r>
      <w:r w:rsidR="002C17A8" w:rsidRPr="00C6766C">
        <w:rPr>
          <w:rFonts w:ascii="Verdana" w:eastAsia="Century Gothic" w:hAnsi="Verdana" w:cs="Century Gothic"/>
          <w:color w:val="000000"/>
          <w:lang w:val="es-ES"/>
        </w:rPr>
        <w:t xml:space="preserve">a acreditación requerida para las empresas extranjeras con sucursales en Colombia aplica al 50% de los cargos directivos de </w:t>
      </w:r>
      <w:r w:rsidR="002C17A8">
        <w:rPr>
          <w:rFonts w:ascii="Verdana" w:eastAsia="Century Gothic" w:hAnsi="Verdana" w:cs="Century Gothic"/>
          <w:color w:val="000000"/>
          <w:lang w:val="es-ES"/>
        </w:rPr>
        <w:t>la persona jurídica</w:t>
      </w:r>
      <w:r w:rsidR="002C17A8" w:rsidRPr="00C6766C">
        <w:rPr>
          <w:rFonts w:ascii="Verdana" w:eastAsia="Century Gothic" w:hAnsi="Verdana" w:cs="Century Gothic"/>
          <w:color w:val="000000"/>
          <w:lang w:val="es-ES"/>
        </w:rPr>
        <w:t>, y esta acreditación debe ser certificada por su representante legal y el revisor fiscal</w:t>
      </w:r>
      <w:r w:rsidR="002C17A8">
        <w:rPr>
          <w:rFonts w:ascii="Verdana" w:eastAsia="Century Gothic" w:hAnsi="Verdana" w:cs="Century Gothic"/>
          <w:color w:val="000000"/>
          <w:lang w:val="es-ES"/>
        </w:rPr>
        <w:t>, tal y como señala la norma ibidem.</w:t>
      </w:r>
      <w:bookmarkEnd w:id="8"/>
    </w:p>
    <w:p w14:paraId="2C8DAFE0" w14:textId="77777777" w:rsidR="00C6766C" w:rsidRPr="00C6766C" w:rsidRDefault="00C6766C" w:rsidP="00C6766C">
      <w:pPr>
        <w:widowControl w:val="0"/>
        <w:autoSpaceDE w:val="0"/>
        <w:autoSpaceDN w:val="0"/>
        <w:spacing w:line="276" w:lineRule="auto"/>
        <w:jc w:val="both"/>
        <w:rPr>
          <w:rFonts w:ascii="Verdana" w:eastAsia="Aptos" w:hAnsi="Verdana" w:cs="Arial"/>
          <w:color w:val="000000"/>
        </w:rPr>
      </w:pPr>
    </w:p>
    <w:p w14:paraId="52A0FFA3" w14:textId="77777777" w:rsidR="00C6766C" w:rsidRPr="00C6766C" w:rsidRDefault="00C6766C" w:rsidP="00C6766C">
      <w:pPr>
        <w:numPr>
          <w:ilvl w:val="0"/>
          <w:numId w:val="16"/>
        </w:numPr>
        <w:tabs>
          <w:tab w:val="left" w:pos="142"/>
          <w:tab w:val="left" w:pos="284"/>
        </w:tabs>
        <w:spacing w:line="276" w:lineRule="auto"/>
        <w:ind w:left="0" w:firstLine="0"/>
        <w:jc w:val="both"/>
        <w:rPr>
          <w:rFonts w:ascii="Verdana" w:eastAsia="Century Gothic" w:hAnsi="Verdana" w:cs="Century Gothic"/>
          <w:b/>
          <w:bCs/>
          <w:color w:val="000000"/>
          <w:lang w:val="es-ES"/>
        </w:rPr>
      </w:pPr>
      <w:r w:rsidRPr="00C6766C">
        <w:rPr>
          <w:rFonts w:ascii="Verdana" w:eastAsia="Century Gothic" w:hAnsi="Verdana" w:cs="Century Gothic"/>
          <w:b/>
          <w:bCs/>
          <w:color w:val="000000"/>
          <w:lang w:val="es-ES"/>
        </w:rPr>
        <w:t>Referencias normativas, jurisprudenciales y otras fuentes:</w:t>
      </w:r>
    </w:p>
    <w:p w14:paraId="057BF333" w14:textId="77777777" w:rsidR="00C6766C" w:rsidRPr="00C6766C" w:rsidRDefault="00C6766C" w:rsidP="00C6766C">
      <w:pPr>
        <w:widowControl w:val="0"/>
        <w:autoSpaceDE w:val="0"/>
        <w:autoSpaceDN w:val="0"/>
        <w:spacing w:line="276" w:lineRule="auto"/>
        <w:jc w:val="both"/>
        <w:rPr>
          <w:rFonts w:ascii="Verdana" w:eastAsia="Aptos" w:hAnsi="Verdana" w:cs="Arial"/>
          <w:color w:val="00000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6766C" w:rsidRPr="00C6766C" w14:paraId="63FE8D78" w14:textId="77777777" w:rsidTr="009F797D">
        <w:trPr>
          <w:trHeight w:val="870"/>
        </w:trPr>
        <w:tc>
          <w:tcPr>
            <w:tcW w:w="8647" w:type="dxa"/>
          </w:tcPr>
          <w:p w14:paraId="7F2D9CFA" w14:textId="77777777" w:rsidR="00C6766C" w:rsidRPr="00C6766C" w:rsidRDefault="00C6766C" w:rsidP="00C6766C">
            <w:pPr>
              <w:numPr>
                <w:ilvl w:val="0"/>
                <w:numId w:val="17"/>
              </w:numPr>
              <w:contextualSpacing/>
              <w:jc w:val="both"/>
              <w:rPr>
                <w:rFonts w:ascii="Verdana" w:hAnsi="Verdana" w:cs="Arial"/>
                <w:bCs/>
                <w:lang w:val="es-ES" w:eastAsia="es-ES_tradnl"/>
              </w:rPr>
            </w:pPr>
            <w:r w:rsidRPr="00C6766C">
              <w:rPr>
                <w:rFonts w:ascii="Verdana" w:hAnsi="Verdana" w:cs="Arial"/>
                <w:lang w:val="es-ES_tradnl" w:eastAsia="es-ES_tradnl"/>
              </w:rPr>
              <w:lastRenderedPageBreak/>
              <w:t xml:space="preserve">Ley 2069 de 2020: </w:t>
            </w:r>
            <w:r w:rsidRPr="00C6766C">
              <w:rPr>
                <w:rFonts w:ascii="Verdana" w:hAnsi="Verdana" w:cs="Arial"/>
                <w:bCs/>
                <w:lang w:val="es-ES" w:eastAsia="es-ES_tradnl"/>
              </w:rPr>
              <w:t xml:space="preserve">Artículo 32. </w:t>
            </w:r>
          </w:p>
          <w:p w14:paraId="13EC1E88" w14:textId="77777777" w:rsidR="00C6766C" w:rsidRPr="00C6766C" w:rsidRDefault="00C6766C" w:rsidP="00C6766C">
            <w:pPr>
              <w:ind w:left="360"/>
              <w:contextualSpacing/>
              <w:jc w:val="both"/>
              <w:rPr>
                <w:rFonts w:ascii="Verdana" w:hAnsi="Verdana" w:cs="Arial"/>
                <w:bCs/>
                <w:lang w:val="es-ES" w:eastAsia="es-ES_tradnl"/>
              </w:rPr>
            </w:pPr>
          </w:p>
          <w:p w14:paraId="645BF6AF" w14:textId="77777777" w:rsidR="00C6766C" w:rsidRPr="00C6766C" w:rsidRDefault="00C6766C" w:rsidP="00C6766C">
            <w:pPr>
              <w:numPr>
                <w:ilvl w:val="0"/>
                <w:numId w:val="17"/>
              </w:numPr>
              <w:contextualSpacing/>
              <w:jc w:val="both"/>
              <w:rPr>
                <w:rFonts w:ascii="Verdana" w:hAnsi="Verdana" w:cs="Arial"/>
                <w:lang w:val="es-ES_tradnl" w:eastAsia="es-ES_tradnl"/>
              </w:rPr>
            </w:pPr>
            <w:r w:rsidRPr="00C6766C">
              <w:rPr>
                <w:rFonts w:ascii="Verdana" w:hAnsi="Verdana" w:cs="Arial"/>
                <w:lang w:val="es-ES_tradnl" w:eastAsia="es-ES_tradnl"/>
              </w:rPr>
              <w:t xml:space="preserve">Decreto 1082 de 2015: Artículo 2.2.1.2.4.2.14. – adicionado por el artículo 3 del Decreto 1860 de 2021. </w:t>
            </w:r>
          </w:p>
          <w:p w14:paraId="37138904" w14:textId="77777777" w:rsidR="00C6766C" w:rsidRPr="00C6766C" w:rsidRDefault="00C6766C" w:rsidP="00C6766C">
            <w:pPr>
              <w:ind w:left="360"/>
              <w:contextualSpacing/>
              <w:jc w:val="both"/>
              <w:rPr>
                <w:rFonts w:ascii="Aptos" w:hAnsi="Aptos"/>
                <w:lang w:val="es-ES"/>
              </w:rPr>
            </w:pPr>
          </w:p>
          <w:p w14:paraId="037C3872" w14:textId="77777777" w:rsidR="00C6766C" w:rsidRPr="00C6766C" w:rsidRDefault="00C6766C" w:rsidP="00C6766C">
            <w:pPr>
              <w:numPr>
                <w:ilvl w:val="0"/>
                <w:numId w:val="17"/>
              </w:numPr>
              <w:contextualSpacing/>
              <w:jc w:val="both"/>
              <w:rPr>
                <w:rFonts w:ascii="Aptos" w:hAnsi="Aptos"/>
                <w:lang w:val="es-ES"/>
              </w:rPr>
            </w:pPr>
            <w:r w:rsidRPr="00C6766C">
              <w:rPr>
                <w:rFonts w:ascii="Verdana" w:hAnsi="Verdana" w:cs="Arial"/>
                <w:color w:val="000000"/>
                <w:lang w:val="es-ES"/>
              </w:rPr>
              <w:t xml:space="preserve">Ley 222 de 1995: Artículo 27 y 30. </w:t>
            </w:r>
          </w:p>
          <w:p w14:paraId="4F8E26A9" w14:textId="77777777" w:rsidR="00C6766C" w:rsidRPr="00C6766C" w:rsidRDefault="00C6766C" w:rsidP="00C6766C">
            <w:pPr>
              <w:ind w:left="720"/>
              <w:contextualSpacing/>
              <w:jc w:val="both"/>
              <w:rPr>
                <w:rFonts w:ascii="Geomanist Light" w:hAnsi="Geomanist Light"/>
                <w:lang w:val="es-ES"/>
              </w:rPr>
            </w:pPr>
          </w:p>
          <w:p w14:paraId="1B6DF28B" w14:textId="77777777" w:rsidR="00C6766C" w:rsidRPr="00C6766C" w:rsidRDefault="00C6766C" w:rsidP="00C6766C">
            <w:pPr>
              <w:widowControl w:val="0"/>
              <w:numPr>
                <w:ilvl w:val="0"/>
                <w:numId w:val="17"/>
              </w:numPr>
              <w:autoSpaceDE w:val="0"/>
              <w:autoSpaceDN w:val="0"/>
              <w:spacing w:after="120" w:line="276" w:lineRule="auto"/>
              <w:jc w:val="both"/>
              <w:rPr>
                <w:rFonts w:ascii="Verdana" w:eastAsia="Aptos" w:hAnsi="Verdana" w:cs="Arial"/>
                <w:color w:val="000000"/>
              </w:rPr>
            </w:pPr>
            <w:r w:rsidRPr="00C6766C">
              <w:rPr>
                <w:rFonts w:ascii="Verdana" w:hAnsi="Verdana"/>
              </w:rPr>
              <w:t>Superintendencia de Sociedades. Guía Práctica Régimen de Matrices y Subordinadas.</w:t>
            </w:r>
          </w:p>
        </w:tc>
      </w:tr>
    </w:tbl>
    <w:p w14:paraId="37861FAB" w14:textId="77777777" w:rsidR="00C6766C" w:rsidRPr="00C6766C" w:rsidRDefault="00C6766C" w:rsidP="00C6766C">
      <w:pPr>
        <w:widowControl w:val="0"/>
        <w:autoSpaceDE w:val="0"/>
        <w:autoSpaceDN w:val="0"/>
        <w:spacing w:line="276" w:lineRule="auto"/>
        <w:jc w:val="both"/>
        <w:rPr>
          <w:rFonts w:ascii="Verdana" w:eastAsia="Aptos" w:hAnsi="Verdana" w:cs="Arial"/>
          <w:color w:val="000000"/>
        </w:rPr>
      </w:pPr>
    </w:p>
    <w:p w14:paraId="2F79AC41" w14:textId="77777777" w:rsidR="00C6766C" w:rsidRPr="00C6766C" w:rsidRDefault="00C6766C" w:rsidP="00C6766C">
      <w:pPr>
        <w:numPr>
          <w:ilvl w:val="0"/>
          <w:numId w:val="16"/>
        </w:numPr>
        <w:tabs>
          <w:tab w:val="left" w:pos="142"/>
          <w:tab w:val="left" w:pos="284"/>
        </w:tabs>
        <w:spacing w:line="276" w:lineRule="auto"/>
        <w:ind w:left="0" w:firstLine="0"/>
        <w:jc w:val="both"/>
        <w:rPr>
          <w:rFonts w:ascii="Verdana" w:eastAsia="Century Gothic" w:hAnsi="Verdana" w:cs="Century Gothic"/>
          <w:b/>
          <w:bCs/>
          <w:color w:val="000000"/>
          <w:lang w:val="es-ES"/>
        </w:rPr>
      </w:pPr>
      <w:r w:rsidRPr="00C6766C">
        <w:rPr>
          <w:rFonts w:ascii="Verdana" w:eastAsia="Century Gothic" w:hAnsi="Verdana" w:cs="Century Gothic"/>
          <w:b/>
          <w:bCs/>
          <w:color w:val="000000"/>
          <w:lang w:val="es-ES"/>
        </w:rPr>
        <w:t>Doctrina de la Agencia Nacional de Contratación Pública:</w:t>
      </w:r>
    </w:p>
    <w:p w14:paraId="69D1F7E0" w14:textId="77777777" w:rsidR="00C6766C" w:rsidRPr="00C6766C" w:rsidRDefault="00C6766C" w:rsidP="00C6766C">
      <w:pPr>
        <w:widowControl w:val="0"/>
        <w:autoSpaceDE w:val="0"/>
        <w:autoSpaceDN w:val="0"/>
        <w:spacing w:line="276" w:lineRule="auto"/>
        <w:jc w:val="both"/>
        <w:rPr>
          <w:rFonts w:ascii="Verdana" w:eastAsia="Aptos" w:hAnsi="Verdana" w:cs="Arial"/>
          <w:color w:val="000000"/>
        </w:rPr>
      </w:pPr>
    </w:p>
    <w:p w14:paraId="371F4A68" w14:textId="77777777" w:rsidR="00C6766C" w:rsidRPr="00C6766C" w:rsidRDefault="00C6766C" w:rsidP="00C6766C">
      <w:pPr>
        <w:widowControl w:val="0"/>
        <w:autoSpaceDE w:val="0"/>
        <w:autoSpaceDN w:val="0"/>
        <w:spacing w:line="276" w:lineRule="auto"/>
        <w:jc w:val="both"/>
        <w:rPr>
          <w:rFonts w:ascii="Verdana" w:hAnsi="Verdana" w:cs="Arial"/>
          <w:shd w:val="clear" w:color="auto" w:fill="FFFFFF"/>
        </w:rPr>
      </w:pPr>
      <w:r w:rsidRPr="00C6766C">
        <w:rPr>
          <w:rFonts w:ascii="Verdana" w:hAnsi="Verdana" w:cs="Arial"/>
          <w:shd w:val="clear" w:color="auto" w:fill="FFFFFF"/>
          <w:lang w:val="es-ES"/>
        </w:rPr>
        <w:t xml:space="preserve">Sobre </w:t>
      </w:r>
      <w:r w:rsidRPr="00C6766C">
        <w:rPr>
          <w:rFonts w:ascii="Verdana" w:hAnsi="Verdana" w:cs="Arial"/>
          <w:lang w:val="es-ES" w:eastAsia="es-ES"/>
        </w:rPr>
        <w:t xml:space="preserve">la </w:t>
      </w:r>
      <w:r w:rsidRPr="00C6766C">
        <w:rPr>
          <w:rFonts w:ascii="Verdana" w:hAnsi="Verdana" w:cs="Arial"/>
          <w:lang w:val="es-ES" w:eastAsia="es-ES_tradnl"/>
        </w:rPr>
        <w:t>definición de emprendimientos y empresas de mujeres en el Decreto 1860 de 2021</w:t>
      </w:r>
      <w:r w:rsidRPr="00C6766C">
        <w:rPr>
          <w:rFonts w:ascii="Verdana" w:hAnsi="Verdana" w:cs="Arial"/>
          <w:lang w:val="es-ES" w:eastAsia="es-ES"/>
        </w:rPr>
        <w:t>, esta Subdirección se ha pronunciado en los conceptos</w:t>
      </w:r>
      <w:r w:rsidRPr="00C6766C">
        <w:rPr>
          <w:rFonts w:ascii="Verdana" w:hAnsi="Verdana" w:cs="Arial"/>
        </w:rPr>
        <w:t xml:space="preserve"> </w:t>
      </w:r>
      <w:r w:rsidRPr="00C6766C">
        <w:rPr>
          <w:rFonts w:ascii="Verdana" w:hAnsi="Verdana" w:cs="Arial"/>
          <w:shd w:val="clear" w:color="auto" w:fill="FFFFFF"/>
          <w:lang w:eastAsia="es-ES_tradnl"/>
        </w:rPr>
        <w:t>C-029 de 21 de febrero de 2021, C-037 del 26 de febrero de 2021, C-141 del 8 de abril de 2021, C-114 del 13 de abril de 2021 y C-031 del 1 de marzo de 2022, 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C-696 de 26 de octubre de 2022 y C-781 de 25 de noviembre de 2022, C-201 del 26 de octubre de 2024, C-328 del 26 de agosto de 2024, C-479 del 24 de septiembre de 2024, entre otros</w:t>
      </w:r>
      <w:r w:rsidRPr="00C6766C">
        <w:rPr>
          <w:rFonts w:ascii="Verdana" w:hAnsi="Verdana" w:cs="Arial"/>
          <w:color w:val="7030A0"/>
          <w:shd w:val="clear" w:color="auto" w:fill="FFFFFF"/>
          <w:lang w:val="es-ES"/>
        </w:rPr>
        <w:t xml:space="preserve">. </w:t>
      </w:r>
      <w:r w:rsidRPr="00C6766C">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23" w:tooltip="Dirección URL original: https://relatoria.colombiacompra.gov.co/. Haga clic o pulse si confía en este vínculo." w:history="1">
        <w:r w:rsidRPr="00C6766C">
          <w:rPr>
            <w:rFonts w:ascii="Verdana" w:hAnsi="Verdana" w:cs="Arial"/>
            <w:color w:val="0000FF"/>
            <w:u w:val="single"/>
            <w:shd w:val="clear" w:color="auto" w:fill="FFFFFF"/>
          </w:rPr>
          <w:t>https://relatoria.colombiacompra.gov.co/</w:t>
        </w:r>
      </w:hyperlink>
      <w:r w:rsidRPr="00C6766C">
        <w:rPr>
          <w:rFonts w:ascii="Verdana" w:hAnsi="Verdana" w:cs="Arial"/>
          <w:shd w:val="clear" w:color="auto" w:fill="FFFFFF"/>
        </w:rPr>
        <w:t xml:space="preserve">  </w:t>
      </w:r>
    </w:p>
    <w:p w14:paraId="46763F30" w14:textId="77777777" w:rsidR="00C6766C" w:rsidRPr="00C6766C" w:rsidRDefault="00C6766C" w:rsidP="00C6766C">
      <w:pPr>
        <w:jc w:val="both"/>
        <w:rPr>
          <w:rFonts w:ascii="Aptos" w:eastAsia="Aptos" w:hAnsi="Aptos" w:cs="Arial"/>
          <w:shd w:val="clear" w:color="auto" w:fill="FFFFFF"/>
        </w:rPr>
      </w:pPr>
    </w:p>
    <w:p w14:paraId="4162F23F" w14:textId="77777777" w:rsidR="00C6766C" w:rsidRPr="00C6766C" w:rsidRDefault="00C6766C" w:rsidP="00C6766C">
      <w:pPr>
        <w:jc w:val="both"/>
        <w:rPr>
          <w:rFonts w:ascii="Verdana" w:eastAsia="Aptos" w:hAnsi="Verdana"/>
        </w:rPr>
      </w:pPr>
      <w:r w:rsidRPr="00C6766C">
        <w:rPr>
          <w:rFonts w:ascii="Verdana" w:eastAsia="Aptos" w:hAnsi="Verdana"/>
        </w:rPr>
        <w:t xml:space="preserve">información institucional: </w:t>
      </w:r>
    </w:p>
    <w:p w14:paraId="0BF4449D" w14:textId="77777777" w:rsidR="00C6766C" w:rsidRPr="00C6766C" w:rsidRDefault="00C6766C" w:rsidP="00C6766C">
      <w:pPr>
        <w:jc w:val="both"/>
        <w:rPr>
          <w:rFonts w:ascii="Verdana" w:eastAsia="Aptos" w:hAnsi="Verdana"/>
        </w:rPr>
      </w:pPr>
    </w:p>
    <w:p w14:paraId="34F8F9D3" w14:textId="77777777" w:rsidR="00C6766C" w:rsidRPr="00C6766C" w:rsidRDefault="00C6766C" w:rsidP="00C6766C">
      <w:pPr>
        <w:jc w:val="both"/>
        <w:rPr>
          <w:rFonts w:ascii="Verdana" w:eastAsia="Aptos" w:hAnsi="Verdana"/>
        </w:rPr>
      </w:pPr>
      <w:r w:rsidRPr="00C6766C">
        <w:rPr>
          <w:rFonts w:ascii="Verdana" w:eastAsia="Aptos" w:hAnsi="Verdana"/>
        </w:rPr>
        <w:t xml:space="preserve">Twitter: </w:t>
      </w:r>
      <w:r w:rsidRPr="00C6766C">
        <w:rPr>
          <w:rFonts w:ascii="Verdana" w:eastAsia="Aptos" w:hAnsi="Verdana"/>
          <w:color w:val="156082"/>
          <w:u w:val="single"/>
        </w:rPr>
        <w:t>@colombiacompra</w:t>
      </w:r>
      <w:r w:rsidRPr="00C6766C">
        <w:rPr>
          <w:rFonts w:ascii="Verdana" w:eastAsia="Aptos" w:hAnsi="Verdana"/>
          <w:color w:val="156082"/>
        </w:rPr>
        <w:t xml:space="preserve"> </w:t>
      </w:r>
    </w:p>
    <w:p w14:paraId="4E94F5BC" w14:textId="77777777" w:rsidR="00C6766C" w:rsidRPr="00C6766C" w:rsidRDefault="00C6766C" w:rsidP="00C6766C">
      <w:pPr>
        <w:jc w:val="both"/>
        <w:rPr>
          <w:rFonts w:ascii="Verdana" w:eastAsia="Aptos" w:hAnsi="Verdana"/>
        </w:rPr>
      </w:pPr>
      <w:r w:rsidRPr="00C6766C">
        <w:rPr>
          <w:rFonts w:ascii="Verdana" w:eastAsia="Aptos" w:hAnsi="Verdana"/>
        </w:rPr>
        <w:lastRenderedPageBreak/>
        <w:t xml:space="preserve">Facebook: </w:t>
      </w:r>
      <w:proofErr w:type="spellStart"/>
      <w:r w:rsidRPr="00C6766C">
        <w:rPr>
          <w:rFonts w:ascii="Verdana" w:eastAsia="Aptos" w:hAnsi="Verdana"/>
          <w:color w:val="156082"/>
          <w:u w:val="single"/>
        </w:rPr>
        <w:t>ColombiaCompraEficiente</w:t>
      </w:r>
      <w:proofErr w:type="spellEnd"/>
    </w:p>
    <w:p w14:paraId="43A3FE38" w14:textId="77777777" w:rsidR="00C6766C" w:rsidRPr="00C6766C" w:rsidRDefault="00C6766C" w:rsidP="00C6766C">
      <w:pPr>
        <w:jc w:val="both"/>
        <w:rPr>
          <w:rFonts w:ascii="Verdana" w:eastAsia="Aptos" w:hAnsi="Verdana"/>
        </w:rPr>
      </w:pPr>
      <w:r w:rsidRPr="00C6766C">
        <w:rPr>
          <w:rFonts w:ascii="Verdana" w:eastAsia="Aptos" w:hAnsi="Verdana"/>
        </w:rPr>
        <w:t xml:space="preserve">LinkedIn: </w:t>
      </w:r>
      <w:r w:rsidRPr="00C6766C">
        <w:rPr>
          <w:rFonts w:ascii="Verdana" w:eastAsia="Aptos" w:hAnsi="Verdana"/>
          <w:color w:val="156082"/>
          <w:u w:val="single"/>
        </w:rPr>
        <w:t>Agencia Nacional de Contratación Pública - Colombia Compra Eficiente</w:t>
      </w:r>
      <w:r w:rsidRPr="00C6766C">
        <w:rPr>
          <w:rFonts w:ascii="Verdana" w:eastAsia="Aptos" w:hAnsi="Verdana"/>
          <w:color w:val="156082"/>
        </w:rPr>
        <w:t xml:space="preserve"> </w:t>
      </w:r>
      <w:r w:rsidRPr="00C6766C">
        <w:rPr>
          <w:rFonts w:ascii="Verdana" w:eastAsia="Aptos" w:hAnsi="Verdana"/>
        </w:rPr>
        <w:t xml:space="preserve">Instagram: </w:t>
      </w:r>
      <w:r w:rsidRPr="00C6766C">
        <w:rPr>
          <w:rFonts w:ascii="Verdana" w:eastAsia="Aptos" w:hAnsi="Verdana"/>
          <w:color w:val="156082"/>
          <w:u w:val="single"/>
        </w:rPr>
        <w:t>@colombiacompraeficiente_cce</w:t>
      </w:r>
    </w:p>
    <w:p w14:paraId="055C8AC8" w14:textId="77777777" w:rsidR="00C6766C" w:rsidRPr="00C6766C" w:rsidRDefault="00C6766C" w:rsidP="00C6766C">
      <w:pPr>
        <w:widowControl w:val="0"/>
        <w:autoSpaceDE w:val="0"/>
        <w:autoSpaceDN w:val="0"/>
        <w:spacing w:line="276" w:lineRule="auto"/>
        <w:jc w:val="both"/>
        <w:rPr>
          <w:rFonts w:ascii="Verdana" w:eastAsia="Aptos" w:hAnsi="Verdana" w:cs="Arial"/>
        </w:rPr>
      </w:pPr>
    </w:p>
    <w:p w14:paraId="4A44C55D" w14:textId="77777777" w:rsidR="00C6766C" w:rsidRPr="00C6766C" w:rsidRDefault="00C6766C" w:rsidP="00C6766C">
      <w:pPr>
        <w:widowControl w:val="0"/>
        <w:autoSpaceDE w:val="0"/>
        <w:autoSpaceDN w:val="0"/>
        <w:spacing w:line="276" w:lineRule="auto"/>
        <w:jc w:val="both"/>
        <w:rPr>
          <w:rFonts w:ascii="Verdana" w:eastAsia="Aptos" w:hAnsi="Verdana" w:cs="Arial"/>
          <w:lang w:val="es-ES_tradnl"/>
        </w:rPr>
      </w:pPr>
      <w:r w:rsidRPr="00C6766C">
        <w:rPr>
          <w:rFonts w:ascii="Verdana" w:eastAsia="Aptos" w:hAnsi="Verdana" w:cs="Arial"/>
        </w:rPr>
        <w:t xml:space="preserve">Este concepto tiene el alcance previsto en el artículo 28 del Código de Procedimiento Administrativo y de lo Contencioso Administrativo </w:t>
      </w:r>
      <w:r w:rsidRPr="00C6766C">
        <w:rPr>
          <w:rFonts w:ascii="Verdana" w:eastAsia="Aptos" w:hAnsi="Verdana" w:cs="Arial"/>
          <w:lang w:val="es-ES_tradnl"/>
        </w:rPr>
        <w:t>y las expresiones aquí utilizadas con mayúscula inicial deben ser entendidas con el significado que les otorga el artículo 2.2.1.1.1.3.1. del Decreto 1082 de 2015.</w:t>
      </w:r>
    </w:p>
    <w:p w14:paraId="4B546F27" w14:textId="77777777" w:rsidR="00C6766C" w:rsidRPr="00C6766C" w:rsidRDefault="00C6766C" w:rsidP="00C6766C">
      <w:pPr>
        <w:widowControl w:val="0"/>
        <w:autoSpaceDE w:val="0"/>
        <w:autoSpaceDN w:val="0"/>
        <w:spacing w:line="276" w:lineRule="auto"/>
        <w:jc w:val="both"/>
        <w:rPr>
          <w:rFonts w:ascii="Verdana" w:eastAsia="Aptos" w:hAnsi="Verdana" w:cs="Arial"/>
          <w:color w:val="000000"/>
          <w:lang w:val="es-ES_tradnl"/>
        </w:rPr>
      </w:pPr>
    </w:p>
    <w:p w14:paraId="01391A5E" w14:textId="77777777" w:rsidR="00C6766C" w:rsidRPr="00C6766C" w:rsidRDefault="00C6766C" w:rsidP="00C6766C">
      <w:pPr>
        <w:widowControl w:val="0"/>
        <w:autoSpaceDE w:val="0"/>
        <w:autoSpaceDN w:val="0"/>
        <w:spacing w:line="276" w:lineRule="auto"/>
        <w:jc w:val="both"/>
        <w:rPr>
          <w:rFonts w:ascii="Verdana" w:eastAsia="Aptos" w:hAnsi="Verdana" w:cs="Arial"/>
          <w:color w:val="000000"/>
        </w:rPr>
      </w:pPr>
    </w:p>
    <w:p w14:paraId="06B52A8B" w14:textId="77777777" w:rsidR="00C6766C" w:rsidRPr="00C6766C" w:rsidRDefault="00C6766C" w:rsidP="00C6766C">
      <w:pPr>
        <w:rPr>
          <w:rFonts w:ascii="Verdana" w:eastAsia="Aptos" w:hAnsi="Verdana" w:cs="Arial"/>
          <w:color w:val="000000"/>
          <w:lang w:eastAsia="es-CO"/>
        </w:rPr>
      </w:pPr>
      <w:r w:rsidRPr="00C6766C">
        <w:rPr>
          <w:rFonts w:ascii="Verdana" w:hAnsi="Verdana" w:cs="Arial"/>
          <w:color w:val="000000"/>
          <w:lang w:eastAsia="es-CO"/>
        </w:rPr>
        <w:t>Atentamente,</w:t>
      </w:r>
      <w:r w:rsidRPr="00C6766C">
        <w:rPr>
          <w:rFonts w:ascii="Verdana" w:eastAsia="Aptos" w:hAnsi="Verdana" w:cs="Arial"/>
          <w:color w:val="000000"/>
          <w:lang w:eastAsia="es-CO"/>
        </w:rPr>
        <w:t xml:space="preserve"> </w:t>
      </w:r>
    </w:p>
    <w:p w14:paraId="6F2DD848" w14:textId="7984DF85" w:rsidR="00C6766C" w:rsidRPr="00C6766C" w:rsidRDefault="004F551E" w:rsidP="00C6766C">
      <w:pPr>
        <w:spacing w:line="276" w:lineRule="auto"/>
        <w:jc w:val="center"/>
        <w:rPr>
          <w:rFonts w:ascii="Verdana" w:eastAsia="Aptos" w:hAnsi="Verdana" w:cs="Arial"/>
          <w:color w:val="000000"/>
          <w:lang w:val="es-ES_tradnl" w:eastAsia="es-CO"/>
        </w:rPr>
      </w:pPr>
      <w:r w:rsidRPr="002C3AD6">
        <w:rPr>
          <w:rFonts w:ascii="Century Gothic" w:hAnsi="Century Gothic"/>
          <w:noProof/>
        </w:rPr>
        <w:drawing>
          <wp:inline distT="0" distB="0" distL="0" distR="0" wp14:anchorId="06A4A51B" wp14:editId="755EB96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6766C" w:rsidRPr="00C6766C" w14:paraId="3645C76C" w14:textId="77777777" w:rsidTr="00C6766C">
        <w:trPr>
          <w:trHeight w:val="315"/>
        </w:trPr>
        <w:tc>
          <w:tcPr>
            <w:tcW w:w="893" w:type="dxa"/>
            <w:vAlign w:val="center"/>
            <w:hideMark/>
          </w:tcPr>
          <w:p w14:paraId="4CCF39EE" w14:textId="77777777" w:rsidR="00C6766C" w:rsidRPr="00C6766C" w:rsidRDefault="00C6766C" w:rsidP="00C6766C">
            <w:pPr>
              <w:contextualSpacing/>
              <w:rPr>
                <w:rFonts w:ascii="Verdana" w:eastAsia="Aptos" w:hAnsi="Verdana" w:cs="Arial"/>
                <w:sz w:val="16"/>
                <w:szCs w:val="16"/>
                <w:lang w:val="es-ES" w:eastAsia="es-ES"/>
              </w:rPr>
            </w:pPr>
            <w:r w:rsidRPr="00C6766C">
              <w:rPr>
                <w:rFonts w:ascii="Verdana" w:eastAsia="Aptos"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44EE33C1" w14:textId="77777777" w:rsidR="00C6766C" w:rsidRPr="00C6766C" w:rsidRDefault="00C6766C" w:rsidP="00C6766C">
            <w:pPr>
              <w:contextualSpacing/>
              <w:rPr>
                <w:rFonts w:ascii="Verdana" w:eastAsia="Arial" w:hAnsi="Verdana" w:cs="Arial"/>
                <w:sz w:val="16"/>
                <w:szCs w:val="16"/>
              </w:rPr>
            </w:pPr>
            <w:r w:rsidRPr="00C6766C">
              <w:rPr>
                <w:rFonts w:ascii="Verdana" w:eastAsia="Arial" w:hAnsi="Verdana" w:cs="Arial"/>
                <w:sz w:val="16"/>
                <w:szCs w:val="16"/>
              </w:rPr>
              <w:t xml:space="preserve">Juan Manuel Avendaño Robles </w:t>
            </w:r>
          </w:p>
          <w:p w14:paraId="01445A38" w14:textId="77777777" w:rsidR="00C6766C" w:rsidRPr="00C6766C" w:rsidRDefault="00C6766C" w:rsidP="00C6766C">
            <w:pPr>
              <w:contextualSpacing/>
              <w:rPr>
                <w:rFonts w:ascii="Verdana" w:eastAsia="Arial" w:hAnsi="Verdana" w:cs="Arial"/>
                <w:sz w:val="16"/>
                <w:szCs w:val="16"/>
              </w:rPr>
            </w:pPr>
            <w:r w:rsidRPr="00C6766C">
              <w:rPr>
                <w:rFonts w:ascii="Verdana" w:eastAsia="Arial" w:hAnsi="Verdana" w:cs="Arial"/>
                <w:sz w:val="16"/>
                <w:szCs w:val="16"/>
              </w:rPr>
              <w:t>Contratista de la Subdirección de Gestión Contractual</w:t>
            </w:r>
          </w:p>
        </w:tc>
      </w:tr>
      <w:tr w:rsidR="00C6766C" w:rsidRPr="00C6766C" w14:paraId="46BD9670" w14:textId="77777777" w:rsidTr="00C6766C">
        <w:trPr>
          <w:trHeight w:val="330"/>
        </w:trPr>
        <w:tc>
          <w:tcPr>
            <w:tcW w:w="893" w:type="dxa"/>
            <w:vAlign w:val="center"/>
            <w:hideMark/>
          </w:tcPr>
          <w:p w14:paraId="2E00531A" w14:textId="77777777" w:rsidR="00C6766C" w:rsidRPr="00C6766C" w:rsidRDefault="00C6766C" w:rsidP="00C6766C">
            <w:pPr>
              <w:contextualSpacing/>
              <w:rPr>
                <w:rFonts w:ascii="Verdana" w:eastAsia="Aptos" w:hAnsi="Verdana" w:cs="Arial"/>
                <w:sz w:val="16"/>
                <w:szCs w:val="16"/>
                <w:lang w:val="es-ES" w:eastAsia="es-ES"/>
              </w:rPr>
            </w:pPr>
            <w:r w:rsidRPr="00C6766C">
              <w:rPr>
                <w:rFonts w:ascii="Verdana" w:eastAsia="Aptos"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5D80DBB8" w14:textId="77777777" w:rsidR="00C6766C" w:rsidRPr="00C6766C" w:rsidRDefault="00C6766C" w:rsidP="00C6766C">
            <w:pPr>
              <w:textAlignment w:val="baseline"/>
              <w:rPr>
                <w:rFonts w:ascii="Verdana" w:hAnsi="Verdana" w:cs="Arial"/>
                <w:kern w:val="2"/>
                <w:sz w:val="16"/>
                <w:szCs w:val="16"/>
                <w:lang w:eastAsia="es-CO"/>
              </w:rPr>
            </w:pPr>
            <w:r w:rsidRPr="00C6766C">
              <w:rPr>
                <w:rFonts w:ascii="Verdana" w:hAnsi="Verdana" w:cs="Arial"/>
                <w:kern w:val="2"/>
                <w:sz w:val="16"/>
                <w:szCs w:val="16"/>
                <w:lang w:eastAsia="es-CO"/>
              </w:rPr>
              <w:t>Cielo González Meza</w:t>
            </w:r>
          </w:p>
          <w:p w14:paraId="337A026D" w14:textId="77777777" w:rsidR="00C6766C" w:rsidRPr="00C6766C" w:rsidRDefault="00C6766C" w:rsidP="00C6766C">
            <w:pPr>
              <w:textAlignment w:val="baseline"/>
              <w:rPr>
                <w:rFonts w:ascii="Verdana" w:hAnsi="Verdana" w:cs="Arial"/>
                <w:sz w:val="16"/>
                <w:szCs w:val="16"/>
                <w:lang w:eastAsia="es-ES_tradnl"/>
              </w:rPr>
            </w:pPr>
            <w:r w:rsidRPr="00C6766C">
              <w:rPr>
                <w:rFonts w:ascii="Verdana" w:hAnsi="Verdana" w:cs="Arial"/>
                <w:kern w:val="2"/>
                <w:sz w:val="16"/>
                <w:szCs w:val="16"/>
                <w:lang w:eastAsia="es-ES_tradnl"/>
              </w:rPr>
              <w:t>Contratista de la Subdirección de Gestión Contractual</w:t>
            </w:r>
          </w:p>
          <w:p w14:paraId="6ABBEE9B" w14:textId="77777777" w:rsidR="00C6766C" w:rsidRPr="00C6766C" w:rsidRDefault="00C6766C" w:rsidP="00C6766C">
            <w:pPr>
              <w:contextualSpacing/>
              <w:textAlignment w:val="baseline"/>
              <w:rPr>
                <w:rFonts w:ascii="Verdana" w:hAnsi="Verdana" w:cs="Arial"/>
                <w:sz w:val="16"/>
                <w:szCs w:val="16"/>
                <w:lang w:eastAsia="es-ES_tradnl"/>
              </w:rPr>
            </w:pPr>
          </w:p>
        </w:tc>
      </w:tr>
      <w:tr w:rsidR="00C6766C" w:rsidRPr="00C6766C" w14:paraId="4A743A1B" w14:textId="77777777" w:rsidTr="00C6766C">
        <w:trPr>
          <w:trHeight w:val="300"/>
        </w:trPr>
        <w:tc>
          <w:tcPr>
            <w:tcW w:w="893" w:type="dxa"/>
            <w:vAlign w:val="center"/>
          </w:tcPr>
          <w:p w14:paraId="72411044" w14:textId="77777777" w:rsidR="00C6766C" w:rsidRPr="00C6766C" w:rsidRDefault="00C6766C" w:rsidP="00C6766C">
            <w:pPr>
              <w:contextualSpacing/>
              <w:rPr>
                <w:rFonts w:ascii="Verdana" w:eastAsia="Aptos" w:hAnsi="Verdana" w:cs="Arial"/>
                <w:sz w:val="16"/>
                <w:szCs w:val="16"/>
                <w:lang w:val="es-ES" w:eastAsia="es-ES"/>
              </w:rPr>
            </w:pPr>
            <w:r w:rsidRPr="00C6766C">
              <w:rPr>
                <w:rFonts w:ascii="Verdana" w:eastAsia="Aptos"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4519E8C7" w14:textId="77777777" w:rsidR="00C6766C" w:rsidRPr="00C6766C" w:rsidRDefault="00C6766C" w:rsidP="00C6766C">
            <w:pPr>
              <w:contextualSpacing/>
              <w:rPr>
                <w:rFonts w:ascii="Verdana" w:eastAsia="Calibri" w:hAnsi="Verdana" w:cs="Arial"/>
                <w:sz w:val="16"/>
                <w:szCs w:val="16"/>
                <w:lang w:val="pt-BR" w:eastAsia="es-ES"/>
              </w:rPr>
            </w:pPr>
            <w:r w:rsidRPr="00C6766C">
              <w:rPr>
                <w:rFonts w:ascii="Verdana" w:eastAsia="Calibri" w:hAnsi="Verdana" w:cs="Arial"/>
                <w:sz w:val="16"/>
                <w:szCs w:val="16"/>
                <w:lang w:val="pt-BR" w:eastAsia="es-ES"/>
              </w:rPr>
              <w:t xml:space="preserve">Carolina Quintero </w:t>
            </w:r>
            <w:proofErr w:type="spellStart"/>
            <w:r w:rsidRPr="00C6766C">
              <w:rPr>
                <w:rFonts w:ascii="Verdana" w:eastAsia="Calibri" w:hAnsi="Verdana" w:cs="Arial"/>
                <w:sz w:val="16"/>
                <w:szCs w:val="16"/>
                <w:lang w:val="pt-BR" w:eastAsia="es-ES"/>
              </w:rPr>
              <w:t>Gacharná</w:t>
            </w:r>
            <w:proofErr w:type="spellEnd"/>
          </w:p>
          <w:p w14:paraId="0E03FFAD" w14:textId="77777777" w:rsidR="00C6766C" w:rsidRPr="00C6766C" w:rsidRDefault="00C6766C" w:rsidP="00C6766C">
            <w:pPr>
              <w:contextualSpacing/>
              <w:rPr>
                <w:rFonts w:ascii="Verdana" w:eastAsia="Calibri" w:hAnsi="Verdana" w:cs="Arial"/>
                <w:sz w:val="16"/>
                <w:szCs w:val="16"/>
                <w:lang w:val="pt-BR" w:eastAsia="es-ES"/>
              </w:rPr>
            </w:pPr>
            <w:r w:rsidRPr="00C6766C">
              <w:rPr>
                <w:rFonts w:ascii="Verdana" w:eastAsia="Calibri" w:hAnsi="Verdana" w:cs="Arial"/>
                <w:sz w:val="16"/>
                <w:szCs w:val="16"/>
                <w:lang w:eastAsia="es-ES"/>
              </w:rPr>
              <w:t>Subdirectora</w:t>
            </w:r>
            <w:r w:rsidRPr="00C6766C">
              <w:rPr>
                <w:rFonts w:ascii="Verdana" w:eastAsia="Calibri" w:hAnsi="Verdana" w:cs="Arial"/>
                <w:sz w:val="16"/>
                <w:szCs w:val="16"/>
                <w:lang w:val="pt-BR" w:eastAsia="es-ES"/>
              </w:rPr>
              <w:t xml:space="preserve"> de Gestión </w:t>
            </w:r>
            <w:proofErr w:type="spellStart"/>
            <w:r w:rsidRPr="00C6766C">
              <w:rPr>
                <w:rFonts w:ascii="Verdana" w:eastAsia="Calibri" w:hAnsi="Verdana" w:cs="Arial"/>
                <w:sz w:val="16"/>
                <w:szCs w:val="16"/>
                <w:lang w:val="pt-BR" w:eastAsia="es-ES"/>
              </w:rPr>
              <w:t>Contractual</w:t>
            </w:r>
            <w:proofErr w:type="spellEnd"/>
            <w:r w:rsidRPr="00C6766C">
              <w:rPr>
                <w:rFonts w:ascii="Verdana" w:eastAsia="Calibri" w:hAnsi="Verdana" w:cs="Arial"/>
                <w:sz w:val="16"/>
                <w:szCs w:val="16"/>
                <w:lang w:val="pt-BR" w:eastAsia="es-ES"/>
              </w:rPr>
              <w:t xml:space="preserve"> ANCP – CCE</w:t>
            </w:r>
          </w:p>
        </w:tc>
      </w:tr>
    </w:tbl>
    <w:p w14:paraId="67E608BB" w14:textId="77777777" w:rsidR="00C6766C" w:rsidRPr="00C6766C" w:rsidRDefault="00C6766C" w:rsidP="00C6766C">
      <w:pPr>
        <w:rPr>
          <w:rFonts w:ascii="Verdana" w:hAnsi="Verdana" w:cs="Arial"/>
          <w:color w:val="000000"/>
          <w:lang w:eastAsia="es-ES"/>
        </w:rPr>
      </w:pPr>
    </w:p>
    <w:p w14:paraId="7EE9CF7D" w14:textId="77777777" w:rsidR="00C6766C" w:rsidRPr="00C6766C" w:rsidRDefault="00C6766C" w:rsidP="00C6766C">
      <w:pPr>
        <w:rPr>
          <w:rFonts w:ascii="Aptos" w:eastAsia="Aptos" w:hAnsi="Aptos"/>
          <w:color w:val="000000"/>
        </w:rPr>
      </w:pPr>
    </w:p>
    <w:p w14:paraId="6AC9DB47" w14:textId="77777777" w:rsidR="00C6766C" w:rsidRPr="00C6766C" w:rsidRDefault="00C6766C" w:rsidP="00C6766C">
      <w:pPr>
        <w:rPr>
          <w:rFonts w:ascii="Aptos" w:eastAsia="Aptos" w:hAnsi="Aptos"/>
        </w:rPr>
      </w:pPr>
    </w:p>
    <w:p w14:paraId="0F293BF4" w14:textId="7BBFAB11" w:rsidR="00127233" w:rsidRPr="00C6766C" w:rsidRDefault="00127233" w:rsidP="00C6766C"/>
    <w:sectPr w:rsidR="00127233" w:rsidRPr="00C6766C"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68B7D8" w14:textId="77777777" w:rsidR="00496A55" w:rsidRDefault="00496A55" w:rsidP="004A1847">
      <w:r>
        <w:separator/>
      </w:r>
    </w:p>
  </w:endnote>
  <w:endnote w:type="continuationSeparator" w:id="0">
    <w:p w14:paraId="2B5CC411" w14:textId="77777777" w:rsidR="00496A55" w:rsidRDefault="00496A55" w:rsidP="004A1847">
      <w:r>
        <w:continuationSeparator/>
      </w:r>
    </w:p>
  </w:endnote>
  <w:endnote w:type="continuationNotice" w:id="1">
    <w:p w14:paraId="76F1FC4C" w14:textId="77777777" w:rsidR="00AF7D9A" w:rsidRDefault="00AF7D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Work Sans">
    <w:charset w:val="00"/>
    <w:family w:val="auto"/>
    <w:pitch w:val="variable"/>
    <w:sig w:usb0="A00000FF" w:usb1="5000E07B"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C6766C">
      <w:rPr>
        <w:rFonts w:ascii="Verdana" w:hAnsi="Verdana"/>
        <w:b/>
        <w:bCs/>
        <w:sz w:val="16"/>
        <w:szCs w:val="16"/>
        <w:lang w:val="es-ES"/>
      </w:rPr>
      <w:t xml:space="preserve">pág. </w:t>
    </w:r>
    <w:r w:rsidRPr="00C6766C">
      <w:rPr>
        <w:rFonts w:ascii="Verdana" w:hAnsi="Verdana" w:cstheme="minorBidi"/>
        <w:b/>
        <w:bCs/>
        <w:sz w:val="16"/>
        <w:szCs w:val="16"/>
      </w:rPr>
      <w:fldChar w:fldCharType="begin"/>
    </w:r>
    <w:r w:rsidRPr="002E1330">
      <w:rPr>
        <w:rFonts w:ascii="Verdana" w:hAnsi="Verdana"/>
        <w:b/>
        <w:bCs/>
        <w:sz w:val="16"/>
        <w:szCs w:val="16"/>
      </w:rPr>
      <w:instrText>PAGE    \* MERGEFORMAT</w:instrText>
    </w:r>
    <w:r w:rsidRPr="00C6766C">
      <w:rPr>
        <w:rFonts w:ascii="Verdana" w:hAnsi="Verdana" w:cstheme="minorBidi"/>
        <w:b/>
        <w:bCs/>
        <w:sz w:val="16"/>
        <w:szCs w:val="16"/>
      </w:rPr>
      <w:fldChar w:fldCharType="separate"/>
    </w:r>
    <w:r w:rsidRPr="00C6766C">
      <w:rPr>
        <w:rFonts w:ascii="Verdana" w:hAnsi="Verdana"/>
        <w:b/>
        <w:bCs/>
        <w:sz w:val="16"/>
        <w:szCs w:val="16"/>
      </w:rPr>
      <w:t>1</w:t>
    </w:r>
    <w:r w:rsidRPr="00C6766C">
      <w:rPr>
        <w:rFonts w:ascii="Verdana" w:hAnsi="Verdana"/>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5B00C9" w14:textId="77777777" w:rsidR="00496A55" w:rsidRDefault="00496A55" w:rsidP="004A1847">
      <w:r>
        <w:separator/>
      </w:r>
    </w:p>
  </w:footnote>
  <w:footnote w:type="continuationSeparator" w:id="0">
    <w:p w14:paraId="0163A040" w14:textId="77777777" w:rsidR="00496A55" w:rsidRDefault="00496A55" w:rsidP="004A1847">
      <w:r>
        <w:continuationSeparator/>
      </w:r>
    </w:p>
  </w:footnote>
  <w:footnote w:type="continuationNotice" w:id="1">
    <w:p w14:paraId="757D46E5" w14:textId="77777777" w:rsidR="00AF7D9A" w:rsidRDefault="00AF7D9A"/>
  </w:footnote>
  <w:footnote w:id="2">
    <w:p w14:paraId="5151021D" w14:textId="77777777" w:rsidR="00C6766C" w:rsidRPr="007139C4" w:rsidRDefault="00C6766C" w:rsidP="00C6766C">
      <w:pPr>
        <w:pStyle w:val="Textonotapie"/>
        <w:ind w:firstLine="708"/>
        <w:contextualSpacing/>
        <w:jc w:val="both"/>
        <w:rPr>
          <w:rStyle w:val="Hipervnculo1"/>
          <w:rFonts w:ascii="Verdana" w:hAnsi="Verdana" w:cs="Arial"/>
          <w:color w:val="000000"/>
          <w:sz w:val="12"/>
          <w:szCs w:val="12"/>
        </w:rPr>
      </w:pPr>
      <w:r w:rsidRPr="007139C4">
        <w:rPr>
          <w:rFonts w:ascii="Verdana" w:hAnsi="Verdana" w:cs="Arial"/>
          <w:color w:val="000000"/>
          <w:sz w:val="12"/>
          <w:szCs w:val="12"/>
          <w:vertAlign w:val="superscript"/>
        </w:rPr>
        <w:footnoteRef/>
      </w:r>
      <w:r w:rsidRPr="007139C4">
        <w:rPr>
          <w:rFonts w:ascii="Verdana" w:hAnsi="Verdana" w:cs="Arial"/>
          <w:color w:val="000000"/>
          <w:sz w:val="12"/>
          <w:szCs w:val="12"/>
        </w:rPr>
        <w:t xml:space="preserve"> Texto del Proyecto de Ley 122 de 2020 Cámara. Exposición de motivos. Consultado el 29 de diciembre de 2021 en la página web: </w:t>
      </w:r>
      <w:hyperlink r:id="rId1" w:history="1">
        <w:r w:rsidRPr="007139C4">
          <w:rPr>
            <w:rStyle w:val="Hipervnculo"/>
            <w:rFonts w:ascii="Verdana" w:hAnsi="Verdana" w:cs="Arial"/>
            <w:sz w:val="12"/>
            <w:szCs w:val="12"/>
          </w:rPr>
          <w:t>http://leyes.senado.gov.co/proyectos/index.php/textos-radicados-senado/p-ley-2020-2021/1957-proyecto-de-ley-161-de-2020</w:t>
        </w:r>
      </w:hyperlink>
      <w:r w:rsidRPr="007139C4">
        <w:rPr>
          <w:rStyle w:val="Hipervnculo1"/>
          <w:rFonts w:ascii="Verdana" w:hAnsi="Verdana" w:cs="Arial"/>
          <w:color w:val="000000"/>
          <w:sz w:val="12"/>
          <w:szCs w:val="12"/>
        </w:rPr>
        <w:t xml:space="preserve"> </w:t>
      </w:r>
    </w:p>
    <w:p w14:paraId="2BCAF4C5" w14:textId="77777777" w:rsidR="00C6766C" w:rsidRPr="007139C4" w:rsidRDefault="00C6766C" w:rsidP="00C6766C">
      <w:pPr>
        <w:pStyle w:val="Textonotapie"/>
        <w:ind w:firstLine="708"/>
        <w:contextualSpacing/>
        <w:jc w:val="both"/>
        <w:rPr>
          <w:rFonts w:ascii="Verdana" w:hAnsi="Verdana"/>
          <w:sz w:val="12"/>
          <w:szCs w:val="12"/>
        </w:rPr>
      </w:pPr>
    </w:p>
  </w:footnote>
  <w:footnote w:id="3">
    <w:p w14:paraId="241CE210" w14:textId="77777777" w:rsidR="00C6766C" w:rsidRPr="007139C4" w:rsidRDefault="00C6766C" w:rsidP="00C6766C">
      <w:pPr>
        <w:pStyle w:val="Textonotapie"/>
        <w:ind w:firstLine="709"/>
        <w:contextualSpacing/>
        <w:jc w:val="both"/>
        <w:rPr>
          <w:rFonts w:ascii="Verdana" w:hAnsi="Verdana" w:cs="Arial"/>
          <w:color w:val="000000"/>
          <w:sz w:val="12"/>
          <w:szCs w:val="12"/>
          <w:lang w:val="es-ES"/>
        </w:rPr>
      </w:pPr>
      <w:r w:rsidRPr="007139C4">
        <w:rPr>
          <w:rFonts w:ascii="Verdana" w:hAnsi="Verdana" w:cs="Arial"/>
          <w:color w:val="000000"/>
          <w:sz w:val="12"/>
          <w:szCs w:val="12"/>
          <w:vertAlign w:val="superscript"/>
        </w:rPr>
        <w:footnoteRef/>
      </w:r>
      <w:r w:rsidRPr="007139C4">
        <w:rPr>
          <w:rFonts w:ascii="Verdana" w:hAnsi="Verdana" w:cs="Arial"/>
          <w:color w:val="000000"/>
          <w:sz w:val="12"/>
          <w:szCs w:val="12"/>
        </w:rPr>
        <w:t xml:space="preserve"> </w:t>
      </w:r>
      <w:r w:rsidRPr="007139C4">
        <w:rPr>
          <w:rFonts w:ascii="Verdana" w:hAnsi="Verdana" w:cs="Arial"/>
          <w:color w:val="000000"/>
          <w:sz w:val="12"/>
          <w:szCs w:val="12"/>
          <w:lang w:val="es-ES"/>
        </w:rPr>
        <w:t>Artículos 2 al 29.</w:t>
      </w:r>
    </w:p>
    <w:p w14:paraId="03195802" w14:textId="77777777" w:rsidR="00C6766C" w:rsidRPr="007139C4" w:rsidRDefault="00C6766C" w:rsidP="00C6766C">
      <w:pPr>
        <w:pStyle w:val="Textonotapie"/>
        <w:ind w:firstLine="709"/>
        <w:contextualSpacing/>
        <w:jc w:val="both"/>
        <w:rPr>
          <w:rFonts w:ascii="Verdana" w:hAnsi="Verdana"/>
          <w:sz w:val="12"/>
          <w:szCs w:val="12"/>
        </w:rPr>
      </w:pPr>
    </w:p>
  </w:footnote>
  <w:footnote w:id="4">
    <w:p w14:paraId="7E51F02E" w14:textId="77777777" w:rsidR="00C6766C" w:rsidRPr="007139C4" w:rsidRDefault="00C6766C" w:rsidP="00C6766C">
      <w:pPr>
        <w:pStyle w:val="Textonotapie"/>
        <w:ind w:firstLine="709"/>
        <w:contextualSpacing/>
        <w:jc w:val="both"/>
        <w:rPr>
          <w:rFonts w:ascii="Verdana" w:hAnsi="Verdana" w:cs="Arial"/>
          <w:color w:val="000000"/>
          <w:sz w:val="12"/>
          <w:szCs w:val="12"/>
          <w:lang w:val="es-ES"/>
        </w:rPr>
      </w:pPr>
      <w:r w:rsidRPr="007139C4">
        <w:rPr>
          <w:rFonts w:ascii="Verdana" w:hAnsi="Verdana" w:cs="Arial"/>
          <w:color w:val="000000"/>
          <w:sz w:val="12"/>
          <w:szCs w:val="12"/>
          <w:vertAlign w:val="superscript"/>
        </w:rPr>
        <w:footnoteRef/>
      </w:r>
      <w:r w:rsidRPr="007139C4">
        <w:rPr>
          <w:rFonts w:ascii="Verdana" w:hAnsi="Verdana" w:cs="Arial"/>
          <w:color w:val="000000"/>
          <w:sz w:val="12"/>
          <w:szCs w:val="12"/>
        </w:rPr>
        <w:t xml:space="preserve"> </w:t>
      </w:r>
      <w:r w:rsidRPr="007139C4">
        <w:rPr>
          <w:rFonts w:ascii="Verdana" w:hAnsi="Verdana" w:cs="Arial"/>
          <w:color w:val="000000"/>
          <w:sz w:val="12"/>
          <w:szCs w:val="12"/>
          <w:lang w:val="es-ES"/>
        </w:rPr>
        <w:t>Artículos 30 al 36.</w:t>
      </w:r>
    </w:p>
    <w:p w14:paraId="28782268" w14:textId="77777777" w:rsidR="00C6766C" w:rsidRPr="007139C4" w:rsidRDefault="00C6766C" w:rsidP="00C6766C">
      <w:pPr>
        <w:pStyle w:val="Textonotapie"/>
        <w:ind w:firstLine="709"/>
        <w:contextualSpacing/>
        <w:jc w:val="both"/>
        <w:rPr>
          <w:rFonts w:ascii="Verdana" w:hAnsi="Verdana"/>
          <w:sz w:val="12"/>
          <w:szCs w:val="12"/>
        </w:rPr>
      </w:pPr>
    </w:p>
  </w:footnote>
  <w:footnote w:id="5">
    <w:p w14:paraId="23CCA668" w14:textId="77777777" w:rsidR="00C6766C" w:rsidRPr="007139C4" w:rsidRDefault="00C6766C" w:rsidP="00C6766C">
      <w:pPr>
        <w:pStyle w:val="Textonotapie"/>
        <w:ind w:firstLine="709"/>
        <w:contextualSpacing/>
        <w:jc w:val="both"/>
        <w:rPr>
          <w:rFonts w:ascii="Verdana" w:hAnsi="Verdana" w:cs="Arial"/>
          <w:color w:val="000000"/>
          <w:sz w:val="12"/>
          <w:szCs w:val="12"/>
          <w:lang w:val="es-ES"/>
        </w:rPr>
      </w:pPr>
      <w:r w:rsidRPr="007139C4">
        <w:rPr>
          <w:rFonts w:ascii="Verdana" w:hAnsi="Verdana" w:cs="Arial"/>
          <w:color w:val="000000"/>
          <w:sz w:val="12"/>
          <w:szCs w:val="12"/>
          <w:vertAlign w:val="superscript"/>
        </w:rPr>
        <w:footnoteRef/>
      </w:r>
      <w:r w:rsidRPr="007139C4">
        <w:rPr>
          <w:rFonts w:ascii="Verdana" w:hAnsi="Verdana" w:cs="Arial"/>
          <w:color w:val="000000"/>
          <w:sz w:val="12"/>
          <w:szCs w:val="12"/>
        </w:rPr>
        <w:t xml:space="preserve"> </w:t>
      </w:r>
      <w:r w:rsidRPr="007139C4">
        <w:rPr>
          <w:rFonts w:ascii="Verdana" w:hAnsi="Verdana" w:cs="Arial"/>
          <w:color w:val="000000"/>
          <w:sz w:val="12"/>
          <w:szCs w:val="12"/>
          <w:lang w:val="es-ES"/>
        </w:rPr>
        <w:t>Artículos 37 al 45.</w:t>
      </w:r>
    </w:p>
    <w:p w14:paraId="7D18A737" w14:textId="77777777" w:rsidR="00C6766C" w:rsidRPr="007139C4" w:rsidRDefault="00C6766C" w:rsidP="00C6766C">
      <w:pPr>
        <w:pStyle w:val="Textonotapie"/>
        <w:ind w:firstLine="709"/>
        <w:contextualSpacing/>
        <w:jc w:val="both"/>
        <w:rPr>
          <w:rFonts w:ascii="Verdana" w:hAnsi="Verdana"/>
          <w:sz w:val="12"/>
          <w:szCs w:val="12"/>
        </w:rPr>
      </w:pPr>
    </w:p>
  </w:footnote>
  <w:footnote w:id="6">
    <w:p w14:paraId="35D3D51A" w14:textId="77777777" w:rsidR="00C6766C" w:rsidRPr="007139C4" w:rsidRDefault="00C6766C" w:rsidP="00C6766C">
      <w:pPr>
        <w:pStyle w:val="Textonotapie"/>
        <w:ind w:firstLine="709"/>
        <w:contextualSpacing/>
        <w:jc w:val="both"/>
        <w:rPr>
          <w:rFonts w:ascii="Verdana" w:hAnsi="Verdana" w:cs="Arial"/>
          <w:color w:val="000000"/>
          <w:sz w:val="12"/>
          <w:szCs w:val="12"/>
          <w:lang w:val="es-ES"/>
        </w:rPr>
      </w:pPr>
      <w:r w:rsidRPr="007139C4">
        <w:rPr>
          <w:rFonts w:ascii="Verdana" w:hAnsi="Verdana" w:cs="Arial"/>
          <w:color w:val="000000"/>
          <w:sz w:val="12"/>
          <w:szCs w:val="12"/>
          <w:vertAlign w:val="superscript"/>
        </w:rPr>
        <w:footnoteRef/>
      </w:r>
      <w:r w:rsidRPr="007139C4">
        <w:rPr>
          <w:rFonts w:ascii="Verdana" w:hAnsi="Verdana" w:cs="Arial"/>
          <w:color w:val="000000"/>
          <w:sz w:val="12"/>
          <w:szCs w:val="12"/>
        </w:rPr>
        <w:t xml:space="preserve"> </w:t>
      </w:r>
      <w:r w:rsidRPr="007139C4">
        <w:rPr>
          <w:rFonts w:ascii="Verdana" w:hAnsi="Verdana" w:cs="Arial"/>
          <w:color w:val="000000"/>
          <w:sz w:val="12"/>
          <w:szCs w:val="12"/>
          <w:lang w:val="es-ES"/>
        </w:rPr>
        <w:t>Artículos 46 al 73.</w:t>
      </w:r>
    </w:p>
    <w:p w14:paraId="1AA3247C" w14:textId="77777777" w:rsidR="00C6766C" w:rsidRPr="007139C4" w:rsidRDefault="00C6766C" w:rsidP="00C6766C">
      <w:pPr>
        <w:pStyle w:val="Textonotapie"/>
        <w:ind w:firstLine="709"/>
        <w:contextualSpacing/>
        <w:jc w:val="both"/>
        <w:rPr>
          <w:rFonts w:ascii="Verdana" w:hAnsi="Verdana"/>
          <w:sz w:val="12"/>
          <w:szCs w:val="12"/>
        </w:rPr>
      </w:pPr>
    </w:p>
  </w:footnote>
  <w:footnote w:id="7">
    <w:p w14:paraId="7FBB5AF2" w14:textId="77777777" w:rsidR="00C6766C" w:rsidRPr="007139C4" w:rsidRDefault="00C6766C" w:rsidP="00C6766C">
      <w:pPr>
        <w:pStyle w:val="Textonotapie"/>
        <w:ind w:firstLine="709"/>
        <w:contextualSpacing/>
        <w:jc w:val="both"/>
        <w:rPr>
          <w:rFonts w:ascii="Verdana" w:hAnsi="Verdana" w:cs="Arial"/>
          <w:color w:val="000000"/>
          <w:sz w:val="12"/>
          <w:szCs w:val="12"/>
          <w:lang w:val="es-ES"/>
        </w:rPr>
      </w:pPr>
      <w:r w:rsidRPr="007139C4">
        <w:rPr>
          <w:rFonts w:ascii="Verdana" w:hAnsi="Verdana" w:cs="Arial"/>
          <w:color w:val="000000"/>
          <w:sz w:val="12"/>
          <w:szCs w:val="12"/>
          <w:vertAlign w:val="superscript"/>
        </w:rPr>
        <w:footnoteRef/>
      </w:r>
      <w:r w:rsidRPr="007139C4">
        <w:rPr>
          <w:rFonts w:ascii="Verdana" w:hAnsi="Verdana" w:cs="Arial"/>
          <w:color w:val="000000"/>
          <w:sz w:val="12"/>
          <w:szCs w:val="12"/>
        </w:rPr>
        <w:t xml:space="preserve"> </w:t>
      </w:r>
      <w:r w:rsidRPr="007139C4">
        <w:rPr>
          <w:rFonts w:ascii="Verdana" w:hAnsi="Verdana" w:cs="Arial"/>
          <w:color w:val="000000"/>
          <w:sz w:val="12"/>
          <w:szCs w:val="12"/>
          <w:lang w:val="es-ES"/>
        </w:rPr>
        <w:t>Artículos 74 al 83.</w:t>
      </w:r>
    </w:p>
    <w:p w14:paraId="519CF511" w14:textId="77777777" w:rsidR="00C6766C" w:rsidRPr="007139C4" w:rsidRDefault="00C6766C" w:rsidP="00C6766C">
      <w:pPr>
        <w:pStyle w:val="Textonotapie"/>
        <w:ind w:firstLine="709"/>
        <w:contextualSpacing/>
        <w:jc w:val="both"/>
        <w:rPr>
          <w:rFonts w:ascii="Verdana" w:hAnsi="Verdana"/>
          <w:sz w:val="12"/>
          <w:szCs w:val="12"/>
        </w:rPr>
      </w:pPr>
    </w:p>
  </w:footnote>
  <w:footnote w:id="8">
    <w:p w14:paraId="0D727076" w14:textId="77777777" w:rsidR="00C6766C" w:rsidRPr="006866A8" w:rsidRDefault="00C6766C" w:rsidP="00C6766C">
      <w:pPr>
        <w:pStyle w:val="Textonotapie"/>
        <w:ind w:firstLine="709"/>
        <w:contextualSpacing/>
        <w:jc w:val="both"/>
        <w:rPr>
          <w:rFonts w:ascii="Verdana" w:hAnsi="Verdana" w:cs="Arial"/>
          <w:color w:val="000000"/>
          <w:sz w:val="16"/>
          <w:szCs w:val="16"/>
        </w:rPr>
      </w:pPr>
      <w:r w:rsidRPr="007139C4">
        <w:rPr>
          <w:rFonts w:ascii="Verdana" w:hAnsi="Verdana" w:cs="Arial"/>
          <w:color w:val="000000"/>
          <w:sz w:val="12"/>
          <w:szCs w:val="12"/>
          <w:vertAlign w:val="superscript"/>
        </w:rPr>
        <w:footnoteRef/>
      </w:r>
      <w:r w:rsidRPr="007139C4">
        <w:rPr>
          <w:rFonts w:ascii="Verdana" w:hAnsi="Verdana" w:cs="Arial"/>
          <w:color w:val="000000"/>
          <w:sz w:val="12"/>
          <w:szCs w:val="12"/>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Parágrafo primero. La definición de emprendimientos y empresas de mujeres se reglamentará por el gobierno nacional”.</w:t>
      </w:r>
    </w:p>
    <w:p w14:paraId="7A5105D4" w14:textId="77777777" w:rsidR="00C6766C" w:rsidRDefault="00C6766C" w:rsidP="00C6766C">
      <w:pPr>
        <w:pStyle w:val="Textonotapie"/>
        <w:ind w:firstLine="709"/>
        <w:contextualSpacing/>
        <w:jc w:val="both"/>
      </w:pPr>
    </w:p>
  </w:footnote>
  <w:footnote w:id="9">
    <w:p w14:paraId="275A6E71" w14:textId="0AAD4DAF" w:rsidR="00C659DE" w:rsidRPr="00C659DE" w:rsidRDefault="00C659DE" w:rsidP="00C659DE">
      <w:pPr>
        <w:pStyle w:val="Textonotapie"/>
        <w:rPr>
          <w:lang w:val="es-CO"/>
        </w:rPr>
      </w:pPr>
      <w:r>
        <w:rPr>
          <w:rStyle w:val="Refdenotaalpie"/>
        </w:rPr>
        <w:footnoteRef/>
      </w:r>
      <w:r>
        <w:t xml:space="preserve"> D</w:t>
      </w:r>
      <w:r w:rsidRPr="00C659DE">
        <w:t xml:space="preserve">ecreto Ley 2663 </w:t>
      </w:r>
      <w:r>
        <w:t xml:space="preserve">de </w:t>
      </w:r>
      <w:r w:rsidRPr="00C659DE">
        <w:t>1950, Código Sustantivo del Trabajo: “Son representantes del {empleador} y como tales lo obligan frente a sus trabajadores además de quienes tienen ese carácter según la ley, la convención o el reglamento de trabajo, las siguientes personas:</w:t>
      </w:r>
    </w:p>
    <w:p w14:paraId="534BBE24" w14:textId="77777777" w:rsidR="00C659DE" w:rsidRPr="00C659DE" w:rsidRDefault="00C659DE" w:rsidP="00C659DE">
      <w:pPr>
        <w:pStyle w:val="Textonotapie"/>
        <w:rPr>
          <w:lang w:val="es-CO"/>
        </w:rPr>
      </w:pPr>
      <w:r w:rsidRPr="00C659DE">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1BCA43CC" w14:textId="77777777" w:rsidR="00C659DE" w:rsidRPr="00C659DE" w:rsidRDefault="00C659DE" w:rsidP="00C659DE">
      <w:pPr>
        <w:pStyle w:val="Textonotapie"/>
        <w:rPr>
          <w:lang w:val="es-CO"/>
        </w:rPr>
      </w:pPr>
      <w:r w:rsidRPr="00C659DE">
        <w:t>b) Los intermediarios”.</w:t>
      </w:r>
    </w:p>
    <w:p w14:paraId="758B8730" w14:textId="39979EFC" w:rsidR="00C659DE" w:rsidRPr="002911D7" w:rsidRDefault="00C659DE">
      <w:pPr>
        <w:pStyle w:val="Textonotapie"/>
        <w:rPr>
          <w:lang w:val="es-ES"/>
        </w:rPr>
      </w:pPr>
    </w:p>
  </w:footnote>
  <w:footnote w:id="10">
    <w:p w14:paraId="7DC37D9F" w14:textId="52D0515C" w:rsidR="00D55027" w:rsidRPr="00D55027" w:rsidRDefault="00D55027">
      <w:pPr>
        <w:pStyle w:val="Textonotapie"/>
      </w:pPr>
      <w:r>
        <w:rPr>
          <w:rStyle w:val="Refdenotaalpie"/>
        </w:rPr>
        <w:footnoteRef/>
      </w:r>
      <w:r>
        <w:t xml:space="preserve"> Numeral 2 </w:t>
      </w:r>
      <w:r>
        <w:rPr>
          <w:rFonts w:ascii="Verdana" w:hAnsi="Verdana" w:cs="Arial"/>
          <w:lang w:eastAsia="es-ES_tradnl"/>
        </w:rPr>
        <w:t xml:space="preserve">artículo </w:t>
      </w:r>
      <w:r w:rsidRPr="00B47E35">
        <w:rPr>
          <w:rFonts w:ascii="Verdana" w:eastAsia="Times New Roman" w:hAnsi="Verdana" w:cs="Arial"/>
          <w:lang w:val="es-ES_tradnl" w:eastAsia="es-ES"/>
        </w:rPr>
        <w:t>2.2.1.2.4.2.14</w:t>
      </w:r>
      <w:r>
        <w:rPr>
          <w:rFonts w:ascii="Verdana" w:eastAsia="Times New Roman" w:hAnsi="Verdana" w:cs="Arial"/>
          <w:lang w:val="es-ES_tradnl" w:eastAsia="es-ES"/>
        </w:rPr>
        <w:t xml:space="preserve"> del Decreto 1082 de 2015</w:t>
      </w:r>
    </w:p>
  </w:footnote>
  <w:footnote w:id="11">
    <w:p w14:paraId="1159813E" w14:textId="77777777" w:rsidR="00C6766C" w:rsidRDefault="00C6766C" w:rsidP="00C6766C">
      <w:pPr>
        <w:pStyle w:val="Textonotapie"/>
        <w:ind w:firstLine="708"/>
        <w:contextualSpacing/>
        <w:rPr>
          <w:rFonts w:ascii="Verdana" w:hAnsi="Verdana"/>
          <w:sz w:val="16"/>
          <w:szCs w:val="16"/>
          <w:lang w:val="es-CO"/>
        </w:rPr>
      </w:pPr>
      <w:r w:rsidRPr="00C02094">
        <w:rPr>
          <w:rFonts w:ascii="Verdana" w:hAnsi="Verdana"/>
          <w:sz w:val="16"/>
          <w:szCs w:val="16"/>
          <w:vertAlign w:val="superscript"/>
        </w:rPr>
        <w:footnoteRef/>
      </w:r>
      <w:r w:rsidRPr="00C02094">
        <w:rPr>
          <w:rFonts w:ascii="Verdana" w:hAnsi="Verdana"/>
          <w:sz w:val="16"/>
          <w:szCs w:val="16"/>
        </w:rPr>
        <w:t xml:space="preserve"> Superintendencia de Sociedades. </w:t>
      </w:r>
      <w:r w:rsidRPr="00C02094">
        <w:rPr>
          <w:rFonts w:ascii="Verdana" w:hAnsi="Verdana"/>
          <w:sz w:val="16"/>
          <w:szCs w:val="16"/>
          <w:lang w:val="es-CO"/>
        </w:rPr>
        <w:t xml:space="preserve">Guía Práctica Régimen de Matrices y Subordinadas. Disponible en: </w:t>
      </w:r>
      <w:hyperlink r:id="rId2" w:history="1">
        <w:r w:rsidRPr="00C02094">
          <w:rPr>
            <w:rStyle w:val="Hipervnculo"/>
            <w:rFonts w:ascii="Verdana" w:hAnsi="Verdana"/>
            <w:sz w:val="16"/>
            <w:szCs w:val="16"/>
            <w:lang w:val="es-CO"/>
          </w:rPr>
          <w:t>https://www.supersociedades.gov.co/documents/20122/1229078/Guia-Practica-Regimen-Matrices-y-Subordinadas.pdf/6c4a9d36-224c-e72e-8bb5-eec20d380f4a?t=1654295200749</w:t>
        </w:r>
      </w:hyperlink>
      <w:r w:rsidRPr="00C02094">
        <w:rPr>
          <w:rFonts w:ascii="Verdana" w:hAnsi="Verdana"/>
          <w:sz w:val="16"/>
          <w:szCs w:val="16"/>
          <w:lang w:val="es-CO"/>
        </w:rPr>
        <w:t xml:space="preserve"> </w:t>
      </w:r>
    </w:p>
    <w:p w14:paraId="31BFD84E" w14:textId="77777777" w:rsidR="00C6766C" w:rsidRDefault="00C6766C" w:rsidP="00C6766C">
      <w:pPr>
        <w:pStyle w:val="Textonotapie"/>
        <w:ind w:firstLine="708"/>
        <w:contextualSpacing/>
      </w:pPr>
    </w:p>
  </w:footnote>
  <w:footnote w:id="12">
    <w:p w14:paraId="27D9E554" w14:textId="77777777" w:rsidR="00C6766C" w:rsidRDefault="00C6766C" w:rsidP="00C6766C">
      <w:pPr>
        <w:pStyle w:val="Textonotapie"/>
        <w:ind w:firstLine="708"/>
        <w:contextualSpacing/>
      </w:pPr>
      <w:r w:rsidRPr="00C02094">
        <w:rPr>
          <w:rFonts w:ascii="Verdana" w:hAnsi="Verdana"/>
          <w:sz w:val="16"/>
          <w:szCs w:val="16"/>
          <w:vertAlign w:val="superscript"/>
        </w:rPr>
        <w:footnoteRef/>
      </w:r>
      <w:r w:rsidRPr="00C02094">
        <w:rPr>
          <w:rFonts w:ascii="Verdana" w:hAnsi="Verdana"/>
          <w:sz w:val="16"/>
          <w:szCs w:val="16"/>
        </w:rPr>
        <w:t xml:space="preserve">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rPr>
        <w:rFonts w:ascii="Verdana" w:hAnsi="Verdana"/>
        <w:b/>
        <w:bCs/>
      </w:rPr>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25pt;height:12.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B7165AD"/>
    <w:multiLevelType w:val="multilevel"/>
    <w:tmpl w:val="F5D6B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9352750">
    <w:abstractNumId w:val="6"/>
  </w:num>
  <w:num w:numId="2" w16cid:durableId="1425952265">
    <w:abstractNumId w:val="2"/>
  </w:num>
  <w:num w:numId="3" w16cid:durableId="1920627689">
    <w:abstractNumId w:val="4"/>
  </w:num>
  <w:num w:numId="4" w16cid:durableId="12410189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6635020">
    <w:abstractNumId w:val="2"/>
  </w:num>
  <w:num w:numId="6" w16cid:durableId="501966667">
    <w:abstractNumId w:val="14"/>
  </w:num>
  <w:num w:numId="7" w16cid:durableId="246350513">
    <w:abstractNumId w:val="5"/>
  </w:num>
  <w:num w:numId="8" w16cid:durableId="803891561">
    <w:abstractNumId w:val="13"/>
  </w:num>
  <w:num w:numId="9" w16cid:durableId="882912979">
    <w:abstractNumId w:val="7"/>
  </w:num>
  <w:num w:numId="10" w16cid:durableId="614336439">
    <w:abstractNumId w:val="12"/>
  </w:num>
  <w:num w:numId="11" w16cid:durableId="2032997336">
    <w:abstractNumId w:val="8"/>
  </w:num>
  <w:num w:numId="12" w16cid:durableId="1783837386">
    <w:abstractNumId w:val="1"/>
  </w:num>
  <w:num w:numId="13" w16cid:durableId="1174733623">
    <w:abstractNumId w:val="3"/>
  </w:num>
  <w:num w:numId="14" w16cid:durableId="1449273359">
    <w:abstractNumId w:val="15"/>
  </w:num>
  <w:num w:numId="15" w16cid:durableId="306670751">
    <w:abstractNumId w:val="11"/>
  </w:num>
  <w:num w:numId="16" w16cid:durableId="126242596">
    <w:abstractNumId w:val="0"/>
  </w:num>
  <w:num w:numId="17" w16cid:durableId="2030326606">
    <w:abstractNumId w:val="9"/>
  </w:num>
  <w:num w:numId="18" w16cid:durableId="6601571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B4B"/>
    <w:rsid w:val="00053709"/>
    <w:rsid w:val="00061B2A"/>
    <w:rsid w:val="00082362"/>
    <w:rsid w:val="000A683E"/>
    <w:rsid w:val="000B19B9"/>
    <w:rsid w:val="000D0334"/>
    <w:rsid w:val="000F6486"/>
    <w:rsid w:val="00125105"/>
    <w:rsid w:val="00127233"/>
    <w:rsid w:val="0019364D"/>
    <w:rsid w:val="001E4177"/>
    <w:rsid w:val="001F7DC6"/>
    <w:rsid w:val="00202D78"/>
    <w:rsid w:val="002265ED"/>
    <w:rsid w:val="002421BB"/>
    <w:rsid w:val="0025796E"/>
    <w:rsid w:val="002707A2"/>
    <w:rsid w:val="0027502C"/>
    <w:rsid w:val="002911D7"/>
    <w:rsid w:val="002951A0"/>
    <w:rsid w:val="00295FF8"/>
    <w:rsid w:val="002962BC"/>
    <w:rsid w:val="002A093D"/>
    <w:rsid w:val="002A0DD0"/>
    <w:rsid w:val="002A49AC"/>
    <w:rsid w:val="002A64FD"/>
    <w:rsid w:val="002C17A8"/>
    <w:rsid w:val="002C7A84"/>
    <w:rsid w:val="002D5E22"/>
    <w:rsid w:val="002E4FD9"/>
    <w:rsid w:val="00322A85"/>
    <w:rsid w:val="00324168"/>
    <w:rsid w:val="0033610B"/>
    <w:rsid w:val="003448F4"/>
    <w:rsid w:val="00374F5E"/>
    <w:rsid w:val="00377E3E"/>
    <w:rsid w:val="003A26D1"/>
    <w:rsid w:val="003A779E"/>
    <w:rsid w:val="003C4E83"/>
    <w:rsid w:val="003D0F4D"/>
    <w:rsid w:val="003D5B0D"/>
    <w:rsid w:val="003E0499"/>
    <w:rsid w:val="003F3941"/>
    <w:rsid w:val="00406575"/>
    <w:rsid w:val="0042722E"/>
    <w:rsid w:val="00433B7C"/>
    <w:rsid w:val="0044528D"/>
    <w:rsid w:val="00461DAE"/>
    <w:rsid w:val="004677EC"/>
    <w:rsid w:val="00487DDD"/>
    <w:rsid w:val="00496A55"/>
    <w:rsid w:val="004A1847"/>
    <w:rsid w:val="004A305D"/>
    <w:rsid w:val="004B0C67"/>
    <w:rsid w:val="004E29CA"/>
    <w:rsid w:val="004F21C4"/>
    <w:rsid w:val="004F551E"/>
    <w:rsid w:val="004F685F"/>
    <w:rsid w:val="005566E8"/>
    <w:rsid w:val="005658D2"/>
    <w:rsid w:val="00574867"/>
    <w:rsid w:val="00591460"/>
    <w:rsid w:val="00592628"/>
    <w:rsid w:val="005C3777"/>
    <w:rsid w:val="005C5CDC"/>
    <w:rsid w:val="005D476C"/>
    <w:rsid w:val="00610812"/>
    <w:rsid w:val="006219F8"/>
    <w:rsid w:val="00650FF7"/>
    <w:rsid w:val="00651D03"/>
    <w:rsid w:val="00661C5B"/>
    <w:rsid w:val="00665D70"/>
    <w:rsid w:val="00671DAC"/>
    <w:rsid w:val="006900D9"/>
    <w:rsid w:val="006C44AD"/>
    <w:rsid w:val="006D12F8"/>
    <w:rsid w:val="00706C16"/>
    <w:rsid w:val="00756841"/>
    <w:rsid w:val="00764070"/>
    <w:rsid w:val="007649AB"/>
    <w:rsid w:val="00771D0C"/>
    <w:rsid w:val="007833AC"/>
    <w:rsid w:val="007B268C"/>
    <w:rsid w:val="007B7171"/>
    <w:rsid w:val="007C0C0F"/>
    <w:rsid w:val="007C3DC2"/>
    <w:rsid w:val="007E5497"/>
    <w:rsid w:val="00806F5F"/>
    <w:rsid w:val="00820278"/>
    <w:rsid w:val="008843B6"/>
    <w:rsid w:val="00891928"/>
    <w:rsid w:val="008A446D"/>
    <w:rsid w:val="008D180B"/>
    <w:rsid w:val="008F0EA7"/>
    <w:rsid w:val="00923EEF"/>
    <w:rsid w:val="0092514B"/>
    <w:rsid w:val="009419F9"/>
    <w:rsid w:val="0095685E"/>
    <w:rsid w:val="00961B09"/>
    <w:rsid w:val="00965334"/>
    <w:rsid w:val="0097093E"/>
    <w:rsid w:val="009A0DFA"/>
    <w:rsid w:val="009A6572"/>
    <w:rsid w:val="009B2D26"/>
    <w:rsid w:val="009C71FA"/>
    <w:rsid w:val="009C72E7"/>
    <w:rsid w:val="009D3058"/>
    <w:rsid w:val="009F3A13"/>
    <w:rsid w:val="00A01D9C"/>
    <w:rsid w:val="00A122D3"/>
    <w:rsid w:val="00A17F13"/>
    <w:rsid w:val="00A20739"/>
    <w:rsid w:val="00A30943"/>
    <w:rsid w:val="00A33C78"/>
    <w:rsid w:val="00AB0ADB"/>
    <w:rsid w:val="00AF7D9A"/>
    <w:rsid w:val="00B01B1A"/>
    <w:rsid w:val="00B3090D"/>
    <w:rsid w:val="00B47E35"/>
    <w:rsid w:val="00B72CD3"/>
    <w:rsid w:val="00B72FFF"/>
    <w:rsid w:val="00B7556A"/>
    <w:rsid w:val="00B93C73"/>
    <w:rsid w:val="00BB5023"/>
    <w:rsid w:val="00BB59AB"/>
    <w:rsid w:val="00BC3D36"/>
    <w:rsid w:val="00BD7F72"/>
    <w:rsid w:val="00C04FB3"/>
    <w:rsid w:val="00C27F6D"/>
    <w:rsid w:val="00C330EB"/>
    <w:rsid w:val="00C659DE"/>
    <w:rsid w:val="00C6766C"/>
    <w:rsid w:val="00C754BE"/>
    <w:rsid w:val="00C76B1C"/>
    <w:rsid w:val="00C9632F"/>
    <w:rsid w:val="00CB6357"/>
    <w:rsid w:val="00CC1B26"/>
    <w:rsid w:val="00CC69A0"/>
    <w:rsid w:val="00D423A2"/>
    <w:rsid w:val="00D520D8"/>
    <w:rsid w:val="00D55027"/>
    <w:rsid w:val="00D56BBF"/>
    <w:rsid w:val="00D63AC2"/>
    <w:rsid w:val="00D7383B"/>
    <w:rsid w:val="00D76399"/>
    <w:rsid w:val="00DA231B"/>
    <w:rsid w:val="00DA23A0"/>
    <w:rsid w:val="00DC39FC"/>
    <w:rsid w:val="00DF5254"/>
    <w:rsid w:val="00E16408"/>
    <w:rsid w:val="00E20894"/>
    <w:rsid w:val="00E245AB"/>
    <w:rsid w:val="00E2764C"/>
    <w:rsid w:val="00E27F2E"/>
    <w:rsid w:val="00E413EA"/>
    <w:rsid w:val="00E50AFE"/>
    <w:rsid w:val="00E75C92"/>
    <w:rsid w:val="00E7685C"/>
    <w:rsid w:val="00E771DC"/>
    <w:rsid w:val="00E8772A"/>
    <w:rsid w:val="00E90F6B"/>
    <w:rsid w:val="00E923BB"/>
    <w:rsid w:val="00E92C27"/>
    <w:rsid w:val="00EA0E3D"/>
    <w:rsid w:val="00EC38A7"/>
    <w:rsid w:val="00EE1AA8"/>
    <w:rsid w:val="00EF62AA"/>
    <w:rsid w:val="00F31EDC"/>
    <w:rsid w:val="00F32836"/>
    <w:rsid w:val="00F462B3"/>
    <w:rsid w:val="00F5664F"/>
    <w:rsid w:val="00F666C4"/>
    <w:rsid w:val="00F76AFC"/>
    <w:rsid w:val="00FA47C0"/>
    <w:rsid w:val="00FA6DB9"/>
    <w:rsid w:val="00FB5DD1"/>
    <w:rsid w:val="00FC2B5D"/>
    <w:rsid w:val="00FC32CA"/>
    <w:rsid w:val="00FF1449"/>
    <w:rsid w:val="00FF6755"/>
    <w:rsid w:val="5CEADB7B"/>
    <w:rsid w:val="6819349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027"/>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spacing w:after="160" w:line="259" w:lineRule="auto"/>
      <w:ind w:left="720"/>
      <w:contextualSpacing/>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character" w:customStyle="1" w:styleId="Hipervnculo1">
    <w:name w:val="Hipervínculo1"/>
    <w:basedOn w:val="Fuentedeprrafopredeter"/>
    <w:uiPriority w:val="99"/>
    <w:unhideWhenUsed/>
    <w:rsid w:val="00C6766C"/>
    <w:rPr>
      <w:rFonts w:cs="Times New Roman"/>
      <w:color w:val="F2F2F2"/>
      <w:u w:val="single"/>
    </w:rPr>
  </w:style>
  <w:style w:type="paragraph" w:styleId="Textodeglobo">
    <w:name w:val="Balloon Text"/>
    <w:basedOn w:val="Normal"/>
    <w:link w:val="TextodegloboCar"/>
    <w:uiPriority w:val="99"/>
    <w:semiHidden/>
    <w:unhideWhenUsed/>
    <w:rsid w:val="00EF62AA"/>
    <w:rPr>
      <w:sz w:val="18"/>
      <w:szCs w:val="18"/>
    </w:rPr>
  </w:style>
  <w:style w:type="character" w:customStyle="1" w:styleId="TextodegloboCar">
    <w:name w:val="Texto de globo Car"/>
    <w:basedOn w:val="Fuentedeprrafopredeter"/>
    <w:link w:val="Textodeglobo"/>
    <w:uiPriority w:val="99"/>
    <w:semiHidden/>
    <w:rsid w:val="00EF62AA"/>
    <w:rPr>
      <w:rFonts w:ascii="Times New Roman" w:eastAsia="Times New Roman" w:hAnsi="Times New Roman" w:cs="Times New Roman"/>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97177">
      <w:bodyDiv w:val="1"/>
      <w:marLeft w:val="0"/>
      <w:marRight w:val="0"/>
      <w:marTop w:val="0"/>
      <w:marBottom w:val="0"/>
      <w:divBdr>
        <w:top w:val="none" w:sz="0" w:space="0" w:color="auto"/>
        <w:left w:val="none" w:sz="0" w:space="0" w:color="auto"/>
        <w:bottom w:val="none" w:sz="0" w:space="0" w:color="auto"/>
        <w:right w:val="none" w:sz="0" w:space="0" w:color="auto"/>
      </w:divBdr>
    </w:div>
    <w:div w:id="42368185">
      <w:bodyDiv w:val="1"/>
      <w:marLeft w:val="0"/>
      <w:marRight w:val="0"/>
      <w:marTop w:val="0"/>
      <w:marBottom w:val="0"/>
      <w:divBdr>
        <w:top w:val="none" w:sz="0" w:space="0" w:color="auto"/>
        <w:left w:val="none" w:sz="0" w:space="0" w:color="auto"/>
        <w:bottom w:val="none" w:sz="0" w:space="0" w:color="auto"/>
        <w:right w:val="none" w:sz="0" w:space="0" w:color="auto"/>
      </w:divBdr>
      <w:divsChild>
        <w:div w:id="927234350">
          <w:marLeft w:val="0"/>
          <w:marRight w:val="0"/>
          <w:marTop w:val="0"/>
          <w:marBottom w:val="0"/>
          <w:divBdr>
            <w:top w:val="none" w:sz="0" w:space="0" w:color="auto"/>
            <w:left w:val="none" w:sz="0" w:space="0" w:color="auto"/>
            <w:bottom w:val="none" w:sz="0" w:space="0" w:color="auto"/>
            <w:right w:val="none" w:sz="0" w:space="0" w:color="auto"/>
          </w:divBdr>
        </w:div>
      </w:divsChild>
    </w:div>
    <w:div w:id="108277931">
      <w:bodyDiv w:val="1"/>
      <w:marLeft w:val="0"/>
      <w:marRight w:val="0"/>
      <w:marTop w:val="0"/>
      <w:marBottom w:val="0"/>
      <w:divBdr>
        <w:top w:val="none" w:sz="0" w:space="0" w:color="auto"/>
        <w:left w:val="none" w:sz="0" w:space="0" w:color="auto"/>
        <w:bottom w:val="none" w:sz="0" w:space="0" w:color="auto"/>
        <w:right w:val="none" w:sz="0" w:space="0" w:color="auto"/>
      </w:divBdr>
    </w:div>
    <w:div w:id="182867013">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3367844">
      <w:bodyDiv w:val="1"/>
      <w:marLeft w:val="0"/>
      <w:marRight w:val="0"/>
      <w:marTop w:val="0"/>
      <w:marBottom w:val="0"/>
      <w:divBdr>
        <w:top w:val="none" w:sz="0" w:space="0" w:color="auto"/>
        <w:left w:val="none" w:sz="0" w:space="0" w:color="auto"/>
        <w:bottom w:val="none" w:sz="0" w:space="0" w:color="auto"/>
        <w:right w:val="none" w:sz="0" w:space="0" w:color="auto"/>
      </w:divBdr>
    </w:div>
    <w:div w:id="323122082">
      <w:bodyDiv w:val="1"/>
      <w:marLeft w:val="0"/>
      <w:marRight w:val="0"/>
      <w:marTop w:val="0"/>
      <w:marBottom w:val="0"/>
      <w:divBdr>
        <w:top w:val="none" w:sz="0" w:space="0" w:color="auto"/>
        <w:left w:val="none" w:sz="0" w:space="0" w:color="auto"/>
        <w:bottom w:val="none" w:sz="0" w:space="0" w:color="auto"/>
        <w:right w:val="none" w:sz="0" w:space="0" w:color="auto"/>
      </w:divBdr>
    </w:div>
    <w:div w:id="367293503">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82576346">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85029370">
      <w:bodyDiv w:val="1"/>
      <w:marLeft w:val="0"/>
      <w:marRight w:val="0"/>
      <w:marTop w:val="0"/>
      <w:marBottom w:val="0"/>
      <w:divBdr>
        <w:top w:val="none" w:sz="0" w:space="0" w:color="auto"/>
        <w:left w:val="none" w:sz="0" w:space="0" w:color="auto"/>
        <w:bottom w:val="none" w:sz="0" w:space="0" w:color="auto"/>
        <w:right w:val="none" w:sz="0" w:space="0" w:color="auto"/>
      </w:divBdr>
    </w:div>
    <w:div w:id="955066307">
      <w:bodyDiv w:val="1"/>
      <w:marLeft w:val="0"/>
      <w:marRight w:val="0"/>
      <w:marTop w:val="0"/>
      <w:marBottom w:val="0"/>
      <w:divBdr>
        <w:top w:val="none" w:sz="0" w:space="0" w:color="auto"/>
        <w:left w:val="none" w:sz="0" w:space="0" w:color="auto"/>
        <w:bottom w:val="none" w:sz="0" w:space="0" w:color="auto"/>
        <w:right w:val="none" w:sz="0" w:space="0" w:color="auto"/>
      </w:divBdr>
    </w:div>
    <w:div w:id="106333728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0779423">
      <w:bodyDiv w:val="1"/>
      <w:marLeft w:val="0"/>
      <w:marRight w:val="0"/>
      <w:marTop w:val="0"/>
      <w:marBottom w:val="0"/>
      <w:divBdr>
        <w:top w:val="none" w:sz="0" w:space="0" w:color="auto"/>
        <w:left w:val="none" w:sz="0" w:space="0" w:color="auto"/>
        <w:bottom w:val="none" w:sz="0" w:space="0" w:color="auto"/>
        <w:right w:val="none" w:sz="0" w:space="0" w:color="auto"/>
      </w:divBdr>
    </w:div>
    <w:div w:id="125305274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964561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i=71552" TargetMode="External"/><Relationship Id="rId18" Type="http://schemas.openxmlformats.org/officeDocument/2006/relationships/hyperlink" Target="https://www.alcaldiabogota.gov.co/sisjur/normas/Norma1.jsp?i=104667"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alcaldiabogota.gov.co/sisjur/normas/Norma1.jsp?i=71552" TargetMode="External"/><Relationship Id="rId7" Type="http://schemas.openxmlformats.org/officeDocument/2006/relationships/settings" Target="settings.xml"/><Relationship Id="rId12" Type="http://schemas.openxmlformats.org/officeDocument/2006/relationships/hyperlink" Target="mailto:lopezjulieth@gmail.com" TargetMode="External"/><Relationship Id="rId17" Type="http://schemas.openxmlformats.org/officeDocument/2006/relationships/hyperlink" Target="https://www.alcaldiabogota.gov.co/sisjur/normas/Norma1.jsp?i=71552"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lcaldiabogota.gov.co/sisjur/normas/Norma1.jsp?i=71552" TargetMode="External"/><Relationship Id="rId20" Type="http://schemas.openxmlformats.org/officeDocument/2006/relationships/hyperlink" Target="https://www.alcaldiabogota.gov.co/sisjur/normas/Norma1.jsp?i=7155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alcaldiabogota.gov.co/sisjur/normas/Norma1.jsp?i=33104" TargetMode="External"/><Relationship Id="rId23" Type="http://schemas.openxmlformats.org/officeDocument/2006/relationships/hyperlink" Target="https://nam02.safelinks.protection.outlook.com/?url=https%3A%2F%2Frelatoria.colombiacompra.gov.co%2F&amp;data=05%7C02%7Cdiana.saavedra%40colombiacompra.gov.co%7C5aad36a736844ec87b2108dcc1fa4639%7C7b09041e245149d08cb179d5e3d8c1be%7C0%7C0%7C638598527919381538%7CUnknown%7CTWFpbGZsb3d8eyJWIjoiMC4wLjAwMDAiLCJQIjoiV2luMzIiLCJBTiI6Ik1haWwiLCJXVCI6Mn0%3D%7C0%7C%7C%7C&amp;sdata=SERqhYSkJwg8ErCStGLk4AEF5F37T6rV9QxmABE7T84%3D&amp;reserved=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alcaldiabogota.gov.co/sisjur/normas/Norma1.jsp?i=7155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caldiabogota.gov.co/sisjur/normas/Norma1.jsp?i=119539" TargetMode="External"/><Relationship Id="rId22" Type="http://schemas.openxmlformats.org/officeDocument/2006/relationships/hyperlink" Target="https://www.alcaldiabogota.gov.co/sisjur/normas/Norma1.jsp?i=71552"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supersociedades.gov.co/documents/20122/1229078/Guia-Practica-Regimen-Matrices-y-Subordinadas.pdf/6c4a9d36-224c-e72e-8bb5-eec20d380f4a?t=1654295200749" TargetMode="External"/><Relationship Id="rId1" Type="http://schemas.openxmlformats.org/officeDocument/2006/relationships/hyperlink" Target="http://leyes.senado.gov.co/proyectos/index.php/textos-radicados-senado/p-ley-2020-2021/1957-proyecto-de-ley-161-de-20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purl.org/dc/elements/1.1/"/>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a6cb9e4b-f1d1-4245-83ec-6cad768d538a"/>
    <ds:schemaRef ds:uri="http://purl.org/dc/dcmitype/"/>
    <ds:schemaRef ds:uri="http://purl.org/dc/terms/"/>
  </ds:schemaRefs>
</ds:datastoreItem>
</file>

<file path=customXml/itemProps3.xml><?xml version="1.0" encoding="utf-8"?>
<ds:datastoreItem xmlns:ds="http://schemas.openxmlformats.org/officeDocument/2006/customXml" ds:itemID="{72093253-9608-4D4E-A8FD-86F2775D4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04B4C2-5FC6-B946-8C90-CD0FAF3BB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17</Pages>
  <Words>5171</Words>
  <Characters>28442</Characters>
  <Application>Microsoft Office Word</Application>
  <DocSecurity>0</DocSecurity>
  <Lines>237</Lines>
  <Paragraphs>67</Paragraphs>
  <ScaleCrop>false</ScaleCrop>
  <Company/>
  <LinksUpToDate>false</LinksUpToDate>
  <CharactersWithSpaces>33546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2024-10-11T06:16:00Z</dcterms:created>
  <dcterms:modified xsi:type="dcterms:W3CDTF">2024-10-11T06:16:00Z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