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43FF5BD7" w14:textId="77777777" w:rsidR="008A19CC" w:rsidRDefault="008A19CC" w:rsidP="008A19CC">
      <w:pPr>
        <w:spacing w:after="0" w:line="240" w:lineRule="auto"/>
        <w:contextualSpacing/>
        <w:jc w:val="both"/>
        <w:rPr>
          <w:rFonts w:ascii="Verdana" w:eastAsia="Calibri" w:hAnsi="Verdana" w:cs="Arial"/>
          <w:b/>
          <w:lang w:val="es-MX" w:eastAsia="es-MX"/>
        </w:rPr>
      </w:pPr>
      <w:r w:rsidRPr="00904AD4">
        <w:rPr>
          <w:rFonts w:ascii="Verdana" w:eastAsia="Calibri" w:hAnsi="Verdana" w:cs="Arial"/>
          <w:b/>
          <w:lang w:val="es-MX" w:eastAsia="es-MX"/>
        </w:rPr>
        <w:t xml:space="preserve">LEY DE GARANTÍAS ELECTORALES – Naturaleza Jurídica </w:t>
      </w:r>
    </w:p>
    <w:p w14:paraId="367326F1" w14:textId="77777777" w:rsidR="008A19CC" w:rsidRDefault="008A19CC" w:rsidP="008A19CC">
      <w:pPr>
        <w:spacing w:after="0" w:line="240" w:lineRule="auto"/>
        <w:contextualSpacing/>
        <w:jc w:val="both"/>
        <w:rPr>
          <w:rFonts w:ascii="Verdana" w:eastAsia="Calibri" w:hAnsi="Verdana" w:cs="Arial"/>
          <w:b/>
          <w:lang w:val="es-MX" w:eastAsia="es-MX"/>
        </w:rPr>
      </w:pPr>
    </w:p>
    <w:p w14:paraId="7AA9AB3D" w14:textId="77777777" w:rsidR="008A19CC" w:rsidRPr="005C0AEA" w:rsidRDefault="008A19CC" w:rsidP="008A19CC">
      <w:pPr>
        <w:spacing w:after="0" w:line="240" w:lineRule="auto"/>
        <w:contextualSpacing/>
        <w:jc w:val="both"/>
        <w:rPr>
          <w:rFonts w:ascii="Verdana" w:eastAsia="Calibri" w:hAnsi="Verdana" w:cs="Arial"/>
          <w:b/>
          <w:lang w:val="es-MX" w:eastAsia="es-MX"/>
        </w:rPr>
      </w:pPr>
      <w:r w:rsidRPr="00DC3470">
        <w:rPr>
          <w:rFonts w:ascii="Verdana" w:eastAsia="Times New Roman" w:hAnsi="Verdana" w:cs="Arial"/>
          <w:bCs/>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p>
    <w:p w14:paraId="5A1B2C22" w14:textId="77777777" w:rsidR="008A19CC" w:rsidRPr="00904AD4" w:rsidRDefault="008A19CC" w:rsidP="008A19CC">
      <w:pPr>
        <w:spacing w:after="0" w:line="240" w:lineRule="auto"/>
        <w:contextualSpacing/>
        <w:jc w:val="both"/>
        <w:rPr>
          <w:rFonts w:ascii="Verdana" w:eastAsia="Calibri" w:hAnsi="Verdana" w:cs="Arial"/>
          <w:b/>
          <w:lang w:val="es-MX" w:eastAsia="es-MX"/>
        </w:rPr>
      </w:pPr>
    </w:p>
    <w:p w14:paraId="5F79009F" w14:textId="77777777" w:rsidR="008A19CC" w:rsidRDefault="008A19CC" w:rsidP="008A19CC">
      <w:pPr>
        <w:spacing w:after="0" w:line="240" w:lineRule="auto"/>
        <w:contextualSpacing/>
        <w:jc w:val="both"/>
        <w:rPr>
          <w:rFonts w:ascii="Verdana" w:eastAsia="Calibri" w:hAnsi="Verdana" w:cs="Arial"/>
          <w:b/>
          <w:lang w:val="es-MX" w:eastAsia="es-MX"/>
        </w:rPr>
      </w:pPr>
      <w:r w:rsidRPr="00904AD4">
        <w:rPr>
          <w:rFonts w:ascii="Verdana" w:eastAsia="Calibri" w:hAnsi="Verdana" w:cs="Arial"/>
          <w:b/>
          <w:lang w:val="es-MX" w:eastAsia="es-MX"/>
        </w:rPr>
        <w:t xml:space="preserve">LEY DE GARANTÍAS ELECTORALES – Prohibiciones </w:t>
      </w:r>
    </w:p>
    <w:p w14:paraId="4019BFA9" w14:textId="77777777" w:rsidR="008A19CC" w:rsidRDefault="008A19CC" w:rsidP="008A19CC">
      <w:pPr>
        <w:spacing w:after="0" w:line="240" w:lineRule="auto"/>
        <w:contextualSpacing/>
        <w:jc w:val="both"/>
        <w:rPr>
          <w:rFonts w:ascii="Verdana" w:eastAsia="Calibri" w:hAnsi="Verdana" w:cs="Arial"/>
          <w:b/>
          <w:lang w:val="es-MX" w:eastAsia="es-MX"/>
        </w:rPr>
      </w:pPr>
    </w:p>
    <w:p w14:paraId="36DA7F73" w14:textId="77777777" w:rsidR="008A19CC" w:rsidRPr="005C0AEA" w:rsidRDefault="008A19CC" w:rsidP="008A19CC">
      <w:pPr>
        <w:spacing w:after="0" w:line="240" w:lineRule="auto"/>
        <w:contextualSpacing/>
        <w:jc w:val="both"/>
        <w:rPr>
          <w:rFonts w:ascii="Verdana" w:eastAsia="Calibri" w:hAnsi="Verdana" w:cs="Arial"/>
          <w:b/>
          <w:lang w:val="es-MX" w:eastAsia="es-MX"/>
        </w:rPr>
      </w:pPr>
      <w:r>
        <w:rPr>
          <w:rFonts w:ascii="Verdana" w:eastAsia="Arial" w:hAnsi="Verdana" w:cs="Arial"/>
          <w:sz w:val="20"/>
          <w:szCs w:val="20"/>
          <w:lang w:val="es-ES" w:eastAsia="es-ES" w:bidi="es-ES"/>
        </w:rPr>
        <w:t xml:space="preserve">[…] </w:t>
      </w:r>
      <w:r w:rsidRPr="00DC3470">
        <w:rPr>
          <w:rFonts w:ascii="Verdana" w:eastAsia="Arial" w:hAnsi="Verdana" w:cs="Arial"/>
          <w:sz w:val="20"/>
          <w:szCs w:val="20"/>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77583C6F" w14:textId="77777777" w:rsidR="008A19CC" w:rsidRDefault="008A19CC" w:rsidP="008A19CC">
      <w:pPr>
        <w:spacing w:after="0" w:line="240" w:lineRule="auto"/>
        <w:jc w:val="both"/>
        <w:rPr>
          <w:rFonts w:ascii="Verdana" w:eastAsia="Arial" w:hAnsi="Verdana" w:cs="Arial"/>
          <w:sz w:val="20"/>
          <w:szCs w:val="20"/>
          <w:lang w:val="es-ES" w:eastAsia="es-ES" w:bidi="es-ES"/>
        </w:rPr>
      </w:pPr>
    </w:p>
    <w:p w14:paraId="0F13707A" w14:textId="77777777" w:rsidR="008A19CC" w:rsidRPr="00DC3470" w:rsidRDefault="008A19CC" w:rsidP="008A19CC">
      <w:pPr>
        <w:spacing w:after="0" w:line="240" w:lineRule="auto"/>
        <w:jc w:val="both"/>
        <w:rPr>
          <w:rFonts w:ascii="Verdana" w:eastAsia="Arial" w:hAnsi="Verdana" w:cs="Arial"/>
          <w:sz w:val="20"/>
          <w:szCs w:val="20"/>
          <w:lang w:val="es-ES" w:eastAsia="es-ES" w:bidi="es-ES"/>
        </w:rPr>
      </w:pPr>
      <w:r w:rsidRPr="00DC3470">
        <w:rPr>
          <w:rFonts w:ascii="Verdana" w:eastAsia="Arial" w:hAnsi="Verdana" w:cs="Arial"/>
          <w:sz w:val="20"/>
          <w:szCs w:val="20"/>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7CEBF6D" w14:textId="77777777" w:rsidR="008A19CC" w:rsidRDefault="008A19CC" w:rsidP="008A19CC">
      <w:pPr>
        <w:spacing w:after="0" w:line="240" w:lineRule="auto"/>
        <w:jc w:val="both"/>
        <w:rPr>
          <w:rFonts w:ascii="Verdana" w:eastAsia="Calibri" w:hAnsi="Verdana" w:cs="Arial"/>
          <w:sz w:val="20"/>
          <w:szCs w:val="20"/>
        </w:rPr>
      </w:pPr>
    </w:p>
    <w:p w14:paraId="5192A0E6" w14:textId="77777777" w:rsidR="008A19CC" w:rsidRPr="00DC3470" w:rsidRDefault="008A19CC" w:rsidP="008A19CC">
      <w:pPr>
        <w:spacing w:after="0" w:line="240" w:lineRule="auto"/>
        <w:jc w:val="both"/>
        <w:rPr>
          <w:rFonts w:ascii="Verdana" w:eastAsia="Calibri" w:hAnsi="Verdana" w:cs="Arial"/>
          <w:sz w:val="20"/>
          <w:szCs w:val="20"/>
        </w:rPr>
      </w:pPr>
      <w:r w:rsidRPr="00DC3470">
        <w:rPr>
          <w:rFonts w:ascii="Verdana" w:eastAsia="Calibri" w:hAnsi="Verdana" w:cs="Arial"/>
          <w:sz w:val="20"/>
          <w:szCs w:val="20"/>
        </w:rPr>
        <w:t>Por un lado, el artículo 33 de la Ley 996 de 2005 prohíbe “</w:t>
      </w:r>
      <w:r w:rsidRPr="00DC3470">
        <w:rPr>
          <w:rFonts w:ascii="Verdana" w:eastAsia="Calibri" w:hAnsi="Verdana" w:cs="Arial"/>
          <w:bCs/>
          <w:sz w:val="20"/>
          <w:szCs w:val="20"/>
        </w:rPr>
        <w:t xml:space="preserve">(…) </w:t>
      </w:r>
      <w:r w:rsidRPr="00DC3470">
        <w:rPr>
          <w:rFonts w:ascii="Verdana" w:eastAsia="Calibri" w:hAnsi="Verdana" w:cs="Arial"/>
          <w:sz w:val="20"/>
          <w:szCs w:val="20"/>
        </w:rPr>
        <w:t>la contratación directa por parte de todos los entes del Estado</w:t>
      </w:r>
      <w:r w:rsidRPr="00DC3470">
        <w:rPr>
          <w:rFonts w:ascii="Verdana" w:eastAsia="Calibri" w:hAnsi="Verdana" w:cs="Arial"/>
          <w:bCs/>
          <w:sz w:val="20"/>
          <w:szCs w:val="20"/>
        </w:rPr>
        <w:t>”</w:t>
      </w:r>
      <w:r w:rsidRPr="00DC3470">
        <w:rPr>
          <w:rFonts w:ascii="Verdana" w:eastAsia="Calibri" w:hAnsi="Verdana" w:cs="Arial"/>
          <w:sz w:val="20"/>
          <w:szCs w:val="20"/>
        </w:rPr>
        <w:t xml:space="preserve"> durante los cuatro (4) meses anteriores a las elecciones presidenciales, salvo </w:t>
      </w:r>
      <w:r w:rsidRPr="00DC3470">
        <w:rPr>
          <w:rFonts w:ascii="Verdana" w:eastAsia="Calibri" w:hAnsi="Verdana" w:cs="Arial"/>
          <w:bCs/>
          <w:sz w:val="20"/>
          <w:szCs w:val="20"/>
        </w:rPr>
        <w:t xml:space="preserve">“[…] </w:t>
      </w:r>
      <w:r w:rsidRPr="00DC3470">
        <w:rPr>
          <w:rFonts w:ascii="Verdana" w:eastAsia="Calibri" w:hAnsi="Verdana" w:cs="Arial"/>
          <w:sz w:val="20"/>
          <w:szCs w:val="20"/>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DC3470">
        <w:rPr>
          <w:rFonts w:ascii="Verdana" w:eastAsia="Calibri" w:hAnsi="Verdana" w:cs="Arial"/>
          <w:bCs/>
          <w:sz w:val="20"/>
          <w:szCs w:val="20"/>
        </w:rPr>
        <w:t>”</w:t>
      </w:r>
      <w:r w:rsidRPr="00DC3470">
        <w:rPr>
          <w:rFonts w:ascii="Verdana" w:eastAsia="Calibri" w:hAnsi="Verdana" w:cs="Arial"/>
          <w:sz w:val="20"/>
          <w:szCs w:val="20"/>
        </w:rPr>
        <w:t>.</w:t>
      </w:r>
    </w:p>
    <w:p w14:paraId="01336B67" w14:textId="77777777" w:rsidR="008A19CC" w:rsidRDefault="008A19CC" w:rsidP="008A19CC">
      <w:pPr>
        <w:widowControl w:val="0"/>
        <w:autoSpaceDE w:val="0"/>
        <w:autoSpaceDN w:val="0"/>
        <w:spacing w:after="0" w:line="240" w:lineRule="auto"/>
        <w:jc w:val="both"/>
        <w:rPr>
          <w:rFonts w:ascii="Verdana" w:eastAsia="Calibri" w:hAnsi="Verdana" w:cs="Arial"/>
          <w:sz w:val="20"/>
          <w:szCs w:val="20"/>
        </w:rPr>
      </w:pPr>
    </w:p>
    <w:p w14:paraId="2CAC0BB6"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r w:rsidRPr="00DC3470">
        <w:rPr>
          <w:rFonts w:ascii="Verdana" w:eastAsia="Calibri" w:hAnsi="Verdana" w:cs="Arial"/>
          <w:sz w:val="20"/>
          <w:szCs w:val="20"/>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DC3470">
        <w:rPr>
          <w:rFonts w:ascii="Verdana" w:eastAsia="Calibri" w:hAnsi="Verdana" w:cs="Arial"/>
          <w:bCs/>
          <w:sz w:val="20"/>
          <w:szCs w:val="20"/>
        </w:rPr>
        <w:t xml:space="preserve">“(…) </w:t>
      </w:r>
      <w:r w:rsidRPr="00DC3470">
        <w:rPr>
          <w:rFonts w:ascii="Verdana" w:eastAsia="Calibri" w:hAnsi="Verdana" w:cs="Arial"/>
          <w:sz w:val="20"/>
          <w:szCs w:val="20"/>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DC3470">
        <w:rPr>
          <w:rFonts w:ascii="Verdana" w:eastAsia="Calibri" w:hAnsi="Verdana" w:cs="Arial"/>
          <w:bCs/>
          <w:sz w:val="20"/>
          <w:szCs w:val="20"/>
        </w:rPr>
        <w:t>”</w:t>
      </w:r>
      <w:r w:rsidRPr="00DC3470">
        <w:rPr>
          <w:rFonts w:ascii="Verdana" w:eastAsia="Calibri" w:hAnsi="Verdana" w:cs="Arial"/>
          <w:sz w:val="20"/>
          <w:szCs w:val="20"/>
        </w:rPr>
        <w:t>.</w:t>
      </w:r>
      <w:r w:rsidRPr="00DC3470">
        <w:rPr>
          <w:rFonts w:ascii="Verdana" w:eastAsia="Arial" w:hAnsi="Verdana" w:cs="Arial"/>
          <w:sz w:val="20"/>
          <w:szCs w:val="20"/>
          <w:lang w:val="es-ES" w:eastAsia="es-ES" w:bidi="es-ES"/>
        </w:rPr>
        <w:t xml:space="preserve"> </w:t>
      </w:r>
    </w:p>
    <w:p w14:paraId="5F4A0EEC"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p>
    <w:p w14:paraId="372B55DB"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MX" w:eastAsia="es-ES" w:bidi="es-ES"/>
        </w:rPr>
      </w:pPr>
      <w:r w:rsidRPr="00904AD4">
        <w:rPr>
          <w:rFonts w:ascii="Verdana" w:eastAsia="Calibri" w:hAnsi="Verdana" w:cs="Arial"/>
          <w:b/>
          <w:lang w:val="es-MX"/>
        </w:rPr>
        <w:t xml:space="preserve">LEY DE GARANTÍAS ELECTORALES ─ Prohibición artículo 33 ‒ Contratación directa ‒ Alcance </w:t>
      </w:r>
    </w:p>
    <w:p w14:paraId="148973C0"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MX" w:eastAsia="es-ES" w:bidi="es-ES"/>
        </w:rPr>
      </w:pPr>
    </w:p>
    <w:p w14:paraId="782A4146"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r w:rsidRPr="005C0AEA">
        <w:rPr>
          <w:rFonts w:ascii="Verdana" w:hAnsi="Verdana" w:cs="Arial"/>
          <w:bCs/>
          <w:sz w:val="20"/>
          <w:szCs w:val="20"/>
          <w:lang w:eastAsia="x-none"/>
        </w:rPr>
        <w:t xml:space="preserve">El ámbito material de la prohibición contenida en el artículo 33 de la ley 996 de 2005 </w:t>
      </w:r>
      <w:r w:rsidRPr="005C0AEA">
        <w:rPr>
          <w:rFonts w:ascii="Verdana" w:hAnsi="Verdana" w:cs="Arial"/>
          <w:bCs/>
          <w:sz w:val="20"/>
          <w:szCs w:val="20"/>
          <w:lang w:eastAsia="x-none"/>
        </w:rPr>
        <w:lastRenderedPageBreak/>
        <w:t xml:space="preserve">está delimitado por la expresión </w:t>
      </w:r>
      <w:r w:rsidRPr="005C0AEA">
        <w:rPr>
          <w:rFonts w:ascii="Verdana" w:eastAsia="Calibri" w:hAnsi="Verdana" w:cs="Arial"/>
          <w:bCs/>
          <w:i/>
          <w:iCs/>
          <w:sz w:val="20"/>
          <w:szCs w:val="20"/>
        </w:rPr>
        <w:t>“</w:t>
      </w:r>
      <w:r w:rsidRPr="005C0AEA">
        <w:rPr>
          <w:rFonts w:ascii="Verdana" w:hAnsi="Verdana" w:cs="Arial"/>
          <w:bCs/>
          <w:i/>
          <w:iCs/>
          <w:sz w:val="20"/>
          <w:szCs w:val="20"/>
          <w:lang w:eastAsia="x-none"/>
        </w:rPr>
        <w:t>queda prohibida la contratación directa</w:t>
      </w:r>
      <w:r w:rsidRPr="005C0AEA">
        <w:rPr>
          <w:rFonts w:ascii="Verdana" w:hAnsi="Verdana" w:cs="Arial"/>
          <w:sz w:val="20"/>
          <w:szCs w:val="20"/>
        </w:rPr>
        <w:t>”</w:t>
      </w:r>
      <w:r w:rsidRPr="005C0AEA">
        <w:rPr>
          <w:rFonts w:ascii="Verdana" w:hAnsi="Verdana" w:cs="Arial"/>
          <w:bCs/>
          <w:sz w:val="20"/>
          <w:szCs w:val="20"/>
          <w:lang w:eastAsia="x-none"/>
        </w:rPr>
        <w:t>.</w:t>
      </w:r>
    </w:p>
    <w:p w14:paraId="081700EF" w14:textId="77777777" w:rsidR="008A19CC" w:rsidRDefault="008A19CC" w:rsidP="008A19CC">
      <w:pPr>
        <w:widowControl w:val="0"/>
        <w:autoSpaceDE w:val="0"/>
        <w:autoSpaceDN w:val="0"/>
        <w:spacing w:after="0" w:line="240" w:lineRule="auto"/>
        <w:jc w:val="both"/>
        <w:rPr>
          <w:rFonts w:ascii="Verdana" w:eastAsia="Times New Roman" w:hAnsi="Verdana" w:cs="Arial"/>
          <w:b/>
          <w:lang w:eastAsia="es-CO"/>
        </w:rPr>
      </w:pPr>
    </w:p>
    <w:p w14:paraId="758B96E1"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r w:rsidRPr="00904AD4">
        <w:rPr>
          <w:rFonts w:ascii="Verdana" w:eastAsia="Times New Roman" w:hAnsi="Verdana" w:cs="Arial"/>
          <w:b/>
          <w:lang w:eastAsia="es-CO"/>
        </w:rPr>
        <w:t xml:space="preserve">LEY DE GARANTÍAS ELECTORALES </w:t>
      </w:r>
      <w:r w:rsidRPr="00904AD4">
        <w:rPr>
          <w:rFonts w:ascii="Verdana" w:eastAsia="Calibri" w:hAnsi="Verdana" w:cs="Arial"/>
          <w:b/>
          <w:lang w:val="es-MX"/>
        </w:rPr>
        <w:t xml:space="preserve">─ Prohibición artículo 33 ‒ </w:t>
      </w:r>
      <w:r w:rsidRPr="00904AD4">
        <w:rPr>
          <w:rFonts w:ascii="Verdana" w:eastAsia="Times New Roman" w:hAnsi="Verdana" w:cs="Arial"/>
          <w:b/>
          <w:lang w:eastAsia="es-CO"/>
        </w:rPr>
        <w:t xml:space="preserve">Excepciones </w:t>
      </w:r>
    </w:p>
    <w:p w14:paraId="07282F93"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p>
    <w:p w14:paraId="2BB5DB5E"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r w:rsidRPr="005C0AEA">
        <w:rPr>
          <w:rFonts w:ascii="Verdana" w:hAnsi="Verdana" w:cs="Arial"/>
          <w:sz w:val="20"/>
          <w:szCs w:val="20"/>
          <w:lang w:eastAsia="x-none"/>
        </w:rPr>
        <w:t xml:space="preserve">[…] la prohibición del artículo 33 de la Ley de Garantías Electorales se refiere a </w:t>
      </w:r>
      <w:r w:rsidRPr="005C0AEA">
        <w:rPr>
          <w:rFonts w:ascii="Verdana" w:hAnsi="Verdana" w:cs="Arial"/>
          <w:sz w:val="20"/>
          <w:szCs w:val="20"/>
          <w:lang w:eastAsia="en-GB"/>
        </w:rPr>
        <w:t>“</w:t>
      </w:r>
      <w:r w:rsidRPr="005C0AEA">
        <w:rPr>
          <w:rFonts w:ascii="Verdana" w:hAnsi="Verdana" w:cs="Arial"/>
          <w:sz w:val="20"/>
          <w:szCs w:val="20"/>
          <w:lang w:eastAsia="x-none"/>
        </w:rPr>
        <w:t>cualquier sistema que no implique convocatoria pública y posibilidad de pluralidad de oferentes</w:t>
      </w:r>
      <w:r w:rsidRPr="005C0AEA">
        <w:rPr>
          <w:rFonts w:ascii="Verdana" w:hAnsi="Verdana" w:cs="Arial"/>
          <w:sz w:val="20"/>
          <w:szCs w:val="20"/>
          <w:lang w:eastAsia="en-GB"/>
        </w:rPr>
        <w:t>”</w:t>
      </w:r>
      <w:r w:rsidRPr="005C0AEA">
        <w:rPr>
          <w:rFonts w:ascii="Verdana" w:hAnsi="Verdana" w:cs="Arial"/>
          <w:sz w:val="20"/>
          <w:szCs w:val="20"/>
          <w:lang w:eastAsia="x-none"/>
        </w:rPr>
        <w:t>, por lo que excluye las demás modalidades de contratación previstas en la Ley 1150 de 2007.</w:t>
      </w:r>
    </w:p>
    <w:p w14:paraId="7AAD6B21"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p>
    <w:p w14:paraId="69F3C3DA"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r w:rsidRPr="00904AD4">
        <w:rPr>
          <w:rFonts w:ascii="Verdana" w:eastAsia="Times New Roman" w:hAnsi="Verdana" w:cs="Arial"/>
          <w:b/>
          <w:lang w:eastAsia="es-CO"/>
        </w:rPr>
        <w:t xml:space="preserve">LEY DE GARANTÍAS ELECTORALES ‒ </w:t>
      </w:r>
      <w:r w:rsidRPr="00904AD4">
        <w:rPr>
          <w:rFonts w:ascii="Verdana" w:eastAsia="Times New Roman" w:hAnsi="Verdana" w:cs="Arial"/>
          <w:b/>
          <w:lang w:val="es-ES" w:eastAsia="es-CO"/>
        </w:rPr>
        <w:t xml:space="preserve">Prohibición del artículo 33 </w:t>
      </w:r>
      <w:r w:rsidRPr="00904AD4">
        <w:rPr>
          <w:rFonts w:ascii="Verdana" w:eastAsia="Times New Roman" w:hAnsi="Verdana" w:cs="Arial"/>
          <w:b/>
          <w:lang w:eastAsia="es-CO"/>
        </w:rPr>
        <w:t xml:space="preserve">‒ Destinatarios </w:t>
      </w:r>
    </w:p>
    <w:p w14:paraId="47AD6D91"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eastAsia="es-ES" w:bidi="es-ES"/>
        </w:rPr>
      </w:pPr>
    </w:p>
    <w:p w14:paraId="635138AD"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r w:rsidRPr="005C0AEA">
        <w:rPr>
          <w:rFonts w:ascii="Verdana" w:hAnsi="Verdana" w:cs="Arial"/>
          <w:color w:val="000000" w:themeColor="text1"/>
          <w:sz w:val="20"/>
          <w:szCs w:val="20"/>
          <w:lang w:val="es-MX"/>
        </w:rPr>
        <w:t>Ahora bien, en relación con los destinatarios de las restricciones, el artículo 33 de la Ley 996 de 2005 los señala expresamente, en el sentido de que son “</w:t>
      </w:r>
      <w:r w:rsidRPr="005C0AEA">
        <w:rPr>
          <w:rFonts w:ascii="Verdana" w:hAnsi="Verdana" w:cs="Arial"/>
          <w:i/>
          <w:color w:val="000000" w:themeColor="text1"/>
          <w:sz w:val="20"/>
          <w:szCs w:val="20"/>
          <w:lang w:val="es-MX"/>
        </w:rPr>
        <w:t>todos los entes del Estado</w:t>
      </w:r>
      <w:r w:rsidRPr="005C0AEA">
        <w:rPr>
          <w:rFonts w:ascii="Verdana" w:hAnsi="Verdana" w:cs="Arial"/>
          <w:color w:val="000000" w:themeColor="text1"/>
          <w:sz w:val="20"/>
          <w:szCs w:val="20"/>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3DF83F5B"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p>
    <w:p w14:paraId="77A35F38"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r w:rsidRPr="00904AD4">
        <w:rPr>
          <w:rFonts w:ascii="Verdana" w:eastAsia="Times New Roman" w:hAnsi="Verdana" w:cs="Arial"/>
          <w:b/>
          <w:lang w:val="es-ES" w:eastAsia="es-CO" w:bidi="es-ES"/>
        </w:rPr>
        <w:t xml:space="preserve">EMPRESAS INDUSTRIALES Y COMERCIALES DEL ESTADO </w:t>
      </w:r>
      <w:r w:rsidRPr="00904AD4">
        <w:rPr>
          <w:rFonts w:ascii="Verdana" w:eastAsia="Calibri" w:hAnsi="Verdana" w:cs="Arial"/>
          <w:b/>
          <w:lang w:val="es-ES" w:eastAsia="es-MX"/>
        </w:rPr>
        <w:t xml:space="preserve">‒ Ley de garantías electorales </w:t>
      </w:r>
    </w:p>
    <w:p w14:paraId="5188ED64" w14:textId="77777777" w:rsidR="008A19CC"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p>
    <w:p w14:paraId="0D07ED86" w14:textId="77777777" w:rsidR="008A19CC" w:rsidRPr="00CE0712" w:rsidRDefault="008A19CC" w:rsidP="008A19CC">
      <w:pPr>
        <w:widowControl w:val="0"/>
        <w:autoSpaceDE w:val="0"/>
        <w:autoSpaceDN w:val="0"/>
        <w:spacing w:after="0" w:line="240" w:lineRule="auto"/>
        <w:jc w:val="both"/>
        <w:rPr>
          <w:rFonts w:ascii="Verdana" w:eastAsia="Arial" w:hAnsi="Verdana" w:cs="Arial"/>
          <w:sz w:val="20"/>
          <w:szCs w:val="20"/>
          <w:lang w:val="es-ES" w:eastAsia="es-ES" w:bidi="es-ES"/>
        </w:rPr>
      </w:pPr>
      <w:r w:rsidRPr="005C0AEA">
        <w:rPr>
          <w:rFonts w:ascii="Verdana" w:eastAsia="Calibri" w:hAnsi="Verdana" w:cs="Arial"/>
          <w:bCs/>
          <w:sz w:val="20"/>
          <w:szCs w:val="20"/>
          <w:lang w:val="es-ES" w:eastAsia="es-MX"/>
        </w:rPr>
        <w:t xml:space="preserve">[…] </w:t>
      </w:r>
      <w:r w:rsidRPr="005C0AEA">
        <w:rPr>
          <w:rFonts w:ascii="Verdana" w:hAnsi="Verdana" w:cs="Arial"/>
          <w:bCs/>
          <w:color w:val="000000" w:themeColor="text1"/>
          <w:sz w:val="20"/>
          <w:szCs w:val="20"/>
          <w:lang w:val="es-MX"/>
        </w:rPr>
        <w:t>“</w:t>
      </w:r>
      <w:r w:rsidRPr="005C0AEA">
        <w:rPr>
          <w:rFonts w:ascii="Verdana" w:hAnsi="Verdana" w:cs="Arial"/>
          <w:color w:val="000000" w:themeColor="text1"/>
          <w:sz w:val="20"/>
          <w:szCs w:val="20"/>
          <w:lang w:val="es-MX"/>
        </w:rPr>
        <w:t>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p>
    <w:p w14:paraId="042FD924" w14:textId="77777777" w:rsidR="008A19CC" w:rsidRPr="005C0AEA" w:rsidRDefault="008A19CC" w:rsidP="008A19CC">
      <w:pPr>
        <w:spacing w:after="0" w:line="240" w:lineRule="auto"/>
        <w:contextualSpacing/>
        <w:jc w:val="both"/>
        <w:rPr>
          <w:rFonts w:ascii="Verdana" w:hAnsi="Verdana" w:cs="Arial"/>
          <w:color w:val="000000" w:themeColor="text1"/>
          <w:sz w:val="20"/>
          <w:szCs w:val="20"/>
          <w:lang w:val="es-MX"/>
        </w:rPr>
      </w:pPr>
    </w:p>
    <w:p w14:paraId="3AA9FB0B" w14:textId="77777777" w:rsidR="008A19CC" w:rsidRPr="005C0AEA" w:rsidRDefault="008A19CC" w:rsidP="008A19CC">
      <w:pPr>
        <w:spacing w:after="0" w:line="240" w:lineRule="auto"/>
        <w:jc w:val="both"/>
        <w:rPr>
          <w:rFonts w:ascii="Verdana" w:hAnsi="Verdana" w:cs="Arial"/>
          <w:color w:val="000000" w:themeColor="text1"/>
          <w:sz w:val="20"/>
          <w:szCs w:val="20"/>
          <w:lang w:eastAsia="es-CO"/>
        </w:rPr>
      </w:pPr>
      <w:r w:rsidRPr="005C0AEA">
        <w:rPr>
          <w:rFonts w:ascii="Verdana" w:eastAsia="Calibri" w:hAnsi="Verdana" w:cs="Arial"/>
          <w:bCs/>
          <w:sz w:val="20"/>
          <w:szCs w:val="20"/>
          <w:lang w:val="es-ES" w:eastAsia="es-MX"/>
        </w:rPr>
        <w:t>[...]</w:t>
      </w:r>
      <w:r w:rsidRPr="005C0AEA">
        <w:rPr>
          <w:rFonts w:ascii="Verdana" w:eastAsia="Calibri" w:hAnsi="Verdana" w:cs="Arial"/>
          <w:b/>
          <w:sz w:val="20"/>
          <w:szCs w:val="20"/>
          <w:lang w:val="es-ES" w:eastAsia="es-MX"/>
        </w:rPr>
        <w:t xml:space="preserve"> </w:t>
      </w:r>
      <w:r w:rsidRPr="005C0AEA">
        <w:rPr>
          <w:rFonts w:ascii="Verdana" w:hAnsi="Verdana" w:cs="Arial"/>
          <w:color w:val="000000" w:themeColor="text1"/>
          <w:sz w:val="20"/>
          <w:szCs w:val="20"/>
          <w:lang w:val="es-MX"/>
        </w:rPr>
        <w:t>De acuerdo con estos pronunciamientos de la Sala de Consulta y Servicio Civil del Consejo de Estado, la prohibición de la contratación directa también aplica frente a las entidades exceptuadas del Estatuto General de Contratación de la Administración Pública y que se rigen en materia contractual por el derecho privado. Sin embargo, señaló que algunas de estas entidades, como sucede con las empresas de servicios públicos domiciliarios, los establecimientos de crédito, las sociedades de servicios financieros y las entidades aseguradoras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5C0AEA">
        <w:rPr>
          <w:rFonts w:ascii="Verdana" w:hAnsi="Verdana" w:cs="Arial"/>
          <w:color w:val="000000" w:themeColor="text1"/>
          <w:sz w:val="20"/>
          <w:szCs w:val="20"/>
          <w:lang w:eastAsia="es-CO"/>
        </w:rPr>
        <w:t xml:space="preserve"> </w:t>
      </w:r>
    </w:p>
    <w:p w14:paraId="26109AFB" w14:textId="77777777" w:rsidR="008A19CC" w:rsidRPr="005C0AEA" w:rsidRDefault="008A19CC" w:rsidP="008A19CC">
      <w:pPr>
        <w:spacing w:after="0" w:line="240" w:lineRule="auto"/>
        <w:ind w:firstLine="709"/>
        <w:jc w:val="both"/>
        <w:rPr>
          <w:rFonts w:ascii="Verdana" w:hAnsi="Verdana" w:cs="Arial"/>
          <w:color w:val="000000" w:themeColor="text1"/>
          <w:sz w:val="20"/>
          <w:szCs w:val="20"/>
          <w:lang w:eastAsia="es-CO"/>
        </w:rPr>
      </w:pPr>
    </w:p>
    <w:p w14:paraId="66165BAF" w14:textId="77777777" w:rsidR="008A19CC" w:rsidRDefault="008A19CC" w:rsidP="008A19CC">
      <w:pPr>
        <w:spacing w:after="0" w:line="240" w:lineRule="auto"/>
        <w:jc w:val="both"/>
        <w:rPr>
          <w:rFonts w:ascii="Verdana" w:hAnsi="Verdana" w:cs="Arial"/>
          <w:color w:val="000000" w:themeColor="text1"/>
          <w:sz w:val="20"/>
          <w:szCs w:val="20"/>
          <w:lang w:eastAsia="es-CO"/>
        </w:rPr>
      </w:pPr>
      <w:r w:rsidRPr="005C0AEA">
        <w:rPr>
          <w:rFonts w:ascii="Verdana" w:hAnsi="Verdana" w:cs="Arial"/>
          <w:color w:val="000000" w:themeColor="text1"/>
          <w:sz w:val="20"/>
          <w:szCs w:val="20"/>
          <w:lang w:eastAsia="es-CO"/>
        </w:rPr>
        <w:t>Sin perjuicio de estos pronunciamientos de la Sala de Consulta y Servicio Civil</w:t>
      </w:r>
      <w:r w:rsidRPr="005C0AEA">
        <w:rPr>
          <w:rFonts w:ascii="Verdana" w:hAnsi="Verdana" w:cs="Arial"/>
          <w:color w:val="000000" w:themeColor="text1"/>
          <w:sz w:val="20"/>
          <w:szCs w:val="20"/>
          <w:lang w:val="es-MX"/>
        </w:rPr>
        <w:t xml:space="preserve">, como la ha señalado esa misma Corporación, la restricción prevista en la Ley 996 de 2005 </w:t>
      </w:r>
      <w:r w:rsidRPr="005C0AEA">
        <w:rPr>
          <w:rFonts w:ascii="Verdana" w:hAnsi="Verdana" w:cs="Arial"/>
          <w:bCs/>
          <w:color w:val="000000" w:themeColor="text1"/>
          <w:sz w:val="20"/>
          <w:szCs w:val="20"/>
          <w:lang w:val="es-MX" w:eastAsia="x-none"/>
        </w:rPr>
        <w:t xml:space="preserve">cobija a cualquier entidad pública independiente del régimen jurídico, que pueda mediante la contratación directa romper el equilibrio entre los candidatos en desarrollo de las elecciones presidenciales. </w:t>
      </w:r>
      <w:r w:rsidRPr="005C0AEA">
        <w:rPr>
          <w:rFonts w:ascii="Verdana" w:hAnsi="Verdana" w:cs="Arial"/>
          <w:color w:val="000000" w:themeColor="text1"/>
          <w:sz w:val="20"/>
          <w:szCs w:val="20"/>
          <w:lang w:eastAsia="es-CO"/>
        </w:rPr>
        <w:t xml:space="preserve">En este sentido, respecto a su consulta, es pertinente señalar que las empresas industriales y comerciales del Estado en vigencia de la Ley de Garantías Electorales no podrán hacer contrataciones bajo la modalidad de contratación directa, </w:t>
      </w:r>
      <w:r w:rsidRPr="005C0AEA">
        <w:rPr>
          <w:rFonts w:ascii="Verdana" w:hAnsi="Verdana" w:cs="Arial"/>
          <w:color w:val="000000" w:themeColor="text1"/>
          <w:sz w:val="20"/>
          <w:szCs w:val="20"/>
          <w:lang w:val="es-MX"/>
        </w:rPr>
        <w:t xml:space="preserve">sino por mecanismos competitivos que impliquen convocatoria pública y la posibilidad de la existencia de pluralidad de oferentes. </w:t>
      </w:r>
    </w:p>
    <w:p w14:paraId="02C833E0" w14:textId="77777777" w:rsidR="008A19CC" w:rsidRDefault="008A19CC" w:rsidP="008A19CC">
      <w:pPr>
        <w:spacing w:after="0" w:line="240" w:lineRule="auto"/>
        <w:jc w:val="both"/>
        <w:rPr>
          <w:rFonts w:ascii="Verdana" w:hAnsi="Verdana" w:cs="Arial"/>
          <w:color w:val="000000" w:themeColor="text1"/>
          <w:sz w:val="20"/>
          <w:szCs w:val="20"/>
          <w:lang w:eastAsia="es-CO"/>
        </w:rPr>
      </w:pPr>
    </w:p>
    <w:p w14:paraId="557AD00C" w14:textId="77777777" w:rsidR="008A19CC" w:rsidRPr="00CE0712" w:rsidRDefault="008A19CC" w:rsidP="008A19CC">
      <w:pPr>
        <w:spacing w:after="0" w:line="240" w:lineRule="auto"/>
        <w:jc w:val="both"/>
        <w:rPr>
          <w:rFonts w:ascii="Verdana" w:hAnsi="Verdana" w:cs="Arial"/>
          <w:color w:val="000000" w:themeColor="text1"/>
          <w:sz w:val="20"/>
          <w:szCs w:val="20"/>
          <w:lang w:eastAsia="es-CO"/>
        </w:rPr>
      </w:pPr>
      <w:r w:rsidRPr="005C0AEA">
        <w:rPr>
          <w:rFonts w:ascii="Verdana" w:hAnsi="Verdana" w:cs="Arial"/>
          <w:color w:val="000000" w:themeColor="text1"/>
          <w:sz w:val="20"/>
          <w:szCs w:val="20"/>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638C34A0" w14:textId="77777777" w:rsidR="008A19CC" w:rsidRPr="005C0AEA" w:rsidRDefault="008A19CC" w:rsidP="008A19CC">
      <w:pPr>
        <w:spacing w:after="0" w:line="240" w:lineRule="auto"/>
        <w:ind w:firstLine="709"/>
        <w:jc w:val="both"/>
        <w:rPr>
          <w:rFonts w:ascii="Verdana" w:hAnsi="Verdana" w:cs="Arial"/>
          <w:color w:val="000000" w:themeColor="text1"/>
          <w:sz w:val="20"/>
          <w:szCs w:val="20"/>
          <w:lang w:val="es-MX"/>
        </w:rPr>
      </w:pPr>
    </w:p>
    <w:p w14:paraId="14CBCDEC" w14:textId="77777777" w:rsidR="008A19CC" w:rsidRPr="005C0AEA" w:rsidRDefault="008A19CC" w:rsidP="008A19CC">
      <w:pPr>
        <w:widowControl w:val="0"/>
        <w:autoSpaceDE w:val="0"/>
        <w:autoSpaceDN w:val="0"/>
        <w:spacing w:after="0" w:line="240" w:lineRule="auto"/>
        <w:jc w:val="both"/>
        <w:rPr>
          <w:rFonts w:ascii="Verdana" w:eastAsia="Times New Roman" w:hAnsi="Verdana" w:cs="Arial"/>
          <w:bCs/>
          <w:sz w:val="20"/>
          <w:szCs w:val="20"/>
          <w:lang w:val="es-ES" w:eastAsia="es-CO" w:bidi="es-ES"/>
        </w:rPr>
      </w:pPr>
      <w:r w:rsidRPr="005C0AEA">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5C0AEA">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5C0AEA">
        <w:rPr>
          <w:rFonts w:ascii="Verdana" w:eastAsia="Times New Roman" w:hAnsi="Verdana" w:cs="Arial"/>
          <w:bCs/>
          <w:sz w:val="20"/>
          <w:szCs w:val="20"/>
          <w:lang w:val="es-ES" w:eastAsia="es-CO" w:bidi="es-ES"/>
        </w:rPr>
        <w:t xml:space="preserve"> </w:t>
      </w:r>
    </w:p>
    <w:p w14:paraId="69A78A82" w14:textId="77777777" w:rsidR="008A19CC" w:rsidRPr="00904AD4" w:rsidRDefault="008A19CC" w:rsidP="008A19CC">
      <w:pPr>
        <w:spacing w:after="0" w:line="240" w:lineRule="auto"/>
        <w:contextualSpacing/>
        <w:jc w:val="both"/>
        <w:rPr>
          <w:rFonts w:ascii="Verdana" w:eastAsia="Calibri" w:hAnsi="Verdana" w:cs="Arial"/>
          <w:b/>
          <w:lang w:val="es-ES" w:eastAsia="es-MX"/>
        </w:rPr>
      </w:pPr>
    </w:p>
    <w:p w14:paraId="5B798AC5" w14:textId="77777777" w:rsidR="008A19CC" w:rsidRDefault="008A19CC" w:rsidP="008A19CC">
      <w:pPr>
        <w:rPr>
          <w:rFonts w:ascii="Verdana" w:hAnsi="Verdana"/>
          <w:sz w:val="20"/>
          <w:szCs w:val="20"/>
          <w:lang w:val="es-ES_tradnl"/>
        </w:rPr>
      </w:pPr>
    </w:p>
    <w:p w14:paraId="60CD96D5" w14:textId="77777777" w:rsidR="008A19CC" w:rsidRDefault="008A19CC" w:rsidP="008A19CC">
      <w:pPr>
        <w:rPr>
          <w:rFonts w:ascii="Verdana" w:hAnsi="Verdana"/>
          <w:sz w:val="20"/>
          <w:szCs w:val="20"/>
          <w:lang w:val="es-ES_tradnl"/>
        </w:rPr>
      </w:pPr>
    </w:p>
    <w:p w14:paraId="4A205F77" w14:textId="77777777" w:rsidR="008A19CC" w:rsidRPr="005F6BCE" w:rsidRDefault="008A19CC" w:rsidP="008A19CC">
      <w:pPr>
        <w:rPr>
          <w:rFonts w:ascii="Verdana" w:hAnsi="Verdana"/>
          <w:sz w:val="20"/>
          <w:szCs w:val="20"/>
          <w:lang w:val="es-ES_tradnl"/>
        </w:rPr>
      </w:pPr>
    </w:p>
    <w:p w14:paraId="56FB3C42" w14:textId="77777777" w:rsidR="008A19CC" w:rsidRPr="005F6BCE" w:rsidRDefault="008A19CC" w:rsidP="008A19CC">
      <w:pPr>
        <w:spacing w:after="0"/>
        <w:rPr>
          <w:rFonts w:ascii="Verdana" w:hAnsi="Verdana"/>
          <w:sz w:val="20"/>
          <w:szCs w:val="20"/>
        </w:rPr>
      </w:pPr>
    </w:p>
    <w:p w14:paraId="7F439C9E" w14:textId="77777777" w:rsidR="008A19CC" w:rsidRDefault="008A19CC" w:rsidP="008A19CC">
      <w:pPr>
        <w:spacing w:after="0"/>
        <w:rPr>
          <w:rFonts w:ascii="Verdana" w:hAnsi="Verdana"/>
          <w:sz w:val="20"/>
          <w:szCs w:val="20"/>
        </w:rPr>
      </w:pPr>
    </w:p>
    <w:p w14:paraId="5FDC6823" w14:textId="77777777" w:rsidR="008A19CC" w:rsidRDefault="008A19CC" w:rsidP="008A19CC">
      <w:pPr>
        <w:spacing w:after="0"/>
        <w:rPr>
          <w:rFonts w:ascii="Verdana" w:hAnsi="Verdana"/>
          <w:sz w:val="20"/>
          <w:szCs w:val="20"/>
        </w:rPr>
      </w:pPr>
    </w:p>
    <w:p w14:paraId="2593E19B" w14:textId="77777777" w:rsidR="008A19CC" w:rsidRDefault="008A19CC" w:rsidP="008A19CC">
      <w:pPr>
        <w:spacing w:after="0"/>
        <w:rPr>
          <w:rFonts w:ascii="Verdana" w:hAnsi="Verdana"/>
          <w:sz w:val="20"/>
          <w:szCs w:val="20"/>
        </w:rPr>
      </w:pPr>
    </w:p>
    <w:p w14:paraId="3542B773" w14:textId="77777777" w:rsidR="008A19CC" w:rsidRDefault="008A19CC" w:rsidP="008A19CC">
      <w:pPr>
        <w:spacing w:after="0"/>
        <w:rPr>
          <w:rFonts w:ascii="Verdana" w:hAnsi="Verdana"/>
          <w:sz w:val="20"/>
          <w:szCs w:val="20"/>
        </w:rPr>
      </w:pPr>
    </w:p>
    <w:p w14:paraId="5B847CD5" w14:textId="77777777" w:rsidR="008A19CC" w:rsidRDefault="008A19CC" w:rsidP="008A19CC">
      <w:pPr>
        <w:spacing w:after="0"/>
        <w:rPr>
          <w:rFonts w:ascii="Verdana" w:hAnsi="Verdana"/>
          <w:sz w:val="20"/>
          <w:szCs w:val="20"/>
        </w:rPr>
      </w:pPr>
    </w:p>
    <w:p w14:paraId="04B5F137" w14:textId="77777777" w:rsidR="008A19CC" w:rsidRDefault="008A19CC" w:rsidP="008A19CC">
      <w:pPr>
        <w:spacing w:after="0"/>
        <w:rPr>
          <w:rFonts w:ascii="Verdana" w:hAnsi="Verdana"/>
          <w:sz w:val="20"/>
          <w:szCs w:val="20"/>
        </w:rPr>
      </w:pPr>
    </w:p>
    <w:p w14:paraId="52F38BCB" w14:textId="77777777" w:rsidR="008A19CC" w:rsidRDefault="008A19CC" w:rsidP="008A19CC">
      <w:pPr>
        <w:spacing w:after="0"/>
        <w:rPr>
          <w:rFonts w:ascii="Verdana" w:hAnsi="Verdana"/>
          <w:sz w:val="20"/>
          <w:szCs w:val="20"/>
        </w:rPr>
      </w:pPr>
    </w:p>
    <w:p w14:paraId="6DF55EE5" w14:textId="202738E8" w:rsidR="008A19CC" w:rsidRPr="00E31648" w:rsidRDefault="008A19CC" w:rsidP="008A19CC">
      <w:pPr>
        <w:spacing w:after="0" w:line="240" w:lineRule="auto"/>
      </w:pPr>
      <w:r w:rsidRPr="00C562D4">
        <w:rPr>
          <w:rFonts w:ascii="Verdana" w:eastAsia="Calibri" w:hAnsi="Verdana" w:cs="Arial"/>
          <w:color w:val="000000" w:themeColor="text1"/>
        </w:rPr>
        <w:t xml:space="preserve">Bogotá D.C., </w:t>
      </w:r>
      <w:r>
        <w:rPr>
          <w:rFonts w:ascii="Verdana" w:eastAsia="Calibri" w:hAnsi="Verdana" w:cs="Arial"/>
          <w:color w:val="000000" w:themeColor="text1"/>
        </w:rPr>
        <w:t>1</w:t>
      </w:r>
      <w:r w:rsidR="00497F6E">
        <w:rPr>
          <w:rFonts w:ascii="Verdana" w:eastAsia="Calibri" w:hAnsi="Verdana" w:cs="Arial"/>
          <w:color w:val="000000" w:themeColor="text1"/>
        </w:rPr>
        <w:t>4</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mayo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794678AA" w14:textId="77777777" w:rsidR="008A19CC" w:rsidRDefault="008A19CC" w:rsidP="008A19CC">
      <w:pPr>
        <w:spacing w:after="0" w:line="240" w:lineRule="auto"/>
        <w:jc w:val="both"/>
        <w:rPr>
          <w:rFonts w:ascii="Verdana" w:eastAsia="Calibri" w:hAnsi="Verdana" w:cs="Arial"/>
          <w:color w:val="000000" w:themeColor="text1"/>
          <w:lang w:val="es-ES"/>
        </w:rPr>
      </w:pPr>
    </w:p>
    <w:p w14:paraId="64CAD320" w14:textId="787C556D" w:rsidR="00497F6E" w:rsidRDefault="00497F6E" w:rsidP="00497F6E">
      <w:pPr>
        <w:spacing w:after="0" w:line="240" w:lineRule="auto"/>
        <w:jc w:val="right"/>
        <w:rPr>
          <w:rFonts w:ascii="Verdana" w:eastAsia="Calibri" w:hAnsi="Verdana" w:cs="Arial"/>
          <w:color w:val="000000" w:themeColor="text1"/>
          <w:lang w:val="es-ES"/>
        </w:rPr>
      </w:pPr>
      <w:r>
        <w:rPr>
          <w:rFonts w:ascii="Verdana" w:eastAsia="Calibri" w:hAnsi="Verdana" w:cs="Arial"/>
          <w:noProof/>
          <w:color w:val="000000" w:themeColor="text1"/>
          <w:lang w:val="es-ES"/>
        </w:rPr>
        <w:drawing>
          <wp:inline distT="0" distB="0" distL="0" distR="0" wp14:anchorId="31A5680C" wp14:editId="0F74375B">
            <wp:extent cx="2295525" cy="752475"/>
            <wp:effectExtent l="0" t="0" r="9525" b="9525"/>
            <wp:docPr id="9703190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95525" cy="752475"/>
                    </a:xfrm>
                    <a:prstGeom prst="rect">
                      <a:avLst/>
                    </a:prstGeom>
                    <a:noFill/>
                    <a:ln>
                      <a:noFill/>
                    </a:ln>
                  </pic:spPr>
                </pic:pic>
              </a:graphicData>
            </a:graphic>
          </wp:inline>
        </w:drawing>
      </w:r>
    </w:p>
    <w:p w14:paraId="5D935CD3" w14:textId="77777777" w:rsidR="00497F6E" w:rsidRDefault="00497F6E" w:rsidP="008A19CC">
      <w:pPr>
        <w:spacing w:after="0" w:line="240" w:lineRule="auto"/>
        <w:jc w:val="both"/>
        <w:rPr>
          <w:rFonts w:ascii="Verdana" w:eastAsia="Calibri" w:hAnsi="Verdana" w:cs="Arial"/>
          <w:color w:val="000000" w:themeColor="text1"/>
          <w:lang w:val="es-ES"/>
        </w:rPr>
      </w:pPr>
    </w:p>
    <w:p w14:paraId="1F900D2B" w14:textId="77777777" w:rsidR="008A19CC" w:rsidRDefault="008A19CC" w:rsidP="008A19CC">
      <w:pPr>
        <w:spacing w:after="0" w:line="240" w:lineRule="auto"/>
        <w:jc w:val="both"/>
        <w:rPr>
          <w:rFonts w:ascii="Verdana" w:eastAsia="Calibri" w:hAnsi="Verdana" w:cs="Arial"/>
          <w:color w:val="000000" w:themeColor="text1"/>
          <w:lang w:val="es-ES" w:eastAsia="es-ES"/>
        </w:rPr>
      </w:pPr>
    </w:p>
    <w:p w14:paraId="7455E463" w14:textId="77777777" w:rsidR="008A19CC" w:rsidRPr="0046108F" w:rsidRDefault="008A19CC" w:rsidP="008A19CC">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p>
    <w:p w14:paraId="1E27ABE5" w14:textId="77777777" w:rsidR="008A19CC" w:rsidRDefault="008A19CC" w:rsidP="008A19CC">
      <w:pPr>
        <w:spacing w:after="0" w:line="240" w:lineRule="auto"/>
        <w:rPr>
          <w:rFonts w:ascii="Verdana" w:eastAsia="Calibri" w:hAnsi="Verdana" w:cs="Arial"/>
          <w:b/>
          <w:bCs/>
          <w:lang w:eastAsia="es-ES"/>
        </w:rPr>
      </w:pPr>
      <w:r w:rsidRPr="009F4DC5">
        <w:rPr>
          <w:rFonts w:ascii="Verdana" w:eastAsia="Calibri" w:hAnsi="Verdana" w:cs="Arial"/>
          <w:b/>
          <w:bCs/>
          <w:lang w:eastAsia="es-ES"/>
        </w:rPr>
        <w:t xml:space="preserve">ESTEBAN ANDRES ERASO SOLARTE </w:t>
      </w:r>
    </w:p>
    <w:p w14:paraId="72FA2277" w14:textId="77777777" w:rsidR="008A19CC" w:rsidRDefault="008A19CC" w:rsidP="008A19CC">
      <w:pPr>
        <w:spacing w:after="0" w:line="240" w:lineRule="auto"/>
        <w:rPr>
          <w:rFonts w:ascii="Verdana" w:eastAsia="Calibri" w:hAnsi="Verdana" w:cs="Arial"/>
          <w:lang w:val="es-ES" w:eastAsia="es-ES"/>
        </w:rPr>
      </w:pPr>
      <w:hyperlink r:id="rId11" w:history="1">
        <w:r w:rsidRPr="00D96203">
          <w:rPr>
            <w:rStyle w:val="Hipervnculo"/>
            <w:rFonts w:ascii="Verdana" w:eastAsia="Calibri" w:hAnsi="Verdana" w:cs="Arial"/>
            <w:lang w:eastAsia="es-ES"/>
          </w:rPr>
          <w:t>andressolarte99@gmail.com</w:t>
        </w:r>
      </w:hyperlink>
      <w:r>
        <w:rPr>
          <w:rFonts w:ascii="Verdana" w:eastAsia="Calibri" w:hAnsi="Verdana" w:cs="Arial"/>
          <w:lang w:eastAsia="es-ES"/>
        </w:rPr>
        <w:t xml:space="preserve"> </w:t>
      </w:r>
    </w:p>
    <w:p w14:paraId="01092ADE" w14:textId="77777777" w:rsidR="008A19CC" w:rsidRPr="006B17A7" w:rsidRDefault="008A19CC" w:rsidP="008A19CC">
      <w:pPr>
        <w:spacing w:after="0" w:line="240" w:lineRule="auto"/>
        <w:rPr>
          <w:rFonts w:ascii="Verdana" w:eastAsia="Calibri" w:hAnsi="Verdana" w:cs="Arial"/>
          <w:b/>
          <w:bCs/>
          <w:lang w:val="es-ES" w:eastAsia="es-ES"/>
        </w:rPr>
      </w:pPr>
      <w:r>
        <w:rPr>
          <w:rFonts w:ascii="Verdana" w:eastAsia="Calibri" w:hAnsi="Verdana" w:cs="Arial"/>
          <w:lang w:val="es-ES" w:eastAsia="es-ES"/>
        </w:rPr>
        <w:t>La Union (Nariño)</w:t>
      </w:r>
    </w:p>
    <w:p w14:paraId="57BE2F09" w14:textId="77777777" w:rsidR="008A19CC" w:rsidRPr="00CB7ABE" w:rsidRDefault="008A19CC" w:rsidP="008A19CC">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8A19CC" w:rsidRPr="00115E3D" w14:paraId="2C46CC6E" w14:textId="77777777" w:rsidTr="000B5BC1">
        <w:trPr>
          <w:trHeight w:val="615"/>
        </w:trPr>
        <w:tc>
          <w:tcPr>
            <w:tcW w:w="2270" w:type="dxa"/>
          </w:tcPr>
          <w:p w14:paraId="361F4270" w14:textId="77777777" w:rsidR="008A19CC" w:rsidRPr="00CB7ABE" w:rsidRDefault="008A19CC" w:rsidP="000B5BC1">
            <w:pPr>
              <w:jc w:val="both"/>
              <w:rPr>
                <w:rFonts w:ascii="Verdana" w:eastAsia="Calibri" w:hAnsi="Verdana" w:cs="Arial"/>
                <w:b/>
                <w:bCs/>
                <w:color w:val="000000" w:themeColor="text1"/>
                <w:lang w:eastAsia="es-ES_tradnl"/>
              </w:rPr>
            </w:pPr>
          </w:p>
        </w:tc>
        <w:tc>
          <w:tcPr>
            <w:tcW w:w="6547" w:type="dxa"/>
          </w:tcPr>
          <w:p w14:paraId="6844A3A4" w14:textId="77777777" w:rsidR="008A19CC" w:rsidRPr="008A209A" w:rsidRDefault="008A19CC" w:rsidP="000B5BC1">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527</w:t>
            </w:r>
            <w:r w:rsidRPr="008A209A">
              <w:rPr>
                <w:rFonts w:ascii="Verdana" w:eastAsia="Calibri" w:hAnsi="Verdana" w:cs="Arial"/>
                <w:b/>
                <w:bCs/>
                <w:color w:val="000000" w:themeColor="text1"/>
                <w:lang w:val="es-ES" w:eastAsia="es-ES"/>
              </w:rPr>
              <w:t xml:space="preserve"> de 2026</w:t>
            </w:r>
          </w:p>
        </w:tc>
      </w:tr>
      <w:tr w:rsidR="008A19CC" w:rsidRPr="007E403E" w14:paraId="2C8A501B" w14:textId="77777777" w:rsidTr="000B5BC1">
        <w:trPr>
          <w:trHeight w:val="1071"/>
        </w:trPr>
        <w:tc>
          <w:tcPr>
            <w:tcW w:w="2270" w:type="dxa"/>
          </w:tcPr>
          <w:p w14:paraId="331D697C" w14:textId="77777777" w:rsidR="008A19CC" w:rsidRPr="001B36DA" w:rsidRDefault="008A19CC" w:rsidP="000B5BC1">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0A648581" w14:textId="77777777" w:rsidR="008A19CC" w:rsidRPr="00F04657" w:rsidRDefault="008A19CC" w:rsidP="000B5BC1">
            <w:pPr>
              <w:contextualSpacing/>
              <w:jc w:val="both"/>
              <w:rPr>
                <w:rFonts w:ascii="Verdana" w:eastAsia="Calibri" w:hAnsi="Verdana" w:cs="Arial"/>
                <w:bCs/>
                <w:lang w:val="es-ES" w:eastAsia="es-MX"/>
              </w:rPr>
            </w:pPr>
            <w:r w:rsidRPr="00F04657">
              <w:rPr>
                <w:rFonts w:ascii="Verdana" w:eastAsia="Calibri" w:hAnsi="Verdana" w:cs="Arial"/>
                <w:bCs/>
                <w:lang w:val="es-MX" w:eastAsia="es-MX"/>
              </w:rPr>
              <w:t xml:space="preserve">LEY DE GARANTÍAS ELECTORALES – Naturaleza Jurídica / LEY DE GARANTÍAS ELECTORALES –  / </w:t>
            </w:r>
            <w:r w:rsidRPr="00F04657">
              <w:rPr>
                <w:rFonts w:ascii="Verdana" w:eastAsia="Calibri" w:hAnsi="Verdana" w:cs="Arial"/>
                <w:bCs/>
                <w:lang w:val="es-MX"/>
              </w:rPr>
              <w:t xml:space="preserve">LEY DE GARANTÍAS ELECTORALES ─ Prohibición artículo 33 ‒ Contratación directa ‒ Alcance / </w:t>
            </w:r>
            <w:r w:rsidRPr="00F04657">
              <w:rPr>
                <w:rFonts w:ascii="Verdana" w:eastAsia="Times New Roman" w:hAnsi="Verdana" w:cs="Arial"/>
                <w:bCs/>
                <w:lang w:eastAsia="es-CO"/>
              </w:rPr>
              <w:t xml:space="preserve">LEY DE GARANTÍAS ELECTORALES </w:t>
            </w:r>
            <w:r w:rsidRPr="00F04657">
              <w:rPr>
                <w:rFonts w:ascii="Verdana" w:eastAsia="Calibri" w:hAnsi="Verdana" w:cs="Arial"/>
                <w:bCs/>
                <w:lang w:val="es-MX"/>
              </w:rPr>
              <w:t xml:space="preserve">─ Prohibición artículo 33 ‒ </w:t>
            </w:r>
            <w:r w:rsidRPr="00F04657">
              <w:rPr>
                <w:rFonts w:ascii="Verdana" w:eastAsia="Times New Roman" w:hAnsi="Verdana" w:cs="Arial"/>
                <w:bCs/>
                <w:lang w:eastAsia="es-CO"/>
              </w:rPr>
              <w:t xml:space="preserve">Excepciones / LEY DE GARANTÍAS ELECTORALES ‒ </w:t>
            </w:r>
            <w:r w:rsidRPr="00F04657">
              <w:rPr>
                <w:rFonts w:ascii="Verdana" w:eastAsia="Times New Roman" w:hAnsi="Verdana" w:cs="Arial"/>
                <w:bCs/>
                <w:lang w:val="es-ES" w:eastAsia="es-CO"/>
              </w:rPr>
              <w:t xml:space="preserve">Prohibición del artículo 33 </w:t>
            </w:r>
            <w:r w:rsidRPr="00F04657">
              <w:rPr>
                <w:rFonts w:ascii="Verdana" w:eastAsia="Times New Roman" w:hAnsi="Verdana" w:cs="Arial"/>
                <w:bCs/>
                <w:lang w:eastAsia="es-CO"/>
              </w:rPr>
              <w:t xml:space="preserve">‒ Destinatarios / </w:t>
            </w:r>
            <w:r w:rsidRPr="00F04657">
              <w:rPr>
                <w:rFonts w:ascii="Verdana" w:eastAsia="Times New Roman" w:hAnsi="Verdana" w:cs="Arial"/>
                <w:bCs/>
                <w:lang w:val="es-ES" w:eastAsia="es-CO" w:bidi="es-ES"/>
              </w:rPr>
              <w:t xml:space="preserve">EMPRESAS INDUSTRIALES Y COMERCIALES DEL ESTADO </w:t>
            </w:r>
            <w:r w:rsidRPr="00F04657">
              <w:rPr>
                <w:rFonts w:ascii="Verdana" w:eastAsia="Calibri" w:hAnsi="Verdana" w:cs="Arial"/>
                <w:bCs/>
                <w:lang w:val="es-ES" w:eastAsia="es-MX"/>
              </w:rPr>
              <w:t xml:space="preserve">‒ Ley de garantías electorales </w:t>
            </w:r>
          </w:p>
          <w:p w14:paraId="4D6255F7" w14:textId="77777777" w:rsidR="008A19CC" w:rsidRDefault="008A19CC" w:rsidP="000B5BC1">
            <w:pPr>
              <w:spacing w:line="276" w:lineRule="auto"/>
              <w:jc w:val="both"/>
              <w:rPr>
                <w:rFonts w:ascii="Verdana" w:eastAsia="Arial" w:hAnsi="Verdana" w:cs="Arial"/>
                <w:lang w:val="es-MX"/>
              </w:rPr>
            </w:pPr>
          </w:p>
          <w:p w14:paraId="5088D619" w14:textId="77777777" w:rsidR="008A19CC" w:rsidRPr="005E256F" w:rsidRDefault="008A19CC" w:rsidP="000B5BC1">
            <w:pPr>
              <w:spacing w:line="276" w:lineRule="auto"/>
              <w:jc w:val="both"/>
              <w:rPr>
                <w:rFonts w:ascii="Verdana" w:eastAsia="Calibri" w:hAnsi="Verdana" w:cs="Arial"/>
                <w:color w:val="000000" w:themeColor="text1"/>
                <w:highlight w:val="yellow"/>
                <w:lang w:val="es-ES" w:eastAsia="es-ES"/>
              </w:rPr>
            </w:pPr>
          </w:p>
        </w:tc>
      </w:tr>
      <w:tr w:rsidR="008A19CC" w:rsidRPr="00115E3D" w14:paraId="512CCBC2" w14:textId="77777777" w:rsidTr="000B5BC1">
        <w:trPr>
          <w:trHeight w:val="653"/>
        </w:trPr>
        <w:tc>
          <w:tcPr>
            <w:tcW w:w="2270" w:type="dxa"/>
          </w:tcPr>
          <w:p w14:paraId="512FD92D" w14:textId="77777777" w:rsidR="008A19CC" w:rsidRPr="00CB7ABE" w:rsidRDefault="008A19CC" w:rsidP="000B5BC1">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3AB641F" w14:textId="77777777" w:rsidR="008A19CC" w:rsidRPr="007E2BF9" w:rsidRDefault="008A19CC" w:rsidP="000B5BC1">
            <w:pPr>
              <w:ind w:right="1"/>
              <w:jc w:val="both"/>
              <w:rPr>
                <w:rFonts w:ascii="Verdana" w:hAnsi="Verdana"/>
                <w:color w:val="000000" w:themeColor="text1"/>
              </w:rPr>
            </w:pPr>
            <w:r w:rsidRPr="007E2BF9">
              <w:rPr>
                <w:rFonts w:ascii="Verdana" w:eastAsia="Calibri" w:hAnsi="Verdana" w:cs="Arial"/>
                <w:color w:val="000000" w:themeColor="text1"/>
                <w:lang w:val="es-ES_tradnl" w:eastAsia="es-ES_tradnl"/>
              </w:rPr>
              <w:t xml:space="preserve">Respuesta a consulta con radicado N.º </w:t>
            </w:r>
            <w:r w:rsidRPr="007E2BF9">
              <w:rPr>
                <w:rFonts w:ascii="Verdana" w:hAnsi="Verdana"/>
                <w:color w:val="000000" w:themeColor="text1"/>
              </w:rPr>
              <w:t>1_2026_03_30_004389.</w:t>
            </w:r>
          </w:p>
        </w:tc>
      </w:tr>
      <w:tr w:rsidR="008A19CC" w:rsidRPr="00115E3D" w14:paraId="6430F73C" w14:textId="77777777" w:rsidTr="000B5BC1">
        <w:trPr>
          <w:trHeight w:val="653"/>
        </w:trPr>
        <w:tc>
          <w:tcPr>
            <w:tcW w:w="2270" w:type="dxa"/>
          </w:tcPr>
          <w:p w14:paraId="3E91AACB" w14:textId="77777777" w:rsidR="008A19CC" w:rsidRPr="00CB7ABE" w:rsidRDefault="008A19CC" w:rsidP="000B5BC1">
            <w:pPr>
              <w:jc w:val="both"/>
              <w:rPr>
                <w:rFonts w:ascii="Verdana" w:eastAsia="Calibri" w:hAnsi="Verdana" w:cs="Arial"/>
                <w:b/>
                <w:color w:val="000000" w:themeColor="text1"/>
                <w:lang w:val="es-ES_tradnl" w:eastAsia="es-ES_tradnl"/>
              </w:rPr>
            </w:pPr>
          </w:p>
        </w:tc>
        <w:tc>
          <w:tcPr>
            <w:tcW w:w="6547" w:type="dxa"/>
          </w:tcPr>
          <w:p w14:paraId="7551F500" w14:textId="77777777" w:rsidR="008A19CC" w:rsidRPr="00CB7ABE" w:rsidRDefault="008A19CC" w:rsidP="000B5BC1">
            <w:pPr>
              <w:ind w:right="1"/>
              <w:jc w:val="both"/>
              <w:rPr>
                <w:rFonts w:ascii="Verdana" w:eastAsia="Calibri" w:hAnsi="Verdana" w:cs="Arial"/>
                <w:color w:val="000000" w:themeColor="text1"/>
                <w:lang w:val="es-ES_tradnl" w:eastAsia="es-ES_tradnl"/>
              </w:rPr>
            </w:pPr>
          </w:p>
        </w:tc>
      </w:tr>
    </w:tbl>
    <w:p w14:paraId="4589AAEA" w14:textId="77777777" w:rsidR="008A19CC" w:rsidRPr="00115E3D" w:rsidRDefault="008A19CC" w:rsidP="008A19C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 xml:space="preserve">o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 xml:space="preserve"> Eraso;</w:t>
      </w:r>
    </w:p>
    <w:p w14:paraId="4D6E9EFC" w14:textId="77777777" w:rsidR="008A19CC" w:rsidRPr="00115E3D" w:rsidRDefault="008A19CC" w:rsidP="008A19C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27D60A6E" w14:textId="77777777" w:rsidR="008A19CC" w:rsidRPr="00115E3D" w:rsidRDefault="008A19CC" w:rsidP="008A19C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 su solicitud</w:t>
      </w:r>
      <w:r>
        <w:rPr>
          <w:rFonts w:ascii="Verdana" w:eastAsia="Calibri" w:hAnsi="Verdana" w:cs="Arial"/>
          <w:color w:val="000000" w:themeColor="text1"/>
          <w:lang w:val="es-ES" w:eastAsia="es-ES"/>
        </w:rPr>
        <w:t xml:space="preserve"> radicada ante esta entidad el 10 de marzo de 2026 </w:t>
      </w:r>
      <w:r w:rsidRPr="00115E3D">
        <w:rPr>
          <w:rFonts w:ascii="Verdana" w:eastAsia="Calibri" w:hAnsi="Verdana" w:cs="Arial"/>
          <w:color w:val="000000" w:themeColor="text1"/>
          <w:lang w:val="es-ES" w:eastAsia="es-ES"/>
        </w:rPr>
        <w:t xml:space="preserve">en la cual manifiesta lo siguiente: </w:t>
      </w:r>
    </w:p>
    <w:p w14:paraId="595AF27B" w14:textId="77777777" w:rsidR="008A19CC" w:rsidRDefault="008A19CC" w:rsidP="008A19CC">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11152E54" w14:textId="77777777" w:rsidR="008A19CC" w:rsidRPr="007E2BF9" w:rsidRDefault="008A19CC" w:rsidP="008A19CC">
      <w:pPr>
        <w:spacing w:after="0" w:line="240" w:lineRule="auto"/>
        <w:ind w:left="709" w:right="709"/>
        <w:jc w:val="both"/>
        <w:rPr>
          <w:rFonts w:ascii="Verdana" w:eastAsia="Century Gothic" w:hAnsi="Verdana" w:cs="Century Gothic"/>
          <w:i/>
          <w:iCs/>
          <w:color w:val="000000" w:themeColor="text1"/>
          <w:sz w:val="20"/>
          <w:szCs w:val="20"/>
        </w:rPr>
      </w:pPr>
      <w:r w:rsidRPr="00104557">
        <w:rPr>
          <w:rFonts w:ascii="Verdana" w:eastAsia="Century Gothic" w:hAnsi="Verdana" w:cs="Century Gothic"/>
          <w:i/>
          <w:iCs/>
          <w:color w:val="000000" w:themeColor="text1"/>
          <w:sz w:val="20"/>
          <w:szCs w:val="20"/>
          <w:lang w:val="es-ES"/>
        </w:rPr>
        <w:lastRenderedPageBreak/>
        <w:t>“</w:t>
      </w:r>
      <w:r w:rsidRPr="00F519C6">
        <w:rPr>
          <w:rFonts w:ascii="Verdana" w:eastAsia="Century Gothic" w:hAnsi="Verdana" w:cs="Century Gothic"/>
          <w:i/>
          <w:iCs/>
          <w:color w:val="000000" w:themeColor="text1"/>
          <w:sz w:val="20"/>
          <w:szCs w:val="20"/>
        </w:rPr>
        <w:t>¿Es posible que una Empresa de Servicios Públicos, constituida como una EICE (Empresa Industrial y Comercial del Estado), por el hecho de prestar el servicio público de saneamiento básico a un municipio, pueda ser incluida dentro de la precitada causal y quedar autorizada para celebrar contratación directa, en vigencia de la ley de garantías electorales?</w:t>
      </w:r>
      <w:r>
        <w:rPr>
          <w:rFonts w:ascii="Verdana" w:eastAsia="Century Gothic" w:hAnsi="Verdana" w:cs="Century Gothic"/>
          <w:i/>
          <w:iCs/>
          <w:color w:val="000000" w:themeColor="text1"/>
          <w:sz w:val="20"/>
          <w:szCs w:val="20"/>
          <w:lang w:val="es-MX"/>
        </w:rPr>
        <w:t>“</w:t>
      </w:r>
    </w:p>
    <w:p w14:paraId="749F1797" w14:textId="77777777" w:rsidR="008A19CC" w:rsidRDefault="008A19CC" w:rsidP="008A19CC">
      <w:pPr>
        <w:spacing w:after="0" w:line="240" w:lineRule="auto"/>
        <w:ind w:left="709" w:right="709"/>
        <w:jc w:val="both"/>
        <w:rPr>
          <w:rFonts w:ascii="Verdana" w:eastAsia="Century Gothic" w:hAnsi="Verdana" w:cs="Century Gothic"/>
          <w:i/>
          <w:iCs/>
          <w:color w:val="000000" w:themeColor="text1"/>
          <w:sz w:val="20"/>
          <w:szCs w:val="20"/>
          <w:lang w:val="es-ES"/>
        </w:rPr>
      </w:pPr>
    </w:p>
    <w:p w14:paraId="1658FC36" w14:textId="77777777" w:rsidR="008A19CC" w:rsidRDefault="008A19CC" w:rsidP="008A19CC">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6ED05CEF" w14:textId="77777777" w:rsidR="008A19CC" w:rsidRPr="00115E3D" w:rsidRDefault="008A19CC" w:rsidP="008A19CC">
      <w:pPr>
        <w:spacing w:after="0" w:line="240" w:lineRule="auto"/>
        <w:ind w:right="49"/>
        <w:jc w:val="both"/>
        <w:rPr>
          <w:rFonts w:ascii="Verdana" w:eastAsia="Calibri" w:hAnsi="Verdana" w:cs="Arial"/>
          <w:color w:val="000000" w:themeColor="text1"/>
          <w:szCs w:val="24"/>
          <w:lang w:val="es-ES_tradnl" w:eastAsia="es-ES_tradnl"/>
        </w:rPr>
      </w:pPr>
    </w:p>
    <w:p w14:paraId="4A8A3B4E" w14:textId="77777777" w:rsidR="008A19CC" w:rsidRPr="00115E3D" w:rsidRDefault="008A19CC" w:rsidP="008A19C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3411EA31" w14:textId="77777777" w:rsidR="008A19CC" w:rsidRPr="00115E3D" w:rsidRDefault="008A19CC" w:rsidP="008A19CC">
      <w:pPr>
        <w:spacing w:after="0" w:line="276" w:lineRule="auto"/>
        <w:ind w:firstLine="709"/>
        <w:jc w:val="both"/>
        <w:rPr>
          <w:rFonts w:ascii="Verdana" w:eastAsia="Calibri" w:hAnsi="Verdana" w:cs="Arial"/>
          <w:color w:val="000000" w:themeColor="text1"/>
          <w:lang w:val="es-ES" w:eastAsia="es-ES"/>
        </w:rPr>
      </w:pPr>
    </w:p>
    <w:p w14:paraId="2E521EE3" w14:textId="77777777" w:rsidR="008A19CC" w:rsidRPr="00115E3D" w:rsidRDefault="008A19CC" w:rsidP="008A19C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1F77B013" w14:textId="77777777" w:rsidR="008A19CC" w:rsidRPr="00115E3D" w:rsidRDefault="008A19CC" w:rsidP="008A19CC">
      <w:pPr>
        <w:tabs>
          <w:tab w:val="left" w:pos="426"/>
        </w:tabs>
        <w:spacing w:after="0" w:line="276" w:lineRule="auto"/>
        <w:jc w:val="both"/>
        <w:rPr>
          <w:rFonts w:ascii="Verdana" w:eastAsia="Century Gothic" w:hAnsi="Verdana" w:cs="Century Gothic"/>
          <w:color w:val="000000" w:themeColor="text1"/>
          <w:lang w:val="es-ES"/>
        </w:rPr>
      </w:pPr>
    </w:p>
    <w:p w14:paraId="4DAA98ED" w14:textId="77777777" w:rsidR="008A19CC" w:rsidRPr="00D47AC9" w:rsidRDefault="008A19CC" w:rsidP="008A19CC">
      <w:pPr>
        <w:spacing w:after="0" w:line="276" w:lineRule="auto"/>
        <w:jc w:val="both"/>
        <w:rPr>
          <w:rFonts w:ascii="Verdana" w:hAnsi="Verdana"/>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115E3D">
        <w:rPr>
          <w:rFonts w:ascii="Verdana" w:eastAsia="Century Gothic" w:hAnsi="Verdana" w:cs="Century Gothic"/>
          <w:color w:val="000000" w:themeColor="text1"/>
        </w:rPr>
        <w:t xml:space="preserve"> siguiente problema jurídico:</w:t>
      </w:r>
      <w:r w:rsidRPr="00946693">
        <w:t xml:space="preserve"> </w:t>
      </w:r>
      <w:r>
        <w:rPr>
          <w:rFonts w:ascii="Verdana" w:eastAsia="Century Gothic" w:hAnsi="Verdana" w:cs="Century Gothic"/>
        </w:rPr>
        <w:t>¿</w:t>
      </w:r>
      <w:r w:rsidRPr="00BE1CA1">
        <w:rPr>
          <w:rFonts w:ascii="Verdana" w:eastAsia="Century Gothic" w:hAnsi="Verdana" w:cs="Century Gothic"/>
        </w:rPr>
        <w:t>Las Empresas Industriales y Comerciales del Estado (EICE)</w:t>
      </w:r>
      <w:r>
        <w:rPr>
          <w:rFonts w:ascii="Verdana" w:eastAsia="Century Gothic" w:hAnsi="Verdana" w:cs="Century Gothic"/>
        </w:rPr>
        <w:t xml:space="preserve"> </w:t>
      </w:r>
      <w:r w:rsidRPr="00BE1CA1">
        <w:rPr>
          <w:rFonts w:ascii="Verdana" w:eastAsia="Century Gothic" w:hAnsi="Verdana" w:cs="Century Gothic"/>
        </w:rPr>
        <w:t xml:space="preserve">se encuentran sometidas a las restricciones contractuales previstas en </w:t>
      </w:r>
      <w:r>
        <w:rPr>
          <w:rFonts w:ascii="Verdana" w:eastAsia="Century Gothic" w:hAnsi="Verdana" w:cs="Century Gothic"/>
        </w:rPr>
        <w:t xml:space="preserve">la </w:t>
      </w:r>
      <w:r w:rsidRPr="00BE1CA1">
        <w:rPr>
          <w:rFonts w:ascii="Verdana" w:eastAsia="Century Gothic" w:hAnsi="Verdana" w:cs="Century Gothic"/>
        </w:rPr>
        <w:t>Ley de Garantías Electorales?</w:t>
      </w:r>
    </w:p>
    <w:p w14:paraId="24B995A4" w14:textId="77777777" w:rsidR="008A19CC" w:rsidRDefault="008A19CC" w:rsidP="008A19CC">
      <w:pPr>
        <w:spacing w:after="0" w:line="276" w:lineRule="auto"/>
        <w:jc w:val="both"/>
        <w:rPr>
          <w:rFonts w:ascii="Verdana" w:hAnsi="Verdana"/>
        </w:rPr>
      </w:pPr>
      <w:r>
        <w:rPr>
          <w:rFonts w:ascii="Verdana" w:hAnsi="Verdana"/>
        </w:rPr>
        <w:t xml:space="preserve"> </w:t>
      </w:r>
    </w:p>
    <w:p w14:paraId="7EAE6A60" w14:textId="77777777" w:rsidR="008A19CC" w:rsidRPr="00115E3D" w:rsidRDefault="008A19CC" w:rsidP="008A19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Respuesta:</w:t>
      </w:r>
    </w:p>
    <w:p w14:paraId="0433CEC1" w14:textId="77777777" w:rsidR="008A19CC" w:rsidRPr="00115E3D" w:rsidRDefault="008A19CC" w:rsidP="008A19C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19CC" w:rsidRPr="00115E3D" w14:paraId="00D5EF92" w14:textId="77777777" w:rsidTr="000B5BC1">
        <w:trPr>
          <w:trHeight w:val="774"/>
        </w:trPr>
        <w:tc>
          <w:tcPr>
            <w:tcW w:w="8828" w:type="dxa"/>
          </w:tcPr>
          <w:p w14:paraId="528F688D" w14:textId="77777777" w:rsidR="008A19CC" w:rsidRPr="00573E72" w:rsidRDefault="008A19CC" w:rsidP="000B5BC1">
            <w:pPr>
              <w:spacing w:after="120" w:line="276" w:lineRule="auto"/>
              <w:jc w:val="both"/>
              <w:rPr>
                <w:rFonts w:ascii="Verdana" w:eastAsia="Arial" w:hAnsi="Verdana" w:cs="Arial"/>
              </w:rPr>
            </w:pPr>
            <w:r>
              <w:rPr>
                <w:rFonts w:ascii="Verdana" w:eastAsia="Arial" w:hAnsi="Verdana" w:cs="Arial"/>
              </w:rPr>
              <w:t>De manera preliminar es pertinente precisar</w:t>
            </w:r>
            <w:r>
              <w:rPr>
                <w:rFonts w:ascii="Verdana" w:eastAsia="Century Gothic" w:hAnsi="Verdana" w:cs="Century Gothic"/>
              </w:rPr>
              <w:t xml:space="preserve"> que l</w:t>
            </w:r>
            <w:r>
              <w:rPr>
                <w:rFonts w:ascii="Verdana" w:eastAsia="Arial" w:hAnsi="Verdana" w:cs="Arial"/>
              </w:rPr>
              <w:t xml:space="preserve">a Ley 996 de 2005 </w:t>
            </w:r>
            <w:r>
              <w:rPr>
                <w:rFonts w:ascii="Verdana" w:eastAsia="Calibri" w:hAnsi="Verdana" w:cs="Arial"/>
              </w:rPr>
              <w:t>en su</w:t>
            </w:r>
            <w:r w:rsidRPr="00F10E52">
              <w:rPr>
                <w:rFonts w:ascii="Verdana" w:eastAsia="Calibri" w:hAnsi="Verdana" w:cs="Arial"/>
              </w:rPr>
              <w:t xml:space="preserve"> artículo 33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 xml:space="preserve">la contratación directa por parte de todos los entes </w:t>
            </w:r>
            <w:r w:rsidRPr="00F10E52">
              <w:rPr>
                <w:rFonts w:ascii="Verdana" w:eastAsia="Calibri" w:hAnsi="Verdana" w:cs="Arial"/>
              </w:rPr>
              <w:lastRenderedPageBreak/>
              <w:t>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rPr>
              <w:t>.</w:t>
            </w:r>
          </w:p>
          <w:p w14:paraId="62AACA07" w14:textId="77777777" w:rsidR="008A19CC" w:rsidRDefault="008A19CC" w:rsidP="000B5BC1">
            <w:pPr>
              <w:spacing w:after="120" w:line="276" w:lineRule="auto"/>
              <w:ind w:firstLine="709"/>
              <w:jc w:val="both"/>
              <w:rPr>
                <w:rFonts w:ascii="Verdana" w:hAnsi="Verdana" w:cs="Arial"/>
                <w:lang w:eastAsia="x-none"/>
              </w:rPr>
            </w:pPr>
            <w:r w:rsidRPr="00195E24">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por lo que excluye las demás modalidades de contratación previstas en la Ley 1150 de 2007</w:t>
            </w:r>
            <w:r>
              <w:rPr>
                <w:rFonts w:ascii="Verdana" w:hAnsi="Verdana" w:cs="Arial"/>
                <w:lang w:eastAsia="x-none"/>
              </w:rPr>
              <w:t>.</w:t>
            </w:r>
          </w:p>
          <w:p w14:paraId="4D156275" w14:textId="77777777" w:rsidR="008A19CC" w:rsidRDefault="008A19CC" w:rsidP="000B5BC1">
            <w:pPr>
              <w:spacing w:after="120" w:line="276" w:lineRule="auto"/>
              <w:ind w:firstLine="709"/>
              <w:jc w:val="both"/>
              <w:rPr>
                <w:rFonts w:ascii="Verdana" w:eastAsia="Calibri" w:hAnsi="Verdana" w:cs="Arial"/>
                <w:lang w:val="es-ES"/>
              </w:rPr>
            </w:pPr>
            <w:r>
              <w:rPr>
                <w:rFonts w:ascii="Verdana" w:eastAsia="Calibri" w:hAnsi="Verdana" w:cs="Arial"/>
                <w:lang w:val="es-ES"/>
              </w:rPr>
              <w:t>Ahora bien, f</w:t>
            </w:r>
            <w:r w:rsidRPr="00515C0B">
              <w:rPr>
                <w:rFonts w:ascii="Verdana" w:eastAsia="Calibri" w:hAnsi="Verdana" w:cs="Arial"/>
                <w:lang w:val="es-ES"/>
              </w:rPr>
              <w:t xml:space="preserve">rente al cuestionamiento planteado es necesario </w:t>
            </w:r>
            <w:r>
              <w:rPr>
                <w:rFonts w:ascii="Verdana" w:eastAsia="Calibri" w:hAnsi="Verdana" w:cs="Arial"/>
                <w:lang w:val="es-ES"/>
              </w:rPr>
              <w:t>señalar</w:t>
            </w:r>
            <w:r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p>
          <w:p w14:paraId="486EFC45" w14:textId="77777777" w:rsidR="008A19CC" w:rsidRDefault="008A19CC" w:rsidP="000B5BC1">
            <w:pPr>
              <w:spacing w:after="120" w:line="276" w:lineRule="auto"/>
              <w:ind w:firstLine="708"/>
              <w:jc w:val="both"/>
              <w:rPr>
                <w:rFonts w:ascii="Verdana" w:hAnsi="Verdana" w:cs="Arial"/>
                <w:bCs/>
                <w:color w:val="000000" w:themeColor="text1"/>
                <w:lang w:val="es-MX" w:eastAsia="x-none"/>
              </w:rPr>
            </w:pPr>
            <w:r>
              <w:rPr>
                <w:rFonts w:ascii="Verdana" w:eastAsia="Calibri" w:hAnsi="Verdana" w:cs="Arial"/>
                <w:lang w:val="es-ES"/>
              </w:rPr>
              <w:t xml:space="preserve">Ahora bien, el artículo 33 de la Ley 996 de 2005 determina como destinatarios de las restricciones a todos los entes del Estado </w:t>
            </w:r>
            <w:r w:rsidRPr="00195E24">
              <w:rPr>
                <w:rFonts w:ascii="Verdana" w:hAnsi="Verdana" w:cs="Arial"/>
                <w:bCs/>
                <w:color w:val="000000" w:themeColor="text1"/>
                <w:lang w:val="es-MX" w:eastAsia="x-none"/>
              </w:rPr>
              <w:t xml:space="preserve">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64D0ADC5" w14:textId="77777777" w:rsidR="008A19CC" w:rsidRPr="00195E24" w:rsidRDefault="008A19CC" w:rsidP="000B5BC1">
            <w:pPr>
              <w:spacing w:after="120" w:line="276" w:lineRule="auto"/>
              <w:ind w:firstLine="709"/>
              <w:jc w:val="both"/>
              <w:rPr>
                <w:rFonts w:ascii="Verdana" w:hAnsi="Verdana" w:cs="Arial"/>
                <w:color w:val="000000" w:themeColor="text1"/>
                <w:lang w:eastAsia="es-CO"/>
              </w:rPr>
            </w:pPr>
            <w:r>
              <w:rPr>
                <w:rFonts w:ascii="Verdana" w:hAnsi="Verdana" w:cs="Arial"/>
                <w:color w:val="000000" w:themeColor="text1"/>
                <w:lang w:val="es-MX"/>
              </w:rPr>
              <w:t>Por lo tanto, la</w:t>
            </w:r>
            <w:r w:rsidRPr="00CE0D82">
              <w:rPr>
                <w:rFonts w:ascii="Verdana" w:hAnsi="Verdana" w:cs="Arial"/>
                <w:color w:val="000000" w:themeColor="text1"/>
                <w:lang w:val="es-MX"/>
              </w:rPr>
              <w:t xml:space="preserve">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r>
              <w:rPr>
                <w:rFonts w:ascii="Verdana" w:hAnsi="Verdana" w:cs="Arial"/>
                <w:color w:val="000000" w:themeColor="text1"/>
                <w:lang w:eastAsia="es-CO"/>
              </w:rPr>
              <w:t xml:space="preserve">En este sentido, respecto a su consulta es pertinente señalar que las empresas industriales y comerciales del Estado en vigencia de la Ley de Garantías Electorales no podrán hacer contrataciones bajo la modalidad de contratación directa, </w:t>
            </w:r>
            <w:r w:rsidRPr="00195E24">
              <w:rPr>
                <w:rFonts w:ascii="Verdana" w:hAnsi="Verdana" w:cs="Arial"/>
                <w:color w:val="000000" w:themeColor="text1"/>
                <w:lang w:val="es-MX"/>
              </w:rPr>
              <w:t xml:space="preserve">sino por mecanismos </w:t>
            </w:r>
            <w:r w:rsidRPr="00195E24">
              <w:rPr>
                <w:rFonts w:ascii="Verdana" w:hAnsi="Verdana" w:cs="Arial"/>
                <w:color w:val="000000" w:themeColor="text1"/>
                <w:lang w:val="es-MX"/>
              </w:rPr>
              <w:lastRenderedPageBreak/>
              <w:t>competitivos que impliquen convocatoria pública y la posibilidad de la existencia de pluralidad de oferentes</w:t>
            </w:r>
            <w:r>
              <w:rPr>
                <w:rFonts w:ascii="Verdana" w:hAnsi="Verdana" w:cs="Arial"/>
                <w:color w:val="000000" w:themeColor="text1"/>
                <w:lang w:val="es-MX"/>
              </w:rPr>
              <w:t xml:space="preserve">. </w:t>
            </w:r>
          </w:p>
          <w:p w14:paraId="34A73C14" w14:textId="77777777" w:rsidR="008A19CC" w:rsidRDefault="008A19CC" w:rsidP="000B5BC1">
            <w:pPr>
              <w:spacing w:before="120" w:after="120" w:line="276" w:lineRule="auto"/>
              <w:jc w:val="both"/>
              <w:rPr>
                <w:rFonts w:ascii="Verdana" w:eastAsia="Calibri" w:hAnsi="Verdana"/>
              </w:rPr>
            </w:pPr>
            <w:r>
              <w:rPr>
                <w:rFonts w:ascii="Verdana" w:eastAsia="Times New Roman" w:hAnsi="Verdana" w:cs="Arial"/>
                <w:bCs/>
                <w:lang w:val="es-ES" w:eastAsia="es-CO" w:bidi="es-ES"/>
              </w:rPr>
              <w:t xml:space="preserve">         </w:t>
            </w: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E36918">
              <w:rPr>
                <w:rFonts w:ascii="Verdana" w:eastAsia="Times New Roman" w:hAnsi="Verdana" w:cs="Arial"/>
                <w:bCs/>
                <w:lang w:val="es-ES" w:eastAsia="es-CO" w:bidi="es-ES"/>
              </w:rPr>
              <w:t xml:space="preserve"> </w:t>
            </w:r>
            <w:r>
              <w:rPr>
                <w:rFonts w:ascii="Verdana" w:eastAsia="Calibri" w:hAnsi="Verdana"/>
              </w:rPr>
              <w:t xml:space="preserve">        </w:t>
            </w:r>
          </w:p>
          <w:p w14:paraId="0EB8991F" w14:textId="77777777" w:rsidR="008A19CC" w:rsidRPr="00B643B2" w:rsidRDefault="008A19CC" w:rsidP="000B5BC1">
            <w:pPr>
              <w:spacing w:before="120" w:after="120" w:line="276" w:lineRule="auto"/>
              <w:jc w:val="both"/>
              <w:rPr>
                <w:rFonts w:ascii="Verdana" w:eastAsia="Calibri" w:hAnsi="Verdana"/>
              </w:rPr>
            </w:pP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5AD6E32C" w14:textId="77777777" w:rsidR="008A19CC" w:rsidRPr="0029110A" w:rsidRDefault="008A19CC" w:rsidP="000B5BC1">
            <w:pPr>
              <w:spacing w:before="120"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8A19CC" w:rsidRPr="00115E3D" w14:paraId="03DA5BB5" w14:textId="77777777" w:rsidTr="000B5BC1">
        <w:trPr>
          <w:trHeight w:val="162"/>
        </w:trPr>
        <w:tc>
          <w:tcPr>
            <w:tcW w:w="8828" w:type="dxa"/>
          </w:tcPr>
          <w:p w14:paraId="2A546CB0" w14:textId="77777777" w:rsidR="008A19CC" w:rsidRDefault="008A19CC" w:rsidP="000B5BC1">
            <w:pPr>
              <w:spacing w:line="276" w:lineRule="auto"/>
              <w:jc w:val="both"/>
              <w:rPr>
                <w:rFonts w:ascii="Verdana" w:eastAsia="Calibri" w:hAnsi="Verdana" w:cs="Arial"/>
              </w:rPr>
            </w:pPr>
          </w:p>
        </w:tc>
      </w:tr>
    </w:tbl>
    <w:p w14:paraId="6AFCDD78" w14:textId="77777777" w:rsidR="008A19CC" w:rsidRDefault="008A19CC" w:rsidP="008A19C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01C93B52" w14:textId="77777777" w:rsidR="008A19CC" w:rsidRDefault="008A19CC" w:rsidP="008A19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1FF57841" w14:textId="77777777" w:rsidR="008A19CC" w:rsidRPr="00115E3D" w:rsidRDefault="008A19CC" w:rsidP="008A19CC">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271329B0" w14:textId="77777777" w:rsidR="008A19CC" w:rsidRPr="0048565C" w:rsidRDefault="008A19CC" w:rsidP="008A19CC">
      <w:pPr>
        <w:spacing w:after="0" w:line="276" w:lineRule="auto"/>
        <w:jc w:val="both"/>
        <w:rPr>
          <w:rFonts w:ascii="Verdana" w:eastAsia="Calibri" w:hAnsi="Verdana" w:cs="Arial"/>
          <w:lang w:val="es-ES"/>
        </w:rPr>
      </w:pPr>
      <w:r w:rsidRPr="0048565C">
        <w:rPr>
          <w:rFonts w:ascii="Verdana" w:eastAsia="Calibri" w:hAnsi="Verdana" w:cs="Arial"/>
          <w:lang w:val="es-ES"/>
        </w:rPr>
        <w:t>Lo anterior se sustenta en las siguientes consideraciones:</w:t>
      </w:r>
    </w:p>
    <w:p w14:paraId="253307C7" w14:textId="77777777" w:rsidR="008A19CC" w:rsidRDefault="008A19CC" w:rsidP="008A19CC">
      <w:pPr>
        <w:tabs>
          <w:tab w:val="left" w:pos="426"/>
        </w:tabs>
        <w:spacing w:after="120" w:line="276" w:lineRule="auto"/>
        <w:jc w:val="both"/>
        <w:rPr>
          <w:rFonts w:ascii="Verdana" w:eastAsia="Calibri" w:hAnsi="Verdana" w:cs="Arial"/>
          <w:lang w:val="es-ES"/>
        </w:rPr>
      </w:pPr>
    </w:p>
    <w:p w14:paraId="31BE11AB" w14:textId="77777777" w:rsidR="008A19CC" w:rsidRPr="00F10E52" w:rsidRDefault="008A19CC" w:rsidP="008A19CC">
      <w:pPr>
        <w:tabs>
          <w:tab w:val="left" w:pos="426"/>
        </w:tabs>
        <w:spacing w:after="120" w:line="276" w:lineRule="auto"/>
        <w:jc w:val="both"/>
        <w:rPr>
          <w:rFonts w:ascii="Verdana" w:eastAsia="Times New Roman" w:hAnsi="Verdana" w:cs="Arial"/>
          <w:bCs/>
          <w:lang w:eastAsia="es-CO"/>
        </w:rPr>
      </w:pPr>
      <w:r>
        <w:rPr>
          <w:rFonts w:ascii="Verdana" w:eastAsia="Calibri" w:hAnsi="Verdana" w:cs="Arial"/>
          <w:lang w:val="es-ES"/>
        </w:rPr>
        <w:tab/>
      </w:r>
      <w:r w:rsidRPr="00F10E52">
        <w:rPr>
          <w:rFonts w:ascii="Verdana" w:eastAsia="Calibri" w:hAnsi="Verdana" w:cs="Arial"/>
          <w:bCs/>
        </w:rPr>
        <w:t>El ordenamiento jurídico colombiano contempla previsiones claras para evitar la obtención de beneficios personales en asuntos propios de la administración pública</w:t>
      </w:r>
      <w:r w:rsidRPr="00F10E52">
        <w:rPr>
          <w:rFonts w:ascii="Verdana" w:eastAsia="Calibri" w:hAnsi="Verdana" w:cs="Arial"/>
          <w:bCs/>
          <w:i/>
          <w:iCs/>
        </w:rPr>
        <w:t xml:space="preserve">. </w:t>
      </w:r>
      <w:r w:rsidRPr="00F10E52">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Pr="00F10E52">
        <w:rPr>
          <w:rStyle w:val="Refdenotaalpie"/>
          <w:rFonts w:ascii="Verdana" w:eastAsia="Calibri" w:hAnsi="Verdana" w:cs="Arial"/>
          <w:bCs/>
        </w:rPr>
        <w:footnoteReference w:id="1"/>
      </w:r>
      <w:r w:rsidRPr="00F10E52">
        <w:rPr>
          <w:rFonts w:ascii="Verdana" w:eastAsia="Calibri" w:hAnsi="Verdana" w:cs="Arial"/>
          <w:bCs/>
        </w:rPr>
        <w:t xml:space="preserve">. </w:t>
      </w:r>
    </w:p>
    <w:p w14:paraId="63B8A5AF" w14:textId="77777777" w:rsidR="008A19CC" w:rsidRDefault="008A19CC" w:rsidP="008A19CC">
      <w:pPr>
        <w:tabs>
          <w:tab w:val="left" w:pos="426"/>
        </w:tabs>
        <w:spacing w:after="120" w:line="276" w:lineRule="auto"/>
        <w:ind w:firstLine="709"/>
        <w:jc w:val="both"/>
        <w:rPr>
          <w:rFonts w:ascii="Verdana" w:eastAsia="Calibri" w:hAnsi="Verdana" w:cs="Arial"/>
          <w:noProof/>
          <w:lang w:val="es-ES_tradnl"/>
        </w:rPr>
      </w:pPr>
      <w:r w:rsidRPr="00F10E52">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F10E52">
        <w:rPr>
          <w:rFonts w:ascii="Verdana" w:eastAsia="Times New Roman" w:hAnsi="Verdana" w:cs="Arial"/>
          <w:bCs/>
          <w:lang w:eastAsia="es-CO"/>
        </w:rPr>
        <w:t>Ley de Garantías Electorales</w:t>
      </w:r>
      <w:r>
        <w:rPr>
          <w:rFonts w:ascii="Verdana" w:eastAsia="Times New Roman" w:hAnsi="Verdana" w:cs="Arial"/>
          <w:bCs/>
          <w:lang w:eastAsia="es-CO"/>
        </w:rPr>
        <w:t>”</w:t>
      </w:r>
      <w:r w:rsidRPr="00F10E52">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F10E52">
        <w:rPr>
          <w:rStyle w:val="Refdenotaalpie"/>
          <w:rFonts w:ascii="Verdana" w:eastAsia="Times New Roman" w:hAnsi="Verdana" w:cs="Arial"/>
          <w:bCs/>
          <w:lang w:eastAsia="es-CO"/>
        </w:rPr>
        <w:footnoteReference w:id="2"/>
      </w:r>
      <w:r w:rsidRPr="00F10E52">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F10E52">
        <w:rPr>
          <w:rFonts w:ascii="Verdana" w:eastAsia="Calibri" w:hAnsi="Verdana" w:cs="Arial"/>
          <w:noProof/>
          <w:lang w:val="es-ES_tradnl"/>
        </w:rPr>
        <w:t xml:space="preserve"> </w:t>
      </w:r>
    </w:p>
    <w:p w14:paraId="3DB91F3D" w14:textId="77777777" w:rsidR="008A19CC" w:rsidRDefault="008A19CC" w:rsidP="008A19CC">
      <w:pPr>
        <w:tabs>
          <w:tab w:val="left" w:pos="426"/>
        </w:tabs>
        <w:spacing w:before="120" w:after="0" w:line="276" w:lineRule="auto"/>
        <w:ind w:firstLine="709"/>
        <w:jc w:val="both"/>
        <w:rPr>
          <w:rFonts w:ascii="Verdana" w:eastAsia="Times New Roman" w:hAnsi="Verdana" w:cs="Arial"/>
          <w:bCs/>
          <w:lang w:eastAsia="es-CO"/>
        </w:rPr>
      </w:pPr>
      <w:r w:rsidRPr="00F10E52">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01F039E3" w14:textId="77777777" w:rsidR="008A19CC" w:rsidRPr="00F10E52" w:rsidRDefault="008A19CC" w:rsidP="008A19CC">
      <w:pPr>
        <w:tabs>
          <w:tab w:val="left" w:pos="426"/>
        </w:tabs>
        <w:spacing w:after="0" w:line="276" w:lineRule="auto"/>
        <w:ind w:firstLine="709"/>
        <w:jc w:val="both"/>
        <w:rPr>
          <w:rFonts w:ascii="Verdana" w:eastAsia="Times New Roman" w:hAnsi="Verdana" w:cs="Arial"/>
          <w:bCs/>
          <w:lang w:eastAsia="es-CO"/>
        </w:rPr>
      </w:pPr>
    </w:p>
    <w:p w14:paraId="77E95AF4" w14:textId="77777777" w:rsidR="008A19CC" w:rsidRPr="007777F3" w:rsidRDefault="008A19CC" w:rsidP="008A19CC">
      <w:pPr>
        <w:spacing w:after="0" w:line="240" w:lineRule="auto"/>
        <w:ind w:left="709" w:right="709"/>
        <w:jc w:val="both"/>
        <w:rPr>
          <w:rFonts w:ascii="Verdana" w:eastAsia="Times New Roman" w:hAnsi="Verdana" w:cs="Arial"/>
          <w:sz w:val="20"/>
          <w:szCs w:val="20"/>
          <w:lang w:val="es-ES" w:eastAsia="es-CO"/>
        </w:rPr>
      </w:pPr>
      <w:r>
        <w:rPr>
          <w:rFonts w:ascii="Verdana" w:eastAsia="Times New Roman" w:hAnsi="Verdana" w:cs="Arial"/>
          <w:sz w:val="20"/>
          <w:szCs w:val="20"/>
          <w:lang w:val="es-ES" w:eastAsia="es-CO"/>
        </w:rPr>
        <w:lastRenderedPageBreak/>
        <w:t>“(…)</w:t>
      </w:r>
      <w:r w:rsidRPr="006A51F6">
        <w:rPr>
          <w:rFonts w:ascii="Verdana" w:eastAsia="Times New Roman" w:hAnsi="Verdana" w:cs="Arial"/>
          <w:sz w:val="20"/>
          <w:szCs w:val="20"/>
          <w:lang w:val="es-ES" w:eastAsia="es-CO"/>
        </w:rPr>
        <w:t xml:space="preserve"> </w:t>
      </w:r>
      <w:r w:rsidRPr="009E6EDF">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4E534A43" w14:textId="77777777" w:rsidR="008A19CC" w:rsidRPr="009E6EDF" w:rsidRDefault="008A19CC" w:rsidP="008A19CC">
      <w:pPr>
        <w:spacing w:after="0" w:line="240" w:lineRule="auto"/>
        <w:ind w:left="709" w:right="709"/>
        <w:jc w:val="both"/>
        <w:rPr>
          <w:rFonts w:ascii="Verdana" w:eastAsia="Times New Roman" w:hAnsi="Verdana" w:cs="Arial"/>
          <w:bCs/>
          <w:sz w:val="20"/>
          <w:szCs w:val="20"/>
          <w:lang w:eastAsia="es-CO"/>
        </w:rPr>
      </w:pPr>
    </w:p>
    <w:p w14:paraId="6C54D46A" w14:textId="77777777" w:rsidR="008A19CC" w:rsidRDefault="008A19CC" w:rsidP="008A19CC">
      <w:pPr>
        <w:spacing w:after="0" w:line="240" w:lineRule="auto"/>
        <w:ind w:left="709" w:right="709"/>
        <w:jc w:val="both"/>
        <w:rPr>
          <w:rFonts w:ascii="Verdana" w:eastAsia="Times New Roman" w:hAnsi="Verdana" w:cs="Arial"/>
          <w:bCs/>
          <w:sz w:val="20"/>
          <w:szCs w:val="20"/>
          <w:lang w:eastAsia="es-CO"/>
        </w:rPr>
      </w:pPr>
      <w:r w:rsidRPr="009E6EDF">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Verdana" w:eastAsia="Times New Roman" w:hAnsi="Verdana" w:cs="Arial"/>
          <w:bCs/>
          <w:sz w:val="20"/>
          <w:szCs w:val="20"/>
          <w:lang w:eastAsia="es-CO"/>
        </w:rPr>
        <w:t xml:space="preserve"> (…)”</w:t>
      </w:r>
      <w:r w:rsidRPr="009E6EDF">
        <w:rPr>
          <w:rStyle w:val="Refdenotaalpie"/>
          <w:rFonts w:ascii="Verdana" w:hAnsi="Verdana" w:cs="Arial"/>
          <w:sz w:val="20"/>
          <w:szCs w:val="20"/>
        </w:rPr>
        <w:footnoteReference w:id="3"/>
      </w:r>
      <w:r>
        <w:rPr>
          <w:rFonts w:ascii="Verdana" w:eastAsia="Times New Roman" w:hAnsi="Verdana" w:cs="Arial"/>
          <w:bCs/>
          <w:sz w:val="20"/>
          <w:szCs w:val="20"/>
          <w:lang w:eastAsia="es-CO"/>
        </w:rPr>
        <w:t>.</w:t>
      </w:r>
      <w:r w:rsidRPr="006A51F6">
        <w:rPr>
          <w:rFonts w:ascii="Verdana" w:eastAsia="Times New Roman" w:hAnsi="Verdana" w:cs="Arial"/>
          <w:bCs/>
          <w:sz w:val="20"/>
          <w:szCs w:val="20"/>
          <w:lang w:eastAsia="es-CO"/>
        </w:rPr>
        <w:t xml:space="preserve"> </w:t>
      </w:r>
    </w:p>
    <w:p w14:paraId="0D65CBD0" w14:textId="77777777" w:rsidR="008A19CC" w:rsidRPr="009E6EDF" w:rsidRDefault="008A19CC" w:rsidP="008A19CC">
      <w:pPr>
        <w:spacing w:after="0" w:line="276" w:lineRule="auto"/>
        <w:ind w:left="709" w:right="709"/>
        <w:jc w:val="both"/>
        <w:rPr>
          <w:rFonts w:ascii="Verdana" w:eastAsia="Times New Roman" w:hAnsi="Verdana" w:cs="Arial"/>
          <w:bCs/>
          <w:lang w:eastAsia="es-CO"/>
        </w:rPr>
      </w:pPr>
    </w:p>
    <w:p w14:paraId="1548B438" w14:textId="77777777" w:rsidR="008A19CC" w:rsidRPr="006A51F6" w:rsidRDefault="008A19CC" w:rsidP="008A19CC">
      <w:pPr>
        <w:spacing w:after="0" w:line="276" w:lineRule="auto"/>
        <w:ind w:firstLine="709"/>
        <w:jc w:val="both"/>
        <w:rPr>
          <w:rFonts w:ascii="Verdana" w:eastAsia="Times New Roman" w:hAnsi="Verdana" w:cs="Arial"/>
          <w:bCs/>
          <w:lang w:eastAsia="es-CO"/>
        </w:rPr>
      </w:pPr>
      <w:bookmarkStart w:id="2" w:name="_Hlk78818186"/>
      <w:r w:rsidRPr="00F10E52">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2"/>
      <w:r w:rsidRPr="00F10E52">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21369107" w14:textId="77777777" w:rsidR="008A19CC" w:rsidRDefault="008A19CC" w:rsidP="008A19CC">
      <w:pPr>
        <w:spacing w:after="0" w:line="240" w:lineRule="auto"/>
        <w:ind w:left="709" w:right="709"/>
        <w:jc w:val="both"/>
        <w:rPr>
          <w:rFonts w:ascii="Verdana" w:eastAsia="Times New Roman" w:hAnsi="Verdana" w:cs="Arial"/>
          <w:bCs/>
          <w:sz w:val="20"/>
          <w:szCs w:val="20"/>
          <w:lang w:eastAsia="es-CO"/>
        </w:rPr>
      </w:pPr>
    </w:p>
    <w:p w14:paraId="4566745D" w14:textId="77777777" w:rsidR="008A19CC" w:rsidRDefault="008A19CC" w:rsidP="008A19CC">
      <w:pPr>
        <w:spacing w:after="0" w:line="240" w:lineRule="auto"/>
        <w:ind w:left="709" w:right="709"/>
        <w:jc w:val="both"/>
        <w:rPr>
          <w:rFonts w:ascii="Verdana" w:eastAsia="Times New Roman" w:hAnsi="Verdana" w:cs="Arial"/>
          <w:bCs/>
          <w:sz w:val="20"/>
          <w:szCs w:val="20"/>
          <w:lang w:eastAsia="es-CO"/>
        </w:rPr>
      </w:pPr>
      <w:r>
        <w:rPr>
          <w:rFonts w:ascii="Verdana" w:eastAsia="Times New Roman" w:hAnsi="Verdana" w:cs="Arial"/>
          <w:bCs/>
          <w:sz w:val="20"/>
          <w:szCs w:val="20"/>
          <w:lang w:eastAsia="es-CO"/>
        </w:rPr>
        <w:t>“</w:t>
      </w:r>
      <w:r w:rsidRPr="009B20C5">
        <w:rPr>
          <w:rFonts w:ascii="Verdana" w:eastAsia="Times New Roman" w:hAnsi="Verdana" w:cs="Arial"/>
          <w:bCs/>
          <w:sz w:val="20"/>
          <w:szCs w:val="20"/>
          <w:lang w:eastAsia="es-CO"/>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068ADDD1" w14:textId="77777777" w:rsidR="008A19CC" w:rsidRPr="009B20C5" w:rsidRDefault="008A19CC" w:rsidP="008A19CC">
      <w:pPr>
        <w:spacing w:after="0" w:line="240" w:lineRule="auto"/>
        <w:ind w:left="709" w:right="709"/>
        <w:jc w:val="both"/>
        <w:rPr>
          <w:rFonts w:ascii="Verdana" w:eastAsia="Times New Roman" w:hAnsi="Verdana" w:cs="Arial"/>
          <w:bCs/>
          <w:sz w:val="20"/>
          <w:szCs w:val="20"/>
          <w:lang w:eastAsia="es-CO"/>
        </w:rPr>
      </w:pPr>
    </w:p>
    <w:p w14:paraId="186C6016" w14:textId="77777777" w:rsidR="008A19CC" w:rsidRPr="009B20C5" w:rsidRDefault="008A19CC" w:rsidP="008A19CC">
      <w:pPr>
        <w:spacing w:after="0" w:line="240" w:lineRule="auto"/>
        <w:ind w:left="709" w:right="709"/>
        <w:jc w:val="both"/>
        <w:rPr>
          <w:rFonts w:ascii="Verdana" w:eastAsia="Times New Roman" w:hAnsi="Verdana" w:cs="Arial"/>
          <w:bCs/>
          <w:sz w:val="20"/>
          <w:szCs w:val="20"/>
          <w:lang w:eastAsia="es-CO"/>
        </w:rPr>
      </w:pPr>
      <w:r w:rsidRPr="009B20C5">
        <w:rPr>
          <w:rFonts w:ascii="Verdana" w:eastAsia="Times New Roman" w:hAnsi="Verdana" w:cs="Arial"/>
          <w:bCs/>
          <w:sz w:val="20"/>
          <w:szCs w:val="20"/>
          <w:lang w:eastAsia="es-CO"/>
        </w:rPr>
        <w:lastRenderedPageBreak/>
        <w:t>La jurisprudencia de la Corte Constitucional</w:t>
      </w:r>
      <w:r w:rsidRPr="009B20C5">
        <w:rPr>
          <w:rStyle w:val="Refdenotaalpie"/>
          <w:rFonts w:ascii="Verdana" w:eastAsia="Times New Roman" w:hAnsi="Verdana" w:cs="Arial"/>
          <w:bCs/>
          <w:sz w:val="20"/>
          <w:szCs w:val="20"/>
          <w:lang w:eastAsia="es-CO"/>
        </w:rPr>
        <w:footnoteReference w:id="4"/>
      </w:r>
      <w:r w:rsidRPr="009B20C5">
        <w:rPr>
          <w:rFonts w:ascii="Verdana" w:eastAsia="Times New Roman" w:hAnsi="Verdana" w:cs="Arial"/>
          <w:bCs/>
          <w:sz w:val="20"/>
          <w:szCs w:val="20"/>
          <w:lang w:eastAsia="es-CO"/>
        </w:rPr>
        <w:t> y del Consejo de Estado</w:t>
      </w:r>
      <w:r w:rsidRPr="009B20C5">
        <w:rPr>
          <w:rStyle w:val="Refdenotaalpie"/>
          <w:rFonts w:ascii="Verdana" w:eastAsia="Times New Roman" w:hAnsi="Verdana" w:cs="Arial"/>
          <w:bCs/>
          <w:sz w:val="20"/>
          <w:szCs w:val="20"/>
          <w:lang w:eastAsia="es-CO"/>
        </w:rPr>
        <w:footnoteReference w:id="5"/>
      </w:r>
      <w:r w:rsidRPr="009B20C5">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Pr>
          <w:rFonts w:ascii="Verdana" w:eastAsia="Times New Roman" w:hAnsi="Verdana" w:cs="Arial"/>
          <w:bCs/>
          <w:sz w:val="20"/>
          <w:szCs w:val="20"/>
          <w:lang w:eastAsia="es-CO"/>
        </w:rPr>
        <w:t>”</w:t>
      </w:r>
      <w:r w:rsidRPr="009B20C5">
        <w:rPr>
          <w:rStyle w:val="Refdenotaalpie"/>
          <w:rFonts w:ascii="Verdana" w:eastAsia="Times New Roman" w:hAnsi="Verdana" w:cs="Arial"/>
          <w:bCs/>
          <w:sz w:val="20"/>
          <w:szCs w:val="20"/>
          <w:lang w:eastAsia="es-CO"/>
        </w:rPr>
        <w:footnoteReference w:id="6"/>
      </w:r>
      <w:r w:rsidRPr="009B20C5">
        <w:rPr>
          <w:rFonts w:ascii="Verdana" w:eastAsia="Times New Roman" w:hAnsi="Verdana" w:cs="Arial"/>
          <w:bCs/>
          <w:sz w:val="20"/>
          <w:szCs w:val="20"/>
          <w:lang w:eastAsia="es-CO"/>
        </w:rPr>
        <w:t>.</w:t>
      </w:r>
    </w:p>
    <w:p w14:paraId="10AEF892" w14:textId="77777777" w:rsidR="008A19CC" w:rsidRDefault="008A19CC" w:rsidP="008A19CC">
      <w:pPr>
        <w:spacing w:after="0" w:line="276" w:lineRule="auto"/>
        <w:jc w:val="both"/>
        <w:rPr>
          <w:rFonts w:ascii="Verdana" w:eastAsia="Times New Roman" w:hAnsi="Verdana" w:cs="Arial"/>
          <w:bCs/>
          <w:lang w:eastAsia="es-CO"/>
        </w:rPr>
      </w:pPr>
      <w:r w:rsidRPr="00F10E52">
        <w:rPr>
          <w:rFonts w:ascii="Verdana" w:eastAsia="Times New Roman" w:hAnsi="Verdana" w:cs="Arial"/>
          <w:bCs/>
          <w:lang w:eastAsia="es-CO"/>
        </w:rPr>
        <w:tab/>
      </w:r>
    </w:p>
    <w:p w14:paraId="2382C4F2" w14:textId="77777777" w:rsidR="008A19CC" w:rsidRDefault="008A19CC" w:rsidP="008A19CC">
      <w:pPr>
        <w:spacing w:after="120" w:line="276" w:lineRule="auto"/>
        <w:ind w:firstLine="708"/>
        <w:jc w:val="both"/>
        <w:rPr>
          <w:rFonts w:ascii="Verdana" w:eastAsia="Arial" w:hAnsi="Verdana" w:cs="Arial"/>
          <w:lang w:val="es-ES" w:eastAsia="es-ES" w:bidi="es-ES"/>
        </w:rPr>
      </w:pPr>
      <w:r w:rsidRPr="00F10E52">
        <w:rPr>
          <w:rFonts w:ascii="Verdana" w:eastAsia="Times New Roman" w:hAnsi="Verdana" w:cs="Arial"/>
          <w:bCs/>
          <w:lang w:eastAsia="es-CO"/>
        </w:rPr>
        <w:t>De</w:t>
      </w:r>
      <w:r w:rsidRPr="00F10E52">
        <w:rPr>
          <w:rFonts w:ascii="Verdana" w:eastAsia="Arial" w:hAnsi="Verdana" w:cs="Arial"/>
          <w:lang w:val="es-ES" w:eastAsia="es-ES" w:bidi="es-ES"/>
        </w:rPr>
        <w:t xml:space="preserve"> conformidad con lo anterior, </w:t>
      </w:r>
      <w:bookmarkStart w:id="3" w:name="_Hlk77236098"/>
      <w:r w:rsidRPr="00F10E52">
        <w:rPr>
          <w:rFonts w:ascii="Verdana" w:eastAsia="Arial" w:hAnsi="Verdana" w:cs="Arial"/>
          <w:lang w:val="es-ES" w:eastAsia="es-ES" w:bidi="es-ES"/>
        </w:rPr>
        <w:t xml:space="preserve">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w:t>
      </w:r>
    </w:p>
    <w:p w14:paraId="6ACA2B76" w14:textId="77777777" w:rsidR="008A19CC" w:rsidRPr="00F10E52" w:rsidRDefault="008A19CC" w:rsidP="008A19CC">
      <w:pPr>
        <w:spacing w:after="120" w:line="276" w:lineRule="auto"/>
        <w:ind w:firstLine="708"/>
        <w:jc w:val="both"/>
        <w:rPr>
          <w:rFonts w:ascii="Verdana" w:eastAsia="Arial" w:hAnsi="Verdana" w:cs="Arial"/>
          <w:lang w:val="es-ES" w:eastAsia="es-ES" w:bidi="es-ES"/>
        </w:rPr>
      </w:pPr>
      <w:r w:rsidRPr="00F10E52">
        <w:rPr>
          <w:rFonts w:ascii="Verdana" w:eastAsia="Arial" w:hAnsi="Verdana" w:cs="Arial"/>
          <w:lang w:val="es-ES" w:eastAsia="es-ES" w:bidi="es-ES"/>
        </w:rPr>
        <w:t>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3"/>
    </w:p>
    <w:p w14:paraId="68F24CDE" w14:textId="77777777" w:rsidR="008A19CC" w:rsidRPr="00F10E52" w:rsidRDefault="008A19CC" w:rsidP="008A19CC">
      <w:pPr>
        <w:spacing w:after="120" w:line="276" w:lineRule="auto"/>
        <w:ind w:firstLine="708"/>
        <w:jc w:val="both"/>
        <w:rPr>
          <w:rFonts w:ascii="Verdana" w:eastAsia="Calibri" w:hAnsi="Verdana" w:cs="Arial"/>
        </w:rPr>
      </w:pPr>
      <w:r w:rsidRPr="00F10E52">
        <w:rPr>
          <w:rFonts w:ascii="Verdana" w:eastAsia="Calibri" w:hAnsi="Verdana" w:cs="Arial"/>
        </w:rPr>
        <w:t xml:space="preserve">Por un lado, el artículo 33 de la Ley 996 de 2005 prohíbe </w:t>
      </w:r>
      <w:r>
        <w:rPr>
          <w:rFonts w:ascii="Verdana" w:eastAsia="Calibri" w:hAnsi="Verdana" w:cs="Arial"/>
        </w:rPr>
        <w:t>“</w:t>
      </w:r>
      <w:r>
        <w:rPr>
          <w:rFonts w:ascii="Verdana" w:eastAsia="Calibri" w:hAnsi="Verdana" w:cs="Arial"/>
          <w:bCs/>
        </w:rPr>
        <w:t xml:space="preserve">(…) </w:t>
      </w:r>
      <w:r w:rsidRPr="00F10E52">
        <w:rPr>
          <w:rFonts w:ascii="Verdana" w:eastAsia="Calibri" w:hAnsi="Verdana" w:cs="Arial"/>
        </w:rPr>
        <w:t>la contratación directa por parte de todos los entes del Estado</w:t>
      </w:r>
      <w:r>
        <w:rPr>
          <w:rFonts w:ascii="Verdana" w:eastAsia="Calibri" w:hAnsi="Verdana" w:cs="Arial"/>
          <w:bCs/>
        </w:rPr>
        <w:t>”</w:t>
      </w:r>
      <w:r w:rsidRPr="00F10E52">
        <w:rPr>
          <w:rFonts w:ascii="Verdana" w:eastAsia="Calibri" w:hAnsi="Verdana" w:cs="Arial"/>
        </w:rPr>
        <w:t xml:space="preserve"> durante los cuatro (4) meses anteriores a las elecciones presidenciales, salvo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 xml:space="preserve">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w:t>
      </w:r>
      <w:r w:rsidRPr="00F10E52">
        <w:rPr>
          <w:rFonts w:ascii="Verdana" w:eastAsia="Calibri" w:hAnsi="Verdana" w:cs="Arial"/>
        </w:rPr>
        <w:lastRenderedPageBreak/>
        <w:t>acciones terroristas, desastres naturales o casos de fuerza mayor, y los que deban realizar las entidades sanitarias y hospitalarias</w:t>
      </w:r>
      <w:r>
        <w:rPr>
          <w:rFonts w:ascii="Verdana" w:eastAsia="Calibri" w:hAnsi="Verdana" w:cs="Arial"/>
          <w:bCs/>
        </w:rPr>
        <w:t>”</w:t>
      </w:r>
      <w:r w:rsidRPr="00F10E52">
        <w:rPr>
          <w:rFonts w:ascii="Verdana" w:eastAsia="Calibri" w:hAnsi="Verdana" w:cs="Arial"/>
          <w:bCs/>
          <w:vertAlign w:val="superscript"/>
        </w:rPr>
        <w:footnoteReference w:id="7"/>
      </w:r>
      <w:r w:rsidRPr="00F10E52">
        <w:rPr>
          <w:rFonts w:ascii="Verdana" w:eastAsia="Calibri" w:hAnsi="Verdana" w:cs="Arial"/>
        </w:rPr>
        <w:t>.</w:t>
      </w:r>
    </w:p>
    <w:p w14:paraId="327BDC5B" w14:textId="77777777" w:rsidR="008A19CC" w:rsidRDefault="008A19CC" w:rsidP="008A19CC">
      <w:pPr>
        <w:widowControl w:val="0"/>
        <w:autoSpaceDE w:val="0"/>
        <w:autoSpaceDN w:val="0"/>
        <w:spacing w:after="120" w:line="276" w:lineRule="auto"/>
        <w:ind w:firstLine="708"/>
        <w:jc w:val="both"/>
        <w:rPr>
          <w:rFonts w:ascii="Verdana" w:eastAsia="Arial" w:hAnsi="Verdana" w:cs="Arial"/>
          <w:lang w:val="es-ES" w:eastAsia="es-ES" w:bidi="es-ES"/>
        </w:rPr>
      </w:pPr>
      <w:r w:rsidRPr="00F10E52">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w:t>
      </w:r>
      <w:r w:rsidRPr="00F10E52">
        <w:rPr>
          <w:rFonts w:ascii="Verdana" w:eastAsia="Calibri" w:hAnsi="Verdana" w:cs="Arial"/>
          <w:bCs/>
        </w:rPr>
        <w:t xml:space="preserve"> </w:t>
      </w:r>
      <w:r w:rsidRPr="00F10E52">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F10E52">
        <w:rPr>
          <w:rFonts w:ascii="Verdana" w:eastAsia="Calibri" w:hAnsi="Verdana" w:cs="Arial"/>
          <w:bCs/>
          <w:vertAlign w:val="superscript"/>
        </w:rPr>
        <w:footnoteReference w:id="8"/>
      </w:r>
      <w:r w:rsidRPr="00F10E52">
        <w:rPr>
          <w:rFonts w:ascii="Verdana" w:eastAsia="Calibri" w:hAnsi="Verdana" w:cs="Arial"/>
        </w:rPr>
        <w:t>.</w:t>
      </w:r>
      <w:r w:rsidRPr="00F10E52">
        <w:rPr>
          <w:rFonts w:ascii="Verdana" w:eastAsia="Arial" w:hAnsi="Verdana" w:cs="Arial"/>
          <w:lang w:val="es-ES" w:eastAsia="es-ES" w:bidi="es-ES"/>
        </w:rPr>
        <w:t xml:space="preserve"> </w:t>
      </w:r>
    </w:p>
    <w:p w14:paraId="54C164A0" w14:textId="77777777" w:rsidR="008A19CC" w:rsidRPr="00F10E52" w:rsidRDefault="008A19CC" w:rsidP="008A19CC">
      <w:pPr>
        <w:widowControl w:val="0"/>
        <w:autoSpaceDE w:val="0"/>
        <w:autoSpaceDN w:val="0"/>
        <w:spacing w:before="120" w:after="0" w:line="276" w:lineRule="auto"/>
        <w:ind w:right="113" w:firstLine="708"/>
        <w:jc w:val="both"/>
        <w:rPr>
          <w:rFonts w:ascii="Verdana" w:eastAsia="Arial" w:hAnsi="Verdana" w:cs="Arial"/>
          <w:lang w:val="es-ES" w:eastAsia="es-ES" w:bidi="es-ES"/>
        </w:rPr>
      </w:pPr>
      <w:r w:rsidRPr="00F10E52">
        <w:rPr>
          <w:rFonts w:ascii="Verdana" w:eastAsia="Arial" w:hAnsi="Verdana" w:cs="Arial"/>
          <w:lang w:val="es-ES" w:eastAsia="es-ES" w:bidi="es-ES"/>
        </w:rPr>
        <w:t>La Sala de Consulta y Servicio Civil del Consejo de Estado ha aclarado la distinción en la aplicación de las prohibiciones de la Ley 996 de 2005, dependiendo del tipo de elección que se trate. Al respecto, considera que:</w:t>
      </w:r>
    </w:p>
    <w:p w14:paraId="1A3E389A" w14:textId="77777777" w:rsidR="008A19CC" w:rsidRPr="006A51F6" w:rsidRDefault="008A19CC" w:rsidP="008A19CC">
      <w:pPr>
        <w:widowControl w:val="0"/>
        <w:autoSpaceDE w:val="0"/>
        <w:autoSpaceDN w:val="0"/>
        <w:spacing w:after="0" w:line="240" w:lineRule="auto"/>
        <w:ind w:left="709" w:right="709"/>
        <w:jc w:val="both"/>
        <w:rPr>
          <w:rFonts w:ascii="Verdana" w:eastAsia="Arial" w:hAnsi="Verdana" w:cs="Arial"/>
          <w:lang w:val="es-ES" w:eastAsia="es-ES" w:bidi="es-ES"/>
        </w:rPr>
      </w:pPr>
    </w:p>
    <w:p w14:paraId="600E23B1" w14:textId="77777777" w:rsidR="008A19CC" w:rsidRPr="009B20C5" w:rsidRDefault="008A19CC" w:rsidP="008A19CC">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9B20C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6" w:name="_Hlk76109421"/>
      <w:r w:rsidRPr="009B20C5">
        <w:rPr>
          <w:rFonts w:ascii="Verdana" w:eastAsia="Arial" w:hAnsi="Verdana" w:cs="Arial"/>
          <w:sz w:val="20"/>
          <w:szCs w:val="20"/>
          <w:lang w:val="es-ES" w:eastAsia="es-ES" w:bidi="es-ES"/>
        </w:rPr>
        <w:t>se integran parcialmente</w:t>
      </w:r>
      <w:bookmarkEnd w:id="6"/>
      <w:r w:rsidRPr="009B20C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w:t>
      </w:r>
      <w:r w:rsidRPr="009B20C5">
        <w:rPr>
          <w:rFonts w:ascii="Verdana" w:eastAsia="Arial" w:hAnsi="Verdana" w:cs="Arial"/>
          <w:sz w:val="20"/>
          <w:szCs w:val="20"/>
          <w:lang w:val="es-ES" w:eastAsia="es-ES" w:bidi="es-ES"/>
        </w:rPr>
        <w:lastRenderedPageBreak/>
        <w:t xml:space="preserve">del parágrafo del artículo 38. </w:t>
      </w:r>
      <w:r w:rsidRPr="009B20C5">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Pr>
          <w:rFonts w:ascii="Verdana" w:eastAsia="Arial" w:hAnsi="Verdana" w:cs="Arial"/>
          <w:sz w:val="20"/>
          <w:szCs w:val="20"/>
          <w:lang w:val="es-ES" w:eastAsia="es-ES" w:bidi="es-ES"/>
        </w:rPr>
        <w:t>”</w:t>
      </w:r>
      <w:r w:rsidRPr="009B20C5">
        <w:rPr>
          <w:rFonts w:ascii="Verdana" w:eastAsia="Arial" w:hAnsi="Verdana" w:cs="Arial"/>
          <w:sz w:val="20"/>
          <w:szCs w:val="20"/>
          <w:vertAlign w:val="superscript"/>
          <w:lang w:val="es-ES" w:eastAsia="es-ES" w:bidi="es-ES"/>
        </w:rPr>
        <w:footnoteReference w:id="9"/>
      </w:r>
      <w:r>
        <w:rPr>
          <w:rFonts w:ascii="Verdana" w:eastAsia="Arial" w:hAnsi="Verdana" w:cs="Arial"/>
          <w:sz w:val="20"/>
          <w:szCs w:val="20"/>
          <w:lang w:val="es-ES" w:eastAsia="es-ES" w:bidi="es-ES"/>
        </w:rPr>
        <w:t>.</w:t>
      </w:r>
    </w:p>
    <w:p w14:paraId="197C1C8A" w14:textId="77777777" w:rsidR="008A19CC" w:rsidRDefault="008A19CC" w:rsidP="008A19CC">
      <w:pPr>
        <w:spacing w:after="0" w:line="276" w:lineRule="auto"/>
        <w:ind w:firstLine="709"/>
        <w:jc w:val="both"/>
        <w:rPr>
          <w:rFonts w:ascii="Verdana" w:eastAsia="Arial" w:hAnsi="Verdana" w:cs="Arial"/>
          <w:lang w:val="es-ES" w:eastAsia="es-ES" w:bidi="es-ES"/>
        </w:rPr>
      </w:pPr>
    </w:p>
    <w:p w14:paraId="495F8870" w14:textId="77777777" w:rsidR="008A19CC" w:rsidRPr="00F10E52" w:rsidRDefault="008A19CC" w:rsidP="008A19CC">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De conformidad con lo anterior</w:t>
      </w:r>
      <w:bookmarkStart w:id="7" w:name="_Hlk99438241"/>
      <w:r w:rsidRPr="00F10E52">
        <w:rPr>
          <w:rFonts w:ascii="Verdana" w:eastAsia="Arial" w:hAnsi="Verdana" w:cs="Arial"/>
          <w:lang w:val="es-ES" w:eastAsia="es-ES" w:bidi="es-ES"/>
        </w:rPr>
        <w:t xml:space="preserve">, </w:t>
      </w:r>
      <w:bookmarkStart w:id="8" w:name="_Hlk77236420"/>
      <w:bookmarkStart w:id="9" w:name="_Hlk78818435"/>
      <w:bookmarkStart w:id="10" w:name="_Hlk75780333"/>
      <w:r w:rsidRPr="00F10E52">
        <w:rPr>
          <w:rFonts w:ascii="Verdana" w:eastAsia="Arial" w:hAnsi="Verdana" w:cs="Arial"/>
          <w:lang w:val="es-ES" w:eastAsia="es-ES" w:bidi="es-ES"/>
        </w:rPr>
        <w:t xml:space="preserve">la Ley 996 de 2005 establece dos (2) tipos de restricciones en materia de contratación, las cuales coinciden parcialmente. </w:t>
      </w:r>
      <w:r w:rsidRPr="00F10E52">
        <w:rPr>
          <w:rFonts w:ascii="Verdana" w:eastAsia="Arial" w:hAnsi="Verdana" w:cs="Arial"/>
          <w:i/>
          <w:iCs/>
          <w:lang w:val="es-ES" w:eastAsia="es-ES" w:bidi="es-ES"/>
        </w:rPr>
        <w:t>En primer lugar</w:t>
      </w:r>
      <w:r w:rsidRPr="00F10E52">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F10E52">
        <w:rPr>
          <w:rFonts w:ascii="Verdana" w:eastAsia="Arial" w:hAnsi="Verdana" w:cs="Arial"/>
          <w:i/>
          <w:iCs/>
          <w:lang w:val="es-ES" w:eastAsia="es-ES" w:bidi="es-ES"/>
        </w:rPr>
        <w:t>En segundo lugar</w:t>
      </w:r>
      <w:r w:rsidRPr="00F10E52">
        <w:rPr>
          <w:rFonts w:ascii="Verdana" w:eastAsia="Arial" w:hAnsi="Verdana" w:cs="Arial"/>
          <w:lang w:val="es-ES" w:eastAsia="es-ES" w:bidi="es-ES"/>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bookmarkEnd w:id="8"/>
    </w:p>
    <w:bookmarkEnd w:id="7"/>
    <w:bookmarkEnd w:id="9"/>
    <w:p w14:paraId="71021444" w14:textId="77777777" w:rsidR="008A19CC" w:rsidRPr="00F10E52" w:rsidRDefault="008A19CC" w:rsidP="008A19CC">
      <w:pPr>
        <w:spacing w:after="120" w:line="276" w:lineRule="auto"/>
        <w:ind w:firstLine="709"/>
        <w:jc w:val="both"/>
        <w:rPr>
          <w:rFonts w:ascii="Verdana" w:eastAsia="Arial" w:hAnsi="Verdana" w:cs="Arial"/>
          <w:lang w:val="es-ES" w:eastAsia="es-ES" w:bidi="es-ES"/>
        </w:rPr>
      </w:pPr>
      <w:r w:rsidRPr="00F10E52">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0"/>
    <w:p w14:paraId="77D05DE6" w14:textId="77777777" w:rsidR="008A19CC" w:rsidRDefault="008A19CC" w:rsidP="008A19CC">
      <w:pPr>
        <w:spacing w:after="120" w:line="276" w:lineRule="auto"/>
        <w:ind w:firstLine="708"/>
        <w:jc w:val="both"/>
        <w:rPr>
          <w:rFonts w:ascii="Verdana" w:eastAsia="Times New Roman" w:hAnsi="Verdana" w:cs="Arial"/>
          <w:bCs/>
          <w:lang w:val="es-ES" w:eastAsia="es-CO"/>
        </w:rPr>
      </w:pPr>
      <w:r w:rsidRPr="00F10E52">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Presidente o el Vicepresidente desde que éstos –estando en ejercicio de su cargo– manifiesten el interés de ser candidato presidencial, lo cual debe ocurrir seis meses antes de la elección en primera vuelta, de acuerdo con el artículo 9 de la Ley 996 de 2005. Sin embargo, el </w:t>
      </w:r>
      <w:r w:rsidRPr="00F10E52">
        <w:rPr>
          <w:rFonts w:ascii="Verdana" w:eastAsia="Arial" w:hAnsi="Verdana" w:cs="Arial"/>
          <w:lang w:val="es-ES" w:eastAsia="es-ES" w:bidi="es-ES"/>
        </w:rPr>
        <w:lastRenderedPageBreak/>
        <w:t xml:space="preserve">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0FAF41A9" w14:textId="77777777" w:rsidR="008A19CC" w:rsidRDefault="008A19CC" w:rsidP="008A19CC">
      <w:pPr>
        <w:spacing w:after="0" w:line="276" w:lineRule="auto"/>
        <w:ind w:firstLine="708"/>
        <w:jc w:val="both"/>
        <w:rPr>
          <w:rFonts w:ascii="Verdana" w:eastAsia="Arial" w:hAnsi="Verdana" w:cs="Arial"/>
          <w:lang w:val="es-ES" w:eastAsia="es-ES" w:bidi="es-ES"/>
        </w:rPr>
      </w:pPr>
      <w:r>
        <w:rPr>
          <w:rFonts w:ascii="Verdana" w:eastAsia="Times New Roman" w:hAnsi="Verdana" w:cs="Arial"/>
          <w:bCs/>
          <w:lang w:val="es-ES" w:eastAsia="es-CO"/>
        </w:rPr>
        <w:t xml:space="preserve">Teniendo en cuenta el objeto de la consulta, a continuación, se hará un análisis sobre la aplicación de la prohibición contenida en el artículo 33 y sus excepciones, relacionada con su ámbito de aplicación y sus destinatarios. </w:t>
      </w:r>
    </w:p>
    <w:p w14:paraId="5176A2AC" w14:textId="77777777" w:rsidR="008A19CC" w:rsidRDefault="008A19CC" w:rsidP="008A19CC">
      <w:pPr>
        <w:spacing w:after="0" w:line="240" w:lineRule="auto"/>
        <w:ind w:firstLine="709"/>
        <w:jc w:val="both"/>
        <w:rPr>
          <w:rFonts w:ascii="Verdana" w:eastAsia="Arial" w:hAnsi="Verdana" w:cs="Arial"/>
          <w:lang w:val="es-ES" w:eastAsia="es-ES" w:bidi="es-ES"/>
        </w:rPr>
      </w:pPr>
    </w:p>
    <w:p w14:paraId="4F4B75C1" w14:textId="77777777" w:rsidR="008A19CC" w:rsidRPr="007777F3" w:rsidRDefault="008A19CC" w:rsidP="008A19CC">
      <w:pPr>
        <w:spacing w:after="0" w:line="276" w:lineRule="auto"/>
        <w:ind w:firstLine="708"/>
        <w:jc w:val="both"/>
        <w:rPr>
          <w:rFonts w:ascii="Verdana" w:eastAsia="Arial" w:hAnsi="Verdana" w:cs="Arial"/>
          <w:lang w:val="es-ES" w:eastAsia="es-ES" w:bidi="es-ES"/>
        </w:rPr>
      </w:pPr>
      <w:r w:rsidRPr="00195E24">
        <w:rPr>
          <w:rFonts w:ascii="Verdana" w:hAnsi="Verdana" w:cs="Arial"/>
          <w:bCs/>
          <w:lang w:eastAsia="x-none"/>
        </w:rPr>
        <w:t xml:space="preserve">El ámbito material de la prohibición contenida </w:t>
      </w:r>
      <w:bookmarkStart w:id="11" w:name="_Hlk75628761"/>
      <w:r w:rsidRPr="00195E24">
        <w:rPr>
          <w:rFonts w:ascii="Verdana" w:hAnsi="Verdana" w:cs="Arial"/>
          <w:bCs/>
          <w:lang w:eastAsia="x-none"/>
        </w:rPr>
        <w:t xml:space="preserve">en el artículo 33 de la ley 996 de 2005 </w:t>
      </w:r>
      <w:bookmarkEnd w:id="11"/>
      <w:r w:rsidRPr="00195E24">
        <w:rPr>
          <w:rFonts w:ascii="Verdana" w:hAnsi="Verdana" w:cs="Arial"/>
          <w:bCs/>
          <w:lang w:eastAsia="x-none"/>
        </w:rPr>
        <w:t xml:space="preserve">está delimitado por la expresión </w:t>
      </w:r>
      <w:r w:rsidRPr="00195E24">
        <w:rPr>
          <w:rFonts w:ascii="Verdana" w:eastAsia="Calibri" w:hAnsi="Verdana" w:cs="Arial"/>
          <w:bCs/>
          <w:i/>
          <w:iCs/>
          <w:sz w:val="20"/>
          <w:szCs w:val="20"/>
        </w:rPr>
        <w:t>“</w:t>
      </w:r>
      <w:r w:rsidRPr="00195E24">
        <w:rPr>
          <w:rFonts w:ascii="Verdana" w:hAnsi="Verdana" w:cs="Arial"/>
          <w:bCs/>
          <w:i/>
          <w:iCs/>
          <w:lang w:eastAsia="x-none"/>
        </w:rPr>
        <w:t>queda prohibida la contratación directa</w:t>
      </w:r>
      <w:r w:rsidRPr="00195E24">
        <w:rPr>
          <w:rFonts w:ascii="Verdana" w:hAnsi="Verdana" w:cs="Arial"/>
          <w:sz w:val="20"/>
          <w:szCs w:val="20"/>
        </w:rPr>
        <w:t>”</w:t>
      </w:r>
      <w:r w:rsidRPr="00195E24">
        <w:rPr>
          <w:rFonts w:ascii="Verdana" w:hAnsi="Verdana" w:cs="Arial"/>
          <w:bCs/>
          <w:lang w:eastAsia="x-none"/>
        </w:rPr>
        <w:t>.</w:t>
      </w:r>
      <w:r w:rsidRPr="00195E24">
        <w:rPr>
          <w:rFonts w:ascii="Verdana" w:hAnsi="Verdana" w:cs="Arial"/>
          <w:lang w:eastAsia="es-CO"/>
        </w:rPr>
        <w:t xml:space="preserve"> A propósito de esta restricción de la Ley de Garantías Electorales, la Sala de Consulta y Servicio Civil del Consejo de Estado ha considerado que:</w:t>
      </w:r>
    </w:p>
    <w:p w14:paraId="1CF13BB7" w14:textId="77777777" w:rsidR="008A19CC" w:rsidRPr="00195E24" w:rsidRDefault="008A19CC" w:rsidP="008A19CC">
      <w:pPr>
        <w:spacing w:after="0" w:line="240" w:lineRule="auto"/>
        <w:jc w:val="both"/>
        <w:rPr>
          <w:rFonts w:ascii="Verdana" w:hAnsi="Verdana" w:cs="Arial"/>
          <w:bCs/>
          <w:lang w:eastAsia="es-CO"/>
        </w:rPr>
      </w:pPr>
    </w:p>
    <w:p w14:paraId="6D8CA3B5" w14:textId="77777777" w:rsidR="008A19CC" w:rsidRDefault="008A19CC" w:rsidP="008A19CC">
      <w:pPr>
        <w:spacing w:after="0" w:line="240" w:lineRule="auto"/>
        <w:ind w:left="709" w:right="709"/>
        <w:jc w:val="both"/>
        <w:rPr>
          <w:rFonts w:ascii="Verdana" w:hAnsi="Verdana" w:cs="Arial"/>
          <w:sz w:val="20"/>
          <w:szCs w:val="20"/>
        </w:rPr>
      </w:pPr>
      <w:r w:rsidRPr="005800D0">
        <w:rPr>
          <w:rFonts w:ascii="Verdana" w:hAnsi="Verdana" w:cs="Arial"/>
          <w:sz w:val="20"/>
          <w:szCs w:val="20"/>
        </w:rPr>
        <w:t>“</w:t>
      </w:r>
      <w:r>
        <w:rPr>
          <w:rFonts w:ascii="Verdana" w:hAnsi="Verdana" w:cs="Arial"/>
          <w:sz w:val="20"/>
          <w:szCs w:val="20"/>
        </w:rPr>
        <w:t xml:space="preserve">(…) </w:t>
      </w:r>
      <w:r w:rsidRPr="005800D0">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5800D0">
        <w:rPr>
          <w:rFonts w:ascii="Verdana" w:hAnsi="Verdana" w:cs="Arial"/>
          <w:sz w:val="20"/>
          <w:szCs w:val="20"/>
          <w:vertAlign w:val="superscript"/>
          <w:lang w:eastAsia="es-CO"/>
        </w:rPr>
        <w:footnoteReference w:id="10"/>
      </w:r>
      <w:r w:rsidRPr="005800D0">
        <w:rPr>
          <w:rFonts w:ascii="Verdana" w:hAnsi="Verdana" w:cs="Arial"/>
          <w:sz w:val="20"/>
          <w:szCs w:val="20"/>
        </w:rPr>
        <w:t>.</w:t>
      </w:r>
    </w:p>
    <w:p w14:paraId="47715ADA" w14:textId="77777777" w:rsidR="008A19CC" w:rsidRPr="005800D0" w:rsidRDefault="008A19CC" w:rsidP="008A19CC">
      <w:pPr>
        <w:spacing w:after="0" w:line="240" w:lineRule="auto"/>
        <w:ind w:left="709" w:right="709"/>
        <w:jc w:val="both"/>
        <w:rPr>
          <w:rFonts w:ascii="Verdana" w:hAnsi="Verdana" w:cs="Arial"/>
          <w:sz w:val="20"/>
          <w:szCs w:val="20"/>
        </w:rPr>
      </w:pPr>
    </w:p>
    <w:p w14:paraId="62B74006" w14:textId="77777777" w:rsidR="008A19CC" w:rsidRDefault="008A19CC" w:rsidP="008A19CC">
      <w:pPr>
        <w:spacing w:after="0" w:line="240" w:lineRule="auto"/>
        <w:ind w:left="709" w:right="709"/>
        <w:jc w:val="both"/>
        <w:rPr>
          <w:rFonts w:ascii="Verdana" w:hAnsi="Verdana" w:cs="Arial"/>
          <w:sz w:val="20"/>
          <w:szCs w:val="20"/>
        </w:rPr>
      </w:pPr>
      <w:r w:rsidRPr="005800D0">
        <w:rPr>
          <w:rFonts w:ascii="Verdana" w:hAnsi="Verdana" w:cs="Arial"/>
          <w:sz w:val="20"/>
          <w:szCs w:val="20"/>
        </w:rPr>
        <w:t xml:space="preserve">Esta Sala ha entendido que para los efectos de la ley de garantías, y dada su finalidad, el enunciado ´contratación directa´ es sinónimo </w:t>
      </w:r>
      <w:bookmarkStart w:id="12" w:name="_Hlk75741738"/>
      <w:r w:rsidRPr="005800D0">
        <w:rPr>
          <w:rFonts w:ascii="Verdana" w:hAnsi="Verdana" w:cs="Arial"/>
          <w:sz w:val="20"/>
          <w:szCs w:val="20"/>
        </w:rPr>
        <w:t xml:space="preserve">de cualquier sistema que no implique convocatoria pública y posibilidad de pluralidad de oferentes, </w:t>
      </w:r>
      <w:bookmarkEnd w:id="12"/>
      <w:r w:rsidRPr="005800D0">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5800D0">
        <w:rPr>
          <w:rFonts w:ascii="Verdana" w:hAnsi="Verdana" w:cs="Arial"/>
          <w:sz w:val="20"/>
          <w:szCs w:val="20"/>
          <w:vertAlign w:val="superscript"/>
        </w:rPr>
        <w:footnoteReference w:id="11"/>
      </w:r>
      <w:r w:rsidRPr="005800D0">
        <w:rPr>
          <w:rFonts w:ascii="Verdana" w:hAnsi="Verdana" w:cs="Arial"/>
          <w:sz w:val="20"/>
          <w:szCs w:val="20"/>
          <w:vertAlign w:val="superscript"/>
        </w:rPr>
        <w:t>.</w:t>
      </w:r>
      <w:r w:rsidRPr="005800D0">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w:t>
      </w:r>
      <w:r w:rsidRPr="005800D0">
        <w:rPr>
          <w:rFonts w:ascii="Verdana" w:hAnsi="Verdana" w:cs="Arial"/>
          <w:sz w:val="20"/>
          <w:szCs w:val="20"/>
        </w:rPr>
        <w:lastRenderedPageBreak/>
        <w:t xml:space="preserve">por la cual en ese periodo preelectoral de que trata la disposición pueden las entidades públicas seguir contratando bajo estos sistemas. </w:t>
      </w:r>
      <w:r>
        <w:rPr>
          <w:rFonts w:ascii="Verdana" w:hAnsi="Verdana" w:cs="Arial"/>
          <w:sz w:val="20"/>
          <w:szCs w:val="20"/>
        </w:rPr>
        <w:t>(…)”</w:t>
      </w:r>
      <w:r w:rsidRPr="005800D0">
        <w:rPr>
          <w:rFonts w:ascii="Verdana" w:hAnsi="Verdana" w:cs="Arial"/>
          <w:sz w:val="20"/>
          <w:szCs w:val="20"/>
          <w:vertAlign w:val="superscript"/>
          <w:lang w:eastAsia="es-CO"/>
        </w:rPr>
        <w:footnoteReference w:id="12"/>
      </w:r>
      <w:r w:rsidRPr="005800D0">
        <w:rPr>
          <w:rFonts w:ascii="Verdana" w:hAnsi="Verdana" w:cs="Arial"/>
          <w:sz w:val="20"/>
          <w:szCs w:val="20"/>
        </w:rPr>
        <w:t>.</w:t>
      </w:r>
    </w:p>
    <w:p w14:paraId="2B20166D" w14:textId="77777777" w:rsidR="008A19CC" w:rsidRPr="005800D0" w:rsidRDefault="008A19CC" w:rsidP="008A19CC">
      <w:pPr>
        <w:spacing w:after="0" w:line="240" w:lineRule="auto"/>
        <w:ind w:left="709" w:right="709"/>
        <w:jc w:val="both"/>
        <w:rPr>
          <w:rFonts w:ascii="Verdana" w:hAnsi="Verdana" w:cs="Arial"/>
        </w:rPr>
      </w:pPr>
    </w:p>
    <w:p w14:paraId="09090AD3" w14:textId="77777777" w:rsidR="008A19CC" w:rsidRPr="00195E24" w:rsidRDefault="008A19CC" w:rsidP="008A19CC">
      <w:pPr>
        <w:spacing w:after="120" w:line="276" w:lineRule="auto"/>
        <w:ind w:firstLine="708"/>
        <w:jc w:val="both"/>
        <w:rPr>
          <w:rFonts w:ascii="Verdana" w:hAnsi="Verdana" w:cs="Arial"/>
          <w:bCs/>
          <w:lang w:eastAsia="x-none"/>
        </w:rPr>
      </w:pPr>
      <w:bookmarkStart w:id="14" w:name="_Hlk94521748"/>
      <w:r w:rsidRPr="00195E24">
        <w:rPr>
          <w:rFonts w:ascii="Verdana" w:hAnsi="Verdana" w:cs="Arial"/>
          <w:lang w:eastAsia="x-none"/>
        </w:rPr>
        <w:t xml:space="preserve">De acuerdo con el citado concepto, la prohibición del artículo 33 de la Ley de Garantías Electorales se refiere a </w:t>
      </w:r>
      <w:r>
        <w:rPr>
          <w:rFonts w:ascii="Verdana" w:hAnsi="Verdana" w:cs="Arial"/>
          <w:sz w:val="19"/>
          <w:szCs w:val="19"/>
          <w:lang w:eastAsia="en-GB"/>
        </w:rPr>
        <w:t>“</w:t>
      </w:r>
      <w:r w:rsidRPr="00195E24">
        <w:rPr>
          <w:rFonts w:ascii="Verdana" w:hAnsi="Verdana" w:cs="Arial"/>
          <w:lang w:eastAsia="x-none"/>
        </w:rPr>
        <w:t>cualquier sistema que no implique convocatoria pública y posibilidad de pluralidad de oferentes</w:t>
      </w:r>
      <w:r>
        <w:rPr>
          <w:rFonts w:ascii="Verdana" w:hAnsi="Verdana" w:cs="Arial"/>
          <w:lang w:eastAsia="en-GB"/>
        </w:rPr>
        <w:t>”</w:t>
      </w:r>
      <w:r w:rsidRPr="00195E24">
        <w:rPr>
          <w:rFonts w:ascii="Verdana" w:hAnsi="Verdana" w:cs="Arial"/>
          <w:lang w:eastAsia="x-none"/>
        </w:rPr>
        <w:t xml:space="preserve">, por lo que excluye las demás modalidades de contratación previstas en la Ley 1150 de 2007, es decir, la licitación pública, la selección abreviada, el concurso de méritos </w:t>
      </w:r>
      <w:r w:rsidRPr="00195E24">
        <w:rPr>
          <w:rFonts w:ascii="Verdana" w:hAnsi="Verdana" w:cs="Arial"/>
          <w:lang w:val="es-ES_tradnl" w:eastAsia="x-none"/>
        </w:rPr>
        <w:t>y la mínima cuantía</w:t>
      </w:r>
      <w:r w:rsidRPr="00195E24" w:rsidDel="00A85D9F">
        <w:rPr>
          <w:rFonts w:ascii="Verdana" w:hAnsi="Verdana" w:cs="Arial"/>
          <w:lang w:eastAsia="x-none"/>
        </w:rPr>
        <w:t xml:space="preserve"> </w:t>
      </w:r>
      <w:r w:rsidRPr="00195E24">
        <w:rPr>
          <w:rFonts w:ascii="Verdana" w:hAnsi="Verdana" w:cs="Arial"/>
          <w:lang w:eastAsia="x-none"/>
        </w:rPr>
        <w:t>u otros previstos en normas especiales. Esta posición es congruente con la expedición de la Ley 1150 de 2007 que, entre otras reformas, introdujo la selección abreviada, rediseñó el concurso de méritos</w:t>
      </w:r>
      <w:r w:rsidRPr="00195E24">
        <w:rPr>
          <w:rFonts w:ascii="Verdana" w:hAnsi="Verdana" w:cs="Arial"/>
          <w:vertAlign w:val="superscript"/>
          <w:lang w:val="en-GB" w:eastAsia="x-none"/>
        </w:rPr>
        <w:footnoteReference w:id="13"/>
      </w:r>
      <w:r w:rsidRPr="00195E24">
        <w:rPr>
          <w:rFonts w:ascii="Verdana" w:hAnsi="Verdana" w:cs="Arial"/>
          <w:lang w:eastAsia="x-none"/>
        </w:rPr>
        <w:t xml:space="preserve"> y sistematizó las causales de contratación directa</w:t>
      </w:r>
      <w:r w:rsidRPr="00195E24">
        <w:rPr>
          <w:rFonts w:ascii="Verdana" w:hAnsi="Verdana" w:cs="Arial"/>
          <w:vertAlign w:val="superscript"/>
          <w:lang w:val="en-GB" w:eastAsia="x-none"/>
        </w:rPr>
        <w:footnoteReference w:id="14"/>
      </w:r>
      <w:r w:rsidRPr="00195E24">
        <w:rPr>
          <w:rFonts w:ascii="Verdana" w:hAnsi="Verdana" w:cs="Arial"/>
          <w:lang w:eastAsia="x-none"/>
        </w:rPr>
        <w:t>, además lo es con la posterior creación de la modalidad de mínima cuantía establecida actualmente en el numeral 5 del artículo 2 de la Ley 1150 de 2007, de acuerdo con las modificaciones realizadas por leyes posteriores.</w:t>
      </w:r>
    </w:p>
    <w:bookmarkEnd w:id="14"/>
    <w:p w14:paraId="3AF0EF1C" w14:textId="77777777" w:rsidR="008A19CC" w:rsidRPr="00195E24" w:rsidRDefault="008A19CC" w:rsidP="008A19CC">
      <w:pPr>
        <w:spacing w:after="120" w:line="276" w:lineRule="auto"/>
        <w:ind w:firstLine="709"/>
        <w:jc w:val="both"/>
        <w:rPr>
          <w:rFonts w:ascii="Verdana" w:hAnsi="Verdana" w:cs="Arial"/>
          <w:lang w:eastAsia="x-none"/>
        </w:rPr>
      </w:pPr>
      <w:r w:rsidRPr="00195E24">
        <w:rPr>
          <w:rFonts w:ascii="Verdana" w:hAnsi="Verdana" w:cs="Arial"/>
          <w:lang w:eastAsia="x-none"/>
        </w:rPr>
        <w:t xml:space="preserve">De esta forma, con fundamento en la evolución de la normativa sobre la contratación pública, se ha depurado la noción de </w:t>
      </w:r>
      <w:r w:rsidRPr="00195E24">
        <w:rPr>
          <w:rFonts w:ascii="Verdana" w:hAnsi="Verdana" w:cs="Arial"/>
          <w:i/>
          <w:iCs/>
          <w:sz w:val="19"/>
          <w:szCs w:val="19"/>
          <w:lang w:eastAsia="en-GB"/>
        </w:rPr>
        <w:t>“</w:t>
      </w:r>
      <w:r w:rsidRPr="00195E24">
        <w:rPr>
          <w:rFonts w:ascii="Verdana" w:hAnsi="Verdana" w:cs="Arial"/>
          <w:i/>
          <w:iCs/>
          <w:lang w:eastAsia="x-none"/>
        </w:rPr>
        <w:t>contratación directa</w:t>
      </w:r>
      <w:r w:rsidRPr="00195E24">
        <w:rPr>
          <w:rFonts w:ascii="Verdana" w:hAnsi="Verdana" w:cs="Arial"/>
          <w:lang w:eastAsia="en-GB"/>
        </w:rPr>
        <w:t>”</w:t>
      </w:r>
      <w:r w:rsidRPr="00195E24">
        <w:rPr>
          <w:rFonts w:ascii="Verdana" w:hAnsi="Verdana" w:cs="Arial"/>
          <w:lang w:eastAsia="x-none"/>
        </w:rPr>
        <w:t>, precisando el Consejo de Estado –en el concepto citado– que, “aun cuando no coincide única y exactamente con la regulación que de dicho sistema de selección hace el artículo 2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195E24">
        <w:rPr>
          <w:rFonts w:ascii="Verdana" w:hAnsi="Verdana" w:cs="Arial"/>
          <w:vertAlign w:val="superscript"/>
          <w:lang w:val="en-GB" w:eastAsia="x-none"/>
        </w:rPr>
        <w:footnoteReference w:id="15"/>
      </w:r>
      <w:r w:rsidRPr="00195E24">
        <w:rPr>
          <w:rFonts w:ascii="Verdana" w:hAnsi="Verdana" w:cs="Arial"/>
          <w:lang w:eastAsia="x-none"/>
        </w:rPr>
        <w:t>, han establecido sistemas de contratación que implican convocatoria pública y participación de varios oferentes</w:t>
      </w:r>
      <w:r w:rsidRPr="00195E24">
        <w:rPr>
          <w:rFonts w:ascii="Verdana" w:hAnsi="Verdana" w:cs="Arial"/>
          <w:lang w:eastAsia="en-GB"/>
        </w:rPr>
        <w:t>”</w:t>
      </w:r>
      <w:r w:rsidRPr="00195E24">
        <w:rPr>
          <w:rFonts w:ascii="Verdana" w:hAnsi="Verdana" w:cs="Arial"/>
          <w:lang w:eastAsia="x-none"/>
        </w:rPr>
        <w:t>.</w:t>
      </w:r>
    </w:p>
    <w:p w14:paraId="4811D053" w14:textId="77777777" w:rsidR="008A19CC" w:rsidRPr="00195E24" w:rsidRDefault="008A19CC" w:rsidP="008A19CC">
      <w:pPr>
        <w:spacing w:after="120" w:line="276" w:lineRule="auto"/>
        <w:ind w:firstLine="709"/>
        <w:jc w:val="both"/>
        <w:rPr>
          <w:rFonts w:ascii="Verdana" w:hAnsi="Verdana" w:cs="Arial"/>
          <w:bCs/>
          <w:lang w:eastAsia="es-CO"/>
        </w:rPr>
      </w:pPr>
      <w:r w:rsidRPr="00195E24">
        <w:rPr>
          <w:rFonts w:ascii="Verdana" w:hAnsi="Verdana" w:cs="Arial"/>
          <w:bCs/>
          <w:lang w:eastAsia="x-none"/>
        </w:rPr>
        <w:t>E</w:t>
      </w:r>
      <w:r w:rsidRPr="00195E24">
        <w:rPr>
          <w:rFonts w:ascii="Verdana" w:hAnsi="Verdana" w:cs="Arial"/>
          <w:lang w:eastAsia="x-none"/>
        </w:rPr>
        <w:t xml:space="preserve">n efecto, vale la pena mencionar que, </w:t>
      </w:r>
      <w:bookmarkStart w:id="15" w:name="_Hlk75636073"/>
      <w:r w:rsidRPr="00195E24">
        <w:rPr>
          <w:rFonts w:ascii="Verdana" w:hAnsi="Verdana" w:cs="Arial"/>
          <w:lang w:eastAsia="x-none"/>
        </w:rPr>
        <w:t xml:space="preserve">en algunos sistemas de contratación, utilizados por entidades públicas con regímenes especiales, o sujetas al derecho privado, la convocatoria o invitación para contratar puede </w:t>
      </w:r>
      <w:r w:rsidRPr="00195E24">
        <w:rPr>
          <w:rFonts w:ascii="Verdana" w:hAnsi="Verdana" w:cs="Arial"/>
          <w:lang w:eastAsia="x-none"/>
        </w:rPr>
        <w:lastRenderedPageBreak/>
        <w:t xml:space="preserve">limitarse a aquellas personas que previamente se hayan inscrito en una lista de precalificados o de simples interesados, o en un determinado registro o banco de datos de proveedores. En estos casos, lo determinante para considerar que dicho sistema no constituye </w:t>
      </w:r>
      <w:r w:rsidRPr="00195E24">
        <w:rPr>
          <w:rFonts w:ascii="Verdana" w:hAnsi="Verdana" w:cs="Arial"/>
          <w:i/>
          <w:iCs/>
          <w:lang w:eastAsia="x-none"/>
        </w:rPr>
        <w:t>“contratación directa</w:t>
      </w:r>
      <w:r w:rsidRPr="00195E24">
        <w:rPr>
          <w:rFonts w:ascii="Verdana" w:hAnsi="Verdana" w:cs="Arial"/>
          <w:lang w:eastAsia="x-none"/>
        </w:rPr>
        <w:t>”, es que la convocatoria para inscribirse en forma previa se haga de manera pública, y que se permita la participación de una pluralidad de oferentes</w:t>
      </w:r>
      <w:bookmarkEnd w:id="15"/>
      <w:r w:rsidRPr="00195E24">
        <w:rPr>
          <w:rFonts w:ascii="Verdana" w:hAnsi="Verdana" w:cs="Arial"/>
          <w:vertAlign w:val="superscript"/>
          <w:lang w:eastAsia="x-none"/>
        </w:rPr>
        <w:footnoteReference w:id="16"/>
      </w:r>
      <w:r w:rsidRPr="00195E24">
        <w:rPr>
          <w:rFonts w:ascii="Verdana" w:hAnsi="Verdana" w:cs="Arial"/>
          <w:lang w:eastAsia="x-none"/>
        </w:rPr>
        <w:t xml:space="preserve">. </w:t>
      </w:r>
    </w:p>
    <w:p w14:paraId="6E71E11B" w14:textId="77777777" w:rsidR="008A19CC" w:rsidRPr="00CE0712" w:rsidRDefault="008A19CC" w:rsidP="008A19CC">
      <w:pPr>
        <w:spacing w:after="120" w:line="276" w:lineRule="auto"/>
        <w:ind w:firstLine="709"/>
        <w:jc w:val="both"/>
        <w:rPr>
          <w:rFonts w:ascii="Verdana" w:hAnsi="Verdana" w:cs="Arial"/>
          <w:bCs/>
          <w:lang w:eastAsia="es-CO"/>
        </w:rPr>
      </w:pPr>
      <w:r w:rsidRPr="00195E24">
        <w:rPr>
          <w:rFonts w:ascii="Verdana"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sidRPr="00195E24">
        <w:rPr>
          <w:rFonts w:ascii="Verdana" w:hAnsi="Verdana" w:cs="Arial"/>
          <w:bCs/>
          <w:i/>
          <w:iCs/>
          <w:lang w:eastAsia="es-CO"/>
        </w:rPr>
        <w:t>“contratación directa”.</w:t>
      </w:r>
    </w:p>
    <w:p w14:paraId="21D5CAA9" w14:textId="77777777" w:rsidR="008A19CC" w:rsidRPr="00065D8F" w:rsidRDefault="008A19CC" w:rsidP="008A19CC">
      <w:pPr>
        <w:spacing w:after="120" w:line="276" w:lineRule="auto"/>
        <w:ind w:firstLine="709"/>
        <w:jc w:val="both"/>
        <w:rPr>
          <w:rFonts w:ascii="Arial" w:hAnsi="Arial" w:cs="Arial"/>
          <w:bCs/>
          <w:lang w:eastAsia="x-none"/>
        </w:rPr>
      </w:pPr>
      <w:bookmarkStart w:id="16" w:name="_Hlk78818796"/>
      <w:r w:rsidRPr="00195E24">
        <w:rPr>
          <w:rFonts w:ascii="Verdana" w:hAnsi="Verdana" w:cs="Arial"/>
          <w:bCs/>
          <w:lang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065D8F">
        <w:rPr>
          <w:rFonts w:ascii="Arial" w:hAnsi="Arial" w:cs="Arial"/>
          <w:vertAlign w:val="superscript"/>
          <w:lang w:eastAsia="x-none"/>
        </w:rPr>
        <w:footnoteReference w:id="17"/>
      </w:r>
      <w:r w:rsidRPr="00065D8F">
        <w:rPr>
          <w:rFonts w:ascii="Arial" w:hAnsi="Arial" w:cs="Arial"/>
          <w:bCs/>
          <w:lang w:eastAsia="x-none"/>
        </w:rPr>
        <w:t>.</w:t>
      </w:r>
      <w:r w:rsidRPr="00065D8F">
        <w:rPr>
          <w:rFonts w:ascii="Arial" w:hAnsi="Arial" w:cs="Arial"/>
          <w:vertAlign w:val="superscript"/>
          <w:lang w:eastAsia="x-none"/>
        </w:rPr>
        <w:t xml:space="preserve"> </w:t>
      </w:r>
    </w:p>
    <w:bookmarkEnd w:id="16"/>
    <w:p w14:paraId="21CC86FE" w14:textId="77777777" w:rsidR="008A19CC" w:rsidRDefault="008A19CC" w:rsidP="008A19CC">
      <w:pPr>
        <w:spacing w:after="0" w:line="276" w:lineRule="auto"/>
        <w:ind w:firstLine="709"/>
        <w:jc w:val="both"/>
        <w:rPr>
          <w:rFonts w:ascii="Arial" w:hAnsi="Arial" w:cs="Arial"/>
          <w:lang w:eastAsia="x-none"/>
        </w:rPr>
      </w:pPr>
      <w:r w:rsidRPr="00195E24">
        <w:rPr>
          <w:rFonts w:ascii="Verdana"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195E24">
        <w:rPr>
          <w:rFonts w:ascii="Verdana" w:hAnsi="Verdana" w:cs="Arial"/>
          <w:lang w:eastAsia="x-none"/>
        </w:rPr>
        <w:t xml:space="preserve"> Por tanto, no son materia de la prohibición las demás modalidades de selección previstas en la Ley 1150 de 2007, es decir, la licitación pública, el concurso de méritos, la selección abreviada y la contratación de mínima cuantía, razón por la cual en el período preelectoral de que trata la disposición las entidades públicas pueden seguir contratando bajo estos sistemas</w:t>
      </w:r>
      <w:r w:rsidRPr="00065D8F">
        <w:rPr>
          <w:rFonts w:ascii="Arial" w:hAnsi="Arial" w:cs="Arial"/>
          <w:lang w:eastAsia="x-none"/>
        </w:rPr>
        <w:t>.</w:t>
      </w:r>
    </w:p>
    <w:p w14:paraId="3E6390B2" w14:textId="77777777" w:rsidR="008A19CC" w:rsidRDefault="008A19CC" w:rsidP="008A19CC">
      <w:pPr>
        <w:spacing w:after="0" w:line="240" w:lineRule="auto"/>
        <w:jc w:val="both"/>
        <w:rPr>
          <w:rFonts w:ascii="Arial" w:hAnsi="Arial" w:cs="Arial"/>
        </w:rPr>
      </w:pPr>
    </w:p>
    <w:p w14:paraId="0CB2CF04" w14:textId="77777777" w:rsidR="008A19CC" w:rsidRDefault="008A19CC" w:rsidP="008A19CC">
      <w:pPr>
        <w:spacing w:after="0" w:line="276" w:lineRule="auto"/>
        <w:ind w:firstLine="709"/>
        <w:jc w:val="both"/>
        <w:rPr>
          <w:rFonts w:ascii="Verdana" w:hAnsi="Verdana" w:cs="Arial"/>
          <w:bCs/>
          <w:lang w:eastAsia="x-none"/>
        </w:rPr>
      </w:pPr>
      <w:r w:rsidRPr="73D21086">
        <w:rPr>
          <w:rFonts w:ascii="Verdana" w:hAnsi="Verdana" w:cs="Arial"/>
        </w:rPr>
        <w:t xml:space="preserve">Como en otras oportunidades lo ha manifestado esta Agencia, las prórrogas, modificaciones o adiciones de los contratos suscritos antes de la </w:t>
      </w:r>
      <w:r w:rsidRPr="73D21086">
        <w:rPr>
          <w:rFonts w:ascii="Verdana" w:hAnsi="Verdana" w:cs="Arial"/>
        </w:rPr>
        <w:lastRenderedPageBreak/>
        <w:t>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42BC7178" w14:textId="77777777" w:rsidR="008A19CC" w:rsidRDefault="008A19CC" w:rsidP="008A19CC">
      <w:pPr>
        <w:spacing w:after="0" w:line="240" w:lineRule="auto"/>
        <w:jc w:val="both"/>
        <w:rPr>
          <w:rFonts w:ascii="Verdana" w:hAnsi="Verdana" w:cs="Arial"/>
          <w:bCs/>
          <w:lang w:eastAsia="x-none"/>
        </w:rPr>
      </w:pPr>
    </w:p>
    <w:p w14:paraId="5259D818" w14:textId="77777777" w:rsidR="008A19CC" w:rsidRDefault="008A19CC" w:rsidP="008A19CC">
      <w:pPr>
        <w:spacing w:after="0" w:line="276" w:lineRule="auto"/>
        <w:ind w:firstLine="709"/>
        <w:jc w:val="both"/>
        <w:rPr>
          <w:rFonts w:ascii="Verdana" w:eastAsia="Calibri" w:hAnsi="Verdana" w:cs="Arial"/>
          <w:color w:val="000000" w:themeColor="text1"/>
        </w:rPr>
      </w:pPr>
      <w:r>
        <w:rPr>
          <w:rFonts w:ascii="Verdana" w:eastAsia="Calibri" w:hAnsi="Verdana" w:cs="Arial"/>
          <w:lang w:val="es-ES"/>
        </w:rPr>
        <w:t>Ahora bien, f</w:t>
      </w:r>
      <w:r w:rsidRPr="00515C0B">
        <w:rPr>
          <w:rFonts w:ascii="Verdana" w:eastAsia="Calibri" w:hAnsi="Verdana" w:cs="Arial"/>
          <w:lang w:val="es-ES"/>
        </w:rPr>
        <w:t xml:space="preserve">rente al cuestionamiento planteado es necesario </w:t>
      </w:r>
      <w:r>
        <w:rPr>
          <w:rFonts w:ascii="Verdana" w:eastAsia="Calibri" w:hAnsi="Verdana" w:cs="Arial"/>
          <w:lang w:val="es-ES"/>
        </w:rPr>
        <w:t>señalar</w:t>
      </w:r>
      <w:r w:rsidRPr="00515C0B">
        <w:rPr>
          <w:rFonts w:ascii="Verdana" w:eastAsia="Calibri" w:hAnsi="Verdana" w:cs="Arial"/>
          <w:lang w:val="es-ES"/>
        </w:rPr>
        <w:t xml:space="preserve"> que dentro de la estructura de la Administración Pública se encuentran las entidades descentralizadas por servicios. A esta categoría pertenecen las Empresas Industriales y Comerciales del Estado, las cuales –sin perjuicio del control de tutela– tienen personería jurídica, autonomía administrativa y patrimonio propio. Estas entidades, como su nombre lo indica, se caracterizan por desarrollar actividades de carácter industrial o comercial.</w:t>
      </w:r>
      <w:r>
        <w:rPr>
          <w:rFonts w:ascii="Verdana" w:eastAsia="Calibri" w:hAnsi="Verdana" w:cs="Arial"/>
          <w:lang w:val="es-ES"/>
        </w:rPr>
        <w:t xml:space="preserve"> </w:t>
      </w:r>
      <w:r w:rsidRPr="008B2333">
        <w:rPr>
          <w:rFonts w:ascii="Verdana" w:eastAsia="Calibri" w:hAnsi="Verdana" w:cs="Arial"/>
          <w:color w:val="000000" w:themeColor="text1"/>
        </w:rPr>
        <w:t>Así, por ejemplo, son E</w:t>
      </w:r>
      <w:r>
        <w:rPr>
          <w:rFonts w:ascii="Verdana" w:eastAsia="Calibri" w:hAnsi="Verdana" w:cs="Arial"/>
          <w:color w:val="000000" w:themeColor="text1"/>
        </w:rPr>
        <w:t xml:space="preserve">mpresas </w:t>
      </w:r>
      <w:r w:rsidRPr="008B2333">
        <w:rPr>
          <w:rFonts w:ascii="Verdana" w:eastAsia="Calibri" w:hAnsi="Verdana" w:cs="Arial"/>
          <w:color w:val="000000" w:themeColor="text1"/>
        </w:rPr>
        <w:t>I</w:t>
      </w:r>
      <w:r>
        <w:rPr>
          <w:rFonts w:ascii="Verdana" w:eastAsia="Calibri" w:hAnsi="Verdana" w:cs="Arial"/>
          <w:color w:val="000000" w:themeColor="text1"/>
        </w:rPr>
        <w:t xml:space="preserve">ndustriales y </w:t>
      </w:r>
      <w:r w:rsidRPr="008B2333">
        <w:rPr>
          <w:rFonts w:ascii="Verdana" w:eastAsia="Calibri" w:hAnsi="Verdana" w:cs="Arial"/>
          <w:color w:val="000000" w:themeColor="text1"/>
        </w:rPr>
        <w:t>C</w:t>
      </w:r>
      <w:r>
        <w:rPr>
          <w:rFonts w:ascii="Verdana" w:eastAsia="Calibri" w:hAnsi="Verdana" w:cs="Arial"/>
          <w:color w:val="000000" w:themeColor="text1"/>
        </w:rPr>
        <w:t xml:space="preserve">omerciales del </w:t>
      </w:r>
      <w:r w:rsidRPr="008B2333">
        <w:rPr>
          <w:rFonts w:ascii="Verdana" w:eastAsia="Calibri" w:hAnsi="Verdana" w:cs="Arial"/>
          <w:color w:val="000000" w:themeColor="text1"/>
        </w:rPr>
        <w:t>E</w:t>
      </w:r>
      <w:r>
        <w:rPr>
          <w:rFonts w:ascii="Verdana" w:eastAsia="Calibri" w:hAnsi="Verdana" w:cs="Arial"/>
          <w:color w:val="000000" w:themeColor="text1"/>
        </w:rPr>
        <w:t>stado</w:t>
      </w:r>
      <w:r w:rsidRPr="008B2333">
        <w:rPr>
          <w:rFonts w:ascii="Verdana" w:eastAsia="Calibri" w:hAnsi="Verdana" w:cs="Arial"/>
          <w:color w:val="000000" w:themeColor="text1"/>
        </w:rPr>
        <w:t xml:space="preserve"> la Imprenta Nacional de Colombia, Coljuegos, Indumil, la Caja Promotora de Vivienda Militar y de Policía, Colpensiones, entre otras</w:t>
      </w:r>
      <w:r w:rsidRPr="008B2333">
        <w:rPr>
          <w:rFonts w:ascii="Verdana" w:hAnsi="Verdana"/>
          <w:vertAlign w:val="superscript"/>
        </w:rPr>
        <w:footnoteReference w:id="18"/>
      </w:r>
      <w:r w:rsidRPr="008B2333">
        <w:rPr>
          <w:rFonts w:ascii="Verdana" w:eastAsia="Calibri" w:hAnsi="Verdana" w:cs="Arial"/>
          <w:color w:val="000000" w:themeColor="text1"/>
        </w:rPr>
        <w:t>.</w:t>
      </w:r>
    </w:p>
    <w:p w14:paraId="5BC3DFD7" w14:textId="77777777" w:rsidR="008A19CC" w:rsidRPr="001276FB" w:rsidRDefault="008A19CC" w:rsidP="008A19CC">
      <w:pPr>
        <w:spacing w:after="0" w:line="240" w:lineRule="auto"/>
        <w:ind w:firstLine="709"/>
        <w:jc w:val="both"/>
        <w:rPr>
          <w:rFonts w:ascii="Verdana" w:hAnsi="Verdana" w:cs="Arial"/>
          <w:bCs/>
          <w:lang w:eastAsia="x-none"/>
        </w:rPr>
      </w:pPr>
    </w:p>
    <w:p w14:paraId="046F341E" w14:textId="77777777" w:rsidR="008A19CC" w:rsidRDefault="008A19CC" w:rsidP="008A19CC">
      <w:pPr>
        <w:spacing w:after="0" w:line="276" w:lineRule="auto"/>
        <w:ind w:firstLine="708"/>
        <w:jc w:val="both"/>
        <w:rPr>
          <w:rFonts w:ascii="Verdana" w:eastAsia="Calibri" w:hAnsi="Verdana" w:cs="Arial"/>
          <w:lang w:val="es-ES"/>
        </w:rPr>
      </w:pPr>
      <w:r w:rsidRPr="00515C0B">
        <w:rPr>
          <w:rFonts w:ascii="Verdana" w:eastAsia="Calibri" w:hAnsi="Verdana" w:cs="Arial"/>
          <w:lang w:val="es-ES"/>
        </w:rPr>
        <w:t>Las Empresas Industriales y Comerciales del Estado, bajo la denominación de Entidades Estatales, quedaron sometidas al Estatuto General de Contratación de la Administración Pública –Ley 80 de 1993, artículo 2, numeral 1, literal a</w:t>
      </w:r>
      <w:r w:rsidRPr="00515C0B">
        <w:rPr>
          <w:rFonts w:ascii="Verdana" w:eastAsia="Calibri" w:hAnsi="Verdana" w:cs="Arial"/>
          <w:vertAlign w:val="superscript"/>
          <w:lang w:val="es-ES"/>
        </w:rPr>
        <w:footnoteReference w:id="19"/>
      </w:r>
      <w:r w:rsidRPr="00515C0B">
        <w:rPr>
          <w:rFonts w:ascii="Verdana" w:eastAsia="Calibri" w:hAnsi="Verdana" w:cs="Arial"/>
          <w:lang w:val="es-ES"/>
        </w:rPr>
        <w:t xml:space="preserve">. Posteriormente, la Ley 489 de 1998, mediante el cual se regula la organización y funcionamiento de las entidades de orden nacional, en su artículo 93 estableció </w:t>
      </w:r>
      <w:r w:rsidRPr="00515C0B">
        <w:rPr>
          <w:rFonts w:ascii="Verdana" w:eastAsia="Calibri" w:hAnsi="Verdana" w:cs="Arial"/>
          <w:lang w:val="es-ES"/>
        </w:rPr>
        <w:lastRenderedPageBreak/>
        <w:t>el régimen jurídico aplicable a los contratos celebrados por las Empresas Industriales y Comerciales del Estado, como sigue:</w:t>
      </w:r>
    </w:p>
    <w:p w14:paraId="392F23C9" w14:textId="77777777" w:rsidR="008A19CC" w:rsidRPr="00515C0B" w:rsidRDefault="008A19CC" w:rsidP="008A19CC">
      <w:pPr>
        <w:spacing w:after="0" w:line="240" w:lineRule="auto"/>
        <w:jc w:val="both"/>
        <w:rPr>
          <w:rFonts w:ascii="Verdana" w:eastAsia="Calibri" w:hAnsi="Verdana" w:cs="Arial"/>
          <w:lang w:val="es-ES"/>
        </w:rPr>
      </w:pPr>
    </w:p>
    <w:p w14:paraId="607CBB65" w14:textId="77777777" w:rsidR="008A19CC" w:rsidRDefault="008A19CC" w:rsidP="008A19CC">
      <w:pPr>
        <w:spacing w:after="0" w:line="240" w:lineRule="auto"/>
        <w:ind w:left="709" w:right="709"/>
        <w:contextualSpacing/>
        <w:jc w:val="both"/>
        <w:rPr>
          <w:rFonts w:ascii="Verdana" w:eastAsia="Times New Roman" w:hAnsi="Verdana" w:cs="Arial"/>
          <w:sz w:val="20"/>
          <w:szCs w:val="20"/>
          <w:lang w:eastAsia="es-ES_tradnl"/>
        </w:rPr>
      </w:pPr>
      <w:r w:rsidRPr="73D21086">
        <w:rPr>
          <w:rFonts w:ascii="Verdana" w:eastAsia="Times New Roman" w:hAnsi="Verdana" w:cs="Arial"/>
          <w:sz w:val="20"/>
          <w:szCs w:val="20"/>
          <w:lang w:eastAsia="es-ES"/>
        </w:rPr>
        <w:t>“Artículo 93. Régimen de los actos y contratos. Los actos que expidan las empresas industriales y comerciales del Estado para el desarrollo de su actividad propia, industrial o comercial o de gestión económica se sujetarán a las disposiciones del Derecho Privado. Los contratos que celebren para el cumplimiento de su objeto se sujetarán a las disposiciones del Estatuto General de Contratación de las entidades estatales”.</w:t>
      </w:r>
    </w:p>
    <w:p w14:paraId="2C2E08AE" w14:textId="77777777" w:rsidR="008A19CC" w:rsidRPr="00CE0712" w:rsidRDefault="008A19CC" w:rsidP="008A19CC">
      <w:pPr>
        <w:spacing w:after="0" w:line="240" w:lineRule="auto"/>
        <w:ind w:left="709" w:right="709"/>
        <w:contextualSpacing/>
        <w:jc w:val="both"/>
        <w:rPr>
          <w:rFonts w:ascii="Verdana" w:eastAsia="Times New Roman" w:hAnsi="Verdana" w:cs="Arial"/>
          <w:sz w:val="20"/>
          <w:szCs w:val="20"/>
          <w:lang w:eastAsia="es-ES_tradnl"/>
        </w:rPr>
      </w:pPr>
    </w:p>
    <w:p w14:paraId="7D0FBFC4" w14:textId="77777777" w:rsidR="008A19CC" w:rsidRDefault="008A19CC" w:rsidP="008A19CC">
      <w:pPr>
        <w:widowControl w:val="0"/>
        <w:autoSpaceDE w:val="0"/>
        <w:autoSpaceDN w:val="0"/>
        <w:spacing w:after="0" w:line="276" w:lineRule="auto"/>
        <w:ind w:firstLine="708"/>
        <w:jc w:val="both"/>
        <w:rPr>
          <w:rFonts w:ascii="Verdana" w:eastAsia="Verdana" w:hAnsi="Verdana" w:cs="Verdana"/>
          <w:lang w:val="es-ES"/>
        </w:rPr>
      </w:pPr>
      <w:bookmarkStart w:id="17" w:name="_bookmark7"/>
      <w:bookmarkEnd w:id="17"/>
      <w:r w:rsidRPr="00515C0B">
        <w:rPr>
          <w:rFonts w:ascii="Verdana" w:eastAsia="Verdana" w:hAnsi="Verdana" w:cs="Verdana"/>
          <w:lang w:val="es-ES"/>
        </w:rPr>
        <w:t>No obstante las dificultades hermenéuticas que suscitaba la disposición anterior,</w:t>
      </w:r>
      <w:r w:rsidRPr="00515C0B">
        <w:rPr>
          <w:rFonts w:ascii="Verdana" w:eastAsia="Verdana" w:hAnsi="Verdana" w:cs="Verdana"/>
          <w:spacing w:val="-8"/>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14</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la</w:t>
      </w:r>
      <w:r w:rsidRPr="00515C0B">
        <w:rPr>
          <w:rFonts w:ascii="Verdana" w:eastAsia="Verdana" w:hAnsi="Verdana" w:cs="Verdana"/>
          <w:spacing w:val="-10"/>
          <w:lang w:val="es-ES"/>
        </w:rPr>
        <w:t xml:space="preserve"> </w:t>
      </w:r>
      <w:r w:rsidRPr="00515C0B">
        <w:rPr>
          <w:rFonts w:ascii="Verdana" w:eastAsia="Verdana" w:hAnsi="Verdana" w:cs="Verdana"/>
          <w:lang w:val="es-ES"/>
        </w:rPr>
        <w:t>Ley</w:t>
      </w:r>
      <w:r w:rsidRPr="00515C0B">
        <w:rPr>
          <w:rFonts w:ascii="Verdana" w:eastAsia="Verdana" w:hAnsi="Verdana" w:cs="Verdana"/>
          <w:spacing w:val="-8"/>
          <w:lang w:val="es-ES"/>
        </w:rPr>
        <w:t xml:space="preserve"> </w:t>
      </w:r>
      <w:r w:rsidRPr="00515C0B">
        <w:rPr>
          <w:rFonts w:ascii="Verdana" w:eastAsia="Verdana" w:hAnsi="Verdana" w:cs="Verdana"/>
          <w:lang w:val="es-ES"/>
        </w:rPr>
        <w:t>1150</w:t>
      </w:r>
      <w:r w:rsidRPr="00515C0B">
        <w:rPr>
          <w:rFonts w:ascii="Verdana" w:eastAsia="Verdana" w:hAnsi="Verdana" w:cs="Verdana"/>
          <w:spacing w:val="-8"/>
          <w:lang w:val="es-ES"/>
        </w:rPr>
        <w:t xml:space="preserve"> </w:t>
      </w:r>
      <w:r w:rsidRPr="00515C0B">
        <w:rPr>
          <w:rFonts w:ascii="Verdana" w:eastAsia="Verdana" w:hAnsi="Verdana" w:cs="Verdana"/>
          <w:lang w:val="es-ES"/>
        </w:rPr>
        <w:t>de</w:t>
      </w:r>
      <w:r w:rsidRPr="00515C0B">
        <w:rPr>
          <w:rFonts w:ascii="Verdana" w:eastAsia="Verdana" w:hAnsi="Verdana" w:cs="Verdana"/>
          <w:spacing w:val="-9"/>
          <w:lang w:val="es-ES"/>
        </w:rPr>
        <w:t xml:space="preserve"> </w:t>
      </w:r>
      <w:r w:rsidRPr="00515C0B">
        <w:rPr>
          <w:rFonts w:ascii="Verdana" w:eastAsia="Verdana" w:hAnsi="Verdana" w:cs="Verdana"/>
          <w:lang w:val="es-ES"/>
        </w:rPr>
        <w:t>2007 –modificado</w:t>
      </w:r>
      <w:r w:rsidRPr="00515C0B">
        <w:rPr>
          <w:rFonts w:ascii="Verdana" w:eastAsia="Verdana" w:hAnsi="Verdana" w:cs="Verdana"/>
          <w:spacing w:val="-7"/>
          <w:lang w:val="es-ES"/>
        </w:rPr>
        <w:t xml:space="preserve"> </w:t>
      </w:r>
      <w:r w:rsidRPr="00515C0B">
        <w:rPr>
          <w:rFonts w:ascii="Verdana" w:eastAsia="Verdana" w:hAnsi="Verdana" w:cs="Verdana"/>
          <w:lang w:val="es-ES"/>
        </w:rPr>
        <w:t>por</w:t>
      </w:r>
      <w:r w:rsidRPr="00515C0B">
        <w:rPr>
          <w:rFonts w:ascii="Verdana" w:eastAsia="Verdana" w:hAnsi="Verdana" w:cs="Verdana"/>
          <w:spacing w:val="-7"/>
          <w:lang w:val="es-ES"/>
        </w:rPr>
        <w:t xml:space="preserve"> </w:t>
      </w:r>
      <w:r w:rsidRPr="00515C0B">
        <w:rPr>
          <w:rFonts w:ascii="Verdana" w:eastAsia="Verdana" w:hAnsi="Verdana" w:cs="Verdana"/>
          <w:lang w:val="es-ES"/>
        </w:rPr>
        <w:t>el</w:t>
      </w:r>
      <w:r w:rsidRPr="00515C0B">
        <w:rPr>
          <w:rFonts w:ascii="Verdana" w:eastAsia="Verdana" w:hAnsi="Verdana" w:cs="Verdana"/>
          <w:spacing w:val="-8"/>
          <w:lang w:val="es-ES"/>
        </w:rPr>
        <w:t xml:space="preserve"> </w:t>
      </w:r>
      <w:r w:rsidRPr="00515C0B">
        <w:rPr>
          <w:rFonts w:ascii="Verdana" w:eastAsia="Verdana" w:hAnsi="Verdana" w:cs="Verdana"/>
          <w:lang w:val="es-ES"/>
        </w:rPr>
        <w:t>artículo</w:t>
      </w:r>
      <w:r w:rsidRPr="00515C0B">
        <w:rPr>
          <w:rFonts w:ascii="Verdana" w:eastAsia="Verdana" w:hAnsi="Verdana" w:cs="Verdana"/>
          <w:spacing w:val="-7"/>
          <w:lang w:val="es-ES"/>
        </w:rPr>
        <w:t xml:space="preserve"> </w:t>
      </w:r>
      <w:r w:rsidRPr="00515C0B">
        <w:rPr>
          <w:rFonts w:ascii="Verdana" w:eastAsia="Verdana" w:hAnsi="Verdana" w:cs="Verdana"/>
          <w:lang w:val="es-ES"/>
        </w:rPr>
        <w:t>93</w:t>
      </w:r>
      <w:r w:rsidRPr="00515C0B">
        <w:rPr>
          <w:rFonts w:ascii="Verdana" w:eastAsia="Verdana" w:hAnsi="Verdana" w:cs="Verdana"/>
          <w:spacing w:val="-12"/>
          <w:lang w:val="es-ES"/>
        </w:rPr>
        <w:t xml:space="preserve"> </w:t>
      </w:r>
      <w:r w:rsidRPr="00515C0B">
        <w:rPr>
          <w:rFonts w:ascii="Verdana" w:eastAsia="Verdana" w:hAnsi="Verdana" w:cs="Verdana"/>
          <w:lang w:val="es-ES"/>
        </w:rPr>
        <w:t>de la Ley 1474 de 2011– dispuso un régimen exceptivo de aplicación del derecho privado para la actividad contractual de las E</w:t>
      </w:r>
      <w:r>
        <w:rPr>
          <w:rFonts w:ascii="Verdana" w:eastAsia="Verdana" w:hAnsi="Verdana" w:cs="Verdana"/>
          <w:lang w:val="es-ES"/>
        </w:rPr>
        <w:t xml:space="preserve">mpresas </w:t>
      </w:r>
      <w:r w:rsidRPr="00515C0B">
        <w:rPr>
          <w:rFonts w:ascii="Verdana" w:eastAsia="Verdana" w:hAnsi="Verdana" w:cs="Verdana"/>
          <w:lang w:val="es-ES"/>
        </w:rPr>
        <w:t>I</w:t>
      </w:r>
      <w:r>
        <w:rPr>
          <w:rFonts w:ascii="Verdana" w:eastAsia="Verdana" w:hAnsi="Verdana" w:cs="Verdana"/>
          <w:lang w:val="es-ES"/>
        </w:rPr>
        <w:t xml:space="preserve">ndustriales y </w:t>
      </w:r>
      <w:r w:rsidRPr="00515C0B">
        <w:rPr>
          <w:rFonts w:ascii="Verdana" w:eastAsia="Verdana" w:hAnsi="Verdana" w:cs="Verdana"/>
          <w:lang w:val="es-ES"/>
        </w:rPr>
        <w:t>C</w:t>
      </w:r>
      <w:r>
        <w:rPr>
          <w:rFonts w:ascii="Verdana" w:eastAsia="Verdana" w:hAnsi="Verdana" w:cs="Verdana"/>
          <w:lang w:val="es-ES"/>
        </w:rPr>
        <w:t xml:space="preserve">omerciales del </w:t>
      </w:r>
      <w:r w:rsidRPr="00515C0B">
        <w:rPr>
          <w:rFonts w:ascii="Verdana" w:eastAsia="Verdana" w:hAnsi="Verdana" w:cs="Verdana"/>
          <w:lang w:val="es-ES"/>
        </w:rPr>
        <w:t>E</w:t>
      </w:r>
      <w:r>
        <w:rPr>
          <w:rFonts w:ascii="Verdana" w:eastAsia="Verdana" w:hAnsi="Verdana" w:cs="Verdana"/>
          <w:lang w:val="es-ES"/>
        </w:rPr>
        <w:t>stado</w:t>
      </w:r>
      <w:r w:rsidRPr="00515C0B">
        <w:rPr>
          <w:rFonts w:ascii="Verdana" w:eastAsia="Verdana" w:hAnsi="Verdana" w:cs="Verdana"/>
          <w:lang w:val="es-ES"/>
        </w:rPr>
        <w:t xml:space="preserve"> que ejercen su actividad en competencia</w:t>
      </w:r>
      <w:r w:rsidRPr="00515C0B">
        <w:rPr>
          <w:rFonts w:ascii="Verdana" w:eastAsia="Verdana" w:hAnsi="Verdana" w:cs="Verdana"/>
          <w:spacing w:val="-20"/>
          <w:lang w:val="es-ES"/>
        </w:rPr>
        <w:t xml:space="preserve"> </w:t>
      </w:r>
      <w:r w:rsidRPr="00515C0B">
        <w:rPr>
          <w:rFonts w:ascii="Verdana" w:eastAsia="Verdana" w:hAnsi="Verdana" w:cs="Verdana"/>
          <w:lang w:val="es-ES"/>
        </w:rPr>
        <w:t>con</w:t>
      </w:r>
      <w:r w:rsidRPr="00515C0B">
        <w:rPr>
          <w:rFonts w:ascii="Verdana" w:eastAsia="Verdana" w:hAnsi="Verdana" w:cs="Verdana"/>
          <w:spacing w:val="-19"/>
          <w:lang w:val="es-ES"/>
        </w:rPr>
        <w:t xml:space="preserve"> </w:t>
      </w:r>
      <w:r w:rsidRPr="00515C0B">
        <w:rPr>
          <w:rFonts w:ascii="Verdana" w:eastAsia="Verdana" w:hAnsi="Verdana" w:cs="Verdana"/>
          <w:lang w:val="es-ES"/>
        </w:rPr>
        <w:t>el</w:t>
      </w:r>
      <w:r w:rsidRPr="00515C0B">
        <w:rPr>
          <w:rFonts w:ascii="Verdana" w:eastAsia="Verdana" w:hAnsi="Verdana" w:cs="Verdana"/>
          <w:spacing w:val="-19"/>
          <w:lang w:val="es-ES"/>
        </w:rPr>
        <w:t xml:space="preserve"> </w:t>
      </w:r>
      <w:r w:rsidRPr="00515C0B">
        <w:rPr>
          <w:rFonts w:ascii="Verdana" w:eastAsia="Verdana" w:hAnsi="Verdana" w:cs="Verdana"/>
          <w:lang w:val="es-ES"/>
        </w:rPr>
        <w:t>sector</w:t>
      </w:r>
      <w:r w:rsidRPr="00515C0B">
        <w:rPr>
          <w:rFonts w:ascii="Verdana" w:eastAsia="Verdana" w:hAnsi="Verdana" w:cs="Verdana"/>
          <w:spacing w:val="-20"/>
          <w:lang w:val="es-ES"/>
        </w:rPr>
        <w:t xml:space="preserve"> </w:t>
      </w:r>
      <w:r w:rsidRPr="00515C0B">
        <w:rPr>
          <w:rFonts w:ascii="Verdana" w:eastAsia="Verdana" w:hAnsi="Verdana" w:cs="Verdana"/>
          <w:lang w:val="es-ES"/>
        </w:rPr>
        <w:t>público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20"/>
          <w:lang w:val="es-ES"/>
        </w:rPr>
        <w:t xml:space="preserve"> </w:t>
      </w:r>
      <w:r w:rsidRPr="00515C0B">
        <w:rPr>
          <w:rFonts w:ascii="Verdana" w:eastAsia="Verdana" w:hAnsi="Verdana" w:cs="Verdana"/>
          <w:lang w:val="es-ES"/>
        </w:rPr>
        <w:t>privado,</w:t>
      </w:r>
      <w:r w:rsidRPr="00515C0B">
        <w:rPr>
          <w:rFonts w:ascii="Verdana" w:eastAsia="Verdana" w:hAnsi="Verdana" w:cs="Verdana"/>
          <w:spacing w:val="-19"/>
          <w:lang w:val="es-ES"/>
        </w:rPr>
        <w:t xml:space="preserve"> </w:t>
      </w:r>
      <w:r w:rsidRPr="00515C0B">
        <w:rPr>
          <w:rFonts w:ascii="Verdana" w:eastAsia="Verdana" w:hAnsi="Verdana" w:cs="Verdana"/>
          <w:lang w:val="es-ES"/>
        </w:rPr>
        <w:t>o</w:t>
      </w:r>
      <w:r w:rsidRPr="00515C0B">
        <w:rPr>
          <w:rFonts w:ascii="Verdana" w:eastAsia="Verdana" w:hAnsi="Verdana" w:cs="Verdana"/>
          <w:spacing w:val="-19"/>
          <w:lang w:val="es-ES"/>
        </w:rPr>
        <w:t xml:space="preserve"> </w:t>
      </w:r>
      <w:r w:rsidRPr="00515C0B">
        <w:rPr>
          <w:rFonts w:ascii="Verdana" w:eastAsia="Verdana" w:hAnsi="Verdana" w:cs="Verdana"/>
          <w:lang w:val="es-ES"/>
        </w:rPr>
        <w:t>en</w:t>
      </w:r>
      <w:r w:rsidRPr="00515C0B">
        <w:rPr>
          <w:rFonts w:ascii="Verdana" w:eastAsia="Verdana" w:hAnsi="Verdana" w:cs="Verdana"/>
          <w:spacing w:val="-20"/>
          <w:lang w:val="es-ES"/>
        </w:rPr>
        <w:t xml:space="preserve"> </w:t>
      </w:r>
      <w:r w:rsidRPr="00515C0B">
        <w:rPr>
          <w:rFonts w:ascii="Verdana" w:eastAsia="Verdana" w:hAnsi="Verdana" w:cs="Verdana"/>
          <w:lang w:val="es-ES"/>
        </w:rPr>
        <w:t>mercados</w:t>
      </w:r>
      <w:r w:rsidRPr="00515C0B">
        <w:rPr>
          <w:rFonts w:ascii="Verdana" w:eastAsia="Verdana" w:hAnsi="Verdana" w:cs="Verdana"/>
          <w:spacing w:val="-19"/>
          <w:lang w:val="es-ES"/>
        </w:rPr>
        <w:t xml:space="preserve"> </w:t>
      </w:r>
      <w:r w:rsidRPr="00515C0B">
        <w:rPr>
          <w:rFonts w:ascii="Verdana" w:eastAsia="Verdana" w:hAnsi="Verdana" w:cs="Verdana"/>
          <w:lang w:val="es-ES"/>
        </w:rPr>
        <w:t>regulados,</w:t>
      </w:r>
      <w:r w:rsidRPr="00515C0B">
        <w:rPr>
          <w:rFonts w:ascii="Verdana" w:eastAsia="Verdana" w:hAnsi="Verdana" w:cs="Verdana"/>
          <w:spacing w:val="-19"/>
          <w:lang w:val="es-ES"/>
        </w:rPr>
        <w:t xml:space="preserve"> </w:t>
      </w:r>
      <w:r w:rsidRPr="00515C0B">
        <w:rPr>
          <w:rFonts w:ascii="Verdana" w:eastAsia="Verdana" w:hAnsi="Verdana" w:cs="Verdana"/>
          <w:lang w:val="es-ES"/>
        </w:rPr>
        <w:t xml:space="preserve">quedando las otras </w:t>
      </w:r>
      <w:r>
        <w:rPr>
          <w:rFonts w:ascii="Verdana" w:eastAsia="Verdana" w:hAnsi="Verdana" w:cs="Verdana"/>
          <w:lang w:val="es-ES"/>
        </w:rPr>
        <w:t>empresas de esta índole</w:t>
      </w:r>
      <w:r w:rsidRPr="00515C0B">
        <w:rPr>
          <w:rFonts w:ascii="Verdana" w:eastAsia="Verdana" w:hAnsi="Verdana" w:cs="Verdana"/>
          <w:lang w:val="es-ES"/>
        </w:rPr>
        <w:t xml:space="preserve"> dentro del ámbito de aplicación del Estatuto General de Contratación de la Administración Pública</w:t>
      </w:r>
      <w:r w:rsidRPr="00515C0B">
        <w:rPr>
          <w:rFonts w:ascii="Verdana" w:eastAsia="Verdana" w:hAnsi="Verdana" w:cs="Verdana"/>
          <w:vertAlign w:val="superscript"/>
          <w:lang w:val="es-ES"/>
        </w:rPr>
        <w:footnoteReference w:id="20"/>
      </w:r>
      <w:r w:rsidRPr="00515C0B">
        <w:rPr>
          <w:rFonts w:ascii="Verdana" w:eastAsia="Verdana" w:hAnsi="Verdana" w:cs="Verdana"/>
          <w:lang w:val="es-ES"/>
        </w:rPr>
        <w:t>. Así, la norma</w:t>
      </w:r>
      <w:r w:rsidRPr="00515C0B">
        <w:rPr>
          <w:rFonts w:ascii="Verdana" w:eastAsia="Verdana" w:hAnsi="Verdana" w:cs="Verdana"/>
          <w:spacing w:val="-1"/>
          <w:lang w:val="es-ES"/>
        </w:rPr>
        <w:t xml:space="preserve"> </w:t>
      </w:r>
      <w:r w:rsidRPr="00515C0B">
        <w:rPr>
          <w:rFonts w:ascii="Verdana" w:eastAsia="Verdana" w:hAnsi="Verdana" w:cs="Verdana"/>
          <w:lang w:val="es-ES"/>
        </w:rPr>
        <w:t>vigente respecto a</w:t>
      </w:r>
      <w:r w:rsidRPr="00515C0B">
        <w:rPr>
          <w:rFonts w:ascii="Verdana" w:eastAsia="Verdana" w:hAnsi="Verdana" w:cs="Verdana"/>
          <w:spacing w:val="-1"/>
          <w:lang w:val="es-ES"/>
        </w:rPr>
        <w:t xml:space="preserve"> </w:t>
      </w:r>
      <w:r w:rsidRPr="00515C0B">
        <w:rPr>
          <w:rFonts w:ascii="Verdana" w:eastAsia="Verdana" w:hAnsi="Verdana" w:cs="Verdana"/>
          <w:lang w:val="es-ES"/>
        </w:rPr>
        <w:t>su régimen contractual establece:</w:t>
      </w:r>
    </w:p>
    <w:p w14:paraId="603CCA1F" w14:textId="77777777" w:rsidR="008A19CC" w:rsidRDefault="008A19CC" w:rsidP="008A19CC">
      <w:pPr>
        <w:widowControl w:val="0"/>
        <w:spacing w:after="0" w:line="240" w:lineRule="auto"/>
        <w:jc w:val="both"/>
        <w:rPr>
          <w:rFonts w:ascii="Verdana" w:eastAsia="Verdana" w:hAnsi="Verdana" w:cs="Verdana"/>
          <w:lang w:val="es-ES"/>
        </w:rPr>
      </w:pPr>
    </w:p>
    <w:p w14:paraId="1722F449" w14:textId="77777777" w:rsidR="008A19CC" w:rsidRPr="00515C0B" w:rsidRDefault="008A19CC" w:rsidP="008A19CC">
      <w:pPr>
        <w:spacing w:after="0" w:line="240" w:lineRule="auto"/>
        <w:ind w:left="709" w:right="709"/>
        <w:contextualSpacing/>
        <w:jc w:val="both"/>
        <w:rPr>
          <w:rFonts w:ascii="Verdana" w:eastAsia="Times New Roman" w:hAnsi="Verdana" w:cs="Arial"/>
          <w:sz w:val="20"/>
          <w:szCs w:val="20"/>
          <w:lang w:eastAsia="es-ES"/>
        </w:rPr>
      </w:pPr>
      <w:r w:rsidRPr="73D21086">
        <w:rPr>
          <w:rFonts w:ascii="Verdana" w:eastAsia="Times New Roman" w:hAnsi="Verdana" w:cs="Arial"/>
          <w:sz w:val="20"/>
          <w:szCs w:val="20"/>
          <w:lang w:eastAsia="es-ES"/>
        </w:rPr>
        <w:t xml:space="preserve">“Artículo 14. Del régimen contractual de las empresas industriales y comerciales del estado, las sociedades de economía mixta, sus filiales y empresas con participación mayoritaria del estado.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w:t>
      </w:r>
      <w:r w:rsidRPr="73D21086">
        <w:rPr>
          <w:rFonts w:ascii="Verdana" w:eastAsia="Times New Roman" w:hAnsi="Verdana" w:cs="Arial"/>
          <w:sz w:val="20"/>
          <w:szCs w:val="20"/>
          <w:lang w:eastAsia="es-ES"/>
        </w:rPr>
        <w:lastRenderedPageBreak/>
        <w:t>tecnología, que se regirán por la Ley 29 de 1990 y las disposiciones normativas existentes”</w:t>
      </w:r>
      <w:r w:rsidRPr="73D21086">
        <w:rPr>
          <w:rFonts w:ascii="Calibri" w:eastAsia="Times New Roman" w:hAnsi="Calibri" w:cs="Arial"/>
          <w:sz w:val="20"/>
          <w:szCs w:val="20"/>
          <w:vertAlign w:val="superscript"/>
          <w:lang w:eastAsia="es-ES"/>
        </w:rPr>
        <w:footnoteReference w:id="21"/>
      </w:r>
      <w:r w:rsidRPr="73D21086">
        <w:rPr>
          <w:rFonts w:ascii="Verdana" w:eastAsia="Times New Roman" w:hAnsi="Verdana" w:cs="Arial"/>
          <w:sz w:val="20"/>
          <w:szCs w:val="20"/>
          <w:lang w:eastAsia="es-ES"/>
        </w:rPr>
        <w:t>.</w:t>
      </w:r>
    </w:p>
    <w:p w14:paraId="33025303" w14:textId="77777777" w:rsidR="008A19CC" w:rsidRPr="00515C0B" w:rsidRDefault="008A19CC" w:rsidP="008A19CC">
      <w:pPr>
        <w:spacing w:after="0"/>
        <w:ind w:right="709"/>
        <w:jc w:val="both"/>
        <w:rPr>
          <w:rFonts w:ascii="Verdana" w:eastAsia="Calibri" w:hAnsi="Verdana" w:cs="Times New Roman"/>
          <w:sz w:val="21"/>
          <w:szCs w:val="21"/>
        </w:rPr>
      </w:pPr>
    </w:p>
    <w:p w14:paraId="7B37604B" w14:textId="77777777" w:rsidR="008A19CC" w:rsidRPr="00CE0712" w:rsidRDefault="008A19CC" w:rsidP="008A19CC">
      <w:pPr>
        <w:spacing w:after="120" w:line="276" w:lineRule="auto"/>
        <w:ind w:firstLine="708"/>
        <w:jc w:val="both"/>
        <w:rPr>
          <w:rFonts w:ascii="Verdana" w:hAnsi="Verdana" w:cs="Arial"/>
          <w:bCs/>
          <w:color w:val="000000" w:themeColor="text1"/>
          <w:lang w:val="es-MX" w:eastAsia="x-none"/>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6762505" w14:textId="77777777" w:rsidR="008A19CC" w:rsidRDefault="008A19CC" w:rsidP="008A19CC">
      <w:pPr>
        <w:spacing w:after="120" w:line="276" w:lineRule="auto"/>
        <w:ind w:firstLine="708"/>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22"/>
      </w:r>
      <w:r w:rsidRPr="73D21086">
        <w:rPr>
          <w:rFonts w:ascii="Verdana" w:hAnsi="Verdana" w:cs="Arial"/>
          <w:color w:val="000000" w:themeColor="text1"/>
          <w:lang w:val="es-MX"/>
        </w:rPr>
        <w:t xml:space="preserve">. </w:t>
      </w:r>
    </w:p>
    <w:p w14:paraId="4D76E963" w14:textId="77777777" w:rsidR="008A19CC" w:rsidRDefault="008A19CC" w:rsidP="008A19CC">
      <w:pPr>
        <w:spacing w:after="0" w:line="276" w:lineRule="auto"/>
        <w:ind w:firstLine="708"/>
        <w:jc w:val="both"/>
        <w:rPr>
          <w:rFonts w:ascii="Verdana" w:hAnsi="Verdana" w:cs="Arial"/>
          <w:color w:val="000000" w:themeColor="text1"/>
          <w:lang w:val="es-MX"/>
        </w:rPr>
      </w:pPr>
      <w:r w:rsidRPr="73D21086">
        <w:rPr>
          <w:rFonts w:ascii="Verdana" w:hAnsi="Verdana" w:cs="Arial"/>
          <w:color w:val="000000" w:themeColor="text1"/>
          <w:lang w:val="es-MX"/>
        </w:rPr>
        <w:t xml:space="preserve">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w:t>
      </w:r>
      <w:r w:rsidRPr="73D21086">
        <w:rPr>
          <w:rFonts w:ascii="Verdana" w:hAnsi="Verdana" w:cs="Arial"/>
          <w:color w:val="000000" w:themeColor="text1"/>
          <w:lang w:val="es-MX"/>
        </w:rPr>
        <w:lastRenderedPageBreak/>
        <w:t>convenio interadministrativo sea ordenada, para ambas partes, por el Legislador”</w:t>
      </w:r>
      <w:r w:rsidRPr="00CE0D82">
        <w:rPr>
          <w:rFonts w:ascii="Verdana" w:hAnsi="Verdana" w:cs="Arial"/>
          <w:color w:val="000000" w:themeColor="text1"/>
          <w:vertAlign w:val="superscript"/>
          <w:lang w:val="es-MX"/>
        </w:rPr>
        <w:footnoteReference w:id="23"/>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65E45A1F" w14:textId="77777777" w:rsidR="008A19CC" w:rsidRPr="00CE0D82" w:rsidRDefault="008A19CC" w:rsidP="008A19CC">
      <w:pPr>
        <w:spacing w:after="0" w:line="240" w:lineRule="auto"/>
        <w:ind w:firstLine="709"/>
        <w:jc w:val="both"/>
        <w:rPr>
          <w:rFonts w:ascii="Verdana" w:hAnsi="Verdana" w:cs="Arial"/>
          <w:color w:val="000000" w:themeColor="text1"/>
          <w:lang w:val="es-MX"/>
        </w:rPr>
      </w:pPr>
    </w:p>
    <w:p w14:paraId="04624B54" w14:textId="77777777" w:rsidR="008A19CC" w:rsidRDefault="008A19CC" w:rsidP="008A19CC">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49F096DA" w14:textId="77777777" w:rsidR="008A19CC" w:rsidRPr="005800D0" w:rsidRDefault="008A19CC" w:rsidP="008A19CC">
      <w:pPr>
        <w:spacing w:after="0" w:line="240" w:lineRule="auto"/>
        <w:ind w:left="709" w:right="709"/>
        <w:jc w:val="both"/>
        <w:rPr>
          <w:rFonts w:ascii="Verdana" w:hAnsi="Verdana" w:cs="Arial"/>
          <w:color w:val="000000" w:themeColor="text1"/>
          <w:sz w:val="20"/>
          <w:szCs w:val="20"/>
          <w:lang w:val="es-MX"/>
        </w:rPr>
      </w:pPr>
    </w:p>
    <w:p w14:paraId="2DD81205" w14:textId="77777777" w:rsidR="008A19CC" w:rsidRPr="005800D0" w:rsidRDefault="008A19CC" w:rsidP="008A19CC">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24"/>
      </w:r>
      <w:r w:rsidRPr="005800D0">
        <w:rPr>
          <w:rFonts w:ascii="Verdana" w:hAnsi="Verdana" w:cs="Arial"/>
          <w:color w:val="000000" w:themeColor="text1"/>
          <w:sz w:val="20"/>
          <w:szCs w:val="20"/>
          <w:lang w:val="es-MX" w:eastAsia="x-none"/>
        </w:rPr>
        <w:t>.</w:t>
      </w:r>
    </w:p>
    <w:p w14:paraId="55382813" w14:textId="77777777" w:rsidR="008A19CC" w:rsidRDefault="008A19CC" w:rsidP="008A19CC">
      <w:pPr>
        <w:spacing w:after="0" w:line="276" w:lineRule="auto"/>
        <w:ind w:firstLine="709"/>
        <w:jc w:val="both"/>
        <w:rPr>
          <w:rFonts w:ascii="Verdana" w:hAnsi="Verdana" w:cs="Arial"/>
          <w:color w:val="000000" w:themeColor="text1"/>
          <w:lang w:val="es-MX"/>
        </w:rPr>
      </w:pPr>
    </w:p>
    <w:p w14:paraId="66664E12" w14:textId="77777777" w:rsidR="008A19CC" w:rsidRDefault="008A19CC" w:rsidP="008A19CC">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w:t>
      </w:r>
      <w:r>
        <w:rPr>
          <w:rFonts w:ascii="Verdana" w:hAnsi="Verdana" w:cs="Arial"/>
          <w:color w:val="000000" w:themeColor="text1"/>
          <w:lang w:val="es-MX"/>
        </w:rPr>
        <w:lastRenderedPageBreak/>
        <w:t xml:space="preserve">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25"/>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7DCDFB53" w14:textId="77777777" w:rsidR="008A19CC" w:rsidRPr="00195E24" w:rsidRDefault="008A19CC" w:rsidP="008A19CC">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r>
        <w:rPr>
          <w:rFonts w:ascii="Verdana" w:hAnsi="Verdana" w:cs="Arial"/>
          <w:color w:val="000000" w:themeColor="text1"/>
          <w:lang w:eastAsia="es-CO"/>
        </w:rPr>
        <w:t xml:space="preserve">En este sentido, respecto a su consulta, es pertinente señalar que las empresas industriales y comerciales del Estado en vigencia de la Ley de Garantías Electorales no podrán hacer contrataciones bajo la modalidad de contratación directa, </w:t>
      </w:r>
      <w:r w:rsidRPr="00195E24">
        <w:rPr>
          <w:rFonts w:ascii="Verdana" w:hAnsi="Verdana" w:cs="Arial"/>
          <w:color w:val="000000" w:themeColor="text1"/>
          <w:lang w:val="es-MX"/>
        </w:rPr>
        <w:t>sino por mecanismos competitivos que impliquen convocatoria pública y la posibilidad de la existencia de pluralidad de oferentes</w:t>
      </w:r>
      <w:r>
        <w:rPr>
          <w:rFonts w:ascii="Verdana" w:hAnsi="Verdana" w:cs="Arial"/>
          <w:color w:val="000000" w:themeColor="text1"/>
          <w:lang w:val="es-MX"/>
        </w:rPr>
        <w:t xml:space="preserve">. </w:t>
      </w:r>
    </w:p>
    <w:p w14:paraId="622FA9D8" w14:textId="77777777" w:rsidR="008A19CC" w:rsidRPr="00CE0712" w:rsidRDefault="008A19CC" w:rsidP="008A19CC">
      <w:pPr>
        <w:spacing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5993A5B3" w14:textId="77777777" w:rsidR="008A19CC" w:rsidRPr="00062EAD" w:rsidRDefault="008A19CC" w:rsidP="008A19CC">
      <w:pPr>
        <w:widowControl w:val="0"/>
        <w:autoSpaceDE w:val="0"/>
        <w:autoSpaceDN w:val="0"/>
        <w:spacing w:after="120" w:line="276" w:lineRule="auto"/>
        <w:ind w:firstLine="709"/>
        <w:jc w:val="both"/>
        <w:rPr>
          <w:rFonts w:ascii="Verdana" w:eastAsia="Times New Roman" w:hAnsi="Verdana" w:cs="Arial"/>
          <w:bCs/>
          <w:lang w:val="es-ES" w:eastAsia="es-CO" w:bidi="es-ES"/>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w:t>
      </w:r>
      <w:r w:rsidRPr="00E36918">
        <w:rPr>
          <w:rFonts w:ascii="Verdana" w:eastAsia="Times New Roman" w:hAnsi="Verdana" w:cs="Arial"/>
          <w:bCs/>
          <w:lang w:val="es-ES" w:eastAsia="es-CO" w:bidi="es-ES"/>
        </w:rPr>
        <w:lastRenderedPageBreak/>
        <w:t xml:space="preserve">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r w:rsidRPr="00E36918">
        <w:rPr>
          <w:rFonts w:ascii="Verdana" w:eastAsia="Times New Roman" w:hAnsi="Verdana" w:cs="Arial"/>
          <w:bCs/>
          <w:lang w:val="es-ES" w:eastAsia="es-CO" w:bidi="es-ES"/>
        </w:rPr>
        <w:t xml:space="preserve"> </w:t>
      </w:r>
    </w:p>
    <w:p w14:paraId="1048A2E4" w14:textId="77777777" w:rsidR="008A19CC" w:rsidRPr="006B17A7" w:rsidRDefault="008A19CC" w:rsidP="008A19CC">
      <w:pPr>
        <w:spacing w:before="120" w:after="0" w:line="276" w:lineRule="auto"/>
        <w:ind w:firstLine="708"/>
        <w:jc w:val="both"/>
        <w:rPr>
          <w:rFonts w:ascii="Verdana" w:eastAsia="Calibri" w:hAnsi="Verdana" w:cs="Arial"/>
        </w:rPr>
      </w:pPr>
      <w:r>
        <w:rPr>
          <w:rFonts w:ascii="Verdana" w:eastAsia="Calibri" w:hAnsi="Verdana" w:cs="Arial"/>
        </w:rPr>
        <w:t>F</w:t>
      </w:r>
      <w:r w:rsidRPr="006B17A7">
        <w:rPr>
          <w:rFonts w:ascii="Verdana" w:eastAsia="Calibri" w:hAnsi="Verdana" w:cs="Arial"/>
        </w:rPr>
        <w:t xml:space="preserve">inalmente debe advertirse que el análisis requerido para resolver problemas específicos a la liquidación de los contratos estatales 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 </w:t>
      </w:r>
    </w:p>
    <w:p w14:paraId="4D9DB6A8" w14:textId="77777777" w:rsidR="008A19CC" w:rsidRPr="006B17A7" w:rsidRDefault="008A19CC" w:rsidP="008A19CC">
      <w:pPr>
        <w:spacing w:before="120" w:after="0" w:line="276" w:lineRule="auto"/>
        <w:ind w:firstLine="708"/>
        <w:jc w:val="both"/>
        <w:rPr>
          <w:rFonts w:ascii="Verdana" w:eastAsia="Calibri" w:hAnsi="Verdana" w:cs="Arial"/>
        </w:rPr>
      </w:pPr>
      <w:r w:rsidRPr="006B17A7">
        <w:rPr>
          <w:rFonts w:ascii="Verdana" w:eastAsia="Calibri" w:hAnsi="Verdana" w:cs="Arial"/>
        </w:rPr>
        <w:t xml:space="preserve">Dentro de este marco, la entidad contratante definirá en cada caso concreto lo relacionado con el tema objeto de consulta. Al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  </w:t>
      </w:r>
    </w:p>
    <w:p w14:paraId="36751CDB" w14:textId="77777777" w:rsidR="008A19CC" w:rsidRPr="006B17A7" w:rsidRDefault="008A19CC" w:rsidP="008A19CC">
      <w:pPr>
        <w:spacing w:after="0" w:line="276" w:lineRule="auto"/>
        <w:ind w:firstLine="708"/>
        <w:jc w:val="both"/>
        <w:rPr>
          <w:rFonts w:ascii="Verdana" w:eastAsia="Calibri" w:hAnsi="Verdana" w:cs="Arial"/>
        </w:rPr>
      </w:pPr>
    </w:p>
    <w:p w14:paraId="45E0BE85" w14:textId="77777777" w:rsidR="008A19CC" w:rsidRPr="006B17A7" w:rsidRDefault="008A19CC" w:rsidP="008A19CC">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59F9E0A9" w14:textId="77777777" w:rsidR="008A19CC" w:rsidRPr="006B17A7" w:rsidRDefault="008A19CC" w:rsidP="008A19CC">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19CC" w:rsidRPr="006B17A7" w14:paraId="43D883AE" w14:textId="77777777" w:rsidTr="000B5BC1">
        <w:trPr>
          <w:trHeight w:val="870"/>
        </w:trPr>
        <w:tc>
          <w:tcPr>
            <w:tcW w:w="8647" w:type="dxa"/>
          </w:tcPr>
          <w:p w14:paraId="622CA642" w14:textId="77777777" w:rsidR="008A19CC" w:rsidRDefault="008A19CC" w:rsidP="008A19CC">
            <w:pPr>
              <w:pStyle w:val="Prrafodelista"/>
              <w:numPr>
                <w:ilvl w:val="0"/>
                <w:numId w:val="17"/>
              </w:numPr>
              <w:spacing w:after="120" w:line="276" w:lineRule="auto"/>
              <w:jc w:val="both"/>
              <w:rPr>
                <w:rFonts w:ascii="Verdana" w:eastAsia="Aptos" w:hAnsi="Verdana" w:cs="Arial"/>
              </w:rPr>
            </w:pPr>
            <w:r>
              <w:rPr>
                <w:rFonts w:ascii="Verdana" w:eastAsia="Aptos" w:hAnsi="Verdana" w:cs="Arial"/>
              </w:rPr>
              <w:t xml:space="preserve">Constitución Política. Artículo 127. </w:t>
            </w:r>
          </w:p>
          <w:p w14:paraId="65F31D46" w14:textId="77777777" w:rsidR="008A19CC" w:rsidRDefault="008A19CC" w:rsidP="008A19CC">
            <w:pPr>
              <w:pStyle w:val="Prrafodelista"/>
              <w:numPr>
                <w:ilvl w:val="0"/>
                <w:numId w:val="17"/>
              </w:numPr>
              <w:spacing w:after="120" w:line="276" w:lineRule="auto"/>
              <w:jc w:val="both"/>
              <w:rPr>
                <w:rFonts w:ascii="Verdana" w:eastAsia="Aptos" w:hAnsi="Verdana" w:cs="Arial"/>
              </w:rPr>
            </w:pPr>
            <w:r>
              <w:rPr>
                <w:rFonts w:ascii="Verdana" w:eastAsia="Aptos" w:hAnsi="Verdana" w:cs="Arial"/>
              </w:rPr>
              <w:t>Ley 996 de 2005. Artículo 33.</w:t>
            </w:r>
          </w:p>
          <w:p w14:paraId="3AB6E477" w14:textId="77777777" w:rsidR="008A19CC" w:rsidRDefault="008A19CC" w:rsidP="008A19CC">
            <w:pPr>
              <w:pStyle w:val="Prrafodelista"/>
              <w:numPr>
                <w:ilvl w:val="0"/>
                <w:numId w:val="17"/>
              </w:numPr>
              <w:spacing w:after="120" w:line="276" w:lineRule="auto"/>
              <w:jc w:val="both"/>
              <w:rPr>
                <w:rFonts w:ascii="Verdana" w:eastAsia="Aptos" w:hAnsi="Verdana" w:cs="Arial"/>
              </w:rPr>
            </w:pPr>
            <w:r>
              <w:rPr>
                <w:rFonts w:ascii="Verdana" w:eastAsia="Aptos" w:hAnsi="Verdana" w:cs="Arial"/>
              </w:rPr>
              <w:t xml:space="preserve">Ley 1150 de 2007. Artículo 2, 14. </w:t>
            </w:r>
          </w:p>
          <w:p w14:paraId="15678180" w14:textId="77777777" w:rsidR="008A19CC" w:rsidRDefault="008A19CC" w:rsidP="008A19CC">
            <w:pPr>
              <w:pStyle w:val="Prrafodelista"/>
              <w:numPr>
                <w:ilvl w:val="0"/>
                <w:numId w:val="17"/>
              </w:numPr>
              <w:spacing w:after="120" w:line="276" w:lineRule="auto"/>
              <w:jc w:val="both"/>
              <w:rPr>
                <w:rFonts w:ascii="Verdana" w:eastAsia="Aptos" w:hAnsi="Verdana" w:cs="Arial"/>
              </w:rPr>
            </w:pPr>
            <w:r>
              <w:rPr>
                <w:rFonts w:ascii="Verdana" w:eastAsia="Aptos" w:hAnsi="Verdana" w:cs="Arial"/>
              </w:rPr>
              <w:t xml:space="preserve">Ley 489 de 1998. Artículo 93. </w:t>
            </w:r>
          </w:p>
          <w:p w14:paraId="3EDFBDED" w14:textId="77777777" w:rsidR="008A19CC" w:rsidRPr="00462044" w:rsidRDefault="008A19CC" w:rsidP="008A19CC">
            <w:pPr>
              <w:pStyle w:val="Prrafodelista"/>
              <w:numPr>
                <w:ilvl w:val="0"/>
                <w:numId w:val="17"/>
              </w:numPr>
              <w:spacing w:after="120" w:line="276" w:lineRule="auto"/>
              <w:jc w:val="both"/>
              <w:rPr>
                <w:rFonts w:ascii="Verdana" w:eastAsia="Aptos" w:hAnsi="Verdana" w:cs="Arial"/>
              </w:rPr>
            </w:pPr>
            <w:r>
              <w:rPr>
                <w:rFonts w:ascii="Verdana" w:eastAsia="Aptos" w:hAnsi="Verdana" w:cs="Arial"/>
              </w:rPr>
              <w:lastRenderedPageBreak/>
              <w:t>Ley 1474 de 2011. Artículo 93</w:t>
            </w:r>
          </w:p>
          <w:p w14:paraId="2886104E"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266133">
              <w:rPr>
                <w:rFonts w:ascii="Verdana" w:eastAsia="Aptos" w:hAnsi="Verdana" w:cs="Arial"/>
              </w:rPr>
              <w:t xml:space="preserve">Consejo de Estado. Sala de lo Contencioso Administrativo. Sección Primera. Sentencia de 3 de marzo de 2005. Radicado: 25001-23-15-000-2004-00823-01 (PI). C.P: Camilo Arciniegas Andrade. </w:t>
            </w:r>
          </w:p>
          <w:p w14:paraId="3A2C46B2"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266133">
              <w:rPr>
                <w:rFonts w:ascii="Verdana" w:eastAsia="Aptos" w:hAnsi="Verdana" w:cs="Arial"/>
              </w:rPr>
              <w:t>Consejo de Estado, Sala de Consulta y Servicio Civil. 24 de julio de 2013. Radicado: 11001-03-06-000-2013-00407-00 (2166). C.P</w:t>
            </w:r>
            <w:r>
              <w:rPr>
                <w:rFonts w:ascii="Verdana" w:eastAsia="Aptos" w:hAnsi="Verdana" w:cs="Arial"/>
              </w:rPr>
              <w:t>:</w:t>
            </w:r>
            <w:r w:rsidRPr="00266133">
              <w:rPr>
                <w:rFonts w:ascii="Verdana" w:eastAsia="Aptos" w:hAnsi="Verdana" w:cs="Arial"/>
              </w:rPr>
              <w:t xml:space="preserve"> Álvaro Namén Vargas.  </w:t>
            </w:r>
          </w:p>
          <w:p w14:paraId="4FA0E3A5"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266133">
              <w:rPr>
                <w:rFonts w:ascii="Verdana" w:eastAsia="Aptos" w:hAnsi="Verdana" w:cs="Arial"/>
              </w:rPr>
              <w:t>Consejo de Estado. Sala de Consulta y Servicio Civil. Concepto del 17 de febrero de 2015. Radicado: 11001-03-06-000-2015-00164-00 (2269). C.P. William Zambrano Cetina.</w:t>
            </w:r>
          </w:p>
          <w:p w14:paraId="6A4A07A2"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266133">
              <w:rPr>
                <w:rFonts w:ascii="Verdana" w:eastAsia="Aptos" w:hAnsi="Verdana" w:cs="Arial"/>
              </w:rPr>
              <w:t>Consejo de Estado. Sala de Consulta y Servicio Civil. Concepto del 2 de septiembre de 2013. Radicación número: 11001-03-06-000-2013-00412-00 (2168). C.P: Álvaro Namén Vargas.</w:t>
            </w:r>
          </w:p>
          <w:p w14:paraId="3513B1C3"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462044">
              <w:rPr>
                <w:rFonts w:ascii="Verdana" w:eastAsia="Aptos" w:hAnsi="Verdana" w:cs="Arial"/>
              </w:rPr>
              <w:t>Consejo de Estado. Sala de Consulta y Servicio Civil, Concepto de 8 de mayo de 2018. Radicación Número: 11001-03-06-000-2018-00095-00 (2382). C.P: Álvaro Namén Vargas.</w:t>
            </w:r>
          </w:p>
          <w:p w14:paraId="4F974C7F"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462044">
              <w:rPr>
                <w:rFonts w:ascii="Verdana" w:eastAsia="Aptos" w:hAnsi="Verdana" w:cs="Arial"/>
              </w:rPr>
              <w:t>Consejo de Estado. Sala de Consulta y Servicio Civil. Concepto de 20 de febrero de 2006. Radicación Número: 11001-03-06-000-2006-00026-00 (1727). C.P: Enrique José Arboleda Perdomo.</w:t>
            </w:r>
          </w:p>
          <w:p w14:paraId="7A5E88FD"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462044">
              <w:rPr>
                <w:rFonts w:ascii="Verdana" w:eastAsia="Aptos" w:hAnsi="Verdana" w:cs="Arial"/>
              </w:rPr>
              <w:t>Consejo de Estado. Sala de Consulta y Servicio Civil. Concepto de 6 de abril de 2006. Radicación Número: 11001-03-06-000-2006-00038-00 (1738). C.P: Enrique José Arboleda Perdomo</w:t>
            </w:r>
            <w:r>
              <w:rPr>
                <w:rFonts w:ascii="Verdana" w:eastAsia="Aptos" w:hAnsi="Verdana" w:cs="Arial"/>
              </w:rPr>
              <w:t>.</w:t>
            </w:r>
          </w:p>
          <w:p w14:paraId="17BA3E7C" w14:textId="77777777" w:rsidR="008A19CC" w:rsidRPr="00FD3CA5" w:rsidRDefault="008A19CC" w:rsidP="008A19CC">
            <w:pPr>
              <w:pStyle w:val="Prrafodelista"/>
              <w:numPr>
                <w:ilvl w:val="0"/>
                <w:numId w:val="17"/>
              </w:numPr>
              <w:spacing w:after="120" w:line="276" w:lineRule="auto"/>
              <w:jc w:val="both"/>
              <w:rPr>
                <w:rFonts w:ascii="Verdana" w:eastAsia="Aptos" w:hAnsi="Verdana" w:cs="Arial"/>
              </w:rPr>
            </w:pPr>
            <w:r w:rsidRPr="00FD3CA5">
              <w:rPr>
                <w:rFonts w:ascii="Verdana" w:eastAsia="Aptos" w:hAnsi="Verdana" w:cs="Arial"/>
              </w:rPr>
              <w:t>Corte Constitucional. Sentencia C- 1153 de 2005, M.P: Marco Gerardo Monroy Cabra.</w:t>
            </w:r>
          </w:p>
          <w:p w14:paraId="5EFBD62A"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FD3CA5">
              <w:rPr>
                <w:rFonts w:ascii="Verdana" w:eastAsia="Aptos" w:hAnsi="Verdana" w:cs="Arial"/>
              </w:rPr>
              <w:t>Corte Constitucional. Sentencia C-233 de 4 de abril de 2002. M.P: Álvaro Tafur Galvis</w:t>
            </w:r>
            <w:r>
              <w:rPr>
                <w:rFonts w:ascii="Verdana" w:eastAsia="Aptos" w:hAnsi="Verdana" w:cs="Arial"/>
              </w:rPr>
              <w:t>.</w:t>
            </w:r>
          </w:p>
          <w:p w14:paraId="7E53EF28"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FD3CA5">
              <w:rPr>
                <w:rFonts w:ascii="Verdana" w:eastAsia="Aptos" w:hAnsi="Verdana" w:cs="Arial"/>
              </w:rPr>
              <w:t>Corte Constitucional. Sentencia C-551 de 9 de julio de 2003. M.P: Eduardo Montealegre Lynnet</w:t>
            </w:r>
            <w:r>
              <w:rPr>
                <w:rFonts w:ascii="Verdana" w:eastAsia="Aptos" w:hAnsi="Verdana" w:cs="Arial"/>
              </w:rPr>
              <w:t>.</w:t>
            </w:r>
          </w:p>
          <w:p w14:paraId="750AD2EE" w14:textId="77777777" w:rsidR="008A19CC" w:rsidRDefault="008A19CC" w:rsidP="008A19CC">
            <w:pPr>
              <w:pStyle w:val="Prrafodelista"/>
              <w:numPr>
                <w:ilvl w:val="0"/>
                <w:numId w:val="17"/>
              </w:numPr>
              <w:spacing w:after="120" w:line="276" w:lineRule="auto"/>
              <w:jc w:val="both"/>
              <w:rPr>
                <w:rFonts w:ascii="Verdana" w:eastAsia="Aptos" w:hAnsi="Verdana" w:cs="Arial"/>
              </w:rPr>
            </w:pPr>
            <w:r w:rsidRPr="00FD3CA5">
              <w:rPr>
                <w:rFonts w:ascii="Verdana" w:eastAsia="Aptos" w:hAnsi="Verdana" w:cs="Arial"/>
              </w:rPr>
              <w:t>Corte Constitucional. Sentencia C-353 de 20 de mayo de 2009. M.P: Jorge Iván Palacio Palacio</w:t>
            </w:r>
            <w:r>
              <w:rPr>
                <w:rFonts w:ascii="Verdana" w:eastAsia="Aptos" w:hAnsi="Verdana" w:cs="Arial"/>
              </w:rPr>
              <w:t>.</w:t>
            </w:r>
          </w:p>
          <w:p w14:paraId="3B4AE8FA" w14:textId="77777777" w:rsidR="008A19CC" w:rsidRPr="006B17A7" w:rsidRDefault="008A19CC" w:rsidP="008A19CC">
            <w:pPr>
              <w:pStyle w:val="Prrafodelista"/>
              <w:numPr>
                <w:ilvl w:val="0"/>
                <w:numId w:val="17"/>
              </w:numPr>
              <w:spacing w:after="120" w:line="276" w:lineRule="auto"/>
              <w:jc w:val="both"/>
              <w:rPr>
                <w:rFonts w:ascii="Verdana" w:eastAsia="Aptos" w:hAnsi="Verdana" w:cs="Arial"/>
              </w:rPr>
            </w:pPr>
            <w:r w:rsidRPr="00FD3CA5">
              <w:rPr>
                <w:rFonts w:ascii="Verdana" w:eastAsia="Aptos" w:hAnsi="Verdana" w:cs="Arial"/>
              </w:rPr>
              <w:t>Corte Constitucional. Sentencia C-541 de 30 de junio de 2010. M.P: Gabriel Eduardo Mendoza Martelo.</w:t>
            </w:r>
          </w:p>
        </w:tc>
      </w:tr>
    </w:tbl>
    <w:p w14:paraId="64408147" w14:textId="77777777" w:rsidR="008A19CC" w:rsidRPr="006B17A7" w:rsidRDefault="008A19CC" w:rsidP="008A19CC">
      <w:pPr>
        <w:widowControl w:val="0"/>
        <w:autoSpaceDE w:val="0"/>
        <w:autoSpaceDN w:val="0"/>
        <w:spacing w:after="0" w:line="276" w:lineRule="auto"/>
        <w:jc w:val="both"/>
        <w:rPr>
          <w:rFonts w:ascii="Verdana" w:eastAsia="Aptos" w:hAnsi="Verdana" w:cs="Arial"/>
        </w:rPr>
      </w:pPr>
    </w:p>
    <w:p w14:paraId="19AC5D2F" w14:textId="77777777" w:rsidR="008A19CC" w:rsidRPr="006B17A7" w:rsidRDefault="008A19CC" w:rsidP="008A19CC">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047F8621" w14:textId="77777777" w:rsidR="008A19CC" w:rsidRPr="006B17A7" w:rsidRDefault="008A19CC" w:rsidP="008A19CC">
      <w:pPr>
        <w:widowControl w:val="0"/>
        <w:autoSpaceDE w:val="0"/>
        <w:autoSpaceDN w:val="0"/>
        <w:spacing w:after="0" w:line="276" w:lineRule="auto"/>
        <w:jc w:val="both"/>
        <w:rPr>
          <w:rFonts w:ascii="Verdana" w:eastAsia="Aptos" w:hAnsi="Verdana" w:cs="Arial"/>
        </w:rPr>
      </w:pPr>
    </w:p>
    <w:p w14:paraId="2B49605A" w14:textId="77777777" w:rsidR="008A19CC" w:rsidRPr="005644FE" w:rsidRDefault="008A19CC" w:rsidP="008A19CC">
      <w:pPr>
        <w:widowControl w:val="0"/>
        <w:tabs>
          <w:tab w:val="left" w:pos="3828"/>
        </w:tabs>
        <w:autoSpaceDE w:val="0"/>
        <w:autoSpaceDN w:val="0"/>
        <w:spacing w:after="0" w:line="240" w:lineRule="auto"/>
        <w:jc w:val="both"/>
        <w:rPr>
          <w:rFonts w:ascii="Verdana" w:hAnsi="Verdana" w:cs="Arial"/>
          <w:shd w:val="clear" w:color="auto" w:fill="FFFFFF"/>
        </w:rPr>
      </w:pPr>
    </w:p>
    <w:p w14:paraId="390237A9" w14:textId="77777777" w:rsidR="008A19CC" w:rsidRPr="00C27319" w:rsidRDefault="008A19CC" w:rsidP="008A19CC">
      <w:pPr>
        <w:widowControl w:val="0"/>
        <w:autoSpaceDE w:val="0"/>
        <w:autoSpaceDN w:val="0"/>
        <w:spacing w:after="0" w:line="276" w:lineRule="auto"/>
        <w:jc w:val="both"/>
        <w:rPr>
          <w:rFonts w:ascii="Verdana" w:hAnsi="Verdana" w:cs="Arial"/>
          <w:shd w:val="clear" w:color="auto" w:fill="FFFFFF"/>
          <w:lang w:val="es-ES"/>
        </w:rPr>
      </w:pPr>
      <w:r w:rsidRPr="00301140">
        <w:rPr>
          <w:rStyle w:val="normaltextrun"/>
          <w:rFonts w:ascii="Verdana" w:hAnsi="Verdana" w:cs="Arial"/>
          <w:shd w:val="clear" w:color="auto" w:fill="FFFFFF"/>
          <w:lang w:val="es-ES"/>
        </w:rPr>
        <w:lastRenderedPageBreak/>
        <w:t xml:space="preserve">Esta Subdirección se ha pronunciado sobre </w:t>
      </w:r>
      <w:r w:rsidRPr="00AB70DD">
        <w:rPr>
          <w:rFonts w:ascii="Verdana" w:hAnsi="Verdana" w:cs="Arial"/>
          <w:shd w:val="clear" w:color="auto" w:fill="FFFFFF"/>
          <w:lang w:val="es-ES"/>
        </w:rPr>
        <w:t>la finalidad y propósito de la Ley de Garantías Electorales, en los</w:t>
      </w:r>
      <w:r>
        <w:rPr>
          <w:rFonts w:ascii="Verdana" w:hAnsi="Verdana" w:cs="Arial"/>
          <w:shd w:val="clear" w:color="auto" w:fill="FFFFFF"/>
          <w:lang w:val="es-ES"/>
        </w:rPr>
        <w:t xml:space="preserve"> c</w:t>
      </w:r>
      <w:r w:rsidRPr="00AB70DD">
        <w:rPr>
          <w:rFonts w:ascii="Verdana" w:hAnsi="Verdana" w:cs="Arial"/>
          <w:shd w:val="clear" w:color="auto" w:fill="FFFFFF"/>
          <w:lang w:val="es-ES"/>
        </w:rPr>
        <w:t>onceptos C-227 del 24 de mayo de 2021</w:t>
      </w:r>
      <w:r>
        <w:rPr>
          <w:rFonts w:ascii="Verdana" w:hAnsi="Verdana" w:cs="Arial"/>
          <w:shd w:val="clear" w:color="auto" w:fill="FFFFFF"/>
          <w:lang w:val="es-ES"/>
        </w:rPr>
        <w:t>, C-</w:t>
      </w:r>
      <w:r w:rsidRPr="00AB70DD">
        <w:rPr>
          <w:rFonts w:ascii="Verdana" w:hAnsi="Verdana" w:cs="Arial"/>
          <w:shd w:val="clear" w:color="auto" w:fill="FFFFFF"/>
          <w:lang w:val="es-ES"/>
        </w:rPr>
        <w:t>396 del 13 de agosto de 2021, C-439 del 27 de agosto de 2021, C-481 del 9 de septiembre de 2021, C-528 del 27 de septiembre de 2021, C-550 del 5 de octubre de 2021</w:t>
      </w:r>
      <w:r>
        <w:rPr>
          <w:rFonts w:ascii="Verdana" w:hAnsi="Verdana" w:cs="Arial"/>
          <w:shd w:val="clear" w:color="auto" w:fill="FFFFFF"/>
          <w:lang w:val="es-ES"/>
        </w:rPr>
        <w:t xml:space="preserve">, </w:t>
      </w:r>
      <w:r w:rsidRPr="00AB70DD">
        <w:rPr>
          <w:rFonts w:ascii="Verdana" w:hAnsi="Verdana" w:cs="Arial"/>
          <w:shd w:val="clear" w:color="auto" w:fill="FFFFFF"/>
          <w:lang w:val="es-ES"/>
        </w:rPr>
        <w:t>C-523 del 10 de octubre de 2021, C-606 del 28 de octubre de 2021</w:t>
      </w:r>
      <w:r>
        <w:rPr>
          <w:rFonts w:ascii="Verdana" w:hAnsi="Verdana" w:cs="Arial"/>
          <w:shd w:val="clear" w:color="auto" w:fill="FFFFFF"/>
          <w:lang w:val="es-ES"/>
        </w:rPr>
        <w:t>,</w:t>
      </w:r>
      <w:r w:rsidRPr="00AB70DD">
        <w:rPr>
          <w:rFonts w:ascii="Verdana" w:hAnsi="Verdana" w:cs="Arial"/>
          <w:shd w:val="clear" w:color="auto" w:fill="FFFFFF"/>
          <w:lang w:val="es-ES"/>
        </w:rPr>
        <w:t xml:space="preserve"> C-614 del 2 de noviembre de 2021, </w:t>
      </w:r>
      <w:r>
        <w:rPr>
          <w:rFonts w:ascii="Verdana" w:hAnsi="Verdana" w:cs="Arial"/>
          <w:shd w:val="clear" w:color="auto" w:fill="FFFFFF"/>
          <w:lang w:val="es-ES"/>
        </w:rPr>
        <w:t xml:space="preserve">C-634 del 11 de noviembre de 2021, </w:t>
      </w:r>
      <w:r w:rsidRPr="00AB70DD">
        <w:rPr>
          <w:rFonts w:ascii="Verdana" w:hAnsi="Verdana" w:cs="Arial"/>
          <w:shd w:val="clear" w:color="auto" w:fill="FFFFFF"/>
          <w:lang w:val="es-ES"/>
        </w:rPr>
        <w:t xml:space="preserve">C-636 del 16 de noviembre de 2021, </w:t>
      </w:r>
      <w:r>
        <w:rPr>
          <w:rFonts w:ascii="Verdana" w:hAnsi="Verdana" w:cs="Arial"/>
          <w:shd w:val="clear" w:color="auto" w:fill="FFFFFF"/>
          <w:lang w:val="es-ES"/>
        </w:rPr>
        <w:t>C-</w:t>
      </w:r>
      <w:r w:rsidRPr="00AB70DD">
        <w:rPr>
          <w:rFonts w:ascii="Verdana" w:hAnsi="Verdana" w:cs="Arial"/>
          <w:shd w:val="clear" w:color="auto" w:fill="FFFFFF"/>
          <w:lang w:val="es-ES"/>
        </w:rPr>
        <w:t xml:space="preserve">681 del 7 de diciembre de 2021, C-686 del 21 de diciembre de 2021, </w:t>
      </w:r>
      <w:r>
        <w:rPr>
          <w:rFonts w:ascii="Verdana" w:hAnsi="Verdana" w:cs="Arial"/>
          <w:shd w:val="clear" w:color="auto" w:fill="FFFFFF"/>
          <w:lang w:val="es-ES"/>
        </w:rPr>
        <w:t xml:space="preserve">C-054 del 22 de marzo de 2022, C-179 del 8 de abril de 2022, C-099 del 22 de marzo de 2022, C-161 del 17 de mayo de 2022, C-696 del 11 de julio de 2025, C-868 del 12 de agosto de 2025, C- 955 del 15 de agosto de 2025, C-1430 del 12 de noviembre de </w:t>
      </w:r>
      <w:r w:rsidRPr="00421B05">
        <w:rPr>
          <w:rFonts w:ascii="Verdana" w:hAnsi="Verdana" w:cs="Arial"/>
          <w:shd w:val="clear" w:color="auto" w:fill="FFFFFF"/>
          <w:lang w:val="es-ES"/>
        </w:rPr>
        <w:t>2025</w:t>
      </w:r>
      <w:r>
        <w:rPr>
          <w:rFonts w:ascii="Verdana" w:hAnsi="Verdana" w:cs="Arial"/>
          <w:shd w:val="clear" w:color="auto" w:fill="FFFFFF"/>
          <w:lang w:val="es-ES"/>
        </w:rPr>
        <w:t xml:space="preserve"> y C-1654 del 22 de diciembre de 2025, entre otros</w:t>
      </w:r>
      <w:r w:rsidRPr="00421B05">
        <w:rPr>
          <w:rFonts w:ascii="Verdana" w:hAnsi="Verdana" w:cs="Arial"/>
          <w:shd w:val="clear" w:color="auto" w:fill="FFFFFF"/>
          <w:lang w:val="es-ES"/>
        </w:rPr>
        <w:t>.</w:t>
      </w:r>
      <w:r w:rsidRPr="00421B05">
        <w:rPr>
          <w:rStyle w:val="normaltextrun"/>
          <w:rFonts w:ascii="Verdana" w:hAnsi="Verdana" w:cs="Arial"/>
          <w:shd w:val="clear" w:color="auto" w:fill="FFFFFF"/>
          <w:lang w:val="es-ES"/>
        </w:rPr>
        <w:t xml:space="preserve"> </w:t>
      </w:r>
      <w:r w:rsidRPr="00421B05">
        <w:rPr>
          <w:rFonts w:ascii="Verdana" w:hAnsi="Verdana" w:cs="Arial"/>
        </w:rPr>
        <w:t>Estos y otros</w:t>
      </w:r>
      <w:r w:rsidRPr="001715C8">
        <w:rPr>
          <w:rFonts w:ascii="Verdana" w:hAnsi="Verdana" w:cs="Arial"/>
        </w:rPr>
        <w:t xml:space="preserve"> </w:t>
      </w:r>
      <w:r w:rsidRPr="001715C8">
        <w:rPr>
          <w:rFonts w:ascii="Verdana" w:hAnsi="Verdana"/>
        </w:rPr>
        <w:t>conceptos se encuentran disponibles para consulta en el Sistema de relatoría de la Agencia, al cual se puede acceder a través del siguiente enlace:</w:t>
      </w:r>
      <w:r w:rsidRPr="001715C8">
        <w:rPr>
          <w:rFonts w:ascii="Verdana" w:hAnsi="Verdana" w:cs="Arial"/>
          <w:shd w:val="clear" w:color="auto" w:fill="FFFFFF"/>
        </w:rPr>
        <w:t xml:space="preserve"> </w:t>
      </w:r>
      <w:hyperlink r:id="rId12" w:history="1">
        <w:r w:rsidRPr="009B1491">
          <w:rPr>
            <w:rStyle w:val="Hipervnculo"/>
            <w:rFonts w:ascii="Verdana" w:hAnsi="Verdana" w:cs="Arial"/>
            <w:shd w:val="clear" w:color="auto" w:fill="FFFFFF"/>
          </w:rPr>
          <w:t>https://relatoria.colombiacompra.gov.co/busqueda/conceptos</w:t>
        </w:r>
      </w:hyperlink>
      <w:r w:rsidRPr="001715C8">
        <w:rPr>
          <w:rFonts w:ascii="Verdana" w:hAnsi="Verdana" w:cs="Arial"/>
          <w:shd w:val="clear" w:color="auto" w:fill="FFFFFF"/>
        </w:rPr>
        <w:t>.</w:t>
      </w:r>
      <w:r w:rsidRPr="005644FE">
        <w:rPr>
          <w:rFonts w:ascii="Verdana" w:hAnsi="Verdana" w:cs="Arial"/>
          <w:color w:val="FF0000"/>
          <w:shd w:val="clear" w:color="auto" w:fill="FFFFFF"/>
        </w:rPr>
        <w:t xml:space="preserve"> </w:t>
      </w:r>
      <w:r w:rsidRPr="005644FE">
        <w:rPr>
          <w:rFonts w:ascii="Verdana" w:hAnsi="Verdana" w:cs="Arial"/>
          <w:color w:val="000000" w:themeColor="text1"/>
          <w:shd w:val="clear" w:color="auto" w:fill="FFFFFF"/>
        </w:rPr>
        <w:t>  </w:t>
      </w:r>
    </w:p>
    <w:p w14:paraId="251E1581" w14:textId="77777777" w:rsidR="008A19CC" w:rsidRPr="00115E3D" w:rsidRDefault="008A19CC" w:rsidP="008A19CC">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0E2BB7CE" w14:textId="77777777" w:rsidR="008A19CC" w:rsidRPr="009A385A" w:rsidRDefault="008A19CC" w:rsidP="008A19CC">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3" w:tgtFrame="_new" w:history="1">
        <w:r w:rsidRPr="009A385A">
          <w:rPr>
            <w:rStyle w:val="Hipervnculo"/>
            <w:rFonts w:ascii="Verdana" w:hAnsi="Verdana"/>
          </w:rPr>
          <w:t>https://formacionvirtual.colombiacompra.gov.co/mod/page/view.php?id=3718</w:t>
        </w:r>
      </w:hyperlink>
    </w:p>
    <w:p w14:paraId="3E370751" w14:textId="77777777" w:rsidR="008A19CC" w:rsidRDefault="008A19CC" w:rsidP="008A19CC">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4" w:tgtFrame="_new" w:history="1">
        <w:r w:rsidRPr="00635F16">
          <w:rPr>
            <w:rStyle w:val="Hipervnculo"/>
            <w:rFonts w:ascii="Verdana" w:hAnsi="Verdana"/>
          </w:rPr>
          <w:t>https://www.colombiacompra.gov.co/normativa-y-relatoria/documentos-tipo</w:t>
        </w:r>
      </w:hyperlink>
    </w:p>
    <w:p w14:paraId="60209214" w14:textId="77777777" w:rsidR="008A19CC" w:rsidRPr="009A385A" w:rsidRDefault="008A19CC" w:rsidP="008A19CC">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 xml:space="preserve">Guía para la comprensión e implementación de los </w:t>
      </w:r>
      <w:r w:rsidRPr="009A385A">
        <w:rPr>
          <w:rFonts w:ascii="Verdana" w:hAnsi="Verdana"/>
          <w:b/>
          <w:bCs/>
        </w:rPr>
        <w:lastRenderedPageBreak/>
        <w:t>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5"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5C90F96F" w14:textId="77777777" w:rsidR="008A19CC" w:rsidRPr="00115E3D" w:rsidRDefault="008A19CC" w:rsidP="008A19CC">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40BDEDF1" w14:textId="77777777" w:rsidR="008A19CC" w:rsidRPr="00115E3D" w:rsidRDefault="008A19CC" w:rsidP="008A19CC">
      <w:pPr>
        <w:spacing w:after="0" w:line="240" w:lineRule="auto"/>
        <w:jc w:val="both"/>
        <w:rPr>
          <w:rFonts w:ascii="Verdana" w:hAnsi="Verdana"/>
          <w:color w:val="000000" w:themeColor="text1"/>
        </w:rPr>
      </w:pPr>
    </w:p>
    <w:p w14:paraId="515E0F7D" w14:textId="77777777" w:rsidR="008A19CC" w:rsidRPr="00115E3D" w:rsidRDefault="008A19CC" w:rsidP="008A19CC">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20851F8E" w14:textId="77777777" w:rsidR="008A19CC" w:rsidRPr="00115E3D" w:rsidRDefault="008A19CC" w:rsidP="008A19CC">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2E1848B4" w14:textId="77777777" w:rsidR="008A19CC" w:rsidRPr="00115E3D" w:rsidRDefault="008A19CC" w:rsidP="008A19CC">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74A9EB1E" w14:textId="77777777" w:rsidR="008A19CC" w:rsidRPr="00115E3D" w:rsidRDefault="008A19CC" w:rsidP="008A19CC">
      <w:pPr>
        <w:widowControl w:val="0"/>
        <w:autoSpaceDE w:val="0"/>
        <w:autoSpaceDN w:val="0"/>
        <w:spacing w:after="0" w:line="276" w:lineRule="auto"/>
        <w:jc w:val="both"/>
        <w:rPr>
          <w:rFonts w:ascii="Verdana" w:hAnsi="Verdana" w:cs="Arial"/>
          <w:color w:val="000000" w:themeColor="text1"/>
        </w:rPr>
      </w:pPr>
    </w:p>
    <w:p w14:paraId="35ADD3E9" w14:textId="77777777" w:rsidR="008A19CC" w:rsidRPr="00115E3D" w:rsidRDefault="008A19CC" w:rsidP="008A19CC">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68A76EC7" w14:textId="77777777" w:rsidR="008A19CC" w:rsidRDefault="008A19CC" w:rsidP="008A19CC">
      <w:pPr>
        <w:spacing w:after="0" w:line="240" w:lineRule="auto"/>
        <w:rPr>
          <w:rFonts w:ascii="Verdana" w:eastAsia="Times New Roman" w:hAnsi="Verdana" w:cs="Arial"/>
          <w:color w:val="000000" w:themeColor="text1"/>
          <w:lang w:eastAsia="es-CO"/>
        </w:rPr>
      </w:pPr>
    </w:p>
    <w:p w14:paraId="7A51C006" w14:textId="77777777" w:rsidR="008A19CC" w:rsidRDefault="008A19CC" w:rsidP="008A19CC">
      <w:pPr>
        <w:spacing w:after="0" w:line="240" w:lineRule="auto"/>
        <w:rPr>
          <w:rFonts w:ascii="Verdana" w:eastAsia="Times New Roman" w:hAnsi="Verdana" w:cs="Arial"/>
          <w:color w:val="000000" w:themeColor="text1"/>
          <w:lang w:eastAsia="es-CO"/>
        </w:rPr>
      </w:pPr>
    </w:p>
    <w:p w14:paraId="2D40B06D" w14:textId="77777777" w:rsidR="008A19CC" w:rsidRPr="00115E3D" w:rsidRDefault="008A19CC" w:rsidP="008A19C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07DC0566" w14:textId="77777777" w:rsidR="00497F6E" w:rsidRDefault="00497F6E" w:rsidP="008A19CC">
      <w:pPr>
        <w:spacing w:line="276" w:lineRule="auto"/>
        <w:jc w:val="center"/>
        <w:rPr>
          <w:noProof/>
        </w:rPr>
      </w:pPr>
    </w:p>
    <w:p w14:paraId="71AED161" w14:textId="77777777" w:rsidR="00497F6E" w:rsidRDefault="00497F6E" w:rsidP="008A19CC">
      <w:pPr>
        <w:spacing w:line="276" w:lineRule="auto"/>
        <w:jc w:val="center"/>
        <w:rPr>
          <w:noProof/>
        </w:rPr>
      </w:pPr>
    </w:p>
    <w:p w14:paraId="4885A6F1" w14:textId="4BC114D5" w:rsidR="00497F6E" w:rsidRDefault="00497F6E" w:rsidP="008A19CC">
      <w:pPr>
        <w:spacing w:line="276" w:lineRule="auto"/>
        <w:jc w:val="center"/>
        <w:rPr>
          <w:noProof/>
        </w:rPr>
      </w:pPr>
      <w:r>
        <w:rPr>
          <w:noProof/>
        </w:rPr>
        <w:drawing>
          <wp:inline distT="0" distB="0" distL="0" distR="0" wp14:anchorId="5C5D9076" wp14:editId="1A563AA6">
            <wp:extent cx="3535680" cy="1517806"/>
            <wp:effectExtent l="0" t="0" r="7620" b="6350"/>
            <wp:docPr id="119268720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49981" cy="1523945"/>
                    </a:xfrm>
                    <a:prstGeom prst="rect">
                      <a:avLst/>
                    </a:prstGeom>
                    <a:noFill/>
                    <a:ln>
                      <a:noFill/>
                    </a:ln>
                  </pic:spPr>
                </pic:pic>
              </a:graphicData>
            </a:graphic>
          </wp:inline>
        </w:drawing>
      </w:r>
    </w:p>
    <w:p w14:paraId="395464BF" w14:textId="77777777" w:rsidR="00497F6E" w:rsidRDefault="00497F6E" w:rsidP="008A19CC">
      <w:pPr>
        <w:spacing w:line="276" w:lineRule="auto"/>
        <w:jc w:val="center"/>
        <w:rPr>
          <w:noProof/>
        </w:rPr>
      </w:pPr>
    </w:p>
    <w:p w14:paraId="25BCFE05" w14:textId="4A62549A" w:rsidR="008A19CC" w:rsidRDefault="008A19CC" w:rsidP="008A19CC">
      <w:pPr>
        <w:spacing w:line="276" w:lineRule="auto"/>
        <w:jc w:val="center"/>
        <w:rPr>
          <w:noProof/>
          <w:color w:val="000000" w:themeColor="text1"/>
          <w:lang w:val="es-ES_tradnl" w:eastAsia="es-CO"/>
        </w:rPr>
      </w:pPr>
      <w:r>
        <w:rPr>
          <w:noProof/>
          <w:color w:val="000000" w:themeColor="text1"/>
          <w:lang w:val="es-ES_tradnl" w:eastAsia="es-CO"/>
        </w:rPr>
        <w:t xml:space="preserve"> </w:t>
      </w:r>
    </w:p>
    <w:p w14:paraId="5E69D70A" w14:textId="77777777" w:rsidR="008A19CC" w:rsidRDefault="008A19CC" w:rsidP="008A19CC">
      <w:pPr>
        <w:spacing w:line="276" w:lineRule="auto"/>
        <w:jc w:val="center"/>
        <w:rPr>
          <w:noProof/>
          <w:color w:val="000000" w:themeColor="text1"/>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19CC" w:rsidRPr="00115E3D" w14:paraId="5C7FBF6B" w14:textId="77777777" w:rsidTr="000B5BC1">
        <w:trPr>
          <w:trHeight w:val="315"/>
        </w:trPr>
        <w:tc>
          <w:tcPr>
            <w:tcW w:w="893" w:type="dxa"/>
            <w:vAlign w:val="center"/>
            <w:hideMark/>
          </w:tcPr>
          <w:p w14:paraId="1D6B7094" w14:textId="77777777" w:rsidR="008A19CC" w:rsidRPr="00115E3D" w:rsidRDefault="008A19CC" w:rsidP="000B5BC1">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DCA9E5B" w14:textId="77777777" w:rsidR="008A19CC" w:rsidRPr="00115E3D" w:rsidRDefault="008A19CC" w:rsidP="000B5BC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2129D291" w14:textId="77777777" w:rsidR="008A19CC" w:rsidRPr="00115E3D" w:rsidRDefault="008A19CC" w:rsidP="000B5BC1">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8A19CC" w:rsidRPr="00115E3D" w14:paraId="4B02F254" w14:textId="77777777" w:rsidTr="000B5BC1">
        <w:trPr>
          <w:trHeight w:val="330"/>
        </w:trPr>
        <w:tc>
          <w:tcPr>
            <w:tcW w:w="893" w:type="dxa"/>
            <w:vAlign w:val="center"/>
            <w:hideMark/>
          </w:tcPr>
          <w:p w14:paraId="2BDF554C" w14:textId="77777777" w:rsidR="008A19CC" w:rsidRPr="00115E3D" w:rsidRDefault="008A19CC" w:rsidP="000B5BC1">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1D80DE4" w14:textId="77777777" w:rsidR="008A19CC" w:rsidRDefault="008A19CC" w:rsidP="000B5BC1">
            <w:pPr>
              <w:pStyle w:val="paragraph"/>
              <w:spacing w:before="0" w:beforeAutospacing="0" w:after="0" w:afterAutospacing="0"/>
              <w:contextualSpacing/>
              <w:textAlignment w:val="baseline"/>
              <w:rPr>
                <w:rFonts w:ascii="Verdana" w:hAnsi="Verdana" w:cs="Segoe UI"/>
                <w:color w:val="000000" w:themeColor="text1"/>
                <w:sz w:val="16"/>
                <w:szCs w:val="16"/>
              </w:rPr>
            </w:pPr>
            <w:r>
              <w:rPr>
                <w:rFonts w:ascii="Verdana" w:hAnsi="Verdana" w:cs="Segoe UI"/>
                <w:color w:val="000000" w:themeColor="text1"/>
                <w:sz w:val="16"/>
                <w:szCs w:val="16"/>
              </w:rPr>
              <w:t>Juan David Cárdenas Cabeza</w:t>
            </w:r>
          </w:p>
          <w:p w14:paraId="4899B008" w14:textId="77777777" w:rsidR="008A19CC" w:rsidRPr="00115E3D" w:rsidRDefault="008A19CC" w:rsidP="000B5BC1">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8A19CC" w:rsidRPr="00115E3D" w14:paraId="57808F57" w14:textId="77777777" w:rsidTr="000B5BC1">
        <w:trPr>
          <w:trHeight w:val="300"/>
        </w:trPr>
        <w:tc>
          <w:tcPr>
            <w:tcW w:w="893" w:type="dxa"/>
            <w:vAlign w:val="center"/>
          </w:tcPr>
          <w:p w14:paraId="4B176F09" w14:textId="77777777" w:rsidR="008A19CC" w:rsidRPr="00115E3D" w:rsidRDefault="008A19CC" w:rsidP="000B5BC1">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D0B8309" w14:textId="77777777" w:rsidR="008A19CC" w:rsidRPr="00115E3D" w:rsidRDefault="008A19CC" w:rsidP="000B5BC1">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1DAED726" w14:textId="77777777" w:rsidR="008A19CC" w:rsidRPr="00115E3D" w:rsidRDefault="008A19CC" w:rsidP="000B5BC1">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Contractual ANCP – CCE</w:t>
            </w:r>
          </w:p>
        </w:tc>
      </w:tr>
    </w:tbl>
    <w:p w14:paraId="7C9026E2" w14:textId="77777777" w:rsidR="002A0DD0" w:rsidRPr="008A19CC" w:rsidRDefault="002A0DD0" w:rsidP="30821638">
      <w:pPr>
        <w:spacing w:after="0" w:line="240" w:lineRule="auto"/>
        <w:jc w:val="both"/>
        <w:rPr>
          <w:rFonts w:ascii="Verdana" w:eastAsia="Verdana" w:hAnsi="Verdana" w:cs="Verdana"/>
          <w:b/>
          <w:bCs/>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1BBEE590"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77E5ECB3" w14:textId="0726759E"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06597" w14:textId="77777777" w:rsidR="008700C1" w:rsidRDefault="008700C1" w:rsidP="004A1847">
      <w:pPr>
        <w:spacing w:after="0" w:line="240" w:lineRule="auto"/>
      </w:pPr>
      <w:r>
        <w:separator/>
      </w:r>
    </w:p>
  </w:endnote>
  <w:endnote w:type="continuationSeparator" w:id="0">
    <w:p w14:paraId="5D1ECE97" w14:textId="77777777" w:rsidR="008700C1" w:rsidRDefault="008700C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B3BC7" w14:textId="77777777" w:rsidR="008700C1" w:rsidRDefault="008700C1" w:rsidP="004A1847">
      <w:pPr>
        <w:spacing w:after="0" w:line="240" w:lineRule="auto"/>
      </w:pPr>
      <w:r>
        <w:separator/>
      </w:r>
    </w:p>
  </w:footnote>
  <w:footnote w:type="continuationSeparator" w:id="0">
    <w:p w14:paraId="2BEE738B" w14:textId="77777777" w:rsidR="008700C1" w:rsidRDefault="008700C1" w:rsidP="004A1847">
      <w:pPr>
        <w:spacing w:after="0" w:line="240" w:lineRule="auto"/>
      </w:pPr>
      <w:r>
        <w:continuationSeparator/>
      </w:r>
    </w:p>
  </w:footnote>
  <w:footnote w:id="1">
    <w:p w14:paraId="6528DA63" w14:textId="77777777" w:rsidR="008A19CC" w:rsidRPr="00BE126A" w:rsidRDefault="008A19CC" w:rsidP="008A19CC">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6B4EF3A2" w14:textId="77777777" w:rsidR="008A19CC" w:rsidRDefault="008A19CC" w:rsidP="008A19CC">
      <w:pPr>
        <w:pStyle w:val="Textonotapie"/>
        <w:ind w:firstLine="709"/>
        <w:contextualSpacing/>
        <w:jc w:val="both"/>
        <w:rPr>
          <w:rFonts w:ascii="Verdana" w:hAnsi="Verdana" w:cs="Arial"/>
          <w:sz w:val="16"/>
          <w:szCs w:val="16"/>
        </w:rPr>
      </w:pPr>
      <w:r w:rsidRPr="00BE126A">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4EE58EBA" w14:textId="77777777" w:rsidR="008A19CC" w:rsidRPr="00BE126A" w:rsidRDefault="008A19CC" w:rsidP="008A19CC">
      <w:pPr>
        <w:pStyle w:val="Textonotapie"/>
        <w:ind w:firstLine="709"/>
        <w:contextualSpacing/>
        <w:jc w:val="both"/>
        <w:rPr>
          <w:rFonts w:ascii="Verdana" w:hAnsi="Verdana" w:cs="Arial"/>
          <w:sz w:val="16"/>
          <w:szCs w:val="16"/>
        </w:rPr>
      </w:pPr>
    </w:p>
  </w:footnote>
  <w:footnote w:id="2">
    <w:p w14:paraId="57A15F98" w14:textId="77777777" w:rsidR="008A19CC" w:rsidRDefault="008A19CC" w:rsidP="008A19CC">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Gaceta del Congreso de la República No. 71 del 2005.</w:t>
      </w:r>
    </w:p>
    <w:p w14:paraId="64DD24E1" w14:textId="77777777" w:rsidR="008A19CC" w:rsidRPr="00BE126A" w:rsidRDefault="008A19CC" w:rsidP="008A19CC">
      <w:pPr>
        <w:pStyle w:val="Textonotapie"/>
        <w:ind w:firstLine="709"/>
        <w:contextualSpacing/>
        <w:jc w:val="both"/>
        <w:rPr>
          <w:rFonts w:ascii="Verdana" w:hAnsi="Verdana" w:cs="Arial"/>
          <w:sz w:val="16"/>
          <w:szCs w:val="16"/>
        </w:rPr>
      </w:pPr>
    </w:p>
  </w:footnote>
  <w:footnote w:id="3">
    <w:p w14:paraId="12DCC3B4" w14:textId="77777777" w:rsidR="008A19CC" w:rsidRDefault="008A19CC" w:rsidP="008A19CC">
      <w:pPr>
        <w:pStyle w:val="Textonotapie"/>
        <w:tabs>
          <w:tab w:val="left" w:pos="8145"/>
        </w:tabs>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Corte Constitucional</w:t>
      </w:r>
      <w:r>
        <w:rPr>
          <w:rFonts w:ascii="Verdana" w:hAnsi="Verdana" w:cs="Arial"/>
          <w:sz w:val="16"/>
          <w:szCs w:val="16"/>
          <w:lang w:val="pt-PT"/>
        </w:rPr>
        <w:t>.</w:t>
      </w:r>
      <w:r w:rsidRPr="005800D0">
        <w:rPr>
          <w:rFonts w:ascii="Verdana" w:hAnsi="Verdana" w:cs="Arial"/>
          <w:sz w:val="16"/>
          <w:szCs w:val="16"/>
          <w:lang w:val="pt-PT"/>
        </w:rPr>
        <w:t xml:space="preserve"> Sentencia C- 1153 de 2005, M.P</w:t>
      </w:r>
      <w:r>
        <w:rPr>
          <w:rFonts w:ascii="Verdana" w:hAnsi="Verdana" w:cs="Arial"/>
          <w:sz w:val="16"/>
          <w:szCs w:val="16"/>
          <w:lang w:val="pt-PT"/>
        </w:rPr>
        <w:t>:</w:t>
      </w:r>
      <w:r w:rsidRPr="005800D0">
        <w:rPr>
          <w:rFonts w:ascii="Verdana" w:hAnsi="Verdana" w:cs="Arial"/>
          <w:sz w:val="16"/>
          <w:szCs w:val="16"/>
          <w:lang w:val="pt-PT"/>
        </w:rPr>
        <w:t xml:space="preserve"> Marco Gerardo Monroy Cabra.</w:t>
      </w:r>
      <w:r>
        <w:rPr>
          <w:rFonts w:ascii="Verdana" w:hAnsi="Verdana" w:cs="Arial"/>
          <w:sz w:val="16"/>
          <w:szCs w:val="16"/>
          <w:lang w:val="pt-PT"/>
        </w:rPr>
        <w:tab/>
      </w:r>
    </w:p>
    <w:p w14:paraId="3A4C7C73" w14:textId="77777777" w:rsidR="008A19CC" w:rsidRPr="005800D0" w:rsidRDefault="008A19CC" w:rsidP="008A19CC">
      <w:pPr>
        <w:pStyle w:val="Textonotapie"/>
        <w:tabs>
          <w:tab w:val="left" w:pos="8145"/>
        </w:tabs>
        <w:ind w:firstLine="709"/>
        <w:contextualSpacing/>
        <w:jc w:val="both"/>
        <w:rPr>
          <w:rFonts w:ascii="Verdana" w:hAnsi="Verdana" w:cs="Arial"/>
          <w:sz w:val="16"/>
          <w:szCs w:val="16"/>
          <w:lang w:val="pt-PT"/>
        </w:rPr>
      </w:pPr>
    </w:p>
  </w:footnote>
  <w:footnote w:id="4">
    <w:p w14:paraId="234F1A20" w14:textId="77777777" w:rsidR="008A19CC" w:rsidRDefault="008A19CC" w:rsidP="008A19CC">
      <w:pPr>
        <w:pStyle w:val="Textonotapie"/>
        <w:ind w:firstLine="709"/>
        <w:contextualSpacing/>
        <w:jc w:val="both"/>
        <w:rPr>
          <w:rFonts w:ascii="Verdana" w:hAnsi="Verdana" w:cs="Arial"/>
          <w:sz w:val="16"/>
          <w:szCs w:val="16"/>
          <w:lang w:val="pt-PT"/>
        </w:rPr>
      </w:pPr>
      <w:r w:rsidRPr="00BE126A">
        <w:rPr>
          <w:rStyle w:val="Refdenotaalpie"/>
          <w:rFonts w:ascii="Verdana" w:hAnsi="Verdana" w:cs="Arial"/>
          <w:sz w:val="16"/>
          <w:szCs w:val="16"/>
        </w:rPr>
        <w:footnoteRef/>
      </w:r>
      <w:r w:rsidRPr="005800D0">
        <w:rPr>
          <w:rFonts w:ascii="Verdana" w:hAnsi="Verdana" w:cs="Arial"/>
          <w:sz w:val="16"/>
          <w:szCs w:val="16"/>
          <w:lang w:val="pt-PT"/>
        </w:rPr>
        <w:t xml:space="preserve"> </w:t>
      </w:r>
      <w:r w:rsidRPr="0045735C">
        <w:rPr>
          <w:rFonts w:ascii="Verdana" w:hAnsi="Verdana" w:cs="Arial"/>
          <w:sz w:val="16"/>
          <w:szCs w:val="16"/>
          <w:lang w:val="es-CO"/>
        </w:rPr>
        <w:t>Corte Constitucional. Sentencias: C-233 de 4 de abril de 2002. M.P: Álvaro Tafur Galvis; C-551 de 9 de julio de 2003. M.P: Eduardo Montealegre Lynnet; C-353 de 20 de mayo de 2009. M.P: Jorge Iván Palacio Palacio; C-541 de 30 de junio de 2010. M.P: Gabriel Eduardo Mendoza Martelo; entre otras.</w:t>
      </w:r>
    </w:p>
    <w:p w14:paraId="2CAA0901" w14:textId="77777777" w:rsidR="008A19CC" w:rsidRPr="005800D0" w:rsidRDefault="008A19CC" w:rsidP="008A19CC">
      <w:pPr>
        <w:pStyle w:val="Textonotapie"/>
        <w:ind w:firstLine="709"/>
        <w:contextualSpacing/>
        <w:jc w:val="both"/>
        <w:rPr>
          <w:rFonts w:ascii="Verdana" w:hAnsi="Verdana" w:cs="Arial"/>
          <w:sz w:val="16"/>
          <w:szCs w:val="16"/>
          <w:lang w:val="pt-PT"/>
        </w:rPr>
      </w:pPr>
    </w:p>
  </w:footnote>
  <w:footnote w:id="5">
    <w:p w14:paraId="12283ADE" w14:textId="77777777" w:rsidR="008A19CC" w:rsidRDefault="008A19CC" w:rsidP="008A19CC">
      <w:pPr>
        <w:pStyle w:val="Textonotapie"/>
        <w:ind w:firstLine="709"/>
        <w:contextualSpacing/>
        <w:jc w:val="both"/>
        <w:rPr>
          <w:rFonts w:ascii="Verdana" w:hAnsi="Verdana" w:cs="Arial"/>
          <w:sz w:val="16"/>
          <w:szCs w:val="16"/>
          <w:lang w:val="es-CO"/>
        </w:rPr>
      </w:pPr>
      <w:r w:rsidRPr="00BE126A">
        <w:rPr>
          <w:rStyle w:val="Refdenotaalpie"/>
          <w:rFonts w:ascii="Verdana" w:hAnsi="Verdana" w:cs="Arial"/>
          <w:sz w:val="16"/>
          <w:szCs w:val="16"/>
        </w:rPr>
        <w:footnoteRef/>
      </w:r>
      <w:r w:rsidRPr="00BE126A">
        <w:rPr>
          <w:rFonts w:ascii="Verdana" w:hAnsi="Verdana" w:cs="Arial"/>
          <w:sz w:val="16"/>
          <w:szCs w:val="16"/>
          <w:lang w:val="es-CO"/>
        </w:rPr>
        <w:t xml:space="preserve"> </w:t>
      </w:r>
      <w:r w:rsidRPr="0045735C">
        <w:rPr>
          <w:rFonts w:ascii="Verdana" w:hAnsi="Verdana" w:cs="Arial"/>
          <w:sz w:val="16"/>
          <w:szCs w:val="16"/>
          <w:lang w:val="es-CO"/>
        </w:rPr>
        <w:t xml:space="preserve">Consejo de Estado. Sala de lo Contencioso Administrativo. Sección Primera. Sentencia de 3 de marzo de 2005. Radicado: </w:t>
      </w:r>
      <w:r w:rsidRPr="0045735C">
        <w:rPr>
          <w:rFonts w:ascii="Verdana" w:hAnsi="Verdana" w:cs="Arial"/>
          <w:sz w:val="16"/>
          <w:szCs w:val="16"/>
          <w:lang w:val="es-ES"/>
        </w:rPr>
        <w:t xml:space="preserve">25001-23-15-000-2004-00823-01 (PI). </w:t>
      </w:r>
      <w:r w:rsidRPr="0045735C">
        <w:rPr>
          <w:rFonts w:ascii="Verdana" w:hAnsi="Verdana" w:cs="Arial"/>
          <w:sz w:val="16"/>
          <w:szCs w:val="16"/>
          <w:lang w:val="es-CO"/>
        </w:rPr>
        <w:t>C.P: Camilo Arciniegas Andrade. Ver también, de la Sección Tercera. Sentencia de 22 de enero de 2002, expediente número 2001-0148-01 y, Sección Tercera. Sentencia de 20 de noviembre de 2001, expediente número 2001-0130-01(PI), entre otras.</w:t>
      </w:r>
    </w:p>
    <w:p w14:paraId="2C66FF69" w14:textId="77777777" w:rsidR="008A19CC" w:rsidRPr="00BE126A" w:rsidRDefault="008A19CC" w:rsidP="008A19CC">
      <w:pPr>
        <w:pStyle w:val="Textonotapie"/>
        <w:ind w:firstLine="709"/>
        <w:contextualSpacing/>
        <w:jc w:val="both"/>
        <w:rPr>
          <w:rFonts w:ascii="Verdana" w:hAnsi="Verdana" w:cs="Arial"/>
          <w:sz w:val="16"/>
          <w:szCs w:val="16"/>
          <w:lang w:val="es-CO"/>
        </w:rPr>
      </w:pPr>
    </w:p>
  </w:footnote>
  <w:footnote w:id="6">
    <w:p w14:paraId="066131CB" w14:textId="77777777" w:rsidR="008A19CC" w:rsidRDefault="008A19CC" w:rsidP="008A19CC">
      <w:pPr>
        <w:pStyle w:val="Textonotapie"/>
        <w:ind w:firstLine="709"/>
        <w:contextualSpacing/>
        <w:jc w:val="both"/>
        <w:rPr>
          <w:rFonts w:ascii="Verdana"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45735C">
        <w:rPr>
          <w:rFonts w:ascii="Verdana" w:hAnsi="Verdana" w:cs="Arial"/>
          <w:sz w:val="16"/>
          <w:szCs w:val="16"/>
        </w:rPr>
        <w:t xml:space="preserve">Consejo de Estado, Sala de Consulta y Servicio Civil. 24 de julio de 2013. Radicado: </w:t>
      </w:r>
      <w:r w:rsidRPr="0045735C">
        <w:rPr>
          <w:rFonts w:ascii="Verdana" w:hAnsi="Verdana" w:cs="Arial"/>
          <w:sz w:val="16"/>
          <w:szCs w:val="16"/>
          <w:lang w:val="es-CO"/>
        </w:rPr>
        <w:t xml:space="preserve">11001-03-06-000-2013-00407-00 </w:t>
      </w:r>
      <w:r w:rsidRPr="0045735C">
        <w:rPr>
          <w:rFonts w:ascii="Verdana" w:hAnsi="Verdana" w:cs="Arial"/>
          <w:sz w:val="16"/>
          <w:szCs w:val="16"/>
        </w:rPr>
        <w:t>(2166). C.P. Álvaro Namén Vargas</w:t>
      </w:r>
      <w:r w:rsidRPr="00BE126A">
        <w:rPr>
          <w:rFonts w:ascii="Verdana" w:hAnsi="Verdana" w:cs="Arial"/>
          <w:sz w:val="16"/>
          <w:szCs w:val="16"/>
        </w:rPr>
        <w:t xml:space="preserve">.  </w:t>
      </w:r>
    </w:p>
    <w:p w14:paraId="59BFF9A2" w14:textId="77777777" w:rsidR="008A19CC" w:rsidRPr="00BE126A" w:rsidRDefault="008A19CC" w:rsidP="008A19CC">
      <w:pPr>
        <w:pStyle w:val="Textonotapie"/>
        <w:ind w:firstLine="709"/>
        <w:contextualSpacing/>
        <w:jc w:val="both"/>
        <w:rPr>
          <w:rFonts w:ascii="Verdana" w:hAnsi="Verdana" w:cs="Arial"/>
          <w:sz w:val="16"/>
          <w:szCs w:val="16"/>
        </w:rPr>
      </w:pPr>
    </w:p>
  </w:footnote>
  <w:footnote w:id="7">
    <w:p w14:paraId="34D8A13B" w14:textId="77777777" w:rsidR="008A19CC" w:rsidRPr="00BE126A" w:rsidRDefault="008A19CC" w:rsidP="008A19CC">
      <w:pPr>
        <w:spacing w:after="0" w:line="240" w:lineRule="auto"/>
        <w:ind w:firstLine="709"/>
        <w:contextualSpacing/>
        <w:jc w:val="both"/>
        <w:rPr>
          <w:rFonts w:ascii="Verdana" w:eastAsia="Times New Roman" w:hAnsi="Verdana" w:cs="Arial"/>
          <w:sz w:val="16"/>
          <w:szCs w:val="16"/>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4" w:name="33"/>
      <w:r w:rsidRPr="00BE126A">
        <w:rPr>
          <w:rFonts w:ascii="Verdana" w:eastAsia="Calibri" w:hAnsi="Verdana" w:cs="Arial"/>
          <w:bCs/>
          <w:color w:val="000000"/>
          <w:sz w:val="16"/>
          <w:szCs w:val="16"/>
        </w:rPr>
        <w:t>“</w:t>
      </w:r>
      <w:r w:rsidRPr="00BE126A">
        <w:rPr>
          <w:rFonts w:ascii="Verdana" w:eastAsia="Times New Roman" w:hAnsi="Verdana" w:cs="Arial"/>
          <w:sz w:val="16"/>
          <w:szCs w:val="16"/>
        </w:rPr>
        <w:t>Artículo 33. Restricciones a la contratación pública.</w:t>
      </w:r>
      <w:bookmarkEnd w:id="4"/>
      <w:r w:rsidRPr="00BE126A">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75AE250E" w14:textId="77777777" w:rsidR="008A19CC" w:rsidRDefault="008A19CC" w:rsidP="008A19CC">
      <w:pPr>
        <w:spacing w:after="0" w:line="240" w:lineRule="auto"/>
        <w:ind w:firstLine="709"/>
        <w:contextualSpacing/>
        <w:jc w:val="both"/>
        <w:rPr>
          <w:rFonts w:ascii="Verdana" w:eastAsia="Times New Roman" w:hAnsi="Verdana" w:cs="Arial"/>
          <w:sz w:val="16"/>
          <w:szCs w:val="16"/>
        </w:rPr>
      </w:pPr>
      <w:r w:rsidRPr="00BE126A">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34D07502" w14:textId="77777777" w:rsidR="008A19CC" w:rsidRPr="00BE126A" w:rsidRDefault="008A19CC" w:rsidP="008A19CC">
      <w:pPr>
        <w:spacing w:after="0" w:line="240" w:lineRule="auto"/>
        <w:ind w:firstLine="709"/>
        <w:contextualSpacing/>
        <w:jc w:val="both"/>
        <w:rPr>
          <w:rFonts w:ascii="Verdana" w:eastAsia="Times New Roman" w:hAnsi="Verdana" w:cs="Arial"/>
          <w:sz w:val="16"/>
          <w:szCs w:val="16"/>
        </w:rPr>
      </w:pPr>
    </w:p>
  </w:footnote>
  <w:footnote w:id="8">
    <w:p w14:paraId="3C25AF5C" w14:textId="77777777" w:rsidR="008A19CC" w:rsidRPr="00BE126A" w:rsidRDefault="008A19CC" w:rsidP="008A19CC">
      <w:pPr>
        <w:pStyle w:val="NormalWeb"/>
        <w:spacing w:before="0" w:beforeAutospacing="0" w:after="0" w:afterAutospacing="0"/>
        <w:ind w:firstLine="709"/>
        <w:contextualSpacing/>
        <w:jc w:val="both"/>
        <w:rPr>
          <w:rFonts w:ascii="Verdana" w:hAnsi="Verdana" w:cs="Arial"/>
          <w:sz w:val="16"/>
          <w:szCs w:val="16"/>
          <w:lang w:val="es-MX"/>
        </w:rPr>
      </w:pPr>
      <w:r w:rsidRPr="00BE126A">
        <w:rPr>
          <w:rStyle w:val="Refdenotaalpie"/>
          <w:rFonts w:ascii="Verdana" w:hAnsi="Verdana" w:cs="Arial"/>
          <w:sz w:val="16"/>
          <w:szCs w:val="16"/>
        </w:rPr>
        <w:footnoteRef/>
      </w:r>
      <w:r w:rsidRPr="00BE126A">
        <w:rPr>
          <w:rFonts w:ascii="Verdana" w:hAnsi="Verdana" w:cs="Arial"/>
          <w:sz w:val="16"/>
          <w:szCs w:val="16"/>
        </w:rPr>
        <w:t xml:space="preserve"> </w:t>
      </w:r>
      <w:bookmarkStart w:id="5" w:name="38"/>
      <w:r w:rsidRPr="00BE126A">
        <w:rPr>
          <w:rFonts w:ascii="Verdana" w:eastAsia="Calibri" w:hAnsi="Verdana" w:cs="Arial"/>
          <w:bCs/>
          <w:color w:val="000000"/>
          <w:sz w:val="16"/>
          <w:szCs w:val="16"/>
        </w:rPr>
        <w:t>“</w:t>
      </w:r>
      <w:r w:rsidRPr="00BE126A">
        <w:rPr>
          <w:rFonts w:ascii="Verdana" w:hAnsi="Verdana" w:cs="Arial"/>
          <w:sz w:val="16"/>
          <w:szCs w:val="16"/>
          <w:lang w:val="es-MX"/>
        </w:rPr>
        <w:t>Artículo 38. Prohibiciones para los servidores públicos. A los empleados del Estado les está prohibido:</w:t>
      </w:r>
      <w:bookmarkEnd w:id="5"/>
    </w:p>
    <w:p w14:paraId="0CC529E7" w14:textId="77777777" w:rsidR="008A19CC" w:rsidRPr="00BE126A" w:rsidRDefault="008A19CC" w:rsidP="008A19CC">
      <w:pPr>
        <w:pStyle w:val="NormalWeb"/>
        <w:spacing w:before="0" w:beforeAutospacing="0" w:after="0" w:afterAutospacing="0"/>
        <w:ind w:firstLine="709"/>
        <w:contextualSpacing/>
        <w:jc w:val="both"/>
        <w:rPr>
          <w:rFonts w:ascii="Verdana" w:hAnsi="Verdana" w:cs="Arial"/>
          <w:sz w:val="16"/>
          <w:szCs w:val="16"/>
          <w:lang w:val="es-MX"/>
        </w:rPr>
      </w:pPr>
      <w:r>
        <w:rPr>
          <w:rFonts w:ascii="Verdana" w:hAnsi="Verdana" w:cs="Arial"/>
          <w:sz w:val="16"/>
          <w:szCs w:val="16"/>
          <w:lang w:val="es-MX"/>
        </w:rPr>
        <w:t>(…)</w:t>
      </w:r>
    </w:p>
    <w:p w14:paraId="02E52F5B" w14:textId="77777777" w:rsidR="008A19CC" w:rsidRDefault="008A19CC" w:rsidP="008A19CC">
      <w:pPr>
        <w:pStyle w:val="NormalWeb"/>
        <w:spacing w:before="0" w:beforeAutospacing="0" w:after="0" w:afterAutospacing="0"/>
        <w:ind w:firstLine="709"/>
        <w:contextualSpacing/>
        <w:jc w:val="both"/>
        <w:rPr>
          <w:rFonts w:ascii="Verdana" w:eastAsia="Calibri" w:hAnsi="Verdana" w:cs="Arial"/>
          <w:bCs/>
          <w:color w:val="000000"/>
          <w:sz w:val="16"/>
          <w:szCs w:val="16"/>
        </w:rPr>
      </w:pPr>
      <w:r w:rsidRPr="00BE126A">
        <w:rPr>
          <w:rStyle w:val="baj"/>
          <w:rFonts w:ascii="Verdana" w:hAnsi="Verdana" w:cs="Arial"/>
          <w:sz w:val="16"/>
          <w:szCs w:val="16"/>
          <w:lang w:val="es-MX"/>
        </w:rPr>
        <w:t>Parágrafo.</w:t>
      </w:r>
      <w:r w:rsidRPr="00BE126A">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BE126A">
        <w:rPr>
          <w:rFonts w:ascii="Verdana" w:eastAsia="Calibri" w:hAnsi="Verdana" w:cs="Arial"/>
          <w:bCs/>
          <w:color w:val="000000"/>
          <w:sz w:val="16"/>
          <w:szCs w:val="16"/>
        </w:rPr>
        <w:t>”</w:t>
      </w:r>
      <w:r>
        <w:rPr>
          <w:rFonts w:ascii="Verdana" w:eastAsia="Calibri" w:hAnsi="Verdana" w:cs="Arial"/>
          <w:bCs/>
          <w:color w:val="000000"/>
          <w:sz w:val="16"/>
          <w:szCs w:val="16"/>
        </w:rPr>
        <w:t>.</w:t>
      </w:r>
    </w:p>
    <w:p w14:paraId="2D565E85" w14:textId="77777777" w:rsidR="008A19CC" w:rsidRPr="00BE126A" w:rsidRDefault="008A19CC" w:rsidP="008A19CC">
      <w:pPr>
        <w:pStyle w:val="NormalWeb"/>
        <w:spacing w:before="0" w:beforeAutospacing="0" w:after="0" w:afterAutospacing="0"/>
        <w:ind w:firstLine="709"/>
        <w:contextualSpacing/>
        <w:jc w:val="both"/>
        <w:rPr>
          <w:rFonts w:ascii="Verdana" w:hAnsi="Verdana" w:cs="Arial"/>
          <w:sz w:val="16"/>
          <w:szCs w:val="16"/>
          <w:lang w:val="es-MX"/>
        </w:rPr>
      </w:pPr>
    </w:p>
  </w:footnote>
  <w:footnote w:id="9">
    <w:p w14:paraId="6574F174" w14:textId="77777777" w:rsidR="008A19CC" w:rsidRPr="00BE126A" w:rsidRDefault="008A19CC" w:rsidP="008A19CC">
      <w:pPr>
        <w:spacing w:after="0" w:line="240" w:lineRule="auto"/>
        <w:ind w:left="100" w:right="244" w:firstLine="709"/>
        <w:contextualSpacing/>
        <w:jc w:val="both"/>
        <w:rPr>
          <w:rFonts w:ascii="Verdana" w:hAnsi="Verdana" w:cs="Arial"/>
          <w:sz w:val="16"/>
          <w:szCs w:val="16"/>
          <w:lang w:val="es-ES"/>
        </w:rPr>
      </w:pPr>
      <w:r w:rsidRPr="00BE126A">
        <w:rPr>
          <w:rStyle w:val="Refdenotaalpie"/>
          <w:rFonts w:ascii="Verdana" w:hAnsi="Verdana" w:cs="Arial"/>
          <w:sz w:val="16"/>
          <w:szCs w:val="16"/>
        </w:rPr>
        <w:footnoteRef/>
      </w:r>
      <w:r w:rsidRPr="00BE126A">
        <w:rPr>
          <w:rFonts w:ascii="Verdana" w:hAnsi="Verdana" w:cs="Arial"/>
          <w:sz w:val="16"/>
          <w:szCs w:val="16"/>
        </w:rPr>
        <w:t xml:space="preserve"> </w:t>
      </w:r>
      <w:r w:rsidRPr="00A04AF0">
        <w:rPr>
          <w:rFonts w:ascii="Verdana" w:hAnsi="Verdana" w:cs="Arial"/>
          <w:sz w:val="16"/>
          <w:szCs w:val="16"/>
        </w:rPr>
        <w:t>Consejo de Estado. Sala de Consulta y Servicio Civil. Concepto del 17 de febrero de 2015.</w:t>
      </w:r>
      <w:r>
        <w:rPr>
          <w:rFonts w:ascii="Verdana" w:hAnsi="Verdana" w:cs="Arial"/>
          <w:sz w:val="16"/>
          <w:szCs w:val="16"/>
        </w:rPr>
        <w:t xml:space="preserve"> </w:t>
      </w:r>
      <w:r w:rsidRPr="00A04AF0">
        <w:rPr>
          <w:rFonts w:ascii="Verdana" w:hAnsi="Verdana" w:cs="Arial"/>
          <w:sz w:val="16"/>
          <w:szCs w:val="16"/>
        </w:rPr>
        <w:t>Radicado: 11001-03-06-000-2015-00164-00 (2269). C.P. William Zambrano Cetina</w:t>
      </w:r>
      <w:r w:rsidRPr="00BE126A">
        <w:rPr>
          <w:rFonts w:ascii="Verdana" w:hAnsi="Verdana" w:cs="Arial"/>
          <w:sz w:val="16"/>
          <w:szCs w:val="16"/>
        </w:rPr>
        <w:t>.</w:t>
      </w:r>
    </w:p>
  </w:footnote>
  <w:footnote w:id="10">
    <w:p w14:paraId="525FD784" w14:textId="77777777" w:rsidR="008A19CC" w:rsidRDefault="008A19CC" w:rsidP="008A19CC">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[25] </w:t>
      </w:r>
      <w:r w:rsidRPr="00CE0D82">
        <w:rPr>
          <w:rFonts w:ascii="Verdana" w:hAnsi="Verdana" w:cs="Arial"/>
          <w:sz w:val="16"/>
          <w:szCs w:val="16"/>
        </w:rPr>
        <w:t>Cfr. Consejo de Estado. Sección Tercera. Sentencia de 3 de diciembre de 2007. Radicados: 24.715, 25.206, 25.409, 24.524, 27.834, 25.410, 26.105, 28.244, 31.447 -acumulados-</w:t>
      </w:r>
      <w:r>
        <w:rPr>
          <w:rFonts w:ascii="Verdana" w:hAnsi="Verdana" w:cs="Arial"/>
          <w:sz w:val="16"/>
          <w:szCs w:val="16"/>
        </w:rPr>
        <w:t>“</w:t>
      </w:r>
      <w:r w:rsidRPr="00CE0D82">
        <w:rPr>
          <w:rFonts w:ascii="Verdana" w:hAnsi="Verdana" w:cs="Arial"/>
          <w:sz w:val="16"/>
          <w:szCs w:val="16"/>
        </w:rPr>
        <w:t>.</w:t>
      </w:r>
    </w:p>
    <w:p w14:paraId="41DBBDC4" w14:textId="77777777" w:rsidR="008A19CC" w:rsidRPr="00CE0D82" w:rsidRDefault="008A19CC" w:rsidP="008A19CC">
      <w:pPr>
        <w:pStyle w:val="Textonotapie"/>
        <w:ind w:firstLine="709"/>
        <w:contextualSpacing/>
        <w:jc w:val="both"/>
        <w:rPr>
          <w:rFonts w:ascii="Verdana" w:hAnsi="Verdana" w:cs="Arial"/>
          <w:sz w:val="16"/>
          <w:szCs w:val="16"/>
        </w:rPr>
      </w:pPr>
    </w:p>
  </w:footnote>
  <w:footnote w:id="11">
    <w:p w14:paraId="260BE7BD" w14:textId="77777777" w:rsidR="008A19CC" w:rsidRDefault="008A19CC" w:rsidP="008A19CC">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bookmarkStart w:id="13" w:name="_Hlk74294506"/>
      <w:r w:rsidRPr="00CE0D82">
        <w:rPr>
          <w:rFonts w:ascii="Verdana" w:hAnsi="Verdana" w:cs="Arial"/>
          <w:sz w:val="16"/>
          <w:szCs w:val="16"/>
        </w:rPr>
        <w:t>“</w:t>
      </w:r>
      <w:r w:rsidRPr="00CE0D82">
        <w:rPr>
          <w:rFonts w:ascii="Verdana" w:hAnsi="Verdana" w:cs="Arial"/>
          <w:sz w:val="16"/>
          <w:szCs w:val="16"/>
          <w:lang w:val="es-ES"/>
        </w:rPr>
        <w:t xml:space="preserve">[26] </w:t>
      </w:r>
      <w:bookmarkEnd w:id="13"/>
      <w:r w:rsidRPr="00CE0D82">
        <w:rPr>
          <w:rFonts w:ascii="Verdana" w:hAnsi="Verdana" w:cs="Arial"/>
          <w:sz w:val="16"/>
          <w:szCs w:val="16"/>
        </w:rPr>
        <w:t>Al respecto ver el concepto 1712 de 2 de febrero de 2006. Consejo de Estado Sala de Consulta y Servicio Civil”.</w:t>
      </w:r>
    </w:p>
    <w:p w14:paraId="31C607D7" w14:textId="77777777" w:rsidR="008A19CC" w:rsidRPr="00CE0D82" w:rsidRDefault="008A19CC" w:rsidP="008A19CC">
      <w:pPr>
        <w:pStyle w:val="Textonotapie"/>
        <w:ind w:firstLine="709"/>
        <w:contextualSpacing/>
        <w:jc w:val="both"/>
        <w:rPr>
          <w:rFonts w:ascii="Verdana" w:hAnsi="Verdana" w:cs="Arial"/>
          <w:sz w:val="16"/>
          <w:szCs w:val="16"/>
        </w:rPr>
      </w:pPr>
    </w:p>
  </w:footnote>
  <w:footnote w:id="12">
    <w:p w14:paraId="15279634" w14:textId="77777777" w:rsidR="008A19CC" w:rsidRDefault="008A19CC" w:rsidP="008A19CC">
      <w:pPr>
        <w:pStyle w:val="Textonotapie"/>
        <w:ind w:firstLine="709"/>
        <w:contextualSpacing/>
        <w:jc w:val="both"/>
        <w:rPr>
          <w:rFonts w:ascii="Verdana" w:hAnsi="Verdana" w:cs="Arial"/>
          <w:sz w:val="16"/>
          <w:szCs w:val="16"/>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235FCF">
        <w:rPr>
          <w:rFonts w:ascii="Verdana" w:hAnsi="Verdana" w:cs="Arial"/>
          <w:sz w:val="16"/>
          <w:szCs w:val="16"/>
        </w:rPr>
        <w:t>Consejo de Estado. Sala de Consulta y Servicio Civil. Concepto del 2 de septiembre de 2013. Radicación número: 11001-03-06-000-2013-00412-00 (2168). C</w:t>
      </w:r>
      <w:r>
        <w:rPr>
          <w:rFonts w:ascii="Verdana" w:hAnsi="Verdana" w:cs="Arial"/>
          <w:sz w:val="16"/>
          <w:szCs w:val="16"/>
        </w:rPr>
        <w:t>.P</w:t>
      </w:r>
      <w:r w:rsidRPr="00235FCF">
        <w:rPr>
          <w:rFonts w:ascii="Verdana" w:hAnsi="Verdana" w:cs="Arial"/>
          <w:sz w:val="16"/>
          <w:szCs w:val="16"/>
        </w:rPr>
        <w:t>: Álvaro Namén Vargas.</w:t>
      </w:r>
    </w:p>
    <w:p w14:paraId="2ABA0D3A" w14:textId="77777777" w:rsidR="008A19CC" w:rsidRPr="005800D0" w:rsidRDefault="008A19CC" w:rsidP="008A19CC">
      <w:pPr>
        <w:pStyle w:val="Textonotapie"/>
        <w:ind w:firstLine="709"/>
        <w:contextualSpacing/>
        <w:jc w:val="both"/>
        <w:rPr>
          <w:rFonts w:ascii="Verdana" w:hAnsi="Verdana" w:cs="Arial"/>
          <w:sz w:val="16"/>
          <w:szCs w:val="16"/>
        </w:rPr>
      </w:pPr>
    </w:p>
  </w:footnote>
  <w:footnote w:id="13">
    <w:p w14:paraId="3E9A36B9" w14:textId="77777777" w:rsidR="008A19CC" w:rsidRDefault="008A19CC" w:rsidP="008A19CC">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sz w:val="16"/>
          <w:szCs w:val="16"/>
          <w:lang w:val="es-ES"/>
        </w:rPr>
        <w:t xml:space="preserve">Artículo 2. </w:t>
      </w:r>
    </w:p>
    <w:p w14:paraId="3D322A14" w14:textId="77777777" w:rsidR="008A19CC" w:rsidRPr="00CE0D82" w:rsidRDefault="008A19CC" w:rsidP="008A19CC">
      <w:pPr>
        <w:pStyle w:val="Textonotapie"/>
        <w:ind w:firstLine="709"/>
        <w:contextualSpacing/>
        <w:rPr>
          <w:rFonts w:ascii="Verdana" w:hAnsi="Verdana" w:cs="Arial"/>
          <w:sz w:val="16"/>
          <w:szCs w:val="16"/>
          <w:lang w:val="es-ES"/>
        </w:rPr>
      </w:pPr>
    </w:p>
  </w:footnote>
  <w:footnote w:id="14">
    <w:p w14:paraId="4885170F" w14:textId="77777777" w:rsidR="008A19CC" w:rsidRDefault="008A19CC" w:rsidP="008A19CC">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Fonts w:ascii="Verdana" w:hAnsi="Verdana" w:cs="Arial"/>
          <w:sz w:val="16"/>
          <w:szCs w:val="16"/>
        </w:rPr>
        <w:t xml:space="preserve"> </w:t>
      </w:r>
      <w:r w:rsidRPr="00CE0D82">
        <w:rPr>
          <w:rFonts w:ascii="Verdana" w:hAnsi="Verdana" w:cs="Arial"/>
          <w:i/>
          <w:sz w:val="16"/>
          <w:szCs w:val="16"/>
          <w:lang w:val="es-ES"/>
        </w:rPr>
        <w:t>Ídem</w:t>
      </w:r>
      <w:r w:rsidRPr="00CE0D82">
        <w:rPr>
          <w:rFonts w:ascii="Verdana" w:hAnsi="Verdana" w:cs="Arial"/>
          <w:sz w:val="16"/>
          <w:szCs w:val="16"/>
          <w:lang w:val="es-ES"/>
        </w:rPr>
        <w:t>.</w:t>
      </w:r>
    </w:p>
    <w:p w14:paraId="34D27377" w14:textId="77777777" w:rsidR="008A19CC" w:rsidRPr="00CE0D82" w:rsidRDefault="008A19CC" w:rsidP="008A19CC">
      <w:pPr>
        <w:pStyle w:val="Textonotapie"/>
        <w:ind w:firstLine="709"/>
        <w:contextualSpacing/>
        <w:rPr>
          <w:rFonts w:ascii="Verdana" w:hAnsi="Verdana" w:cs="Arial"/>
          <w:sz w:val="16"/>
          <w:szCs w:val="16"/>
          <w:lang w:val="es-ES"/>
        </w:rPr>
      </w:pPr>
    </w:p>
  </w:footnote>
  <w:footnote w:id="15">
    <w:p w14:paraId="08A46DFB" w14:textId="77777777" w:rsidR="008A19CC" w:rsidRDefault="008A19CC" w:rsidP="008A19CC">
      <w:pPr>
        <w:pStyle w:val="Textonotapie"/>
        <w:ind w:firstLine="709"/>
        <w:contextualSpacing/>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 xml:space="preserve">[…] A este respecto, cabe recordar que el artículo 860 del Código de Comercio regula la licitación en el derecho privado. </w:t>
      </w:r>
    </w:p>
    <w:p w14:paraId="271BF02E" w14:textId="77777777" w:rsidR="008A19CC" w:rsidRPr="00CE0D82" w:rsidRDefault="008A19CC" w:rsidP="008A19CC">
      <w:pPr>
        <w:pStyle w:val="Textonotapie"/>
        <w:ind w:firstLine="709"/>
        <w:contextualSpacing/>
        <w:rPr>
          <w:rFonts w:ascii="Verdana" w:hAnsi="Verdana" w:cs="Arial"/>
          <w:sz w:val="16"/>
          <w:szCs w:val="16"/>
          <w:lang w:val="es-ES"/>
        </w:rPr>
      </w:pPr>
    </w:p>
  </w:footnote>
  <w:footnote w:id="16">
    <w:p w14:paraId="75D9DED0" w14:textId="77777777" w:rsidR="008A19CC" w:rsidRDefault="008A19CC" w:rsidP="008A19CC">
      <w:pPr>
        <w:shd w:val="clear" w:color="auto" w:fill="FFFFFF"/>
        <w:spacing w:after="0" w:line="240" w:lineRule="auto"/>
        <w:ind w:firstLine="709"/>
        <w:contextualSpacing/>
        <w:jc w:val="both"/>
        <w:rPr>
          <w:rFonts w:ascii="Verdana" w:hAnsi="Verdana" w:cs="Arial"/>
          <w:sz w:val="16"/>
          <w:szCs w:val="16"/>
          <w:lang w:val="es-ES"/>
        </w:rPr>
      </w:pPr>
      <w:r w:rsidRPr="00CE0D82">
        <w:rPr>
          <w:rStyle w:val="Refdenotaalpie"/>
          <w:rFonts w:ascii="Verdana" w:hAnsi="Verdana" w:cs="Arial"/>
          <w:sz w:val="16"/>
          <w:szCs w:val="16"/>
        </w:rPr>
        <w:footnoteRef/>
      </w:r>
      <w:r w:rsidRPr="00CE0D82">
        <w:rPr>
          <w:rStyle w:val="Refdenotaalpie"/>
          <w:rFonts w:ascii="Verdana" w:hAnsi="Verdana" w:cs="Arial"/>
          <w:sz w:val="16"/>
          <w:szCs w:val="16"/>
        </w:rPr>
        <w:t xml:space="preserve"> </w:t>
      </w:r>
      <w:r w:rsidRPr="00CE0D82">
        <w:rPr>
          <w:rFonts w:ascii="Verdana" w:hAnsi="Verdana" w:cs="Arial"/>
          <w:sz w:val="16"/>
          <w:szCs w:val="16"/>
          <w:lang w:val="es-ES"/>
        </w:rPr>
        <w:t>Consejo de Estado. Sala de Consulta y Servicio Civil, Concepto de 8 de mayo de 2018. Radicación Número: 11001-03-06-000-2018-00095-00</w:t>
      </w:r>
      <w:r>
        <w:rPr>
          <w:rFonts w:ascii="Verdana" w:hAnsi="Verdana" w:cs="Arial"/>
          <w:sz w:val="16"/>
          <w:szCs w:val="16"/>
          <w:lang w:val="es-ES"/>
        </w:rPr>
        <w:t xml:space="preserve"> </w:t>
      </w:r>
      <w:r w:rsidRPr="00CE0D82">
        <w:rPr>
          <w:rFonts w:ascii="Verdana" w:hAnsi="Verdana" w:cs="Arial"/>
          <w:sz w:val="16"/>
          <w:szCs w:val="16"/>
          <w:lang w:val="es-ES"/>
        </w:rPr>
        <w:t xml:space="preserve">(2382). </w:t>
      </w:r>
      <w:r>
        <w:rPr>
          <w:rFonts w:ascii="Verdana" w:hAnsi="Verdana" w:cs="Arial"/>
          <w:sz w:val="16"/>
          <w:szCs w:val="16"/>
          <w:lang w:val="es-ES"/>
        </w:rPr>
        <w:t>C.P:</w:t>
      </w:r>
      <w:r w:rsidRPr="00CE0D82">
        <w:rPr>
          <w:rFonts w:ascii="Verdana" w:hAnsi="Verdana" w:cs="Arial"/>
          <w:sz w:val="16"/>
          <w:szCs w:val="16"/>
          <w:lang w:val="es-ES"/>
        </w:rPr>
        <w:t xml:space="preserve"> Álvaro Namén Vargas</w:t>
      </w:r>
      <w:r w:rsidRPr="005800D0">
        <w:rPr>
          <w:rFonts w:ascii="Verdana" w:hAnsi="Verdana" w:cs="Arial"/>
          <w:sz w:val="16"/>
          <w:szCs w:val="16"/>
          <w:lang w:val="es-ES"/>
        </w:rPr>
        <w:t>.</w:t>
      </w:r>
    </w:p>
    <w:p w14:paraId="4245C40E" w14:textId="77777777" w:rsidR="008A19CC" w:rsidRPr="005800D0" w:rsidRDefault="008A19CC" w:rsidP="008A19CC">
      <w:pPr>
        <w:shd w:val="clear" w:color="auto" w:fill="FFFFFF"/>
        <w:spacing w:after="0" w:line="240" w:lineRule="auto"/>
        <w:ind w:firstLine="709"/>
        <w:contextualSpacing/>
        <w:jc w:val="both"/>
        <w:rPr>
          <w:rFonts w:ascii="Verdana" w:hAnsi="Verdana" w:cs="Arial"/>
          <w:sz w:val="16"/>
          <w:szCs w:val="16"/>
          <w:lang w:val="es-ES"/>
        </w:rPr>
      </w:pPr>
    </w:p>
  </w:footnote>
  <w:footnote w:id="17">
    <w:p w14:paraId="097F158C" w14:textId="77777777" w:rsidR="008A19CC" w:rsidRDefault="008A19CC" w:rsidP="008A19CC">
      <w:pPr>
        <w:pStyle w:val="Textonotapie"/>
        <w:ind w:firstLine="709"/>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Consejo de Estado. Sala de Consulta y Servicio Civil. Concepto del 08 de mayo de 2018. Exp. 2.382. C.P. Álvaro Namén Vargas.</w:t>
      </w:r>
    </w:p>
    <w:p w14:paraId="6B6A41C5" w14:textId="77777777" w:rsidR="008A19CC" w:rsidRPr="00195E24" w:rsidRDefault="008A19CC" w:rsidP="008A19CC">
      <w:pPr>
        <w:pStyle w:val="Textonotapie"/>
        <w:ind w:firstLine="709"/>
        <w:contextualSpacing/>
        <w:jc w:val="both"/>
        <w:rPr>
          <w:rFonts w:ascii="Verdana" w:hAnsi="Verdana" w:cs="Arial"/>
          <w:sz w:val="16"/>
          <w:szCs w:val="16"/>
        </w:rPr>
      </w:pPr>
    </w:p>
  </w:footnote>
  <w:footnote w:id="18">
    <w:p w14:paraId="666A1F52" w14:textId="77777777" w:rsidR="008A19CC" w:rsidRPr="00195E24" w:rsidRDefault="008A19CC" w:rsidP="008A19CC">
      <w:pPr>
        <w:pStyle w:val="Textonotapie"/>
        <w:ind w:firstLine="708"/>
        <w:contextualSpacing/>
        <w:jc w:val="both"/>
        <w:rPr>
          <w:rFonts w:ascii="Verdana" w:hAnsi="Verdana" w:cs="Arial"/>
          <w:sz w:val="16"/>
          <w:szCs w:val="16"/>
        </w:rPr>
      </w:pPr>
      <w:r w:rsidRPr="00195E24">
        <w:rPr>
          <w:rStyle w:val="Refdenotaalpie"/>
          <w:rFonts w:ascii="Verdana" w:hAnsi="Verdana" w:cs="Arial"/>
          <w:sz w:val="16"/>
          <w:szCs w:val="16"/>
        </w:rPr>
        <w:footnoteRef/>
      </w:r>
      <w:r w:rsidRPr="00195E24">
        <w:rPr>
          <w:rFonts w:ascii="Verdana" w:hAnsi="Verdana" w:cs="Arial"/>
          <w:sz w:val="16"/>
          <w:szCs w:val="16"/>
        </w:rPr>
        <w:t xml:space="preserve"> Ley 489 de 1998: “Artículo 85. Empresas industriales y comerciales del Estado. Las empresas industriales y comerciales del Estado son organismos creados por la ley o autorizados por ésta, que desarrollan actividades de naturaleza industrial o comercial y de gestión económica conforme a las reglas del Derecho Privado, salvo las excepciones que consagra la ley, y que reúnen las siguientes características: </w:t>
      </w:r>
    </w:p>
    <w:p w14:paraId="10407744" w14:textId="77777777" w:rsidR="008A19CC" w:rsidRPr="00195E24" w:rsidRDefault="008A19CC" w:rsidP="008A19CC">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a) Personería jurídica; </w:t>
      </w:r>
    </w:p>
    <w:p w14:paraId="142C2374" w14:textId="77777777" w:rsidR="008A19CC" w:rsidRPr="00195E24" w:rsidRDefault="008A19CC" w:rsidP="008A19CC">
      <w:pPr>
        <w:pStyle w:val="Textonotapie"/>
        <w:ind w:firstLine="708"/>
        <w:contextualSpacing/>
        <w:jc w:val="both"/>
        <w:rPr>
          <w:rFonts w:ascii="Verdana" w:hAnsi="Verdana" w:cs="Arial"/>
          <w:sz w:val="16"/>
          <w:szCs w:val="16"/>
        </w:rPr>
      </w:pPr>
      <w:r w:rsidRPr="00195E24">
        <w:rPr>
          <w:rFonts w:ascii="Verdana" w:hAnsi="Verdana" w:cs="Arial"/>
          <w:sz w:val="16"/>
          <w:szCs w:val="16"/>
        </w:rPr>
        <w:t xml:space="preserve">b) Autonomía administrativa y financiera; </w:t>
      </w:r>
    </w:p>
    <w:p w14:paraId="7C58D202" w14:textId="77777777" w:rsidR="008A19CC" w:rsidRDefault="008A19CC" w:rsidP="008A19CC">
      <w:pPr>
        <w:pStyle w:val="Textonotapie"/>
        <w:ind w:firstLine="708"/>
        <w:contextualSpacing/>
        <w:jc w:val="both"/>
        <w:rPr>
          <w:rFonts w:ascii="Verdana" w:hAnsi="Verdana" w:cs="Arial"/>
          <w:sz w:val="16"/>
          <w:szCs w:val="16"/>
        </w:rPr>
      </w:pPr>
      <w:r w:rsidRPr="00195E24">
        <w:rPr>
          <w:rFonts w:ascii="Verdana" w:hAnsi="Verdana" w:cs="Arial"/>
          <w:sz w:val="16"/>
          <w:szCs w:val="16"/>
        </w:rPr>
        <w:t>c) Capital independiente, constituido totalmente con bienes o fondos públicos comunes, los productos de ellos, o el rendimiento de tasas que perciban por las funciones o servicios, y contribuciones de destinación especial en los casos autorizados por la Constitución</w:t>
      </w:r>
      <w:r>
        <w:rPr>
          <w:rFonts w:ascii="Verdana" w:hAnsi="Verdana" w:cs="Arial"/>
          <w:sz w:val="16"/>
          <w:szCs w:val="16"/>
        </w:rPr>
        <w:t>.</w:t>
      </w:r>
      <w:r w:rsidRPr="00CE0D82">
        <w:rPr>
          <w:rFonts w:ascii="Verdana" w:hAnsi="Verdana" w:cs="Arial"/>
          <w:sz w:val="16"/>
          <w:szCs w:val="16"/>
        </w:rPr>
        <w:t xml:space="preserve"> </w:t>
      </w:r>
    </w:p>
    <w:p w14:paraId="767D91C1" w14:textId="77777777" w:rsidR="008A19CC" w:rsidRPr="005800D0" w:rsidRDefault="008A19CC" w:rsidP="008A19CC">
      <w:pPr>
        <w:pStyle w:val="Textonotapie"/>
        <w:ind w:firstLine="708"/>
        <w:contextualSpacing/>
        <w:jc w:val="both"/>
        <w:rPr>
          <w:rFonts w:ascii="Verdana" w:hAnsi="Verdana" w:cs="Arial"/>
          <w:sz w:val="16"/>
          <w:szCs w:val="16"/>
        </w:rPr>
      </w:pPr>
    </w:p>
  </w:footnote>
  <w:footnote w:id="19">
    <w:p w14:paraId="4A4DA335" w14:textId="77777777" w:rsidR="008A19CC" w:rsidRDefault="008A19CC" w:rsidP="008A19CC">
      <w:pPr>
        <w:spacing w:after="0" w:line="240" w:lineRule="auto"/>
        <w:ind w:right="49" w:firstLine="709"/>
        <w:contextualSpacing/>
        <w:jc w:val="both"/>
        <w:rPr>
          <w:rFonts w:ascii="Verdana" w:hAnsi="Verdana"/>
          <w:spacing w:val="-2"/>
          <w:sz w:val="16"/>
          <w:szCs w:val="16"/>
        </w:rPr>
      </w:pPr>
      <w:r w:rsidRPr="005800D0">
        <w:rPr>
          <w:rStyle w:val="Refdenotaalpie"/>
          <w:rFonts w:ascii="Verdana" w:hAnsi="Verdana"/>
          <w:sz w:val="16"/>
          <w:szCs w:val="16"/>
        </w:rPr>
        <w:footnoteRef/>
      </w:r>
      <w:r w:rsidRPr="005800D0">
        <w:rPr>
          <w:rFonts w:ascii="Verdana" w:hAnsi="Verdana"/>
          <w:sz w:val="16"/>
          <w:szCs w:val="16"/>
        </w:rPr>
        <w:t xml:space="preserve"> El estatuto estableció como regla general para la selección del contratista la licitación pública o el concurso público, con algunas excepciones en las cuales la selección se haría mediante el procedimiento de contratación directa, entre ellas, la prevista en el literal m) del numeral 1 del artículo 24: “m) Los actos y contratos que tengan por objeto directo las actividades comerciales e industriales propias de las empresas industriales</w:t>
      </w:r>
      <w:r w:rsidRPr="005800D0">
        <w:rPr>
          <w:rFonts w:ascii="Verdana" w:hAnsi="Verdana"/>
          <w:spacing w:val="-15"/>
          <w:sz w:val="16"/>
          <w:szCs w:val="16"/>
        </w:rPr>
        <w:t xml:space="preserve"> </w:t>
      </w:r>
      <w:r w:rsidRPr="005800D0">
        <w:rPr>
          <w:rFonts w:ascii="Verdana" w:hAnsi="Verdana"/>
          <w:sz w:val="16"/>
          <w:szCs w:val="16"/>
        </w:rPr>
        <w:t>y comerciales estatales y de las sociedades de economía mixta, con excepción de los contratos que a título enunciativo identifica el artículo 32 de esta ley”, o sea, los de obra, consultoría, prestación de servicios,</w:t>
      </w:r>
      <w:r w:rsidRPr="005800D0">
        <w:rPr>
          <w:rFonts w:ascii="Verdana" w:hAnsi="Verdana"/>
          <w:spacing w:val="-7"/>
          <w:sz w:val="16"/>
          <w:szCs w:val="16"/>
        </w:rPr>
        <w:t xml:space="preserve"> </w:t>
      </w:r>
      <w:r w:rsidRPr="005800D0">
        <w:rPr>
          <w:rFonts w:ascii="Verdana" w:hAnsi="Verdana"/>
          <w:sz w:val="16"/>
          <w:szCs w:val="16"/>
        </w:rPr>
        <w:t>concesión,</w:t>
      </w:r>
      <w:r w:rsidRPr="005800D0">
        <w:rPr>
          <w:rFonts w:ascii="Verdana" w:hAnsi="Verdana"/>
          <w:spacing w:val="-7"/>
          <w:sz w:val="16"/>
          <w:szCs w:val="16"/>
        </w:rPr>
        <w:t xml:space="preserve"> </w:t>
      </w:r>
      <w:r w:rsidRPr="005800D0">
        <w:rPr>
          <w:rFonts w:ascii="Verdana" w:hAnsi="Verdana"/>
          <w:sz w:val="16"/>
          <w:szCs w:val="16"/>
        </w:rPr>
        <w:t>encargos</w:t>
      </w:r>
      <w:r w:rsidRPr="005800D0">
        <w:rPr>
          <w:rFonts w:ascii="Verdana" w:hAnsi="Verdana"/>
          <w:spacing w:val="-7"/>
          <w:sz w:val="16"/>
          <w:szCs w:val="16"/>
        </w:rPr>
        <w:t xml:space="preserve"> </w:t>
      </w:r>
      <w:r w:rsidRPr="005800D0">
        <w:rPr>
          <w:rFonts w:ascii="Verdana" w:hAnsi="Verdana"/>
          <w:sz w:val="16"/>
          <w:szCs w:val="16"/>
        </w:rPr>
        <w:t>fiduciarios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fiducia</w:t>
      </w:r>
      <w:r w:rsidRPr="005800D0">
        <w:rPr>
          <w:rFonts w:ascii="Verdana" w:hAnsi="Verdana"/>
          <w:spacing w:val="-9"/>
          <w:sz w:val="16"/>
          <w:szCs w:val="16"/>
        </w:rPr>
        <w:t xml:space="preserve"> </w:t>
      </w:r>
      <w:r w:rsidRPr="005800D0">
        <w:rPr>
          <w:rFonts w:ascii="Verdana" w:hAnsi="Verdana"/>
          <w:sz w:val="16"/>
          <w:szCs w:val="16"/>
        </w:rPr>
        <w:t>pública,</w:t>
      </w:r>
      <w:r w:rsidRPr="005800D0">
        <w:rPr>
          <w:rFonts w:ascii="Verdana" w:hAnsi="Verdana"/>
          <w:spacing w:val="-7"/>
          <w:sz w:val="16"/>
          <w:szCs w:val="16"/>
        </w:rPr>
        <w:t xml:space="preserve"> </w:t>
      </w:r>
      <w:r w:rsidRPr="005800D0">
        <w:rPr>
          <w:rFonts w:ascii="Verdana" w:hAnsi="Verdana"/>
          <w:sz w:val="16"/>
          <w:szCs w:val="16"/>
        </w:rPr>
        <w:t>que</w:t>
      </w:r>
      <w:r w:rsidRPr="005800D0">
        <w:rPr>
          <w:rFonts w:ascii="Verdana" w:hAnsi="Verdana"/>
          <w:spacing w:val="-13"/>
          <w:sz w:val="16"/>
          <w:szCs w:val="16"/>
        </w:rPr>
        <w:t xml:space="preserve"> </w:t>
      </w:r>
      <w:r w:rsidRPr="005800D0">
        <w:rPr>
          <w:rFonts w:ascii="Verdana" w:hAnsi="Verdana"/>
          <w:sz w:val="16"/>
          <w:szCs w:val="16"/>
        </w:rPr>
        <w:t>se</w:t>
      </w:r>
      <w:r w:rsidRPr="005800D0">
        <w:rPr>
          <w:rFonts w:ascii="Verdana" w:hAnsi="Verdana"/>
          <w:spacing w:val="-8"/>
          <w:sz w:val="16"/>
          <w:szCs w:val="16"/>
        </w:rPr>
        <w:t xml:space="preserve"> </w:t>
      </w:r>
      <w:r w:rsidRPr="005800D0">
        <w:rPr>
          <w:rFonts w:ascii="Verdana" w:hAnsi="Verdana"/>
          <w:sz w:val="16"/>
          <w:szCs w:val="16"/>
        </w:rPr>
        <w:t>regirían</w:t>
      </w:r>
      <w:r w:rsidRPr="005800D0">
        <w:rPr>
          <w:rFonts w:ascii="Verdana" w:hAnsi="Verdana"/>
          <w:spacing w:val="-9"/>
          <w:sz w:val="16"/>
          <w:szCs w:val="16"/>
        </w:rPr>
        <w:t xml:space="preserve"> </w:t>
      </w:r>
      <w:r w:rsidRPr="005800D0">
        <w:rPr>
          <w:rFonts w:ascii="Verdana" w:hAnsi="Verdana"/>
          <w:sz w:val="16"/>
          <w:szCs w:val="16"/>
        </w:rPr>
        <w:t>por</w:t>
      </w:r>
      <w:r w:rsidRPr="005800D0">
        <w:rPr>
          <w:rFonts w:ascii="Verdana" w:hAnsi="Verdana"/>
          <w:spacing w:val="-7"/>
          <w:sz w:val="16"/>
          <w:szCs w:val="16"/>
        </w:rPr>
        <w:t xml:space="preserve"> </w:t>
      </w:r>
      <w:r w:rsidRPr="005800D0">
        <w:rPr>
          <w:rFonts w:ascii="Verdana" w:hAnsi="Verdana"/>
          <w:sz w:val="16"/>
          <w:szCs w:val="16"/>
        </w:rPr>
        <w:t>la</w:t>
      </w:r>
      <w:r w:rsidRPr="005800D0">
        <w:rPr>
          <w:rFonts w:ascii="Verdana" w:hAnsi="Verdana"/>
          <w:spacing w:val="-9"/>
          <w:sz w:val="16"/>
          <w:szCs w:val="16"/>
        </w:rPr>
        <w:t xml:space="preserve"> </w:t>
      </w:r>
      <w:r w:rsidRPr="005800D0">
        <w:rPr>
          <w:rFonts w:ascii="Verdana" w:hAnsi="Verdana"/>
          <w:sz w:val="16"/>
          <w:szCs w:val="16"/>
        </w:rPr>
        <w:t>regla</w:t>
      </w:r>
      <w:r w:rsidRPr="005800D0">
        <w:rPr>
          <w:rFonts w:ascii="Verdana" w:hAnsi="Verdana"/>
          <w:spacing w:val="-9"/>
          <w:sz w:val="16"/>
          <w:szCs w:val="16"/>
        </w:rPr>
        <w:t xml:space="preserve"> </w:t>
      </w:r>
      <w:r w:rsidRPr="005800D0">
        <w:rPr>
          <w:rFonts w:ascii="Verdana" w:hAnsi="Verdana"/>
          <w:sz w:val="16"/>
          <w:szCs w:val="16"/>
        </w:rPr>
        <w:t>general,</w:t>
      </w:r>
      <w:r w:rsidRPr="005800D0">
        <w:rPr>
          <w:rFonts w:ascii="Verdana" w:hAnsi="Verdana"/>
          <w:spacing w:val="-7"/>
          <w:sz w:val="16"/>
          <w:szCs w:val="16"/>
        </w:rPr>
        <w:t xml:space="preserve"> </w:t>
      </w:r>
      <w:r w:rsidRPr="005800D0">
        <w:rPr>
          <w:rFonts w:ascii="Verdana" w:hAnsi="Verdana"/>
          <w:sz w:val="16"/>
          <w:szCs w:val="16"/>
        </w:rPr>
        <w:t>salvo</w:t>
      </w:r>
      <w:r w:rsidRPr="005800D0">
        <w:rPr>
          <w:rFonts w:ascii="Verdana" w:hAnsi="Verdana"/>
          <w:spacing w:val="-10"/>
          <w:sz w:val="16"/>
          <w:szCs w:val="16"/>
        </w:rPr>
        <w:t xml:space="preserve"> </w:t>
      </w:r>
      <w:r w:rsidRPr="005800D0">
        <w:rPr>
          <w:rFonts w:ascii="Verdana" w:hAnsi="Verdana"/>
          <w:sz w:val="16"/>
          <w:szCs w:val="16"/>
        </w:rPr>
        <w:t>los</w:t>
      </w:r>
      <w:r w:rsidRPr="005800D0">
        <w:rPr>
          <w:rFonts w:ascii="Verdana" w:hAnsi="Verdana"/>
          <w:spacing w:val="-7"/>
          <w:sz w:val="16"/>
          <w:szCs w:val="16"/>
        </w:rPr>
        <w:t xml:space="preserve"> </w:t>
      </w:r>
      <w:r w:rsidRPr="005800D0">
        <w:rPr>
          <w:rFonts w:ascii="Verdana" w:hAnsi="Verdana"/>
          <w:sz w:val="16"/>
          <w:szCs w:val="16"/>
        </w:rPr>
        <w:t>casos de</w:t>
      </w:r>
      <w:r w:rsidRPr="005800D0">
        <w:rPr>
          <w:rFonts w:ascii="Verdana" w:hAnsi="Verdana"/>
          <w:spacing w:val="-2"/>
          <w:sz w:val="16"/>
          <w:szCs w:val="16"/>
        </w:rPr>
        <w:t xml:space="preserve"> </w:t>
      </w:r>
      <w:r w:rsidRPr="005800D0">
        <w:rPr>
          <w:rFonts w:ascii="Verdana" w:hAnsi="Verdana"/>
          <w:sz w:val="16"/>
          <w:szCs w:val="16"/>
        </w:rPr>
        <w:t>menor cuantía –previstos en el ordinal a), numeral 1 del artículo 24, original, de la Ley 80 de 1993</w:t>
      </w:r>
      <w:r w:rsidRPr="005800D0">
        <w:rPr>
          <w:rFonts w:ascii="Verdana" w:hAnsi="Verdana"/>
          <w:spacing w:val="-15"/>
          <w:sz w:val="16"/>
          <w:szCs w:val="16"/>
        </w:rPr>
        <w:t xml:space="preserve"> </w:t>
      </w:r>
      <w:r w:rsidRPr="005800D0">
        <w:rPr>
          <w:rFonts w:ascii="Verdana" w:hAnsi="Verdana"/>
          <w:sz w:val="16"/>
          <w:szCs w:val="16"/>
        </w:rPr>
        <w:t>–. Además,</w:t>
      </w:r>
      <w:r w:rsidRPr="005800D0">
        <w:rPr>
          <w:rFonts w:ascii="Verdana" w:hAnsi="Verdana"/>
          <w:spacing w:val="-1"/>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el</w:t>
      </w:r>
      <w:r w:rsidRPr="005800D0">
        <w:rPr>
          <w:rFonts w:ascii="Verdana" w:hAnsi="Verdana"/>
          <w:spacing w:val="-2"/>
          <w:sz w:val="16"/>
          <w:szCs w:val="16"/>
        </w:rPr>
        <w:t xml:space="preserve"> </w:t>
      </w:r>
      <w:r w:rsidRPr="005800D0">
        <w:rPr>
          <w:rFonts w:ascii="Verdana" w:hAnsi="Verdana"/>
          <w:sz w:val="16"/>
          <w:szCs w:val="16"/>
        </w:rPr>
        <w:t>parágrafo</w:t>
      </w:r>
      <w:r w:rsidRPr="005800D0">
        <w:rPr>
          <w:rFonts w:ascii="Verdana" w:hAnsi="Verdana"/>
          <w:spacing w:val="-5"/>
          <w:sz w:val="16"/>
          <w:szCs w:val="16"/>
        </w:rPr>
        <w:t xml:space="preserve"> </w:t>
      </w:r>
      <w:r w:rsidRPr="005800D0">
        <w:rPr>
          <w:rFonts w:ascii="Verdana" w:hAnsi="Verdana"/>
          <w:sz w:val="16"/>
          <w:szCs w:val="16"/>
        </w:rPr>
        <w:t>del</w:t>
      </w:r>
      <w:r w:rsidRPr="005800D0">
        <w:rPr>
          <w:rFonts w:ascii="Verdana" w:hAnsi="Verdana"/>
          <w:spacing w:val="-2"/>
          <w:sz w:val="16"/>
          <w:szCs w:val="16"/>
        </w:rPr>
        <w:t xml:space="preserve"> </w:t>
      </w:r>
      <w:r w:rsidRPr="005800D0">
        <w:rPr>
          <w:rFonts w:ascii="Verdana" w:hAnsi="Verdana"/>
          <w:sz w:val="16"/>
          <w:szCs w:val="16"/>
        </w:rPr>
        <w:t>artículo</w:t>
      </w:r>
      <w:r w:rsidRPr="005800D0">
        <w:rPr>
          <w:rFonts w:ascii="Verdana" w:hAnsi="Verdana"/>
          <w:spacing w:val="-5"/>
          <w:sz w:val="16"/>
          <w:szCs w:val="16"/>
        </w:rPr>
        <w:t xml:space="preserve"> </w:t>
      </w:r>
      <w:r w:rsidRPr="005800D0">
        <w:rPr>
          <w:rFonts w:ascii="Verdana" w:hAnsi="Verdana"/>
          <w:sz w:val="16"/>
          <w:szCs w:val="16"/>
        </w:rPr>
        <w:t>14</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la</w:t>
      </w:r>
      <w:r w:rsidRPr="005800D0">
        <w:rPr>
          <w:rFonts w:ascii="Verdana" w:hAnsi="Verdana"/>
          <w:spacing w:val="-4"/>
          <w:sz w:val="16"/>
          <w:szCs w:val="16"/>
        </w:rPr>
        <w:t xml:space="preserve"> </w:t>
      </w:r>
      <w:r w:rsidRPr="005800D0">
        <w:rPr>
          <w:rFonts w:ascii="Verdana" w:hAnsi="Verdana"/>
          <w:sz w:val="16"/>
          <w:szCs w:val="16"/>
        </w:rPr>
        <w:t>Ley</w:t>
      </w:r>
      <w:r w:rsidRPr="005800D0">
        <w:rPr>
          <w:rFonts w:ascii="Verdana" w:hAnsi="Verdana"/>
          <w:spacing w:val="-3"/>
          <w:sz w:val="16"/>
          <w:szCs w:val="16"/>
        </w:rPr>
        <w:t xml:space="preserve"> </w:t>
      </w:r>
      <w:r w:rsidRPr="005800D0">
        <w:rPr>
          <w:rFonts w:ascii="Verdana" w:hAnsi="Verdana"/>
          <w:sz w:val="16"/>
          <w:szCs w:val="16"/>
        </w:rPr>
        <w:t>80</w:t>
      </w:r>
      <w:r w:rsidRPr="005800D0">
        <w:rPr>
          <w:rFonts w:ascii="Verdana" w:hAnsi="Verdana"/>
          <w:spacing w:val="-5"/>
          <w:sz w:val="16"/>
          <w:szCs w:val="16"/>
        </w:rPr>
        <w:t xml:space="preserve"> </w:t>
      </w:r>
      <w:r w:rsidRPr="005800D0">
        <w:rPr>
          <w:rFonts w:ascii="Verdana" w:hAnsi="Verdana"/>
          <w:sz w:val="16"/>
          <w:szCs w:val="16"/>
        </w:rPr>
        <w:t>de</w:t>
      </w:r>
      <w:r w:rsidRPr="005800D0">
        <w:rPr>
          <w:rFonts w:ascii="Verdana" w:hAnsi="Verdana"/>
          <w:spacing w:val="-3"/>
          <w:sz w:val="16"/>
          <w:szCs w:val="16"/>
        </w:rPr>
        <w:t xml:space="preserve"> </w:t>
      </w:r>
      <w:r w:rsidRPr="005800D0">
        <w:rPr>
          <w:rFonts w:ascii="Verdana" w:hAnsi="Verdana"/>
          <w:sz w:val="16"/>
          <w:szCs w:val="16"/>
        </w:rPr>
        <w:t>1993,</w:t>
      </w:r>
      <w:r w:rsidRPr="005800D0">
        <w:rPr>
          <w:rFonts w:ascii="Verdana" w:hAnsi="Verdana"/>
          <w:spacing w:val="-1"/>
          <w:sz w:val="16"/>
          <w:szCs w:val="16"/>
        </w:rPr>
        <w:t xml:space="preserve"> </w:t>
      </w:r>
      <w:r w:rsidRPr="005800D0">
        <w:rPr>
          <w:rFonts w:ascii="Verdana" w:hAnsi="Verdana"/>
          <w:sz w:val="16"/>
          <w:szCs w:val="16"/>
        </w:rPr>
        <w:t>se</w:t>
      </w:r>
      <w:r w:rsidRPr="005800D0">
        <w:rPr>
          <w:rFonts w:ascii="Verdana" w:hAnsi="Verdana"/>
          <w:spacing w:val="-3"/>
          <w:sz w:val="16"/>
          <w:szCs w:val="16"/>
        </w:rPr>
        <w:t xml:space="preserve"> </w:t>
      </w:r>
      <w:r w:rsidRPr="005800D0">
        <w:rPr>
          <w:rFonts w:ascii="Verdana" w:hAnsi="Verdana"/>
          <w:sz w:val="16"/>
          <w:szCs w:val="16"/>
        </w:rPr>
        <w:t>señaló</w:t>
      </w:r>
      <w:r w:rsidRPr="005800D0">
        <w:rPr>
          <w:rFonts w:ascii="Verdana" w:hAnsi="Verdana"/>
          <w:spacing w:val="-5"/>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“en</w:t>
      </w:r>
      <w:r w:rsidRPr="005800D0">
        <w:rPr>
          <w:rFonts w:ascii="Verdana" w:hAnsi="Verdana"/>
          <w:spacing w:val="-5"/>
          <w:sz w:val="16"/>
          <w:szCs w:val="16"/>
        </w:rPr>
        <w:t xml:space="preserve"> </w:t>
      </w:r>
      <w:r w:rsidRPr="005800D0">
        <w:rPr>
          <w:rFonts w:ascii="Verdana" w:hAnsi="Verdana"/>
          <w:sz w:val="16"/>
          <w:szCs w:val="16"/>
        </w:rPr>
        <w:t>los</w:t>
      </w:r>
      <w:r w:rsidRPr="005800D0">
        <w:rPr>
          <w:rFonts w:ascii="Verdana" w:hAnsi="Verdana"/>
          <w:spacing w:val="-2"/>
          <w:sz w:val="16"/>
          <w:szCs w:val="16"/>
        </w:rPr>
        <w:t xml:space="preserve"> </w:t>
      </w:r>
      <w:r w:rsidRPr="005800D0">
        <w:rPr>
          <w:rFonts w:ascii="Verdana" w:hAnsi="Verdana"/>
          <w:sz w:val="16"/>
          <w:szCs w:val="16"/>
        </w:rPr>
        <w:t>contratos</w:t>
      </w:r>
      <w:r w:rsidRPr="005800D0">
        <w:rPr>
          <w:rFonts w:ascii="Verdana" w:hAnsi="Verdana"/>
          <w:spacing w:val="-2"/>
          <w:sz w:val="16"/>
          <w:szCs w:val="16"/>
        </w:rPr>
        <w:t xml:space="preserve"> </w:t>
      </w:r>
      <w:r w:rsidRPr="005800D0">
        <w:rPr>
          <w:rFonts w:ascii="Verdana" w:hAnsi="Verdana"/>
          <w:sz w:val="16"/>
          <w:szCs w:val="16"/>
        </w:rPr>
        <w:t>que</w:t>
      </w:r>
      <w:r w:rsidRPr="005800D0">
        <w:rPr>
          <w:rFonts w:ascii="Verdana" w:hAnsi="Verdana"/>
          <w:spacing w:val="-3"/>
          <w:sz w:val="16"/>
          <w:szCs w:val="16"/>
        </w:rPr>
        <w:t xml:space="preserve"> </w:t>
      </w:r>
      <w:r w:rsidRPr="005800D0">
        <w:rPr>
          <w:rFonts w:ascii="Verdana" w:hAnsi="Verdana"/>
          <w:sz w:val="16"/>
          <w:szCs w:val="16"/>
        </w:rPr>
        <w:t>tengan</w:t>
      </w:r>
      <w:r w:rsidRPr="005800D0">
        <w:rPr>
          <w:rFonts w:ascii="Verdana" w:hAnsi="Verdana"/>
          <w:spacing w:val="-4"/>
          <w:sz w:val="16"/>
          <w:szCs w:val="16"/>
        </w:rPr>
        <w:t xml:space="preserve"> </w:t>
      </w:r>
      <w:r w:rsidRPr="005800D0">
        <w:rPr>
          <w:rFonts w:ascii="Verdana" w:hAnsi="Verdana"/>
          <w:sz w:val="16"/>
          <w:szCs w:val="16"/>
        </w:rPr>
        <w:t>por objeto</w:t>
      </w:r>
      <w:r w:rsidRPr="005800D0">
        <w:rPr>
          <w:rFonts w:ascii="Verdana" w:hAnsi="Verdana"/>
          <w:spacing w:val="-1"/>
          <w:sz w:val="16"/>
          <w:szCs w:val="16"/>
        </w:rPr>
        <w:t xml:space="preserve"> </w:t>
      </w:r>
      <w:r w:rsidRPr="005800D0">
        <w:rPr>
          <w:rFonts w:ascii="Verdana" w:hAnsi="Verdana"/>
          <w:sz w:val="16"/>
          <w:szCs w:val="16"/>
        </w:rPr>
        <w:t>actividades comerciales o</w:t>
      </w:r>
      <w:r w:rsidRPr="005800D0">
        <w:rPr>
          <w:rFonts w:ascii="Verdana" w:hAnsi="Verdana"/>
          <w:spacing w:val="-1"/>
          <w:sz w:val="16"/>
          <w:szCs w:val="16"/>
        </w:rPr>
        <w:t xml:space="preserve"> </w:t>
      </w:r>
      <w:r w:rsidRPr="005800D0">
        <w:rPr>
          <w:rFonts w:ascii="Verdana" w:hAnsi="Verdana"/>
          <w:sz w:val="16"/>
          <w:szCs w:val="16"/>
        </w:rPr>
        <w:t>industriales de las entidades</w:t>
      </w:r>
      <w:r w:rsidRPr="005800D0">
        <w:rPr>
          <w:rFonts w:ascii="Verdana" w:hAnsi="Verdana"/>
          <w:spacing w:val="-3"/>
          <w:sz w:val="16"/>
          <w:szCs w:val="16"/>
        </w:rPr>
        <w:t xml:space="preserve"> </w:t>
      </w:r>
      <w:r w:rsidRPr="005800D0">
        <w:rPr>
          <w:rFonts w:ascii="Verdana" w:hAnsi="Verdana"/>
          <w:sz w:val="16"/>
          <w:szCs w:val="16"/>
        </w:rPr>
        <w:t>estatales que no</w:t>
      </w:r>
      <w:r w:rsidRPr="005800D0">
        <w:rPr>
          <w:rFonts w:ascii="Verdana" w:hAnsi="Verdana"/>
          <w:spacing w:val="-1"/>
          <w:sz w:val="16"/>
          <w:szCs w:val="16"/>
        </w:rPr>
        <w:t xml:space="preserve"> </w:t>
      </w:r>
      <w:r w:rsidRPr="005800D0">
        <w:rPr>
          <w:rFonts w:ascii="Verdana" w:hAnsi="Verdana"/>
          <w:sz w:val="16"/>
          <w:szCs w:val="16"/>
        </w:rPr>
        <w:t xml:space="preserve">correspondan a las señaladas en el numeral 2º de este artículo (…) se prescindirá de la utilización de las cláusulas o estipulaciones </w:t>
      </w:r>
      <w:r w:rsidRPr="005800D0">
        <w:rPr>
          <w:rFonts w:ascii="Verdana" w:hAnsi="Verdana"/>
          <w:spacing w:val="-2"/>
          <w:sz w:val="16"/>
          <w:szCs w:val="16"/>
        </w:rPr>
        <w:t>excepcionales”.</w:t>
      </w:r>
    </w:p>
    <w:p w14:paraId="1F7AF91B" w14:textId="77777777" w:rsidR="008A19CC" w:rsidRPr="005800D0" w:rsidRDefault="008A19CC" w:rsidP="008A19CC">
      <w:pPr>
        <w:spacing w:after="0" w:line="240" w:lineRule="auto"/>
        <w:ind w:right="49" w:firstLine="709"/>
        <w:contextualSpacing/>
        <w:jc w:val="both"/>
        <w:rPr>
          <w:rFonts w:ascii="Verdana" w:hAnsi="Verdana"/>
          <w:sz w:val="16"/>
          <w:szCs w:val="16"/>
        </w:rPr>
      </w:pPr>
    </w:p>
  </w:footnote>
  <w:footnote w:id="20">
    <w:p w14:paraId="4BB333E9" w14:textId="77777777" w:rsidR="008A19CC" w:rsidRDefault="008A19CC" w:rsidP="008A19CC">
      <w:pPr>
        <w:tabs>
          <w:tab w:val="left" w:pos="142"/>
          <w:tab w:val="left" w:pos="8789"/>
        </w:tabs>
        <w:spacing w:after="0" w:line="240" w:lineRule="auto"/>
        <w:ind w:right="49" w:firstLine="709"/>
        <w:contextualSpacing/>
        <w:jc w:val="both"/>
        <w:rPr>
          <w:rFonts w:ascii="Verdana" w:hAnsi="Verdana"/>
          <w:sz w:val="16"/>
          <w:szCs w:val="16"/>
        </w:rPr>
      </w:pPr>
      <w:r w:rsidRPr="005800D0">
        <w:rPr>
          <w:rStyle w:val="Refdenotaalpie"/>
          <w:rFonts w:ascii="Verdana" w:hAnsi="Verdana"/>
          <w:sz w:val="16"/>
          <w:szCs w:val="16"/>
        </w:rPr>
        <w:footnoteRef/>
      </w:r>
      <w:r w:rsidRPr="005800D0">
        <w:rPr>
          <w:rFonts w:ascii="Verdana" w:hAnsi="Verdana"/>
          <w:sz w:val="16"/>
          <w:szCs w:val="16"/>
        </w:rPr>
        <w:t xml:space="preserve"> </w:t>
      </w:r>
      <w:bookmarkStart w:id="18" w:name="_Hlk199860326"/>
      <w:r w:rsidRPr="005800D0">
        <w:rPr>
          <w:rFonts w:ascii="Verdana" w:hAnsi="Verdana"/>
          <w:sz w:val="16"/>
          <w:szCs w:val="16"/>
        </w:rPr>
        <w:t>Sin perjuicio</w:t>
      </w:r>
      <w:r w:rsidRPr="005800D0">
        <w:rPr>
          <w:rFonts w:ascii="Verdana" w:hAnsi="Verdana"/>
          <w:spacing w:val="-1"/>
          <w:sz w:val="16"/>
          <w:szCs w:val="16"/>
        </w:rPr>
        <w:t xml:space="preserve"> </w:t>
      </w:r>
      <w:r w:rsidRPr="005800D0">
        <w:rPr>
          <w:rFonts w:ascii="Verdana" w:hAnsi="Verdana"/>
          <w:sz w:val="16"/>
          <w:szCs w:val="16"/>
        </w:rPr>
        <w:t>de la regla indicada, es importante</w:t>
      </w:r>
      <w:r w:rsidRPr="005800D0">
        <w:rPr>
          <w:rFonts w:ascii="Verdana" w:hAnsi="Verdana"/>
          <w:spacing w:val="-4"/>
          <w:sz w:val="16"/>
          <w:szCs w:val="16"/>
        </w:rPr>
        <w:t xml:space="preserve"> </w:t>
      </w:r>
      <w:r w:rsidRPr="005800D0">
        <w:rPr>
          <w:rFonts w:ascii="Verdana" w:hAnsi="Verdana"/>
          <w:sz w:val="16"/>
          <w:szCs w:val="16"/>
        </w:rPr>
        <w:t>señalar que el literal</w:t>
      </w:r>
      <w:r w:rsidRPr="005800D0">
        <w:rPr>
          <w:rFonts w:ascii="Verdana" w:hAnsi="Verdana"/>
          <w:spacing w:val="-3"/>
          <w:sz w:val="16"/>
          <w:szCs w:val="16"/>
        </w:rPr>
        <w:t xml:space="preserve"> </w:t>
      </w:r>
      <w:r w:rsidRPr="005800D0">
        <w:rPr>
          <w:rFonts w:ascii="Verdana" w:hAnsi="Verdana"/>
          <w:sz w:val="16"/>
          <w:szCs w:val="16"/>
        </w:rPr>
        <w:t>g, numeral 2, artículo</w:t>
      </w:r>
      <w:r w:rsidRPr="005800D0">
        <w:rPr>
          <w:rFonts w:ascii="Verdana" w:hAnsi="Verdana"/>
          <w:spacing w:val="-1"/>
          <w:sz w:val="16"/>
          <w:szCs w:val="16"/>
        </w:rPr>
        <w:t xml:space="preserve"> </w:t>
      </w:r>
      <w:r w:rsidRPr="005800D0">
        <w:rPr>
          <w:rFonts w:ascii="Verdana" w:hAnsi="Verdana"/>
          <w:sz w:val="16"/>
          <w:szCs w:val="16"/>
        </w:rPr>
        <w:t>2</w:t>
      </w:r>
      <w:r w:rsidRPr="005800D0">
        <w:rPr>
          <w:rFonts w:ascii="Verdana" w:hAnsi="Verdana"/>
          <w:spacing w:val="-1"/>
          <w:sz w:val="16"/>
          <w:szCs w:val="16"/>
        </w:rPr>
        <w:t xml:space="preserve"> </w:t>
      </w:r>
      <w:r w:rsidRPr="005800D0">
        <w:rPr>
          <w:rFonts w:ascii="Verdana" w:hAnsi="Verdana"/>
          <w:sz w:val="16"/>
          <w:szCs w:val="16"/>
        </w:rPr>
        <w:t>de la Ley 1150 de 2007, prevé como causal de selección abreviada: “Los actos y contratos que tengan por objeto directo</w:t>
      </w:r>
      <w:r w:rsidRPr="005800D0">
        <w:rPr>
          <w:rFonts w:ascii="Verdana" w:hAnsi="Verdana"/>
          <w:spacing w:val="-10"/>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actividades</w:t>
      </w:r>
      <w:r w:rsidRPr="005800D0">
        <w:rPr>
          <w:rFonts w:ascii="Verdana" w:hAnsi="Verdana"/>
          <w:spacing w:val="-7"/>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w:t>
      </w:r>
      <w:r w:rsidRPr="005800D0">
        <w:rPr>
          <w:rFonts w:ascii="Verdana" w:hAnsi="Verdana"/>
          <w:spacing w:val="-8"/>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propias</w:t>
      </w:r>
      <w:r w:rsidRPr="005800D0">
        <w:rPr>
          <w:rFonts w:ascii="Verdana" w:hAnsi="Verdana"/>
          <w:spacing w:val="-7"/>
          <w:sz w:val="16"/>
          <w:szCs w:val="16"/>
        </w:rPr>
        <w:t xml:space="preserve"> </w:t>
      </w:r>
      <w:r w:rsidRPr="005800D0">
        <w:rPr>
          <w:rFonts w:ascii="Verdana" w:hAnsi="Verdana"/>
          <w:sz w:val="16"/>
          <w:szCs w:val="16"/>
        </w:rPr>
        <w:t>de</w:t>
      </w:r>
      <w:r w:rsidRPr="005800D0">
        <w:rPr>
          <w:rFonts w:ascii="Verdana" w:hAnsi="Verdana"/>
          <w:spacing w:val="-8"/>
          <w:sz w:val="16"/>
          <w:szCs w:val="16"/>
        </w:rPr>
        <w:t xml:space="preserve"> </w:t>
      </w:r>
      <w:r w:rsidRPr="005800D0">
        <w:rPr>
          <w:rFonts w:ascii="Verdana" w:hAnsi="Verdana"/>
          <w:sz w:val="16"/>
          <w:szCs w:val="16"/>
        </w:rPr>
        <w:t>las</w:t>
      </w:r>
      <w:r w:rsidRPr="005800D0">
        <w:rPr>
          <w:rFonts w:ascii="Verdana" w:hAnsi="Verdana"/>
          <w:spacing w:val="-7"/>
          <w:sz w:val="16"/>
          <w:szCs w:val="16"/>
        </w:rPr>
        <w:t xml:space="preserve"> </w:t>
      </w:r>
      <w:r w:rsidRPr="005800D0">
        <w:rPr>
          <w:rFonts w:ascii="Verdana" w:hAnsi="Verdana"/>
          <w:sz w:val="16"/>
          <w:szCs w:val="16"/>
        </w:rPr>
        <w:t>Empresas</w:t>
      </w:r>
      <w:r w:rsidRPr="005800D0">
        <w:rPr>
          <w:rFonts w:ascii="Verdana" w:hAnsi="Verdana"/>
          <w:spacing w:val="-7"/>
          <w:sz w:val="16"/>
          <w:szCs w:val="16"/>
        </w:rPr>
        <w:t xml:space="preserve"> </w:t>
      </w:r>
      <w:r w:rsidRPr="005800D0">
        <w:rPr>
          <w:rFonts w:ascii="Verdana" w:hAnsi="Verdana"/>
          <w:sz w:val="16"/>
          <w:szCs w:val="16"/>
        </w:rPr>
        <w:t>Industriales</w:t>
      </w:r>
      <w:r w:rsidRPr="005800D0">
        <w:rPr>
          <w:rFonts w:ascii="Verdana" w:hAnsi="Verdana"/>
          <w:spacing w:val="-7"/>
          <w:sz w:val="16"/>
          <w:szCs w:val="16"/>
        </w:rPr>
        <w:t xml:space="preserve"> </w:t>
      </w:r>
      <w:r w:rsidRPr="005800D0">
        <w:rPr>
          <w:rFonts w:ascii="Verdana" w:hAnsi="Verdana"/>
          <w:sz w:val="16"/>
          <w:szCs w:val="16"/>
        </w:rPr>
        <w:t>y</w:t>
      </w:r>
      <w:r w:rsidRPr="005800D0">
        <w:rPr>
          <w:rFonts w:ascii="Verdana" w:hAnsi="Verdana"/>
          <w:spacing w:val="-8"/>
          <w:sz w:val="16"/>
          <w:szCs w:val="16"/>
        </w:rPr>
        <w:t xml:space="preserve"> </w:t>
      </w:r>
      <w:r w:rsidRPr="005800D0">
        <w:rPr>
          <w:rFonts w:ascii="Verdana" w:hAnsi="Verdana"/>
          <w:sz w:val="16"/>
          <w:szCs w:val="16"/>
        </w:rPr>
        <w:t>Comerciales</w:t>
      </w:r>
      <w:r w:rsidRPr="005800D0">
        <w:rPr>
          <w:rFonts w:ascii="Verdana" w:hAnsi="Verdana"/>
          <w:spacing w:val="-7"/>
          <w:sz w:val="16"/>
          <w:szCs w:val="16"/>
        </w:rPr>
        <w:t xml:space="preserve"> </w:t>
      </w:r>
      <w:r w:rsidRPr="005800D0">
        <w:rPr>
          <w:rFonts w:ascii="Verdana" w:hAnsi="Verdana"/>
          <w:sz w:val="16"/>
          <w:szCs w:val="16"/>
        </w:rPr>
        <w:t>Estatales y de las Sociedades de Economía Mixta, con excepción de los contratos que a título enunciativo identifica el artículo</w:t>
      </w:r>
      <w:r w:rsidRPr="005800D0">
        <w:rPr>
          <w:rFonts w:ascii="Verdana" w:hAnsi="Verdana"/>
          <w:spacing w:val="-15"/>
          <w:sz w:val="16"/>
          <w:szCs w:val="16"/>
        </w:rPr>
        <w:t xml:space="preserve"> </w:t>
      </w:r>
      <w:r w:rsidRPr="005800D0">
        <w:rPr>
          <w:rFonts w:ascii="Verdana" w:hAnsi="Verdana"/>
          <w:sz w:val="16"/>
          <w:szCs w:val="16"/>
        </w:rPr>
        <w:t>32</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la</w:t>
      </w:r>
      <w:r w:rsidRPr="005800D0">
        <w:rPr>
          <w:rFonts w:ascii="Verdana" w:hAnsi="Verdana"/>
          <w:spacing w:val="-14"/>
          <w:sz w:val="16"/>
          <w:szCs w:val="16"/>
        </w:rPr>
        <w:t xml:space="preserve"> </w:t>
      </w:r>
      <w:r w:rsidRPr="005800D0">
        <w:rPr>
          <w:rFonts w:ascii="Verdana" w:hAnsi="Verdana"/>
          <w:sz w:val="16"/>
          <w:szCs w:val="16"/>
        </w:rPr>
        <w:t>Ley</w:t>
      </w:r>
      <w:r w:rsidRPr="005800D0">
        <w:rPr>
          <w:rFonts w:ascii="Verdana" w:hAnsi="Verdana"/>
          <w:spacing w:val="-14"/>
          <w:sz w:val="16"/>
          <w:szCs w:val="16"/>
        </w:rPr>
        <w:t xml:space="preserve"> </w:t>
      </w:r>
      <w:r w:rsidRPr="005800D0">
        <w:rPr>
          <w:rFonts w:ascii="Verdana" w:hAnsi="Verdana"/>
          <w:sz w:val="16"/>
          <w:szCs w:val="16"/>
        </w:rPr>
        <w:t>80</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1993</w:t>
      </w:r>
      <w:r w:rsidRPr="005800D0">
        <w:rPr>
          <w:rFonts w:ascii="Verdana" w:hAnsi="Verdana"/>
          <w:spacing w:val="-14"/>
          <w:sz w:val="16"/>
          <w:szCs w:val="16"/>
        </w:rPr>
        <w:t xml:space="preserve"> </w:t>
      </w:r>
      <w:r w:rsidRPr="005800D0">
        <w:rPr>
          <w:rFonts w:ascii="Verdana" w:hAnsi="Verdana"/>
          <w:sz w:val="16"/>
          <w:szCs w:val="16"/>
        </w:rPr>
        <w:t>[obra,</w:t>
      </w:r>
      <w:r w:rsidRPr="005800D0">
        <w:rPr>
          <w:rFonts w:ascii="Verdana" w:hAnsi="Verdana"/>
          <w:spacing w:val="-14"/>
          <w:sz w:val="16"/>
          <w:szCs w:val="16"/>
        </w:rPr>
        <w:t xml:space="preserve"> </w:t>
      </w:r>
      <w:r w:rsidRPr="005800D0">
        <w:rPr>
          <w:rFonts w:ascii="Verdana" w:hAnsi="Verdana"/>
          <w:sz w:val="16"/>
          <w:szCs w:val="16"/>
        </w:rPr>
        <w:t>concesión,</w:t>
      </w:r>
      <w:r w:rsidRPr="005800D0">
        <w:rPr>
          <w:rFonts w:ascii="Verdana" w:hAnsi="Verdana"/>
          <w:spacing w:val="-14"/>
          <w:sz w:val="16"/>
          <w:szCs w:val="16"/>
        </w:rPr>
        <w:t xml:space="preserve"> </w:t>
      </w:r>
      <w:r w:rsidRPr="005800D0">
        <w:rPr>
          <w:rFonts w:ascii="Verdana" w:hAnsi="Verdana"/>
          <w:sz w:val="16"/>
          <w:szCs w:val="16"/>
        </w:rPr>
        <w:t>prestación</w:t>
      </w:r>
      <w:r w:rsidRPr="005800D0">
        <w:rPr>
          <w:rFonts w:ascii="Verdana" w:hAnsi="Verdana"/>
          <w:spacing w:val="-14"/>
          <w:sz w:val="16"/>
          <w:szCs w:val="16"/>
        </w:rPr>
        <w:t xml:space="preserve"> </w:t>
      </w:r>
      <w:r w:rsidRPr="005800D0">
        <w:rPr>
          <w:rFonts w:ascii="Verdana" w:hAnsi="Verdana"/>
          <w:sz w:val="16"/>
          <w:szCs w:val="16"/>
        </w:rPr>
        <w:t>de</w:t>
      </w:r>
      <w:r w:rsidRPr="005800D0">
        <w:rPr>
          <w:rFonts w:ascii="Verdana" w:hAnsi="Verdana"/>
          <w:spacing w:val="-14"/>
          <w:sz w:val="16"/>
          <w:szCs w:val="16"/>
        </w:rPr>
        <w:t xml:space="preserve"> </w:t>
      </w:r>
      <w:r w:rsidRPr="005800D0">
        <w:rPr>
          <w:rFonts w:ascii="Verdana" w:hAnsi="Verdana"/>
          <w:sz w:val="16"/>
          <w:szCs w:val="16"/>
        </w:rPr>
        <w:t>servicios,</w:t>
      </w:r>
      <w:r w:rsidRPr="005800D0">
        <w:rPr>
          <w:rFonts w:ascii="Verdana" w:hAnsi="Verdana"/>
          <w:spacing w:val="-14"/>
          <w:sz w:val="16"/>
          <w:szCs w:val="16"/>
        </w:rPr>
        <w:t xml:space="preserve"> </w:t>
      </w:r>
      <w:r w:rsidRPr="005800D0">
        <w:rPr>
          <w:rFonts w:ascii="Verdana" w:hAnsi="Verdana"/>
          <w:sz w:val="16"/>
          <w:szCs w:val="16"/>
        </w:rPr>
        <w:t>consultoría,</w:t>
      </w:r>
      <w:r w:rsidRPr="005800D0">
        <w:rPr>
          <w:rFonts w:ascii="Verdana" w:hAnsi="Verdana"/>
          <w:spacing w:val="-14"/>
          <w:sz w:val="16"/>
          <w:szCs w:val="16"/>
        </w:rPr>
        <w:t xml:space="preserve"> </w:t>
      </w:r>
      <w:r w:rsidRPr="005800D0">
        <w:rPr>
          <w:rFonts w:ascii="Verdana" w:hAnsi="Verdana"/>
          <w:sz w:val="16"/>
          <w:szCs w:val="16"/>
        </w:rPr>
        <w:t>fiducia</w:t>
      </w:r>
      <w:r w:rsidRPr="005800D0">
        <w:rPr>
          <w:rFonts w:ascii="Verdana" w:hAnsi="Verdana"/>
          <w:spacing w:val="-14"/>
          <w:sz w:val="16"/>
          <w:szCs w:val="16"/>
        </w:rPr>
        <w:t xml:space="preserve"> </w:t>
      </w:r>
      <w:r w:rsidRPr="005800D0">
        <w:rPr>
          <w:rFonts w:ascii="Verdana" w:hAnsi="Verdana"/>
          <w:sz w:val="16"/>
          <w:szCs w:val="16"/>
        </w:rPr>
        <w:t>pública]”.</w:t>
      </w:r>
      <w:r w:rsidRPr="005800D0">
        <w:rPr>
          <w:rFonts w:ascii="Verdana" w:hAnsi="Verdana"/>
          <w:spacing w:val="-15"/>
          <w:sz w:val="16"/>
          <w:szCs w:val="16"/>
        </w:rPr>
        <w:t xml:space="preserve"> </w:t>
      </w:r>
      <w:r w:rsidRPr="005800D0">
        <w:rPr>
          <w:rFonts w:ascii="Verdana" w:hAnsi="Verdana"/>
          <w:sz w:val="16"/>
          <w:szCs w:val="16"/>
        </w:rPr>
        <w:t>g)</w:t>
      </w:r>
      <w:r w:rsidRPr="005800D0">
        <w:rPr>
          <w:rFonts w:ascii="Verdana" w:hAnsi="Verdana"/>
          <w:spacing w:val="23"/>
          <w:sz w:val="16"/>
          <w:szCs w:val="16"/>
        </w:rPr>
        <w:t xml:space="preserve"> </w:t>
      </w:r>
      <w:r w:rsidRPr="005800D0">
        <w:rPr>
          <w:rFonts w:ascii="Verdana" w:hAnsi="Verdana"/>
          <w:sz w:val="16"/>
          <w:szCs w:val="16"/>
        </w:rPr>
        <w:t>Los actos y contratos que tengan por objeto directo las actividades comerciales e industriales propias de las Empresas Industriales y Comerciales Estatales y de las Sociedades de Economía Mixta, con excepción de los contratos</w:t>
      </w:r>
      <w:r w:rsidRPr="005800D0">
        <w:rPr>
          <w:rFonts w:ascii="Verdana" w:hAnsi="Verdana"/>
          <w:spacing w:val="-6"/>
          <w:sz w:val="16"/>
          <w:szCs w:val="16"/>
        </w:rPr>
        <w:t xml:space="preserve"> </w:t>
      </w:r>
      <w:r w:rsidRPr="005800D0">
        <w:rPr>
          <w:rFonts w:ascii="Verdana" w:hAnsi="Verdana"/>
          <w:sz w:val="16"/>
          <w:szCs w:val="16"/>
        </w:rPr>
        <w:t>que</w:t>
      </w:r>
      <w:r w:rsidRPr="005800D0">
        <w:rPr>
          <w:rFonts w:ascii="Verdana" w:hAnsi="Verdana"/>
          <w:spacing w:val="-7"/>
          <w:sz w:val="16"/>
          <w:szCs w:val="16"/>
        </w:rPr>
        <w:t xml:space="preserve"> </w:t>
      </w:r>
      <w:r w:rsidRPr="005800D0">
        <w:rPr>
          <w:rFonts w:ascii="Verdana" w:hAnsi="Verdana"/>
          <w:sz w:val="16"/>
          <w:szCs w:val="16"/>
        </w:rPr>
        <w:t>a</w:t>
      </w:r>
      <w:r w:rsidRPr="005800D0">
        <w:rPr>
          <w:rFonts w:ascii="Verdana" w:hAnsi="Verdana"/>
          <w:spacing w:val="-3"/>
          <w:sz w:val="16"/>
          <w:szCs w:val="16"/>
        </w:rPr>
        <w:t xml:space="preserve"> </w:t>
      </w:r>
      <w:r w:rsidRPr="005800D0">
        <w:rPr>
          <w:rFonts w:ascii="Verdana" w:hAnsi="Verdana"/>
          <w:sz w:val="16"/>
          <w:szCs w:val="16"/>
        </w:rPr>
        <w:t>título</w:t>
      </w:r>
      <w:r w:rsidRPr="005800D0">
        <w:rPr>
          <w:rFonts w:ascii="Verdana" w:hAnsi="Verdana"/>
          <w:spacing w:val="-9"/>
          <w:sz w:val="16"/>
          <w:szCs w:val="16"/>
        </w:rPr>
        <w:t xml:space="preserve"> </w:t>
      </w:r>
      <w:r w:rsidRPr="005800D0">
        <w:rPr>
          <w:rFonts w:ascii="Verdana" w:hAnsi="Verdana"/>
          <w:sz w:val="16"/>
          <w:szCs w:val="16"/>
        </w:rPr>
        <w:t>enunciativo</w:t>
      </w:r>
      <w:r w:rsidRPr="005800D0">
        <w:rPr>
          <w:rFonts w:ascii="Verdana" w:hAnsi="Verdana"/>
          <w:spacing w:val="-9"/>
          <w:sz w:val="16"/>
          <w:szCs w:val="16"/>
        </w:rPr>
        <w:t xml:space="preserve"> </w:t>
      </w:r>
      <w:r w:rsidRPr="005800D0">
        <w:rPr>
          <w:rFonts w:ascii="Verdana" w:hAnsi="Verdana"/>
          <w:sz w:val="16"/>
          <w:szCs w:val="16"/>
        </w:rPr>
        <w:t>identifica</w:t>
      </w:r>
      <w:r w:rsidRPr="005800D0">
        <w:rPr>
          <w:rFonts w:ascii="Verdana" w:hAnsi="Verdana"/>
          <w:spacing w:val="-8"/>
          <w:sz w:val="16"/>
          <w:szCs w:val="16"/>
        </w:rPr>
        <w:t xml:space="preserve"> </w:t>
      </w:r>
      <w:r w:rsidRPr="005800D0">
        <w:rPr>
          <w:rFonts w:ascii="Verdana" w:hAnsi="Verdana"/>
          <w:sz w:val="16"/>
          <w:szCs w:val="16"/>
        </w:rPr>
        <w:t>el</w:t>
      </w:r>
      <w:r w:rsidRPr="005800D0">
        <w:rPr>
          <w:rFonts w:ascii="Verdana" w:hAnsi="Verdana"/>
          <w:spacing w:val="-1"/>
          <w:sz w:val="16"/>
          <w:szCs w:val="16"/>
        </w:rPr>
        <w:t xml:space="preserve"> </w:t>
      </w:r>
      <w:r w:rsidRPr="005800D0">
        <w:rPr>
          <w:rFonts w:ascii="Verdana" w:hAnsi="Verdana"/>
          <w:sz w:val="16"/>
          <w:szCs w:val="16"/>
        </w:rPr>
        <w:t>artículo</w:t>
      </w:r>
      <w:r w:rsidRPr="005800D0">
        <w:rPr>
          <w:rFonts w:ascii="Verdana" w:hAnsi="Verdana"/>
          <w:spacing w:val="-9"/>
          <w:sz w:val="16"/>
          <w:szCs w:val="16"/>
        </w:rPr>
        <w:t xml:space="preserve"> </w:t>
      </w:r>
      <w:r w:rsidRPr="005800D0">
        <w:rPr>
          <w:rFonts w:ascii="Verdana" w:hAnsi="Verdana"/>
          <w:sz w:val="16"/>
          <w:szCs w:val="16"/>
        </w:rPr>
        <w:t>32</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7"/>
          <w:sz w:val="16"/>
          <w:szCs w:val="16"/>
        </w:rPr>
        <w:t xml:space="preserve"> </w:t>
      </w:r>
      <w:r w:rsidRPr="005800D0">
        <w:rPr>
          <w:rFonts w:ascii="Verdana" w:hAnsi="Verdana"/>
          <w:sz w:val="16"/>
          <w:szCs w:val="16"/>
        </w:rPr>
        <w:t>la Ley</w:t>
      </w:r>
      <w:r w:rsidRPr="005800D0">
        <w:rPr>
          <w:rFonts w:ascii="Verdana" w:hAnsi="Verdana"/>
          <w:spacing w:val="-7"/>
          <w:sz w:val="16"/>
          <w:szCs w:val="16"/>
        </w:rPr>
        <w:t xml:space="preserve"> </w:t>
      </w:r>
      <w:r w:rsidRPr="005800D0">
        <w:rPr>
          <w:rFonts w:ascii="Verdana" w:hAnsi="Verdana"/>
          <w:sz w:val="16"/>
          <w:szCs w:val="16"/>
        </w:rPr>
        <w:t>80</w:t>
      </w:r>
      <w:r w:rsidRPr="005800D0">
        <w:rPr>
          <w:rFonts w:ascii="Verdana" w:hAnsi="Verdana"/>
          <w:spacing w:val="-4"/>
          <w:sz w:val="16"/>
          <w:szCs w:val="16"/>
        </w:rPr>
        <w:t xml:space="preserve"> </w:t>
      </w:r>
      <w:r w:rsidRPr="005800D0">
        <w:rPr>
          <w:rFonts w:ascii="Verdana" w:hAnsi="Verdana"/>
          <w:sz w:val="16"/>
          <w:szCs w:val="16"/>
        </w:rPr>
        <w:t>de</w:t>
      </w:r>
      <w:r w:rsidRPr="005800D0">
        <w:rPr>
          <w:rFonts w:ascii="Verdana" w:hAnsi="Verdana"/>
          <w:spacing w:val="-2"/>
          <w:sz w:val="16"/>
          <w:szCs w:val="16"/>
        </w:rPr>
        <w:t xml:space="preserve"> </w:t>
      </w:r>
      <w:r w:rsidRPr="005800D0">
        <w:rPr>
          <w:rFonts w:ascii="Verdana" w:hAnsi="Verdana"/>
          <w:sz w:val="16"/>
          <w:szCs w:val="16"/>
        </w:rPr>
        <w:t>1993.</w:t>
      </w:r>
      <w:bookmarkEnd w:id="18"/>
    </w:p>
    <w:p w14:paraId="34DB46D7" w14:textId="77777777" w:rsidR="008A19CC" w:rsidRPr="005800D0" w:rsidRDefault="008A19CC" w:rsidP="008A19CC">
      <w:pPr>
        <w:tabs>
          <w:tab w:val="left" w:pos="142"/>
          <w:tab w:val="left" w:pos="8789"/>
        </w:tabs>
        <w:spacing w:after="0" w:line="240" w:lineRule="auto"/>
        <w:ind w:right="49" w:firstLine="709"/>
        <w:contextualSpacing/>
        <w:jc w:val="both"/>
        <w:rPr>
          <w:rFonts w:ascii="Verdana" w:hAnsi="Verdana"/>
          <w:sz w:val="16"/>
          <w:szCs w:val="16"/>
        </w:rPr>
      </w:pPr>
    </w:p>
  </w:footnote>
  <w:footnote w:id="21">
    <w:p w14:paraId="5B396DBC" w14:textId="77777777" w:rsidR="008A19CC" w:rsidRDefault="008A19CC" w:rsidP="008A19CC">
      <w:pPr>
        <w:pStyle w:val="Textonotapie"/>
        <w:ind w:right="49" w:firstLine="709"/>
        <w:contextualSpacing/>
        <w:jc w:val="both"/>
        <w:rPr>
          <w:rFonts w:ascii="Verdana" w:hAnsi="Verdana"/>
          <w:sz w:val="16"/>
          <w:szCs w:val="16"/>
        </w:rPr>
      </w:pPr>
      <w:r w:rsidRPr="00195E24">
        <w:rPr>
          <w:rStyle w:val="Refdenotaalpie"/>
          <w:rFonts w:ascii="Verdana" w:hAnsi="Verdana"/>
          <w:sz w:val="16"/>
          <w:szCs w:val="16"/>
        </w:rPr>
        <w:footnoteRef/>
      </w:r>
      <w:r w:rsidRPr="00195E24">
        <w:rPr>
          <w:rFonts w:ascii="Verdana" w:hAnsi="Verdana"/>
          <w:sz w:val="16"/>
          <w:szCs w:val="16"/>
        </w:rPr>
        <w:t xml:space="preserve"> El artículo</w:t>
      </w:r>
      <w:r w:rsidRPr="00195E24">
        <w:rPr>
          <w:rFonts w:ascii="Verdana" w:hAnsi="Verdana"/>
          <w:spacing w:val="-2"/>
          <w:sz w:val="16"/>
          <w:szCs w:val="16"/>
        </w:rPr>
        <w:t xml:space="preserve"> </w:t>
      </w:r>
      <w:r w:rsidRPr="00195E24">
        <w:rPr>
          <w:rFonts w:ascii="Verdana" w:hAnsi="Verdana"/>
          <w:sz w:val="16"/>
          <w:szCs w:val="16"/>
        </w:rPr>
        <w:t>14</w:t>
      </w:r>
      <w:r w:rsidRPr="00195E24">
        <w:rPr>
          <w:rFonts w:ascii="Verdana" w:hAnsi="Verdana"/>
          <w:spacing w:val="-2"/>
          <w:sz w:val="16"/>
          <w:szCs w:val="16"/>
        </w:rPr>
        <w:t xml:space="preserve"> </w:t>
      </w:r>
      <w:r w:rsidRPr="00195E24">
        <w:rPr>
          <w:rFonts w:ascii="Verdana" w:hAnsi="Verdana"/>
          <w:sz w:val="16"/>
          <w:szCs w:val="16"/>
        </w:rPr>
        <w:t>original de la</w:t>
      </w:r>
      <w:r w:rsidRPr="00195E24">
        <w:rPr>
          <w:rFonts w:ascii="Verdana" w:hAnsi="Verdana"/>
          <w:spacing w:val="-1"/>
          <w:sz w:val="16"/>
          <w:szCs w:val="16"/>
        </w:rPr>
        <w:t xml:space="preserve"> </w:t>
      </w:r>
      <w:r w:rsidRPr="00195E24">
        <w:rPr>
          <w:rFonts w:ascii="Verdana" w:hAnsi="Verdana"/>
          <w:sz w:val="16"/>
          <w:szCs w:val="16"/>
        </w:rPr>
        <w:t>Ley 1150</w:t>
      </w:r>
      <w:r w:rsidRPr="00195E24">
        <w:rPr>
          <w:rFonts w:ascii="Verdana" w:hAnsi="Verdana"/>
          <w:spacing w:val="-2"/>
          <w:sz w:val="16"/>
          <w:szCs w:val="16"/>
        </w:rPr>
        <w:t xml:space="preserve"> </w:t>
      </w:r>
      <w:r w:rsidRPr="00195E24">
        <w:rPr>
          <w:rFonts w:ascii="Verdana" w:hAnsi="Verdana"/>
          <w:sz w:val="16"/>
          <w:szCs w:val="16"/>
        </w:rPr>
        <w:t>de 2007</w:t>
      </w:r>
      <w:r w:rsidRPr="00195E24">
        <w:rPr>
          <w:rFonts w:ascii="Verdana" w:hAnsi="Verdana"/>
          <w:spacing w:val="-2"/>
          <w:sz w:val="16"/>
          <w:szCs w:val="16"/>
        </w:rPr>
        <w:t xml:space="preserve"> </w:t>
      </w:r>
      <w:r w:rsidRPr="00195E24">
        <w:rPr>
          <w:rFonts w:ascii="Verdana" w:hAnsi="Verdana"/>
          <w:sz w:val="16"/>
          <w:szCs w:val="16"/>
        </w:rPr>
        <w:t>excluía</w:t>
      </w:r>
      <w:r w:rsidRPr="00195E24">
        <w:rPr>
          <w:rFonts w:ascii="Verdana" w:hAnsi="Verdana"/>
          <w:spacing w:val="-1"/>
          <w:sz w:val="16"/>
          <w:szCs w:val="16"/>
        </w:rPr>
        <w:t xml:space="preserve"> </w:t>
      </w:r>
      <w:r w:rsidRPr="00195E24">
        <w:rPr>
          <w:rFonts w:ascii="Verdana" w:hAnsi="Verdana"/>
          <w:sz w:val="16"/>
          <w:szCs w:val="16"/>
        </w:rPr>
        <w:t>además aquellas cuya</w:t>
      </w:r>
      <w:r w:rsidRPr="00195E24">
        <w:rPr>
          <w:rFonts w:ascii="Verdana" w:hAnsi="Verdana"/>
          <w:spacing w:val="-1"/>
          <w:sz w:val="16"/>
          <w:szCs w:val="16"/>
        </w:rPr>
        <w:t xml:space="preserve"> </w:t>
      </w:r>
      <w:r w:rsidRPr="00195E24">
        <w:rPr>
          <w:rFonts w:ascii="Verdana" w:hAnsi="Verdana"/>
          <w:sz w:val="16"/>
          <w:szCs w:val="16"/>
        </w:rPr>
        <w:t>actividad</w:t>
      </w:r>
      <w:r w:rsidRPr="00195E24">
        <w:rPr>
          <w:rFonts w:ascii="Verdana" w:hAnsi="Verdana"/>
          <w:spacing w:val="-5"/>
          <w:sz w:val="16"/>
          <w:szCs w:val="16"/>
        </w:rPr>
        <w:t xml:space="preserve"> </w:t>
      </w:r>
      <w:r w:rsidRPr="00195E24">
        <w:rPr>
          <w:rFonts w:ascii="Verdana" w:hAnsi="Verdana"/>
          <w:sz w:val="16"/>
          <w:szCs w:val="16"/>
        </w:rPr>
        <w:t>se realizaba en</w:t>
      </w:r>
      <w:r w:rsidRPr="00195E24">
        <w:rPr>
          <w:rFonts w:ascii="Verdana" w:hAnsi="Verdana"/>
          <w:spacing w:val="-6"/>
          <w:sz w:val="16"/>
          <w:szCs w:val="16"/>
        </w:rPr>
        <w:t xml:space="preserve"> </w:t>
      </w:r>
      <w:r w:rsidRPr="00195E24">
        <w:rPr>
          <w:rFonts w:ascii="Verdana" w:hAnsi="Verdana"/>
          <w:sz w:val="16"/>
          <w:szCs w:val="16"/>
        </w:rPr>
        <w:t>“mercados</w:t>
      </w:r>
      <w:r w:rsidRPr="00195E24">
        <w:rPr>
          <w:rFonts w:ascii="Verdana" w:hAnsi="Verdana"/>
          <w:spacing w:val="-3"/>
          <w:sz w:val="16"/>
          <w:szCs w:val="16"/>
        </w:rPr>
        <w:t xml:space="preserve"> </w:t>
      </w:r>
      <w:r w:rsidRPr="00195E24">
        <w:rPr>
          <w:rFonts w:ascii="Verdana" w:hAnsi="Verdana"/>
          <w:sz w:val="16"/>
          <w:szCs w:val="16"/>
        </w:rPr>
        <w:t>monopolísticos”,</w:t>
      </w:r>
      <w:r w:rsidRPr="00195E24">
        <w:rPr>
          <w:rFonts w:ascii="Verdana" w:hAnsi="Verdana"/>
          <w:spacing w:val="-2"/>
          <w:sz w:val="16"/>
          <w:szCs w:val="16"/>
        </w:rPr>
        <w:t xml:space="preserve"> </w:t>
      </w:r>
      <w:r w:rsidRPr="00195E24">
        <w:rPr>
          <w:rFonts w:ascii="Verdana" w:hAnsi="Verdana"/>
          <w:sz w:val="16"/>
          <w:szCs w:val="16"/>
        </w:rPr>
        <w:t>pero,</w:t>
      </w:r>
      <w:r w:rsidRPr="00195E24">
        <w:rPr>
          <w:rFonts w:ascii="Verdana" w:hAnsi="Verdana"/>
          <w:spacing w:val="-2"/>
          <w:sz w:val="16"/>
          <w:szCs w:val="16"/>
        </w:rPr>
        <w:t xml:space="preserve"> </w:t>
      </w:r>
      <w:r w:rsidRPr="00195E24">
        <w:rPr>
          <w:rFonts w:ascii="Verdana" w:hAnsi="Verdana"/>
          <w:sz w:val="16"/>
          <w:szCs w:val="16"/>
        </w:rPr>
        <w:t>con</w:t>
      </w:r>
      <w:r w:rsidRPr="00195E24">
        <w:rPr>
          <w:rFonts w:ascii="Verdana" w:hAnsi="Verdana"/>
          <w:spacing w:val="-5"/>
          <w:sz w:val="16"/>
          <w:szCs w:val="16"/>
        </w:rPr>
        <w:t xml:space="preserve"> </w:t>
      </w:r>
      <w:r w:rsidRPr="00195E24">
        <w:rPr>
          <w:rFonts w:ascii="Verdana" w:hAnsi="Verdana"/>
          <w:sz w:val="16"/>
          <w:szCs w:val="16"/>
        </w:rPr>
        <w:t>buen</w:t>
      </w:r>
      <w:r w:rsidRPr="00195E24">
        <w:rPr>
          <w:rFonts w:ascii="Verdana" w:hAnsi="Verdana"/>
          <w:spacing w:val="-6"/>
          <w:sz w:val="16"/>
          <w:szCs w:val="16"/>
        </w:rPr>
        <w:t xml:space="preserve"> </w:t>
      </w:r>
      <w:r w:rsidRPr="00195E24">
        <w:rPr>
          <w:rFonts w:ascii="Verdana" w:hAnsi="Verdana"/>
          <w:sz w:val="16"/>
          <w:szCs w:val="16"/>
        </w:rPr>
        <w:t>tino,</w:t>
      </w:r>
      <w:r w:rsidRPr="00195E24">
        <w:rPr>
          <w:rFonts w:ascii="Verdana" w:hAnsi="Verdana"/>
          <w:spacing w:val="-2"/>
          <w:sz w:val="16"/>
          <w:szCs w:val="16"/>
        </w:rPr>
        <w:t xml:space="preserve"> </w:t>
      </w:r>
      <w:r w:rsidRPr="00195E24">
        <w:rPr>
          <w:rFonts w:ascii="Verdana" w:hAnsi="Verdana"/>
          <w:sz w:val="16"/>
          <w:szCs w:val="16"/>
        </w:rPr>
        <w:t>se</w:t>
      </w:r>
      <w:r w:rsidRPr="00195E24">
        <w:rPr>
          <w:rFonts w:ascii="Verdana" w:hAnsi="Verdana"/>
          <w:spacing w:val="-4"/>
          <w:sz w:val="16"/>
          <w:szCs w:val="16"/>
        </w:rPr>
        <w:t xml:space="preserve"> </w:t>
      </w:r>
      <w:r w:rsidRPr="00195E24">
        <w:rPr>
          <w:rFonts w:ascii="Verdana" w:hAnsi="Verdana"/>
          <w:sz w:val="16"/>
          <w:szCs w:val="16"/>
        </w:rPr>
        <w:t>eliminó</w:t>
      </w:r>
      <w:r w:rsidRPr="00195E24">
        <w:rPr>
          <w:rFonts w:ascii="Verdana" w:hAnsi="Verdana"/>
          <w:spacing w:val="-6"/>
          <w:sz w:val="16"/>
          <w:szCs w:val="16"/>
        </w:rPr>
        <w:t xml:space="preserve"> </w:t>
      </w:r>
      <w:r w:rsidRPr="00195E24">
        <w:rPr>
          <w:rFonts w:ascii="Verdana" w:hAnsi="Verdana"/>
          <w:sz w:val="16"/>
          <w:szCs w:val="16"/>
        </w:rPr>
        <w:t>en</w:t>
      </w:r>
      <w:r w:rsidRPr="00195E24">
        <w:rPr>
          <w:rFonts w:ascii="Verdana" w:hAnsi="Verdana"/>
          <w:spacing w:val="-6"/>
          <w:sz w:val="16"/>
          <w:szCs w:val="16"/>
        </w:rPr>
        <w:t xml:space="preserve"> </w:t>
      </w:r>
      <w:r w:rsidRPr="00195E24">
        <w:rPr>
          <w:rFonts w:ascii="Verdana" w:hAnsi="Verdana"/>
          <w:sz w:val="16"/>
          <w:szCs w:val="16"/>
        </w:rPr>
        <w:t>el</w:t>
      </w:r>
      <w:r w:rsidRPr="00195E24">
        <w:rPr>
          <w:rFonts w:ascii="Verdana" w:hAnsi="Verdana"/>
          <w:spacing w:val="-3"/>
          <w:sz w:val="16"/>
          <w:szCs w:val="16"/>
        </w:rPr>
        <w:t xml:space="preserve"> </w:t>
      </w:r>
      <w:r w:rsidRPr="00195E24">
        <w:rPr>
          <w:rFonts w:ascii="Verdana" w:hAnsi="Verdana"/>
          <w:sz w:val="16"/>
          <w:szCs w:val="16"/>
        </w:rPr>
        <w:t>artículo</w:t>
      </w:r>
      <w:r w:rsidRPr="00195E24">
        <w:rPr>
          <w:rFonts w:ascii="Verdana" w:hAnsi="Verdana"/>
          <w:spacing w:val="-6"/>
          <w:sz w:val="16"/>
          <w:szCs w:val="16"/>
        </w:rPr>
        <w:t xml:space="preserve"> </w:t>
      </w:r>
      <w:r w:rsidRPr="00195E24">
        <w:rPr>
          <w:rFonts w:ascii="Verdana" w:hAnsi="Verdana"/>
          <w:sz w:val="16"/>
          <w:szCs w:val="16"/>
        </w:rPr>
        <w:t>93</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la</w:t>
      </w:r>
      <w:r w:rsidRPr="00195E24">
        <w:rPr>
          <w:rFonts w:ascii="Verdana" w:hAnsi="Verdana"/>
          <w:spacing w:val="-5"/>
          <w:sz w:val="16"/>
          <w:szCs w:val="16"/>
        </w:rPr>
        <w:t xml:space="preserve"> </w:t>
      </w:r>
      <w:r w:rsidRPr="00195E24">
        <w:rPr>
          <w:rFonts w:ascii="Verdana" w:hAnsi="Verdana"/>
          <w:sz w:val="16"/>
          <w:szCs w:val="16"/>
        </w:rPr>
        <w:t>Ley</w:t>
      </w:r>
      <w:r w:rsidRPr="00195E24">
        <w:rPr>
          <w:rFonts w:ascii="Verdana" w:hAnsi="Verdana"/>
          <w:spacing w:val="-4"/>
          <w:sz w:val="16"/>
          <w:szCs w:val="16"/>
        </w:rPr>
        <w:t xml:space="preserve"> </w:t>
      </w:r>
      <w:r w:rsidRPr="00195E24">
        <w:rPr>
          <w:rFonts w:ascii="Verdana" w:hAnsi="Verdana"/>
          <w:sz w:val="16"/>
          <w:szCs w:val="16"/>
        </w:rPr>
        <w:t>1474</w:t>
      </w:r>
      <w:r w:rsidRPr="00195E24">
        <w:rPr>
          <w:rFonts w:ascii="Verdana" w:hAnsi="Verdana"/>
          <w:spacing w:val="-6"/>
          <w:sz w:val="16"/>
          <w:szCs w:val="16"/>
        </w:rPr>
        <w:t xml:space="preserve"> </w:t>
      </w:r>
      <w:r w:rsidRPr="00195E24">
        <w:rPr>
          <w:rFonts w:ascii="Verdana" w:hAnsi="Verdana"/>
          <w:sz w:val="16"/>
          <w:szCs w:val="16"/>
        </w:rPr>
        <w:t>de</w:t>
      </w:r>
      <w:r w:rsidRPr="00195E24">
        <w:rPr>
          <w:rFonts w:ascii="Verdana" w:hAnsi="Verdana"/>
          <w:spacing w:val="-4"/>
          <w:sz w:val="16"/>
          <w:szCs w:val="16"/>
        </w:rPr>
        <w:t xml:space="preserve"> </w:t>
      </w:r>
      <w:r w:rsidRPr="00195E24">
        <w:rPr>
          <w:rFonts w:ascii="Verdana" w:hAnsi="Verdana"/>
          <w:sz w:val="16"/>
          <w:szCs w:val="16"/>
        </w:rPr>
        <w:t>2011,</w:t>
      </w:r>
      <w:r w:rsidRPr="00195E24">
        <w:rPr>
          <w:rFonts w:ascii="Verdana" w:hAnsi="Verdana"/>
          <w:spacing w:val="-2"/>
          <w:sz w:val="16"/>
          <w:szCs w:val="16"/>
        </w:rPr>
        <w:t xml:space="preserve"> </w:t>
      </w:r>
      <w:r w:rsidRPr="00195E24">
        <w:rPr>
          <w:rFonts w:ascii="Verdana" w:hAnsi="Verdana"/>
          <w:sz w:val="16"/>
          <w:szCs w:val="16"/>
        </w:rPr>
        <w:t>pues en ese caso no se está en presencia de los fundamentos que soportan la excepción de no aplicar el Estatuto General de Contratación de la Administración Pública, cual es la “competencia y el libre juego del mercado”.</w:t>
      </w:r>
    </w:p>
    <w:p w14:paraId="4533B803" w14:textId="77777777" w:rsidR="008A19CC" w:rsidRPr="00195E24" w:rsidRDefault="008A19CC" w:rsidP="008A19CC">
      <w:pPr>
        <w:pStyle w:val="Textonotapie"/>
        <w:ind w:right="49" w:firstLine="709"/>
        <w:contextualSpacing/>
        <w:jc w:val="both"/>
        <w:rPr>
          <w:rFonts w:ascii="Verdana" w:hAnsi="Verdana"/>
          <w:sz w:val="16"/>
          <w:szCs w:val="16"/>
        </w:rPr>
      </w:pPr>
    </w:p>
  </w:footnote>
  <w:footnote w:id="22">
    <w:p w14:paraId="6C272873" w14:textId="77777777" w:rsidR="008A19CC" w:rsidRDefault="008A19CC" w:rsidP="008A19CC">
      <w:pPr>
        <w:spacing w:after="0" w:line="240" w:lineRule="auto"/>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20 de febrero de 2006. Radicación Número: 11001-03-06-000-2006-00026-00 (1727). </w:t>
      </w:r>
      <w:r>
        <w:rPr>
          <w:rFonts w:ascii="Verdana" w:hAnsi="Verdana" w:cs="Arial"/>
          <w:color w:val="000000" w:themeColor="text1"/>
          <w:sz w:val="16"/>
          <w:szCs w:val="16"/>
        </w:rPr>
        <w:t>C.P</w:t>
      </w:r>
      <w:r w:rsidRPr="00195E24">
        <w:rPr>
          <w:rFonts w:ascii="Verdana" w:hAnsi="Verdana" w:cs="Arial"/>
          <w:color w:val="000000" w:themeColor="text1"/>
          <w:sz w:val="16"/>
          <w:szCs w:val="16"/>
        </w:rPr>
        <w:t>: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3547AA0E" w14:textId="77777777" w:rsidR="008A19CC" w:rsidRPr="005800D0" w:rsidRDefault="008A19CC" w:rsidP="008A19CC">
      <w:pPr>
        <w:spacing w:after="0" w:line="240" w:lineRule="auto"/>
        <w:ind w:firstLine="709"/>
        <w:contextualSpacing/>
        <w:jc w:val="both"/>
        <w:rPr>
          <w:rFonts w:ascii="Verdana" w:hAnsi="Verdana" w:cs="Arial"/>
          <w:color w:val="000000" w:themeColor="text1"/>
          <w:sz w:val="16"/>
          <w:szCs w:val="16"/>
        </w:rPr>
      </w:pPr>
    </w:p>
  </w:footnote>
  <w:footnote w:id="23">
    <w:p w14:paraId="1953B2AE" w14:textId="77777777" w:rsidR="008A19CC" w:rsidRPr="00195E24" w:rsidRDefault="008A19CC" w:rsidP="008A19CC">
      <w:pPr>
        <w:pStyle w:val="Textonotapie"/>
        <w:ind w:firstLine="709"/>
        <w:contextualSpacing/>
        <w:jc w:val="both"/>
        <w:rPr>
          <w:rFonts w:ascii="Verdana" w:hAnsi="Verdana" w:cs="Arial"/>
          <w:color w:val="000000" w:themeColor="text1"/>
          <w:sz w:val="16"/>
          <w:szCs w:val="16"/>
        </w:rPr>
      </w:pPr>
      <w:r w:rsidRPr="00195E24">
        <w:rPr>
          <w:rStyle w:val="Refdenotaalpie"/>
          <w:rFonts w:ascii="Verdana" w:hAnsi="Verdana" w:cs="Arial"/>
          <w:color w:val="000000" w:themeColor="text1"/>
          <w:sz w:val="16"/>
          <w:szCs w:val="16"/>
        </w:rPr>
        <w:footnoteRef/>
      </w:r>
      <w:r w:rsidRPr="00195E24">
        <w:rPr>
          <w:rFonts w:ascii="Verdana" w:hAnsi="Verdana" w:cs="Arial"/>
          <w:color w:val="000000" w:themeColor="text1"/>
          <w:sz w:val="16"/>
          <w:szCs w:val="16"/>
        </w:rPr>
        <w:t xml:space="preserve"> Consejo de Estado. Sala de Consulta y Servicio Civil. Concepto de 6 de abril de 2006. Radicación Número: 11001-03-06-000-2006-00038-00 (1738). </w:t>
      </w:r>
      <w:r>
        <w:rPr>
          <w:rFonts w:ascii="Verdana" w:hAnsi="Verdana" w:cs="Arial"/>
          <w:color w:val="000000" w:themeColor="text1"/>
          <w:sz w:val="16"/>
          <w:szCs w:val="16"/>
        </w:rPr>
        <w:t>C.P:</w:t>
      </w:r>
      <w:r w:rsidRPr="00195E24">
        <w:rPr>
          <w:rFonts w:ascii="Verdana" w:hAnsi="Verdana" w:cs="Arial"/>
          <w:color w:val="000000" w:themeColor="text1"/>
          <w:sz w:val="16"/>
          <w:szCs w:val="16"/>
        </w:rPr>
        <w:t xml:space="preserve"> Enrique José Arboleda Perdomo:</w:t>
      </w:r>
      <w:r w:rsidRPr="00195E24">
        <w:rPr>
          <w:rFonts w:ascii="Verdana" w:eastAsia="Times New Roman" w:hAnsi="Verdana" w:cs="Arial"/>
          <w:bCs/>
          <w:color w:val="000000" w:themeColor="text1"/>
          <w:sz w:val="16"/>
          <w:szCs w:val="16"/>
          <w:lang w:eastAsia="x-none"/>
        </w:rPr>
        <w:t xml:space="preserve"> </w:t>
      </w:r>
      <w:bookmarkStart w:id="19" w:name="_Hlk97890572"/>
      <w:r>
        <w:rPr>
          <w:rFonts w:ascii="Verdana" w:eastAsia="Times New Roman" w:hAnsi="Verdana" w:cs="Arial"/>
          <w:bCs/>
          <w:color w:val="000000" w:themeColor="text1"/>
          <w:sz w:val="16"/>
          <w:szCs w:val="16"/>
          <w:lang w:eastAsia="x-none"/>
        </w:rPr>
        <w:t>“</w:t>
      </w:r>
      <w:r w:rsidRPr="00195E24">
        <w:rPr>
          <w:rFonts w:ascii="Verdana" w:hAnsi="Verdana" w:cs="Arial"/>
          <w:color w:val="000000" w:themeColor="text1"/>
          <w:sz w:val="16"/>
          <w:szCs w:val="16"/>
        </w:rPr>
        <w:t xml:space="preserve">Si bien en el tema del concepto del que se extractaron </w:t>
      </w:r>
      <w:bookmarkEnd w:id="19"/>
      <w:r w:rsidRPr="00195E24">
        <w:rPr>
          <w:rFonts w:ascii="Verdana" w:hAnsi="Verdana" w:cs="Arial"/>
          <w:color w:val="000000" w:themeColor="text1"/>
          <w:sz w:val="16"/>
          <w:szCs w:val="16"/>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Pr>
          <w:rFonts w:ascii="Verdana" w:eastAsia="Times New Roman" w:hAnsi="Verdana" w:cs="Arial"/>
          <w:bCs/>
          <w:color w:val="000000" w:themeColor="text1"/>
          <w:sz w:val="16"/>
          <w:szCs w:val="16"/>
          <w:lang w:eastAsia="x-none"/>
        </w:rPr>
        <w:t>”</w:t>
      </w:r>
      <w:r w:rsidRPr="00195E24">
        <w:rPr>
          <w:rFonts w:ascii="Verdana" w:eastAsia="Times New Roman" w:hAnsi="Verdana" w:cs="Arial"/>
          <w:bCs/>
          <w:color w:val="000000" w:themeColor="text1"/>
          <w:sz w:val="16"/>
          <w:szCs w:val="16"/>
          <w:lang w:eastAsia="x-none"/>
        </w:rPr>
        <w:t>.</w:t>
      </w:r>
    </w:p>
  </w:footnote>
  <w:footnote w:id="24">
    <w:p w14:paraId="3AFA7DA6" w14:textId="77777777" w:rsidR="008A19CC" w:rsidRDefault="008A19CC" w:rsidP="008A19CC">
      <w:pPr>
        <w:spacing w:after="0" w:line="240" w:lineRule="auto"/>
        <w:ind w:firstLine="708"/>
        <w:contextualSpacing/>
        <w:jc w:val="both"/>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Concepto de 6 de abril de 2006. Radicación Número: 11001-03-06-000-2006-00038-00(1738). C</w:t>
      </w:r>
      <w:r>
        <w:rPr>
          <w:rFonts w:ascii="Verdana" w:hAnsi="Verdana" w:cs="Arial"/>
          <w:color w:val="000000" w:themeColor="text1"/>
          <w:sz w:val="16"/>
          <w:szCs w:val="16"/>
        </w:rPr>
        <w:t xml:space="preserve">.P: </w:t>
      </w:r>
      <w:r w:rsidRPr="005800D0">
        <w:rPr>
          <w:rFonts w:ascii="Verdana" w:hAnsi="Verdana" w:cs="Arial"/>
          <w:color w:val="000000" w:themeColor="text1"/>
          <w:sz w:val="16"/>
          <w:szCs w:val="16"/>
        </w:rPr>
        <w:t xml:space="preserve">Enrique José Arboleda Perdomo. </w:t>
      </w:r>
    </w:p>
    <w:p w14:paraId="36B32B3D" w14:textId="77777777" w:rsidR="008A19CC" w:rsidRPr="005800D0" w:rsidRDefault="008A19CC" w:rsidP="008A19CC">
      <w:pPr>
        <w:spacing w:after="0" w:line="240" w:lineRule="auto"/>
        <w:ind w:firstLine="708"/>
        <w:contextualSpacing/>
        <w:jc w:val="both"/>
        <w:rPr>
          <w:rFonts w:ascii="Verdana" w:hAnsi="Verdana" w:cs="Arial"/>
          <w:color w:val="000000" w:themeColor="text1"/>
          <w:sz w:val="16"/>
          <w:szCs w:val="16"/>
        </w:rPr>
      </w:pPr>
    </w:p>
  </w:footnote>
  <w:footnote w:id="25">
    <w:p w14:paraId="128E8626" w14:textId="77777777" w:rsidR="008A19CC" w:rsidRPr="005800D0" w:rsidRDefault="008A19CC" w:rsidP="008A19CC">
      <w:pPr>
        <w:pStyle w:val="Textonotapie"/>
        <w:ind w:firstLine="709"/>
        <w:contextualSpacing/>
        <w:rPr>
          <w:rFonts w:ascii="Verdana" w:hAnsi="Verdana" w:cs="Arial"/>
          <w:color w:val="000000" w:themeColor="text1"/>
          <w:sz w:val="16"/>
          <w:szCs w:val="16"/>
        </w:rPr>
      </w:pPr>
      <w:r w:rsidRPr="005800D0">
        <w:rPr>
          <w:rStyle w:val="Refdenotaalpie"/>
          <w:rFonts w:ascii="Verdana" w:hAnsi="Verdana" w:cs="Arial"/>
          <w:color w:val="000000" w:themeColor="text1"/>
          <w:sz w:val="16"/>
          <w:szCs w:val="16"/>
        </w:rPr>
        <w:footnoteRef/>
      </w:r>
      <w:r w:rsidRPr="005800D0">
        <w:rPr>
          <w:rFonts w:ascii="Verdana" w:hAnsi="Verdana" w:cs="Arial"/>
          <w:color w:val="000000" w:themeColor="text1"/>
          <w:sz w:val="16"/>
          <w:szCs w:val="16"/>
        </w:rPr>
        <w:t xml:space="preserve"> Consejo de Estado. Sala de Consulta y Servicio Civil, 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414356136">
    <w:abstractNumId w:val="0"/>
  </w:num>
  <w:num w:numId="17" w16cid:durableId="19822256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5FD"/>
    <w:rsid w:val="00046945"/>
    <w:rsid w:val="00061B2A"/>
    <w:rsid w:val="0007424D"/>
    <w:rsid w:val="000776F6"/>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70C5"/>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97F6E"/>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44AE9"/>
    <w:rsid w:val="00867F95"/>
    <w:rsid w:val="008700C1"/>
    <w:rsid w:val="008843B6"/>
    <w:rsid w:val="00891928"/>
    <w:rsid w:val="008A19CC"/>
    <w:rsid w:val="008A446D"/>
    <w:rsid w:val="008B25F1"/>
    <w:rsid w:val="008D180B"/>
    <w:rsid w:val="008F0EA7"/>
    <w:rsid w:val="00923EEF"/>
    <w:rsid w:val="009419F9"/>
    <w:rsid w:val="0095685E"/>
    <w:rsid w:val="00961B09"/>
    <w:rsid w:val="00965334"/>
    <w:rsid w:val="0097093E"/>
    <w:rsid w:val="009A0C0A"/>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A19C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A19CC"/>
    <w:rPr>
      <w:rFonts w:ascii="Geomanist Light" w:hAnsi="Geomanist Light"/>
      <w:lang w:val="es-ES"/>
    </w:rPr>
  </w:style>
  <w:style w:type="character" w:customStyle="1" w:styleId="baj">
    <w:name w:val="b_aj"/>
    <w:basedOn w:val="Fuentedeprrafopredeter"/>
    <w:rsid w:val="008A19CC"/>
  </w:style>
  <w:style w:type="character" w:customStyle="1" w:styleId="NormalWebCar">
    <w:name w:val="Normal (Web) Car"/>
    <w:link w:val="NormalWeb"/>
    <w:uiPriority w:val="99"/>
    <w:locked/>
    <w:rsid w:val="008A19C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ndressolarte99@gmail.com"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BA93FC-EAAC-4587-965A-87B0BDE7729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25</Pages>
  <Words>7928</Words>
  <Characters>43609</Characters>
  <Application>Microsoft Office Word</Application>
  <DocSecurity>0</DocSecurity>
  <Lines>363</Lines>
  <Paragraphs>102</Paragraphs>
  <ScaleCrop>false</ScaleCrop>
  <Company/>
  <LinksUpToDate>false</LinksUpToDate>
  <CharactersWithSpaces>51435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3</cp:revision>
  <cp:lastPrinted>2023-01-10T21:18:00Z</cp:lastPrinted>
  <dcterms:created xsi:type="dcterms:W3CDTF">2026-05-19T17:34:00Z</dcterms:created>
  <dcterms:modified xsi:type="dcterms:W3CDTF">2026-05-19T17:37:00Z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