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7AFFFA" w14:textId="596CBC45" w:rsidR="008759C7" w:rsidRDefault="008759C7" w:rsidP="00BC7D00">
      <w:pPr>
        <w:spacing w:after="0" w:line="240" w:lineRule="auto"/>
        <w:rPr>
          <w:rFonts w:ascii="Verdana" w:hAnsi="Verdana" w:cs="Arial"/>
          <w:b/>
          <w:color w:val="000000" w:themeColor="text1"/>
          <w:lang w:val="es-ES_tradnl"/>
        </w:rPr>
      </w:pPr>
      <w:bookmarkStart w:id="0" w:name="_Hlk143780582"/>
      <w:r w:rsidRPr="008759C7">
        <w:rPr>
          <w:rFonts w:ascii="Verdana" w:hAnsi="Verdana" w:cs="Arial"/>
          <w:b/>
          <w:color w:val="000000" w:themeColor="text1"/>
          <w:lang w:val="es-ES_tradnl"/>
        </w:rPr>
        <w:t>LEY DE GARANTÍAS ELECTORALES ‒ Finalidad</w:t>
      </w:r>
    </w:p>
    <w:p w14:paraId="6D70EA0A" w14:textId="77777777" w:rsidR="008759C7" w:rsidRDefault="008759C7" w:rsidP="00BC7D00">
      <w:pPr>
        <w:spacing w:after="0" w:line="240" w:lineRule="auto"/>
        <w:rPr>
          <w:rFonts w:ascii="Verdana" w:hAnsi="Verdana" w:cs="Arial"/>
          <w:b/>
          <w:color w:val="000000" w:themeColor="text1"/>
          <w:lang w:val="es-ES_tradnl"/>
        </w:rPr>
      </w:pPr>
    </w:p>
    <w:p w14:paraId="542B6445" w14:textId="2BAA791D" w:rsidR="008759C7" w:rsidRPr="008759C7" w:rsidRDefault="008759C7" w:rsidP="008759C7">
      <w:pPr>
        <w:spacing w:after="0" w:line="240" w:lineRule="auto"/>
        <w:jc w:val="both"/>
        <w:rPr>
          <w:rFonts w:ascii="Verdana" w:eastAsia="Times New Roman" w:hAnsi="Verdana" w:cs="Arial"/>
          <w:sz w:val="20"/>
          <w:szCs w:val="20"/>
          <w:lang w:val="es-MX" w:eastAsia="es-CO"/>
        </w:rPr>
      </w:pPr>
      <w:r w:rsidRPr="008759C7">
        <w:rPr>
          <w:rFonts w:ascii="Verdana" w:eastAsia="Times New Roman" w:hAnsi="Verdana" w:cs="Arial"/>
          <w:sz w:val="20"/>
          <w:szCs w:val="20"/>
          <w:lang w:val="es-MX" w:eastAsia="es-CO"/>
        </w:rPr>
        <w:t>[…]  la Ley 996 de 2005, conocida como “Ley de Garantías Electorales”, se suma al andamiaje de orden constitucional y legal que se ha ocupado de evitar la injerencia inadecuada de intereses particulares en el ejercicio de la función pública. Esta Ley tiene como propósito evitar cualquier tipo de arbitrariedad, de ventaja injustificada, de uso irregular de los recursos del Estado en las campañas o falta de garantías en la elección presidencial. En esta medida, introduce limitaciones para realizar nombramientos, postulaciones, contrataciones o cualquier otro tipo de actividad que implique destinación de recursos públicos bajo el devenir propio de las Entidades Estatales.</w:t>
      </w:r>
    </w:p>
    <w:p w14:paraId="3608E56A" w14:textId="77777777" w:rsidR="008759C7" w:rsidRDefault="008759C7" w:rsidP="008759C7">
      <w:pPr>
        <w:spacing w:after="0" w:line="240" w:lineRule="auto"/>
        <w:jc w:val="both"/>
        <w:rPr>
          <w:rFonts w:ascii="Verdana" w:eastAsia="Times New Roman" w:hAnsi="Verdana" w:cs="Arial"/>
          <w:lang w:val="es-MX" w:eastAsia="es-CO"/>
        </w:rPr>
      </w:pPr>
    </w:p>
    <w:p w14:paraId="29B75F29" w14:textId="484FD91D" w:rsidR="008759C7" w:rsidRDefault="008759C7" w:rsidP="008759C7">
      <w:pPr>
        <w:spacing w:after="0" w:line="240" w:lineRule="auto"/>
        <w:jc w:val="both"/>
        <w:rPr>
          <w:rFonts w:ascii="Verdana" w:hAnsi="Verdana" w:cs="Arial"/>
          <w:b/>
          <w:color w:val="000000" w:themeColor="text1"/>
          <w:lang w:val="es-ES_tradnl"/>
        </w:rPr>
      </w:pPr>
      <w:r w:rsidRPr="008759C7">
        <w:rPr>
          <w:rFonts w:ascii="Verdana" w:hAnsi="Verdana" w:cs="Arial"/>
          <w:b/>
          <w:color w:val="000000" w:themeColor="text1"/>
          <w:lang w:val="es-ES_tradnl"/>
        </w:rPr>
        <w:t>LEY DE GARANTÍAS ELECTORALES ‒ Tipos de restricciones</w:t>
      </w:r>
    </w:p>
    <w:p w14:paraId="4A1ABDD3" w14:textId="77777777" w:rsidR="008759C7" w:rsidRDefault="008759C7" w:rsidP="008759C7">
      <w:pPr>
        <w:spacing w:after="0" w:line="240" w:lineRule="auto"/>
        <w:jc w:val="both"/>
        <w:rPr>
          <w:rFonts w:ascii="Verdana" w:hAnsi="Verdana" w:cs="Arial"/>
          <w:b/>
          <w:color w:val="000000" w:themeColor="text1"/>
          <w:lang w:val="es-ES_tradnl"/>
        </w:rPr>
      </w:pPr>
    </w:p>
    <w:p w14:paraId="32E89990" w14:textId="615C3703" w:rsidR="008759C7" w:rsidRPr="008759C7" w:rsidRDefault="008759C7" w:rsidP="008759C7">
      <w:pPr>
        <w:spacing w:after="120" w:line="240" w:lineRule="auto"/>
        <w:jc w:val="both"/>
        <w:rPr>
          <w:rFonts w:ascii="Verdana" w:eastAsia="Times New Roman" w:hAnsi="Verdana" w:cs="Open Sans"/>
          <w:sz w:val="20"/>
          <w:szCs w:val="20"/>
          <w:lang w:eastAsia="es-CO"/>
        </w:rPr>
      </w:pPr>
      <w:r w:rsidRPr="008759C7">
        <w:rPr>
          <w:rFonts w:ascii="Verdana" w:eastAsia="Times New Roman" w:hAnsi="Verdana" w:cs="Open Sans"/>
          <w:sz w:val="20"/>
          <w:szCs w:val="20"/>
          <w:lang w:eastAsia="es-CO"/>
        </w:rPr>
        <w:t>[…] el artículo 33 de la Ley 996 de 2205 prohíbe la contratación directa por parte de todos los entes estatales durante los cuatro (4) meses anteriores a las elecciones presidenciales y dispone las excepciones a dicha prohibición. Así, su ámbito de prohibición está delimitado por la expresión “queda prohibida la contratación directa” y para los efectos de la Ley de Garantías Electorales y, en particular, para la prohibición o restricción temporal contenida en su artículo 33, “contratación directa” es cualquier sistema de selección o procedimiento de contratación utilizado por las entidades estatales que no incluya la convocatoria pública en alguna de sus etapas, ni permita la participación de una pluralidad de oferentes.</w:t>
      </w:r>
    </w:p>
    <w:p w14:paraId="418EFB3B" w14:textId="20580421" w:rsidR="008759C7" w:rsidRPr="008759C7" w:rsidRDefault="008759C7" w:rsidP="008759C7">
      <w:pPr>
        <w:spacing w:after="0" w:line="240" w:lineRule="auto"/>
        <w:jc w:val="both"/>
        <w:rPr>
          <w:rFonts w:ascii="Verdana" w:eastAsia="Times New Roman" w:hAnsi="Verdana" w:cs="Arial"/>
          <w:b/>
          <w:sz w:val="20"/>
          <w:szCs w:val="20"/>
          <w:lang w:val="es-MX" w:eastAsia="es-CO"/>
        </w:rPr>
      </w:pPr>
      <w:r w:rsidRPr="008759C7">
        <w:rPr>
          <w:rFonts w:ascii="Verdana" w:eastAsia="Times New Roman" w:hAnsi="Verdana" w:cs="Open Sans"/>
          <w:sz w:val="20"/>
          <w:szCs w:val="20"/>
          <w:lang w:eastAsia="es-CO"/>
        </w:rPr>
        <w:t>De lo anterior se desprende que la restricción aplica, sin perjuicio de las excepciones establecidas en la misma ley, para celebrar cualquier contrato de forma directa, esto es, sin que exista un proceso abierto y competitivo. Por tanto, no son materia de la prohibición las demás modalidades de selección previstas en la Ley 1150 de 2007, es decir, la licitación pública, el concurso de méritos, la selección abreviada y la contratación de mínima cuantía, razón por la cual en el período preelectoral de que trata la disposición las entidades públicas pueden seguir contratando bajo estos sistemas.</w:t>
      </w:r>
    </w:p>
    <w:p w14:paraId="3EB3378E" w14:textId="77777777" w:rsidR="008759C7" w:rsidRPr="008759C7" w:rsidRDefault="008759C7" w:rsidP="00BC7D00">
      <w:pPr>
        <w:spacing w:after="0" w:line="240" w:lineRule="auto"/>
        <w:rPr>
          <w:rFonts w:ascii="Verdana" w:eastAsia="Geomanist Light" w:hAnsi="Verdana" w:cs="Arial"/>
          <w:b/>
          <w:color w:val="000000" w:themeColor="text1"/>
          <w:lang w:val="es-MX"/>
        </w:rPr>
      </w:pPr>
    </w:p>
    <w:p w14:paraId="6EBF49F4" w14:textId="2008D146" w:rsidR="008759C7" w:rsidRDefault="008759C7" w:rsidP="00BC7D00">
      <w:pPr>
        <w:spacing w:after="0" w:line="240" w:lineRule="auto"/>
        <w:rPr>
          <w:rFonts w:ascii="Verdana" w:eastAsia="Geomanist Light" w:hAnsi="Verdana" w:cs="Arial"/>
          <w:color w:val="000000" w:themeColor="text1"/>
          <w:lang w:val="es-MX"/>
        </w:rPr>
      </w:pPr>
      <w:r>
        <w:rPr>
          <w:rFonts w:ascii="Verdana" w:eastAsia="Geomanist Light" w:hAnsi="Verdana" w:cs="Arial"/>
          <w:color w:val="000000" w:themeColor="text1"/>
          <w:lang w:val="es-MX"/>
        </w:rPr>
        <w:t xml:space="preserve">[…] </w:t>
      </w:r>
    </w:p>
    <w:p w14:paraId="0C04D2A6" w14:textId="77777777" w:rsidR="008759C7" w:rsidRDefault="008759C7" w:rsidP="00BC7D00">
      <w:pPr>
        <w:spacing w:after="0" w:line="240" w:lineRule="auto"/>
        <w:rPr>
          <w:rFonts w:ascii="Verdana" w:eastAsia="Geomanist Light" w:hAnsi="Verdana" w:cs="Arial"/>
          <w:color w:val="000000" w:themeColor="text1"/>
          <w:lang w:val="es-MX"/>
        </w:rPr>
      </w:pPr>
    </w:p>
    <w:p w14:paraId="11A02302" w14:textId="2B815834" w:rsidR="008759C7" w:rsidRPr="008759C7" w:rsidRDefault="008759C7" w:rsidP="008759C7">
      <w:pPr>
        <w:spacing w:after="0" w:line="240" w:lineRule="auto"/>
        <w:jc w:val="both"/>
        <w:rPr>
          <w:rFonts w:ascii="Verdana" w:eastAsia="Times New Roman" w:hAnsi="Verdana" w:cs="Open Sans"/>
          <w:sz w:val="20"/>
          <w:szCs w:val="20"/>
          <w:lang w:eastAsia="es-CO"/>
        </w:rPr>
      </w:pPr>
      <w:r w:rsidRPr="008759C7">
        <w:rPr>
          <w:rFonts w:ascii="Verdana" w:eastAsia="Times New Roman" w:hAnsi="Verdana" w:cs="Open Sans"/>
          <w:sz w:val="20"/>
          <w:szCs w:val="20"/>
          <w:lang w:eastAsia="es-CO"/>
        </w:rPr>
        <w:t xml:space="preserve">[…] se observa entonces que el parágrafo del artículo 38 de la Ley 996 de 2005 prohíbe a los </w:t>
      </w:r>
      <w:proofErr w:type="gramStart"/>
      <w:r w:rsidRPr="008759C7">
        <w:rPr>
          <w:rFonts w:ascii="Verdana" w:eastAsia="Times New Roman" w:hAnsi="Verdana" w:cs="Open Sans"/>
          <w:sz w:val="20"/>
          <w:szCs w:val="20"/>
          <w:lang w:eastAsia="es-CO"/>
        </w:rPr>
        <w:t>Alcaldes</w:t>
      </w:r>
      <w:proofErr w:type="gramEnd"/>
      <w:r w:rsidRPr="008759C7">
        <w:rPr>
          <w:rFonts w:ascii="Verdana" w:eastAsia="Times New Roman" w:hAnsi="Verdana" w:cs="Open Sans"/>
          <w:sz w:val="20"/>
          <w:szCs w:val="20"/>
          <w:lang w:eastAsia="es-CO"/>
        </w:rPr>
        <w:t xml:space="preserve">, Gobernadores, </w:t>
      </w:r>
      <w:proofErr w:type="gramStart"/>
      <w:r w:rsidRPr="008759C7">
        <w:rPr>
          <w:rFonts w:ascii="Verdana" w:eastAsia="Times New Roman" w:hAnsi="Verdana" w:cs="Open Sans"/>
          <w:sz w:val="20"/>
          <w:szCs w:val="20"/>
          <w:lang w:eastAsia="es-CO"/>
        </w:rPr>
        <w:t>Secretarios</w:t>
      </w:r>
      <w:proofErr w:type="gramEnd"/>
      <w:r w:rsidRPr="008759C7">
        <w:rPr>
          <w:rFonts w:ascii="Verdana" w:eastAsia="Times New Roman" w:hAnsi="Verdana" w:cs="Open Sans"/>
          <w:sz w:val="20"/>
          <w:szCs w:val="20"/>
          <w:lang w:eastAsia="es-CO"/>
        </w:rPr>
        <w:t xml:space="preserve">, Gerentes y </w:t>
      </w:r>
      <w:proofErr w:type="gramStart"/>
      <w:r w:rsidRPr="008759C7">
        <w:rPr>
          <w:rFonts w:ascii="Verdana" w:eastAsia="Times New Roman" w:hAnsi="Verdana" w:cs="Open Sans"/>
          <w:sz w:val="20"/>
          <w:szCs w:val="20"/>
          <w:lang w:eastAsia="es-CO"/>
        </w:rPr>
        <w:t>Directores</w:t>
      </w:r>
      <w:proofErr w:type="gramEnd"/>
      <w:r w:rsidRPr="008759C7">
        <w:rPr>
          <w:rFonts w:ascii="Verdana" w:eastAsia="Times New Roman" w:hAnsi="Verdana" w:cs="Open Sans"/>
          <w:sz w:val="20"/>
          <w:szCs w:val="20"/>
          <w:lang w:eastAsia="es-CO"/>
        </w:rPr>
        <w:t xml:space="preserve"> de las entidades descentralizadas del orden municipal, departamental o distrital celebrar convenios interadministrativos para la ejecución de recursos públicos. En este sentido, si una o ambas partes de la relación contractual es una entidad de aquellas descritas en el parágrafo ibidem, no podrá celebrar tales convenios durante la aplicación de la Ley de Garantías Electorales, toda vez que la citada disposición hace referencia a dicha tipología contractual sin que el legislador hubiere contemplado un efecto extensivo a otra tipología. </w:t>
      </w:r>
    </w:p>
    <w:p w14:paraId="665033BC" w14:textId="77777777" w:rsidR="008759C7" w:rsidRDefault="008759C7" w:rsidP="00BC7D00">
      <w:pPr>
        <w:spacing w:after="0" w:line="240" w:lineRule="auto"/>
        <w:rPr>
          <w:rFonts w:ascii="Verdana" w:eastAsia="Geomanist Light" w:hAnsi="Verdana" w:cs="Arial"/>
          <w:color w:val="000000" w:themeColor="text1"/>
          <w:lang w:val="es-MX"/>
        </w:rPr>
      </w:pPr>
    </w:p>
    <w:p w14:paraId="553EA83A" w14:textId="77777777" w:rsidR="008759C7" w:rsidRDefault="008759C7" w:rsidP="00BC7D00">
      <w:pPr>
        <w:spacing w:after="0" w:line="240" w:lineRule="auto"/>
        <w:rPr>
          <w:rFonts w:ascii="Verdana" w:eastAsia="Geomanist Light" w:hAnsi="Verdana" w:cs="Arial"/>
          <w:color w:val="000000" w:themeColor="text1"/>
          <w:lang w:val="es-MX"/>
        </w:rPr>
      </w:pPr>
    </w:p>
    <w:p w14:paraId="755E5B0D" w14:textId="177F90C8" w:rsidR="008759C7" w:rsidRPr="008759C7" w:rsidRDefault="008759C7" w:rsidP="008759C7">
      <w:pPr>
        <w:spacing w:after="0" w:line="240" w:lineRule="auto"/>
        <w:jc w:val="both"/>
        <w:rPr>
          <w:rFonts w:ascii="Verdana" w:eastAsia="Geomanist Light" w:hAnsi="Verdana" w:cs="Arial"/>
          <w:b/>
          <w:bCs/>
          <w:color w:val="000000" w:themeColor="text1"/>
          <w:lang w:val="es-MX"/>
        </w:rPr>
      </w:pPr>
      <w:r w:rsidRPr="008759C7">
        <w:rPr>
          <w:rFonts w:ascii="Verdana" w:eastAsia="Calibri" w:hAnsi="Verdana" w:cs="Arial"/>
          <w:b/>
          <w:bCs/>
          <w:lang w:val="es-ES" w:eastAsia="es-ES"/>
        </w:rPr>
        <w:lastRenderedPageBreak/>
        <w:t xml:space="preserve">LEY DE GARANTÍAS ELECTORALES </w:t>
      </w:r>
      <w:r w:rsidR="00391591" w:rsidRPr="00391591">
        <w:rPr>
          <w:rFonts w:ascii="Verdana" w:eastAsia="Calibri" w:hAnsi="Verdana" w:cs="Arial"/>
          <w:b/>
          <w:bCs/>
          <w:lang w:val="es-ES" w:eastAsia="es-ES"/>
        </w:rPr>
        <w:t>–</w:t>
      </w:r>
      <w:r w:rsidRPr="008759C7">
        <w:rPr>
          <w:rFonts w:ascii="Verdana" w:hAnsi="Verdana" w:cs="Arial"/>
          <w:b/>
          <w:bCs/>
          <w:color w:val="000000" w:themeColor="text1"/>
          <w:lang w:val="es-ES_tradnl"/>
        </w:rPr>
        <w:t xml:space="preserve"> </w:t>
      </w:r>
      <w:r w:rsidRPr="008759C7">
        <w:rPr>
          <w:rFonts w:ascii="Verdana" w:eastAsia="Calibri" w:hAnsi="Verdana" w:cs="Arial"/>
          <w:b/>
          <w:bCs/>
          <w:color w:val="000000" w:themeColor="text1"/>
          <w:lang w:val="es-ES" w:eastAsia="es-ES"/>
        </w:rPr>
        <w:t>Contratación Directa – Pluralidad de oferentes – Ausencia – Proveedor exclusivo – Alcance – Restricción – Excepciones</w:t>
      </w:r>
    </w:p>
    <w:p w14:paraId="2BFC3328" w14:textId="77777777" w:rsidR="008759C7" w:rsidRDefault="008759C7" w:rsidP="00BC7D00">
      <w:pPr>
        <w:spacing w:after="0" w:line="240" w:lineRule="auto"/>
        <w:rPr>
          <w:rFonts w:ascii="Verdana" w:eastAsia="Geomanist Light" w:hAnsi="Verdana" w:cs="Arial"/>
          <w:color w:val="000000" w:themeColor="text1"/>
          <w:lang w:val="es-MX"/>
        </w:rPr>
      </w:pPr>
    </w:p>
    <w:p w14:paraId="3C1D8397" w14:textId="77777777" w:rsidR="008759C7" w:rsidRPr="008759C7" w:rsidRDefault="008759C7" w:rsidP="008759C7">
      <w:pPr>
        <w:spacing w:line="276" w:lineRule="auto"/>
        <w:ind w:left="31"/>
        <w:jc w:val="both"/>
        <w:rPr>
          <w:rFonts w:ascii="Verdana" w:eastAsia="Times New Roman" w:hAnsi="Verdana" w:cs="Open Sans"/>
          <w:sz w:val="20"/>
          <w:szCs w:val="20"/>
          <w:lang w:eastAsia="es-CO"/>
        </w:rPr>
      </w:pPr>
      <w:r w:rsidRPr="008759C7">
        <w:rPr>
          <w:rFonts w:ascii="Verdana" w:eastAsia="Times New Roman" w:hAnsi="Verdana" w:cs="Open Sans"/>
          <w:sz w:val="20"/>
          <w:szCs w:val="20"/>
          <w:lang w:eastAsia="es-CO"/>
        </w:rPr>
        <w:t>La norma vigente para interpretar el alcance de la causal de contratación directa dispuesta en el artículo 2, numeral 4, literal g), de la Ley 1150 de 2007 está compilada en el artículo 2.2.1.2.1.4.8 del Decreto 1082 de 2015, el cual dispone lo siguiente: “Artículo 2.2.1.2.1.4.8. Contratación directa cuando no exista pluralidad de oferentes. Se considera que no existe pluralidad de oferentes cuando existe solamente una persona que puede proveer el bien o el servicio por ser titular de los derechos de propiedad industrial o de los derechos de autor, o por ser proveedor exclusivo en el territorio nacional. Estas circunstancias deben constar en el estudio previo que soporta la contratación.”</w:t>
      </w:r>
    </w:p>
    <w:p w14:paraId="534E1823" w14:textId="77777777" w:rsidR="008759C7" w:rsidRPr="008759C7" w:rsidRDefault="008759C7" w:rsidP="008759C7">
      <w:pPr>
        <w:spacing w:after="120" w:line="276" w:lineRule="auto"/>
        <w:jc w:val="both"/>
        <w:rPr>
          <w:rFonts w:ascii="Verdana" w:eastAsia="Times New Roman" w:hAnsi="Verdana" w:cs="Open Sans"/>
          <w:sz w:val="20"/>
          <w:szCs w:val="20"/>
          <w:lang w:eastAsia="es-CO"/>
        </w:rPr>
      </w:pPr>
      <w:r w:rsidRPr="008759C7">
        <w:rPr>
          <w:rFonts w:ascii="Verdana" w:eastAsia="Times New Roman" w:hAnsi="Verdana" w:cs="Open Sans"/>
          <w:sz w:val="20"/>
          <w:szCs w:val="20"/>
          <w:lang w:eastAsia="es-CO"/>
        </w:rPr>
        <w:t xml:space="preserve">La norma consagra dos (2) hipótesis. En primer lugar, no existe pluralidad de oferentes cuando solo una persona puede proveer el bien o servicio por ser titular de los derechos de propiedad industrial o de los derechos de autor. De esta manera, no basta con que sea la única persona capaz de ejecutar el contrato, pues la misma se debe justificar una situación de derecho que impida que otra lo haga de forma igual o similar. Para los proponentes, cada bien o servicio tiene características únicas frente a los de la competencia; sin embargo, desde el punto de vista del contratante, no existe mayor diferenciación entre los bienes y servicios cuando ninguno de los aspirantes tiene la titularidad de un derecho industrial o de autor. </w:t>
      </w:r>
    </w:p>
    <w:p w14:paraId="7600E036" w14:textId="77777777" w:rsidR="008759C7" w:rsidRPr="008759C7" w:rsidRDefault="008759C7" w:rsidP="008759C7">
      <w:pPr>
        <w:spacing w:line="276" w:lineRule="auto"/>
        <w:jc w:val="both"/>
        <w:rPr>
          <w:rFonts w:ascii="Verdana" w:eastAsia="Times New Roman" w:hAnsi="Verdana" w:cs="Open Sans"/>
          <w:sz w:val="20"/>
          <w:szCs w:val="20"/>
          <w:lang w:eastAsia="es-CO"/>
        </w:rPr>
      </w:pPr>
      <w:r w:rsidRPr="008759C7">
        <w:rPr>
          <w:rFonts w:ascii="Verdana" w:eastAsia="Times New Roman" w:hAnsi="Verdana" w:cs="Open Sans"/>
          <w:sz w:val="20"/>
          <w:szCs w:val="20"/>
          <w:lang w:eastAsia="es-CO"/>
        </w:rPr>
        <w:t xml:space="preserve">En segundo lugar, el artículo 2.2.1.2.1.4.8 del Decreto 1082 de 2015 dispone que tampoco existe pluralidad de oferentes cuando existe una sola persona que puede celebrar el contrato por ser proveedor exclusivo en el territorio nacional. A modo de ejemplo, esta causal se comprende en el marco de los contratos de colaboración empresarial –agencia, distribución, franquicia concesión comercial, etc.– que celebran los productores extranjeros con los proveedores nacionales, los cuales contienen usualmente cláusulas de exclusividad como elemento accidental del negocio. </w:t>
      </w:r>
    </w:p>
    <w:p w14:paraId="560A59DE" w14:textId="1AA66E3B" w:rsidR="008759C7" w:rsidRPr="008759C7" w:rsidRDefault="008759C7" w:rsidP="008759C7">
      <w:pPr>
        <w:spacing w:after="0" w:line="240" w:lineRule="auto"/>
        <w:jc w:val="both"/>
        <w:rPr>
          <w:rFonts w:ascii="Verdana" w:eastAsia="Times New Roman" w:hAnsi="Verdana" w:cs="Open Sans"/>
          <w:sz w:val="20"/>
          <w:szCs w:val="20"/>
          <w:lang w:eastAsia="es-CO"/>
        </w:rPr>
      </w:pPr>
      <w:r w:rsidRPr="008759C7">
        <w:rPr>
          <w:rFonts w:ascii="Verdana" w:eastAsia="Times New Roman" w:hAnsi="Verdana" w:cs="Open Sans"/>
          <w:sz w:val="20"/>
          <w:szCs w:val="20"/>
          <w:lang w:eastAsia="es-CO"/>
        </w:rPr>
        <w:t>Fuera de estas dos (2) situaciones, no es posible aplicar el artículo 2, numeral 4, literal g), de la Ley 1150 de 2007, ya que las normas citadas integran una causal de contratación directa que excepciona los mecanismos de selección objetiva por convocatoria pública definidos en el Estatuto General de Contratación de la Administración Pública, por lo que se interpretan restrictivamente, es decir, conforme al tenor literal de las normas.</w:t>
      </w:r>
    </w:p>
    <w:p w14:paraId="6133A93D" w14:textId="77777777" w:rsidR="008759C7" w:rsidRPr="008759C7" w:rsidRDefault="008759C7" w:rsidP="00BC7D00">
      <w:pPr>
        <w:spacing w:after="0" w:line="240" w:lineRule="auto"/>
        <w:rPr>
          <w:rFonts w:ascii="Verdana" w:eastAsia="Times New Roman" w:hAnsi="Verdana" w:cs="Open Sans"/>
          <w:sz w:val="20"/>
          <w:szCs w:val="20"/>
          <w:lang w:eastAsia="es-CO"/>
        </w:rPr>
      </w:pPr>
    </w:p>
    <w:p w14:paraId="5231A75F" w14:textId="77777777" w:rsidR="008759C7" w:rsidRDefault="008759C7" w:rsidP="00BC7D00">
      <w:pPr>
        <w:spacing w:after="0" w:line="240" w:lineRule="auto"/>
        <w:rPr>
          <w:rFonts w:ascii="Verdana" w:eastAsia="Geomanist Light" w:hAnsi="Verdana" w:cs="Arial"/>
          <w:color w:val="000000" w:themeColor="text1"/>
          <w:lang w:val="es-MX"/>
        </w:rPr>
      </w:pPr>
    </w:p>
    <w:p w14:paraId="2A65E78C" w14:textId="77777777" w:rsidR="008759C7" w:rsidRDefault="008759C7" w:rsidP="00BC7D00">
      <w:pPr>
        <w:spacing w:after="0" w:line="240" w:lineRule="auto"/>
        <w:rPr>
          <w:rFonts w:ascii="Verdana" w:eastAsia="Geomanist Light" w:hAnsi="Verdana" w:cs="Arial"/>
          <w:color w:val="000000" w:themeColor="text1"/>
          <w:lang w:val="es-MX"/>
        </w:rPr>
      </w:pPr>
    </w:p>
    <w:p w14:paraId="5E5AD51F" w14:textId="77777777" w:rsidR="008759C7" w:rsidRDefault="008759C7" w:rsidP="00BC7D00">
      <w:pPr>
        <w:spacing w:after="0" w:line="240" w:lineRule="auto"/>
        <w:rPr>
          <w:rFonts w:ascii="Verdana" w:eastAsia="Geomanist Light" w:hAnsi="Verdana" w:cs="Arial"/>
          <w:color w:val="000000" w:themeColor="text1"/>
          <w:lang w:val="es-MX"/>
        </w:rPr>
      </w:pPr>
    </w:p>
    <w:p w14:paraId="3FDE4A8C" w14:textId="77777777" w:rsidR="008759C7" w:rsidRDefault="008759C7" w:rsidP="00BC7D00">
      <w:pPr>
        <w:spacing w:after="0" w:line="240" w:lineRule="auto"/>
        <w:rPr>
          <w:rFonts w:ascii="Verdana" w:eastAsia="Geomanist Light" w:hAnsi="Verdana" w:cs="Arial"/>
          <w:color w:val="000000" w:themeColor="text1"/>
          <w:lang w:val="es-MX"/>
        </w:rPr>
      </w:pPr>
    </w:p>
    <w:p w14:paraId="377FF2EE" w14:textId="14CF390C" w:rsidR="00BC7D00" w:rsidRDefault="00BC7D00" w:rsidP="00BC7D00">
      <w:pPr>
        <w:spacing w:after="0" w:line="240" w:lineRule="auto"/>
        <w:rPr>
          <w:rFonts w:ascii="Verdana" w:eastAsia="Geomanist Light" w:hAnsi="Verdana" w:cs="Arial"/>
          <w:color w:val="201F1E"/>
          <w:lang w:val="es-MX"/>
        </w:rPr>
      </w:pPr>
      <w:r w:rsidRPr="00CF64C0">
        <w:rPr>
          <w:rFonts w:ascii="Verdana" w:eastAsia="Geomanist Light" w:hAnsi="Verdana" w:cs="Arial"/>
          <w:color w:val="000000" w:themeColor="text1"/>
          <w:lang w:val="es-MX"/>
        </w:rPr>
        <w:lastRenderedPageBreak/>
        <w:t>Bogotá D.C., </w:t>
      </w:r>
      <w:r w:rsidR="008759C7">
        <w:rPr>
          <w:rFonts w:ascii="Verdana" w:eastAsia="Geomanist Light" w:hAnsi="Verdana" w:cs="Arial"/>
          <w:color w:val="201F1E"/>
          <w:lang w:val="es-MX"/>
        </w:rPr>
        <w:t xml:space="preserve">12 </w:t>
      </w:r>
      <w:r w:rsidRPr="00CF64C0">
        <w:rPr>
          <w:rFonts w:ascii="Verdana" w:eastAsia="Geomanist Light" w:hAnsi="Verdana" w:cs="Arial"/>
          <w:color w:val="201F1E"/>
          <w:lang w:val="es-MX"/>
        </w:rPr>
        <w:t xml:space="preserve">de </w:t>
      </w:r>
      <w:r w:rsidR="008759C7">
        <w:rPr>
          <w:rFonts w:ascii="Verdana" w:eastAsia="Geomanist Light" w:hAnsi="Verdana" w:cs="Arial"/>
          <w:color w:val="201F1E"/>
          <w:lang w:val="es-MX"/>
        </w:rPr>
        <w:t>mayo</w:t>
      </w:r>
      <w:r w:rsidRPr="00CF64C0">
        <w:rPr>
          <w:rFonts w:ascii="Verdana" w:eastAsia="Geomanist Light" w:hAnsi="Verdana" w:cs="Arial"/>
          <w:color w:val="201F1E"/>
          <w:lang w:val="es-MX"/>
        </w:rPr>
        <w:t xml:space="preserve"> de </w:t>
      </w:r>
      <w:r w:rsidR="008759C7">
        <w:rPr>
          <w:rFonts w:ascii="Verdana" w:eastAsia="Geomanist Light" w:hAnsi="Verdana" w:cs="Arial"/>
          <w:color w:val="201F1E"/>
          <w:lang w:val="es-MX"/>
        </w:rPr>
        <w:t>2026</w:t>
      </w:r>
    </w:p>
    <w:p w14:paraId="0E9B6926" w14:textId="166E9BBC" w:rsidR="008759C7" w:rsidRPr="0050687B" w:rsidRDefault="008759C7" w:rsidP="00BC7D00">
      <w:pPr>
        <w:spacing w:after="0" w:line="240" w:lineRule="auto"/>
        <w:rPr>
          <w:rFonts w:ascii="Verdana" w:eastAsia="Times New Roman" w:hAnsi="Verdana" w:cs="Arial"/>
          <w:lang w:eastAsia="es-ES_tradnl"/>
        </w:rPr>
      </w:pPr>
    </w:p>
    <w:bookmarkEnd w:id="0"/>
    <w:p w14:paraId="45EDF777" w14:textId="79FFA753" w:rsidR="00BC7D00" w:rsidRPr="008759C7" w:rsidRDefault="00BC7D00" w:rsidP="008759C7">
      <w:pPr>
        <w:spacing w:after="0"/>
        <w:ind w:left="5664"/>
        <w:rPr>
          <w:rFonts w:ascii="Verdana" w:hAnsi="Verdana"/>
        </w:rPr>
      </w:pPr>
    </w:p>
    <w:p w14:paraId="3D9CAE8D" w14:textId="2C59416E" w:rsidR="008759C7" w:rsidRPr="008759C7" w:rsidRDefault="00391591" w:rsidP="00BC7D00">
      <w:pPr>
        <w:spacing w:after="0" w:line="240" w:lineRule="auto"/>
        <w:rPr>
          <w:rFonts w:ascii="Verdana" w:eastAsia="Calibri" w:hAnsi="Verdana" w:cs="Arial"/>
          <w:bCs/>
          <w:lang w:eastAsia="es-ES"/>
        </w:rPr>
      </w:pPr>
      <w:r w:rsidRPr="008759C7">
        <w:rPr>
          <w:rFonts w:ascii="Verdana" w:hAnsi="Verdana"/>
          <w:noProof/>
        </w:rPr>
        <w:drawing>
          <wp:anchor distT="0" distB="0" distL="114300" distR="114300" simplePos="0" relativeHeight="251658240" behindDoc="0" locked="0" layoutInCell="1" allowOverlap="1" wp14:anchorId="133D84C2" wp14:editId="4982EBD4">
            <wp:simplePos x="0" y="0"/>
            <wp:positionH relativeFrom="margin">
              <wp:align>right</wp:align>
            </wp:positionH>
            <wp:positionV relativeFrom="paragraph">
              <wp:posOffset>11430</wp:posOffset>
            </wp:positionV>
            <wp:extent cx="2533015" cy="771525"/>
            <wp:effectExtent l="0" t="0" r="635" b="9525"/>
            <wp:wrapSquare wrapText="bothSides"/>
            <wp:docPr id="902109875"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2109875" name=""/>
                    <pic:cNvPicPr/>
                  </pic:nvPicPr>
                  <pic:blipFill>
                    <a:blip r:embed="rId10">
                      <a:extLst>
                        <a:ext uri="{28A0092B-C50C-407E-A947-70E740481C1C}">
                          <a14:useLocalDpi xmlns:a14="http://schemas.microsoft.com/office/drawing/2010/main" val="0"/>
                        </a:ext>
                      </a:extLst>
                    </a:blip>
                    <a:stretch>
                      <a:fillRect/>
                    </a:stretch>
                  </pic:blipFill>
                  <pic:spPr>
                    <a:xfrm>
                      <a:off x="0" y="0"/>
                      <a:ext cx="2533015" cy="771525"/>
                    </a:xfrm>
                    <a:prstGeom prst="rect">
                      <a:avLst/>
                    </a:prstGeom>
                  </pic:spPr>
                </pic:pic>
              </a:graphicData>
            </a:graphic>
            <wp14:sizeRelV relativeFrom="margin">
              <wp14:pctHeight>0</wp14:pctHeight>
            </wp14:sizeRelV>
          </wp:anchor>
        </w:drawing>
      </w:r>
      <w:r w:rsidR="008759C7" w:rsidRPr="008759C7">
        <w:rPr>
          <w:rFonts w:ascii="Verdana" w:eastAsia="Calibri" w:hAnsi="Verdana" w:cs="Arial"/>
          <w:bCs/>
          <w:lang w:eastAsia="es-ES"/>
        </w:rPr>
        <w:t>Señor</w:t>
      </w:r>
    </w:p>
    <w:p w14:paraId="553B6340" w14:textId="26D75CBD" w:rsidR="00BC7D00" w:rsidRPr="00BC7D00" w:rsidRDefault="00BC7D00" w:rsidP="00BC7D00">
      <w:pPr>
        <w:spacing w:after="0" w:line="240" w:lineRule="auto"/>
        <w:rPr>
          <w:rFonts w:ascii="Verdana" w:eastAsia="Calibri" w:hAnsi="Verdana" w:cs="Arial"/>
          <w:b/>
          <w:lang w:eastAsia="es-ES"/>
        </w:rPr>
      </w:pPr>
      <w:r w:rsidRPr="00BC7D00">
        <w:rPr>
          <w:rFonts w:ascii="Verdana" w:eastAsia="Calibri" w:hAnsi="Verdana" w:cs="Arial"/>
          <w:b/>
          <w:lang w:eastAsia="es-ES"/>
        </w:rPr>
        <w:t>Henry Agudelo</w:t>
      </w:r>
    </w:p>
    <w:p w14:paraId="625B71FA" w14:textId="793691D2" w:rsidR="00BC7D00" w:rsidRPr="00BC7D00" w:rsidRDefault="00391591" w:rsidP="00BC7D00">
      <w:pPr>
        <w:spacing w:after="0" w:line="240" w:lineRule="auto"/>
        <w:rPr>
          <w:rFonts w:ascii="Verdana" w:hAnsi="Verdana" w:cs="ArialMT"/>
        </w:rPr>
      </w:pPr>
      <w:r w:rsidRPr="00391591">
        <w:rPr>
          <w:rFonts w:ascii="Verdana" w:hAnsi="Verdana"/>
        </w:rPr>
        <w:t>hagudelom@ulagrancolombia.edu.co</w:t>
      </w:r>
      <w:r w:rsidR="00BC7D00" w:rsidRPr="00BC7D00">
        <w:rPr>
          <w:rFonts w:ascii="Verdana" w:hAnsi="Verdana"/>
        </w:rPr>
        <w:t xml:space="preserve">; </w:t>
      </w:r>
      <w:r w:rsidR="00BC7D00" w:rsidRPr="00BC7D00">
        <w:rPr>
          <w:rFonts w:ascii="Verdana" w:hAnsi="Verdana" w:cs="ArialMT"/>
        </w:rPr>
        <w:t xml:space="preserve">    </w:t>
      </w:r>
    </w:p>
    <w:p w14:paraId="69307AF4" w14:textId="77777777" w:rsidR="00BC7D00" w:rsidRPr="00C53B42" w:rsidRDefault="00BC7D00" w:rsidP="00BC7D00">
      <w:pPr>
        <w:spacing w:after="0" w:line="240" w:lineRule="auto"/>
        <w:rPr>
          <w:rFonts w:ascii="Verdana" w:hAnsi="Verdana" w:cs="ArialMT"/>
        </w:rPr>
      </w:pPr>
      <w:r w:rsidRPr="00F60CF2">
        <w:rPr>
          <w:rFonts w:ascii="Verdana" w:eastAsia="Calibri" w:hAnsi="Verdana" w:cs="Arial"/>
          <w:lang w:val="es-ES" w:eastAsia="es-ES"/>
        </w:rPr>
        <w:t>Bogotá D.C.</w:t>
      </w:r>
    </w:p>
    <w:p w14:paraId="03E9DB81" w14:textId="77777777" w:rsidR="00BC7D00" w:rsidRPr="00C53B42" w:rsidRDefault="00BC7D00" w:rsidP="00BC7D00">
      <w:pPr>
        <w:spacing w:after="0" w:line="240" w:lineRule="auto"/>
        <w:rPr>
          <w:rFonts w:ascii="Verdana" w:eastAsia="Calibri" w:hAnsi="Verdana" w:cs="Arial"/>
          <w:b/>
          <w:bCs/>
          <w:color w:val="000000"/>
          <w:lang w:val="es-ES_tradnl"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175"/>
        <w:gridCol w:w="6614"/>
      </w:tblGrid>
      <w:tr w:rsidR="00BC7D00" w:rsidRPr="00C53B42" w14:paraId="0F23FA38" w14:textId="77777777" w:rsidTr="00A05D8D">
        <w:trPr>
          <w:trHeight w:val="218"/>
        </w:trPr>
        <w:tc>
          <w:tcPr>
            <w:tcW w:w="2175" w:type="dxa"/>
          </w:tcPr>
          <w:p w14:paraId="3D9696D1" w14:textId="77777777" w:rsidR="00BC7D00" w:rsidRPr="00C53B42" w:rsidRDefault="00BC7D00" w:rsidP="00A05D8D">
            <w:pPr>
              <w:jc w:val="both"/>
              <w:rPr>
                <w:rFonts w:ascii="Verdana" w:eastAsia="Calibri" w:hAnsi="Verdana" w:cs="Arial"/>
                <w:b/>
                <w:bCs/>
                <w:color w:val="7030A0"/>
                <w:lang w:val="es-ES_tradnl" w:eastAsia="es-ES_tradnl"/>
              </w:rPr>
            </w:pPr>
          </w:p>
        </w:tc>
        <w:tc>
          <w:tcPr>
            <w:tcW w:w="6614" w:type="dxa"/>
            <w:hideMark/>
          </w:tcPr>
          <w:p w14:paraId="5524972E" w14:textId="3E9DF90F" w:rsidR="00BC7D00" w:rsidRDefault="00BC7D00" w:rsidP="00A05D8D">
            <w:pPr>
              <w:jc w:val="both"/>
              <w:rPr>
                <w:rFonts w:ascii="Verdana" w:eastAsia="Calibri" w:hAnsi="Verdana" w:cs="Arial"/>
                <w:b/>
                <w:bCs/>
                <w:lang w:val="es-ES" w:eastAsia="es-ES"/>
              </w:rPr>
            </w:pPr>
            <w:r w:rsidRPr="00C53B42">
              <w:rPr>
                <w:rFonts w:ascii="Verdana" w:eastAsia="Calibri" w:hAnsi="Verdana" w:cs="Arial"/>
                <w:b/>
                <w:bCs/>
                <w:lang w:val="es-ES" w:eastAsia="es-ES"/>
              </w:rPr>
              <w:t>Concepto C-</w:t>
            </w:r>
            <w:r>
              <w:rPr>
                <w:rFonts w:ascii="Verdana" w:eastAsia="Calibri" w:hAnsi="Verdana" w:cs="Arial"/>
                <w:b/>
                <w:bCs/>
                <w:lang w:val="es-ES" w:eastAsia="es-ES"/>
              </w:rPr>
              <w:t>529</w:t>
            </w:r>
            <w:r w:rsidRPr="00C53B42">
              <w:rPr>
                <w:rFonts w:ascii="Verdana" w:eastAsia="Calibri" w:hAnsi="Verdana" w:cs="Arial"/>
                <w:b/>
                <w:bCs/>
                <w:lang w:val="es-ES" w:eastAsia="es-ES"/>
              </w:rPr>
              <w:t xml:space="preserve"> de 202</w:t>
            </w:r>
            <w:r>
              <w:rPr>
                <w:rFonts w:ascii="Verdana" w:eastAsia="Calibri" w:hAnsi="Verdana" w:cs="Arial"/>
                <w:b/>
                <w:bCs/>
                <w:lang w:val="es-ES" w:eastAsia="es-ES"/>
              </w:rPr>
              <w:t>6</w:t>
            </w:r>
          </w:p>
          <w:p w14:paraId="77C8B5F2" w14:textId="77777777" w:rsidR="00BC7D00" w:rsidRPr="00C53B42" w:rsidRDefault="00BC7D00" w:rsidP="00A05D8D">
            <w:pPr>
              <w:jc w:val="both"/>
              <w:rPr>
                <w:rFonts w:ascii="Verdana" w:eastAsia="Calibri" w:hAnsi="Verdana" w:cs="Arial"/>
                <w:b/>
                <w:bCs/>
                <w:lang w:val="es-ES" w:eastAsia="es-ES"/>
              </w:rPr>
            </w:pPr>
          </w:p>
          <w:p w14:paraId="69F8F6E1" w14:textId="77777777" w:rsidR="00BC7D00" w:rsidRPr="00C53B42" w:rsidRDefault="00BC7D00" w:rsidP="00A05D8D">
            <w:pPr>
              <w:jc w:val="both"/>
              <w:rPr>
                <w:rFonts w:ascii="Verdana" w:eastAsia="Calibri" w:hAnsi="Verdana" w:cs="Arial"/>
                <w:b/>
                <w:bCs/>
                <w:lang w:val="es-ES" w:eastAsia="es-ES"/>
              </w:rPr>
            </w:pPr>
          </w:p>
        </w:tc>
      </w:tr>
      <w:tr w:rsidR="00BC7D00" w:rsidRPr="00C53B42" w14:paraId="4728F7C6" w14:textId="77777777" w:rsidTr="00A05D8D">
        <w:trPr>
          <w:trHeight w:val="884"/>
        </w:trPr>
        <w:tc>
          <w:tcPr>
            <w:tcW w:w="2175" w:type="dxa"/>
            <w:hideMark/>
          </w:tcPr>
          <w:p w14:paraId="72430012" w14:textId="77777777" w:rsidR="00BC7D00" w:rsidRPr="00C53B42" w:rsidRDefault="00BC7D00" w:rsidP="00A05D8D">
            <w:pPr>
              <w:jc w:val="both"/>
              <w:rPr>
                <w:rFonts w:ascii="Verdana" w:eastAsia="Calibri" w:hAnsi="Verdana" w:cs="Arial"/>
                <w:color w:val="000000"/>
                <w:lang w:val="es-ES_tradnl" w:eastAsia="es-ES_tradnl"/>
              </w:rPr>
            </w:pPr>
            <w:r w:rsidRPr="00C53B42">
              <w:rPr>
                <w:rFonts w:ascii="Verdana" w:eastAsia="Calibri" w:hAnsi="Verdana" w:cs="Arial"/>
                <w:b/>
                <w:color w:val="000000"/>
                <w:lang w:val="es-ES_tradnl" w:eastAsia="es-ES_tradnl"/>
              </w:rPr>
              <w:t>Temas:</w:t>
            </w:r>
            <w:r w:rsidRPr="00C53B42">
              <w:rPr>
                <w:rFonts w:ascii="Verdana" w:eastAsia="Calibri" w:hAnsi="Verdana" w:cs="Arial"/>
                <w:color w:val="000000"/>
                <w:lang w:val="es-ES_tradnl" w:eastAsia="es-ES_tradnl"/>
              </w:rPr>
              <w:t xml:space="preserve">                   </w:t>
            </w:r>
          </w:p>
        </w:tc>
        <w:tc>
          <w:tcPr>
            <w:tcW w:w="6614" w:type="dxa"/>
            <w:hideMark/>
          </w:tcPr>
          <w:p w14:paraId="0F66A88E" w14:textId="77777777" w:rsidR="00BC7D00" w:rsidRPr="000D3AA5" w:rsidRDefault="00BC7D00" w:rsidP="00A05D8D">
            <w:pPr>
              <w:jc w:val="both"/>
              <w:rPr>
                <w:rFonts w:ascii="Verdana" w:hAnsi="Verdana" w:cs="Arial"/>
                <w:bCs/>
                <w:color w:val="000000" w:themeColor="text1"/>
                <w:lang w:val="es-ES_tradnl"/>
              </w:rPr>
            </w:pPr>
            <w:r w:rsidRPr="00783D3F">
              <w:rPr>
                <w:rFonts w:ascii="Verdana" w:hAnsi="Verdana" w:cs="Arial"/>
                <w:bCs/>
                <w:color w:val="000000" w:themeColor="text1"/>
                <w:lang w:val="es-ES_tradnl"/>
              </w:rPr>
              <w:t xml:space="preserve">LEY DE GARANTÍAS ELECTORALES ‒ Finalidad / LEY DE GARANTÍAS ELECTORALES ‒ Tipos de restricciones / </w:t>
            </w:r>
            <w:r w:rsidRPr="00783D3F">
              <w:rPr>
                <w:rFonts w:ascii="Verdana" w:eastAsia="Calibri" w:hAnsi="Verdana" w:cs="Arial"/>
                <w:lang w:val="es-ES" w:eastAsia="es-ES"/>
              </w:rPr>
              <w:t>LEY DE GARANTÍAS ELECTORALES -</w:t>
            </w:r>
            <w:r w:rsidRPr="00783D3F">
              <w:rPr>
                <w:rFonts w:ascii="Verdana" w:hAnsi="Verdana" w:cs="Arial"/>
                <w:bCs/>
                <w:color w:val="000000" w:themeColor="text1"/>
                <w:lang w:val="es-ES_tradnl"/>
              </w:rPr>
              <w:t xml:space="preserve"> </w:t>
            </w:r>
            <w:r w:rsidRPr="00783D3F">
              <w:rPr>
                <w:rFonts w:ascii="Verdana" w:eastAsia="Calibri" w:hAnsi="Verdana" w:cs="Arial"/>
                <w:color w:val="000000" w:themeColor="text1"/>
                <w:lang w:val="es-ES" w:eastAsia="es-ES"/>
              </w:rPr>
              <w:t>Contratación Directa – Pluralidad de oferentes – Ausencia – Proveedor exclusivo – Alcance – Restricción – Excepciones</w:t>
            </w:r>
            <w:r>
              <w:rPr>
                <w:rFonts w:ascii="Verdana" w:eastAsia="Calibri" w:hAnsi="Verdana" w:cs="Arial"/>
                <w:color w:val="000000" w:themeColor="text1"/>
                <w:lang w:val="es-ES" w:eastAsia="es-ES"/>
              </w:rPr>
              <w:t xml:space="preserve"> </w:t>
            </w:r>
          </w:p>
          <w:p w14:paraId="705D065B" w14:textId="77777777" w:rsidR="00BC7D00" w:rsidRDefault="00BC7D00" w:rsidP="00A05D8D">
            <w:pPr>
              <w:jc w:val="both"/>
              <w:rPr>
                <w:rFonts w:ascii="Verdana" w:hAnsi="Verdana" w:cs="Arial"/>
                <w:bCs/>
                <w:color w:val="000000" w:themeColor="text1"/>
                <w:lang w:val="es-ES_tradnl"/>
              </w:rPr>
            </w:pPr>
          </w:p>
          <w:p w14:paraId="3BC9C8CB" w14:textId="77777777" w:rsidR="00BC7D00" w:rsidRPr="00C53B42" w:rsidRDefault="00BC7D00" w:rsidP="00A05D8D">
            <w:pPr>
              <w:jc w:val="both"/>
              <w:rPr>
                <w:rFonts w:ascii="Verdana" w:eastAsia="Calibri" w:hAnsi="Verdana" w:cs="Arial"/>
                <w:lang w:val="es-ES" w:eastAsia="es-ES"/>
              </w:rPr>
            </w:pPr>
          </w:p>
        </w:tc>
      </w:tr>
      <w:tr w:rsidR="00BC7D00" w14:paraId="4EC3AB1B" w14:textId="77777777" w:rsidTr="00A05D8D">
        <w:trPr>
          <w:trHeight w:val="360"/>
        </w:trPr>
        <w:tc>
          <w:tcPr>
            <w:tcW w:w="2175" w:type="dxa"/>
            <w:hideMark/>
          </w:tcPr>
          <w:p w14:paraId="09B65394" w14:textId="77777777" w:rsidR="00BC7D00" w:rsidRPr="00C53B42" w:rsidRDefault="00BC7D00" w:rsidP="00A05D8D">
            <w:pPr>
              <w:jc w:val="both"/>
              <w:rPr>
                <w:rFonts w:ascii="Verdana" w:eastAsia="Calibri" w:hAnsi="Verdana" w:cs="Arial"/>
                <w:b/>
                <w:color w:val="7030A0"/>
                <w:lang w:val="es-ES_tradnl" w:eastAsia="es-ES_tradnl"/>
              </w:rPr>
            </w:pPr>
            <w:r w:rsidRPr="00C53B42">
              <w:rPr>
                <w:rFonts w:ascii="Verdana" w:eastAsia="Calibri" w:hAnsi="Verdana" w:cs="Arial"/>
                <w:b/>
                <w:lang w:val="es-ES_tradnl" w:eastAsia="es-ES_tradnl"/>
              </w:rPr>
              <w:t>Radicación:</w:t>
            </w:r>
            <w:r w:rsidRPr="00C53B42">
              <w:rPr>
                <w:rFonts w:ascii="Verdana" w:eastAsia="Calibri" w:hAnsi="Verdana" w:cs="Arial"/>
                <w:lang w:val="es-ES_tradnl" w:eastAsia="es-ES_tradnl"/>
              </w:rPr>
              <w:t xml:space="preserve">               </w:t>
            </w:r>
          </w:p>
        </w:tc>
        <w:tc>
          <w:tcPr>
            <w:tcW w:w="6614" w:type="dxa"/>
          </w:tcPr>
          <w:p w14:paraId="32B116C7" w14:textId="77777777" w:rsidR="00BC7D00" w:rsidRPr="00C53B42" w:rsidRDefault="00BC7D00" w:rsidP="00A05D8D">
            <w:pPr>
              <w:jc w:val="both"/>
              <w:rPr>
                <w:rFonts w:ascii="Verdana" w:eastAsia="Calibri" w:hAnsi="Verdana" w:cs="Arial"/>
                <w:lang w:val="es-ES_tradnl" w:eastAsia="es-ES_tradnl"/>
              </w:rPr>
            </w:pPr>
            <w:r w:rsidRPr="00C53B42">
              <w:rPr>
                <w:rFonts w:ascii="Verdana" w:eastAsia="Calibri" w:hAnsi="Verdana" w:cs="Arial"/>
                <w:lang w:val="es-ES_tradnl" w:eastAsia="es-ES_tradnl"/>
              </w:rPr>
              <w:t>Respuesta a consulta con radicado No.</w:t>
            </w:r>
            <w:r>
              <w:rPr>
                <w:rFonts w:ascii="Verdana" w:eastAsia="Calibri" w:hAnsi="Verdana" w:cs="Arial"/>
                <w:lang w:val="es-ES_tradnl" w:eastAsia="es-ES_tradnl"/>
              </w:rPr>
              <w:t xml:space="preserve"> </w:t>
            </w:r>
            <w:r w:rsidRPr="00013586">
              <w:rPr>
                <w:rFonts w:ascii="Verdana" w:eastAsia="Calibri" w:hAnsi="Verdana" w:cs="Arial"/>
                <w:lang w:val="es-ES_tradnl" w:eastAsia="es-ES_tradnl"/>
              </w:rPr>
              <w:t>1_2026_03_30_004416</w:t>
            </w:r>
          </w:p>
        </w:tc>
      </w:tr>
    </w:tbl>
    <w:p w14:paraId="43880A58" w14:textId="77777777" w:rsidR="00BC7D00" w:rsidRDefault="00BC7D00" w:rsidP="00BC7D00">
      <w:pPr>
        <w:spacing w:after="0" w:line="240" w:lineRule="auto"/>
        <w:jc w:val="both"/>
        <w:rPr>
          <w:rFonts w:ascii="Verdana" w:eastAsia="Calibri" w:hAnsi="Verdana" w:cs="Arial"/>
          <w:color w:val="000000"/>
          <w:lang w:val="es-ES_tradnl" w:eastAsia="es-ES_tradnl"/>
        </w:rPr>
      </w:pPr>
    </w:p>
    <w:p w14:paraId="55019C26" w14:textId="77777777" w:rsidR="00BC7D00" w:rsidRDefault="00BC7D00" w:rsidP="00BC7D00">
      <w:pPr>
        <w:spacing w:after="0" w:line="240" w:lineRule="auto"/>
        <w:jc w:val="both"/>
        <w:rPr>
          <w:rFonts w:ascii="Verdana" w:eastAsia="Calibri" w:hAnsi="Verdana" w:cs="Arial"/>
          <w:color w:val="000000"/>
          <w:lang w:val="es-ES_tradnl" w:eastAsia="es-ES_tradnl"/>
        </w:rPr>
      </w:pPr>
    </w:p>
    <w:p w14:paraId="39D030E7" w14:textId="77777777" w:rsidR="00BC7D00" w:rsidRDefault="00BC7D00" w:rsidP="00BC7D00">
      <w:pPr>
        <w:spacing w:after="0" w:line="276" w:lineRule="auto"/>
        <w:jc w:val="both"/>
        <w:rPr>
          <w:rFonts w:ascii="Verdana" w:eastAsia="Calibri" w:hAnsi="Verdana" w:cs="Arial"/>
          <w:color w:val="000000" w:themeColor="text1"/>
          <w:lang w:val="es-ES" w:eastAsia="es-ES"/>
        </w:rPr>
      </w:pPr>
      <w:r>
        <w:rPr>
          <w:rFonts w:ascii="Verdana" w:eastAsia="Calibri" w:hAnsi="Verdana" w:cs="Arial"/>
          <w:color w:val="000000" w:themeColor="text1"/>
          <w:lang w:val="es-ES" w:eastAsia="es-ES"/>
        </w:rPr>
        <w:t>Estimado señor Agudelo,</w:t>
      </w:r>
    </w:p>
    <w:p w14:paraId="02F0D242" w14:textId="77777777" w:rsidR="00BC7D00" w:rsidRDefault="00BC7D00" w:rsidP="00BC7D00">
      <w:pPr>
        <w:tabs>
          <w:tab w:val="left" w:pos="3768"/>
        </w:tabs>
        <w:spacing w:after="0" w:line="276" w:lineRule="auto"/>
        <w:jc w:val="both"/>
        <w:rPr>
          <w:rFonts w:ascii="Verdana" w:eastAsia="Calibri" w:hAnsi="Verdana" w:cs="Arial"/>
          <w:color w:val="000000" w:themeColor="text1"/>
          <w:lang w:val="es-ES" w:eastAsia="es-ES"/>
        </w:rPr>
      </w:pPr>
      <w:r>
        <w:rPr>
          <w:rFonts w:ascii="Verdana" w:eastAsia="Calibri" w:hAnsi="Verdana" w:cs="Arial"/>
          <w:color w:val="000000" w:themeColor="text1"/>
          <w:lang w:val="es-ES" w:eastAsia="es-ES"/>
        </w:rPr>
        <w:tab/>
      </w:r>
    </w:p>
    <w:p w14:paraId="6BBED443" w14:textId="77777777" w:rsidR="00BC7D00" w:rsidRDefault="00BC7D00" w:rsidP="00BC7D00">
      <w:pPr>
        <w:spacing w:after="0" w:line="276" w:lineRule="auto"/>
        <w:jc w:val="both"/>
        <w:rPr>
          <w:rFonts w:ascii="Verdana" w:eastAsia="Calibri" w:hAnsi="Verdana" w:cs="Arial"/>
          <w:color w:val="7030A0"/>
          <w:lang w:val="es-ES" w:eastAsia="es-ES"/>
        </w:rPr>
      </w:pPr>
      <w:r>
        <w:rPr>
          <w:rFonts w:ascii="Verdana" w:eastAsia="Calibri" w:hAnsi="Verdana" w:cs="Arial"/>
          <w:color w:val="000000" w:themeColor="text1"/>
          <w:lang w:val="es-ES" w:eastAsia="es-ES"/>
        </w:rPr>
        <w:t>En ejercicio de la competencia otorgada por los artículos 3, numeral 5º, y 11, numeral 8º, del Decreto Ley 4170 de 2011,</w:t>
      </w:r>
      <w:r>
        <w:rPr>
          <w:rFonts w:ascii="Verdana" w:eastAsia="Arial MT" w:hAnsi="Verdana" w:cs="Arial MT"/>
          <w:lang w:val="es-ES" w:eastAsia="es-ES"/>
        </w:rPr>
        <w:t xml:space="preserve"> </w:t>
      </w:r>
      <w:r>
        <w:rPr>
          <w:rFonts w:ascii="Verdana" w:hAnsi="Verdana" w:cs="Arial"/>
        </w:rPr>
        <w:t xml:space="preserve">así como lo establecido en la </w:t>
      </w:r>
      <w:r w:rsidRPr="00C76F48">
        <w:rPr>
          <w:rFonts w:ascii="Verdana" w:hAnsi="Verdana" w:cs="Arial"/>
        </w:rPr>
        <w:t xml:space="preserve">Resolución 469 de 2025 </w:t>
      </w:r>
      <w:r>
        <w:rPr>
          <w:rFonts w:ascii="Verdana" w:hAnsi="Verdana" w:cs="Arial"/>
        </w:rPr>
        <w:t xml:space="preserve">expedida por esta Entidad, </w:t>
      </w:r>
      <w:r>
        <w:rPr>
          <w:rFonts w:ascii="Verdana" w:eastAsia="Calibri" w:hAnsi="Verdana" w:cs="Arial"/>
          <w:lang w:val="es-ES" w:eastAsia="es-ES"/>
        </w:rPr>
        <w:t xml:space="preserve">la Agencia Nacional de Contratación Pública – Colombia Compra Eficiente– responde su solicitud de consulta del 30 de marzo de 2026, en la cual manifiesta lo siguiente: </w:t>
      </w:r>
    </w:p>
    <w:p w14:paraId="12E20794" w14:textId="77777777" w:rsidR="00BC7D00" w:rsidRDefault="00BC7D00" w:rsidP="00BC7D00">
      <w:pPr>
        <w:pStyle w:val="Prrafodelista"/>
        <w:tabs>
          <w:tab w:val="left" w:pos="142"/>
          <w:tab w:val="left" w:pos="284"/>
        </w:tabs>
        <w:spacing w:after="0" w:line="276" w:lineRule="auto"/>
        <w:ind w:left="0"/>
        <w:contextualSpacing w:val="0"/>
        <w:jc w:val="both"/>
        <w:rPr>
          <w:rFonts w:ascii="Verdana" w:eastAsia="Century Gothic" w:hAnsi="Verdana" w:cs="Century Gothic"/>
          <w:b/>
          <w:bCs/>
        </w:rPr>
      </w:pPr>
    </w:p>
    <w:p w14:paraId="04497F47" w14:textId="77777777" w:rsidR="00BC7D00" w:rsidRDefault="00BC7D00" w:rsidP="00BC7D00">
      <w:pPr>
        <w:autoSpaceDE w:val="0"/>
        <w:autoSpaceDN w:val="0"/>
        <w:adjustRightInd w:val="0"/>
        <w:spacing w:after="0" w:line="240" w:lineRule="auto"/>
        <w:ind w:left="709" w:right="709"/>
        <w:jc w:val="both"/>
        <w:rPr>
          <w:rFonts w:ascii="Verdana" w:eastAsia="Century Gothic" w:hAnsi="Verdana" w:cs="Century Gothic"/>
          <w:sz w:val="20"/>
          <w:szCs w:val="20"/>
        </w:rPr>
      </w:pPr>
      <w:r>
        <w:rPr>
          <w:rFonts w:ascii="Verdana" w:eastAsia="Century Gothic" w:hAnsi="Verdana" w:cs="Century Gothic"/>
          <w:sz w:val="20"/>
          <w:szCs w:val="20"/>
          <w:lang w:val="es-ES"/>
        </w:rPr>
        <w:t xml:space="preserve">“[…] </w:t>
      </w:r>
    </w:p>
    <w:p w14:paraId="12A47759" w14:textId="77777777" w:rsidR="00BC7D00" w:rsidRPr="00013586" w:rsidRDefault="00BC7D00" w:rsidP="00BC7D00">
      <w:pPr>
        <w:autoSpaceDE w:val="0"/>
        <w:autoSpaceDN w:val="0"/>
        <w:adjustRightInd w:val="0"/>
        <w:spacing w:after="0" w:line="240" w:lineRule="auto"/>
        <w:ind w:left="709" w:right="709"/>
        <w:jc w:val="both"/>
        <w:rPr>
          <w:rFonts w:ascii="Verdana" w:eastAsia="Century Gothic" w:hAnsi="Verdana" w:cs="Century Gothic"/>
          <w:sz w:val="20"/>
          <w:szCs w:val="20"/>
        </w:rPr>
      </w:pPr>
      <w:r>
        <w:rPr>
          <w:rFonts w:ascii="Verdana" w:eastAsia="Century Gothic" w:hAnsi="Verdana" w:cs="Century Gothic"/>
          <w:sz w:val="20"/>
          <w:szCs w:val="20"/>
        </w:rPr>
        <w:t xml:space="preserve">1. </w:t>
      </w:r>
      <w:r w:rsidRPr="00013586">
        <w:rPr>
          <w:rFonts w:ascii="Verdana" w:eastAsia="Century Gothic" w:hAnsi="Verdana" w:cs="Century Gothic"/>
          <w:sz w:val="20"/>
          <w:szCs w:val="20"/>
        </w:rPr>
        <w:t xml:space="preserve">Se indique si, en vigencia de la Ley de Garantías, es jurídicamente viable adelantar contratación directa en los eventos en que exista un proveedor único o exclusivo. </w:t>
      </w:r>
    </w:p>
    <w:p w14:paraId="4A835FC8" w14:textId="77777777" w:rsidR="00BC7D00" w:rsidRDefault="00BC7D00" w:rsidP="00BC7D00">
      <w:pPr>
        <w:autoSpaceDE w:val="0"/>
        <w:autoSpaceDN w:val="0"/>
        <w:adjustRightInd w:val="0"/>
        <w:spacing w:after="0" w:line="240" w:lineRule="auto"/>
        <w:ind w:left="709" w:right="709"/>
        <w:jc w:val="both"/>
        <w:rPr>
          <w:rFonts w:ascii="Verdana" w:eastAsia="Century Gothic" w:hAnsi="Verdana" w:cs="Century Gothic"/>
          <w:sz w:val="20"/>
          <w:szCs w:val="20"/>
        </w:rPr>
      </w:pPr>
      <w:r w:rsidRPr="00013586">
        <w:rPr>
          <w:rFonts w:ascii="Verdana" w:eastAsia="Century Gothic" w:hAnsi="Verdana" w:cs="Century Gothic"/>
          <w:sz w:val="20"/>
          <w:szCs w:val="20"/>
        </w:rPr>
        <w:t xml:space="preserve">2. Se precise cuáles son los requisitos y soportes mínimos que deben acreditarse para justificar la inexistencia de pluralidad de oferentes en estos casos. </w:t>
      </w:r>
    </w:p>
    <w:p w14:paraId="2CFE5C51" w14:textId="77777777" w:rsidR="00BC7D00" w:rsidRDefault="00BC7D00" w:rsidP="00BC7D00">
      <w:pPr>
        <w:autoSpaceDE w:val="0"/>
        <w:autoSpaceDN w:val="0"/>
        <w:adjustRightInd w:val="0"/>
        <w:spacing w:after="0" w:line="240" w:lineRule="auto"/>
        <w:ind w:left="709" w:right="709"/>
        <w:jc w:val="both"/>
        <w:rPr>
          <w:rFonts w:ascii="Verdana" w:eastAsia="Century Gothic" w:hAnsi="Verdana" w:cs="Century Gothic"/>
          <w:sz w:val="20"/>
          <w:szCs w:val="20"/>
        </w:rPr>
      </w:pPr>
      <w:r w:rsidRPr="00013586">
        <w:rPr>
          <w:rFonts w:ascii="Verdana" w:eastAsia="Century Gothic" w:hAnsi="Verdana" w:cs="Century Gothic"/>
          <w:sz w:val="20"/>
          <w:szCs w:val="20"/>
        </w:rPr>
        <w:t xml:space="preserve">3. Se oriente o informe si existen lineamientos, conceptos o jurisprudencia reciente aplicable a: </w:t>
      </w:r>
    </w:p>
    <w:p w14:paraId="35284F0A" w14:textId="77777777" w:rsidR="00BC7D00" w:rsidRDefault="00BC7D00" w:rsidP="00BC7D00">
      <w:pPr>
        <w:autoSpaceDE w:val="0"/>
        <w:autoSpaceDN w:val="0"/>
        <w:adjustRightInd w:val="0"/>
        <w:spacing w:after="0" w:line="240" w:lineRule="auto"/>
        <w:ind w:left="709" w:right="709"/>
        <w:jc w:val="both"/>
        <w:rPr>
          <w:rFonts w:ascii="Verdana" w:eastAsia="Century Gothic" w:hAnsi="Verdana" w:cs="Century Gothic"/>
          <w:sz w:val="20"/>
          <w:szCs w:val="20"/>
        </w:rPr>
      </w:pPr>
      <w:r>
        <w:rPr>
          <w:rFonts w:ascii="Verdana" w:eastAsia="Century Gothic" w:hAnsi="Verdana" w:cs="Century Gothic"/>
          <w:sz w:val="20"/>
          <w:szCs w:val="20"/>
        </w:rPr>
        <w:t xml:space="preserve">- </w:t>
      </w:r>
      <w:r w:rsidRPr="00013586">
        <w:rPr>
          <w:rFonts w:ascii="Verdana" w:eastAsia="Century Gothic" w:hAnsi="Verdana" w:cs="Century Gothic"/>
          <w:sz w:val="20"/>
          <w:szCs w:val="20"/>
        </w:rPr>
        <w:t xml:space="preserve">Contratación por licencias, patentes o derechos exclusivos. </w:t>
      </w:r>
    </w:p>
    <w:p w14:paraId="666D14A3" w14:textId="77777777" w:rsidR="00BC7D00" w:rsidRDefault="00BC7D00" w:rsidP="00BC7D00">
      <w:pPr>
        <w:autoSpaceDE w:val="0"/>
        <w:autoSpaceDN w:val="0"/>
        <w:adjustRightInd w:val="0"/>
        <w:spacing w:after="0" w:line="240" w:lineRule="auto"/>
        <w:ind w:left="709" w:right="709"/>
        <w:jc w:val="both"/>
        <w:rPr>
          <w:rFonts w:ascii="Verdana" w:eastAsia="Century Gothic" w:hAnsi="Verdana" w:cs="Century Gothic"/>
          <w:sz w:val="20"/>
          <w:szCs w:val="20"/>
        </w:rPr>
      </w:pPr>
      <w:r>
        <w:rPr>
          <w:rFonts w:ascii="Verdana" w:eastAsia="Century Gothic" w:hAnsi="Verdana" w:cs="Century Gothic"/>
          <w:sz w:val="20"/>
          <w:szCs w:val="20"/>
        </w:rPr>
        <w:t xml:space="preserve">- </w:t>
      </w:r>
      <w:r w:rsidRPr="00013586">
        <w:rPr>
          <w:rFonts w:ascii="Verdana" w:eastAsia="Century Gothic" w:hAnsi="Verdana" w:cs="Century Gothic"/>
          <w:sz w:val="20"/>
          <w:szCs w:val="20"/>
        </w:rPr>
        <w:t xml:space="preserve">Representantes exclusivos de marca. </w:t>
      </w:r>
    </w:p>
    <w:p w14:paraId="01BDA189" w14:textId="77777777" w:rsidR="00BC7D00" w:rsidRDefault="00BC7D00" w:rsidP="00BC7D00">
      <w:pPr>
        <w:autoSpaceDE w:val="0"/>
        <w:autoSpaceDN w:val="0"/>
        <w:adjustRightInd w:val="0"/>
        <w:spacing w:after="0" w:line="240" w:lineRule="auto"/>
        <w:ind w:left="709" w:right="709"/>
        <w:jc w:val="both"/>
        <w:rPr>
          <w:rFonts w:ascii="Verdana" w:eastAsia="Century Gothic" w:hAnsi="Verdana" w:cs="Century Gothic"/>
          <w:sz w:val="20"/>
          <w:szCs w:val="20"/>
        </w:rPr>
      </w:pPr>
      <w:r>
        <w:rPr>
          <w:rFonts w:ascii="Verdana" w:eastAsia="Century Gothic" w:hAnsi="Verdana" w:cs="Century Gothic"/>
          <w:sz w:val="20"/>
          <w:szCs w:val="20"/>
        </w:rPr>
        <w:t xml:space="preserve">- </w:t>
      </w:r>
      <w:r w:rsidRPr="00013586">
        <w:rPr>
          <w:rFonts w:ascii="Verdana" w:eastAsia="Century Gothic" w:hAnsi="Verdana" w:cs="Century Gothic"/>
          <w:sz w:val="20"/>
          <w:szCs w:val="20"/>
        </w:rPr>
        <w:t xml:space="preserve">Servicios con operadores únicos (ej. sistemas de transporte masivo). </w:t>
      </w:r>
    </w:p>
    <w:p w14:paraId="62EAC2F5" w14:textId="77777777" w:rsidR="00BC7D00" w:rsidRPr="00013586" w:rsidRDefault="00BC7D00" w:rsidP="00BC7D00">
      <w:pPr>
        <w:autoSpaceDE w:val="0"/>
        <w:autoSpaceDN w:val="0"/>
        <w:adjustRightInd w:val="0"/>
        <w:spacing w:after="0" w:line="240" w:lineRule="auto"/>
        <w:ind w:left="709" w:right="709"/>
        <w:jc w:val="both"/>
        <w:rPr>
          <w:rFonts w:ascii="Verdana" w:eastAsia="Century Gothic" w:hAnsi="Verdana" w:cs="Century Gothic"/>
          <w:sz w:val="20"/>
          <w:szCs w:val="20"/>
        </w:rPr>
      </w:pPr>
      <w:r w:rsidRPr="00013586">
        <w:rPr>
          <w:rFonts w:ascii="Verdana" w:eastAsia="Century Gothic" w:hAnsi="Verdana" w:cs="Century Gothic"/>
          <w:sz w:val="20"/>
          <w:szCs w:val="20"/>
        </w:rPr>
        <w:lastRenderedPageBreak/>
        <w:t xml:space="preserve">4. Se remitan conceptos, circulares o sentencias adicionales que orienten la correcta aplicación de estas disposiciones en el marco de la Ley de Garantías. </w:t>
      </w:r>
      <w:r>
        <w:rPr>
          <w:rFonts w:ascii="Verdana" w:eastAsia="Century Gothic" w:hAnsi="Verdana" w:cs="Century Gothic"/>
          <w:sz w:val="20"/>
          <w:szCs w:val="20"/>
        </w:rPr>
        <w:t xml:space="preserve"> </w:t>
      </w:r>
      <w:r w:rsidRPr="00960B20">
        <w:rPr>
          <w:rFonts w:ascii="Verdana" w:hAnsi="Verdana"/>
          <w:sz w:val="20"/>
          <w:szCs w:val="20"/>
        </w:rPr>
        <w:t>[…]”</w:t>
      </w:r>
    </w:p>
    <w:p w14:paraId="63462811" w14:textId="77777777" w:rsidR="00BC7D00" w:rsidRPr="00924340" w:rsidRDefault="00BC7D00" w:rsidP="00BC7D00">
      <w:pPr>
        <w:autoSpaceDE w:val="0"/>
        <w:autoSpaceDN w:val="0"/>
        <w:adjustRightInd w:val="0"/>
        <w:spacing w:after="0" w:line="276" w:lineRule="auto"/>
        <w:ind w:left="851" w:right="616"/>
        <w:jc w:val="both"/>
        <w:rPr>
          <w:rFonts w:ascii="Verdana" w:eastAsia="Century Gothic" w:hAnsi="Verdana" w:cs="Century Gothic"/>
          <w:b/>
        </w:rPr>
      </w:pPr>
    </w:p>
    <w:p w14:paraId="157BF6B6" w14:textId="77777777" w:rsidR="00BC7D00" w:rsidRDefault="00BC7D00" w:rsidP="00BC7D00">
      <w:pPr>
        <w:spacing w:after="120" w:line="276" w:lineRule="auto"/>
        <w:ind w:firstLine="709"/>
        <w:jc w:val="both"/>
        <w:rPr>
          <w:rFonts w:ascii="Verdana" w:eastAsia="Calibri" w:hAnsi="Verdana" w:cs="Arial"/>
          <w:color w:val="000000"/>
          <w:szCs w:val="24"/>
          <w:lang w:val="es-ES_tradnl" w:eastAsia="es-ES_tradnl"/>
        </w:rPr>
      </w:pPr>
      <w:r>
        <w:rPr>
          <w:rFonts w:ascii="Verdana" w:eastAsia="Calibri" w:hAnsi="Verdana" w:cs="Arial"/>
          <w:color w:val="000000"/>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Pr>
          <w:rFonts w:ascii="Verdana" w:eastAsia="Calibri" w:hAnsi="Verdana" w:cs="Arial"/>
          <w:color w:val="000000"/>
          <w:szCs w:val="24"/>
          <w:lang w:val="es-ES_tradnl" w:eastAsia="es-ES_tradnl"/>
        </w:rPr>
        <w:tab/>
      </w:r>
    </w:p>
    <w:p w14:paraId="4FB4521F" w14:textId="77777777" w:rsidR="00BC7D00" w:rsidRDefault="00BC7D00" w:rsidP="00BC7D00">
      <w:pPr>
        <w:spacing w:after="0" w:line="276" w:lineRule="auto"/>
        <w:ind w:firstLine="709"/>
        <w:jc w:val="both"/>
        <w:rPr>
          <w:rFonts w:ascii="Verdana" w:eastAsia="Calibri" w:hAnsi="Verdana" w:cs="Arial"/>
          <w:color w:val="000000"/>
          <w:lang w:val="es-ES" w:eastAsia="es-ES"/>
        </w:rPr>
      </w:pPr>
      <w:r>
        <w:rPr>
          <w:rFonts w:ascii="Verdana" w:eastAsia="Calibri" w:hAnsi="Verdana" w:cs="Arial"/>
          <w:color w:val="000000"/>
          <w:lang w:val="es-ES" w:eastAsia="es-ES"/>
        </w:rPr>
        <w:t>Conforme lo expuesto, en aras de satisfacer el derecho fundamental de petición se resolverá su consulta dentro de los límites de la referida competencia consultiva, esto es, haciendo abstracción del caso en concreto planteado, pero señalando algunas consideraciones sobre las normas generales relacionadas con el</w:t>
      </w:r>
      <w:r>
        <w:rPr>
          <w:rFonts w:ascii="Verdana" w:eastAsia="Calibri" w:hAnsi="Verdana" w:cs="Arial"/>
          <w:color w:val="7030A0"/>
          <w:lang w:val="es-ES" w:eastAsia="es-ES"/>
        </w:rPr>
        <w:t xml:space="preserve"> </w:t>
      </w:r>
      <w:r>
        <w:rPr>
          <w:rFonts w:ascii="Verdana" w:eastAsia="Calibri" w:hAnsi="Verdana" w:cs="Arial"/>
          <w:color w:val="000000"/>
          <w:lang w:val="es-ES" w:eastAsia="es-ES"/>
        </w:rPr>
        <w:t>problema</w:t>
      </w:r>
      <w:r>
        <w:rPr>
          <w:rFonts w:ascii="Verdana" w:eastAsia="Calibri" w:hAnsi="Verdana" w:cs="Arial"/>
          <w:color w:val="7030A0"/>
          <w:lang w:val="es-ES" w:eastAsia="es-ES"/>
        </w:rPr>
        <w:t xml:space="preserve"> </w:t>
      </w:r>
      <w:r>
        <w:rPr>
          <w:rFonts w:ascii="Verdana" w:eastAsia="Calibri" w:hAnsi="Verdana" w:cs="Arial"/>
          <w:color w:val="000000"/>
          <w:lang w:val="es-ES" w:eastAsia="es-ES"/>
        </w:rPr>
        <w:t>jurídico</w:t>
      </w:r>
      <w:r>
        <w:rPr>
          <w:rFonts w:ascii="Verdana" w:eastAsia="Calibri" w:hAnsi="Verdana" w:cs="Arial"/>
          <w:color w:val="7030A0"/>
          <w:lang w:val="es-ES" w:eastAsia="es-ES"/>
        </w:rPr>
        <w:t xml:space="preserve"> </w:t>
      </w:r>
      <w:r>
        <w:rPr>
          <w:rFonts w:ascii="Verdana" w:eastAsia="Calibri" w:hAnsi="Verdana" w:cs="Arial"/>
          <w:color w:val="000000"/>
          <w:lang w:val="es-ES" w:eastAsia="es-ES"/>
        </w:rPr>
        <w:t xml:space="preserve">de su consulta. </w:t>
      </w:r>
    </w:p>
    <w:p w14:paraId="53BF5D55" w14:textId="77777777" w:rsidR="00BC7D00" w:rsidRDefault="00BC7D00" w:rsidP="00BC7D00">
      <w:pPr>
        <w:spacing w:after="0" w:line="276" w:lineRule="auto"/>
        <w:ind w:firstLine="709"/>
        <w:jc w:val="both"/>
        <w:rPr>
          <w:rFonts w:ascii="Verdana" w:eastAsia="Calibri" w:hAnsi="Verdana" w:cs="Arial"/>
          <w:color w:val="000000"/>
          <w:lang w:val="es-ES" w:eastAsia="es-ES"/>
        </w:rPr>
      </w:pPr>
    </w:p>
    <w:p w14:paraId="6F6C5932" w14:textId="77777777" w:rsidR="00BC7D00" w:rsidRDefault="00BC7D00" w:rsidP="00BC7D00">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Pr>
          <w:rFonts w:ascii="Verdana" w:eastAsia="Century Gothic" w:hAnsi="Verdana" w:cs="Century Gothic"/>
          <w:b/>
          <w:bCs/>
        </w:rPr>
        <w:t>Problema planteado:</w:t>
      </w:r>
    </w:p>
    <w:p w14:paraId="2AA6D2C5" w14:textId="77777777" w:rsidR="00BC7D00" w:rsidRDefault="00BC7D00" w:rsidP="00BC7D00">
      <w:pPr>
        <w:tabs>
          <w:tab w:val="left" w:pos="426"/>
        </w:tabs>
        <w:spacing w:after="0" w:line="276" w:lineRule="auto"/>
        <w:jc w:val="both"/>
        <w:rPr>
          <w:rFonts w:ascii="Verdana" w:eastAsia="Century Gothic" w:hAnsi="Verdana" w:cs="Century Gothic"/>
          <w:lang w:val="es-ES"/>
        </w:rPr>
      </w:pPr>
    </w:p>
    <w:p w14:paraId="5CF08FEE" w14:textId="77777777" w:rsidR="00BC7D00" w:rsidRPr="00FC6F34" w:rsidRDefault="00BC7D00" w:rsidP="00BC7D00">
      <w:pPr>
        <w:spacing w:after="0" w:line="276" w:lineRule="auto"/>
        <w:jc w:val="both"/>
        <w:rPr>
          <w:rFonts w:ascii="Verdana" w:eastAsia="Century Gothic" w:hAnsi="Verdana" w:cs="Century Gothic"/>
          <w:color w:val="000000" w:themeColor="text1"/>
          <w:lang w:val="es-ES"/>
        </w:rPr>
      </w:pPr>
      <w:r>
        <w:rPr>
          <w:rFonts w:ascii="Verdana" w:eastAsia="Century Gothic" w:hAnsi="Verdana" w:cs="Century Gothic"/>
        </w:rPr>
        <w:t xml:space="preserve">De acuerdo con el contenido de su solicitud, esta Agencia resolverá los siguientes problemas jurídicos: i) ¿En vigencia de la Ley de Garantías Electorales es posible realizar la contratación de proveedores exclusivos bajo la modalidad de contratación directa?; </w:t>
      </w:r>
      <w:proofErr w:type="spellStart"/>
      <w:r>
        <w:rPr>
          <w:rFonts w:ascii="Verdana" w:eastAsia="Century Gothic" w:hAnsi="Verdana" w:cs="Century Gothic"/>
          <w:color w:val="000000" w:themeColor="text1"/>
          <w:lang w:val="es-ES"/>
        </w:rPr>
        <w:t>ii</w:t>
      </w:r>
      <w:proofErr w:type="spellEnd"/>
      <w:r>
        <w:rPr>
          <w:rFonts w:ascii="Verdana" w:eastAsia="Century Gothic" w:hAnsi="Verdana" w:cs="Century Gothic"/>
          <w:color w:val="000000" w:themeColor="text1"/>
          <w:lang w:val="es-ES"/>
        </w:rPr>
        <w:t>) ¿Cuándo aplica la causal de contratación directa establecida en el artículo 2, numeral 4, literal g) de la Ley 1150 de 2007?</w:t>
      </w:r>
    </w:p>
    <w:p w14:paraId="13CE786D" w14:textId="77777777" w:rsidR="00BC7D00" w:rsidRDefault="00BC7D00" w:rsidP="00BC7D00">
      <w:pPr>
        <w:spacing w:after="0" w:line="276" w:lineRule="auto"/>
        <w:jc w:val="both"/>
        <w:rPr>
          <w:rFonts w:ascii="Verdana" w:eastAsia="Calibri" w:hAnsi="Verdana" w:cs="Arial"/>
          <w:color w:val="7030A0"/>
          <w:lang w:val="es-ES"/>
        </w:rPr>
      </w:pPr>
    </w:p>
    <w:p w14:paraId="72EEB4B4" w14:textId="77777777" w:rsidR="00BC7D00" w:rsidRDefault="00BC7D00" w:rsidP="00BC7D00">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Pr>
          <w:rFonts w:ascii="Verdana" w:eastAsia="Century Gothic" w:hAnsi="Verdana" w:cs="Century Gothic"/>
          <w:b/>
          <w:bCs/>
        </w:rPr>
        <w:t>Respuesta:</w:t>
      </w:r>
    </w:p>
    <w:p w14:paraId="4A9745B1" w14:textId="77777777" w:rsidR="00BC7D00" w:rsidRDefault="00BC7D00" w:rsidP="00BC7D00">
      <w:pPr>
        <w:tabs>
          <w:tab w:val="left" w:pos="142"/>
          <w:tab w:val="left" w:pos="284"/>
        </w:tabs>
        <w:spacing w:after="0" w:line="276" w:lineRule="auto"/>
        <w:jc w:val="both"/>
        <w:rPr>
          <w:rFonts w:ascii="Verdana" w:eastAsia="Century Gothic" w:hAnsi="Verdana" w:cs="Century Gothic"/>
          <w:b/>
          <w:bCs/>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BC7D00" w:rsidRPr="00DE5508" w14:paraId="244A8783" w14:textId="77777777" w:rsidTr="00A05D8D">
        <w:tc>
          <w:tcPr>
            <w:tcW w:w="8828" w:type="dxa"/>
            <w:tcBorders>
              <w:top w:val="dotted" w:sz="4" w:space="0" w:color="auto"/>
              <w:left w:val="dotted" w:sz="4" w:space="0" w:color="auto"/>
              <w:bottom w:val="dotted" w:sz="4" w:space="0" w:color="auto"/>
              <w:right w:val="dotted" w:sz="4" w:space="0" w:color="auto"/>
            </w:tcBorders>
          </w:tcPr>
          <w:p w14:paraId="28596B26" w14:textId="4C45696C" w:rsidR="00BC7D00" w:rsidRPr="00391591" w:rsidRDefault="00391591" w:rsidP="00391591">
            <w:pPr>
              <w:spacing w:after="120" w:line="276" w:lineRule="auto"/>
              <w:jc w:val="both"/>
              <w:rPr>
                <w:rFonts w:ascii="Verdana" w:eastAsia="Calibri" w:hAnsi="Verdana" w:cs="Arial"/>
              </w:rPr>
            </w:pPr>
            <w:proofErr w:type="spellStart"/>
            <w:r>
              <w:rPr>
                <w:rFonts w:ascii="Verdana" w:eastAsia="Calibri" w:hAnsi="Verdana" w:cs="Arial"/>
              </w:rPr>
              <w:t>i.</w:t>
            </w:r>
            <w:r w:rsidR="00BC7D00" w:rsidRPr="00391591">
              <w:rPr>
                <w:rFonts w:ascii="Verdana" w:eastAsia="Calibri" w:hAnsi="Verdana" w:cs="Arial"/>
              </w:rPr>
              <w:t>Dado</w:t>
            </w:r>
            <w:proofErr w:type="spellEnd"/>
            <w:r w:rsidR="00BC7D00" w:rsidRPr="00391591">
              <w:rPr>
                <w:rFonts w:ascii="Verdana" w:eastAsia="Calibri" w:hAnsi="Verdana" w:cs="Arial"/>
              </w:rPr>
              <w:t xml:space="preserve"> que las disposiciones de la Ley de Garantías Electorales tienen naturaleza restrictiva, su interpretación debe ser estricta y ceñida a los supuestos expresamente previstos por el legislador, sin admitir extensiones analógicas. Así, la prohibición contenida en el artículo 33 de la Ley 996 de </w:t>
            </w:r>
            <w:r w:rsidR="00BC7D00" w:rsidRPr="00391591">
              <w:rPr>
                <w:rFonts w:ascii="Verdana" w:eastAsia="Calibri" w:hAnsi="Verdana" w:cs="Arial"/>
              </w:rPr>
              <w:lastRenderedPageBreak/>
              <w:t>2005 se circunscribe a la contratación directa, entendida como cualquier mecanismo de selección que prescinda de una convocatoria pública y de la posibilidad real de concurrencia de una pluralidad de oferentes, con independencia de la denominación formal del procedimiento o del régimen contractual aplicable a la entidad.</w:t>
            </w:r>
          </w:p>
          <w:p w14:paraId="09704E1A" w14:textId="77777777" w:rsidR="00BC7D00" w:rsidRDefault="00BC7D00" w:rsidP="00A05D8D">
            <w:pPr>
              <w:spacing w:after="120" w:line="276" w:lineRule="auto"/>
              <w:ind w:firstLine="709"/>
              <w:jc w:val="both"/>
              <w:rPr>
                <w:rFonts w:ascii="Verdana" w:eastAsia="Calibri" w:hAnsi="Verdana" w:cs="Arial"/>
              </w:rPr>
            </w:pPr>
            <w:r w:rsidRPr="005E6C8F">
              <w:rPr>
                <w:rFonts w:ascii="Verdana" w:eastAsia="Calibri" w:hAnsi="Verdana" w:cs="Arial"/>
              </w:rPr>
              <w:t xml:space="preserve">Por consiguiente, durante el período preelectoral correspondiente a las elecciones presidenciales, los entes del Estado no pueden celebrar contratos mediante esquemas de contratación directa, salvo en los eventos expresamente exceptuados por la ley, orientados a atender urgencias en materia de </w:t>
            </w:r>
            <w:r w:rsidRPr="3A5322BA">
              <w:rPr>
                <w:rFonts w:ascii="Verdana" w:eastAsia="Times New Roman" w:hAnsi="Verdana" w:cs="Arial"/>
                <w:lang w:val="es-MX"/>
              </w:rPr>
              <w:t>defensa, salud, educación, infraestructura vial y de servicios públicos y ecológicas</w:t>
            </w:r>
            <w:r w:rsidRPr="005E6C8F">
              <w:rPr>
                <w:rFonts w:ascii="Verdana" w:eastAsia="Calibri" w:hAnsi="Verdana" w:cs="Arial"/>
              </w:rPr>
              <w:t>, de manera que no se limite de forma desproporcionada la acción estatal en el cumplimiento de sus fines; en contraste, las modalidades de selección que garantizan publicidad, concurrencia y competencia no se encuentran comprendidas dentro de dicha prohibición.</w:t>
            </w:r>
          </w:p>
          <w:p w14:paraId="3470DEE3" w14:textId="77777777" w:rsidR="00BC7D00" w:rsidRPr="00783D3F" w:rsidRDefault="00BC7D00" w:rsidP="00A05D8D">
            <w:pPr>
              <w:spacing w:after="120" w:line="276" w:lineRule="auto"/>
              <w:ind w:firstLine="709"/>
              <w:jc w:val="both"/>
              <w:rPr>
                <w:rFonts w:ascii="Verdana" w:eastAsia="Calibri" w:hAnsi="Verdana" w:cs="Arial"/>
              </w:rPr>
            </w:pPr>
            <w:r w:rsidRPr="00783D3F">
              <w:rPr>
                <w:rFonts w:ascii="Verdana" w:eastAsia="Calibri" w:hAnsi="Verdana" w:cs="Arial"/>
              </w:rPr>
              <w:t>Por lo anterior, en consideración a que el artículo 2, numeral 4, literal g) de la Ley 1150 de 2007 consagra como causal de contratación directa la inexistencia de pluralidad de oferentes en el mercado, dicho mecanismo de selección resulta procedente en tales circunstancias. Sin embargo, su utilización se encuentra limitada durante la vigencia de la Ley de Garantías Electorales, salvo en las excepciones previstas de manera expresa por el legislador.</w:t>
            </w:r>
          </w:p>
          <w:p w14:paraId="69238114" w14:textId="77777777" w:rsidR="00BC7D00" w:rsidRPr="00911AD2" w:rsidRDefault="00BC7D00" w:rsidP="00A05D8D">
            <w:pPr>
              <w:spacing w:line="276" w:lineRule="auto"/>
              <w:ind w:left="31"/>
              <w:jc w:val="both"/>
              <w:rPr>
                <w:rFonts w:ascii="Verdana" w:eastAsia="Calibri" w:hAnsi="Verdana" w:cs="Arial"/>
                <w:color w:val="000000" w:themeColor="text1"/>
              </w:rPr>
            </w:pPr>
            <w:proofErr w:type="spellStart"/>
            <w:r>
              <w:rPr>
                <w:rFonts w:ascii="Verdana" w:eastAsia="Calibri" w:hAnsi="Verdana" w:cs="Arial"/>
                <w:color w:val="000000" w:themeColor="text1"/>
              </w:rPr>
              <w:t>ii</w:t>
            </w:r>
            <w:proofErr w:type="spellEnd"/>
            <w:r>
              <w:rPr>
                <w:rFonts w:ascii="Verdana" w:eastAsia="Calibri" w:hAnsi="Verdana" w:cs="Arial"/>
                <w:color w:val="000000" w:themeColor="text1"/>
              </w:rPr>
              <w:t xml:space="preserve">. </w:t>
            </w:r>
            <w:r w:rsidRPr="00911AD2">
              <w:rPr>
                <w:rFonts w:ascii="Verdana" w:eastAsia="Calibri" w:hAnsi="Verdana" w:cs="Arial"/>
                <w:color w:val="000000" w:themeColor="text1"/>
              </w:rPr>
              <w:t>La norma vigente para interpretar el alcance de la causal de contratación directa dispuesta en el artículo 2, numeral 4, literal g), de la Ley 1150 de 2007 está compilada en el artículo 2.2.1.2.1.4.8 del Decreto 1082 de 2015, el cual dispone lo siguiente: “Artículo 2.2.1.2.1.4.8. Contratación directa cuando no exista pluralidad de oferentes. Se considera que no existe pluralidad de oferentes cuando existe solamente una persona que puede proveer el bien o el servicio por ser titular de los derechos de propiedad industrial o de los derechos de autor, o por ser proveedor exclusivo en el territorio nacional. Estas circunstancias deben constar en el estudio previo que soporta la contratación.”</w:t>
            </w:r>
          </w:p>
          <w:p w14:paraId="121BDB92" w14:textId="77777777" w:rsidR="00BC7D00" w:rsidRDefault="00BC7D00" w:rsidP="00A05D8D">
            <w:pPr>
              <w:spacing w:after="120" w:line="276" w:lineRule="auto"/>
              <w:ind w:firstLine="708"/>
              <w:jc w:val="both"/>
              <w:rPr>
                <w:rFonts w:ascii="Verdana" w:eastAsia="Calibri" w:hAnsi="Verdana" w:cs="Arial"/>
                <w:color w:val="000000" w:themeColor="text1"/>
              </w:rPr>
            </w:pPr>
            <w:r w:rsidRPr="009A68AF">
              <w:rPr>
                <w:rFonts w:ascii="Verdana" w:eastAsia="Calibri" w:hAnsi="Verdana" w:cs="Arial"/>
                <w:color w:val="000000" w:themeColor="text1"/>
              </w:rPr>
              <w:t xml:space="preserve">La norma consagra dos (2) hipótesis. </w:t>
            </w:r>
            <w:r w:rsidRPr="009A68AF">
              <w:rPr>
                <w:rFonts w:ascii="Verdana" w:eastAsia="Calibri" w:hAnsi="Verdana" w:cs="Arial"/>
                <w:i/>
                <w:iCs/>
                <w:color w:val="000000" w:themeColor="text1"/>
              </w:rPr>
              <w:t>En primer lugar</w:t>
            </w:r>
            <w:r w:rsidRPr="009A68AF">
              <w:rPr>
                <w:rFonts w:ascii="Verdana" w:eastAsia="Calibri" w:hAnsi="Verdana" w:cs="Arial"/>
                <w:color w:val="000000" w:themeColor="text1"/>
              </w:rPr>
              <w:t xml:space="preserve">, no existe pluralidad de oferentes cuando solo una persona puede proveer el bien o servicio por ser titular de los derechos de propiedad industrial o de los derechos de autor. De esta manera, no basta con que sea la única persona </w:t>
            </w:r>
            <w:r w:rsidRPr="009A68AF">
              <w:rPr>
                <w:rFonts w:ascii="Verdana" w:eastAsia="Calibri" w:hAnsi="Verdana" w:cs="Arial"/>
                <w:color w:val="000000" w:themeColor="text1"/>
              </w:rPr>
              <w:lastRenderedPageBreak/>
              <w:t xml:space="preserve">capaz de ejecutar el contrato, pues la misma se debe justificar una situación de derecho que impida que otra lo haga de forma igual o similar. Para los proponentes, cada bien o servicio tiene características únicas frente a los de la competencia; sin embargo, desde el punto de vista del contratante, no existe mayor diferenciación entre los bienes y servicios cuando ninguno de los aspirantes tiene la titularidad de un derecho industrial o de autor. </w:t>
            </w:r>
          </w:p>
          <w:p w14:paraId="51C33AD1" w14:textId="1DEA259C" w:rsidR="00BC7D00" w:rsidRDefault="00BC7D00" w:rsidP="00A05D8D">
            <w:pPr>
              <w:spacing w:line="276" w:lineRule="auto"/>
              <w:ind w:firstLine="708"/>
              <w:jc w:val="both"/>
              <w:rPr>
                <w:rFonts w:ascii="Verdana" w:eastAsia="Calibri" w:hAnsi="Verdana" w:cs="Arial"/>
                <w:color w:val="000000" w:themeColor="text1"/>
              </w:rPr>
            </w:pPr>
            <w:r w:rsidRPr="009A68AF">
              <w:rPr>
                <w:rFonts w:ascii="Verdana" w:eastAsia="Calibri" w:hAnsi="Verdana" w:cs="Arial"/>
                <w:i/>
                <w:iCs/>
                <w:color w:val="000000" w:themeColor="text1"/>
              </w:rPr>
              <w:t>En segundo lugar</w:t>
            </w:r>
            <w:r w:rsidRPr="009A68AF">
              <w:rPr>
                <w:rFonts w:ascii="Verdana" w:eastAsia="Calibri" w:hAnsi="Verdana" w:cs="Arial"/>
                <w:color w:val="000000" w:themeColor="text1"/>
              </w:rPr>
              <w:t>, el artículo 2.2.1.2.1.4.8 del Decreto 1082 de 2015 dispone que tampoco existe pluralidad de oferentes cuando existe una sola persona que puede celebrar el contrato por ser proveedor exclusivo en el territorio nacional. A modo de ejemplo, esta causal se comprende en el marco de los contratos de colaboración empresarial –agencia, distribución, franquicia concesión comercial, etc.– que celebran los productores extranjeros con los proveedores nacionales, los cuales contienen usualmente cláusulas de exclusividad como elemento accidental del negocio.</w:t>
            </w:r>
          </w:p>
          <w:p w14:paraId="48CF0326" w14:textId="77777777" w:rsidR="00391591" w:rsidRPr="009A68AF" w:rsidRDefault="00391591" w:rsidP="00A05D8D">
            <w:pPr>
              <w:spacing w:line="276" w:lineRule="auto"/>
              <w:ind w:firstLine="708"/>
              <w:jc w:val="both"/>
              <w:rPr>
                <w:rFonts w:ascii="Verdana" w:eastAsia="Calibri" w:hAnsi="Verdana" w:cs="Arial"/>
                <w:color w:val="000000" w:themeColor="text1"/>
              </w:rPr>
            </w:pPr>
          </w:p>
          <w:p w14:paraId="49B44868" w14:textId="77777777" w:rsidR="00BC7D00" w:rsidRPr="00783D3F" w:rsidRDefault="00BC7D00" w:rsidP="00A05D8D">
            <w:pPr>
              <w:spacing w:line="276" w:lineRule="auto"/>
              <w:ind w:firstLine="708"/>
              <w:jc w:val="both"/>
              <w:rPr>
                <w:rFonts w:ascii="Verdana" w:eastAsia="Calibri" w:hAnsi="Verdana" w:cs="Arial"/>
                <w:color w:val="000000" w:themeColor="text1"/>
              </w:rPr>
            </w:pPr>
            <w:r w:rsidRPr="009A68AF">
              <w:rPr>
                <w:rFonts w:ascii="Verdana" w:eastAsia="Calibri" w:hAnsi="Verdana" w:cs="Arial"/>
                <w:color w:val="000000" w:themeColor="text1"/>
              </w:rPr>
              <w:t>Fuera de estas dos (2) situaciones, no es posible aplicar el artículo 2, numeral 4, literal g), de la Ley 1150 de 2007, ya que las normas citadas integran una causal de contratación directa que excepciona los mecanismos de selección objetiva por convocatoria pública definidos en el Estatuto General de Contratación de la Administración Pública, por lo que se interpretan restrictivamente, es decir, conforme al tenor literal de las normas.</w:t>
            </w:r>
          </w:p>
        </w:tc>
      </w:tr>
    </w:tbl>
    <w:p w14:paraId="5A3D7C3D" w14:textId="77777777" w:rsidR="00BC7D00" w:rsidRPr="00DE5508" w:rsidRDefault="00BC7D00" w:rsidP="00BC7D00">
      <w:pPr>
        <w:tabs>
          <w:tab w:val="left" w:pos="142"/>
          <w:tab w:val="left" w:pos="284"/>
        </w:tabs>
        <w:spacing w:after="0" w:line="276" w:lineRule="auto"/>
        <w:jc w:val="both"/>
        <w:rPr>
          <w:rFonts w:ascii="Verdana" w:eastAsia="Century Gothic" w:hAnsi="Verdana" w:cs="Century Gothic"/>
          <w:b/>
          <w:bCs/>
          <w:lang w:val="es-ES"/>
        </w:rPr>
      </w:pPr>
    </w:p>
    <w:p w14:paraId="03D40D3A" w14:textId="77777777" w:rsidR="00BC7D00" w:rsidRDefault="00BC7D00" w:rsidP="00BC7D00">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Pr>
          <w:rFonts w:ascii="Verdana" w:eastAsia="Century Gothic" w:hAnsi="Verdana" w:cs="Century Gothic"/>
          <w:b/>
          <w:bCs/>
        </w:rPr>
        <w:t>Razones de la respuesta:</w:t>
      </w:r>
    </w:p>
    <w:p w14:paraId="790C0E1C" w14:textId="77777777" w:rsidR="00BC7D00" w:rsidRDefault="00BC7D00" w:rsidP="00BC7D00">
      <w:pPr>
        <w:spacing w:after="0" w:line="276" w:lineRule="auto"/>
        <w:jc w:val="both"/>
        <w:rPr>
          <w:rFonts w:ascii="Verdana" w:eastAsia="Calibri" w:hAnsi="Verdana" w:cs="Arial"/>
          <w:color w:val="7030A0"/>
          <w:lang w:val="es-ES"/>
        </w:rPr>
      </w:pPr>
    </w:p>
    <w:p w14:paraId="5E86302C" w14:textId="77777777" w:rsidR="00BC7D00" w:rsidRDefault="00BC7D00" w:rsidP="00BC7D00">
      <w:pPr>
        <w:spacing w:after="0" w:line="276" w:lineRule="auto"/>
        <w:jc w:val="both"/>
        <w:rPr>
          <w:rFonts w:ascii="Verdana" w:eastAsia="Calibri" w:hAnsi="Verdana" w:cs="Arial"/>
          <w:lang w:val="es-ES"/>
        </w:rPr>
      </w:pPr>
      <w:r>
        <w:rPr>
          <w:rFonts w:ascii="Verdana" w:eastAsia="Calibri" w:hAnsi="Verdana" w:cs="Arial"/>
          <w:lang w:val="es-ES"/>
        </w:rPr>
        <w:t xml:space="preserve">Lo anterior se sustenta en las siguientes consideraciones: </w:t>
      </w:r>
    </w:p>
    <w:p w14:paraId="5CF2E651" w14:textId="77777777" w:rsidR="00BC7D00" w:rsidRDefault="00BC7D00" w:rsidP="00BC7D00">
      <w:pPr>
        <w:widowControl w:val="0"/>
        <w:autoSpaceDE w:val="0"/>
        <w:autoSpaceDN w:val="0"/>
        <w:spacing w:after="0" w:line="276" w:lineRule="auto"/>
        <w:ind w:right="176"/>
        <w:jc w:val="both"/>
        <w:rPr>
          <w:rFonts w:ascii="Verdana" w:eastAsia="Calibri" w:hAnsi="Verdana" w:cs="Arial"/>
          <w:lang w:val="es-ES"/>
        </w:rPr>
      </w:pPr>
    </w:p>
    <w:p w14:paraId="6D7AA590" w14:textId="77777777" w:rsidR="00BC7D00" w:rsidRPr="006018C8" w:rsidRDefault="00BC7D00" w:rsidP="00BC7D00">
      <w:pPr>
        <w:pStyle w:val="Prrafodelista"/>
        <w:numPr>
          <w:ilvl w:val="0"/>
          <w:numId w:val="19"/>
        </w:numPr>
        <w:tabs>
          <w:tab w:val="left" w:pos="426"/>
        </w:tabs>
        <w:spacing w:after="120" w:line="276" w:lineRule="auto"/>
        <w:ind w:left="0" w:firstLine="0"/>
        <w:jc w:val="both"/>
        <w:rPr>
          <w:rFonts w:ascii="Verdana" w:eastAsia="Calibri" w:hAnsi="Verdana" w:cs="Arial"/>
          <w:lang w:val="es-ES_tradnl"/>
        </w:rPr>
      </w:pPr>
      <w:r w:rsidRPr="006018C8">
        <w:rPr>
          <w:rFonts w:ascii="Verdana" w:eastAsia="Times New Roman" w:hAnsi="Verdana" w:cs="Arial"/>
          <w:lang w:val="es-MX" w:eastAsia="es-CO"/>
        </w:rPr>
        <w:t>Para empezar, la Ley 996 de 2005, conocida como “Ley de Garantías Electorales”, se suma al andamiaje de orden constitucional y legal que se ha ocupado de evitar la injerencia inadecuada de intereses particulares en el ejercicio de la función pública. Esta Ley tiene como propósito evitar cualquier tipo de arbitrariedad, de ventaja injustificada, de uso irregular de los recursos del Estado en las campañas o falta de garantías en la elección presidencial</w:t>
      </w:r>
      <w:r w:rsidRPr="00E2397D">
        <w:rPr>
          <w:vertAlign w:val="superscript"/>
          <w:lang w:eastAsia="es-CO"/>
        </w:rPr>
        <w:footnoteReference w:id="1"/>
      </w:r>
      <w:r w:rsidRPr="006018C8">
        <w:rPr>
          <w:rFonts w:ascii="Verdana" w:eastAsia="Times New Roman" w:hAnsi="Verdana" w:cs="Arial"/>
          <w:lang w:val="es-MX" w:eastAsia="es-CO"/>
        </w:rPr>
        <w:t xml:space="preserve">. En esta medida, introduce limitaciones para realizar nombramientos, postulaciones, </w:t>
      </w:r>
      <w:r w:rsidRPr="006018C8">
        <w:rPr>
          <w:rFonts w:ascii="Verdana" w:eastAsia="Times New Roman" w:hAnsi="Verdana" w:cs="Arial"/>
          <w:lang w:val="es-MX" w:eastAsia="es-CO"/>
        </w:rPr>
        <w:lastRenderedPageBreak/>
        <w:t>contrataciones o cualquier otro tipo de actividad que implique destinación de recursos públicos bajo el devenir propio de las Entidades Estatales.</w:t>
      </w:r>
      <w:r w:rsidRPr="006018C8">
        <w:rPr>
          <w:rFonts w:ascii="Verdana" w:eastAsia="Calibri" w:hAnsi="Verdana" w:cs="Arial"/>
          <w:lang w:val="es-ES_tradnl"/>
        </w:rPr>
        <w:t xml:space="preserve"> </w:t>
      </w:r>
    </w:p>
    <w:p w14:paraId="152E73FC" w14:textId="77777777" w:rsidR="00BC7D00" w:rsidRPr="006B14B5" w:rsidRDefault="00BC7D00" w:rsidP="00BC7D00">
      <w:pPr>
        <w:tabs>
          <w:tab w:val="left" w:pos="426"/>
        </w:tabs>
        <w:spacing w:after="0" w:line="276" w:lineRule="auto"/>
        <w:ind w:firstLine="709"/>
        <w:jc w:val="both"/>
        <w:rPr>
          <w:rFonts w:ascii="Verdana" w:eastAsia="Calibri" w:hAnsi="Verdana" w:cs="Arial"/>
          <w:lang w:val="es-ES_tradnl"/>
        </w:rPr>
      </w:pPr>
      <w:r w:rsidRPr="00E2397D">
        <w:rPr>
          <w:rFonts w:ascii="Verdana" w:eastAsia="Times New Roman" w:hAnsi="Verdana" w:cs="Arial"/>
          <w:lang w:val="es-MX" w:eastAsia="es-CO"/>
        </w:rPr>
        <w:t>En armonía con lo anterior, la Corte Constitucional ha abordado la definición de la Ley de Garantías Electorales. De esta manera, explica que tiene como propósito:</w:t>
      </w:r>
    </w:p>
    <w:p w14:paraId="322448F7" w14:textId="77777777" w:rsidR="00BC7D00" w:rsidRPr="00E2397D" w:rsidRDefault="00BC7D00" w:rsidP="00BC7D00">
      <w:pPr>
        <w:spacing w:after="0" w:line="276" w:lineRule="auto"/>
        <w:ind w:right="709"/>
        <w:contextualSpacing/>
        <w:jc w:val="both"/>
        <w:rPr>
          <w:rFonts w:ascii="Verdana" w:eastAsia="Times New Roman" w:hAnsi="Verdana" w:cs="Arial"/>
          <w:lang w:val="es-ES" w:eastAsia="es-CO"/>
        </w:rPr>
      </w:pPr>
    </w:p>
    <w:p w14:paraId="350FEAF9" w14:textId="77777777" w:rsidR="00BC7D00" w:rsidRPr="00E2397D" w:rsidRDefault="00BC7D00" w:rsidP="00BC7D00">
      <w:pPr>
        <w:spacing w:after="0" w:line="240" w:lineRule="auto"/>
        <w:ind w:left="709" w:right="709"/>
        <w:contextualSpacing/>
        <w:jc w:val="both"/>
        <w:rPr>
          <w:rFonts w:ascii="Verdana" w:eastAsia="Times New Roman" w:hAnsi="Verdana" w:cs="Arial"/>
          <w:sz w:val="20"/>
          <w:szCs w:val="20"/>
          <w:lang w:val="es-MX" w:eastAsia="es-CO"/>
        </w:rPr>
      </w:pPr>
      <w:r w:rsidRPr="00E2397D">
        <w:rPr>
          <w:rFonts w:ascii="Verdana" w:eastAsia="Times New Roman" w:hAnsi="Verdana" w:cs="Arial"/>
          <w:sz w:val="20"/>
          <w:szCs w:val="20"/>
          <w:lang w:val="es-ES" w:eastAsia="es-CO"/>
        </w:rPr>
        <w:t xml:space="preserve">“[…] </w:t>
      </w:r>
      <w:r w:rsidRPr="00E2397D">
        <w:rPr>
          <w:rFonts w:ascii="Verdana" w:eastAsia="Times New Roman" w:hAnsi="Verdana" w:cs="Arial"/>
          <w:sz w:val="20"/>
          <w:szCs w:val="20"/>
          <w:lang w:val="es-MX" w:eastAsia="es-CO"/>
        </w:rPr>
        <w:t>la definición de reglas claras que permitan acceder a los canales de expresión democrática de manera efectiva e igualitaria. El objetivo de una ley de garantías es definir esas reglas.</w:t>
      </w:r>
    </w:p>
    <w:p w14:paraId="3EB6119F" w14:textId="77777777" w:rsidR="00BC7D00" w:rsidRPr="00E2397D" w:rsidRDefault="00BC7D00" w:rsidP="00BC7D00">
      <w:pPr>
        <w:spacing w:after="0" w:line="240" w:lineRule="auto"/>
        <w:ind w:left="709" w:right="709"/>
        <w:contextualSpacing/>
        <w:jc w:val="both"/>
        <w:rPr>
          <w:rFonts w:ascii="Verdana" w:eastAsia="Times New Roman" w:hAnsi="Verdana" w:cs="Arial"/>
          <w:sz w:val="20"/>
          <w:szCs w:val="20"/>
          <w:lang w:val="es-MX" w:eastAsia="es-CO"/>
        </w:rPr>
      </w:pPr>
      <w:r>
        <w:rPr>
          <w:rFonts w:ascii="Verdana" w:eastAsia="Times New Roman" w:hAnsi="Verdana" w:cs="Arial"/>
          <w:sz w:val="20"/>
          <w:szCs w:val="20"/>
          <w:lang w:val="es-MX" w:eastAsia="es-CO"/>
        </w:rPr>
        <w:t xml:space="preserve">[…] </w:t>
      </w:r>
    </w:p>
    <w:p w14:paraId="69CEDF52" w14:textId="77777777" w:rsidR="00BC7D00" w:rsidRPr="00E2397D" w:rsidRDefault="00BC7D00" w:rsidP="00BC7D00">
      <w:pPr>
        <w:spacing w:after="0" w:line="240" w:lineRule="auto"/>
        <w:ind w:left="709" w:right="709"/>
        <w:contextualSpacing/>
        <w:jc w:val="both"/>
        <w:rPr>
          <w:rFonts w:ascii="Verdana" w:eastAsia="Times New Roman" w:hAnsi="Verdana" w:cs="Arial"/>
          <w:sz w:val="20"/>
          <w:szCs w:val="20"/>
          <w:lang w:val="es-MX" w:eastAsia="es-CO"/>
        </w:rPr>
      </w:pPr>
      <w:r w:rsidRPr="00E2397D">
        <w:rPr>
          <w:rFonts w:ascii="Verdana" w:eastAsia="Times New Roman" w:hAnsi="Verdana" w:cs="Arial"/>
          <w:sz w:val="20"/>
          <w:szCs w:val="20"/>
          <w:lang w:val="es-MX" w:eastAsia="es-CO"/>
        </w:rPr>
        <w:t>Una ley de garantías electorales es una guía para el ejercicio equitativo y transparente de la democracia representativa. Un estatuto diseñado para asegurar que la contienda democrática se cumpla en condiciones igualitarias y transparentes para a los electores. Una ley de garantías busca afianzar la neutralidad de los servidores públicos que organizan y supervisan las disputas electorales, e intenta garantizar el acceso igualitario a los canales de comunicación de los candidatos. Igualmente, una ley de garantías debe permitir que, en el debate democrático, sean las ideas y las propuestas las que definan el ascenso al poder, y no el músculo económico de los que se lo disputan”.</w:t>
      </w:r>
      <w:r w:rsidRPr="00E2397D">
        <w:rPr>
          <w:rFonts w:ascii="Verdana" w:eastAsia="Calibri" w:hAnsi="Verdana" w:cs="Arial"/>
          <w:sz w:val="20"/>
          <w:szCs w:val="20"/>
          <w:vertAlign w:val="superscript"/>
          <w:lang w:val="es-MX"/>
        </w:rPr>
        <w:footnoteReference w:id="2"/>
      </w:r>
    </w:p>
    <w:p w14:paraId="405A2F78" w14:textId="77777777" w:rsidR="00BC7D00" w:rsidRPr="00E2397D" w:rsidRDefault="00BC7D00" w:rsidP="00BC7D00">
      <w:pPr>
        <w:spacing w:after="0" w:line="276" w:lineRule="auto"/>
        <w:ind w:firstLine="709"/>
        <w:jc w:val="both"/>
        <w:rPr>
          <w:rFonts w:ascii="Verdana" w:eastAsia="Times New Roman" w:hAnsi="Verdana" w:cs="Arial"/>
          <w:lang w:val="es-MX" w:eastAsia="es-CO"/>
        </w:rPr>
      </w:pPr>
    </w:p>
    <w:p w14:paraId="5EDBF0E6" w14:textId="77777777" w:rsidR="00BC7D00" w:rsidRPr="00E2397D" w:rsidRDefault="00BC7D00" w:rsidP="00BC7D00">
      <w:pPr>
        <w:spacing w:after="0" w:line="276" w:lineRule="auto"/>
        <w:ind w:firstLine="709"/>
        <w:jc w:val="both"/>
        <w:rPr>
          <w:rFonts w:ascii="Verdana" w:eastAsia="Times New Roman" w:hAnsi="Verdana" w:cs="Arial"/>
          <w:lang w:val="es-MX" w:eastAsia="es-CO"/>
        </w:rPr>
      </w:pPr>
      <w:r w:rsidRPr="00E2397D">
        <w:rPr>
          <w:rFonts w:ascii="Verdana" w:eastAsia="Times New Roman" w:hAnsi="Verdana" w:cs="Arial"/>
          <w:lang w:val="es-MX" w:eastAsia="es-CO"/>
        </w:rPr>
        <w:t>En este contexto, la Ley de Garantías Electorales establece el marco jurídico para el desarrollo de las elecciones, procurando condiciones de igualdad y transparencia para los aspirantes. Paralelamente,</w:t>
      </w:r>
      <w:r>
        <w:rPr>
          <w:rFonts w:ascii="Verdana" w:eastAsia="Times New Roman" w:hAnsi="Verdana" w:cs="Arial"/>
          <w:lang w:val="es-MX" w:eastAsia="es-CO"/>
        </w:rPr>
        <w:t xml:space="preserve"> se incluyen restricciones en las actuaciones</w:t>
      </w:r>
      <w:r w:rsidRPr="00E2397D">
        <w:rPr>
          <w:rFonts w:ascii="Verdana" w:eastAsia="Times New Roman" w:hAnsi="Verdana" w:cs="Arial"/>
          <w:lang w:val="es-MX" w:eastAsia="es-CO"/>
        </w:rPr>
        <w:t xml:space="preserve"> de los servidores públicos, evitando interferencias en la contienda electoral, así como la posible desviación de recursos públicos en aspiraciones electorales. Por ello, varias de las disposiciones de la Ley 996 de 2005, al contener normas prohibitivas, no admiten una interpretación amplia, sino que deben interpretarse restrictivamente. En efecto, la Sala de Consulta y Servicio Civil del Consejo de Estado, pre</w:t>
      </w:r>
      <w:r>
        <w:rPr>
          <w:rFonts w:ascii="Verdana" w:eastAsia="Times New Roman" w:hAnsi="Verdana" w:cs="Arial"/>
          <w:lang w:val="es-MX" w:eastAsia="es-CO"/>
        </w:rPr>
        <w:t>cisó</w:t>
      </w:r>
      <w:r w:rsidRPr="00E2397D">
        <w:rPr>
          <w:rFonts w:ascii="Verdana" w:eastAsia="Times New Roman" w:hAnsi="Verdana" w:cs="Arial"/>
          <w:lang w:val="es-MX" w:eastAsia="es-CO"/>
        </w:rPr>
        <w:t>:</w:t>
      </w:r>
    </w:p>
    <w:p w14:paraId="36B58D62" w14:textId="77777777" w:rsidR="00BC7D00" w:rsidRPr="00886C02" w:rsidRDefault="00BC7D00" w:rsidP="00BC7D00">
      <w:pPr>
        <w:spacing w:after="0" w:line="276" w:lineRule="auto"/>
        <w:ind w:firstLine="709"/>
        <w:jc w:val="both"/>
        <w:rPr>
          <w:rFonts w:ascii="Verdana" w:eastAsia="Times New Roman" w:hAnsi="Verdana" w:cs="Arial"/>
          <w:lang w:val="es-MX" w:eastAsia="es-CO"/>
        </w:rPr>
      </w:pPr>
    </w:p>
    <w:p w14:paraId="6DFDBCAB" w14:textId="77777777" w:rsidR="00BC7D00" w:rsidRPr="00E2397D" w:rsidRDefault="00BC7D00" w:rsidP="00BC7D00">
      <w:pPr>
        <w:spacing w:after="0" w:line="240" w:lineRule="auto"/>
        <w:ind w:left="709" w:right="709"/>
        <w:contextualSpacing/>
        <w:jc w:val="both"/>
        <w:rPr>
          <w:rFonts w:ascii="Verdana" w:eastAsia="Times New Roman" w:hAnsi="Verdana" w:cs="Arial"/>
          <w:sz w:val="20"/>
          <w:szCs w:val="20"/>
          <w:lang w:val="es-MX" w:eastAsia="es-CO"/>
        </w:rPr>
      </w:pPr>
      <w:r w:rsidRPr="00E2397D">
        <w:rPr>
          <w:rFonts w:ascii="Verdana" w:eastAsia="Times New Roman" w:hAnsi="Verdana" w:cs="Arial"/>
          <w:sz w:val="20"/>
          <w:szCs w:val="20"/>
          <w:lang w:val="es-MX" w:eastAsia="es-CO"/>
        </w:rPr>
        <w:t xml:space="preserve">“No está de más recordar que las prohibiciones, en tanto limitan la libertad y los derechos de las personas, son de origen constitucional y legal; la tipificación de sus causas, vigencia, naturaleza y efectos es rígida y taxativa; y su aplicación es restrictiva, de manera que excluye la analogía </w:t>
      </w:r>
      <w:proofErr w:type="spellStart"/>
      <w:r w:rsidRPr="00E2397D">
        <w:rPr>
          <w:rFonts w:ascii="Verdana" w:eastAsia="Times New Roman" w:hAnsi="Verdana" w:cs="Arial"/>
          <w:sz w:val="20"/>
          <w:szCs w:val="20"/>
          <w:lang w:val="es-MX" w:eastAsia="es-CO"/>
        </w:rPr>
        <w:t>legis</w:t>
      </w:r>
      <w:proofErr w:type="spellEnd"/>
      <w:r w:rsidRPr="00E2397D">
        <w:rPr>
          <w:rFonts w:ascii="Verdana" w:eastAsia="Times New Roman" w:hAnsi="Verdana" w:cs="Arial"/>
          <w:sz w:val="20"/>
          <w:szCs w:val="20"/>
          <w:lang w:val="es-MX" w:eastAsia="es-CO"/>
        </w:rPr>
        <w:t xml:space="preserve"> o iuris y la interpretación extensiva. Las normas legales de contenido prohibitivo hacen parte de un conjunto de disposiciones que integran un régimen jurídico imperativo y de orden público, razón por la cual no son </w:t>
      </w:r>
      <w:r w:rsidRPr="00E2397D">
        <w:rPr>
          <w:rFonts w:ascii="Verdana" w:eastAsia="Times New Roman" w:hAnsi="Verdana" w:cs="Arial"/>
          <w:sz w:val="20"/>
          <w:szCs w:val="20"/>
          <w:lang w:val="es-MX" w:eastAsia="es-CO"/>
        </w:rPr>
        <w:lastRenderedPageBreak/>
        <w:t>disponibles ni pueden ser derogadas, modificadas, ampliadas o adicionadas por acuerdo o convenio o acto unilateral.</w:t>
      </w:r>
    </w:p>
    <w:p w14:paraId="3A3BE4AE" w14:textId="77777777" w:rsidR="00BC7D00" w:rsidRPr="00E2397D" w:rsidRDefault="00BC7D00" w:rsidP="00BC7D00">
      <w:pPr>
        <w:spacing w:after="0" w:line="240" w:lineRule="auto"/>
        <w:ind w:right="709"/>
        <w:contextualSpacing/>
        <w:jc w:val="both"/>
        <w:rPr>
          <w:rFonts w:ascii="Verdana" w:eastAsia="Times New Roman" w:hAnsi="Verdana" w:cs="Arial"/>
          <w:lang w:val="es-MX" w:eastAsia="es-CO"/>
        </w:rPr>
      </w:pPr>
    </w:p>
    <w:p w14:paraId="26C0CB18" w14:textId="77777777" w:rsidR="00BC7D00" w:rsidRPr="00E2397D" w:rsidRDefault="00BC7D00" w:rsidP="00BC7D00">
      <w:pPr>
        <w:spacing w:after="0" w:line="240" w:lineRule="auto"/>
        <w:ind w:left="709" w:right="709"/>
        <w:contextualSpacing/>
        <w:jc w:val="both"/>
        <w:rPr>
          <w:rFonts w:ascii="Verdana" w:eastAsia="Times New Roman" w:hAnsi="Verdana" w:cs="Arial"/>
          <w:sz w:val="20"/>
          <w:szCs w:val="20"/>
          <w:lang w:val="es-MX" w:eastAsia="es-CO"/>
        </w:rPr>
      </w:pPr>
      <w:r w:rsidRPr="00E2397D">
        <w:rPr>
          <w:rFonts w:ascii="Verdana" w:eastAsia="Times New Roman" w:hAnsi="Verdana" w:cs="Arial"/>
          <w:sz w:val="20"/>
          <w:szCs w:val="20"/>
          <w:lang w:val="es-MX" w:eastAsia="es-CO"/>
        </w:rPr>
        <w:t>La jurisprudencia de la Corte Constitucional</w:t>
      </w:r>
      <w:r w:rsidRPr="00E2397D">
        <w:rPr>
          <w:rFonts w:ascii="Verdana" w:eastAsia="Times New Roman" w:hAnsi="Verdana" w:cs="Arial"/>
          <w:sz w:val="20"/>
          <w:szCs w:val="20"/>
          <w:vertAlign w:val="superscript"/>
          <w:lang w:val="es-MX" w:eastAsia="es-CO"/>
        </w:rPr>
        <w:footnoteReference w:id="3"/>
      </w:r>
      <w:r w:rsidRPr="00E2397D">
        <w:rPr>
          <w:rFonts w:ascii="Verdana" w:eastAsia="Times New Roman" w:hAnsi="Verdana" w:cs="Arial"/>
          <w:sz w:val="20"/>
          <w:szCs w:val="20"/>
          <w:lang w:val="es-MX" w:eastAsia="es-CO"/>
        </w:rPr>
        <w:t> y del Consejo de Estado</w:t>
      </w:r>
      <w:r w:rsidRPr="00E2397D">
        <w:rPr>
          <w:rFonts w:ascii="Verdana" w:eastAsia="Times New Roman" w:hAnsi="Verdana" w:cs="Arial"/>
          <w:sz w:val="20"/>
          <w:szCs w:val="20"/>
          <w:vertAlign w:val="superscript"/>
          <w:lang w:val="es-MX" w:eastAsia="es-CO"/>
        </w:rPr>
        <w:footnoteReference w:id="4"/>
      </w:r>
      <w:r w:rsidRPr="00E2397D">
        <w:rPr>
          <w:rFonts w:ascii="Verdana" w:eastAsia="Times New Roman" w:hAnsi="Verdana" w:cs="Arial"/>
          <w:sz w:val="20"/>
          <w:szCs w:val="20"/>
          <w:lang w:val="es-MX" w:eastAsia="es-CO"/>
        </w:rPr>
        <w:t>, coinciden en que las normas que establecen prohibiciones deben estar de manera explícita en la Constitución o en la ley y no podrán ser excesivas ni desproporcionadas. No pueden interpretarse extensivamente sino siempre en forma restrictiva o estricta; es decir, en la aplicación de las normas prohibitivas, el intérprete solamente habrá de tener en cuenta lo que en ellas expresamente se menciona y, por tanto, no le es permitido ampliar el natural y obvio alcance de los supuestos que contemplan, pues como entrañan una limitación -así fuere justificada- a la libertad de actuar o capacidad de obrar, sobrepasar sus precisos términos comporta el desconocimiento de la voluntad del legislador”</w:t>
      </w:r>
      <w:r w:rsidRPr="00E2397D">
        <w:rPr>
          <w:rFonts w:ascii="Verdana" w:eastAsia="Times New Roman" w:hAnsi="Verdana" w:cs="Arial"/>
          <w:sz w:val="20"/>
          <w:szCs w:val="20"/>
          <w:vertAlign w:val="superscript"/>
          <w:lang w:val="es-MX" w:eastAsia="es-CO"/>
        </w:rPr>
        <w:footnoteReference w:id="5"/>
      </w:r>
      <w:r w:rsidRPr="00E2397D">
        <w:rPr>
          <w:rFonts w:ascii="Verdana" w:eastAsia="Times New Roman" w:hAnsi="Verdana" w:cs="Arial"/>
          <w:sz w:val="20"/>
          <w:szCs w:val="20"/>
          <w:lang w:val="es-MX" w:eastAsia="es-CO"/>
        </w:rPr>
        <w:t>.</w:t>
      </w:r>
    </w:p>
    <w:p w14:paraId="4D3C1010" w14:textId="77777777" w:rsidR="00BC7D00" w:rsidRPr="00E2397D" w:rsidRDefault="00BC7D00" w:rsidP="00BC7D00">
      <w:pPr>
        <w:spacing w:after="0" w:line="276" w:lineRule="auto"/>
        <w:jc w:val="both"/>
        <w:rPr>
          <w:rFonts w:ascii="Verdana" w:eastAsia="Calibri" w:hAnsi="Verdana" w:cs="Arial"/>
          <w:bCs/>
          <w:lang w:val="es-ES_tradnl"/>
        </w:rPr>
      </w:pPr>
    </w:p>
    <w:p w14:paraId="1441266F" w14:textId="77777777" w:rsidR="00BC7D00" w:rsidRPr="00B3605D" w:rsidRDefault="00BC7D00" w:rsidP="00BC7D00">
      <w:pPr>
        <w:spacing w:after="120" w:line="276" w:lineRule="auto"/>
        <w:ind w:firstLine="709"/>
        <w:jc w:val="both"/>
        <w:rPr>
          <w:rFonts w:ascii="Verdana" w:eastAsia="Arial" w:hAnsi="Verdana" w:cs="Arial"/>
          <w:lang w:val="es-ES" w:eastAsia="es-ES" w:bidi="es-ES"/>
        </w:rPr>
      </w:pPr>
      <w:r w:rsidRPr="00B3605D">
        <w:rPr>
          <w:rFonts w:ascii="Verdana" w:eastAsia="Times New Roman" w:hAnsi="Verdana" w:cs="Arial"/>
          <w:lang w:val="es-MX" w:eastAsia="es-CO"/>
        </w:rPr>
        <w:t>De</w:t>
      </w:r>
      <w:r w:rsidRPr="00B3605D">
        <w:rPr>
          <w:rFonts w:ascii="Verdana" w:eastAsia="Arial" w:hAnsi="Verdana" w:cs="Arial"/>
          <w:lang w:val="es-ES" w:eastAsia="es-ES" w:bidi="es-ES"/>
        </w:rPr>
        <w:t xml:space="preserve"> conformidad con lo anterior, la Ley de Garantías Electorales estableció una serie de regulaciones y prohibiciones dirigidas a los servidores públicos. Con la finalidad de preservar la igualdad entre los candidatos en las elecciones, aumentó las garantías en materia de contratación, de forma que no exista siquiera sospecha de que, por ese medio, en los periodos previos a la contienda electoral, se altere las condiciones de igualdad entre los candidatos. </w:t>
      </w:r>
    </w:p>
    <w:p w14:paraId="226C2407" w14:textId="77777777" w:rsidR="00BC7D00" w:rsidRDefault="00BC7D00" w:rsidP="00BC7D00">
      <w:pPr>
        <w:spacing w:after="0" w:line="276" w:lineRule="auto"/>
        <w:ind w:firstLine="709"/>
        <w:jc w:val="both"/>
        <w:rPr>
          <w:rFonts w:ascii="Verdana" w:eastAsia="Arial" w:hAnsi="Verdana" w:cs="Arial"/>
          <w:lang w:val="es-ES" w:eastAsia="es-ES" w:bidi="es-ES"/>
        </w:rPr>
      </w:pPr>
      <w:r w:rsidRPr="00B3605D">
        <w:rPr>
          <w:rFonts w:ascii="Verdana" w:eastAsia="Calibri" w:hAnsi="Verdana" w:cs="Arial"/>
          <w:lang w:val="es-ES"/>
        </w:rPr>
        <w:t xml:space="preserve">Las restricciones consagradas en la mencionada Ley se dirigen a dos tipos de campañas electorales: </w:t>
      </w:r>
      <w:r w:rsidRPr="00B3605D">
        <w:rPr>
          <w:rFonts w:ascii="Verdana" w:eastAsia="Arial" w:hAnsi="Verdana" w:cs="Arial"/>
          <w:lang w:val="es-ES" w:eastAsia="es-ES" w:bidi="es-ES"/>
        </w:rPr>
        <w:t>las presidenciales y las demás que se adelanten para la elección de los demás cargos de elección popular, tanto a nivel nacional como territorial:</w:t>
      </w:r>
    </w:p>
    <w:p w14:paraId="29AEE0C2" w14:textId="77777777" w:rsidR="00BC7D00" w:rsidRDefault="00BC7D00" w:rsidP="00BC7D00">
      <w:pPr>
        <w:spacing w:after="0" w:line="276" w:lineRule="auto"/>
        <w:ind w:firstLine="709"/>
        <w:jc w:val="both"/>
        <w:rPr>
          <w:rFonts w:ascii="Verdana" w:eastAsia="Arial" w:hAnsi="Verdana" w:cs="Arial"/>
          <w:lang w:val="es-ES" w:eastAsia="es-ES" w:bidi="es-ES"/>
        </w:rPr>
      </w:pPr>
    </w:p>
    <w:p w14:paraId="34F13F81" w14:textId="77777777" w:rsidR="00BC7D00" w:rsidRPr="00F2587B" w:rsidRDefault="00BC7D00" w:rsidP="00BC7D00">
      <w:pPr>
        <w:pStyle w:val="Prrafodelista"/>
        <w:numPr>
          <w:ilvl w:val="0"/>
          <w:numId w:val="18"/>
        </w:numPr>
        <w:spacing w:after="0" w:line="276" w:lineRule="auto"/>
        <w:jc w:val="both"/>
        <w:rPr>
          <w:rFonts w:ascii="Verdana" w:eastAsia="Arial" w:hAnsi="Verdana" w:cs="Arial"/>
          <w:i/>
          <w:lang w:eastAsia="es-ES" w:bidi="es-ES"/>
        </w:rPr>
      </w:pPr>
      <w:r w:rsidRPr="00F2587B">
        <w:rPr>
          <w:rFonts w:ascii="Verdana" w:eastAsia="Arial" w:hAnsi="Verdana" w:cs="Arial"/>
          <w:i/>
          <w:lang w:eastAsia="es-ES" w:bidi="es-ES"/>
        </w:rPr>
        <w:t xml:space="preserve">Restricciones elecciones presidenciales </w:t>
      </w:r>
    </w:p>
    <w:p w14:paraId="261E0737" w14:textId="77777777" w:rsidR="00BC7D00" w:rsidRPr="00A545DE" w:rsidRDefault="00BC7D00" w:rsidP="00BC7D00">
      <w:pPr>
        <w:pStyle w:val="Prrafodelista"/>
        <w:spacing w:after="0" w:line="276" w:lineRule="auto"/>
        <w:ind w:left="1080"/>
        <w:jc w:val="both"/>
        <w:rPr>
          <w:rFonts w:ascii="Verdana" w:eastAsia="Arial" w:hAnsi="Verdana" w:cs="Arial"/>
          <w:lang w:eastAsia="es-ES" w:bidi="es-ES"/>
        </w:rPr>
      </w:pPr>
    </w:p>
    <w:p w14:paraId="69078A2A" w14:textId="77777777" w:rsidR="00BC7D00" w:rsidRPr="00FC54ED" w:rsidRDefault="00BC7D00" w:rsidP="00BC7D00">
      <w:pPr>
        <w:spacing w:after="0" w:line="240" w:lineRule="auto"/>
        <w:ind w:left="709" w:right="703"/>
        <w:jc w:val="both"/>
        <w:rPr>
          <w:rFonts w:ascii="Verdana" w:eastAsia="Times New Roman" w:hAnsi="Verdana" w:cs="Open Sans"/>
          <w:sz w:val="20"/>
          <w:szCs w:val="20"/>
          <w:lang w:eastAsia="es-CO"/>
        </w:rPr>
      </w:pPr>
      <w:bookmarkStart w:id="1" w:name="33"/>
      <w:r>
        <w:rPr>
          <w:rFonts w:ascii="Verdana" w:eastAsia="Times New Roman" w:hAnsi="Verdana" w:cs="Open Sans"/>
          <w:b/>
          <w:bCs/>
          <w:sz w:val="20"/>
          <w:szCs w:val="20"/>
          <w:lang w:eastAsia="es-CO"/>
        </w:rPr>
        <w:t>“</w:t>
      </w:r>
      <w:r w:rsidRPr="00FC54ED">
        <w:rPr>
          <w:rFonts w:ascii="Verdana" w:eastAsia="Times New Roman" w:hAnsi="Verdana" w:cs="Open Sans"/>
          <w:b/>
          <w:bCs/>
          <w:sz w:val="20"/>
          <w:szCs w:val="20"/>
          <w:lang w:eastAsia="es-CO"/>
        </w:rPr>
        <w:t>ARTÍCULO 33. RESTRICCIONES A LA CONTRATACIÓN PÚBLICA.</w:t>
      </w:r>
      <w:bookmarkEnd w:id="1"/>
      <w:r w:rsidRPr="00FC54ED">
        <w:rPr>
          <w:rFonts w:ascii="Verdana" w:eastAsia="Times New Roman" w:hAnsi="Verdana" w:cs="Open Sans"/>
          <w:sz w:val="20"/>
          <w:szCs w:val="20"/>
          <w:lang w:eastAsia="es-CO"/>
        </w:rPr>
        <w:t xml:space="preserve">  Durante los cuatro (4) meses anteriores a la elección presidencial y hasta la realización de la elección en la segunda vuelta, si </w:t>
      </w:r>
      <w:r w:rsidRPr="00FC54ED">
        <w:rPr>
          <w:rFonts w:ascii="Verdana" w:eastAsia="Times New Roman" w:hAnsi="Verdana" w:cs="Open Sans"/>
          <w:sz w:val="20"/>
          <w:szCs w:val="20"/>
          <w:lang w:eastAsia="es-CO"/>
        </w:rPr>
        <w:lastRenderedPageBreak/>
        <w:t>fuere el caso, queda prohibida la contratación directa por parte de todos los entes del Estado.</w:t>
      </w:r>
    </w:p>
    <w:p w14:paraId="614C6E82" w14:textId="77777777" w:rsidR="00BC7D00" w:rsidRPr="00FC54ED" w:rsidRDefault="00BC7D00" w:rsidP="00BC7D00">
      <w:pPr>
        <w:spacing w:after="0" w:line="240" w:lineRule="auto"/>
        <w:ind w:left="709" w:right="703"/>
        <w:jc w:val="both"/>
        <w:rPr>
          <w:rFonts w:ascii="Verdana" w:eastAsia="Times New Roman" w:hAnsi="Verdana" w:cs="Open Sans"/>
          <w:sz w:val="20"/>
          <w:szCs w:val="20"/>
          <w:lang w:eastAsia="es-CO"/>
        </w:rPr>
      </w:pPr>
    </w:p>
    <w:p w14:paraId="4C3857BA" w14:textId="77777777" w:rsidR="00BC7D00" w:rsidRPr="00B3605D" w:rsidRDefault="00BC7D00" w:rsidP="00BC7D00">
      <w:pPr>
        <w:spacing w:after="0" w:line="240" w:lineRule="auto"/>
        <w:ind w:left="709" w:right="703"/>
        <w:jc w:val="both"/>
        <w:rPr>
          <w:rFonts w:ascii="Verdana" w:eastAsia="Times New Roman" w:hAnsi="Verdana" w:cs="Open Sans"/>
          <w:sz w:val="20"/>
          <w:szCs w:val="20"/>
          <w:lang w:eastAsia="es-CO"/>
        </w:rPr>
      </w:pPr>
      <w:r w:rsidRPr="00FC54ED">
        <w:rPr>
          <w:rFonts w:ascii="Verdana" w:eastAsia="Times New Roman" w:hAnsi="Verdana" w:cs="Open Sans"/>
          <w:sz w:val="20"/>
          <w:szCs w:val="20"/>
          <w:lang w:eastAsia="es-CO"/>
        </w:rPr>
        <w:t>Queda exceptuado lo referente a la defensa y seguridad del Estado, los contratos de crédito público, los requeridos para cubrir las emergencias educativas, sanitarias y desastres, así como también los utilizados para la reconstrucción de vías, puentes, carreteras, infraestructura energética y de comunicaciones, en caso de que hayan sido objeto de atentados, acciones terroristas, desastres naturales o casos de fuerza mayor, y los que deban realizar las entidades sanitarias y hospitalarias</w:t>
      </w:r>
      <w:r>
        <w:rPr>
          <w:rFonts w:ascii="Verdana" w:eastAsia="Times New Roman" w:hAnsi="Verdana" w:cs="Open Sans"/>
          <w:sz w:val="20"/>
          <w:szCs w:val="20"/>
          <w:lang w:eastAsia="es-CO"/>
        </w:rPr>
        <w:t>”</w:t>
      </w:r>
      <w:r w:rsidRPr="00FC54ED">
        <w:rPr>
          <w:rFonts w:ascii="Verdana" w:eastAsia="Times New Roman" w:hAnsi="Verdana" w:cs="Open Sans"/>
          <w:sz w:val="20"/>
          <w:szCs w:val="20"/>
          <w:lang w:eastAsia="es-CO"/>
        </w:rPr>
        <w:t>.</w:t>
      </w:r>
    </w:p>
    <w:p w14:paraId="288A66FE" w14:textId="77777777" w:rsidR="00BC7D00" w:rsidRDefault="00BC7D00" w:rsidP="00BC7D00">
      <w:pPr>
        <w:spacing w:after="0" w:line="276" w:lineRule="auto"/>
        <w:ind w:right="618" w:firstLine="708"/>
        <w:jc w:val="both"/>
        <w:rPr>
          <w:rFonts w:ascii="Verdana" w:eastAsia="Times New Roman" w:hAnsi="Verdana" w:cs="Open Sans"/>
          <w:lang w:eastAsia="es-CO"/>
        </w:rPr>
      </w:pPr>
    </w:p>
    <w:p w14:paraId="609DF1BE" w14:textId="77777777" w:rsidR="00BC7D00" w:rsidRDefault="00BC7D00" w:rsidP="00BC7D00">
      <w:pPr>
        <w:spacing w:after="120" w:line="276" w:lineRule="auto"/>
        <w:ind w:firstLine="709"/>
        <w:jc w:val="both"/>
        <w:rPr>
          <w:rFonts w:ascii="Verdana" w:eastAsia="Times New Roman" w:hAnsi="Verdana" w:cs="Open Sans"/>
          <w:lang w:eastAsia="es-CO"/>
        </w:rPr>
      </w:pPr>
      <w:r w:rsidRPr="00B3605D">
        <w:rPr>
          <w:rFonts w:ascii="Verdana" w:eastAsia="Times New Roman" w:hAnsi="Verdana" w:cs="Open Sans"/>
          <w:lang w:eastAsia="es-CO"/>
        </w:rPr>
        <w:t xml:space="preserve">Como se puede observar, el artículo 33 de la Ley 996 de 2205 prohíbe la contratación directa por parte de todos los entes estatales durante los cuatro </w:t>
      </w:r>
      <w:r>
        <w:rPr>
          <w:rFonts w:ascii="Verdana" w:eastAsia="Times New Roman" w:hAnsi="Verdana" w:cs="Open Sans"/>
          <w:lang w:eastAsia="es-CO"/>
        </w:rPr>
        <w:t>(4)</w:t>
      </w:r>
      <w:r w:rsidRPr="00B3605D">
        <w:rPr>
          <w:rFonts w:ascii="Verdana" w:eastAsia="Times New Roman" w:hAnsi="Verdana" w:cs="Open Sans"/>
          <w:lang w:eastAsia="es-CO"/>
        </w:rPr>
        <w:t xml:space="preserve"> meses anteriores a las elecciones presidenciales y dispone las excepciones a dicha prohibición. </w:t>
      </w:r>
      <w:r>
        <w:rPr>
          <w:rFonts w:ascii="Verdana" w:eastAsia="Times New Roman" w:hAnsi="Verdana" w:cs="Open Sans"/>
          <w:lang w:eastAsia="es-CO"/>
        </w:rPr>
        <w:t>Así, su ámbito de prohibición está delimitado por la expresión “</w:t>
      </w:r>
      <w:r w:rsidRPr="006A640E">
        <w:rPr>
          <w:rFonts w:ascii="Verdana" w:eastAsia="Times New Roman" w:hAnsi="Verdana" w:cs="Open Sans"/>
          <w:lang w:eastAsia="es-CO"/>
        </w:rPr>
        <w:t>queda prohibida la contratación directa</w:t>
      </w:r>
      <w:r>
        <w:rPr>
          <w:rFonts w:ascii="Verdana" w:eastAsia="Times New Roman" w:hAnsi="Verdana" w:cs="Open Sans"/>
          <w:lang w:eastAsia="es-CO"/>
        </w:rPr>
        <w:t xml:space="preserve">” y </w:t>
      </w:r>
      <w:r w:rsidRPr="006A640E">
        <w:rPr>
          <w:rFonts w:ascii="Verdana" w:eastAsia="Times New Roman" w:hAnsi="Verdana" w:cs="Open Sans"/>
          <w:lang w:eastAsia="es-CO"/>
        </w:rPr>
        <w:t>para los efectos de la Ley de Garantías</w:t>
      </w:r>
      <w:r>
        <w:rPr>
          <w:rFonts w:ascii="Verdana" w:eastAsia="Times New Roman" w:hAnsi="Verdana" w:cs="Open Sans"/>
          <w:lang w:eastAsia="es-CO"/>
        </w:rPr>
        <w:t xml:space="preserve"> </w:t>
      </w:r>
      <w:r w:rsidRPr="006A640E">
        <w:rPr>
          <w:rFonts w:ascii="Verdana" w:eastAsia="Times New Roman" w:hAnsi="Verdana" w:cs="Open Sans"/>
          <w:lang w:eastAsia="es-CO"/>
        </w:rPr>
        <w:t>Electorales y, en particular, para la prohibición o restricción temporal contenida en su</w:t>
      </w:r>
      <w:r>
        <w:rPr>
          <w:rFonts w:ascii="Verdana" w:eastAsia="Times New Roman" w:hAnsi="Verdana" w:cs="Open Sans"/>
          <w:lang w:eastAsia="es-CO"/>
        </w:rPr>
        <w:t xml:space="preserve"> </w:t>
      </w:r>
      <w:r w:rsidRPr="006A640E">
        <w:rPr>
          <w:rFonts w:ascii="Verdana" w:eastAsia="Times New Roman" w:hAnsi="Verdana" w:cs="Open Sans"/>
          <w:lang w:eastAsia="es-CO"/>
        </w:rPr>
        <w:t xml:space="preserve">artículo 33, </w:t>
      </w:r>
      <w:r>
        <w:rPr>
          <w:rFonts w:ascii="Verdana" w:eastAsia="Times New Roman" w:hAnsi="Verdana" w:cs="Open Sans"/>
          <w:lang w:eastAsia="es-CO"/>
        </w:rPr>
        <w:t>“</w:t>
      </w:r>
      <w:r w:rsidRPr="006A640E">
        <w:rPr>
          <w:rFonts w:ascii="Verdana" w:eastAsia="Times New Roman" w:hAnsi="Verdana" w:cs="Open Sans"/>
          <w:lang w:eastAsia="es-CO"/>
        </w:rPr>
        <w:t>contratación directa</w:t>
      </w:r>
      <w:r>
        <w:rPr>
          <w:rFonts w:ascii="Verdana" w:eastAsia="Times New Roman" w:hAnsi="Verdana" w:cs="Open Sans"/>
          <w:lang w:eastAsia="es-CO"/>
        </w:rPr>
        <w:t>”</w:t>
      </w:r>
      <w:r w:rsidRPr="006A640E">
        <w:rPr>
          <w:rFonts w:ascii="Verdana" w:eastAsia="Times New Roman" w:hAnsi="Verdana" w:cs="Open Sans"/>
          <w:lang w:eastAsia="es-CO"/>
        </w:rPr>
        <w:t xml:space="preserve"> es cualquier sistema de selección o procedimiento</w:t>
      </w:r>
      <w:r>
        <w:rPr>
          <w:rFonts w:ascii="Verdana" w:eastAsia="Times New Roman" w:hAnsi="Verdana" w:cs="Open Sans"/>
          <w:lang w:eastAsia="es-CO"/>
        </w:rPr>
        <w:t xml:space="preserve"> </w:t>
      </w:r>
      <w:r w:rsidRPr="006A640E">
        <w:rPr>
          <w:rFonts w:ascii="Verdana" w:eastAsia="Times New Roman" w:hAnsi="Verdana" w:cs="Open Sans"/>
          <w:lang w:eastAsia="es-CO"/>
        </w:rPr>
        <w:t>de contratación utilizado por las entidades estatales que no incluya la convocatoria</w:t>
      </w:r>
      <w:r>
        <w:rPr>
          <w:rFonts w:ascii="Verdana" w:eastAsia="Times New Roman" w:hAnsi="Verdana" w:cs="Open Sans"/>
          <w:lang w:eastAsia="es-CO"/>
        </w:rPr>
        <w:t xml:space="preserve"> </w:t>
      </w:r>
      <w:r w:rsidRPr="006A640E">
        <w:rPr>
          <w:rFonts w:ascii="Verdana" w:eastAsia="Times New Roman" w:hAnsi="Verdana" w:cs="Open Sans"/>
          <w:lang w:eastAsia="es-CO"/>
        </w:rPr>
        <w:t>pública en alguna de sus etapas, ni permita la participación de una pluralidad de</w:t>
      </w:r>
      <w:r>
        <w:rPr>
          <w:rFonts w:ascii="Verdana" w:eastAsia="Times New Roman" w:hAnsi="Verdana" w:cs="Open Sans"/>
          <w:lang w:eastAsia="es-CO"/>
        </w:rPr>
        <w:t xml:space="preserve"> </w:t>
      </w:r>
      <w:r w:rsidRPr="006A640E">
        <w:rPr>
          <w:rFonts w:ascii="Verdana" w:eastAsia="Times New Roman" w:hAnsi="Verdana" w:cs="Open Sans"/>
          <w:lang w:eastAsia="es-CO"/>
        </w:rPr>
        <w:t>oferentes</w:t>
      </w:r>
      <w:r>
        <w:rPr>
          <w:rStyle w:val="Refdenotaalpie"/>
          <w:rFonts w:ascii="Verdana" w:eastAsia="Times New Roman" w:hAnsi="Verdana" w:cs="Open Sans"/>
          <w:lang w:eastAsia="es-CO"/>
        </w:rPr>
        <w:footnoteReference w:id="6"/>
      </w:r>
      <w:r>
        <w:rPr>
          <w:rFonts w:ascii="Verdana" w:eastAsia="Times New Roman" w:hAnsi="Verdana" w:cs="Open Sans"/>
          <w:lang w:eastAsia="es-CO"/>
        </w:rPr>
        <w:t>.</w:t>
      </w:r>
    </w:p>
    <w:p w14:paraId="264FED34" w14:textId="77777777" w:rsidR="00BC7D00" w:rsidRDefault="00BC7D00" w:rsidP="00BC7D00">
      <w:pPr>
        <w:spacing w:after="120" w:line="276" w:lineRule="auto"/>
        <w:ind w:firstLine="709"/>
        <w:jc w:val="both"/>
        <w:rPr>
          <w:rFonts w:ascii="Verdana" w:eastAsia="Times New Roman" w:hAnsi="Verdana" w:cs="Open Sans"/>
          <w:lang w:eastAsia="es-CO"/>
        </w:rPr>
      </w:pPr>
      <w:r w:rsidRPr="00A545DE">
        <w:rPr>
          <w:rFonts w:ascii="Verdana" w:eastAsia="Times New Roman" w:hAnsi="Verdana" w:cs="Open Sans"/>
          <w:lang w:eastAsia="es-CO"/>
        </w:rPr>
        <w:t>De lo anterior se desprende que la restricción aplica, sin perjuicio de las excepciones establecidas en la misma ley, para celebrar cualquier contrato de</w:t>
      </w:r>
      <w:r w:rsidRPr="006A640E">
        <w:rPr>
          <w:rFonts w:ascii="Verdana" w:eastAsia="Times New Roman" w:hAnsi="Verdana" w:cs="Open Sans"/>
          <w:lang w:eastAsia="es-CO"/>
        </w:rPr>
        <w:t xml:space="preserve"> forma</w:t>
      </w:r>
      <w:r>
        <w:rPr>
          <w:rFonts w:ascii="Verdana" w:eastAsia="Times New Roman" w:hAnsi="Verdana" w:cs="Open Sans"/>
          <w:lang w:eastAsia="es-CO"/>
        </w:rPr>
        <w:t xml:space="preserve"> </w:t>
      </w:r>
      <w:r w:rsidRPr="006A640E">
        <w:rPr>
          <w:rFonts w:ascii="Verdana" w:eastAsia="Times New Roman" w:hAnsi="Verdana" w:cs="Open Sans"/>
          <w:lang w:eastAsia="es-CO"/>
        </w:rPr>
        <w:t>directa</w:t>
      </w:r>
      <w:r>
        <w:rPr>
          <w:rFonts w:ascii="Verdana" w:eastAsia="Times New Roman" w:hAnsi="Verdana" w:cs="Open Sans"/>
          <w:lang w:eastAsia="es-CO"/>
        </w:rPr>
        <w:t xml:space="preserve">, esto es, </w:t>
      </w:r>
      <w:r w:rsidRPr="006A640E">
        <w:rPr>
          <w:rFonts w:ascii="Verdana" w:eastAsia="Times New Roman" w:hAnsi="Verdana" w:cs="Open Sans"/>
          <w:lang w:eastAsia="es-CO"/>
        </w:rPr>
        <w:t>sin que exista un proceso abierto y competitivo. Por tanto, no son</w:t>
      </w:r>
      <w:r>
        <w:rPr>
          <w:rFonts w:ascii="Verdana" w:eastAsia="Times New Roman" w:hAnsi="Verdana" w:cs="Open Sans"/>
          <w:lang w:eastAsia="es-CO"/>
        </w:rPr>
        <w:t xml:space="preserve"> </w:t>
      </w:r>
      <w:r w:rsidRPr="006A640E">
        <w:rPr>
          <w:rFonts w:ascii="Verdana" w:eastAsia="Times New Roman" w:hAnsi="Verdana" w:cs="Open Sans"/>
          <w:lang w:eastAsia="es-CO"/>
        </w:rPr>
        <w:t>materia de la prohibición las demás modalidades de selección previstas en la Ley</w:t>
      </w:r>
      <w:r>
        <w:rPr>
          <w:rFonts w:ascii="Verdana" w:eastAsia="Times New Roman" w:hAnsi="Verdana" w:cs="Open Sans"/>
          <w:lang w:eastAsia="es-CO"/>
        </w:rPr>
        <w:t xml:space="preserve"> </w:t>
      </w:r>
      <w:r w:rsidRPr="006A640E">
        <w:rPr>
          <w:rFonts w:ascii="Verdana" w:eastAsia="Times New Roman" w:hAnsi="Verdana" w:cs="Open Sans"/>
          <w:lang w:eastAsia="es-CO"/>
        </w:rPr>
        <w:t>1150 de 2007, es decir, la licitación pública, el concurso de méritos, la selección</w:t>
      </w:r>
      <w:r>
        <w:rPr>
          <w:rFonts w:ascii="Verdana" w:eastAsia="Times New Roman" w:hAnsi="Verdana" w:cs="Open Sans"/>
          <w:lang w:eastAsia="es-CO"/>
        </w:rPr>
        <w:t xml:space="preserve"> </w:t>
      </w:r>
      <w:r w:rsidRPr="006A640E">
        <w:rPr>
          <w:rFonts w:ascii="Verdana" w:eastAsia="Times New Roman" w:hAnsi="Verdana" w:cs="Open Sans"/>
          <w:lang w:eastAsia="es-CO"/>
        </w:rPr>
        <w:t>abreviada y la contratación de mínima cuantía, razón por la cual en el período</w:t>
      </w:r>
      <w:r>
        <w:rPr>
          <w:rFonts w:ascii="Verdana" w:eastAsia="Times New Roman" w:hAnsi="Verdana" w:cs="Open Sans"/>
          <w:lang w:eastAsia="es-CO"/>
        </w:rPr>
        <w:t xml:space="preserve"> </w:t>
      </w:r>
      <w:r w:rsidRPr="006A640E">
        <w:rPr>
          <w:rFonts w:ascii="Verdana" w:eastAsia="Times New Roman" w:hAnsi="Verdana" w:cs="Open Sans"/>
          <w:lang w:eastAsia="es-CO"/>
        </w:rPr>
        <w:t>preelectoral de que trata la disposición las entidades públicas pueden seguir</w:t>
      </w:r>
      <w:r>
        <w:rPr>
          <w:rFonts w:ascii="Verdana" w:eastAsia="Times New Roman" w:hAnsi="Verdana" w:cs="Open Sans"/>
          <w:lang w:eastAsia="es-CO"/>
        </w:rPr>
        <w:t xml:space="preserve"> </w:t>
      </w:r>
      <w:r w:rsidRPr="006A640E">
        <w:rPr>
          <w:rFonts w:ascii="Verdana" w:eastAsia="Times New Roman" w:hAnsi="Verdana" w:cs="Open Sans"/>
          <w:lang w:eastAsia="es-CO"/>
        </w:rPr>
        <w:t>contratando bajo estos sistemas.</w:t>
      </w:r>
    </w:p>
    <w:p w14:paraId="634B9BEF" w14:textId="77777777" w:rsidR="00BC7D00" w:rsidRDefault="00BC7D00" w:rsidP="00BC7D00">
      <w:pPr>
        <w:spacing w:after="120" w:line="276" w:lineRule="auto"/>
        <w:ind w:firstLine="709"/>
        <w:jc w:val="both"/>
        <w:rPr>
          <w:rFonts w:ascii="Verdana" w:hAnsi="Verdana"/>
          <w:iCs/>
        </w:rPr>
      </w:pPr>
      <w:r>
        <w:rPr>
          <w:rFonts w:ascii="Verdana" w:eastAsia="Times New Roman" w:hAnsi="Verdana" w:cs="Open Sans"/>
          <w:lang w:eastAsia="es-CO"/>
        </w:rPr>
        <w:t>Ahora bien</w:t>
      </w:r>
      <w:r w:rsidRPr="006A640E">
        <w:rPr>
          <w:rFonts w:ascii="Verdana" w:hAnsi="Verdana"/>
        </w:rPr>
        <w:t>,</w:t>
      </w:r>
      <w:r>
        <w:rPr>
          <w:rFonts w:ascii="Verdana" w:hAnsi="Verdana"/>
        </w:rPr>
        <w:t xml:space="preserve"> el ordenamiento jurídico contempla una serie de</w:t>
      </w:r>
      <w:r w:rsidRPr="006A640E">
        <w:rPr>
          <w:rFonts w:ascii="Verdana" w:hAnsi="Verdana"/>
        </w:rPr>
        <w:t xml:space="preserve"> excepciones a la restricción </w:t>
      </w:r>
      <w:r>
        <w:rPr>
          <w:rFonts w:ascii="Verdana" w:hAnsi="Verdana"/>
        </w:rPr>
        <w:t>de contratación directa</w:t>
      </w:r>
      <w:r w:rsidRPr="006A640E">
        <w:rPr>
          <w:rFonts w:ascii="Verdana" w:hAnsi="Verdana"/>
        </w:rPr>
        <w:t xml:space="preserve"> prevista en la Ley de Garantías</w:t>
      </w:r>
      <w:r>
        <w:rPr>
          <w:rFonts w:ascii="Verdana" w:hAnsi="Verdana"/>
        </w:rPr>
        <w:t xml:space="preserve"> Electorales</w:t>
      </w:r>
      <w:r w:rsidRPr="006A640E">
        <w:rPr>
          <w:rFonts w:ascii="Verdana" w:hAnsi="Verdana"/>
        </w:rPr>
        <w:t>, con fundamento en las cuales podrán las entidades públicas adelantar procedimientos de selección directa en períodos previos a la contienda electoral por la Presidencia</w:t>
      </w:r>
      <w:r>
        <w:rPr>
          <w:rFonts w:ascii="Verdana" w:hAnsi="Verdana"/>
        </w:rPr>
        <w:t>. Estas excepciones</w:t>
      </w:r>
      <w:r w:rsidRPr="006A640E">
        <w:rPr>
          <w:rFonts w:ascii="Verdana" w:hAnsi="Verdana"/>
        </w:rPr>
        <w:t xml:space="preserve"> se encuentran consagradas de manera taxativa en el inciso final del citado artículo 33 de la Ley 996 de 2005 </w:t>
      </w:r>
      <w:r w:rsidRPr="006A640E">
        <w:rPr>
          <w:rFonts w:ascii="Verdana" w:hAnsi="Verdana"/>
        </w:rPr>
        <w:lastRenderedPageBreak/>
        <w:t xml:space="preserve">en lo referente a: i) la defensa y seguridad del Estado; </w:t>
      </w:r>
      <w:proofErr w:type="spellStart"/>
      <w:r w:rsidRPr="006A640E">
        <w:rPr>
          <w:rFonts w:ascii="Verdana" w:hAnsi="Verdana"/>
        </w:rPr>
        <w:t>ii</w:t>
      </w:r>
      <w:proofErr w:type="spellEnd"/>
      <w:r w:rsidRPr="006A640E">
        <w:rPr>
          <w:rFonts w:ascii="Verdana" w:hAnsi="Verdana"/>
        </w:rPr>
        <w:t xml:space="preserve">) los contratos de crédito público; </w:t>
      </w:r>
      <w:proofErr w:type="spellStart"/>
      <w:r w:rsidRPr="006A640E">
        <w:rPr>
          <w:rFonts w:ascii="Verdana" w:hAnsi="Verdana"/>
        </w:rPr>
        <w:t>iii</w:t>
      </w:r>
      <w:proofErr w:type="spellEnd"/>
      <w:r w:rsidRPr="006A640E">
        <w:rPr>
          <w:rFonts w:ascii="Verdana" w:hAnsi="Verdana"/>
        </w:rPr>
        <w:t xml:space="preserve">) los requeridos para cubrir las emergencias educativas, sanitarias y desastres; </w:t>
      </w:r>
      <w:proofErr w:type="spellStart"/>
      <w:r w:rsidRPr="006A640E">
        <w:rPr>
          <w:rFonts w:ascii="Verdana" w:hAnsi="Verdana"/>
        </w:rPr>
        <w:t>iv</w:t>
      </w:r>
      <w:proofErr w:type="spellEnd"/>
      <w:r w:rsidRPr="006A640E">
        <w:rPr>
          <w:rFonts w:ascii="Verdana" w:hAnsi="Verdana"/>
        </w:rPr>
        <w:t xml:space="preserve">) los utilizados para la reconstrucción de vías, puentes, carreteras, infraestructura energética y de comunicaciones, en caso de que hayan sido objeto de atentados, acciones terroristas, desastres naturales o casos de fuerza mayor; y, v) </w:t>
      </w:r>
      <w:r w:rsidRPr="005A1342">
        <w:rPr>
          <w:rFonts w:ascii="Verdana" w:hAnsi="Verdana"/>
          <w:iCs/>
        </w:rPr>
        <w:t>los que deban realizar las entidades sanitarias y hospitalarias.</w:t>
      </w:r>
    </w:p>
    <w:p w14:paraId="66AA1AEE" w14:textId="77777777" w:rsidR="00BC7D00" w:rsidRDefault="00BC7D00" w:rsidP="00BC7D00">
      <w:pPr>
        <w:spacing w:after="120" w:line="276" w:lineRule="auto"/>
        <w:ind w:firstLine="709"/>
        <w:jc w:val="both"/>
        <w:rPr>
          <w:rFonts w:ascii="Verdana" w:hAnsi="Verdana"/>
        </w:rPr>
      </w:pPr>
      <w:r>
        <w:rPr>
          <w:rFonts w:ascii="Verdana" w:eastAsia="Times New Roman" w:hAnsi="Verdana" w:cs="Open Sans"/>
          <w:lang w:eastAsia="es-CO"/>
        </w:rPr>
        <w:t>Por s</w:t>
      </w:r>
      <w:r w:rsidRPr="00D44FF2">
        <w:rPr>
          <w:rFonts w:ascii="Verdana" w:eastAsia="Times New Roman" w:hAnsi="Verdana" w:cs="Open Sans"/>
          <w:lang w:eastAsia="es-CO"/>
        </w:rPr>
        <w:t xml:space="preserve">u parte, </w:t>
      </w:r>
      <w:r w:rsidRPr="00D44FF2">
        <w:rPr>
          <w:rFonts w:ascii="Verdana" w:hAnsi="Verdana"/>
        </w:rPr>
        <w:t xml:space="preserve">los destinatarios de la prohibición están expresamente señalados como </w:t>
      </w:r>
      <w:r>
        <w:rPr>
          <w:rFonts w:ascii="Verdana" w:hAnsi="Verdana"/>
        </w:rPr>
        <w:t>“</w:t>
      </w:r>
      <w:r w:rsidRPr="00D44FF2">
        <w:rPr>
          <w:rFonts w:ascii="Verdana" w:hAnsi="Verdana"/>
        </w:rPr>
        <w:t>todos los entes del Estado</w:t>
      </w:r>
      <w:r>
        <w:rPr>
          <w:rFonts w:ascii="Verdana" w:hAnsi="Verdana"/>
        </w:rPr>
        <w:t>”</w:t>
      </w:r>
      <w:r w:rsidRPr="00D44FF2">
        <w:rPr>
          <w:rFonts w:ascii="Verdana" w:hAnsi="Verdana"/>
        </w:rPr>
        <w:t xml:space="preserve">, expresión que contempla a los diferentes organismos o entidades autorizadas por la ley para suscribir contratos. En efecto, tal como lo ha sostenido el Consejo de Estado, el vocablo </w:t>
      </w:r>
      <w:r>
        <w:rPr>
          <w:rFonts w:ascii="Verdana" w:hAnsi="Verdana"/>
        </w:rPr>
        <w:t>“</w:t>
      </w:r>
      <w:r w:rsidRPr="00D44FF2">
        <w:rPr>
          <w:rFonts w:ascii="Verdana" w:hAnsi="Verdana"/>
        </w:rPr>
        <w:t>todos</w:t>
      </w:r>
      <w:r>
        <w:rPr>
          <w:rFonts w:ascii="Verdana" w:hAnsi="Verdana"/>
        </w:rPr>
        <w:t>”</w:t>
      </w:r>
      <w:r w:rsidRPr="00D44FF2">
        <w:rPr>
          <w:rFonts w:ascii="Verdana" w:hAnsi="Verdana"/>
        </w:rPr>
        <w:t xml:space="preserve"> utilizado por el legislador comprende a la totalidad de los entes del Estado, sin distinción del régimen jurídico, forma de organización o naturaleza, su pertenencia a una u otra rama del poder público o su autonomía, e incluso si las entidades estatales tienen régimen especial de contratación y están exceptuadas del ámbito de aplicación del Estatuto General de Contratación de la Administración Pública.</w:t>
      </w:r>
      <w:r>
        <w:rPr>
          <w:rFonts w:ascii="Verdana" w:hAnsi="Verdana"/>
        </w:rPr>
        <w:t xml:space="preserve"> </w:t>
      </w:r>
    </w:p>
    <w:p w14:paraId="26D80703" w14:textId="77777777" w:rsidR="00BC7D00" w:rsidRPr="00F2587B" w:rsidRDefault="00BC7D00" w:rsidP="00BC7D00">
      <w:pPr>
        <w:pStyle w:val="Prrafodelista"/>
        <w:numPr>
          <w:ilvl w:val="0"/>
          <w:numId w:val="18"/>
        </w:numPr>
        <w:spacing w:after="0" w:line="276" w:lineRule="auto"/>
        <w:contextualSpacing w:val="0"/>
        <w:jc w:val="both"/>
        <w:rPr>
          <w:rFonts w:ascii="Verdana" w:eastAsia="Times New Roman" w:hAnsi="Verdana" w:cs="Open Sans"/>
          <w:i/>
          <w:lang w:eastAsia="es-CO"/>
        </w:rPr>
      </w:pPr>
      <w:r w:rsidRPr="00F2587B">
        <w:rPr>
          <w:rFonts w:ascii="Verdana" w:eastAsia="Times New Roman" w:hAnsi="Verdana" w:cs="Open Sans"/>
          <w:i/>
          <w:lang w:eastAsia="es-CO"/>
        </w:rPr>
        <w:t xml:space="preserve">Restricciones demás elecciones </w:t>
      </w:r>
    </w:p>
    <w:p w14:paraId="4891BCCE" w14:textId="77777777" w:rsidR="00BC7D00" w:rsidRDefault="00BC7D00" w:rsidP="00BC7D00">
      <w:pPr>
        <w:spacing w:after="0" w:line="276" w:lineRule="auto"/>
        <w:jc w:val="both"/>
        <w:rPr>
          <w:rFonts w:ascii="Verdana" w:eastAsia="Times New Roman" w:hAnsi="Verdana" w:cs="Open Sans"/>
          <w:lang w:eastAsia="es-CO"/>
        </w:rPr>
      </w:pPr>
    </w:p>
    <w:p w14:paraId="1A0505F4" w14:textId="77777777" w:rsidR="00BC7D00" w:rsidRPr="00D61E29" w:rsidRDefault="00BC7D00" w:rsidP="00BC7D00">
      <w:pPr>
        <w:spacing w:after="0" w:line="276" w:lineRule="auto"/>
        <w:jc w:val="both"/>
        <w:rPr>
          <w:rFonts w:ascii="Verdana" w:eastAsia="Times New Roman" w:hAnsi="Verdana" w:cs="Open Sans"/>
          <w:lang w:eastAsia="es-CO"/>
        </w:rPr>
      </w:pPr>
      <w:r w:rsidRPr="00D61E29">
        <w:rPr>
          <w:rFonts w:ascii="Verdana" w:eastAsia="Times New Roman" w:hAnsi="Verdana" w:cs="Open Sans"/>
          <w:lang w:eastAsia="es-CO"/>
        </w:rPr>
        <w:t xml:space="preserve">Adicionalmente, el parágrafo del artículo 38 </w:t>
      </w:r>
      <w:r w:rsidRPr="00D61E29">
        <w:rPr>
          <w:rFonts w:ascii="Verdana" w:eastAsia="Calibri" w:hAnsi="Verdana" w:cs="Arial"/>
        </w:rPr>
        <w:t>prevé una restricción, aplicable respecto de cualquier tipo de contienda electoral, como sigue:</w:t>
      </w:r>
    </w:p>
    <w:p w14:paraId="4DC21052" w14:textId="77777777" w:rsidR="00BC7D00" w:rsidRDefault="00BC7D00" w:rsidP="00BC7D00">
      <w:pPr>
        <w:pStyle w:val="NormalWeb"/>
        <w:spacing w:before="0" w:beforeAutospacing="0" w:after="0" w:afterAutospacing="0" w:line="276" w:lineRule="auto"/>
        <w:ind w:left="709" w:right="616"/>
        <w:jc w:val="both"/>
        <w:rPr>
          <w:rStyle w:val="baj"/>
          <w:rFonts w:ascii="Verdana" w:eastAsiaTheme="minorHAnsi" w:hAnsi="Verdana" w:cs="Open Sans"/>
          <w:b/>
          <w:sz w:val="20"/>
          <w:szCs w:val="20"/>
          <w:lang w:eastAsia="en-US"/>
        </w:rPr>
      </w:pPr>
    </w:p>
    <w:p w14:paraId="28F8F9D9" w14:textId="77777777" w:rsidR="00BC7D00" w:rsidRPr="00D61E29" w:rsidRDefault="00BC7D00" w:rsidP="00BC7D00">
      <w:pPr>
        <w:pStyle w:val="NormalWeb"/>
        <w:spacing w:before="0" w:beforeAutospacing="0" w:after="0" w:afterAutospacing="0"/>
        <w:ind w:left="709" w:right="709"/>
        <w:jc w:val="both"/>
        <w:rPr>
          <w:rFonts w:ascii="Verdana" w:hAnsi="Verdana" w:cs="Open Sans"/>
          <w:sz w:val="20"/>
          <w:szCs w:val="20"/>
        </w:rPr>
      </w:pPr>
      <w:r>
        <w:rPr>
          <w:rStyle w:val="baj"/>
          <w:rFonts w:ascii="Verdana" w:hAnsi="Verdana" w:cs="Open Sans"/>
          <w:b/>
          <w:bCs/>
          <w:sz w:val="20"/>
          <w:szCs w:val="20"/>
        </w:rPr>
        <w:t>“</w:t>
      </w:r>
      <w:r w:rsidRPr="00D61E29">
        <w:rPr>
          <w:rStyle w:val="baj"/>
          <w:rFonts w:ascii="Verdana" w:hAnsi="Verdana" w:cs="Open Sans"/>
          <w:b/>
          <w:bCs/>
          <w:sz w:val="20"/>
          <w:szCs w:val="20"/>
        </w:rPr>
        <w:t>PARÁGRAFO.</w:t>
      </w:r>
      <w:r w:rsidRPr="00D61E29">
        <w:rPr>
          <w:rFonts w:ascii="Verdana" w:hAnsi="Verdana" w:cs="Open Sans"/>
          <w:sz w:val="20"/>
          <w:szCs w:val="20"/>
        </w:rPr>
        <w:t> Los gobernadores, alcaldes municipales y/o distritales, secretarios, gerentes y directores de entidades descentralizadas del orden municipal, departamental o distrital, dentro de los cuatro (4) meses anteriores a las elecciones, no podrán celebrar convenios interadministrativos para la ejecución de recursos públicos, ni participar, promover y destinar recursos públicos de las entidades a su cargo, como tampoco de las que participen como miembros de sus juntas directivas, en o para reuniones de carácter proselitista.</w:t>
      </w:r>
    </w:p>
    <w:p w14:paraId="7295CE6C" w14:textId="77777777" w:rsidR="00BC7D00" w:rsidRPr="00D61E29" w:rsidRDefault="00BC7D00" w:rsidP="00BC7D00">
      <w:pPr>
        <w:pStyle w:val="NormalWeb"/>
        <w:spacing w:before="0" w:beforeAutospacing="0" w:after="0" w:afterAutospacing="0"/>
        <w:ind w:left="709" w:right="709"/>
        <w:jc w:val="both"/>
        <w:rPr>
          <w:rFonts w:ascii="Verdana" w:hAnsi="Verdana" w:cs="Open Sans"/>
          <w:sz w:val="20"/>
          <w:szCs w:val="20"/>
        </w:rPr>
      </w:pPr>
    </w:p>
    <w:p w14:paraId="781D0835" w14:textId="77777777" w:rsidR="00BC7D00" w:rsidRPr="00D61E29" w:rsidRDefault="00BC7D00" w:rsidP="00BC7D00">
      <w:pPr>
        <w:pStyle w:val="NormalWeb"/>
        <w:spacing w:before="0" w:beforeAutospacing="0" w:after="0" w:afterAutospacing="0"/>
        <w:ind w:left="709" w:right="709"/>
        <w:jc w:val="both"/>
        <w:rPr>
          <w:rFonts w:ascii="Verdana" w:hAnsi="Verdana" w:cs="Open Sans"/>
          <w:sz w:val="20"/>
          <w:szCs w:val="20"/>
        </w:rPr>
      </w:pPr>
      <w:r w:rsidRPr="00D61E29">
        <w:rPr>
          <w:rFonts w:ascii="Verdana" w:hAnsi="Verdana" w:cs="Open Sans"/>
          <w:sz w:val="20"/>
          <w:szCs w:val="20"/>
        </w:rPr>
        <w:t xml:space="preserve">Tampoco podrán inaugurar obras públicas o </w:t>
      </w:r>
      <w:proofErr w:type="gramStart"/>
      <w:r w:rsidRPr="00D61E29">
        <w:rPr>
          <w:rFonts w:ascii="Verdana" w:hAnsi="Verdana" w:cs="Open Sans"/>
          <w:sz w:val="20"/>
          <w:szCs w:val="20"/>
        </w:rPr>
        <w:t>dar inicio a</w:t>
      </w:r>
      <w:proofErr w:type="gramEnd"/>
      <w:r w:rsidRPr="00D61E29">
        <w:rPr>
          <w:rFonts w:ascii="Verdana" w:hAnsi="Verdana" w:cs="Open Sans"/>
          <w:sz w:val="20"/>
          <w:szCs w:val="20"/>
        </w:rPr>
        <w:t xml:space="preserve"> programas de carácter social en reuniones o eventos en los que participen candidatos a la Presidencia y Vicepresidencia de la República, el Congreso de la República, gobernaciones departamentales, asambleas departamentales, alcaldías y concejos municipales o distritales. Tampoco podrán hacerlo cuando participen voceros de los candidatos.</w:t>
      </w:r>
    </w:p>
    <w:p w14:paraId="0CD0C694" w14:textId="77777777" w:rsidR="00BC7D00" w:rsidRDefault="00BC7D00" w:rsidP="00BC7D00">
      <w:pPr>
        <w:pStyle w:val="NormalWeb"/>
        <w:spacing w:before="0" w:beforeAutospacing="0" w:after="0" w:afterAutospacing="0"/>
        <w:ind w:left="709" w:right="709"/>
        <w:jc w:val="both"/>
        <w:rPr>
          <w:rFonts w:ascii="Verdana" w:hAnsi="Verdana" w:cs="Open Sans"/>
          <w:sz w:val="20"/>
          <w:szCs w:val="20"/>
        </w:rPr>
      </w:pPr>
    </w:p>
    <w:p w14:paraId="405ECFD7" w14:textId="77777777" w:rsidR="00BC7D00" w:rsidRPr="00D61E29" w:rsidRDefault="00BC7D00" w:rsidP="00BC7D00">
      <w:pPr>
        <w:pStyle w:val="NormalWeb"/>
        <w:spacing w:before="0" w:beforeAutospacing="0" w:after="0" w:afterAutospacing="0"/>
        <w:ind w:left="709" w:right="709"/>
        <w:jc w:val="both"/>
        <w:rPr>
          <w:rFonts w:ascii="Verdana" w:hAnsi="Verdana" w:cs="Open Sans"/>
          <w:sz w:val="20"/>
          <w:szCs w:val="20"/>
        </w:rPr>
      </w:pPr>
      <w:r w:rsidRPr="00D61E29">
        <w:rPr>
          <w:rFonts w:ascii="Verdana" w:hAnsi="Verdana" w:cs="Open Sans"/>
          <w:sz w:val="20"/>
          <w:szCs w:val="20"/>
        </w:rPr>
        <w:t xml:space="preserve">No podrán autorizar la utilización de inmuebles o bienes muebles de carácter público para actividades proselitistas, ni para facilitar el </w:t>
      </w:r>
      <w:r w:rsidRPr="00D61E29">
        <w:rPr>
          <w:rFonts w:ascii="Verdana" w:hAnsi="Verdana" w:cs="Open Sans"/>
          <w:sz w:val="20"/>
          <w:szCs w:val="20"/>
        </w:rPr>
        <w:lastRenderedPageBreak/>
        <w:t>alojamiento, ni el transporte de electores de candidatos a cargos de elección popular. Tampoco podrán hacerlo cuando participen voceros de los candidatos.</w:t>
      </w:r>
    </w:p>
    <w:p w14:paraId="10584E2A" w14:textId="77777777" w:rsidR="00BC7D00" w:rsidRDefault="00BC7D00" w:rsidP="00BC7D00">
      <w:pPr>
        <w:pStyle w:val="NormalWeb"/>
        <w:spacing w:before="0" w:beforeAutospacing="0" w:after="0" w:afterAutospacing="0"/>
        <w:ind w:left="709" w:right="709"/>
        <w:jc w:val="both"/>
        <w:rPr>
          <w:rFonts w:ascii="Verdana" w:hAnsi="Verdana" w:cs="Open Sans"/>
          <w:sz w:val="20"/>
          <w:szCs w:val="20"/>
        </w:rPr>
      </w:pPr>
    </w:p>
    <w:p w14:paraId="26BB59AE" w14:textId="77777777" w:rsidR="00BC7D00" w:rsidRPr="00D61E29" w:rsidRDefault="00BC7D00" w:rsidP="00BC7D00">
      <w:pPr>
        <w:pStyle w:val="NormalWeb"/>
        <w:spacing w:before="0" w:beforeAutospacing="0" w:after="0" w:afterAutospacing="0"/>
        <w:ind w:left="709" w:right="709"/>
        <w:jc w:val="both"/>
        <w:rPr>
          <w:rFonts w:ascii="Verdana" w:hAnsi="Verdana" w:cs="Open Sans"/>
          <w:sz w:val="20"/>
          <w:szCs w:val="20"/>
        </w:rPr>
      </w:pPr>
      <w:r w:rsidRPr="00D61E29">
        <w:rPr>
          <w:rFonts w:ascii="Verdana" w:hAnsi="Verdana" w:cs="Open Sans"/>
          <w:sz w:val="20"/>
          <w:szCs w:val="20"/>
        </w:rPr>
        <w:t>La nómina del respectivo ente territorial o entidad no se podrá modificar dentro de los cuatro (4) meses anteriores a las elecciones a cargos de elección popular, salvo que se trate de provisión de cargos por faltas definitivas, con ocasión de muerte o renuncia irrevocable del cargo correspondiente debidamente aceptada, y en los casos de aplicación de las normas de carrera administrativa</w:t>
      </w:r>
      <w:r>
        <w:rPr>
          <w:rFonts w:ascii="Verdana" w:hAnsi="Verdana" w:cs="Open Sans"/>
          <w:sz w:val="20"/>
          <w:szCs w:val="20"/>
        </w:rPr>
        <w:t>”</w:t>
      </w:r>
      <w:r w:rsidRPr="00D61E29">
        <w:rPr>
          <w:rFonts w:ascii="Verdana" w:hAnsi="Verdana" w:cs="Open Sans"/>
          <w:sz w:val="20"/>
          <w:szCs w:val="20"/>
        </w:rPr>
        <w:t>.</w:t>
      </w:r>
    </w:p>
    <w:p w14:paraId="7C6C396E" w14:textId="77777777" w:rsidR="00BC7D00" w:rsidRDefault="00BC7D00" w:rsidP="00BC7D00">
      <w:pPr>
        <w:widowControl w:val="0"/>
        <w:autoSpaceDE w:val="0"/>
        <w:autoSpaceDN w:val="0"/>
        <w:spacing w:after="0" w:line="276" w:lineRule="auto"/>
        <w:ind w:right="113"/>
        <w:contextualSpacing/>
        <w:jc w:val="both"/>
      </w:pPr>
    </w:p>
    <w:p w14:paraId="5EE42D44" w14:textId="77777777" w:rsidR="00BC7D00" w:rsidRPr="00775AB1" w:rsidRDefault="00BC7D00" w:rsidP="00BC7D00">
      <w:pPr>
        <w:spacing w:after="120" w:line="276" w:lineRule="auto"/>
        <w:ind w:firstLine="709"/>
        <w:jc w:val="both"/>
        <w:rPr>
          <w:rFonts w:ascii="Verdana" w:eastAsia="Times New Roman" w:hAnsi="Verdana" w:cs="Arial"/>
          <w:lang w:val="es-MX" w:eastAsia="es-CO"/>
        </w:rPr>
      </w:pPr>
      <w:r w:rsidRPr="00E2397D">
        <w:rPr>
          <w:rFonts w:ascii="Verdana" w:eastAsia="Arial" w:hAnsi="Verdana" w:cs="Arial"/>
          <w:lang w:val="es-MX" w:eastAsia="es-ES" w:bidi="es-ES"/>
        </w:rPr>
        <w:t>De esta manera, s</w:t>
      </w:r>
      <w:proofErr w:type="spellStart"/>
      <w:r w:rsidRPr="00E2397D">
        <w:rPr>
          <w:rFonts w:ascii="Verdana" w:eastAsia="Times New Roman" w:hAnsi="Verdana" w:cs="Arial"/>
          <w:lang w:eastAsia="es-CO"/>
        </w:rPr>
        <w:t>e</w:t>
      </w:r>
      <w:proofErr w:type="spellEnd"/>
      <w:r w:rsidRPr="00E2397D">
        <w:rPr>
          <w:rFonts w:ascii="Verdana" w:eastAsia="Times New Roman" w:hAnsi="Verdana" w:cs="Arial"/>
          <w:lang w:eastAsia="es-CO"/>
        </w:rPr>
        <w:t xml:space="preserve"> observa entonces </w:t>
      </w:r>
      <w:bookmarkStart w:id="2" w:name="_Hlk207205098"/>
      <w:r w:rsidRPr="00E2397D">
        <w:rPr>
          <w:rFonts w:ascii="Verdana" w:eastAsia="Times New Roman" w:hAnsi="Verdana" w:cs="Arial"/>
          <w:lang w:eastAsia="es-CO"/>
        </w:rPr>
        <w:t xml:space="preserve">que </w:t>
      </w:r>
      <w:r w:rsidRPr="00E2397D">
        <w:rPr>
          <w:rFonts w:ascii="Verdana" w:eastAsia="Times New Roman" w:hAnsi="Verdana" w:cs="Arial"/>
          <w:lang w:val="es-MX" w:eastAsia="es-CO"/>
        </w:rPr>
        <w:t xml:space="preserve">el parágrafo del artículo 38 de la Ley 996 de 2005 prohíbe a los </w:t>
      </w:r>
      <w:proofErr w:type="gramStart"/>
      <w:r w:rsidRPr="00E2397D">
        <w:rPr>
          <w:rFonts w:ascii="Verdana" w:eastAsia="Times New Roman" w:hAnsi="Verdana" w:cs="Arial"/>
          <w:lang w:val="es-MX" w:eastAsia="es-CO"/>
        </w:rPr>
        <w:t>Alcaldes</w:t>
      </w:r>
      <w:proofErr w:type="gramEnd"/>
      <w:r w:rsidRPr="00E2397D">
        <w:rPr>
          <w:rFonts w:ascii="Verdana" w:eastAsia="Times New Roman" w:hAnsi="Verdana" w:cs="Arial"/>
          <w:lang w:val="es-MX" w:eastAsia="es-CO"/>
        </w:rPr>
        <w:t xml:space="preserve">, Gobernadores, </w:t>
      </w:r>
      <w:proofErr w:type="gramStart"/>
      <w:r w:rsidRPr="00E2397D">
        <w:rPr>
          <w:rFonts w:ascii="Verdana" w:eastAsia="Times New Roman" w:hAnsi="Verdana" w:cs="Arial"/>
          <w:lang w:val="es-MX" w:eastAsia="es-CO"/>
        </w:rPr>
        <w:t>Secretarios</w:t>
      </w:r>
      <w:proofErr w:type="gramEnd"/>
      <w:r w:rsidRPr="00E2397D">
        <w:rPr>
          <w:rFonts w:ascii="Verdana" w:eastAsia="Times New Roman" w:hAnsi="Verdana" w:cs="Arial"/>
          <w:lang w:val="es-MX" w:eastAsia="es-CO"/>
        </w:rPr>
        <w:t xml:space="preserve">, Gerentes y </w:t>
      </w:r>
      <w:proofErr w:type="gramStart"/>
      <w:r w:rsidRPr="00E2397D">
        <w:rPr>
          <w:rFonts w:ascii="Verdana" w:eastAsia="Times New Roman" w:hAnsi="Verdana" w:cs="Arial"/>
          <w:lang w:val="es-MX" w:eastAsia="es-CO"/>
        </w:rPr>
        <w:t>Directores</w:t>
      </w:r>
      <w:proofErr w:type="gramEnd"/>
      <w:r w:rsidRPr="00E2397D">
        <w:rPr>
          <w:rFonts w:ascii="Verdana" w:eastAsia="Times New Roman" w:hAnsi="Verdana" w:cs="Arial"/>
          <w:lang w:val="es-MX" w:eastAsia="es-CO"/>
        </w:rPr>
        <w:t xml:space="preserve"> de las entidades </w:t>
      </w:r>
      <w:r>
        <w:rPr>
          <w:rFonts w:ascii="Verdana" w:eastAsia="Times New Roman" w:hAnsi="Verdana" w:cs="Arial"/>
          <w:lang w:val="es-MX" w:eastAsia="es-CO"/>
        </w:rPr>
        <w:t xml:space="preserve">descentralizadas </w:t>
      </w:r>
      <w:r w:rsidRPr="00E2397D">
        <w:rPr>
          <w:rFonts w:ascii="Verdana" w:eastAsia="Times New Roman" w:hAnsi="Verdana" w:cs="Arial"/>
          <w:lang w:val="es-MX" w:eastAsia="es-CO"/>
        </w:rPr>
        <w:t xml:space="preserve">del orden municipal, departamental o distrital celebrar </w:t>
      </w:r>
      <w:r w:rsidRPr="00E2397D">
        <w:rPr>
          <w:rFonts w:ascii="Verdana" w:eastAsia="Times New Roman" w:hAnsi="Verdana" w:cs="Arial"/>
          <w:i/>
          <w:iCs/>
          <w:lang w:val="es-MX" w:eastAsia="es-CO"/>
        </w:rPr>
        <w:t>convenios interadministrativos</w:t>
      </w:r>
      <w:r w:rsidRPr="00E2397D">
        <w:rPr>
          <w:rFonts w:ascii="Verdana" w:eastAsia="Times New Roman" w:hAnsi="Verdana" w:cs="Arial"/>
          <w:lang w:val="es-MX" w:eastAsia="es-CO"/>
        </w:rPr>
        <w:t xml:space="preserve"> para la ejecución de recursos públicos. En este sentido, si una o ambas partes de la relación contractual es una entidad de aquellas descritas en el parágrafo </w:t>
      </w:r>
      <w:r w:rsidRPr="00E2397D">
        <w:rPr>
          <w:rFonts w:ascii="Verdana" w:eastAsia="Times New Roman" w:hAnsi="Verdana" w:cs="Arial"/>
          <w:i/>
          <w:lang w:val="es-MX" w:eastAsia="es-CO"/>
        </w:rPr>
        <w:t>ibidem</w:t>
      </w:r>
      <w:r w:rsidRPr="00E2397D">
        <w:rPr>
          <w:rFonts w:ascii="Verdana" w:eastAsia="Times New Roman" w:hAnsi="Verdana" w:cs="Arial"/>
          <w:lang w:val="es-MX" w:eastAsia="es-CO"/>
        </w:rPr>
        <w:t>,</w:t>
      </w:r>
      <w:r>
        <w:rPr>
          <w:rFonts w:ascii="Verdana" w:eastAsia="Times New Roman" w:hAnsi="Verdana" w:cs="Arial"/>
          <w:lang w:val="es-MX" w:eastAsia="es-CO"/>
        </w:rPr>
        <w:t xml:space="preserve"> </w:t>
      </w:r>
      <w:r w:rsidRPr="00E2397D">
        <w:rPr>
          <w:rFonts w:ascii="Verdana" w:eastAsia="Times New Roman" w:hAnsi="Verdana" w:cs="Arial"/>
          <w:lang w:val="es-MX" w:eastAsia="es-CO"/>
        </w:rPr>
        <w:t xml:space="preserve">no podrá celebrar tales </w:t>
      </w:r>
      <w:r w:rsidRPr="00E2397D">
        <w:rPr>
          <w:rFonts w:ascii="Verdana" w:eastAsia="Times New Roman" w:hAnsi="Verdana" w:cs="Arial"/>
          <w:i/>
          <w:iCs/>
          <w:lang w:val="es-MX" w:eastAsia="es-CO"/>
        </w:rPr>
        <w:t>convenios</w:t>
      </w:r>
      <w:r w:rsidRPr="00E2397D">
        <w:rPr>
          <w:rFonts w:ascii="Verdana" w:eastAsia="Times New Roman" w:hAnsi="Verdana" w:cs="Arial"/>
          <w:lang w:val="es-MX" w:eastAsia="es-CO"/>
        </w:rPr>
        <w:t xml:space="preserve"> durante la aplicación de la Ley de Garantías Electorales, toda vez que la citada disposición hace referencia a dicha tipología contractual sin que el legislador hubiere contemplado un efecto extensivo a otra tipología. </w:t>
      </w:r>
      <w:bookmarkEnd w:id="2"/>
    </w:p>
    <w:p w14:paraId="72A970BA" w14:textId="77777777" w:rsidR="00BC7D00" w:rsidRPr="00D61E29" w:rsidRDefault="00BC7D00" w:rsidP="00BC7D00">
      <w:pPr>
        <w:widowControl w:val="0"/>
        <w:autoSpaceDE w:val="0"/>
        <w:autoSpaceDN w:val="0"/>
        <w:spacing w:after="0" w:line="276" w:lineRule="auto"/>
        <w:ind w:firstLine="708"/>
        <w:contextualSpacing/>
        <w:jc w:val="both"/>
        <w:rPr>
          <w:rFonts w:ascii="Verdana" w:eastAsia="Arial" w:hAnsi="Verdana" w:cs="Arial"/>
          <w:lang w:val="es-ES" w:eastAsia="es-ES" w:bidi="es-ES"/>
        </w:rPr>
      </w:pPr>
      <w:r w:rsidRPr="00D61E29">
        <w:rPr>
          <w:rFonts w:ascii="Verdana" w:eastAsia="Arial" w:hAnsi="Verdana" w:cs="Arial"/>
          <w:lang w:val="es-ES" w:eastAsia="es-ES" w:bidi="es-ES"/>
        </w:rPr>
        <w:t>La Sala de Consulta y Servicio Civil del Consejo de Estado ha aclarado la distinción en la aplicación de las prohibiciones de la Ley 996 de 2005, dependiendo del tipo de elección que se trate. Al respecto, considera:</w:t>
      </w:r>
    </w:p>
    <w:p w14:paraId="69568668" w14:textId="77777777" w:rsidR="00BC7D00" w:rsidRPr="00D61E29" w:rsidRDefault="00BC7D00" w:rsidP="00BC7D00">
      <w:pPr>
        <w:widowControl w:val="0"/>
        <w:autoSpaceDE w:val="0"/>
        <w:autoSpaceDN w:val="0"/>
        <w:spacing w:after="0" w:line="240" w:lineRule="auto"/>
        <w:ind w:left="805" w:right="812"/>
        <w:contextualSpacing/>
        <w:jc w:val="both"/>
        <w:rPr>
          <w:rFonts w:ascii="Verdana" w:eastAsia="Arial" w:hAnsi="Verdana" w:cs="Arial"/>
          <w:lang w:val="es-ES" w:eastAsia="es-ES" w:bidi="es-ES"/>
        </w:rPr>
      </w:pPr>
    </w:p>
    <w:p w14:paraId="376F20EB" w14:textId="77777777" w:rsidR="00BC7D00" w:rsidRPr="00D61E29" w:rsidRDefault="00BC7D00" w:rsidP="00BC7D00">
      <w:pPr>
        <w:widowControl w:val="0"/>
        <w:autoSpaceDE w:val="0"/>
        <w:autoSpaceDN w:val="0"/>
        <w:spacing w:after="0" w:line="240" w:lineRule="auto"/>
        <w:ind w:left="709" w:right="709"/>
        <w:jc w:val="both"/>
        <w:rPr>
          <w:rFonts w:ascii="Verdana" w:eastAsia="Arial" w:hAnsi="Verdana" w:cs="Arial"/>
          <w:sz w:val="20"/>
          <w:szCs w:val="20"/>
          <w:lang w:eastAsia="es-ES" w:bidi="es-ES"/>
        </w:rPr>
      </w:pPr>
      <w:r w:rsidRPr="00D61E29">
        <w:rPr>
          <w:rFonts w:ascii="Verdana" w:eastAsia="Arial" w:hAnsi="Verdana" w:cs="Arial"/>
          <w:sz w:val="20"/>
          <w:szCs w:val="20"/>
          <w:lang w:eastAsia="es-ES" w:bidi="es-ES"/>
        </w:rPr>
        <w:t xml:space="preserve">“La interpretación sistemática de las disposiciones consagradas en los artículos 32, 33 y el parágrafo del artículo 38 de la ley 996 de 2.005 lleva a concluir que dichas normas contienen restricciones y prohibiciones para periodos preelectorales diferentes; las dos primeras, de manera específica para los cuatro meses anteriores a la elección presidencial; el último, de manera más genérica para los cuatro meses anteriores a las elecciones  para cualquier cargo de elección popular a que se refiere la ley –incluido el de Presidente de la República-; de manera que dichas restricciones no se excluyen sino que se integran parcialmente, lo que permite concluir que en periodo preelectoral para elección de Presidente de la República, a todos los entes del Estado, incluidos los territoriales, se aplican las restricciones de los artículos 32 y 33 con sus excepciones, así como las del parágrafo del artículo 38. En cambio, para elecciones en general, excluyendo las correspondientes a </w:t>
      </w:r>
      <w:proofErr w:type="gramStart"/>
      <w:r w:rsidRPr="00D61E29">
        <w:rPr>
          <w:rFonts w:ascii="Verdana" w:eastAsia="Arial" w:hAnsi="Verdana" w:cs="Arial"/>
          <w:sz w:val="20"/>
          <w:szCs w:val="20"/>
          <w:lang w:eastAsia="es-ES" w:bidi="es-ES"/>
        </w:rPr>
        <w:t>Presidente</w:t>
      </w:r>
      <w:proofErr w:type="gramEnd"/>
      <w:r w:rsidRPr="00D61E29">
        <w:rPr>
          <w:rFonts w:ascii="Verdana" w:eastAsia="Arial" w:hAnsi="Verdana" w:cs="Arial"/>
          <w:sz w:val="20"/>
          <w:szCs w:val="20"/>
          <w:lang w:eastAsia="es-ES" w:bidi="es-ES"/>
        </w:rPr>
        <w:t xml:space="preserve"> de la República, a las autoridades territoriales allí mencionadas sólo se aplican las restricciones </w:t>
      </w:r>
      <w:r w:rsidRPr="00D61E29">
        <w:rPr>
          <w:rFonts w:ascii="Verdana" w:eastAsia="Arial" w:hAnsi="Verdana" w:cs="Arial"/>
          <w:sz w:val="20"/>
          <w:szCs w:val="20"/>
          <w:lang w:eastAsia="es-ES" w:bidi="es-ES"/>
        </w:rPr>
        <w:lastRenderedPageBreak/>
        <w:t>contenidas en el parágrafo del artículo 38”.</w:t>
      </w:r>
      <w:r w:rsidRPr="00D61E29">
        <w:rPr>
          <w:rFonts w:ascii="Verdana" w:eastAsia="Arial" w:hAnsi="Verdana" w:cs="Arial"/>
          <w:sz w:val="20"/>
          <w:szCs w:val="20"/>
          <w:vertAlign w:val="superscript"/>
          <w:lang w:eastAsia="es-ES" w:bidi="es-ES"/>
        </w:rPr>
        <w:footnoteReference w:id="7"/>
      </w:r>
    </w:p>
    <w:p w14:paraId="3D4EA8BE" w14:textId="77777777" w:rsidR="00BC7D00" w:rsidRPr="00D61E29" w:rsidRDefault="00BC7D00" w:rsidP="00BC7D00">
      <w:pPr>
        <w:widowControl w:val="0"/>
        <w:autoSpaceDE w:val="0"/>
        <w:autoSpaceDN w:val="0"/>
        <w:spacing w:after="0" w:line="276" w:lineRule="auto"/>
        <w:ind w:left="709" w:right="709"/>
        <w:jc w:val="both"/>
        <w:rPr>
          <w:rFonts w:ascii="Verdana" w:eastAsia="Arial" w:hAnsi="Verdana" w:cs="Arial"/>
          <w:sz w:val="20"/>
          <w:szCs w:val="20"/>
          <w:lang w:eastAsia="es-ES" w:bidi="es-ES"/>
        </w:rPr>
      </w:pPr>
    </w:p>
    <w:p w14:paraId="0DAC64E8" w14:textId="77777777" w:rsidR="00BC7D00" w:rsidRPr="00947721" w:rsidRDefault="00BC7D00" w:rsidP="00BC7D00">
      <w:pPr>
        <w:autoSpaceDE w:val="0"/>
        <w:autoSpaceDN w:val="0"/>
        <w:adjustRightInd w:val="0"/>
        <w:spacing w:after="120" w:line="276" w:lineRule="auto"/>
        <w:ind w:firstLine="708"/>
        <w:jc w:val="both"/>
        <w:rPr>
          <w:rFonts w:ascii="Verdana" w:hAnsi="Verdana" w:cs="BCDHEE+Verdana"/>
          <w:color w:val="000000"/>
        </w:rPr>
      </w:pPr>
      <w:r w:rsidRPr="00947721">
        <w:rPr>
          <w:rFonts w:ascii="Verdana" w:hAnsi="Verdana" w:cs="BCDHEE+Verdana"/>
          <w:color w:val="000000"/>
        </w:rPr>
        <w:t xml:space="preserve">Finalmente, sobre las fechas en que aplica la Ley de </w:t>
      </w:r>
      <w:r w:rsidRPr="00E75C6D">
        <w:rPr>
          <w:rFonts w:ascii="Verdana" w:hAnsi="Verdana" w:cs="BCDHEE+Verdana"/>
          <w:color w:val="000000"/>
        </w:rPr>
        <w:t xml:space="preserve">Garantías </w:t>
      </w:r>
      <w:proofErr w:type="spellStart"/>
      <w:r w:rsidRPr="00E75C6D">
        <w:rPr>
          <w:rFonts w:ascii="Verdana" w:hAnsi="Verdana" w:cs="BCDHEE+Verdana"/>
          <w:color w:val="000000"/>
        </w:rPr>
        <w:t>Elecotrales</w:t>
      </w:r>
      <w:proofErr w:type="spellEnd"/>
      <w:r w:rsidRPr="00947721">
        <w:rPr>
          <w:rFonts w:ascii="Verdana" w:hAnsi="Verdana" w:cs="BCDHEE+Verdana"/>
          <w:color w:val="000000"/>
        </w:rPr>
        <w:t>, se debe tener en cuenta que el Consejo Nacional Electoral mediante Resolución No. 2581 del 5 de marzo de 2025 fijó el calendario electoral para las elecciones al Congreso de la República que serán el 8 de marzo de 2026</w:t>
      </w:r>
      <w:r>
        <w:rPr>
          <w:rFonts w:ascii="Verdana" w:hAnsi="Verdana" w:cs="BCDHEE+Verdana"/>
          <w:color w:val="000000"/>
        </w:rPr>
        <w:t>. E</w:t>
      </w:r>
      <w:r w:rsidRPr="00947721">
        <w:rPr>
          <w:rFonts w:ascii="Verdana" w:hAnsi="Verdana" w:cs="BCDHEE+Verdana"/>
          <w:color w:val="000000"/>
        </w:rPr>
        <w:t>n esa medida, de acuerdo con el artículo 38 de la Ley 996 de 2005, la restricción inici</w:t>
      </w:r>
      <w:r>
        <w:rPr>
          <w:rFonts w:ascii="Verdana" w:hAnsi="Verdana" w:cs="BCDHEE+Verdana"/>
          <w:color w:val="000000"/>
        </w:rPr>
        <w:t>ó</w:t>
      </w:r>
      <w:r w:rsidRPr="00947721">
        <w:rPr>
          <w:rFonts w:ascii="Verdana" w:hAnsi="Verdana" w:cs="BCDHEE+Verdana"/>
          <w:color w:val="000000"/>
        </w:rPr>
        <w:t xml:space="preserve"> el 8 de noviembre de 2025, es decir, </w:t>
      </w:r>
      <w:r>
        <w:rPr>
          <w:rFonts w:ascii="Verdana" w:hAnsi="Verdana" w:cs="BCDHEE+Verdana"/>
          <w:color w:val="000000"/>
        </w:rPr>
        <w:t>cuatro (</w:t>
      </w:r>
      <w:r w:rsidRPr="00947721">
        <w:rPr>
          <w:rFonts w:ascii="Verdana" w:hAnsi="Verdana" w:cs="BCDHEE+Verdana"/>
          <w:color w:val="000000"/>
        </w:rPr>
        <w:t>4</w:t>
      </w:r>
      <w:r>
        <w:rPr>
          <w:rFonts w:ascii="Verdana" w:hAnsi="Verdana" w:cs="BCDHEE+Verdana"/>
          <w:color w:val="000000"/>
        </w:rPr>
        <w:t>)</w:t>
      </w:r>
      <w:r w:rsidRPr="00947721">
        <w:rPr>
          <w:rFonts w:ascii="Verdana" w:hAnsi="Verdana" w:cs="BCDHEE+Verdana"/>
          <w:color w:val="000000"/>
        </w:rPr>
        <w:t xml:space="preserve"> meses antes de la fecha de las elecciones, y las restricciones que se aplican son que prohíbe a los gobernadores, alcaldes municipales o distritales, secretarios, gerentes y directores de entidades descentralizadas del orden municipal, departamental o distrital celebrar convenios interadministrativos para la ejecución de recursos públicos, ni participar, promover y destinar recursos públicos de las entidades a su cargo, como tampoco de las que participen como miembros de sus juntas directivas, en o para reuniones de carácter proselitista. </w:t>
      </w:r>
    </w:p>
    <w:p w14:paraId="29A7D0A1" w14:textId="77777777" w:rsidR="00BC7D00" w:rsidRPr="00B92E7C" w:rsidRDefault="00BC7D00" w:rsidP="00BC7D00">
      <w:pPr>
        <w:spacing w:after="120" w:line="276" w:lineRule="auto"/>
        <w:ind w:firstLine="708"/>
        <w:jc w:val="both"/>
        <w:rPr>
          <w:rFonts w:ascii="Verdana" w:hAnsi="Verdana" w:cs="BCDHEE+Verdana"/>
          <w:color w:val="000000"/>
        </w:rPr>
      </w:pPr>
      <w:r w:rsidRPr="00DE5508">
        <w:rPr>
          <w:rFonts w:ascii="Verdana" w:hAnsi="Verdana" w:cs="BCDHEE+Verdana"/>
          <w:color w:val="000000"/>
        </w:rPr>
        <w:t xml:space="preserve">Para las elecciones presidenciales, el Consejo Nacional Electoral mediante Resolución No. 2580 del 5 de marzo de 2025 fijó el calendario electoral para las elecciones de Presidente y Vicepresidente de la República en primera vuelta que se celebrarán el 31 de mayo de 2026, por lo que las restricciones a aplicar son las del artículo 33 de la Ley 996 de 2005 que dispone que dentro de los </w:t>
      </w:r>
      <w:r>
        <w:rPr>
          <w:rFonts w:ascii="Verdana" w:hAnsi="Verdana" w:cs="BCDHEE+Verdana"/>
          <w:color w:val="000000"/>
        </w:rPr>
        <w:t>cuatro (</w:t>
      </w:r>
      <w:r w:rsidRPr="00DE5508">
        <w:rPr>
          <w:rFonts w:ascii="Verdana" w:hAnsi="Verdana" w:cs="BCDHEE+Verdana"/>
          <w:color w:val="000000"/>
        </w:rPr>
        <w:t>4</w:t>
      </w:r>
      <w:r>
        <w:rPr>
          <w:rFonts w:ascii="Verdana" w:hAnsi="Verdana" w:cs="BCDHEE+Verdana"/>
          <w:color w:val="000000"/>
        </w:rPr>
        <w:t>)</w:t>
      </w:r>
      <w:r w:rsidRPr="00DE5508">
        <w:rPr>
          <w:rFonts w:ascii="Verdana" w:hAnsi="Verdana" w:cs="BCDHEE+Verdana"/>
          <w:color w:val="000000"/>
        </w:rPr>
        <w:t xml:space="preserve"> meses anteriores a la elección presidencial, es decir desde el 31 de enero de 2026 y hasta el momento de la celebración de la segunda vuelta, si fuere el caso, queda prohibida la contratación directa por parte de todos los entes del Estado</w:t>
      </w:r>
      <w:r w:rsidRPr="00B92E7C">
        <w:rPr>
          <w:rFonts w:ascii="Verdana" w:hAnsi="Verdana" w:cs="BCDHEE+Verdana"/>
          <w:color w:val="000000"/>
        </w:rPr>
        <w:t>.</w:t>
      </w:r>
    </w:p>
    <w:p w14:paraId="25FB7ABE" w14:textId="77777777" w:rsidR="00BC7D00" w:rsidRDefault="00BC7D00" w:rsidP="00BC7D00">
      <w:pPr>
        <w:spacing w:after="120" w:line="276" w:lineRule="auto"/>
        <w:ind w:firstLine="709"/>
        <w:jc w:val="both"/>
        <w:rPr>
          <w:rFonts w:ascii="Verdana" w:eastAsia="Arial" w:hAnsi="Verdana" w:cs="Arial"/>
          <w:bCs/>
          <w:color w:val="000000" w:themeColor="text1"/>
        </w:rPr>
      </w:pPr>
      <w:r w:rsidRPr="00FF007A">
        <w:rPr>
          <w:rFonts w:ascii="Verdana" w:eastAsia="Arial" w:hAnsi="Verdana" w:cs="Arial"/>
          <w:bCs/>
          <w:color w:val="000000" w:themeColor="text1"/>
        </w:rPr>
        <w:t xml:space="preserve">Conforme con lo expuesto, las entidades que requieran adelantar procesos de contratación directa durante el periodo de garantías electorales deberán analizar, primero, si se configuran los supuestos establecidos en </w:t>
      </w:r>
      <w:r w:rsidRPr="00FF007A">
        <w:rPr>
          <w:rFonts w:ascii="Verdana" w:eastAsia="Arial" w:hAnsi="Verdana" w:cs="Arial"/>
          <w:bCs/>
          <w:i/>
          <w:iCs/>
          <w:color w:val="000000" w:themeColor="text1"/>
        </w:rPr>
        <w:t>el artículo 33</w:t>
      </w:r>
      <w:r w:rsidRPr="00FF007A">
        <w:rPr>
          <w:rFonts w:ascii="Verdana" w:eastAsia="Arial" w:hAnsi="Verdana" w:cs="Arial"/>
          <w:bCs/>
          <w:color w:val="000000" w:themeColor="text1"/>
        </w:rPr>
        <w:t xml:space="preserve"> de la Ley 996 de 2005, es decir, si se trata de cualquier entidad pública que pretenda adelantar un proceso no competitivo. Adicionalmente, será pertinente analizar si se configura alguna de las excepciones previstas en la norma. En este caso, será relevante determinar si la contratación </w:t>
      </w:r>
      <w:r>
        <w:rPr>
          <w:rFonts w:ascii="Verdana" w:eastAsia="Arial" w:hAnsi="Verdana" w:cs="Arial"/>
          <w:bCs/>
          <w:color w:val="000000" w:themeColor="text1"/>
        </w:rPr>
        <w:t>del proveedor exclusivo-</w:t>
      </w:r>
      <w:r w:rsidRPr="00FF007A">
        <w:rPr>
          <w:rFonts w:ascii="Verdana" w:eastAsia="Arial" w:hAnsi="Verdana" w:cs="Arial"/>
          <w:bCs/>
          <w:color w:val="000000" w:themeColor="text1"/>
        </w:rPr>
        <w:t xml:space="preserve"> se realiza con ocasión a una </w:t>
      </w:r>
      <w:r>
        <w:rPr>
          <w:rFonts w:ascii="Verdana" w:eastAsia="Arial" w:hAnsi="Verdana" w:cs="Arial"/>
          <w:bCs/>
          <w:color w:val="000000" w:themeColor="text1"/>
        </w:rPr>
        <w:t>de las excepciones previstas en la norma</w:t>
      </w:r>
      <w:r w:rsidRPr="00FF007A">
        <w:rPr>
          <w:rFonts w:ascii="Verdana" w:eastAsia="Arial" w:hAnsi="Verdana" w:cs="Arial"/>
          <w:bCs/>
          <w:color w:val="000000" w:themeColor="text1"/>
        </w:rPr>
        <w:t xml:space="preserve">. De ser así, la entidad </w:t>
      </w:r>
      <w:r>
        <w:rPr>
          <w:rFonts w:ascii="Verdana" w:eastAsia="Arial" w:hAnsi="Verdana" w:cs="Arial"/>
          <w:bCs/>
          <w:color w:val="000000" w:themeColor="text1"/>
        </w:rPr>
        <w:t xml:space="preserve">previo análisis de dichas excepciones podrá proceder en tal sentido y </w:t>
      </w:r>
      <w:r>
        <w:rPr>
          <w:rFonts w:ascii="Verdana" w:eastAsia="Arial" w:hAnsi="Verdana" w:cs="Arial"/>
          <w:bCs/>
          <w:color w:val="000000" w:themeColor="text1"/>
        </w:rPr>
        <w:lastRenderedPageBreak/>
        <w:t xml:space="preserve">contratar directamente </w:t>
      </w:r>
      <w:r w:rsidRPr="00FF007A">
        <w:rPr>
          <w:rFonts w:ascii="Verdana" w:eastAsia="Arial" w:hAnsi="Verdana" w:cs="Arial"/>
          <w:bCs/>
          <w:color w:val="000000" w:themeColor="text1"/>
        </w:rPr>
        <w:t>a pesar de que haya iniciado el periodo de garantías electorales correspondiente al artículo 33 de la Ley 996 de 2005.</w:t>
      </w:r>
    </w:p>
    <w:p w14:paraId="3BA0A516" w14:textId="77777777" w:rsidR="00BC7D00" w:rsidRDefault="00BC7D00" w:rsidP="00BC7D00">
      <w:pPr>
        <w:spacing w:before="120" w:after="0" w:line="276" w:lineRule="auto"/>
        <w:ind w:firstLine="709"/>
        <w:jc w:val="both"/>
        <w:rPr>
          <w:rFonts w:ascii="Verdana" w:hAnsi="Verdana" w:cs="Arial"/>
          <w:lang w:eastAsia="es-CO"/>
        </w:rPr>
      </w:pPr>
      <w:r w:rsidRPr="00FF007A">
        <w:rPr>
          <w:rFonts w:ascii="Verdana" w:eastAsia="Calibri" w:hAnsi="Verdana" w:cs="Arial"/>
        </w:rPr>
        <w:t xml:space="preserve">En particular, </w:t>
      </w:r>
      <w:r>
        <w:rPr>
          <w:rFonts w:ascii="Verdana" w:eastAsia="Calibri" w:hAnsi="Verdana" w:cs="Arial"/>
        </w:rPr>
        <w:t>cada</w:t>
      </w:r>
      <w:r w:rsidRPr="00FF007A">
        <w:rPr>
          <w:rFonts w:ascii="Verdana" w:eastAsia="Calibri" w:hAnsi="Verdana" w:cs="Arial"/>
        </w:rPr>
        <w:t xml:space="preserve"> Entidad Estatal </w:t>
      </w:r>
      <w:r>
        <w:rPr>
          <w:rFonts w:ascii="Verdana" w:eastAsia="Calibri" w:hAnsi="Verdana" w:cs="Arial"/>
        </w:rPr>
        <w:t xml:space="preserve">deberá </w:t>
      </w:r>
      <w:r w:rsidRPr="00FF007A">
        <w:rPr>
          <w:rFonts w:ascii="Verdana" w:eastAsia="Calibri" w:hAnsi="Verdana" w:cs="Arial"/>
        </w:rPr>
        <w:t>realizar el correspondiente análisis para determinar si aplica o no una determinada excepción a la prohibición del artículo 33 de la Ley de Garantías Electorales, según la situación fáctica y jurídica particular del caso concreto, para lo cual las consideraciones expuestas en el presente concepto constituyen un instrumento orientador. De ser procedente la excepción, la entidad podrá realizar la contratación directa justificando las razones que avalan su procedencia</w:t>
      </w:r>
      <w:r w:rsidRPr="00FF007A">
        <w:rPr>
          <w:rFonts w:ascii="Verdana" w:hAnsi="Verdana" w:cs="Arial"/>
          <w:lang w:eastAsia="es-CO"/>
        </w:rPr>
        <w:t>. Por el contrario, si el estudio determina que no aplica excepción alguna estará vedada la celebración de contratos de manera directa. Lo anterior, sin perjuicio de la prohibición establecida en el parágrafo del artículo 38 de la Ley de Garantías Electorales. En cualquier caso, las entidades podrán considerar la posibilidad de adelantar modalidades distintas a la contratación directa o tipologías distintas a la c</w:t>
      </w:r>
      <w:r>
        <w:rPr>
          <w:rFonts w:ascii="Verdana" w:hAnsi="Verdana" w:cs="Arial"/>
          <w:lang w:eastAsia="es-CO"/>
        </w:rPr>
        <w:t>elebración de convenios</w:t>
      </w:r>
      <w:r w:rsidRPr="00FF007A">
        <w:rPr>
          <w:rFonts w:ascii="Verdana" w:hAnsi="Verdana" w:cs="Arial"/>
          <w:lang w:eastAsia="es-CO"/>
        </w:rPr>
        <w:t xml:space="preserve"> interadministrativ</w:t>
      </w:r>
      <w:r>
        <w:rPr>
          <w:rFonts w:ascii="Verdana" w:hAnsi="Verdana" w:cs="Arial"/>
          <w:lang w:eastAsia="es-CO"/>
        </w:rPr>
        <w:t>os</w:t>
      </w:r>
      <w:r w:rsidRPr="00FF007A">
        <w:rPr>
          <w:rFonts w:ascii="Verdana" w:hAnsi="Verdana" w:cs="Arial"/>
          <w:lang w:eastAsia="es-CO"/>
        </w:rPr>
        <w:t>, es decir, aquellas que no se encuentren restringidas por el artículo 33 o el parágrafo del artículo 38 de la Ley 996 de 2005.</w:t>
      </w:r>
    </w:p>
    <w:p w14:paraId="1CEA2392" w14:textId="77777777" w:rsidR="00BC7D00" w:rsidRPr="006018C8" w:rsidRDefault="00BC7D00" w:rsidP="00BC7D00">
      <w:pPr>
        <w:spacing w:before="120" w:after="0" w:line="276" w:lineRule="auto"/>
        <w:ind w:firstLine="709"/>
        <w:jc w:val="both"/>
        <w:rPr>
          <w:rFonts w:ascii="Verdana" w:eastAsia="Arial" w:hAnsi="Verdana" w:cs="Arial"/>
          <w:bCs/>
          <w:color w:val="000000" w:themeColor="text1"/>
        </w:rPr>
      </w:pPr>
    </w:p>
    <w:p w14:paraId="5D636510" w14:textId="77777777" w:rsidR="00BC7D00" w:rsidRDefault="00BC7D00" w:rsidP="00BC7D00">
      <w:pPr>
        <w:widowControl w:val="0"/>
        <w:autoSpaceDE w:val="0"/>
        <w:autoSpaceDN w:val="0"/>
        <w:spacing w:after="0" w:line="276" w:lineRule="auto"/>
        <w:ind w:right="176" w:firstLine="708"/>
        <w:jc w:val="both"/>
        <w:rPr>
          <w:rFonts w:ascii="Verdana" w:hAnsi="Verdana"/>
        </w:rPr>
      </w:pPr>
      <w:r w:rsidRPr="00E61635">
        <w:rPr>
          <w:rFonts w:ascii="Verdana" w:hAnsi="Verdana"/>
        </w:rPr>
        <w:t xml:space="preserve">Dentro de este marco, corresponde a cada </w:t>
      </w:r>
      <w:r w:rsidRPr="005F3B31">
        <w:rPr>
          <w:rFonts w:ascii="Verdana" w:hAnsi="Verdana"/>
        </w:rPr>
        <w:t>entidad pública</w:t>
      </w:r>
      <w:r w:rsidRPr="00E61635">
        <w:rPr>
          <w:rFonts w:ascii="Verdana" w:hAnsi="Verdana"/>
        </w:rPr>
        <w:t>, en ejercicio de su competencia y previa valoración de los elementos fácticos y jurídicos, así como de las disposiciones legales mencionadas,</w:t>
      </w:r>
      <w:r>
        <w:rPr>
          <w:rFonts w:ascii="Verdana" w:hAnsi="Verdana"/>
        </w:rPr>
        <w:t xml:space="preserve"> determinar su gestión contractual durante la aplicación de las restricciones de la Ley de Garantías Electorales. </w:t>
      </w:r>
      <w:r w:rsidRPr="00E61635">
        <w:rPr>
          <w:rFonts w:ascii="Verdana" w:hAnsi="Verdana"/>
        </w:rPr>
        <w:t>Al tratarse de un análisis que debe realizarse en el procedimiento contractual específico, la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Colombia Compra Eficiente validar sus actuaciones.</w:t>
      </w:r>
    </w:p>
    <w:p w14:paraId="49290C86" w14:textId="77777777" w:rsidR="00BC7D00" w:rsidRDefault="00BC7D00" w:rsidP="00BC7D00">
      <w:pPr>
        <w:spacing w:line="276" w:lineRule="auto"/>
        <w:jc w:val="both"/>
        <w:rPr>
          <w:rFonts w:ascii="Verdana" w:hAnsi="Verdana"/>
        </w:rPr>
      </w:pPr>
    </w:p>
    <w:p w14:paraId="46D2583B" w14:textId="77777777" w:rsidR="00BC7D00" w:rsidRPr="009A68AF" w:rsidRDefault="00BC7D00" w:rsidP="00BC7D00">
      <w:pPr>
        <w:spacing w:line="276" w:lineRule="auto"/>
        <w:jc w:val="both"/>
        <w:rPr>
          <w:rFonts w:ascii="Verdana" w:eastAsia="Calibri" w:hAnsi="Verdana" w:cs="Arial"/>
          <w:color w:val="000000" w:themeColor="text1"/>
        </w:rPr>
      </w:pPr>
      <w:proofErr w:type="spellStart"/>
      <w:r w:rsidRPr="009A68AF">
        <w:rPr>
          <w:rFonts w:ascii="Verdana" w:hAnsi="Verdana"/>
        </w:rPr>
        <w:t>ii</w:t>
      </w:r>
      <w:proofErr w:type="spellEnd"/>
      <w:r w:rsidRPr="009A68AF">
        <w:rPr>
          <w:rFonts w:ascii="Verdana" w:hAnsi="Verdana"/>
        </w:rPr>
        <w:t xml:space="preserve">. </w:t>
      </w:r>
      <w:r w:rsidRPr="009A68AF">
        <w:rPr>
          <w:rFonts w:ascii="Verdana" w:eastAsia="Calibri" w:hAnsi="Verdana" w:cs="Arial"/>
          <w:color w:val="000000" w:themeColor="text1"/>
        </w:rPr>
        <w:t>En la actualidad, la norma vigente para interpretar el alcance de la causal de contratación directa dispuesta en el artículo 2, numeral 4, literal g), de la Ley 1150 de 2007 está compilada en el artículo 2.2.1.2.1.4.8 del Decreto 1082 de 2015, el cual dispone lo siguiente:</w:t>
      </w:r>
    </w:p>
    <w:p w14:paraId="0E8FAA53" w14:textId="77777777" w:rsidR="00BC7D00" w:rsidRPr="009A68AF" w:rsidRDefault="00BC7D00" w:rsidP="00BC7D00">
      <w:pPr>
        <w:ind w:left="1560" w:right="709"/>
        <w:jc w:val="both"/>
        <w:rPr>
          <w:rFonts w:ascii="Verdana" w:eastAsia="Calibri" w:hAnsi="Verdana" w:cs="Arial"/>
          <w:color w:val="000000" w:themeColor="text1"/>
          <w:sz w:val="20"/>
          <w:szCs w:val="20"/>
        </w:rPr>
      </w:pPr>
      <w:r w:rsidRPr="009A68AF">
        <w:rPr>
          <w:rFonts w:ascii="Verdana" w:eastAsia="Calibri" w:hAnsi="Verdana" w:cs="Arial"/>
          <w:color w:val="000000" w:themeColor="text1"/>
          <w:sz w:val="20"/>
          <w:szCs w:val="20"/>
        </w:rPr>
        <w:lastRenderedPageBreak/>
        <w:t>“Artículo 2.2.1.2.1.4.8. Contratación directa cuando no exista pluralidad de oferentes. Se considera que no existe pluralidad de oferentes cuando existe solamente una persona que puede proveer el bien o el servicio por ser titular de los derechos de propiedad industrial o de los derechos de autor, o por ser proveedor exclusivo en el territorio nacional. Estas circunstancias deben constar en el estudio previo que soporta la contratación.”</w:t>
      </w:r>
    </w:p>
    <w:p w14:paraId="3885F24B" w14:textId="77777777" w:rsidR="00BC7D00" w:rsidRPr="009A68AF" w:rsidRDefault="00BC7D00" w:rsidP="00BC7D00">
      <w:pPr>
        <w:spacing w:after="120" w:line="276" w:lineRule="auto"/>
        <w:ind w:firstLine="708"/>
        <w:jc w:val="both"/>
        <w:rPr>
          <w:rFonts w:ascii="Verdana" w:eastAsia="Calibri" w:hAnsi="Verdana" w:cs="Arial"/>
          <w:color w:val="000000" w:themeColor="text1"/>
        </w:rPr>
      </w:pPr>
      <w:bookmarkStart w:id="3" w:name="_Hlk45532127"/>
      <w:r w:rsidRPr="009A68AF">
        <w:rPr>
          <w:rFonts w:ascii="Verdana" w:eastAsia="Calibri" w:hAnsi="Verdana" w:cs="Arial"/>
          <w:color w:val="000000" w:themeColor="text1"/>
        </w:rPr>
        <w:t xml:space="preserve">La norma consagra dos (2) hipótesis. </w:t>
      </w:r>
      <w:r w:rsidRPr="009A68AF">
        <w:rPr>
          <w:rFonts w:ascii="Verdana" w:eastAsia="Calibri" w:hAnsi="Verdana" w:cs="Arial"/>
          <w:i/>
          <w:iCs/>
          <w:color w:val="000000" w:themeColor="text1"/>
        </w:rPr>
        <w:t>En primer lugar</w:t>
      </w:r>
      <w:r w:rsidRPr="009A68AF">
        <w:rPr>
          <w:rFonts w:ascii="Verdana" w:eastAsia="Calibri" w:hAnsi="Verdana" w:cs="Arial"/>
          <w:color w:val="000000" w:themeColor="text1"/>
        </w:rPr>
        <w:t xml:space="preserve">, </w:t>
      </w:r>
      <w:bookmarkStart w:id="4" w:name="_Hlk45627093"/>
      <w:r w:rsidRPr="009A68AF">
        <w:rPr>
          <w:rFonts w:ascii="Verdana" w:eastAsia="Calibri" w:hAnsi="Verdana" w:cs="Arial"/>
          <w:color w:val="000000" w:themeColor="text1"/>
        </w:rPr>
        <w:t xml:space="preserve">no existe pluralidad de oferentes cuando solo una persona puede proveer el bien o servicio por ser titular de los derechos de propiedad industrial o de los derechos de autor. De esta manera, no basta con que sea la única persona capaz de ejecutar el contrato, pues la misma se debe justificar una situación de derecho que impida que otra lo haga de forma igual o similar. Para los proponentes, cada bien o servicio tiene características únicas frente a los de la competencia; sin embargo, desde el punto de vista del contratante, no existe mayor diferenciación entre los bienes y servicios cuando ninguno de los aspirantes tiene la titularidad de un derecho industrial o de autor. </w:t>
      </w:r>
    </w:p>
    <w:p w14:paraId="05ACED4F" w14:textId="77777777" w:rsidR="00BC7D00" w:rsidRPr="009A68AF" w:rsidRDefault="00BC7D00" w:rsidP="00BC7D00">
      <w:pPr>
        <w:spacing w:line="276" w:lineRule="auto"/>
        <w:ind w:firstLine="708"/>
        <w:jc w:val="both"/>
        <w:rPr>
          <w:rFonts w:ascii="Verdana" w:eastAsia="Calibri" w:hAnsi="Verdana" w:cs="Arial"/>
          <w:color w:val="000000" w:themeColor="text1"/>
        </w:rPr>
      </w:pPr>
      <w:bookmarkStart w:id="5" w:name="_Hlk45635593"/>
      <w:r w:rsidRPr="009A68AF">
        <w:rPr>
          <w:rFonts w:ascii="Verdana" w:eastAsia="Calibri" w:hAnsi="Verdana" w:cs="Arial"/>
          <w:color w:val="000000" w:themeColor="text1"/>
        </w:rPr>
        <w:t>Por ello, en la medida que la prestación no esté cubierta por derechos de la naturaleza anteriormente señalada, posibilita que la entidad satisfaga sus necesidades con equivalentes o sustitutos, ya que la presión de la competencia aumenta la oferta y disminuye los costos de adquisición. Para la doctrina, en ausencia de una barrera de entrada –como la que se concreta con los derechos de propiedad industrial o de autor– es necesario aplicar el principio de concurrencia</w:t>
      </w:r>
      <w:bookmarkEnd w:id="4"/>
      <w:bookmarkEnd w:id="5"/>
      <w:r w:rsidRPr="009A68AF">
        <w:rPr>
          <w:rFonts w:ascii="Verdana" w:eastAsia="Calibri" w:hAnsi="Verdana" w:cs="Arial"/>
          <w:color w:val="000000" w:themeColor="text1"/>
        </w:rPr>
        <w:t>.</w:t>
      </w:r>
      <w:bookmarkEnd w:id="3"/>
      <w:r w:rsidRPr="009A68AF">
        <w:rPr>
          <w:rFonts w:ascii="Verdana" w:eastAsia="Calibri" w:hAnsi="Verdana" w:cs="Arial"/>
          <w:color w:val="000000" w:themeColor="text1"/>
        </w:rPr>
        <w:t xml:space="preserve"> Por ello, explica que es posible la contratación directa con el oferente que es titular de una marca o privilegio, agregando que:</w:t>
      </w:r>
    </w:p>
    <w:p w14:paraId="56189CCE" w14:textId="77777777" w:rsidR="00BC7D00" w:rsidRPr="009A68AF" w:rsidRDefault="00BC7D00" w:rsidP="00BC7D00">
      <w:pPr>
        <w:ind w:left="1276" w:right="709"/>
        <w:jc w:val="both"/>
        <w:rPr>
          <w:rFonts w:ascii="Verdana" w:eastAsia="Calibri" w:hAnsi="Verdana" w:cs="Arial"/>
          <w:color w:val="000000" w:themeColor="text1"/>
          <w:sz w:val="20"/>
          <w:szCs w:val="20"/>
        </w:rPr>
      </w:pPr>
      <w:r w:rsidRPr="009A68AF">
        <w:rPr>
          <w:rFonts w:ascii="Verdana" w:eastAsia="Calibri" w:hAnsi="Verdana" w:cs="Arial"/>
          <w:color w:val="000000" w:themeColor="text1"/>
          <w:sz w:val="20"/>
          <w:szCs w:val="20"/>
        </w:rPr>
        <w:t>“La tutela de la propiedad intelectual del oferente o de un privilegio otorgado en modo expreso, vuelven imposible proceder por licitación, ya que solamente la persona, entidad o empresa que posee el privilegio de invención de invención o fabricación, podría presentarse formulando ofertas. Desde luego no habría pluralidad de concurrentes, ni puja que hiciera posible el cumplimiento de las finalidades básicas perseguidas por la licitación</w:t>
      </w:r>
      <w:r w:rsidRPr="009A68AF">
        <w:rPr>
          <w:rStyle w:val="Refdenotaalpie"/>
          <w:rFonts w:ascii="Verdana" w:eastAsia="Calibri" w:hAnsi="Verdana" w:cs="Arial"/>
          <w:color w:val="000000" w:themeColor="text1"/>
          <w:sz w:val="20"/>
          <w:szCs w:val="20"/>
        </w:rPr>
        <w:footnoteReference w:id="8"/>
      </w:r>
      <w:r w:rsidRPr="009A68AF">
        <w:rPr>
          <w:rFonts w:ascii="Verdana" w:eastAsia="Calibri" w:hAnsi="Verdana" w:cs="Arial"/>
          <w:color w:val="000000" w:themeColor="text1"/>
          <w:sz w:val="20"/>
          <w:szCs w:val="20"/>
        </w:rPr>
        <w:t>.”</w:t>
      </w:r>
    </w:p>
    <w:p w14:paraId="09447204" w14:textId="77777777" w:rsidR="00BC7D00" w:rsidRPr="009A68AF" w:rsidRDefault="00BC7D00" w:rsidP="00BC7D00">
      <w:pPr>
        <w:ind w:right="49" w:firstLine="708"/>
        <w:jc w:val="both"/>
        <w:rPr>
          <w:rFonts w:ascii="Verdana" w:eastAsia="Calibri" w:hAnsi="Verdana" w:cs="Arial"/>
          <w:color w:val="000000" w:themeColor="text1"/>
        </w:rPr>
      </w:pPr>
      <w:bookmarkStart w:id="6" w:name="_Hlk45532434"/>
      <w:r w:rsidRPr="009A68AF">
        <w:rPr>
          <w:rFonts w:ascii="Verdana" w:eastAsia="Calibri" w:hAnsi="Verdana" w:cs="Arial"/>
          <w:i/>
          <w:iCs/>
          <w:color w:val="000000" w:themeColor="text1"/>
        </w:rPr>
        <w:lastRenderedPageBreak/>
        <w:t>En segundo lugar</w:t>
      </w:r>
      <w:r w:rsidRPr="009A68AF">
        <w:rPr>
          <w:rFonts w:ascii="Verdana" w:eastAsia="Calibri" w:hAnsi="Verdana" w:cs="Arial"/>
          <w:color w:val="000000" w:themeColor="text1"/>
        </w:rPr>
        <w:t xml:space="preserve">, </w:t>
      </w:r>
      <w:bookmarkStart w:id="7" w:name="_Hlk45635630"/>
      <w:bookmarkStart w:id="8" w:name="_Hlk45627184"/>
      <w:r w:rsidRPr="009A68AF">
        <w:rPr>
          <w:rFonts w:ascii="Verdana" w:eastAsia="Calibri" w:hAnsi="Verdana" w:cs="Arial"/>
          <w:color w:val="000000" w:themeColor="text1"/>
        </w:rPr>
        <w:t>el artículo 2.2.1.2.1.4.8 del Decreto 1082 de 2015 dispone que tampoco existe pluralidad de oferentes cuando existe una sola persona que puede celebrar el contrato por ser proveedor exclusivo en el territorio nacional. A modo de ejemplo, esta causal se comprende en el marco de los contratos de colaboración empresarial –agencia, distribución, franquicia concesión comercial, etc.– que celebran los productores extranjeros con los proveedores nacionales, los cuales contienen usualmente cláusulas de exclusividad como elemento accidental del negocio</w:t>
      </w:r>
      <w:bookmarkEnd w:id="7"/>
      <w:r w:rsidRPr="009A68AF">
        <w:rPr>
          <w:rFonts w:ascii="Verdana" w:eastAsia="Calibri" w:hAnsi="Verdana" w:cs="Arial"/>
          <w:color w:val="000000" w:themeColor="text1"/>
        </w:rPr>
        <w:t xml:space="preserve">. </w:t>
      </w:r>
      <w:bookmarkStart w:id="9" w:name="_Hlk45635661"/>
    </w:p>
    <w:p w14:paraId="21D6BB80" w14:textId="77777777" w:rsidR="00BC7D00" w:rsidRPr="009A68AF" w:rsidRDefault="00BC7D00" w:rsidP="00BC7D00">
      <w:pPr>
        <w:ind w:right="49" w:firstLine="708"/>
        <w:jc w:val="both"/>
        <w:rPr>
          <w:rFonts w:ascii="Verdana" w:eastAsia="Calibri" w:hAnsi="Verdana" w:cs="Arial"/>
          <w:color w:val="000000" w:themeColor="text1"/>
        </w:rPr>
      </w:pPr>
      <w:r w:rsidRPr="009A68AF">
        <w:rPr>
          <w:rFonts w:ascii="Verdana" w:eastAsia="Calibri" w:hAnsi="Verdana" w:cs="Arial"/>
          <w:color w:val="000000" w:themeColor="text1"/>
        </w:rPr>
        <w:t>Al igual que la hipótesis precedente, la presencia de un proveedor exclusivo supone una barrera de entrada para otros posibles oferentes, por lo que no es posible aplicar el principio de concurrencia. Sin embargo, para aplicar la causal de contratación directa, la exclusividad del proveedor debe cubrir el territorio nacional, pues –por ejemplo– si se limita a un municipio o un departamento, es posible encontrar proveedores de bienes y servicios similares o sustitutos en otros lugares del país, por lo que es necesario aplicar procedimientos de selección que permitan la pluralidad de oferentes</w:t>
      </w:r>
      <w:bookmarkEnd w:id="9"/>
      <w:r w:rsidRPr="009A68AF">
        <w:rPr>
          <w:rFonts w:ascii="Verdana" w:eastAsia="Calibri" w:hAnsi="Verdana" w:cs="Arial"/>
          <w:color w:val="000000" w:themeColor="text1"/>
        </w:rPr>
        <w:t>.</w:t>
      </w:r>
      <w:bookmarkEnd w:id="8"/>
      <w:r w:rsidRPr="009A68AF">
        <w:rPr>
          <w:rFonts w:ascii="Verdana" w:eastAsia="Calibri" w:hAnsi="Verdana" w:cs="Arial"/>
          <w:color w:val="000000" w:themeColor="text1"/>
        </w:rPr>
        <w:t xml:space="preserve"> </w:t>
      </w:r>
      <w:bookmarkEnd w:id="6"/>
      <w:r w:rsidRPr="009A68AF">
        <w:rPr>
          <w:rFonts w:ascii="Verdana" w:eastAsia="Calibri" w:hAnsi="Verdana" w:cs="Arial"/>
          <w:color w:val="000000" w:themeColor="text1"/>
        </w:rPr>
        <w:t xml:space="preserve"> </w:t>
      </w:r>
      <w:bookmarkStart w:id="10" w:name="_Hlk45532582"/>
      <w:bookmarkStart w:id="11" w:name="_Hlk45531535"/>
    </w:p>
    <w:p w14:paraId="45E3F23E" w14:textId="77777777" w:rsidR="00BC7D00" w:rsidRPr="009A68AF" w:rsidRDefault="00BC7D00" w:rsidP="00BC7D00">
      <w:pPr>
        <w:ind w:right="49" w:firstLine="708"/>
        <w:jc w:val="both"/>
        <w:rPr>
          <w:rFonts w:ascii="Verdana" w:eastAsia="Calibri" w:hAnsi="Verdana" w:cs="Arial"/>
          <w:color w:val="000000" w:themeColor="text1"/>
        </w:rPr>
      </w:pPr>
      <w:r w:rsidRPr="009A68AF">
        <w:rPr>
          <w:rFonts w:ascii="Verdana" w:eastAsia="Calibri" w:hAnsi="Verdana" w:cs="Arial"/>
          <w:color w:val="000000" w:themeColor="text1"/>
        </w:rPr>
        <w:t xml:space="preserve">Fuera de estas dos (2) situaciones, no es posible aplicar </w:t>
      </w:r>
      <w:bookmarkStart w:id="12" w:name="_Hlk45529265"/>
      <w:r w:rsidRPr="009A68AF">
        <w:rPr>
          <w:rFonts w:ascii="Verdana" w:eastAsia="Calibri" w:hAnsi="Verdana" w:cs="Arial"/>
          <w:color w:val="000000" w:themeColor="text1"/>
        </w:rPr>
        <w:t>el artículo 2, numeral 4, literal g), de la Ley 1150 de 2007</w:t>
      </w:r>
      <w:bookmarkEnd w:id="12"/>
      <w:r w:rsidRPr="009A68AF">
        <w:rPr>
          <w:rFonts w:ascii="Verdana" w:eastAsia="Calibri" w:hAnsi="Verdana" w:cs="Arial"/>
          <w:color w:val="000000" w:themeColor="text1"/>
        </w:rPr>
        <w:t>, ya que las normas citadas integran una causal de contratación directa que excepciona los mecanismos de selección objetiva por convocatoria pública definidos en el Estatuto General de Contratación de la Administración Pública, por lo que se interpretan restrictivamente, es decir, conforme al tenor literal de las normas</w:t>
      </w:r>
      <w:bookmarkEnd w:id="10"/>
      <w:r w:rsidRPr="009A68AF">
        <w:rPr>
          <w:rFonts w:ascii="Verdana" w:eastAsia="Calibri" w:hAnsi="Verdana" w:cs="Arial"/>
          <w:color w:val="000000" w:themeColor="text1"/>
        </w:rPr>
        <w:t>.</w:t>
      </w:r>
    </w:p>
    <w:bookmarkEnd w:id="11"/>
    <w:p w14:paraId="54D11F12" w14:textId="77777777" w:rsidR="00BC7D00" w:rsidRPr="00E61635" w:rsidRDefault="00BC7D00" w:rsidP="00BC7D00">
      <w:pPr>
        <w:widowControl w:val="0"/>
        <w:autoSpaceDE w:val="0"/>
        <w:autoSpaceDN w:val="0"/>
        <w:spacing w:after="0" w:line="276" w:lineRule="auto"/>
        <w:ind w:right="176" w:firstLine="708"/>
        <w:jc w:val="both"/>
        <w:rPr>
          <w:rFonts w:ascii="Verdana" w:hAnsi="Verdana"/>
        </w:rPr>
      </w:pPr>
    </w:p>
    <w:p w14:paraId="75A1DA9D" w14:textId="77777777" w:rsidR="00BC7D00" w:rsidRDefault="00BC7D00" w:rsidP="00BC7D00">
      <w:pPr>
        <w:widowControl w:val="0"/>
        <w:autoSpaceDE w:val="0"/>
        <w:autoSpaceDN w:val="0"/>
        <w:spacing w:after="0" w:line="276" w:lineRule="auto"/>
        <w:jc w:val="both"/>
        <w:rPr>
          <w:rFonts w:ascii="Verdana" w:hAnsi="Verdana" w:cs="Arial"/>
        </w:rPr>
      </w:pPr>
    </w:p>
    <w:p w14:paraId="5D4CBA83" w14:textId="77777777" w:rsidR="00BC7D00" w:rsidRDefault="00BC7D00" w:rsidP="00BC7D00">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Pr>
          <w:rFonts w:ascii="Verdana" w:eastAsia="Century Gothic" w:hAnsi="Verdana" w:cs="Century Gothic"/>
          <w:b/>
          <w:bCs/>
        </w:rPr>
        <w:t>Referencias normativas, jurisprudenciales y otras fuentes:</w:t>
      </w:r>
    </w:p>
    <w:p w14:paraId="639C08A2" w14:textId="77777777" w:rsidR="00BC7D00" w:rsidRDefault="00BC7D00" w:rsidP="00BC7D00">
      <w:pPr>
        <w:widowControl w:val="0"/>
        <w:autoSpaceDE w:val="0"/>
        <w:autoSpaceDN w:val="0"/>
        <w:spacing w:after="0" w:line="276" w:lineRule="auto"/>
        <w:jc w:val="both"/>
        <w:rPr>
          <w:rFonts w:ascii="Verdana" w:hAnsi="Verdana" w:cs="Arial"/>
        </w:rPr>
      </w:pPr>
    </w:p>
    <w:tbl>
      <w:tblPr>
        <w:tblStyle w:val="Tablaconcuadrcula"/>
        <w:tblW w:w="8640"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0"/>
      </w:tblGrid>
      <w:tr w:rsidR="00BC7D00" w14:paraId="6CEED672" w14:textId="77777777" w:rsidTr="00A05D8D">
        <w:trPr>
          <w:trHeight w:val="870"/>
        </w:trPr>
        <w:tc>
          <w:tcPr>
            <w:tcW w:w="8647" w:type="dxa"/>
            <w:tcBorders>
              <w:top w:val="dotted" w:sz="4" w:space="0" w:color="auto"/>
              <w:left w:val="dotted" w:sz="4" w:space="0" w:color="auto"/>
              <w:bottom w:val="dotted" w:sz="4" w:space="0" w:color="auto"/>
              <w:right w:val="dotted" w:sz="4" w:space="0" w:color="auto"/>
            </w:tcBorders>
            <w:hideMark/>
          </w:tcPr>
          <w:p w14:paraId="74040EE8" w14:textId="77777777" w:rsidR="00BC7D00" w:rsidRPr="000D3AA5" w:rsidRDefault="00BC7D00" w:rsidP="00A05D8D">
            <w:pPr>
              <w:widowControl w:val="0"/>
              <w:numPr>
                <w:ilvl w:val="0"/>
                <w:numId w:val="17"/>
              </w:numPr>
              <w:autoSpaceDE w:val="0"/>
              <w:autoSpaceDN w:val="0"/>
              <w:spacing w:after="120" w:line="276" w:lineRule="auto"/>
              <w:jc w:val="both"/>
              <w:rPr>
                <w:rFonts w:ascii="Verdana" w:eastAsia="Arial MT" w:hAnsi="Verdana" w:cs="Arial"/>
                <w:lang w:val="es-ES" w:eastAsia="es-ES" w:bidi="es-ES"/>
              </w:rPr>
            </w:pPr>
            <w:r w:rsidRPr="000D3AA5">
              <w:rPr>
                <w:rFonts w:ascii="Verdana" w:eastAsia="Arial MT" w:hAnsi="Verdana" w:cs="Arial"/>
                <w:bCs/>
                <w:lang w:val="es-ES" w:eastAsia="es-ES" w:bidi="es-ES"/>
              </w:rPr>
              <w:t>Ley 996 de 2005: artículos 33 y 38 parágrafo.</w:t>
            </w:r>
          </w:p>
          <w:p w14:paraId="5ABCD53D" w14:textId="77777777" w:rsidR="00BC7D00" w:rsidRPr="000D3AA5" w:rsidRDefault="00BC7D00" w:rsidP="00A05D8D">
            <w:pPr>
              <w:pStyle w:val="Prrafodelista"/>
              <w:widowControl w:val="0"/>
              <w:numPr>
                <w:ilvl w:val="0"/>
                <w:numId w:val="17"/>
              </w:numPr>
              <w:tabs>
                <w:tab w:val="left" w:pos="8419"/>
              </w:tabs>
              <w:autoSpaceDE w:val="0"/>
              <w:autoSpaceDN w:val="0"/>
              <w:spacing w:after="120" w:line="276" w:lineRule="auto"/>
              <w:contextualSpacing w:val="0"/>
              <w:jc w:val="both"/>
              <w:rPr>
                <w:rFonts w:ascii="Verdana" w:eastAsia="Calibri" w:hAnsi="Verdana" w:cs="Arial"/>
                <w:color w:val="000000"/>
              </w:rPr>
            </w:pPr>
            <w:r w:rsidRPr="000D3AA5">
              <w:rPr>
                <w:rFonts w:ascii="Verdana" w:eastAsia="Calibri" w:hAnsi="Verdana" w:cs="Arial"/>
                <w:color w:val="000000"/>
              </w:rPr>
              <w:t>Ley 1150 de 2007, artículo 2, numeral 4, literal g)</w:t>
            </w:r>
          </w:p>
          <w:p w14:paraId="194D61D9" w14:textId="77777777" w:rsidR="00BC7D00" w:rsidRPr="000D3AA5" w:rsidRDefault="00BC7D00" w:rsidP="00A05D8D">
            <w:pPr>
              <w:pStyle w:val="Prrafodelista"/>
              <w:widowControl w:val="0"/>
              <w:numPr>
                <w:ilvl w:val="0"/>
                <w:numId w:val="17"/>
              </w:numPr>
              <w:tabs>
                <w:tab w:val="left" w:pos="8419"/>
              </w:tabs>
              <w:autoSpaceDE w:val="0"/>
              <w:autoSpaceDN w:val="0"/>
              <w:spacing w:after="120" w:line="276" w:lineRule="auto"/>
              <w:contextualSpacing w:val="0"/>
              <w:jc w:val="both"/>
              <w:rPr>
                <w:rFonts w:ascii="Verdana" w:eastAsia="Calibri" w:hAnsi="Verdana" w:cs="Arial"/>
                <w:color w:val="000000"/>
              </w:rPr>
            </w:pPr>
            <w:r w:rsidRPr="000D3AA5">
              <w:rPr>
                <w:rFonts w:ascii="Verdana" w:eastAsia="Calibri" w:hAnsi="Verdana" w:cs="Arial"/>
                <w:color w:val="000000"/>
              </w:rPr>
              <w:t xml:space="preserve">Decreto 1082 de 2015, Artículo </w:t>
            </w:r>
            <w:r w:rsidRPr="000D3AA5">
              <w:rPr>
                <w:rFonts w:ascii="Verdana" w:eastAsia="Calibri" w:hAnsi="Verdana" w:cs="Arial"/>
                <w:color w:val="000000" w:themeColor="text1"/>
              </w:rPr>
              <w:t xml:space="preserve">2.2.1.2.1.4.8 </w:t>
            </w:r>
          </w:p>
          <w:p w14:paraId="48AF8FC2" w14:textId="77777777" w:rsidR="00BC7D00" w:rsidRPr="000D3AA5" w:rsidRDefault="00BC7D00" w:rsidP="00A05D8D">
            <w:pPr>
              <w:widowControl w:val="0"/>
              <w:numPr>
                <w:ilvl w:val="0"/>
                <w:numId w:val="17"/>
              </w:numPr>
              <w:autoSpaceDE w:val="0"/>
              <w:autoSpaceDN w:val="0"/>
              <w:spacing w:line="276" w:lineRule="auto"/>
              <w:contextualSpacing/>
              <w:jc w:val="both"/>
              <w:rPr>
                <w:rFonts w:ascii="Verdana" w:eastAsia="Arial MT" w:hAnsi="Verdana" w:cs="Arial"/>
                <w:lang w:eastAsia="es-ES" w:bidi="es-ES"/>
              </w:rPr>
            </w:pPr>
            <w:r w:rsidRPr="000D3AA5">
              <w:rPr>
                <w:rFonts w:ascii="Verdana" w:eastAsia="Arial MT" w:hAnsi="Verdana" w:cs="Arial"/>
                <w:lang w:eastAsia="es-ES" w:bidi="es-ES"/>
              </w:rPr>
              <w:t xml:space="preserve">Resolución 1597 de 2025. Artículo 10 y 12. </w:t>
            </w:r>
          </w:p>
          <w:p w14:paraId="122ADBB9" w14:textId="77777777" w:rsidR="00BC7D00" w:rsidRPr="000D3AA5" w:rsidRDefault="00BC7D00" w:rsidP="00A05D8D">
            <w:pPr>
              <w:widowControl w:val="0"/>
              <w:numPr>
                <w:ilvl w:val="0"/>
                <w:numId w:val="17"/>
              </w:numPr>
              <w:autoSpaceDE w:val="0"/>
              <w:autoSpaceDN w:val="0"/>
              <w:spacing w:line="276" w:lineRule="auto"/>
              <w:contextualSpacing/>
              <w:jc w:val="both"/>
              <w:rPr>
                <w:rFonts w:ascii="Verdana" w:eastAsia="Arial MT" w:hAnsi="Verdana" w:cs="Arial"/>
                <w:lang w:eastAsia="es-ES" w:bidi="es-ES"/>
              </w:rPr>
            </w:pPr>
            <w:r w:rsidRPr="000D3AA5">
              <w:rPr>
                <w:rFonts w:ascii="Verdana" w:eastAsia="Arial MT" w:hAnsi="Verdana" w:cs="Arial"/>
                <w:lang w:eastAsia="es-ES" w:bidi="es-ES"/>
              </w:rPr>
              <w:t>Consejo de Estado. Sala de lo Contencioso Administrativo. Sección Primera. Sentencia de 3 de marzo de 2005, Radicado: 25001-23-15-000-</w:t>
            </w:r>
            <w:r w:rsidRPr="000D3AA5">
              <w:rPr>
                <w:rFonts w:ascii="Verdana" w:eastAsia="Arial MT" w:hAnsi="Verdana" w:cs="Arial"/>
                <w:lang w:eastAsia="es-ES" w:bidi="es-ES"/>
              </w:rPr>
              <w:lastRenderedPageBreak/>
              <w:t>2004-00823-01 (PI). C.P: Camilo Arciniegas Andrade.</w:t>
            </w:r>
          </w:p>
          <w:p w14:paraId="113BFE4F" w14:textId="77777777" w:rsidR="00BC7D00" w:rsidRDefault="00BC7D00" w:rsidP="00A05D8D">
            <w:pPr>
              <w:widowControl w:val="0"/>
              <w:numPr>
                <w:ilvl w:val="0"/>
                <w:numId w:val="17"/>
              </w:numPr>
              <w:autoSpaceDE w:val="0"/>
              <w:autoSpaceDN w:val="0"/>
              <w:spacing w:line="276" w:lineRule="auto"/>
              <w:contextualSpacing/>
              <w:jc w:val="both"/>
              <w:rPr>
                <w:rFonts w:ascii="Verdana" w:eastAsia="Arial MT" w:hAnsi="Verdana" w:cs="Arial"/>
                <w:lang w:eastAsia="es-ES" w:bidi="es-ES"/>
              </w:rPr>
            </w:pPr>
            <w:r w:rsidRPr="000D3AA5">
              <w:rPr>
                <w:rFonts w:ascii="Verdana" w:eastAsia="Arial MT" w:hAnsi="Verdana" w:cs="Arial"/>
                <w:lang w:eastAsia="es-ES" w:bidi="es-ES"/>
              </w:rPr>
              <w:t xml:space="preserve">Consejo de Estado, Sala de Consulta y Servicio Civil de fecha 24 de julio de 2013. Radicado: Radicado: 11001-03-06-000-2013-00407-00 (2166). C.P: Álvaro Namén Vargas.  </w:t>
            </w:r>
          </w:p>
          <w:p w14:paraId="4597D5B8" w14:textId="77777777" w:rsidR="00BC7D00" w:rsidRPr="000D3AA5" w:rsidRDefault="00BC7D00" w:rsidP="00A05D8D">
            <w:pPr>
              <w:widowControl w:val="0"/>
              <w:numPr>
                <w:ilvl w:val="0"/>
                <w:numId w:val="17"/>
              </w:numPr>
              <w:autoSpaceDE w:val="0"/>
              <w:autoSpaceDN w:val="0"/>
              <w:spacing w:line="276" w:lineRule="auto"/>
              <w:contextualSpacing/>
              <w:jc w:val="both"/>
              <w:rPr>
                <w:rFonts w:ascii="Verdana" w:eastAsia="Arial MT" w:hAnsi="Verdana" w:cs="Arial"/>
                <w:lang w:eastAsia="es-ES" w:bidi="es-ES"/>
              </w:rPr>
            </w:pPr>
            <w:r w:rsidRPr="000D3AA5">
              <w:rPr>
                <w:rFonts w:ascii="Verdana" w:eastAsia="Arial MT" w:hAnsi="Verdana" w:cs="Arial"/>
                <w:lang w:eastAsia="es-ES" w:bidi="es-ES"/>
              </w:rPr>
              <w:t>Consejo de Estado. Sala de Consulta y Servicio Civil. Concepto del 17 de febrero de 2015. Radicación No. 11001-03-06-000-2015-00164-00 (2269) C.P: William Zambrano Cetina.</w:t>
            </w:r>
          </w:p>
        </w:tc>
      </w:tr>
    </w:tbl>
    <w:p w14:paraId="21A5D51E" w14:textId="77777777" w:rsidR="00BC7D00" w:rsidRDefault="00BC7D00" w:rsidP="00BC7D00">
      <w:pPr>
        <w:widowControl w:val="0"/>
        <w:autoSpaceDE w:val="0"/>
        <w:autoSpaceDN w:val="0"/>
        <w:spacing w:after="0" w:line="276" w:lineRule="auto"/>
        <w:jc w:val="both"/>
        <w:rPr>
          <w:rFonts w:ascii="Verdana" w:hAnsi="Verdana" w:cs="Arial"/>
        </w:rPr>
      </w:pPr>
    </w:p>
    <w:p w14:paraId="71EDA38E" w14:textId="77777777" w:rsidR="00BC7D00" w:rsidRDefault="00BC7D00" w:rsidP="00BC7D00">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Pr>
          <w:rFonts w:ascii="Verdana" w:eastAsia="Century Gothic" w:hAnsi="Verdana" w:cs="Century Gothic"/>
          <w:b/>
          <w:bCs/>
        </w:rPr>
        <w:t>Doctrina de la Agencia Nacional de Contratación Pública:</w:t>
      </w:r>
    </w:p>
    <w:p w14:paraId="44A87F9D" w14:textId="77777777" w:rsidR="00BC7D00" w:rsidRDefault="00BC7D00" w:rsidP="00BC7D00">
      <w:pPr>
        <w:widowControl w:val="0"/>
        <w:autoSpaceDE w:val="0"/>
        <w:autoSpaceDN w:val="0"/>
        <w:spacing w:after="0" w:line="276" w:lineRule="auto"/>
        <w:jc w:val="both"/>
        <w:rPr>
          <w:rFonts w:ascii="Verdana" w:hAnsi="Verdana" w:cs="Arial"/>
        </w:rPr>
      </w:pPr>
    </w:p>
    <w:p w14:paraId="0F347BC9" w14:textId="77777777" w:rsidR="00BC7D00" w:rsidRPr="00783D3F" w:rsidRDefault="00BC7D00" w:rsidP="00BC7D00">
      <w:pPr>
        <w:widowControl w:val="0"/>
        <w:autoSpaceDE w:val="0"/>
        <w:autoSpaceDN w:val="0"/>
        <w:spacing w:after="0" w:line="276" w:lineRule="auto"/>
        <w:jc w:val="both"/>
        <w:rPr>
          <w:rStyle w:val="normaltextrun"/>
          <w:rFonts w:ascii="Verdana" w:hAnsi="Verdana" w:cs="Arial"/>
          <w:shd w:val="clear" w:color="auto" w:fill="FFFFFF"/>
          <w:lang w:val="es-ES"/>
        </w:rPr>
      </w:pPr>
      <w:r>
        <w:rPr>
          <w:rStyle w:val="normaltextrun"/>
          <w:rFonts w:ascii="Verdana" w:hAnsi="Verdana" w:cs="Arial"/>
          <w:shd w:val="clear" w:color="auto" w:fill="FFFFFF"/>
          <w:lang w:val="es-ES"/>
        </w:rPr>
        <w:t>Sobre la aplicación de la Ley de Garantías Electorales</w:t>
      </w:r>
      <w:r w:rsidRPr="00AD7D4E">
        <w:rPr>
          <w:rStyle w:val="normaltextrun"/>
          <w:rFonts w:ascii="Verdana" w:hAnsi="Verdana" w:cs="Arial"/>
          <w:shd w:val="clear" w:color="auto" w:fill="FFFFFF"/>
          <w:lang w:val="es-ES"/>
        </w:rPr>
        <w:t>, esta Subdirección se ha pronunciado en los conceptos</w:t>
      </w:r>
      <w:r>
        <w:rPr>
          <w:rStyle w:val="normaltextrun"/>
          <w:rFonts w:ascii="Verdana" w:hAnsi="Verdana" w:cs="Arial"/>
          <w:shd w:val="clear" w:color="auto" w:fill="FFFFFF"/>
          <w:lang w:val="es-ES"/>
        </w:rPr>
        <w:t xml:space="preserve"> </w:t>
      </w:r>
      <w:r w:rsidRPr="00CF7C16">
        <w:rPr>
          <w:rFonts w:ascii="Verdana" w:hAnsi="Verdana" w:cs="Arial"/>
          <w:shd w:val="clear" w:color="auto" w:fill="FFFFFF"/>
          <w:lang w:val="es-ES"/>
        </w:rPr>
        <w:t xml:space="preserve">C-636 del 16 de noviembre de 2021, 681 del 7 de diciembre de 2021, C-686 del 21 de diciembre de 2021, </w:t>
      </w:r>
      <w:r>
        <w:rPr>
          <w:rFonts w:ascii="Verdana" w:hAnsi="Verdana" w:cs="Arial"/>
          <w:shd w:val="clear" w:color="auto" w:fill="FFFFFF"/>
          <w:lang w:val="es-ES"/>
        </w:rPr>
        <w:t xml:space="preserve">C-1179 del 8 de abril de 2022, </w:t>
      </w:r>
      <w:r w:rsidRPr="00CF7C16">
        <w:rPr>
          <w:rFonts w:ascii="Verdana" w:hAnsi="Verdana" w:cs="Arial"/>
          <w:shd w:val="clear" w:color="auto" w:fill="FFFFFF"/>
          <w:lang w:val="es-ES"/>
        </w:rPr>
        <w:t xml:space="preserve">C-697 del 3 de enero de 2022, </w:t>
      </w:r>
      <w:r>
        <w:rPr>
          <w:rStyle w:val="normaltextrun"/>
          <w:rFonts w:ascii="Verdana" w:hAnsi="Verdana" w:cs="Arial"/>
          <w:shd w:val="clear" w:color="auto" w:fill="FFFFFF"/>
          <w:lang w:val="es-ES"/>
        </w:rPr>
        <w:t xml:space="preserve">C-329 del 24 de mayo de 2022, </w:t>
      </w:r>
      <w:r w:rsidRPr="00CF7C16">
        <w:rPr>
          <w:rFonts w:ascii="Verdana" w:hAnsi="Verdana" w:cs="Arial"/>
          <w:shd w:val="clear" w:color="auto" w:fill="FFFFFF"/>
          <w:lang w:val="es-ES"/>
        </w:rPr>
        <w:t>C-180 del 21 de marzo de 2025, C-317 del 25 de abril de 2025, C-510 del 4 de junio de 2025,</w:t>
      </w:r>
      <w:r>
        <w:rPr>
          <w:rFonts w:ascii="Verdana" w:hAnsi="Verdana" w:cs="Arial"/>
          <w:shd w:val="clear" w:color="auto" w:fill="FFFFFF"/>
          <w:lang w:val="es-ES"/>
        </w:rPr>
        <w:t xml:space="preserve"> C-856 del 11 de agosto de 2025, C-1124 del 18 de septiembre de </w:t>
      </w:r>
      <w:proofErr w:type="gramStart"/>
      <w:r>
        <w:rPr>
          <w:rFonts w:ascii="Verdana" w:hAnsi="Verdana" w:cs="Arial"/>
          <w:shd w:val="clear" w:color="auto" w:fill="FFFFFF"/>
          <w:lang w:val="es-ES"/>
        </w:rPr>
        <w:t xml:space="preserve">2025, </w:t>
      </w:r>
      <w:r w:rsidRPr="00CF7C16">
        <w:rPr>
          <w:rFonts w:ascii="Verdana" w:hAnsi="Verdana" w:cs="Arial"/>
          <w:shd w:val="clear" w:color="auto" w:fill="FFFFFF"/>
          <w:lang w:val="es-ES"/>
        </w:rPr>
        <w:t xml:space="preserve"> entre</w:t>
      </w:r>
      <w:proofErr w:type="gramEnd"/>
      <w:r w:rsidRPr="00CF7C16">
        <w:rPr>
          <w:rFonts w:ascii="Verdana" w:hAnsi="Verdana" w:cs="Arial"/>
          <w:shd w:val="clear" w:color="auto" w:fill="FFFFFF"/>
          <w:lang w:val="es-ES"/>
        </w:rPr>
        <w:t xml:space="preserve"> otros.</w:t>
      </w:r>
      <w:r>
        <w:rPr>
          <w:rStyle w:val="normaltextrun"/>
          <w:rFonts w:ascii="Verdana" w:hAnsi="Verdana" w:cs="Arial"/>
          <w:shd w:val="clear" w:color="auto" w:fill="FFFFFF"/>
          <w:lang w:val="es-ES"/>
        </w:rPr>
        <w:t xml:space="preserve"> Sobre la causal de contratación directa por ausencia de pluralidad de oferentes, esta Subdirección se ha pronunciado en los conceptos C-321 de 2024, C, 567 de 2024, C-383 de 2025. Es</w:t>
      </w:r>
      <w:r>
        <w:rPr>
          <w:rFonts w:ascii="Verdana" w:hAnsi="Verdana"/>
        </w:rPr>
        <w:t>tos y otros conceptos se encuentran disponibles para consulta en el Sistema de relatoría de la Agencia, al cual se puede acceder a través del siguiente enlace:</w:t>
      </w:r>
      <w:r>
        <w:rPr>
          <w:rStyle w:val="normaltextrun"/>
          <w:rFonts w:ascii="Verdana" w:hAnsi="Verdana" w:cs="Arial"/>
          <w:shd w:val="clear" w:color="auto" w:fill="FFFFFF"/>
          <w:lang w:val="es-ES"/>
        </w:rPr>
        <w:t xml:space="preserve"> </w:t>
      </w:r>
      <w:hyperlink r:id="rId11" w:history="1">
        <w:r w:rsidRPr="00B778BC">
          <w:rPr>
            <w:rStyle w:val="Hipervnculo"/>
            <w:rFonts w:ascii="Verdana" w:hAnsi="Verdana" w:cs="Arial"/>
            <w:shd w:val="clear" w:color="auto" w:fill="FFFFFF"/>
            <w:lang w:val="es-ES"/>
          </w:rPr>
          <w:t>https://relatoria.colombiacompra.gov.co/busqueda/conceptos</w:t>
        </w:r>
      </w:hyperlink>
      <w:r w:rsidRPr="00B778BC">
        <w:rPr>
          <w:rStyle w:val="normaltextrun"/>
          <w:rFonts w:ascii="Verdana" w:hAnsi="Verdana" w:cs="Arial"/>
          <w:color w:val="FF0000"/>
          <w:shd w:val="clear" w:color="auto" w:fill="FFFFFF"/>
          <w:lang w:val="es-ES"/>
        </w:rPr>
        <w:t xml:space="preserve">. </w:t>
      </w:r>
    </w:p>
    <w:p w14:paraId="6B7D8803" w14:textId="77777777" w:rsidR="00BC7D00" w:rsidRDefault="00BC7D00" w:rsidP="00BC7D00">
      <w:pPr>
        <w:spacing w:after="0" w:line="276" w:lineRule="auto"/>
        <w:jc w:val="both"/>
        <w:rPr>
          <w:rFonts w:ascii="Verdana" w:hAnsi="Verdana"/>
        </w:rPr>
      </w:pPr>
    </w:p>
    <w:p w14:paraId="49D7CB8F" w14:textId="77777777" w:rsidR="00BC7D00" w:rsidRPr="009A385A" w:rsidRDefault="00BC7D00" w:rsidP="00BC7D00">
      <w:pPr>
        <w:jc w:val="both"/>
        <w:rPr>
          <w:rFonts w:ascii="Verdana" w:hAnsi="Verdana"/>
        </w:rPr>
      </w:pPr>
      <w:r w:rsidRPr="009A385A">
        <w:rPr>
          <w:rFonts w:ascii="Verdana" w:hAnsi="Verdana"/>
        </w:rPr>
        <w:t xml:space="preserve">La sostenibilidad no es una opción, es una </w:t>
      </w:r>
      <w:r>
        <w:rPr>
          <w:rFonts w:ascii="Verdana" w:hAnsi="Verdana"/>
        </w:rPr>
        <w:t>obligación</w:t>
      </w:r>
      <w:r w:rsidRPr="009A385A">
        <w:rPr>
          <w:rFonts w:ascii="Verdana" w:hAnsi="Verdana"/>
        </w:rPr>
        <w:t xml:space="preserve">. Por ello, la Agencia Nacional de Contratación Pública –Colombia Compra Eficiente– te invita a realizar el </w:t>
      </w:r>
      <w:r w:rsidRPr="009A385A">
        <w:rPr>
          <w:rFonts w:ascii="Verdana" w:hAnsi="Verdana"/>
          <w:b/>
          <w:bCs/>
        </w:rPr>
        <w:t>Curso de Contratación Pública Sostenible y Socialmente Responsable</w:t>
      </w:r>
      <w:r w:rsidRPr="009A385A">
        <w:rPr>
          <w:rFonts w:ascii="Verdana" w:hAnsi="Verdana"/>
        </w:rPr>
        <w:t xml:space="preserve">, una herramienta clave para fortalecer las capacidades de todos los </w:t>
      </w:r>
      <w:r>
        <w:rPr>
          <w:rFonts w:ascii="Verdana" w:hAnsi="Verdana"/>
        </w:rPr>
        <w:t xml:space="preserve">compradores públicos, proveedores, servidores públicos v para </w:t>
      </w:r>
      <w:r w:rsidRPr="009A385A">
        <w:rPr>
          <w:rFonts w:ascii="Verdana" w:hAnsi="Verdana"/>
        </w:rPr>
        <w:t>generar mayor valor público. Accede al curso</w:t>
      </w:r>
      <w:r>
        <w:rPr>
          <w:rFonts w:ascii="Verdana" w:hAnsi="Verdana"/>
        </w:rPr>
        <w:t xml:space="preserve"> y aprende como implementar criterios sociales y ambientales en las diferentes etapas del proceso de contratación</w:t>
      </w:r>
      <w:r w:rsidRPr="009A385A">
        <w:rPr>
          <w:rFonts w:ascii="Verdana" w:hAnsi="Verdana"/>
        </w:rPr>
        <w:t>:</w:t>
      </w:r>
      <w:r w:rsidRPr="009A385A">
        <w:rPr>
          <w:rFonts w:ascii="Verdana" w:hAnsi="Verdana"/>
        </w:rPr>
        <w:br/>
      </w:r>
      <w:hyperlink r:id="rId12" w:tgtFrame="_new" w:history="1">
        <w:r w:rsidRPr="009A385A">
          <w:rPr>
            <w:rStyle w:val="Hipervnculo"/>
            <w:rFonts w:ascii="Verdana" w:hAnsi="Verdana"/>
          </w:rPr>
          <w:t>https://formacionvirtual.colombiacompra.gov.co/mod/page/view.php?id=3718</w:t>
        </w:r>
      </w:hyperlink>
    </w:p>
    <w:p w14:paraId="76A8F926" w14:textId="77777777" w:rsidR="00BC7D00" w:rsidRDefault="00BC7D00" w:rsidP="00BC7D00">
      <w:pPr>
        <w:jc w:val="both"/>
        <w:rPr>
          <w:rFonts w:ascii="Verdana" w:hAnsi="Verdana"/>
        </w:rPr>
      </w:pPr>
      <w:r>
        <w:rPr>
          <w:rFonts w:ascii="Verdana" w:hAnsi="Verdana"/>
        </w:rPr>
        <w:t>De otro lado, te contamos que</w:t>
      </w:r>
      <w:r w:rsidRPr="00B36954">
        <w:rPr>
          <w:rFonts w:ascii="Verdana" w:hAnsi="Verdana"/>
        </w:rPr>
        <w:t xml:space="preserve"> </w:t>
      </w:r>
      <w:r>
        <w:rPr>
          <w:rFonts w:ascii="Verdana" w:hAnsi="Verdana"/>
        </w:rPr>
        <w:t>esta</w:t>
      </w:r>
      <w:r w:rsidRPr="00B36954">
        <w:rPr>
          <w:rFonts w:ascii="Verdana" w:hAnsi="Verdana"/>
        </w:rPr>
        <w:t xml:space="preserve"> Agencia </w:t>
      </w:r>
      <w:r>
        <w:rPr>
          <w:rFonts w:ascii="Verdana" w:hAnsi="Verdana"/>
        </w:rPr>
        <w:t xml:space="preserve">ha </w:t>
      </w:r>
      <w:r w:rsidRPr="00635F16">
        <w:rPr>
          <w:rFonts w:ascii="Verdana" w:hAnsi="Verdana"/>
        </w:rPr>
        <w:t xml:space="preserve">da un paso decisivo en la estandarización y modernización del </w:t>
      </w:r>
      <w:r w:rsidRPr="009A385A">
        <w:rPr>
          <w:rFonts w:ascii="Verdana" w:hAnsi="Verdana"/>
          <w:b/>
          <w:bCs/>
        </w:rPr>
        <w:t>sector  social</w:t>
      </w:r>
      <w:r w:rsidRPr="00635F16">
        <w:rPr>
          <w:rFonts w:ascii="Verdana" w:hAnsi="Verdana"/>
        </w:rPr>
        <w:t xml:space="preserve"> con la expedición de las </w:t>
      </w:r>
      <w:r w:rsidRPr="009A385A">
        <w:rPr>
          <w:rFonts w:ascii="Verdana" w:hAnsi="Verdana"/>
          <w:b/>
          <w:bCs/>
        </w:rPr>
        <w:t>Resoluciones 539, 540, 541, 952 y 953 de 2025</w:t>
      </w:r>
      <w:r w:rsidRPr="00635F16">
        <w:rPr>
          <w:rFonts w:ascii="Verdana" w:hAnsi="Verdana"/>
        </w:rPr>
        <w:t xml:space="preserve">, </w:t>
      </w:r>
      <w:r w:rsidRPr="009A385A">
        <w:rPr>
          <w:rFonts w:ascii="Verdana" w:hAnsi="Verdana"/>
          <w:b/>
          <w:bCs/>
        </w:rPr>
        <w:t>mediante las cuales adopt</w:t>
      </w:r>
      <w:r>
        <w:rPr>
          <w:rFonts w:ascii="Verdana" w:hAnsi="Verdana"/>
          <w:b/>
          <w:bCs/>
        </w:rPr>
        <w:t>ó</w:t>
      </w:r>
      <w:r w:rsidRPr="009A385A">
        <w:rPr>
          <w:rFonts w:ascii="Verdana" w:hAnsi="Verdana"/>
          <w:b/>
          <w:bCs/>
        </w:rPr>
        <w:t xml:space="preserve"> Documentos Tipo</w:t>
      </w:r>
      <w:r w:rsidRPr="00635F16">
        <w:rPr>
          <w:rFonts w:ascii="Verdana" w:hAnsi="Verdana"/>
        </w:rPr>
        <w:t xml:space="preserve"> para</w:t>
      </w:r>
      <w:r>
        <w:rPr>
          <w:rFonts w:ascii="Verdana" w:hAnsi="Verdana"/>
        </w:rPr>
        <w:t xml:space="preserve"> las modalidades de selección </w:t>
      </w:r>
      <w:r w:rsidRPr="007D7084">
        <w:rPr>
          <w:rFonts w:ascii="Verdana" w:hAnsi="Verdana"/>
        </w:rPr>
        <w:t>de</w:t>
      </w:r>
      <w:r w:rsidRPr="009A385A">
        <w:rPr>
          <w:rFonts w:ascii="Verdana" w:hAnsi="Verdana"/>
          <w:b/>
          <w:bCs/>
        </w:rPr>
        <w:t xml:space="preserve"> licitación pública (versión 2), selección abreviada de menor cuantía, mínima cuantía, consultoría e interventoría</w:t>
      </w:r>
      <w:r w:rsidRPr="00635F16">
        <w:rPr>
          <w:rFonts w:ascii="Verdana" w:hAnsi="Verdana"/>
        </w:rPr>
        <w:t xml:space="preserve">, promoviendo procesos más </w:t>
      </w:r>
      <w:r w:rsidRPr="00635F16">
        <w:rPr>
          <w:rFonts w:ascii="Verdana" w:hAnsi="Verdana"/>
        </w:rPr>
        <w:lastRenderedPageBreak/>
        <w:t>transparentes, eficientes  competitivos</w:t>
      </w:r>
      <w:r>
        <w:rPr>
          <w:rFonts w:ascii="Verdana" w:hAnsi="Verdana"/>
        </w:rPr>
        <w:t xml:space="preserve"> y sostenibles</w:t>
      </w:r>
      <w:r w:rsidRPr="00635F16">
        <w:rPr>
          <w:rFonts w:ascii="Verdana" w:hAnsi="Verdana"/>
        </w:rPr>
        <w:t xml:space="preserve"> en sectores estratégicos como educación, salud, cultura, recreación</w:t>
      </w:r>
      <w:r>
        <w:rPr>
          <w:rFonts w:ascii="Verdana" w:hAnsi="Verdana"/>
        </w:rPr>
        <w:t xml:space="preserve">, </w:t>
      </w:r>
      <w:r w:rsidRPr="00635F16">
        <w:rPr>
          <w:rFonts w:ascii="Verdana" w:hAnsi="Verdana"/>
        </w:rPr>
        <w:t xml:space="preserve">deporte, institucional y vivienda. Consulta y descarga los documentos aquí: </w:t>
      </w:r>
      <w:hyperlink r:id="rId13" w:tgtFrame="_new" w:history="1">
        <w:r w:rsidRPr="00635F16">
          <w:rPr>
            <w:rStyle w:val="Hipervnculo"/>
            <w:rFonts w:ascii="Verdana" w:hAnsi="Verdana"/>
          </w:rPr>
          <w:t>https://www.colombiacompra.gov.co/normativa-y-relatoria/documentos-tipo</w:t>
        </w:r>
      </w:hyperlink>
    </w:p>
    <w:p w14:paraId="4B6B1C97" w14:textId="77777777" w:rsidR="00BC7D00" w:rsidRDefault="00BC7D00" w:rsidP="00BC7D00">
      <w:pPr>
        <w:jc w:val="both"/>
        <w:rPr>
          <w:rFonts w:ascii="Verdana" w:hAnsi="Verdana"/>
        </w:rPr>
      </w:pPr>
      <w:r>
        <w:rPr>
          <w:rFonts w:ascii="Verdana" w:hAnsi="Verdana"/>
        </w:rPr>
        <w:t>Si quieres conocer más sobre la aplicación de Documentos Tipo</w:t>
      </w:r>
      <w:r w:rsidRPr="009A385A">
        <w:rPr>
          <w:rFonts w:ascii="Verdana" w:hAnsi="Verdana"/>
        </w:rPr>
        <w:t xml:space="preserve"> </w:t>
      </w:r>
      <w:r>
        <w:rPr>
          <w:rFonts w:ascii="Verdana" w:hAnsi="Verdana"/>
        </w:rPr>
        <w:t xml:space="preserve">puedes </w:t>
      </w:r>
      <w:r w:rsidRPr="00797327">
        <w:rPr>
          <w:rFonts w:ascii="Verdana" w:hAnsi="Verdana"/>
        </w:rPr>
        <w:t>consulta</w:t>
      </w:r>
      <w:r>
        <w:rPr>
          <w:rFonts w:ascii="Verdana" w:hAnsi="Verdana"/>
        </w:rPr>
        <w:t>r</w:t>
      </w:r>
      <w:r w:rsidRPr="009A385A">
        <w:rPr>
          <w:rFonts w:ascii="Verdana" w:hAnsi="Verdana"/>
        </w:rPr>
        <w:t xml:space="preserve"> la</w:t>
      </w:r>
      <w:r w:rsidRPr="00797327">
        <w:rPr>
          <w:rFonts w:ascii="Verdana" w:hAnsi="Verdana"/>
        </w:rPr>
        <w:t xml:space="preserve"> última versión de la</w:t>
      </w:r>
      <w:r w:rsidRPr="009A385A">
        <w:rPr>
          <w:rFonts w:ascii="Verdana" w:hAnsi="Verdana"/>
        </w:rPr>
        <w:t xml:space="preserve"> </w:t>
      </w:r>
      <w:r w:rsidRPr="009A385A">
        <w:rPr>
          <w:rFonts w:ascii="Verdana" w:hAnsi="Verdana"/>
          <w:b/>
          <w:bCs/>
        </w:rPr>
        <w:t>Guía para la comprensión e implementación de los Documentos Tipo de obra pública de infraestructura de transporte</w:t>
      </w:r>
      <w:r w:rsidRPr="00797327">
        <w:rPr>
          <w:rFonts w:ascii="Verdana" w:hAnsi="Verdana"/>
        </w:rPr>
        <w:t xml:space="preserve">. En </w:t>
      </w:r>
      <w:r>
        <w:rPr>
          <w:rFonts w:ascii="Verdana" w:hAnsi="Verdana"/>
        </w:rPr>
        <w:t xml:space="preserve">esta </w:t>
      </w:r>
      <w:r w:rsidRPr="00797327">
        <w:rPr>
          <w:rFonts w:ascii="Verdana" w:hAnsi="Verdana"/>
        </w:rPr>
        <w:t>actualización</w:t>
      </w:r>
      <w:r>
        <w:rPr>
          <w:rFonts w:ascii="Verdana" w:hAnsi="Verdana"/>
        </w:rPr>
        <w:t xml:space="preserve"> </w:t>
      </w:r>
      <w:r w:rsidRPr="00797327">
        <w:rPr>
          <w:rFonts w:ascii="Verdana" w:hAnsi="Verdana"/>
        </w:rPr>
        <w:t>se incorporaron orientaciones prácticas dirigidas a entidades públicas, proveedores, organismos de control y demás interesados, con el propósito de facilitar la adecuada implementación de est</w:t>
      </w:r>
      <w:r>
        <w:rPr>
          <w:rFonts w:ascii="Verdana" w:hAnsi="Verdana"/>
        </w:rPr>
        <w:t>os</w:t>
      </w:r>
      <w:r w:rsidRPr="00797327">
        <w:rPr>
          <w:rFonts w:ascii="Verdana" w:hAnsi="Verdana"/>
        </w:rPr>
        <w:t xml:space="preserve"> instrumento</w:t>
      </w:r>
      <w:r>
        <w:rPr>
          <w:rFonts w:ascii="Verdana" w:hAnsi="Verdana"/>
        </w:rPr>
        <w:t>s</w:t>
      </w:r>
      <w:r w:rsidRPr="00797327">
        <w:rPr>
          <w:rFonts w:ascii="Verdana" w:hAnsi="Verdana"/>
        </w:rPr>
        <w:t xml:space="preserve"> en los procesos contractuales.</w:t>
      </w:r>
      <w:r w:rsidRPr="009A385A">
        <w:rPr>
          <w:rFonts w:ascii="Verdana" w:hAnsi="Verdana"/>
        </w:rPr>
        <w:t xml:space="preserve"> </w:t>
      </w:r>
      <w:r w:rsidRPr="00797327">
        <w:rPr>
          <w:rFonts w:ascii="Verdana" w:hAnsi="Verdana"/>
        </w:rPr>
        <w:t>Además se incluye</w:t>
      </w:r>
      <w:r>
        <w:rPr>
          <w:rFonts w:ascii="Verdana" w:hAnsi="Verdana"/>
        </w:rPr>
        <w:t>ron</w:t>
      </w:r>
      <w:r w:rsidRPr="00797327">
        <w:rPr>
          <w:rFonts w:ascii="Verdana" w:hAnsi="Verdana"/>
        </w:rPr>
        <w:t xml:space="preserve"> lineamientos que orientan la implementación de los criterios ambientales y sociales incluidos en los documentos tipo: </w:t>
      </w:r>
      <w:r w:rsidRPr="009A385A">
        <w:rPr>
          <w:rFonts w:ascii="Verdana" w:hAnsi="Verdana"/>
        </w:rPr>
        <w:t>Consulta la guía aquí:</w:t>
      </w:r>
      <w:r w:rsidRPr="009A385A">
        <w:rPr>
          <w:rFonts w:ascii="Verdana" w:hAnsi="Verdana"/>
        </w:rPr>
        <w:br/>
      </w:r>
      <w:hyperlink r:id="rId14" w:tgtFrame="_new" w:history="1">
        <w:r w:rsidRPr="009A385A">
          <w:rPr>
            <w:rStyle w:val="Hipervnculo"/>
            <w:rFonts w:ascii="Verdana" w:hAnsi="Verdana"/>
          </w:rPr>
          <w:t>https://www.colombiacompra.gov.co/archivos/manual/guia-para-la-comprension-e-implementacion-de-los-documentos-tipo-de-obra-publica-de-infraestructura-de-transporte-bajo-las-diferentes-modalidades-de-contratacion-vigentes</w:t>
        </w:r>
      </w:hyperlink>
    </w:p>
    <w:p w14:paraId="6734BB5F" w14:textId="77777777" w:rsidR="00BC7D00" w:rsidRDefault="00BC7D00" w:rsidP="00BC7D00">
      <w:pPr>
        <w:spacing w:after="0" w:line="276" w:lineRule="auto"/>
        <w:jc w:val="both"/>
        <w:rPr>
          <w:rFonts w:ascii="Verdana" w:hAnsi="Verdana"/>
        </w:rPr>
      </w:pPr>
      <w:r>
        <w:rPr>
          <w:rFonts w:ascii="Verdana" w:hAnsi="Verdana"/>
        </w:rPr>
        <w:t xml:space="preserve">Por último, lo invitamos a seguirnos en las redes sociales en las cuales se difunde información institucional: </w:t>
      </w:r>
    </w:p>
    <w:p w14:paraId="6D0528A4" w14:textId="77777777" w:rsidR="00BC7D00" w:rsidRDefault="00BC7D00" w:rsidP="00BC7D00">
      <w:pPr>
        <w:spacing w:after="0" w:line="276" w:lineRule="auto"/>
        <w:jc w:val="both"/>
        <w:rPr>
          <w:rFonts w:ascii="Verdana" w:hAnsi="Verdana"/>
        </w:rPr>
      </w:pPr>
    </w:p>
    <w:p w14:paraId="79F50274" w14:textId="77777777" w:rsidR="00BC7D00" w:rsidRDefault="00BC7D00" w:rsidP="00BC7D00">
      <w:pPr>
        <w:spacing w:after="0" w:line="276" w:lineRule="auto"/>
        <w:jc w:val="both"/>
        <w:rPr>
          <w:rFonts w:ascii="Verdana" w:hAnsi="Verdana"/>
        </w:rPr>
      </w:pPr>
      <w:r>
        <w:rPr>
          <w:rFonts w:ascii="Verdana" w:hAnsi="Verdana"/>
        </w:rPr>
        <w:t xml:space="preserve">Twitter: </w:t>
      </w:r>
      <w:r>
        <w:rPr>
          <w:rStyle w:val="Hipervnculo"/>
          <w:rFonts w:ascii="Verdana" w:hAnsi="Verdana"/>
          <w:color w:val="4472C4" w:themeColor="accent1"/>
        </w:rPr>
        <w:t>@colombiacompra</w:t>
      </w:r>
      <w:r>
        <w:rPr>
          <w:rFonts w:ascii="Verdana" w:hAnsi="Verdana"/>
          <w:color w:val="4472C4" w:themeColor="accent1"/>
        </w:rPr>
        <w:t xml:space="preserve"> </w:t>
      </w:r>
    </w:p>
    <w:p w14:paraId="476C051D" w14:textId="77777777" w:rsidR="00BC7D00" w:rsidRDefault="00BC7D00" w:rsidP="00BC7D00">
      <w:pPr>
        <w:spacing w:after="0" w:line="276" w:lineRule="auto"/>
        <w:jc w:val="both"/>
        <w:rPr>
          <w:rFonts w:ascii="Verdana" w:hAnsi="Verdana"/>
        </w:rPr>
      </w:pPr>
      <w:r>
        <w:rPr>
          <w:rFonts w:ascii="Verdana" w:hAnsi="Verdana"/>
        </w:rPr>
        <w:t xml:space="preserve">Facebook: </w:t>
      </w:r>
      <w:proofErr w:type="spellStart"/>
      <w:r>
        <w:rPr>
          <w:rStyle w:val="Hipervnculo"/>
          <w:rFonts w:ascii="Verdana" w:hAnsi="Verdana"/>
          <w:color w:val="4472C4" w:themeColor="accent1"/>
        </w:rPr>
        <w:t>ColombiaCompraEficiente</w:t>
      </w:r>
      <w:proofErr w:type="spellEnd"/>
    </w:p>
    <w:p w14:paraId="160D15CF" w14:textId="77777777" w:rsidR="00BC7D00" w:rsidRDefault="00BC7D00" w:rsidP="00BC7D00">
      <w:pPr>
        <w:spacing w:after="0" w:line="276" w:lineRule="auto"/>
        <w:jc w:val="both"/>
        <w:rPr>
          <w:rFonts w:ascii="Verdana" w:hAnsi="Verdana"/>
        </w:rPr>
      </w:pPr>
      <w:r>
        <w:rPr>
          <w:rFonts w:ascii="Verdana" w:hAnsi="Verdana"/>
        </w:rPr>
        <w:t xml:space="preserve">LinkedIn: </w:t>
      </w:r>
      <w:r>
        <w:rPr>
          <w:rStyle w:val="Hipervnculo"/>
          <w:rFonts w:ascii="Verdana" w:hAnsi="Verdana"/>
          <w:color w:val="4472C4" w:themeColor="accent1"/>
        </w:rPr>
        <w:t>Agencia Nacional de Contratación Pública - Colombia Compra Eficiente</w:t>
      </w:r>
      <w:r>
        <w:rPr>
          <w:rFonts w:ascii="Verdana" w:hAnsi="Verdana"/>
          <w:color w:val="4472C4" w:themeColor="accent1"/>
        </w:rPr>
        <w:t xml:space="preserve"> </w:t>
      </w:r>
      <w:r>
        <w:rPr>
          <w:rFonts w:ascii="Verdana" w:hAnsi="Verdana"/>
        </w:rPr>
        <w:t xml:space="preserve">Instagram: </w:t>
      </w:r>
      <w:r>
        <w:rPr>
          <w:rStyle w:val="Hipervnculo"/>
          <w:rFonts w:ascii="Verdana" w:hAnsi="Verdana"/>
          <w:color w:val="4472C4" w:themeColor="accent1"/>
        </w:rPr>
        <w:t>@colombiacompraeficiente_cce</w:t>
      </w:r>
    </w:p>
    <w:p w14:paraId="0F0A6BBC" w14:textId="77777777" w:rsidR="00BC7D00" w:rsidRDefault="00BC7D00" w:rsidP="00BC7D00">
      <w:pPr>
        <w:widowControl w:val="0"/>
        <w:autoSpaceDE w:val="0"/>
        <w:autoSpaceDN w:val="0"/>
        <w:spacing w:after="0" w:line="276" w:lineRule="auto"/>
        <w:jc w:val="both"/>
        <w:rPr>
          <w:rFonts w:ascii="Verdana" w:hAnsi="Verdana" w:cs="Arial"/>
        </w:rPr>
      </w:pPr>
    </w:p>
    <w:p w14:paraId="1DD3D45B" w14:textId="77777777" w:rsidR="00BC7D00" w:rsidRDefault="00BC7D00" w:rsidP="00BC7D00">
      <w:pPr>
        <w:widowControl w:val="0"/>
        <w:autoSpaceDE w:val="0"/>
        <w:autoSpaceDN w:val="0"/>
        <w:spacing w:after="0" w:line="276" w:lineRule="auto"/>
        <w:jc w:val="both"/>
        <w:rPr>
          <w:rFonts w:ascii="Verdana" w:hAnsi="Verdana" w:cs="Arial"/>
          <w:lang w:val="es-ES_tradnl"/>
        </w:rPr>
      </w:pPr>
      <w:r>
        <w:rPr>
          <w:rFonts w:ascii="Verdana" w:hAnsi="Verdana" w:cs="Arial"/>
        </w:rPr>
        <w:t xml:space="preserve">Este concepto tiene el alcance previsto en el artículo 28 del Código de Procedimiento Administrativo y de lo Contencioso Administrativo </w:t>
      </w:r>
      <w:r>
        <w:rPr>
          <w:rFonts w:ascii="Verdana" w:hAnsi="Verdana" w:cs="Arial"/>
          <w:lang w:val="es-ES_tradnl"/>
        </w:rPr>
        <w:t>y las expresiones aquí utilizadas con mayúscula inicial deben ser entendidas con el significado que les otorga el artículo 2.2.1.1.1.3.1. del Decreto 1082 de 2015.</w:t>
      </w:r>
    </w:p>
    <w:p w14:paraId="62865E5B" w14:textId="77777777" w:rsidR="00BC7D00" w:rsidRDefault="00BC7D00" w:rsidP="00BC7D00">
      <w:pPr>
        <w:widowControl w:val="0"/>
        <w:autoSpaceDE w:val="0"/>
        <w:autoSpaceDN w:val="0"/>
        <w:spacing w:after="0" w:line="276" w:lineRule="auto"/>
        <w:jc w:val="both"/>
        <w:rPr>
          <w:rFonts w:ascii="Verdana" w:hAnsi="Verdana" w:cs="Arial"/>
        </w:rPr>
      </w:pPr>
    </w:p>
    <w:p w14:paraId="57DEA4D8" w14:textId="77777777" w:rsidR="00BC7D00" w:rsidRDefault="00BC7D00" w:rsidP="00BC7D00">
      <w:pPr>
        <w:spacing w:after="0" w:line="276" w:lineRule="auto"/>
        <w:rPr>
          <w:rFonts w:ascii="Verdana" w:hAnsi="Verdana" w:cs="Arial"/>
          <w:lang w:eastAsia="es-CO"/>
        </w:rPr>
      </w:pPr>
      <w:r>
        <w:rPr>
          <w:rFonts w:ascii="Verdana" w:eastAsia="Times New Roman" w:hAnsi="Verdana" w:cs="Arial"/>
          <w:lang w:eastAsia="es-CO"/>
        </w:rPr>
        <w:t>Atentamente,</w:t>
      </w:r>
      <w:r>
        <w:rPr>
          <w:rFonts w:ascii="Verdana" w:hAnsi="Verdana" w:cs="Arial"/>
          <w:lang w:eastAsia="es-CO"/>
        </w:rPr>
        <w:t xml:space="preserve"> </w:t>
      </w:r>
    </w:p>
    <w:p w14:paraId="1366DFDE" w14:textId="438663D5" w:rsidR="00BC7D00" w:rsidRDefault="00701D46" w:rsidP="00BC7D00">
      <w:pPr>
        <w:spacing w:after="0" w:line="276" w:lineRule="auto"/>
        <w:jc w:val="center"/>
      </w:pPr>
      <w:r w:rsidRPr="002C3AD6">
        <w:rPr>
          <w:rFonts w:ascii="Century Gothic" w:hAnsi="Century Gothic"/>
          <w:noProof/>
        </w:rPr>
        <w:drawing>
          <wp:inline distT="0" distB="0" distL="0" distR="0" wp14:anchorId="15B0BFD1" wp14:editId="70A45BE8">
            <wp:extent cx="3771900" cy="1085850"/>
            <wp:effectExtent l="0" t="0" r="0" b="0"/>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pic:nvPicPr>
                  <pic:blipFill>
                    <a:blip r:embed="rId15"/>
                    <a:stretch>
                      <a:fillRect/>
                    </a:stretch>
                  </pic:blipFill>
                  <pic:spPr>
                    <a:xfrm>
                      <a:off x="0" y="0"/>
                      <a:ext cx="3772428" cy="1086002"/>
                    </a:xfrm>
                    <a:prstGeom prst="rect">
                      <a:avLst/>
                    </a:prstGeom>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BC7D00" w14:paraId="2ED6373F" w14:textId="77777777" w:rsidTr="00A05D8D">
        <w:trPr>
          <w:trHeight w:val="315"/>
        </w:trPr>
        <w:tc>
          <w:tcPr>
            <w:tcW w:w="893" w:type="dxa"/>
            <w:vAlign w:val="center"/>
            <w:hideMark/>
          </w:tcPr>
          <w:p w14:paraId="6CA7029D" w14:textId="77777777" w:rsidR="00BC7D00" w:rsidRDefault="00BC7D00" w:rsidP="00A05D8D">
            <w:pPr>
              <w:spacing w:after="255"/>
              <w:contextualSpacing/>
              <w:rPr>
                <w:rFonts w:ascii="Verdana" w:hAnsi="Verdana" w:cs="Arial"/>
                <w:sz w:val="16"/>
                <w:szCs w:val="16"/>
                <w:lang w:val="es-ES" w:eastAsia="es-ES"/>
              </w:rPr>
            </w:pPr>
            <w:r>
              <w:rPr>
                <w:rFonts w:ascii="Verdana" w:hAnsi="Verdana" w:cs="Arial"/>
                <w:sz w:val="16"/>
                <w:szCs w:val="16"/>
                <w:lang w:val="es-ES" w:eastAsia="es-ES"/>
              </w:rPr>
              <w:lastRenderedPageBreak/>
              <w:t>Elaboró:</w:t>
            </w:r>
          </w:p>
        </w:tc>
        <w:tc>
          <w:tcPr>
            <w:tcW w:w="5628" w:type="dxa"/>
            <w:tcBorders>
              <w:top w:val="nil"/>
              <w:left w:val="nil"/>
              <w:bottom w:val="dotted" w:sz="4" w:space="0" w:color="7F7F7F" w:themeColor="text1" w:themeTint="80"/>
              <w:right w:val="nil"/>
            </w:tcBorders>
            <w:vAlign w:val="center"/>
            <w:hideMark/>
          </w:tcPr>
          <w:p w14:paraId="5E1C3F5D" w14:textId="77777777" w:rsidR="00BC7D00" w:rsidRDefault="00BC7D00" w:rsidP="00A05D8D">
            <w:pPr>
              <w:spacing w:after="255"/>
              <w:contextualSpacing/>
              <w:rPr>
                <w:rFonts w:ascii="Verdana" w:eastAsia="Arial" w:hAnsi="Verdana" w:cs="Arial"/>
                <w:sz w:val="16"/>
                <w:szCs w:val="16"/>
              </w:rPr>
            </w:pPr>
            <w:r>
              <w:rPr>
                <w:rFonts w:ascii="Verdana" w:eastAsia="Arial" w:hAnsi="Verdana" w:cs="Arial"/>
                <w:sz w:val="16"/>
                <w:szCs w:val="16"/>
              </w:rPr>
              <w:t>Richard Andrés Montenegro Siefken</w:t>
            </w:r>
          </w:p>
          <w:p w14:paraId="7CB7B636" w14:textId="77777777" w:rsidR="00BC7D00" w:rsidRDefault="00BC7D00" w:rsidP="00A05D8D">
            <w:pPr>
              <w:spacing w:after="255"/>
              <w:contextualSpacing/>
              <w:rPr>
                <w:rFonts w:ascii="Verdana" w:eastAsia="Arial" w:hAnsi="Verdana" w:cs="Arial"/>
                <w:sz w:val="16"/>
                <w:szCs w:val="16"/>
              </w:rPr>
            </w:pPr>
            <w:r>
              <w:rPr>
                <w:rStyle w:val="normaltextrun"/>
                <w:rFonts w:ascii="Verdana" w:eastAsia="Arial" w:hAnsi="Verdana" w:cs="Arial"/>
                <w:sz w:val="16"/>
                <w:szCs w:val="16"/>
              </w:rPr>
              <w:t>C</w:t>
            </w:r>
            <w:r>
              <w:rPr>
                <w:rStyle w:val="normaltextrun"/>
                <w:rFonts w:ascii="Verdana" w:eastAsia="Arial" w:hAnsi="Verdana"/>
                <w:sz w:val="16"/>
                <w:szCs w:val="16"/>
              </w:rPr>
              <w:t>ontratista d</w:t>
            </w:r>
            <w:r>
              <w:rPr>
                <w:rStyle w:val="normaltextrun"/>
                <w:rFonts w:ascii="Verdana" w:eastAsia="Arial" w:hAnsi="Verdana" w:cs="Arial"/>
                <w:sz w:val="16"/>
                <w:szCs w:val="16"/>
              </w:rPr>
              <w:t>e la Subdirección de Gestión Contractual</w:t>
            </w:r>
          </w:p>
        </w:tc>
      </w:tr>
      <w:tr w:rsidR="00BC7D00" w14:paraId="64AC194D" w14:textId="77777777" w:rsidTr="00A05D8D">
        <w:trPr>
          <w:trHeight w:val="330"/>
        </w:trPr>
        <w:tc>
          <w:tcPr>
            <w:tcW w:w="893" w:type="dxa"/>
            <w:vAlign w:val="center"/>
            <w:hideMark/>
          </w:tcPr>
          <w:p w14:paraId="6B1228A7" w14:textId="77777777" w:rsidR="00BC7D00" w:rsidRDefault="00BC7D00" w:rsidP="00A05D8D">
            <w:pPr>
              <w:spacing w:after="255"/>
              <w:contextualSpacing/>
              <w:rPr>
                <w:rFonts w:ascii="Verdana" w:hAnsi="Verdana" w:cs="Arial"/>
                <w:sz w:val="16"/>
                <w:szCs w:val="16"/>
                <w:lang w:val="es-ES" w:eastAsia="es-ES"/>
              </w:rPr>
            </w:pPr>
            <w:r>
              <w:rPr>
                <w:rFonts w:ascii="Verdana" w:hAnsi="Verdana" w:cs="Arial"/>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32AE746C" w14:textId="77777777" w:rsidR="00BC7D00" w:rsidRDefault="00BC7D00" w:rsidP="00A05D8D">
            <w:pPr>
              <w:pStyle w:val="paragraph"/>
              <w:spacing w:before="0" w:beforeAutospacing="0" w:after="0" w:afterAutospacing="0"/>
              <w:contextualSpacing/>
              <w:textAlignment w:val="baseline"/>
              <w:rPr>
                <w:rFonts w:ascii="Verdana" w:hAnsi="Verdana" w:cs="Segoe UI"/>
                <w:sz w:val="16"/>
                <w:szCs w:val="16"/>
                <w:lang w:eastAsia="es-ES_tradnl"/>
              </w:rPr>
            </w:pPr>
            <w:r>
              <w:rPr>
                <w:rFonts w:ascii="Verdana" w:hAnsi="Verdana" w:cs="Segoe UI"/>
                <w:sz w:val="16"/>
                <w:szCs w:val="16"/>
              </w:rPr>
              <w:t>Diana Lucia Saavedra Castañeda</w:t>
            </w:r>
          </w:p>
          <w:p w14:paraId="69B5207C" w14:textId="77777777" w:rsidR="00BC7D00" w:rsidRDefault="00BC7D00" w:rsidP="00A05D8D">
            <w:pPr>
              <w:pStyle w:val="paragraph"/>
              <w:spacing w:before="0" w:beforeAutospacing="0" w:after="0" w:afterAutospacing="0"/>
              <w:contextualSpacing/>
              <w:textAlignment w:val="baseline"/>
              <w:rPr>
                <w:rFonts w:ascii="Verdana" w:hAnsi="Verdana" w:cs="Segoe UI"/>
                <w:sz w:val="16"/>
                <w:szCs w:val="16"/>
              </w:rPr>
            </w:pPr>
            <w:r>
              <w:rPr>
                <w:rStyle w:val="normaltextrun"/>
                <w:rFonts w:ascii="Verdana" w:hAnsi="Verdana" w:cs="Arial"/>
                <w:sz w:val="16"/>
                <w:szCs w:val="16"/>
                <w:lang w:val="es-ES"/>
              </w:rPr>
              <w:t>Contratista de la Subdirección de Gestión Contractual</w:t>
            </w:r>
            <w:r>
              <w:rPr>
                <w:rStyle w:val="eop"/>
                <w:rFonts w:ascii="Verdana" w:hAnsi="Verdana" w:cs="Arial"/>
                <w:sz w:val="16"/>
                <w:szCs w:val="16"/>
              </w:rPr>
              <w:t> </w:t>
            </w:r>
          </w:p>
        </w:tc>
      </w:tr>
      <w:tr w:rsidR="00BC7D00" w14:paraId="39FEBB50" w14:textId="77777777" w:rsidTr="00A05D8D">
        <w:trPr>
          <w:trHeight w:val="300"/>
        </w:trPr>
        <w:tc>
          <w:tcPr>
            <w:tcW w:w="893" w:type="dxa"/>
            <w:vAlign w:val="center"/>
            <w:hideMark/>
          </w:tcPr>
          <w:p w14:paraId="39537A29" w14:textId="77777777" w:rsidR="00BC7D00" w:rsidRDefault="00BC7D00" w:rsidP="00A05D8D">
            <w:pPr>
              <w:spacing w:after="255"/>
              <w:contextualSpacing/>
              <w:rPr>
                <w:rFonts w:ascii="Verdana" w:hAnsi="Verdana" w:cs="Arial"/>
                <w:sz w:val="16"/>
                <w:szCs w:val="16"/>
                <w:lang w:val="es-ES" w:eastAsia="es-ES"/>
              </w:rPr>
            </w:pPr>
            <w:r>
              <w:rPr>
                <w:rFonts w:ascii="Verdana" w:hAnsi="Verdana" w:cs="Arial"/>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528252E8" w14:textId="77777777" w:rsidR="00BC7D00" w:rsidRDefault="00BC7D00" w:rsidP="00A05D8D">
            <w:pPr>
              <w:spacing w:after="255"/>
              <w:contextualSpacing/>
              <w:rPr>
                <w:rFonts w:ascii="Verdana" w:eastAsia="Calibri" w:hAnsi="Verdana" w:cs="Arial"/>
                <w:sz w:val="16"/>
                <w:szCs w:val="16"/>
                <w:lang w:val="pt-BR" w:eastAsia="es-ES"/>
              </w:rPr>
            </w:pPr>
            <w:r>
              <w:rPr>
                <w:rFonts w:ascii="Verdana" w:eastAsia="Calibri" w:hAnsi="Verdana" w:cs="Arial"/>
                <w:sz w:val="16"/>
                <w:szCs w:val="16"/>
                <w:lang w:val="pt-BR" w:eastAsia="es-ES"/>
              </w:rPr>
              <w:t xml:space="preserve">Carolina Quintero </w:t>
            </w:r>
            <w:proofErr w:type="spellStart"/>
            <w:r>
              <w:rPr>
                <w:rFonts w:ascii="Verdana" w:eastAsia="Calibri" w:hAnsi="Verdana" w:cs="Arial"/>
                <w:sz w:val="16"/>
                <w:szCs w:val="16"/>
                <w:lang w:val="pt-BR" w:eastAsia="es-ES"/>
              </w:rPr>
              <w:t>Gacharná</w:t>
            </w:r>
            <w:proofErr w:type="spellEnd"/>
          </w:p>
          <w:p w14:paraId="6CB36A37" w14:textId="77777777" w:rsidR="00BC7D00" w:rsidRDefault="00BC7D00" w:rsidP="00A05D8D">
            <w:pPr>
              <w:spacing w:after="255"/>
              <w:contextualSpacing/>
              <w:rPr>
                <w:rFonts w:ascii="Verdana" w:eastAsia="Calibri" w:hAnsi="Verdana" w:cs="Arial"/>
                <w:sz w:val="16"/>
                <w:szCs w:val="16"/>
                <w:lang w:val="pt-BR" w:eastAsia="es-ES"/>
              </w:rPr>
            </w:pPr>
            <w:r>
              <w:rPr>
                <w:rFonts w:ascii="Verdana" w:eastAsia="Calibri" w:hAnsi="Verdana" w:cs="Arial"/>
                <w:sz w:val="16"/>
                <w:szCs w:val="16"/>
                <w:lang w:eastAsia="es-ES"/>
              </w:rPr>
              <w:t>Subdirectora</w:t>
            </w:r>
            <w:r>
              <w:rPr>
                <w:rFonts w:ascii="Verdana" w:eastAsia="Calibri" w:hAnsi="Verdana" w:cs="Arial"/>
                <w:sz w:val="16"/>
                <w:szCs w:val="16"/>
                <w:lang w:val="pt-BR" w:eastAsia="es-ES"/>
              </w:rPr>
              <w:t xml:space="preserve"> de Gestión </w:t>
            </w:r>
            <w:proofErr w:type="spellStart"/>
            <w:r>
              <w:rPr>
                <w:rFonts w:ascii="Verdana" w:eastAsia="Calibri" w:hAnsi="Verdana" w:cs="Arial"/>
                <w:sz w:val="16"/>
                <w:szCs w:val="16"/>
                <w:lang w:val="pt-BR" w:eastAsia="es-ES"/>
              </w:rPr>
              <w:t>Contractual</w:t>
            </w:r>
            <w:proofErr w:type="spellEnd"/>
            <w:r>
              <w:rPr>
                <w:rFonts w:ascii="Verdana" w:eastAsia="Calibri" w:hAnsi="Verdana" w:cs="Arial"/>
                <w:sz w:val="16"/>
                <w:szCs w:val="16"/>
                <w:lang w:val="pt-BR" w:eastAsia="es-ES"/>
              </w:rPr>
              <w:t xml:space="preserve"> ANCP – CCE </w:t>
            </w:r>
          </w:p>
        </w:tc>
      </w:tr>
    </w:tbl>
    <w:p w14:paraId="7C64C54C" w14:textId="77777777" w:rsidR="00BC7D00" w:rsidRPr="001249F1" w:rsidRDefault="00BC7D00" w:rsidP="00BC7D00"/>
    <w:p w14:paraId="0F293BF4" w14:textId="24F78963" w:rsidR="00127233" w:rsidRPr="00EF786C" w:rsidRDefault="00127233" w:rsidP="00EF786C"/>
    <w:sectPr w:rsidR="00127233" w:rsidRPr="00EF786C" w:rsidSect="007C0C0F">
      <w:headerReference w:type="default" r:id="rId16"/>
      <w:footerReference w:type="default" r:id="rId17"/>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1EEF7F" w14:textId="77777777" w:rsidR="007B5436" w:rsidRDefault="007B5436" w:rsidP="004A1847">
      <w:pPr>
        <w:spacing w:after="0" w:line="240" w:lineRule="auto"/>
      </w:pPr>
      <w:r>
        <w:separator/>
      </w:r>
    </w:p>
  </w:endnote>
  <w:endnote w:type="continuationSeparator" w:id="0">
    <w:p w14:paraId="30F80BD9" w14:textId="77777777" w:rsidR="007B5436" w:rsidRDefault="007B5436"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Open Sans">
    <w:charset w:val="00"/>
    <w:family w:val="swiss"/>
    <w:pitch w:val="variable"/>
    <w:sig w:usb0="E00002EF" w:usb1="4000205B" w:usb2="00000028" w:usb3="00000000" w:csb0="0000019F" w:csb1="00000000"/>
  </w:font>
  <w:font w:name="ArialMT">
    <w:altName w:val="Arial"/>
    <w:panose1 w:val="00000000000000000000"/>
    <w:charset w:val="00"/>
    <w:family w:val="auto"/>
    <w:notTrueType/>
    <w:pitch w:val="default"/>
    <w:sig w:usb0="00000003" w:usb1="00000000" w:usb2="00000000" w:usb3="00000000" w:csb0="00000001" w:csb1="00000000"/>
  </w:font>
  <w:font w:name="Arial MT">
    <w:altName w:val="Arial"/>
    <w:charset w:val="01"/>
    <w:family w:val="swiss"/>
    <w:pitch w:val="variable"/>
  </w:font>
  <w:font w:name="Century Gothic">
    <w:altName w:val="Century Gothic"/>
    <w:panose1 w:val="020B0502020202020204"/>
    <w:charset w:val="00"/>
    <w:family w:val="swiss"/>
    <w:pitch w:val="variable"/>
    <w:sig w:usb0="00000287" w:usb1="00000000" w:usb2="00000000" w:usb3="00000000" w:csb0="0000009F" w:csb1="00000000"/>
  </w:font>
  <w:font w:name="BCDHEE+Verdana">
    <w:altName w:val="Verdana"/>
    <w:charset w:val="00"/>
    <w:family w:val="swiss"/>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7C73DD1" w:rsidP="07C73DD1">
    <w:pPr>
      <w:pBdr>
        <w:top w:val="single" w:sz="4" w:space="1" w:color="000000"/>
      </w:pBdr>
      <w:spacing w:after="0"/>
      <w:rPr>
        <w:rFonts w:ascii="Verdana" w:eastAsia="Verdana" w:hAnsi="Verdana" w:cs="Verdana"/>
        <w:b/>
        <w:bCs/>
        <w:sz w:val="18"/>
        <w:szCs w:val="18"/>
      </w:rPr>
    </w:pPr>
    <w:r w:rsidRPr="07C73DD1">
      <w:rPr>
        <w:rFonts w:ascii="Verdana" w:eastAsia="Verdana" w:hAnsi="Verdana" w:cs="Verdana"/>
        <w:b/>
        <w:bCs/>
        <w:sz w:val="18"/>
        <w:szCs w:val="18"/>
      </w:rPr>
      <w:t xml:space="preserve">Agencia Nacional de Contratación Pública                                              </w:t>
    </w:r>
    <w:r w:rsidRPr="07C73DD1">
      <w:rPr>
        <w:rFonts w:ascii="Verdana" w:eastAsia="Verdana" w:hAnsi="Verdana" w:cs="Verdana"/>
        <w:b/>
        <w:bCs/>
        <w:sz w:val="18"/>
        <w:szCs w:val="18"/>
        <w:lang w:val="es-ES"/>
      </w:rPr>
      <w:t xml:space="preserve">pág. </w:t>
    </w:r>
    <w:r w:rsidR="00D520D8" w:rsidRPr="07C73DD1">
      <w:rPr>
        <w:rFonts w:ascii="Verdana" w:eastAsia="Verdana" w:hAnsi="Verdana" w:cs="Verdana"/>
        <w:b/>
        <w:bCs/>
        <w:sz w:val="18"/>
        <w:szCs w:val="18"/>
      </w:rPr>
      <w:fldChar w:fldCharType="begin"/>
    </w:r>
    <w:r w:rsidR="00D520D8" w:rsidRPr="07C73DD1">
      <w:rPr>
        <w:rFonts w:ascii="Verdana" w:hAnsi="Verdana"/>
        <w:b/>
        <w:bCs/>
        <w:sz w:val="16"/>
        <w:szCs w:val="16"/>
      </w:rPr>
      <w:instrText>PAGE    \* MERGEFORMAT</w:instrText>
    </w:r>
    <w:r w:rsidR="00D520D8" w:rsidRPr="07C73DD1">
      <w:rPr>
        <w:rFonts w:ascii="Verdana" w:eastAsiaTheme="minorEastAsia" w:hAnsi="Verdana"/>
        <w:b/>
        <w:bCs/>
        <w:sz w:val="16"/>
        <w:szCs w:val="16"/>
      </w:rPr>
      <w:fldChar w:fldCharType="separate"/>
    </w:r>
    <w:r w:rsidRPr="07C73DD1">
      <w:rPr>
        <w:rFonts w:ascii="Verdana" w:eastAsia="Verdana" w:hAnsi="Verdana" w:cs="Verdana"/>
        <w:b/>
        <w:bCs/>
        <w:sz w:val="18"/>
        <w:szCs w:val="18"/>
      </w:rPr>
      <w:t>1</w:t>
    </w:r>
    <w:r w:rsidR="00D520D8" w:rsidRPr="07C73DD1">
      <w:rPr>
        <w:rFonts w:ascii="Verdana" w:eastAsia="Verdana" w:hAnsi="Verdana" w:cs="Verdana"/>
        <w:b/>
        <w:bCs/>
        <w:sz w:val="18"/>
        <w:szCs w:val="18"/>
      </w:rPr>
      <w:fldChar w:fldCharType="end"/>
    </w:r>
    <w:r w:rsidRPr="07C73DD1">
      <w:rPr>
        <w:rFonts w:ascii="Verdana" w:eastAsia="Verdana" w:hAnsi="Verdana" w:cs="Verdana"/>
        <w:b/>
        <w:bCs/>
        <w:sz w:val="18"/>
        <w:szCs w:val="18"/>
      </w:rPr>
      <w:t xml:space="preserve">              Colombia Compra Eficiente         </w:t>
    </w:r>
    <w:r w:rsidRPr="07C73DD1">
      <w:rPr>
        <w:rFonts w:ascii="Verdana" w:eastAsia="Verdana" w:hAnsi="Verdana" w:cs="Verdana"/>
        <w:b/>
        <w:bCs/>
        <w:sz w:val="18"/>
        <w:szCs w:val="18"/>
        <w:lang w:val="es-ES"/>
      </w:rPr>
      <w:t xml:space="preserve"> </w:t>
    </w:r>
    <w:r w:rsidRPr="07C73DD1">
      <w:rPr>
        <w:rFonts w:ascii="Verdana" w:eastAsia="Verdana" w:hAnsi="Verdana" w:cs="Verdana"/>
        <w:b/>
        <w:bCs/>
        <w:sz w:val="18"/>
        <w:szCs w:val="18"/>
      </w:rPr>
      <w:t xml:space="preserve">                                                  </w:t>
    </w:r>
  </w:p>
  <w:p w14:paraId="0A735DD5" w14:textId="77777777" w:rsidR="00D520D8"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Dirección: Carrera 7 # 26 – 20 - Bogotá, Colombia</w:t>
    </w:r>
  </w:p>
  <w:p w14:paraId="06E36B88" w14:textId="77777777" w:rsidR="00D520D8" w:rsidRPr="00E41027"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Mesa de servicio: (+57) 601 7456788</w:t>
    </w:r>
  </w:p>
  <w:p w14:paraId="744661F5" w14:textId="22B9E88F" w:rsidR="006219F8" w:rsidRPr="00EF786C" w:rsidRDefault="07C73DD1" w:rsidP="07C73DD1">
    <w:pPr>
      <w:pBdr>
        <w:top w:val="nil"/>
        <w:left w:val="nil"/>
        <w:bottom w:val="nil"/>
        <w:right w:val="nil"/>
        <w:between w:val="nil"/>
      </w:pBdr>
      <w:tabs>
        <w:tab w:val="center" w:pos="4419"/>
        <w:tab w:val="right" w:pos="8838"/>
        <w:tab w:val="center" w:pos="5400"/>
      </w:tabs>
      <w:spacing w:after="0"/>
      <w:jc w:val="right"/>
      <w:rPr>
        <w:rFonts w:ascii="Verdana" w:eastAsia="Verdana" w:hAnsi="Verdana" w:cs="Verdana"/>
        <w:sz w:val="18"/>
        <w:szCs w:val="18"/>
        <w:lang w:val="pt-PT" w:eastAsia="es-CO"/>
      </w:rPr>
    </w:pPr>
    <w:r w:rsidRPr="00EF786C">
      <w:rPr>
        <w:rFonts w:ascii="Verdana" w:eastAsia="Verdana" w:hAnsi="Verdana" w:cs="Verdana"/>
        <w:b/>
        <w:bCs/>
        <w:color w:val="000000" w:themeColor="text1"/>
        <w:sz w:val="18"/>
        <w:szCs w:val="18"/>
        <w:lang w:val="pt-PT" w:eastAsia="es-CO"/>
      </w:rPr>
      <w:t xml:space="preserve">Código: </w:t>
    </w:r>
    <w:r w:rsidRPr="00EF786C">
      <w:rPr>
        <w:rFonts w:ascii="Verdana" w:eastAsia="Verdana" w:hAnsi="Verdana" w:cs="Verdana"/>
        <w:color w:val="000000" w:themeColor="text1"/>
        <w:sz w:val="18"/>
        <w:szCs w:val="18"/>
        <w:lang w:val="pt-PT" w:eastAsia="es-CO"/>
      </w:rPr>
      <w:t xml:space="preserve">CCE-REC-FM-17 </w:t>
    </w:r>
    <w:r w:rsidRPr="00EF786C">
      <w:rPr>
        <w:rFonts w:ascii="Verdana" w:eastAsia="Verdana" w:hAnsi="Verdana" w:cs="Verdana"/>
        <w:b/>
        <w:bCs/>
        <w:color w:val="000000" w:themeColor="text1"/>
        <w:sz w:val="18"/>
        <w:szCs w:val="18"/>
        <w:lang w:val="pt-PT" w:eastAsia="es-CO"/>
      </w:rPr>
      <w:t xml:space="preserve">V: </w:t>
    </w:r>
    <w:r w:rsidRPr="00EF786C">
      <w:rPr>
        <w:rFonts w:ascii="Verdana" w:eastAsia="Verdana" w:hAnsi="Verdana" w:cs="Verdana"/>
        <w:sz w:val="18"/>
        <w:szCs w:val="18"/>
        <w:lang w:val="pt-PT"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6D8E2C" w14:textId="77777777" w:rsidR="007B5436" w:rsidRDefault="007B5436" w:rsidP="004A1847">
      <w:pPr>
        <w:spacing w:after="0" w:line="240" w:lineRule="auto"/>
      </w:pPr>
      <w:r>
        <w:separator/>
      </w:r>
    </w:p>
  </w:footnote>
  <w:footnote w:type="continuationSeparator" w:id="0">
    <w:p w14:paraId="2B719B0D" w14:textId="77777777" w:rsidR="007B5436" w:rsidRDefault="007B5436" w:rsidP="004A1847">
      <w:pPr>
        <w:spacing w:after="0" w:line="240" w:lineRule="auto"/>
      </w:pPr>
      <w:r>
        <w:continuationSeparator/>
      </w:r>
    </w:p>
  </w:footnote>
  <w:footnote w:id="1">
    <w:p w14:paraId="29FA5480" w14:textId="77777777" w:rsidR="00BC7D00" w:rsidRPr="00C05384" w:rsidRDefault="00BC7D00" w:rsidP="00BC7D00">
      <w:pPr>
        <w:pStyle w:val="Textonotapie"/>
        <w:contextualSpacing/>
        <w:jc w:val="both"/>
        <w:rPr>
          <w:rFonts w:ascii="Verdana" w:hAnsi="Verdana" w:cs="Arial"/>
          <w:sz w:val="16"/>
          <w:szCs w:val="16"/>
        </w:rPr>
      </w:pPr>
      <w:r>
        <w:rPr>
          <w:rFonts w:ascii="Verdana" w:hAnsi="Verdana" w:cs="Arial"/>
          <w:sz w:val="16"/>
          <w:szCs w:val="16"/>
        </w:rPr>
        <w:tab/>
      </w:r>
      <w:r w:rsidRPr="00C05384">
        <w:rPr>
          <w:rStyle w:val="Refdenotaalpie"/>
          <w:rFonts w:ascii="Verdana" w:hAnsi="Verdana" w:cs="Arial"/>
          <w:sz w:val="16"/>
          <w:szCs w:val="16"/>
        </w:rPr>
        <w:footnoteRef/>
      </w:r>
      <w:r w:rsidRPr="00C05384">
        <w:rPr>
          <w:rFonts w:ascii="Verdana" w:hAnsi="Verdana" w:cs="Arial"/>
          <w:sz w:val="16"/>
          <w:szCs w:val="16"/>
        </w:rPr>
        <w:t xml:space="preserve"> Gaceta del Congreso de la República No. 71 del 2005.</w:t>
      </w:r>
    </w:p>
  </w:footnote>
  <w:footnote w:id="2">
    <w:p w14:paraId="03887E68" w14:textId="77777777" w:rsidR="00BC7D00" w:rsidRPr="00C05384" w:rsidRDefault="00BC7D00" w:rsidP="00BC7D00">
      <w:pPr>
        <w:pStyle w:val="Textonotapie"/>
        <w:ind w:firstLine="709"/>
        <w:contextualSpacing/>
        <w:jc w:val="both"/>
        <w:rPr>
          <w:rFonts w:ascii="Verdana" w:hAnsi="Verdana" w:cs="Arial"/>
          <w:sz w:val="16"/>
          <w:szCs w:val="16"/>
          <w:lang w:val="pt-BR"/>
        </w:rPr>
      </w:pPr>
      <w:r w:rsidRPr="00C05384">
        <w:rPr>
          <w:rStyle w:val="Refdenotaalpie"/>
          <w:rFonts w:ascii="Verdana" w:hAnsi="Verdana" w:cs="Arial"/>
          <w:sz w:val="16"/>
          <w:szCs w:val="16"/>
        </w:rPr>
        <w:footnoteRef/>
      </w:r>
      <w:r w:rsidRPr="00C05384">
        <w:rPr>
          <w:rFonts w:ascii="Verdana" w:hAnsi="Verdana" w:cs="Arial"/>
          <w:sz w:val="16"/>
          <w:szCs w:val="16"/>
          <w:lang w:val="pt-BR"/>
        </w:rPr>
        <w:t xml:space="preserve"> Corte Constitucional, Sentencia C- 1153 de 2005, M.P. Marco Gerardo Monroy Cabra.</w:t>
      </w:r>
    </w:p>
  </w:footnote>
  <w:footnote w:id="3">
    <w:p w14:paraId="26660F55" w14:textId="77777777" w:rsidR="00BC7D00" w:rsidRPr="00C05384" w:rsidRDefault="00BC7D00" w:rsidP="00BC7D00">
      <w:pPr>
        <w:pStyle w:val="Textonotapie"/>
        <w:ind w:firstLine="709"/>
        <w:contextualSpacing/>
        <w:jc w:val="both"/>
        <w:rPr>
          <w:rFonts w:ascii="Verdana" w:hAnsi="Verdana" w:cs="Arial"/>
          <w:sz w:val="16"/>
          <w:szCs w:val="16"/>
          <w:lang w:val="pt-BR"/>
        </w:rPr>
      </w:pPr>
      <w:r w:rsidRPr="00C05384">
        <w:rPr>
          <w:rStyle w:val="Refdenotaalpie"/>
          <w:rFonts w:ascii="Verdana" w:hAnsi="Verdana" w:cs="Arial"/>
          <w:sz w:val="16"/>
          <w:szCs w:val="16"/>
        </w:rPr>
        <w:footnoteRef/>
      </w:r>
      <w:r w:rsidRPr="00C05384">
        <w:rPr>
          <w:rFonts w:ascii="Verdana" w:hAnsi="Verdana" w:cs="Arial"/>
          <w:sz w:val="16"/>
          <w:szCs w:val="16"/>
          <w:lang w:val="pt-BR"/>
        </w:rPr>
        <w:t xml:space="preserve"> Corte Constitucional. Sentencias: C-233 de 4 de abril de 2002, expediente: D-3704; C-551 de 9 de julio de 2003, expediente: CRF-001 de 9 de julio de 2003; C-652 de 5 de agosto de 2003, expediente: D-4330; C-353 de 20 de mayo de 2009, expediente: D-7518, C-541 de 30 de junio de 2010, expediente: DD7966; entre otras.</w:t>
      </w:r>
    </w:p>
  </w:footnote>
  <w:footnote w:id="4">
    <w:p w14:paraId="34670885" w14:textId="77777777" w:rsidR="00BC7D00" w:rsidRPr="00C05384" w:rsidRDefault="00BC7D00" w:rsidP="00BC7D00">
      <w:pPr>
        <w:pStyle w:val="Textonotapie"/>
        <w:ind w:firstLine="709"/>
        <w:contextualSpacing/>
        <w:jc w:val="both"/>
        <w:rPr>
          <w:rFonts w:ascii="Verdana" w:hAnsi="Verdana" w:cs="Arial"/>
          <w:sz w:val="16"/>
          <w:szCs w:val="16"/>
          <w:lang w:val="es-CO"/>
        </w:rPr>
      </w:pPr>
      <w:r w:rsidRPr="00C05384">
        <w:rPr>
          <w:rStyle w:val="Refdenotaalpie"/>
          <w:rFonts w:ascii="Verdana" w:hAnsi="Verdana" w:cs="Arial"/>
          <w:sz w:val="16"/>
          <w:szCs w:val="16"/>
        </w:rPr>
        <w:footnoteRef/>
      </w:r>
      <w:r w:rsidRPr="00C05384">
        <w:rPr>
          <w:rFonts w:ascii="Verdana" w:hAnsi="Verdana" w:cs="Arial"/>
          <w:sz w:val="16"/>
          <w:szCs w:val="16"/>
          <w:lang w:val="es-CO"/>
        </w:rPr>
        <w:t xml:space="preserve"> Consejo de Estado, Sala de lo Contencioso Administrativo, Sección Primera. Sentencia de 3 de marzo de 2005, expediente número 2004-00823-01(PI). Ver también, de la Sección Tercera. Sentencia de 22 de enero de 2002, expediente número 2001-0148-01 y, Sección Tercera. Sentencia de 20 de noviembre de 2001, expediente número 2001-0130-01(PI), entre otras.</w:t>
      </w:r>
    </w:p>
  </w:footnote>
  <w:footnote w:id="5">
    <w:p w14:paraId="6FBEAB95" w14:textId="77777777" w:rsidR="00BC7D00" w:rsidRPr="00C05384" w:rsidRDefault="00BC7D00" w:rsidP="00BC7D00">
      <w:pPr>
        <w:pStyle w:val="Textonotapie"/>
        <w:ind w:firstLine="709"/>
        <w:contextualSpacing/>
        <w:jc w:val="both"/>
        <w:rPr>
          <w:rFonts w:ascii="Verdana" w:hAnsi="Verdana" w:cs="Arial"/>
          <w:sz w:val="16"/>
          <w:szCs w:val="16"/>
        </w:rPr>
      </w:pPr>
      <w:r w:rsidRPr="00C05384">
        <w:rPr>
          <w:rStyle w:val="Refdenotaalpie"/>
          <w:rFonts w:ascii="Verdana" w:hAnsi="Verdana" w:cs="Arial"/>
          <w:sz w:val="16"/>
          <w:szCs w:val="16"/>
        </w:rPr>
        <w:footnoteRef/>
      </w:r>
      <w:r w:rsidRPr="00C05384">
        <w:rPr>
          <w:rFonts w:ascii="Verdana" w:hAnsi="Verdana" w:cs="Arial"/>
          <w:sz w:val="16"/>
          <w:szCs w:val="16"/>
        </w:rPr>
        <w:t xml:space="preserve"> Consejo de Estado, Sala de Consulta y Servicio Civil de fecha 24 de julio de 2013, Rad. 2166, C. P. Álvaro Namén Vargas.  </w:t>
      </w:r>
    </w:p>
  </w:footnote>
  <w:footnote w:id="6">
    <w:p w14:paraId="00C96819" w14:textId="77777777" w:rsidR="00BC7D00" w:rsidRPr="00C05384" w:rsidRDefault="00BC7D00" w:rsidP="00BC7D00">
      <w:pPr>
        <w:pStyle w:val="Textonotapie"/>
        <w:ind w:firstLine="709"/>
        <w:contextualSpacing/>
        <w:jc w:val="both"/>
        <w:rPr>
          <w:rFonts w:ascii="Verdana" w:hAnsi="Verdana"/>
          <w:sz w:val="16"/>
          <w:szCs w:val="16"/>
          <w:lang w:val="es-ES"/>
        </w:rPr>
      </w:pPr>
      <w:r w:rsidRPr="00C05384">
        <w:rPr>
          <w:rStyle w:val="Refdenotaalpie"/>
          <w:rFonts w:ascii="Verdana" w:hAnsi="Verdana"/>
          <w:sz w:val="16"/>
          <w:szCs w:val="16"/>
        </w:rPr>
        <w:footnoteRef/>
      </w:r>
      <w:r w:rsidRPr="00C05384">
        <w:rPr>
          <w:rFonts w:ascii="Verdana" w:hAnsi="Verdana"/>
          <w:sz w:val="16"/>
          <w:szCs w:val="16"/>
        </w:rPr>
        <w:t xml:space="preserve"> Consejo de Estado. Sala de Consulta y Servicio Civil. Concepto del 08 de mayo de 2018. Exp. 2.382. C.P. Álvaro Namén Vargas.</w:t>
      </w:r>
    </w:p>
  </w:footnote>
  <w:footnote w:id="7">
    <w:p w14:paraId="49AB2906" w14:textId="77777777" w:rsidR="00BC7D00" w:rsidRPr="00C05384" w:rsidRDefault="00BC7D00" w:rsidP="00BC7D00">
      <w:pPr>
        <w:spacing w:after="0" w:line="240" w:lineRule="auto"/>
        <w:ind w:left="100" w:right="244" w:firstLine="709"/>
        <w:contextualSpacing/>
        <w:jc w:val="both"/>
        <w:rPr>
          <w:rFonts w:ascii="Verdana" w:hAnsi="Verdana" w:cs="Arial"/>
          <w:sz w:val="16"/>
          <w:szCs w:val="16"/>
          <w:lang w:val="es-ES"/>
        </w:rPr>
      </w:pPr>
      <w:r w:rsidRPr="00C05384">
        <w:rPr>
          <w:rStyle w:val="Refdenotaalpie"/>
          <w:rFonts w:ascii="Verdana" w:hAnsi="Verdana" w:cs="Arial"/>
          <w:sz w:val="16"/>
          <w:szCs w:val="16"/>
        </w:rPr>
        <w:footnoteRef/>
      </w:r>
      <w:r w:rsidRPr="00C05384">
        <w:rPr>
          <w:rFonts w:ascii="Verdana" w:hAnsi="Verdana" w:cs="Arial"/>
          <w:sz w:val="16"/>
          <w:szCs w:val="16"/>
        </w:rPr>
        <w:t xml:space="preserve"> Consejo de Estado. Sala de Consulta y Servicio Civil. Concepto del 17 de febrero de 2015. C.P. William Zambrano Cetina. Radicación No. 11001-03-06-000-2015-00164-00(2269).</w:t>
      </w:r>
    </w:p>
  </w:footnote>
  <w:footnote w:id="8">
    <w:p w14:paraId="4651AFE2" w14:textId="77777777" w:rsidR="00BC7D00" w:rsidRPr="00CB56F1" w:rsidRDefault="00BC7D00" w:rsidP="00BC7D00">
      <w:pPr>
        <w:pStyle w:val="Textonotapie"/>
        <w:ind w:firstLine="708"/>
        <w:jc w:val="both"/>
        <w:rPr>
          <w:rFonts w:ascii="Century Gothic" w:hAnsi="Century Gothic" w:cs="Arial"/>
          <w:sz w:val="19"/>
          <w:szCs w:val="19"/>
        </w:rPr>
      </w:pPr>
      <w:r w:rsidRPr="00CB56F1">
        <w:rPr>
          <w:rStyle w:val="Refdenotaalpie"/>
          <w:rFonts w:ascii="Century Gothic" w:hAnsi="Century Gothic" w:cs="Arial"/>
          <w:sz w:val="19"/>
          <w:szCs w:val="19"/>
        </w:rPr>
        <w:footnoteRef/>
      </w:r>
      <w:r w:rsidRPr="00CB56F1">
        <w:rPr>
          <w:rFonts w:ascii="Century Gothic" w:hAnsi="Century Gothic" w:cs="Arial"/>
          <w:sz w:val="19"/>
          <w:szCs w:val="19"/>
        </w:rPr>
        <w:t xml:space="preserve"> DROMI, José Roberto. La licitación pública. Buenos Aires: Ciudad Argentina, 1980. pp. 173-174. Para el autor, la aplicación de la causal supone que: i) las prestaciones están amparadas legalmente por un derecho de marca; ii) la necesidad no puede satisfacerse con equivalentes no sujetos a privilegio, pues de los contrario la causal es inaplicable; iii) la necesidad solo pueda satisfacerla el titular de estos derechos, excluyendo que otros aspirantes en condiciones similares también puedan hacerlo; y iv) la existencia de informes técnicos que acrediten la imposibilidad de sustitutos convenientes (Ibidem., p. 174).</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rsidP="00844AE9">
    <w:pPr>
      <w:pStyle w:val="Encabezado"/>
      <w:spacing w:line="120" w:lineRule="aut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211B7F5D" w14:textId="77777777" w:rsidR="00C925AC" w:rsidRDefault="00C925AC" w:rsidP="00844AE9">
    <w:pPr>
      <w:spacing w:after="0" w:line="240" w:lineRule="auto"/>
      <w:rPr>
        <w:rFonts w:ascii="Verdana" w:hAnsi="Verdana"/>
        <w:sz w:val="24"/>
        <w:szCs w:val="24"/>
      </w:rPr>
    </w:pPr>
  </w:p>
  <w:p w14:paraId="5A0054B1" w14:textId="77777777" w:rsidR="00A14468" w:rsidRPr="00C925AC" w:rsidRDefault="00A14468" w:rsidP="00844AE9">
    <w:pPr>
      <w:spacing w:after="0" w:line="240" w:lineRule="auto"/>
      <w:rPr>
        <w:rFonts w:ascii="Verdana" w:hAnsi="Verdana"/>
        <w:sz w:val="24"/>
        <w:szCs w:val="24"/>
      </w:rPr>
    </w:pPr>
  </w:p>
  <w:p w14:paraId="1FD1C243" w14:textId="37C5500A" w:rsidR="008A446D" w:rsidRPr="00C925AC" w:rsidRDefault="00C925AC" w:rsidP="000D5DA7">
    <w:pPr>
      <w:spacing w:after="0" w:line="480" w:lineRule="auto"/>
      <w:rPr>
        <w:rFonts w:ascii="Verdana" w:hAnsi="Verdana"/>
        <w:b/>
        <w:bCs/>
        <w:sz w:val="24"/>
        <w:szCs w:val="24"/>
      </w:rPr>
    </w:pPr>
    <w:r w:rsidRPr="00C925AC">
      <w:rPr>
        <w:rFonts w:ascii="Verdana" w:hAnsi="Verdana"/>
        <w:b/>
        <w:bCs/>
        <w:sz w:val="24"/>
        <w:szCs w:val="24"/>
      </w:rPr>
      <w:t>FORMATO</w:t>
    </w:r>
    <w:r w:rsidR="00BF7425">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9pt;height:11.9pt" o:bullet="t">
        <v:imagedata r:id="rId1" o:title="mso1B13"/>
      </v:shape>
    </w:pict>
  </w:numPicBullet>
  <w:abstractNum w:abstractNumId="0" w15:restartNumberingAfterBreak="0">
    <w:nsid w:val="01206909"/>
    <w:multiLevelType w:val="hybridMultilevel"/>
    <w:tmpl w:val="127696A0"/>
    <w:lvl w:ilvl="0" w:tplc="096AACDC">
      <w:start w:val="1"/>
      <w:numFmt w:val="lowerRoman"/>
      <w:lvlText w:val="%1."/>
      <w:lvlJc w:val="left"/>
      <w:pPr>
        <w:ind w:left="1080" w:hanging="720"/>
      </w:pPr>
      <w:rPr>
        <w:rFonts w:eastAsiaTheme="minorHAnsi" w:cstheme="minorBidi"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2"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4" w15:restartNumberingAfterBreak="0">
    <w:nsid w:val="117A1800"/>
    <w:multiLevelType w:val="hybridMultilevel"/>
    <w:tmpl w:val="9C3292AA"/>
    <w:lvl w:ilvl="0" w:tplc="080A0001">
      <w:start w:val="1"/>
      <w:numFmt w:val="bullet"/>
      <w:lvlText w:val=""/>
      <w:lvlJc w:val="left"/>
      <w:pPr>
        <w:ind w:left="360" w:hanging="360"/>
      </w:pPr>
      <w:rPr>
        <w:rFonts w:ascii="Symbol" w:hAnsi="Symbol" w:hint="default"/>
      </w:rPr>
    </w:lvl>
    <w:lvl w:ilvl="1" w:tplc="080A0003">
      <w:start w:val="1"/>
      <w:numFmt w:val="bullet"/>
      <w:lvlText w:val="o"/>
      <w:lvlJc w:val="left"/>
      <w:pPr>
        <w:ind w:left="1080" w:hanging="360"/>
      </w:pPr>
      <w:rPr>
        <w:rFonts w:ascii="Courier New" w:hAnsi="Courier New" w:cs="Courier New" w:hint="default"/>
      </w:rPr>
    </w:lvl>
    <w:lvl w:ilvl="2" w:tplc="080A0005">
      <w:start w:val="1"/>
      <w:numFmt w:val="bullet"/>
      <w:lvlText w:val=""/>
      <w:lvlJc w:val="left"/>
      <w:pPr>
        <w:ind w:left="1800" w:hanging="360"/>
      </w:pPr>
      <w:rPr>
        <w:rFonts w:ascii="Wingdings" w:hAnsi="Wingdings" w:hint="default"/>
      </w:rPr>
    </w:lvl>
    <w:lvl w:ilvl="3" w:tplc="080A0001">
      <w:start w:val="1"/>
      <w:numFmt w:val="bullet"/>
      <w:lvlText w:val=""/>
      <w:lvlJc w:val="left"/>
      <w:pPr>
        <w:ind w:left="2520" w:hanging="360"/>
      </w:pPr>
      <w:rPr>
        <w:rFonts w:ascii="Symbol" w:hAnsi="Symbol" w:hint="default"/>
      </w:rPr>
    </w:lvl>
    <w:lvl w:ilvl="4" w:tplc="080A0003">
      <w:start w:val="1"/>
      <w:numFmt w:val="bullet"/>
      <w:lvlText w:val="o"/>
      <w:lvlJc w:val="left"/>
      <w:pPr>
        <w:ind w:left="3240" w:hanging="360"/>
      </w:pPr>
      <w:rPr>
        <w:rFonts w:ascii="Courier New" w:hAnsi="Courier New" w:cs="Courier New" w:hint="default"/>
      </w:rPr>
    </w:lvl>
    <w:lvl w:ilvl="5" w:tplc="080A0005">
      <w:start w:val="1"/>
      <w:numFmt w:val="bullet"/>
      <w:lvlText w:val=""/>
      <w:lvlJc w:val="left"/>
      <w:pPr>
        <w:ind w:left="3960" w:hanging="360"/>
      </w:pPr>
      <w:rPr>
        <w:rFonts w:ascii="Wingdings" w:hAnsi="Wingdings" w:hint="default"/>
      </w:rPr>
    </w:lvl>
    <w:lvl w:ilvl="6" w:tplc="080A0001">
      <w:start w:val="1"/>
      <w:numFmt w:val="bullet"/>
      <w:lvlText w:val=""/>
      <w:lvlJc w:val="left"/>
      <w:pPr>
        <w:ind w:left="4680" w:hanging="360"/>
      </w:pPr>
      <w:rPr>
        <w:rFonts w:ascii="Symbol" w:hAnsi="Symbol" w:hint="default"/>
      </w:rPr>
    </w:lvl>
    <w:lvl w:ilvl="7" w:tplc="080A0003">
      <w:start w:val="1"/>
      <w:numFmt w:val="bullet"/>
      <w:lvlText w:val="o"/>
      <w:lvlJc w:val="left"/>
      <w:pPr>
        <w:ind w:left="5400" w:hanging="360"/>
      </w:pPr>
      <w:rPr>
        <w:rFonts w:ascii="Courier New" w:hAnsi="Courier New" w:cs="Courier New" w:hint="default"/>
      </w:rPr>
    </w:lvl>
    <w:lvl w:ilvl="8" w:tplc="080A0005">
      <w:start w:val="1"/>
      <w:numFmt w:val="bullet"/>
      <w:lvlText w:val=""/>
      <w:lvlJc w:val="left"/>
      <w:pPr>
        <w:ind w:left="6120" w:hanging="360"/>
      </w:pPr>
      <w:rPr>
        <w:rFonts w:ascii="Wingdings" w:hAnsi="Wingdings" w:hint="default"/>
      </w:rPr>
    </w:lvl>
  </w:abstractNum>
  <w:abstractNum w:abstractNumId="5"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7"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46AE4259"/>
    <w:multiLevelType w:val="hybridMultilevel"/>
    <w:tmpl w:val="87BCDB0A"/>
    <w:lvl w:ilvl="0" w:tplc="DFE0476C">
      <w:start w:val="1"/>
      <w:numFmt w:val="low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2"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3" w15:restartNumberingAfterBreak="0">
    <w:nsid w:val="69F363F9"/>
    <w:multiLevelType w:val="hybridMultilevel"/>
    <w:tmpl w:val="965A7E98"/>
    <w:lvl w:ilvl="0" w:tplc="FD66BB4A">
      <w:start w:val="1"/>
      <w:numFmt w:val="lowerRoman"/>
      <w:lvlText w:val="%1."/>
      <w:lvlJc w:val="left"/>
      <w:pPr>
        <w:ind w:left="1080" w:hanging="720"/>
      </w:pPr>
      <w:rPr>
        <w:rFonts w:eastAsia="Times New Roman"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4"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8"/>
  </w:num>
  <w:num w:numId="2" w16cid:durableId="19822139">
    <w:abstractNumId w:val="3"/>
  </w:num>
  <w:num w:numId="3" w16cid:durableId="876742304">
    <w:abstractNumId w:val="6"/>
  </w:num>
  <w:num w:numId="4" w16cid:durableId="24518640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3"/>
  </w:num>
  <w:num w:numId="6" w16cid:durableId="316692925">
    <w:abstractNumId w:val="16"/>
  </w:num>
  <w:num w:numId="7" w16cid:durableId="1946422806">
    <w:abstractNumId w:val="7"/>
  </w:num>
  <w:num w:numId="8" w16cid:durableId="152644682">
    <w:abstractNumId w:val="15"/>
  </w:num>
  <w:num w:numId="9" w16cid:durableId="1317221377">
    <w:abstractNumId w:val="9"/>
  </w:num>
  <w:num w:numId="10" w16cid:durableId="1471245386">
    <w:abstractNumId w:val="14"/>
  </w:num>
  <w:num w:numId="11" w16cid:durableId="289172385">
    <w:abstractNumId w:val="10"/>
  </w:num>
  <w:num w:numId="12" w16cid:durableId="1470781324">
    <w:abstractNumId w:val="2"/>
  </w:num>
  <w:num w:numId="13" w16cid:durableId="1512908409">
    <w:abstractNumId w:val="5"/>
  </w:num>
  <w:num w:numId="14" w16cid:durableId="895897244">
    <w:abstractNumId w:val="17"/>
  </w:num>
  <w:num w:numId="15" w16cid:durableId="390349800">
    <w:abstractNumId w:val="12"/>
  </w:num>
  <w:num w:numId="16" w16cid:durableId="590046973">
    <w:abstractNumId w:val="1"/>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391805812">
    <w:abstractNumId w:val="4"/>
  </w:num>
  <w:num w:numId="18" w16cid:durableId="902712990">
    <w:abstractNumId w:val="11"/>
  </w:num>
  <w:num w:numId="19" w16cid:durableId="823203706">
    <w:abstractNumId w:val="13"/>
  </w:num>
  <w:num w:numId="20" w16cid:durableId="95656896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46945"/>
    <w:rsid w:val="00061B2A"/>
    <w:rsid w:val="00082362"/>
    <w:rsid w:val="000A683E"/>
    <w:rsid w:val="000B19B9"/>
    <w:rsid w:val="000D0334"/>
    <w:rsid w:val="000D5DA7"/>
    <w:rsid w:val="000F6486"/>
    <w:rsid w:val="00115809"/>
    <w:rsid w:val="00116940"/>
    <w:rsid w:val="00125105"/>
    <w:rsid w:val="00127233"/>
    <w:rsid w:val="0015699B"/>
    <w:rsid w:val="001A33BF"/>
    <w:rsid w:val="001A651C"/>
    <w:rsid w:val="001E4177"/>
    <w:rsid w:val="001F0B24"/>
    <w:rsid w:val="001F7DC6"/>
    <w:rsid w:val="0022400B"/>
    <w:rsid w:val="002421BB"/>
    <w:rsid w:val="0025796E"/>
    <w:rsid w:val="002707A2"/>
    <w:rsid w:val="002951A0"/>
    <w:rsid w:val="002962BC"/>
    <w:rsid w:val="002A093D"/>
    <w:rsid w:val="002A0DD0"/>
    <w:rsid w:val="002A49AC"/>
    <w:rsid w:val="002A64FD"/>
    <w:rsid w:val="002C7A84"/>
    <w:rsid w:val="002D0B75"/>
    <w:rsid w:val="002E2BF8"/>
    <w:rsid w:val="002E4FD9"/>
    <w:rsid w:val="0030657A"/>
    <w:rsid w:val="00322A85"/>
    <w:rsid w:val="00324168"/>
    <w:rsid w:val="00330834"/>
    <w:rsid w:val="003448F4"/>
    <w:rsid w:val="00374F5E"/>
    <w:rsid w:val="00377E3E"/>
    <w:rsid w:val="00386D72"/>
    <w:rsid w:val="00391591"/>
    <w:rsid w:val="003A779E"/>
    <w:rsid w:val="003D0F4D"/>
    <w:rsid w:val="003D5B0D"/>
    <w:rsid w:val="003E0499"/>
    <w:rsid w:val="003E4F80"/>
    <w:rsid w:val="003E6439"/>
    <w:rsid w:val="003F3941"/>
    <w:rsid w:val="00406575"/>
    <w:rsid w:val="00414C74"/>
    <w:rsid w:val="0042722E"/>
    <w:rsid w:val="0044528D"/>
    <w:rsid w:val="00466E39"/>
    <w:rsid w:val="004A1847"/>
    <w:rsid w:val="004A305D"/>
    <w:rsid w:val="004F21C4"/>
    <w:rsid w:val="004F685F"/>
    <w:rsid w:val="005566E8"/>
    <w:rsid w:val="00574867"/>
    <w:rsid w:val="00591460"/>
    <w:rsid w:val="005A65E0"/>
    <w:rsid w:val="005C3777"/>
    <w:rsid w:val="005C5CDC"/>
    <w:rsid w:val="005D476C"/>
    <w:rsid w:val="006200BF"/>
    <w:rsid w:val="006219F8"/>
    <w:rsid w:val="006302F7"/>
    <w:rsid w:val="00646B9F"/>
    <w:rsid w:val="00665D70"/>
    <w:rsid w:val="006900D9"/>
    <w:rsid w:val="00701D46"/>
    <w:rsid w:val="00706C16"/>
    <w:rsid w:val="007340C3"/>
    <w:rsid w:val="0075235A"/>
    <w:rsid w:val="00756841"/>
    <w:rsid w:val="007649AB"/>
    <w:rsid w:val="00771D0C"/>
    <w:rsid w:val="007833AC"/>
    <w:rsid w:val="007B268C"/>
    <w:rsid w:val="007B5436"/>
    <w:rsid w:val="007B7171"/>
    <w:rsid w:val="007C0C0F"/>
    <w:rsid w:val="007C3DC2"/>
    <w:rsid w:val="007D7B5F"/>
    <w:rsid w:val="007E5497"/>
    <w:rsid w:val="00806F5F"/>
    <w:rsid w:val="00807B07"/>
    <w:rsid w:val="00820278"/>
    <w:rsid w:val="008258C9"/>
    <w:rsid w:val="0082593E"/>
    <w:rsid w:val="00844AE9"/>
    <w:rsid w:val="00867F95"/>
    <w:rsid w:val="008759C7"/>
    <w:rsid w:val="008843B6"/>
    <w:rsid w:val="00891928"/>
    <w:rsid w:val="008A446D"/>
    <w:rsid w:val="008B25F1"/>
    <w:rsid w:val="008D180B"/>
    <w:rsid w:val="008D65B8"/>
    <w:rsid w:val="008F0EA7"/>
    <w:rsid w:val="00922B4B"/>
    <w:rsid w:val="00923EEF"/>
    <w:rsid w:val="009419F9"/>
    <w:rsid w:val="0095685E"/>
    <w:rsid w:val="00961B09"/>
    <w:rsid w:val="00965334"/>
    <w:rsid w:val="0097093E"/>
    <w:rsid w:val="009A0DFA"/>
    <w:rsid w:val="009A1C6F"/>
    <w:rsid w:val="009B2D26"/>
    <w:rsid w:val="009C71FA"/>
    <w:rsid w:val="009C72E7"/>
    <w:rsid w:val="009C7F7E"/>
    <w:rsid w:val="009D3058"/>
    <w:rsid w:val="009F3A13"/>
    <w:rsid w:val="00A122D3"/>
    <w:rsid w:val="00A14468"/>
    <w:rsid w:val="00A17F13"/>
    <w:rsid w:val="00A20739"/>
    <w:rsid w:val="00A23AF9"/>
    <w:rsid w:val="00A33C78"/>
    <w:rsid w:val="00A36A00"/>
    <w:rsid w:val="00AB0ADB"/>
    <w:rsid w:val="00AC5039"/>
    <w:rsid w:val="00B00C0E"/>
    <w:rsid w:val="00B01B1A"/>
    <w:rsid w:val="00B0381D"/>
    <w:rsid w:val="00B44A47"/>
    <w:rsid w:val="00B55D4B"/>
    <w:rsid w:val="00B72CD3"/>
    <w:rsid w:val="00B72FFF"/>
    <w:rsid w:val="00BC3D36"/>
    <w:rsid w:val="00BC7D00"/>
    <w:rsid w:val="00BD54A6"/>
    <w:rsid w:val="00BD7F72"/>
    <w:rsid w:val="00BF7425"/>
    <w:rsid w:val="00C04FB3"/>
    <w:rsid w:val="00C11D8B"/>
    <w:rsid w:val="00C15139"/>
    <w:rsid w:val="00C330EB"/>
    <w:rsid w:val="00C50D69"/>
    <w:rsid w:val="00C5365C"/>
    <w:rsid w:val="00C754BE"/>
    <w:rsid w:val="00C76B1C"/>
    <w:rsid w:val="00C925AC"/>
    <w:rsid w:val="00CA12F3"/>
    <w:rsid w:val="00CA6EE2"/>
    <w:rsid w:val="00CB6357"/>
    <w:rsid w:val="00CC1B26"/>
    <w:rsid w:val="00D15EC6"/>
    <w:rsid w:val="00D361FD"/>
    <w:rsid w:val="00D4019C"/>
    <w:rsid w:val="00D423A2"/>
    <w:rsid w:val="00D44E26"/>
    <w:rsid w:val="00D520D8"/>
    <w:rsid w:val="00D63AC2"/>
    <w:rsid w:val="00D7383B"/>
    <w:rsid w:val="00D7788A"/>
    <w:rsid w:val="00DA231B"/>
    <w:rsid w:val="00DA4C76"/>
    <w:rsid w:val="00DC32B9"/>
    <w:rsid w:val="00DC39FC"/>
    <w:rsid w:val="00DC3DE7"/>
    <w:rsid w:val="00DF5254"/>
    <w:rsid w:val="00E02524"/>
    <w:rsid w:val="00E16408"/>
    <w:rsid w:val="00E20894"/>
    <w:rsid w:val="00E245AB"/>
    <w:rsid w:val="00E2764C"/>
    <w:rsid w:val="00E27F2E"/>
    <w:rsid w:val="00E50AFE"/>
    <w:rsid w:val="00E73E67"/>
    <w:rsid w:val="00E75C92"/>
    <w:rsid w:val="00E771DC"/>
    <w:rsid w:val="00E8772A"/>
    <w:rsid w:val="00E90F6B"/>
    <w:rsid w:val="00E92C27"/>
    <w:rsid w:val="00EA0E3D"/>
    <w:rsid w:val="00EC2C06"/>
    <w:rsid w:val="00EC38A7"/>
    <w:rsid w:val="00EE1AA8"/>
    <w:rsid w:val="00EE565A"/>
    <w:rsid w:val="00EF786C"/>
    <w:rsid w:val="00F23FEA"/>
    <w:rsid w:val="00F31EDC"/>
    <w:rsid w:val="00F462B3"/>
    <w:rsid w:val="00F5486D"/>
    <w:rsid w:val="00F5664F"/>
    <w:rsid w:val="00F666C4"/>
    <w:rsid w:val="00F76AFC"/>
    <w:rsid w:val="00FA47C0"/>
    <w:rsid w:val="00FB5DD1"/>
    <w:rsid w:val="00FC2B5D"/>
    <w:rsid w:val="00FF1449"/>
    <w:rsid w:val="00FF167C"/>
    <w:rsid w:val="00FF7963"/>
    <w:rsid w:val="071B8F93"/>
    <w:rsid w:val="07C73DD1"/>
    <w:rsid w:val="09908A09"/>
    <w:rsid w:val="0EFE6349"/>
    <w:rsid w:val="0FF4CCA8"/>
    <w:rsid w:val="13CFC91B"/>
    <w:rsid w:val="19A2EC2C"/>
    <w:rsid w:val="21779BE6"/>
    <w:rsid w:val="2859CA1B"/>
    <w:rsid w:val="2C4D2425"/>
    <w:rsid w:val="2EE1E026"/>
    <w:rsid w:val="2F44F38F"/>
    <w:rsid w:val="30821638"/>
    <w:rsid w:val="32A4F9CF"/>
    <w:rsid w:val="33A1FF93"/>
    <w:rsid w:val="356CEDFD"/>
    <w:rsid w:val="3C591AFD"/>
    <w:rsid w:val="42183F0A"/>
    <w:rsid w:val="545B112A"/>
    <w:rsid w:val="5BEB1497"/>
    <w:rsid w:val="69614A15"/>
    <w:rsid w:val="74BA017B"/>
    <w:rsid w:val="7677286E"/>
    <w:rsid w:val="79A64A20"/>
    <w:rsid w:val="7BB183B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Foot"/>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BC7D00"/>
    <w:rPr>
      <w:rFonts w:ascii="Geomanist Light" w:hAnsi="Geomanist Light"/>
      <w:lang w:val="es-ES"/>
    </w:rPr>
  </w:style>
  <w:style w:type="paragraph" w:customStyle="1" w:styleId="Appelnotedebasde">
    <w:name w:val="Appel note de bas de..."/>
    <w:basedOn w:val="Normal"/>
    <w:link w:val="Refdenotaalpie"/>
    <w:uiPriority w:val="99"/>
    <w:rsid w:val="00BC7D00"/>
    <w:pPr>
      <w:spacing w:line="240" w:lineRule="exact"/>
    </w:pPr>
    <w:rPr>
      <w:vertAlign w:val="superscript"/>
    </w:rPr>
  </w:style>
  <w:style w:type="character" w:customStyle="1" w:styleId="baj">
    <w:name w:val="b_aj"/>
    <w:basedOn w:val="Fuentedeprrafopredeter"/>
    <w:rsid w:val="00BC7D0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colombiacompra.gov.co/normativa-y-relatoria/documentos-tipo"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formacionvirtual.colombiacompra.gov.co/mod/page/view.php?id=3718"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relatoria.colombiacompra.gov.co/busqueda/conceptos" TargetMode="External"/><Relationship Id="rId5" Type="http://schemas.openxmlformats.org/officeDocument/2006/relationships/styles" Target="styles.xml"/><Relationship Id="rId15" Type="http://schemas.openxmlformats.org/officeDocument/2006/relationships/image" Target="media/image3.png"/><Relationship Id="rId10" Type="http://schemas.openxmlformats.org/officeDocument/2006/relationships/image" Target="media/image2.png"/><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colombiacompra.gov.co/archivos/manual/guia-para-la-comprension-e-implementacion-de-los-documentos-tipo-de-obra-publica-de-infraestructura-de-transporte-bajo-las-diferentes-modalidades-de-contratacion-vigentes"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aa158c1e2510b50ba9620437d74e4f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1aa8ca4bdcfc2e304923d637cfc37a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2.xml><?xml version="1.0" encoding="utf-8"?>
<ds:datastoreItem xmlns:ds="http://schemas.openxmlformats.org/officeDocument/2006/customXml" ds:itemID="{7A3EFCA1-E91C-4F81-9FEA-56BDFF969DC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Template>
  <TotalTime>12</TotalTime>
  <Pages>18</Pages>
  <Words>6002</Words>
  <Characters>33016</Characters>
  <Application>Microsoft Office Word</Application>
  <DocSecurity>0</DocSecurity>
  <Lines>275</Lines>
  <Paragraphs>77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38941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Sergio Andrés Rivera Cano</cp:lastModifiedBy>
  <cp:revision>3</cp:revision>
  <cp:lastPrinted>2023-01-10T21:18:00Z</cp:lastPrinted>
  <dcterms:created xsi:type="dcterms:W3CDTF">2026-05-20T15:33:00Z</dcterms:created>
  <dcterms:modified xsi:type="dcterms:W3CDTF">2026-05-20T17:24:00Z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