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F213E7"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F213E7">
        <w:rPr>
          <w:rFonts w:ascii="Arial" w:hAnsi="Arial" w:cs="Arial"/>
          <w:bCs/>
          <w:color w:val="000000" w:themeColor="text1"/>
          <w:sz w:val="16"/>
          <w:szCs w:val="16"/>
          <w:lang w:val="es-ES_tradnl" w:eastAsia="es-ES"/>
        </w:rPr>
        <w:t>CCE-DES-FM-17</w:t>
      </w:r>
      <w:bookmarkEnd w:id="0"/>
      <w:bookmarkEnd w:id="1"/>
    </w:p>
    <w:p w14:paraId="7E8B6D92" w14:textId="77777777" w:rsidR="00B016FF" w:rsidRPr="00F213E7" w:rsidRDefault="00B016FF" w:rsidP="00C978D4">
      <w:pPr>
        <w:jc w:val="both"/>
        <w:rPr>
          <w:rFonts w:ascii="Arial" w:eastAsia="Calibri" w:hAnsi="Arial" w:cs="Arial"/>
          <w:b/>
          <w:sz w:val="22"/>
          <w:lang w:val="es-MX"/>
        </w:rPr>
      </w:pPr>
    </w:p>
    <w:p w14:paraId="6ADC901E" w14:textId="2EF816B2" w:rsidR="009D163B" w:rsidRPr="00F213E7" w:rsidRDefault="00276230" w:rsidP="00C978D4">
      <w:pPr>
        <w:jc w:val="both"/>
        <w:rPr>
          <w:rFonts w:ascii="Arial" w:eastAsia="Calibri" w:hAnsi="Arial" w:cs="Arial"/>
          <w:b/>
          <w:sz w:val="22"/>
          <w:lang w:val="es-ES_tradnl"/>
        </w:rPr>
      </w:pPr>
      <w:r w:rsidRPr="00F213E7">
        <w:rPr>
          <w:rFonts w:ascii="Arial" w:eastAsia="Calibri" w:hAnsi="Arial" w:cs="Arial"/>
          <w:b/>
          <w:sz w:val="22"/>
          <w:lang w:val="es-ES_tradnl"/>
        </w:rPr>
        <w:t>CAPACIDAD FINANCIERA</w:t>
      </w:r>
      <w:r w:rsidR="009D163B" w:rsidRPr="00F213E7">
        <w:rPr>
          <w:rFonts w:ascii="Arial" w:eastAsia="Calibri" w:hAnsi="Arial" w:cs="Arial"/>
          <w:b/>
          <w:sz w:val="22"/>
          <w:lang w:val="es-ES_tradnl"/>
        </w:rPr>
        <w:t xml:space="preserve"> – </w:t>
      </w:r>
      <w:r w:rsidRPr="00F213E7">
        <w:rPr>
          <w:rFonts w:ascii="Arial" w:eastAsia="Calibri" w:hAnsi="Arial" w:cs="Arial"/>
          <w:b/>
          <w:sz w:val="22"/>
          <w:lang w:val="es-ES_tradnl"/>
        </w:rPr>
        <w:t>Concepto</w:t>
      </w:r>
      <w:r w:rsidR="009D163B" w:rsidRPr="00F213E7">
        <w:rPr>
          <w:rFonts w:ascii="Arial" w:eastAsia="Calibri" w:hAnsi="Arial" w:cs="Arial"/>
          <w:b/>
          <w:sz w:val="22"/>
          <w:lang w:val="es-ES_tradnl"/>
        </w:rPr>
        <w:t xml:space="preserve"> – </w:t>
      </w:r>
      <w:r w:rsidRPr="00F213E7">
        <w:rPr>
          <w:rFonts w:ascii="Arial" w:eastAsia="Calibri" w:hAnsi="Arial" w:cs="Arial"/>
          <w:b/>
          <w:sz w:val="22"/>
          <w:lang w:val="es-ES_tradnl"/>
        </w:rPr>
        <w:t>Requisito habilitante</w:t>
      </w:r>
    </w:p>
    <w:p w14:paraId="36CE69AD" w14:textId="3E3BBBB8" w:rsidR="009D163B" w:rsidRPr="00F213E7" w:rsidRDefault="009D163B" w:rsidP="00C978D4">
      <w:pPr>
        <w:jc w:val="both"/>
        <w:rPr>
          <w:rFonts w:ascii="Arial" w:eastAsia="Calibri" w:hAnsi="Arial" w:cs="Arial"/>
          <w:b/>
          <w:sz w:val="22"/>
          <w:lang w:val="es-ES_tradnl"/>
        </w:rPr>
      </w:pPr>
    </w:p>
    <w:p w14:paraId="149D5551" w14:textId="761C399A" w:rsidR="009D163B" w:rsidRPr="00F213E7" w:rsidRDefault="00276230" w:rsidP="00C978D4">
      <w:pPr>
        <w:jc w:val="both"/>
        <w:rPr>
          <w:rFonts w:ascii="Arial" w:eastAsia="Calibri" w:hAnsi="Arial" w:cs="Arial"/>
          <w:b/>
          <w:sz w:val="22"/>
          <w:lang w:val="es-ES_tradnl"/>
        </w:rPr>
      </w:pPr>
      <w:r w:rsidRPr="00F213E7">
        <w:rPr>
          <w:rFonts w:ascii="Arial" w:hAnsi="Arial" w:cs="Arial"/>
          <w:color w:val="000000" w:themeColor="text1"/>
          <w:sz w:val="20"/>
          <w:szCs w:val="20"/>
          <w:lang w:val="es-ES_tradnl"/>
        </w:rPr>
        <w:t>La «capacidad financiera» se deriva del índice de liquidez, de endeudamiento y de la razón de cobertura de intereses del proponente, y permite conocer si tiene solidez financiera suficiente para cumplir los compromisos que adquiera en virtud de la celebración del contrato. Como lo explicó la Agencia Nacional de Contratación Pública – Colombia Compra Eficiente en el «Manual para determinar y verificar los requisitos habilitantes en los procesos de contratación», «Los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p>
    <w:p w14:paraId="13C27EB7" w14:textId="2ADD3758" w:rsidR="00B167C8" w:rsidRPr="00F213E7" w:rsidRDefault="00B167C8" w:rsidP="00B95C30">
      <w:pPr>
        <w:spacing w:line="276" w:lineRule="auto"/>
        <w:jc w:val="both"/>
        <w:rPr>
          <w:rFonts w:ascii="Arial" w:hAnsi="Arial" w:cs="Arial"/>
          <w:noProof/>
          <w:color w:val="000000" w:themeColor="text1"/>
          <w:sz w:val="22"/>
          <w:lang w:val="es-ES_tradnl"/>
        </w:rPr>
      </w:pPr>
    </w:p>
    <w:p w14:paraId="4E294596" w14:textId="2F312E02" w:rsidR="00C031B7" w:rsidRPr="00F213E7" w:rsidRDefault="00C031B7" w:rsidP="00C031B7">
      <w:pPr>
        <w:jc w:val="both"/>
        <w:rPr>
          <w:rFonts w:ascii="Arial" w:eastAsia="Calibri" w:hAnsi="Arial" w:cs="Arial"/>
          <w:b/>
          <w:sz w:val="22"/>
          <w:lang w:val="es-ES_tradnl"/>
        </w:rPr>
      </w:pPr>
      <w:r w:rsidRPr="00F213E7">
        <w:rPr>
          <w:rFonts w:ascii="Arial" w:eastAsia="Calibri" w:hAnsi="Arial" w:cs="Arial"/>
          <w:b/>
          <w:sz w:val="22"/>
          <w:lang w:val="es-ES_tradnl"/>
        </w:rPr>
        <w:t>CAPACIDAD ORGANIZACIONAL – Concepto – Requisito habilitante</w:t>
      </w:r>
    </w:p>
    <w:p w14:paraId="205F5C0B" w14:textId="77777777" w:rsidR="00C031B7" w:rsidRPr="00F213E7" w:rsidRDefault="00C031B7" w:rsidP="00C031B7">
      <w:pPr>
        <w:jc w:val="both"/>
        <w:rPr>
          <w:rFonts w:ascii="Arial" w:eastAsia="Calibri" w:hAnsi="Arial" w:cs="Arial"/>
          <w:b/>
          <w:sz w:val="22"/>
          <w:lang w:val="es-ES_tradnl"/>
        </w:rPr>
      </w:pPr>
    </w:p>
    <w:p w14:paraId="03A0E2CB" w14:textId="080B68F6" w:rsidR="00C031B7" w:rsidRPr="00F213E7" w:rsidRDefault="00C031B7" w:rsidP="00C031B7">
      <w:pPr>
        <w:jc w:val="both"/>
        <w:rPr>
          <w:rFonts w:ascii="Arial" w:hAnsi="Arial" w:cs="Arial"/>
          <w:color w:val="000000" w:themeColor="text1"/>
          <w:sz w:val="20"/>
          <w:szCs w:val="20"/>
          <w:lang w:val="es-ES_tradnl"/>
        </w:rPr>
      </w:pPr>
      <w:r w:rsidRPr="00F213E7">
        <w:rPr>
          <w:rFonts w:ascii="Arial" w:hAnsi="Arial" w:cs="Arial"/>
          <w:color w:val="000000" w:themeColor="text1"/>
          <w:sz w:val="20"/>
          <w:szCs w:val="20"/>
          <w:lang w:val="es-ES_tradnl"/>
        </w:rPr>
        <w:t>La «capacidad organizacional»,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p>
    <w:p w14:paraId="589D3C3F" w14:textId="1681E424" w:rsidR="00C031B7" w:rsidRPr="00F213E7" w:rsidRDefault="00C031B7" w:rsidP="00B95C30">
      <w:pPr>
        <w:spacing w:line="276" w:lineRule="auto"/>
        <w:jc w:val="both"/>
        <w:rPr>
          <w:rFonts w:ascii="Arial" w:hAnsi="Arial" w:cs="Arial"/>
          <w:noProof/>
          <w:color w:val="000000" w:themeColor="text1"/>
          <w:sz w:val="22"/>
          <w:lang w:val="es-ES_tradnl"/>
        </w:rPr>
      </w:pPr>
    </w:p>
    <w:p w14:paraId="4C52E3BE" w14:textId="14FCB2C2" w:rsidR="00F63E4E" w:rsidRPr="00F213E7" w:rsidRDefault="00F63E4E" w:rsidP="00F63E4E">
      <w:pPr>
        <w:jc w:val="both"/>
        <w:rPr>
          <w:rFonts w:ascii="Arial" w:eastAsia="Calibri" w:hAnsi="Arial" w:cs="Arial"/>
          <w:b/>
          <w:sz w:val="22"/>
          <w:lang w:val="es-ES_tradnl"/>
        </w:rPr>
      </w:pPr>
      <w:r w:rsidRPr="00F213E7">
        <w:rPr>
          <w:rFonts w:ascii="Arial" w:eastAsia="Calibri" w:hAnsi="Arial" w:cs="Arial"/>
          <w:b/>
          <w:sz w:val="22"/>
          <w:lang w:val="es-ES_tradnl"/>
        </w:rPr>
        <w:t xml:space="preserve">DECRETO 399 DE 2021 – </w:t>
      </w:r>
      <w:r w:rsidR="00D518E8" w:rsidRPr="00F213E7">
        <w:rPr>
          <w:rFonts w:ascii="Arial" w:eastAsia="Calibri" w:hAnsi="Arial" w:cs="Arial"/>
          <w:b/>
          <w:sz w:val="22"/>
          <w:lang w:val="es-ES_tradnl"/>
        </w:rPr>
        <w:t>Finalidad</w:t>
      </w:r>
      <w:r w:rsidRPr="00F213E7">
        <w:rPr>
          <w:rFonts w:ascii="Arial" w:eastAsia="Calibri" w:hAnsi="Arial" w:cs="Arial"/>
          <w:b/>
          <w:sz w:val="22"/>
          <w:lang w:val="es-ES_tradnl"/>
        </w:rPr>
        <w:t xml:space="preserve"> – </w:t>
      </w:r>
      <w:r w:rsidR="00D518E8" w:rsidRPr="00F213E7">
        <w:rPr>
          <w:rFonts w:ascii="Arial" w:eastAsia="Calibri" w:hAnsi="Arial" w:cs="Arial"/>
          <w:b/>
          <w:sz w:val="22"/>
          <w:lang w:val="es-ES_tradnl"/>
        </w:rPr>
        <w:t>Reactivación económica</w:t>
      </w:r>
    </w:p>
    <w:p w14:paraId="1019E42A" w14:textId="051FED4C" w:rsidR="00F63E4E" w:rsidRPr="00F213E7" w:rsidRDefault="00F63E4E" w:rsidP="00B95C30">
      <w:pPr>
        <w:spacing w:line="276" w:lineRule="auto"/>
        <w:jc w:val="both"/>
        <w:rPr>
          <w:rFonts w:ascii="Arial" w:hAnsi="Arial" w:cs="Arial"/>
          <w:noProof/>
          <w:color w:val="000000" w:themeColor="text1"/>
          <w:sz w:val="22"/>
          <w:lang w:val="es-ES_tradnl"/>
        </w:rPr>
      </w:pPr>
    </w:p>
    <w:p w14:paraId="34DF3CAD" w14:textId="0351E119" w:rsidR="00D518E8" w:rsidRPr="00F213E7" w:rsidRDefault="00D518E8" w:rsidP="00D518E8">
      <w:pPr>
        <w:jc w:val="both"/>
        <w:rPr>
          <w:rFonts w:ascii="Arial" w:hAnsi="Arial" w:cs="Arial"/>
          <w:color w:val="000000" w:themeColor="text1"/>
          <w:sz w:val="20"/>
          <w:szCs w:val="20"/>
          <w:lang w:val="es-ES_tradnl"/>
        </w:rPr>
      </w:pPr>
      <w:r w:rsidRPr="00F213E7">
        <w:rPr>
          <w:rFonts w:ascii="Arial" w:hAnsi="Arial" w:cs="Arial"/>
          <w:color w:val="000000" w:themeColor="text1"/>
          <w:sz w:val="20"/>
          <w:szCs w:val="20"/>
          <w:lang w:val="es-ES_tradnl"/>
        </w:rPr>
        <w:t xml:space="preserve">Para lograr la reactivación económica, ante la crisis generada por la pandemia del COVID-19, el gobierno nacional expidió el Decreto 399 de 2021, mediante el cual se establecen algunas modificaciones al Decreto 1082 de 2015 frente a la regulación de la información financiera y organizacional prevista en el Registro Único de Proponentes –RUP–. </w:t>
      </w:r>
    </w:p>
    <w:p w14:paraId="3C1383EF" w14:textId="77777777" w:rsidR="00D518E8" w:rsidRPr="00F213E7" w:rsidRDefault="00D518E8" w:rsidP="00B95C30">
      <w:pPr>
        <w:spacing w:line="276" w:lineRule="auto"/>
        <w:jc w:val="both"/>
        <w:rPr>
          <w:rFonts w:ascii="Arial" w:hAnsi="Arial" w:cs="Arial"/>
          <w:noProof/>
          <w:color w:val="000000" w:themeColor="text1"/>
          <w:sz w:val="22"/>
          <w:lang w:val="es-ES_tradnl"/>
        </w:rPr>
      </w:pPr>
    </w:p>
    <w:p w14:paraId="012E6FB9" w14:textId="560A884D" w:rsidR="00843187" w:rsidRPr="00F213E7" w:rsidRDefault="00843187" w:rsidP="00843187">
      <w:pPr>
        <w:jc w:val="both"/>
        <w:rPr>
          <w:rFonts w:ascii="Arial" w:eastAsia="Calibri" w:hAnsi="Arial" w:cs="Arial"/>
          <w:b/>
          <w:sz w:val="22"/>
          <w:lang w:val="es-ES_tradnl"/>
        </w:rPr>
      </w:pPr>
      <w:r w:rsidRPr="00F213E7">
        <w:rPr>
          <w:rFonts w:ascii="Arial" w:eastAsia="Calibri" w:hAnsi="Arial" w:cs="Arial"/>
          <w:b/>
          <w:sz w:val="22"/>
          <w:lang w:val="es-ES_tradnl"/>
        </w:rPr>
        <w:t>DECRETO 399 DE 2021 – Información – Capacidad financiera – Capacidad organizacional</w:t>
      </w:r>
      <w:r w:rsidR="00E33D09" w:rsidRPr="00F213E7">
        <w:rPr>
          <w:rFonts w:ascii="Arial" w:eastAsia="Calibri" w:hAnsi="Arial" w:cs="Arial"/>
          <w:b/>
          <w:sz w:val="22"/>
          <w:lang w:val="es-ES_tradnl"/>
        </w:rPr>
        <w:t xml:space="preserve"> – RUP</w:t>
      </w:r>
    </w:p>
    <w:p w14:paraId="06C81509" w14:textId="6B026623" w:rsidR="00D518E8" w:rsidRPr="00F213E7" w:rsidRDefault="00D518E8" w:rsidP="00B95C30">
      <w:pPr>
        <w:spacing w:line="276" w:lineRule="auto"/>
        <w:jc w:val="both"/>
        <w:rPr>
          <w:rFonts w:ascii="Arial" w:hAnsi="Arial" w:cs="Arial"/>
          <w:noProof/>
          <w:color w:val="000000" w:themeColor="text1"/>
          <w:sz w:val="22"/>
          <w:lang w:val="es-ES_tradnl"/>
        </w:rPr>
      </w:pPr>
    </w:p>
    <w:p w14:paraId="7111527E" w14:textId="715CD19E" w:rsidR="00FE6928" w:rsidRPr="00F213E7" w:rsidRDefault="00FE6928" w:rsidP="00FE6928">
      <w:pPr>
        <w:jc w:val="both"/>
        <w:rPr>
          <w:rFonts w:ascii="Arial" w:eastAsia="Calibri" w:hAnsi="Arial" w:cs="Arial"/>
          <w:color w:val="000000" w:themeColor="text1"/>
          <w:sz w:val="20"/>
          <w:szCs w:val="20"/>
          <w:lang w:val="es-ES_tradnl"/>
        </w:rPr>
      </w:pPr>
      <w:r w:rsidRPr="00F213E7">
        <w:rPr>
          <w:rFonts w:ascii="Arial" w:eastAsia="Calibri" w:hAnsi="Arial" w:cs="Arial"/>
          <w:color w:val="000000" w:themeColor="text1"/>
          <w:sz w:val="20"/>
          <w:szCs w:val="20"/>
          <w:lang w:val="es-ES_tradnl"/>
        </w:rPr>
        <w:t xml:space="preserve">[…] el artículo 4 del Decreto 399 de 2021 adicionó dos parágrafos transitorios al artículo 2.2.1.1.1.5.2. del Decreto 1082 de 2015, que a su vez fueron sustituidos posteriormente por el artículo 1 del Decreto 579 del 31 de mayo de 2021. El parágrafo transitorio 1 establece que desde el 1 de junio de 2021 los interesados en inscribirse en el RUP deben reportar la información contable y los estados financieros, de los tres últimos años fiscales. Pero, si el interesado no tiene una antigüedad de tres años, podrá acreditar dicha información desde el primer cierre fiscal. Dicho parágrafo además permite que el proponente con inscripción activa y vigente en el RUP actualice la información del 2018 y/o 2019, por no contar con los datos sobre la capacidad financiera y organizacional de estos años, de manera gratuita, durante el mes de junio, por una sola vez. En todo caso, aclara </w:t>
      </w:r>
      <w:proofErr w:type="gramStart"/>
      <w:r w:rsidRPr="00F213E7">
        <w:rPr>
          <w:rFonts w:ascii="Arial" w:eastAsia="Calibri" w:hAnsi="Arial" w:cs="Arial"/>
          <w:color w:val="000000" w:themeColor="text1"/>
          <w:sz w:val="20"/>
          <w:szCs w:val="20"/>
          <w:lang w:val="es-ES_tradnl"/>
        </w:rPr>
        <w:t>que</w:t>
      </w:r>
      <w:proofErr w:type="gramEnd"/>
      <w:r w:rsidRPr="00F213E7">
        <w:rPr>
          <w:rFonts w:ascii="Arial" w:eastAsia="Calibri" w:hAnsi="Arial" w:cs="Arial"/>
          <w:color w:val="000000" w:themeColor="text1"/>
          <w:sz w:val="20"/>
          <w:szCs w:val="20"/>
          <w:lang w:val="es-ES_tradnl"/>
        </w:rPr>
        <w:t xml:space="preserve"> si el proponente tiene registrada la información de dichos años en la cámara de comercio, no deberá presentar la actualización.</w:t>
      </w:r>
    </w:p>
    <w:p w14:paraId="561539C6" w14:textId="77777777" w:rsidR="002872EE" w:rsidRPr="00F213E7" w:rsidRDefault="002872EE" w:rsidP="00B95C30">
      <w:pPr>
        <w:spacing w:line="276" w:lineRule="auto"/>
        <w:jc w:val="both"/>
        <w:rPr>
          <w:rFonts w:ascii="Arial" w:hAnsi="Arial" w:cs="Arial"/>
          <w:noProof/>
          <w:color w:val="000000" w:themeColor="text1"/>
          <w:sz w:val="22"/>
          <w:lang w:val="es-ES_tradnl"/>
        </w:rPr>
      </w:pPr>
    </w:p>
    <w:p w14:paraId="0EAD592A" w14:textId="6C8D564F" w:rsidR="00F254C7" w:rsidRPr="00F213E7" w:rsidRDefault="00F254C7" w:rsidP="00F254C7">
      <w:pPr>
        <w:jc w:val="both"/>
        <w:rPr>
          <w:rFonts w:ascii="Arial" w:eastAsia="Calibri" w:hAnsi="Arial" w:cs="Arial"/>
          <w:b/>
          <w:sz w:val="22"/>
          <w:lang w:val="es-ES_tradnl"/>
        </w:rPr>
      </w:pPr>
      <w:r w:rsidRPr="00F213E7">
        <w:rPr>
          <w:rFonts w:ascii="Arial" w:eastAsia="Calibri" w:hAnsi="Arial" w:cs="Arial"/>
          <w:b/>
          <w:sz w:val="22"/>
          <w:lang w:val="es-ES_tradnl"/>
        </w:rPr>
        <w:t xml:space="preserve">DECRETO 399 DE 2021 – Indicadores – Capacidad financiera – Capacidad organizacional </w:t>
      </w:r>
      <w:r w:rsidR="009938C1" w:rsidRPr="00F213E7">
        <w:rPr>
          <w:rFonts w:ascii="Arial" w:eastAsia="Calibri" w:hAnsi="Arial" w:cs="Arial"/>
          <w:b/>
          <w:sz w:val="22"/>
          <w:lang w:val="es-ES_tradnl"/>
        </w:rPr>
        <w:t>– Período</w:t>
      </w:r>
    </w:p>
    <w:p w14:paraId="39ED5256" w14:textId="14966727" w:rsidR="00D518E8" w:rsidRPr="00F213E7" w:rsidRDefault="00D518E8" w:rsidP="00B95C30">
      <w:pPr>
        <w:spacing w:line="276" w:lineRule="auto"/>
        <w:jc w:val="both"/>
        <w:rPr>
          <w:rFonts w:ascii="Arial" w:hAnsi="Arial" w:cs="Arial"/>
          <w:noProof/>
          <w:color w:val="000000" w:themeColor="text1"/>
          <w:sz w:val="22"/>
          <w:lang w:val="es-ES_tradnl"/>
        </w:rPr>
      </w:pPr>
    </w:p>
    <w:p w14:paraId="3EBDEA47" w14:textId="77777777" w:rsidR="00FE6928" w:rsidRPr="00F213E7" w:rsidRDefault="00FE6928" w:rsidP="00FE6928">
      <w:pPr>
        <w:jc w:val="both"/>
        <w:rPr>
          <w:rFonts w:ascii="Arial" w:eastAsia="Calibri" w:hAnsi="Arial" w:cs="Arial"/>
          <w:color w:val="000000" w:themeColor="text1"/>
          <w:sz w:val="20"/>
          <w:szCs w:val="20"/>
          <w:lang w:val="es-ES_tradnl"/>
        </w:rPr>
      </w:pPr>
      <w:r w:rsidRPr="00F213E7">
        <w:rPr>
          <w:rFonts w:ascii="Arial" w:eastAsia="Calibri" w:hAnsi="Arial" w:cs="Arial"/>
          <w:color w:val="000000" w:themeColor="text1"/>
          <w:sz w:val="20"/>
          <w:szCs w:val="20"/>
          <w:lang w:val="es-ES_tradnl"/>
        </w:rPr>
        <w:t xml:space="preserve">Por otra parte, el artículo 5 del Decreto 399 de 2021 adiciona dos parágrafos transitorios al artículo 2.2.1.1.1.5.6. del Decreto 1082 de 2015, que regula el contenido del certificado del RUP. El primer parágrafo transitorio, que fue posteriormente sustituido por el artículo 2 del Decreto 579 de 2021, </w:t>
      </w:r>
      <w:r w:rsidRPr="00F213E7">
        <w:rPr>
          <w:rFonts w:ascii="Arial" w:eastAsia="Calibri" w:hAnsi="Arial" w:cs="Arial"/>
          <w:color w:val="000000" w:themeColor="text1"/>
          <w:sz w:val="20"/>
          <w:szCs w:val="20"/>
          <w:lang w:val="es-ES_tradnl"/>
        </w:rPr>
        <w:lastRenderedPageBreak/>
        <w:t>establece que «</w:t>
      </w:r>
      <w:r w:rsidRPr="00F213E7">
        <w:rPr>
          <w:rFonts w:ascii="Arial" w:hAnsi="Arial" w:cs="Arial"/>
          <w:sz w:val="20"/>
          <w:szCs w:val="20"/>
          <w:lang w:val="es-ES_tradnl"/>
        </w:rPr>
        <w:t xml:space="preserve">[…] </w:t>
      </w:r>
      <w:r w:rsidRPr="00F213E7">
        <w:rPr>
          <w:rFonts w:ascii="Arial" w:eastAsia="Calibri" w:hAnsi="Arial" w:cs="Arial"/>
          <w:color w:val="000000" w:themeColor="text1"/>
          <w:sz w:val="20"/>
          <w:szCs w:val="20"/>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 Para esto, las cámaras de comercio, a partir del 1 de julio de 2021, «</w:t>
      </w:r>
      <w:r w:rsidRPr="00F213E7">
        <w:rPr>
          <w:rFonts w:ascii="Arial" w:hAnsi="Arial" w:cs="Arial"/>
          <w:sz w:val="20"/>
          <w:szCs w:val="20"/>
          <w:lang w:val="es-ES_tradnl"/>
        </w:rPr>
        <w:t>c</w:t>
      </w:r>
      <w:r w:rsidRPr="00F213E7">
        <w:rPr>
          <w:rFonts w:ascii="Arial" w:eastAsia="Calibri" w:hAnsi="Arial" w:cs="Arial"/>
          <w:color w:val="000000" w:themeColor="text1"/>
          <w:sz w:val="20"/>
          <w:szCs w:val="20"/>
          <w:lang w:val="es-ES_tradnl"/>
        </w:rPr>
        <w:t xml:space="preserve">ertificarán la información de que tratan los parágrafos transitorios 1 y 2 del artículo 2.2.1.1.1.5.2. de este Decreto». Los requisitos e indicadores de la capacidad financiera consagrados en el literal (b) del artículo 2.2.1.1.1.5.6. del Decreto 1082 de 2015 son: i) el índice de liquidez, </w:t>
      </w:r>
      <w:proofErr w:type="spellStart"/>
      <w:r w:rsidRPr="00F213E7">
        <w:rPr>
          <w:rFonts w:ascii="Arial" w:eastAsia="Calibri" w:hAnsi="Arial" w:cs="Arial"/>
          <w:color w:val="000000" w:themeColor="text1"/>
          <w:sz w:val="20"/>
          <w:szCs w:val="20"/>
          <w:lang w:val="es-ES_tradnl"/>
        </w:rPr>
        <w:t>ii</w:t>
      </w:r>
      <w:proofErr w:type="spellEnd"/>
      <w:r w:rsidRPr="00F213E7">
        <w:rPr>
          <w:rFonts w:ascii="Arial" w:eastAsia="Calibri" w:hAnsi="Arial" w:cs="Arial"/>
          <w:color w:val="000000" w:themeColor="text1"/>
          <w:sz w:val="20"/>
          <w:szCs w:val="20"/>
          <w:lang w:val="es-ES_tradnl"/>
        </w:rPr>
        <w:t xml:space="preserve">) el índice de endeudamiento y </w:t>
      </w:r>
      <w:proofErr w:type="spellStart"/>
      <w:r w:rsidRPr="00F213E7">
        <w:rPr>
          <w:rFonts w:ascii="Arial" w:eastAsia="Calibri" w:hAnsi="Arial" w:cs="Arial"/>
          <w:color w:val="000000" w:themeColor="text1"/>
          <w:sz w:val="20"/>
          <w:szCs w:val="20"/>
          <w:lang w:val="es-ES_tradnl"/>
        </w:rPr>
        <w:t>iii</w:t>
      </w:r>
      <w:proofErr w:type="spellEnd"/>
      <w:r w:rsidRPr="00F213E7">
        <w:rPr>
          <w:rFonts w:ascii="Arial" w:eastAsia="Calibri" w:hAnsi="Arial" w:cs="Arial"/>
          <w:color w:val="000000" w:themeColor="text1"/>
          <w:sz w:val="20"/>
          <w:szCs w:val="20"/>
          <w:lang w:val="es-ES_tradnl"/>
        </w:rPr>
        <w:t xml:space="preserve">) la razón de cobertura de intereses. Los requisitos e indicares de capacidad organizacional son: i) la rentabilidad del patrimonio y </w:t>
      </w:r>
      <w:proofErr w:type="spellStart"/>
      <w:r w:rsidRPr="00F213E7">
        <w:rPr>
          <w:rFonts w:ascii="Arial" w:eastAsia="Calibri" w:hAnsi="Arial" w:cs="Arial"/>
          <w:color w:val="000000" w:themeColor="text1"/>
          <w:sz w:val="20"/>
          <w:szCs w:val="20"/>
          <w:lang w:val="es-ES_tradnl"/>
        </w:rPr>
        <w:t>ii</w:t>
      </w:r>
      <w:proofErr w:type="spellEnd"/>
      <w:r w:rsidRPr="00F213E7">
        <w:rPr>
          <w:rFonts w:ascii="Arial" w:eastAsia="Calibri" w:hAnsi="Arial" w:cs="Arial"/>
          <w:color w:val="000000" w:themeColor="text1"/>
          <w:sz w:val="20"/>
          <w:szCs w:val="20"/>
          <w:lang w:val="es-ES_tradnl"/>
        </w:rPr>
        <w:t>) la rentabilidad del activo. El segundo parágrafo transitorio dispone que «El</w:t>
      </w:r>
      <w:r w:rsidRPr="00F213E7">
        <w:rPr>
          <w:rFonts w:ascii="Arial" w:hAnsi="Arial" w:cs="Arial"/>
          <w:sz w:val="20"/>
          <w:szCs w:val="20"/>
          <w:lang w:val="es-ES_tradnl"/>
        </w:rPr>
        <w:t xml:space="preserve"> </w:t>
      </w:r>
      <w:r w:rsidRPr="00F213E7">
        <w:rPr>
          <w:rFonts w:ascii="Arial" w:eastAsia="Calibri" w:hAnsi="Arial" w:cs="Arial"/>
          <w:color w:val="000000" w:themeColor="text1"/>
          <w:sz w:val="20"/>
          <w:szCs w:val="20"/>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p>
    <w:p w14:paraId="6900088D" w14:textId="38CB52C5" w:rsidR="00F254C7" w:rsidRPr="00F213E7" w:rsidRDefault="00F254C7" w:rsidP="00B95C30">
      <w:pPr>
        <w:spacing w:line="276" w:lineRule="auto"/>
        <w:jc w:val="both"/>
        <w:rPr>
          <w:rFonts w:ascii="Arial" w:hAnsi="Arial" w:cs="Arial"/>
          <w:noProof/>
          <w:color w:val="000000" w:themeColor="text1"/>
          <w:sz w:val="22"/>
          <w:lang w:val="es-ES_tradnl"/>
        </w:rPr>
      </w:pPr>
    </w:p>
    <w:p w14:paraId="2283A694" w14:textId="2578D1C1" w:rsidR="00BE7539" w:rsidRPr="00F213E7" w:rsidRDefault="00BE7539" w:rsidP="00BE7539">
      <w:pPr>
        <w:jc w:val="both"/>
        <w:rPr>
          <w:rFonts w:ascii="Arial" w:eastAsia="Calibri" w:hAnsi="Arial" w:cs="Arial"/>
          <w:b/>
          <w:sz w:val="22"/>
          <w:lang w:val="es-ES_tradnl"/>
        </w:rPr>
      </w:pPr>
      <w:r w:rsidRPr="00F213E7">
        <w:rPr>
          <w:rFonts w:ascii="Arial" w:eastAsia="Calibri" w:hAnsi="Arial" w:cs="Arial"/>
          <w:b/>
          <w:sz w:val="22"/>
          <w:lang w:val="es-ES_tradnl"/>
        </w:rPr>
        <w:t>MEJOR AÑO FISCAL – Decreto 399 – Capacidad financiera – Capacidad organizacional – Interpretación</w:t>
      </w:r>
    </w:p>
    <w:p w14:paraId="6B331A45" w14:textId="608A8EBC" w:rsidR="00BE7539" w:rsidRPr="00F213E7" w:rsidRDefault="00BE7539" w:rsidP="00B95C30">
      <w:pPr>
        <w:spacing w:line="276" w:lineRule="auto"/>
        <w:jc w:val="both"/>
        <w:rPr>
          <w:rFonts w:ascii="Arial" w:hAnsi="Arial" w:cs="Arial"/>
          <w:noProof/>
          <w:color w:val="000000" w:themeColor="text1"/>
          <w:sz w:val="22"/>
          <w:lang w:val="es-ES_tradnl"/>
        </w:rPr>
      </w:pPr>
    </w:p>
    <w:p w14:paraId="0D452AAD" w14:textId="2093F152" w:rsidR="00E67B5A" w:rsidRPr="00F213E7" w:rsidRDefault="00E67B5A" w:rsidP="00E67B5A">
      <w:pPr>
        <w:jc w:val="both"/>
        <w:rPr>
          <w:rFonts w:ascii="Arial" w:hAnsi="Arial" w:cs="Arial"/>
          <w:color w:val="000000" w:themeColor="text1"/>
          <w:sz w:val="20"/>
          <w:szCs w:val="20"/>
          <w:lang w:val="es-ES_tradnl"/>
        </w:rPr>
      </w:pPr>
      <w:r w:rsidRPr="00F213E7">
        <w:rPr>
          <w:rFonts w:ascii="Arial" w:hAnsi="Arial" w:cs="Arial"/>
          <w:color w:val="000000" w:themeColor="text1"/>
          <w:sz w:val="20"/>
          <w:szCs w:val="20"/>
          <w:lang w:val="es-ES_tradnl"/>
        </w:rPr>
        <w:t xml:space="preserve">Por «mejor año fiscal» se interpreta la información relativa al año apreciada en su conjunto, o sea, de manera integral, que permita al proponente cumplir los requisitos habilitantes de capacidad financiera y organizacional. Dicho de </w:t>
      </w:r>
      <w:r w:rsidR="00BD36D0" w:rsidRPr="00F213E7">
        <w:rPr>
          <w:rFonts w:ascii="Arial" w:hAnsi="Arial" w:cs="Arial"/>
          <w:color w:val="000000" w:themeColor="text1"/>
          <w:sz w:val="20"/>
          <w:szCs w:val="20"/>
          <w:lang w:val="es-ES_tradnl"/>
        </w:rPr>
        <w:t>otro</w:t>
      </w:r>
      <w:r w:rsidRPr="00F213E7">
        <w:rPr>
          <w:rFonts w:ascii="Arial" w:hAnsi="Arial" w:cs="Arial"/>
          <w:color w:val="000000" w:themeColor="text1"/>
          <w:sz w:val="20"/>
          <w:szCs w:val="20"/>
          <w:lang w:val="es-ES_tradnl"/>
        </w:rPr>
        <w:t xml:space="preserve"> </w:t>
      </w:r>
      <w:r w:rsidR="00BD36D0" w:rsidRPr="00F213E7">
        <w:rPr>
          <w:rFonts w:ascii="Arial" w:hAnsi="Arial" w:cs="Arial"/>
          <w:color w:val="000000" w:themeColor="text1"/>
          <w:sz w:val="20"/>
          <w:szCs w:val="20"/>
          <w:lang w:val="es-ES_tradnl"/>
        </w:rPr>
        <w:t>modo</w:t>
      </w:r>
      <w:r w:rsidRPr="00F213E7">
        <w:rPr>
          <w:rFonts w:ascii="Arial" w:hAnsi="Arial" w:cs="Arial"/>
          <w:color w:val="000000" w:themeColor="text1"/>
          <w:sz w:val="20"/>
          <w:szCs w:val="20"/>
          <w:lang w:val="es-ES_tradnl"/>
        </w:rPr>
        <w:t>, cuando el parágrafo transitorio del artículo 2.2.1.1.1.6.2, adicionado por el artículo 6 del Decreto 399 de 2021, establece que «[…] las Entidades Estatales evaluarán estos indicadores, teniendo en cuenta el mejor año fiscal que se refleje en el registro de cada proponente», significa que deben examinar los años certificados en el RUP y escoger para ser evaluado el que refleje mejores indicadores de capacidad financiera y organizacional.</w:t>
      </w:r>
    </w:p>
    <w:p w14:paraId="2E67950A" w14:textId="77777777" w:rsidR="00E67B5A" w:rsidRPr="00F213E7" w:rsidRDefault="00E67B5A" w:rsidP="00E67B5A">
      <w:pPr>
        <w:jc w:val="both"/>
        <w:rPr>
          <w:rFonts w:ascii="Arial" w:hAnsi="Arial" w:cs="Arial"/>
          <w:color w:val="000000" w:themeColor="text1"/>
          <w:sz w:val="20"/>
          <w:szCs w:val="20"/>
          <w:lang w:val="es-ES_tradnl"/>
        </w:rPr>
      </w:pPr>
    </w:p>
    <w:p w14:paraId="613DDE86" w14:textId="5AC03BF2" w:rsidR="00E67B5A" w:rsidRPr="00F213E7" w:rsidRDefault="00E67B5A" w:rsidP="00E67B5A">
      <w:pPr>
        <w:jc w:val="both"/>
        <w:rPr>
          <w:rFonts w:ascii="Arial" w:hAnsi="Arial" w:cs="Arial"/>
          <w:color w:val="000000" w:themeColor="text1"/>
          <w:sz w:val="20"/>
          <w:szCs w:val="20"/>
          <w:lang w:val="es-ES_tradnl"/>
        </w:rPr>
      </w:pPr>
      <w:r w:rsidRPr="00F213E7">
        <w:rPr>
          <w:rFonts w:ascii="Arial" w:hAnsi="Arial" w:cs="Arial"/>
          <w:color w:val="000000" w:themeColor="text1"/>
          <w:sz w:val="20"/>
          <w:szCs w:val="20"/>
          <w:lang w:val="es-ES_tradnl"/>
        </w:rPr>
        <w:t>Por lo tanto, el parágrafo transitorio, agregado al artículo 2.2.1.1.1.6.2. del Decreto 1082 de 2015 por el artículo 6 del Decreto 399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cumpla con dichos requisitos habilitantes</w:t>
      </w:r>
      <w:r w:rsidR="00BA2789">
        <w:rPr>
          <w:rFonts w:ascii="Arial" w:hAnsi="Arial" w:cs="Arial"/>
          <w:color w:val="000000" w:themeColor="text1"/>
          <w:sz w:val="20"/>
          <w:szCs w:val="20"/>
          <w:lang w:val="es-ES_tradnl"/>
        </w:rPr>
        <w:t>, dentro de una misma vigencia</w:t>
      </w:r>
      <w:r w:rsidRPr="00F213E7">
        <w:rPr>
          <w:rFonts w:ascii="Arial" w:hAnsi="Arial" w:cs="Arial"/>
          <w:color w:val="000000" w:themeColor="text1"/>
          <w:sz w:val="20"/>
          <w:szCs w:val="20"/>
          <w:lang w:val="es-ES_tradnl"/>
        </w:rPr>
        <w:t>.</w:t>
      </w:r>
    </w:p>
    <w:p w14:paraId="083D7E96" w14:textId="0DB93C81" w:rsidR="00E67B5A" w:rsidRPr="00F213E7" w:rsidRDefault="00E67B5A" w:rsidP="00B95C30">
      <w:pPr>
        <w:spacing w:line="276" w:lineRule="auto"/>
        <w:jc w:val="both"/>
        <w:rPr>
          <w:rFonts w:ascii="Arial" w:hAnsi="Arial" w:cs="Arial"/>
          <w:noProof/>
          <w:color w:val="000000" w:themeColor="text1"/>
          <w:sz w:val="22"/>
          <w:lang w:val="es-ES_tradnl"/>
        </w:rPr>
      </w:pPr>
    </w:p>
    <w:p w14:paraId="31191EFA" w14:textId="77777777" w:rsidR="004273B9" w:rsidRPr="00F213E7" w:rsidRDefault="004273B9" w:rsidP="004273B9">
      <w:pPr>
        <w:jc w:val="both"/>
        <w:rPr>
          <w:rFonts w:ascii="Arial" w:eastAsia="Calibri" w:hAnsi="Arial" w:cs="Arial"/>
          <w:color w:val="000000" w:themeColor="text1"/>
          <w:sz w:val="20"/>
          <w:szCs w:val="20"/>
          <w:lang w:val="es-ES_tradnl"/>
        </w:rPr>
      </w:pPr>
    </w:p>
    <w:p w14:paraId="0D07B736" w14:textId="41A6314F" w:rsidR="004273B9" w:rsidRPr="00F213E7" w:rsidRDefault="004273B9" w:rsidP="00B95C30">
      <w:pPr>
        <w:spacing w:line="276" w:lineRule="auto"/>
        <w:jc w:val="both"/>
        <w:rPr>
          <w:rFonts w:ascii="Arial" w:hAnsi="Arial" w:cs="Arial"/>
          <w:noProof/>
          <w:color w:val="000000" w:themeColor="text1"/>
          <w:sz w:val="22"/>
          <w:lang w:val="es-ES_tradnl"/>
        </w:rPr>
      </w:pPr>
    </w:p>
    <w:p w14:paraId="1FBE7F6B" w14:textId="6A2ADC92" w:rsidR="00F101AF" w:rsidRPr="00F213E7" w:rsidRDefault="00F101AF" w:rsidP="00B95C30">
      <w:pPr>
        <w:spacing w:line="276" w:lineRule="auto"/>
        <w:jc w:val="both"/>
        <w:rPr>
          <w:rFonts w:ascii="Arial" w:hAnsi="Arial" w:cs="Arial"/>
          <w:noProof/>
          <w:color w:val="000000" w:themeColor="text1"/>
          <w:sz w:val="22"/>
          <w:lang w:val="es-ES_tradnl"/>
        </w:rPr>
      </w:pPr>
    </w:p>
    <w:p w14:paraId="2E27257A" w14:textId="39733168" w:rsidR="00F101AF" w:rsidRDefault="00F101AF" w:rsidP="00B95C30">
      <w:pPr>
        <w:spacing w:line="276" w:lineRule="auto"/>
        <w:jc w:val="both"/>
        <w:rPr>
          <w:rFonts w:ascii="Arial" w:hAnsi="Arial" w:cs="Arial"/>
          <w:noProof/>
          <w:color w:val="000000" w:themeColor="text1"/>
          <w:sz w:val="22"/>
          <w:lang w:val="es-ES_tradnl"/>
        </w:rPr>
      </w:pPr>
    </w:p>
    <w:p w14:paraId="133B3AD3" w14:textId="624C7489" w:rsidR="00142F24" w:rsidRDefault="00142F24" w:rsidP="00B95C30">
      <w:pPr>
        <w:spacing w:line="276" w:lineRule="auto"/>
        <w:jc w:val="both"/>
        <w:rPr>
          <w:rFonts w:ascii="Arial" w:hAnsi="Arial" w:cs="Arial"/>
          <w:noProof/>
          <w:color w:val="000000" w:themeColor="text1"/>
          <w:sz w:val="22"/>
          <w:lang w:val="es-ES_tradnl"/>
        </w:rPr>
      </w:pPr>
    </w:p>
    <w:p w14:paraId="2A1F9B57" w14:textId="19971DD8" w:rsidR="00142F24" w:rsidRDefault="00142F24" w:rsidP="00B95C30">
      <w:pPr>
        <w:spacing w:line="276" w:lineRule="auto"/>
        <w:jc w:val="both"/>
        <w:rPr>
          <w:rFonts w:ascii="Arial" w:hAnsi="Arial" w:cs="Arial"/>
          <w:noProof/>
          <w:color w:val="000000" w:themeColor="text1"/>
          <w:sz w:val="22"/>
          <w:lang w:val="es-ES_tradnl"/>
        </w:rPr>
      </w:pPr>
    </w:p>
    <w:p w14:paraId="556094A6" w14:textId="75339272" w:rsidR="00142F24" w:rsidRDefault="00142F24" w:rsidP="00B95C30">
      <w:pPr>
        <w:spacing w:line="276" w:lineRule="auto"/>
        <w:jc w:val="both"/>
        <w:rPr>
          <w:rFonts w:ascii="Arial" w:hAnsi="Arial" w:cs="Arial"/>
          <w:noProof/>
          <w:color w:val="000000" w:themeColor="text1"/>
          <w:sz w:val="22"/>
          <w:lang w:val="es-ES_tradnl"/>
        </w:rPr>
      </w:pPr>
    </w:p>
    <w:p w14:paraId="56862011" w14:textId="7289015E" w:rsidR="00142F24" w:rsidRDefault="00142F24" w:rsidP="00B95C30">
      <w:pPr>
        <w:spacing w:line="276" w:lineRule="auto"/>
        <w:jc w:val="both"/>
        <w:rPr>
          <w:rFonts w:ascii="Arial" w:hAnsi="Arial" w:cs="Arial"/>
          <w:noProof/>
          <w:color w:val="000000" w:themeColor="text1"/>
          <w:sz w:val="22"/>
          <w:lang w:val="es-ES_tradnl"/>
        </w:rPr>
      </w:pPr>
    </w:p>
    <w:p w14:paraId="0D066126" w14:textId="48C994CB" w:rsidR="00142F24" w:rsidRDefault="00142F24" w:rsidP="00B95C30">
      <w:pPr>
        <w:spacing w:line="276" w:lineRule="auto"/>
        <w:jc w:val="both"/>
        <w:rPr>
          <w:rFonts w:ascii="Arial" w:hAnsi="Arial" w:cs="Arial"/>
          <w:noProof/>
          <w:color w:val="000000" w:themeColor="text1"/>
          <w:sz w:val="22"/>
          <w:lang w:val="es-ES_tradnl"/>
        </w:rPr>
      </w:pPr>
    </w:p>
    <w:p w14:paraId="785E0D1B" w14:textId="4B29AB16" w:rsidR="00142F24" w:rsidRDefault="00142F24" w:rsidP="00B95C30">
      <w:pPr>
        <w:spacing w:line="276" w:lineRule="auto"/>
        <w:jc w:val="both"/>
        <w:rPr>
          <w:rFonts w:ascii="Arial" w:hAnsi="Arial" w:cs="Arial"/>
          <w:noProof/>
          <w:color w:val="000000" w:themeColor="text1"/>
          <w:sz w:val="22"/>
          <w:lang w:val="es-ES_tradnl"/>
        </w:rPr>
      </w:pPr>
    </w:p>
    <w:p w14:paraId="18954296" w14:textId="2DF7ECD5" w:rsidR="00142F24" w:rsidRDefault="00142F24" w:rsidP="00B95C30">
      <w:pPr>
        <w:spacing w:line="276" w:lineRule="auto"/>
        <w:jc w:val="both"/>
        <w:rPr>
          <w:rFonts w:ascii="Arial" w:hAnsi="Arial" w:cs="Arial"/>
          <w:noProof/>
          <w:color w:val="000000" w:themeColor="text1"/>
          <w:sz w:val="22"/>
          <w:lang w:val="es-ES_tradnl"/>
        </w:rPr>
      </w:pPr>
    </w:p>
    <w:p w14:paraId="1B456F63" w14:textId="77777777" w:rsidR="00C95D79" w:rsidRDefault="00C95D79" w:rsidP="00B95C30">
      <w:pPr>
        <w:spacing w:line="276" w:lineRule="auto"/>
        <w:jc w:val="both"/>
        <w:rPr>
          <w:rFonts w:ascii="Arial" w:hAnsi="Arial" w:cs="Arial"/>
          <w:noProof/>
          <w:color w:val="000000" w:themeColor="text1"/>
          <w:sz w:val="22"/>
          <w:lang w:val="es-ES_tradnl"/>
        </w:rPr>
      </w:pPr>
    </w:p>
    <w:p w14:paraId="6E837064" w14:textId="77777777" w:rsidR="00142F24" w:rsidRPr="00F213E7" w:rsidRDefault="00142F24" w:rsidP="00B95C30">
      <w:pPr>
        <w:spacing w:line="276" w:lineRule="auto"/>
        <w:jc w:val="both"/>
        <w:rPr>
          <w:rFonts w:ascii="Arial" w:hAnsi="Arial" w:cs="Arial"/>
          <w:noProof/>
          <w:color w:val="000000" w:themeColor="text1"/>
          <w:sz w:val="22"/>
          <w:lang w:val="es-ES_tradnl"/>
        </w:rPr>
      </w:pPr>
    </w:p>
    <w:p w14:paraId="0F6011B0" w14:textId="4FDFA0D3" w:rsidR="00A101B9" w:rsidRDefault="00A101B9" w:rsidP="00A101B9">
      <w:pPr>
        <w:pStyle w:val="Sinespaciado"/>
        <w:jc w:val="right"/>
        <w:rPr>
          <w:noProof/>
        </w:rPr>
      </w:pPr>
      <w:r w:rsidRPr="00A101B9">
        <w:rPr>
          <w:noProof/>
        </w:rPr>
        <w:lastRenderedPageBreak/>
        <w:drawing>
          <wp:inline distT="0" distB="0" distL="0" distR="0" wp14:anchorId="7BD73B9D" wp14:editId="25DDE0BC">
            <wp:extent cx="2276475" cy="9048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6475" cy="904875"/>
                    </a:xfrm>
                    <a:prstGeom prst="rect">
                      <a:avLst/>
                    </a:prstGeom>
                    <a:noFill/>
                    <a:ln>
                      <a:noFill/>
                    </a:ln>
                  </pic:spPr>
                </pic:pic>
              </a:graphicData>
            </a:graphic>
          </wp:inline>
        </w:drawing>
      </w:r>
    </w:p>
    <w:p w14:paraId="7F86144B" w14:textId="77777777" w:rsidR="00A101B9" w:rsidRPr="00F213E7" w:rsidRDefault="00A101B9" w:rsidP="00A101B9">
      <w:pPr>
        <w:jc w:val="right"/>
        <w:rPr>
          <w:rFonts w:ascii="Arial" w:eastAsia="Calibri" w:hAnsi="Arial" w:cs="Arial"/>
          <w:b/>
          <w:color w:val="000000" w:themeColor="text1"/>
          <w:sz w:val="20"/>
          <w:szCs w:val="20"/>
          <w:lang w:val="es-ES_tradnl"/>
        </w:rPr>
      </w:pPr>
      <w:r w:rsidRPr="00F213E7">
        <w:rPr>
          <w:rFonts w:ascii="Arial" w:hAnsi="Arial" w:cs="Arial"/>
          <w:bCs/>
          <w:color w:val="000000" w:themeColor="text1"/>
          <w:sz w:val="16"/>
          <w:szCs w:val="16"/>
          <w:lang w:val="es-ES_tradnl" w:eastAsia="es-ES"/>
        </w:rPr>
        <w:t>CCE-DES-FM-17</w:t>
      </w:r>
    </w:p>
    <w:p w14:paraId="42C3A8AC" w14:textId="672AAE51" w:rsidR="00A101B9" w:rsidRDefault="00A101B9" w:rsidP="00B95C30">
      <w:pPr>
        <w:spacing w:line="276" w:lineRule="auto"/>
        <w:jc w:val="both"/>
        <w:rPr>
          <w:rFonts w:ascii="Arial" w:hAnsi="Arial" w:cs="Arial"/>
          <w:noProof/>
          <w:color w:val="000000" w:themeColor="text1"/>
          <w:sz w:val="22"/>
          <w:lang w:val="es-ES_tradnl"/>
        </w:rPr>
      </w:pPr>
    </w:p>
    <w:p w14:paraId="7DD48F49" w14:textId="7D83C258" w:rsidR="00B95C30" w:rsidRPr="00F213E7" w:rsidRDefault="00B95C30" w:rsidP="00B95C30">
      <w:pPr>
        <w:spacing w:line="276" w:lineRule="auto"/>
        <w:jc w:val="both"/>
        <w:rPr>
          <w:rFonts w:ascii="Arial" w:hAnsi="Arial" w:cs="Arial"/>
          <w:b/>
          <w:bCs/>
          <w:noProof/>
          <w:color w:val="000000" w:themeColor="text1"/>
          <w:sz w:val="22"/>
          <w:lang w:val="es-ES_tradnl"/>
        </w:rPr>
      </w:pPr>
      <w:r w:rsidRPr="00F213E7">
        <w:rPr>
          <w:rFonts w:ascii="Arial" w:hAnsi="Arial" w:cs="Arial"/>
          <w:noProof/>
          <w:color w:val="000000" w:themeColor="text1"/>
          <w:sz w:val="22"/>
          <w:lang w:val="es-ES_tradnl"/>
        </w:rPr>
        <w:t>Bogotá D.C.,</w:t>
      </w:r>
      <w:r w:rsidR="00A101B9">
        <w:rPr>
          <w:rFonts w:ascii="Arial" w:hAnsi="Arial" w:cs="Arial"/>
          <w:noProof/>
          <w:color w:val="000000" w:themeColor="text1"/>
          <w:sz w:val="22"/>
          <w:lang w:val="es-ES_tradnl"/>
        </w:rPr>
        <w:t xml:space="preserve"> 27 de septiembre 2021</w:t>
      </w:r>
      <w:r w:rsidRPr="00F213E7">
        <w:rPr>
          <w:rFonts w:ascii="Arial" w:hAnsi="Arial" w:cs="Arial"/>
          <w:noProof/>
          <w:color w:val="000000" w:themeColor="text1"/>
          <w:sz w:val="22"/>
          <w:lang w:val="es-ES_tradnl"/>
        </w:rPr>
        <w:t xml:space="preserve"> </w:t>
      </w:r>
    </w:p>
    <w:p w14:paraId="5D4D8B44" w14:textId="3EC7C1E0" w:rsidR="00B331FE" w:rsidRPr="00F213E7" w:rsidRDefault="00B331FE" w:rsidP="00B331FE">
      <w:pPr>
        <w:rPr>
          <w:rFonts w:ascii="Arial" w:hAnsi="Arial" w:cs="Arial"/>
        </w:rPr>
      </w:pPr>
    </w:p>
    <w:p w14:paraId="4BA28EE6" w14:textId="10650BBD" w:rsidR="00F65525" w:rsidRPr="00F213E7" w:rsidRDefault="00F65525" w:rsidP="00BF27FC">
      <w:pPr>
        <w:jc w:val="right"/>
        <w:rPr>
          <w:rFonts w:ascii="Arial" w:hAnsi="Arial" w:cs="Arial"/>
        </w:rPr>
      </w:pPr>
    </w:p>
    <w:p w14:paraId="59D6265D" w14:textId="72015604" w:rsidR="00DD137B" w:rsidRPr="00F213E7" w:rsidRDefault="00011EBC" w:rsidP="00DD137B">
      <w:pPr>
        <w:jc w:val="both"/>
        <w:rPr>
          <w:rFonts w:ascii="Arial" w:eastAsia="Calibri" w:hAnsi="Arial" w:cs="Arial"/>
          <w:color w:val="000000" w:themeColor="text1"/>
          <w:sz w:val="22"/>
          <w:lang w:val="es-ES_tradnl"/>
        </w:rPr>
      </w:pPr>
      <w:r w:rsidRPr="00011EBC">
        <w:rPr>
          <w:rFonts w:ascii="Arial" w:eastAsia="Calibri" w:hAnsi="Arial" w:cs="Arial"/>
          <w:color w:val="000000" w:themeColor="text1"/>
          <w:sz w:val="22"/>
          <w:lang w:val="es-ES_tradnl"/>
        </w:rPr>
        <w:t>Señor</w:t>
      </w:r>
    </w:p>
    <w:p w14:paraId="078A9920" w14:textId="430B321B" w:rsidR="00DD137B" w:rsidRPr="00F213E7" w:rsidRDefault="00011EBC" w:rsidP="00DD137B">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Nilton Javier Caicedo Vidal</w:t>
      </w:r>
    </w:p>
    <w:p w14:paraId="42763BB6" w14:textId="77777777" w:rsidR="00400DD2" w:rsidRDefault="00DF7CAB" w:rsidP="001D6CD2">
      <w:pPr>
        <w:rPr>
          <w:rFonts w:ascii="Arial" w:eastAsia="Calibri" w:hAnsi="Arial" w:cs="Arial"/>
          <w:b/>
          <w:bCs/>
          <w:color w:val="000000" w:themeColor="text1"/>
          <w:sz w:val="22"/>
          <w:lang w:val="es-ES_tradnl"/>
        </w:rPr>
      </w:pPr>
      <w:r w:rsidRPr="00DF7CAB">
        <w:rPr>
          <w:rFonts w:ascii="Arial" w:eastAsia="Calibri" w:hAnsi="Arial" w:cs="Arial"/>
          <w:color w:val="000000" w:themeColor="text1"/>
          <w:sz w:val="22"/>
          <w:lang w:val="es-ES_tradnl"/>
        </w:rPr>
        <w:t>nijacavi@hotmail.com</w:t>
      </w:r>
      <w:r w:rsidR="00F53F4F" w:rsidRPr="00F213E7">
        <w:rPr>
          <w:rFonts w:ascii="Arial" w:eastAsia="Calibri" w:hAnsi="Arial" w:cs="Arial"/>
          <w:b/>
          <w:bCs/>
          <w:color w:val="000000" w:themeColor="text1"/>
          <w:sz w:val="22"/>
          <w:lang w:val="es-ES_tradnl"/>
        </w:rPr>
        <w:t xml:space="preserve">             </w:t>
      </w:r>
    </w:p>
    <w:p w14:paraId="6BA81454" w14:textId="77777777" w:rsidR="00400DD2" w:rsidRDefault="00400DD2" w:rsidP="001D6CD2">
      <w:pPr>
        <w:rPr>
          <w:rFonts w:ascii="Arial" w:eastAsia="Calibri" w:hAnsi="Arial" w:cs="Arial"/>
          <w:b/>
          <w:bCs/>
          <w:color w:val="000000" w:themeColor="text1"/>
          <w:sz w:val="22"/>
          <w:lang w:val="es-ES_tradnl"/>
        </w:rPr>
      </w:pPr>
    </w:p>
    <w:p w14:paraId="12E66182" w14:textId="4CDD94F3" w:rsidR="00B95C30" w:rsidRPr="00F213E7" w:rsidRDefault="00B95C30" w:rsidP="00400DD2">
      <w:pPr>
        <w:ind w:left="2124" w:firstLine="708"/>
        <w:rPr>
          <w:rFonts w:ascii="Arial" w:eastAsia="Calibri" w:hAnsi="Arial" w:cs="Arial"/>
          <w:b/>
          <w:bCs/>
          <w:color w:val="000000" w:themeColor="text1"/>
          <w:sz w:val="22"/>
          <w:lang w:val="es-ES_tradnl"/>
        </w:rPr>
      </w:pPr>
      <w:r w:rsidRPr="00F213E7">
        <w:rPr>
          <w:rFonts w:ascii="Arial" w:eastAsia="Calibri" w:hAnsi="Arial" w:cs="Arial"/>
          <w:b/>
          <w:bCs/>
          <w:color w:val="000000" w:themeColor="text1"/>
          <w:sz w:val="22"/>
          <w:lang w:val="es-ES_tradnl"/>
        </w:rPr>
        <w:t xml:space="preserve">Concepto C ‒ </w:t>
      </w:r>
      <w:r w:rsidR="0024139F">
        <w:rPr>
          <w:rFonts w:ascii="Arial" w:eastAsia="Calibri" w:hAnsi="Arial" w:cs="Arial"/>
          <w:b/>
          <w:bCs/>
          <w:color w:val="000000" w:themeColor="text1"/>
          <w:sz w:val="22"/>
          <w:lang w:val="es-ES_tradnl"/>
        </w:rPr>
        <w:t>530</w:t>
      </w:r>
      <w:r w:rsidR="00181320" w:rsidRPr="00F213E7">
        <w:rPr>
          <w:rFonts w:ascii="Arial" w:eastAsia="Calibri" w:hAnsi="Arial" w:cs="Arial"/>
          <w:b/>
          <w:bCs/>
          <w:color w:val="000000" w:themeColor="text1"/>
          <w:sz w:val="22"/>
          <w:lang w:val="es-ES_tradnl"/>
        </w:rPr>
        <w:t xml:space="preserve"> </w:t>
      </w:r>
      <w:r w:rsidRPr="00F213E7">
        <w:rPr>
          <w:rFonts w:ascii="Arial" w:eastAsia="Calibri" w:hAnsi="Arial" w:cs="Arial"/>
          <w:b/>
          <w:bCs/>
          <w:color w:val="000000" w:themeColor="text1"/>
          <w:sz w:val="22"/>
          <w:lang w:val="es-ES_tradnl"/>
        </w:rPr>
        <w:t>de 202</w:t>
      </w:r>
      <w:r w:rsidR="005E781C" w:rsidRPr="00F213E7">
        <w:rPr>
          <w:rFonts w:ascii="Arial" w:eastAsia="Calibri" w:hAnsi="Arial" w:cs="Arial"/>
          <w:b/>
          <w:bCs/>
          <w:color w:val="000000" w:themeColor="text1"/>
          <w:sz w:val="22"/>
          <w:lang w:val="es-ES_tradnl"/>
        </w:rPr>
        <w:t>1</w:t>
      </w:r>
    </w:p>
    <w:p w14:paraId="1BD594F9" w14:textId="77777777" w:rsidR="00B95C30" w:rsidRPr="00F213E7"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011EBC" w14:paraId="19DFC051" w14:textId="77777777" w:rsidTr="008F4163">
        <w:tc>
          <w:tcPr>
            <w:tcW w:w="2689" w:type="dxa"/>
          </w:tcPr>
          <w:p w14:paraId="6BC0D1AC" w14:textId="77777777" w:rsidR="00B95C30" w:rsidRPr="00DF7CAB" w:rsidRDefault="00B95C30" w:rsidP="008F4163">
            <w:pPr>
              <w:jc w:val="both"/>
              <w:rPr>
                <w:rFonts w:ascii="Arial" w:eastAsia="Calibri" w:hAnsi="Arial" w:cs="Arial"/>
                <w:color w:val="000000" w:themeColor="text1"/>
                <w:sz w:val="22"/>
                <w:szCs w:val="22"/>
                <w:lang w:val="es-ES_tradnl"/>
              </w:rPr>
            </w:pPr>
            <w:r w:rsidRPr="00DF7CAB">
              <w:rPr>
                <w:rFonts w:ascii="Arial" w:eastAsia="Calibri" w:hAnsi="Arial" w:cs="Arial"/>
                <w:b/>
                <w:color w:val="000000" w:themeColor="text1"/>
                <w:sz w:val="22"/>
                <w:szCs w:val="22"/>
                <w:lang w:val="es-ES_tradnl"/>
              </w:rPr>
              <w:t>Temas:</w:t>
            </w:r>
            <w:r w:rsidRPr="00DF7CAB">
              <w:rPr>
                <w:rFonts w:ascii="Arial" w:eastAsia="Calibri" w:hAnsi="Arial" w:cs="Arial"/>
                <w:color w:val="000000" w:themeColor="text1"/>
                <w:sz w:val="22"/>
                <w:szCs w:val="22"/>
                <w:lang w:val="es-ES_tradnl"/>
              </w:rPr>
              <w:t xml:space="preserve">                                      </w:t>
            </w:r>
          </w:p>
        </w:tc>
        <w:tc>
          <w:tcPr>
            <w:tcW w:w="6237" w:type="dxa"/>
          </w:tcPr>
          <w:p w14:paraId="5F389CAF" w14:textId="7F21168D" w:rsidR="00B95C30" w:rsidRPr="00DF7CAB" w:rsidRDefault="00DD137B" w:rsidP="008F4163">
            <w:pPr>
              <w:jc w:val="both"/>
              <w:rPr>
                <w:rFonts w:ascii="Arial" w:eastAsia="Calibri" w:hAnsi="Arial" w:cs="Arial"/>
                <w:bCs/>
                <w:sz w:val="22"/>
                <w:szCs w:val="22"/>
                <w:lang w:val="es-ES_tradnl"/>
              </w:rPr>
            </w:pPr>
            <w:r w:rsidRPr="00DF7CAB">
              <w:rPr>
                <w:rFonts w:ascii="Arial" w:eastAsia="Calibri" w:hAnsi="Arial" w:cs="Arial"/>
                <w:bCs/>
                <w:sz w:val="22"/>
                <w:szCs w:val="22"/>
                <w:lang w:val="es-ES_tradnl"/>
              </w:rPr>
              <w:t>CAPACIDAD FINANCIERA – Concepto – Requisito habilitante / CAPACIDAD ORGANIZACIONAL – Concepto – Requisito habilitante / DECRETO 399 DE 2021 – Finalidad – Reactivación económica / DECRETO 399 DE 2021 – Información – Capacidad financiera – Capacidad organizacional – RUP / DECRETO 399 DE 2021 – Indicadores – Capacidad financiera – Capacidad organizacional – Período / MEJOR AÑO FISCAL – Decreto 399 – Capacidad financiera – Capacidad organizacional – Interpretación.</w:t>
            </w:r>
          </w:p>
        </w:tc>
      </w:tr>
      <w:tr w:rsidR="00B95C30" w:rsidRPr="00011EBC" w14:paraId="27CD52AB" w14:textId="77777777" w:rsidTr="008F4163">
        <w:tc>
          <w:tcPr>
            <w:tcW w:w="2689" w:type="dxa"/>
          </w:tcPr>
          <w:p w14:paraId="37E195A1" w14:textId="1BA218D5" w:rsidR="00B95C30" w:rsidRPr="00011EBC" w:rsidRDefault="00B95C30" w:rsidP="008F4163">
            <w:pPr>
              <w:spacing w:before="120"/>
              <w:jc w:val="both"/>
              <w:rPr>
                <w:rFonts w:ascii="Arial" w:eastAsia="Calibri" w:hAnsi="Arial" w:cs="Arial"/>
                <w:b/>
                <w:color w:val="000000" w:themeColor="text1"/>
                <w:sz w:val="22"/>
                <w:szCs w:val="22"/>
                <w:lang w:val="es-ES_tradnl"/>
              </w:rPr>
            </w:pPr>
            <w:r w:rsidRPr="00011EBC">
              <w:rPr>
                <w:rFonts w:ascii="Arial" w:eastAsia="Calibri" w:hAnsi="Arial" w:cs="Arial"/>
                <w:b/>
                <w:color w:val="000000" w:themeColor="text1"/>
                <w:sz w:val="22"/>
                <w:szCs w:val="22"/>
                <w:lang w:val="es-ES_tradnl"/>
              </w:rPr>
              <w:t>Radicación:</w:t>
            </w:r>
            <w:r w:rsidRPr="00011EBC">
              <w:rPr>
                <w:rFonts w:ascii="Arial" w:eastAsia="Calibri" w:hAnsi="Arial" w:cs="Arial"/>
                <w:color w:val="000000" w:themeColor="text1"/>
                <w:sz w:val="22"/>
                <w:szCs w:val="22"/>
                <w:lang w:val="es-ES_tradnl"/>
              </w:rPr>
              <w:t xml:space="preserve">                              </w:t>
            </w:r>
          </w:p>
        </w:tc>
        <w:tc>
          <w:tcPr>
            <w:tcW w:w="6237" w:type="dxa"/>
          </w:tcPr>
          <w:p w14:paraId="09088B1B" w14:textId="08AB69CC" w:rsidR="00B95C30" w:rsidRPr="00011EBC" w:rsidRDefault="00B95C30" w:rsidP="00AC4BB3">
            <w:pPr>
              <w:spacing w:before="120"/>
              <w:jc w:val="both"/>
              <w:rPr>
                <w:rFonts w:ascii="Arial" w:eastAsia="Calibri" w:hAnsi="Arial" w:cs="Arial"/>
                <w:color w:val="000000" w:themeColor="text1"/>
                <w:sz w:val="22"/>
                <w:szCs w:val="22"/>
                <w:lang w:val="es-ES_tradnl"/>
              </w:rPr>
            </w:pPr>
            <w:r w:rsidRPr="00011EBC">
              <w:rPr>
                <w:rFonts w:ascii="Arial" w:eastAsia="Calibri" w:hAnsi="Arial" w:cs="Arial"/>
                <w:color w:val="000000" w:themeColor="text1"/>
                <w:sz w:val="22"/>
                <w:szCs w:val="22"/>
                <w:lang w:val="es-ES_tradnl"/>
              </w:rPr>
              <w:t>Respuesta a consult</w:t>
            </w:r>
            <w:r w:rsidR="009977B1" w:rsidRPr="00011EBC">
              <w:rPr>
                <w:rFonts w:ascii="Arial" w:eastAsia="Calibri" w:hAnsi="Arial" w:cs="Arial"/>
                <w:color w:val="000000" w:themeColor="text1"/>
                <w:sz w:val="22"/>
                <w:szCs w:val="22"/>
                <w:lang w:val="es-ES_tradnl"/>
              </w:rPr>
              <w:t xml:space="preserve">a </w:t>
            </w:r>
            <w:r w:rsidRPr="00011EBC">
              <w:rPr>
                <w:rFonts w:ascii="Arial" w:eastAsia="Calibri" w:hAnsi="Arial" w:cs="Arial"/>
                <w:color w:val="000000" w:themeColor="text1"/>
                <w:sz w:val="22"/>
                <w:szCs w:val="22"/>
                <w:lang w:val="es-ES_tradnl"/>
              </w:rPr>
              <w:t xml:space="preserve"># </w:t>
            </w:r>
            <w:r w:rsidR="00011EBC" w:rsidRPr="00011EBC">
              <w:rPr>
                <w:rFonts w:ascii="Arial" w:hAnsi="Arial" w:cs="Arial"/>
                <w:color w:val="000000"/>
                <w:sz w:val="22"/>
                <w:szCs w:val="22"/>
                <w:lang w:eastAsia="es-CO"/>
              </w:rPr>
              <w:t>P2021081</w:t>
            </w:r>
            <w:r w:rsidR="00013F89">
              <w:rPr>
                <w:rFonts w:ascii="Arial" w:hAnsi="Arial" w:cs="Arial"/>
                <w:color w:val="000000"/>
                <w:sz w:val="22"/>
                <w:szCs w:val="22"/>
                <w:lang w:eastAsia="es-CO"/>
              </w:rPr>
              <w:t>5007282</w:t>
            </w:r>
          </w:p>
        </w:tc>
      </w:tr>
    </w:tbl>
    <w:p w14:paraId="61B55CA4" w14:textId="77777777" w:rsidR="00716BB0" w:rsidRPr="00011EBC" w:rsidRDefault="00716BB0" w:rsidP="003C3339">
      <w:pPr>
        <w:jc w:val="both"/>
        <w:rPr>
          <w:rFonts w:ascii="Arial" w:eastAsia="Calibri" w:hAnsi="Arial" w:cs="Arial"/>
          <w:color w:val="000000" w:themeColor="text1"/>
          <w:sz w:val="22"/>
          <w:szCs w:val="22"/>
          <w:lang w:val="es-ES_tradnl"/>
        </w:rPr>
      </w:pPr>
    </w:p>
    <w:p w14:paraId="4B9B5156" w14:textId="77777777" w:rsidR="00716BB0" w:rsidRPr="00F213E7" w:rsidRDefault="00716BB0" w:rsidP="003C3339">
      <w:pPr>
        <w:jc w:val="both"/>
        <w:rPr>
          <w:rFonts w:ascii="Arial" w:eastAsia="Calibri" w:hAnsi="Arial" w:cs="Arial"/>
          <w:color w:val="000000" w:themeColor="text1"/>
          <w:sz w:val="22"/>
          <w:lang w:val="es-ES_tradnl"/>
        </w:rPr>
      </w:pPr>
    </w:p>
    <w:p w14:paraId="1EAE5543" w14:textId="3C1A48BD" w:rsidR="00DD5B04" w:rsidRPr="00F213E7" w:rsidRDefault="000A0FD2" w:rsidP="00DF76A2">
      <w:pPr>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Estimad</w:t>
      </w:r>
      <w:r w:rsidR="00011EBC">
        <w:rPr>
          <w:rFonts w:ascii="Arial" w:eastAsia="Calibri" w:hAnsi="Arial" w:cs="Arial"/>
          <w:color w:val="000000" w:themeColor="text1"/>
          <w:sz w:val="22"/>
          <w:lang w:val="es-ES_tradnl"/>
        </w:rPr>
        <w:t>o Señor Caicedo</w:t>
      </w:r>
      <w:r w:rsidRPr="00F213E7">
        <w:rPr>
          <w:rFonts w:ascii="Arial" w:eastAsia="Calibri" w:hAnsi="Arial" w:cs="Arial"/>
          <w:color w:val="000000" w:themeColor="text1"/>
          <w:sz w:val="22"/>
          <w:lang w:val="es-ES_tradnl"/>
        </w:rPr>
        <w:t>:</w:t>
      </w:r>
    </w:p>
    <w:p w14:paraId="66083149" w14:textId="77777777" w:rsidR="000A0FD2" w:rsidRPr="00F213E7" w:rsidRDefault="000A0FD2" w:rsidP="00DF76A2">
      <w:pPr>
        <w:jc w:val="both"/>
        <w:rPr>
          <w:rFonts w:ascii="Arial" w:eastAsia="Calibri" w:hAnsi="Arial" w:cs="Arial"/>
          <w:color w:val="000000" w:themeColor="text1"/>
          <w:sz w:val="22"/>
          <w:lang w:val="es-ES_tradnl"/>
        </w:rPr>
      </w:pPr>
    </w:p>
    <w:p w14:paraId="2109B2D3" w14:textId="734713E6" w:rsidR="00DD5B04" w:rsidRPr="00F213E7" w:rsidRDefault="00DD5B04" w:rsidP="00DF76A2">
      <w:pPr>
        <w:spacing w:line="276" w:lineRule="auto"/>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 xml:space="preserve">En ejercicio de la competencia otorgada por el numeral 8 del artículo 11 y el numeral 5 del artículo 3 del </w:t>
      </w:r>
      <w:r w:rsidRPr="00F213E7">
        <w:rPr>
          <w:rFonts w:ascii="Arial" w:eastAsia="Calibri" w:hAnsi="Arial" w:cs="Arial"/>
          <w:color w:val="000000" w:themeColor="text1"/>
          <w:sz w:val="22"/>
          <w:szCs w:val="22"/>
          <w:lang w:val="es-ES_tradnl"/>
        </w:rPr>
        <w:t>Decreto Ley 4170 de 2011, la Agencia Nacional de Contratación Pública ― Colombia Compra Eficiente</w:t>
      </w:r>
      <w:r w:rsidR="008C3C57" w:rsidRPr="00F213E7">
        <w:rPr>
          <w:rFonts w:ascii="Arial" w:eastAsia="Calibri" w:hAnsi="Arial" w:cs="Arial"/>
          <w:color w:val="000000" w:themeColor="text1"/>
          <w:sz w:val="22"/>
          <w:szCs w:val="22"/>
          <w:lang w:val="es-ES_tradnl"/>
        </w:rPr>
        <w:t xml:space="preserve"> </w:t>
      </w:r>
      <w:r w:rsidRPr="00F213E7">
        <w:rPr>
          <w:rFonts w:ascii="Arial" w:eastAsia="Calibri" w:hAnsi="Arial" w:cs="Arial"/>
          <w:color w:val="000000" w:themeColor="text1"/>
          <w:sz w:val="22"/>
          <w:szCs w:val="22"/>
          <w:lang w:val="es-ES_tradnl"/>
        </w:rPr>
        <w:t xml:space="preserve">responde </w:t>
      </w:r>
      <w:r w:rsidR="00F753B5" w:rsidRPr="00F213E7">
        <w:rPr>
          <w:rFonts w:ascii="Arial" w:eastAsia="Calibri" w:hAnsi="Arial" w:cs="Arial"/>
          <w:sz w:val="22"/>
          <w:szCs w:val="22"/>
          <w:lang w:val="es-MX"/>
        </w:rPr>
        <w:t xml:space="preserve">su consulta del </w:t>
      </w:r>
      <w:r w:rsidR="00770C28" w:rsidRPr="00F213E7">
        <w:rPr>
          <w:rFonts w:ascii="Arial" w:eastAsia="Calibri" w:hAnsi="Arial" w:cs="Arial"/>
          <w:sz w:val="22"/>
          <w:szCs w:val="22"/>
          <w:lang w:val="es-MX"/>
        </w:rPr>
        <w:t>1</w:t>
      </w:r>
      <w:r w:rsidR="00011EBC">
        <w:rPr>
          <w:rFonts w:ascii="Arial" w:eastAsia="Calibri" w:hAnsi="Arial" w:cs="Arial"/>
          <w:sz w:val="22"/>
          <w:szCs w:val="22"/>
          <w:lang w:val="es-MX"/>
        </w:rPr>
        <w:t>9</w:t>
      </w:r>
      <w:r w:rsidR="00770C28" w:rsidRPr="00F213E7">
        <w:rPr>
          <w:rFonts w:ascii="Arial" w:eastAsia="Calibri" w:hAnsi="Arial" w:cs="Arial"/>
          <w:sz w:val="22"/>
          <w:szCs w:val="22"/>
          <w:lang w:val="es-MX"/>
        </w:rPr>
        <w:t xml:space="preserve"> d</w:t>
      </w:r>
      <w:r w:rsidR="00F753B5" w:rsidRPr="00F213E7">
        <w:rPr>
          <w:rFonts w:ascii="Arial" w:eastAsia="Calibri" w:hAnsi="Arial" w:cs="Arial"/>
          <w:sz w:val="22"/>
          <w:szCs w:val="22"/>
          <w:lang w:val="es-MX"/>
        </w:rPr>
        <w:t xml:space="preserve">e </w:t>
      </w:r>
      <w:r w:rsidR="00011EBC">
        <w:rPr>
          <w:rFonts w:ascii="Arial" w:eastAsia="Calibri" w:hAnsi="Arial" w:cs="Arial"/>
          <w:sz w:val="22"/>
          <w:szCs w:val="22"/>
          <w:lang w:val="es-MX"/>
        </w:rPr>
        <w:t>agosto</w:t>
      </w:r>
      <w:r w:rsidR="00F753B5" w:rsidRPr="00F213E7">
        <w:rPr>
          <w:rFonts w:ascii="Arial" w:eastAsia="Calibri" w:hAnsi="Arial" w:cs="Arial"/>
          <w:sz w:val="22"/>
          <w:szCs w:val="22"/>
          <w:lang w:val="es-MX"/>
        </w:rPr>
        <w:t xml:space="preserve"> del año 2021</w:t>
      </w:r>
      <w:r w:rsidR="008C3C57" w:rsidRPr="00F213E7">
        <w:rPr>
          <w:rFonts w:ascii="Arial" w:eastAsia="Calibri" w:hAnsi="Arial" w:cs="Arial"/>
          <w:color w:val="000000" w:themeColor="text1"/>
          <w:sz w:val="22"/>
          <w:szCs w:val="22"/>
          <w:lang w:val="es-ES_tradnl"/>
        </w:rPr>
        <w:t>.</w:t>
      </w:r>
    </w:p>
    <w:p w14:paraId="0C1E0712" w14:textId="77777777" w:rsidR="00DD5B04" w:rsidRPr="00F213E7"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F213E7"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F213E7">
        <w:rPr>
          <w:rFonts w:ascii="Arial" w:eastAsia="Calibri" w:hAnsi="Arial" w:cs="Arial"/>
          <w:b/>
          <w:color w:val="000000" w:themeColor="text1"/>
          <w:sz w:val="22"/>
          <w:lang w:val="es-ES_tradnl"/>
        </w:rPr>
        <w:t xml:space="preserve">Problema planteado </w:t>
      </w:r>
    </w:p>
    <w:p w14:paraId="224B43D3" w14:textId="77777777" w:rsidR="00DD5B04" w:rsidRPr="00F213E7"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E1FF7FE" w:rsidR="00443B55" w:rsidRPr="00F213E7" w:rsidRDefault="00A108BC" w:rsidP="0099583D">
      <w:pPr>
        <w:spacing w:line="276" w:lineRule="auto"/>
        <w:jc w:val="both"/>
        <w:rPr>
          <w:rFonts w:ascii="Arial" w:hAnsi="Arial" w:cs="Arial"/>
          <w:color w:val="000000" w:themeColor="text1"/>
          <w:sz w:val="22"/>
          <w:lang w:val="es-ES_tradnl"/>
        </w:rPr>
      </w:pPr>
      <w:r w:rsidRPr="00F213E7">
        <w:rPr>
          <w:rFonts w:ascii="Arial" w:hAnsi="Arial" w:cs="Arial"/>
          <w:color w:val="000000" w:themeColor="text1"/>
          <w:sz w:val="22"/>
          <w:lang w:val="es-ES_tradnl"/>
        </w:rPr>
        <w:t xml:space="preserve">Con fundamento en el Decreto 579 de 2021, </w:t>
      </w:r>
      <w:r w:rsidR="00EB5001" w:rsidRPr="00F213E7">
        <w:rPr>
          <w:rFonts w:ascii="Arial" w:hAnsi="Arial" w:cs="Arial"/>
          <w:color w:val="000000" w:themeColor="text1"/>
          <w:sz w:val="22"/>
          <w:lang w:val="es-ES_tradnl"/>
        </w:rPr>
        <w:t>u</w:t>
      </w:r>
      <w:r w:rsidR="00DD5B04" w:rsidRPr="00F213E7">
        <w:rPr>
          <w:rFonts w:ascii="Arial" w:hAnsi="Arial" w:cs="Arial"/>
          <w:color w:val="000000" w:themeColor="text1"/>
          <w:sz w:val="22"/>
          <w:lang w:val="es-ES_tradnl"/>
        </w:rPr>
        <w:t>sted</w:t>
      </w:r>
      <w:r w:rsidR="009A1B98" w:rsidRPr="00F213E7">
        <w:rPr>
          <w:rFonts w:ascii="Arial" w:hAnsi="Arial" w:cs="Arial"/>
          <w:color w:val="000000" w:themeColor="text1"/>
          <w:sz w:val="22"/>
          <w:lang w:val="es-ES_tradnl"/>
        </w:rPr>
        <w:t xml:space="preserve"> </w:t>
      </w:r>
      <w:r w:rsidR="00B422C0" w:rsidRPr="00F213E7">
        <w:rPr>
          <w:rFonts w:ascii="Arial" w:hAnsi="Arial" w:cs="Arial"/>
          <w:color w:val="000000" w:themeColor="text1"/>
          <w:sz w:val="22"/>
          <w:lang w:val="es-ES_tradnl"/>
        </w:rPr>
        <w:t>formula</w:t>
      </w:r>
      <w:r w:rsidR="009A1B98" w:rsidRPr="00F213E7">
        <w:rPr>
          <w:rFonts w:ascii="Arial" w:hAnsi="Arial" w:cs="Arial"/>
          <w:color w:val="000000" w:themeColor="text1"/>
          <w:sz w:val="22"/>
          <w:lang w:val="es-ES_tradnl"/>
        </w:rPr>
        <w:t xml:space="preserve"> </w:t>
      </w:r>
      <w:r w:rsidR="006D46A3" w:rsidRPr="00F213E7">
        <w:rPr>
          <w:rFonts w:ascii="Arial" w:hAnsi="Arial" w:cs="Arial"/>
          <w:color w:val="000000" w:themeColor="text1"/>
          <w:sz w:val="22"/>
          <w:lang w:val="es-ES_tradnl"/>
        </w:rPr>
        <w:t>l</w:t>
      </w:r>
      <w:r w:rsidR="00EB5001" w:rsidRPr="00F213E7">
        <w:rPr>
          <w:rFonts w:ascii="Arial" w:hAnsi="Arial" w:cs="Arial"/>
          <w:color w:val="000000" w:themeColor="text1"/>
          <w:sz w:val="22"/>
          <w:lang w:val="es-ES_tradnl"/>
        </w:rPr>
        <w:t>as siguientes preguntas</w:t>
      </w:r>
      <w:r w:rsidR="00637A68" w:rsidRPr="00F213E7">
        <w:rPr>
          <w:rFonts w:ascii="Arial" w:hAnsi="Arial" w:cs="Arial"/>
          <w:color w:val="000000" w:themeColor="text1"/>
          <w:sz w:val="22"/>
          <w:lang w:val="es-ES_tradnl"/>
        </w:rPr>
        <w:t>:</w:t>
      </w:r>
      <w:r w:rsidR="007E18DF" w:rsidRPr="00F213E7">
        <w:rPr>
          <w:rFonts w:ascii="Arial" w:hAnsi="Arial" w:cs="Arial"/>
          <w:color w:val="000000" w:themeColor="text1"/>
          <w:sz w:val="22"/>
          <w:lang w:val="es-ES_tradnl"/>
        </w:rPr>
        <w:t xml:space="preserve"> </w:t>
      </w:r>
    </w:p>
    <w:p w14:paraId="0EFF22FD" w14:textId="29C14488" w:rsidR="00D23001" w:rsidRPr="00F213E7" w:rsidRDefault="00D23001" w:rsidP="00D23001">
      <w:pPr>
        <w:tabs>
          <w:tab w:val="left" w:pos="2891"/>
        </w:tabs>
        <w:spacing w:line="276" w:lineRule="auto"/>
        <w:jc w:val="both"/>
        <w:rPr>
          <w:rFonts w:ascii="Arial" w:hAnsi="Arial" w:cs="Arial"/>
          <w:color w:val="000000" w:themeColor="text1"/>
          <w:sz w:val="22"/>
          <w:lang w:val="es-ES_tradnl"/>
        </w:rPr>
      </w:pPr>
    </w:p>
    <w:p w14:paraId="3A4825D1" w14:textId="057FA634" w:rsidR="003208AA" w:rsidRPr="003208AA" w:rsidRDefault="003208AA" w:rsidP="00292D8F">
      <w:pPr>
        <w:spacing w:after="120"/>
        <w:ind w:left="709" w:right="709"/>
        <w:jc w:val="both"/>
        <w:rPr>
          <w:rFonts w:ascii="Arial" w:hAnsi="Arial" w:cs="Arial"/>
          <w:color w:val="000000" w:themeColor="text1"/>
          <w:sz w:val="21"/>
          <w:szCs w:val="21"/>
          <w:lang w:val="es-ES_tradnl"/>
        </w:rPr>
      </w:pPr>
      <w:r w:rsidRPr="003208AA">
        <w:rPr>
          <w:rFonts w:ascii="Arial" w:hAnsi="Arial" w:cs="Arial"/>
          <w:color w:val="000000" w:themeColor="text1"/>
          <w:sz w:val="21"/>
          <w:szCs w:val="21"/>
          <w:lang w:val="es-ES_tradnl"/>
        </w:rPr>
        <w:t>»1. ¿Se escogen los indicadores de los últimos tres años en forma aislada, esto es, tomo 2 de los mejores indicadores del año 2018 y 3 indicadores del año 2020?</w:t>
      </w:r>
    </w:p>
    <w:p w14:paraId="0C2D6523" w14:textId="0CF45A4D" w:rsidR="00706F8E" w:rsidRDefault="003208AA" w:rsidP="003208AA">
      <w:pPr>
        <w:ind w:left="709" w:right="709"/>
        <w:jc w:val="both"/>
        <w:rPr>
          <w:rFonts w:ascii="Arial" w:hAnsi="Arial" w:cs="Arial"/>
          <w:color w:val="000000" w:themeColor="text1"/>
          <w:sz w:val="21"/>
          <w:szCs w:val="21"/>
          <w:lang w:val="es-ES_tradnl"/>
        </w:rPr>
      </w:pPr>
      <w:r w:rsidRPr="003208AA">
        <w:rPr>
          <w:rFonts w:ascii="Arial" w:hAnsi="Arial" w:cs="Arial"/>
          <w:color w:val="000000" w:themeColor="text1"/>
          <w:sz w:val="21"/>
          <w:szCs w:val="21"/>
          <w:lang w:val="es-ES_tradnl"/>
        </w:rPr>
        <w:t xml:space="preserve">»2. ¿Se escoge los mejores indicadores de los últimos tres años en bloque, a pesar pueda darse un escenario que 3 indicadores sean los mejores para el año </w:t>
      </w:r>
      <w:r w:rsidRPr="003208AA">
        <w:rPr>
          <w:rFonts w:ascii="Arial" w:hAnsi="Arial" w:cs="Arial"/>
          <w:color w:val="000000" w:themeColor="text1"/>
          <w:sz w:val="21"/>
          <w:szCs w:val="21"/>
          <w:lang w:val="es-ES_tradnl"/>
        </w:rPr>
        <w:lastRenderedPageBreak/>
        <w:t>2018 y 2 sean los mejores para el año 2018 y 2 sean los mejores para el año 2019, en ese caso se puede concluir que el mejor año fiscal sea el año 2018 por cuanto agrupa la mayoría de los indicadores más positivos?</w:t>
      </w:r>
    </w:p>
    <w:p w14:paraId="1538F645" w14:textId="77777777" w:rsidR="003208AA" w:rsidRPr="00F213E7" w:rsidRDefault="003208AA" w:rsidP="003208AA">
      <w:pPr>
        <w:ind w:right="709"/>
        <w:jc w:val="both"/>
        <w:rPr>
          <w:rFonts w:ascii="Arial" w:hAnsi="Arial" w:cs="Arial"/>
          <w:color w:val="000000" w:themeColor="text1"/>
          <w:sz w:val="21"/>
          <w:szCs w:val="21"/>
          <w:lang w:val="es-ES_tradnl"/>
        </w:rPr>
      </w:pPr>
    </w:p>
    <w:p w14:paraId="45D2B05B" w14:textId="4F1FC180" w:rsidR="003A148D" w:rsidRPr="00F213E7" w:rsidRDefault="00DD5B04" w:rsidP="003A148D">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F213E7">
        <w:rPr>
          <w:rFonts w:ascii="Arial" w:eastAsia="Calibri" w:hAnsi="Arial" w:cs="Arial"/>
          <w:b/>
          <w:color w:val="000000" w:themeColor="text1"/>
          <w:sz w:val="22"/>
          <w:lang w:val="es-ES_tradnl"/>
        </w:rPr>
        <w:t>Consideraciones</w:t>
      </w:r>
    </w:p>
    <w:p w14:paraId="104F323B" w14:textId="77777777" w:rsidR="003A148D" w:rsidRPr="00F213E7" w:rsidRDefault="003A148D" w:rsidP="003A148D">
      <w:pPr>
        <w:pStyle w:val="Prrafodelista"/>
        <w:tabs>
          <w:tab w:val="left" w:pos="0"/>
          <w:tab w:val="left" w:pos="284"/>
        </w:tabs>
        <w:ind w:left="0"/>
        <w:jc w:val="both"/>
        <w:rPr>
          <w:rFonts w:ascii="Arial" w:eastAsia="Calibri" w:hAnsi="Arial" w:cs="Arial"/>
          <w:b/>
          <w:color w:val="000000" w:themeColor="text1"/>
          <w:sz w:val="22"/>
          <w:lang w:val="es-ES_tradnl"/>
        </w:rPr>
      </w:pPr>
    </w:p>
    <w:p w14:paraId="62BBD876" w14:textId="2223C8FD" w:rsidR="003208AA" w:rsidRPr="003208AA" w:rsidRDefault="003208AA" w:rsidP="000D3D00">
      <w:pPr>
        <w:spacing w:after="120" w:line="276" w:lineRule="auto"/>
        <w:jc w:val="both"/>
        <w:rPr>
          <w:rFonts w:ascii="Arial" w:hAnsi="Arial" w:cs="Arial"/>
          <w:color w:val="000000" w:themeColor="text1"/>
          <w:sz w:val="22"/>
          <w:szCs w:val="22"/>
          <w:lang w:val="es-ES_tradnl"/>
        </w:rPr>
      </w:pPr>
      <w:r w:rsidRPr="003208AA">
        <w:rPr>
          <w:rFonts w:ascii="Arial" w:hAnsi="Arial" w:cs="Arial"/>
          <w:color w:val="000000" w:themeColor="text1"/>
          <w:sz w:val="22"/>
          <w:szCs w:val="22"/>
          <w:lang w:val="es-ES_tradnl"/>
        </w:rPr>
        <w:t xml:space="preserve">Para resolver esta consulta se analizarán los siguientes temas: i) requisitos habilitantes de capacidad financiera y organizacional y </w:t>
      </w:r>
      <w:proofErr w:type="spellStart"/>
      <w:r w:rsidRPr="003208AA">
        <w:rPr>
          <w:rFonts w:ascii="Arial" w:hAnsi="Arial" w:cs="Arial"/>
          <w:color w:val="000000" w:themeColor="text1"/>
          <w:sz w:val="22"/>
          <w:szCs w:val="22"/>
          <w:lang w:val="es-ES_tradnl"/>
        </w:rPr>
        <w:t>ii</w:t>
      </w:r>
      <w:proofErr w:type="spellEnd"/>
      <w:r w:rsidRPr="003208AA">
        <w:rPr>
          <w:rFonts w:ascii="Arial" w:hAnsi="Arial" w:cs="Arial"/>
          <w:color w:val="000000" w:themeColor="text1"/>
          <w:sz w:val="22"/>
          <w:szCs w:val="22"/>
          <w:lang w:val="es-ES_tradnl"/>
        </w:rPr>
        <w:t xml:space="preserve">) verificación de la capacidad financiera y organizacional, </w:t>
      </w:r>
      <w:r w:rsidR="00692958">
        <w:rPr>
          <w:rFonts w:ascii="Arial" w:hAnsi="Arial" w:cs="Arial"/>
          <w:color w:val="000000" w:themeColor="text1"/>
          <w:sz w:val="22"/>
          <w:szCs w:val="22"/>
          <w:lang w:val="es-ES_tradnl"/>
        </w:rPr>
        <w:t>de acuerdo con</w:t>
      </w:r>
      <w:r w:rsidRPr="003208AA">
        <w:rPr>
          <w:rFonts w:ascii="Arial" w:hAnsi="Arial" w:cs="Arial"/>
          <w:color w:val="000000" w:themeColor="text1"/>
          <w:sz w:val="22"/>
          <w:szCs w:val="22"/>
          <w:lang w:val="es-ES_tradnl"/>
        </w:rPr>
        <w:t xml:space="preserve"> los Decretos 399 y 579 de 2021.  </w:t>
      </w:r>
    </w:p>
    <w:p w14:paraId="6DEA07DF" w14:textId="45F87EAE" w:rsidR="00485A9E" w:rsidRDefault="003208AA" w:rsidP="00DF7CAB">
      <w:pPr>
        <w:spacing w:line="276" w:lineRule="auto"/>
        <w:jc w:val="both"/>
        <w:rPr>
          <w:rFonts w:ascii="Arial" w:hAnsi="Arial" w:cs="Arial"/>
          <w:color w:val="000000" w:themeColor="text1"/>
          <w:sz w:val="22"/>
          <w:szCs w:val="22"/>
          <w:lang w:val="es-ES_tradnl"/>
        </w:rPr>
      </w:pPr>
      <w:r w:rsidRPr="003208AA">
        <w:rPr>
          <w:rFonts w:ascii="Arial" w:hAnsi="Arial" w:cs="Arial"/>
          <w:color w:val="000000" w:themeColor="text1"/>
          <w:sz w:val="22"/>
          <w:szCs w:val="22"/>
          <w:lang w:val="es-ES_tradnl"/>
        </w:rPr>
        <w:t>La Agencia Nacional de Contratación Pública – Colombia Compra Eficiente se ha pronunciado sobre la acreditación de los indicadores de capacidad financiera y organizacional en el RUP, en los conceptos C-002 del 12 de febrero de 2020, C-089 del 4 de marzo de 2020, C-099 del 06 de abril de 2020, C-166 del 14 de abril de 2020, C-233 del 16 de abril de 2020, C-326 del 9 de junio de 2020 y C-140 del 9 de abril de 2021. Adicionalmente, en los conceptos C-288 del 17 de junio de 2021, C-353 del 19 de julio de 2021, C-366 del 26 de julio de 2021</w:t>
      </w:r>
      <w:r w:rsidR="0007686F">
        <w:rPr>
          <w:rFonts w:ascii="Arial" w:hAnsi="Arial" w:cs="Arial"/>
          <w:color w:val="000000" w:themeColor="text1"/>
          <w:sz w:val="22"/>
          <w:szCs w:val="22"/>
          <w:lang w:val="es-ES_tradnl"/>
        </w:rPr>
        <w:t xml:space="preserve">, </w:t>
      </w:r>
      <w:r w:rsidRPr="003208AA">
        <w:rPr>
          <w:rFonts w:ascii="Arial" w:hAnsi="Arial" w:cs="Arial"/>
          <w:color w:val="000000" w:themeColor="text1"/>
          <w:sz w:val="22"/>
          <w:szCs w:val="22"/>
          <w:lang w:val="es-ES_tradnl"/>
        </w:rPr>
        <w:t>C-372 del 28 de julio de 2021</w:t>
      </w:r>
      <w:r w:rsidR="0007686F">
        <w:rPr>
          <w:rFonts w:ascii="Arial" w:hAnsi="Arial" w:cs="Arial"/>
          <w:color w:val="000000" w:themeColor="text1"/>
          <w:sz w:val="22"/>
          <w:szCs w:val="22"/>
          <w:lang w:val="es-ES_tradnl"/>
        </w:rPr>
        <w:t>, C-504 del 16 de septiembre de 2021, C- 516 del 22 de septiembre de 2021 y C-527 del 23 de septiembre de 202</w:t>
      </w:r>
      <w:r w:rsidR="00400DD2">
        <w:rPr>
          <w:rFonts w:ascii="Arial" w:hAnsi="Arial" w:cs="Arial"/>
          <w:color w:val="000000" w:themeColor="text1"/>
          <w:sz w:val="22"/>
          <w:szCs w:val="22"/>
          <w:lang w:val="es-ES_tradnl"/>
        </w:rPr>
        <w:t>1</w:t>
      </w:r>
      <w:r w:rsidRPr="003208AA">
        <w:rPr>
          <w:rFonts w:ascii="Arial" w:hAnsi="Arial" w:cs="Arial"/>
          <w:color w:val="000000" w:themeColor="text1"/>
          <w:sz w:val="22"/>
          <w:szCs w:val="22"/>
          <w:lang w:val="es-ES_tradnl"/>
        </w:rPr>
        <w:t>, se efectuó el análisis teniendo en cuenta las modificaciones introducidas mediante los Decretos 399 y 579 de 2021. Algunas de las consideraciones de estos conceptos se reiteran y complementan a continuación.</w:t>
      </w:r>
    </w:p>
    <w:p w14:paraId="45CA98AA" w14:textId="77777777" w:rsidR="007A32BC" w:rsidRPr="007A32BC" w:rsidRDefault="007A32BC" w:rsidP="007A32BC">
      <w:pPr>
        <w:spacing w:line="276" w:lineRule="auto"/>
        <w:ind w:firstLine="709"/>
        <w:jc w:val="both"/>
        <w:rPr>
          <w:rFonts w:ascii="Arial" w:hAnsi="Arial" w:cs="Arial"/>
          <w:color w:val="000000" w:themeColor="text1"/>
          <w:sz w:val="22"/>
          <w:szCs w:val="22"/>
          <w:lang w:val="es-ES_tradnl"/>
        </w:rPr>
      </w:pPr>
    </w:p>
    <w:p w14:paraId="0868A0CE" w14:textId="5612A5DE" w:rsidR="002F0732" w:rsidRPr="00F213E7" w:rsidRDefault="002F0732" w:rsidP="00196F1D">
      <w:pPr>
        <w:spacing w:line="276" w:lineRule="auto"/>
        <w:jc w:val="both"/>
        <w:rPr>
          <w:rFonts w:ascii="Arial" w:eastAsia="Calibri" w:hAnsi="Arial" w:cs="Arial"/>
          <w:color w:val="000000" w:themeColor="text1"/>
          <w:sz w:val="22"/>
          <w:szCs w:val="22"/>
          <w:lang w:val="es-ES_tradnl"/>
        </w:rPr>
      </w:pPr>
      <w:r w:rsidRPr="00F213E7">
        <w:rPr>
          <w:rFonts w:ascii="Arial" w:eastAsia="Calibri" w:hAnsi="Arial" w:cs="Arial"/>
          <w:b/>
          <w:bCs/>
          <w:color w:val="000000" w:themeColor="text1"/>
          <w:sz w:val="22"/>
          <w:szCs w:val="22"/>
          <w:lang w:val="es-ES_tradnl"/>
        </w:rPr>
        <w:t xml:space="preserve">2.1. </w:t>
      </w:r>
      <w:r w:rsidR="00FD4775" w:rsidRPr="00F213E7">
        <w:rPr>
          <w:rFonts w:ascii="Arial" w:eastAsia="Calibri" w:hAnsi="Arial" w:cs="Arial"/>
          <w:b/>
          <w:color w:val="000000" w:themeColor="text1"/>
          <w:sz w:val="22"/>
          <w:lang w:val="es-ES_tradnl"/>
        </w:rPr>
        <w:t xml:space="preserve">Requisitos habilitantes de capacidad financiera y organizacional </w:t>
      </w:r>
    </w:p>
    <w:p w14:paraId="00873D56" w14:textId="77777777" w:rsidR="003E2F16" w:rsidRPr="00F213E7" w:rsidRDefault="003E2F16" w:rsidP="003E2F16">
      <w:pPr>
        <w:tabs>
          <w:tab w:val="left" w:pos="426"/>
        </w:tabs>
        <w:spacing w:line="276" w:lineRule="auto"/>
        <w:jc w:val="both"/>
        <w:rPr>
          <w:rFonts w:ascii="Arial" w:eastAsia="Calibri" w:hAnsi="Arial" w:cs="Arial"/>
          <w:b/>
          <w:color w:val="000000" w:themeColor="text1"/>
          <w:sz w:val="22"/>
          <w:lang w:val="es-ES_tradnl"/>
        </w:rPr>
      </w:pPr>
    </w:p>
    <w:p w14:paraId="2F4E38F4" w14:textId="22890589" w:rsidR="00196F1D" w:rsidRDefault="008E6917" w:rsidP="004867EB">
      <w:pPr>
        <w:spacing w:after="120" w:line="276" w:lineRule="auto"/>
        <w:jc w:val="both"/>
        <w:rPr>
          <w:rFonts w:ascii="Arial" w:eastAsia="Calibri" w:hAnsi="Arial" w:cs="Arial"/>
          <w:color w:val="000000" w:themeColor="text1"/>
          <w:sz w:val="22"/>
          <w:lang w:val="es-ES_tradnl"/>
        </w:rPr>
      </w:pPr>
      <w:r>
        <w:rPr>
          <w:rFonts w:ascii="Arial" w:hAnsi="Arial" w:cs="Arial"/>
          <w:color w:val="000000"/>
          <w:sz w:val="22"/>
          <w:szCs w:val="22"/>
          <w:shd w:val="clear" w:color="auto" w:fill="FFFFFF"/>
          <w:lang w:eastAsia="es-CO"/>
        </w:rPr>
        <w:t>Las entidades estatales, en cumplimiento d</w:t>
      </w:r>
      <w:r w:rsidR="00196F1D">
        <w:rPr>
          <w:rFonts w:ascii="Arial" w:hAnsi="Arial" w:cs="Arial"/>
          <w:color w:val="000000"/>
          <w:sz w:val="22"/>
          <w:szCs w:val="22"/>
          <w:shd w:val="clear" w:color="auto" w:fill="FFFFFF"/>
          <w:lang w:eastAsia="es-CO"/>
        </w:rPr>
        <w:t xml:space="preserve">el deber de análisis que </w:t>
      </w:r>
      <w:r>
        <w:rPr>
          <w:rFonts w:ascii="Arial" w:hAnsi="Arial" w:cs="Arial"/>
          <w:color w:val="000000"/>
          <w:sz w:val="22"/>
          <w:szCs w:val="22"/>
          <w:shd w:val="clear" w:color="auto" w:fill="FFFFFF"/>
          <w:lang w:eastAsia="es-CO"/>
        </w:rPr>
        <w:t xml:space="preserve"> les </w:t>
      </w:r>
      <w:r w:rsidR="00196F1D">
        <w:rPr>
          <w:rFonts w:ascii="Arial" w:hAnsi="Arial" w:cs="Arial"/>
          <w:color w:val="000000"/>
          <w:sz w:val="22"/>
          <w:szCs w:val="22"/>
          <w:shd w:val="clear" w:color="auto" w:fill="FFFFFF"/>
          <w:lang w:eastAsia="es-CO"/>
        </w:rPr>
        <w:t>compete</w:t>
      </w:r>
      <w:r>
        <w:rPr>
          <w:rFonts w:ascii="Arial" w:hAnsi="Arial" w:cs="Arial"/>
          <w:color w:val="000000"/>
          <w:sz w:val="22"/>
          <w:szCs w:val="22"/>
          <w:shd w:val="clear" w:color="auto" w:fill="FFFFFF"/>
          <w:lang w:eastAsia="es-CO"/>
        </w:rPr>
        <w:t xml:space="preserve">, de acuerdo con </w:t>
      </w:r>
      <w:r w:rsidR="00196F1D">
        <w:rPr>
          <w:rFonts w:ascii="Arial" w:hAnsi="Arial" w:cs="Arial"/>
          <w:color w:val="000000"/>
          <w:sz w:val="22"/>
          <w:szCs w:val="22"/>
          <w:shd w:val="clear" w:color="auto" w:fill="FFFFFF"/>
          <w:lang w:eastAsia="es-CO"/>
        </w:rPr>
        <w:t xml:space="preserve">lo previsto en el artículo   </w:t>
      </w:r>
      <w:r w:rsidR="00196F1D" w:rsidRPr="008926D5">
        <w:rPr>
          <w:rFonts w:ascii="Arial" w:hAnsi="Arial" w:cs="Arial"/>
          <w:color w:val="000000"/>
          <w:sz w:val="22"/>
          <w:szCs w:val="22"/>
          <w:shd w:val="clear" w:color="auto" w:fill="FFFFFF"/>
          <w:lang w:eastAsia="es-CO"/>
        </w:rPr>
        <w:t>2.2.1.1.1.6.1 del Decreto 1082 del 2015</w:t>
      </w:r>
      <w:r w:rsidR="00196F1D">
        <w:rPr>
          <w:rFonts w:ascii="Arial" w:hAnsi="Arial" w:cs="Arial"/>
          <w:color w:val="000000"/>
          <w:sz w:val="22"/>
          <w:szCs w:val="22"/>
          <w:shd w:val="clear" w:color="auto" w:fill="FFFFFF"/>
          <w:lang w:eastAsia="es-CO"/>
        </w:rPr>
        <w:t xml:space="preserve">, </w:t>
      </w:r>
      <w:r>
        <w:rPr>
          <w:rFonts w:ascii="Arial" w:hAnsi="Arial" w:cs="Arial"/>
          <w:color w:val="000000"/>
          <w:sz w:val="22"/>
          <w:szCs w:val="22"/>
          <w:shd w:val="clear" w:color="auto" w:fill="FFFFFF"/>
          <w:lang w:eastAsia="es-CO"/>
        </w:rPr>
        <w:t>deben establecer unos requisitos</w:t>
      </w:r>
      <w:r w:rsidR="00196F1D" w:rsidRPr="00F213E7">
        <w:rPr>
          <w:rFonts w:ascii="Arial" w:eastAsia="Calibri" w:hAnsi="Arial" w:cs="Arial"/>
          <w:color w:val="000000" w:themeColor="text1"/>
          <w:sz w:val="22"/>
          <w:lang w:val="es-ES_tradnl"/>
        </w:rPr>
        <w:t xml:space="preserve"> mínimos</w:t>
      </w:r>
      <w:r>
        <w:rPr>
          <w:rFonts w:ascii="Arial" w:eastAsia="Calibri" w:hAnsi="Arial" w:cs="Arial"/>
          <w:color w:val="000000" w:themeColor="text1"/>
          <w:sz w:val="22"/>
          <w:lang w:val="es-ES_tradnl"/>
        </w:rPr>
        <w:t xml:space="preserve"> para los proponentes, </w:t>
      </w:r>
      <w:r w:rsidR="003D3B55" w:rsidRPr="00F213E7">
        <w:rPr>
          <w:rFonts w:ascii="Arial" w:hAnsi="Arial" w:cs="Arial"/>
          <w:sz w:val="22"/>
          <w:szCs w:val="22"/>
        </w:rPr>
        <w:t>especialmente en</w:t>
      </w:r>
      <w:r w:rsidR="003D3B55">
        <w:rPr>
          <w:rFonts w:ascii="Arial" w:hAnsi="Arial" w:cs="Arial"/>
          <w:sz w:val="22"/>
          <w:szCs w:val="22"/>
        </w:rPr>
        <w:t xml:space="preserve"> lo</w:t>
      </w:r>
      <w:r w:rsidR="003D3B55" w:rsidRPr="00F213E7">
        <w:rPr>
          <w:rFonts w:ascii="Arial" w:hAnsi="Arial" w:cs="Arial"/>
          <w:sz w:val="22"/>
          <w:szCs w:val="22"/>
        </w:rPr>
        <w:t xml:space="preserve"> </w:t>
      </w:r>
      <w:r w:rsidR="003D3B55">
        <w:rPr>
          <w:rFonts w:ascii="Arial" w:hAnsi="Arial" w:cs="Arial"/>
          <w:sz w:val="22"/>
          <w:szCs w:val="22"/>
        </w:rPr>
        <w:t xml:space="preserve">relacionado con </w:t>
      </w:r>
      <w:r w:rsidR="003D3B55" w:rsidRPr="00F213E7">
        <w:rPr>
          <w:rFonts w:ascii="Arial" w:hAnsi="Arial" w:cs="Arial"/>
          <w:sz w:val="22"/>
          <w:szCs w:val="22"/>
        </w:rPr>
        <w:t>los indicadores que determinarán la capacidad financiera y organizacional, así como la forma en la que se efectuará la evaluación de estos aspectos, permitiendo que los posibles oferentes conozcan</w:t>
      </w:r>
      <w:r w:rsidR="0051102C">
        <w:rPr>
          <w:rFonts w:ascii="Arial" w:hAnsi="Arial" w:cs="Arial"/>
          <w:sz w:val="22"/>
          <w:szCs w:val="22"/>
        </w:rPr>
        <w:t>,</w:t>
      </w:r>
      <w:r w:rsidR="003D3B55" w:rsidRPr="00F213E7">
        <w:rPr>
          <w:rFonts w:ascii="Arial" w:hAnsi="Arial" w:cs="Arial"/>
          <w:sz w:val="22"/>
          <w:szCs w:val="22"/>
        </w:rPr>
        <w:t xml:space="preserve"> como es debido, la totalidad de las condiciones que regirán el procedimiento de selección y que permitirán </w:t>
      </w:r>
      <w:r w:rsidR="0051102C">
        <w:rPr>
          <w:rFonts w:ascii="Arial" w:eastAsia="Calibri" w:hAnsi="Arial" w:cs="Arial"/>
          <w:color w:val="000000" w:themeColor="text1"/>
          <w:sz w:val="22"/>
          <w:lang w:val="es-ES_tradnl"/>
        </w:rPr>
        <w:t xml:space="preserve">verificar </w:t>
      </w:r>
      <w:r w:rsidR="0051102C" w:rsidRPr="00F213E7">
        <w:rPr>
          <w:rFonts w:ascii="Arial" w:eastAsia="Calibri" w:hAnsi="Arial" w:cs="Arial"/>
          <w:color w:val="000000" w:themeColor="text1"/>
          <w:sz w:val="22"/>
          <w:lang w:val="es-ES_tradnl"/>
        </w:rPr>
        <w:t xml:space="preserve">su aptitud para participar en el </w:t>
      </w:r>
      <w:r w:rsidR="0051102C">
        <w:rPr>
          <w:rFonts w:ascii="Arial" w:eastAsia="Calibri" w:hAnsi="Arial" w:cs="Arial"/>
          <w:color w:val="000000" w:themeColor="text1"/>
          <w:sz w:val="22"/>
          <w:lang w:val="es-ES_tradnl"/>
        </w:rPr>
        <w:t>en el mismo,</w:t>
      </w:r>
      <w:r w:rsidR="0051102C" w:rsidRPr="00F213E7">
        <w:rPr>
          <w:rFonts w:ascii="Arial" w:eastAsia="Calibri" w:hAnsi="Arial" w:cs="Arial"/>
          <w:color w:val="000000" w:themeColor="text1"/>
          <w:sz w:val="22"/>
          <w:lang w:val="es-ES_tradnl"/>
        </w:rPr>
        <w:t xml:space="preserve"> y, </w:t>
      </w:r>
      <w:r w:rsidR="0051102C">
        <w:rPr>
          <w:rFonts w:ascii="Arial" w:eastAsia="Calibri" w:hAnsi="Arial" w:cs="Arial"/>
          <w:color w:val="000000" w:themeColor="text1"/>
          <w:sz w:val="22"/>
          <w:lang w:val="es-ES_tradnl"/>
        </w:rPr>
        <w:t>de resultar adjudicatarios</w:t>
      </w:r>
      <w:r w:rsidR="0051102C" w:rsidRPr="00F213E7">
        <w:rPr>
          <w:rFonts w:ascii="Arial" w:eastAsia="Calibri" w:hAnsi="Arial" w:cs="Arial"/>
          <w:color w:val="000000" w:themeColor="text1"/>
          <w:sz w:val="22"/>
          <w:lang w:val="es-ES_tradnl"/>
        </w:rPr>
        <w:t>, ejecutar el contrato estatal</w:t>
      </w:r>
      <w:r w:rsidR="0051102C" w:rsidRPr="00F213E7">
        <w:rPr>
          <w:rStyle w:val="Refdenotaalpie"/>
          <w:rFonts w:ascii="Arial" w:eastAsia="Calibri" w:hAnsi="Arial" w:cs="Arial"/>
          <w:color w:val="000000" w:themeColor="text1"/>
          <w:sz w:val="22"/>
          <w:lang w:val="es-ES_tradnl"/>
        </w:rPr>
        <w:footnoteReference w:id="2"/>
      </w:r>
      <w:r w:rsidR="0051102C">
        <w:rPr>
          <w:rFonts w:ascii="Arial" w:eastAsia="Calibri" w:hAnsi="Arial" w:cs="Arial"/>
          <w:color w:val="000000" w:themeColor="text1"/>
          <w:sz w:val="22"/>
          <w:lang w:val="es-ES_tradnl"/>
        </w:rPr>
        <w:t>.</w:t>
      </w:r>
    </w:p>
    <w:p w14:paraId="032F5BB2" w14:textId="62DE64EF" w:rsidR="003E2F16" w:rsidRPr="00F213E7" w:rsidRDefault="00E841EC" w:rsidP="004867EB">
      <w:pPr>
        <w:spacing w:line="276" w:lineRule="auto"/>
        <w:ind w:firstLine="709"/>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lastRenderedPageBreak/>
        <w:t>D</w:t>
      </w:r>
      <w:r w:rsidR="003E2F16" w:rsidRPr="00F213E7">
        <w:rPr>
          <w:rFonts w:ascii="Arial" w:eastAsia="Calibri" w:hAnsi="Arial" w:cs="Arial"/>
          <w:color w:val="000000" w:themeColor="text1"/>
          <w:sz w:val="22"/>
          <w:lang w:val="es-ES_tradnl"/>
        </w:rPr>
        <w:t xml:space="preserve">entro </w:t>
      </w:r>
      <w:r w:rsidR="003544E7" w:rsidRPr="00F213E7">
        <w:rPr>
          <w:rFonts w:ascii="Arial" w:eastAsia="Calibri" w:hAnsi="Arial" w:cs="Arial"/>
          <w:color w:val="000000" w:themeColor="text1"/>
          <w:sz w:val="22"/>
          <w:lang w:val="es-ES_tradnl"/>
        </w:rPr>
        <w:t>de</w:t>
      </w:r>
      <w:r w:rsidR="00F11B30" w:rsidRPr="00F213E7">
        <w:rPr>
          <w:rFonts w:ascii="Arial" w:eastAsia="Calibri" w:hAnsi="Arial" w:cs="Arial"/>
          <w:color w:val="000000" w:themeColor="text1"/>
          <w:sz w:val="22"/>
          <w:lang w:val="es-ES_tradnl"/>
        </w:rPr>
        <w:t xml:space="preserve"> los requisitos habilitantes</w:t>
      </w:r>
      <w:r w:rsidR="003E2F16" w:rsidRPr="00F213E7">
        <w:rPr>
          <w:rFonts w:ascii="Arial" w:eastAsia="Calibri" w:hAnsi="Arial" w:cs="Arial"/>
          <w:color w:val="000000" w:themeColor="text1"/>
          <w:sz w:val="22"/>
          <w:lang w:val="es-ES_tradnl"/>
        </w:rPr>
        <w:t xml:space="preserve"> </w:t>
      </w:r>
      <w:r w:rsidR="0051102C">
        <w:rPr>
          <w:rFonts w:ascii="Arial" w:eastAsia="Calibri" w:hAnsi="Arial" w:cs="Arial"/>
          <w:color w:val="000000" w:themeColor="text1"/>
          <w:sz w:val="22"/>
          <w:lang w:val="es-ES_tradnl"/>
        </w:rPr>
        <w:t>establecidos en el artículo 5 de l</w:t>
      </w:r>
      <w:r w:rsidR="0051102C" w:rsidRPr="00F213E7">
        <w:rPr>
          <w:rFonts w:ascii="Arial" w:eastAsia="Calibri" w:hAnsi="Arial" w:cs="Arial"/>
          <w:color w:val="000000" w:themeColor="text1"/>
          <w:sz w:val="22"/>
          <w:lang w:val="es-ES_tradnl"/>
        </w:rPr>
        <w:t>a Ley 1150 de 2007</w:t>
      </w:r>
      <w:r w:rsidR="0051102C">
        <w:rPr>
          <w:rFonts w:ascii="Arial" w:eastAsia="Calibri" w:hAnsi="Arial" w:cs="Arial"/>
          <w:color w:val="000000" w:themeColor="text1"/>
          <w:sz w:val="22"/>
          <w:lang w:val="es-ES_tradnl"/>
        </w:rPr>
        <w:t xml:space="preserve">, </w:t>
      </w:r>
      <w:r w:rsidR="003E2F16" w:rsidRPr="00F213E7">
        <w:rPr>
          <w:rFonts w:ascii="Arial" w:eastAsia="Calibri" w:hAnsi="Arial" w:cs="Arial"/>
          <w:color w:val="000000" w:themeColor="text1"/>
          <w:sz w:val="22"/>
          <w:lang w:val="es-ES_tradnl"/>
        </w:rPr>
        <w:t>se destaca</w:t>
      </w:r>
      <w:r w:rsidR="004867EB">
        <w:rPr>
          <w:rFonts w:ascii="Arial" w:eastAsia="Calibri" w:hAnsi="Arial" w:cs="Arial"/>
          <w:color w:val="000000" w:themeColor="text1"/>
          <w:sz w:val="22"/>
          <w:lang w:val="es-ES_tradnl"/>
        </w:rPr>
        <w:t>n</w:t>
      </w:r>
      <w:r w:rsidR="003E2F16" w:rsidRPr="00F213E7">
        <w:rPr>
          <w:rFonts w:ascii="Arial" w:eastAsia="Calibri" w:hAnsi="Arial" w:cs="Arial"/>
          <w:color w:val="000000" w:themeColor="text1"/>
          <w:sz w:val="22"/>
          <w:lang w:val="es-ES_tradnl"/>
        </w:rPr>
        <w:t xml:space="preserve"> la </w:t>
      </w:r>
      <w:r w:rsidR="00920BA2" w:rsidRPr="00F213E7">
        <w:rPr>
          <w:rFonts w:ascii="Arial" w:eastAsia="Calibri" w:hAnsi="Arial" w:cs="Arial"/>
          <w:color w:val="000000" w:themeColor="text1"/>
          <w:sz w:val="22"/>
          <w:lang w:val="es-ES_tradnl"/>
        </w:rPr>
        <w:t>«</w:t>
      </w:r>
      <w:r w:rsidR="003E2F16" w:rsidRPr="00F213E7">
        <w:rPr>
          <w:rFonts w:ascii="Arial" w:eastAsia="Calibri" w:hAnsi="Arial" w:cs="Arial"/>
          <w:color w:val="000000" w:themeColor="text1"/>
          <w:sz w:val="22"/>
          <w:lang w:val="es-ES_tradnl"/>
        </w:rPr>
        <w:t>capacidad financiera</w:t>
      </w:r>
      <w:r w:rsidR="00920BA2" w:rsidRPr="00F213E7">
        <w:rPr>
          <w:rFonts w:ascii="Arial" w:eastAsia="Calibri" w:hAnsi="Arial" w:cs="Arial"/>
          <w:color w:val="000000" w:themeColor="text1"/>
          <w:sz w:val="22"/>
          <w:lang w:val="es-ES_tradnl"/>
        </w:rPr>
        <w:t>»</w:t>
      </w:r>
      <w:r w:rsidR="003E2F16" w:rsidRPr="00F213E7">
        <w:rPr>
          <w:rFonts w:ascii="Arial" w:eastAsia="Calibri" w:hAnsi="Arial" w:cs="Arial"/>
          <w:color w:val="000000" w:themeColor="text1"/>
          <w:sz w:val="22"/>
          <w:lang w:val="es-ES_tradnl"/>
        </w:rPr>
        <w:t xml:space="preserve"> y la </w:t>
      </w:r>
      <w:r w:rsidR="00920BA2" w:rsidRPr="00F213E7">
        <w:rPr>
          <w:rFonts w:ascii="Arial" w:eastAsia="Calibri" w:hAnsi="Arial" w:cs="Arial"/>
          <w:color w:val="000000" w:themeColor="text1"/>
          <w:sz w:val="22"/>
          <w:lang w:val="es-ES_tradnl"/>
        </w:rPr>
        <w:t>«</w:t>
      </w:r>
      <w:r w:rsidR="003E2F16" w:rsidRPr="00F213E7">
        <w:rPr>
          <w:rFonts w:ascii="Arial" w:eastAsia="Calibri" w:hAnsi="Arial" w:cs="Arial"/>
          <w:color w:val="000000" w:themeColor="text1"/>
          <w:sz w:val="22"/>
          <w:lang w:val="es-ES_tradnl"/>
        </w:rPr>
        <w:t>capacidad organizacional</w:t>
      </w:r>
      <w:r w:rsidR="00920BA2" w:rsidRPr="00F213E7">
        <w:rPr>
          <w:rFonts w:ascii="Arial" w:eastAsia="Calibri" w:hAnsi="Arial" w:cs="Arial"/>
          <w:color w:val="000000" w:themeColor="text1"/>
          <w:sz w:val="22"/>
          <w:lang w:val="es-ES_tradnl"/>
        </w:rPr>
        <w:t>»</w:t>
      </w:r>
      <w:r w:rsidR="00275F7A" w:rsidRPr="00F213E7">
        <w:rPr>
          <w:rFonts w:ascii="Arial" w:eastAsia="Calibri" w:hAnsi="Arial" w:cs="Arial"/>
          <w:color w:val="000000" w:themeColor="text1"/>
          <w:sz w:val="22"/>
          <w:lang w:val="es-ES_tradnl"/>
        </w:rPr>
        <w:t xml:space="preserve">. </w:t>
      </w:r>
      <w:r w:rsidR="004867EB">
        <w:rPr>
          <w:rFonts w:ascii="Arial" w:eastAsia="Calibri" w:hAnsi="Arial" w:cs="Arial"/>
          <w:color w:val="000000" w:themeColor="text1"/>
          <w:sz w:val="22"/>
          <w:lang w:val="es-ES_tradnl"/>
        </w:rPr>
        <w:t>Al respecto, l</w:t>
      </w:r>
      <w:r w:rsidR="003E2F16" w:rsidRPr="00F213E7">
        <w:rPr>
          <w:rFonts w:ascii="Arial" w:eastAsia="Calibri" w:hAnsi="Arial" w:cs="Arial"/>
          <w:color w:val="000000" w:themeColor="text1"/>
          <w:sz w:val="22"/>
          <w:lang w:val="es-ES_tradnl"/>
        </w:rPr>
        <w:t>a entidad, como responsable de la estructuración de su procedimiento de selección, es autónoma para requerir la capacidad financiera y la capacidad organizacional necesaria</w:t>
      </w:r>
      <w:r w:rsidR="00E1252E" w:rsidRPr="00F213E7">
        <w:rPr>
          <w:rFonts w:ascii="Arial" w:eastAsia="Calibri" w:hAnsi="Arial" w:cs="Arial"/>
          <w:color w:val="000000" w:themeColor="text1"/>
          <w:sz w:val="22"/>
          <w:lang w:val="es-ES_tradnl"/>
        </w:rPr>
        <w:t>s</w:t>
      </w:r>
      <w:r w:rsidR="00BC5E56" w:rsidRPr="00F213E7">
        <w:rPr>
          <w:rFonts w:ascii="Arial" w:eastAsia="Calibri" w:hAnsi="Arial" w:cs="Arial"/>
          <w:color w:val="000000" w:themeColor="text1"/>
          <w:sz w:val="22"/>
          <w:lang w:val="es-ES_tradnl"/>
        </w:rPr>
        <w:t xml:space="preserve">, </w:t>
      </w:r>
      <w:r w:rsidR="003E2F16" w:rsidRPr="00F213E7">
        <w:rPr>
          <w:rFonts w:ascii="Arial" w:eastAsia="Calibri" w:hAnsi="Arial" w:cs="Arial"/>
          <w:color w:val="000000" w:themeColor="text1"/>
          <w:sz w:val="22"/>
          <w:lang w:val="es-ES_tradnl"/>
        </w:rPr>
        <w:t xml:space="preserve">de acuerdo con </w:t>
      </w:r>
      <w:r w:rsidR="00145422" w:rsidRPr="00F213E7">
        <w:rPr>
          <w:rFonts w:ascii="Arial" w:eastAsia="Calibri" w:hAnsi="Arial" w:cs="Arial"/>
          <w:color w:val="000000" w:themeColor="text1"/>
          <w:sz w:val="22"/>
          <w:lang w:val="es-ES_tradnl"/>
        </w:rPr>
        <w:t>la naturaleza del contrato que se pretende suscribir y a su valor.</w:t>
      </w:r>
      <w:r w:rsidR="004867EB">
        <w:rPr>
          <w:rFonts w:ascii="Arial" w:eastAsia="Calibri" w:hAnsi="Arial" w:cs="Arial"/>
          <w:color w:val="000000" w:themeColor="text1"/>
          <w:sz w:val="22"/>
          <w:lang w:val="es-ES_tradnl"/>
        </w:rPr>
        <w:t xml:space="preserve"> </w:t>
      </w:r>
      <w:r w:rsidR="00145422" w:rsidRPr="00F213E7">
        <w:rPr>
          <w:rFonts w:ascii="Arial" w:eastAsia="Calibri" w:hAnsi="Arial" w:cs="Arial"/>
          <w:color w:val="000000" w:themeColor="text1"/>
          <w:sz w:val="22"/>
          <w:lang w:val="es-ES_tradnl"/>
        </w:rPr>
        <w:t>P</w:t>
      </w:r>
      <w:r w:rsidR="003E2F16" w:rsidRPr="00F213E7">
        <w:rPr>
          <w:rFonts w:ascii="Arial" w:eastAsia="Calibri" w:hAnsi="Arial" w:cs="Arial"/>
          <w:color w:val="000000" w:themeColor="text1"/>
          <w:sz w:val="22"/>
          <w:lang w:val="es-ES_tradnl"/>
        </w:rPr>
        <w:t xml:space="preserve">ara </w:t>
      </w:r>
      <w:r w:rsidR="00145422" w:rsidRPr="00F213E7">
        <w:rPr>
          <w:rFonts w:ascii="Arial" w:eastAsia="Calibri" w:hAnsi="Arial" w:cs="Arial"/>
          <w:color w:val="000000" w:themeColor="text1"/>
          <w:sz w:val="22"/>
          <w:lang w:val="es-ES_tradnl"/>
        </w:rPr>
        <w:t>esto,</w:t>
      </w:r>
      <w:r w:rsidR="003E2F16" w:rsidRPr="00F213E7">
        <w:rPr>
          <w:rFonts w:ascii="Arial" w:eastAsia="Calibri" w:hAnsi="Arial" w:cs="Arial"/>
          <w:color w:val="000000" w:themeColor="text1"/>
          <w:sz w:val="22"/>
          <w:lang w:val="es-ES_tradnl"/>
        </w:rPr>
        <w:t xml:space="preserve"> la entidad, según el artículo 2.2.1.1.1.6.2. del Decreto 1082 de 2015, debe tener en cuenta el estudio del sector y sus componentes</w:t>
      </w:r>
      <w:r w:rsidR="00145422" w:rsidRPr="00F213E7">
        <w:rPr>
          <w:rFonts w:ascii="Arial" w:eastAsia="Calibri" w:hAnsi="Arial" w:cs="Arial"/>
          <w:color w:val="000000" w:themeColor="text1"/>
          <w:sz w:val="22"/>
          <w:lang w:val="es-ES_tradnl"/>
        </w:rPr>
        <w:t>,</w:t>
      </w:r>
      <w:r w:rsidR="003E2F16" w:rsidRPr="00F213E7">
        <w:rPr>
          <w:rFonts w:ascii="Arial" w:eastAsia="Calibri" w:hAnsi="Arial" w:cs="Arial"/>
          <w:color w:val="000000" w:themeColor="text1"/>
          <w:sz w:val="22"/>
          <w:lang w:val="es-ES_tradnl"/>
        </w:rPr>
        <w:t xml:space="preserve"> como</w:t>
      </w:r>
      <w:r w:rsidR="00BC5E56" w:rsidRPr="00F213E7">
        <w:rPr>
          <w:rFonts w:ascii="Arial" w:eastAsia="Calibri" w:hAnsi="Arial" w:cs="Arial"/>
          <w:color w:val="000000" w:themeColor="text1"/>
          <w:sz w:val="22"/>
          <w:lang w:val="es-ES_tradnl"/>
        </w:rPr>
        <w:t xml:space="preserve"> por ejemplo</w:t>
      </w:r>
      <w:r w:rsidR="003E2F16" w:rsidRPr="00F213E7">
        <w:rPr>
          <w:rFonts w:ascii="Arial" w:eastAsia="Calibri" w:hAnsi="Arial" w:cs="Arial"/>
          <w:color w:val="000000" w:themeColor="text1"/>
          <w:sz w:val="22"/>
          <w:lang w:val="es-ES_tradnl"/>
        </w:rPr>
        <w:t xml:space="preserve"> la identificación de riesgos</w:t>
      </w:r>
      <w:r w:rsidR="00176D22" w:rsidRPr="00F213E7">
        <w:rPr>
          <w:rFonts w:ascii="Arial" w:eastAsia="Calibri" w:hAnsi="Arial" w:cs="Arial"/>
          <w:color w:val="000000" w:themeColor="text1"/>
          <w:sz w:val="22"/>
          <w:lang w:val="es-ES_tradnl"/>
        </w:rPr>
        <w:t xml:space="preserve">, así como el </w:t>
      </w:r>
      <w:r w:rsidR="003E2F16" w:rsidRPr="00F213E7">
        <w:rPr>
          <w:rFonts w:ascii="Arial" w:eastAsia="Calibri" w:hAnsi="Arial" w:cs="Arial"/>
          <w:color w:val="000000" w:themeColor="text1"/>
          <w:sz w:val="22"/>
          <w:lang w:val="es-ES_tradnl"/>
        </w:rPr>
        <w:t>precio del bien, obra o servicio a contratar</w:t>
      </w:r>
      <w:r w:rsidR="003E2F16" w:rsidRPr="00F213E7">
        <w:rPr>
          <w:rStyle w:val="Refdenotaalpie"/>
          <w:rFonts w:ascii="Arial" w:eastAsia="Calibri" w:hAnsi="Arial" w:cs="Arial"/>
          <w:color w:val="000000" w:themeColor="text1"/>
          <w:sz w:val="22"/>
          <w:lang w:val="es-ES_tradnl"/>
        </w:rPr>
        <w:footnoteReference w:id="3"/>
      </w:r>
      <w:r w:rsidR="003E2F16" w:rsidRPr="00F213E7">
        <w:rPr>
          <w:rFonts w:ascii="Arial" w:eastAsia="Calibri" w:hAnsi="Arial" w:cs="Arial"/>
          <w:color w:val="000000" w:themeColor="text1"/>
          <w:sz w:val="22"/>
          <w:lang w:val="es-ES_tradnl"/>
        </w:rPr>
        <w:t>.</w:t>
      </w:r>
    </w:p>
    <w:p w14:paraId="53D3C7AF" w14:textId="77777777" w:rsidR="001A1647" w:rsidRPr="00F213E7" w:rsidRDefault="003E2F16" w:rsidP="004E4B3D">
      <w:pPr>
        <w:spacing w:before="120" w:after="120" w:line="276" w:lineRule="auto"/>
        <w:ind w:firstLine="708"/>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 xml:space="preserve">La </w:t>
      </w:r>
      <w:r w:rsidR="00DF04AE"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capacidad financiera</w:t>
      </w:r>
      <w:r w:rsidR="00DF04AE"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se deriva </w:t>
      </w:r>
      <w:r w:rsidR="008F1FF0" w:rsidRPr="00F213E7">
        <w:rPr>
          <w:rFonts w:ascii="Arial" w:eastAsia="Calibri" w:hAnsi="Arial" w:cs="Arial"/>
          <w:color w:val="000000" w:themeColor="text1"/>
          <w:sz w:val="22"/>
          <w:lang w:val="es-ES_tradnl"/>
        </w:rPr>
        <w:t>del índice de liquidez, de endeudamiento</w:t>
      </w:r>
      <w:r w:rsidR="0020670A" w:rsidRPr="00F213E7">
        <w:rPr>
          <w:rFonts w:ascii="Arial" w:eastAsia="Calibri" w:hAnsi="Arial" w:cs="Arial"/>
          <w:color w:val="000000" w:themeColor="text1"/>
          <w:sz w:val="22"/>
          <w:lang w:val="es-ES_tradnl"/>
        </w:rPr>
        <w:t xml:space="preserve"> y de la razón de cobertura de intereses del proponente, </w:t>
      </w:r>
      <w:r w:rsidR="007C38E0" w:rsidRPr="00F213E7">
        <w:rPr>
          <w:rFonts w:ascii="Arial" w:eastAsia="Calibri" w:hAnsi="Arial" w:cs="Arial"/>
          <w:color w:val="000000" w:themeColor="text1"/>
          <w:sz w:val="22"/>
          <w:lang w:val="es-ES_tradnl"/>
        </w:rPr>
        <w:t xml:space="preserve">y </w:t>
      </w:r>
      <w:r w:rsidR="0020670A" w:rsidRPr="00F213E7">
        <w:rPr>
          <w:rFonts w:ascii="Arial" w:eastAsia="Calibri" w:hAnsi="Arial" w:cs="Arial"/>
          <w:color w:val="000000" w:themeColor="text1"/>
          <w:sz w:val="22"/>
          <w:lang w:val="es-ES_tradnl"/>
        </w:rPr>
        <w:t xml:space="preserve">permite </w:t>
      </w:r>
      <w:r w:rsidR="00FE3E83" w:rsidRPr="00F213E7">
        <w:rPr>
          <w:rFonts w:ascii="Arial" w:eastAsia="Calibri" w:hAnsi="Arial" w:cs="Arial"/>
          <w:color w:val="000000" w:themeColor="text1"/>
          <w:sz w:val="22"/>
          <w:lang w:val="es-ES_tradnl"/>
        </w:rPr>
        <w:t>conocer si tiene</w:t>
      </w:r>
      <w:r w:rsidRPr="00F213E7">
        <w:rPr>
          <w:rFonts w:ascii="Arial" w:eastAsia="Calibri" w:hAnsi="Arial" w:cs="Arial"/>
          <w:color w:val="000000" w:themeColor="text1"/>
          <w:sz w:val="22"/>
          <w:lang w:val="es-ES_tradnl"/>
        </w:rPr>
        <w:t xml:space="preserve"> solidez financiera</w:t>
      </w:r>
      <w:r w:rsidR="00FE3E83" w:rsidRPr="00F213E7">
        <w:rPr>
          <w:rFonts w:ascii="Arial" w:eastAsia="Calibri" w:hAnsi="Arial" w:cs="Arial"/>
          <w:color w:val="000000" w:themeColor="text1"/>
          <w:sz w:val="22"/>
          <w:lang w:val="es-ES_tradnl"/>
        </w:rPr>
        <w:t xml:space="preserve"> suficiente para </w:t>
      </w:r>
      <w:r w:rsidRPr="00F213E7">
        <w:rPr>
          <w:rFonts w:ascii="Arial" w:eastAsia="Calibri" w:hAnsi="Arial" w:cs="Arial"/>
          <w:color w:val="000000" w:themeColor="text1"/>
          <w:sz w:val="22"/>
          <w:lang w:val="es-ES_tradnl"/>
        </w:rPr>
        <w:t>cumplir los compromisos que adquiera</w:t>
      </w:r>
      <w:r w:rsidR="00DF04AE" w:rsidRPr="00F213E7">
        <w:rPr>
          <w:rFonts w:ascii="Arial" w:eastAsia="Calibri" w:hAnsi="Arial" w:cs="Arial"/>
          <w:color w:val="000000" w:themeColor="text1"/>
          <w:sz w:val="22"/>
          <w:lang w:val="es-ES_tradnl"/>
        </w:rPr>
        <w:t xml:space="preserve"> en virtud de la celebración del contrato</w:t>
      </w:r>
      <w:r w:rsidR="00FE3E83" w:rsidRPr="00F213E7">
        <w:rPr>
          <w:rFonts w:ascii="Arial" w:eastAsia="Calibri" w:hAnsi="Arial" w:cs="Arial"/>
          <w:color w:val="000000" w:themeColor="text1"/>
          <w:sz w:val="22"/>
          <w:lang w:val="es-ES_tradnl"/>
        </w:rPr>
        <w:t>.</w:t>
      </w:r>
      <w:r w:rsidR="00AE63EF" w:rsidRPr="00F213E7">
        <w:rPr>
          <w:rFonts w:ascii="Arial" w:eastAsia="Calibri" w:hAnsi="Arial" w:cs="Arial"/>
          <w:color w:val="000000" w:themeColor="text1"/>
          <w:sz w:val="22"/>
          <w:lang w:val="es-ES_tradnl"/>
        </w:rPr>
        <w:t xml:space="preserve"> Como lo </w:t>
      </w:r>
      <w:r w:rsidR="00BE70B3" w:rsidRPr="00F213E7">
        <w:rPr>
          <w:rFonts w:ascii="Arial" w:eastAsia="Calibri" w:hAnsi="Arial" w:cs="Arial"/>
          <w:color w:val="000000" w:themeColor="text1"/>
          <w:sz w:val="22"/>
          <w:lang w:val="es-ES_tradnl"/>
        </w:rPr>
        <w:t>explicó</w:t>
      </w:r>
      <w:r w:rsidR="00AE63EF" w:rsidRPr="00F213E7">
        <w:rPr>
          <w:rFonts w:ascii="Arial" w:eastAsia="Calibri" w:hAnsi="Arial" w:cs="Arial"/>
          <w:color w:val="000000" w:themeColor="text1"/>
          <w:sz w:val="22"/>
          <w:lang w:val="es-ES_tradnl"/>
        </w:rPr>
        <w:t xml:space="preserve"> la Agencia Nacional de Contratación Pública – Colombia Compra Eficiente en el </w:t>
      </w:r>
      <w:r w:rsidR="009C4DB4" w:rsidRPr="00F213E7">
        <w:rPr>
          <w:rFonts w:ascii="Arial" w:eastAsia="Calibri" w:hAnsi="Arial" w:cs="Arial"/>
          <w:color w:val="000000" w:themeColor="text1"/>
          <w:sz w:val="22"/>
          <w:lang w:val="es-ES_tradnl"/>
        </w:rPr>
        <w:t>«</w:t>
      </w:r>
      <w:r w:rsidR="00AE63EF" w:rsidRPr="00F213E7">
        <w:rPr>
          <w:rFonts w:ascii="Arial" w:eastAsia="Calibri" w:hAnsi="Arial" w:cs="Arial"/>
          <w:color w:val="000000" w:themeColor="text1"/>
          <w:sz w:val="22"/>
          <w:lang w:val="es-ES_tradnl"/>
        </w:rPr>
        <w:t>Manual para determinar y verificar</w:t>
      </w:r>
      <w:r w:rsidR="009C4DB4" w:rsidRPr="00F213E7">
        <w:rPr>
          <w:rFonts w:ascii="Arial" w:eastAsia="Calibri" w:hAnsi="Arial" w:cs="Arial"/>
          <w:color w:val="000000" w:themeColor="text1"/>
          <w:sz w:val="22"/>
          <w:lang w:val="es-ES_tradnl"/>
        </w:rPr>
        <w:t xml:space="preserve"> los requisitos habilitantes en los procesos de contratación», «</w:t>
      </w:r>
      <w:r w:rsidR="004E4B3D" w:rsidRPr="00F213E7">
        <w:rPr>
          <w:rFonts w:ascii="Arial" w:eastAsia="Calibri" w:hAnsi="Arial" w:cs="Arial"/>
          <w:color w:val="000000" w:themeColor="text1"/>
          <w:sz w:val="22"/>
          <w:lang w:val="es-ES_tradnl"/>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00AE72C9" w:rsidRPr="00F213E7">
        <w:rPr>
          <w:rStyle w:val="Refdenotaalpie"/>
          <w:rFonts w:ascii="Arial" w:eastAsia="Calibri" w:hAnsi="Arial" w:cs="Arial"/>
          <w:color w:val="000000" w:themeColor="text1"/>
          <w:sz w:val="22"/>
          <w:lang w:val="es-ES_tradnl"/>
        </w:rPr>
        <w:footnoteReference w:id="4"/>
      </w:r>
      <w:r w:rsidR="00BE70B3" w:rsidRPr="00F213E7">
        <w:rPr>
          <w:rFonts w:ascii="Arial" w:eastAsia="Calibri" w:hAnsi="Arial" w:cs="Arial"/>
          <w:color w:val="000000" w:themeColor="text1"/>
          <w:sz w:val="22"/>
          <w:lang w:val="es-ES_tradnl"/>
        </w:rPr>
        <w:t xml:space="preserve">. </w:t>
      </w:r>
    </w:p>
    <w:p w14:paraId="4ADD70DD" w14:textId="30C62183" w:rsidR="003E2F16" w:rsidRPr="00F213E7" w:rsidRDefault="00DF04AE" w:rsidP="00221CDE">
      <w:pPr>
        <w:spacing w:before="120" w:after="120" w:line="276" w:lineRule="auto"/>
        <w:ind w:firstLine="708"/>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L</w:t>
      </w:r>
      <w:r w:rsidR="003E2F16" w:rsidRPr="00F213E7">
        <w:rPr>
          <w:rFonts w:ascii="Arial" w:eastAsia="Calibri" w:hAnsi="Arial" w:cs="Arial"/>
          <w:color w:val="000000" w:themeColor="text1"/>
          <w:sz w:val="22"/>
          <w:lang w:val="es-ES_tradnl"/>
        </w:rPr>
        <w:t xml:space="preserve">a </w:t>
      </w:r>
      <w:r w:rsidRPr="00F213E7">
        <w:rPr>
          <w:rFonts w:ascii="Arial" w:eastAsia="Calibri" w:hAnsi="Arial" w:cs="Arial"/>
          <w:color w:val="000000" w:themeColor="text1"/>
          <w:sz w:val="22"/>
          <w:lang w:val="es-ES_tradnl"/>
        </w:rPr>
        <w:t>«</w:t>
      </w:r>
      <w:r w:rsidR="003E2F16" w:rsidRPr="00F213E7">
        <w:rPr>
          <w:rFonts w:ascii="Arial" w:eastAsia="Calibri" w:hAnsi="Arial" w:cs="Arial"/>
          <w:color w:val="000000" w:themeColor="text1"/>
          <w:sz w:val="22"/>
          <w:lang w:val="es-ES_tradnl"/>
        </w:rPr>
        <w:t>capacidad organizacional</w:t>
      </w:r>
      <w:r w:rsidRPr="00F213E7">
        <w:rPr>
          <w:rFonts w:ascii="Arial" w:eastAsia="Calibri" w:hAnsi="Arial" w:cs="Arial"/>
          <w:color w:val="000000" w:themeColor="text1"/>
          <w:sz w:val="22"/>
          <w:lang w:val="es-ES_tradnl"/>
        </w:rPr>
        <w:t>»</w:t>
      </w:r>
      <w:r w:rsidR="001A1647" w:rsidRPr="00F213E7">
        <w:rPr>
          <w:rFonts w:ascii="Arial" w:eastAsia="Calibri" w:hAnsi="Arial" w:cs="Arial"/>
          <w:color w:val="000000" w:themeColor="text1"/>
          <w:sz w:val="22"/>
          <w:lang w:val="es-ES_tradnl"/>
        </w:rPr>
        <w:t>, por su parte, «[…]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w:t>
      </w:r>
      <w:r w:rsidR="00221CDE" w:rsidRPr="00F213E7">
        <w:rPr>
          <w:rFonts w:ascii="Arial" w:eastAsia="Calibri" w:hAnsi="Arial" w:cs="Arial"/>
          <w:color w:val="000000" w:themeColor="text1"/>
          <w:sz w:val="22"/>
          <w:lang w:val="es-ES_tradnl"/>
        </w:rPr>
        <w:t xml:space="preserve"> </w:t>
      </w:r>
      <w:r w:rsidR="001A1647" w:rsidRPr="00F213E7">
        <w:rPr>
          <w:rFonts w:ascii="Arial" w:eastAsia="Calibri" w:hAnsi="Arial" w:cs="Arial"/>
          <w:color w:val="000000" w:themeColor="text1"/>
          <w:sz w:val="22"/>
          <w:lang w:val="es-ES_tradnl"/>
        </w:rPr>
        <w:t>es rentable</w:t>
      </w:r>
      <w:r w:rsidR="00221CDE" w:rsidRPr="00F213E7">
        <w:rPr>
          <w:rFonts w:ascii="Arial" w:eastAsia="Calibri" w:hAnsi="Arial" w:cs="Arial"/>
          <w:color w:val="000000" w:themeColor="text1"/>
          <w:sz w:val="22"/>
          <w:lang w:val="es-ES_tradnl"/>
        </w:rPr>
        <w:t>»</w:t>
      </w:r>
      <w:r w:rsidR="00221CDE" w:rsidRPr="00F213E7">
        <w:rPr>
          <w:rStyle w:val="Refdenotaalpie"/>
          <w:rFonts w:ascii="Arial" w:eastAsia="Calibri" w:hAnsi="Arial" w:cs="Arial"/>
          <w:color w:val="000000" w:themeColor="text1"/>
          <w:sz w:val="22"/>
          <w:lang w:val="es-ES_tradnl"/>
        </w:rPr>
        <w:footnoteReference w:id="5"/>
      </w:r>
      <w:r w:rsidR="001A1647" w:rsidRPr="00F213E7">
        <w:rPr>
          <w:rFonts w:ascii="Arial" w:eastAsia="Calibri" w:hAnsi="Arial" w:cs="Arial"/>
          <w:color w:val="000000" w:themeColor="text1"/>
          <w:sz w:val="22"/>
          <w:lang w:val="es-ES_tradnl"/>
        </w:rPr>
        <w:t>.</w:t>
      </w:r>
      <w:r w:rsidR="00221CDE" w:rsidRPr="00F213E7">
        <w:rPr>
          <w:rFonts w:ascii="Arial" w:eastAsia="Calibri" w:hAnsi="Arial" w:cs="Arial"/>
          <w:color w:val="000000" w:themeColor="text1"/>
          <w:sz w:val="22"/>
          <w:lang w:val="es-ES_tradnl"/>
        </w:rPr>
        <w:t xml:space="preserve"> </w:t>
      </w:r>
    </w:p>
    <w:p w14:paraId="20EDFEA1" w14:textId="2B906CFE" w:rsidR="003E2F16" w:rsidRPr="00F213E7" w:rsidRDefault="003E2F16" w:rsidP="00D02752">
      <w:pPr>
        <w:spacing w:before="120" w:after="120" w:line="276" w:lineRule="auto"/>
        <w:ind w:firstLine="709"/>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 xml:space="preserve">Respecto de la capacidad financiera, </w:t>
      </w:r>
      <w:r w:rsidR="00851BBB" w:rsidRPr="00F213E7">
        <w:rPr>
          <w:rFonts w:ascii="Arial" w:eastAsia="Calibri" w:hAnsi="Arial" w:cs="Arial"/>
          <w:color w:val="000000" w:themeColor="text1"/>
          <w:sz w:val="22"/>
          <w:lang w:val="es-ES_tradnl"/>
        </w:rPr>
        <w:t xml:space="preserve">como se mencionó, </w:t>
      </w:r>
      <w:r w:rsidRPr="00F213E7">
        <w:rPr>
          <w:rFonts w:ascii="Arial" w:eastAsia="Calibri" w:hAnsi="Arial" w:cs="Arial"/>
          <w:color w:val="000000" w:themeColor="text1"/>
          <w:sz w:val="22"/>
          <w:lang w:val="es-ES_tradnl"/>
        </w:rPr>
        <w:t>debe inscribirse en el RUP con los estados financieros del proponente, suscritos por el representante legal y el revisor fiscal, si cuenta con él</w:t>
      </w:r>
      <w:r w:rsidR="00212AB7"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w:t>
      </w:r>
      <w:r w:rsidR="00212AB7" w:rsidRPr="00F213E7">
        <w:rPr>
          <w:rFonts w:ascii="Arial" w:eastAsia="Calibri" w:hAnsi="Arial" w:cs="Arial"/>
          <w:color w:val="000000" w:themeColor="text1"/>
          <w:sz w:val="22"/>
          <w:lang w:val="es-ES_tradnl"/>
        </w:rPr>
        <w:t>Si</w:t>
      </w:r>
      <w:r w:rsidRPr="00F213E7">
        <w:rPr>
          <w:rFonts w:ascii="Arial" w:eastAsia="Calibri" w:hAnsi="Arial" w:cs="Arial"/>
          <w:color w:val="000000" w:themeColor="text1"/>
          <w:sz w:val="22"/>
          <w:lang w:val="es-ES_tradnl"/>
        </w:rPr>
        <w:t xml:space="preserve"> es una sociedad no obligada a tenerlo</w:t>
      </w:r>
      <w:r w:rsidR="00212AB7" w:rsidRPr="00F213E7">
        <w:rPr>
          <w:rFonts w:ascii="Arial" w:eastAsia="Calibri" w:hAnsi="Arial" w:cs="Arial"/>
          <w:color w:val="000000" w:themeColor="text1"/>
          <w:sz w:val="22"/>
          <w:lang w:val="es-ES_tradnl"/>
        </w:rPr>
        <w:t xml:space="preserve"> </w:t>
      </w:r>
      <w:r w:rsidRPr="00F213E7">
        <w:rPr>
          <w:rFonts w:ascii="Arial" w:eastAsia="Calibri" w:hAnsi="Arial" w:cs="Arial"/>
          <w:color w:val="000000" w:themeColor="text1"/>
          <w:sz w:val="22"/>
          <w:lang w:val="es-ES_tradnl"/>
        </w:rPr>
        <w:t xml:space="preserve">estos documentos también deben suscribirse por el auditor o contador. De </w:t>
      </w:r>
      <w:r w:rsidR="00212AB7" w:rsidRPr="00F213E7">
        <w:rPr>
          <w:rFonts w:ascii="Arial" w:eastAsia="Calibri" w:hAnsi="Arial" w:cs="Arial"/>
          <w:color w:val="000000" w:themeColor="text1"/>
          <w:sz w:val="22"/>
          <w:lang w:val="es-ES_tradnl"/>
        </w:rPr>
        <w:t>este modo</w:t>
      </w:r>
      <w:r w:rsidRPr="00F213E7">
        <w:rPr>
          <w:rFonts w:ascii="Arial" w:eastAsia="Calibri" w:hAnsi="Arial" w:cs="Arial"/>
          <w:color w:val="000000" w:themeColor="text1"/>
          <w:sz w:val="22"/>
          <w:lang w:val="es-ES_tradnl"/>
        </w:rPr>
        <w:t xml:space="preserve">, lo que se verifica con el RUP es </w:t>
      </w:r>
      <w:r w:rsidRPr="00F213E7">
        <w:rPr>
          <w:rFonts w:ascii="Arial" w:eastAsia="Calibri" w:hAnsi="Arial" w:cs="Arial"/>
          <w:color w:val="000000" w:themeColor="text1"/>
          <w:sz w:val="22"/>
          <w:lang w:val="es-ES_tradnl"/>
        </w:rPr>
        <w:lastRenderedPageBreak/>
        <w:t>que el proponente tenga los indicadores financieros solicitados por la entidad, que le permitan satisfacer la necesidad que se contrata</w:t>
      </w:r>
      <w:r w:rsidR="00A95274" w:rsidRPr="00F213E7">
        <w:rPr>
          <w:rFonts w:ascii="Arial" w:eastAsia="Calibri" w:hAnsi="Arial" w:cs="Arial"/>
          <w:color w:val="000000" w:themeColor="text1"/>
          <w:sz w:val="22"/>
          <w:lang w:val="es-ES_tradnl"/>
        </w:rPr>
        <w:t>rá</w:t>
      </w:r>
      <w:r w:rsidRPr="00F213E7">
        <w:rPr>
          <w:rFonts w:ascii="Arial" w:eastAsia="Calibri" w:hAnsi="Arial" w:cs="Arial"/>
          <w:color w:val="000000" w:themeColor="text1"/>
          <w:sz w:val="22"/>
          <w:lang w:val="es-ES_tradnl"/>
        </w:rPr>
        <w:t xml:space="preserve"> </w:t>
      </w:r>
      <w:r w:rsidR="00A95274" w:rsidRPr="00F213E7">
        <w:rPr>
          <w:rFonts w:ascii="Arial" w:eastAsia="Calibri" w:hAnsi="Arial" w:cs="Arial"/>
          <w:color w:val="000000" w:themeColor="text1"/>
          <w:sz w:val="22"/>
          <w:lang w:val="es-ES_tradnl"/>
        </w:rPr>
        <w:t>una vez desarrollado</w:t>
      </w:r>
      <w:r w:rsidRPr="00F213E7">
        <w:rPr>
          <w:rFonts w:ascii="Arial" w:eastAsia="Calibri" w:hAnsi="Arial" w:cs="Arial"/>
          <w:color w:val="000000" w:themeColor="text1"/>
          <w:sz w:val="22"/>
          <w:lang w:val="es-ES_tradnl"/>
        </w:rPr>
        <w:t xml:space="preserve"> el procedimiento de selección.</w:t>
      </w:r>
      <w:r w:rsidR="00D02752" w:rsidRPr="00F213E7">
        <w:rPr>
          <w:rFonts w:ascii="Arial" w:eastAsia="Calibri" w:hAnsi="Arial" w:cs="Arial"/>
          <w:color w:val="000000" w:themeColor="text1"/>
          <w:sz w:val="22"/>
          <w:lang w:val="es-ES_tradnl"/>
        </w:rPr>
        <w:t xml:space="preserve"> </w:t>
      </w:r>
      <w:r w:rsidRPr="00F213E7">
        <w:rPr>
          <w:rFonts w:ascii="Arial" w:eastAsia="Calibri" w:hAnsi="Arial" w:cs="Arial"/>
          <w:color w:val="000000" w:themeColor="text1"/>
          <w:sz w:val="22"/>
          <w:lang w:val="es-ES_tradnl"/>
        </w:rPr>
        <w:t>Por otro lado, la capacidad organizacional evalúa la rentabilidad de la empresa</w:t>
      </w:r>
      <w:r w:rsidR="00AF21B7"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que es directamente proporcional a su organización interna, y también se </w:t>
      </w:r>
      <w:r w:rsidR="00AF21B7" w:rsidRPr="00F213E7">
        <w:rPr>
          <w:rFonts w:ascii="Arial" w:eastAsia="Calibri" w:hAnsi="Arial" w:cs="Arial"/>
          <w:color w:val="000000" w:themeColor="text1"/>
          <w:sz w:val="22"/>
          <w:lang w:val="es-ES_tradnl"/>
        </w:rPr>
        <w:t>verifica</w:t>
      </w:r>
      <w:r w:rsidRPr="00F213E7">
        <w:rPr>
          <w:rFonts w:ascii="Arial" w:eastAsia="Calibri" w:hAnsi="Arial" w:cs="Arial"/>
          <w:color w:val="000000" w:themeColor="text1"/>
          <w:sz w:val="22"/>
          <w:lang w:val="es-ES_tradnl"/>
        </w:rPr>
        <w:t xml:space="preserve"> con el RUP,</w:t>
      </w:r>
      <w:r w:rsidR="00F767E4" w:rsidRPr="00F213E7">
        <w:rPr>
          <w:rFonts w:ascii="Arial" w:eastAsia="Calibri" w:hAnsi="Arial" w:cs="Arial"/>
          <w:color w:val="000000" w:themeColor="text1"/>
          <w:sz w:val="22"/>
          <w:lang w:val="es-ES_tradnl"/>
        </w:rPr>
        <w:t xml:space="preserve"> de acuerdo con </w:t>
      </w:r>
      <w:r w:rsidRPr="00F213E7">
        <w:rPr>
          <w:rFonts w:ascii="Arial" w:eastAsia="Calibri" w:hAnsi="Arial" w:cs="Arial"/>
          <w:color w:val="000000" w:themeColor="text1"/>
          <w:sz w:val="22"/>
          <w:lang w:val="es-ES_tradnl"/>
        </w:rPr>
        <w:t>los indicadores financieros y organizacionales señalados en el artículo 2.2.1.1.1.5.3. del Decreto 1082 de 2015.</w:t>
      </w:r>
    </w:p>
    <w:p w14:paraId="654E3443" w14:textId="2E5EDD79" w:rsidR="003E2F16" w:rsidRPr="00F213E7" w:rsidRDefault="003E2F16" w:rsidP="003E2F16">
      <w:pPr>
        <w:spacing w:line="276" w:lineRule="auto"/>
        <w:ind w:firstLine="708"/>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 xml:space="preserve">La Agencia Nacional de Contratación Pública </w:t>
      </w:r>
      <w:r w:rsidR="00180A6C"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Colombia Compra Eficiente puso a disposición de los interesados el </w:t>
      </w:r>
      <w:r w:rsidR="00E406F5"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Manual para determinar y verificar </w:t>
      </w:r>
      <w:r w:rsidR="00E50B43" w:rsidRPr="00F213E7">
        <w:rPr>
          <w:rFonts w:ascii="Arial" w:eastAsia="Calibri" w:hAnsi="Arial" w:cs="Arial"/>
          <w:color w:val="000000" w:themeColor="text1"/>
          <w:sz w:val="22"/>
          <w:lang w:val="es-ES_tradnl"/>
        </w:rPr>
        <w:t xml:space="preserve">los </w:t>
      </w:r>
      <w:r w:rsidRPr="00F213E7">
        <w:rPr>
          <w:rFonts w:ascii="Arial" w:eastAsia="Calibri" w:hAnsi="Arial" w:cs="Arial"/>
          <w:color w:val="000000" w:themeColor="text1"/>
          <w:sz w:val="22"/>
          <w:lang w:val="es-ES_tradnl"/>
        </w:rPr>
        <w:t>requisitos habilitantes en los procesos de contratación</w:t>
      </w:r>
      <w:r w:rsidR="00E406F5" w:rsidRPr="00F213E7">
        <w:rPr>
          <w:rFonts w:ascii="Arial" w:eastAsia="Calibri" w:hAnsi="Arial" w:cs="Arial"/>
          <w:color w:val="000000" w:themeColor="text1"/>
          <w:sz w:val="22"/>
          <w:lang w:val="es-ES_tradnl"/>
        </w:rPr>
        <w:t>»</w:t>
      </w:r>
      <w:r w:rsidR="00E50B43"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w:t>
      </w:r>
      <w:r w:rsidR="00E50B43" w:rsidRPr="00F213E7">
        <w:rPr>
          <w:rFonts w:ascii="Arial" w:eastAsia="Calibri" w:hAnsi="Arial" w:cs="Arial"/>
          <w:color w:val="000000" w:themeColor="text1"/>
          <w:sz w:val="22"/>
          <w:lang w:val="es-ES_tradnl"/>
        </w:rPr>
        <w:t>En él</w:t>
      </w:r>
      <w:r w:rsidRPr="00F213E7">
        <w:rPr>
          <w:rFonts w:ascii="Arial" w:eastAsia="Calibri" w:hAnsi="Arial" w:cs="Arial"/>
          <w:color w:val="000000" w:themeColor="text1"/>
          <w:sz w:val="22"/>
          <w:lang w:val="es-ES_tradnl"/>
        </w:rPr>
        <w:t xml:space="preserve"> se </w:t>
      </w:r>
      <w:r w:rsidR="00E50B43" w:rsidRPr="00F213E7">
        <w:rPr>
          <w:rFonts w:ascii="Arial" w:eastAsia="Calibri" w:hAnsi="Arial" w:cs="Arial"/>
          <w:color w:val="000000" w:themeColor="text1"/>
          <w:sz w:val="22"/>
          <w:lang w:val="es-ES_tradnl"/>
        </w:rPr>
        <w:t>plantean</w:t>
      </w:r>
      <w:r w:rsidRPr="00F213E7">
        <w:rPr>
          <w:rFonts w:ascii="Arial" w:eastAsia="Calibri" w:hAnsi="Arial" w:cs="Arial"/>
          <w:color w:val="000000" w:themeColor="text1"/>
          <w:sz w:val="22"/>
          <w:lang w:val="es-ES_tradnl"/>
        </w:rPr>
        <w:t xml:space="preserve"> definiciones </w:t>
      </w:r>
      <w:r w:rsidR="00934AA9" w:rsidRPr="00F213E7">
        <w:rPr>
          <w:rFonts w:ascii="Arial" w:eastAsia="Calibri" w:hAnsi="Arial" w:cs="Arial"/>
          <w:color w:val="000000" w:themeColor="text1"/>
          <w:sz w:val="22"/>
          <w:lang w:val="es-ES_tradnl"/>
        </w:rPr>
        <w:t>para</w:t>
      </w:r>
      <w:r w:rsidRPr="00F213E7">
        <w:rPr>
          <w:rFonts w:ascii="Arial" w:eastAsia="Calibri" w:hAnsi="Arial" w:cs="Arial"/>
          <w:color w:val="000000" w:themeColor="text1"/>
          <w:sz w:val="22"/>
          <w:lang w:val="es-ES_tradnl"/>
        </w:rPr>
        <w:t xml:space="preserve"> cada requisito habilitante y se</w:t>
      </w:r>
      <w:r w:rsidR="00934AA9" w:rsidRPr="00F213E7">
        <w:rPr>
          <w:rFonts w:ascii="Arial" w:eastAsia="Calibri" w:hAnsi="Arial" w:cs="Arial"/>
          <w:color w:val="000000" w:themeColor="text1"/>
          <w:sz w:val="22"/>
          <w:lang w:val="es-ES_tradnl"/>
        </w:rPr>
        <w:t xml:space="preserve"> indican</w:t>
      </w:r>
      <w:r w:rsidRPr="00F213E7">
        <w:rPr>
          <w:rFonts w:ascii="Arial" w:eastAsia="Calibri" w:hAnsi="Arial" w:cs="Arial"/>
          <w:color w:val="000000" w:themeColor="text1"/>
          <w:sz w:val="22"/>
          <w:lang w:val="es-ES_tradnl"/>
        </w:rPr>
        <w:t xml:space="preserve"> lineamientos orientadores que las entidades pueden </w:t>
      </w:r>
      <w:r w:rsidR="00B91DE5" w:rsidRPr="00F213E7">
        <w:rPr>
          <w:rFonts w:ascii="Arial" w:eastAsia="Calibri" w:hAnsi="Arial" w:cs="Arial"/>
          <w:color w:val="000000" w:themeColor="text1"/>
          <w:sz w:val="22"/>
          <w:lang w:val="es-ES_tradnl"/>
        </w:rPr>
        <w:t>considerar</w:t>
      </w:r>
      <w:r w:rsidRPr="00F213E7">
        <w:rPr>
          <w:rFonts w:ascii="Arial" w:eastAsia="Calibri" w:hAnsi="Arial" w:cs="Arial"/>
          <w:color w:val="000000" w:themeColor="text1"/>
          <w:sz w:val="22"/>
          <w:lang w:val="es-ES_tradnl"/>
        </w:rPr>
        <w:t xml:space="preserve"> para establecerlos, en este caso, para exigir la capacidad financiera y la capacidad organizacional. Sobre la capacidad financiera, como requisito habilitante, el Manual </w:t>
      </w:r>
      <w:r w:rsidR="00A92CFB" w:rsidRPr="00F213E7">
        <w:rPr>
          <w:rFonts w:ascii="Arial" w:eastAsia="Calibri" w:hAnsi="Arial" w:cs="Arial"/>
          <w:color w:val="000000" w:themeColor="text1"/>
          <w:sz w:val="22"/>
          <w:lang w:val="es-ES_tradnl"/>
        </w:rPr>
        <w:t>señala</w:t>
      </w:r>
      <w:r w:rsidRPr="00F213E7">
        <w:rPr>
          <w:rFonts w:ascii="Arial" w:eastAsia="Calibri" w:hAnsi="Arial" w:cs="Arial"/>
          <w:color w:val="000000" w:themeColor="text1"/>
          <w:sz w:val="22"/>
          <w:lang w:val="es-ES_tradnl"/>
        </w:rPr>
        <w:t xml:space="preserve"> que </w:t>
      </w:r>
      <w:r w:rsidR="00A92CFB" w:rsidRPr="00F213E7">
        <w:rPr>
          <w:rFonts w:ascii="Arial" w:eastAsia="Calibri" w:hAnsi="Arial" w:cs="Arial"/>
          <w:color w:val="000000" w:themeColor="text1"/>
          <w:sz w:val="22"/>
          <w:lang w:val="es-ES_tradnl"/>
        </w:rPr>
        <w:t>sus</w:t>
      </w:r>
      <w:r w:rsidRPr="00F213E7">
        <w:rPr>
          <w:rFonts w:ascii="Arial" w:eastAsia="Calibri" w:hAnsi="Arial" w:cs="Arial"/>
          <w:color w:val="000000" w:themeColor="text1"/>
          <w:sz w:val="22"/>
          <w:lang w:val="es-ES_tradnl"/>
        </w:rPr>
        <w:t xml:space="preserve"> indicadores deben establecerse de acuerdo con el estudio del sector que le permitió a la entidad conocer cómo se </w:t>
      </w:r>
      <w:r w:rsidR="00A92CFB" w:rsidRPr="00F213E7">
        <w:rPr>
          <w:rFonts w:ascii="Arial" w:eastAsia="Calibri" w:hAnsi="Arial" w:cs="Arial"/>
          <w:color w:val="000000" w:themeColor="text1"/>
          <w:sz w:val="22"/>
          <w:lang w:val="es-ES_tradnl"/>
        </w:rPr>
        <w:t xml:space="preserve">debe </w:t>
      </w:r>
      <w:r w:rsidRPr="00F213E7">
        <w:rPr>
          <w:rFonts w:ascii="Arial" w:eastAsia="Calibri" w:hAnsi="Arial" w:cs="Arial"/>
          <w:color w:val="000000" w:themeColor="text1"/>
          <w:sz w:val="22"/>
          <w:lang w:val="es-ES_tradnl"/>
        </w:rPr>
        <w:t>ejecuta</w:t>
      </w:r>
      <w:r w:rsidR="00A92CFB" w:rsidRPr="00F213E7">
        <w:rPr>
          <w:rFonts w:ascii="Arial" w:eastAsia="Calibri" w:hAnsi="Arial" w:cs="Arial"/>
          <w:color w:val="000000" w:themeColor="text1"/>
          <w:sz w:val="22"/>
          <w:lang w:val="es-ES_tradnl"/>
        </w:rPr>
        <w:t>r</w:t>
      </w:r>
      <w:r w:rsidRPr="00F213E7">
        <w:rPr>
          <w:rFonts w:ascii="Arial" w:eastAsia="Calibri" w:hAnsi="Arial" w:cs="Arial"/>
          <w:color w:val="000000" w:themeColor="text1"/>
          <w:sz w:val="22"/>
          <w:lang w:val="es-ES_tradnl"/>
        </w:rPr>
        <w:t xml:space="preserve"> el objeto contractual</w:t>
      </w:r>
      <w:r w:rsidR="004C4BEE"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y que es necesario analizar cada fórmula para que la interpretación no sea operativa, sino que su aplicación se base en el entendimiento del resultado y sus implicaciones para el procedimiento contractual</w:t>
      </w:r>
      <w:r w:rsidRPr="00F213E7">
        <w:rPr>
          <w:rStyle w:val="Refdenotaalpie"/>
          <w:rFonts w:ascii="Arial" w:eastAsia="Calibri" w:hAnsi="Arial" w:cs="Arial"/>
          <w:color w:val="000000" w:themeColor="text1"/>
          <w:sz w:val="22"/>
          <w:lang w:val="es-ES_tradnl"/>
        </w:rPr>
        <w:footnoteReference w:id="6"/>
      </w:r>
      <w:r w:rsidRPr="00F213E7">
        <w:rPr>
          <w:rFonts w:ascii="Arial" w:eastAsia="Calibri" w:hAnsi="Arial" w:cs="Arial"/>
          <w:color w:val="000000" w:themeColor="text1"/>
          <w:sz w:val="22"/>
          <w:lang w:val="es-ES_tradnl"/>
        </w:rPr>
        <w:t>.</w:t>
      </w:r>
    </w:p>
    <w:p w14:paraId="0437DD03" w14:textId="25F3E212" w:rsidR="003E2F16" w:rsidRPr="00F213E7" w:rsidRDefault="003E2F16" w:rsidP="003E2F16">
      <w:pPr>
        <w:spacing w:before="120" w:line="276" w:lineRule="auto"/>
        <w:ind w:firstLine="709"/>
        <w:jc w:val="both"/>
        <w:rPr>
          <w:rFonts w:ascii="Arial" w:eastAsia="Calibri" w:hAnsi="Arial" w:cs="Arial"/>
          <w:color w:val="000000" w:themeColor="text1"/>
          <w:sz w:val="22"/>
          <w:lang w:val="es-ES_tradnl"/>
        </w:rPr>
      </w:pPr>
      <w:r w:rsidRPr="00F213E7">
        <w:rPr>
          <w:rFonts w:ascii="Arial" w:eastAsia="Calibri" w:hAnsi="Arial" w:cs="Arial"/>
          <w:color w:val="000000" w:themeColor="text1"/>
          <w:sz w:val="22"/>
          <w:lang w:val="es-ES_tradnl"/>
        </w:rPr>
        <w:t xml:space="preserve">Ahora bien, la capacidad organizacional también se mide a través de indicadores: i) rentabilidad del patrimonio y </w:t>
      </w:r>
      <w:proofErr w:type="spellStart"/>
      <w:r w:rsidRPr="00F213E7">
        <w:rPr>
          <w:rFonts w:ascii="Arial" w:eastAsia="Calibri" w:hAnsi="Arial" w:cs="Arial"/>
          <w:color w:val="000000" w:themeColor="text1"/>
          <w:sz w:val="22"/>
          <w:lang w:val="es-ES_tradnl"/>
        </w:rPr>
        <w:t>ii</w:t>
      </w:r>
      <w:proofErr w:type="spellEnd"/>
      <w:r w:rsidRPr="00F213E7">
        <w:rPr>
          <w:rFonts w:ascii="Arial" w:eastAsia="Calibri" w:hAnsi="Arial" w:cs="Arial"/>
          <w:color w:val="000000" w:themeColor="text1"/>
          <w:sz w:val="22"/>
          <w:lang w:val="es-ES_tradnl"/>
        </w:rPr>
        <w:t>) rentabilidad del activo</w:t>
      </w:r>
      <w:r w:rsidR="002A6CB3"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w:t>
      </w:r>
      <w:r w:rsidR="002A6CB3" w:rsidRPr="00F213E7">
        <w:rPr>
          <w:rFonts w:ascii="Arial" w:eastAsia="Calibri" w:hAnsi="Arial" w:cs="Arial"/>
          <w:color w:val="000000" w:themeColor="text1"/>
          <w:sz w:val="22"/>
          <w:lang w:val="es-ES_tradnl"/>
        </w:rPr>
        <w:t>Sus</w:t>
      </w:r>
      <w:r w:rsidRPr="00F213E7">
        <w:rPr>
          <w:rFonts w:ascii="Arial" w:eastAsia="Calibri" w:hAnsi="Arial" w:cs="Arial"/>
          <w:color w:val="000000" w:themeColor="text1"/>
          <w:sz w:val="22"/>
          <w:lang w:val="es-ES_tradnl"/>
        </w:rPr>
        <w:t xml:space="preserve"> resultados deben interpretarse observando el riesgo que un indicador alto o bajo representa para el procedimiento</w:t>
      </w:r>
      <w:r w:rsidR="002A6CB3" w:rsidRPr="00F213E7">
        <w:rPr>
          <w:rFonts w:ascii="Arial" w:eastAsia="Calibri" w:hAnsi="Arial" w:cs="Arial"/>
          <w:color w:val="000000" w:themeColor="text1"/>
          <w:sz w:val="22"/>
          <w:lang w:val="es-ES_tradnl"/>
        </w:rPr>
        <w:t>.</w:t>
      </w:r>
      <w:r w:rsidRPr="00F213E7">
        <w:rPr>
          <w:rFonts w:ascii="Arial" w:eastAsia="Calibri" w:hAnsi="Arial" w:cs="Arial"/>
          <w:color w:val="000000" w:themeColor="text1"/>
          <w:sz w:val="22"/>
          <w:lang w:val="es-ES_tradnl"/>
        </w:rPr>
        <w:t xml:space="preserve"> </w:t>
      </w:r>
      <w:r w:rsidR="002A6CB3" w:rsidRPr="00F213E7">
        <w:rPr>
          <w:rFonts w:ascii="Arial" w:eastAsia="Calibri" w:hAnsi="Arial" w:cs="Arial"/>
          <w:color w:val="000000" w:themeColor="text1"/>
          <w:sz w:val="22"/>
          <w:lang w:val="es-ES_tradnl"/>
        </w:rPr>
        <w:t xml:space="preserve">Por ende, </w:t>
      </w:r>
      <w:r w:rsidRPr="00F213E7">
        <w:rPr>
          <w:rFonts w:ascii="Arial" w:eastAsia="Calibri" w:hAnsi="Arial" w:cs="Arial"/>
          <w:color w:val="000000" w:themeColor="text1"/>
          <w:sz w:val="22"/>
          <w:lang w:val="es-ES_tradnl"/>
        </w:rPr>
        <w:t>la entidad deb</w:t>
      </w:r>
      <w:r w:rsidR="00132E1B" w:rsidRPr="00F213E7">
        <w:rPr>
          <w:rFonts w:ascii="Arial" w:eastAsia="Calibri" w:hAnsi="Arial" w:cs="Arial"/>
          <w:color w:val="000000" w:themeColor="text1"/>
          <w:sz w:val="22"/>
          <w:lang w:val="es-ES_tradnl"/>
        </w:rPr>
        <w:t>e</w:t>
      </w:r>
      <w:r w:rsidRPr="00F213E7">
        <w:rPr>
          <w:rFonts w:ascii="Arial" w:eastAsia="Calibri" w:hAnsi="Arial" w:cs="Arial"/>
          <w:color w:val="000000" w:themeColor="text1"/>
          <w:sz w:val="22"/>
          <w:lang w:val="es-ES_tradnl"/>
        </w:rPr>
        <w:t xml:space="preserve"> establecer unos límites dentro de los cuales se garantice </w:t>
      </w:r>
      <w:r w:rsidR="0004559A" w:rsidRPr="00F213E7">
        <w:rPr>
          <w:rFonts w:ascii="Arial" w:eastAsia="Calibri" w:hAnsi="Arial" w:cs="Arial"/>
          <w:color w:val="000000" w:themeColor="text1"/>
          <w:sz w:val="22"/>
          <w:lang w:val="es-ES_tradnl"/>
        </w:rPr>
        <w:t xml:space="preserve">que el proponente </w:t>
      </w:r>
      <w:r w:rsidR="00180A6C" w:rsidRPr="00F213E7">
        <w:rPr>
          <w:rFonts w:ascii="Arial" w:eastAsia="Calibri" w:hAnsi="Arial" w:cs="Arial"/>
          <w:color w:val="000000" w:themeColor="text1"/>
          <w:sz w:val="22"/>
          <w:lang w:val="es-ES_tradnl"/>
        </w:rPr>
        <w:t xml:space="preserve">pueda </w:t>
      </w:r>
      <w:r w:rsidR="009F0737" w:rsidRPr="00F213E7">
        <w:rPr>
          <w:rFonts w:ascii="Arial" w:eastAsia="Calibri" w:hAnsi="Arial" w:cs="Arial"/>
          <w:color w:val="000000" w:themeColor="text1"/>
          <w:sz w:val="22"/>
          <w:lang w:val="es-ES_tradnl"/>
        </w:rPr>
        <w:t>cumplir el contrato en caso de celebrarlo</w:t>
      </w:r>
      <w:r w:rsidRPr="00F213E7">
        <w:rPr>
          <w:rStyle w:val="Refdenotaalpie"/>
          <w:rFonts w:ascii="Arial" w:eastAsia="Calibri" w:hAnsi="Arial" w:cs="Arial"/>
          <w:color w:val="000000" w:themeColor="text1"/>
          <w:sz w:val="22"/>
          <w:lang w:val="es-ES_tradnl"/>
        </w:rPr>
        <w:footnoteReference w:id="7"/>
      </w:r>
      <w:r w:rsidRPr="00F213E7">
        <w:rPr>
          <w:rFonts w:ascii="Arial" w:eastAsia="Calibri" w:hAnsi="Arial" w:cs="Arial"/>
          <w:color w:val="000000" w:themeColor="text1"/>
          <w:sz w:val="22"/>
          <w:lang w:val="es-ES_tradnl"/>
        </w:rPr>
        <w:t xml:space="preserve">. No obstante, las entidades </w:t>
      </w:r>
      <w:r w:rsidR="008F55F2" w:rsidRPr="00F213E7">
        <w:rPr>
          <w:rFonts w:ascii="Arial" w:eastAsia="Calibri" w:hAnsi="Arial" w:cs="Arial"/>
          <w:color w:val="000000" w:themeColor="text1"/>
          <w:sz w:val="22"/>
          <w:lang w:val="es-ES_tradnl"/>
        </w:rPr>
        <w:t xml:space="preserve">estatales </w:t>
      </w:r>
      <w:r w:rsidRPr="00F213E7">
        <w:rPr>
          <w:rFonts w:ascii="Arial" w:eastAsia="Calibri" w:hAnsi="Arial" w:cs="Arial"/>
          <w:color w:val="000000" w:themeColor="text1"/>
          <w:sz w:val="22"/>
          <w:lang w:val="es-ES_tradnl"/>
        </w:rPr>
        <w:t>son autónomas en la estructuración de sus procedimientos contractuales, por lo cual en sus pliegos de condiciones</w:t>
      </w:r>
      <w:r w:rsidR="008F55F2" w:rsidRPr="00F213E7">
        <w:rPr>
          <w:rFonts w:ascii="Arial" w:eastAsia="Calibri" w:hAnsi="Arial" w:cs="Arial"/>
          <w:color w:val="000000" w:themeColor="text1"/>
          <w:sz w:val="22"/>
          <w:lang w:val="es-ES_tradnl"/>
        </w:rPr>
        <w:t xml:space="preserve"> o documentos equivalentes</w:t>
      </w:r>
      <w:r w:rsidRPr="00F213E7">
        <w:rPr>
          <w:rFonts w:ascii="Arial" w:eastAsia="Calibri" w:hAnsi="Arial" w:cs="Arial"/>
          <w:color w:val="000000" w:themeColor="text1"/>
          <w:sz w:val="22"/>
          <w:lang w:val="es-ES_tradnl"/>
        </w:rPr>
        <w:t xml:space="preserve"> pueden establecer los indicadores financieros y organizacionales necesarios, siempre que estos sean proporcionales al objeto a ejecutar</w:t>
      </w:r>
      <w:r w:rsidR="008F55F2" w:rsidRPr="00F213E7">
        <w:rPr>
          <w:rFonts w:ascii="Arial" w:eastAsia="Calibri" w:hAnsi="Arial" w:cs="Arial"/>
          <w:color w:val="000000" w:themeColor="text1"/>
          <w:sz w:val="22"/>
          <w:lang w:val="es-ES_tradnl"/>
        </w:rPr>
        <w:t xml:space="preserve"> y al valor del contrato</w:t>
      </w:r>
      <w:r w:rsidRPr="00F213E7">
        <w:rPr>
          <w:rFonts w:ascii="Arial" w:eastAsia="Calibri" w:hAnsi="Arial" w:cs="Arial"/>
          <w:color w:val="000000" w:themeColor="text1"/>
          <w:sz w:val="22"/>
          <w:lang w:val="es-ES_tradnl"/>
        </w:rPr>
        <w:t>.</w:t>
      </w:r>
    </w:p>
    <w:p w14:paraId="183491A0" w14:textId="77777777" w:rsidR="00FB2A8A" w:rsidRPr="00F213E7" w:rsidRDefault="00FB2A8A" w:rsidP="00FB2A8A">
      <w:pPr>
        <w:spacing w:line="276" w:lineRule="auto"/>
        <w:ind w:firstLine="709"/>
        <w:jc w:val="both"/>
        <w:rPr>
          <w:rFonts w:ascii="Arial" w:eastAsia="Calibri" w:hAnsi="Arial" w:cs="Arial"/>
          <w:color w:val="000000" w:themeColor="text1"/>
          <w:sz w:val="22"/>
          <w:lang w:val="es-ES_tradnl"/>
        </w:rPr>
      </w:pPr>
    </w:p>
    <w:p w14:paraId="06715065" w14:textId="1AE8DF6A" w:rsidR="00C54A5A" w:rsidRPr="00F213E7" w:rsidRDefault="00DB5E24" w:rsidP="00FD4775">
      <w:pPr>
        <w:jc w:val="both"/>
        <w:rPr>
          <w:rFonts w:ascii="Arial" w:eastAsia="Calibri" w:hAnsi="Arial" w:cs="Arial"/>
          <w:b/>
          <w:bCs/>
          <w:color w:val="000000" w:themeColor="text1"/>
          <w:sz w:val="22"/>
          <w:szCs w:val="22"/>
          <w:lang w:val="es-ES_tradnl"/>
        </w:rPr>
      </w:pPr>
      <w:r w:rsidRPr="00F213E7">
        <w:rPr>
          <w:rFonts w:ascii="Arial" w:eastAsia="Calibri" w:hAnsi="Arial" w:cs="Arial"/>
          <w:b/>
          <w:bCs/>
          <w:color w:val="000000" w:themeColor="text1"/>
          <w:sz w:val="22"/>
          <w:szCs w:val="22"/>
          <w:lang w:val="es-ES_tradnl"/>
        </w:rPr>
        <w:t>2.</w:t>
      </w:r>
      <w:r w:rsidR="002A10CA">
        <w:rPr>
          <w:rFonts w:ascii="Arial" w:eastAsia="Calibri" w:hAnsi="Arial" w:cs="Arial"/>
          <w:b/>
          <w:bCs/>
          <w:color w:val="000000" w:themeColor="text1"/>
          <w:sz w:val="22"/>
          <w:szCs w:val="22"/>
          <w:lang w:val="es-ES_tradnl"/>
        </w:rPr>
        <w:t>2</w:t>
      </w:r>
      <w:r w:rsidRPr="00F213E7">
        <w:rPr>
          <w:rFonts w:ascii="Arial" w:eastAsia="Calibri" w:hAnsi="Arial" w:cs="Arial"/>
          <w:b/>
          <w:bCs/>
          <w:color w:val="000000" w:themeColor="text1"/>
          <w:sz w:val="22"/>
          <w:szCs w:val="22"/>
          <w:lang w:val="es-ES_tradnl"/>
        </w:rPr>
        <w:t xml:space="preserve">. </w:t>
      </w:r>
      <w:r w:rsidR="00FD4775" w:rsidRPr="00F213E7">
        <w:rPr>
          <w:rFonts w:ascii="Arial" w:eastAsia="Calibri" w:hAnsi="Arial" w:cs="Arial"/>
          <w:b/>
          <w:bCs/>
          <w:color w:val="000000" w:themeColor="text1"/>
          <w:sz w:val="22"/>
          <w:szCs w:val="22"/>
          <w:lang w:val="es-ES_tradnl"/>
        </w:rPr>
        <w:t xml:space="preserve">Verificación de la capacidad financiera y organizacional </w:t>
      </w:r>
      <w:r w:rsidR="009F64C2" w:rsidRPr="009F64C2">
        <w:rPr>
          <w:rFonts w:ascii="Arial" w:eastAsia="Calibri" w:hAnsi="Arial" w:cs="Arial"/>
          <w:b/>
          <w:bCs/>
          <w:color w:val="000000" w:themeColor="text1"/>
          <w:sz w:val="22"/>
          <w:szCs w:val="22"/>
          <w:lang w:val="es-ES_tradnl"/>
        </w:rPr>
        <w:t>de acuerdo con los Decretos 399 y 579 de 2021</w:t>
      </w:r>
    </w:p>
    <w:p w14:paraId="3CEF32AF" w14:textId="3F782B95" w:rsidR="00050D61" w:rsidRPr="00F213E7" w:rsidRDefault="00050D61" w:rsidP="00271230">
      <w:pPr>
        <w:spacing w:line="276" w:lineRule="auto"/>
        <w:jc w:val="both"/>
        <w:rPr>
          <w:rFonts w:ascii="Arial" w:eastAsia="Calibri" w:hAnsi="Arial" w:cs="Arial"/>
          <w:color w:val="000000" w:themeColor="text1"/>
          <w:sz w:val="22"/>
          <w:szCs w:val="22"/>
          <w:lang w:val="es-ES_tradnl"/>
        </w:rPr>
      </w:pPr>
    </w:p>
    <w:p w14:paraId="002CBBF7" w14:textId="59BD3C2F" w:rsidR="00050D61" w:rsidRPr="00F213E7" w:rsidRDefault="007C1C8E" w:rsidP="00271230">
      <w:pPr>
        <w:spacing w:line="276" w:lineRule="auto"/>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Para lograr la reactivación económica, ante la crisis generada por la pandemia del COVID-19, el gobierno nacional expidió el Decreto 399 de 2021</w:t>
      </w:r>
      <w:r w:rsidR="005178FD" w:rsidRPr="00F213E7">
        <w:rPr>
          <w:rFonts w:ascii="Arial" w:eastAsia="Calibri" w:hAnsi="Arial" w:cs="Arial"/>
          <w:color w:val="000000" w:themeColor="text1"/>
          <w:sz w:val="22"/>
          <w:szCs w:val="22"/>
          <w:lang w:val="es-ES_tradnl"/>
        </w:rPr>
        <w:t>, mediante el cual se establecen algunas modificaciones al Decreto 1082 de 2015</w:t>
      </w:r>
      <w:r w:rsidR="00B8093E" w:rsidRPr="00F213E7">
        <w:rPr>
          <w:rFonts w:ascii="Arial" w:eastAsia="Calibri" w:hAnsi="Arial" w:cs="Arial"/>
          <w:color w:val="000000" w:themeColor="text1"/>
          <w:sz w:val="22"/>
          <w:szCs w:val="22"/>
          <w:lang w:val="es-ES_tradnl"/>
        </w:rPr>
        <w:t xml:space="preserve"> </w:t>
      </w:r>
      <w:r w:rsidR="005178FD" w:rsidRPr="00F213E7">
        <w:rPr>
          <w:rFonts w:ascii="Arial" w:eastAsia="Calibri" w:hAnsi="Arial" w:cs="Arial"/>
          <w:color w:val="000000" w:themeColor="text1"/>
          <w:sz w:val="22"/>
          <w:szCs w:val="22"/>
          <w:lang w:val="es-ES_tradnl"/>
        </w:rPr>
        <w:t xml:space="preserve">frente a la regulación de la información financiera y organizacional prevista en el Registro Único de Proponentes –RUP–. En tal sentido, se </w:t>
      </w:r>
      <w:r w:rsidR="00732734" w:rsidRPr="00F213E7">
        <w:rPr>
          <w:rFonts w:ascii="Arial" w:eastAsia="Calibri" w:hAnsi="Arial" w:cs="Arial"/>
          <w:color w:val="000000" w:themeColor="text1"/>
          <w:sz w:val="22"/>
          <w:szCs w:val="22"/>
          <w:lang w:val="es-ES_tradnl"/>
        </w:rPr>
        <w:t>indic</w:t>
      </w:r>
      <w:r w:rsidR="00BC1519" w:rsidRPr="00F213E7">
        <w:rPr>
          <w:rFonts w:ascii="Arial" w:eastAsia="Calibri" w:hAnsi="Arial" w:cs="Arial"/>
          <w:color w:val="000000" w:themeColor="text1"/>
          <w:sz w:val="22"/>
          <w:szCs w:val="22"/>
          <w:lang w:val="es-ES_tradnl"/>
        </w:rPr>
        <w:t>ó</w:t>
      </w:r>
      <w:r w:rsidR="005A553D" w:rsidRPr="00F213E7">
        <w:rPr>
          <w:rFonts w:ascii="Arial" w:eastAsia="Calibri" w:hAnsi="Arial" w:cs="Arial"/>
          <w:color w:val="000000" w:themeColor="text1"/>
          <w:sz w:val="22"/>
          <w:szCs w:val="22"/>
          <w:lang w:val="es-ES_tradnl"/>
        </w:rPr>
        <w:t xml:space="preserve"> –</w:t>
      </w:r>
      <w:r w:rsidR="007E56AE" w:rsidRPr="00F213E7">
        <w:rPr>
          <w:rFonts w:ascii="Arial" w:eastAsia="Calibri" w:hAnsi="Arial" w:cs="Arial"/>
          <w:color w:val="000000" w:themeColor="text1"/>
          <w:sz w:val="22"/>
          <w:szCs w:val="22"/>
          <w:lang w:val="es-ES_tradnl"/>
        </w:rPr>
        <w:t>a partir de la modificación posteriormente introducida por el Decreto 579 de 2021–</w:t>
      </w:r>
      <w:r w:rsidR="005178FD" w:rsidRPr="00F213E7">
        <w:rPr>
          <w:rFonts w:ascii="Arial" w:eastAsia="Calibri" w:hAnsi="Arial" w:cs="Arial"/>
          <w:color w:val="000000" w:themeColor="text1"/>
          <w:sz w:val="22"/>
          <w:szCs w:val="22"/>
          <w:lang w:val="es-ES_tradnl"/>
        </w:rPr>
        <w:t xml:space="preserve"> que </w:t>
      </w:r>
      <w:r w:rsidR="007668B9" w:rsidRPr="00F213E7">
        <w:rPr>
          <w:rFonts w:ascii="Arial" w:eastAsia="Calibri" w:hAnsi="Arial" w:cs="Arial"/>
          <w:color w:val="000000" w:themeColor="text1"/>
          <w:sz w:val="22"/>
          <w:szCs w:val="22"/>
          <w:lang w:val="es-ES_tradnl"/>
        </w:rPr>
        <w:t xml:space="preserve">a partir del 1 de </w:t>
      </w:r>
      <w:r w:rsidR="007E56AE" w:rsidRPr="00F213E7">
        <w:rPr>
          <w:rFonts w:ascii="Arial" w:eastAsia="Calibri" w:hAnsi="Arial" w:cs="Arial"/>
          <w:i/>
          <w:iCs/>
          <w:color w:val="000000" w:themeColor="text1"/>
          <w:sz w:val="22"/>
          <w:szCs w:val="22"/>
          <w:lang w:val="es-ES_tradnl"/>
        </w:rPr>
        <w:t>julio</w:t>
      </w:r>
      <w:r w:rsidR="00471E7D" w:rsidRPr="00F213E7">
        <w:rPr>
          <w:rFonts w:ascii="Arial" w:eastAsia="Calibri" w:hAnsi="Arial" w:cs="Arial"/>
          <w:color w:val="000000" w:themeColor="text1"/>
          <w:sz w:val="22"/>
          <w:szCs w:val="22"/>
          <w:lang w:val="es-ES_tradnl"/>
        </w:rPr>
        <w:t xml:space="preserve"> de 2021</w:t>
      </w:r>
      <w:r w:rsidR="00FF2EA5" w:rsidRPr="00F213E7">
        <w:rPr>
          <w:rStyle w:val="Refdenotaalpie"/>
          <w:rFonts w:ascii="Arial" w:eastAsia="Calibri" w:hAnsi="Arial" w:cs="Arial"/>
          <w:color w:val="000000" w:themeColor="text1"/>
          <w:sz w:val="22"/>
          <w:szCs w:val="22"/>
          <w:lang w:val="es-ES_tradnl"/>
        </w:rPr>
        <w:footnoteReference w:id="8"/>
      </w:r>
      <w:r w:rsidR="00471E7D" w:rsidRPr="00F213E7">
        <w:rPr>
          <w:rFonts w:ascii="Arial" w:eastAsia="Calibri" w:hAnsi="Arial" w:cs="Arial"/>
          <w:color w:val="000000" w:themeColor="text1"/>
          <w:sz w:val="22"/>
          <w:szCs w:val="22"/>
          <w:lang w:val="es-ES_tradnl"/>
        </w:rPr>
        <w:t xml:space="preserve"> las entidades estatales deberán tener en cuenta l</w:t>
      </w:r>
      <w:r w:rsidR="008A65AE" w:rsidRPr="00F213E7">
        <w:rPr>
          <w:rFonts w:ascii="Arial" w:eastAsia="Calibri" w:hAnsi="Arial" w:cs="Arial"/>
          <w:color w:val="000000" w:themeColor="text1"/>
          <w:sz w:val="22"/>
          <w:szCs w:val="22"/>
          <w:lang w:val="es-ES_tradnl"/>
        </w:rPr>
        <w:t>os datos sobre la capacidad financiera y organizacional de los últimos tres años, consignada en el RUP.</w:t>
      </w:r>
      <w:r w:rsidR="00045D1A" w:rsidRPr="00F213E7">
        <w:rPr>
          <w:rFonts w:ascii="Arial" w:eastAsia="Calibri" w:hAnsi="Arial" w:cs="Arial"/>
          <w:color w:val="000000" w:themeColor="text1"/>
          <w:sz w:val="22"/>
          <w:szCs w:val="22"/>
          <w:lang w:val="es-ES_tradnl"/>
        </w:rPr>
        <w:t xml:space="preserve"> Así lo justifica textualmente el reglamento</w:t>
      </w:r>
      <w:r w:rsidR="003A29C5" w:rsidRPr="00F213E7">
        <w:rPr>
          <w:rFonts w:ascii="Arial" w:eastAsia="Calibri" w:hAnsi="Arial" w:cs="Arial"/>
          <w:color w:val="000000" w:themeColor="text1"/>
          <w:sz w:val="22"/>
          <w:szCs w:val="22"/>
          <w:lang w:val="es-ES_tradnl"/>
        </w:rPr>
        <w:t xml:space="preserve"> mencionado</w:t>
      </w:r>
      <w:r w:rsidR="00045D1A" w:rsidRPr="00F213E7">
        <w:rPr>
          <w:rFonts w:ascii="Arial" w:eastAsia="Calibri" w:hAnsi="Arial" w:cs="Arial"/>
          <w:color w:val="000000" w:themeColor="text1"/>
          <w:sz w:val="22"/>
          <w:szCs w:val="22"/>
          <w:lang w:val="es-ES_tradnl"/>
        </w:rPr>
        <w:t>, en sus consideraciones:</w:t>
      </w:r>
    </w:p>
    <w:p w14:paraId="74C8D5EE" w14:textId="57C40452" w:rsidR="00045D1A" w:rsidRPr="00F213E7" w:rsidRDefault="00045D1A" w:rsidP="00045D1A">
      <w:pPr>
        <w:ind w:left="709" w:right="709"/>
        <w:jc w:val="both"/>
        <w:rPr>
          <w:rFonts w:ascii="Arial" w:eastAsia="Calibri" w:hAnsi="Arial" w:cs="Arial"/>
          <w:color w:val="000000" w:themeColor="text1"/>
          <w:sz w:val="21"/>
          <w:szCs w:val="21"/>
          <w:lang w:val="es-ES_tradnl"/>
        </w:rPr>
      </w:pPr>
    </w:p>
    <w:p w14:paraId="2846283F" w14:textId="77777777" w:rsidR="00045D1A" w:rsidRPr="00F213E7" w:rsidRDefault="00045D1A" w:rsidP="00045D1A">
      <w:pPr>
        <w:ind w:left="709" w:right="709"/>
        <w:jc w:val="both"/>
        <w:rPr>
          <w:rFonts w:ascii="Arial" w:eastAsia="Calibri" w:hAnsi="Arial" w:cs="Arial"/>
          <w:color w:val="000000" w:themeColor="text1"/>
          <w:sz w:val="21"/>
          <w:szCs w:val="21"/>
          <w:lang w:val="es-ES_tradnl"/>
        </w:rPr>
      </w:pPr>
      <w:r w:rsidRPr="00F213E7">
        <w:rPr>
          <w:rFonts w:ascii="Arial" w:eastAsia="Calibri" w:hAnsi="Arial" w:cs="Arial"/>
          <w:color w:val="000000" w:themeColor="text1"/>
          <w:sz w:val="21"/>
          <w:szCs w:val="21"/>
          <w:lang w:val="es-ES_tradnl"/>
        </w:rPr>
        <w:t>Que debido al impacto negativo en la economía del país, generado por la pandemia del COVID-19, reconociendo la realidad financiera de muchas de las personas naturales y jurídicas que fueron afectadas por ella y con la finalidad de permitir la reactivación económica, es conveniente modificar transitoriamente algunos artículos del Decreto 1082 de 2015, para que el Registro Único de Proponentes contenga información financiera de los oferentes en relación con los últimos tres (3) años y no solo del último año, lo cual aplicaría para las inscripciones y renovaciones que se realicen en los años 2021 y 2022.</w:t>
      </w:r>
    </w:p>
    <w:p w14:paraId="0093A102" w14:textId="77777777" w:rsidR="00045D1A" w:rsidRPr="00F213E7" w:rsidRDefault="00045D1A" w:rsidP="00045D1A">
      <w:pPr>
        <w:ind w:left="709" w:right="709"/>
        <w:jc w:val="both"/>
        <w:rPr>
          <w:rFonts w:ascii="Arial" w:eastAsia="Calibri" w:hAnsi="Arial" w:cs="Arial"/>
          <w:color w:val="000000" w:themeColor="text1"/>
          <w:sz w:val="21"/>
          <w:szCs w:val="21"/>
          <w:lang w:val="es-ES_tradnl"/>
        </w:rPr>
      </w:pPr>
    </w:p>
    <w:p w14:paraId="2D1673CA" w14:textId="4FAEF6A8" w:rsidR="00045D1A" w:rsidRPr="00F213E7" w:rsidRDefault="007D7F74" w:rsidP="00045D1A">
      <w:pPr>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p>
    <w:p w14:paraId="3B43D050" w14:textId="77777777" w:rsidR="00045D1A" w:rsidRPr="00F213E7" w:rsidRDefault="00045D1A" w:rsidP="00045D1A">
      <w:pPr>
        <w:ind w:left="709" w:right="709"/>
        <w:jc w:val="both"/>
        <w:rPr>
          <w:rFonts w:ascii="Arial" w:eastAsia="Calibri" w:hAnsi="Arial" w:cs="Arial"/>
          <w:color w:val="000000" w:themeColor="text1"/>
          <w:sz w:val="21"/>
          <w:szCs w:val="21"/>
          <w:lang w:val="es-ES_tradnl"/>
        </w:rPr>
      </w:pPr>
    </w:p>
    <w:p w14:paraId="20CC01E8" w14:textId="42E6CF82" w:rsidR="00045D1A" w:rsidRPr="00F213E7" w:rsidRDefault="00045D1A" w:rsidP="00045D1A">
      <w:pPr>
        <w:ind w:left="709" w:right="709"/>
        <w:jc w:val="both"/>
        <w:rPr>
          <w:rFonts w:ascii="Arial" w:eastAsia="Calibri" w:hAnsi="Arial" w:cs="Arial"/>
          <w:color w:val="000000" w:themeColor="text1"/>
          <w:sz w:val="21"/>
          <w:szCs w:val="21"/>
          <w:lang w:val="es-ES_tradnl"/>
        </w:rPr>
      </w:pPr>
      <w:r w:rsidRPr="00F213E7">
        <w:rPr>
          <w:rFonts w:ascii="Arial" w:eastAsia="Calibri" w:hAnsi="Arial" w:cs="Arial"/>
          <w:color w:val="000000" w:themeColor="text1"/>
          <w:sz w:val="21"/>
          <w:szCs w:val="21"/>
          <w:lang w:val="es-ES_tradnl"/>
        </w:rPr>
        <w:t>Que en armonía con lo anterior, para los procesos de selección cuyo acto administrativo de apertura o invitación se publique a partir del 1 de septiembre de 2021, las entidades estatales al estructurar sus procedimientos de selección tendrán en cuenta la información vigente y en firme que conste en el RUP, por lo que al evaluar las ofertas verificarán el cumplimiento de los requisitos habilitantes de capacidad financiera y organizacional, con los indicadores del mejor año que se refleje en el registro de cada proponente. De esta manera, los oferentes podrán acreditar el cumplimiento de estos requisitos habilitantes con los mejores indicadores de los últimos tres (3) años.</w:t>
      </w:r>
    </w:p>
    <w:p w14:paraId="2BB39362" w14:textId="77777777" w:rsidR="00045D1A" w:rsidRPr="00F213E7" w:rsidRDefault="00045D1A" w:rsidP="00045D1A">
      <w:pPr>
        <w:ind w:left="709" w:right="709"/>
        <w:jc w:val="both"/>
        <w:rPr>
          <w:rFonts w:ascii="Arial" w:eastAsia="Calibri" w:hAnsi="Arial" w:cs="Arial"/>
          <w:color w:val="000000" w:themeColor="text1"/>
          <w:sz w:val="21"/>
          <w:szCs w:val="21"/>
          <w:lang w:val="es-ES_tradnl"/>
        </w:rPr>
      </w:pPr>
    </w:p>
    <w:p w14:paraId="4D71D4C2" w14:textId="77777777" w:rsidR="00045D1A" w:rsidRPr="00F213E7" w:rsidRDefault="00045D1A" w:rsidP="00045D1A">
      <w:pPr>
        <w:ind w:left="709" w:right="709"/>
        <w:jc w:val="both"/>
        <w:rPr>
          <w:rFonts w:ascii="Arial" w:eastAsia="Calibri" w:hAnsi="Arial" w:cs="Arial"/>
          <w:color w:val="000000" w:themeColor="text1"/>
          <w:sz w:val="21"/>
          <w:szCs w:val="21"/>
          <w:lang w:val="es-ES_tradnl"/>
        </w:rPr>
      </w:pPr>
      <w:r w:rsidRPr="00F213E7">
        <w:rPr>
          <w:rFonts w:ascii="Arial" w:eastAsia="Calibri" w:hAnsi="Arial" w:cs="Arial"/>
          <w:color w:val="000000" w:themeColor="text1"/>
          <w:sz w:val="21"/>
          <w:szCs w:val="21"/>
          <w:lang w:val="es-ES_tradnl"/>
        </w:rPr>
        <w:t>Que mediante lo anterior se propenderá por una mayor pluralidad de oferentes en los procedimientos de selección y se fortalecerá la reactivación económica del país, al permitir la participación en estos procedimientos de proponentes que fueron afectados negativamente por la pandemia del COVID-19.</w:t>
      </w:r>
    </w:p>
    <w:p w14:paraId="15E6972E" w14:textId="6ADB510A" w:rsidR="00045D1A" w:rsidRPr="00F213E7" w:rsidRDefault="00045D1A" w:rsidP="00271230">
      <w:pPr>
        <w:spacing w:line="276" w:lineRule="auto"/>
        <w:jc w:val="both"/>
        <w:rPr>
          <w:rFonts w:ascii="Arial" w:eastAsia="Calibri" w:hAnsi="Arial" w:cs="Arial"/>
          <w:color w:val="000000" w:themeColor="text1"/>
          <w:sz w:val="22"/>
          <w:szCs w:val="22"/>
          <w:lang w:val="es-ES_tradnl"/>
        </w:rPr>
      </w:pPr>
    </w:p>
    <w:p w14:paraId="7AC0DA40" w14:textId="13B14D1E" w:rsidR="003D266D" w:rsidRPr="00F213E7" w:rsidRDefault="003D266D" w:rsidP="00EA3C17">
      <w:pPr>
        <w:spacing w:line="276" w:lineRule="auto"/>
        <w:ind w:firstLine="708"/>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lastRenderedPageBreak/>
        <w:t>En tal sentido, el artículo 4 del Decreto 399 de 2021</w:t>
      </w:r>
      <w:r w:rsidR="00E669E5" w:rsidRPr="00F213E7">
        <w:rPr>
          <w:rFonts w:ascii="Arial" w:eastAsia="Calibri" w:hAnsi="Arial" w:cs="Arial"/>
          <w:color w:val="000000" w:themeColor="text1"/>
          <w:sz w:val="22"/>
          <w:szCs w:val="22"/>
          <w:lang w:val="es-ES_tradnl"/>
        </w:rPr>
        <w:t xml:space="preserve"> adicion</w:t>
      </w:r>
      <w:r w:rsidR="00A44ADA" w:rsidRPr="00F213E7">
        <w:rPr>
          <w:rFonts w:ascii="Arial" w:eastAsia="Calibri" w:hAnsi="Arial" w:cs="Arial"/>
          <w:color w:val="000000" w:themeColor="text1"/>
          <w:sz w:val="22"/>
          <w:szCs w:val="22"/>
          <w:lang w:val="es-ES_tradnl"/>
        </w:rPr>
        <w:t>ó</w:t>
      </w:r>
      <w:r w:rsidR="00E669E5" w:rsidRPr="00F213E7">
        <w:rPr>
          <w:rFonts w:ascii="Arial" w:eastAsia="Calibri" w:hAnsi="Arial" w:cs="Arial"/>
          <w:color w:val="000000" w:themeColor="text1"/>
          <w:sz w:val="22"/>
          <w:szCs w:val="22"/>
          <w:lang w:val="es-ES_tradnl"/>
        </w:rPr>
        <w:t xml:space="preserve"> dos parágrafos transitorios al artículo </w:t>
      </w:r>
      <w:r w:rsidR="00C23B8A" w:rsidRPr="00F213E7">
        <w:rPr>
          <w:rFonts w:ascii="Arial" w:eastAsia="Calibri" w:hAnsi="Arial" w:cs="Arial"/>
          <w:color w:val="000000" w:themeColor="text1"/>
          <w:sz w:val="22"/>
          <w:szCs w:val="22"/>
          <w:lang w:val="es-ES_tradnl"/>
        </w:rPr>
        <w:t>2.2.1.1.1.5.2.</w:t>
      </w:r>
      <w:r w:rsidR="004132AF" w:rsidRPr="00F213E7">
        <w:rPr>
          <w:rFonts w:ascii="Arial" w:eastAsia="Calibri" w:hAnsi="Arial" w:cs="Arial"/>
          <w:color w:val="000000" w:themeColor="text1"/>
          <w:sz w:val="22"/>
          <w:szCs w:val="22"/>
          <w:lang w:val="es-ES_tradnl"/>
        </w:rPr>
        <w:t xml:space="preserve"> del Decreto 1082 de 2015</w:t>
      </w:r>
      <w:r w:rsidR="00170D4D" w:rsidRPr="00F213E7">
        <w:rPr>
          <w:rFonts w:ascii="Arial" w:eastAsia="Calibri" w:hAnsi="Arial" w:cs="Arial"/>
          <w:color w:val="000000" w:themeColor="text1"/>
          <w:sz w:val="22"/>
          <w:szCs w:val="22"/>
          <w:lang w:val="es-ES_tradnl"/>
        </w:rPr>
        <w:t>, que a su vez fueron sustituidos</w:t>
      </w:r>
      <w:r w:rsidR="00A44ADA" w:rsidRPr="00F213E7">
        <w:rPr>
          <w:rFonts w:ascii="Arial" w:eastAsia="Calibri" w:hAnsi="Arial" w:cs="Arial"/>
          <w:color w:val="000000" w:themeColor="text1"/>
          <w:sz w:val="22"/>
          <w:szCs w:val="22"/>
          <w:lang w:val="es-ES_tradnl"/>
        </w:rPr>
        <w:t xml:space="preserve"> posteriormente</w:t>
      </w:r>
      <w:r w:rsidR="00170D4D" w:rsidRPr="00F213E7">
        <w:rPr>
          <w:rFonts w:ascii="Arial" w:eastAsia="Calibri" w:hAnsi="Arial" w:cs="Arial"/>
          <w:color w:val="000000" w:themeColor="text1"/>
          <w:sz w:val="22"/>
          <w:szCs w:val="22"/>
          <w:lang w:val="es-ES_tradnl"/>
        </w:rPr>
        <w:t xml:space="preserve"> </w:t>
      </w:r>
      <w:r w:rsidR="0090220E" w:rsidRPr="00F213E7">
        <w:rPr>
          <w:rFonts w:ascii="Arial" w:eastAsia="Calibri" w:hAnsi="Arial" w:cs="Arial"/>
          <w:color w:val="000000" w:themeColor="text1"/>
          <w:sz w:val="22"/>
          <w:szCs w:val="22"/>
          <w:lang w:val="es-ES_tradnl"/>
        </w:rPr>
        <w:t>por el artículo 1 del Decreto 579 del 31 de mayo de 2021</w:t>
      </w:r>
      <w:r w:rsidR="008861E3" w:rsidRPr="00F213E7">
        <w:rPr>
          <w:rStyle w:val="Refdenotaalpie"/>
          <w:rFonts w:ascii="Arial" w:eastAsia="Calibri" w:hAnsi="Arial" w:cs="Arial"/>
          <w:color w:val="000000" w:themeColor="text1"/>
          <w:sz w:val="22"/>
          <w:szCs w:val="22"/>
          <w:lang w:val="es-ES_tradnl"/>
        </w:rPr>
        <w:footnoteReference w:id="9"/>
      </w:r>
      <w:r w:rsidR="008861E3" w:rsidRPr="00F213E7">
        <w:rPr>
          <w:rFonts w:ascii="Arial" w:eastAsia="Calibri" w:hAnsi="Arial" w:cs="Arial"/>
          <w:color w:val="000000" w:themeColor="text1"/>
          <w:sz w:val="22"/>
          <w:szCs w:val="22"/>
          <w:lang w:val="es-ES_tradnl"/>
        </w:rPr>
        <w:t xml:space="preserve">. </w:t>
      </w:r>
      <w:r w:rsidR="004212CC" w:rsidRPr="00F213E7">
        <w:rPr>
          <w:rFonts w:ascii="Arial" w:eastAsia="Calibri" w:hAnsi="Arial" w:cs="Arial"/>
          <w:color w:val="000000" w:themeColor="text1"/>
          <w:sz w:val="22"/>
          <w:szCs w:val="22"/>
          <w:lang w:val="es-ES_tradnl"/>
        </w:rPr>
        <w:t>E</w:t>
      </w:r>
      <w:r w:rsidR="008861E3" w:rsidRPr="00F213E7">
        <w:rPr>
          <w:rFonts w:ascii="Arial" w:eastAsia="Calibri" w:hAnsi="Arial" w:cs="Arial"/>
          <w:color w:val="000000" w:themeColor="text1"/>
          <w:sz w:val="22"/>
          <w:szCs w:val="22"/>
          <w:lang w:val="es-ES_tradnl"/>
        </w:rPr>
        <w:t>l parágrafo transitorio 1</w:t>
      </w:r>
      <w:r w:rsidR="00632A06" w:rsidRPr="00F213E7">
        <w:rPr>
          <w:rFonts w:ascii="Arial" w:eastAsia="Calibri" w:hAnsi="Arial" w:cs="Arial"/>
          <w:color w:val="000000" w:themeColor="text1"/>
          <w:sz w:val="22"/>
          <w:szCs w:val="22"/>
          <w:lang w:val="es-ES_tradnl"/>
        </w:rPr>
        <w:t xml:space="preserve"> establece que desde el 1 de </w:t>
      </w:r>
      <w:r w:rsidR="008B1778" w:rsidRPr="00F213E7">
        <w:rPr>
          <w:rFonts w:ascii="Arial" w:eastAsia="Calibri" w:hAnsi="Arial" w:cs="Arial"/>
          <w:color w:val="000000" w:themeColor="text1"/>
          <w:sz w:val="22"/>
          <w:szCs w:val="22"/>
          <w:lang w:val="es-ES_tradnl"/>
        </w:rPr>
        <w:t>junio</w:t>
      </w:r>
      <w:r w:rsidR="00B7640D" w:rsidRPr="00F213E7">
        <w:rPr>
          <w:rFonts w:ascii="Arial" w:eastAsia="Calibri" w:hAnsi="Arial" w:cs="Arial"/>
          <w:color w:val="000000" w:themeColor="text1"/>
          <w:sz w:val="22"/>
          <w:szCs w:val="22"/>
          <w:lang w:val="es-ES_tradnl"/>
        </w:rPr>
        <w:t xml:space="preserve"> de 2021 los interesados en inscribirse en el RUP</w:t>
      </w:r>
      <w:r w:rsidR="0077279E" w:rsidRPr="00F213E7">
        <w:rPr>
          <w:rFonts w:ascii="Arial" w:eastAsia="Calibri" w:hAnsi="Arial" w:cs="Arial"/>
          <w:color w:val="000000" w:themeColor="text1"/>
          <w:sz w:val="22"/>
          <w:szCs w:val="22"/>
          <w:lang w:val="es-ES_tradnl"/>
        </w:rPr>
        <w:t xml:space="preserve"> deben reportar</w:t>
      </w:r>
      <w:r w:rsidR="00067064" w:rsidRPr="00F213E7">
        <w:rPr>
          <w:rFonts w:ascii="Arial" w:eastAsia="Calibri" w:hAnsi="Arial" w:cs="Arial"/>
          <w:color w:val="000000" w:themeColor="text1"/>
          <w:sz w:val="22"/>
          <w:szCs w:val="22"/>
          <w:lang w:val="es-ES_tradnl"/>
        </w:rPr>
        <w:t xml:space="preserve"> la información contable</w:t>
      </w:r>
      <w:r w:rsidR="007C67F4" w:rsidRPr="00F213E7">
        <w:rPr>
          <w:rFonts w:ascii="Arial" w:eastAsia="Calibri" w:hAnsi="Arial" w:cs="Arial"/>
          <w:color w:val="000000" w:themeColor="text1"/>
          <w:sz w:val="22"/>
          <w:szCs w:val="22"/>
          <w:lang w:val="es-ES_tradnl"/>
        </w:rPr>
        <w:t xml:space="preserve"> y los estados financieros</w:t>
      </w:r>
      <w:r w:rsidR="00B75D76" w:rsidRPr="00F213E7">
        <w:rPr>
          <w:rFonts w:ascii="Arial" w:eastAsia="Calibri" w:hAnsi="Arial" w:cs="Arial"/>
          <w:color w:val="000000" w:themeColor="text1"/>
          <w:sz w:val="22"/>
          <w:szCs w:val="22"/>
          <w:lang w:val="es-ES_tradnl"/>
        </w:rPr>
        <w:t xml:space="preserve"> de los tres últimos años fiscales.</w:t>
      </w:r>
      <w:r w:rsidR="00820710" w:rsidRPr="00F213E7">
        <w:rPr>
          <w:rFonts w:ascii="Arial" w:eastAsia="Calibri" w:hAnsi="Arial" w:cs="Arial"/>
          <w:color w:val="000000" w:themeColor="text1"/>
          <w:sz w:val="22"/>
          <w:szCs w:val="22"/>
          <w:lang w:val="es-ES_tradnl"/>
        </w:rPr>
        <w:t xml:space="preserve"> Pero, si el interesado no tiene una antigüedad de</w:t>
      </w:r>
      <w:r w:rsidR="001541AD" w:rsidRPr="00F213E7">
        <w:rPr>
          <w:rFonts w:ascii="Arial" w:eastAsia="Calibri" w:hAnsi="Arial" w:cs="Arial"/>
          <w:color w:val="000000" w:themeColor="text1"/>
          <w:sz w:val="22"/>
          <w:szCs w:val="22"/>
          <w:lang w:val="es-ES_tradnl"/>
        </w:rPr>
        <w:t xml:space="preserve"> tres años, podrá acreditar dicha información desde el </w:t>
      </w:r>
      <w:r w:rsidR="00272AFB" w:rsidRPr="00F213E7">
        <w:rPr>
          <w:rFonts w:ascii="Arial" w:eastAsia="Calibri" w:hAnsi="Arial" w:cs="Arial"/>
          <w:color w:val="000000" w:themeColor="text1"/>
          <w:sz w:val="22"/>
          <w:szCs w:val="22"/>
          <w:lang w:val="es-ES_tradnl"/>
        </w:rPr>
        <w:t>primer</w:t>
      </w:r>
      <w:r w:rsidR="001541AD" w:rsidRPr="00F213E7">
        <w:rPr>
          <w:rFonts w:ascii="Arial" w:eastAsia="Calibri" w:hAnsi="Arial" w:cs="Arial"/>
          <w:color w:val="000000" w:themeColor="text1"/>
          <w:sz w:val="22"/>
          <w:szCs w:val="22"/>
          <w:lang w:val="es-ES_tradnl"/>
        </w:rPr>
        <w:t xml:space="preserve"> cierre fiscal</w:t>
      </w:r>
      <w:r w:rsidR="00272AFB" w:rsidRPr="00F213E7">
        <w:rPr>
          <w:rFonts w:ascii="Arial" w:eastAsia="Calibri" w:hAnsi="Arial" w:cs="Arial"/>
          <w:color w:val="000000" w:themeColor="text1"/>
          <w:sz w:val="22"/>
          <w:szCs w:val="22"/>
          <w:lang w:val="es-ES_tradnl"/>
        </w:rPr>
        <w:t>.</w:t>
      </w:r>
      <w:r w:rsidR="00373B6E" w:rsidRPr="00F213E7">
        <w:rPr>
          <w:rFonts w:ascii="Arial" w:eastAsia="Calibri" w:hAnsi="Arial" w:cs="Arial"/>
          <w:color w:val="000000" w:themeColor="text1"/>
          <w:sz w:val="22"/>
          <w:szCs w:val="22"/>
          <w:lang w:val="es-ES_tradnl"/>
        </w:rPr>
        <w:t xml:space="preserve"> Dicho parágrafo además permite que el </w:t>
      </w:r>
      <w:r w:rsidR="00A057C6" w:rsidRPr="00F213E7">
        <w:rPr>
          <w:rFonts w:ascii="Arial" w:eastAsia="Calibri" w:hAnsi="Arial" w:cs="Arial"/>
          <w:color w:val="000000" w:themeColor="text1"/>
          <w:sz w:val="22"/>
          <w:szCs w:val="22"/>
          <w:lang w:val="es-ES_tradnl"/>
        </w:rPr>
        <w:t>proponente con inscripción activa</w:t>
      </w:r>
      <w:r w:rsidR="002179DE" w:rsidRPr="00F213E7">
        <w:rPr>
          <w:rFonts w:ascii="Arial" w:eastAsia="Calibri" w:hAnsi="Arial" w:cs="Arial"/>
          <w:color w:val="000000" w:themeColor="text1"/>
          <w:sz w:val="22"/>
          <w:szCs w:val="22"/>
          <w:lang w:val="es-ES_tradnl"/>
        </w:rPr>
        <w:t xml:space="preserve"> y vigente</w:t>
      </w:r>
      <w:r w:rsidR="00A057C6" w:rsidRPr="00F213E7">
        <w:rPr>
          <w:rFonts w:ascii="Arial" w:eastAsia="Calibri" w:hAnsi="Arial" w:cs="Arial"/>
          <w:color w:val="000000" w:themeColor="text1"/>
          <w:sz w:val="22"/>
          <w:szCs w:val="22"/>
          <w:lang w:val="es-ES_tradnl"/>
        </w:rPr>
        <w:t xml:space="preserve"> en el RUP actualice la información </w:t>
      </w:r>
      <w:r w:rsidR="00260724" w:rsidRPr="00F213E7">
        <w:rPr>
          <w:rFonts w:ascii="Arial" w:eastAsia="Calibri" w:hAnsi="Arial" w:cs="Arial"/>
          <w:color w:val="000000" w:themeColor="text1"/>
          <w:sz w:val="22"/>
          <w:szCs w:val="22"/>
          <w:lang w:val="es-ES_tradnl"/>
        </w:rPr>
        <w:t xml:space="preserve">del </w:t>
      </w:r>
      <w:r w:rsidR="00A057C6" w:rsidRPr="00F213E7">
        <w:rPr>
          <w:rFonts w:ascii="Arial" w:eastAsia="Calibri" w:hAnsi="Arial" w:cs="Arial"/>
          <w:color w:val="000000" w:themeColor="text1"/>
          <w:sz w:val="22"/>
          <w:szCs w:val="22"/>
          <w:lang w:val="es-ES_tradnl"/>
        </w:rPr>
        <w:t>2018 y</w:t>
      </w:r>
      <w:r w:rsidR="004356CF" w:rsidRPr="00F213E7">
        <w:rPr>
          <w:rFonts w:ascii="Arial" w:eastAsia="Calibri" w:hAnsi="Arial" w:cs="Arial"/>
          <w:color w:val="000000" w:themeColor="text1"/>
          <w:sz w:val="22"/>
          <w:szCs w:val="22"/>
          <w:lang w:val="es-ES_tradnl"/>
        </w:rPr>
        <w:t>/o</w:t>
      </w:r>
      <w:r w:rsidR="00A057C6" w:rsidRPr="00F213E7">
        <w:rPr>
          <w:rFonts w:ascii="Arial" w:eastAsia="Calibri" w:hAnsi="Arial" w:cs="Arial"/>
          <w:color w:val="000000" w:themeColor="text1"/>
          <w:sz w:val="22"/>
          <w:szCs w:val="22"/>
          <w:lang w:val="es-ES_tradnl"/>
        </w:rPr>
        <w:t xml:space="preserve"> 2019</w:t>
      </w:r>
      <w:r w:rsidR="00AE5888" w:rsidRPr="00F213E7">
        <w:rPr>
          <w:rFonts w:ascii="Arial" w:eastAsia="Calibri" w:hAnsi="Arial" w:cs="Arial"/>
          <w:color w:val="000000" w:themeColor="text1"/>
          <w:sz w:val="22"/>
          <w:szCs w:val="22"/>
          <w:lang w:val="es-ES_tradnl"/>
        </w:rPr>
        <w:t xml:space="preserve">, por no contar con </w:t>
      </w:r>
      <w:r w:rsidR="00260724" w:rsidRPr="00F213E7">
        <w:rPr>
          <w:rFonts w:ascii="Arial" w:eastAsia="Calibri" w:hAnsi="Arial" w:cs="Arial"/>
          <w:color w:val="000000" w:themeColor="text1"/>
          <w:sz w:val="22"/>
          <w:szCs w:val="22"/>
          <w:lang w:val="es-ES_tradnl"/>
        </w:rPr>
        <w:t>los datos sobre</w:t>
      </w:r>
      <w:r w:rsidR="00AE5888" w:rsidRPr="00F213E7">
        <w:rPr>
          <w:rFonts w:ascii="Arial" w:eastAsia="Calibri" w:hAnsi="Arial" w:cs="Arial"/>
          <w:color w:val="000000" w:themeColor="text1"/>
          <w:sz w:val="22"/>
          <w:szCs w:val="22"/>
          <w:lang w:val="es-ES_tradnl"/>
        </w:rPr>
        <w:t xml:space="preserve"> la capacidad financiera y organizacional de estos años,</w:t>
      </w:r>
      <w:r w:rsidR="00A057C6" w:rsidRPr="00F213E7">
        <w:rPr>
          <w:rFonts w:ascii="Arial" w:eastAsia="Calibri" w:hAnsi="Arial" w:cs="Arial"/>
          <w:color w:val="000000" w:themeColor="text1"/>
          <w:sz w:val="22"/>
          <w:szCs w:val="22"/>
          <w:lang w:val="es-ES_tradnl"/>
        </w:rPr>
        <w:t xml:space="preserve"> de manera gratuita</w:t>
      </w:r>
      <w:r w:rsidR="00260724" w:rsidRPr="00F213E7">
        <w:rPr>
          <w:rFonts w:ascii="Arial" w:eastAsia="Calibri" w:hAnsi="Arial" w:cs="Arial"/>
          <w:color w:val="000000" w:themeColor="text1"/>
          <w:sz w:val="22"/>
          <w:szCs w:val="22"/>
          <w:lang w:val="es-ES_tradnl"/>
        </w:rPr>
        <w:t>,</w:t>
      </w:r>
      <w:r w:rsidR="00AE5888" w:rsidRPr="00F213E7">
        <w:rPr>
          <w:rFonts w:ascii="Arial" w:eastAsia="Calibri" w:hAnsi="Arial" w:cs="Arial"/>
          <w:color w:val="000000" w:themeColor="text1"/>
          <w:sz w:val="22"/>
          <w:szCs w:val="22"/>
          <w:lang w:val="es-ES_tradnl"/>
        </w:rPr>
        <w:t xml:space="preserve"> durante el mes de </w:t>
      </w:r>
      <w:r w:rsidR="00E04229" w:rsidRPr="00F213E7">
        <w:rPr>
          <w:rFonts w:ascii="Arial" w:eastAsia="Calibri" w:hAnsi="Arial" w:cs="Arial"/>
          <w:color w:val="000000" w:themeColor="text1"/>
          <w:sz w:val="22"/>
          <w:szCs w:val="22"/>
          <w:lang w:val="es-ES_tradnl"/>
        </w:rPr>
        <w:t>junio</w:t>
      </w:r>
      <w:r w:rsidR="00AE5888" w:rsidRPr="00F213E7">
        <w:rPr>
          <w:rFonts w:ascii="Arial" w:eastAsia="Calibri" w:hAnsi="Arial" w:cs="Arial"/>
          <w:color w:val="000000" w:themeColor="text1"/>
          <w:sz w:val="22"/>
          <w:szCs w:val="22"/>
          <w:lang w:val="es-ES_tradnl"/>
        </w:rPr>
        <w:t>, por una sola vez.</w:t>
      </w:r>
      <w:r w:rsidR="002179DE" w:rsidRPr="00F213E7">
        <w:rPr>
          <w:rFonts w:ascii="Arial" w:eastAsia="Calibri" w:hAnsi="Arial" w:cs="Arial"/>
          <w:color w:val="000000" w:themeColor="text1"/>
          <w:sz w:val="22"/>
          <w:szCs w:val="22"/>
          <w:lang w:val="es-ES_tradnl"/>
        </w:rPr>
        <w:t xml:space="preserve"> </w:t>
      </w:r>
      <w:r w:rsidR="0068180C" w:rsidRPr="00F213E7">
        <w:rPr>
          <w:rFonts w:ascii="Arial" w:eastAsia="Calibri" w:hAnsi="Arial" w:cs="Arial"/>
          <w:color w:val="000000" w:themeColor="text1"/>
          <w:sz w:val="22"/>
          <w:szCs w:val="22"/>
          <w:lang w:val="es-ES_tradnl"/>
        </w:rPr>
        <w:t xml:space="preserve">En todo caso, aclara </w:t>
      </w:r>
      <w:r w:rsidR="007D23EA" w:rsidRPr="00F213E7">
        <w:rPr>
          <w:rFonts w:ascii="Arial" w:eastAsia="Calibri" w:hAnsi="Arial" w:cs="Arial"/>
          <w:color w:val="000000" w:themeColor="text1"/>
          <w:sz w:val="22"/>
          <w:szCs w:val="22"/>
          <w:lang w:val="es-ES_tradnl"/>
        </w:rPr>
        <w:t>que,</w:t>
      </w:r>
      <w:r w:rsidR="0068180C" w:rsidRPr="00F213E7">
        <w:rPr>
          <w:rFonts w:ascii="Arial" w:eastAsia="Calibri" w:hAnsi="Arial" w:cs="Arial"/>
          <w:color w:val="000000" w:themeColor="text1"/>
          <w:sz w:val="22"/>
          <w:szCs w:val="22"/>
          <w:lang w:val="es-ES_tradnl"/>
        </w:rPr>
        <w:t xml:space="preserve"> si el proponente tiene registrada la información de dichos años en la cámara de comercio, no </w:t>
      </w:r>
      <w:r w:rsidR="00E352B9" w:rsidRPr="00F213E7">
        <w:rPr>
          <w:rFonts w:ascii="Arial" w:eastAsia="Calibri" w:hAnsi="Arial" w:cs="Arial"/>
          <w:color w:val="000000" w:themeColor="text1"/>
          <w:sz w:val="22"/>
          <w:szCs w:val="22"/>
          <w:lang w:val="es-ES_tradnl"/>
        </w:rPr>
        <w:t xml:space="preserve">deberá presentar </w:t>
      </w:r>
      <w:r w:rsidR="0088514D" w:rsidRPr="00F213E7">
        <w:rPr>
          <w:rFonts w:ascii="Arial" w:eastAsia="Calibri" w:hAnsi="Arial" w:cs="Arial"/>
          <w:color w:val="000000" w:themeColor="text1"/>
          <w:sz w:val="22"/>
          <w:szCs w:val="22"/>
          <w:lang w:val="es-ES_tradnl"/>
        </w:rPr>
        <w:t>esta información</w:t>
      </w:r>
      <w:r w:rsidR="00E352B9" w:rsidRPr="00F213E7">
        <w:rPr>
          <w:rFonts w:ascii="Arial" w:eastAsia="Calibri" w:hAnsi="Arial" w:cs="Arial"/>
          <w:color w:val="000000" w:themeColor="text1"/>
          <w:sz w:val="22"/>
          <w:szCs w:val="22"/>
          <w:lang w:val="es-ES_tradnl"/>
        </w:rPr>
        <w:t>.</w:t>
      </w:r>
    </w:p>
    <w:p w14:paraId="5A1A4A7F" w14:textId="6A65810C" w:rsidR="000C1FA3" w:rsidRPr="00F213E7" w:rsidRDefault="000C1FA3" w:rsidP="000C1FA3">
      <w:pPr>
        <w:spacing w:before="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El parágrafo transitorio 2</w:t>
      </w:r>
      <w:r w:rsidR="00F86787" w:rsidRPr="00F213E7">
        <w:rPr>
          <w:rFonts w:ascii="Arial" w:eastAsia="Calibri" w:hAnsi="Arial" w:cs="Arial"/>
          <w:color w:val="000000" w:themeColor="text1"/>
          <w:sz w:val="22"/>
          <w:szCs w:val="22"/>
          <w:lang w:val="es-ES_tradnl"/>
        </w:rPr>
        <w:t xml:space="preserve"> </w:t>
      </w:r>
      <w:r w:rsidR="003F4978" w:rsidRPr="00F213E7">
        <w:rPr>
          <w:rFonts w:ascii="Arial" w:eastAsia="Calibri" w:hAnsi="Arial" w:cs="Arial"/>
          <w:color w:val="000000" w:themeColor="text1"/>
          <w:sz w:val="22"/>
          <w:szCs w:val="22"/>
          <w:lang w:val="es-ES_tradnl"/>
        </w:rPr>
        <w:t xml:space="preserve">establece </w:t>
      </w:r>
      <w:r w:rsidR="007D23EA" w:rsidRPr="00F213E7">
        <w:rPr>
          <w:rFonts w:ascii="Arial" w:eastAsia="Calibri" w:hAnsi="Arial" w:cs="Arial"/>
          <w:color w:val="000000" w:themeColor="text1"/>
          <w:sz w:val="22"/>
          <w:szCs w:val="22"/>
          <w:lang w:val="es-ES_tradnl"/>
        </w:rPr>
        <w:t>que,</w:t>
      </w:r>
      <w:r w:rsidR="00F86787" w:rsidRPr="00F213E7">
        <w:rPr>
          <w:rFonts w:ascii="Arial" w:eastAsia="Calibri" w:hAnsi="Arial" w:cs="Arial"/>
          <w:color w:val="000000" w:themeColor="text1"/>
          <w:sz w:val="22"/>
          <w:szCs w:val="22"/>
          <w:lang w:val="es-ES_tradnl"/>
        </w:rPr>
        <w:t xml:space="preserve"> </w:t>
      </w:r>
      <w:r w:rsidR="004C496D" w:rsidRPr="00F213E7">
        <w:rPr>
          <w:rFonts w:ascii="Arial" w:eastAsia="Calibri" w:hAnsi="Arial" w:cs="Arial"/>
          <w:color w:val="000000" w:themeColor="text1"/>
          <w:sz w:val="22"/>
          <w:szCs w:val="22"/>
          <w:lang w:val="es-ES_tradnl"/>
        </w:rPr>
        <w:t xml:space="preserve">en el año 2022, </w:t>
      </w:r>
      <w:r w:rsidR="00F86787" w:rsidRPr="00F213E7">
        <w:rPr>
          <w:rFonts w:ascii="Arial" w:eastAsia="Calibri" w:hAnsi="Arial" w:cs="Arial"/>
          <w:color w:val="000000" w:themeColor="text1"/>
          <w:sz w:val="22"/>
          <w:szCs w:val="22"/>
          <w:lang w:val="es-ES_tradnl"/>
        </w:rPr>
        <w:t xml:space="preserve">para </w:t>
      </w:r>
      <w:r w:rsidR="00F35F49" w:rsidRPr="00F213E7">
        <w:rPr>
          <w:rFonts w:ascii="Arial" w:eastAsia="Calibri" w:hAnsi="Arial" w:cs="Arial"/>
          <w:color w:val="000000" w:themeColor="text1"/>
          <w:sz w:val="22"/>
          <w:szCs w:val="22"/>
          <w:lang w:val="es-ES_tradnl"/>
        </w:rPr>
        <w:t xml:space="preserve">la inscripción en el RUP o para su renovación, </w:t>
      </w:r>
      <w:r w:rsidR="00697C25" w:rsidRPr="00F213E7">
        <w:rPr>
          <w:rFonts w:ascii="Arial" w:eastAsia="Calibri" w:hAnsi="Arial" w:cs="Arial"/>
          <w:color w:val="000000" w:themeColor="text1"/>
          <w:sz w:val="22"/>
          <w:szCs w:val="22"/>
          <w:lang w:val="es-ES_tradnl"/>
        </w:rPr>
        <w:t>el interesado debe reportar la información contable y los estados financieros, de los tres últimos años fiscales.</w:t>
      </w:r>
      <w:r w:rsidR="008E1D7A" w:rsidRPr="00F213E7">
        <w:rPr>
          <w:rFonts w:ascii="Arial" w:eastAsia="Calibri" w:hAnsi="Arial" w:cs="Arial"/>
          <w:color w:val="000000" w:themeColor="text1"/>
          <w:sz w:val="22"/>
          <w:szCs w:val="22"/>
          <w:lang w:val="es-ES_tradnl"/>
        </w:rPr>
        <w:t xml:space="preserve"> Además, reitera </w:t>
      </w:r>
      <w:r w:rsidR="007D23EA" w:rsidRPr="00F213E7">
        <w:rPr>
          <w:rFonts w:ascii="Arial" w:eastAsia="Calibri" w:hAnsi="Arial" w:cs="Arial"/>
          <w:color w:val="000000" w:themeColor="text1"/>
          <w:sz w:val="22"/>
          <w:szCs w:val="22"/>
          <w:lang w:val="es-ES_tradnl"/>
        </w:rPr>
        <w:t>que,</w:t>
      </w:r>
      <w:r w:rsidR="008E1D7A" w:rsidRPr="00F213E7">
        <w:rPr>
          <w:rFonts w:ascii="Arial" w:eastAsia="Calibri" w:hAnsi="Arial" w:cs="Arial"/>
          <w:color w:val="000000" w:themeColor="text1"/>
          <w:sz w:val="22"/>
          <w:szCs w:val="22"/>
          <w:lang w:val="es-ES_tradnl"/>
        </w:rPr>
        <w:t xml:space="preserve"> si </w:t>
      </w:r>
      <w:r w:rsidR="00A17F59" w:rsidRPr="00F213E7">
        <w:rPr>
          <w:rFonts w:ascii="Arial" w:eastAsia="Calibri" w:hAnsi="Arial" w:cs="Arial"/>
          <w:color w:val="000000" w:themeColor="text1"/>
          <w:sz w:val="22"/>
          <w:szCs w:val="22"/>
          <w:lang w:val="es-ES_tradnl"/>
        </w:rPr>
        <w:t>aquel no cuenta con la información financiera de dichos años</w:t>
      </w:r>
      <w:r w:rsidR="003F4978" w:rsidRPr="00F213E7">
        <w:rPr>
          <w:rFonts w:ascii="Arial" w:eastAsia="Calibri" w:hAnsi="Arial" w:cs="Arial"/>
          <w:color w:val="000000" w:themeColor="text1"/>
          <w:sz w:val="22"/>
          <w:szCs w:val="22"/>
          <w:lang w:val="es-ES_tradnl"/>
        </w:rPr>
        <w:t>,</w:t>
      </w:r>
      <w:r w:rsidR="00A17F59" w:rsidRPr="00F213E7">
        <w:rPr>
          <w:rFonts w:ascii="Arial" w:eastAsia="Calibri" w:hAnsi="Arial" w:cs="Arial"/>
          <w:color w:val="000000" w:themeColor="text1"/>
          <w:sz w:val="22"/>
          <w:szCs w:val="22"/>
          <w:lang w:val="es-ES_tradnl"/>
        </w:rPr>
        <w:t xml:space="preserve"> por no tener la antigüedad suficiente, </w:t>
      </w:r>
      <w:r w:rsidR="00FA1AB4" w:rsidRPr="00F213E7">
        <w:rPr>
          <w:rFonts w:ascii="Arial" w:eastAsia="Calibri" w:hAnsi="Arial" w:cs="Arial"/>
          <w:color w:val="000000" w:themeColor="text1"/>
          <w:sz w:val="22"/>
          <w:szCs w:val="22"/>
          <w:lang w:val="es-ES_tradnl"/>
        </w:rPr>
        <w:t xml:space="preserve">podrá aportar la información de su primer cierre fiscal. Igualmente, señala </w:t>
      </w:r>
      <w:r w:rsidR="007D23EA" w:rsidRPr="00F213E7">
        <w:rPr>
          <w:rFonts w:ascii="Arial" w:eastAsia="Calibri" w:hAnsi="Arial" w:cs="Arial"/>
          <w:color w:val="000000" w:themeColor="text1"/>
          <w:sz w:val="22"/>
          <w:szCs w:val="22"/>
          <w:lang w:val="es-ES_tradnl"/>
        </w:rPr>
        <w:t>que,</w:t>
      </w:r>
      <w:r w:rsidR="00FA1AB4" w:rsidRPr="00F213E7">
        <w:rPr>
          <w:rFonts w:ascii="Arial" w:eastAsia="Calibri" w:hAnsi="Arial" w:cs="Arial"/>
          <w:color w:val="000000" w:themeColor="text1"/>
          <w:sz w:val="22"/>
          <w:szCs w:val="22"/>
          <w:lang w:val="es-ES_tradnl"/>
        </w:rPr>
        <w:t xml:space="preserve"> </w:t>
      </w:r>
      <w:r w:rsidR="002F0AC0" w:rsidRPr="00F213E7">
        <w:rPr>
          <w:rFonts w:ascii="Arial" w:eastAsia="Calibri" w:hAnsi="Arial" w:cs="Arial"/>
          <w:color w:val="000000" w:themeColor="text1"/>
          <w:sz w:val="22"/>
          <w:szCs w:val="22"/>
          <w:lang w:val="es-ES_tradnl"/>
        </w:rPr>
        <w:t>si la información</w:t>
      </w:r>
      <w:r w:rsidR="003F4978" w:rsidRPr="00F213E7">
        <w:rPr>
          <w:rFonts w:ascii="Arial" w:eastAsia="Calibri" w:hAnsi="Arial" w:cs="Arial"/>
          <w:color w:val="000000" w:themeColor="text1"/>
          <w:sz w:val="22"/>
          <w:szCs w:val="22"/>
          <w:lang w:val="es-ES_tradnl"/>
        </w:rPr>
        <w:t xml:space="preserve"> </w:t>
      </w:r>
      <w:r w:rsidR="003F4978" w:rsidRPr="00F213E7">
        <w:rPr>
          <w:rFonts w:ascii="Arial" w:eastAsia="Calibri" w:hAnsi="Arial" w:cs="Arial"/>
          <w:color w:val="000000" w:themeColor="text1"/>
          <w:sz w:val="22"/>
          <w:szCs w:val="22"/>
          <w:lang w:val="es-ES_tradnl"/>
        </w:rPr>
        <w:lastRenderedPageBreak/>
        <w:t>del interesado</w:t>
      </w:r>
      <w:r w:rsidR="002F0AC0" w:rsidRPr="00F213E7">
        <w:rPr>
          <w:rFonts w:ascii="Arial" w:eastAsia="Calibri" w:hAnsi="Arial" w:cs="Arial"/>
          <w:color w:val="000000" w:themeColor="text1"/>
          <w:sz w:val="22"/>
          <w:szCs w:val="22"/>
          <w:lang w:val="es-ES_tradnl"/>
        </w:rPr>
        <w:t xml:space="preserve"> correspondiente a los años 2019 y/o</w:t>
      </w:r>
      <w:r w:rsidR="004356CF" w:rsidRPr="00F213E7">
        <w:rPr>
          <w:rFonts w:ascii="Arial" w:eastAsia="Calibri" w:hAnsi="Arial" w:cs="Arial"/>
          <w:color w:val="000000" w:themeColor="text1"/>
          <w:sz w:val="22"/>
          <w:szCs w:val="22"/>
          <w:lang w:val="es-ES_tradnl"/>
        </w:rPr>
        <w:t xml:space="preserve"> 2020 reposa en la cámara de comercio, no se tendrá que presentar de nuevo, porque </w:t>
      </w:r>
      <w:r w:rsidR="003F4978" w:rsidRPr="00F213E7">
        <w:rPr>
          <w:rFonts w:ascii="Arial" w:eastAsia="Calibri" w:hAnsi="Arial" w:cs="Arial"/>
          <w:color w:val="000000" w:themeColor="text1"/>
          <w:sz w:val="22"/>
          <w:szCs w:val="22"/>
          <w:lang w:val="es-ES_tradnl"/>
        </w:rPr>
        <w:t xml:space="preserve">conservará </w:t>
      </w:r>
      <w:r w:rsidR="004356CF" w:rsidRPr="00F213E7">
        <w:rPr>
          <w:rFonts w:ascii="Arial" w:eastAsia="Calibri" w:hAnsi="Arial" w:cs="Arial"/>
          <w:color w:val="000000" w:themeColor="text1"/>
          <w:sz w:val="22"/>
          <w:szCs w:val="22"/>
          <w:lang w:val="es-ES_tradnl"/>
        </w:rPr>
        <w:t>firmeza</w:t>
      </w:r>
      <w:r w:rsidR="003F4978" w:rsidRPr="00F213E7">
        <w:rPr>
          <w:rFonts w:ascii="Arial" w:eastAsia="Calibri" w:hAnsi="Arial" w:cs="Arial"/>
          <w:color w:val="000000" w:themeColor="text1"/>
          <w:sz w:val="22"/>
          <w:szCs w:val="22"/>
          <w:lang w:val="es-ES_tradnl"/>
        </w:rPr>
        <w:t xml:space="preserve"> para efectos de su certificación</w:t>
      </w:r>
      <w:r w:rsidR="004356CF" w:rsidRPr="00F213E7">
        <w:rPr>
          <w:rFonts w:ascii="Arial" w:eastAsia="Calibri" w:hAnsi="Arial" w:cs="Arial"/>
          <w:color w:val="000000" w:themeColor="text1"/>
          <w:sz w:val="22"/>
          <w:szCs w:val="22"/>
          <w:lang w:val="es-ES_tradnl"/>
        </w:rPr>
        <w:t>.</w:t>
      </w:r>
    </w:p>
    <w:p w14:paraId="614A6BC9" w14:textId="5676B767" w:rsidR="00AB2797" w:rsidRPr="00F213E7" w:rsidRDefault="007B1DCD" w:rsidP="00AB2797">
      <w:pPr>
        <w:spacing w:before="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Por otra parte, el artículo 5 del Decreto 399 de 2021</w:t>
      </w:r>
      <w:r w:rsidR="00C02CBF" w:rsidRPr="00F213E7">
        <w:rPr>
          <w:rFonts w:ascii="Arial" w:eastAsia="Calibri" w:hAnsi="Arial" w:cs="Arial"/>
          <w:color w:val="000000" w:themeColor="text1"/>
          <w:sz w:val="22"/>
          <w:szCs w:val="22"/>
          <w:lang w:val="es-ES_tradnl"/>
        </w:rPr>
        <w:t xml:space="preserve"> adiciona dos parágrafos transitorios</w:t>
      </w:r>
      <w:r w:rsidR="008A3A70" w:rsidRPr="00F213E7">
        <w:rPr>
          <w:rFonts w:ascii="Arial" w:eastAsia="Calibri" w:hAnsi="Arial" w:cs="Arial"/>
          <w:color w:val="000000" w:themeColor="text1"/>
          <w:sz w:val="22"/>
          <w:szCs w:val="22"/>
          <w:lang w:val="es-ES_tradnl"/>
        </w:rPr>
        <w:t xml:space="preserve"> al artículo </w:t>
      </w:r>
      <w:r w:rsidR="00E11C7B" w:rsidRPr="00F213E7">
        <w:rPr>
          <w:rFonts w:ascii="Arial" w:eastAsia="Calibri" w:hAnsi="Arial" w:cs="Arial"/>
          <w:color w:val="000000" w:themeColor="text1"/>
          <w:sz w:val="22"/>
          <w:szCs w:val="22"/>
          <w:lang w:val="es-ES_tradnl"/>
        </w:rPr>
        <w:t>2.2.1.1.1.5.6.</w:t>
      </w:r>
      <w:r w:rsidR="00D27FFA" w:rsidRPr="00F213E7">
        <w:rPr>
          <w:rFonts w:ascii="Arial" w:eastAsia="Calibri" w:hAnsi="Arial" w:cs="Arial"/>
          <w:color w:val="000000" w:themeColor="text1"/>
          <w:sz w:val="22"/>
          <w:szCs w:val="22"/>
          <w:lang w:val="es-ES_tradnl"/>
        </w:rPr>
        <w:t xml:space="preserve"> del Decreto 1082 de 2015</w:t>
      </w:r>
      <w:r w:rsidR="003564BA" w:rsidRPr="00F213E7">
        <w:rPr>
          <w:rFonts w:ascii="Arial" w:eastAsia="Calibri" w:hAnsi="Arial" w:cs="Arial"/>
          <w:color w:val="000000" w:themeColor="text1"/>
          <w:sz w:val="22"/>
          <w:szCs w:val="22"/>
          <w:lang w:val="es-ES_tradnl"/>
        </w:rPr>
        <w:t>, que regula el contenido del certificado del RUP</w:t>
      </w:r>
      <w:r w:rsidR="00D27FFA" w:rsidRPr="00F213E7">
        <w:rPr>
          <w:rFonts w:ascii="Arial" w:eastAsia="Calibri" w:hAnsi="Arial" w:cs="Arial"/>
          <w:color w:val="000000" w:themeColor="text1"/>
          <w:sz w:val="22"/>
          <w:szCs w:val="22"/>
          <w:lang w:val="es-ES_tradnl"/>
        </w:rPr>
        <w:t>.</w:t>
      </w:r>
      <w:r w:rsidR="002379E2" w:rsidRPr="00F213E7">
        <w:rPr>
          <w:rFonts w:ascii="Arial" w:eastAsia="Calibri" w:hAnsi="Arial" w:cs="Arial"/>
          <w:color w:val="000000" w:themeColor="text1"/>
          <w:sz w:val="22"/>
          <w:szCs w:val="22"/>
          <w:lang w:val="es-ES_tradnl"/>
        </w:rPr>
        <w:t xml:space="preserve"> </w:t>
      </w:r>
      <w:r w:rsidR="0023777A" w:rsidRPr="00F213E7">
        <w:rPr>
          <w:rFonts w:ascii="Arial" w:eastAsia="Calibri" w:hAnsi="Arial" w:cs="Arial"/>
          <w:color w:val="000000" w:themeColor="text1"/>
          <w:sz w:val="22"/>
          <w:szCs w:val="22"/>
          <w:lang w:val="es-ES_tradnl"/>
        </w:rPr>
        <w:t>E</w:t>
      </w:r>
      <w:r w:rsidR="00D27FFA" w:rsidRPr="00F213E7">
        <w:rPr>
          <w:rFonts w:ascii="Arial" w:eastAsia="Calibri" w:hAnsi="Arial" w:cs="Arial"/>
          <w:color w:val="000000" w:themeColor="text1"/>
          <w:sz w:val="22"/>
          <w:szCs w:val="22"/>
          <w:lang w:val="es-ES_tradnl"/>
        </w:rPr>
        <w:t>l primer</w:t>
      </w:r>
      <w:r w:rsidR="003564BA" w:rsidRPr="00F213E7">
        <w:rPr>
          <w:rFonts w:ascii="Arial" w:eastAsia="Calibri" w:hAnsi="Arial" w:cs="Arial"/>
          <w:color w:val="000000" w:themeColor="text1"/>
          <w:sz w:val="22"/>
          <w:szCs w:val="22"/>
          <w:lang w:val="es-ES_tradnl"/>
        </w:rPr>
        <w:t xml:space="preserve"> parágrafo transitorio</w:t>
      </w:r>
      <w:r w:rsidR="002379E2" w:rsidRPr="00F213E7">
        <w:rPr>
          <w:rFonts w:ascii="Arial" w:eastAsia="Calibri" w:hAnsi="Arial" w:cs="Arial"/>
          <w:color w:val="000000" w:themeColor="text1"/>
          <w:sz w:val="22"/>
          <w:szCs w:val="22"/>
          <w:lang w:val="es-ES_tradnl"/>
        </w:rPr>
        <w:t xml:space="preserve">, que fue posteriormente sustituido por el artículo </w:t>
      </w:r>
      <w:r w:rsidR="00472333" w:rsidRPr="00F213E7">
        <w:rPr>
          <w:rFonts w:ascii="Arial" w:eastAsia="Calibri" w:hAnsi="Arial" w:cs="Arial"/>
          <w:color w:val="000000" w:themeColor="text1"/>
          <w:sz w:val="22"/>
          <w:szCs w:val="22"/>
          <w:lang w:val="es-ES_tradnl"/>
        </w:rPr>
        <w:t xml:space="preserve">2 del Decreto 579 de 2021, </w:t>
      </w:r>
      <w:r w:rsidR="00A212E6" w:rsidRPr="00F213E7">
        <w:rPr>
          <w:rFonts w:ascii="Arial" w:eastAsia="Calibri" w:hAnsi="Arial" w:cs="Arial"/>
          <w:color w:val="000000" w:themeColor="text1"/>
          <w:sz w:val="22"/>
          <w:szCs w:val="22"/>
          <w:lang w:val="es-ES_tradnl"/>
        </w:rPr>
        <w:t>establece que</w:t>
      </w:r>
      <w:r w:rsidR="000D5C7D" w:rsidRPr="00F213E7">
        <w:rPr>
          <w:rFonts w:ascii="Arial" w:eastAsia="Calibri" w:hAnsi="Arial" w:cs="Arial"/>
          <w:color w:val="000000" w:themeColor="text1"/>
          <w:sz w:val="22"/>
          <w:szCs w:val="22"/>
          <w:lang w:val="es-ES_tradnl"/>
        </w:rPr>
        <w:t xml:space="preserve"> «</w:t>
      </w:r>
      <w:r w:rsidR="000D5C7D" w:rsidRPr="00F213E7">
        <w:rPr>
          <w:rFonts w:ascii="Arial" w:hAnsi="Arial" w:cs="Arial"/>
          <w:sz w:val="22"/>
          <w:szCs w:val="22"/>
          <w:lang w:val="es-ES_tradnl"/>
        </w:rPr>
        <w:t xml:space="preserve">[…] </w:t>
      </w:r>
      <w:r w:rsidR="000D5C7D" w:rsidRPr="00F213E7">
        <w:rPr>
          <w:rFonts w:ascii="Arial" w:eastAsia="Calibri" w:hAnsi="Arial" w:cs="Arial"/>
          <w:color w:val="000000" w:themeColor="text1"/>
          <w:sz w:val="22"/>
          <w:szCs w:val="22"/>
          <w:lang w:val="es-ES_tradnl"/>
        </w:rPr>
        <w:t>los requisitos e indicadores de la capacidad financiera y organizacional de que trata el literal (b) del artículo 2.2.1.1.1.5.6. del Decreto 1082 de 2015 corresponderán a los últimos tres (3) años fiscales anteriores a la inscripción o renovación, dependiendo de la antigüedad del proponente</w:t>
      </w:r>
      <w:r w:rsidR="00CD6FFF" w:rsidRPr="00F213E7">
        <w:rPr>
          <w:rFonts w:ascii="Arial" w:eastAsia="Calibri" w:hAnsi="Arial" w:cs="Arial"/>
          <w:color w:val="000000" w:themeColor="text1"/>
          <w:sz w:val="22"/>
          <w:szCs w:val="22"/>
          <w:lang w:val="es-ES_tradnl"/>
        </w:rPr>
        <w:t>». Para esto, las cámaras de comercio</w:t>
      </w:r>
      <w:r w:rsidR="002D1E04" w:rsidRPr="00F213E7">
        <w:rPr>
          <w:rFonts w:ascii="Arial" w:eastAsia="Calibri" w:hAnsi="Arial" w:cs="Arial"/>
          <w:color w:val="000000" w:themeColor="text1"/>
          <w:sz w:val="22"/>
          <w:szCs w:val="22"/>
          <w:lang w:val="es-ES_tradnl"/>
        </w:rPr>
        <w:t xml:space="preserve">, a partir del 1 de </w:t>
      </w:r>
      <w:r w:rsidR="00244421" w:rsidRPr="00F213E7">
        <w:rPr>
          <w:rFonts w:ascii="Arial" w:eastAsia="Calibri" w:hAnsi="Arial" w:cs="Arial"/>
          <w:color w:val="000000" w:themeColor="text1"/>
          <w:sz w:val="22"/>
          <w:szCs w:val="22"/>
          <w:lang w:val="es-ES_tradnl"/>
        </w:rPr>
        <w:t>julio</w:t>
      </w:r>
      <w:r w:rsidR="002D1E04" w:rsidRPr="00F213E7">
        <w:rPr>
          <w:rFonts w:ascii="Arial" w:eastAsia="Calibri" w:hAnsi="Arial" w:cs="Arial"/>
          <w:color w:val="000000" w:themeColor="text1"/>
          <w:sz w:val="22"/>
          <w:szCs w:val="22"/>
          <w:lang w:val="es-ES_tradnl"/>
        </w:rPr>
        <w:t xml:space="preserve"> de 2021, «</w:t>
      </w:r>
      <w:r w:rsidR="00FE3F1F" w:rsidRPr="00F213E7">
        <w:rPr>
          <w:rFonts w:ascii="Arial" w:hAnsi="Arial" w:cs="Arial"/>
          <w:sz w:val="22"/>
          <w:szCs w:val="22"/>
          <w:lang w:val="es-ES_tradnl"/>
        </w:rPr>
        <w:t>c</w:t>
      </w:r>
      <w:r w:rsidR="002D1E04" w:rsidRPr="00F213E7">
        <w:rPr>
          <w:rFonts w:ascii="Arial" w:eastAsia="Calibri" w:hAnsi="Arial" w:cs="Arial"/>
          <w:color w:val="000000" w:themeColor="text1"/>
          <w:sz w:val="22"/>
          <w:szCs w:val="22"/>
          <w:lang w:val="es-ES_tradnl"/>
        </w:rPr>
        <w:t>ertificarán la información de que tratan los parágrafos transitorios 1 y 2 del artículo 2.2.1.1.1.5.2. de este Decreto». Los requisitos e indicadores de la capacidad financiera</w:t>
      </w:r>
      <w:r w:rsidR="008F682A" w:rsidRPr="00F213E7">
        <w:rPr>
          <w:rFonts w:ascii="Arial" w:eastAsia="Calibri" w:hAnsi="Arial" w:cs="Arial"/>
          <w:color w:val="000000" w:themeColor="text1"/>
          <w:sz w:val="22"/>
          <w:szCs w:val="22"/>
          <w:lang w:val="es-ES_tradnl"/>
        </w:rPr>
        <w:t xml:space="preserve"> </w:t>
      </w:r>
      <w:r w:rsidR="002D1E04" w:rsidRPr="00F213E7">
        <w:rPr>
          <w:rFonts w:ascii="Arial" w:eastAsia="Calibri" w:hAnsi="Arial" w:cs="Arial"/>
          <w:color w:val="000000" w:themeColor="text1"/>
          <w:sz w:val="22"/>
          <w:szCs w:val="22"/>
          <w:lang w:val="es-ES_tradnl"/>
        </w:rPr>
        <w:t xml:space="preserve">consagrados en el literal (b) del artículo 2.2.1.1.1.5.6. del Decreto 1082 de 2015 son: </w:t>
      </w:r>
      <w:r w:rsidR="007B5462" w:rsidRPr="00F213E7">
        <w:rPr>
          <w:rFonts w:ascii="Arial" w:eastAsia="Calibri" w:hAnsi="Arial" w:cs="Arial"/>
          <w:color w:val="000000" w:themeColor="text1"/>
          <w:sz w:val="22"/>
          <w:szCs w:val="22"/>
          <w:lang w:val="es-ES_tradnl"/>
        </w:rPr>
        <w:t xml:space="preserve">i) el índice de liquidez, </w:t>
      </w:r>
      <w:proofErr w:type="spellStart"/>
      <w:r w:rsidR="007B5462" w:rsidRPr="00F213E7">
        <w:rPr>
          <w:rFonts w:ascii="Arial" w:eastAsia="Calibri" w:hAnsi="Arial" w:cs="Arial"/>
          <w:color w:val="000000" w:themeColor="text1"/>
          <w:sz w:val="22"/>
          <w:szCs w:val="22"/>
          <w:lang w:val="es-ES_tradnl"/>
        </w:rPr>
        <w:t>ii</w:t>
      </w:r>
      <w:proofErr w:type="spellEnd"/>
      <w:r w:rsidR="007B5462" w:rsidRPr="00F213E7">
        <w:rPr>
          <w:rFonts w:ascii="Arial" w:eastAsia="Calibri" w:hAnsi="Arial" w:cs="Arial"/>
          <w:color w:val="000000" w:themeColor="text1"/>
          <w:sz w:val="22"/>
          <w:szCs w:val="22"/>
          <w:lang w:val="es-ES_tradnl"/>
        </w:rPr>
        <w:t>) el índice de endeudamiento</w:t>
      </w:r>
      <w:r w:rsidR="00FF28E9" w:rsidRPr="00F213E7">
        <w:rPr>
          <w:rFonts w:ascii="Arial" w:eastAsia="Calibri" w:hAnsi="Arial" w:cs="Arial"/>
          <w:color w:val="000000" w:themeColor="text1"/>
          <w:sz w:val="22"/>
          <w:szCs w:val="22"/>
          <w:lang w:val="es-ES_tradnl"/>
        </w:rPr>
        <w:t xml:space="preserve"> y </w:t>
      </w:r>
      <w:proofErr w:type="spellStart"/>
      <w:r w:rsidR="007B5462" w:rsidRPr="00F213E7">
        <w:rPr>
          <w:rFonts w:ascii="Arial" w:eastAsia="Calibri" w:hAnsi="Arial" w:cs="Arial"/>
          <w:color w:val="000000" w:themeColor="text1"/>
          <w:sz w:val="22"/>
          <w:szCs w:val="22"/>
          <w:lang w:val="es-ES_tradnl"/>
        </w:rPr>
        <w:t>iii</w:t>
      </w:r>
      <w:proofErr w:type="spellEnd"/>
      <w:r w:rsidR="007B5462" w:rsidRPr="00F213E7">
        <w:rPr>
          <w:rFonts w:ascii="Arial" w:eastAsia="Calibri" w:hAnsi="Arial" w:cs="Arial"/>
          <w:color w:val="000000" w:themeColor="text1"/>
          <w:sz w:val="22"/>
          <w:szCs w:val="22"/>
          <w:lang w:val="es-ES_tradnl"/>
        </w:rPr>
        <w:t>)</w:t>
      </w:r>
      <w:r w:rsidR="00FF28E9" w:rsidRPr="00F213E7">
        <w:rPr>
          <w:rFonts w:ascii="Arial" w:eastAsia="Calibri" w:hAnsi="Arial" w:cs="Arial"/>
          <w:color w:val="000000" w:themeColor="text1"/>
          <w:sz w:val="22"/>
          <w:szCs w:val="22"/>
          <w:lang w:val="es-ES_tradnl"/>
        </w:rPr>
        <w:t xml:space="preserve"> la razón de cobertura de intereses. Los requisitos</w:t>
      </w:r>
      <w:r w:rsidR="00393FEC" w:rsidRPr="00F213E7">
        <w:rPr>
          <w:rFonts w:ascii="Arial" w:eastAsia="Calibri" w:hAnsi="Arial" w:cs="Arial"/>
          <w:color w:val="000000" w:themeColor="text1"/>
          <w:sz w:val="22"/>
          <w:szCs w:val="22"/>
          <w:lang w:val="es-ES_tradnl"/>
        </w:rPr>
        <w:t xml:space="preserve"> e indicares de capacidad organizacional son: i) la rentabilidad del patrimonio y </w:t>
      </w:r>
      <w:proofErr w:type="spellStart"/>
      <w:r w:rsidR="00393FEC" w:rsidRPr="00F213E7">
        <w:rPr>
          <w:rFonts w:ascii="Arial" w:eastAsia="Calibri" w:hAnsi="Arial" w:cs="Arial"/>
          <w:color w:val="000000" w:themeColor="text1"/>
          <w:sz w:val="22"/>
          <w:szCs w:val="22"/>
          <w:lang w:val="es-ES_tradnl"/>
        </w:rPr>
        <w:t>ii</w:t>
      </w:r>
      <w:proofErr w:type="spellEnd"/>
      <w:r w:rsidR="00393FEC" w:rsidRPr="00F213E7">
        <w:rPr>
          <w:rFonts w:ascii="Arial" w:eastAsia="Calibri" w:hAnsi="Arial" w:cs="Arial"/>
          <w:color w:val="000000" w:themeColor="text1"/>
          <w:sz w:val="22"/>
          <w:szCs w:val="22"/>
          <w:lang w:val="es-ES_tradnl"/>
        </w:rPr>
        <w:t>) la rentabilidad del activo.</w:t>
      </w:r>
      <w:r w:rsidR="00BA58FC" w:rsidRPr="00F213E7">
        <w:rPr>
          <w:rFonts w:ascii="Arial" w:eastAsia="Calibri" w:hAnsi="Arial" w:cs="Arial"/>
          <w:color w:val="000000" w:themeColor="text1"/>
          <w:sz w:val="22"/>
          <w:szCs w:val="22"/>
          <w:lang w:val="es-ES_tradnl"/>
        </w:rPr>
        <w:t xml:space="preserve"> El segundo parágrafo transitorio </w:t>
      </w:r>
      <w:r w:rsidR="00571403" w:rsidRPr="00F213E7">
        <w:rPr>
          <w:rFonts w:ascii="Arial" w:eastAsia="Calibri" w:hAnsi="Arial" w:cs="Arial"/>
          <w:color w:val="000000" w:themeColor="text1"/>
          <w:sz w:val="22"/>
          <w:szCs w:val="22"/>
          <w:lang w:val="es-ES_tradnl"/>
        </w:rPr>
        <w:t xml:space="preserve">establece </w:t>
      </w:r>
      <w:r w:rsidR="004923DB" w:rsidRPr="00F213E7">
        <w:rPr>
          <w:rFonts w:ascii="Arial" w:eastAsia="Calibri" w:hAnsi="Arial" w:cs="Arial"/>
          <w:color w:val="000000" w:themeColor="text1"/>
          <w:sz w:val="22"/>
          <w:szCs w:val="22"/>
          <w:lang w:val="es-ES_tradnl"/>
        </w:rPr>
        <w:t>que «El</w:t>
      </w:r>
      <w:r w:rsidR="004923DB" w:rsidRPr="00F213E7">
        <w:rPr>
          <w:rFonts w:ascii="Arial" w:hAnsi="Arial" w:cs="Arial"/>
          <w:sz w:val="22"/>
          <w:szCs w:val="22"/>
          <w:lang w:val="es-ES_tradnl"/>
        </w:rPr>
        <w:t xml:space="preserve"> </w:t>
      </w:r>
      <w:r w:rsidR="004923DB" w:rsidRPr="00F213E7">
        <w:rPr>
          <w:rFonts w:ascii="Arial" w:eastAsia="Calibri" w:hAnsi="Arial" w:cs="Arial"/>
          <w:color w:val="000000" w:themeColor="text1"/>
          <w:sz w:val="22"/>
          <w:szCs w:val="22"/>
          <w:lang w:val="es-ES_tradnl"/>
        </w:rPr>
        <w:t>proponente con inscripción activa y vigente que reporte la información de la capacidad financiera y organizacional, señalada en los parágrafos transitorios 1 y 2 del artículo 2.2.1.1.1.5.2 del presente Decreto, deberá presentarla en el formato que las Cámaras de Comercio dispongan unificadamente para tal efecto"</w:t>
      </w:r>
      <w:r w:rsidR="004A0F88" w:rsidRPr="00F213E7">
        <w:rPr>
          <w:rFonts w:ascii="Arial" w:eastAsia="Calibri" w:hAnsi="Arial" w:cs="Arial"/>
          <w:color w:val="000000" w:themeColor="text1"/>
          <w:sz w:val="22"/>
          <w:szCs w:val="22"/>
          <w:lang w:val="es-ES_tradnl"/>
        </w:rPr>
        <w:t>»</w:t>
      </w:r>
      <w:r w:rsidR="004923DB" w:rsidRPr="00F213E7">
        <w:rPr>
          <w:rFonts w:ascii="Arial" w:eastAsia="Calibri" w:hAnsi="Arial" w:cs="Arial"/>
          <w:color w:val="000000" w:themeColor="text1"/>
          <w:sz w:val="22"/>
          <w:szCs w:val="22"/>
          <w:lang w:val="es-ES_tradnl"/>
        </w:rPr>
        <w:t>.</w:t>
      </w:r>
    </w:p>
    <w:p w14:paraId="19B880CB" w14:textId="2366DF3C" w:rsidR="00CD576C" w:rsidRPr="00F213E7" w:rsidRDefault="00571403" w:rsidP="00CD576C">
      <w:pPr>
        <w:spacing w:before="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De otro lado, e</w:t>
      </w:r>
      <w:r w:rsidR="00AB2797" w:rsidRPr="00F213E7">
        <w:rPr>
          <w:rFonts w:ascii="Arial" w:eastAsia="Calibri" w:hAnsi="Arial" w:cs="Arial"/>
          <w:color w:val="000000" w:themeColor="text1"/>
          <w:sz w:val="22"/>
          <w:szCs w:val="22"/>
          <w:lang w:val="es-ES_tradnl"/>
        </w:rPr>
        <w:t>l artículo 6 del Decreto 399 de 2021</w:t>
      </w:r>
      <w:r w:rsidR="00672345" w:rsidRPr="00F213E7">
        <w:rPr>
          <w:rFonts w:ascii="Arial" w:eastAsia="Calibri" w:hAnsi="Arial" w:cs="Arial"/>
          <w:color w:val="000000" w:themeColor="text1"/>
          <w:sz w:val="22"/>
          <w:szCs w:val="22"/>
          <w:lang w:val="es-ES_tradnl"/>
        </w:rPr>
        <w:t xml:space="preserve"> adiciona un parágrafo transitorio</w:t>
      </w:r>
      <w:r w:rsidR="000B578D" w:rsidRPr="00F213E7">
        <w:rPr>
          <w:rFonts w:ascii="Arial" w:eastAsia="Calibri" w:hAnsi="Arial" w:cs="Arial"/>
          <w:color w:val="000000" w:themeColor="text1"/>
          <w:sz w:val="22"/>
          <w:szCs w:val="22"/>
          <w:lang w:val="es-ES_tradnl"/>
        </w:rPr>
        <w:t xml:space="preserve"> –sustituido después por el artículo 3 del Decreto</w:t>
      </w:r>
      <w:r w:rsidR="00526E48" w:rsidRPr="00F213E7">
        <w:rPr>
          <w:rFonts w:ascii="Arial" w:eastAsia="Calibri" w:hAnsi="Arial" w:cs="Arial"/>
          <w:color w:val="000000" w:themeColor="text1"/>
          <w:sz w:val="22"/>
          <w:szCs w:val="22"/>
          <w:lang w:val="es-ES_tradnl"/>
        </w:rPr>
        <w:t xml:space="preserve"> 579 de 2021–</w:t>
      </w:r>
      <w:r w:rsidR="00672345" w:rsidRPr="00F213E7">
        <w:rPr>
          <w:rFonts w:ascii="Arial" w:eastAsia="Calibri" w:hAnsi="Arial" w:cs="Arial"/>
          <w:color w:val="000000" w:themeColor="text1"/>
          <w:sz w:val="22"/>
          <w:szCs w:val="22"/>
          <w:lang w:val="es-ES_tradnl"/>
        </w:rPr>
        <w:t xml:space="preserve"> al artículo </w:t>
      </w:r>
      <w:r w:rsidR="0048155D" w:rsidRPr="00F213E7">
        <w:rPr>
          <w:rFonts w:ascii="Arial" w:eastAsia="Calibri" w:hAnsi="Arial" w:cs="Arial"/>
          <w:color w:val="000000" w:themeColor="text1"/>
          <w:sz w:val="22"/>
          <w:szCs w:val="22"/>
          <w:lang w:val="es-ES_tradnl"/>
        </w:rPr>
        <w:t>2.2.1.1.1.6.2. del Decreto 1082 de 2015</w:t>
      </w:r>
      <w:r w:rsidR="00C44F26" w:rsidRPr="00F213E7">
        <w:rPr>
          <w:rStyle w:val="Refdenotaalpie"/>
          <w:rFonts w:ascii="Arial" w:eastAsia="Calibri" w:hAnsi="Arial" w:cs="Arial"/>
          <w:color w:val="000000" w:themeColor="text1"/>
          <w:sz w:val="22"/>
          <w:szCs w:val="22"/>
          <w:lang w:val="es-ES_tradnl"/>
        </w:rPr>
        <w:footnoteReference w:id="10"/>
      </w:r>
      <w:r w:rsidR="00CD576C" w:rsidRPr="00F213E7">
        <w:rPr>
          <w:rFonts w:ascii="Arial" w:eastAsia="Calibri" w:hAnsi="Arial" w:cs="Arial"/>
          <w:color w:val="000000" w:themeColor="text1"/>
          <w:sz w:val="22"/>
          <w:szCs w:val="22"/>
          <w:lang w:val="es-ES_tradnl"/>
        </w:rPr>
        <w:t>, con el siguiente contenido:</w:t>
      </w:r>
    </w:p>
    <w:p w14:paraId="38BF32AF" w14:textId="77777777" w:rsidR="00CD576C" w:rsidRPr="00F213E7" w:rsidRDefault="00CD576C" w:rsidP="00CD576C">
      <w:pPr>
        <w:ind w:left="709" w:right="709"/>
        <w:jc w:val="both"/>
        <w:rPr>
          <w:rFonts w:ascii="Arial" w:eastAsia="Calibri" w:hAnsi="Arial" w:cs="Arial"/>
          <w:color w:val="000000" w:themeColor="text1"/>
          <w:sz w:val="21"/>
          <w:szCs w:val="21"/>
          <w:lang w:val="es-ES_tradnl"/>
        </w:rPr>
      </w:pPr>
    </w:p>
    <w:p w14:paraId="310BCB2D" w14:textId="36335BF1" w:rsidR="00CD576C" w:rsidRPr="00F213E7" w:rsidRDefault="00CD576C" w:rsidP="00CD576C">
      <w:pPr>
        <w:ind w:left="709" w:right="709"/>
        <w:jc w:val="both"/>
        <w:rPr>
          <w:rFonts w:ascii="Arial" w:eastAsia="Calibri" w:hAnsi="Arial" w:cs="Arial"/>
          <w:color w:val="000000" w:themeColor="text1"/>
          <w:sz w:val="21"/>
          <w:szCs w:val="21"/>
          <w:lang w:val="es-ES_tradnl"/>
        </w:rPr>
      </w:pPr>
      <w:r w:rsidRPr="00F213E7">
        <w:rPr>
          <w:rFonts w:ascii="Arial" w:eastAsia="Calibri" w:hAnsi="Arial" w:cs="Arial"/>
          <w:color w:val="000000" w:themeColor="text1"/>
          <w:sz w:val="21"/>
          <w:szCs w:val="21"/>
          <w:lang w:val="es-ES_tradnl"/>
        </w:rPr>
        <w:t xml:space="preserve">De conformidad con los parágrafos transitorios de los artículos 2.2.1.1.1.5.2. y 2.2.1.1.1.5.6., y en desarrollo del deber de análisis de las Entidades Estatales, de que trata el artículo 2.2.1.1.1.6.1. de este </w:t>
      </w:r>
      <w:r w:rsidR="00C950AF" w:rsidRPr="00F213E7">
        <w:rPr>
          <w:rFonts w:ascii="Arial" w:eastAsia="Calibri" w:hAnsi="Arial" w:cs="Arial"/>
          <w:color w:val="000000" w:themeColor="text1"/>
          <w:sz w:val="21"/>
          <w:szCs w:val="21"/>
          <w:lang w:val="es-ES_tradnl"/>
        </w:rPr>
        <w:t>D</w:t>
      </w:r>
      <w:r w:rsidRPr="00F213E7">
        <w:rPr>
          <w:rFonts w:ascii="Arial" w:eastAsia="Calibri" w:hAnsi="Arial" w:cs="Arial"/>
          <w:color w:val="000000" w:themeColor="text1"/>
          <w:sz w:val="21"/>
          <w:szCs w:val="21"/>
          <w:lang w:val="es-ES_tradnl"/>
        </w:rPr>
        <w:t xml:space="preserve">ecreto, a partir del 1° de </w:t>
      </w:r>
      <w:r w:rsidR="00C950AF" w:rsidRPr="00F213E7">
        <w:rPr>
          <w:rFonts w:ascii="Arial" w:eastAsia="Calibri" w:hAnsi="Arial" w:cs="Arial"/>
          <w:color w:val="000000" w:themeColor="text1"/>
          <w:sz w:val="21"/>
          <w:szCs w:val="21"/>
          <w:lang w:val="es-ES_tradnl"/>
        </w:rPr>
        <w:t>julio</w:t>
      </w:r>
      <w:r w:rsidRPr="00F213E7">
        <w:rPr>
          <w:rFonts w:ascii="Arial" w:eastAsia="Calibri" w:hAnsi="Arial" w:cs="Arial"/>
          <w:color w:val="000000" w:themeColor="text1"/>
          <w:sz w:val="21"/>
          <w:szCs w:val="21"/>
          <w:lang w:val="es-ES_tradnl"/>
        </w:rPr>
        <w:t xml:space="preserve"> de 2021 las Entidades Estatales </w:t>
      </w:r>
      <w:r w:rsidR="00BD5D83" w:rsidRPr="00F213E7">
        <w:rPr>
          <w:rFonts w:ascii="Arial" w:eastAsia="Calibri" w:hAnsi="Arial" w:cs="Arial"/>
          <w:color w:val="000000" w:themeColor="text1"/>
          <w:sz w:val="21"/>
          <w:szCs w:val="21"/>
          <w:lang w:val="es-ES_tradnl"/>
        </w:rPr>
        <w:t>establecerán y evaluarán</w:t>
      </w:r>
      <w:r w:rsidRPr="00F213E7">
        <w:rPr>
          <w:rFonts w:ascii="Arial" w:eastAsia="Calibri" w:hAnsi="Arial" w:cs="Arial"/>
          <w:color w:val="000000" w:themeColor="text1"/>
          <w:sz w:val="21"/>
          <w:szCs w:val="21"/>
          <w:lang w:val="es-ES_tradnl"/>
        </w:rPr>
        <w:t xml:space="preserve"> los requisitos habilitantes de capacidad financiera y organizacional teniendo en cuenta la información que conste en el Registro Único de Proponentes. En todo caso, se establecerán indicadores proporcionales al procedimiento de contratación. </w:t>
      </w:r>
    </w:p>
    <w:p w14:paraId="4885048D" w14:textId="77777777" w:rsidR="00CD576C" w:rsidRPr="00F213E7" w:rsidRDefault="00CD576C" w:rsidP="00CD576C">
      <w:pPr>
        <w:ind w:left="709" w:right="709"/>
        <w:jc w:val="both"/>
        <w:rPr>
          <w:rFonts w:ascii="Arial" w:eastAsia="Calibri" w:hAnsi="Arial" w:cs="Arial"/>
          <w:color w:val="000000" w:themeColor="text1"/>
          <w:sz w:val="21"/>
          <w:szCs w:val="21"/>
          <w:lang w:val="es-ES_tradnl"/>
        </w:rPr>
      </w:pPr>
    </w:p>
    <w:p w14:paraId="4BE67AA6" w14:textId="0224597A" w:rsidR="00CD576C" w:rsidRPr="00F213E7" w:rsidRDefault="00CD576C" w:rsidP="00CD576C">
      <w:pPr>
        <w:ind w:left="709" w:right="709"/>
        <w:jc w:val="both"/>
        <w:rPr>
          <w:rFonts w:ascii="Arial" w:eastAsia="Calibri" w:hAnsi="Arial" w:cs="Arial"/>
          <w:color w:val="000000" w:themeColor="text1"/>
          <w:sz w:val="21"/>
          <w:szCs w:val="21"/>
          <w:lang w:val="es-ES_tradnl"/>
        </w:rPr>
      </w:pPr>
      <w:r w:rsidRPr="00F213E7">
        <w:rPr>
          <w:rFonts w:ascii="Arial" w:eastAsia="Calibri" w:hAnsi="Arial" w:cs="Arial"/>
          <w:color w:val="000000" w:themeColor="text1"/>
          <w:sz w:val="21"/>
          <w:szCs w:val="21"/>
          <w:lang w:val="es-ES_tradnl"/>
        </w:rPr>
        <w:t xml:space="preserve">Para ello, atendiendo a las condiciones aludidas, en relación con los indicadores de la capacidad financiera y organizacional, de los procesos de selección cuyo acto administrativo de apertura o invitación se publique a partir del 1° de </w:t>
      </w:r>
      <w:r w:rsidR="00425578" w:rsidRPr="00F213E7">
        <w:rPr>
          <w:rFonts w:ascii="Arial" w:eastAsia="Calibri" w:hAnsi="Arial" w:cs="Arial"/>
          <w:color w:val="000000" w:themeColor="text1"/>
          <w:sz w:val="21"/>
          <w:szCs w:val="21"/>
          <w:lang w:val="es-ES_tradnl"/>
        </w:rPr>
        <w:t>julio</w:t>
      </w:r>
      <w:r w:rsidRPr="00F213E7">
        <w:rPr>
          <w:rFonts w:ascii="Arial" w:eastAsia="Calibri" w:hAnsi="Arial" w:cs="Arial"/>
          <w:color w:val="000000" w:themeColor="text1"/>
          <w:sz w:val="21"/>
          <w:szCs w:val="21"/>
          <w:lang w:val="es-ES_tradnl"/>
        </w:rPr>
        <w:t xml:space="preserve"> de </w:t>
      </w:r>
      <w:r w:rsidRPr="00F213E7">
        <w:rPr>
          <w:rFonts w:ascii="Arial" w:eastAsia="Calibri" w:hAnsi="Arial" w:cs="Arial"/>
          <w:color w:val="000000" w:themeColor="text1"/>
          <w:sz w:val="21"/>
          <w:szCs w:val="21"/>
          <w:lang w:val="es-ES_tradnl"/>
        </w:rPr>
        <w:lastRenderedPageBreak/>
        <w:t>2021, se tendrá en cuenta la información vigente y en firme en el RUP, por lo que las Entidades Estatales evaluarán estos indicadores, teniendo en cuenta el mejor año fiscal que se refleje en el registro de cada proponente. ​​</w:t>
      </w:r>
    </w:p>
    <w:p w14:paraId="4651361D" w14:textId="2879EBC6" w:rsidR="007C1C8E" w:rsidRPr="00F213E7" w:rsidRDefault="007C1C8E" w:rsidP="00271230">
      <w:pPr>
        <w:spacing w:line="276" w:lineRule="auto"/>
        <w:jc w:val="both"/>
        <w:rPr>
          <w:rFonts w:ascii="Arial" w:eastAsia="Calibri" w:hAnsi="Arial" w:cs="Arial"/>
          <w:color w:val="000000" w:themeColor="text1"/>
          <w:sz w:val="22"/>
          <w:szCs w:val="22"/>
          <w:lang w:val="es-ES_tradnl"/>
        </w:rPr>
      </w:pPr>
    </w:p>
    <w:p w14:paraId="323EA511" w14:textId="5BFD1991" w:rsidR="001E6F83" w:rsidRPr="00F213E7" w:rsidRDefault="00402E14" w:rsidP="005374BD">
      <w:pPr>
        <w:spacing w:after="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 xml:space="preserve">Como se observa, </w:t>
      </w:r>
      <w:r w:rsidR="009E2845" w:rsidRPr="00F213E7">
        <w:rPr>
          <w:rFonts w:ascii="Arial" w:eastAsia="Calibri" w:hAnsi="Arial" w:cs="Arial"/>
          <w:color w:val="000000" w:themeColor="text1"/>
          <w:sz w:val="22"/>
          <w:szCs w:val="22"/>
          <w:lang w:val="es-ES_tradnl"/>
        </w:rPr>
        <w:t>el parágrafo transitorio</w:t>
      </w:r>
      <w:r w:rsidR="00EE2A68" w:rsidRPr="00F213E7">
        <w:rPr>
          <w:rFonts w:ascii="Arial" w:eastAsia="Calibri" w:hAnsi="Arial" w:cs="Arial"/>
          <w:color w:val="000000" w:themeColor="text1"/>
          <w:sz w:val="22"/>
          <w:szCs w:val="22"/>
          <w:lang w:val="es-ES_tradnl"/>
        </w:rPr>
        <w:t>,</w:t>
      </w:r>
      <w:r w:rsidR="009E2845" w:rsidRPr="00F213E7">
        <w:rPr>
          <w:rFonts w:ascii="Arial" w:eastAsia="Calibri" w:hAnsi="Arial" w:cs="Arial"/>
          <w:color w:val="000000" w:themeColor="text1"/>
          <w:sz w:val="22"/>
          <w:szCs w:val="22"/>
          <w:lang w:val="es-ES_tradnl"/>
        </w:rPr>
        <w:t xml:space="preserve"> agregado</w:t>
      </w:r>
      <w:r w:rsidR="00EE2A68" w:rsidRPr="00F213E7">
        <w:rPr>
          <w:rFonts w:ascii="Arial" w:eastAsia="Calibri" w:hAnsi="Arial" w:cs="Arial"/>
          <w:color w:val="000000" w:themeColor="text1"/>
          <w:sz w:val="22"/>
          <w:szCs w:val="22"/>
          <w:lang w:val="es-ES_tradnl"/>
        </w:rPr>
        <w:t xml:space="preserve"> al artículo 2.2.1.1.1.6.2. del Decreto 1082 de 2015</w:t>
      </w:r>
      <w:r w:rsidR="009E2845" w:rsidRPr="00F213E7">
        <w:rPr>
          <w:rFonts w:ascii="Arial" w:eastAsia="Calibri" w:hAnsi="Arial" w:cs="Arial"/>
          <w:color w:val="000000" w:themeColor="text1"/>
          <w:sz w:val="22"/>
          <w:szCs w:val="22"/>
          <w:lang w:val="es-ES_tradnl"/>
        </w:rPr>
        <w:t xml:space="preserve"> por el artículo 6 del Decreto 399 de </w:t>
      </w:r>
      <w:r w:rsidR="001E6F83" w:rsidRPr="00F213E7">
        <w:rPr>
          <w:rFonts w:ascii="Arial" w:eastAsia="Calibri" w:hAnsi="Arial" w:cs="Arial"/>
          <w:color w:val="000000" w:themeColor="text1"/>
          <w:sz w:val="22"/>
          <w:szCs w:val="22"/>
          <w:lang w:val="es-ES_tradnl"/>
        </w:rPr>
        <w:t>2021</w:t>
      </w:r>
      <w:r w:rsidR="00107357" w:rsidRPr="00F213E7">
        <w:rPr>
          <w:rFonts w:ascii="Arial" w:eastAsia="Calibri" w:hAnsi="Arial" w:cs="Arial"/>
          <w:color w:val="000000" w:themeColor="text1"/>
          <w:sz w:val="22"/>
          <w:szCs w:val="22"/>
          <w:lang w:val="es-ES_tradnl"/>
        </w:rPr>
        <w:t xml:space="preserve"> y sustituido por el artículo </w:t>
      </w:r>
      <w:r w:rsidR="00EB3399" w:rsidRPr="00F213E7">
        <w:rPr>
          <w:rFonts w:ascii="Arial" w:eastAsia="Calibri" w:hAnsi="Arial" w:cs="Arial"/>
          <w:color w:val="000000" w:themeColor="text1"/>
          <w:sz w:val="22"/>
          <w:szCs w:val="22"/>
          <w:lang w:val="es-ES_tradnl"/>
        </w:rPr>
        <w:t>3 del Decreto 579 de 2021</w:t>
      </w:r>
      <w:r w:rsidR="00EE2A68" w:rsidRPr="00F213E7">
        <w:rPr>
          <w:rFonts w:ascii="Arial" w:eastAsia="Calibri" w:hAnsi="Arial" w:cs="Arial"/>
          <w:color w:val="000000" w:themeColor="text1"/>
          <w:sz w:val="22"/>
          <w:szCs w:val="22"/>
          <w:lang w:val="es-ES_tradnl"/>
        </w:rPr>
        <w:t>,</w:t>
      </w:r>
      <w:r w:rsidR="001E6F83" w:rsidRPr="00F213E7">
        <w:rPr>
          <w:rFonts w:ascii="Arial" w:eastAsia="Calibri" w:hAnsi="Arial" w:cs="Arial"/>
          <w:color w:val="000000" w:themeColor="text1"/>
          <w:sz w:val="22"/>
          <w:szCs w:val="22"/>
          <w:lang w:val="es-ES_tradnl"/>
        </w:rPr>
        <w:t xml:space="preserve"> establece que:</w:t>
      </w:r>
    </w:p>
    <w:p w14:paraId="667D5524" w14:textId="37971EA6" w:rsidR="006E2892" w:rsidRPr="00F213E7" w:rsidRDefault="001E6F83" w:rsidP="00C95D79">
      <w:pPr>
        <w:spacing w:after="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i) A partir</w:t>
      </w:r>
      <w:r w:rsidR="001010E9" w:rsidRPr="00F213E7">
        <w:rPr>
          <w:rFonts w:ascii="Arial" w:eastAsia="Calibri" w:hAnsi="Arial" w:cs="Arial"/>
          <w:color w:val="000000" w:themeColor="text1"/>
          <w:sz w:val="22"/>
          <w:szCs w:val="22"/>
          <w:lang w:val="es-ES_tradnl"/>
        </w:rPr>
        <w:t xml:space="preserve"> del 1 de </w:t>
      </w:r>
      <w:r w:rsidR="00776796" w:rsidRPr="00F213E7">
        <w:rPr>
          <w:rFonts w:ascii="Arial" w:eastAsia="Calibri" w:hAnsi="Arial" w:cs="Arial"/>
          <w:color w:val="000000" w:themeColor="text1"/>
          <w:sz w:val="22"/>
          <w:szCs w:val="22"/>
          <w:lang w:val="es-ES_tradnl"/>
        </w:rPr>
        <w:t>julio</w:t>
      </w:r>
      <w:r w:rsidR="001010E9" w:rsidRPr="00F213E7">
        <w:rPr>
          <w:rFonts w:ascii="Arial" w:eastAsia="Calibri" w:hAnsi="Arial" w:cs="Arial"/>
          <w:color w:val="000000" w:themeColor="text1"/>
          <w:sz w:val="22"/>
          <w:szCs w:val="22"/>
          <w:lang w:val="es-ES_tradnl"/>
        </w:rPr>
        <w:t xml:space="preserve"> de 2021</w:t>
      </w:r>
      <w:r w:rsidR="008324BC" w:rsidRPr="00F213E7">
        <w:rPr>
          <w:rFonts w:ascii="Arial" w:eastAsia="Calibri" w:hAnsi="Arial" w:cs="Arial"/>
          <w:color w:val="000000" w:themeColor="text1"/>
          <w:sz w:val="22"/>
          <w:szCs w:val="22"/>
          <w:lang w:val="es-ES_tradnl"/>
        </w:rPr>
        <w:t xml:space="preserve"> </w:t>
      </w:r>
      <w:r w:rsidR="001010E9" w:rsidRPr="00F213E7">
        <w:rPr>
          <w:rFonts w:ascii="Arial" w:eastAsia="Calibri" w:hAnsi="Arial" w:cs="Arial"/>
          <w:color w:val="000000" w:themeColor="text1"/>
          <w:sz w:val="22"/>
          <w:szCs w:val="22"/>
          <w:lang w:val="es-ES_tradnl"/>
        </w:rPr>
        <w:t xml:space="preserve">las entidades estatales «[…] </w:t>
      </w:r>
      <w:r w:rsidR="00776796" w:rsidRPr="00F213E7">
        <w:rPr>
          <w:rFonts w:ascii="Arial" w:eastAsia="Calibri" w:hAnsi="Arial" w:cs="Arial"/>
          <w:color w:val="000000" w:themeColor="text1"/>
          <w:sz w:val="22"/>
          <w:szCs w:val="22"/>
          <w:lang w:val="es-ES_tradnl"/>
        </w:rPr>
        <w:t>establecerán y evaluarán</w:t>
      </w:r>
      <w:r w:rsidR="001010E9" w:rsidRPr="00F213E7">
        <w:rPr>
          <w:rFonts w:ascii="Arial" w:eastAsia="Calibri" w:hAnsi="Arial" w:cs="Arial"/>
          <w:color w:val="000000" w:themeColor="text1"/>
          <w:sz w:val="22"/>
          <w:szCs w:val="22"/>
          <w:lang w:val="es-ES_tradnl"/>
        </w:rPr>
        <w:t xml:space="preserve"> los requisitos habilitantes de capacidad financiera y organizacional teniendo en cuenta la información que conste en el Registro Único de Proponentes».</w:t>
      </w:r>
      <w:r w:rsidR="009C6A1D" w:rsidRPr="00F213E7">
        <w:rPr>
          <w:rFonts w:ascii="Arial" w:eastAsia="Calibri" w:hAnsi="Arial" w:cs="Arial"/>
          <w:color w:val="000000" w:themeColor="text1"/>
          <w:sz w:val="22"/>
          <w:szCs w:val="22"/>
          <w:lang w:val="es-ES_tradnl"/>
        </w:rPr>
        <w:t xml:space="preserve"> Es decir</w:t>
      </w:r>
      <w:r w:rsidR="008B5E27" w:rsidRPr="00F213E7">
        <w:rPr>
          <w:rFonts w:ascii="Arial" w:eastAsia="Calibri" w:hAnsi="Arial" w:cs="Arial"/>
          <w:color w:val="000000" w:themeColor="text1"/>
          <w:sz w:val="22"/>
          <w:szCs w:val="22"/>
          <w:lang w:val="es-ES_tradnl"/>
        </w:rPr>
        <w:t xml:space="preserve">, las entidades estatales deben tener en cuenta la información </w:t>
      </w:r>
      <w:r w:rsidR="004A5094" w:rsidRPr="00F213E7">
        <w:rPr>
          <w:rFonts w:ascii="Arial" w:eastAsia="Calibri" w:hAnsi="Arial" w:cs="Arial"/>
          <w:color w:val="000000" w:themeColor="text1"/>
          <w:sz w:val="22"/>
          <w:szCs w:val="22"/>
          <w:lang w:val="es-ES_tradnl"/>
        </w:rPr>
        <w:t>sobre</w:t>
      </w:r>
      <w:r w:rsidR="00647FB1" w:rsidRPr="00F213E7">
        <w:rPr>
          <w:rFonts w:ascii="Arial" w:eastAsia="Calibri" w:hAnsi="Arial" w:cs="Arial"/>
          <w:color w:val="000000" w:themeColor="text1"/>
          <w:sz w:val="22"/>
          <w:szCs w:val="22"/>
          <w:lang w:val="es-ES_tradnl"/>
        </w:rPr>
        <w:t xml:space="preserve"> la capacidad financiera y organizacional</w:t>
      </w:r>
      <w:r w:rsidR="008B5E27" w:rsidRPr="00F213E7">
        <w:rPr>
          <w:rFonts w:ascii="Arial" w:eastAsia="Calibri" w:hAnsi="Arial" w:cs="Arial"/>
          <w:color w:val="000000" w:themeColor="text1"/>
          <w:sz w:val="22"/>
          <w:szCs w:val="22"/>
          <w:lang w:val="es-ES_tradnl"/>
        </w:rPr>
        <w:t xml:space="preserve"> </w:t>
      </w:r>
      <w:r w:rsidR="00A814B9" w:rsidRPr="00F213E7">
        <w:rPr>
          <w:rFonts w:ascii="Arial" w:eastAsia="Calibri" w:hAnsi="Arial" w:cs="Arial"/>
          <w:color w:val="000000" w:themeColor="text1"/>
          <w:sz w:val="22"/>
          <w:szCs w:val="22"/>
          <w:lang w:val="es-ES_tradnl"/>
        </w:rPr>
        <w:t>«correspondiente a los últimos tres (3) años fiscales anteriores al respectivo acto»</w:t>
      </w:r>
      <w:r w:rsidR="00D41F88" w:rsidRPr="00F213E7">
        <w:rPr>
          <w:rFonts w:ascii="Arial" w:eastAsia="Calibri" w:hAnsi="Arial" w:cs="Arial"/>
          <w:color w:val="000000" w:themeColor="text1"/>
          <w:sz w:val="22"/>
          <w:szCs w:val="22"/>
          <w:lang w:val="es-ES_tradnl"/>
        </w:rPr>
        <w:t xml:space="preserve"> o «desde su primer cierre fiscal», según el caso.</w:t>
      </w:r>
    </w:p>
    <w:p w14:paraId="5B6C25A9" w14:textId="60333F50" w:rsidR="00C344F6" w:rsidRPr="00F213E7" w:rsidRDefault="006E2892" w:rsidP="00467539">
      <w:pPr>
        <w:spacing w:after="120" w:line="276" w:lineRule="auto"/>
        <w:ind w:firstLine="709"/>
        <w:jc w:val="both"/>
        <w:rPr>
          <w:rFonts w:ascii="Arial" w:eastAsia="Calibri" w:hAnsi="Arial" w:cs="Arial"/>
          <w:color w:val="000000" w:themeColor="text1"/>
          <w:sz w:val="22"/>
          <w:szCs w:val="22"/>
          <w:lang w:val="es-ES_tradnl"/>
        </w:rPr>
      </w:pPr>
      <w:proofErr w:type="spellStart"/>
      <w:r w:rsidRPr="00F213E7">
        <w:rPr>
          <w:rFonts w:ascii="Arial" w:eastAsia="Calibri" w:hAnsi="Arial" w:cs="Arial"/>
          <w:color w:val="000000" w:themeColor="text1"/>
          <w:sz w:val="22"/>
          <w:szCs w:val="22"/>
          <w:lang w:val="es-ES_tradnl"/>
        </w:rPr>
        <w:t>ii</w:t>
      </w:r>
      <w:proofErr w:type="spellEnd"/>
      <w:r w:rsidRPr="00F213E7">
        <w:rPr>
          <w:rFonts w:ascii="Arial" w:eastAsia="Calibri" w:hAnsi="Arial" w:cs="Arial"/>
          <w:color w:val="000000" w:themeColor="text1"/>
          <w:sz w:val="22"/>
          <w:szCs w:val="22"/>
          <w:lang w:val="es-ES_tradnl"/>
        </w:rPr>
        <w:t xml:space="preserve">) </w:t>
      </w:r>
      <w:r w:rsidR="004B448D" w:rsidRPr="00F213E7">
        <w:rPr>
          <w:rFonts w:ascii="Arial" w:eastAsia="Calibri" w:hAnsi="Arial" w:cs="Arial"/>
          <w:color w:val="000000" w:themeColor="text1"/>
          <w:sz w:val="22"/>
          <w:szCs w:val="22"/>
          <w:lang w:val="es-ES_tradnl"/>
        </w:rPr>
        <w:t xml:space="preserve">Las entidades estatales conservan </w:t>
      </w:r>
      <w:r w:rsidR="00686BB9" w:rsidRPr="00F213E7">
        <w:rPr>
          <w:rFonts w:ascii="Arial" w:eastAsia="Calibri" w:hAnsi="Arial" w:cs="Arial"/>
          <w:color w:val="000000" w:themeColor="text1"/>
          <w:sz w:val="22"/>
          <w:szCs w:val="22"/>
          <w:lang w:val="es-ES_tradnl"/>
        </w:rPr>
        <w:t>su</w:t>
      </w:r>
      <w:r w:rsidR="00003661" w:rsidRPr="00F213E7">
        <w:rPr>
          <w:rFonts w:ascii="Arial" w:eastAsia="Calibri" w:hAnsi="Arial" w:cs="Arial"/>
          <w:color w:val="000000" w:themeColor="text1"/>
          <w:sz w:val="22"/>
          <w:szCs w:val="22"/>
          <w:lang w:val="es-ES_tradnl"/>
        </w:rPr>
        <w:t xml:space="preserve"> discrecionalidad administrativa para </w:t>
      </w:r>
      <w:r w:rsidR="00E640D2" w:rsidRPr="00F213E7">
        <w:rPr>
          <w:rFonts w:ascii="Arial" w:eastAsia="Calibri" w:hAnsi="Arial" w:cs="Arial"/>
          <w:color w:val="000000" w:themeColor="text1"/>
          <w:sz w:val="22"/>
          <w:szCs w:val="22"/>
          <w:lang w:val="es-ES_tradnl"/>
        </w:rPr>
        <w:t>determinar</w:t>
      </w:r>
      <w:r w:rsidR="00003661" w:rsidRPr="00F213E7">
        <w:rPr>
          <w:rFonts w:ascii="Arial" w:eastAsia="Calibri" w:hAnsi="Arial" w:cs="Arial"/>
          <w:color w:val="000000" w:themeColor="text1"/>
          <w:sz w:val="22"/>
          <w:szCs w:val="22"/>
          <w:lang w:val="es-ES_tradnl"/>
        </w:rPr>
        <w:t xml:space="preserve"> los requisitos habilitantes </w:t>
      </w:r>
      <w:r w:rsidR="00E640D2" w:rsidRPr="00F213E7">
        <w:rPr>
          <w:rFonts w:ascii="Arial" w:eastAsia="Calibri" w:hAnsi="Arial" w:cs="Arial"/>
          <w:color w:val="000000" w:themeColor="text1"/>
          <w:sz w:val="22"/>
          <w:szCs w:val="22"/>
          <w:lang w:val="es-ES_tradnl"/>
        </w:rPr>
        <w:t xml:space="preserve">de capacidad financiera y organizacional, pero «En todo caso, se establecerán indicadores proporcionales al procedimiento de contratación». El principio de proporcionalidad exige que </w:t>
      </w:r>
      <w:r w:rsidR="00F329D6" w:rsidRPr="00F213E7">
        <w:rPr>
          <w:rFonts w:ascii="Arial" w:eastAsia="Calibri" w:hAnsi="Arial" w:cs="Arial"/>
          <w:color w:val="000000" w:themeColor="text1"/>
          <w:sz w:val="22"/>
          <w:szCs w:val="22"/>
          <w:lang w:val="es-ES_tradnl"/>
        </w:rPr>
        <w:t>dichos indicadores sean razonables, o sea, que guarden congruencia con el objeto</w:t>
      </w:r>
      <w:r w:rsidR="00686BB9" w:rsidRPr="00F213E7">
        <w:rPr>
          <w:rFonts w:ascii="Arial" w:eastAsia="Calibri" w:hAnsi="Arial" w:cs="Arial"/>
          <w:color w:val="000000" w:themeColor="text1"/>
          <w:sz w:val="22"/>
          <w:szCs w:val="22"/>
          <w:lang w:val="es-ES_tradnl"/>
        </w:rPr>
        <w:t xml:space="preserve">, </w:t>
      </w:r>
      <w:r w:rsidR="00F329D6" w:rsidRPr="00F213E7">
        <w:rPr>
          <w:rFonts w:ascii="Arial" w:eastAsia="Calibri" w:hAnsi="Arial" w:cs="Arial"/>
          <w:color w:val="000000" w:themeColor="text1"/>
          <w:sz w:val="22"/>
          <w:szCs w:val="22"/>
          <w:lang w:val="es-ES_tradnl"/>
        </w:rPr>
        <w:t>alcance</w:t>
      </w:r>
      <w:r w:rsidR="00686BB9" w:rsidRPr="00F213E7">
        <w:rPr>
          <w:rFonts w:ascii="Arial" w:eastAsia="Calibri" w:hAnsi="Arial" w:cs="Arial"/>
          <w:color w:val="000000" w:themeColor="text1"/>
          <w:sz w:val="22"/>
          <w:szCs w:val="22"/>
          <w:lang w:val="es-ES_tradnl"/>
        </w:rPr>
        <w:t>, valor y plazo</w:t>
      </w:r>
      <w:r w:rsidR="00F329D6" w:rsidRPr="00F213E7">
        <w:rPr>
          <w:rFonts w:ascii="Arial" w:eastAsia="Calibri" w:hAnsi="Arial" w:cs="Arial"/>
          <w:color w:val="000000" w:themeColor="text1"/>
          <w:sz w:val="22"/>
          <w:szCs w:val="22"/>
          <w:lang w:val="es-ES_tradnl"/>
        </w:rPr>
        <w:t xml:space="preserve"> del contrato</w:t>
      </w:r>
      <w:r w:rsidR="00176188" w:rsidRPr="00F213E7">
        <w:rPr>
          <w:rFonts w:ascii="Arial" w:eastAsia="Calibri" w:hAnsi="Arial" w:cs="Arial"/>
          <w:color w:val="000000" w:themeColor="text1"/>
          <w:sz w:val="22"/>
          <w:szCs w:val="22"/>
          <w:lang w:val="es-ES_tradnl"/>
        </w:rPr>
        <w:t>, que sean necesarios y no restrinjan injustificadamente la libre concurrencia.</w:t>
      </w:r>
    </w:p>
    <w:p w14:paraId="6E2A53FA" w14:textId="68E48BF6" w:rsidR="00467539" w:rsidRPr="00F213E7" w:rsidRDefault="00C344F6" w:rsidP="00467539">
      <w:pPr>
        <w:spacing w:after="120" w:line="276" w:lineRule="auto"/>
        <w:ind w:firstLine="709"/>
        <w:jc w:val="both"/>
        <w:rPr>
          <w:rFonts w:ascii="Arial" w:eastAsia="Calibri" w:hAnsi="Arial" w:cs="Arial"/>
          <w:color w:val="000000" w:themeColor="text1"/>
          <w:sz w:val="22"/>
          <w:szCs w:val="22"/>
          <w:lang w:val="es-ES_tradnl"/>
        </w:rPr>
      </w:pPr>
      <w:proofErr w:type="spellStart"/>
      <w:r w:rsidRPr="00F213E7">
        <w:rPr>
          <w:rFonts w:ascii="Arial" w:eastAsia="Calibri" w:hAnsi="Arial" w:cs="Arial"/>
          <w:color w:val="000000" w:themeColor="text1"/>
          <w:sz w:val="22"/>
          <w:szCs w:val="22"/>
          <w:lang w:val="es-ES_tradnl"/>
        </w:rPr>
        <w:t>iii</w:t>
      </w:r>
      <w:proofErr w:type="spellEnd"/>
      <w:r w:rsidRPr="00F213E7">
        <w:rPr>
          <w:rFonts w:ascii="Arial" w:eastAsia="Calibri" w:hAnsi="Arial" w:cs="Arial"/>
          <w:color w:val="000000" w:themeColor="text1"/>
          <w:sz w:val="22"/>
          <w:szCs w:val="22"/>
          <w:lang w:val="es-ES_tradnl"/>
        </w:rPr>
        <w:t xml:space="preserve">) </w:t>
      </w:r>
      <w:r w:rsidR="001E5AB2" w:rsidRPr="00F213E7">
        <w:rPr>
          <w:rFonts w:ascii="Arial" w:eastAsia="Calibri" w:hAnsi="Arial" w:cs="Arial"/>
          <w:color w:val="000000" w:themeColor="text1"/>
          <w:sz w:val="22"/>
          <w:szCs w:val="22"/>
          <w:lang w:val="es-ES_tradnl"/>
        </w:rPr>
        <w:t>En los procesos de selección cuyo acto administrativo de apertura</w:t>
      </w:r>
      <w:r w:rsidR="007F3056" w:rsidRPr="00F213E7">
        <w:rPr>
          <w:rFonts w:ascii="Arial" w:eastAsia="Calibri" w:hAnsi="Arial" w:cs="Arial"/>
          <w:color w:val="000000" w:themeColor="text1"/>
          <w:sz w:val="22"/>
          <w:szCs w:val="22"/>
          <w:lang w:val="es-ES_tradnl"/>
        </w:rPr>
        <w:t xml:space="preserve"> o invitación se publique a partir del 1 de </w:t>
      </w:r>
      <w:r w:rsidR="0067147C" w:rsidRPr="00F213E7">
        <w:rPr>
          <w:rFonts w:ascii="Arial" w:eastAsia="Calibri" w:hAnsi="Arial" w:cs="Arial"/>
          <w:color w:val="000000" w:themeColor="text1"/>
          <w:sz w:val="22"/>
          <w:szCs w:val="22"/>
          <w:lang w:val="es-ES_tradnl"/>
        </w:rPr>
        <w:t>julio</w:t>
      </w:r>
      <w:r w:rsidR="007F3056" w:rsidRPr="00F213E7">
        <w:rPr>
          <w:rFonts w:ascii="Arial" w:eastAsia="Calibri" w:hAnsi="Arial" w:cs="Arial"/>
          <w:color w:val="000000" w:themeColor="text1"/>
          <w:sz w:val="22"/>
          <w:szCs w:val="22"/>
          <w:lang w:val="es-ES_tradnl"/>
        </w:rPr>
        <w:t xml:space="preserve"> de 2021 las entidades estatales deberán</w:t>
      </w:r>
      <w:r w:rsidR="00275AD0" w:rsidRPr="00F213E7">
        <w:rPr>
          <w:rFonts w:ascii="Arial" w:eastAsia="Calibri" w:hAnsi="Arial" w:cs="Arial"/>
          <w:color w:val="000000" w:themeColor="text1"/>
          <w:sz w:val="22"/>
          <w:szCs w:val="22"/>
          <w:lang w:val="es-ES_tradnl"/>
        </w:rPr>
        <w:t xml:space="preserve"> tener en cuenta la información financiera y </w:t>
      </w:r>
      <w:r w:rsidR="00626A11" w:rsidRPr="00F213E7">
        <w:rPr>
          <w:rFonts w:ascii="Arial" w:eastAsia="Calibri" w:hAnsi="Arial" w:cs="Arial"/>
          <w:color w:val="000000" w:themeColor="text1"/>
          <w:sz w:val="22"/>
          <w:szCs w:val="22"/>
          <w:lang w:val="es-ES_tradnl"/>
        </w:rPr>
        <w:t>organizacional que esté vigente y en firme en el RUP.</w:t>
      </w:r>
    </w:p>
    <w:p w14:paraId="60518DA2" w14:textId="2EA9AF70" w:rsidR="00C344F6" w:rsidRPr="00F213E7" w:rsidRDefault="00C40791" w:rsidP="000771DA">
      <w:pPr>
        <w:spacing w:after="120" w:line="276" w:lineRule="auto"/>
        <w:ind w:firstLine="709"/>
        <w:jc w:val="both"/>
        <w:rPr>
          <w:rFonts w:ascii="Arial" w:eastAsia="Calibri" w:hAnsi="Arial" w:cs="Arial"/>
          <w:color w:val="000000" w:themeColor="text1"/>
          <w:sz w:val="22"/>
          <w:szCs w:val="22"/>
          <w:lang w:val="es-ES_tradnl"/>
        </w:rPr>
      </w:pPr>
      <w:proofErr w:type="spellStart"/>
      <w:r w:rsidRPr="00F213E7">
        <w:rPr>
          <w:rFonts w:ascii="Arial" w:eastAsia="Calibri" w:hAnsi="Arial" w:cs="Arial"/>
          <w:color w:val="000000" w:themeColor="text1"/>
          <w:sz w:val="22"/>
          <w:szCs w:val="22"/>
          <w:lang w:val="es-ES_tradnl"/>
        </w:rPr>
        <w:t>iv</w:t>
      </w:r>
      <w:proofErr w:type="spellEnd"/>
      <w:r w:rsidRPr="00F213E7">
        <w:rPr>
          <w:rFonts w:ascii="Arial" w:eastAsia="Calibri" w:hAnsi="Arial" w:cs="Arial"/>
          <w:color w:val="000000" w:themeColor="text1"/>
          <w:sz w:val="22"/>
          <w:szCs w:val="22"/>
          <w:lang w:val="es-ES_tradnl"/>
        </w:rPr>
        <w:t xml:space="preserve">) </w:t>
      </w:r>
      <w:r w:rsidR="009F2137" w:rsidRPr="00F213E7">
        <w:rPr>
          <w:rFonts w:ascii="Arial" w:eastAsia="Calibri" w:hAnsi="Arial" w:cs="Arial"/>
          <w:color w:val="000000" w:themeColor="text1"/>
          <w:sz w:val="22"/>
          <w:szCs w:val="22"/>
          <w:lang w:val="es-ES_tradnl"/>
        </w:rPr>
        <w:t>A partir de la fecha establecida anteriormente, l</w:t>
      </w:r>
      <w:r w:rsidRPr="00F213E7">
        <w:rPr>
          <w:rFonts w:ascii="Arial" w:eastAsia="Calibri" w:hAnsi="Arial" w:cs="Arial"/>
          <w:color w:val="000000" w:themeColor="text1"/>
          <w:sz w:val="22"/>
          <w:szCs w:val="22"/>
          <w:lang w:val="es-ES_tradnl"/>
        </w:rPr>
        <w:t xml:space="preserve">a evaluación de los </w:t>
      </w:r>
      <w:r w:rsidR="004C4772" w:rsidRPr="00F213E7">
        <w:rPr>
          <w:rFonts w:ascii="Arial" w:eastAsia="Calibri" w:hAnsi="Arial" w:cs="Arial"/>
          <w:color w:val="000000" w:themeColor="text1"/>
          <w:sz w:val="22"/>
          <w:szCs w:val="22"/>
          <w:lang w:val="es-ES_tradnl"/>
        </w:rPr>
        <w:t xml:space="preserve">indicadores de capacidad </w:t>
      </w:r>
      <w:r w:rsidR="004C4772" w:rsidRPr="00F213E7">
        <w:rPr>
          <w:rFonts w:ascii="Arial" w:eastAsia="Calibri" w:hAnsi="Arial" w:cs="Arial"/>
          <w:i/>
          <w:iCs/>
          <w:color w:val="000000" w:themeColor="text1"/>
          <w:sz w:val="22"/>
          <w:szCs w:val="22"/>
          <w:lang w:val="es-ES_tradnl"/>
        </w:rPr>
        <w:t>financiera</w:t>
      </w:r>
      <w:r w:rsidR="00515D66" w:rsidRPr="00F213E7">
        <w:rPr>
          <w:rFonts w:ascii="Arial" w:eastAsia="Calibri" w:hAnsi="Arial" w:cs="Arial"/>
          <w:i/>
          <w:iCs/>
          <w:color w:val="000000" w:themeColor="text1"/>
          <w:sz w:val="22"/>
          <w:szCs w:val="22"/>
          <w:lang w:val="es-ES_tradnl"/>
        </w:rPr>
        <w:t xml:space="preserve"> –</w:t>
      </w:r>
      <w:r w:rsidR="00577276" w:rsidRPr="00F213E7">
        <w:rPr>
          <w:rFonts w:ascii="Arial" w:eastAsia="Calibri" w:hAnsi="Arial" w:cs="Arial"/>
          <w:color w:val="000000" w:themeColor="text1"/>
          <w:sz w:val="22"/>
          <w:szCs w:val="22"/>
          <w:lang w:val="es-ES_tradnl"/>
        </w:rPr>
        <w:t>índice de liquidez, índice de endeudamiento</w:t>
      </w:r>
      <w:r w:rsidR="005F34DD" w:rsidRPr="00F213E7">
        <w:rPr>
          <w:rFonts w:ascii="Arial" w:eastAsia="Calibri" w:hAnsi="Arial" w:cs="Arial"/>
          <w:color w:val="000000" w:themeColor="text1"/>
          <w:sz w:val="22"/>
          <w:szCs w:val="22"/>
          <w:lang w:val="es-ES_tradnl"/>
        </w:rPr>
        <w:t xml:space="preserve"> y razón de cobertura de intereses– y </w:t>
      </w:r>
      <w:r w:rsidR="005F34DD" w:rsidRPr="00F213E7">
        <w:rPr>
          <w:rFonts w:ascii="Arial" w:eastAsia="Calibri" w:hAnsi="Arial" w:cs="Arial"/>
          <w:i/>
          <w:iCs/>
          <w:color w:val="000000" w:themeColor="text1"/>
          <w:sz w:val="22"/>
          <w:szCs w:val="22"/>
          <w:lang w:val="es-ES_tradnl"/>
        </w:rPr>
        <w:t>organizacional</w:t>
      </w:r>
      <w:r w:rsidR="005F34DD" w:rsidRPr="00F213E7">
        <w:rPr>
          <w:rFonts w:ascii="Arial" w:eastAsia="Calibri" w:hAnsi="Arial" w:cs="Arial"/>
          <w:color w:val="000000" w:themeColor="text1"/>
          <w:sz w:val="22"/>
          <w:szCs w:val="22"/>
          <w:lang w:val="es-ES_tradnl"/>
        </w:rPr>
        <w:t xml:space="preserve"> –</w:t>
      </w:r>
      <w:r w:rsidR="00585F87" w:rsidRPr="00F213E7">
        <w:rPr>
          <w:rFonts w:ascii="Arial" w:eastAsia="Calibri" w:hAnsi="Arial" w:cs="Arial"/>
          <w:color w:val="000000" w:themeColor="text1"/>
          <w:sz w:val="22"/>
          <w:szCs w:val="22"/>
          <w:lang w:val="es-ES_tradnl"/>
        </w:rPr>
        <w:t>rentabilidad del patrimonio y rentabilidad del activo–,</w:t>
      </w:r>
      <w:r w:rsidR="008A58BB" w:rsidRPr="00F213E7">
        <w:rPr>
          <w:rFonts w:ascii="Arial" w:eastAsia="Calibri" w:hAnsi="Arial" w:cs="Arial"/>
          <w:color w:val="000000" w:themeColor="text1"/>
          <w:sz w:val="22"/>
          <w:szCs w:val="22"/>
          <w:lang w:val="es-ES_tradnl"/>
        </w:rPr>
        <w:t xml:space="preserve"> se deberá realizar por parte de las entidades estatales «teniendo en cuenta </w:t>
      </w:r>
      <w:r w:rsidR="008A58BB" w:rsidRPr="00F213E7">
        <w:rPr>
          <w:rFonts w:ascii="Arial" w:eastAsia="Calibri" w:hAnsi="Arial" w:cs="Arial"/>
          <w:i/>
          <w:iCs/>
          <w:color w:val="000000" w:themeColor="text1"/>
          <w:sz w:val="22"/>
          <w:szCs w:val="22"/>
          <w:lang w:val="es-ES_tradnl"/>
        </w:rPr>
        <w:t>el mejor año fiscal que se refleje en el registro</w:t>
      </w:r>
      <w:r w:rsidR="008A58BB" w:rsidRPr="00F213E7">
        <w:rPr>
          <w:rFonts w:ascii="Arial" w:eastAsia="Calibri" w:hAnsi="Arial" w:cs="Arial"/>
          <w:color w:val="000000" w:themeColor="text1"/>
          <w:sz w:val="22"/>
          <w:szCs w:val="22"/>
          <w:lang w:val="es-ES_tradnl"/>
        </w:rPr>
        <w:t xml:space="preserve"> de cada proponente»</w:t>
      </w:r>
      <w:r w:rsidR="001D16BE" w:rsidRPr="00F213E7">
        <w:rPr>
          <w:rFonts w:ascii="Arial" w:eastAsia="Calibri" w:hAnsi="Arial" w:cs="Arial"/>
          <w:color w:val="000000" w:themeColor="text1"/>
          <w:sz w:val="22"/>
          <w:szCs w:val="22"/>
          <w:lang w:val="es-ES_tradnl"/>
        </w:rPr>
        <w:t xml:space="preserve"> (énfasis fuera de texto)</w:t>
      </w:r>
      <w:r w:rsidR="008A58BB" w:rsidRPr="00F213E7">
        <w:rPr>
          <w:rFonts w:ascii="Arial" w:eastAsia="Calibri" w:hAnsi="Arial" w:cs="Arial"/>
          <w:color w:val="000000" w:themeColor="text1"/>
          <w:sz w:val="22"/>
          <w:szCs w:val="22"/>
          <w:lang w:val="es-ES_tradnl"/>
        </w:rPr>
        <w:t>.</w:t>
      </w:r>
      <w:r w:rsidR="00992321" w:rsidRPr="00F213E7">
        <w:rPr>
          <w:rFonts w:ascii="Arial" w:eastAsia="Calibri" w:hAnsi="Arial" w:cs="Arial"/>
          <w:color w:val="000000" w:themeColor="text1"/>
          <w:sz w:val="22"/>
          <w:szCs w:val="22"/>
          <w:lang w:val="es-ES_tradnl"/>
        </w:rPr>
        <w:t xml:space="preserve"> </w:t>
      </w:r>
    </w:p>
    <w:p w14:paraId="42644EAB" w14:textId="43C5DB4F" w:rsidR="00FB0A80" w:rsidRPr="00F213E7" w:rsidRDefault="000A4629" w:rsidP="000771DA">
      <w:pPr>
        <w:spacing w:after="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 xml:space="preserve">Es decir, como el certificado del RUP debe contener la información financiera y </w:t>
      </w:r>
      <w:r w:rsidR="008A21E8" w:rsidRPr="00F213E7">
        <w:rPr>
          <w:rFonts w:ascii="Arial" w:eastAsia="Calibri" w:hAnsi="Arial" w:cs="Arial"/>
          <w:color w:val="000000" w:themeColor="text1"/>
          <w:sz w:val="22"/>
          <w:szCs w:val="22"/>
          <w:lang w:val="es-ES_tradnl"/>
        </w:rPr>
        <w:t xml:space="preserve">organizacional del proponente correspondiente a los últimos tres años o al período transcurrido desde su primer cierre fiscal, según el caso, al momento de evaluar </w:t>
      </w:r>
      <w:r w:rsidR="001671BA" w:rsidRPr="00F213E7">
        <w:rPr>
          <w:rFonts w:ascii="Arial" w:eastAsia="Calibri" w:hAnsi="Arial" w:cs="Arial"/>
          <w:color w:val="000000" w:themeColor="text1"/>
          <w:sz w:val="22"/>
          <w:szCs w:val="22"/>
          <w:lang w:val="es-ES_tradnl"/>
        </w:rPr>
        <w:t xml:space="preserve">tales indicadores </w:t>
      </w:r>
      <w:r w:rsidR="008A21E8" w:rsidRPr="00F213E7">
        <w:rPr>
          <w:rFonts w:ascii="Arial" w:eastAsia="Calibri" w:hAnsi="Arial" w:cs="Arial"/>
          <w:color w:val="000000" w:themeColor="text1"/>
          <w:sz w:val="22"/>
          <w:szCs w:val="22"/>
          <w:lang w:val="es-ES_tradnl"/>
        </w:rPr>
        <w:t>las entidades estatales</w:t>
      </w:r>
      <w:r w:rsidR="001671BA" w:rsidRPr="00F213E7">
        <w:rPr>
          <w:rFonts w:ascii="Arial" w:eastAsia="Calibri" w:hAnsi="Arial" w:cs="Arial"/>
          <w:color w:val="000000" w:themeColor="text1"/>
          <w:sz w:val="22"/>
          <w:szCs w:val="22"/>
          <w:lang w:val="es-ES_tradnl"/>
        </w:rPr>
        <w:t xml:space="preserve"> deberán tener en cuenta </w:t>
      </w:r>
      <w:r w:rsidR="00BF5E78" w:rsidRPr="00F213E7">
        <w:rPr>
          <w:rFonts w:ascii="Arial" w:eastAsia="Calibri" w:hAnsi="Arial" w:cs="Arial"/>
          <w:color w:val="000000" w:themeColor="text1"/>
          <w:sz w:val="22"/>
          <w:szCs w:val="22"/>
          <w:lang w:val="es-ES_tradnl"/>
        </w:rPr>
        <w:t>«</w:t>
      </w:r>
      <w:r w:rsidR="0047088F" w:rsidRPr="00F213E7">
        <w:rPr>
          <w:rFonts w:ascii="Arial" w:eastAsia="Calibri" w:hAnsi="Arial" w:cs="Arial"/>
          <w:color w:val="000000" w:themeColor="text1"/>
          <w:sz w:val="22"/>
          <w:szCs w:val="22"/>
          <w:lang w:val="es-ES_tradnl"/>
        </w:rPr>
        <w:t>el mejor año fiscal</w:t>
      </w:r>
      <w:r w:rsidR="00BF5E78" w:rsidRPr="00F213E7">
        <w:rPr>
          <w:rFonts w:ascii="Arial" w:eastAsia="Calibri" w:hAnsi="Arial" w:cs="Arial"/>
          <w:color w:val="000000" w:themeColor="text1"/>
          <w:sz w:val="22"/>
          <w:szCs w:val="22"/>
          <w:lang w:val="es-ES_tradnl"/>
        </w:rPr>
        <w:t>»</w:t>
      </w:r>
      <w:r w:rsidR="0047088F" w:rsidRPr="00F213E7">
        <w:rPr>
          <w:rFonts w:ascii="Arial" w:eastAsia="Calibri" w:hAnsi="Arial" w:cs="Arial"/>
          <w:color w:val="000000" w:themeColor="text1"/>
          <w:sz w:val="22"/>
          <w:szCs w:val="22"/>
          <w:lang w:val="es-ES_tradnl"/>
        </w:rPr>
        <w:t xml:space="preserve"> que refleje</w:t>
      </w:r>
      <w:r w:rsidR="00CD5BF5" w:rsidRPr="00F213E7">
        <w:rPr>
          <w:rFonts w:ascii="Arial" w:eastAsia="Calibri" w:hAnsi="Arial" w:cs="Arial"/>
          <w:color w:val="000000" w:themeColor="text1"/>
          <w:sz w:val="22"/>
          <w:szCs w:val="22"/>
          <w:lang w:val="es-ES_tradnl"/>
        </w:rPr>
        <w:t xml:space="preserve"> el registro</w:t>
      </w:r>
      <w:r w:rsidR="008926D5">
        <w:rPr>
          <w:rFonts w:ascii="Arial" w:eastAsia="Calibri" w:hAnsi="Arial" w:cs="Arial"/>
          <w:color w:val="000000" w:themeColor="text1"/>
          <w:sz w:val="22"/>
          <w:szCs w:val="22"/>
          <w:lang w:val="es-ES_tradnl"/>
        </w:rPr>
        <w:t>, y para dar respuesta a la consulta planteada, es necesario dilucidar precisamente el concepto de</w:t>
      </w:r>
      <w:r w:rsidR="00CA44ED" w:rsidRPr="00F213E7">
        <w:rPr>
          <w:rFonts w:ascii="Arial" w:eastAsia="Calibri" w:hAnsi="Arial" w:cs="Arial"/>
          <w:color w:val="000000" w:themeColor="text1"/>
          <w:sz w:val="22"/>
          <w:szCs w:val="22"/>
          <w:lang w:val="es-ES_tradnl"/>
        </w:rPr>
        <w:t xml:space="preserve"> «mejor año fiscal»</w:t>
      </w:r>
      <w:r w:rsidR="008926D5">
        <w:rPr>
          <w:rFonts w:ascii="Arial" w:eastAsia="Calibri" w:hAnsi="Arial" w:cs="Arial"/>
          <w:color w:val="000000" w:themeColor="text1"/>
          <w:sz w:val="22"/>
          <w:szCs w:val="22"/>
          <w:lang w:val="es-ES_tradnl"/>
        </w:rPr>
        <w:t xml:space="preserve">, que a la luz de la normativa estudiada, </w:t>
      </w:r>
      <w:r w:rsidR="00CA44ED" w:rsidRPr="00F213E7">
        <w:rPr>
          <w:rFonts w:ascii="Arial" w:eastAsia="Calibri" w:hAnsi="Arial" w:cs="Arial"/>
          <w:color w:val="000000" w:themeColor="text1"/>
          <w:sz w:val="22"/>
          <w:szCs w:val="22"/>
          <w:lang w:val="es-ES_tradnl"/>
        </w:rPr>
        <w:t xml:space="preserve"> se </w:t>
      </w:r>
      <w:r w:rsidR="008926D5">
        <w:rPr>
          <w:rFonts w:ascii="Arial" w:eastAsia="Calibri" w:hAnsi="Arial" w:cs="Arial"/>
          <w:color w:val="000000" w:themeColor="text1"/>
          <w:sz w:val="22"/>
          <w:szCs w:val="22"/>
          <w:lang w:val="es-ES_tradnl"/>
        </w:rPr>
        <w:t>refiere a</w:t>
      </w:r>
      <w:r w:rsidR="00CA44ED" w:rsidRPr="00F213E7">
        <w:rPr>
          <w:rFonts w:ascii="Arial" w:eastAsia="Calibri" w:hAnsi="Arial" w:cs="Arial"/>
          <w:color w:val="000000" w:themeColor="text1"/>
          <w:sz w:val="22"/>
          <w:szCs w:val="22"/>
          <w:lang w:val="es-ES_tradnl"/>
        </w:rPr>
        <w:t xml:space="preserve"> </w:t>
      </w:r>
      <w:r w:rsidR="0091251B" w:rsidRPr="00F213E7">
        <w:rPr>
          <w:rFonts w:ascii="Arial" w:eastAsia="Calibri" w:hAnsi="Arial" w:cs="Arial"/>
          <w:color w:val="000000" w:themeColor="text1"/>
          <w:sz w:val="22"/>
          <w:szCs w:val="22"/>
          <w:lang w:val="es-ES_tradnl"/>
        </w:rPr>
        <w:t xml:space="preserve">la información relativa al año apreciada en su </w:t>
      </w:r>
      <w:r w:rsidR="00B208BB" w:rsidRPr="00F213E7">
        <w:rPr>
          <w:rFonts w:ascii="Arial" w:eastAsia="Calibri" w:hAnsi="Arial" w:cs="Arial"/>
          <w:color w:val="000000" w:themeColor="text1"/>
          <w:sz w:val="22"/>
          <w:szCs w:val="22"/>
          <w:lang w:val="es-ES_tradnl"/>
        </w:rPr>
        <w:t>conjunto, o sea, de manera integral</w:t>
      </w:r>
      <w:r w:rsidR="000D1BFB" w:rsidRPr="00F213E7">
        <w:rPr>
          <w:rFonts w:ascii="Arial" w:eastAsia="Calibri" w:hAnsi="Arial" w:cs="Arial"/>
          <w:color w:val="000000" w:themeColor="text1"/>
          <w:sz w:val="22"/>
          <w:szCs w:val="22"/>
          <w:lang w:val="es-ES_tradnl"/>
        </w:rPr>
        <w:t xml:space="preserve">, que permita al proponente cumplir los requisitos </w:t>
      </w:r>
      <w:r w:rsidR="00537420" w:rsidRPr="00F213E7">
        <w:rPr>
          <w:rFonts w:ascii="Arial" w:eastAsia="Calibri" w:hAnsi="Arial" w:cs="Arial"/>
          <w:color w:val="000000" w:themeColor="text1"/>
          <w:sz w:val="22"/>
          <w:szCs w:val="22"/>
          <w:lang w:val="es-ES_tradnl"/>
        </w:rPr>
        <w:t>habilitantes de capacidad financiera y organizacional</w:t>
      </w:r>
      <w:r w:rsidR="00B208BB" w:rsidRPr="00F213E7">
        <w:rPr>
          <w:rFonts w:ascii="Arial" w:eastAsia="Calibri" w:hAnsi="Arial" w:cs="Arial"/>
          <w:color w:val="000000" w:themeColor="text1"/>
          <w:sz w:val="22"/>
          <w:szCs w:val="22"/>
          <w:lang w:val="es-ES_tradnl"/>
        </w:rPr>
        <w:t>. Dicho de otr</w:t>
      </w:r>
      <w:r w:rsidR="00BD36D0" w:rsidRPr="00F213E7">
        <w:rPr>
          <w:rFonts w:ascii="Arial" w:eastAsia="Calibri" w:hAnsi="Arial" w:cs="Arial"/>
          <w:color w:val="000000" w:themeColor="text1"/>
          <w:sz w:val="22"/>
          <w:szCs w:val="22"/>
          <w:lang w:val="es-ES_tradnl"/>
        </w:rPr>
        <w:t>o</w:t>
      </w:r>
      <w:r w:rsidR="00B208BB" w:rsidRPr="00F213E7">
        <w:rPr>
          <w:rFonts w:ascii="Arial" w:eastAsia="Calibri" w:hAnsi="Arial" w:cs="Arial"/>
          <w:color w:val="000000" w:themeColor="text1"/>
          <w:sz w:val="22"/>
          <w:szCs w:val="22"/>
          <w:lang w:val="es-ES_tradnl"/>
        </w:rPr>
        <w:t xml:space="preserve"> </w:t>
      </w:r>
      <w:r w:rsidR="00BD36D0" w:rsidRPr="00F213E7">
        <w:rPr>
          <w:rFonts w:ascii="Arial" w:eastAsia="Calibri" w:hAnsi="Arial" w:cs="Arial"/>
          <w:color w:val="000000" w:themeColor="text1"/>
          <w:sz w:val="22"/>
          <w:szCs w:val="22"/>
          <w:lang w:val="es-ES_tradnl"/>
        </w:rPr>
        <w:t>modo</w:t>
      </w:r>
      <w:r w:rsidR="00B208BB" w:rsidRPr="00F213E7">
        <w:rPr>
          <w:rFonts w:ascii="Arial" w:eastAsia="Calibri" w:hAnsi="Arial" w:cs="Arial"/>
          <w:color w:val="000000" w:themeColor="text1"/>
          <w:sz w:val="22"/>
          <w:szCs w:val="22"/>
          <w:lang w:val="es-ES_tradnl"/>
        </w:rPr>
        <w:t>, cuando el parágrafo transitorio</w:t>
      </w:r>
      <w:r w:rsidR="00741562" w:rsidRPr="00F213E7">
        <w:rPr>
          <w:rFonts w:ascii="Arial" w:eastAsia="Calibri" w:hAnsi="Arial" w:cs="Arial"/>
          <w:color w:val="000000" w:themeColor="text1"/>
          <w:sz w:val="22"/>
          <w:szCs w:val="22"/>
          <w:lang w:val="es-ES_tradnl"/>
        </w:rPr>
        <w:t xml:space="preserve"> del </w:t>
      </w:r>
      <w:r w:rsidR="00B208BB" w:rsidRPr="00F213E7">
        <w:rPr>
          <w:rFonts w:ascii="Arial" w:eastAsia="Calibri" w:hAnsi="Arial" w:cs="Arial"/>
          <w:color w:val="000000" w:themeColor="text1"/>
          <w:sz w:val="22"/>
          <w:szCs w:val="22"/>
          <w:lang w:val="es-ES_tradnl"/>
        </w:rPr>
        <w:t xml:space="preserve">artículo </w:t>
      </w:r>
      <w:r w:rsidR="00741562" w:rsidRPr="00F213E7">
        <w:rPr>
          <w:rFonts w:ascii="Arial" w:eastAsia="Calibri" w:hAnsi="Arial" w:cs="Arial"/>
          <w:color w:val="000000" w:themeColor="text1"/>
          <w:sz w:val="22"/>
          <w:szCs w:val="22"/>
          <w:lang w:val="es-ES_tradnl"/>
        </w:rPr>
        <w:t>2.2.1.1.1.6.2, adicionado por el artículo 6 del Decreto</w:t>
      </w:r>
      <w:r w:rsidR="00E72080" w:rsidRPr="00F213E7">
        <w:rPr>
          <w:rFonts w:ascii="Arial" w:eastAsia="Calibri" w:hAnsi="Arial" w:cs="Arial"/>
          <w:color w:val="000000" w:themeColor="text1"/>
          <w:sz w:val="22"/>
          <w:szCs w:val="22"/>
          <w:lang w:val="es-ES_tradnl"/>
        </w:rPr>
        <w:t xml:space="preserve"> 399 de 2021</w:t>
      </w:r>
      <w:r w:rsidR="005A16F3" w:rsidRPr="00F213E7">
        <w:rPr>
          <w:rFonts w:ascii="Arial" w:eastAsia="Calibri" w:hAnsi="Arial" w:cs="Arial"/>
          <w:color w:val="000000" w:themeColor="text1"/>
          <w:sz w:val="22"/>
          <w:szCs w:val="22"/>
          <w:lang w:val="es-ES_tradnl"/>
        </w:rPr>
        <w:t xml:space="preserve"> y sustituido por el artículo </w:t>
      </w:r>
      <w:r w:rsidR="005A771F" w:rsidRPr="00F213E7">
        <w:rPr>
          <w:rFonts w:ascii="Arial" w:eastAsia="Calibri" w:hAnsi="Arial" w:cs="Arial"/>
          <w:color w:val="000000" w:themeColor="text1"/>
          <w:sz w:val="22"/>
          <w:szCs w:val="22"/>
          <w:lang w:val="es-ES_tradnl"/>
        </w:rPr>
        <w:t>3 del Decreto 579 de 2021</w:t>
      </w:r>
      <w:r w:rsidR="00E72080" w:rsidRPr="00F213E7">
        <w:rPr>
          <w:rFonts w:ascii="Arial" w:eastAsia="Calibri" w:hAnsi="Arial" w:cs="Arial"/>
          <w:color w:val="000000" w:themeColor="text1"/>
          <w:sz w:val="22"/>
          <w:szCs w:val="22"/>
          <w:lang w:val="es-ES_tradnl"/>
        </w:rPr>
        <w:t>, establece que «</w:t>
      </w:r>
      <w:r w:rsidR="00E72080" w:rsidRPr="00F213E7">
        <w:rPr>
          <w:rFonts w:ascii="Arial" w:hAnsi="Arial" w:cs="Arial"/>
          <w:sz w:val="22"/>
          <w:szCs w:val="22"/>
          <w:lang w:val="es-ES_tradnl"/>
        </w:rPr>
        <w:t xml:space="preserve">[…] </w:t>
      </w:r>
      <w:r w:rsidR="00E72080" w:rsidRPr="00F213E7">
        <w:rPr>
          <w:rFonts w:ascii="Arial" w:eastAsia="Calibri" w:hAnsi="Arial" w:cs="Arial"/>
          <w:color w:val="000000" w:themeColor="text1"/>
          <w:sz w:val="22"/>
          <w:szCs w:val="22"/>
          <w:lang w:val="es-ES_tradnl"/>
        </w:rPr>
        <w:t xml:space="preserve">las Entidades Estatales evaluarán estos indicadores, teniendo en cuenta el mejor año fiscal que se refleje en el registro de cada </w:t>
      </w:r>
      <w:r w:rsidR="00E72080" w:rsidRPr="00F213E7">
        <w:rPr>
          <w:rFonts w:ascii="Arial" w:eastAsia="Calibri" w:hAnsi="Arial" w:cs="Arial"/>
          <w:color w:val="000000" w:themeColor="text1"/>
          <w:sz w:val="22"/>
          <w:szCs w:val="22"/>
          <w:lang w:val="es-ES_tradnl"/>
        </w:rPr>
        <w:lastRenderedPageBreak/>
        <w:t xml:space="preserve">proponente», significa que deben </w:t>
      </w:r>
      <w:r w:rsidR="00E26551" w:rsidRPr="00F213E7">
        <w:rPr>
          <w:rFonts w:ascii="Arial" w:eastAsia="Calibri" w:hAnsi="Arial" w:cs="Arial"/>
          <w:color w:val="000000" w:themeColor="text1"/>
          <w:sz w:val="22"/>
          <w:szCs w:val="22"/>
          <w:lang w:val="es-ES_tradnl"/>
        </w:rPr>
        <w:t xml:space="preserve">examinar los años </w:t>
      </w:r>
      <w:r w:rsidR="00826870" w:rsidRPr="00F213E7">
        <w:rPr>
          <w:rFonts w:ascii="Arial" w:eastAsia="Calibri" w:hAnsi="Arial" w:cs="Arial"/>
          <w:color w:val="000000" w:themeColor="text1"/>
          <w:sz w:val="22"/>
          <w:szCs w:val="22"/>
          <w:lang w:val="es-ES_tradnl"/>
        </w:rPr>
        <w:t>certificados en el RUP y escoger</w:t>
      </w:r>
      <w:r w:rsidR="000F3E4C" w:rsidRPr="00F213E7">
        <w:rPr>
          <w:rFonts w:ascii="Arial" w:eastAsia="Calibri" w:hAnsi="Arial" w:cs="Arial"/>
          <w:color w:val="000000" w:themeColor="text1"/>
          <w:sz w:val="22"/>
          <w:szCs w:val="22"/>
          <w:lang w:val="es-ES_tradnl"/>
        </w:rPr>
        <w:t xml:space="preserve"> para ser evaluado</w:t>
      </w:r>
      <w:r w:rsidR="00826870" w:rsidRPr="00F213E7">
        <w:rPr>
          <w:rFonts w:ascii="Arial" w:eastAsia="Calibri" w:hAnsi="Arial" w:cs="Arial"/>
          <w:color w:val="000000" w:themeColor="text1"/>
          <w:sz w:val="22"/>
          <w:szCs w:val="22"/>
          <w:lang w:val="es-ES_tradnl"/>
        </w:rPr>
        <w:t xml:space="preserve"> el que</w:t>
      </w:r>
      <w:r w:rsidR="00A60500" w:rsidRPr="00F213E7">
        <w:rPr>
          <w:rFonts w:ascii="Arial" w:eastAsia="Calibri" w:hAnsi="Arial" w:cs="Arial"/>
          <w:color w:val="000000" w:themeColor="text1"/>
          <w:sz w:val="22"/>
          <w:szCs w:val="22"/>
          <w:lang w:val="es-ES_tradnl"/>
        </w:rPr>
        <w:t xml:space="preserve"> refleje mejores indicadores de capacidad financiera y organizacional</w:t>
      </w:r>
      <w:r w:rsidR="007B6008" w:rsidRPr="00F213E7">
        <w:rPr>
          <w:rFonts w:ascii="Arial" w:eastAsia="Calibri" w:hAnsi="Arial" w:cs="Arial"/>
          <w:color w:val="000000" w:themeColor="text1"/>
          <w:sz w:val="22"/>
          <w:szCs w:val="22"/>
          <w:lang w:val="es-ES_tradnl"/>
        </w:rPr>
        <w:t>,</w:t>
      </w:r>
      <w:r w:rsidR="00196292" w:rsidRPr="00F213E7">
        <w:rPr>
          <w:rFonts w:ascii="Arial" w:eastAsia="Calibri" w:hAnsi="Arial" w:cs="Arial"/>
          <w:color w:val="000000" w:themeColor="text1"/>
          <w:sz w:val="22"/>
          <w:szCs w:val="22"/>
          <w:lang w:val="es-ES_tradnl"/>
        </w:rPr>
        <w:t xml:space="preserve"> que permita al proponente cumplir los requisitos habilitantes de capacidad financiera y organizacional.</w:t>
      </w:r>
    </w:p>
    <w:p w14:paraId="124A7B85" w14:textId="6F2F87A2" w:rsidR="006466F2" w:rsidRPr="00F213E7" w:rsidRDefault="00FB0A80" w:rsidP="000771DA">
      <w:pPr>
        <w:spacing w:after="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color w:val="000000" w:themeColor="text1"/>
          <w:sz w:val="22"/>
          <w:szCs w:val="22"/>
          <w:lang w:val="es-ES_tradnl"/>
        </w:rPr>
        <w:t xml:space="preserve">Por lo tanto, </w:t>
      </w:r>
      <w:r w:rsidR="004565C6" w:rsidRPr="00F213E7">
        <w:rPr>
          <w:rFonts w:ascii="Arial" w:eastAsia="Calibri" w:hAnsi="Arial" w:cs="Arial"/>
          <w:color w:val="000000" w:themeColor="text1"/>
          <w:sz w:val="22"/>
          <w:szCs w:val="22"/>
          <w:lang w:val="es-ES_tradnl"/>
        </w:rPr>
        <w:t>el parágrafo transitorio, agregado al artículo 2.2.1.1.1.6.2. del Decreto 1082 de 2015 por el artículo 6 del Decreto 399 de 2021</w:t>
      </w:r>
      <w:r w:rsidR="005A771F" w:rsidRPr="00F213E7">
        <w:rPr>
          <w:rFonts w:ascii="Arial" w:eastAsia="Calibri" w:hAnsi="Arial" w:cs="Arial"/>
          <w:color w:val="000000" w:themeColor="text1"/>
          <w:sz w:val="22"/>
          <w:szCs w:val="22"/>
          <w:lang w:val="es-ES_tradnl"/>
        </w:rPr>
        <w:t xml:space="preserve"> y sustituido por el artículo 3 del Decreto 579 de 2021</w:t>
      </w:r>
      <w:r w:rsidR="004565C6" w:rsidRPr="00F213E7">
        <w:rPr>
          <w:rFonts w:ascii="Arial" w:eastAsia="Calibri" w:hAnsi="Arial" w:cs="Arial"/>
          <w:color w:val="000000" w:themeColor="text1"/>
          <w:sz w:val="22"/>
          <w:szCs w:val="22"/>
          <w:lang w:val="es-ES_tradnl"/>
        </w:rPr>
        <w:t xml:space="preserve">, no exige que las entidades estatales </w:t>
      </w:r>
      <w:r w:rsidR="004E60CD" w:rsidRPr="00F213E7">
        <w:rPr>
          <w:rFonts w:ascii="Arial" w:eastAsia="Calibri" w:hAnsi="Arial" w:cs="Arial"/>
          <w:color w:val="000000" w:themeColor="text1"/>
          <w:sz w:val="22"/>
          <w:szCs w:val="22"/>
          <w:lang w:val="es-ES_tradnl"/>
        </w:rPr>
        <w:t>tengan en cuenta</w:t>
      </w:r>
      <w:r w:rsidR="004565C6" w:rsidRPr="00F213E7">
        <w:rPr>
          <w:rFonts w:ascii="Arial" w:eastAsia="Calibri" w:hAnsi="Arial" w:cs="Arial"/>
          <w:color w:val="000000" w:themeColor="text1"/>
          <w:sz w:val="22"/>
          <w:szCs w:val="22"/>
          <w:lang w:val="es-ES_tradnl"/>
        </w:rPr>
        <w:t xml:space="preserve"> el mejor año</w:t>
      </w:r>
      <w:r w:rsidR="00B53C98" w:rsidRPr="00F213E7">
        <w:rPr>
          <w:rFonts w:ascii="Arial" w:eastAsia="Calibri" w:hAnsi="Arial" w:cs="Arial"/>
          <w:color w:val="000000" w:themeColor="text1"/>
          <w:sz w:val="22"/>
          <w:szCs w:val="22"/>
          <w:lang w:val="es-ES_tradnl"/>
        </w:rPr>
        <w:t xml:space="preserve"> </w:t>
      </w:r>
      <w:r w:rsidR="00B53C98" w:rsidRPr="00F213E7">
        <w:rPr>
          <w:rFonts w:ascii="Arial" w:eastAsia="Calibri" w:hAnsi="Arial" w:cs="Arial"/>
          <w:i/>
          <w:iCs/>
          <w:color w:val="000000" w:themeColor="text1"/>
          <w:sz w:val="22"/>
          <w:szCs w:val="22"/>
          <w:lang w:val="es-ES_tradnl"/>
        </w:rPr>
        <w:t>por cada indicador</w:t>
      </w:r>
      <w:r w:rsidR="00851769" w:rsidRPr="00F213E7">
        <w:rPr>
          <w:rFonts w:ascii="Arial" w:eastAsia="Calibri" w:hAnsi="Arial" w:cs="Arial"/>
          <w:color w:val="000000" w:themeColor="text1"/>
          <w:sz w:val="22"/>
          <w:szCs w:val="22"/>
          <w:lang w:val="es-ES_tradnl"/>
        </w:rPr>
        <w:t>; verbigracia, el mejor año para el índice de liquidez</w:t>
      </w:r>
      <w:r w:rsidR="00EC1E82" w:rsidRPr="00F213E7">
        <w:rPr>
          <w:rFonts w:ascii="Arial" w:eastAsia="Calibri" w:hAnsi="Arial" w:cs="Arial"/>
          <w:color w:val="000000" w:themeColor="text1"/>
          <w:sz w:val="22"/>
          <w:szCs w:val="22"/>
          <w:lang w:val="es-ES_tradnl"/>
        </w:rPr>
        <w:t>, el mejor año</w:t>
      </w:r>
      <w:r w:rsidR="00A75278" w:rsidRPr="00F213E7">
        <w:rPr>
          <w:rFonts w:ascii="Arial" w:eastAsia="Calibri" w:hAnsi="Arial" w:cs="Arial"/>
          <w:color w:val="000000" w:themeColor="text1"/>
          <w:sz w:val="22"/>
          <w:szCs w:val="22"/>
          <w:lang w:val="es-ES_tradnl"/>
        </w:rPr>
        <w:t xml:space="preserve"> para el índice de endeudamiento o el mejor año para </w:t>
      </w:r>
      <w:r w:rsidR="00C56A86" w:rsidRPr="00F213E7">
        <w:rPr>
          <w:rFonts w:ascii="Arial" w:eastAsia="Calibri" w:hAnsi="Arial" w:cs="Arial"/>
          <w:color w:val="000000" w:themeColor="text1"/>
          <w:sz w:val="22"/>
          <w:szCs w:val="22"/>
          <w:lang w:val="es-ES_tradnl"/>
        </w:rPr>
        <w:t xml:space="preserve">la rentabilidad del patrimonio. Atendiendo a la teleología del Decreto 399 de 2021, por «mejor año» debe entenderse aquel </w:t>
      </w:r>
      <w:r w:rsidR="00D036D4" w:rsidRPr="00F213E7">
        <w:rPr>
          <w:rFonts w:ascii="Arial" w:eastAsia="Calibri" w:hAnsi="Arial" w:cs="Arial"/>
          <w:color w:val="000000" w:themeColor="text1"/>
          <w:sz w:val="22"/>
          <w:szCs w:val="22"/>
          <w:lang w:val="es-ES_tradnl"/>
        </w:rPr>
        <w:t xml:space="preserve">en el que, analizados conjuntamente todos los indicadores de capacidad financiera y organizacional, el proponente cumpla con dichos requisitos habilitantes. </w:t>
      </w:r>
    </w:p>
    <w:p w14:paraId="5209032E" w14:textId="0757E114" w:rsidR="000771DA" w:rsidRPr="00F213E7" w:rsidRDefault="000771DA" w:rsidP="00CB4DCE">
      <w:pPr>
        <w:tabs>
          <w:tab w:val="left" w:pos="426"/>
        </w:tabs>
        <w:spacing w:after="120" w:line="276" w:lineRule="auto"/>
        <w:ind w:firstLine="709"/>
        <w:jc w:val="both"/>
        <w:rPr>
          <w:rFonts w:ascii="Arial" w:hAnsi="Arial" w:cs="Arial"/>
          <w:color w:val="000000"/>
          <w:sz w:val="22"/>
          <w:szCs w:val="22"/>
          <w:lang w:val="es-ES_tradnl"/>
        </w:rPr>
      </w:pPr>
      <w:r w:rsidRPr="00F213E7">
        <w:rPr>
          <w:rFonts w:ascii="Arial" w:eastAsia="Calibri" w:hAnsi="Arial" w:cs="Arial"/>
          <w:noProof/>
          <w:sz w:val="22"/>
          <w:szCs w:val="22"/>
          <w:lang w:val="es-ES_tradnl"/>
        </w:rPr>
        <w:t>Aunado a lo anterior, siendo el espíritu de la norma propender por la reactivación económica, se brinda a las entidades estatales y  a los proponentes la posibilidad de tener un margen de tres (3) años de información en el certificado del RUP, de modo que no se tome necesariamente el periodo inmediatamente anterior, para el caso de aquellos oferentes donde este haya podido ser negativo financieramente por la situación de pandemia; mientras que en lo que atañe a la evaluación, de la información contenida en el RUP se tendrá en cuenta «el mejor año fiscal», se observa la frase en singular, para concluir que no se hace referenica a los tres años que devienen plurales; en cuanto a la palabra «mejor» en función de adjetivo, como la norma lo precisa, dependerá de las condiciones propias del proceso contractual, correspondiendo a las entidades el deber de análisis al respecto, en armonía con los aspectos analizados, donde mejor en términos de capacidad financiera se entenderá como el año en el que se evidencie el mayor índice de liquidez, menor índice de endeudamiento y mayor cobertura de intereses, mientras que en lo concerniente a capacidad organizacional, será aquel en el que se evidencie</w:t>
      </w:r>
      <w:r w:rsidRPr="00F213E7">
        <w:rPr>
          <w:rFonts w:ascii="Arial" w:hAnsi="Arial" w:cs="Arial"/>
          <w:color w:val="000000"/>
          <w:sz w:val="22"/>
          <w:szCs w:val="22"/>
        </w:rPr>
        <w:t xml:space="preserve"> mayor rentabilidad sobre el patrimonio</w:t>
      </w:r>
      <w:r w:rsidRPr="00F213E7">
        <w:rPr>
          <w:rFonts w:ascii="Arial" w:hAnsi="Arial" w:cs="Arial"/>
          <w:color w:val="000000"/>
          <w:sz w:val="22"/>
          <w:szCs w:val="22"/>
          <w:lang w:val="es-ES_tradnl"/>
        </w:rPr>
        <w:t xml:space="preserve"> y  </w:t>
      </w:r>
      <w:r w:rsidRPr="00F213E7">
        <w:rPr>
          <w:rFonts w:ascii="Arial" w:hAnsi="Arial" w:cs="Arial"/>
          <w:color w:val="000000"/>
          <w:sz w:val="22"/>
          <w:szCs w:val="22"/>
        </w:rPr>
        <w:t xml:space="preserve">mayor rentabilidad sobre activos, </w:t>
      </w:r>
      <w:r w:rsidRPr="00F213E7">
        <w:rPr>
          <w:rFonts w:ascii="Arial" w:hAnsi="Arial" w:cs="Arial"/>
          <w:color w:val="000000"/>
          <w:sz w:val="22"/>
          <w:szCs w:val="22"/>
          <w:lang w:val="es-ES_tradnl"/>
        </w:rPr>
        <w:t xml:space="preserve">debiendo este último ser </w:t>
      </w:r>
      <w:r w:rsidRPr="00F213E7">
        <w:rPr>
          <w:rFonts w:ascii="Arial" w:hAnsi="Arial" w:cs="Arial"/>
          <w:color w:val="000000"/>
          <w:sz w:val="22"/>
          <w:szCs w:val="22"/>
        </w:rPr>
        <w:t xml:space="preserve">menor o igual que el </w:t>
      </w:r>
      <w:r w:rsidRPr="00F213E7">
        <w:rPr>
          <w:rFonts w:ascii="Arial" w:hAnsi="Arial" w:cs="Arial"/>
          <w:color w:val="000000"/>
          <w:sz w:val="22"/>
          <w:szCs w:val="22"/>
          <w:lang w:val="es-ES_tradnl"/>
        </w:rPr>
        <w:t>primero.</w:t>
      </w:r>
    </w:p>
    <w:p w14:paraId="3C0C9445" w14:textId="51626148" w:rsidR="008C2226" w:rsidRPr="00F213E7" w:rsidRDefault="000771DA" w:rsidP="006466F2">
      <w:pPr>
        <w:spacing w:before="120" w:line="276" w:lineRule="auto"/>
        <w:ind w:firstLine="709"/>
        <w:jc w:val="both"/>
        <w:rPr>
          <w:rFonts w:ascii="Arial" w:eastAsia="Calibri" w:hAnsi="Arial" w:cs="Arial"/>
          <w:color w:val="000000" w:themeColor="text1"/>
          <w:sz w:val="22"/>
          <w:szCs w:val="22"/>
          <w:lang w:val="es-ES_tradnl"/>
        </w:rPr>
      </w:pPr>
      <w:r w:rsidRPr="00F213E7">
        <w:rPr>
          <w:rFonts w:ascii="Arial" w:eastAsia="Calibri" w:hAnsi="Arial" w:cs="Arial"/>
          <w:noProof/>
          <w:sz w:val="22"/>
          <w:szCs w:val="22"/>
          <w:lang w:val="es-ES_tradnl"/>
        </w:rPr>
        <w:t xml:space="preserve">En efecto, </w:t>
      </w:r>
      <w:r w:rsidR="00435CDE" w:rsidRPr="00F213E7">
        <w:rPr>
          <w:rFonts w:ascii="Arial" w:eastAsia="Calibri" w:hAnsi="Arial" w:cs="Arial"/>
          <w:color w:val="000000" w:themeColor="text1"/>
          <w:sz w:val="22"/>
          <w:szCs w:val="22"/>
          <w:lang w:val="es-ES_tradnl"/>
        </w:rPr>
        <w:t>el «mejor año fiscal» es, objetivamente, aquel en el que</w:t>
      </w:r>
      <w:r w:rsidR="00FC26EA" w:rsidRPr="00F213E7">
        <w:rPr>
          <w:rFonts w:ascii="Arial" w:eastAsia="Calibri" w:hAnsi="Arial" w:cs="Arial"/>
          <w:color w:val="000000" w:themeColor="text1"/>
          <w:sz w:val="22"/>
          <w:szCs w:val="22"/>
          <w:lang w:val="es-ES_tradnl"/>
        </w:rPr>
        <w:t>,</w:t>
      </w:r>
      <w:r w:rsidR="00435CDE" w:rsidRPr="00F213E7">
        <w:rPr>
          <w:rFonts w:ascii="Arial" w:eastAsia="Calibri" w:hAnsi="Arial" w:cs="Arial"/>
          <w:color w:val="000000" w:themeColor="text1"/>
          <w:sz w:val="22"/>
          <w:szCs w:val="22"/>
          <w:lang w:val="es-ES_tradnl"/>
        </w:rPr>
        <w:t xml:space="preserve"> vistos en su conjunto los indicadores de capacidad financiera y organizacional, </w:t>
      </w:r>
      <w:r w:rsidR="00232C7A" w:rsidRPr="00F213E7">
        <w:rPr>
          <w:rFonts w:ascii="Arial" w:eastAsia="Calibri" w:hAnsi="Arial" w:cs="Arial"/>
          <w:color w:val="000000" w:themeColor="text1"/>
          <w:sz w:val="22"/>
          <w:szCs w:val="22"/>
          <w:lang w:val="es-ES_tradnl"/>
        </w:rPr>
        <w:t xml:space="preserve">el proponente </w:t>
      </w:r>
      <w:r w:rsidR="00A3039C" w:rsidRPr="00F213E7">
        <w:rPr>
          <w:rFonts w:ascii="Arial" w:eastAsia="Calibri" w:hAnsi="Arial" w:cs="Arial"/>
          <w:color w:val="000000" w:themeColor="text1"/>
          <w:sz w:val="22"/>
          <w:szCs w:val="22"/>
          <w:lang w:val="es-ES_tradnl"/>
        </w:rPr>
        <w:t xml:space="preserve">podría </w:t>
      </w:r>
      <w:r w:rsidR="00232C7A" w:rsidRPr="00F213E7">
        <w:rPr>
          <w:rFonts w:ascii="Arial" w:eastAsia="Calibri" w:hAnsi="Arial" w:cs="Arial"/>
          <w:color w:val="000000" w:themeColor="text1"/>
          <w:sz w:val="22"/>
          <w:szCs w:val="22"/>
          <w:lang w:val="es-ES_tradnl"/>
        </w:rPr>
        <w:t>cumpl</w:t>
      </w:r>
      <w:r w:rsidR="00A3039C" w:rsidRPr="00F213E7">
        <w:rPr>
          <w:rFonts w:ascii="Arial" w:eastAsia="Calibri" w:hAnsi="Arial" w:cs="Arial"/>
          <w:color w:val="000000" w:themeColor="text1"/>
          <w:sz w:val="22"/>
          <w:szCs w:val="22"/>
          <w:lang w:val="es-ES_tradnl"/>
        </w:rPr>
        <w:t>ir</w:t>
      </w:r>
      <w:r w:rsidR="00435CDE" w:rsidRPr="00F213E7">
        <w:rPr>
          <w:rFonts w:ascii="Arial" w:eastAsia="Calibri" w:hAnsi="Arial" w:cs="Arial"/>
          <w:color w:val="000000" w:themeColor="text1"/>
          <w:sz w:val="22"/>
          <w:szCs w:val="22"/>
          <w:lang w:val="es-ES_tradnl"/>
        </w:rPr>
        <w:t xml:space="preserve"> estos requisitos habilitantes en el proceso de selección.</w:t>
      </w:r>
      <w:r w:rsidR="00EA6B8C" w:rsidRPr="00F213E7">
        <w:rPr>
          <w:rFonts w:ascii="Arial" w:eastAsia="Calibri" w:hAnsi="Arial" w:cs="Arial"/>
          <w:color w:val="000000" w:themeColor="text1"/>
          <w:sz w:val="22"/>
          <w:szCs w:val="22"/>
          <w:lang w:val="es-ES_tradnl"/>
        </w:rPr>
        <w:t xml:space="preserve"> </w:t>
      </w:r>
      <w:r w:rsidR="001E2F9D" w:rsidRPr="00F213E7">
        <w:rPr>
          <w:rFonts w:ascii="Arial" w:eastAsia="Calibri" w:hAnsi="Arial" w:cs="Arial"/>
          <w:color w:val="000000" w:themeColor="text1"/>
          <w:sz w:val="22"/>
          <w:szCs w:val="22"/>
          <w:lang w:val="es-ES_tradnl"/>
        </w:rPr>
        <w:t>Tales</w:t>
      </w:r>
      <w:r w:rsidR="00EA6B8C" w:rsidRPr="00F213E7">
        <w:rPr>
          <w:rFonts w:ascii="Arial" w:eastAsia="Calibri" w:hAnsi="Arial" w:cs="Arial"/>
          <w:color w:val="000000" w:themeColor="text1"/>
          <w:sz w:val="22"/>
          <w:szCs w:val="22"/>
          <w:lang w:val="es-ES_tradnl"/>
        </w:rPr>
        <w:t xml:space="preserve"> requisitos deben establecerse por la entidad estatal en el pliego de condiciones o documento equivalente y han de ser el resultado de un adecuado análisis en la fase de </w:t>
      </w:r>
      <w:r w:rsidR="006246F0" w:rsidRPr="00F213E7">
        <w:rPr>
          <w:rFonts w:ascii="Arial" w:eastAsia="Calibri" w:hAnsi="Arial" w:cs="Arial"/>
          <w:color w:val="000000" w:themeColor="text1"/>
          <w:sz w:val="22"/>
          <w:szCs w:val="22"/>
          <w:lang w:val="es-ES_tradnl"/>
        </w:rPr>
        <w:t>planeación</w:t>
      </w:r>
      <w:r w:rsidR="00EA6B8C" w:rsidRPr="00F213E7">
        <w:rPr>
          <w:rFonts w:ascii="Arial" w:eastAsia="Calibri" w:hAnsi="Arial" w:cs="Arial"/>
          <w:color w:val="000000" w:themeColor="text1"/>
          <w:sz w:val="22"/>
          <w:szCs w:val="22"/>
          <w:lang w:val="es-ES_tradnl"/>
        </w:rPr>
        <w:t xml:space="preserve">, que permita establecer índices de capacidad financiera y organizacional </w:t>
      </w:r>
      <w:r w:rsidR="00FC26EA" w:rsidRPr="00F213E7">
        <w:rPr>
          <w:rFonts w:ascii="Arial" w:eastAsia="Calibri" w:hAnsi="Arial" w:cs="Arial"/>
          <w:color w:val="000000" w:themeColor="text1"/>
          <w:sz w:val="22"/>
          <w:szCs w:val="22"/>
          <w:lang w:val="es-ES_tradnl"/>
        </w:rPr>
        <w:t>razonables.</w:t>
      </w:r>
      <w:r w:rsidR="00F864EC" w:rsidRPr="00F213E7">
        <w:rPr>
          <w:rFonts w:ascii="Arial" w:eastAsia="Calibri" w:hAnsi="Arial" w:cs="Arial"/>
          <w:color w:val="000000" w:themeColor="text1"/>
          <w:sz w:val="22"/>
          <w:szCs w:val="22"/>
          <w:lang w:val="es-ES_tradnl"/>
        </w:rPr>
        <w:t xml:space="preserve"> Ahora bien, del hecho de que la entidad estatal deba</w:t>
      </w:r>
      <w:r w:rsidR="006072F7" w:rsidRPr="00F213E7">
        <w:rPr>
          <w:rFonts w:ascii="Arial" w:eastAsia="Calibri" w:hAnsi="Arial" w:cs="Arial"/>
          <w:color w:val="000000" w:themeColor="text1"/>
          <w:sz w:val="22"/>
          <w:szCs w:val="22"/>
          <w:lang w:val="es-ES_tradnl"/>
        </w:rPr>
        <w:t xml:space="preserve"> evaluar los indicadores de capacidad financiera y organizacional teniendo en cuenta el «mejor año fiscal», n</w:t>
      </w:r>
      <w:r w:rsidR="00951460" w:rsidRPr="00F213E7">
        <w:rPr>
          <w:rFonts w:ascii="Arial" w:eastAsia="Calibri" w:hAnsi="Arial" w:cs="Arial"/>
          <w:color w:val="000000" w:themeColor="text1"/>
          <w:sz w:val="22"/>
          <w:szCs w:val="22"/>
          <w:lang w:val="es-ES_tradnl"/>
        </w:rPr>
        <w:t>o se infiere que el proponente siempre cumplirá tales requisitos habilitantes, pues</w:t>
      </w:r>
      <w:r w:rsidR="0092660F" w:rsidRPr="00F213E7">
        <w:rPr>
          <w:rFonts w:ascii="Arial" w:eastAsia="Calibri" w:hAnsi="Arial" w:cs="Arial"/>
          <w:color w:val="000000" w:themeColor="text1"/>
          <w:sz w:val="22"/>
          <w:szCs w:val="22"/>
          <w:lang w:val="es-ES_tradnl"/>
        </w:rPr>
        <w:t>,</w:t>
      </w:r>
      <w:r w:rsidR="00951460" w:rsidRPr="00F213E7">
        <w:rPr>
          <w:rFonts w:ascii="Arial" w:eastAsia="Calibri" w:hAnsi="Arial" w:cs="Arial"/>
          <w:color w:val="000000" w:themeColor="text1"/>
          <w:sz w:val="22"/>
          <w:szCs w:val="22"/>
          <w:lang w:val="es-ES_tradnl"/>
        </w:rPr>
        <w:t xml:space="preserve"> precisamente</w:t>
      </w:r>
      <w:r w:rsidR="0092660F" w:rsidRPr="00F213E7">
        <w:rPr>
          <w:rFonts w:ascii="Arial" w:eastAsia="Calibri" w:hAnsi="Arial" w:cs="Arial"/>
          <w:color w:val="000000" w:themeColor="text1"/>
          <w:sz w:val="22"/>
          <w:szCs w:val="22"/>
          <w:lang w:val="es-ES_tradnl"/>
        </w:rPr>
        <w:t>,</w:t>
      </w:r>
      <w:r w:rsidR="00951460" w:rsidRPr="00F213E7">
        <w:rPr>
          <w:rFonts w:ascii="Arial" w:eastAsia="Calibri" w:hAnsi="Arial" w:cs="Arial"/>
          <w:color w:val="000000" w:themeColor="text1"/>
          <w:sz w:val="22"/>
          <w:szCs w:val="22"/>
          <w:lang w:val="es-ES_tradnl"/>
        </w:rPr>
        <w:t xml:space="preserve"> ese es el análisis que </w:t>
      </w:r>
      <w:r w:rsidR="00C769AF" w:rsidRPr="00F213E7">
        <w:rPr>
          <w:rFonts w:ascii="Arial" w:eastAsia="Calibri" w:hAnsi="Arial" w:cs="Arial"/>
          <w:color w:val="000000" w:themeColor="text1"/>
          <w:sz w:val="22"/>
          <w:szCs w:val="22"/>
          <w:lang w:val="es-ES_tradnl"/>
        </w:rPr>
        <w:t>deberá</w:t>
      </w:r>
      <w:r w:rsidR="0092660F" w:rsidRPr="00F213E7">
        <w:rPr>
          <w:rFonts w:ascii="Arial" w:eastAsia="Calibri" w:hAnsi="Arial" w:cs="Arial"/>
          <w:color w:val="000000" w:themeColor="text1"/>
          <w:sz w:val="22"/>
          <w:szCs w:val="22"/>
          <w:lang w:val="es-ES_tradnl"/>
        </w:rPr>
        <w:t xml:space="preserve"> hacer la entidad pública</w:t>
      </w:r>
      <w:r w:rsidR="00CE3B2D" w:rsidRPr="00F213E7">
        <w:rPr>
          <w:rFonts w:ascii="Arial" w:eastAsia="Calibri" w:hAnsi="Arial" w:cs="Arial"/>
          <w:color w:val="000000" w:themeColor="text1"/>
          <w:sz w:val="22"/>
          <w:szCs w:val="22"/>
          <w:lang w:val="es-ES_tradnl"/>
        </w:rPr>
        <w:t xml:space="preserve"> con la información disponible en el RUP</w:t>
      </w:r>
      <w:r w:rsidR="0092660F" w:rsidRPr="00F213E7">
        <w:rPr>
          <w:rFonts w:ascii="Arial" w:eastAsia="Calibri" w:hAnsi="Arial" w:cs="Arial"/>
          <w:color w:val="000000" w:themeColor="text1"/>
          <w:sz w:val="22"/>
          <w:szCs w:val="22"/>
          <w:lang w:val="es-ES_tradnl"/>
        </w:rPr>
        <w:t>.</w:t>
      </w:r>
    </w:p>
    <w:p w14:paraId="251EDA04" w14:textId="2F8B290E" w:rsidR="000771DA" w:rsidRPr="00F213E7" w:rsidRDefault="009310D6" w:rsidP="009310D6">
      <w:pPr>
        <w:spacing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lastRenderedPageBreak/>
        <w:t xml:space="preserve">Por último, conviene destacar que, </w:t>
      </w:r>
      <w:r w:rsidR="000771DA" w:rsidRPr="00F213E7">
        <w:rPr>
          <w:rFonts w:ascii="Arial" w:eastAsia="Calibri" w:hAnsi="Arial" w:cs="Arial"/>
          <w:color w:val="000000" w:themeColor="text1"/>
          <w:sz w:val="22"/>
          <w:szCs w:val="22"/>
          <w:lang w:val="es-ES_tradnl"/>
        </w:rPr>
        <w:t xml:space="preserve"> el deber de análisis desde todas las perspectivas del proceso, incluyendo la financiera y organizacional, también ha estado vigente con antelación a las modificaciones normativas que se estudian, en armonía con el artículo  25 de la Ley 80 de 1993, que dentro del principio de economía alude a la realización de procedimientos estrictamente necesarios para asegurar la selección objetiva de la propuesta más favorable</w:t>
      </w:r>
      <w:r w:rsidR="0086367B" w:rsidRPr="00F213E7">
        <w:rPr>
          <w:rFonts w:ascii="Arial" w:eastAsia="Calibri" w:hAnsi="Arial" w:cs="Arial"/>
          <w:color w:val="000000" w:themeColor="text1"/>
          <w:sz w:val="22"/>
          <w:szCs w:val="22"/>
          <w:lang w:val="es-ES_tradnl"/>
        </w:rPr>
        <w:t>, y</w:t>
      </w:r>
      <w:r w:rsidR="000771DA" w:rsidRPr="00F213E7">
        <w:rPr>
          <w:rFonts w:ascii="Arial" w:eastAsia="Calibri" w:hAnsi="Arial" w:cs="Arial"/>
          <w:color w:val="000000" w:themeColor="text1"/>
          <w:sz w:val="22"/>
          <w:szCs w:val="22"/>
          <w:lang w:val="es-ES_tradnl"/>
        </w:rPr>
        <w:t xml:space="preserve">  </w:t>
      </w:r>
      <w:r w:rsidR="0086367B" w:rsidRPr="00F213E7">
        <w:rPr>
          <w:rFonts w:ascii="Arial" w:eastAsia="Calibri" w:hAnsi="Arial" w:cs="Arial"/>
          <w:color w:val="000000" w:themeColor="text1"/>
          <w:sz w:val="22"/>
          <w:szCs w:val="22"/>
          <w:lang w:val="es-ES_tradnl"/>
        </w:rPr>
        <w:t>e</w:t>
      </w:r>
      <w:r w:rsidR="000771DA" w:rsidRPr="00F213E7">
        <w:rPr>
          <w:rFonts w:ascii="Arial" w:eastAsia="Calibri" w:hAnsi="Arial" w:cs="Arial"/>
          <w:color w:val="000000" w:themeColor="text1"/>
          <w:sz w:val="22"/>
          <w:szCs w:val="22"/>
          <w:lang w:val="es-ES_tradnl"/>
        </w:rPr>
        <w:t xml:space="preserve">n materia de interpretación normativa contractual, el artículo 28 </w:t>
      </w:r>
      <w:proofErr w:type="spellStart"/>
      <w:r w:rsidR="000771DA" w:rsidRPr="00F213E7">
        <w:rPr>
          <w:rFonts w:ascii="Arial" w:eastAsia="Calibri" w:hAnsi="Arial" w:cs="Arial"/>
          <w:color w:val="000000" w:themeColor="text1"/>
          <w:sz w:val="22"/>
          <w:szCs w:val="22"/>
          <w:lang w:val="es-ES_tradnl"/>
        </w:rPr>
        <w:t>ibídem</w:t>
      </w:r>
      <w:proofErr w:type="spellEnd"/>
      <w:r w:rsidR="000771DA" w:rsidRPr="00F213E7">
        <w:rPr>
          <w:rFonts w:ascii="Arial" w:eastAsia="Calibri" w:hAnsi="Arial" w:cs="Arial"/>
          <w:color w:val="000000" w:themeColor="text1"/>
          <w:sz w:val="22"/>
          <w:szCs w:val="22"/>
          <w:lang w:val="es-ES_tradnl"/>
        </w:rPr>
        <w:t xml:space="preserve"> señala que deberán tenerse en cuenta los principios y fines de la ley, la igualdad y equilibrio entre prestaciones y derechos que caracteriza a los contratos conmutativos</w:t>
      </w:r>
      <w:r w:rsidR="0086367B" w:rsidRPr="00F213E7">
        <w:rPr>
          <w:rFonts w:ascii="Arial" w:eastAsia="Calibri" w:hAnsi="Arial" w:cs="Arial"/>
          <w:color w:val="000000" w:themeColor="text1"/>
          <w:sz w:val="22"/>
          <w:szCs w:val="22"/>
          <w:lang w:val="es-ES_tradnl"/>
        </w:rPr>
        <w:t>, en consecuencia, la selección del mejor año fiscal corresponderá a las mejores condiciones financieras y de capacidad organizacional para dar cumplimiento a</w:t>
      </w:r>
      <w:r w:rsidR="002D52E0" w:rsidRPr="00F213E7">
        <w:rPr>
          <w:rFonts w:ascii="Arial" w:eastAsia="Calibri" w:hAnsi="Arial" w:cs="Arial"/>
          <w:color w:val="000000" w:themeColor="text1"/>
          <w:sz w:val="22"/>
          <w:szCs w:val="22"/>
          <w:lang w:val="es-ES_tradnl"/>
        </w:rPr>
        <w:t>l objeto contractual que se establezca.</w:t>
      </w:r>
    </w:p>
    <w:p w14:paraId="1BA7D199" w14:textId="77777777" w:rsidR="00042C13" w:rsidRPr="00F213E7" w:rsidRDefault="00042C13" w:rsidP="00042C13">
      <w:pPr>
        <w:spacing w:line="276" w:lineRule="auto"/>
        <w:ind w:firstLine="709"/>
        <w:jc w:val="both"/>
        <w:rPr>
          <w:rFonts w:ascii="Arial" w:eastAsia="Calibri" w:hAnsi="Arial" w:cs="Arial"/>
          <w:color w:val="000000" w:themeColor="text1"/>
          <w:sz w:val="22"/>
          <w:szCs w:val="22"/>
          <w:lang w:val="es-ES_tradnl"/>
        </w:rPr>
      </w:pPr>
    </w:p>
    <w:p w14:paraId="37CA9805" w14:textId="4C51B578" w:rsidR="00DD5B04" w:rsidRPr="00F213E7" w:rsidRDefault="004177A6" w:rsidP="00510DE9">
      <w:pPr>
        <w:tabs>
          <w:tab w:val="left" w:pos="0"/>
        </w:tabs>
        <w:jc w:val="both"/>
        <w:rPr>
          <w:rFonts w:ascii="Arial" w:eastAsia="Calibri" w:hAnsi="Arial" w:cs="Arial"/>
          <w:b/>
          <w:color w:val="000000" w:themeColor="text1"/>
          <w:sz w:val="22"/>
          <w:lang w:val="es-ES_tradnl"/>
        </w:rPr>
      </w:pPr>
      <w:r w:rsidRPr="00F213E7">
        <w:rPr>
          <w:rFonts w:ascii="Arial" w:eastAsia="Calibri" w:hAnsi="Arial" w:cs="Arial"/>
          <w:b/>
          <w:color w:val="000000" w:themeColor="text1"/>
          <w:sz w:val="22"/>
          <w:lang w:val="es-ES_tradnl"/>
        </w:rPr>
        <w:t>3</w:t>
      </w:r>
      <w:r w:rsidR="00B011A9" w:rsidRPr="00F213E7">
        <w:rPr>
          <w:rFonts w:ascii="Arial" w:eastAsia="Calibri" w:hAnsi="Arial" w:cs="Arial"/>
          <w:b/>
          <w:color w:val="000000" w:themeColor="text1"/>
          <w:sz w:val="22"/>
          <w:lang w:val="es-ES_tradnl"/>
        </w:rPr>
        <w:t xml:space="preserve">. </w:t>
      </w:r>
      <w:r w:rsidR="00DD5B04" w:rsidRPr="00F213E7">
        <w:rPr>
          <w:rFonts w:ascii="Arial" w:eastAsia="Calibri" w:hAnsi="Arial" w:cs="Arial"/>
          <w:b/>
          <w:color w:val="000000" w:themeColor="text1"/>
          <w:sz w:val="22"/>
          <w:lang w:val="es-ES_tradnl"/>
        </w:rPr>
        <w:t>Respuesta</w:t>
      </w:r>
    </w:p>
    <w:p w14:paraId="0B74D5B8" w14:textId="571E2881" w:rsidR="00C4581D" w:rsidRPr="00F213E7" w:rsidRDefault="00C4581D" w:rsidP="00510DE9">
      <w:pPr>
        <w:tabs>
          <w:tab w:val="left" w:pos="0"/>
        </w:tabs>
        <w:jc w:val="both"/>
        <w:rPr>
          <w:rFonts w:ascii="Arial" w:eastAsia="Calibri" w:hAnsi="Arial" w:cs="Arial"/>
          <w:color w:val="000000" w:themeColor="text1"/>
          <w:sz w:val="22"/>
          <w:lang w:val="es-ES_tradnl"/>
        </w:rPr>
      </w:pPr>
    </w:p>
    <w:p w14:paraId="6940AA77" w14:textId="77777777" w:rsidR="005374BD" w:rsidRPr="005374BD" w:rsidRDefault="005374BD" w:rsidP="005374BD">
      <w:pPr>
        <w:tabs>
          <w:tab w:val="left" w:pos="426"/>
        </w:tabs>
        <w:ind w:left="709" w:right="709"/>
        <w:jc w:val="both"/>
        <w:rPr>
          <w:rFonts w:ascii="Arial" w:eastAsiaTheme="minorHAnsi" w:hAnsi="Arial" w:cs="Arial"/>
          <w:color w:val="000000" w:themeColor="text1"/>
          <w:sz w:val="21"/>
          <w:szCs w:val="21"/>
          <w:lang w:val="es-ES_tradnl" w:eastAsia="en-US"/>
        </w:rPr>
      </w:pPr>
      <w:r w:rsidRPr="005374BD">
        <w:rPr>
          <w:rFonts w:ascii="Arial" w:eastAsiaTheme="minorHAnsi" w:hAnsi="Arial" w:cs="Arial"/>
          <w:color w:val="000000" w:themeColor="text1"/>
          <w:sz w:val="21"/>
          <w:szCs w:val="21"/>
          <w:lang w:val="es-ES_tradnl" w:eastAsia="en-US"/>
        </w:rPr>
        <w:t>»1. ¿Se escogen los indicadores de los últimos tres años en forma aislada, esto es, tomo 2 de los mejores indicadores del año 2018 y 3 indicadores del año 2020?</w:t>
      </w:r>
    </w:p>
    <w:p w14:paraId="718DF06A" w14:textId="3C87796A" w:rsidR="008926D5" w:rsidRDefault="005374BD" w:rsidP="005374BD">
      <w:pPr>
        <w:tabs>
          <w:tab w:val="left" w:pos="426"/>
        </w:tabs>
        <w:ind w:left="709" w:right="709"/>
        <w:jc w:val="both"/>
        <w:rPr>
          <w:rFonts w:ascii="Arial" w:eastAsiaTheme="minorHAnsi" w:hAnsi="Arial" w:cs="Arial"/>
          <w:color w:val="000000" w:themeColor="text1"/>
          <w:sz w:val="21"/>
          <w:szCs w:val="21"/>
          <w:lang w:val="es-ES_tradnl" w:eastAsia="en-US"/>
        </w:rPr>
      </w:pPr>
      <w:r w:rsidRPr="005374BD">
        <w:rPr>
          <w:rFonts w:ascii="Arial" w:eastAsiaTheme="minorHAnsi" w:hAnsi="Arial" w:cs="Arial"/>
          <w:color w:val="000000" w:themeColor="text1"/>
          <w:sz w:val="21"/>
          <w:szCs w:val="21"/>
          <w:lang w:val="es-ES_tradnl" w:eastAsia="en-US"/>
        </w:rPr>
        <w:t>»2. ¿Se escoge los mejores indicadores de los últimos tres años en bloque, a pesar pueda darse un escenario que 3 indicadores sean los mejores para el año 2018 y 2 sean los mejores para el año 2018 y 2 sean los mejores para el año 2019, en ese caso se puede concluir que el mejor año fiscal sea el año 2018 por cuanto agrupa la mayoría de los indicadores más positivos?</w:t>
      </w:r>
    </w:p>
    <w:p w14:paraId="7BC1BBDA" w14:textId="77777777" w:rsidR="005374BD" w:rsidRDefault="005374BD" w:rsidP="000026F6">
      <w:pPr>
        <w:spacing w:line="276" w:lineRule="auto"/>
        <w:jc w:val="both"/>
        <w:rPr>
          <w:rFonts w:ascii="Arial" w:hAnsi="Arial" w:cs="Arial"/>
          <w:color w:val="000000"/>
          <w:sz w:val="22"/>
          <w:szCs w:val="22"/>
          <w:shd w:val="clear" w:color="auto" w:fill="FFFFFF"/>
          <w:lang w:eastAsia="es-CO"/>
        </w:rPr>
      </w:pPr>
    </w:p>
    <w:p w14:paraId="770F85F1" w14:textId="5EC58FE2" w:rsidR="005374BD" w:rsidRPr="008B0121" w:rsidRDefault="000026F6" w:rsidP="00354E3B">
      <w:pPr>
        <w:spacing w:after="120" w:line="276" w:lineRule="auto"/>
        <w:jc w:val="both"/>
        <w:rPr>
          <w:rFonts w:ascii="Arial" w:hAnsi="Arial" w:cs="Arial"/>
          <w:color w:val="000000"/>
          <w:sz w:val="22"/>
          <w:szCs w:val="22"/>
          <w:shd w:val="clear" w:color="auto" w:fill="FFFFFF"/>
          <w:lang w:eastAsia="es-CO"/>
        </w:rPr>
      </w:pPr>
      <w:r w:rsidRPr="008B0121">
        <w:rPr>
          <w:rFonts w:ascii="Arial" w:eastAsia="Calibri" w:hAnsi="Arial" w:cs="Arial"/>
          <w:color w:val="000000" w:themeColor="text1"/>
          <w:sz w:val="22"/>
          <w:szCs w:val="22"/>
          <w:lang w:val="es-ES_tradnl"/>
        </w:rPr>
        <w:t>El parágrafo transitorio, agregado al artículo 2.2.1.1.1.6.2. del Decreto 1082 de 2015 por el artículo 6 del Decreto 399 de 2021 y sustituido por el artículo 3 del Decreto 579 de 2021, no exige que las entidades estatales tengan en cuenta el mejor año por cada indicador; verbigracia, el mejor año para el índice de liquidez, el mejor año para el índice de endeudamiento o el mejor año para la rentabilidad del patrimonio. Atendiendo a la teleología del Decreto 399 de 2021, por «mejor año» debe entenderse aquel en el que, analizados conjuntamente todos los indicadores de capacidad financiera y organizacional, el proponente podría cumplir con dichos requisitos habilitantes.</w:t>
      </w:r>
    </w:p>
    <w:p w14:paraId="0184FDFA" w14:textId="2DF45F6D" w:rsidR="001D2677" w:rsidRPr="008B0121" w:rsidRDefault="00942851" w:rsidP="001D2677">
      <w:pPr>
        <w:spacing w:after="120" w:line="276" w:lineRule="auto"/>
        <w:ind w:firstLine="709"/>
        <w:jc w:val="both"/>
        <w:rPr>
          <w:rFonts w:ascii="Arial" w:eastAsia="Calibri" w:hAnsi="Arial" w:cs="Arial"/>
          <w:color w:val="000000" w:themeColor="text1"/>
          <w:sz w:val="22"/>
          <w:szCs w:val="22"/>
          <w:lang w:val="es-ES_tradnl"/>
        </w:rPr>
      </w:pPr>
      <w:r w:rsidRPr="008B0121">
        <w:rPr>
          <w:rFonts w:ascii="Arial" w:hAnsi="Arial" w:cs="Arial"/>
          <w:color w:val="000000"/>
          <w:sz w:val="22"/>
          <w:szCs w:val="22"/>
          <w:shd w:val="clear" w:color="auto" w:fill="FFFFFF"/>
          <w:lang w:eastAsia="es-CO"/>
        </w:rPr>
        <w:t xml:space="preserve">En otras palabras, </w:t>
      </w:r>
      <w:r w:rsidR="000026F6" w:rsidRPr="008B0121">
        <w:rPr>
          <w:rFonts w:ascii="Arial" w:hAnsi="Arial" w:cs="Arial"/>
          <w:color w:val="000000"/>
          <w:sz w:val="22"/>
          <w:szCs w:val="22"/>
          <w:shd w:val="clear" w:color="auto" w:fill="FFFFFF"/>
          <w:lang w:eastAsia="es-CO"/>
        </w:rPr>
        <w:t xml:space="preserve">los </w:t>
      </w:r>
      <w:r w:rsidR="005374BD" w:rsidRPr="008B0121">
        <w:rPr>
          <w:rFonts w:ascii="Arial" w:hAnsi="Arial" w:cs="Arial"/>
          <w:color w:val="000000"/>
          <w:sz w:val="22"/>
          <w:szCs w:val="22"/>
          <w:shd w:val="clear" w:color="auto" w:fill="FFFFFF"/>
          <w:lang w:eastAsia="es-CO"/>
        </w:rPr>
        <w:t>indicadores se establecerán dentro del</w:t>
      </w:r>
      <w:r w:rsidR="001E0C89" w:rsidRPr="008B0121">
        <w:rPr>
          <w:rFonts w:ascii="Arial" w:eastAsia="Calibri" w:hAnsi="Arial" w:cs="Arial"/>
          <w:color w:val="000000" w:themeColor="text1"/>
          <w:sz w:val="22"/>
          <w:szCs w:val="22"/>
          <w:lang w:val="es-ES_tradnl"/>
        </w:rPr>
        <w:t xml:space="preserve"> </w:t>
      </w:r>
      <w:r w:rsidR="001E0C89" w:rsidRPr="008B0121">
        <w:rPr>
          <w:rFonts w:ascii="Arial" w:hAnsi="Arial" w:cs="Arial"/>
          <w:noProof/>
          <w:color w:val="000000"/>
          <w:sz w:val="22"/>
          <w:szCs w:val="22"/>
          <w:shd w:val="clear" w:color="auto" w:fill="FFFFFF"/>
          <w:lang w:eastAsia="es-CO"/>
        </w:rPr>
        <w:t>«mejor año fiscal»</w:t>
      </w:r>
      <w:r w:rsidR="005374BD" w:rsidRPr="008B0121">
        <w:rPr>
          <w:rFonts w:ascii="Arial" w:hAnsi="Arial" w:cs="Arial"/>
          <w:noProof/>
          <w:color w:val="000000"/>
          <w:sz w:val="22"/>
          <w:szCs w:val="22"/>
          <w:shd w:val="clear" w:color="auto" w:fill="FFFFFF"/>
          <w:lang w:eastAsia="es-CO"/>
        </w:rPr>
        <w:t xml:space="preserve">, que </w:t>
      </w:r>
      <w:r w:rsidR="001E0C89" w:rsidRPr="008B0121">
        <w:rPr>
          <w:rFonts w:ascii="Arial" w:hAnsi="Arial" w:cs="Arial"/>
          <w:noProof/>
          <w:color w:val="000000"/>
          <w:sz w:val="22"/>
          <w:szCs w:val="22"/>
          <w:shd w:val="clear" w:color="auto" w:fill="FFFFFF"/>
          <w:lang w:eastAsia="es-CO"/>
        </w:rPr>
        <w:t>puede o no ser el último año reportado en el RUP, dependerá de si es o no aquel que permite al proponente cumplir con los requisitos exigidos en mejor forma</w:t>
      </w:r>
      <w:r w:rsidR="00D95601" w:rsidRPr="008B0121">
        <w:rPr>
          <w:rFonts w:ascii="Arial" w:hAnsi="Arial" w:cs="Arial"/>
          <w:noProof/>
          <w:color w:val="000000"/>
          <w:sz w:val="22"/>
          <w:szCs w:val="22"/>
          <w:shd w:val="clear" w:color="auto" w:fill="FFFFFF"/>
          <w:lang w:eastAsia="es-CO"/>
        </w:rPr>
        <w:t xml:space="preserve">, </w:t>
      </w:r>
      <w:r w:rsidR="001E0C89" w:rsidRPr="008B0121">
        <w:rPr>
          <w:rFonts w:ascii="Arial" w:hAnsi="Arial" w:cs="Arial"/>
          <w:noProof/>
          <w:color w:val="000000"/>
          <w:sz w:val="22"/>
          <w:szCs w:val="22"/>
          <w:shd w:val="clear" w:color="auto" w:fill="FFFFFF"/>
          <w:lang w:eastAsia="es-CO"/>
        </w:rPr>
        <w:t>sin que sea viable promediar</w:t>
      </w:r>
      <w:r w:rsidR="005374BD" w:rsidRPr="008B0121">
        <w:rPr>
          <w:rFonts w:ascii="Arial" w:hAnsi="Arial" w:cs="Arial"/>
          <w:noProof/>
          <w:color w:val="000000"/>
          <w:sz w:val="22"/>
          <w:szCs w:val="22"/>
          <w:shd w:val="clear" w:color="auto" w:fill="FFFFFF"/>
          <w:lang w:eastAsia="es-CO"/>
        </w:rPr>
        <w:t xml:space="preserve"> o mezclar</w:t>
      </w:r>
      <w:r w:rsidR="001E0C89" w:rsidRPr="008B0121">
        <w:rPr>
          <w:rFonts w:ascii="Arial" w:hAnsi="Arial" w:cs="Arial"/>
          <w:noProof/>
          <w:color w:val="000000"/>
          <w:sz w:val="22"/>
          <w:szCs w:val="22"/>
          <w:shd w:val="clear" w:color="auto" w:fill="FFFFFF"/>
          <w:lang w:eastAsia="es-CO"/>
        </w:rPr>
        <w:t xml:space="preserve"> los indicadores de diferentes años, comoquiera que la norma no alude al «mejor indicador» sino al «mejor año fiscal»,</w:t>
      </w:r>
      <w:r w:rsidRPr="008B0121">
        <w:rPr>
          <w:rFonts w:ascii="Arial" w:hAnsi="Arial" w:cs="Arial"/>
          <w:noProof/>
          <w:color w:val="000000"/>
          <w:sz w:val="22"/>
          <w:szCs w:val="22"/>
          <w:shd w:val="clear" w:color="auto" w:fill="FFFFFF"/>
          <w:lang w:eastAsia="es-CO"/>
        </w:rPr>
        <w:t xml:space="preserve"> </w:t>
      </w:r>
      <w:r w:rsidR="00B53829" w:rsidRPr="008B0121">
        <w:rPr>
          <w:rFonts w:ascii="Arial" w:hAnsi="Arial" w:cs="Arial"/>
          <w:noProof/>
          <w:color w:val="000000"/>
          <w:sz w:val="22"/>
          <w:szCs w:val="22"/>
          <w:shd w:val="clear" w:color="auto" w:fill="FFFFFF"/>
          <w:lang w:eastAsia="es-CO"/>
        </w:rPr>
        <w:t>dentro del cual,</w:t>
      </w:r>
      <w:r w:rsidR="001E0C89" w:rsidRPr="008B0121">
        <w:rPr>
          <w:rFonts w:ascii="Arial" w:hAnsi="Arial" w:cs="Arial"/>
          <w:noProof/>
          <w:color w:val="000000"/>
          <w:sz w:val="22"/>
          <w:szCs w:val="22"/>
          <w:shd w:val="clear" w:color="auto" w:fill="FFFFFF"/>
          <w:lang w:eastAsia="es-CO"/>
        </w:rPr>
        <w:t xml:space="preserve"> </w:t>
      </w:r>
      <w:r w:rsidR="00B53829" w:rsidRPr="008B0121">
        <w:rPr>
          <w:rFonts w:ascii="Arial" w:eastAsia="Calibri" w:hAnsi="Arial" w:cs="Arial"/>
          <w:color w:val="000000" w:themeColor="text1"/>
          <w:sz w:val="22"/>
          <w:szCs w:val="22"/>
          <w:lang w:val="es-ES_tradnl"/>
        </w:rPr>
        <w:t xml:space="preserve">vistos en su conjunto los indicadores de capacidad financiera y organizacional, el proponente cumple </w:t>
      </w:r>
      <w:r w:rsidR="005374BD" w:rsidRPr="008B0121">
        <w:rPr>
          <w:rFonts w:ascii="Arial" w:eastAsia="Calibri" w:hAnsi="Arial" w:cs="Arial"/>
          <w:color w:val="000000" w:themeColor="text1"/>
          <w:sz w:val="22"/>
          <w:szCs w:val="22"/>
          <w:lang w:val="es-ES_tradnl"/>
        </w:rPr>
        <w:t xml:space="preserve">con los </w:t>
      </w:r>
      <w:r w:rsidR="00B53829" w:rsidRPr="008B0121">
        <w:rPr>
          <w:rFonts w:ascii="Arial" w:eastAsia="Calibri" w:hAnsi="Arial" w:cs="Arial"/>
          <w:color w:val="000000" w:themeColor="text1"/>
          <w:sz w:val="22"/>
          <w:szCs w:val="22"/>
          <w:lang w:val="es-ES_tradnl"/>
        </w:rPr>
        <w:t>requisitos habilitantes en el proceso de selección. Tales requisitos</w:t>
      </w:r>
      <w:r w:rsidR="005374BD" w:rsidRPr="008B0121">
        <w:rPr>
          <w:rFonts w:ascii="Arial" w:eastAsia="Calibri" w:hAnsi="Arial" w:cs="Arial"/>
          <w:color w:val="000000" w:themeColor="text1"/>
          <w:sz w:val="22"/>
          <w:szCs w:val="22"/>
          <w:lang w:val="es-ES_tradnl"/>
        </w:rPr>
        <w:t>, como se precisó,</w:t>
      </w:r>
      <w:r w:rsidR="00B53829" w:rsidRPr="008B0121">
        <w:rPr>
          <w:rFonts w:ascii="Arial" w:eastAsia="Calibri" w:hAnsi="Arial" w:cs="Arial"/>
          <w:color w:val="000000" w:themeColor="text1"/>
          <w:sz w:val="22"/>
          <w:szCs w:val="22"/>
          <w:lang w:val="es-ES_tradnl"/>
        </w:rPr>
        <w:t xml:space="preserve"> deben establecerse por la entidad estatal en el pliego de condiciones o documento equivalente y han de ser el resultado de un adecuado análisis en la fase de estudios previos, que permita establecer índices de capacidad financiera y organizacional razonables.</w:t>
      </w:r>
    </w:p>
    <w:p w14:paraId="2607F146" w14:textId="6920C51B" w:rsidR="00753F1D" w:rsidRDefault="00942851" w:rsidP="00412A92">
      <w:pPr>
        <w:spacing w:line="276" w:lineRule="auto"/>
        <w:ind w:firstLine="709"/>
        <w:jc w:val="both"/>
        <w:rPr>
          <w:rFonts w:ascii="Arial" w:eastAsia="Calibri" w:hAnsi="Arial" w:cs="Arial"/>
          <w:color w:val="000000" w:themeColor="text1"/>
          <w:sz w:val="22"/>
          <w:szCs w:val="22"/>
          <w:lang w:val="es-ES_tradnl"/>
        </w:rPr>
      </w:pPr>
      <w:r w:rsidRPr="008B0121">
        <w:rPr>
          <w:rFonts w:ascii="Arial" w:eastAsia="Calibri" w:hAnsi="Arial" w:cs="Arial"/>
          <w:color w:val="000000" w:themeColor="text1"/>
          <w:sz w:val="22"/>
          <w:szCs w:val="22"/>
          <w:lang w:val="es-ES_tradnl"/>
        </w:rPr>
        <w:lastRenderedPageBreak/>
        <w:t>Por último, conviene recordar que, de la evaluación que efectúen las entidades estatales contratantes respecto a los indicadores de capacidad financiera y organizacional</w:t>
      </w:r>
      <w:r w:rsidR="00102CD8" w:rsidRPr="008B0121">
        <w:rPr>
          <w:rFonts w:ascii="Arial" w:eastAsia="Calibri" w:hAnsi="Arial" w:cs="Arial"/>
          <w:color w:val="000000" w:themeColor="text1"/>
          <w:sz w:val="22"/>
          <w:szCs w:val="22"/>
          <w:lang w:val="es-ES_tradnl"/>
        </w:rPr>
        <w:t>,</w:t>
      </w:r>
      <w:r w:rsidRPr="008B0121">
        <w:rPr>
          <w:rFonts w:ascii="Arial" w:eastAsia="Calibri" w:hAnsi="Arial" w:cs="Arial"/>
          <w:color w:val="000000" w:themeColor="text1"/>
          <w:sz w:val="22"/>
          <w:szCs w:val="22"/>
          <w:lang w:val="es-ES_tradnl"/>
        </w:rPr>
        <w:t xml:space="preserve"> teniendo en cuenta el «mejor año fiscal», no se infiere que el proponente </w:t>
      </w:r>
      <w:r w:rsidR="00102CD8" w:rsidRPr="008B0121">
        <w:rPr>
          <w:rFonts w:ascii="Arial" w:eastAsia="Calibri" w:hAnsi="Arial" w:cs="Arial"/>
          <w:color w:val="000000" w:themeColor="text1"/>
          <w:sz w:val="22"/>
          <w:szCs w:val="22"/>
          <w:lang w:val="es-ES_tradnl"/>
        </w:rPr>
        <w:t>necesariamente</w:t>
      </w:r>
      <w:r w:rsidRPr="008B0121">
        <w:rPr>
          <w:rFonts w:ascii="Arial" w:eastAsia="Calibri" w:hAnsi="Arial" w:cs="Arial"/>
          <w:color w:val="000000" w:themeColor="text1"/>
          <w:sz w:val="22"/>
          <w:szCs w:val="22"/>
          <w:lang w:val="es-ES_tradnl"/>
        </w:rPr>
        <w:t xml:space="preserve"> cumplirá tales requisitos habilitantes, pues, si bien el espíritu de la norma propende por la reactivación económica del país y la pluralidad de oferentes en los procesos de selección, también deberá tenerse en cuenta la necesidad de garantizar </w:t>
      </w:r>
      <w:r w:rsidR="00102CD8" w:rsidRPr="008B0121">
        <w:rPr>
          <w:rFonts w:ascii="Arial" w:eastAsia="Calibri" w:hAnsi="Arial" w:cs="Arial"/>
          <w:color w:val="000000" w:themeColor="text1"/>
          <w:sz w:val="22"/>
          <w:szCs w:val="22"/>
          <w:lang w:val="es-ES_tradnl"/>
        </w:rPr>
        <w:t xml:space="preserve">las condiciones suficientes para </w:t>
      </w:r>
      <w:r w:rsidRPr="008B0121">
        <w:rPr>
          <w:rFonts w:ascii="Arial" w:eastAsia="Calibri" w:hAnsi="Arial" w:cs="Arial"/>
          <w:color w:val="000000" w:themeColor="text1"/>
          <w:sz w:val="22"/>
          <w:szCs w:val="22"/>
          <w:lang w:val="es-ES_tradnl"/>
        </w:rPr>
        <w:t xml:space="preserve">el efectivo cumplimiento del contrato que se proyecta, precisamente, ese es el análisis que corresponde realizar a las entidades públicas, de acuerdo con las reglas que establezcan y conforme a la información </w:t>
      </w:r>
      <w:r w:rsidR="005C77A5" w:rsidRPr="008B0121">
        <w:rPr>
          <w:rFonts w:ascii="Arial" w:eastAsia="Calibri" w:hAnsi="Arial" w:cs="Arial"/>
          <w:color w:val="000000" w:themeColor="text1"/>
          <w:sz w:val="22"/>
          <w:szCs w:val="22"/>
          <w:lang w:val="es-ES_tradnl"/>
        </w:rPr>
        <w:t xml:space="preserve">contenida </w:t>
      </w:r>
      <w:r w:rsidRPr="008B0121">
        <w:rPr>
          <w:rFonts w:ascii="Arial" w:eastAsia="Calibri" w:hAnsi="Arial" w:cs="Arial"/>
          <w:color w:val="000000" w:themeColor="text1"/>
          <w:sz w:val="22"/>
          <w:szCs w:val="22"/>
          <w:lang w:val="es-ES_tradnl"/>
        </w:rPr>
        <w:t>en el RUP.</w:t>
      </w:r>
    </w:p>
    <w:p w14:paraId="417BAB04" w14:textId="77777777" w:rsidR="00412A92" w:rsidRPr="00F213E7" w:rsidRDefault="00412A92" w:rsidP="008B0121">
      <w:pPr>
        <w:spacing w:line="276" w:lineRule="auto"/>
        <w:ind w:firstLine="709"/>
        <w:jc w:val="both"/>
        <w:rPr>
          <w:rFonts w:ascii="Arial" w:eastAsia="Calibri" w:hAnsi="Arial" w:cs="Arial"/>
          <w:color w:val="000000" w:themeColor="text1"/>
          <w:sz w:val="22"/>
          <w:szCs w:val="22"/>
          <w:lang w:val="es-ES_tradnl"/>
        </w:rPr>
      </w:pPr>
    </w:p>
    <w:p w14:paraId="7B2C921D" w14:textId="4FBF8F71" w:rsidR="00DD5B04" w:rsidRPr="00F213E7" w:rsidRDefault="00102CD8" w:rsidP="00DF76A2">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Este </w:t>
      </w:r>
      <w:r w:rsidR="00DD5B04" w:rsidRPr="00F213E7">
        <w:rPr>
          <w:rFonts w:ascii="Arial" w:hAnsi="Arial" w:cs="Arial"/>
          <w:color w:val="000000" w:themeColor="text1"/>
          <w:sz w:val="22"/>
          <w:lang w:val="es-ES_tradnl"/>
        </w:rPr>
        <w:t>concepto tiene el alcance previsto en el artículo 28 del Código de Procedimiento Administrativo y de lo Contencioso Administrativo.</w:t>
      </w:r>
    </w:p>
    <w:p w14:paraId="77EE5912" w14:textId="77777777" w:rsidR="00DD5B04" w:rsidRPr="00F213E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1D267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pl-PL"/>
        </w:rPr>
      </w:pPr>
      <w:r w:rsidRPr="00F213E7">
        <w:rPr>
          <w:rFonts w:ascii="Arial" w:hAnsi="Arial" w:cs="Arial"/>
          <w:color w:val="000000" w:themeColor="text1"/>
          <w:sz w:val="22"/>
          <w:szCs w:val="22"/>
          <w:lang w:val="es-ES_tradnl"/>
        </w:rPr>
        <w:t>Atentamente,</w:t>
      </w:r>
    </w:p>
    <w:p w14:paraId="692FC307" w14:textId="2838EC28" w:rsidR="00921304"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2AC885FC" w14:textId="25133287" w:rsidR="00A101B9" w:rsidRPr="00F213E7" w:rsidRDefault="00A101B9" w:rsidP="00A101B9">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B30798">
        <w:rPr>
          <w:rFonts w:ascii="Arial" w:hAnsi="Arial" w:cs="Arial"/>
          <w:noProof/>
          <w:color w:val="000000" w:themeColor="text1"/>
        </w:rPr>
        <w:drawing>
          <wp:inline distT="0" distB="0" distL="0" distR="0" wp14:anchorId="6C862268" wp14:editId="70E2E6EA">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30AA3DC7" w14:textId="70379C99" w:rsidR="00921304" w:rsidRPr="00F213E7" w:rsidRDefault="00921304"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5CBAE239" w14:textId="77777777" w:rsidR="00425C43" w:rsidRPr="00F213E7" w:rsidRDefault="00425C43" w:rsidP="00B37657">
      <w:pPr>
        <w:jc w:val="center"/>
        <w:rPr>
          <w:rFonts w:ascii="Arial" w:hAnsi="Arial" w:cs="Arial"/>
          <w:color w:val="000000" w:themeColor="text1"/>
          <w:sz w:val="18"/>
          <w:szCs w:val="20"/>
          <w:lang w:val="es-ES_tradnl" w:eastAsia="es-CO"/>
        </w:rPr>
      </w:pPr>
    </w:p>
    <w:p w14:paraId="49730030" w14:textId="217D35F3" w:rsidR="00DD5B04" w:rsidRPr="00F213E7"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2"/>
        <w:gridCol w:w="4766"/>
      </w:tblGrid>
      <w:tr w:rsidR="00FF3BF6" w:rsidRPr="00F213E7" w14:paraId="6BAB34EE" w14:textId="77777777" w:rsidTr="008A7BEC">
        <w:trPr>
          <w:trHeight w:val="318"/>
        </w:trPr>
        <w:tc>
          <w:tcPr>
            <w:tcW w:w="882" w:type="dxa"/>
            <w:vAlign w:val="center"/>
            <w:hideMark/>
          </w:tcPr>
          <w:p w14:paraId="53179F11" w14:textId="77777777" w:rsidR="00FF3BF6" w:rsidRPr="00F213E7" w:rsidRDefault="00FF3BF6" w:rsidP="00014685">
            <w:pPr>
              <w:jc w:val="both"/>
              <w:rPr>
                <w:rFonts w:ascii="Arial" w:hAnsi="Arial" w:cs="Arial"/>
                <w:color w:val="000000" w:themeColor="text1"/>
                <w:sz w:val="16"/>
                <w:szCs w:val="16"/>
                <w:lang w:val="es-ES_tradnl" w:eastAsia="es-ES"/>
              </w:rPr>
            </w:pPr>
            <w:r w:rsidRPr="00F213E7">
              <w:rPr>
                <w:rFonts w:ascii="Arial" w:hAnsi="Arial" w:cs="Arial"/>
                <w:color w:val="000000" w:themeColor="text1"/>
                <w:sz w:val="16"/>
                <w:szCs w:val="16"/>
                <w:lang w:val="es-ES_tradnl" w:eastAsia="es-ES"/>
              </w:rPr>
              <w:t>Elaboró:</w:t>
            </w:r>
          </w:p>
        </w:tc>
        <w:tc>
          <w:tcPr>
            <w:tcW w:w="4766" w:type="dxa"/>
            <w:tcBorders>
              <w:top w:val="nil"/>
              <w:left w:val="nil"/>
              <w:bottom w:val="dotted" w:sz="4" w:space="0" w:color="7F7F7F" w:themeColor="text1" w:themeTint="80"/>
              <w:right w:val="nil"/>
            </w:tcBorders>
            <w:vAlign w:val="center"/>
            <w:hideMark/>
          </w:tcPr>
          <w:p w14:paraId="4C3E41BE" w14:textId="77777777" w:rsidR="00FF3BF6" w:rsidRPr="00F213E7" w:rsidRDefault="00FF3BF6" w:rsidP="00014685">
            <w:pPr>
              <w:jc w:val="both"/>
              <w:rPr>
                <w:rFonts w:ascii="Arial" w:hAnsi="Arial" w:cs="Arial"/>
                <w:color w:val="000000" w:themeColor="text1"/>
                <w:sz w:val="16"/>
                <w:szCs w:val="16"/>
                <w:lang w:val="es-ES_tradnl" w:eastAsia="es-ES"/>
              </w:rPr>
            </w:pPr>
            <w:r w:rsidRPr="00F213E7">
              <w:rPr>
                <w:rFonts w:ascii="Arial" w:hAnsi="Arial" w:cs="Arial"/>
                <w:sz w:val="16"/>
                <w:szCs w:val="16"/>
                <w:lang w:val="es-MX" w:eastAsia="es-CO"/>
              </w:rPr>
              <w:t>Alfredo Benavides Zarate</w:t>
            </w:r>
          </w:p>
          <w:p w14:paraId="0B6CE573" w14:textId="77777777" w:rsidR="00FF3BF6" w:rsidRPr="00F213E7" w:rsidRDefault="00FF3BF6" w:rsidP="00014685">
            <w:pPr>
              <w:jc w:val="both"/>
              <w:rPr>
                <w:rFonts w:ascii="Arial" w:hAnsi="Arial" w:cs="Arial"/>
                <w:color w:val="000000" w:themeColor="text1"/>
                <w:sz w:val="16"/>
                <w:szCs w:val="16"/>
                <w:lang w:val="es-ES_tradnl" w:eastAsia="es-ES"/>
              </w:rPr>
            </w:pPr>
            <w:r w:rsidRPr="00F213E7">
              <w:rPr>
                <w:rFonts w:ascii="Arial" w:hAnsi="Arial" w:cs="Arial"/>
                <w:color w:val="000000" w:themeColor="text1"/>
                <w:sz w:val="16"/>
                <w:szCs w:val="16"/>
                <w:lang w:val="es-ES_tradnl" w:eastAsia="es-ES"/>
              </w:rPr>
              <w:t>Contratista de la Subdirección de Gestión Contractual</w:t>
            </w:r>
          </w:p>
        </w:tc>
      </w:tr>
      <w:tr w:rsidR="00FF3BF6" w:rsidRPr="00F213E7" w14:paraId="2398D08A" w14:textId="77777777" w:rsidTr="008A7BEC">
        <w:trPr>
          <w:trHeight w:val="334"/>
        </w:trPr>
        <w:tc>
          <w:tcPr>
            <w:tcW w:w="882" w:type="dxa"/>
            <w:vAlign w:val="center"/>
            <w:hideMark/>
          </w:tcPr>
          <w:p w14:paraId="221A8B98" w14:textId="77777777" w:rsidR="00FF3BF6" w:rsidRPr="00F213E7" w:rsidRDefault="00FF3BF6" w:rsidP="00014685">
            <w:pPr>
              <w:jc w:val="both"/>
              <w:rPr>
                <w:rFonts w:ascii="Arial" w:hAnsi="Arial" w:cs="Arial"/>
                <w:color w:val="000000" w:themeColor="text1"/>
                <w:sz w:val="16"/>
                <w:szCs w:val="16"/>
                <w:lang w:val="es-ES_tradnl" w:eastAsia="es-ES"/>
              </w:rPr>
            </w:pPr>
            <w:r w:rsidRPr="00F213E7">
              <w:rPr>
                <w:rFonts w:ascii="Arial" w:hAnsi="Arial" w:cs="Arial"/>
                <w:color w:val="000000" w:themeColor="text1"/>
                <w:sz w:val="16"/>
                <w:szCs w:val="16"/>
                <w:lang w:val="es-ES_tradnl" w:eastAsia="es-ES"/>
              </w:rPr>
              <w:t>Revisó:</w:t>
            </w:r>
          </w:p>
        </w:tc>
        <w:tc>
          <w:tcPr>
            <w:tcW w:w="4766" w:type="dxa"/>
            <w:tcBorders>
              <w:top w:val="dotted" w:sz="4" w:space="0" w:color="7F7F7F" w:themeColor="text1" w:themeTint="80"/>
              <w:left w:val="nil"/>
              <w:bottom w:val="dotted" w:sz="4" w:space="0" w:color="7F7F7F" w:themeColor="text1" w:themeTint="80"/>
              <w:right w:val="nil"/>
            </w:tcBorders>
            <w:vAlign w:val="center"/>
            <w:hideMark/>
          </w:tcPr>
          <w:p w14:paraId="114C62B8" w14:textId="77777777" w:rsidR="00102CD8" w:rsidRPr="00A86984" w:rsidRDefault="00102CD8" w:rsidP="00102CD8">
            <w:pPr>
              <w:jc w:val="both"/>
              <w:rPr>
                <w:rFonts w:ascii="Arial" w:hAnsi="Arial" w:cs="Arial"/>
                <w:color w:val="000000"/>
                <w:sz w:val="16"/>
                <w:szCs w:val="16"/>
                <w:lang w:val="es-ES_tradnl" w:eastAsia="es-ES"/>
              </w:rPr>
            </w:pPr>
            <w:r>
              <w:rPr>
                <w:rFonts w:ascii="Arial" w:hAnsi="Arial" w:cs="Arial"/>
                <w:color w:val="000000"/>
                <w:sz w:val="16"/>
                <w:szCs w:val="16"/>
                <w:lang w:val="es-ES_tradnl" w:eastAsia="es-ES"/>
              </w:rPr>
              <w:t>Alejandro Sarmiento Cantillo</w:t>
            </w:r>
          </w:p>
          <w:p w14:paraId="5196DC93" w14:textId="25510BB3" w:rsidR="00FF3BF6" w:rsidRPr="00F213E7" w:rsidRDefault="00102CD8" w:rsidP="00102CD8">
            <w:pPr>
              <w:jc w:val="both"/>
              <w:rPr>
                <w:rFonts w:ascii="Arial" w:hAnsi="Arial" w:cs="Arial"/>
                <w:color w:val="000000" w:themeColor="text1"/>
                <w:sz w:val="16"/>
                <w:szCs w:val="16"/>
                <w:lang w:val="es-ES_tradnl" w:eastAsia="es-ES"/>
              </w:rPr>
            </w:pPr>
            <w:r w:rsidRPr="00A86984">
              <w:rPr>
                <w:rFonts w:ascii="Arial" w:hAnsi="Arial" w:cs="Arial"/>
                <w:color w:val="000000"/>
                <w:sz w:val="16"/>
                <w:szCs w:val="16"/>
                <w:lang w:val="es-ES_tradnl" w:eastAsia="es-ES"/>
              </w:rPr>
              <w:t>Gestor T1-</w:t>
            </w:r>
            <w:r>
              <w:rPr>
                <w:rFonts w:ascii="Arial" w:hAnsi="Arial" w:cs="Arial"/>
                <w:color w:val="000000"/>
                <w:sz w:val="16"/>
                <w:szCs w:val="16"/>
                <w:lang w:val="es-ES_tradnl" w:eastAsia="es-ES"/>
              </w:rPr>
              <w:t xml:space="preserve"> Grado </w:t>
            </w:r>
            <w:r w:rsidRPr="00A86984">
              <w:rPr>
                <w:rFonts w:ascii="Arial" w:hAnsi="Arial" w:cs="Arial"/>
                <w:color w:val="000000"/>
                <w:sz w:val="16"/>
                <w:szCs w:val="16"/>
                <w:lang w:val="es-ES_tradnl" w:eastAsia="es-ES"/>
              </w:rPr>
              <w:t>1</w:t>
            </w:r>
            <w:r>
              <w:rPr>
                <w:rFonts w:ascii="Arial" w:hAnsi="Arial" w:cs="Arial"/>
                <w:color w:val="000000"/>
                <w:sz w:val="16"/>
                <w:szCs w:val="16"/>
                <w:lang w:val="es-ES_tradnl" w:eastAsia="es-ES"/>
              </w:rPr>
              <w:t>1</w:t>
            </w:r>
            <w:r w:rsidRPr="00A86984">
              <w:rPr>
                <w:rFonts w:ascii="Arial" w:hAnsi="Arial" w:cs="Arial"/>
                <w:color w:val="000000"/>
                <w:sz w:val="16"/>
                <w:szCs w:val="16"/>
                <w:lang w:val="es-ES_tradnl" w:eastAsia="es-ES"/>
              </w:rPr>
              <w:t xml:space="preserve"> de la Subdirección de Gestión Contractual</w:t>
            </w:r>
          </w:p>
        </w:tc>
      </w:tr>
      <w:tr w:rsidR="00FF3BF6" w:rsidRPr="00F213E7" w14:paraId="650CD48D" w14:textId="77777777" w:rsidTr="008A7BEC">
        <w:trPr>
          <w:trHeight w:val="303"/>
        </w:trPr>
        <w:tc>
          <w:tcPr>
            <w:tcW w:w="882" w:type="dxa"/>
            <w:vAlign w:val="center"/>
            <w:hideMark/>
          </w:tcPr>
          <w:p w14:paraId="38850F81" w14:textId="77777777" w:rsidR="00FF3BF6" w:rsidRPr="00F213E7" w:rsidRDefault="00FF3BF6" w:rsidP="00014685">
            <w:pPr>
              <w:jc w:val="both"/>
              <w:rPr>
                <w:rFonts w:ascii="Arial" w:hAnsi="Arial" w:cs="Arial"/>
                <w:color w:val="000000" w:themeColor="text1"/>
                <w:sz w:val="16"/>
                <w:szCs w:val="16"/>
                <w:lang w:val="es-ES_tradnl" w:eastAsia="es-ES"/>
              </w:rPr>
            </w:pPr>
            <w:r w:rsidRPr="00F213E7">
              <w:rPr>
                <w:rFonts w:ascii="Arial" w:hAnsi="Arial" w:cs="Arial"/>
                <w:color w:val="000000" w:themeColor="text1"/>
                <w:sz w:val="16"/>
                <w:szCs w:val="16"/>
                <w:lang w:val="es-ES_tradnl" w:eastAsia="es-ES"/>
              </w:rPr>
              <w:t>Aprobó:</w:t>
            </w:r>
          </w:p>
        </w:tc>
        <w:tc>
          <w:tcPr>
            <w:tcW w:w="4766" w:type="dxa"/>
            <w:tcBorders>
              <w:top w:val="dotted" w:sz="4" w:space="0" w:color="7F7F7F" w:themeColor="text1" w:themeTint="80"/>
              <w:left w:val="nil"/>
              <w:bottom w:val="dotted" w:sz="4" w:space="0" w:color="7F7F7F" w:themeColor="text1" w:themeTint="80"/>
              <w:right w:val="nil"/>
            </w:tcBorders>
            <w:vAlign w:val="center"/>
            <w:hideMark/>
          </w:tcPr>
          <w:p w14:paraId="63B0ABBE" w14:textId="77777777" w:rsidR="00FF3BF6" w:rsidRPr="00F213E7" w:rsidRDefault="00FF3BF6" w:rsidP="00014685">
            <w:pPr>
              <w:jc w:val="both"/>
              <w:rPr>
                <w:rFonts w:ascii="Arial" w:hAnsi="Arial" w:cs="Arial"/>
                <w:color w:val="000000" w:themeColor="text1"/>
                <w:sz w:val="16"/>
                <w:szCs w:val="16"/>
                <w:lang w:val="es-ES_tradnl" w:eastAsia="es-ES"/>
              </w:rPr>
            </w:pPr>
            <w:r w:rsidRPr="00F213E7">
              <w:rPr>
                <w:rFonts w:ascii="Arial" w:hAnsi="Arial" w:cs="Arial"/>
                <w:color w:val="000000" w:themeColor="text1"/>
                <w:sz w:val="16"/>
                <w:szCs w:val="16"/>
                <w:lang w:val="es-ES_tradnl" w:eastAsia="es-ES"/>
              </w:rPr>
              <w:t>Jorge Augusto Tirado Navarro</w:t>
            </w:r>
          </w:p>
          <w:p w14:paraId="0BB976BC" w14:textId="1C77B328" w:rsidR="00FF3BF6" w:rsidRPr="00F213E7" w:rsidRDefault="00FF3BF6" w:rsidP="00014685">
            <w:pPr>
              <w:jc w:val="both"/>
              <w:rPr>
                <w:rFonts w:ascii="Arial" w:hAnsi="Arial" w:cs="Arial"/>
                <w:color w:val="000000" w:themeColor="text1"/>
                <w:sz w:val="16"/>
                <w:szCs w:val="16"/>
                <w:lang w:val="es-ES_tradnl" w:eastAsia="es-ES"/>
              </w:rPr>
            </w:pPr>
            <w:r w:rsidRPr="00F213E7">
              <w:rPr>
                <w:rFonts w:ascii="Arial" w:hAnsi="Arial" w:cs="Arial"/>
                <w:color w:val="000000" w:themeColor="text1"/>
                <w:sz w:val="16"/>
                <w:szCs w:val="16"/>
                <w:lang w:val="es-ES_tradnl" w:eastAsia="es-ES"/>
              </w:rPr>
              <w:t xml:space="preserve">Subdirector </w:t>
            </w:r>
            <w:r w:rsidR="008A7BEC" w:rsidRPr="00F213E7">
              <w:rPr>
                <w:rFonts w:ascii="Arial" w:hAnsi="Arial" w:cs="Arial"/>
                <w:color w:val="000000" w:themeColor="text1"/>
                <w:sz w:val="16"/>
                <w:szCs w:val="16"/>
                <w:lang w:val="es-ES_tradnl" w:eastAsia="es-ES"/>
              </w:rPr>
              <w:t xml:space="preserve">de </w:t>
            </w:r>
            <w:r w:rsidRPr="00F213E7">
              <w:rPr>
                <w:rFonts w:ascii="Arial" w:hAnsi="Arial" w:cs="Arial"/>
                <w:color w:val="000000" w:themeColor="text1"/>
                <w:sz w:val="16"/>
                <w:szCs w:val="16"/>
                <w:lang w:val="es-ES_tradnl" w:eastAsia="es-ES"/>
              </w:rPr>
              <w:t>Gestión Contractual ANCP – CCE</w:t>
            </w:r>
          </w:p>
        </w:tc>
      </w:tr>
    </w:tbl>
    <w:p w14:paraId="35B56F46" w14:textId="77777777" w:rsidR="00746E08" w:rsidRPr="00F213E7" w:rsidRDefault="00746E08" w:rsidP="00215B8E">
      <w:pPr>
        <w:jc w:val="both"/>
        <w:rPr>
          <w:rFonts w:ascii="Arial" w:hAnsi="Arial" w:cs="Arial"/>
          <w:lang w:val="es-ES_tradnl"/>
        </w:rPr>
      </w:pPr>
    </w:p>
    <w:p w14:paraId="72BAFD4D" w14:textId="77777777" w:rsidR="00F213E7" w:rsidRPr="00F213E7" w:rsidRDefault="00F213E7">
      <w:pPr>
        <w:jc w:val="both"/>
        <w:rPr>
          <w:rFonts w:ascii="Arial" w:hAnsi="Arial" w:cs="Arial"/>
          <w:lang w:val="es-ES_tradnl"/>
        </w:rPr>
      </w:pPr>
    </w:p>
    <w:sectPr w:rsidR="00F213E7" w:rsidRPr="00F213E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5D81D" w14:textId="77777777" w:rsidR="00A12327" w:rsidRDefault="00A12327">
      <w:r>
        <w:separator/>
      </w:r>
    </w:p>
  </w:endnote>
  <w:endnote w:type="continuationSeparator" w:id="0">
    <w:p w14:paraId="112D448D" w14:textId="77777777" w:rsidR="00A12327" w:rsidRDefault="00A12327">
      <w:r>
        <w:continuationSeparator/>
      </w:r>
    </w:p>
  </w:endnote>
  <w:endnote w:type="continuationNotice" w:id="1">
    <w:p w14:paraId="2384E037" w14:textId="77777777" w:rsidR="00A12327" w:rsidRDefault="00A123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CBC7C" w14:textId="77777777" w:rsidR="00A12327" w:rsidRDefault="00A12327">
      <w:r>
        <w:separator/>
      </w:r>
    </w:p>
  </w:footnote>
  <w:footnote w:type="continuationSeparator" w:id="0">
    <w:p w14:paraId="61BC26E6" w14:textId="77777777" w:rsidR="00A12327" w:rsidRDefault="00A12327">
      <w:r>
        <w:continuationSeparator/>
      </w:r>
    </w:p>
  </w:footnote>
  <w:footnote w:type="continuationNotice" w:id="1">
    <w:p w14:paraId="024ABE26" w14:textId="77777777" w:rsidR="00A12327" w:rsidRDefault="00A12327"/>
  </w:footnote>
  <w:footnote w:id="2">
    <w:p w14:paraId="608A8C45" w14:textId="77777777" w:rsidR="0051102C" w:rsidRDefault="0051102C" w:rsidP="0051102C">
      <w:pPr>
        <w:pStyle w:val="Textonotapie"/>
        <w:ind w:firstLine="709"/>
        <w:jc w:val="both"/>
        <w:rPr>
          <w:rFonts w:ascii="Arial" w:hAnsi="Arial" w:cs="Arial"/>
          <w:sz w:val="19"/>
          <w:szCs w:val="19"/>
        </w:rPr>
      </w:pPr>
      <w:r w:rsidRPr="00F213E7">
        <w:rPr>
          <w:rStyle w:val="Refdenotaalpie"/>
          <w:rFonts w:ascii="Arial" w:hAnsi="Arial" w:cs="Arial"/>
          <w:sz w:val="19"/>
          <w:szCs w:val="19"/>
        </w:rPr>
        <w:footnoteRef/>
      </w:r>
      <w:r w:rsidRPr="00F213E7">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3E340C28" w14:textId="77777777" w:rsidR="0051102C" w:rsidRPr="00F213E7" w:rsidRDefault="0051102C" w:rsidP="0051102C">
      <w:pPr>
        <w:pStyle w:val="Textonotapie"/>
        <w:ind w:firstLine="709"/>
        <w:jc w:val="both"/>
        <w:rPr>
          <w:rFonts w:ascii="Arial" w:hAnsi="Arial" w:cs="Arial"/>
          <w:sz w:val="19"/>
          <w:szCs w:val="19"/>
        </w:rPr>
      </w:pPr>
    </w:p>
    <w:p w14:paraId="6DC3333E" w14:textId="77777777" w:rsidR="0051102C" w:rsidRPr="00F213E7" w:rsidRDefault="0051102C" w:rsidP="0051102C">
      <w:pPr>
        <w:pStyle w:val="Textonotapie"/>
        <w:ind w:firstLine="709"/>
        <w:jc w:val="both"/>
        <w:rPr>
          <w:rFonts w:ascii="Arial" w:hAnsi="Arial" w:cs="Arial"/>
          <w:sz w:val="19"/>
          <w:szCs w:val="19"/>
        </w:rPr>
      </w:pPr>
      <w:r w:rsidRPr="00F213E7">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9839A2E" w14:textId="385C679E" w:rsidR="0051102C" w:rsidRPr="00F213E7" w:rsidRDefault="0051102C" w:rsidP="0051102C">
      <w:pPr>
        <w:pStyle w:val="Textonotapie"/>
        <w:ind w:firstLine="709"/>
        <w:jc w:val="both"/>
        <w:rPr>
          <w:rFonts w:ascii="Arial" w:hAnsi="Arial" w:cs="Arial"/>
          <w:sz w:val="19"/>
          <w:szCs w:val="19"/>
          <w:lang w:val="es-ES"/>
        </w:rPr>
      </w:pPr>
      <w:r w:rsidRPr="00F213E7">
        <w:rPr>
          <w:rFonts w:ascii="Arial" w:hAnsi="Arial" w:cs="Arial"/>
          <w:sz w:val="19"/>
          <w:szCs w:val="19"/>
        </w:rPr>
        <w:t>»[...]».</w:t>
      </w:r>
    </w:p>
  </w:footnote>
  <w:footnote w:id="3">
    <w:p w14:paraId="0699217A" w14:textId="77777777" w:rsidR="003E2F16" w:rsidRPr="00F213E7" w:rsidRDefault="003E2F16" w:rsidP="009108BF">
      <w:pPr>
        <w:pStyle w:val="Textonotapie"/>
        <w:ind w:firstLine="709"/>
        <w:jc w:val="both"/>
        <w:rPr>
          <w:rFonts w:ascii="Arial" w:hAnsi="Arial" w:cs="Arial"/>
          <w:sz w:val="19"/>
          <w:szCs w:val="19"/>
        </w:rPr>
      </w:pPr>
      <w:r w:rsidRPr="00F213E7">
        <w:rPr>
          <w:rStyle w:val="Refdenotaalpie"/>
          <w:rFonts w:ascii="Arial" w:hAnsi="Arial" w:cs="Arial"/>
          <w:sz w:val="19"/>
          <w:szCs w:val="19"/>
        </w:rPr>
        <w:footnoteRef/>
      </w:r>
      <w:r w:rsidRPr="00F213E7">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3BA5EFE1" w14:textId="77777777" w:rsidR="003E2F16" w:rsidRPr="00F213E7" w:rsidRDefault="003E2F16" w:rsidP="009108BF">
      <w:pPr>
        <w:pStyle w:val="Textonotapie"/>
        <w:ind w:firstLine="709"/>
        <w:jc w:val="both"/>
        <w:rPr>
          <w:rFonts w:ascii="Arial" w:hAnsi="Arial" w:cs="Arial"/>
          <w:sz w:val="19"/>
          <w:szCs w:val="19"/>
          <w:lang w:val="es-ES"/>
        </w:rPr>
      </w:pPr>
    </w:p>
  </w:footnote>
  <w:footnote w:id="4">
    <w:p w14:paraId="52132671" w14:textId="77777777" w:rsidR="00AE72C9" w:rsidRPr="00F213E7" w:rsidRDefault="00AE72C9" w:rsidP="009108BF">
      <w:pPr>
        <w:pStyle w:val="Textonotapie"/>
        <w:ind w:firstLine="709"/>
        <w:jc w:val="both"/>
        <w:rPr>
          <w:rFonts w:ascii="Arial" w:hAnsi="Arial" w:cs="Arial"/>
          <w:sz w:val="19"/>
          <w:szCs w:val="19"/>
          <w:lang w:val="es-ES"/>
        </w:rPr>
      </w:pPr>
      <w:r w:rsidRPr="00F213E7">
        <w:rPr>
          <w:rStyle w:val="Refdenotaalpie"/>
          <w:rFonts w:ascii="Arial" w:hAnsi="Arial" w:cs="Arial"/>
          <w:sz w:val="19"/>
          <w:szCs w:val="19"/>
        </w:rPr>
        <w:footnoteRef/>
      </w:r>
      <w:r w:rsidRPr="00F213E7">
        <w:rPr>
          <w:rFonts w:ascii="Arial" w:hAnsi="Arial" w:cs="Arial"/>
          <w:sz w:val="19"/>
          <w:szCs w:val="19"/>
        </w:rPr>
        <w:t xml:space="preserve"> </w:t>
      </w:r>
      <w:r w:rsidRPr="00F213E7">
        <w:rPr>
          <w:rFonts w:ascii="Arial" w:hAnsi="Arial" w:cs="Arial"/>
          <w:sz w:val="19"/>
          <w:szCs w:val="19"/>
          <w:lang w:val="es-ES"/>
        </w:rPr>
        <w:t>Disponible en:</w:t>
      </w:r>
    </w:p>
    <w:p w14:paraId="323504CC" w14:textId="6A064DAE" w:rsidR="00AE72C9" w:rsidRPr="00F213E7" w:rsidRDefault="00AE72C9" w:rsidP="009108BF">
      <w:pPr>
        <w:pStyle w:val="Textonotapie"/>
        <w:ind w:firstLine="709"/>
        <w:jc w:val="both"/>
        <w:rPr>
          <w:rFonts w:ascii="Arial" w:hAnsi="Arial" w:cs="Arial"/>
          <w:sz w:val="19"/>
          <w:szCs w:val="19"/>
          <w:lang w:val="es-ES"/>
        </w:rPr>
      </w:pPr>
      <w:r w:rsidRPr="00F213E7">
        <w:rPr>
          <w:rFonts w:ascii="Arial" w:hAnsi="Arial" w:cs="Arial"/>
          <w:sz w:val="19"/>
          <w:szCs w:val="19"/>
          <w:lang w:val="es-ES"/>
        </w:rPr>
        <w:t>https://www.colombiacompra.gov.co/sites/cce_public/files/cce_documents/cce_manual_requisitos_habilitantes.pdf</w:t>
      </w:r>
    </w:p>
  </w:footnote>
  <w:footnote w:id="5">
    <w:p w14:paraId="47750B28" w14:textId="77777777" w:rsidR="009D71F9" w:rsidRPr="00F213E7" w:rsidRDefault="009D71F9" w:rsidP="009108BF">
      <w:pPr>
        <w:pStyle w:val="Textonotapie"/>
        <w:ind w:firstLine="709"/>
        <w:jc w:val="both"/>
        <w:rPr>
          <w:rFonts w:ascii="Arial" w:hAnsi="Arial" w:cs="Arial"/>
          <w:sz w:val="19"/>
          <w:szCs w:val="19"/>
        </w:rPr>
      </w:pPr>
    </w:p>
    <w:p w14:paraId="097E1DDB" w14:textId="035AA4E8" w:rsidR="00221CDE" w:rsidRPr="00F213E7" w:rsidRDefault="00221CDE" w:rsidP="009108BF">
      <w:pPr>
        <w:pStyle w:val="Textonotapie"/>
        <w:ind w:firstLine="709"/>
        <w:jc w:val="both"/>
        <w:rPr>
          <w:rFonts w:ascii="Arial" w:hAnsi="Arial" w:cs="Arial"/>
          <w:sz w:val="19"/>
          <w:szCs w:val="19"/>
          <w:lang w:val="es-ES"/>
        </w:rPr>
      </w:pPr>
      <w:r w:rsidRPr="00F213E7">
        <w:rPr>
          <w:rStyle w:val="Refdenotaalpie"/>
          <w:rFonts w:ascii="Arial" w:hAnsi="Arial" w:cs="Arial"/>
          <w:sz w:val="19"/>
          <w:szCs w:val="19"/>
        </w:rPr>
        <w:footnoteRef/>
      </w:r>
      <w:r w:rsidRPr="00F213E7">
        <w:rPr>
          <w:rFonts w:ascii="Arial" w:hAnsi="Arial" w:cs="Arial"/>
          <w:sz w:val="19"/>
          <w:szCs w:val="19"/>
        </w:rPr>
        <w:t xml:space="preserve"> </w:t>
      </w:r>
      <w:proofErr w:type="spellStart"/>
      <w:r w:rsidRPr="00F213E7">
        <w:rPr>
          <w:rFonts w:ascii="Arial" w:hAnsi="Arial" w:cs="Arial"/>
          <w:sz w:val="19"/>
          <w:szCs w:val="19"/>
          <w:lang w:val="es-ES"/>
        </w:rPr>
        <w:t>Ibíd</w:t>
      </w:r>
      <w:proofErr w:type="spellEnd"/>
      <w:r w:rsidRPr="00F213E7">
        <w:rPr>
          <w:rFonts w:ascii="Arial" w:hAnsi="Arial" w:cs="Arial"/>
          <w:sz w:val="19"/>
          <w:szCs w:val="19"/>
          <w:lang w:val="es-ES"/>
        </w:rPr>
        <w:t>.</w:t>
      </w:r>
    </w:p>
  </w:footnote>
  <w:footnote w:id="6">
    <w:p w14:paraId="3FF9D46F" w14:textId="77777777" w:rsidR="004C4BEE" w:rsidRPr="00F213E7" w:rsidRDefault="004C4BEE" w:rsidP="009108BF">
      <w:pPr>
        <w:pStyle w:val="Textonotapie"/>
        <w:ind w:firstLine="709"/>
        <w:jc w:val="both"/>
        <w:rPr>
          <w:rFonts w:ascii="Arial" w:hAnsi="Arial" w:cs="Arial"/>
          <w:sz w:val="19"/>
          <w:szCs w:val="19"/>
        </w:rPr>
      </w:pPr>
    </w:p>
    <w:p w14:paraId="49118A9E" w14:textId="5273CFDB" w:rsidR="003E2F16" w:rsidRPr="00F213E7" w:rsidRDefault="003E2F16" w:rsidP="009108BF">
      <w:pPr>
        <w:pStyle w:val="Textonotapie"/>
        <w:ind w:firstLine="709"/>
        <w:jc w:val="both"/>
        <w:rPr>
          <w:rFonts w:ascii="Arial" w:hAnsi="Arial" w:cs="Arial"/>
          <w:sz w:val="19"/>
          <w:szCs w:val="19"/>
        </w:rPr>
      </w:pPr>
      <w:r w:rsidRPr="00F213E7">
        <w:rPr>
          <w:rStyle w:val="Refdenotaalpie"/>
          <w:rFonts w:ascii="Arial" w:hAnsi="Arial" w:cs="Arial"/>
          <w:sz w:val="19"/>
          <w:szCs w:val="19"/>
        </w:rPr>
        <w:footnoteRef/>
      </w:r>
      <w:r w:rsidRPr="00F213E7">
        <w:rPr>
          <w:rFonts w:ascii="Arial" w:hAnsi="Arial" w:cs="Arial"/>
          <w:sz w:val="19"/>
          <w:szCs w:val="19"/>
        </w:rPr>
        <w:t xml:space="preserve"> </w:t>
      </w:r>
      <w:r w:rsidR="004C4BEE" w:rsidRPr="00F213E7">
        <w:rPr>
          <w:rFonts w:ascii="Arial" w:hAnsi="Arial" w:cs="Arial"/>
          <w:sz w:val="19"/>
          <w:szCs w:val="19"/>
        </w:rPr>
        <w:t>Dice el Manual que</w:t>
      </w:r>
      <w:r w:rsidRPr="00F213E7">
        <w:rPr>
          <w:rFonts w:ascii="Arial" w:hAnsi="Arial" w:cs="Arial"/>
          <w:sz w:val="19"/>
          <w:szCs w:val="19"/>
        </w:rPr>
        <w:t>: «[...]</w:t>
      </w:r>
      <w:r w:rsidR="004C4BEE" w:rsidRPr="00F213E7">
        <w:rPr>
          <w:rFonts w:ascii="Arial" w:hAnsi="Arial" w:cs="Arial"/>
          <w:sz w:val="19"/>
          <w:szCs w:val="19"/>
        </w:rPr>
        <w:t xml:space="preserve"> </w:t>
      </w:r>
      <w:r w:rsidRPr="00F213E7">
        <w:rPr>
          <w:rFonts w:ascii="Arial" w:hAnsi="Arial" w:cs="Arial"/>
          <w:sz w:val="19"/>
          <w:szCs w:val="19"/>
        </w:rPr>
        <w:t>En atención a la naturaleza del contrato a suscribir y de su valor, plazo y forma de pago, la Entidad Estatal debe hacer uso de los indicadores que considere adecuados respecto al objeto del Proceso de Contratación.</w:t>
      </w:r>
    </w:p>
    <w:p w14:paraId="40FFA065" w14:textId="77777777" w:rsidR="003E2F16" w:rsidRPr="00F213E7" w:rsidRDefault="003E2F16" w:rsidP="009108BF">
      <w:pPr>
        <w:pStyle w:val="Textonotapie"/>
        <w:ind w:firstLine="709"/>
        <w:jc w:val="both"/>
        <w:rPr>
          <w:rFonts w:ascii="Arial" w:hAnsi="Arial" w:cs="Arial"/>
          <w:sz w:val="19"/>
          <w:szCs w:val="19"/>
        </w:rPr>
      </w:pPr>
      <w:r w:rsidRPr="00F213E7">
        <w:rPr>
          <w:rFonts w:ascii="Arial" w:hAnsi="Arial" w:cs="Arial"/>
          <w:sz w:val="19"/>
          <w:szCs w:val="19"/>
        </w:rPr>
        <w:t>«Las Entidades Estatales no deben limitarse a determinar y aplicar de forma mecánica fórmulas financieras para determinar los indicadores. Deben conocer cada indicador, sus fórmulas de cálculo y su interpretación».</w:t>
      </w:r>
    </w:p>
  </w:footnote>
  <w:footnote w:id="7">
    <w:p w14:paraId="29B92A18" w14:textId="77777777" w:rsidR="003E2F16" w:rsidRPr="00F213E7" w:rsidRDefault="003E2F16" w:rsidP="009108BF">
      <w:pPr>
        <w:pStyle w:val="Textonotapie"/>
        <w:ind w:firstLine="709"/>
        <w:jc w:val="both"/>
        <w:rPr>
          <w:rFonts w:ascii="Arial" w:hAnsi="Arial" w:cs="Arial"/>
          <w:sz w:val="19"/>
          <w:szCs w:val="19"/>
        </w:rPr>
      </w:pPr>
    </w:p>
    <w:p w14:paraId="77D47E7E" w14:textId="4291E996" w:rsidR="00FB2A8A" w:rsidRPr="00F213E7" w:rsidRDefault="003E2F16" w:rsidP="00F213E7">
      <w:pPr>
        <w:pStyle w:val="Textonotapie"/>
        <w:ind w:firstLine="709"/>
        <w:jc w:val="both"/>
        <w:rPr>
          <w:rFonts w:ascii="Arial" w:hAnsi="Arial" w:cs="Arial"/>
          <w:sz w:val="19"/>
          <w:szCs w:val="19"/>
        </w:rPr>
      </w:pPr>
      <w:r w:rsidRPr="00F213E7">
        <w:rPr>
          <w:rStyle w:val="Refdenotaalpie"/>
          <w:rFonts w:ascii="Arial" w:hAnsi="Arial" w:cs="Arial"/>
          <w:sz w:val="19"/>
          <w:szCs w:val="19"/>
        </w:rPr>
        <w:footnoteRef/>
      </w:r>
      <w:r w:rsidRPr="00F213E7">
        <w:rPr>
          <w:rFonts w:ascii="Arial" w:hAnsi="Arial" w:cs="Arial"/>
          <w:sz w:val="19"/>
          <w:szCs w:val="19"/>
        </w:rPr>
        <w:t xml:space="preserve"> </w:t>
      </w:r>
      <w:r w:rsidR="008F55F2" w:rsidRPr="00F213E7">
        <w:rPr>
          <w:rFonts w:ascii="Arial" w:hAnsi="Arial" w:cs="Arial"/>
          <w:sz w:val="19"/>
          <w:szCs w:val="19"/>
        </w:rPr>
        <w:t>Al respecto, el Manual indica</w:t>
      </w:r>
      <w:r w:rsidRPr="00F213E7">
        <w:rPr>
          <w:rFonts w:ascii="Arial" w:hAnsi="Arial" w:cs="Arial"/>
          <w:sz w:val="19"/>
          <w:szCs w:val="19"/>
        </w:rPr>
        <w:t>: «La determinación de cada requisito habilitante debe estar enmarcada en el análisis y el concepto de lo que mide el indicador. Si el indicador representa una mayor probabilidad de Riesgo a medida que su valor es mayor, la Entidad Estatal debe fijar un valor máximo para el requisito habilitante. Si el indicador representa una menor probabilidad de Riesgo a medida que su valor es mayor, la Entidad Estatal debe fijar un mínimo».</w:t>
      </w:r>
    </w:p>
  </w:footnote>
  <w:footnote w:id="8">
    <w:p w14:paraId="7F52B8B1" w14:textId="77777777" w:rsidR="009108BF" w:rsidRPr="00F213E7" w:rsidRDefault="009108BF" w:rsidP="009108BF">
      <w:pPr>
        <w:pStyle w:val="Textonotapie"/>
        <w:ind w:firstLine="709"/>
        <w:jc w:val="both"/>
        <w:rPr>
          <w:rFonts w:ascii="Arial" w:hAnsi="Arial" w:cs="Arial"/>
          <w:sz w:val="19"/>
          <w:szCs w:val="19"/>
        </w:rPr>
      </w:pPr>
    </w:p>
    <w:p w14:paraId="6E2239C2" w14:textId="1609C16D" w:rsidR="00FF2EA5" w:rsidRPr="00F213E7" w:rsidRDefault="00FF2EA5" w:rsidP="009108BF">
      <w:pPr>
        <w:pStyle w:val="Textonotapie"/>
        <w:ind w:firstLine="709"/>
        <w:jc w:val="both"/>
        <w:rPr>
          <w:rFonts w:ascii="Arial" w:hAnsi="Arial" w:cs="Arial"/>
          <w:sz w:val="19"/>
          <w:szCs w:val="19"/>
          <w:lang w:val="es-ES"/>
        </w:rPr>
      </w:pPr>
      <w:r w:rsidRPr="00F213E7">
        <w:rPr>
          <w:rStyle w:val="Refdenotaalpie"/>
          <w:rFonts w:ascii="Arial" w:hAnsi="Arial" w:cs="Arial"/>
          <w:sz w:val="19"/>
          <w:szCs w:val="19"/>
        </w:rPr>
        <w:footnoteRef/>
      </w:r>
      <w:r w:rsidRPr="00F213E7">
        <w:rPr>
          <w:rFonts w:ascii="Arial" w:hAnsi="Arial" w:cs="Arial"/>
          <w:sz w:val="19"/>
          <w:szCs w:val="19"/>
        </w:rPr>
        <w:t xml:space="preserve"> </w:t>
      </w:r>
      <w:r w:rsidR="007E56AE" w:rsidRPr="00F213E7">
        <w:rPr>
          <w:rFonts w:ascii="Arial" w:hAnsi="Arial" w:cs="Arial"/>
          <w:sz w:val="19"/>
          <w:szCs w:val="19"/>
        </w:rPr>
        <w:t>En efecto</w:t>
      </w:r>
      <w:r w:rsidRPr="00F213E7">
        <w:rPr>
          <w:rFonts w:ascii="Arial" w:hAnsi="Arial" w:cs="Arial"/>
          <w:sz w:val="19"/>
          <w:szCs w:val="19"/>
          <w:lang w:val="es-ES"/>
        </w:rPr>
        <w:t xml:space="preserve">, es importante mencionar desde este momento que </w:t>
      </w:r>
      <w:r w:rsidR="009108BF" w:rsidRPr="00F213E7">
        <w:rPr>
          <w:rFonts w:ascii="Arial" w:hAnsi="Arial" w:cs="Arial"/>
          <w:sz w:val="19"/>
          <w:szCs w:val="19"/>
          <w:lang w:val="es-ES"/>
        </w:rPr>
        <w:t xml:space="preserve">mediante </w:t>
      </w:r>
      <w:r w:rsidRPr="00F213E7">
        <w:rPr>
          <w:rFonts w:ascii="Arial" w:hAnsi="Arial" w:cs="Arial"/>
          <w:sz w:val="19"/>
          <w:szCs w:val="19"/>
          <w:lang w:val="es-ES"/>
        </w:rPr>
        <w:t>el Decreto 579</w:t>
      </w:r>
      <w:r w:rsidR="009108BF" w:rsidRPr="00F213E7">
        <w:rPr>
          <w:rFonts w:ascii="Arial" w:hAnsi="Arial" w:cs="Arial"/>
          <w:sz w:val="19"/>
          <w:szCs w:val="19"/>
          <w:lang w:val="es-ES"/>
        </w:rPr>
        <w:t xml:space="preserve"> </w:t>
      </w:r>
      <w:r w:rsidRPr="00F213E7">
        <w:rPr>
          <w:rFonts w:ascii="Arial" w:hAnsi="Arial" w:cs="Arial"/>
          <w:sz w:val="19"/>
          <w:szCs w:val="19"/>
          <w:lang w:val="es-ES"/>
        </w:rPr>
        <w:t>de 2021,</w:t>
      </w:r>
      <w:r w:rsidR="009108BF" w:rsidRPr="00F213E7">
        <w:rPr>
          <w:rFonts w:ascii="Arial" w:hAnsi="Arial" w:cs="Arial"/>
          <w:sz w:val="19"/>
          <w:szCs w:val="19"/>
          <w:lang w:val="es-ES"/>
        </w:rPr>
        <w:t xml:space="preserve"> </w:t>
      </w:r>
      <w:r w:rsidRPr="00F213E7">
        <w:rPr>
          <w:rFonts w:ascii="Arial" w:hAnsi="Arial" w:cs="Arial"/>
          <w:sz w:val="19"/>
          <w:szCs w:val="19"/>
          <w:lang w:val="es-ES"/>
        </w:rPr>
        <w:t>expedido recientemente, el gobierno nacional anticipó estas medidas, sustituyendo algunos parágrafos</w:t>
      </w:r>
      <w:r w:rsidR="009108BF" w:rsidRPr="00F213E7">
        <w:rPr>
          <w:rFonts w:ascii="Arial" w:hAnsi="Arial" w:cs="Arial"/>
          <w:sz w:val="19"/>
          <w:szCs w:val="19"/>
          <w:lang w:val="es-ES"/>
        </w:rPr>
        <w:t xml:space="preserve"> transitorios que había agregado el Decreto 399 de 2021, como se explicará más adelante.</w:t>
      </w:r>
      <w:r w:rsidR="00162311" w:rsidRPr="00F213E7">
        <w:rPr>
          <w:rFonts w:ascii="Arial" w:hAnsi="Arial" w:cs="Arial"/>
          <w:sz w:val="19"/>
          <w:szCs w:val="19"/>
          <w:lang w:val="es-ES"/>
        </w:rPr>
        <w:t xml:space="preserve"> Concretamente, </w:t>
      </w:r>
      <w:r w:rsidR="00A642EA" w:rsidRPr="00F213E7">
        <w:rPr>
          <w:rFonts w:ascii="Arial" w:hAnsi="Arial" w:cs="Arial"/>
          <w:sz w:val="19"/>
          <w:szCs w:val="19"/>
          <w:lang w:val="es-ES"/>
        </w:rPr>
        <w:t>el Decreto 579 de 2021</w:t>
      </w:r>
      <w:r w:rsidR="00162311" w:rsidRPr="00F213E7">
        <w:rPr>
          <w:rFonts w:ascii="Arial" w:hAnsi="Arial" w:cs="Arial"/>
          <w:sz w:val="19"/>
          <w:szCs w:val="19"/>
          <w:lang w:val="es-ES"/>
        </w:rPr>
        <w:t xml:space="preserve"> </w:t>
      </w:r>
      <w:r w:rsidR="00A642EA" w:rsidRPr="00F213E7">
        <w:rPr>
          <w:rFonts w:ascii="Arial" w:hAnsi="Arial" w:cs="Arial"/>
          <w:sz w:val="19"/>
          <w:szCs w:val="19"/>
          <w:lang w:val="es-ES"/>
        </w:rPr>
        <w:t xml:space="preserve">establece </w:t>
      </w:r>
      <w:r w:rsidR="00162311" w:rsidRPr="00F213E7">
        <w:rPr>
          <w:rFonts w:ascii="Arial" w:hAnsi="Arial" w:cs="Arial"/>
          <w:sz w:val="19"/>
          <w:szCs w:val="19"/>
          <w:lang w:val="es-ES"/>
        </w:rPr>
        <w:t xml:space="preserve">que en los procesos de selección cuyo acto administrativo de apertura o invitación se publique a partir del 1 de </w:t>
      </w:r>
      <w:r w:rsidR="00162311" w:rsidRPr="00F213E7">
        <w:rPr>
          <w:rFonts w:ascii="Arial" w:hAnsi="Arial" w:cs="Arial"/>
          <w:i/>
          <w:iCs/>
          <w:sz w:val="19"/>
          <w:szCs w:val="19"/>
          <w:lang w:val="es-ES"/>
        </w:rPr>
        <w:t>julio</w:t>
      </w:r>
      <w:r w:rsidR="00162311" w:rsidRPr="00F213E7">
        <w:rPr>
          <w:rFonts w:ascii="Arial" w:hAnsi="Arial" w:cs="Arial"/>
          <w:sz w:val="19"/>
          <w:szCs w:val="19"/>
          <w:lang w:val="es-ES"/>
        </w:rPr>
        <w:t xml:space="preserve"> de 2021 –ya no desde el 1 de septiembre, como inicialmente lo señalaba el Decreto 399 de 2021–, las entidades estatales deben evaluar los indicadores de la capacidad financiera teniendo en cuenta el mejor año fiscal que se refleje en el RUP, y con esta capacidad financiera también deberán calcular la capacidad residual.</w:t>
      </w:r>
    </w:p>
  </w:footnote>
  <w:footnote w:id="9">
    <w:p w14:paraId="71D9F08D" w14:textId="24DA22C4" w:rsidR="00FE7A8F" w:rsidRPr="00F213E7" w:rsidRDefault="008861E3" w:rsidP="009108BF">
      <w:pPr>
        <w:pStyle w:val="Textonotapie"/>
        <w:ind w:firstLine="709"/>
        <w:jc w:val="both"/>
        <w:rPr>
          <w:rFonts w:ascii="Arial" w:hAnsi="Arial" w:cs="Arial"/>
          <w:sz w:val="19"/>
          <w:szCs w:val="19"/>
          <w:lang w:val="es-ES"/>
        </w:rPr>
      </w:pPr>
      <w:r w:rsidRPr="00F213E7">
        <w:rPr>
          <w:rStyle w:val="Refdenotaalpie"/>
          <w:rFonts w:ascii="Arial" w:hAnsi="Arial" w:cs="Arial"/>
          <w:sz w:val="19"/>
          <w:szCs w:val="19"/>
        </w:rPr>
        <w:footnoteRef/>
      </w:r>
      <w:r w:rsidRPr="00F213E7">
        <w:rPr>
          <w:rFonts w:ascii="Arial" w:hAnsi="Arial" w:cs="Arial"/>
          <w:sz w:val="19"/>
          <w:szCs w:val="19"/>
        </w:rPr>
        <w:t xml:space="preserve"> </w:t>
      </w:r>
      <w:r w:rsidR="00FE7A8F" w:rsidRPr="00F213E7">
        <w:rPr>
          <w:rFonts w:ascii="Arial" w:hAnsi="Arial" w:cs="Arial"/>
          <w:sz w:val="19"/>
          <w:szCs w:val="19"/>
          <w:lang w:val="es-ES"/>
        </w:rPr>
        <w:t>«</w:t>
      </w:r>
      <w:proofErr w:type="gramStart"/>
      <w:r w:rsidR="00245B4D" w:rsidRPr="00F213E7">
        <w:rPr>
          <w:rFonts w:ascii="Arial" w:hAnsi="Arial" w:cs="Arial"/>
          <w:sz w:val="19"/>
          <w:szCs w:val="19"/>
          <w:lang w:val="es-ES"/>
        </w:rPr>
        <w:t>Artículo  1</w:t>
      </w:r>
      <w:proofErr w:type="gramEnd"/>
      <w:r w:rsidR="00FE7A8F" w:rsidRPr="00F213E7">
        <w:rPr>
          <w:rFonts w:ascii="Arial" w:hAnsi="Arial" w:cs="Arial"/>
          <w:sz w:val="19"/>
          <w:szCs w:val="19"/>
          <w:lang w:val="es-ES"/>
        </w:rPr>
        <w:t xml:space="preserve">. </w:t>
      </w:r>
      <w:r w:rsidR="00245B4D" w:rsidRPr="00F213E7">
        <w:rPr>
          <w:rFonts w:ascii="Arial" w:hAnsi="Arial" w:cs="Arial"/>
          <w:sz w:val="19"/>
          <w:szCs w:val="19"/>
          <w:lang w:val="es-ES"/>
        </w:rPr>
        <w:t xml:space="preserve">Sustitución de los parágrafos transitorios del artículo </w:t>
      </w:r>
      <w:r w:rsidR="00FE7A8F" w:rsidRPr="00F213E7">
        <w:rPr>
          <w:rFonts w:ascii="Arial" w:hAnsi="Arial" w:cs="Arial"/>
          <w:sz w:val="19"/>
          <w:szCs w:val="19"/>
          <w:lang w:val="es-ES"/>
        </w:rPr>
        <w:t xml:space="preserve">2.2.1.1.1.5.2. del Decreto 1082 de 2015, Único Reglamentario del Sector Administrativo de Planeación Nacional. </w:t>
      </w:r>
      <w:r w:rsidR="000305F1" w:rsidRPr="00F213E7">
        <w:rPr>
          <w:rFonts w:ascii="Arial" w:hAnsi="Arial" w:cs="Arial"/>
          <w:sz w:val="19"/>
          <w:szCs w:val="19"/>
          <w:lang w:val="es-ES"/>
        </w:rPr>
        <w:t>Sustitúyase</w:t>
      </w:r>
      <w:r w:rsidR="00FE7A8F" w:rsidRPr="00F213E7">
        <w:rPr>
          <w:rFonts w:ascii="Arial" w:hAnsi="Arial" w:cs="Arial"/>
          <w:sz w:val="19"/>
          <w:szCs w:val="19"/>
          <w:lang w:val="es-ES"/>
        </w:rPr>
        <w:t xml:space="preserve"> </w:t>
      </w:r>
      <w:r w:rsidR="000305F1" w:rsidRPr="00F213E7">
        <w:rPr>
          <w:rFonts w:ascii="Arial" w:hAnsi="Arial" w:cs="Arial"/>
          <w:sz w:val="19"/>
          <w:szCs w:val="19"/>
          <w:lang w:val="es-ES"/>
        </w:rPr>
        <w:t xml:space="preserve">los parágrafos </w:t>
      </w:r>
      <w:r w:rsidR="00A42EF9" w:rsidRPr="00F213E7">
        <w:rPr>
          <w:rFonts w:ascii="Arial" w:hAnsi="Arial" w:cs="Arial"/>
          <w:sz w:val="19"/>
          <w:szCs w:val="19"/>
          <w:lang w:val="es-ES"/>
        </w:rPr>
        <w:t xml:space="preserve">transitorios </w:t>
      </w:r>
      <w:r w:rsidR="000305F1" w:rsidRPr="00F213E7">
        <w:rPr>
          <w:rFonts w:ascii="Arial" w:hAnsi="Arial" w:cs="Arial"/>
          <w:sz w:val="19"/>
          <w:szCs w:val="19"/>
          <w:lang w:val="es-ES"/>
        </w:rPr>
        <w:t>del</w:t>
      </w:r>
      <w:r w:rsidR="00FE7A8F" w:rsidRPr="00F213E7">
        <w:rPr>
          <w:rFonts w:ascii="Arial" w:hAnsi="Arial" w:cs="Arial"/>
          <w:sz w:val="19"/>
          <w:szCs w:val="19"/>
          <w:lang w:val="es-ES"/>
        </w:rPr>
        <w:t xml:space="preserve"> artículo 2.2.1.1.1.5.2. de la Subsección 5 de la Sección 1 del Capítulo 1 del Título 1 de la Parte 2 del Libro 2 del Decreto 1082 de 2015, Único Reglamentario del Sector Administrativo de Planeación Nacional, los cuales quedarán así:</w:t>
      </w:r>
    </w:p>
    <w:p w14:paraId="02707187" w14:textId="5FB328F7" w:rsidR="00FE7A8F" w:rsidRPr="00F213E7" w:rsidRDefault="00FE7A8F" w:rsidP="009108BF">
      <w:pPr>
        <w:pStyle w:val="Textonotapie"/>
        <w:ind w:firstLine="709"/>
        <w:jc w:val="both"/>
        <w:rPr>
          <w:rFonts w:ascii="Arial" w:hAnsi="Arial" w:cs="Arial"/>
          <w:sz w:val="19"/>
          <w:szCs w:val="19"/>
          <w:lang w:val="es-ES"/>
        </w:rPr>
      </w:pPr>
      <w:r w:rsidRPr="00F213E7">
        <w:rPr>
          <w:rFonts w:ascii="Arial" w:hAnsi="Arial" w:cs="Arial"/>
          <w:sz w:val="19"/>
          <w:szCs w:val="19"/>
          <w:lang w:val="es-ES"/>
        </w:rPr>
        <w:t xml:space="preserve">»"PARÁGRAFO TRANSITORIO 1: A partir del 1 de </w:t>
      </w:r>
      <w:r w:rsidR="00AF43F6" w:rsidRPr="00F213E7">
        <w:rPr>
          <w:rFonts w:ascii="Arial" w:hAnsi="Arial" w:cs="Arial"/>
          <w:sz w:val="19"/>
          <w:szCs w:val="19"/>
          <w:lang w:val="es-ES"/>
        </w:rPr>
        <w:t>junio</w:t>
      </w:r>
      <w:r w:rsidRPr="00F213E7">
        <w:rPr>
          <w:rFonts w:ascii="Arial" w:hAnsi="Arial" w:cs="Arial"/>
          <w:sz w:val="19"/>
          <w:szCs w:val="19"/>
          <w:lang w:val="es-ES"/>
        </w:rPr>
        <w:t xml:space="preserve"> de 2021, para efectos de la inscripción en el Registro Único de Proponentes, el interesado reportará la información contable de que tratan los numerales 1.3 y 2.3 de este artículo, correspondiente a los últimos tres (3) años fiscales anteriores al respectivo acto.</w:t>
      </w:r>
    </w:p>
    <w:p w14:paraId="4F367E2D" w14:textId="608F0863" w:rsidR="00FE7A8F" w:rsidRPr="00F213E7" w:rsidRDefault="00FE7A8F" w:rsidP="009108BF">
      <w:pPr>
        <w:pStyle w:val="Textonotapie"/>
        <w:ind w:firstLine="709"/>
        <w:jc w:val="both"/>
        <w:rPr>
          <w:rFonts w:ascii="Arial" w:hAnsi="Arial" w:cs="Arial"/>
          <w:sz w:val="19"/>
          <w:szCs w:val="19"/>
          <w:lang w:val="es-ES"/>
        </w:rPr>
      </w:pPr>
      <w:proofErr w:type="gramStart"/>
      <w:r w:rsidRPr="00F213E7">
        <w:rPr>
          <w:rFonts w:ascii="Arial" w:hAnsi="Arial" w:cs="Arial"/>
          <w:sz w:val="19"/>
          <w:szCs w:val="19"/>
          <w:lang w:val="es-ES"/>
        </w:rPr>
        <w:t>»En</w:t>
      </w:r>
      <w:proofErr w:type="gramEnd"/>
      <w:r w:rsidRPr="00F213E7">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186B282E" w14:textId="2947B391" w:rsidR="00FE7A8F" w:rsidRPr="00F213E7" w:rsidRDefault="00FE7A8F" w:rsidP="009108BF">
      <w:pPr>
        <w:pStyle w:val="Textonotapie"/>
        <w:ind w:firstLine="709"/>
        <w:jc w:val="both"/>
        <w:rPr>
          <w:rFonts w:ascii="Arial" w:hAnsi="Arial" w:cs="Arial"/>
          <w:sz w:val="19"/>
          <w:szCs w:val="19"/>
          <w:lang w:val="es-ES"/>
        </w:rPr>
      </w:pPr>
      <w:proofErr w:type="gramStart"/>
      <w:r w:rsidRPr="00F213E7">
        <w:rPr>
          <w:rFonts w:ascii="Arial" w:hAnsi="Arial" w:cs="Arial"/>
          <w:sz w:val="19"/>
          <w:szCs w:val="19"/>
          <w:lang w:val="es-ES"/>
        </w:rPr>
        <w:t>»El</w:t>
      </w:r>
      <w:proofErr w:type="gramEnd"/>
      <w:r w:rsidRPr="00F213E7">
        <w:rPr>
          <w:rFonts w:ascii="Arial" w:hAnsi="Arial" w:cs="Arial"/>
          <w:sz w:val="19"/>
          <w:szCs w:val="19"/>
          <w:lang w:val="es-ES"/>
        </w:rPr>
        <w:t xml:space="preserve"> proponente con inscripción activa y vigente que no tenga la información de la capacidad financiera y organizacional delos años 2018 y/o 2019 inscrita en el Registro Único de Proponentes, durante el mes de </w:t>
      </w:r>
      <w:r w:rsidR="00511916" w:rsidRPr="00F213E7">
        <w:rPr>
          <w:rFonts w:ascii="Arial" w:hAnsi="Arial" w:cs="Arial"/>
          <w:sz w:val="19"/>
          <w:szCs w:val="19"/>
          <w:lang w:val="es-ES"/>
        </w:rPr>
        <w:t>junio</w:t>
      </w:r>
      <w:r w:rsidRPr="00F213E7">
        <w:rPr>
          <w:rFonts w:ascii="Arial" w:hAnsi="Arial" w:cs="Arial"/>
          <w:sz w:val="19"/>
          <w:szCs w:val="19"/>
          <w:lang w:val="es-ES"/>
        </w:rPr>
        <w:t xml:space="preserve"> de 2021, podrá reportar por única vez, mediante una solicitud de actualización, únicamente la información contable correspondiente a estos años, sin costo alguno.</w:t>
      </w:r>
    </w:p>
    <w:p w14:paraId="3B8130ED" w14:textId="71A8C8A9" w:rsidR="00FE7A8F" w:rsidRPr="00F213E7" w:rsidRDefault="00FE7A8F" w:rsidP="009108BF">
      <w:pPr>
        <w:pStyle w:val="Textonotapie"/>
        <w:ind w:firstLine="709"/>
        <w:jc w:val="both"/>
        <w:rPr>
          <w:rFonts w:ascii="Arial" w:hAnsi="Arial" w:cs="Arial"/>
          <w:sz w:val="19"/>
          <w:szCs w:val="19"/>
          <w:lang w:val="es-ES"/>
        </w:rPr>
      </w:pPr>
      <w:proofErr w:type="gramStart"/>
      <w:r w:rsidRPr="00F213E7">
        <w:rPr>
          <w:rFonts w:ascii="Arial" w:hAnsi="Arial" w:cs="Arial"/>
          <w:sz w:val="19"/>
          <w:szCs w:val="19"/>
          <w:lang w:val="es-ES"/>
        </w:rPr>
        <w:t>»El</w:t>
      </w:r>
      <w:proofErr w:type="gramEnd"/>
      <w:r w:rsidRPr="00F213E7">
        <w:rPr>
          <w:rFonts w:ascii="Arial" w:hAnsi="Arial" w:cs="Arial"/>
          <w:sz w:val="19"/>
          <w:szCs w:val="19"/>
          <w:lang w:val="es-ES"/>
        </w:rPr>
        <w:t xml:space="preserve"> proponente que tenga inscrita en la cámara de comercio la información de la capacidad financiera y organizacional de los años 2018 y/o 2019, no deberá presentar la información que repose en la respectiva cámara de comercio, la cual conservará la firmeza para efectos de su certificación.</w:t>
      </w:r>
    </w:p>
    <w:p w14:paraId="4013BEE0" w14:textId="1F703DD4" w:rsidR="00FE7A8F" w:rsidRPr="00F213E7" w:rsidRDefault="00FE7A8F" w:rsidP="009108BF">
      <w:pPr>
        <w:pStyle w:val="Textonotapie"/>
        <w:ind w:firstLine="709"/>
        <w:jc w:val="both"/>
        <w:rPr>
          <w:rFonts w:ascii="Arial" w:hAnsi="Arial" w:cs="Arial"/>
          <w:sz w:val="19"/>
          <w:szCs w:val="19"/>
          <w:lang w:val="es-ES"/>
        </w:rPr>
      </w:pPr>
      <w:proofErr w:type="gramStart"/>
      <w:r w:rsidRPr="00F213E7">
        <w:rPr>
          <w:rFonts w:ascii="Arial" w:hAnsi="Arial" w:cs="Arial"/>
          <w:sz w:val="19"/>
          <w:szCs w:val="19"/>
          <w:lang w:val="es-ES"/>
        </w:rPr>
        <w:t>»PARÁGRAFO</w:t>
      </w:r>
      <w:proofErr w:type="gramEnd"/>
      <w:r w:rsidRPr="00F213E7">
        <w:rPr>
          <w:rFonts w:ascii="Arial" w:hAnsi="Arial" w:cs="Arial"/>
          <w:sz w:val="19"/>
          <w:szCs w:val="19"/>
          <w:lang w:val="es-ES"/>
        </w:rPr>
        <w:t xml:space="preserve"> TRANSITORIO 2: En el año 2022, para efectos de la inscripción o renovación del Registro Único de Proponentes, el interesado reportará la información contable de que tratan los numerales 1.3 y 2.3 de este artículo, correspondiente a los últimos tres (3) años fiscales anteriores al respectivo acto.</w:t>
      </w:r>
    </w:p>
    <w:p w14:paraId="2BBE63F2" w14:textId="6771C668" w:rsidR="00FE7A8F" w:rsidRPr="00F213E7" w:rsidRDefault="00FE7A8F" w:rsidP="009108BF">
      <w:pPr>
        <w:pStyle w:val="Textonotapie"/>
        <w:ind w:firstLine="709"/>
        <w:jc w:val="both"/>
        <w:rPr>
          <w:rFonts w:ascii="Arial" w:hAnsi="Arial" w:cs="Arial"/>
          <w:sz w:val="19"/>
          <w:szCs w:val="19"/>
          <w:lang w:val="es-ES"/>
        </w:rPr>
      </w:pPr>
      <w:proofErr w:type="gramStart"/>
      <w:r w:rsidRPr="00F213E7">
        <w:rPr>
          <w:rFonts w:ascii="Arial" w:hAnsi="Arial" w:cs="Arial"/>
          <w:sz w:val="19"/>
          <w:szCs w:val="19"/>
          <w:lang w:val="es-ES"/>
        </w:rPr>
        <w:t>»En</w:t>
      </w:r>
      <w:proofErr w:type="gramEnd"/>
      <w:r w:rsidRPr="00F213E7">
        <w:rPr>
          <w:rFonts w:ascii="Arial" w:hAnsi="Arial" w:cs="Arial"/>
          <w:sz w:val="19"/>
          <w:szCs w:val="19"/>
          <w:lang w:val="es-ES"/>
        </w:rPr>
        <w:t xml:space="preserve"> aquellos eventos en que el proponente no tenga la antigüedad suficiente para aportar la información financiera correspondiente a los tres (3) años descritos en el inciso anterior, podrá acreditar dicha información desde su primer cierre fiscal.</w:t>
      </w:r>
    </w:p>
    <w:p w14:paraId="37379A00" w14:textId="61227D32" w:rsidR="008861E3" w:rsidRPr="00F213E7" w:rsidRDefault="00FE7A8F" w:rsidP="009108BF">
      <w:pPr>
        <w:pStyle w:val="Textonotapie"/>
        <w:ind w:firstLine="709"/>
        <w:jc w:val="both"/>
        <w:rPr>
          <w:rFonts w:ascii="Arial" w:hAnsi="Arial" w:cs="Arial"/>
          <w:sz w:val="19"/>
          <w:szCs w:val="19"/>
          <w:lang w:val="es-CO"/>
        </w:rPr>
      </w:pPr>
      <w:proofErr w:type="gramStart"/>
      <w:r w:rsidRPr="00F213E7">
        <w:rPr>
          <w:rFonts w:ascii="Arial" w:hAnsi="Arial" w:cs="Arial"/>
          <w:sz w:val="19"/>
          <w:szCs w:val="19"/>
          <w:lang w:val="es-ES"/>
        </w:rPr>
        <w:t>»El</w:t>
      </w:r>
      <w:proofErr w:type="gramEnd"/>
      <w:r w:rsidRPr="00F213E7">
        <w:rPr>
          <w:rFonts w:ascii="Arial" w:hAnsi="Arial" w:cs="Arial"/>
          <w:sz w:val="19"/>
          <w:szCs w:val="19"/>
          <w:lang w:val="es-ES"/>
        </w:rPr>
        <w:t xml:space="preserve"> proponente que tenga inscrita en la cámara de comercio la información de la capacidad financiera y organizacional de los años 2019 y/o 2020, no deberá presentar la información que repose en la respectiva cámara de comercio, la cual conservará la firmeza para efectos de su certificación"».</w:t>
      </w:r>
    </w:p>
  </w:footnote>
  <w:footnote w:id="10">
    <w:p w14:paraId="687A4976" w14:textId="11D0EF3C" w:rsidR="00C44F26" w:rsidRPr="00F213E7" w:rsidRDefault="00C44F26" w:rsidP="009108BF">
      <w:pPr>
        <w:pStyle w:val="Textonotapie"/>
        <w:ind w:firstLine="709"/>
        <w:jc w:val="both"/>
        <w:rPr>
          <w:rFonts w:ascii="Arial" w:hAnsi="Arial" w:cs="Arial"/>
          <w:sz w:val="19"/>
          <w:szCs w:val="19"/>
          <w:lang w:val="es-ES"/>
        </w:rPr>
      </w:pPr>
      <w:r w:rsidRPr="00F213E7">
        <w:rPr>
          <w:rStyle w:val="Refdenotaalpie"/>
          <w:rFonts w:ascii="Arial" w:hAnsi="Arial" w:cs="Arial"/>
          <w:sz w:val="19"/>
          <w:szCs w:val="19"/>
        </w:rPr>
        <w:footnoteRef/>
      </w:r>
      <w:r w:rsidRPr="00F213E7">
        <w:rPr>
          <w:rFonts w:ascii="Arial" w:hAnsi="Arial" w:cs="Arial"/>
          <w:sz w:val="19"/>
          <w:szCs w:val="19"/>
        </w:rPr>
        <w:t xml:space="preserve"> </w:t>
      </w:r>
      <w:r w:rsidR="00023D89" w:rsidRPr="00F213E7">
        <w:rPr>
          <w:rFonts w:ascii="Arial" w:hAnsi="Arial" w:cs="Arial"/>
          <w:sz w:val="19"/>
          <w:szCs w:val="19"/>
          <w:lang w:val="es-ES"/>
        </w:rPr>
        <w:t xml:space="preserve">Debe recordarse que el artículo </w:t>
      </w:r>
      <w:r w:rsidR="00444ED8" w:rsidRPr="00F213E7">
        <w:rPr>
          <w:rFonts w:ascii="Arial" w:hAnsi="Arial" w:cs="Arial"/>
          <w:sz w:val="19"/>
          <w:szCs w:val="19"/>
          <w:lang w:val="es-ES"/>
        </w:rPr>
        <w:t xml:space="preserve">2.2.1.1.1.6.2. del Decreto 1082 de 2015 prevé lo siguiente: </w:t>
      </w:r>
      <w:proofErr w:type="gramStart"/>
      <w:r w:rsidR="00444ED8" w:rsidRPr="00F213E7">
        <w:rPr>
          <w:rFonts w:ascii="Arial" w:hAnsi="Arial" w:cs="Arial"/>
          <w:sz w:val="19"/>
          <w:szCs w:val="19"/>
          <w:lang w:val="es-ES"/>
        </w:rPr>
        <w:t>«</w:t>
      </w:r>
      <w:r w:rsidR="00444ED8" w:rsidRPr="00F213E7">
        <w:rPr>
          <w:rFonts w:ascii="Arial" w:hAnsi="Arial" w:cs="Arial"/>
          <w:sz w:val="19"/>
          <w:szCs w:val="19"/>
        </w:rPr>
        <w:t xml:space="preserve"> </w:t>
      </w:r>
      <w:r w:rsidR="00444ED8" w:rsidRPr="00F213E7">
        <w:rPr>
          <w:rFonts w:ascii="Arial" w:hAnsi="Arial" w:cs="Arial"/>
          <w:sz w:val="19"/>
          <w:szCs w:val="19"/>
          <w:lang w:val="es-ES"/>
        </w:rPr>
        <w:t>La</w:t>
      </w:r>
      <w:proofErr w:type="gramEnd"/>
      <w:r w:rsidR="00444ED8" w:rsidRPr="00F213E7">
        <w:rPr>
          <w:rFonts w:ascii="Arial" w:hAnsi="Arial" w:cs="Arial"/>
          <w:sz w:val="19"/>
          <w:szCs w:val="19"/>
          <w:lang w:val="es-ES"/>
        </w:rPr>
        <w:t xml:space="preserve">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9D72C82"/>
    <w:multiLevelType w:val="multilevel"/>
    <w:tmpl w:val="538C96BC"/>
    <w:lvl w:ilvl="0">
      <w:start w:val="1"/>
      <w:numFmt w:val="decimal"/>
      <w:lvlText w:val="%1."/>
      <w:lvlJc w:val="left"/>
      <w:pPr>
        <w:ind w:left="360" w:hanging="36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21"/>
  </w:num>
  <w:num w:numId="25">
    <w:abstractNumId w:val="1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C80"/>
    <w:rsid w:val="00001CD0"/>
    <w:rsid w:val="00001FFD"/>
    <w:rsid w:val="00002027"/>
    <w:rsid w:val="000020FE"/>
    <w:rsid w:val="00002173"/>
    <w:rsid w:val="000026F6"/>
    <w:rsid w:val="000028D0"/>
    <w:rsid w:val="000031A8"/>
    <w:rsid w:val="00003661"/>
    <w:rsid w:val="00003C5C"/>
    <w:rsid w:val="00003D39"/>
    <w:rsid w:val="000040D7"/>
    <w:rsid w:val="0000433A"/>
    <w:rsid w:val="00004556"/>
    <w:rsid w:val="00004AC3"/>
    <w:rsid w:val="000051AF"/>
    <w:rsid w:val="000059D3"/>
    <w:rsid w:val="00005B6D"/>
    <w:rsid w:val="0000600A"/>
    <w:rsid w:val="00006081"/>
    <w:rsid w:val="00007750"/>
    <w:rsid w:val="000077FD"/>
    <w:rsid w:val="00007E37"/>
    <w:rsid w:val="00010C40"/>
    <w:rsid w:val="000112B4"/>
    <w:rsid w:val="00011DCC"/>
    <w:rsid w:val="00011EBC"/>
    <w:rsid w:val="00012532"/>
    <w:rsid w:val="00012B9E"/>
    <w:rsid w:val="00012F37"/>
    <w:rsid w:val="00012FBA"/>
    <w:rsid w:val="00013875"/>
    <w:rsid w:val="00013C6B"/>
    <w:rsid w:val="00013F89"/>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89"/>
    <w:rsid w:val="00023DAE"/>
    <w:rsid w:val="00023FC9"/>
    <w:rsid w:val="00024896"/>
    <w:rsid w:val="00024B4B"/>
    <w:rsid w:val="000255FA"/>
    <w:rsid w:val="00025D0A"/>
    <w:rsid w:val="000263F0"/>
    <w:rsid w:val="00026407"/>
    <w:rsid w:val="00026608"/>
    <w:rsid w:val="0002702E"/>
    <w:rsid w:val="00027787"/>
    <w:rsid w:val="000278D2"/>
    <w:rsid w:val="000305F1"/>
    <w:rsid w:val="00030DFB"/>
    <w:rsid w:val="00031364"/>
    <w:rsid w:val="000315E1"/>
    <w:rsid w:val="00031DA1"/>
    <w:rsid w:val="0003236E"/>
    <w:rsid w:val="0003339A"/>
    <w:rsid w:val="000341F2"/>
    <w:rsid w:val="0003422E"/>
    <w:rsid w:val="00035046"/>
    <w:rsid w:val="000351F2"/>
    <w:rsid w:val="00035768"/>
    <w:rsid w:val="00035A1B"/>
    <w:rsid w:val="00036E03"/>
    <w:rsid w:val="000406DB"/>
    <w:rsid w:val="0004094D"/>
    <w:rsid w:val="00041029"/>
    <w:rsid w:val="00041357"/>
    <w:rsid w:val="0004149B"/>
    <w:rsid w:val="00041FC6"/>
    <w:rsid w:val="000422EA"/>
    <w:rsid w:val="00042961"/>
    <w:rsid w:val="00042C13"/>
    <w:rsid w:val="00042C25"/>
    <w:rsid w:val="00042D03"/>
    <w:rsid w:val="00043086"/>
    <w:rsid w:val="000430A0"/>
    <w:rsid w:val="00043D3B"/>
    <w:rsid w:val="0004418C"/>
    <w:rsid w:val="00044204"/>
    <w:rsid w:val="0004477A"/>
    <w:rsid w:val="0004487A"/>
    <w:rsid w:val="000449D4"/>
    <w:rsid w:val="000450D0"/>
    <w:rsid w:val="0004559A"/>
    <w:rsid w:val="00045D1A"/>
    <w:rsid w:val="0004600D"/>
    <w:rsid w:val="000463B5"/>
    <w:rsid w:val="00046717"/>
    <w:rsid w:val="00046A63"/>
    <w:rsid w:val="00046C09"/>
    <w:rsid w:val="00046C0A"/>
    <w:rsid w:val="0004716A"/>
    <w:rsid w:val="00047385"/>
    <w:rsid w:val="000473E8"/>
    <w:rsid w:val="000504DE"/>
    <w:rsid w:val="00050A89"/>
    <w:rsid w:val="00050D61"/>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5BB"/>
    <w:rsid w:val="00066D6D"/>
    <w:rsid w:val="00067064"/>
    <w:rsid w:val="00067AA8"/>
    <w:rsid w:val="00070475"/>
    <w:rsid w:val="00070AF1"/>
    <w:rsid w:val="000714DE"/>
    <w:rsid w:val="0007254F"/>
    <w:rsid w:val="0007357C"/>
    <w:rsid w:val="00073C30"/>
    <w:rsid w:val="00074305"/>
    <w:rsid w:val="000744D0"/>
    <w:rsid w:val="00074B2A"/>
    <w:rsid w:val="00074EEE"/>
    <w:rsid w:val="000753D5"/>
    <w:rsid w:val="00075B3E"/>
    <w:rsid w:val="00076456"/>
    <w:rsid w:val="00076817"/>
    <w:rsid w:val="0007686F"/>
    <w:rsid w:val="00076BD9"/>
    <w:rsid w:val="000771DA"/>
    <w:rsid w:val="0007779B"/>
    <w:rsid w:val="000777E7"/>
    <w:rsid w:val="0007790A"/>
    <w:rsid w:val="000779F2"/>
    <w:rsid w:val="0008017B"/>
    <w:rsid w:val="00080ACD"/>
    <w:rsid w:val="00080BF6"/>
    <w:rsid w:val="00080D30"/>
    <w:rsid w:val="000811ED"/>
    <w:rsid w:val="00081D6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5D95"/>
    <w:rsid w:val="0009617E"/>
    <w:rsid w:val="0009628D"/>
    <w:rsid w:val="0009670F"/>
    <w:rsid w:val="000970E4"/>
    <w:rsid w:val="000979CF"/>
    <w:rsid w:val="000A03C8"/>
    <w:rsid w:val="000A05F2"/>
    <w:rsid w:val="000A06C4"/>
    <w:rsid w:val="000A0861"/>
    <w:rsid w:val="000A0B6F"/>
    <w:rsid w:val="000A0EC4"/>
    <w:rsid w:val="000A0ED1"/>
    <w:rsid w:val="000A0FD2"/>
    <w:rsid w:val="000A12DB"/>
    <w:rsid w:val="000A137E"/>
    <w:rsid w:val="000A17C8"/>
    <w:rsid w:val="000A1B74"/>
    <w:rsid w:val="000A20D7"/>
    <w:rsid w:val="000A2128"/>
    <w:rsid w:val="000A362F"/>
    <w:rsid w:val="000A3B49"/>
    <w:rsid w:val="000A462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1B76"/>
    <w:rsid w:val="000B244D"/>
    <w:rsid w:val="000B2A1A"/>
    <w:rsid w:val="000B2B86"/>
    <w:rsid w:val="000B2CFF"/>
    <w:rsid w:val="000B3051"/>
    <w:rsid w:val="000B419B"/>
    <w:rsid w:val="000B45A6"/>
    <w:rsid w:val="000B4861"/>
    <w:rsid w:val="000B5781"/>
    <w:rsid w:val="000B578D"/>
    <w:rsid w:val="000B5CB1"/>
    <w:rsid w:val="000B5EE5"/>
    <w:rsid w:val="000B75F4"/>
    <w:rsid w:val="000C0185"/>
    <w:rsid w:val="000C0933"/>
    <w:rsid w:val="000C0F81"/>
    <w:rsid w:val="000C128D"/>
    <w:rsid w:val="000C1492"/>
    <w:rsid w:val="000C17A3"/>
    <w:rsid w:val="000C1D4B"/>
    <w:rsid w:val="000C1FA3"/>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BFB"/>
    <w:rsid w:val="000D1CEB"/>
    <w:rsid w:val="000D2322"/>
    <w:rsid w:val="000D2563"/>
    <w:rsid w:val="000D25BF"/>
    <w:rsid w:val="000D2FE4"/>
    <w:rsid w:val="000D3D00"/>
    <w:rsid w:val="000D3FDC"/>
    <w:rsid w:val="000D490B"/>
    <w:rsid w:val="000D4E38"/>
    <w:rsid w:val="000D50DB"/>
    <w:rsid w:val="000D5C7D"/>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16"/>
    <w:rsid w:val="000E4B94"/>
    <w:rsid w:val="000E4D50"/>
    <w:rsid w:val="000E5768"/>
    <w:rsid w:val="000E5843"/>
    <w:rsid w:val="000E6139"/>
    <w:rsid w:val="000E63B7"/>
    <w:rsid w:val="000E653C"/>
    <w:rsid w:val="000E6BE1"/>
    <w:rsid w:val="000E70DD"/>
    <w:rsid w:val="000E7E0B"/>
    <w:rsid w:val="000F0136"/>
    <w:rsid w:val="000F078A"/>
    <w:rsid w:val="000F122D"/>
    <w:rsid w:val="000F1450"/>
    <w:rsid w:val="000F14E8"/>
    <w:rsid w:val="000F1BBD"/>
    <w:rsid w:val="000F290F"/>
    <w:rsid w:val="000F3E4C"/>
    <w:rsid w:val="000F4403"/>
    <w:rsid w:val="000F480B"/>
    <w:rsid w:val="000F4E17"/>
    <w:rsid w:val="000F5615"/>
    <w:rsid w:val="000F6084"/>
    <w:rsid w:val="000F6578"/>
    <w:rsid w:val="000F6693"/>
    <w:rsid w:val="000F6F92"/>
    <w:rsid w:val="000F725D"/>
    <w:rsid w:val="000F7E8F"/>
    <w:rsid w:val="000F7FBB"/>
    <w:rsid w:val="001000FB"/>
    <w:rsid w:val="00100921"/>
    <w:rsid w:val="00100A9E"/>
    <w:rsid w:val="00100F6A"/>
    <w:rsid w:val="001010E9"/>
    <w:rsid w:val="00101638"/>
    <w:rsid w:val="00101EE8"/>
    <w:rsid w:val="00102605"/>
    <w:rsid w:val="00102686"/>
    <w:rsid w:val="00102745"/>
    <w:rsid w:val="00102CD8"/>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57"/>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6328"/>
    <w:rsid w:val="001163CF"/>
    <w:rsid w:val="00116EC5"/>
    <w:rsid w:val="001174C9"/>
    <w:rsid w:val="001177FE"/>
    <w:rsid w:val="00117E69"/>
    <w:rsid w:val="00121103"/>
    <w:rsid w:val="00121B78"/>
    <w:rsid w:val="00121BAB"/>
    <w:rsid w:val="00121E3C"/>
    <w:rsid w:val="00122B23"/>
    <w:rsid w:val="00122B7E"/>
    <w:rsid w:val="0012337E"/>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0AB8"/>
    <w:rsid w:val="00130B80"/>
    <w:rsid w:val="00131B5A"/>
    <w:rsid w:val="001327D1"/>
    <w:rsid w:val="001329BC"/>
    <w:rsid w:val="00132C30"/>
    <w:rsid w:val="00132E1B"/>
    <w:rsid w:val="00132EFD"/>
    <w:rsid w:val="00133AED"/>
    <w:rsid w:val="0013490B"/>
    <w:rsid w:val="00134BCD"/>
    <w:rsid w:val="00134E09"/>
    <w:rsid w:val="001350AB"/>
    <w:rsid w:val="00135140"/>
    <w:rsid w:val="00135DB9"/>
    <w:rsid w:val="00135E5D"/>
    <w:rsid w:val="0013695C"/>
    <w:rsid w:val="00136BF7"/>
    <w:rsid w:val="00136C78"/>
    <w:rsid w:val="0013756B"/>
    <w:rsid w:val="001378B9"/>
    <w:rsid w:val="00137FFA"/>
    <w:rsid w:val="00140109"/>
    <w:rsid w:val="0014029B"/>
    <w:rsid w:val="00140464"/>
    <w:rsid w:val="00140644"/>
    <w:rsid w:val="00140A4F"/>
    <w:rsid w:val="001413AB"/>
    <w:rsid w:val="00141DBF"/>
    <w:rsid w:val="00142EFD"/>
    <w:rsid w:val="00142F24"/>
    <w:rsid w:val="00144335"/>
    <w:rsid w:val="0014502F"/>
    <w:rsid w:val="00145282"/>
    <w:rsid w:val="001453B0"/>
    <w:rsid w:val="00145422"/>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1AD"/>
    <w:rsid w:val="0015448E"/>
    <w:rsid w:val="00154A6F"/>
    <w:rsid w:val="00154B68"/>
    <w:rsid w:val="00155BED"/>
    <w:rsid w:val="00155D08"/>
    <w:rsid w:val="0015623B"/>
    <w:rsid w:val="0015690C"/>
    <w:rsid w:val="00156BE5"/>
    <w:rsid w:val="00157232"/>
    <w:rsid w:val="00157B92"/>
    <w:rsid w:val="00160401"/>
    <w:rsid w:val="00160C01"/>
    <w:rsid w:val="00160D4E"/>
    <w:rsid w:val="00160E60"/>
    <w:rsid w:val="00161CF7"/>
    <w:rsid w:val="00161DDA"/>
    <w:rsid w:val="00161E62"/>
    <w:rsid w:val="00161F1C"/>
    <w:rsid w:val="0016200B"/>
    <w:rsid w:val="0016204B"/>
    <w:rsid w:val="001620B3"/>
    <w:rsid w:val="00162311"/>
    <w:rsid w:val="0016257E"/>
    <w:rsid w:val="0016322B"/>
    <w:rsid w:val="00163D7A"/>
    <w:rsid w:val="00163E11"/>
    <w:rsid w:val="00164281"/>
    <w:rsid w:val="00165703"/>
    <w:rsid w:val="00165E5C"/>
    <w:rsid w:val="00166204"/>
    <w:rsid w:val="00166797"/>
    <w:rsid w:val="0016685F"/>
    <w:rsid w:val="0016712F"/>
    <w:rsid w:val="001671BA"/>
    <w:rsid w:val="00167503"/>
    <w:rsid w:val="001676A9"/>
    <w:rsid w:val="00167A15"/>
    <w:rsid w:val="00167A50"/>
    <w:rsid w:val="00167D1A"/>
    <w:rsid w:val="00167DF5"/>
    <w:rsid w:val="00167FD3"/>
    <w:rsid w:val="00170001"/>
    <w:rsid w:val="00170D4D"/>
    <w:rsid w:val="00172198"/>
    <w:rsid w:val="00172612"/>
    <w:rsid w:val="00172817"/>
    <w:rsid w:val="001734E3"/>
    <w:rsid w:val="001742BF"/>
    <w:rsid w:val="001742E1"/>
    <w:rsid w:val="00175E49"/>
    <w:rsid w:val="00176188"/>
    <w:rsid w:val="0017649F"/>
    <w:rsid w:val="0017655B"/>
    <w:rsid w:val="00176D22"/>
    <w:rsid w:val="00177B82"/>
    <w:rsid w:val="00177EAA"/>
    <w:rsid w:val="001805C1"/>
    <w:rsid w:val="00180A2E"/>
    <w:rsid w:val="00180A6C"/>
    <w:rsid w:val="00181320"/>
    <w:rsid w:val="001813AF"/>
    <w:rsid w:val="001826C9"/>
    <w:rsid w:val="001829CD"/>
    <w:rsid w:val="00182F01"/>
    <w:rsid w:val="00184219"/>
    <w:rsid w:val="00184F27"/>
    <w:rsid w:val="0018519B"/>
    <w:rsid w:val="00185966"/>
    <w:rsid w:val="00185A2D"/>
    <w:rsid w:val="00185AFE"/>
    <w:rsid w:val="00185E78"/>
    <w:rsid w:val="00187177"/>
    <w:rsid w:val="00187593"/>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92"/>
    <w:rsid w:val="001962EC"/>
    <w:rsid w:val="001963DD"/>
    <w:rsid w:val="001965DB"/>
    <w:rsid w:val="00196D01"/>
    <w:rsid w:val="00196DC9"/>
    <w:rsid w:val="00196E95"/>
    <w:rsid w:val="00196F1D"/>
    <w:rsid w:val="00196F72"/>
    <w:rsid w:val="00196FDB"/>
    <w:rsid w:val="00197758"/>
    <w:rsid w:val="001A0236"/>
    <w:rsid w:val="001A04E2"/>
    <w:rsid w:val="001A0915"/>
    <w:rsid w:val="001A0AF8"/>
    <w:rsid w:val="001A0E1B"/>
    <w:rsid w:val="001A1490"/>
    <w:rsid w:val="001A1647"/>
    <w:rsid w:val="001A18D5"/>
    <w:rsid w:val="001A1A38"/>
    <w:rsid w:val="001A1BE0"/>
    <w:rsid w:val="001A1D4A"/>
    <w:rsid w:val="001A3011"/>
    <w:rsid w:val="001A3078"/>
    <w:rsid w:val="001A4A9B"/>
    <w:rsid w:val="001A4B32"/>
    <w:rsid w:val="001A4DAF"/>
    <w:rsid w:val="001A54CD"/>
    <w:rsid w:val="001A66DF"/>
    <w:rsid w:val="001A67D0"/>
    <w:rsid w:val="001A6863"/>
    <w:rsid w:val="001A70B0"/>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0B2"/>
    <w:rsid w:val="001B5530"/>
    <w:rsid w:val="001B5DAE"/>
    <w:rsid w:val="001B5EF8"/>
    <w:rsid w:val="001B6A42"/>
    <w:rsid w:val="001B6BD0"/>
    <w:rsid w:val="001B71E8"/>
    <w:rsid w:val="001B72C7"/>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16BE"/>
    <w:rsid w:val="001D2677"/>
    <w:rsid w:val="001D2EEE"/>
    <w:rsid w:val="001D30F3"/>
    <w:rsid w:val="001D31A0"/>
    <w:rsid w:val="001D338E"/>
    <w:rsid w:val="001D34C3"/>
    <w:rsid w:val="001D3767"/>
    <w:rsid w:val="001D4562"/>
    <w:rsid w:val="001D46A9"/>
    <w:rsid w:val="001D4874"/>
    <w:rsid w:val="001D56E9"/>
    <w:rsid w:val="001D59D9"/>
    <w:rsid w:val="001D6944"/>
    <w:rsid w:val="001D6CD2"/>
    <w:rsid w:val="001D796A"/>
    <w:rsid w:val="001D7A84"/>
    <w:rsid w:val="001D7C79"/>
    <w:rsid w:val="001E003B"/>
    <w:rsid w:val="001E0C89"/>
    <w:rsid w:val="001E1CC4"/>
    <w:rsid w:val="001E1D38"/>
    <w:rsid w:val="001E28A0"/>
    <w:rsid w:val="001E2F9D"/>
    <w:rsid w:val="001E302E"/>
    <w:rsid w:val="001E3FFE"/>
    <w:rsid w:val="001E4258"/>
    <w:rsid w:val="001E5140"/>
    <w:rsid w:val="001E55E6"/>
    <w:rsid w:val="001E5AB2"/>
    <w:rsid w:val="001E5D6A"/>
    <w:rsid w:val="001E6A94"/>
    <w:rsid w:val="001E6F83"/>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F1E"/>
    <w:rsid w:val="0020247D"/>
    <w:rsid w:val="00202761"/>
    <w:rsid w:val="0020299B"/>
    <w:rsid w:val="00202B2A"/>
    <w:rsid w:val="00202E44"/>
    <w:rsid w:val="002037AA"/>
    <w:rsid w:val="00203E6E"/>
    <w:rsid w:val="00203FE3"/>
    <w:rsid w:val="002041DD"/>
    <w:rsid w:val="002042D8"/>
    <w:rsid w:val="00204515"/>
    <w:rsid w:val="00204BF5"/>
    <w:rsid w:val="00204E6B"/>
    <w:rsid w:val="002053EF"/>
    <w:rsid w:val="002058D4"/>
    <w:rsid w:val="002060D6"/>
    <w:rsid w:val="0020632A"/>
    <w:rsid w:val="0020670A"/>
    <w:rsid w:val="0020697F"/>
    <w:rsid w:val="0020726E"/>
    <w:rsid w:val="00207389"/>
    <w:rsid w:val="002074C2"/>
    <w:rsid w:val="002110EB"/>
    <w:rsid w:val="00211338"/>
    <w:rsid w:val="00211388"/>
    <w:rsid w:val="0021148C"/>
    <w:rsid w:val="00211694"/>
    <w:rsid w:val="0021201A"/>
    <w:rsid w:val="00212545"/>
    <w:rsid w:val="00212AB7"/>
    <w:rsid w:val="002138FE"/>
    <w:rsid w:val="00213A1F"/>
    <w:rsid w:val="00213C63"/>
    <w:rsid w:val="00214502"/>
    <w:rsid w:val="00214741"/>
    <w:rsid w:val="00214938"/>
    <w:rsid w:val="0021539A"/>
    <w:rsid w:val="00215852"/>
    <w:rsid w:val="00215B01"/>
    <w:rsid w:val="00215B8E"/>
    <w:rsid w:val="00216264"/>
    <w:rsid w:val="002169A0"/>
    <w:rsid w:val="00217007"/>
    <w:rsid w:val="002176B6"/>
    <w:rsid w:val="0021792D"/>
    <w:rsid w:val="002179DE"/>
    <w:rsid w:val="00217DB8"/>
    <w:rsid w:val="002202CE"/>
    <w:rsid w:val="0022032A"/>
    <w:rsid w:val="0022194E"/>
    <w:rsid w:val="00221CDE"/>
    <w:rsid w:val="002220B1"/>
    <w:rsid w:val="002221CE"/>
    <w:rsid w:val="002227AF"/>
    <w:rsid w:val="002228DE"/>
    <w:rsid w:val="00222B1D"/>
    <w:rsid w:val="00222BE8"/>
    <w:rsid w:val="00222DF6"/>
    <w:rsid w:val="00223102"/>
    <w:rsid w:val="002232CB"/>
    <w:rsid w:val="00223781"/>
    <w:rsid w:val="00224022"/>
    <w:rsid w:val="0022501B"/>
    <w:rsid w:val="00226055"/>
    <w:rsid w:val="0022609C"/>
    <w:rsid w:val="0022613F"/>
    <w:rsid w:val="0022614F"/>
    <w:rsid w:val="00226236"/>
    <w:rsid w:val="002266AF"/>
    <w:rsid w:val="002270C9"/>
    <w:rsid w:val="00227A8B"/>
    <w:rsid w:val="002306BF"/>
    <w:rsid w:val="00230C83"/>
    <w:rsid w:val="002311F0"/>
    <w:rsid w:val="00231451"/>
    <w:rsid w:val="0023146B"/>
    <w:rsid w:val="002315A0"/>
    <w:rsid w:val="00231748"/>
    <w:rsid w:val="00231CBD"/>
    <w:rsid w:val="00231DCC"/>
    <w:rsid w:val="00231EC7"/>
    <w:rsid w:val="00232AF1"/>
    <w:rsid w:val="00232C7A"/>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77A"/>
    <w:rsid w:val="002379E2"/>
    <w:rsid w:val="00237D1D"/>
    <w:rsid w:val="0024019A"/>
    <w:rsid w:val="00240A1F"/>
    <w:rsid w:val="00240EC1"/>
    <w:rsid w:val="0024120F"/>
    <w:rsid w:val="0024131D"/>
    <w:rsid w:val="0024139F"/>
    <w:rsid w:val="002415B8"/>
    <w:rsid w:val="00241B82"/>
    <w:rsid w:val="0024296E"/>
    <w:rsid w:val="00242D5F"/>
    <w:rsid w:val="00242D62"/>
    <w:rsid w:val="002430D0"/>
    <w:rsid w:val="002431D7"/>
    <w:rsid w:val="00244058"/>
    <w:rsid w:val="00244421"/>
    <w:rsid w:val="0024561A"/>
    <w:rsid w:val="00245718"/>
    <w:rsid w:val="002457E9"/>
    <w:rsid w:val="00245B4D"/>
    <w:rsid w:val="00245E07"/>
    <w:rsid w:val="0024665E"/>
    <w:rsid w:val="00247712"/>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797"/>
    <w:rsid w:val="00257999"/>
    <w:rsid w:val="002604AA"/>
    <w:rsid w:val="00260724"/>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72E"/>
    <w:rsid w:val="0026480D"/>
    <w:rsid w:val="002653A6"/>
    <w:rsid w:val="002655EF"/>
    <w:rsid w:val="002661F1"/>
    <w:rsid w:val="00266316"/>
    <w:rsid w:val="00266DB6"/>
    <w:rsid w:val="002711A4"/>
    <w:rsid w:val="00271230"/>
    <w:rsid w:val="00271F13"/>
    <w:rsid w:val="00272945"/>
    <w:rsid w:val="00272AFB"/>
    <w:rsid w:val="00272E89"/>
    <w:rsid w:val="002739B2"/>
    <w:rsid w:val="00273A94"/>
    <w:rsid w:val="002742D0"/>
    <w:rsid w:val="0027482E"/>
    <w:rsid w:val="002748F1"/>
    <w:rsid w:val="00274DB5"/>
    <w:rsid w:val="00275AD0"/>
    <w:rsid w:val="00275BB1"/>
    <w:rsid w:val="00275CBF"/>
    <w:rsid w:val="00275F7A"/>
    <w:rsid w:val="00276230"/>
    <w:rsid w:val="002766F9"/>
    <w:rsid w:val="00276EF7"/>
    <w:rsid w:val="00277187"/>
    <w:rsid w:val="0027770B"/>
    <w:rsid w:val="00277933"/>
    <w:rsid w:val="00277EC1"/>
    <w:rsid w:val="00277F24"/>
    <w:rsid w:val="00277F8D"/>
    <w:rsid w:val="00277FA7"/>
    <w:rsid w:val="00280046"/>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2EE"/>
    <w:rsid w:val="00287436"/>
    <w:rsid w:val="00287505"/>
    <w:rsid w:val="00287BDB"/>
    <w:rsid w:val="00290781"/>
    <w:rsid w:val="00291784"/>
    <w:rsid w:val="002920DF"/>
    <w:rsid w:val="00292139"/>
    <w:rsid w:val="002928A3"/>
    <w:rsid w:val="002929BB"/>
    <w:rsid w:val="00292D8F"/>
    <w:rsid w:val="0029371B"/>
    <w:rsid w:val="00294368"/>
    <w:rsid w:val="00294B78"/>
    <w:rsid w:val="00295416"/>
    <w:rsid w:val="00295949"/>
    <w:rsid w:val="00295D7C"/>
    <w:rsid w:val="0029624A"/>
    <w:rsid w:val="00296859"/>
    <w:rsid w:val="00296922"/>
    <w:rsid w:val="00297098"/>
    <w:rsid w:val="0029745A"/>
    <w:rsid w:val="002A05D4"/>
    <w:rsid w:val="002A06DB"/>
    <w:rsid w:val="002A09FF"/>
    <w:rsid w:val="002A0E60"/>
    <w:rsid w:val="002A10CA"/>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3"/>
    <w:rsid w:val="002A6CB8"/>
    <w:rsid w:val="002A733D"/>
    <w:rsid w:val="002A7559"/>
    <w:rsid w:val="002A774A"/>
    <w:rsid w:val="002A7840"/>
    <w:rsid w:val="002A78F3"/>
    <w:rsid w:val="002A7D84"/>
    <w:rsid w:val="002A7E5C"/>
    <w:rsid w:val="002A7F6D"/>
    <w:rsid w:val="002B0182"/>
    <w:rsid w:val="002B05C5"/>
    <w:rsid w:val="002B0D83"/>
    <w:rsid w:val="002B1342"/>
    <w:rsid w:val="002B1F83"/>
    <w:rsid w:val="002B27C8"/>
    <w:rsid w:val="002B2A7F"/>
    <w:rsid w:val="002B330B"/>
    <w:rsid w:val="002B39BE"/>
    <w:rsid w:val="002B3A3B"/>
    <w:rsid w:val="002B3B6F"/>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1A9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A3"/>
    <w:rsid w:val="002D19BB"/>
    <w:rsid w:val="002D1A9B"/>
    <w:rsid w:val="002D1E04"/>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2E0"/>
    <w:rsid w:val="002D5A1B"/>
    <w:rsid w:val="002D6504"/>
    <w:rsid w:val="002D6558"/>
    <w:rsid w:val="002D65BC"/>
    <w:rsid w:val="002E055C"/>
    <w:rsid w:val="002E0C8A"/>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231"/>
    <w:rsid w:val="002E635A"/>
    <w:rsid w:val="002E6D68"/>
    <w:rsid w:val="002E7847"/>
    <w:rsid w:val="002F0073"/>
    <w:rsid w:val="002F0732"/>
    <w:rsid w:val="002F0AC0"/>
    <w:rsid w:val="002F1B27"/>
    <w:rsid w:val="002F1C67"/>
    <w:rsid w:val="002F240B"/>
    <w:rsid w:val="002F24DA"/>
    <w:rsid w:val="002F2F50"/>
    <w:rsid w:val="002F33EC"/>
    <w:rsid w:val="002F34E3"/>
    <w:rsid w:val="002F3601"/>
    <w:rsid w:val="002F40E2"/>
    <w:rsid w:val="002F45F6"/>
    <w:rsid w:val="002F5A6F"/>
    <w:rsid w:val="002F68A1"/>
    <w:rsid w:val="002F692F"/>
    <w:rsid w:val="002F7031"/>
    <w:rsid w:val="002F7961"/>
    <w:rsid w:val="002F7B66"/>
    <w:rsid w:val="00300B34"/>
    <w:rsid w:val="00300CB4"/>
    <w:rsid w:val="00300E24"/>
    <w:rsid w:val="0030257B"/>
    <w:rsid w:val="003033BA"/>
    <w:rsid w:val="00303866"/>
    <w:rsid w:val="00303C19"/>
    <w:rsid w:val="003043A3"/>
    <w:rsid w:val="0030462D"/>
    <w:rsid w:val="00304BD4"/>
    <w:rsid w:val="00304F54"/>
    <w:rsid w:val="0030500A"/>
    <w:rsid w:val="00305052"/>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05"/>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8AA"/>
    <w:rsid w:val="00320ADF"/>
    <w:rsid w:val="0032137B"/>
    <w:rsid w:val="00321A70"/>
    <w:rsid w:val="00321BD6"/>
    <w:rsid w:val="00321FA3"/>
    <w:rsid w:val="003227D3"/>
    <w:rsid w:val="00322805"/>
    <w:rsid w:val="003228C3"/>
    <w:rsid w:val="00322937"/>
    <w:rsid w:val="00322D42"/>
    <w:rsid w:val="00323881"/>
    <w:rsid w:val="00324885"/>
    <w:rsid w:val="003251A8"/>
    <w:rsid w:val="003254B1"/>
    <w:rsid w:val="00325AD9"/>
    <w:rsid w:val="00325D98"/>
    <w:rsid w:val="0032639A"/>
    <w:rsid w:val="0032682A"/>
    <w:rsid w:val="00327A5C"/>
    <w:rsid w:val="003305BD"/>
    <w:rsid w:val="0033092C"/>
    <w:rsid w:val="0033122A"/>
    <w:rsid w:val="003315AC"/>
    <w:rsid w:val="00331932"/>
    <w:rsid w:val="00331F74"/>
    <w:rsid w:val="00332382"/>
    <w:rsid w:val="00332386"/>
    <w:rsid w:val="00332453"/>
    <w:rsid w:val="0033251B"/>
    <w:rsid w:val="00333A88"/>
    <w:rsid w:val="00333FC6"/>
    <w:rsid w:val="00335AFD"/>
    <w:rsid w:val="00335B15"/>
    <w:rsid w:val="00335B21"/>
    <w:rsid w:val="00335D3F"/>
    <w:rsid w:val="00336104"/>
    <w:rsid w:val="00336729"/>
    <w:rsid w:val="00336CD9"/>
    <w:rsid w:val="0033726D"/>
    <w:rsid w:val="00337CA8"/>
    <w:rsid w:val="00340D3F"/>
    <w:rsid w:val="003412F9"/>
    <w:rsid w:val="0034174B"/>
    <w:rsid w:val="0034177C"/>
    <w:rsid w:val="003420E9"/>
    <w:rsid w:val="00342345"/>
    <w:rsid w:val="00342C27"/>
    <w:rsid w:val="003430C8"/>
    <w:rsid w:val="003432C8"/>
    <w:rsid w:val="003434B3"/>
    <w:rsid w:val="00343536"/>
    <w:rsid w:val="00343EFB"/>
    <w:rsid w:val="0034408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44E7"/>
    <w:rsid w:val="00354E3B"/>
    <w:rsid w:val="00355131"/>
    <w:rsid w:val="00355F74"/>
    <w:rsid w:val="003560DB"/>
    <w:rsid w:val="003564BA"/>
    <w:rsid w:val="003564DB"/>
    <w:rsid w:val="00356F87"/>
    <w:rsid w:val="00357C44"/>
    <w:rsid w:val="00357E83"/>
    <w:rsid w:val="0036086B"/>
    <w:rsid w:val="00360CF3"/>
    <w:rsid w:val="00361A59"/>
    <w:rsid w:val="00363348"/>
    <w:rsid w:val="003634D4"/>
    <w:rsid w:val="00363857"/>
    <w:rsid w:val="00363D59"/>
    <w:rsid w:val="00363F08"/>
    <w:rsid w:val="003640F7"/>
    <w:rsid w:val="003642CD"/>
    <w:rsid w:val="003658F2"/>
    <w:rsid w:val="0036594A"/>
    <w:rsid w:val="00365D3A"/>
    <w:rsid w:val="003664FF"/>
    <w:rsid w:val="00366BD2"/>
    <w:rsid w:val="003670B8"/>
    <w:rsid w:val="003704A3"/>
    <w:rsid w:val="003706F2"/>
    <w:rsid w:val="003709E8"/>
    <w:rsid w:val="0037124F"/>
    <w:rsid w:val="00373827"/>
    <w:rsid w:val="00373B6E"/>
    <w:rsid w:val="0037401C"/>
    <w:rsid w:val="0037507B"/>
    <w:rsid w:val="00375C7C"/>
    <w:rsid w:val="00377027"/>
    <w:rsid w:val="00377135"/>
    <w:rsid w:val="00377EAC"/>
    <w:rsid w:val="00380272"/>
    <w:rsid w:val="003805DB"/>
    <w:rsid w:val="00380B96"/>
    <w:rsid w:val="00380C7F"/>
    <w:rsid w:val="0038152A"/>
    <w:rsid w:val="0038245D"/>
    <w:rsid w:val="00382BAD"/>
    <w:rsid w:val="00382D93"/>
    <w:rsid w:val="003835FD"/>
    <w:rsid w:val="00383EDF"/>
    <w:rsid w:val="00384C5E"/>
    <w:rsid w:val="00384DF1"/>
    <w:rsid w:val="00384FF3"/>
    <w:rsid w:val="00385AA2"/>
    <w:rsid w:val="00386456"/>
    <w:rsid w:val="003865A9"/>
    <w:rsid w:val="003872D3"/>
    <w:rsid w:val="0039092B"/>
    <w:rsid w:val="00390BD9"/>
    <w:rsid w:val="00390C0B"/>
    <w:rsid w:val="00390F32"/>
    <w:rsid w:val="0039135E"/>
    <w:rsid w:val="0039285D"/>
    <w:rsid w:val="0039319C"/>
    <w:rsid w:val="00393577"/>
    <w:rsid w:val="00393CAE"/>
    <w:rsid w:val="00393FEC"/>
    <w:rsid w:val="003941C8"/>
    <w:rsid w:val="003945F4"/>
    <w:rsid w:val="00394EB5"/>
    <w:rsid w:val="003953B4"/>
    <w:rsid w:val="0039615F"/>
    <w:rsid w:val="003966A0"/>
    <w:rsid w:val="00396A29"/>
    <w:rsid w:val="00397FF0"/>
    <w:rsid w:val="003A0878"/>
    <w:rsid w:val="003A148D"/>
    <w:rsid w:val="003A1561"/>
    <w:rsid w:val="003A1A73"/>
    <w:rsid w:val="003A1D25"/>
    <w:rsid w:val="003A22A2"/>
    <w:rsid w:val="003A2447"/>
    <w:rsid w:val="003A29C5"/>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66A3"/>
    <w:rsid w:val="003A72F5"/>
    <w:rsid w:val="003A74E7"/>
    <w:rsid w:val="003A78E5"/>
    <w:rsid w:val="003B0341"/>
    <w:rsid w:val="003B15F3"/>
    <w:rsid w:val="003B1961"/>
    <w:rsid w:val="003B1E57"/>
    <w:rsid w:val="003B1E5C"/>
    <w:rsid w:val="003B242E"/>
    <w:rsid w:val="003B2EF3"/>
    <w:rsid w:val="003B3267"/>
    <w:rsid w:val="003B48C4"/>
    <w:rsid w:val="003B4ADC"/>
    <w:rsid w:val="003B534F"/>
    <w:rsid w:val="003B5391"/>
    <w:rsid w:val="003B58CE"/>
    <w:rsid w:val="003B6273"/>
    <w:rsid w:val="003B65D7"/>
    <w:rsid w:val="003B65E0"/>
    <w:rsid w:val="003B6BD4"/>
    <w:rsid w:val="003B6F4D"/>
    <w:rsid w:val="003B6FE7"/>
    <w:rsid w:val="003B74E8"/>
    <w:rsid w:val="003C0491"/>
    <w:rsid w:val="003C0C0F"/>
    <w:rsid w:val="003C0D1F"/>
    <w:rsid w:val="003C116A"/>
    <w:rsid w:val="003C1AF4"/>
    <w:rsid w:val="003C1CB8"/>
    <w:rsid w:val="003C22DA"/>
    <w:rsid w:val="003C2550"/>
    <w:rsid w:val="003C287F"/>
    <w:rsid w:val="003C2B2B"/>
    <w:rsid w:val="003C3339"/>
    <w:rsid w:val="003C375A"/>
    <w:rsid w:val="003C41B4"/>
    <w:rsid w:val="003C4317"/>
    <w:rsid w:val="003C4D9F"/>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266D"/>
    <w:rsid w:val="003D2BFF"/>
    <w:rsid w:val="003D370F"/>
    <w:rsid w:val="003D3B15"/>
    <w:rsid w:val="003D3B2E"/>
    <w:rsid w:val="003D3B55"/>
    <w:rsid w:val="003D3F28"/>
    <w:rsid w:val="003D4101"/>
    <w:rsid w:val="003D484D"/>
    <w:rsid w:val="003D49CB"/>
    <w:rsid w:val="003D4EB7"/>
    <w:rsid w:val="003D5F10"/>
    <w:rsid w:val="003D6B8F"/>
    <w:rsid w:val="003D7566"/>
    <w:rsid w:val="003E0224"/>
    <w:rsid w:val="003E09BB"/>
    <w:rsid w:val="003E13D2"/>
    <w:rsid w:val="003E159D"/>
    <w:rsid w:val="003E1E64"/>
    <w:rsid w:val="003E20EA"/>
    <w:rsid w:val="003E210C"/>
    <w:rsid w:val="003E2294"/>
    <w:rsid w:val="003E2F16"/>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2D"/>
    <w:rsid w:val="003E78DA"/>
    <w:rsid w:val="003E7A8B"/>
    <w:rsid w:val="003F060E"/>
    <w:rsid w:val="003F0F7F"/>
    <w:rsid w:val="003F115C"/>
    <w:rsid w:val="003F153A"/>
    <w:rsid w:val="003F300D"/>
    <w:rsid w:val="003F391F"/>
    <w:rsid w:val="003F4599"/>
    <w:rsid w:val="003F45E1"/>
    <w:rsid w:val="003F4978"/>
    <w:rsid w:val="003F4F6C"/>
    <w:rsid w:val="003F559E"/>
    <w:rsid w:val="003F6181"/>
    <w:rsid w:val="003F6BFC"/>
    <w:rsid w:val="003F7343"/>
    <w:rsid w:val="00400002"/>
    <w:rsid w:val="00400054"/>
    <w:rsid w:val="00400DC1"/>
    <w:rsid w:val="00400DD2"/>
    <w:rsid w:val="004016A3"/>
    <w:rsid w:val="00401B31"/>
    <w:rsid w:val="0040202B"/>
    <w:rsid w:val="0040219D"/>
    <w:rsid w:val="00402B33"/>
    <w:rsid w:val="00402DE1"/>
    <w:rsid w:val="00402E14"/>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259F"/>
    <w:rsid w:val="00412A92"/>
    <w:rsid w:val="00412B1B"/>
    <w:rsid w:val="00412B4D"/>
    <w:rsid w:val="00412C51"/>
    <w:rsid w:val="00413262"/>
    <w:rsid w:val="0041329C"/>
    <w:rsid w:val="004132AF"/>
    <w:rsid w:val="004139F4"/>
    <w:rsid w:val="00413FFA"/>
    <w:rsid w:val="00414246"/>
    <w:rsid w:val="00414549"/>
    <w:rsid w:val="0041463D"/>
    <w:rsid w:val="00414D9A"/>
    <w:rsid w:val="00415194"/>
    <w:rsid w:val="00415816"/>
    <w:rsid w:val="00415B88"/>
    <w:rsid w:val="00415D32"/>
    <w:rsid w:val="00415E6A"/>
    <w:rsid w:val="004160A2"/>
    <w:rsid w:val="0041674B"/>
    <w:rsid w:val="004170D7"/>
    <w:rsid w:val="004177A6"/>
    <w:rsid w:val="00417C00"/>
    <w:rsid w:val="00417C23"/>
    <w:rsid w:val="00417DCA"/>
    <w:rsid w:val="00417EFD"/>
    <w:rsid w:val="004200EE"/>
    <w:rsid w:val="00420314"/>
    <w:rsid w:val="00420786"/>
    <w:rsid w:val="004209D2"/>
    <w:rsid w:val="00420BBA"/>
    <w:rsid w:val="00420D6E"/>
    <w:rsid w:val="00420E11"/>
    <w:rsid w:val="00420F50"/>
    <w:rsid w:val="004212CC"/>
    <w:rsid w:val="0042158C"/>
    <w:rsid w:val="00421617"/>
    <w:rsid w:val="004217A7"/>
    <w:rsid w:val="00421AEB"/>
    <w:rsid w:val="00421BD2"/>
    <w:rsid w:val="00421E00"/>
    <w:rsid w:val="00421FCB"/>
    <w:rsid w:val="004220A5"/>
    <w:rsid w:val="004220E2"/>
    <w:rsid w:val="00422DCA"/>
    <w:rsid w:val="00423D04"/>
    <w:rsid w:val="00423F9F"/>
    <w:rsid w:val="00424C5B"/>
    <w:rsid w:val="00425578"/>
    <w:rsid w:val="00425C43"/>
    <w:rsid w:val="004273B9"/>
    <w:rsid w:val="004273FA"/>
    <w:rsid w:val="004275A7"/>
    <w:rsid w:val="00427BDA"/>
    <w:rsid w:val="00430186"/>
    <w:rsid w:val="00430F17"/>
    <w:rsid w:val="00431CC7"/>
    <w:rsid w:val="0043260C"/>
    <w:rsid w:val="0043269A"/>
    <w:rsid w:val="00432E92"/>
    <w:rsid w:val="004333C2"/>
    <w:rsid w:val="00433B83"/>
    <w:rsid w:val="00434787"/>
    <w:rsid w:val="00434C13"/>
    <w:rsid w:val="00434D8B"/>
    <w:rsid w:val="00435294"/>
    <w:rsid w:val="00435530"/>
    <w:rsid w:val="004356CF"/>
    <w:rsid w:val="00435703"/>
    <w:rsid w:val="00435BD5"/>
    <w:rsid w:val="00435C7F"/>
    <w:rsid w:val="00435CDE"/>
    <w:rsid w:val="00436323"/>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4ED8"/>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CF2"/>
    <w:rsid w:val="00454DF8"/>
    <w:rsid w:val="00455004"/>
    <w:rsid w:val="00455047"/>
    <w:rsid w:val="00455354"/>
    <w:rsid w:val="0045558D"/>
    <w:rsid w:val="00455BD3"/>
    <w:rsid w:val="004560FE"/>
    <w:rsid w:val="004565C6"/>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121"/>
    <w:rsid w:val="004647F8"/>
    <w:rsid w:val="004647FB"/>
    <w:rsid w:val="00465347"/>
    <w:rsid w:val="00465677"/>
    <w:rsid w:val="00466616"/>
    <w:rsid w:val="00466A0C"/>
    <w:rsid w:val="00466A53"/>
    <w:rsid w:val="00467539"/>
    <w:rsid w:val="00467EE3"/>
    <w:rsid w:val="0047088F"/>
    <w:rsid w:val="00470A6A"/>
    <w:rsid w:val="00470C12"/>
    <w:rsid w:val="00470D73"/>
    <w:rsid w:val="00470D92"/>
    <w:rsid w:val="00471DF7"/>
    <w:rsid w:val="00471E7D"/>
    <w:rsid w:val="00472333"/>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55D"/>
    <w:rsid w:val="00481912"/>
    <w:rsid w:val="00481AC4"/>
    <w:rsid w:val="00481DC1"/>
    <w:rsid w:val="00482194"/>
    <w:rsid w:val="00482507"/>
    <w:rsid w:val="0048268A"/>
    <w:rsid w:val="004826AE"/>
    <w:rsid w:val="00482A64"/>
    <w:rsid w:val="004835CA"/>
    <w:rsid w:val="004836D7"/>
    <w:rsid w:val="004836F8"/>
    <w:rsid w:val="004836FE"/>
    <w:rsid w:val="0048402A"/>
    <w:rsid w:val="00484A39"/>
    <w:rsid w:val="00484F0F"/>
    <w:rsid w:val="00484F40"/>
    <w:rsid w:val="0048540C"/>
    <w:rsid w:val="00485A9E"/>
    <w:rsid w:val="004861B4"/>
    <w:rsid w:val="00486226"/>
    <w:rsid w:val="004867EB"/>
    <w:rsid w:val="00486BD0"/>
    <w:rsid w:val="00486D00"/>
    <w:rsid w:val="00486FF7"/>
    <w:rsid w:val="00487263"/>
    <w:rsid w:val="0048734F"/>
    <w:rsid w:val="0048757F"/>
    <w:rsid w:val="0049029D"/>
    <w:rsid w:val="0049030C"/>
    <w:rsid w:val="004903C0"/>
    <w:rsid w:val="0049114B"/>
    <w:rsid w:val="004912A8"/>
    <w:rsid w:val="00491479"/>
    <w:rsid w:val="00491577"/>
    <w:rsid w:val="004918E1"/>
    <w:rsid w:val="0049196A"/>
    <w:rsid w:val="0049196E"/>
    <w:rsid w:val="004923DB"/>
    <w:rsid w:val="0049241A"/>
    <w:rsid w:val="00492844"/>
    <w:rsid w:val="00492C1F"/>
    <w:rsid w:val="00492E4C"/>
    <w:rsid w:val="00493664"/>
    <w:rsid w:val="004938FD"/>
    <w:rsid w:val="00493E04"/>
    <w:rsid w:val="004940E3"/>
    <w:rsid w:val="0049530F"/>
    <w:rsid w:val="004958F6"/>
    <w:rsid w:val="00496664"/>
    <w:rsid w:val="00496786"/>
    <w:rsid w:val="0049695B"/>
    <w:rsid w:val="00496D8F"/>
    <w:rsid w:val="00497463"/>
    <w:rsid w:val="004A054C"/>
    <w:rsid w:val="004A08D1"/>
    <w:rsid w:val="004A0F88"/>
    <w:rsid w:val="004A16C1"/>
    <w:rsid w:val="004A1CE2"/>
    <w:rsid w:val="004A34D2"/>
    <w:rsid w:val="004A3EEA"/>
    <w:rsid w:val="004A4301"/>
    <w:rsid w:val="004A4D93"/>
    <w:rsid w:val="004A5094"/>
    <w:rsid w:val="004A546E"/>
    <w:rsid w:val="004A58EE"/>
    <w:rsid w:val="004A59B7"/>
    <w:rsid w:val="004A6051"/>
    <w:rsid w:val="004A623B"/>
    <w:rsid w:val="004A62D6"/>
    <w:rsid w:val="004A6A04"/>
    <w:rsid w:val="004A6A52"/>
    <w:rsid w:val="004A7A16"/>
    <w:rsid w:val="004A7CC5"/>
    <w:rsid w:val="004B07BC"/>
    <w:rsid w:val="004B09B0"/>
    <w:rsid w:val="004B0A44"/>
    <w:rsid w:val="004B0F0B"/>
    <w:rsid w:val="004B205A"/>
    <w:rsid w:val="004B2197"/>
    <w:rsid w:val="004B298A"/>
    <w:rsid w:val="004B2BB8"/>
    <w:rsid w:val="004B40E4"/>
    <w:rsid w:val="004B448D"/>
    <w:rsid w:val="004B50CB"/>
    <w:rsid w:val="004B578D"/>
    <w:rsid w:val="004B5BE7"/>
    <w:rsid w:val="004B5E2D"/>
    <w:rsid w:val="004B6C07"/>
    <w:rsid w:val="004B74D3"/>
    <w:rsid w:val="004B755E"/>
    <w:rsid w:val="004B788E"/>
    <w:rsid w:val="004B7E5D"/>
    <w:rsid w:val="004C1198"/>
    <w:rsid w:val="004C22F7"/>
    <w:rsid w:val="004C278C"/>
    <w:rsid w:val="004C2B27"/>
    <w:rsid w:val="004C3929"/>
    <w:rsid w:val="004C4160"/>
    <w:rsid w:val="004C4772"/>
    <w:rsid w:val="004C496D"/>
    <w:rsid w:val="004C4BEE"/>
    <w:rsid w:val="004C5160"/>
    <w:rsid w:val="004C5212"/>
    <w:rsid w:val="004C5EF0"/>
    <w:rsid w:val="004C64C9"/>
    <w:rsid w:val="004C7226"/>
    <w:rsid w:val="004C74C9"/>
    <w:rsid w:val="004C7915"/>
    <w:rsid w:val="004C7D70"/>
    <w:rsid w:val="004D02F9"/>
    <w:rsid w:val="004D03FE"/>
    <w:rsid w:val="004D0446"/>
    <w:rsid w:val="004D06A3"/>
    <w:rsid w:val="004D0953"/>
    <w:rsid w:val="004D0F95"/>
    <w:rsid w:val="004D106A"/>
    <w:rsid w:val="004D1162"/>
    <w:rsid w:val="004D1208"/>
    <w:rsid w:val="004D1C7E"/>
    <w:rsid w:val="004D245A"/>
    <w:rsid w:val="004D31EE"/>
    <w:rsid w:val="004D3574"/>
    <w:rsid w:val="004D36AF"/>
    <w:rsid w:val="004D3BD1"/>
    <w:rsid w:val="004D4BA1"/>
    <w:rsid w:val="004D584D"/>
    <w:rsid w:val="004D5A7E"/>
    <w:rsid w:val="004D6120"/>
    <w:rsid w:val="004D6826"/>
    <w:rsid w:val="004D6F1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4B3D"/>
    <w:rsid w:val="004E5736"/>
    <w:rsid w:val="004E5A3C"/>
    <w:rsid w:val="004E5B36"/>
    <w:rsid w:val="004E5D5D"/>
    <w:rsid w:val="004E6045"/>
    <w:rsid w:val="004E60CD"/>
    <w:rsid w:val="004E6620"/>
    <w:rsid w:val="004E67D0"/>
    <w:rsid w:val="004E6F43"/>
    <w:rsid w:val="004E7200"/>
    <w:rsid w:val="004E787E"/>
    <w:rsid w:val="004E7AA1"/>
    <w:rsid w:val="004F0805"/>
    <w:rsid w:val="004F0960"/>
    <w:rsid w:val="004F0A5C"/>
    <w:rsid w:val="004F1596"/>
    <w:rsid w:val="004F163F"/>
    <w:rsid w:val="004F1711"/>
    <w:rsid w:val="004F18A0"/>
    <w:rsid w:val="004F1A08"/>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4E5"/>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CFA"/>
    <w:rsid w:val="00510DE9"/>
    <w:rsid w:val="0051102C"/>
    <w:rsid w:val="005111E2"/>
    <w:rsid w:val="00511231"/>
    <w:rsid w:val="00511741"/>
    <w:rsid w:val="00511916"/>
    <w:rsid w:val="0051255B"/>
    <w:rsid w:val="00512C4F"/>
    <w:rsid w:val="00513042"/>
    <w:rsid w:val="0051334F"/>
    <w:rsid w:val="00513399"/>
    <w:rsid w:val="00513AF2"/>
    <w:rsid w:val="00514575"/>
    <w:rsid w:val="00514C03"/>
    <w:rsid w:val="00514D67"/>
    <w:rsid w:val="0051522A"/>
    <w:rsid w:val="00515515"/>
    <w:rsid w:val="005155E3"/>
    <w:rsid w:val="00515625"/>
    <w:rsid w:val="00515D66"/>
    <w:rsid w:val="0051635C"/>
    <w:rsid w:val="00516C5B"/>
    <w:rsid w:val="00516DB7"/>
    <w:rsid w:val="005172DA"/>
    <w:rsid w:val="00517612"/>
    <w:rsid w:val="005178FD"/>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959"/>
    <w:rsid w:val="00522E0D"/>
    <w:rsid w:val="0052311A"/>
    <w:rsid w:val="0052370B"/>
    <w:rsid w:val="00523903"/>
    <w:rsid w:val="005239B6"/>
    <w:rsid w:val="00523C45"/>
    <w:rsid w:val="00523F41"/>
    <w:rsid w:val="00524165"/>
    <w:rsid w:val="005244FC"/>
    <w:rsid w:val="005244FF"/>
    <w:rsid w:val="005246E7"/>
    <w:rsid w:val="00524B08"/>
    <w:rsid w:val="00524C38"/>
    <w:rsid w:val="00524FD2"/>
    <w:rsid w:val="00525621"/>
    <w:rsid w:val="00526181"/>
    <w:rsid w:val="00526431"/>
    <w:rsid w:val="00526E48"/>
    <w:rsid w:val="00527532"/>
    <w:rsid w:val="00527DEB"/>
    <w:rsid w:val="00527E57"/>
    <w:rsid w:val="00527F2C"/>
    <w:rsid w:val="00530405"/>
    <w:rsid w:val="00530458"/>
    <w:rsid w:val="00530522"/>
    <w:rsid w:val="005305E5"/>
    <w:rsid w:val="0053086F"/>
    <w:rsid w:val="00530CBA"/>
    <w:rsid w:val="00530F38"/>
    <w:rsid w:val="00531C1B"/>
    <w:rsid w:val="00531F26"/>
    <w:rsid w:val="00532501"/>
    <w:rsid w:val="0053277C"/>
    <w:rsid w:val="005327C0"/>
    <w:rsid w:val="00532863"/>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420"/>
    <w:rsid w:val="005374BD"/>
    <w:rsid w:val="0053753F"/>
    <w:rsid w:val="00537672"/>
    <w:rsid w:val="005376B5"/>
    <w:rsid w:val="0053772F"/>
    <w:rsid w:val="00537A70"/>
    <w:rsid w:val="00537B64"/>
    <w:rsid w:val="00537B7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3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984"/>
    <w:rsid w:val="00557A3F"/>
    <w:rsid w:val="0056017C"/>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403"/>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276"/>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5F87"/>
    <w:rsid w:val="00586412"/>
    <w:rsid w:val="005864B9"/>
    <w:rsid w:val="00586564"/>
    <w:rsid w:val="005866C4"/>
    <w:rsid w:val="005872A0"/>
    <w:rsid w:val="00590381"/>
    <w:rsid w:val="00590F1A"/>
    <w:rsid w:val="00591C03"/>
    <w:rsid w:val="00591E2A"/>
    <w:rsid w:val="005923C4"/>
    <w:rsid w:val="0059397D"/>
    <w:rsid w:val="00593EA2"/>
    <w:rsid w:val="00593F75"/>
    <w:rsid w:val="005940A0"/>
    <w:rsid w:val="0059429A"/>
    <w:rsid w:val="00594CBE"/>
    <w:rsid w:val="00596AF7"/>
    <w:rsid w:val="00596CCE"/>
    <w:rsid w:val="005A0AE0"/>
    <w:rsid w:val="005A16F3"/>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53D"/>
    <w:rsid w:val="005A5608"/>
    <w:rsid w:val="005A5A3D"/>
    <w:rsid w:val="005A6035"/>
    <w:rsid w:val="005A6B75"/>
    <w:rsid w:val="005A6E00"/>
    <w:rsid w:val="005A718A"/>
    <w:rsid w:val="005A72DD"/>
    <w:rsid w:val="005A771F"/>
    <w:rsid w:val="005A7885"/>
    <w:rsid w:val="005B0293"/>
    <w:rsid w:val="005B12B2"/>
    <w:rsid w:val="005B143B"/>
    <w:rsid w:val="005B19BD"/>
    <w:rsid w:val="005B1E45"/>
    <w:rsid w:val="005B21C4"/>
    <w:rsid w:val="005B2A28"/>
    <w:rsid w:val="005B35AB"/>
    <w:rsid w:val="005B3621"/>
    <w:rsid w:val="005B3EBE"/>
    <w:rsid w:val="005B4948"/>
    <w:rsid w:val="005B501D"/>
    <w:rsid w:val="005B54CC"/>
    <w:rsid w:val="005B6F69"/>
    <w:rsid w:val="005B71BB"/>
    <w:rsid w:val="005B74AD"/>
    <w:rsid w:val="005B7B4B"/>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7A5"/>
    <w:rsid w:val="005C7E45"/>
    <w:rsid w:val="005C7F3E"/>
    <w:rsid w:val="005D06D3"/>
    <w:rsid w:val="005D0C3B"/>
    <w:rsid w:val="005D0E44"/>
    <w:rsid w:val="005D103E"/>
    <w:rsid w:val="005D105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29E9"/>
    <w:rsid w:val="005E3278"/>
    <w:rsid w:val="005E363B"/>
    <w:rsid w:val="005E3736"/>
    <w:rsid w:val="005E3D4B"/>
    <w:rsid w:val="005E4B72"/>
    <w:rsid w:val="005E5022"/>
    <w:rsid w:val="005E52C9"/>
    <w:rsid w:val="005E781C"/>
    <w:rsid w:val="005F2856"/>
    <w:rsid w:val="005F2D8B"/>
    <w:rsid w:val="005F305B"/>
    <w:rsid w:val="005F3361"/>
    <w:rsid w:val="005F34DD"/>
    <w:rsid w:val="005F361A"/>
    <w:rsid w:val="005F3B47"/>
    <w:rsid w:val="005F40A5"/>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2F7"/>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57A9"/>
    <w:rsid w:val="0061591D"/>
    <w:rsid w:val="00615ED0"/>
    <w:rsid w:val="0061604C"/>
    <w:rsid w:val="00616178"/>
    <w:rsid w:val="00616C2B"/>
    <w:rsid w:val="00616D7F"/>
    <w:rsid w:val="006178D1"/>
    <w:rsid w:val="00617D72"/>
    <w:rsid w:val="00620719"/>
    <w:rsid w:val="006212C9"/>
    <w:rsid w:val="0062131B"/>
    <w:rsid w:val="00621D0C"/>
    <w:rsid w:val="00622185"/>
    <w:rsid w:val="00622229"/>
    <w:rsid w:val="00622470"/>
    <w:rsid w:val="00622725"/>
    <w:rsid w:val="00622785"/>
    <w:rsid w:val="0062286A"/>
    <w:rsid w:val="00622B63"/>
    <w:rsid w:val="006231AA"/>
    <w:rsid w:val="00623482"/>
    <w:rsid w:val="00623AC2"/>
    <w:rsid w:val="00623EBC"/>
    <w:rsid w:val="006246F0"/>
    <w:rsid w:val="0062475D"/>
    <w:rsid w:val="00624CA8"/>
    <w:rsid w:val="00625642"/>
    <w:rsid w:val="00625BF7"/>
    <w:rsid w:val="00625D98"/>
    <w:rsid w:val="00625DF2"/>
    <w:rsid w:val="006266D7"/>
    <w:rsid w:val="00626A11"/>
    <w:rsid w:val="00626C2B"/>
    <w:rsid w:val="00626D42"/>
    <w:rsid w:val="00626EE3"/>
    <w:rsid w:val="006274AD"/>
    <w:rsid w:val="00627519"/>
    <w:rsid w:val="00627532"/>
    <w:rsid w:val="006302AA"/>
    <w:rsid w:val="006310C3"/>
    <w:rsid w:val="00631390"/>
    <w:rsid w:val="0063161E"/>
    <w:rsid w:val="00631BB5"/>
    <w:rsid w:val="00631DD0"/>
    <w:rsid w:val="00632A06"/>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1973"/>
    <w:rsid w:val="00642126"/>
    <w:rsid w:val="00642A32"/>
    <w:rsid w:val="00642B8E"/>
    <w:rsid w:val="00642F7C"/>
    <w:rsid w:val="006433D5"/>
    <w:rsid w:val="00643412"/>
    <w:rsid w:val="0064458B"/>
    <w:rsid w:val="00645844"/>
    <w:rsid w:val="00645CEB"/>
    <w:rsid w:val="00645E1C"/>
    <w:rsid w:val="00645E63"/>
    <w:rsid w:val="006466F2"/>
    <w:rsid w:val="0064676B"/>
    <w:rsid w:val="00646B20"/>
    <w:rsid w:val="00646D0F"/>
    <w:rsid w:val="00647A36"/>
    <w:rsid w:val="00647DCC"/>
    <w:rsid w:val="00647E8E"/>
    <w:rsid w:val="00647EFA"/>
    <w:rsid w:val="00647F14"/>
    <w:rsid w:val="00647FB1"/>
    <w:rsid w:val="00650027"/>
    <w:rsid w:val="0065040E"/>
    <w:rsid w:val="00650E89"/>
    <w:rsid w:val="006516E6"/>
    <w:rsid w:val="00651B9C"/>
    <w:rsid w:val="00651C47"/>
    <w:rsid w:val="006525BD"/>
    <w:rsid w:val="00652E70"/>
    <w:rsid w:val="00652F4D"/>
    <w:rsid w:val="0065339A"/>
    <w:rsid w:val="00653469"/>
    <w:rsid w:val="0065443A"/>
    <w:rsid w:val="00654A38"/>
    <w:rsid w:val="00655301"/>
    <w:rsid w:val="00655371"/>
    <w:rsid w:val="00655507"/>
    <w:rsid w:val="00655FD9"/>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4E6D"/>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147C"/>
    <w:rsid w:val="00672345"/>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405"/>
    <w:rsid w:val="00680A86"/>
    <w:rsid w:val="00680FEA"/>
    <w:rsid w:val="006811C9"/>
    <w:rsid w:val="006812CE"/>
    <w:rsid w:val="006817D5"/>
    <w:rsid w:val="0068180C"/>
    <w:rsid w:val="006823DA"/>
    <w:rsid w:val="006826C1"/>
    <w:rsid w:val="00682C89"/>
    <w:rsid w:val="006832B8"/>
    <w:rsid w:val="006832E3"/>
    <w:rsid w:val="00683329"/>
    <w:rsid w:val="006837B2"/>
    <w:rsid w:val="00683800"/>
    <w:rsid w:val="00684462"/>
    <w:rsid w:val="00684C0D"/>
    <w:rsid w:val="00684C8A"/>
    <w:rsid w:val="00684CF5"/>
    <w:rsid w:val="0068553E"/>
    <w:rsid w:val="00685D37"/>
    <w:rsid w:val="00685E7B"/>
    <w:rsid w:val="00686551"/>
    <w:rsid w:val="00686BB9"/>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958"/>
    <w:rsid w:val="00692FFA"/>
    <w:rsid w:val="00693772"/>
    <w:rsid w:val="00693984"/>
    <w:rsid w:val="00693B77"/>
    <w:rsid w:val="00694160"/>
    <w:rsid w:val="00694E8B"/>
    <w:rsid w:val="006959A5"/>
    <w:rsid w:val="00695C0C"/>
    <w:rsid w:val="00696736"/>
    <w:rsid w:val="00696A05"/>
    <w:rsid w:val="00697010"/>
    <w:rsid w:val="00697665"/>
    <w:rsid w:val="00697C2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CB5"/>
    <w:rsid w:val="006A7D06"/>
    <w:rsid w:val="006A7FD0"/>
    <w:rsid w:val="006B009F"/>
    <w:rsid w:val="006B025C"/>
    <w:rsid w:val="006B04DB"/>
    <w:rsid w:val="006B08ED"/>
    <w:rsid w:val="006B2170"/>
    <w:rsid w:val="006B2493"/>
    <w:rsid w:val="006B2534"/>
    <w:rsid w:val="006B2CB2"/>
    <w:rsid w:val="006B347D"/>
    <w:rsid w:val="006B3E19"/>
    <w:rsid w:val="006B4488"/>
    <w:rsid w:val="006B4D5D"/>
    <w:rsid w:val="006B50C4"/>
    <w:rsid w:val="006B535C"/>
    <w:rsid w:val="006B53AE"/>
    <w:rsid w:val="006B58B4"/>
    <w:rsid w:val="006B5D71"/>
    <w:rsid w:val="006B67AC"/>
    <w:rsid w:val="006B6F2B"/>
    <w:rsid w:val="006B786A"/>
    <w:rsid w:val="006B7E4E"/>
    <w:rsid w:val="006C003A"/>
    <w:rsid w:val="006C107C"/>
    <w:rsid w:val="006C189C"/>
    <w:rsid w:val="006C2454"/>
    <w:rsid w:val="006C2551"/>
    <w:rsid w:val="006C27B9"/>
    <w:rsid w:val="006C37CA"/>
    <w:rsid w:val="006C39AE"/>
    <w:rsid w:val="006C40D2"/>
    <w:rsid w:val="006C441D"/>
    <w:rsid w:val="006C49AF"/>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6EF8"/>
    <w:rsid w:val="006D712D"/>
    <w:rsid w:val="006D7687"/>
    <w:rsid w:val="006D7D1F"/>
    <w:rsid w:val="006D7D8A"/>
    <w:rsid w:val="006E046C"/>
    <w:rsid w:val="006E0572"/>
    <w:rsid w:val="006E05D8"/>
    <w:rsid w:val="006E08EE"/>
    <w:rsid w:val="006E0F32"/>
    <w:rsid w:val="006E155A"/>
    <w:rsid w:val="006E2892"/>
    <w:rsid w:val="006E2C34"/>
    <w:rsid w:val="006E359B"/>
    <w:rsid w:val="006E3687"/>
    <w:rsid w:val="006E39D1"/>
    <w:rsid w:val="006E3B05"/>
    <w:rsid w:val="006E437F"/>
    <w:rsid w:val="006E4D5B"/>
    <w:rsid w:val="006E602F"/>
    <w:rsid w:val="006E6720"/>
    <w:rsid w:val="006E7275"/>
    <w:rsid w:val="006E77B8"/>
    <w:rsid w:val="006E7AAF"/>
    <w:rsid w:val="006F0174"/>
    <w:rsid w:val="006F0838"/>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D97"/>
    <w:rsid w:val="00704F37"/>
    <w:rsid w:val="00705631"/>
    <w:rsid w:val="00705818"/>
    <w:rsid w:val="00705F62"/>
    <w:rsid w:val="00706321"/>
    <w:rsid w:val="00706813"/>
    <w:rsid w:val="00706F8E"/>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BB0"/>
    <w:rsid w:val="00716CAD"/>
    <w:rsid w:val="00716CD3"/>
    <w:rsid w:val="00716F18"/>
    <w:rsid w:val="007171DF"/>
    <w:rsid w:val="00717363"/>
    <w:rsid w:val="0071765C"/>
    <w:rsid w:val="00717786"/>
    <w:rsid w:val="00717ACB"/>
    <w:rsid w:val="0072138B"/>
    <w:rsid w:val="00721BFF"/>
    <w:rsid w:val="0072217A"/>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88"/>
    <w:rsid w:val="00727DDC"/>
    <w:rsid w:val="00730CD6"/>
    <w:rsid w:val="00730F74"/>
    <w:rsid w:val="0073114B"/>
    <w:rsid w:val="00731CAA"/>
    <w:rsid w:val="00732151"/>
    <w:rsid w:val="00732734"/>
    <w:rsid w:val="00732EBC"/>
    <w:rsid w:val="00734952"/>
    <w:rsid w:val="00734987"/>
    <w:rsid w:val="00734990"/>
    <w:rsid w:val="00734FF5"/>
    <w:rsid w:val="00735B78"/>
    <w:rsid w:val="00735DA7"/>
    <w:rsid w:val="00736210"/>
    <w:rsid w:val="00736700"/>
    <w:rsid w:val="007368B4"/>
    <w:rsid w:val="007378E0"/>
    <w:rsid w:val="00737A4D"/>
    <w:rsid w:val="0074040E"/>
    <w:rsid w:val="00740529"/>
    <w:rsid w:val="00740876"/>
    <w:rsid w:val="00741358"/>
    <w:rsid w:val="007414B3"/>
    <w:rsid w:val="00741562"/>
    <w:rsid w:val="00741626"/>
    <w:rsid w:val="00742332"/>
    <w:rsid w:val="00742886"/>
    <w:rsid w:val="00742A3A"/>
    <w:rsid w:val="00742DD2"/>
    <w:rsid w:val="007437C6"/>
    <w:rsid w:val="007441A2"/>
    <w:rsid w:val="00744E80"/>
    <w:rsid w:val="00745035"/>
    <w:rsid w:val="0074531C"/>
    <w:rsid w:val="00745547"/>
    <w:rsid w:val="007459D0"/>
    <w:rsid w:val="00745B3A"/>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3F1D"/>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13B"/>
    <w:rsid w:val="007634AD"/>
    <w:rsid w:val="0076445F"/>
    <w:rsid w:val="00764EC5"/>
    <w:rsid w:val="007651EF"/>
    <w:rsid w:val="007668B9"/>
    <w:rsid w:val="00766D49"/>
    <w:rsid w:val="00766ECC"/>
    <w:rsid w:val="007672F3"/>
    <w:rsid w:val="007677B5"/>
    <w:rsid w:val="007678B1"/>
    <w:rsid w:val="007708A8"/>
    <w:rsid w:val="00770C28"/>
    <w:rsid w:val="00771E0A"/>
    <w:rsid w:val="00772100"/>
    <w:rsid w:val="00772275"/>
    <w:rsid w:val="0077279E"/>
    <w:rsid w:val="00772C9A"/>
    <w:rsid w:val="007734E4"/>
    <w:rsid w:val="0077380D"/>
    <w:rsid w:val="00773BC8"/>
    <w:rsid w:val="007742CB"/>
    <w:rsid w:val="00774549"/>
    <w:rsid w:val="0077466F"/>
    <w:rsid w:val="00774E01"/>
    <w:rsid w:val="007752B7"/>
    <w:rsid w:val="007759A8"/>
    <w:rsid w:val="00775C27"/>
    <w:rsid w:val="00775D98"/>
    <w:rsid w:val="00776796"/>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7A1"/>
    <w:rsid w:val="0078286B"/>
    <w:rsid w:val="00782D2C"/>
    <w:rsid w:val="00782FC2"/>
    <w:rsid w:val="0078347A"/>
    <w:rsid w:val="0078410A"/>
    <w:rsid w:val="007843D7"/>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8B8"/>
    <w:rsid w:val="0079799E"/>
    <w:rsid w:val="007979AD"/>
    <w:rsid w:val="00797A9C"/>
    <w:rsid w:val="007A0502"/>
    <w:rsid w:val="007A0BC5"/>
    <w:rsid w:val="007A0EAB"/>
    <w:rsid w:val="007A2341"/>
    <w:rsid w:val="007A2754"/>
    <w:rsid w:val="007A293F"/>
    <w:rsid w:val="007A32BC"/>
    <w:rsid w:val="007A38A1"/>
    <w:rsid w:val="007A3BBE"/>
    <w:rsid w:val="007A4766"/>
    <w:rsid w:val="007A5947"/>
    <w:rsid w:val="007A603C"/>
    <w:rsid w:val="007A717B"/>
    <w:rsid w:val="007A7714"/>
    <w:rsid w:val="007B0302"/>
    <w:rsid w:val="007B0313"/>
    <w:rsid w:val="007B0854"/>
    <w:rsid w:val="007B0E48"/>
    <w:rsid w:val="007B19DE"/>
    <w:rsid w:val="007B1D1B"/>
    <w:rsid w:val="007B1DCD"/>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462"/>
    <w:rsid w:val="007B59B7"/>
    <w:rsid w:val="007B6008"/>
    <w:rsid w:val="007B6C64"/>
    <w:rsid w:val="007B6EC8"/>
    <w:rsid w:val="007B6F81"/>
    <w:rsid w:val="007B7EA2"/>
    <w:rsid w:val="007C097D"/>
    <w:rsid w:val="007C0AF2"/>
    <w:rsid w:val="007C1672"/>
    <w:rsid w:val="007C17AE"/>
    <w:rsid w:val="007C1855"/>
    <w:rsid w:val="007C1C8E"/>
    <w:rsid w:val="007C1CFF"/>
    <w:rsid w:val="007C24EE"/>
    <w:rsid w:val="007C312A"/>
    <w:rsid w:val="007C3538"/>
    <w:rsid w:val="007C3570"/>
    <w:rsid w:val="007C38E0"/>
    <w:rsid w:val="007C3F3B"/>
    <w:rsid w:val="007C4097"/>
    <w:rsid w:val="007C4241"/>
    <w:rsid w:val="007C425E"/>
    <w:rsid w:val="007C55FF"/>
    <w:rsid w:val="007C6339"/>
    <w:rsid w:val="007C67F4"/>
    <w:rsid w:val="007C753F"/>
    <w:rsid w:val="007C796C"/>
    <w:rsid w:val="007C7C43"/>
    <w:rsid w:val="007C7E15"/>
    <w:rsid w:val="007C7F0D"/>
    <w:rsid w:val="007D06E3"/>
    <w:rsid w:val="007D09E4"/>
    <w:rsid w:val="007D1134"/>
    <w:rsid w:val="007D231B"/>
    <w:rsid w:val="007D23EA"/>
    <w:rsid w:val="007D23F7"/>
    <w:rsid w:val="007D248B"/>
    <w:rsid w:val="007D2566"/>
    <w:rsid w:val="007D2A8A"/>
    <w:rsid w:val="007D2C18"/>
    <w:rsid w:val="007D2D74"/>
    <w:rsid w:val="007D3693"/>
    <w:rsid w:val="007D3C6D"/>
    <w:rsid w:val="007D481A"/>
    <w:rsid w:val="007D4B96"/>
    <w:rsid w:val="007D4ED0"/>
    <w:rsid w:val="007D5648"/>
    <w:rsid w:val="007D58C5"/>
    <w:rsid w:val="007D5DE8"/>
    <w:rsid w:val="007D7CFC"/>
    <w:rsid w:val="007D7F74"/>
    <w:rsid w:val="007E0812"/>
    <w:rsid w:val="007E0825"/>
    <w:rsid w:val="007E18DF"/>
    <w:rsid w:val="007E1AE5"/>
    <w:rsid w:val="007E1DBE"/>
    <w:rsid w:val="007E214A"/>
    <w:rsid w:val="007E238D"/>
    <w:rsid w:val="007E2C36"/>
    <w:rsid w:val="007E350D"/>
    <w:rsid w:val="007E3ACA"/>
    <w:rsid w:val="007E3F27"/>
    <w:rsid w:val="007E3F4A"/>
    <w:rsid w:val="007E4F0D"/>
    <w:rsid w:val="007E564D"/>
    <w:rsid w:val="007E56AE"/>
    <w:rsid w:val="007E5C4A"/>
    <w:rsid w:val="007E6135"/>
    <w:rsid w:val="007E64D4"/>
    <w:rsid w:val="007E66E9"/>
    <w:rsid w:val="007E69F2"/>
    <w:rsid w:val="007E7432"/>
    <w:rsid w:val="007E74BF"/>
    <w:rsid w:val="007E7657"/>
    <w:rsid w:val="007E7D2E"/>
    <w:rsid w:val="007F09C2"/>
    <w:rsid w:val="007F14D3"/>
    <w:rsid w:val="007F172C"/>
    <w:rsid w:val="007F1814"/>
    <w:rsid w:val="007F1D9D"/>
    <w:rsid w:val="007F1E28"/>
    <w:rsid w:val="007F1F63"/>
    <w:rsid w:val="007F22A0"/>
    <w:rsid w:val="007F2902"/>
    <w:rsid w:val="007F2903"/>
    <w:rsid w:val="007F2BEC"/>
    <w:rsid w:val="007F2F90"/>
    <w:rsid w:val="007F3056"/>
    <w:rsid w:val="007F3320"/>
    <w:rsid w:val="007F3AC1"/>
    <w:rsid w:val="007F3C06"/>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1B60"/>
    <w:rsid w:val="00802041"/>
    <w:rsid w:val="008022C9"/>
    <w:rsid w:val="00802605"/>
    <w:rsid w:val="00802E61"/>
    <w:rsid w:val="00802F9E"/>
    <w:rsid w:val="00803700"/>
    <w:rsid w:val="00803D9D"/>
    <w:rsid w:val="00804107"/>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17BE0"/>
    <w:rsid w:val="008201DE"/>
    <w:rsid w:val="00820218"/>
    <w:rsid w:val="008205AC"/>
    <w:rsid w:val="00820705"/>
    <w:rsid w:val="00820710"/>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4E1"/>
    <w:rsid w:val="00825B43"/>
    <w:rsid w:val="00826870"/>
    <w:rsid w:val="00826F71"/>
    <w:rsid w:val="00827CC0"/>
    <w:rsid w:val="008306AB"/>
    <w:rsid w:val="00831026"/>
    <w:rsid w:val="0083119B"/>
    <w:rsid w:val="00831BAE"/>
    <w:rsid w:val="00832216"/>
    <w:rsid w:val="008324BC"/>
    <w:rsid w:val="00832513"/>
    <w:rsid w:val="00832CD0"/>
    <w:rsid w:val="00833430"/>
    <w:rsid w:val="00833ADA"/>
    <w:rsid w:val="00834128"/>
    <w:rsid w:val="0083417F"/>
    <w:rsid w:val="00835143"/>
    <w:rsid w:val="0083569B"/>
    <w:rsid w:val="00835741"/>
    <w:rsid w:val="008369E8"/>
    <w:rsid w:val="00836A50"/>
    <w:rsid w:val="00836E74"/>
    <w:rsid w:val="00836EAB"/>
    <w:rsid w:val="00837210"/>
    <w:rsid w:val="00837673"/>
    <w:rsid w:val="00837937"/>
    <w:rsid w:val="00837D82"/>
    <w:rsid w:val="00840893"/>
    <w:rsid w:val="00840E88"/>
    <w:rsid w:val="00840ECC"/>
    <w:rsid w:val="008410B1"/>
    <w:rsid w:val="008423EC"/>
    <w:rsid w:val="0084246E"/>
    <w:rsid w:val="008429A6"/>
    <w:rsid w:val="00843187"/>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769"/>
    <w:rsid w:val="0085192D"/>
    <w:rsid w:val="00851BBB"/>
    <w:rsid w:val="0085304C"/>
    <w:rsid w:val="008536BB"/>
    <w:rsid w:val="00853A3C"/>
    <w:rsid w:val="008548CA"/>
    <w:rsid w:val="00855645"/>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67B"/>
    <w:rsid w:val="0086394E"/>
    <w:rsid w:val="00863F8A"/>
    <w:rsid w:val="00863FE3"/>
    <w:rsid w:val="008640C4"/>
    <w:rsid w:val="00864241"/>
    <w:rsid w:val="008645AA"/>
    <w:rsid w:val="0086468A"/>
    <w:rsid w:val="00865059"/>
    <w:rsid w:val="008650BE"/>
    <w:rsid w:val="008650E0"/>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4F0A"/>
    <w:rsid w:val="00875403"/>
    <w:rsid w:val="00875434"/>
    <w:rsid w:val="00875C1F"/>
    <w:rsid w:val="00876215"/>
    <w:rsid w:val="0087646C"/>
    <w:rsid w:val="00876815"/>
    <w:rsid w:val="00877932"/>
    <w:rsid w:val="008808C7"/>
    <w:rsid w:val="0088106B"/>
    <w:rsid w:val="0088107D"/>
    <w:rsid w:val="0088187A"/>
    <w:rsid w:val="00881E64"/>
    <w:rsid w:val="00882E39"/>
    <w:rsid w:val="00883559"/>
    <w:rsid w:val="00883FB3"/>
    <w:rsid w:val="008850EB"/>
    <w:rsid w:val="0088514D"/>
    <w:rsid w:val="00885228"/>
    <w:rsid w:val="008857E3"/>
    <w:rsid w:val="00885FDF"/>
    <w:rsid w:val="008861E3"/>
    <w:rsid w:val="008865EA"/>
    <w:rsid w:val="00886DF2"/>
    <w:rsid w:val="00886F53"/>
    <w:rsid w:val="00886FB9"/>
    <w:rsid w:val="00887057"/>
    <w:rsid w:val="00887080"/>
    <w:rsid w:val="00887C79"/>
    <w:rsid w:val="008908DC"/>
    <w:rsid w:val="0089107B"/>
    <w:rsid w:val="008913CC"/>
    <w:rsid w:val="008914AE"/>
    <w:rsid w:val="008919CF"/>
    <w:rsid w:val="00891F84"/>
    <w:rsid w:val="00891FC3"/>
    <w:rsid w:val="008926D5"/>
    <w:rsid w:val="008928EC"/>
    <w:rsid w:val="00892A15"/>
    <w:rsid w:val="00892E5D"/>
    <w:rsid w:val="008935CF"/>
    <w:rsid w:val="008935F0"/>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54E"/>
    <w:rsid w:val="008A07D5"/>
    <w:rsid w:val="008A1C96"/>
    <w:rsid w:val="008A1FB7"/>
    <w:rsid w:val="008A21E8"/>
    <w:rsid w:val="008A229A"/>
    <w:rsid w:val="008A2A23"/>
    <w:rsid w:val="008A2AF5"/>
    <w:rsid w:val="008A2B5A"/>
    <w:rsid w:val="008A38DE"/>
    <w:rsid w:val="008A3A70"/>
    <w:rsid w:val="008A3F9D"/>
    <w:rsid w:val="008A41F8"/>
    <w:rsid w:val="008A43E4"/>
    <w:rsid w:val="008A5474"/>
    <w:rsid w:val="008A58BB"/>
    <w:rsid w:val="008A5C9A"/>
    <w:rsid w:val="008A6005"/>
    <w:rsid w:val="008A614F"/>
    <w:rsid w:val="008A65AE"/>
    <w:rsid w:val="008A6A55"/>
    <w:rsid w:val="008A6DF0"/>
    <w:rsid w:val="008A6F6E"/>
    <w:rsid w:val="008A7888"/>
    <w:rsid w:val="008A796E"/>
    <w:rsid w:val="008A7BEC"/>
    <w:rsid w:val="008B0121"/>
    <w:rsid w:val="008B0862"/>
    <w:rsid w:val="008B088C"/>
    <w:rsid w:val="008B1778"/>
    <w:rsid w:val="008B1BF5"/>
    <w:rsid w:val="008B263F"/>
    <w:rsid w:val="008B3045"/>
    <w:rsid w:val="008B3E9E"/>
    <w:rsid w:val="008B47A6"/>
    <w:rsid w:val="008B5C7C"/>
    <w:rsid w:val="008B5E27"/>
    <w:rsid w:val="008B63FE"/>
    <w:rsid w:val="008B672C"/>
    <w:rsid w:val="008B7108"/>
    <w:rsid w:val="008C02C0"/>
    <w:rsid w:val="008C065F"/>
    <w:rsid w:val="008C0743"/>
    <w:rsid w:val="008C0B4C"/>
    <w:rsid w:val="008C11D9"/>
    <w:rsid w:val="008C11F0"/>
    <w:rsid w:val="008C1918"/>
    <w:rsid w:val="008C1DBA"/>
    <w:rsid w:val="008C2226"/>
    <w:rsid w:val="008C24E7"/>
    <w:rsid w:val="008C2500"/>
    <w:rsid w:val="008C2CAC"/>
    <w:rsid w:val="008C3C57"/>
    <w:rsid w:val="008C3E2A"/>
    <w:rsid w:val="008C45BB"/>
    <w:rsid w:val="008C45BD"/>
    <w:rsid w:val="008C4B19"/>
    <w:rsid w:val="008C62D4"/>
    <w:rsid w:val="008C67A2"/>
    <w:rsid w:val="008C6B89"/>
    <w:rsid w:val="008C6B97"/>
    <w:rsid w:val="008C7EF7"/>
    <w:rsid w:val="008D094D"/>
    <w:rsid w:val="008D0EE6"/>
    <w:rsid w:val="008D18AA"/>
    <w:rsid w:val="008D1A2A"/>
    <w:rsid w:val="008D1ADE"/>
    <w:rsid w:val="008D3199"/>
    <w:rsid w:val="008D3330"/>
    <w:rsid w:val="008D35D9"/>
    <w:rsid w:val="008D3B36"/>
    <w:rsid w:val="008D3B85"/>
    <w:rsid w:val="008D3BF8"/>
    <w:rsid w:val="008D462D"/>
    <w:rsid w:val="008D6084"/>
    <w:rsid w:val="008D64AC"/>
    <w:rsid w:val="008D656F"/>
    <w:rsid w:val="008D66CA"/>
    <w:rsid w:val="008D69B1"/>
    <w:rsid w:val="008D7338"/>
    <w:rsid w:val="008D761F"/>
    <w:rsid w:val="008D785E"/>
    <w:rsid w:val="008D7D66"/>
    <w:rsid w:val="008E0012"/>
    <w:rsid w:val="008E0A71"/>
    <w:rsid w:val="008E0DF7"/>
    <w:rsid w:val="008E0FAD"/>
    <w:rsid w:val="008E11E4"/>
    <w:rsid w:val="008E1252"/>
    <w:rsid w:val="008E1347"/>
    <w:rsid w:val="008E16E0"/>
    <w:rsid w:val="008E1C15"/>
    <w:rsid w:val="008E1C9A"/>
    <w:rsid w:val="008E1D7A"/>
    <w:rsid w:val="008E28BD"/>
    <w:rsid w:val="008E2BE6"/>
    <w:rsid w:val="008E30C4"/>
    <w:rsid w:val="008E38B4"/>
    <w:rsid w:val="008E3BA4"/>
    <w:rsid w:val="008E3F17"/>
    <w:rsid w:val="008E44AB"/>
    <w:rsid w:val="008E4CAE"/>
    <w:rsid w:val="008E5179"/>
    <w:rsid w:val="008E51C2"/>
    <w:rsid w:val="008E57FE"/>
    <w:rsid w:val="008E6598"/>
    <w:rsid w:val="008E6917"/>
    <w:rsid w:val="008E710F"/>
    <w:rsid w:val="008E7214"/>
    <w:rsid w:val="008E7471"/>
    <w:rsid w:val="008E7497"/>
    <w:rsid w:val="008E7884"/>
    <w:rsid w:val="008E7D6E"/>
    <w:rsid w:val="008F0A69"/>
    <w:rsid w:val="008F1056"/>
    <w:rsid w:val="008F1FF0"/>
    <w:rsid w:val="008F2E8D"/>
    <w:rsid w:val="008F361D"/>
    <w:rsid w:val="008F387B"/>
    <w:rsid w:val="008F3DD9"/>
    <w:rsid w:val="008F4163"/>
    <w:rsid w:val="008F462B"/>
    <w:rsid w:val="008F4814"/>
    <w:rsid w:val="008F4B18"/>
    <w:rsid w:val="008F4DA6"/>
    <w:rsid w:val="008F538E"/>
    <w:rsid w:val="008F55F2"/>
    <w:rsid w:val="008F5A20"/>
    <w:rsid w:val="008F5ABA"/>
    <w:rsid w:val="008F6157"/>
    <w:rsid w:val="008F67CF"/>
    <w:rsid w:val="008F682A"/>
    <w:rsid w:val="008F698E"/>
    <w:rsid w:val="008F71AB"/>
    <w:rsid w:val="008F7905"/>
    <w:rsid w:val="008F7989"/>
    <w:rsid w:val="00900912"/>
    <w:rsid w:val="00900FC5"/>
    <w:rsid w:val="00901F1D"/>
    <w:rsid w:val="0090220E"/>
    <w:rsid w:val="009028E8"/>
    <w:rsid w:val="00902E5C"/>
    <w:rsid w:val="0090363E"/>
    <w:rsid w:val="00903788"/>
    <w:rsid w:val="009046E5"/>
    <w:rsid w:val="009047C5"/>
    <w:rsid w:val="00904F39"/>
    <w:rsid w:val="0091064F"/>
    <w:rsid w:val="00910683"/>
    <w:rsid w:val="009108BF"/>
    <w:rsid w:val="00910E00"/>
    <w:rsid w:val="00910E04"/>
    <w:rsid w:val="009116CE"/>
    <w:rsid w:val="00911714"/>
    <w:rsid w:val="00911D04"/>
    <w:rsid w:val="00911EFF"/>
    <w:rsid w:val="0091251B"/>
    <w:rsid w:val="0091310F"/>
    <w:rsid w:val="009136D4"/>
    <w:rsid w:val="00914B9A"/>
    <w:rsid w:val="00914C3F"/>
    <w:rsid w:val="00914F33"/>
    <w:rsid w:val="00915EFE"/>
    <w:rsid w:val="00915FCE"/>
    <w:rsid w:val="00916AFE"/>
    <w:rsid w:val="00916FC8"/>
    <w:rsid w:val="009170D3"/>
    <w:rsid w:val="0091759C"/>
    <w:rsid w:val="00920026"/>
    <w:rsid w:val="009203E2"/>
    <w:rsid w:val="00920BA2"/>
    <w:rsid w:val="00920BF5"/>
    <w:rsid w:val="00920F61"/>
    <w:rsid w:val="00921304"/>
    <w:rsid w:val="00921395"/>
    <w:rsid w:val="00921805"/>
    <w:rsid w:val="00921E63"/>
    <w:rsid w:val="00923396"/>
    <w:rsid w:val="00923F56"/>
    <w:rsid w:val="009242A6"/>
    <w:rsid w:val="00924770"/>
    <w:rsid w:val="00925346"/>
    <w:rsid w:val="00925743"/>
    <w:rsid w:val="0092579F"/>
    <w:rsid w:val="0092660F"/>
    <w:rsid w:val="00927128"/>
    <w:rsid w:val="00927E8D"/>
    <w:rsid w:val="00927F23"/>
    <w:rsid w:val="009307CD"/>
    <w:rsid w:val="00930823"/>
    <w:rsid w:val="009310D6"/>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AA9"/>
    <w:rsid w:val="00934CEC"/>
    <w:rsid w:val="00934E69"/>
    <w:rsid w:val="00935745"/>
    <w:rsid w:val="00935E70"/>
    <w:rsid w:val="0093609A"/>
    <w:rsid w:val="00936517"/>
    <w:rsid w:val="00937401"/>
    <w:rsid w:val="009376FB"/>
    <w:rsid w:val="00937A05"/>
    <w:rsid w:val="00937D6B"/>
    <w:rsid w:val="00940477"/>
    <w:rsid w:val="00940876"/>
    <w:rsid w:val="00940A53"/>
    <w:rsid w:val="00940F3C"/>
    <w:rsid w:val="009410E0"/>
    <w:rsid w:val="00941FA9"/>
    <w:rsid w:val="00942641"/>
    <w:rsid w:val="00942851"/>
    <w:rsid w:val="009439B6"/>
    <w:rsid w:val="009444B4"/>
    <w:rsid w:val="00944644"/>
    <w:rsid w:val="00944796"/>
    <w:rsid w:val="00946647"/>
    <w:rsid w:val="00946A24"/>
    <w:rsid w:val="009470D4"/>
    <w:rsid w:val="00947337"/>
    <w:rsid w:val="00947E6E"/>
    <w:rsid w:val="009512FA"/>
    <w:rsid w:val="00951460"/>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4CB0"/>
    <w:rsid w:val="00964ED9"/>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94D"/>
    <w:rsid w:val="00981B91"/>
    <w:rsid w:val="009822D7"/>
    <w:rsid w:val="009827E6"/>
    <w:rsid w:val="00982BEE"/>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2321"/>
    <w:rsid w:val="00993013"/>
    <w:rsid w:val="009930AB"/>
    <w:rsid w:val="009938C1"/>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7B1"/>
    <w:rsid w:val="00997A88"/>
    <w:rsid w:val="009A01E4"/>
    <w:rsid w:val="009A0917"/>
    <w:rsid w:val="009A0A33"/>
    <w:rsid w:val="009A0CC0"/>
    <w:rsid w:val="009A10B2"/>
    <w:rsid w:val="009A1351"/>
    <w:rsid w:val="009A1AAB"/>
    <w:rsid w:val="009A1B98"/>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DB4"/>
    <w:rsid w:val="009C4FDE"/>
    <w:rsid w:val="009C523F"/>
    <w:rsid w:val="009C59BF"/>
    <w:rsid w:val="009C5E4F"/>
    <w:rsid w:val="009C5F64"/>
    <w:rsid w:val="009C5F82"/>
    <w:rsid w:val="009C60EA"/>
    <w:rsid w:val="009C6A1D"/>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61F"/>
    <w:rsid w:val="009D3736"/>
    <w:rsid w:val="009D4529"/>
    <w:rsid w:val="009D460F"/>
    <w:rsid w:val="009D4E02"/>
    <w:rsid w:val="009D604F"/>
    <w:rsid w:val="009D61BB"/>
    <w:rsid w:val="009D6410"/>
    <w:rsid w:val="009D68BB"/>
    <w:rsid w:val="009D6909"/>
    <w:rsid w:val="009D6B46"/>
    <w:rsid w:val="009D700F"/>
    <w:rsid w:val="009D70C2"/>
    <w:rsid w:val="009D71F9"/>
    <w:rsid w:val="009D7244"/>
    <w:rsid w:val="009D77B9"/>
    <w:rsid w:val="009D7ADB"/>
    <w:rsid w:val="009D7B33"/>
    <w:rsid w:val="009E03C7"/>
    <w:rsid w:val="009E0490"/>
    <w:rsid w:val="009E06C3"/>
    <w:rsid w:val="009E0703"/>
    <w:rsid w:val="009E1035"/>
    <w:rsid w:val="009E16DA"/>
    <w:rsid w:val="009E1CD4"/>
    <w:rsid w:val="009E2391"/>
    <w:rsid w:val="009E2845"/>
    <w:rsid w:val="009E28B6"/>
    <w:rsid w:val="009E2A11"/>
    <w:rsid w:val="009E476A"/>
    <w:rsid w:val="009E4A16"/>
    <w:rsid w:val="009E4E05"/>
    <w:rsid w:val="009E56FF"/>
    <w:rsid w:val="009E5CB1"/>
    <w:rsid w:val="009E5E56"/>
    <w:rsid w:val="009E61EA"/>
    <w:rsid w:val="009E6990"/>
    <w:rsid w:val="009E6FEE"/>
    <w:rsid w:val="009F00B9"/>
    <w:rsid w:val="009F060F"/>
    <w:rsid w:val="009F0737"/>
    <w:rsid w:val="009F0781"/>
    <w:rsid w:val="009F0850"/>
    <w:rsid w:val="009F15A8"/>
    <w:rsid w:val="009F1950"/>
    <w:rsid w:val="009F1BDF"/>
    <w:rsid w:val="009F1EAE"/>
    <w:rsid w:val="009F210A"/>
    <w:rsid w:val="009F2137"/>
    <w:rsid w:val="009F2732"/>
    <w:rsid w:val="009F2848"/>
    <w:rsid w:val="009F369D"/>
    <w:rsid w:val="009F36FE"/>
    <w:rsid w:val="009F3971"/>
    <w:rsid w:val="009F3A42"/>
    <w:rsid w:val="009F4990"/>
    <w:rsid w:val="009F4F25"/>
    <w:rsid w:val="009F59C2"/>
    <w:rsid w:val="009F60AF"/>
    <w:rsid w:val="009F64C2"/>
    <w:rsid w:val="009F6606"/>
    <w:rsid w:val="009F7263"/>
    <w:rsid w:val="009F73B6"/>
    <w:rsid w:val="009F76EA"/>
    <w:rsid w:val="009F78EB"/>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7C6"/>
    <w:rsid w:val="00A058B8"/>
    <w:rsid w:val="00A05B4B"/>
    <w:rsid w:val="00A066C3"/>
    <w:rsid w:val="00A06754"/>
    <w:rsid w:val="00A069E0"/>
    <w:rsid w:val="00A06E4A"/>
    <w:rsid w:val="00A070E9"/>
    <w:rsid w:val="00A07209"/>
    <w:rsid w:val="00A078FB"/>
    <w:rsid w:val="00A101B9"/>
    <w:rsid w:val="00A10209"/>
    <w:rsid w:val="00A1036D"/>
    <w:rsid w:val="00A1069F"/>
    <w:rsid w:val="00A108BC"/>
    <w:rsid w:val="00A10ACA"/>
    <w:rsid w:val="00A10D08"/>
    <w:rsid w:val="00A1181E"/>
    <w:rsid w:val="00A11E78"/>
    <w:rsid w:val="00A12327"/>
    <w:rsid w:val="00A12355"/>
    <w:rsid w:val="00A12574"/>
    <w:rsid w:val="00A127D2"/>
    <w:rsid w:val="00A1284E"/>
    <w:rsid w:val="00A13366"/>
    <w:rsid w:val="00A13CF5"/>
    <w:rsid w:val="00A143EC"/>
    <w:rsid w:val="00A149E8"/>
    <w:rsid w:val="00A1500F"/>
    <w:rsid w:val="00A15621"/>
    <w:rsid w:val="00A15670"/>
    <w:rsid w:val="00A157A0"/>
    <w:rsid w:val="00A1585B"/>
    <w:rsid w:val="00A15C19"/>
    <w:rsid w:val="00A15FE9"/>
    <w:rsid w:val="00A16809"/>
    <w:rsid w:val="00A16864"/>
    <w:rsid w:val="00A169E2"/>
    <w:rsid w:val="00A16F53"/>
    <w:rsid w:val="00A17584"/>
    <w:rsid w:val="00A17769"/>
    <w:rsid w:val="00A17EA2"/>
    <w:rsid w:val="00A17F59"/>
    <w:rsid w:val="00A201DB"/>
    <w:rsid w:val="00A20264"/>
    <w:rsid w:val="00A20997"/>
    <w:rsid w:val="00A210D4"/>
    <w:rsid w:val="00A212E6"/>
    <w:rsid w:val="00A213DD"/>
    <w:rsid w:val="00A21454"/>
    <w:rsid w:val="00A216CE"/>
    <w:rsid w:val="00A216F9"/>
    <w:rsid w:val="00A22025"/>
    <w:rsid w:val="00A22498"/>
    <w:rsid w:val="00A22571"/>
    <w:rsid w:val="00A2298D"/>
    <w:rsid w:val="00A235E1"/>
    <w:rsid w:val="00A23C69"/>
    <w:rsid w:val="00A24560"/>
    <w:rsid w:val="00A25B0F"/>
    <w:rsid w:val="00A25BBB"/>
    <w:rsid w:val="00A27FB6"/>
    <w:rsid w:val="00A30121"/>
    <w:rsid w:val="00A30368"/>
    <w:rsid w:val="00A3039C"/>
    <w:rsid w:val="00A3043A"/>
    <w:rsid w:val="00A30E02"/>
    <w:rsid w:val="00A30F6A"/>
    <w:rsid w:val="00A31060"/>
    <w:rsid w:val="00A31C3E"/>
    <w:rsid w:val="00A326B2"/>
    <w:rsid w:val="00A33CD0"/>
    <w:rsid w:val="00A34538"/>
    <w:rsid w:val="00A34677"/>
    <w:rsid w:val="00A3540F"/>
    <w:rsid w:val="00A35630"/>
    <w:rsid w:val="00A35914"/>
    <w:rsid w:val="00A36189"/>
    <w:rsid w:val="00A36229"/>
    <w:rsid w:val="00A3677A"/>
    <w:rsid w:val="00A37E73"/>
    <w:rsid w:val="00A37FB6"/>
    <w:rsid w:val="00A409E2"/>
    <w:rsid w:val="00A4104A"/>
    <w:rsid w:val="00A41081"/>
    <w:rsid w:val="00A411CA"/>
    <w:rsid w:val="00A42080"/>
    <w:rsid w:val="00A42096"/>
    <w:rsid w:val="00A426F3"/>
    <w:rsid w:val="00A42EF9"/>
    <w:rsid w:val="00A42FDF"/>
    <w:rsid w:val="00A430A9"/>
    <w:rsid w:val="00A431FE"/>
    <w:rsid w:val="00A4384F"/>
    <w:rsid w:val="00A439E5"/>
    <w:rsid w:val="00A4414E"/>
    <w:rsid w:val="00A4497A"/>
    <w:rsid w:val="00A44AB5"/>
    <w:rsid w:val="00A44ADA"/>
    <w:rsid w:val="00A44BE8"/>
    <w:rsid w:val="00A44C96"/>
    <w:rsid w:val="00A44CDD"/>
    <w:rsid w:val="00A44F54"/>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6B63"/>
    <w:rsid w:val="00A56DE7"/>
    <w:rsid w:val="00A57EB2"/>
    <w:rsid w:val="00A6009E"/>
    <w:rsid w:val="00A60265"/>
    <w:rsid w:val="00A60500"/>
    <w:rsid w:val="00A60540"/>
    <w:rsid w:val="00A60B1F"/>
    <w:rsid w:val="00A6144B"/>
    <w:rsid w:val="00A61C60"/>
    <w:rsid w:val="00A62589"/>
    <w:rsid w:val="00A627A1"/>
    <w:rsid w:val="00A62AD0"/>
    <w:rsid w:val="00A62C3A"/>
    <w:rsid w:val="00A6319C"/>
    <w:rsid w:val="00A63812"/>
    <w:rsid w:val="00A63DF7"/>
    <w:rsid w:val="00A642EA"/>
    <w:rsid w:val="00A6454D"/>
    <w:rsid w:val="00A64767"/>
    <w:rsid w:val="00A64F2F"/>
    <w:rsid w:val="00A6611E"/>
    <w:rsid w:val="00A668BA"/>
    <w:rsid w:val="00A66FA7"/>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278"/>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14B9"/>
    <w:rsid w:val="00A820CB"/>
    <w:rsid w:val="00A82342"/>
    <w:rsid w:val="00A8236F"/>
    <w:rsid w:val="00A82D06"/>
    <w:rsid w:val="00A83BEF"/>
    <w:rsid w:val="00A84443"/>
    <w:rsid w:val="00A8487F"/>
    <w:rsid w:val="00A849A3"/>
    <w:rsid w:val="00A84A0E"/>
    <w:rsid w:val="00A8575D"/>
    <w:rsid w:val="00A861F4"/>
    <w:rsid w:val="00A86373"/>
    <w:rsid w:val="00A86E0B"/>
    <w:rsid w:val="00A86F2B"/>
    <w:rsid w:val="00A87199"/>
    <w:rsid w:val="00A90F12"/>
    <w:rsid w:val="00A91DAA"/>
    <w:rsid w:val="00A92CFB"/>
    <w:rsid w:val="00A93101"/>
    <w:rsid w:val="00A93239"/>
    <w:rsid w:val="00A9413E"/>
    <w:rsid w:val="00A9418A"/>
    <w:rsid w:val="00A94293"/>
    <w:rsid w:val="00A9496E"/>
    <w:rsid w:val="00A949F0"/>
    <w:rsid w:val="00A94BDE"/>
    <w:rsid w:val="00A94FCA"/>
    <w:rsid w:val="00A95274"/>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2797"/>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259"/>
    <w:rsid w:val="00AC484F"/>
    <w:rsid w:val="00AC4AD2"/>
    <w:rsid w:val="00AC4B20"/>
    <w:rsid w:val="00AC4BB3"/>
    <w:rsid w:val="00AC5395"/>
    <w:rsid w:val="00AC55C7"/>
    <w:rsid w:val="00AC56F2"/>
    <w:rsid w:val="00AC5D9D"/>
    <w:rsid w:val="00AC71C3"/>
    <w:rsid w:val="00AC7A12"/>
    <w:rsid w:val="00AC7F29"/>
    <w:rsid w:val="00AD07FD"/>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04CA"/>
    <w:rsid w:val="00AE1772"/>
    <w:rsid w:val="00AE1990"/>
    <w:rsid w:val="00AE25E8"/>
    <w:rsid w:val="00AE2AD4"/>
    <w:rsid w:val="00AE2CA7"/>
    <w:rsid w:val="00AE2F1D"/>
    <w:rsid w:val="00AE375B"/>
    <w:rsid w:val="00AE3F99"/>
    <w:rsid w:val="00AE4A7D"/>
    <w:rsid w:val="00AE4C81"/>
    <w:rsid w:val="00AE4E63"/>
    <w:rsid w:val="00AE582C"/>
    <w:rsid w:val="00AE586F"/>
    <w:rsid w:val="00AE5888"/>
    <w:rsid w:val="00AE5964"/>
    <w:rsid w:val="00AE62FE"/>
    <w:rsid w:val="00AE63EF"/>
    <w:rsid w:val="00AE6582"/>
    <w:rsid w:val="00AE686B"/>
    <w:rsid w:val="00AE6DC5"/>
    <w:rsid w:val="00AE72C9"/>
    <w:rsid w:val="00AE7686"/>
    <w:rsid w:val="00AE799A"/>
    <w:rsid w:val="00AF0340"/>
    <w:rsid w:val="00AF0E81"/>
    <w:rsid w:val="00AF117A"/>
    <w:rsid w:val="00AF134E"/>
    <w:rsid w:val="00AF16CA"/>
    <w:rsid w:val="00AF186E"/>
    <w:rsid w:val="00AF19AC"/>
    <w:rsid w:val="00AF19DF"/>
    <w:rsid w:val="00AF1C77"/>
    <w:rsid w:val="00AF1D41"/>
    <w:rsid w:val="00AF21B7"/>
    <w:rsid w:val="00AF26CF"/>
    <w:rsid w:val="00AF3124"/>
    <w:rsid w:val="00AF344D"/>
    <w:rsid w:val="00AF39B3"/>
    <w:rsid w:val="00AF3C1F"/>
    <w:rsid w:val="00AF3FED"/>
    <w:rsid w:val="00AF43F6"/>
    <w:rsid w:val="00AF4402"/>
    <w:rsid w:val="00AF4639"/>
    <w:rsid w:val="00AF49CE"/>
    <w:rsid w:val="00AF4E92"/>
    <w:rsid w:val="00AF554B"/>
    <w:rsid w:val="00AF5C9B"/>
    <w:rsid w:val="00AF5D53"/>
    <w:rsid w:val="00AF5E2D"/>
    <w:rsid w:val="00AF644B"/>
    <w:rsid w:val="00AF69EB"/>
    <w:rsid w:val="00AF6CA6"/>
    <w:rsid w:val="00AF6DEC"/>
    <w:rsid w:val="00AF6EB6"/>
    <w:rsid w:val="00AF776A"/>
    <w:rsid w:val="00AF7796"/>
    <w:rsid w:val="00AF77F4"/>
    <w:rsid w:val="00B003DB"/>
    <w:rsid w:val="00B011A9"/>
    <w:rsid w:val="00B016FF"/>
    <w:rsid w:val="00B01BAF"/>
    <w:rsid w:val="00B0224B"/>
    <w:rsid w:val="00B024ED"/>
    <w:rsid w:val="00B026B8"/>
    <w:rsid w:val="00B02EB3"/>
    <w:rsid w:val="00B02F7C"/>
    <w:rsid w:val="00B02FCB"/>
    <w:rsid w:val="00B033AF"/>
    <w:rsid w:val="00B033F8"/>
    <w:rsid w:val="00B03C1E"/>
    <w:rsid w:val="00B03FE4"/>
    <w:rsid w:val="00B04259"/>
    <w:rsid w:val="00B04400"/>
    <w:rsid w:val="00B04493"/>
    <w:rsid w:val="00B04835"/>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BB"/>
    <w:rsid w:val="00B208FF"/>
    <w:rsid w:val="00B21271"/>
    <w:rsid w:val="00B22E22"/>
    <w:rsid w:val="00B22F5F"/>
    <w:rsid w:val="00B23353"/>
    <w:rsid w:val="00B237E6"/>
    <w:rsid w:val="00B23813"/>
    <w:rsid w:val="00B23D8C"/>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1FE"/>
    <w:rsid w:val="00B3346C"/>
    <w:rsid w:val="00B335E4"/>
    <w:rsid w:val="00B33C23"/>
    <w:rsid w:val="00B345B4"/>
    <w:rsid w:val="00B348B1"/>
    <w:rsid w:val="00B34A28"/>
    <w:rsid w:val="00B35046"/>
    <w:rsid w:val="00B357F4"/>
    <w:rsid w:val="00B35B6A"/>
    <w:rsid w:val="00B36D2B"/>
    <w:rsid w:val="00B36F25"/>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442"/>
    <w:rsid w:val="00B458D0"/>
    <w:rsid w:val="00B4792C"/>
    <w:rsid w:val="00B50CAE"/>
    <w:rsid w:val="00B512AD"/>
    <w:rsid w:val="00B51659"/>
    <w:rsid w:val="00B5196C"/>
    <w:rsid w:val="00B52130"/>
    <w:rsid w:val="00B525CB"/>
    <w:rsid w:val="00B52697"/>
    <w:rsid w:val="00B53829"/>
    <w:rsid w:val="00B53C98"/>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565"/>
    <w:rsid w:val="00B64EDB"/>
    <w:rsid w:val="00B65938"/>
    <w:rsid w:val="00B65C8A"/>
    <w:rsid w:val="00B65CE2"/>
    <w:rsid w:val="00B660AD"/>
    <w:rsid w:val="00B66109"/>
    <w:rsid w:val="00B66349"/>
    <w:rsid w:val="00B669B3"/>
    <w:rsid w:val="00B670FC"/>
    <w:rsid w:val="00B67FBF"/>
    <w:rsid w:val="00B70832"/>
    <w:rsid w:val="00B71376"/>
    <w:rsid w:val="00B716D7"/>
    <w:rsid w:val="00B71B20"/>
    <w:rsid w:val="00B72110"/>
    <w:rsid w:val="00B72B91"/>
    <w:rsid w:val="00B73019"/>
    <w:rsid w:val="00B7315F"/>
    <w:rsid w:val="00B7323A"/>
    <w:rsid w:val="00B7353B"/>
    <w:rsid w:val="00B737FB"/>
    <w:rsid w:val="00B73E5D"/>
    <w:rsid w:val="00B73EF3"/>
    <w:rsid w:val="00B7423D"/>
    <w:rsid w:val="00B74D05"/>
    <w:rsid w:val="00B74EF8"/>
    <w:rsid w:val="00B75893"/>
    <w:rsid w:val="00B75D76"/>
    <w:rsid w:val="00B7640D"/>
    <w:rsid w:val="00B76CD4"/>
    <w:rsid w:val="00B771F4"/>
    <w:rsid w:val="00B7762A"/>
    <w:rsid w:val="00B777FA"/>
    <w:rsid w:val="00B77850"/>
    <w:rsid w:val="00B7796B"/>
    <w:rsid w:val="00B8019A"/>
    <w:rsid w:val="00B8093E"/>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0C46"/>
    <w:rsid w:val="00B91B8E"/>
    <w:rsid w:val="00B91DE5"/>
    <w:rsid w:val="00B92531"/>
    <w:rsid w:val="00B92618"/>
    <w:rsid w:val="00B92751"/>
    <w:rsid w:val="00B92871"/>
    <w:rsid w:val="00B92B69"/>
    <w:rsid w:val="00B92CC6"/>
    <w:rsid w:val="00B92F7B"/>
    <w:rsid w:val="00B935C9"/>
    <w:rsid w:val="00B93E3D"/>
    <w:rsid w:val="00B94C95"/>
    <w:rsid w:val="00B95464"/>
    <w:rsid w:val="00B95C30"/>
    <w:rsid w:val="00B95E3D"/>
    <w:rsid w:val="00B9691F"/>
    <w:rsid w:val="00B96EEC"/>
    <w:rsid w:val="00B97392"/>
    <w:rsid w:val="00B976C7"/>
    <w:rsid w:val="00B97A73"/>
    <w:rsid w:val="00BA0C54"/>
    <w:rsid w:val="00BA0C59"/>
    <w:rsid w:val="00BA1382"/>
    <w:rsid w:val="00BA15E3"/>
    <w:rsid w:val="00BA1A8C"/>
    <w:rsid w:val="00BA20B6"/>
    <w:rsid w:val="00BA20D8"/>
    <w:rsid w:val="00BA22FC"/>
    <w:rsid w:val="00BA2789"/>
    <w:rsid w:val="00BA27B6"/>
    <w:rsid w:val="00BA2C2A"/>
    <w:rsid w:val="00BA2F30"/>
    <w:rsid w:val="00BA343D"/>
    <w:rsid w:val="00BA35D9"/>
    <w:rsid w:val="00BA3982"/>
    <w:rsid w:val="00BA405F"/>
    <w:rsid w:val="00BA4771"/>
    <w:rsid w:val="00BA47C3"/>
    <w:rsid w:val="00BA482B"/>
    <w:rsid w:val="00BA5027"/>
    <w:rsid w:val="00BA58FC"/>
    <w:rsid w:val="00BA5D92"/>
    <w:rsid w:val="00BA665B"/>
    <w:rsid w:val="00BA6FE8"/>
    <w:rsid w:val="00BA732D"/>
    <w:rsid w:val="00BA7370"/>
    <w:rsid w:val="00BA778B"/>
    <w:rsid w:val="00BB0888"/>
    <w:rsid w:val="00BB0A6F"/>
    <w:rsid w:val="00BB0DF1"/>
    <w:rsid w:val="00BB0E49"/>
    <w:rsid w:val="00BB0E9B"/>
    <w:rsid w:val="00BB15EE"/>
    <w:rsid w:val="00BB197D"/>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519"/>
    <w:rsid w:val="00BC17CC"/>
    <w:rsid w:val="00BC209F"/>
    <w:rsid w:val="00BC24AD"/>
    <w:rsid w:val="00BC2898"/>
    <w:rsid w:val="00BC2928"/>
    <w:rsid w:val="00BC29BD"/>
    <w:rsid w:val="00BC2BB1"/>
    <w:rsid w:val="00BC34A3"/>
    <w:rsid w:val="00BC3FF9"/>
    <w:rsid w:val="00BC4834"/>
    <w:rsid w:val="00BC4A97"/>
    <w:rsid w:val="00BC566B"/>
    <w:rsid w:val="00BC5A25"/>
    <w:rsid w:val="00BC5E56"/>
    <w:rsid w:val="00BC5FDD"/>
    <w:rsid w:val="00BC68B4"/>
    <w:rsid w:val="00BC7277"/>
    <w:rsid w:val="00BD0140"/>
    <w:rsid w:val="00BD02CC"/>
    <w:rsid w:val="00BD088E"/>
    <w:rsid w:val="00BD0F18"/>
    <w:rsid w:val="00BD182E"/>
    <w:rsid w:val="00BD2063"/>
    <w:rsid w:val="00BD20E6"/>
    <w:rsid w:val="00BD28C4"/>
    <w:rsid w:val="00BD2950"/>
    <w:rsid w:val="00BD337A"/>
    <w:rsid w:val="00BD33D9"/>
    <w:rsid w:val="00BD36D0"/>
    <w:rsid w:val="00BD38C5"/>
    <w:rsid w:val="00BD3A6D"/>
    <w:rsid w:val="00BD3A8B"/>
    <w:rsid w:val="00BD3AF1"/>
    <w:rsid w:val="00BD3DEA"/>
    <w:rsid w:val="00BD3E97"/>
    <w:rsid w:val="00BD40E4"/>
    <w:rsid w:val="00BD52FE"/>
    <w:rsid w:val="00BD5D83"/>
    <w:rsid w:val="00BD6265"/>
    <w:rsid w:val="00BD62CF"/>
    <w:rsid w:val="00BD67B2"/>
    <w:rsid w:val="00BD6863"/>
    <w:rsid w:val="00BD68E2"/>
    <w:rsid w:val="00BD6D41"/>
    <w:rsid w:val="00BD7522"/>
    <w:rsid w:val="00BD76E5"/>
    <w:rsid w:val="00BD78FE"/>
    <w:rsid w:val="00BD7FA3"/>
    <w:rsid w:val="00BE0149"/>
    <w:rsid w:val="00BE0767"/>
    <w:rsid w:val="00BE07A6"/>
    <w:rsid w:val="00BE083D"/>
    <w:rsid w:val="00BE0CDF"/>
    <w:rsid w:val="00BE0F24"/>
    <w:rsid w:val="00BE12D7"/>
    <w:rsid w:val="00BE1372"/>
    <w:rsid w:val="00BE166B"/>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0B3"/>
    <w:rsid w:val="00BE7257"/>
    <w:rsid w:val="00BE7539"/>
    <w:rsid w:val="00BE792A"/>
    <w:rsid w:val="00BF020D"/>
    <w:rsid w:val="00BF0532"/>
    <w:rsid w:val="00BF0609"/>
    <w:rsid w:val="00BF0EE8"/>
    <w:rsid w:val="00BF0F20"/>
    <w:rsid w:val="00BF10ED"/>
    <w:rsid w:val="00BF15F2"/>
    <w:rsid w:val="00BF1DD2"/>
    <w:rsid w:val="00BF23A3"/>
    <w:rsid w:val="00BF27FC"/>
    <w:rsid w:val="00BF2A7E"/>
    <w:rsid w:val="00BF2CD0"/>
    <w:rsid w:val="00BF3331"/>
    <w:rsid w:val="00BF3A45"/>
    <w:rsid w:val="00BF436F"/>
    <w:rsid w:val="00BF5905"/>
    <w:rsid w:val="00BF5C05"/>
    <w:rsid w:val="00BF5E78"/>
    <w:rsid w:val="00BF6A12"/>
    <w:rsid w:val="00BF6FC6"/>
    <w:rsid w:val="00BF7385"/>
    <w:rsid w:val="00BF7B1E"/>
    <w:rsid w:val="00BF7C52"/>
    <w:rsid w:val="00BF7F99"/>
    <w:rsid w:val="00C00713"/>
    <w:rsid w:val="00C009A0"/>
    <w:rsid w:val="00C0167E"/>
    <w:rsid w:val="00C01F74"/>
    <w:rsid w:val="00C020C1"/>
    <w:rsid w:val="00C02558"/>
    <w:rsid w:val="00C025FE"/>
    <w:rsid w:val="00C0285F"/>
    <w:rsid w:val="00C028F5"/>
    <w:rsid w:val="00C02CBF"/>
    <w:rsid w:val="00C02F35"/>
    <w:rsid w:val="00C031B7"/>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A3A"/>
    <w:rsid w:val="00C20EB0"/>
    <w:rsid w:val="00C21004"/>
    <w:rsid w:val="00C21005"/>
    <w:rsid w:val="00C218DF"/>
    <w:rsid w:val="00C220B6"/>
    <w:rsid w:val="00C2296B"/>
    <w:rsid w:val="00C22D7C"/>
    <w:rsid w:val="00C22D8D"/>
    <w:rsid w:val="00C22DDE"/>
    <w:rsid w:val="00C2338B"/>
    <w:rsid w:val="00C233CE"/>
    <w:rsid w:val="00C237DD"/>
    <w:rsid w:val="00C238F4"/>
    <w:rsid w:val="00C2393A"/>
    <w:rsid w:val="00C23A99"/>
    <w:rsid w:val="00C23AB5"/>
    <w:rsid w:val="00C23B8A"/>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4F6"/>
    <w:rsid w:val="00C34B5F"/>
    <w:rsid w:val="00C358D4"/>
    <w:rsid w:val="00C365C6"/>
    <w:rsid w:val="00C366F4"/>
    <w:rsid w:val="00C36785"/>
    <w:rsid w:val="00C36BE1"/>
    <w:rsid w:val="00C36FEA"/>
    <w:rsid w:val="00C3711C"/>
    <w:rsid w:val="00C37256"/>
    <w:rsid w:val="00C37A7B"/>
    <w:rsid w:val="00C37DC1"/>
    <w:rsid w:val="00C37FA6"/>
    <w:rsid w:val="00C37FFE"/>
    <w:rsid w:val="00C40791"/>
    <w:rsid w:val="00C40B50"/>
    <w:rsid w:val="00C419E3"/>
    <w:rsid w:val="00C419F4"/>
    <w:rsid w:val="00C41E6A"/>
    <w:rsid w:val="00C42150"/>
    <w:rsid w:val="00C42247"/>
    <w:rsid w:val="00C428E7"/>
    <w:rsid w:val="00C438A2"/>
    <w:rsid w:val="00C439BE"/>
    <w:rsid w:val="00C43A17"/>
    <w:rsid w:val="00C44DD1"/>
    <w:rsid w:val="00C44F26"/>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4A5A"/>
    <w:rsid w:val="00C55C32"/>
    <w:rsid w:val="00C5602D"/>
    <w:rsid w:val="00C56A67"/>
    <w:rsid w:val="00C56A86"/>
    <w:rsid w:val="00C56CC2"/>
    <w:rsid w:val="00C56D8D"/>
    <w:rsid w:val="00C57498"/>
    <w:rsid w:val="00C5763C"/>
    <w:rsid w:val="00C5780C"/>
    <w:rsid w:val="00C5796B"/>
    <w:rsid w:val="00C57C64"/>
    <w:rsid w:val="00C6071B"/>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5C6B"/>
    <w:rsid w:val="00C760DC"/>
    <w:rsid w:val="00C769AF"/>
    <w:rsid w:val="00C77777"/>
    <w:rsid w:val="00C8082B"/>
    <w:rsid w:val="00C80C6B"/>
    <w:rsid w:val="00C81A88"/>
    <w:rsid w:val="00C81D46"/>
    <w:rsid w:val="00C82298"/>
    <w:rsid w:val="00C82DC7"/>
    <w:rsid w:val="00C8331F"/>
    <w:rsid w:val="00C833B4"/>
    <w:rsid w:val="00C84284"/>
    <w:rsid w:val="00C84E33"/>
    <w:rsid w:val="00C85FFC"/>
    <w:rsid w:val="00C861FC"/>
    <w:rsid w:val="00C865C9"/>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2BDA"/>
    <w:rsid w:val="00C9370F"/>
    <w:rsid w:val="00C93765"/>
    <w:rsid w:val="00C93877"/>
    <w:rsid w:val="00C939D1"/>
    <w:rsid w:val="00C93D8C"/>
    <w:rsid w:val="00C93E07"/>
    <w:rsid w:val="00C940D9"/>
    <w:rsid w:val="00C946CC"/>
    <w:rsid w:val="00C94A5F"/>
    <w:rsid w:val="00C950AF"/>
    <w:rsid w:val="00C959BD"/>
    <w:rsid w:val="00C95D79"/>
    <w:rsid w:val="00C95DFE"/>
    <w:rsid w:val="00C95F44"/>
    <w:rsid w:val="00C96331"/>
    <w:rsid w:val="00C96D1B"/>
    <w:rsid w:val="00C97106"/>
    <w:rsid w:val="00C978D4"/>
    <w:rsid w:val="00CA0031"/>
    <w:rsid w:val="00CA0413"/>
    <w:rsid w:val="00CA043A"/>
    <w:rsid w:val="00CA0E51"/>
    <w:rsid w:val="00CA1691"/>
    <w:rsid w:val="00CA41E7"/>
    <w:rsid w:val="00CA44ED"/>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4DCE"/>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1BB"/>
    <w:rsid w:val="00CC3D38"/>
    <w:rsid w:val="00CC3F2F"/>
    <w:rsid w:val="00CC40C3"/>
    <w:rsid w:val="00CC46ED"/>
    <w:rsid w:val="00CC4CB4"/>
    <w:rsid w:val="00CC4E5D"/>
    <w:rsid w:val="00CC4EF4"/>
    <w:rsid w:val="00CC50AE"/>
    <w:rsid w:val="00CC5FFE"/>
    <w:rsid w:val="00CC609A"/>
    <w:rsid w:val="00CC61B7"/>
    <w:rsid w:val="00CC61CA"/>
    <w:rsid w:val="00CC69EC"/>
    <w:rsid w:val="00CC71D3"/>
    <w:rsid w:val="00CC743D"/>
    <w:rsid w:val="00CD02ED"/>
    <w:rsid w:val="00CD050A"/>
    <w:rsid w:val="00CD1017"/>
    <w:rsid w:val="00CD109C"/>
    <w:rsid w:val="00CD205D"/>
    <w:rsid w:val="00CD2A22"/>
    <w:rsid w:val="00CD2B50"/>
    <w:rsid w:val="00CD3172"/>
    <w:rsid w:val="00CD36F9"/>
    <w:rsid w:val="00CD405A"/>
    <w:rsid w:val="00CD4506"/>
    <w:rsid w:val="00CD520B"/>
    <w:rsid w:val="00CD576C"/>
    <w:rsid w:val="00CD592E"/>
    <w:rsid w:val="00CD5982"/>
    <w:rsid w:val="00CD5A1A"/>
    <w:rsid w:val="00CD5BF5"/>
    <w:rsid w:val="00CD5C26"/>
    <w:rsid w:val="00CD5CDC"/>
    <w:rsid w:val="00CD6126"/>
    <w:rsid w:val="00CD6CAB"/>
    <w:rsid w:val="00CD6FFF"/>
    <w:rsid w:val="00CD7EFA"/>
    <w:rsid w:val="00CE020E"/>
    <w:rsid w:val="00CE026B"/>
    <w:rsid w:val="00CE0566"/>
    <w:rsid w:val="00CE1CD4"/>
    <w:rsid w:val="00CE24D3"/>
    <w:rsid w:val="00CE2761"/>
    <w:rsid w:val="00CE28FC"/>
    <w:rsid w:val="00CE314E"/>
    <w:rsid w:val="00CE39D2"/>
    <w:rsid w:val="00CE3A85"/>
    <w:rsid w:val="00CE3B2D"/>
    <w:rsid w:val="00CE3D5C"/>
    <w:rsid w:val="00CE3E09"/>
    <w:rsid w:val="00CE3E14"/>
    <w:rsid w:val="00CE44C7"/>
    <w:rsid w:val="00CE53CC"/>
    <w:rsid w:val="00CE5F60"/>
    <w:rsid w:val="00CE65A7"/>
    <w:rsid w:val="00CE68EF"/>
    <w:rsid w:val="00CE68FE"/>
    <w:rsid w:val="00CE69CC"/>
    <w:rsid w:val="00CE6EC4"/>
    <w:rsid w:val="00CE7F26"/>
    <w:rsid w:val="00CF021C"/>
    <w:rsid w:val="00CF0AE1"/>
    <w:rsid w:val="00CF0D07"/>
    <w:rsid w:val="00CF1226"/>
    <w:rsid w:val="00CF1ABB"/>
    <w:rsid w:val="00CF1E1D"/>
    <w:rsid w:val="00CF1EB8"/>
    <w:rsid w:val="00CF24FE"/>
    <w:rsid w:val="00CF287F"/>
    <w:rsid w:val="00CF305E"/>
    <w:rsid w:val="00CF35D0"/>
    <w:rsid w:val="00CF3B38"/>
    <w:rsid w:val="00CF3B57"/>
    <w:rsid w:val="00CF3D61"/>
    <w:rsid w:val="00CF3DD5"/>
    <w:rsid w:val="00CF43E7"/>
    <w:rsid w:val="00CF4AF7"/>
    <w:rsid w:val="00CF4D20"/>
    <w:rsid w:val="00CF5EC0"/>
    <w:rsid w:val="00CF73F8"/>
    <w:rsid w:val="00CF7675"/>
    <w:rsid w:val="00CF7928"/>
    <w:rsid w:val="00CF7CA2"/>
    <w:rsid w:val="00D00868"/>
    <w:rsid w:val="00D00911"/>
    <w:rsid w:val="00D00A8E"/>
    <w:rsid w:val="00D00DE0"/>
    <w:rsid w:val="00D00F79"/>
    <w:rsid w:val="00D012BF"/>
    <w:rsid w:val="00D01760"/>
    <w:rsid w:val="00D01838"/>
    <w:rsid w:val="00D02752"/>
    <w:rsid w:val="00D028B5"/>
    <w:rsid w:val="00D0368E"/>
    <w:rsid w:val="00D036D4"/>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1E8"/>
    <w:rsid w:val="00D205C7"/>
    <w:rsid w:val="00D2104A"/>
    <w:rsid w:val="00D21A58"/>
    <w:rsid w:val="00D21BB5"/>
    <w:rsid w:val="00D21FFC"/>
    <w:rsid w:val="00D223B6"/>
    <w:rsid w:val="00D223E8"/>
    <w:rsid w:val="00D224E1"/>
    <w:rsid w:val="00D22DC8"/>
    <w:rsid w:val="00D23001"/>
    <w:rsid w:val="00D23094"/>
    <w:rsid w:val="00D23732"/>
    <w:rsid w:val="00D2374F"/>
    <w:rsid w:val="00D2477B"/>
    <w:rsid w:val="00D24F93"/>
    <w:rsid w:val="00D25027"/>
    <w:rsid w:val="00D2522A"/>
    <w:rsid w:val="00D2531C"/>
    <w:rsid w:val="00D25428"/>
    <w:rsid w:val="00D2553E"/>
    <w:rsid w:val="00D2587F"/>
    <w:rsid w:val="00D25E64"/>
    <w:rsid w:val="00D2742F"/>
    <w:rsid w:val="00D2754F"/>
    <w:rsid w:val="00D277C5"/>
    <w:rsid w:val="00D279D9"/>
    <w:rsid w:val="00D27FFA"/>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1F88"/>
    <w:rsid w:val="00D422DB"/>
    <w:rsid w:val="00D428FF"/>
    <w:rsid w:val="00D42AC2"/>
    <w:rsid w:val="00D4498E"/>
    <w:rsid w:val="00D4515F"/>
    <w:rsid w:val="00D451E8"/>
    <w:rsid w:val="00D45EE8"/>
    <w:rsid w:val="00D45F1C"/>
    <w:rsid w:val="00D466C9"/>
    <w:rsid w:val="00D46B43"/>
    <w:rsid w:val="00D47275"/>
    <w:rsid w:val="00D517F6"/>
    <w:rsid w:val="00D518E8"/>
    <w:rsid w:val="00D51AB7"/>
    <w:rsid w:val="00D51E15"/>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B2B"/>
    <w:rsid w:val="00D65C15"/>
    <w:rsid w:val="00D65DEA"/>
    <w:rsid w:val="00D6650F"/>
    <w:rsid w:val="00D66579"/>
    <w:rsid w:val="00D66CF2"/>
    <w:rsid w:val="00D676D3"/>
    <w:rsid w:val="00D67B06"/>
    <w:rsid w:val="00D67BC7"/>
    <w:rsid w:val="00D67C3B"/>
    <w:rsid w:val="00D701F1"/>
    <w:rsid w:val="00D705D3"/>
    <w:rsid w:val="00D70838"/>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538"/>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39EF"/>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2745"/>
    <w:rsid w:val="00D93049"/>
    <w:rsid w:val="00D9310B"/>
    <w:rsid w:val="00D931F3"/>
    <w:rsid w:val="00D93726"/>
    <w:rsid w:val="00D93F3E"/>
    <w:rsid w:val="00D9405B"/>
    <w:rsid w:val="00D94942"/>
    <w:rsid w:val="00D94C3E"/>
    <w:rsid w:val="00D9502A"/>
    <w:rsid w:val="00D95145"/>
    <w:rsid w:val="00D954BB"/>
    <w:rsid w:val="00D95601"/>
    <w:rsid w:val="00D96594"/>
    <w:rsid w:val="00D96678"/>
    <w:rsid w:val="00D967CB"/>
    <w:rsid w:val="00D968D4"/>
    <w:rsid w:val="00D96EE0"/>
    <w:rsid w:val="00D96F14"/>
    <w:rsid w:val="00D97BD1"/>
    <w:rsid w:val="00D97EF0"/>
    <w:rsid w:val="00DA00C3"/>
    <w:rsid w:val="00DA01E9"/>
    <w:rsid w:val="00DA06B8"/>
    <w:rsid w:val="00DA0B8E"/>
    <w:rsid w:val="00DA14A9"/>
    <w:rsid w:val="00DA1863"/>
    <w:rsid w:val="00DA1CE7"/>
    <w:rsid w:val="00DA286D"/>
    <w:rsid w:val="00DA2969"/>
    <w:rsid w:val="00DA29B7"/>
    <w:rsid w:val="00DA2E5F"/>
    <w:rsid w:val="00DA302C"/>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0E"/>
    <w:rsid w:val="00DB14F0"/>
    <w:rsid w:val="00DB1745"/>
    <w:rsid w:val="00DB177C"/>
    <w:rsid w:val="00DB19BB"/>
    <w:rsid w:val="00DB1A00"/>
    <w:rsid w:val="00DB1AFF"/>
    <w:rsid w:val="00DB219A"/>
    <w:rsid w:val="00DB244B"/>
    <w:rsid w:val="00DB3165"/>
    <w:rsid w:val="00DB4292"/>
    <w:rsid w:val="00DB5023"/>
    <w:rsid w:val="00DB52D2"/>
    <w:rsid w:val="00DB5DC5"/>
    <w:rsid w:val="00DB5E24"/>
    <w:rsid w:val="00DB6E46"/>
    <w:rsid w:val="00DB7117"/>
    <w:rsid w:val="00DB7760"/>
    <w:rsid w:val="00DB7DD4"/>
    <w:rsid w:val="00DC00B4"/>
    <w:rsid w:val="00DC0954"/>
    <w:rsid w:val="00DC0DF8"/>
    <w:rsid w:val="00DC15BA"/>
    <w:rsid w:val="00DC18CD"/>
    <w:rsid w:val="00DC1A68"/>
    <w:rsid w:val="00DC2072"/>
    <w:rsid w:val="00DC30B8"/>
    <w:rsid w:val="00DC31DB"/>
    <w:rsid w:val="00DC478F"/>
    <w:rsid w:val="00DC5AB2"/>
    <w:rsid w:val="00DC61AC"/>
    <w:rsid w:val="00DC62E5"/>
    <w:rsid w:val="00DC6D70"/>
    <w:rsid w:val="00DC6DAA"/>
    <w:rsid w:val="00DC6F33"/>
    <w:rsid w:val="00DC7349"/>
    <w:rsid w:val="00DC7389"/>
    <w:rsid w:val="00DD0EA9"/>
    <w:rsid w:val="00DD137B"/>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637"/>
    <w:rsid w:val="00DD7F7D"/>
    <w:rsid w:val="00DE0159"/>
    <w:rsid w:val="00DE064A"/>
    <w:rsid w:val="00DE082D"/>
    <w:rsid w:val="00DE12A7"/>
    <w:rsid w:val="00DE1410"/>
    <w:rsid w:val="00DE1B18"/>
    <w:rsid w:val="00DE20C6"/>
    <w:rsid w:val="00DE2C0C"/>
    <w:rsid w:val="00DE2E9B"/>
    <w:rsid w:val="00DE3119"/>
    <w:rsid w:val="00DE3789"/>
    <w:rsid w:val="00DE3C24"/>
    <w:rsid w:val="00DE3FF0"/>
    <w:rsid w:val="00DE4105"/>
    <w:rsid w:val="00DE45FC"/>
    <w:rsid w:val="00DE4BEA"/>
    <w:rsid w:val="00DE5189"/>
    <w:rsid w:val="00DE56E3"/>
    <w:rsid w:val="00DE67D2"/>
    <w:rsid w:val="00DE7108"/>
    <w:rsid w:val="00DE78D1"/>
    <w:rsid w:val="00DE78FF"/>
    <w:rsid w:val="00DE7B11"/>
    <w:rsid w:val="00DF0263"/>
    <w:rsid w:val="00DF04AE"/>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DF7CAB"/>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229"/>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1C7B"/>
    <w:rsid w:val="00E1252E"/>
    <w:rsid w:val="00E127D1"/>
    <w:rsid w:val="00E13234"/>
    <w:rsid w:val="00E13867"/>
    <w:rsid w:val="00E1397F"/>
    <w:rsid w:val="00E13AB8"/>
    <w:rsid w:val="00E1482E"/>
    <w:rsid w:val="00E159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547"/>
    <w:rsid w:val="00E257C3"/>
    <w:rsid w:val="00E25CB3"/>
    <w:rsid w:val="00E25DA4"/>
    <w:rsid w:val="00E26237"/>
    <w:rsid w:val="00E26551"/>
    <w:rsid w:val="00E26CB8"/>
    <w:rsid w:val="00E26D16"/>
    <w:rsid w:val="00E26FCF"/>
    <w:rsid w:val="00E27165"/>
    <w:rsid w:val="00E275D9"/>
    <w:rsid w:val="00E3044A"/>
    <w:rsid w:val="00E30E49"/>
    <w:rsid w:val="00E312B1"/>
    <w:rsid w:val="00E31A4A"/>
    <w:rsid w:val="00E3344A"/>
    <w:rsid w:val="00E337CC"/>
    <w:rsid w:val="00E33B29"/>
    <w:rsid w:val="00E33B62"/>
    <w:rsid w:val="00E33D09"/>
    <w:rsid w:val="00E3403D"/>
    <w:rsid w:val="00E34376"/>
    <w:rsid w:val="00E344BD"/>
    <w:rsid w:val="00E34548"/>
    <w:rsid w:val="00E34E6C"/>
    <w:rsid w:val="00E352B9"/>
    <w:rsid w:val="00E353E2"/>
    <w:rsid w:val="00E35E09"/>
    <w:rsid w:val="00E36345"/>
    <w:rsid w:val="00E36C86"/>
    <w:rsid w:val="00E36CEB"/>
    <w:rsid w:val="00E37A28"/>
    <w:rsid w:val="00E400C7"/>
    <w:rsid w:val="00E40430"/>
    <w:rsid w:val="00E40690"/>
    <w:rsid w:val="00E406F5"/>
    <w:rsid w:val="00E40AEB"/>
    <w:rsid w:val="00E40E82"/>
    <w:rsid w:val="00E41141"/>
    <w:rsid w:val="00E4143A"/>
    <w:rsid w:val="00E41E97"/>
    <w:rsid w:val="00E41FFC"/>
    <w:rsid w:val="00E424C8"/>
    <w:rsid w:val="00E4251D"/>
    <w:rsid w:val="00E427EF"/>
    <w:rsid w:val="00E43D00"/>
    <w:rsid w:val="00E43FCB"/>
    <w:rsid w:val="00E443B4"/>
    <w:rsid w:val="00E445E4"/>
    <w:rsid w:val="00E454C2"/>
    <w:rsid w:val="00E457CB"/>
    <w:rsid w:val="00E45D47"/>
    <w:rsid w:val="00E45DE4"/>
    <w:rsid w:val="00E45E63"/>
    <w:rsid w:val="00E45F35"/>
    <w:rsid w:val="00E47027"/>
    <w:rsid w:val="00E4759C"/>
    <w:rsid w:val="00E50A7B"/>
    <w:rsid w:val="00E50B0B"/>
    <w:rsid w:val="00E50B43"/>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7E4"/>
    <w:rsid w:val="00E548C3"/>
    <w:rsid w:val="00E54C6E"/>
    <w:rsid w:val="00E54F27"/>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26B"/>
    <w:rsid w:val="00E623E6"/>
    <w:rsid w:val="00E62ACD"/>
    <w:rsid w:val="00E62BBF"/>
    <w:rsid w:val="00E62C76"/>
    <w:rsid w:val="00E630A2"/>
    <w:rsid w:val="00E630C0"/>
    <w:rsid w:val="00E63107"/>
    <w:rsid w:val="00E6312C"/>
    <w:rsid w:val="00E634E6"/>
    <w:rsid w:val="00E63DCE"/>
    <w:rsid w:val="00E640D2"/>
    <w:rsid w:val="00E642EF"/>
    <w:rsid w:val="00E643A3"/>
    <w:rsid w:val="00E64700"/>
    <w:rsid w:val="00E65074"/>
    <w:rsid w:val="00E65857"/>
    <w:rsid w:val="00E65E70"/>
    <w:rsid w:val="00E66087"/>
    <w:rsid w:val="00E669E5"/>
    <w:rsid w:val="00E66D79"/>
    <w:rsid w:val="00E66FF9"/>
    <w:rsid w:val="00E6706F"/>
    <w:rsid w:val="00E673A2"/>
    <w:rsid w:val="00E67856"/>
    <w:rsid w:val="00E679C8"/>
    <w:rsid w:val="00E67B5A"/>
    <w:rsid w:val="00E70314"/>
    <w:rsid w:val="00E70412"/>
    <w:rsid w:val="00E72080"/>
    <w:rsid w:val="00E724E7"/>
    <w:rsid w:val="00E72791"/>
    <w:rsid w:val="00E72B41"/>
    <w:rsid w:val="00E7347B"/>
    <w:rsid w:val="00E73792"/>
    <w:rsid w:val="00E73D03"/>
    <w:rsid w:val="00E7471C"/>
    <w:rsid w:val="00E7498A"/>
    <w:rsid w:val="00E7514E"/>
    <w:rsid w:val="00E76537"/>
    <w:rsid w:val="00E77784"/>
    <w:rsid w:val="00E77AF5"/>
    <w:rsid w:val="00E8035B"/>
    <w:rsid w:val="00E806D9"/>
    <w:rsid w:val="00E80ADE"/>
    <w:rsid w:val="00E820F4"/>
    <w:rsid w:val="00E82263"/>
    <w:rsid w:val="00E823F9"/>
    <w:rsid w:val="00E82C1F"/>
    <w:rsid w:val="00E83671"/>
    <w:rsid w:val="00E836AD"/>
    <w:rsid w:val="00E83D1E"/>
    <w:rsid w:val="00E840EE"/>
    <w:rsid w:val="00E841EC"/>
    <w:rsid w:val="00E84314"/>
    <w:rsid w:val="00E849CA"/>
    <w:rsid w:val="00E84A71"/>
    <w:rsid w:val="00E8556F"/>
    <w:rsid w:val="00E86556"/>
    <w:rsid w:val="00E86D35"/>
    <w:rsid w:val="00E86DC2"/>
    <w:rsid w:val="00E86E32"/>
    <w:rsid w:val="00E86F2E"/>
    <w:rsid w:val="00E870E4"/>
    <w:rsid w:val="00E8732E"/>
    <w:rsid w:val="00E9011F"/>
    <w:rsid w:val="00E906EB"/>
    <w:rsid w:val="00E9170E"/>
    <w:rsid w:val="00E919FB"/>
    <w:rsid w:val="00E91DE4"/>
    <w:rsid w:val="00E9241E"/>
    <w:rsid w:val="00E92460"/>
    <w:rsid w:val="00E92E62"/>
    <w:rsid w:val="00E93804"/>
    <w:rsid w:val="00E93809"/>
    <w:rsid w:val="00E9429D"/>
    <w:rsid w:val="00E95434"/>
    <w:rsid w:val="00E96467"/>
    <w:rsid w:val="00E96540"/>
    <w:rsid w:val="00E966DA"/>
    <w:rsid w:val="00E96948"/>
    <w:rsid w:val="00E9737B"/>
    <w:rsid w:val="00E97A3F"/>
    <w:rsid w:val="00E97F0A"/>
    <w:rsid w:val="00EA0100"/>
    <w:rsid w:val="00EA0455"/>
    <w:rsid w:val="00EA0BCE"/>
    <w:rsid w:val="00EA10E4"/>
    <w:rsid w:val="00EA17BC"/>
    <w:rsid w:val="00EA2744"/>
    <w:rsid w:val="00EA27F1"/>
    <w:rsid w:val="00EA37B9"/>
    <w:rsid w:val="00EA39F7"/>
    <w:rsid w:val="00EA3C17"/>
    <w:rsid w:val="00EA3DC2"/>
    <w:rsid w:val="00EA434E"/>
    <w:rsid w:val="00EA4757"/>
    <w:rsid w:val="00EA560B"/>
    <w:rsid w:val="00EA5669"/>
    <w:rsid w:val="00EA5A56"/>
    <w:rsid w:val="00EA5CC6"/>
    <w:rsid w:val="00EA63EF"/>
    <w:rsid w:val="00EA6B8C"/>
    <w:rsid w:val="00EA7026"/>
    <w:rsid w:val="00EA7CBF"/>
    <w:rsid w:val="00EB0A89"/>
    <w:rsid w:val="00EB0BD8"/>
    <w:rsid w:val="00EB1573"/>
    <w:rsid w:val="00EB1910"/>
    <w:rsid w:val="00EB2564"/>
    <w:rsid w:val="00EB2D83"/>
    <w:rsid w:val="00EB2E97"/>
    <w:rsid w:val="00EB3399"/>
    <w:rsid w:val="00EB3416"/>
    <w:rsid w:val="00EB3439"/>
    <w:rsid w:val="00EB497D"/>
    <w:rsid w:val="00EB4AE1"/>
    <w:rsid w:val="00EB5001"/>
    <w:rsid w:val="00EB52F4"/>
    <w:rsid w:val="00EB5694"/>
    <w:rsid w:val="00EB5779"/>
    <w:rsid w:val="00EB5D2F"/>
    <w:rsid w:val="00EB610C"/>
    <w:rsid w:val="00EB67F1"/>
    <w:rsid w:val="00EB6ADA"/>
    <w:rsid w:val="00EB7132"/>
    <w:rsid w:val="00EB72CD"/>
    <w:rsid w:val="00EB749A"/>
    <w:rsid w:val="00EB76B6"/>
    <w:rsid w:val="00EB7D8A"/>
    <w:rsid w:val="00EC04F7"/>
    <w:rsid w:val="00EC05E2"/>
    <w:rsid w:val="00EC0E84"/>
    <w:rsid w:val="00EC1490"/>
    <w:rsid w:val="00EC16E2"/>
    <w:rsid w:val="00EC1CE7"/>
    <w:rsid w:val="00EC1DAE"/>
    <w:rsid w:val="00EC1E82"/>
    <w:rsid w:val="00EC26F1"/>
    <w:rsid w:val="00EC2E9D"/>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0E04"/>
    <w:rsid w:val="00EE1258"/>
    <w:rsid w:val="00EE13DA"/>
    <w:rsid w:val="00EE1668"/>
    <w:rsid w:val="00EE1EDB"/>
    <w:rsid w:val="00EE24E2"/>
    <w:rsid w:val="00EE2A20"/>
    <w:rsid w:val="00EE2A68"/>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63F"/>
    <w:rsid w:val="00EF0B6B"/>
    <w:rsid w:val="00EF0EA4"/>
    <w:rsid w:val="00EF13A6"/>
    <w:rsid w:val="00EF1E97"/>
    <w:rsid w:val="00EF1F85"/>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CB"/>
    <w:rsid w:val="00F00EDC"/>
    <w:rsid w:val="00F01657"/>
    <w:rsid w:val="00F01E67"/>
    <w:rsid w:val="00F02744"/>
    <w:rsid w:val="00F02BFD"/>
    <w:rsid w:val="00F02D25"/>
    <w:rsid w:val="00F02FF4"/>
    <w:rsid w:val="00F03A9C"/>
    <w:rsid w:val="00F03C3D"/>
    <w:rsid w:val="00F0435D"/>
    <w:rsid w:val="00F04580"/>
    <w:rsid w:val="00F04ECA"/>
    <w:rsid w:val="00F04F8B"/>
    <w:rsid w:val="00F0555A"/>
    <w:rsid w:val="00F06E19"/>
    <w:rsid w:val="00F06F84"/>
    <w:rsid w:val="00F076E7"/>
    <w:rsid w:val="00F07A86"/>
    <w:rsid w:val="00F07AA1"/>
    <w:rsid w:val="00F101AF"/>
    <w:rsid w:val="00F102E0"/>
    <w:rsid w:val="00F105AE"/>
    <w:rsid w:val="00F10618"/>
    <w:rsid w:val="00F1085C"/>
    <w:rsid w:val="00F10E7D"/>
    <w:rsid w:val="00F1108B"/>
    <w:rsid w:val="00F114FA"/>
    <w:rsid w:val="00F11768"/>
    <w:rsid w:val="00F11951"/>
    <w:rsid w:val="00F11B30"/>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23"/>
    <w:rsid w:val="00F20ECE"/>
    <w:rsid w:val="00F213A0"/>
    <w:rsid w:val="00F213E7"/>
    <w:rsid w:val="00F2148C"/>
    <w:rsid w:val="00F217E5"/>
    <w:rsid w:val="00F21C72"/>
    <w:rsid w:val="00F21D54"/>
    <w:rsid w:val="00F21EF4"/>
    <w:rsid w:val="00F221A2"/>
    <w:rsid w:val="00F22697"/>
    <w:rsid w:val="00F22FEB"/>
    <w:rsid w:val="00F23069"/>
    <w:rsid w:val="00F23113"/>
    <w:rsid w:val="00F23145"/>
    <w:rsid w:val="00F23255"/>
    <w:rsid w:val="00F23393"/>
    <w:rsid w:val="00F23759"/>
    <w:rsid w:val="00F24644"/>
    <w:rsid w:val="00F247DD"/>
    <w:rsid w:val="00F24BB1"/>
    <w:rsid w:val="00F254C7"/>
    <w:rsid w:val="00F25947"/>
    <w:rsid w:val="00F262D6"/>
    <w:rsid w:val="00F26F33"/>
    <w:rsid w:val="00F273D5"/>
    <w:rsid w:val="00F2748A"/>
    <w:rsid w:val="00F2786C"/>
    <w:rsid w:val="00F300A8"/>
    <w:rsid w:val="00F302C6"/>
    <w:rsid w:val="00F30400"/>
    <w:rsid w:val="00F3079E"/>
    <w:rsid w:val="00F31289"/>
    <w:rsid w:val="00F3232D"/>
    <w:rsid w:val="00F329D6"/>
    <w:rsid w:val="00F3399B"/>
    <w:rsid w:val="00F33F4B"/>
    <w:rsid w:val="00F34590"/>
    <w:rsid w:val="00F346ED"/>
    <w:rsid w:val="00F34945"/>
    <w:rsid w:val="00F34E1E"/>
    <w:rsid w:val="00F3570C"/>
    <w:rsid w:val="00F35F49"/>
    <w:rsid w:val="00F363A4"/>
    <w:rsid w:val="00F36765"/>
    <w:rsid w:val="00F368FF"/>
    <w:rsid w:val="00F37068"/>
    <w:rsid w:val="00F374C8"/>
    <w:rsid w:val="00F37E5F"/>
    <w:rsid w:val="00F37F3F"/>
    <w:rsid w:val="00F40992"/>
    <w:rsid w:val="00F40F72"/>
    <w:rsid w:val="00F41596"/>
    <w:rsid w:val="00F41D8B"/>
    <w:rsid w:val="00F42121"/>
    <w:rsid w:val="00F424B3"/>
    <w:rsid w:val="00F428B1"/>
    <w:rsid w:val="00F428B4"/>
    <w:rsid w:val="00F4345D"/>
    <w:rsid w:val="00F4387B"/>
    <w:rsid w:val="00F45756"/>
    <w:rsid w:val="00F45921"/>
    <w:rsid w:val="00F45B91"/>
    <w:rsid w:val="00F46639"/>
    <w:rsid w:val="00F476FD"/>
    <w:rsid w:val="00F50183"/>
    <w:rsid w:val="00F503A1"/>
    <w:rsid w:val="00F50D92"/>
    <w:rsid w:val="00F51765"/>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0AC"/>
    <w:rsid w:val="00F63E4E"/>
    <w:rsid w:val="00F65525"/>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53B5"/>
    <w:rsid w:val="00F767E4"/>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4EC"/>
    <w:rsid w:val="00F86787"/>
    <w:rsid w:val="00F86B5D"/>
    <w:rsid w:val="00F87634"/>
    <w:rsid w:val="00F87677"/>
    <w:rsid w:val="00F87C13"/>
    <w:rsid w:val="00F87C5A"/>
    <w:rsid w:val="00F87E29"/>
    <w:rsid w:val="00F87F18"/>
    <w:rsid w:val="00F87F68"/>
    <w:rsid w:val="00F905BE"/>
    <w:rsid w:val="00F9075B"/>
    <w:rsid w:val="00F90C4D"/>
    <w:rsid w:val="00F91098"/>
    <w:rsid w:val="00F9167D"/>
    <w:rsid w:val="00F91CB2"/>
    <w:rsid w:val="00F9275A"/>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AB4"/>
    <w:rsid w:val="00FA1C4A"/>
    <w:rsid w:val="00FA1DA2"/>
    <w:rsid w:val="00FA313F"/>
    <w:rsid w:val="00FA3414"/>
    <w:rsid w:val="00FA347A"/>
    <w:rsid w:val="00FA3CDE"/>
    <w:rsid w:val="00FA4034"/>
    <w:rsid w:val="00FA49B7"/>
    <w:rsid w:val="00FA4D9A"/>
    <w:rsid w:val="00FA5043"/>
    <w:rsid w:val="00FA60C1"/>
    <w:rsid w:val="00FA65A3"/>
    <w:rsid w:val="00FA6BCA"/>
    <w:rsid w:val="00FA6D46"/>
    <w:rsid w:val="00FA6F8B"/>
    <w:rsid w:val="00FA727C"/>
    <w:rsid w:val="00FA7A30"/>
    <w:rsid w:val="00FB033F"/>
    <w:rsid w:val="00FB0880"/>
    <w:rsid w:val="00FB0A80"/>
    <w:rsid w:val="00FB12E3"/>
    <w:rsid w:val="00FB1570"/>
    <w:rsid w:val="00FB193B"/>
    <w:rsid w:val="00FB1FBC"/>
    <w:rsid w:val="00FB27B7"/>
    <w:rsid w:val="00FB2A8A"/>
    <w:rsid w:val="00FB35E3"/>
    <w:rsid w:val="00FB40BA"/>
    <w:rsid w:val="00FB4C98"/>
    <w:rsid w:val="00FB4CE3"/>
    <w:rsid w:val="00FB583C"/>
    <w:rsid w:val="00FB630E"/>
    <w:rsid w:val="00FB6738"/>
    <w:rsid w:val="00FB6761"/>
    <w:rsid w:val="00FB691B"/>
    <w:rsid w:val="00FB6BE6"/>
    <w:rsid w:val="00FB731C"/>
    <w:rsid w:val="00FB7628"/>
    <w:rsid w:val="00FC0363"/>
    <w:rsid w:val="00FC05A0"/>
    <w:rsid w:val="00FC0811"/>
    <w:rsid w:val="00FC09B3"/>
    <w:rsid w:val="00FC1196"/>
    <w:rsid w:val="00FC15EB"/>
    <w:rsid w:val="00FC162C"/>
    <w:rsid w:val="00FC18DC"/>
    <w:rsid w:val="00FC2477"/>
    <w:rsid w:val="00FC26EA"/>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31B"/>
    <w:rsid w:val="00FC76A9"/>
    <w:rsid w:val="00FC79AB"/>
    <w:rsid w:val="00FC7BE7"/>
    <w:rsid w:val="00FC7DAC"/>
    <w:rsid w:val="00FD005D"/>
    <w:rsid w:val="00FD0216"/>
    <w:rsid w:val="00FD04AE"/>
    <w:rsid w:val="00FD0DFA"/>
    <w:rsid w:val="00FD16ED"/>
    <w:rsid w:val="00FD1890"/>
    <w:rsid w:val="00FD192D"/>
    <w:rsid w:val="00FD1994"/>
    <w:rsid w:val="00FD28F6"/>
    <w:rsid w:val="00FD3508"/>
    <w:rsid w:val="00FD393C"/>
    <w:rsid w:val="00FD3AFF"/>
    <w:rsid w:val="00FD43BB"/>
    <w:rsid w:val="00FD4775"/>
    <w:rsid w:val="00FD4AF3"/>
    <w:rsid w:val="00FD5443"/>
    <w:rsid w:val="00FD64C9"/>
    <w:rsid w:val="00FD6675"/>
    <w:rsid w:val="00FD6DC5"/>
    <w:rsid w:val="00FD72B1"/>
    <w:rsid w:val="00FD798D"/>
    <w:rsid w:val="00FE141E"/>
    <w:rsid w:val="00FE144E"/>
    <w:rsid w:val="00FE1768"/>
    <w:rsid w:val="00FE1DD5"/>
    <w:rsid w:val="00FE1FCD"/>
    <w:rsid w:val="00FE24ED"/>
    <w:rsid w:val="00FE24F4"/>
    <w:rsid w:val="00FE2560"/>
    <w:rsid w:val="00FE35D0"/>
    <w:rsid w:val="00FE3E83"/>
    <w:rsid w:val="00FE3F1F"/>
    <w:rsid w:val="00FE42ED"/>
    <w:rsid w:val="00FE4E06"/>
    <w:rsid w:val="00FE55A7"/>
    <w:rsid w:val="00FE5C5A"/>
    <w:rsid w:val="00FE5F90"/>
    <w:rsid w:val="00FE601E"/>
    <w:rsid w:val="00FE6432"/>
    <w:rsid w:val="00FE6928"/>
    <w:rsid w:val="00FE72A0"/>
    <w:rsid w:val="00FE7A8F"/>
    <w:rsid w:val="00FF0050"/>
    <w:rsid w:val="00FF045F"/>
    <w:rsid w:val="00FF05D7"/>
    <w:rsid w:val="00FF0816"/>
    <w:rsid w:val="00FF0EC4"/>
    <w:rsid w:val="00FF13D4"/>
    <w:rsid w:val="00FF1925"/>
    <w:rsid w:val="00FF1AE5"/>
    <w:rsid w:val="00FF2053"/>
    <w:rsid w:val="00FF22E8"/>
    <w:rsid w:val="00FF25D7"/>
    <w:rsid w:val="00FF26FB"/>
    <w:rsid w:val="00FF28E9"/>
    <w:rsid w:val="00FF2EA5"/>
    <w:rsid w:val="00FF321D"/>
    <w:rsid w:val="00FF3B37"/>
    <w:rsid w:val="00FF3BF6"/>
    <w:rsid w:val="00FF3CC7"/>
    <w:rsid w:val="00FF3D6F"/>
    <w:rsid w:val="00FF441A"/>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334">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4455798">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636492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0509370">
      <w:bodyDiv w:val="1"/>
      <w:marLeft w:val="0"/>
      <w:marRight w:val="0"/>
      <w:marTop w:val="0"/>
      <w:marBottom w:val="0"/>
      <w:divBdr>
        <w:top w:val="none" w:sz="0" w:space="0" w:color="auto"/>
        <w:left w:val="none" w:sz="0" w:space="0" w:color="auto"/>
        <w:bottom w:val="none" w:sz="0" w:space="0" w:color="auto"/>
        <w:right w:val="none" w:sz="0" w:space="0" w:color="auto"/>
      </w:divBdr>
    </w:div>
    <w:div w:id="163863141">
      <w:bodyDiv w:val="1"/>
      <w:marLeft w:val="0"/>
      <w:marRight w:val="0"/>
      <w:marTop w:val="0"/>
      <w:marBottom w:val="0"/>
      <w:divBdr>
        <w:top w:val="none" w:sz="0" w:space="0" w:color="auto"/>
        <w:left w:val="none" w:sz="0" w:space="0" w:color="auto"/>
        <w:bottom w:val="none" w:sz="0" w:space="0" w:color="auto"/>
        <w:right w:val="none" w:sz="0" w:space="0" w:color="auto"/>
      </w:divBdr>
    </w:div>
    <w:div w:id="16621537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7178062">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6937139">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177527">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24949">
      <w:bodyDiv w:val="1"/>
      <w:marLeft w:val="0"/>
      <w:marRight w:val="0"/>
      <w:marTop w:val="0"/>
      <w:marBottom w:val="0"/>
      <w:divBdr>
        <w:top w:val="none" w:sz="0" w:space="0" w:color="auto"/>
        <w:left w:val="none" w:sz="0" w:space="0" w:color="auto"/>
        <w:bottom w:val="none" w:sz="0" w:space="0" w:color="auto"/>
        <w:right w:val="none" w:sz="0" w:space="0" w:color="auto"/>
      </w:divBdr>
      <w:divsChild>
        <w:div w:id="1733194013">
          <w:marLeft w:val="0"/>
          <w:marRight w:val="0"/>
          <w:marTop w:val="0"/>
          <w:marBottom w:val="0"/>
          <w:divBdr>
            <w:top w:val="none" w:sz="0" w:space="0" w:color="auto"/>
            <w:left w:val="none" w:sz="0" w:space="0" w:color="auto"/>
            <w:bottom w:val="none" w:sz="0" w:space="0" w:color="auto"/>
            <w:right w:val="none" w:sz="0" w:space="0" w:color="auto"/>
          </w:divBdr>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38317977">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69655458">
      <w:bodyDiv w:val="1"/>
      <w:marLeft w:val="0"/>
      <w:marRight w:val="0"/>
      <w:marTop w:val="0"/>
      <w:marBottom w:val="0"/>
      <w:divBdr>
        <w:top w:val="none" w:sz="0" w:space="0" w:color="auto"/>
        <w:left w:val="none" w:sz="0" w:space="0" w:color="auto"/>
        <w:bottom w:val="none" w:sz="0" w:space="0" w:color="auto"/>
        <w:right w:val="none" w:sz="0" w:space="0" w:color="auto"/>
      </w:divBdr>
      <w:divsChild>
        <w:div w:id="167838961">
          <w:marLeft w:val="0"/>
          <w:marRight w:val="0"/>
          <w:marTop w:val="0"/>
          <w:marBottom w:val="0"/>
          <w:divBdr>
            <w:top w:val="none" w:sz="0" w:space="0" w:color="auto"/>
            <w:left w:val="none" w:sz="0" w:space="0" w:color="auto"/>
            <w:bottom w:val="none" w:sz="0" w:space="0" w:color="auto"/>
            <w:right w:val="none" w:sz="0" w:space="0" w:color="auto"/>
          </w:divBdr>
        </w:div>
      </w:divsChild>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3971">
      <w:bodyDiv w:val="1"/>
      <w:marLeft w:val="0"/>
      <w:marRight w:val="0"/>
      <w:marTop w:val="0"/>
      <w:marBottom w:val="0"/>
      <w:divBdr>
        <w:top w:val="none" w:sz="0" w:space="0" w:color="auto"/>
        <w:left w:val="none" w:sz="0" w:space="0" w:color="auto"/>
        <w:bottom w:val="none" w:sz="0" w:space="0" w:color="auto"/>
        <w:right w:val="none" w:sz="0" w:space="0" w:color="auto"/>
      </w:divBdr>
      <w:divsChild>
        <w:div w:id="569851322">
          <w:marLeft w:val="0"/>
          <w:marRight w:val="0"/>
          <w:marTop w:val="0"/>
          <w:marBottom w:val="0"/>
          <w:divBdr>
            <w:top w:val="none" w:sz="0" w:space="0" w:color="auto"/>
            <w:left w:val="none" w:sz="0" w:space="0" w:color="auto"/>
            <w:bottom w:val="none" w:sz="0" w:space="0" w:color="auto"/>
            <w:right w:val="none" w:sz="0" w:space="0" w:color="auto"/>
          </w:divBdr>
          <w:divsChild>
            <w:div w:id="468135633">
              <w:marLeft w:val="0"/>
              <w:marRight w:val="0"/>
              <w:marTop w:val="0"/>
              <w:marBottom w:val="0"/>
              <w:divBdr>
                <w:top w:val="none" w:sz="0" w:space="0" w:color="auto"/>
                <w:left w:val="none" w:sz="0" w:space="0" w:color="auto"/>
                <w:bottom w:val="none" w:sz="0" w:space="0" w:color="auto"/>
                <w:right w:val="none" w:sz="0" w:space="0" w:color="auto"/>
              </w:divBdr>
              <w:divsChild>
                <w:div w:id="169699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8926839">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5260056">
      <w:bodyDiv w:val="1"/>
      <w:marLeft w:val="0"/>
      <w:marRight w:val="0"/>
      <w:marTop w:val="0"/>
      <w:marBottom w:val="0"/>
      <w:divBdr>
        <w:top w:val="none" w:sz="0" w:space="0" w:color="auto"/>
        <w:left w:val="none" w:sz="0" w:space="0" w:color="auto"/>
        <w:bottom w:val="none" w:sz="0" w:space="0" w:color="auto"/>
        <w:right w:val="none" w:sz="0" w:space="0" w:color="auto"/>
      </w:divBdr>
      <w:divsChild>
        <w:div w:id="196893523">
          <w:marLeft w:val="0"/>
          <w:marRight w:val="0"/>
          <w:marTop w:val="0"/>
          <w:marBottom w:val="0"/>
          <w:divBdr>
            <w:top w:val="none" w:sz="0" w:space="0" w:color="auto"/>
            <w:left w:val="none" w:sz="0" w:space="0" w:color="auto"/>
            <w:bottom w:val="none" w:sz="0" w:space="0" w:color="auto"/>
            <w:right w:val="none" w:sz="0" w:space="0" w:color="auto"/>
          </w:divBdr>
          <w:divsChild>
            <w:div w:id="1154762447">
              <w:marLeft w:val="0"/>
              <w:marRight w:val="0"/>
              <w:marTop w:val="0"/>
              <w:marBottom w:val="0"/>
              <w:divBdr>
                <w:top w:val="none" w:sz="0" w:space="0" w:color="auto"/>
                <w:left w:val="none" w:sz="0" w:space="0" w:color="auto"/>
                <w:bottom w:val="none" w:sz="0" w:space="0" w:color="auto"/>
                <w:right w:val="none" w:sz="0" w:space="0" w:color="auto"/>
              </w:divBdr>
              <w:divsChild>
                <w:div w:id="4794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9605319">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484139">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773052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2671999">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45102">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0293017">
      <w:bodyDiv w:val="1"/>
      <w:marLeft w:val="0"/>
      <w:marRight w:val="0"/>
      <w:marTop w:val="0"/>
      <w:marBottom w:val="0"/>
      <w:divBdr>
        <w:top w:val="none" w:sz="0" w:space="0" w:color="auto"/>
        <w:left w:val="none" w:sz="0" w:space="0" w:color="auto"/>
        <w:bottom w:val="none" w:sz="0" w:space="0" w:color="auto"/>
        <w:right w:val="none" w:sz="0" w:space="0" w:color="auto"/>
      </w:divBdr>
      <w:divsChild>
        <w:div w:id="1902599166">
          <w:marLeft w:val="0"/>
          <w:marRight w:val="0"/>
          <w:marTop w:val="0"/>
          <w:marBottom w:val="0"/>
          <w:divBdr>
            <w:top w:val="none" w:sz="0" w:space="0" w:color="auto"/>
            <w:left w:val="none" w:sz="0" w:space="0" w:color="auto"/>
            <w:bottom w:val="none" w:sz="0" w:space="0" w:color="auto"/>
            <w:right w:val="none" w:sz="0" w:space="0" w:color="auto"/>
          </w:divBdr>
        </w:div>
      </w:divsChild>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09361">
      <w:bodyDiv w:val="1"/>
      <w:marLeft w:val="0"/>
      <w:marRight w:val="0"/>
      <w:marTop w:val="0"/>
      <w:marBottom w:val="0"/>
      <w:divBdr>
        <w:top w:val="none" w:sz="0" w:space="0" w:color="auto"/>
        <w:left w:val="none" w:sz="0" w:space="0" w:color="auto"/>
        <w:bottom w:val="none" w:sz="0" w:space="0" w:color="auto"/>
        <w:right w:val="none" w:sz="0" w:space="0" w:color="auto"/>
      </w:divBdr>
      <w:divsChild>
        <w:div w:id="1205214371">
          <w:marLeft w:val="0"/>
          <w:marRight w:val="0"/>
          <w:marTop w:val="0"/>
          <w:marBottom w:val="0"/>
          <w:divBdr>
            <w:top w:val="none" w:sz="0" w:space="0" w:color="auto"/>
            <w:left w:val="none" w:sz="0" w:space="0" w:color="auto"/>
            <w:bottom w:val="none" w:sz="0" w:space="0" w:color="auto"/>
            <w:right w:val="none" w:sz="0" w:space="0" w:color="auto"/>
          </w:divBdr>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0378688">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68828521">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198581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2782460">
      <w:bodyDiv w:val="1"/>
      <w:marLeft w:val="0"/>
      <w:marRight w:val="0"/>
      <w:marTop w:val="0"/>
      <w:marBottom w:val="0"/>
      <w:divBdr>
        <w:top w:val="none" w:sz="0" w:space="0" w:color="auto"/>
        <w:left w:val="none" w:sz="0" w:space="0" w:color="auto"/>
        <w:bottom w:val="none" w:sz="0" w:space="0" w:color="auto"/>
        <w:right w:val="none" w:sz="0" w:space="0" w:color="auto"/>
      </w:divBdr>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646553">
      <w:bodyDiv w:val="1"/>
      <w:marLeft w:val="0"/>
      <w:marRight w:val="0"/>
      <w:marTop w:val="0"/>
      <w:marBottom w:val="0"/>
      <w:divBdr>
        <w:top w:val="none" w:sz="0" w:space="0" w:color="auto"/>
        <w:left w:val="none" w:sz="0" w:space="0" w:color="auto"/>
        <w:bottom w:val="none" w:sz="0" w:space="0" w:color="auto"/>
        <w:right w:val="none" w:sz="0" w:space="0" w:color="auto"/>
      </w:divBdr>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26049085">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422281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37609068">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979490">
      <w:bodyDiv w:val="1"/>
      <w:marLeft w:val="0"/>
      <w:marRight w:val="0"/>
      <w:marTop w:val="0"/>
      <w:marBottom w:val="0"/>
      <w:divBdr>
        <w:top w:val="none" w:sz="0" w:space="0" w:color="auto"/>
        <w:left w:val="none" w:sz="0" w:space="0" w:color="auto"/>
        <w:bottom w:val="none" w:sz="0" w:space="0" w:color="auto"/>
        <w:right w:val="none" w:sz="0" w:space="0" w:color="auto"/>
      </w:divBdr>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566088">
      <w:bodyDiv w:val="1"/>
      <w:marLeft w:val="0"/>
      <w:marRight w:val="0"/>
      <w:marTop w:val="0"/>
      <w:marBottom w:val="0"/>
      <w:divBdr>
        <w:top w:val="none" w:sz="0" w:space="0" w:color="auto"/>
        <w:left w:val="none" w:sz="0" w:space="0" w:color="auto"/>
        <w:bottom w:val="none" w:sz="0" w:space="0" w:color="auto"/>
        <w:right w:val="none" w:sz="0" w:space="0" w:color="auto"/>
      </w:divBdr>
      <w:divsChild>
        <w:div w:id="501700179">
          <w:marLeft w:val="0"/>
          <w:marRight w:val="0"/>
          <w:marTop w:val="0"/>
          <w:marBottom w:val="0"/>
          <w:divBdr>
            <w:top w:val="none" w:sz="0" w:space="0" w:color="auto"/>
            <w:left w:val="none" w:sz="0" w:space="0" w:color="auto"/>
            <w:bottom w:val="none" w:sz="0" w:space="0" w:color="auto"/>
            <w:right w:val="none" w:sz="0" w:space="0" w:color="auto"/>
          </w:divBdr>
        </w:div>
      </w:divsChild>
    </w:div>
    <w:div w:id="1374034353">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1643">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3404675">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1574774">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1125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1472566">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26380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7269821">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5223">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840300">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33321">
      <w:bodyDiv w:val="1"/>
      <w:marLeft w:val="0"/>
      <w:marRight w:val="0"/>
      <w:marTop w:val="0"/>
      <w:marBottom w:val="0"/>
      <w:divBdr>
        <w:top w:val="none" w:sz="0" w:space="0" w:color="auto"/>
        <w:left w:val="none" w:sz="0" w:space="0" w:color="auto"/>
        <w:bottom w:val="none" w:sz="0" w:space="0" w:color="auto"/>
        <w:right w:val="none" w:sz="0" w:space="0" w:color="auto"/>
      </w:divBdr>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601013">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2547011">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0694431">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0672078">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96227759">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55081909">
      <w:bodyDiv w:val="1"/>
      <w:marLeft w:val="0"/>
      <w:marRight w:val="0"/>
      <w:marTop w:val="0"/>
      <w:marBottom w:val="0"/>
      <w:divBdr>
        <w:top w:val="none" w:sz="0" w:space="0" w:color="auto"/>
        <w:left w:val="none" w:sz="0" w:space="0" w:color="auto"/>
        <w:bottom w:val="none" w:sz="0" w:space="0" w:color="auto"/>
        <w:right w:val="none" w:sz="0" w:space="0" w:color="auto"/>
      </w:divBdr>
    </w:div>
    <w:div w:id="2057392023">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C828A7FE-4B7A-479C-8712-B113F16BC8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25</TotalTime>
  <Pages>13</Pages>
  <Words>4764</Words>
  <Characters>26204</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alfredo benavides zarate</cp:lastModifiedBy>
  <cp:revision>6</cp:revision>
  <cp:lastPrinted>2020-01-30T15:05:00Z</cp:lastPrinted>
  <dcterms:created xsi:type="dcterms:W3CDTF">2021-09-27T20:26:00Z</dcterms:created>
  <dcterms:modified xsi:type="dcterms:W3CDTF">2021-10-01T03:27:00Z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