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5D27B" w14:textId="77777777" w:rsidR="003675AB" w:rsidRPr="00F16E24" w:rsidRDefault="003675AB" w:rsidP="003675AB">
      <w:pPr>
        <w:spacing w:after="0" w:line="276" w:lineRule="auto"/>
        <w:jc w:val="both"/>
        <w:rPr>
          <w:rFonts w:ascii="Arial" w:eastAsia="Calibri" w:hAnsi="Arial" w:cs="Arial"/>
          <w:b/>
          <w:bCs/>
          <w:color w:val="000000" w:themeColor="text1"/>
          <w:sz w:val="24"/>
          <w:szCs w:val="24"/>
          <w:lang w:val="es-ES" w:eastAsia="es-ES"/>
        </w:rPr>
      </w:pPr>
      <w:r w:rsidRPr="00F16E24">
        <w:rPr>
          <w:rFonts w:ascii="Arial" w:eastAsia="Calibri" w:hAnsi="Arial" w:cs="Arial"/>
          <w:b/>
          <w:bCs/>
          <w:color w:val="000000" w:themeColor="text1"/>
          <w:sz w:val="24"/>
          <w:szCs w:val="24"/>
          <w:lang w:val="es-ES" w:eastAsia="es-ES"/>
        </w:rPr>
        <w:t>REQUISITOS HABILITANTES – Capacidad financiera – Autonomía</w:t>
      </w:r>
    </w:p>
    <w:p w14:paraId="77F8B164" w14:textId="77777777" w:rsidR="003675AB" w:rsidRPr="00F16E24" w:rsidRDefault="003675AB" w:rsidP="003675AB">
      <w:pPr>
        <w:spacing w:after="0" w:line="276" w:lineRule="auto"/>
        <w:jc w:val="both"/>
        <w:rPr>
          <w:rFonts w:ascii="Arial" w:eastAsia="Calibri" w:hAnsi="Arial" w:cs="Arial"/>
          <w:color w:val="000000" w:themeColor="text1"/>
          <w:sz w:val="24"/>
          <w:szCs w:val="24"/>
          <w:lang w:val="es-ES" w:eastAsia="es-ES"/>
        </w:rPr>
      </w:pPr>
    </w:p>
    <w:p w14:paraId="1ABA3B26" w14:textId="77777777" w:rsidR="003675AB" w:rsidRPr="00F16E24" w:rsidRDefault="003675AB" w:rsidP="003675AB">
      <w:pPr>
        <w:spacing w:after="0" w:line="240" w:lineRule="auto"/>
        <w:jc w:val="both"/>
        <w:rPr>
          <w:rFonts w:ascii="Arial" w:eastAsia="Calibri" w:hAnsi="Arial" w:cs="Arial"/>
          <w:color w:val="000000" w:themeColor="text1"/>
          <w:sz w:val="24"/>
          <w:szCs w:val="24"/>
          <w:lang w:val="es-ES" w:eastAsia="es-ES"/>
        </w:rPr>
      </w:pPr>
      <w:r w:rsidRPr="00F16E24">
        <w:rPr>
          <w:rFonts w:ascii="Arial" w:eastAsia="Calibri" w:hAnsi="Arial" w:cs="Arial"/>
          <w:color w:val="000000" w:themeColor="text1"/>
          <w:sz w:val="24"/>
          <w:szCs w:val="24"/>
          <w:lang w:val="es-ES" w:eastAsia="es-ES"/>
        </w:rPr>
        <w:t>Los requisitos habilitantes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28BE3FE0" w14:textId="77777777" w:rsidR="003675AB" w:rsidRPr="00F16E24" w:rsidRDefault="003675AB" w:rsidP="003675AB">
      <w:pPr>
        <w:spacing w:after="0" w:line="240" w:lineRule="auto"/>
        <w:jc w:val="both"/>
        <w:rPr>
          <w:rFonts w:ascii="Arial" w:eastAsia="Calibri" w:hAnsi="Arial" w:cs="Arial"/>
          <w:color w:val="000000" w:themeColor="text1"/>
          <w:sz w:val="24"/>
          <w:szCs w:val="24"/>
          <w:lang w:val="es-ES" w:eastAsia="es-ES"/>
        </w:rPr>
      </w:pPr>
    </w:p>
    <w:p w14:paraId="757BD0FB" w14:textId="77777777" w:rsidR="003675AB" w:rsidRPr="00F16E24" w:rsidRDefault="003675AB" w:rsidP="003675AB">
      <w:pPr>
        <w:spacing w:after="0" w:line="240" w:lineRule="auto"/>
        <w:jc w:val="both"/>
        <w:rPr>
          <w:rFonts w:ascii="Arial" w:eastAsia="Calibri" w:hAnsi="Arial" w:cs="Arial"/>
          <w:color w:val="000000" w:themeColor="text1"/>
          <w:sz w:val="24"/>
          <w:szCs w:val="24"/>
          <w:lang w:val="es-ES" w:eastAsia="es-ES"/>
        </w:rPr>
      </w:pPr>
      <w:r w:rsidRPr="00F16E24">
        <w:rPr>
          <w:rFonts w:ascii="Arial" w:eastAsia="Calibri" w:hAnsi="Arial" w:cs="Arial"/>
          <w:color w:val="000000" w:themeColor="text1"/>
          <w:sz w:val="24"/>
          <w:szCs w:val="24"/>
          <w:lang w:val="es-ES" w:eastAsia="es-ES"/>
        </w:rPr>
        <w:t>[…]</w:t>
      </w:r>
    </w:p>
    <w:p w14:paraId="51602988" w14:textId="77777777" w:rsidR="003675AB" w:rsidRPr="00F16E24" w:rsidRDefault="003675AB" w:rsidP="003675AB">
      <w:pPr>
        <w:spacing w:after="0" w:line="240" w:lineRule="auto"/>
        <w:jc w:val="both"/>
        <w:rPr>
          <w:rFonts w:ascii="Arial" w:eastAsia="Calibri" w:hAnsi="Arial" w:cs="Arial"/>
          <w:color w:val="000000" w:themeColor="text1"/>
          <w:sz w:val="24"/>
          <w:szCs w:val="24"/>
          <w:lang w:val="es-ES" w:eastAsia="es-ES"/>
        </w:rPr>
      </w:pPr>
    </w:p>
    <w:p w14:paraId="2A0D2585" w14:textId="77777777" w:rsidR="003675AB" w:rsidRDefault="003675AB" w:rsidP="003675AB">
      <w:pPr>
        <w:spacing w:after="0" w:line="240" w:lineRule="auto"/>
        <w:jc w:val="both"/>
        <w:rPr>
          <w:rFonts w:ascii="Arial" w:eastAsia="Calibri" w:hAnsi="Arial" w:cs="Arial"/>
          <w:color w:val="000000" w:themeColor="text1"/>
          <w:sz w:val="24"/>
          <w:szCs w:val="24"/>
          <w:lang w:val="es-ES" w:eastAsia="es-ES"/>
        </w:rPr>
      </w:pPr>
      <w:r w:rsidRPr="00F16E24">
        <w:rPr>
          <w:rFonts w:ascii="Arial" w:eastAsia="Calibri" w:hAnsi="Arial" w:cs="Arial"/>
          <w:color w:val="000000" w:themeColor="text1"/>
          <w:sz w:val="24"/>
          <w:szCs w:val="24"/>
          <w:lang w:val="es-ES" w:eastAsia="es-ES"/>
        </w:rPr>
        <w:t xml:space="preserve">Ahora bien, dentro de los requisitos habilitantes se destaca la capacidad financiera, la cual se deriva del comportamiento contable de la empresa, su liquidez y endeudamiento, para determinar que sus recursos y solidez financiera le permita cumplir los compromisos que adquiera. Como explica esta Agencia en el Manual para determinar y verificar los requisitos habilitantes en los procesos de contratación: </w:t>
      </w:r>
      <w:r w:rsidRPr="00F16E24">
        <w:rPr>
          <w:rFonts w:ascii="Arial" w:eastAsia="Calibri" w:hAnsi="Arial" w:cs="Arial"/>
          <w:i/>
          <w:iCs/>
          <w:color w:val="000000" w:themeColor="text1"/>
          <w:sz w:val="24"/>
          <w:szCs w:val="24"/>
          <w:lang w:val="es-ES" w:eastAsia="es-ES"/>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F16E24">
        <w:rPr>
          <w:rFonts w:ascii="Arial" w:eastAsia="Calibri" w:hAnsi="Arial" w:cs="Arial"/>
          <w:color w:val="000000" w:themeColor="text1"/>
          <w:sz w:val="24"/>
          <w:szCs w:val="24"/>
          <w:lang w:val="es-ES" w:eastAsia="es-ES"/>
        </w:rPr>
        <w:t>”.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 y sus componentes como la identificación de riesgos, el mercado y precio del bien, obra o servicio a contratar.</w:t>
      </w:r>
    </w:p>
    <w:p w14:paraId="45D90F30" w14:textId="77777777" w:rsidR="00F16E24" w:rsidRDefault="00F16E24" w:rsidP="003675AB">
      <w:pPr>
        <w:spacing w:after="0" w:line="240" w:lineRule="auto"/>
        <w:jc w:val="both"/>
        <w:rPr>
          <w:rFonts w:ascii="Arial" w:eastAsia="Calibri" w:hAnsi="Arial" w:cs="Arial"/>
          <w:color w:val="000000" w:themeColor="text1"/>
          <w:sz w:val="24"/>
          <w:szCs w:val="24"/>
          <w:lang w:val="es-ES" w:eastAsia="es-ES"/>
        </w:rPr>
      </w:pPr>
    </w:p>
    <w:p w14:paraId="333818FE" w14:textId="77777777" w:rsidR="00F16E24" w:rsidRPr="00FB657A" w:rsidRDefault="00F16E24" w:rsidP="00F16E24">
      <w:pPr>
        <w:spacing w:line="276" w:lineRule="auto"/>
        <w:contextualSpacing/>
        <w:jc w:val="both"/>
        <w:rPr>
          <w:rFonts w:ascii="Arial" w:eastAsia="Century Gothic" w:hAnsi="Arial" w:cs="Arial"/>
          <w:b/>
          <w:bCs/>
          <w:sz w:val="24"/>
          <w:szCs w:val="24"/>
          <w:lang w:val="es-ES"/>
        </w:rPr>
      </w:pPr>
      <w:r w:rsidRPr="00FB657A">
        <w:rPr>
          <w:rFonts w:ascii="Arial" w:eastAsia="Century Gothic" w:hAnsi="Arial" w:cs="Arial"/>
          <w:b/>
          <w:bCs/>
          <w:sz w:val="24"/>
          <w:szCs w:val="24"/>
          <w:lang w:val="es-ES"/>
        </w:rPr>
        <w:t>CAPACIDAD FINANCIERA Y ORGANIZACIONAL – Definición</w:t>
      </w:r>
    </w:p>
    <w:p w14:paraId="0A2395E7" w14:textId="77777777" w:rsidR="00F16E24" w:rsidRPr="00FB657A" w:rsidRDefault="00F16E24" w:rsidP="00F16E24">
      <w:pPr>
        <w:spacing w:line="276" w:lineRule="auto"/>
        <w:contextualSpacing/>
        <w:jc w:val="both"/>
        <w:rPr>
          <w:rFonts w:ascii="Arial" w:eastAsia="Century Gothic" w:hAnsi="Arial" w:cs="Arial"/>
          <w:sz w:val="24"/>
          <w:szCs w:val="24"/>
          <w:lang w:val="es-ES"/>
        </w:rPr>
      </w:pPr>
      <w:r w:rsidRPr="00FB657A">
        <w:rPr>
          <w:rFonts w:ascii="Arial" w:eastAsia="Century Gothic" w:hAnsi="Arial" w:cs="Arial"/>
          <w:sz w:val="24"/>
          <w:szCs w:val="24"/>
          <w:lang w:val="es-ES"/>
        </w:rPr>
        <w:t xml:space="preserve"> </w:t>
      </w:r>
    </w:p>
    <w:p w14:paraId="123A794A" w14:textId="77777777" w:rsidR="00F16E24" w:rsidRPr="00FB657A" w:rsidRDefault="00F16E24" w:rsidP="00F16E24">
      <w:pPr>
        <w:spacing w:line="276" w:lineRule="auto"/>
        <w:contextualSpacing/>
        <w:jc w:val="both"/>
        <w:rPr>
          <w:rFonts w:ascii="Arial" w:eastAsia="Century Gothic" w:hAnsi="Arial" w:cs="Arial"/>
          <w:sz w:val="24"/>
          <w:szCs w:val="24"/>
          <w:lang w:val="es-ES"/>
        </w:rPr>
      </w:pPr>
      <w:r w:rsidRPr="00FB657A">
        <w:rPr>
          <w:rFonts w:ascii="Arial" w:eastAsia="Century Gothic" w:hAnsi="Arial" w:cs="Arial"/>
          <w:sz w:val="24"/>
          <w:szCs w:val="24"/>
          <w:lang w:val="es-ES"/>
        </w:rPr>
        <w:t xml:space="preserve">La capacidad financiera se deriva del comportamiento contable de la empresa, su liquidez y endeudamiento, para determinar que sus recursos y solidez financiera le permita cumplir los compromisos que adquiera. Como explica esta Agencia en el “Manual para determinar y verificar los requisitos habilitantes en los procesos de contratación”, “Los indicadores de capacidad financiera buscan establecer unas </w:t>
      </w:r>
      <w:r w:rsidRPr="00FB657A">
        <w:rPr>
          <w:rFonts w:ascii="Arial" w:eastAsia="Century Gothic" w:hAnsi="Arial" w:cs="Arial"/>
          <w:sz w:val="24"/>
          <w:szCs w:val="24"/>
          <w:lang w:val="es-ES"/>
        </w:rPr>
        <w:lastRenderedPageBreak/>
        <w:t>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325648EA" w14:textId="77777777" w:rsidR="00F16E24" w:rsidRPr="00FB657A" w:rsidRDefault="00F16E24" w:rsidP="003675AB">
      <w:pPr>
        <w:spacing w:after="0" w:line="240" w:lineRule="auto"/>
        <w:jc w:val="both"/>
        <w:rPr>
          <w:rFonts w:ascii="Arial" w:eastAsia="Calibri" w:hAnsi="Arial" w:cs="Arial"/>
          <w:color w:val="000000" w:themeColor="text1"/>
          <w:sz w:val="24"/>
          <w:szCs w:val="24"/>
          <w:lang w:val="es-ES" w:eastAsia="es-ES"/>
        </w:rPr>
      </w:pPr>
    </w:p>
    <w:p w14:paraId="55652E5D" w14:textId="77777777" w:rsidR="003675AB" w:rsidRPr="00FB657A" w:rsidRDefault="003675AB" w:rsidP="003675AB">
      <w:pPr>
        <w:spacing w:after="0" w:line="240" w:lineRule="auto"/>
        <w:jc w:val="both"/>
        <w:rPr>
          <w:rFonts w:ascii="Arial" w:eastAsia="Calibri" w:hAnsi="Arial" w:cs="Arial"/>
          <w:sz w:val="24"/>
          <w:szCs w:val="24"/>
          <w:lang w:val="es-MX"/>
        </w:rPr>
      </w:pPr>
    </w:p>
    <w:p w14:paraId="2A9FF7FE" w14:textId="77777777" w:rsidR="00FB05D1" w:rsidRPr="00FB657A" w:rsidRDefault="00FB05D1">
      <w:pPr>
        <w:rPr>
          <w:rFonts w:ascii="Arial" w:eastAsia="Calibri" w:hAnsi="Arial" w:cs="Arial"/>
          <w:color w:val="000000" w:themeColor="text1"/>
          <w:sz w:val="24"/>
          <w:szCs w:val="24"/>
          <w:lang w:val="es-ES" w:eastAsia="es-ES"/>
        </w:rPr>
      </w:pPr>
      <w:r w:rsidRPr="00FB657A">
        <w:rPr>
          <w:rFonts w:ascii="Arial" w:eastAsia="Calibri" w:hAnsi="Arial" w:cs="Arial"/>
          <w:color w:val="000000" w:themeColor="text1"/>
          <w:sz w:val="24"/>
          <w:szCs w:val="24"/>
          <w:lang w:val="es-ES" w:eastAsia="es-ES"/>
        </w:rPr>
        <w:br w:type="page"/>
      </w:r>
    </w:p>
    <w:p w14:paraId="6700D6DA" w14:textId="5A091CBA" w:rsidR="00871B59" w:rsidRPr="00F16E24" w:rsidRDefault="00871B59" w:rsidP="00871B59">
      <w:pPr>
        <w:spacing w:after="0" w:line="240" w:lineRule="auto"/>
        <w:rPr>
          <w:rFonts w:ascii="Arial" w:eastAsia="Geomanist Light" w:hAnsi="Arial" w:cs="Arial"/>
          <w:color w:val="201F1E"/>
          <w:sz w:val="24"/>
          <w:szCs w:val="24"/>
          <w:lang w:val="es-MX"/>
        </w:rPr>
      </w:pPr>
      <w:r w:rsidRPr="00F16E24">
        <w:rPr>
          <w:rFonts w:ascii="Arial" w:eastAsia="Geomanist Light" w:hAnsi="Arial" w:cs="Arial"/>
          <w:color w:val="000000" w:themeColor="text1"/>
          <w:sz w:val="24"/>
          <w:szCs w:val="24"/>
          <w:lang w:val="es-MX"/>
        </w:rPr>
        <w:lastRenderedPageBreak/>
        <w:t>Bogotá D.C., </w:t>
      </w:r>
      <w:r w:rsidRPr="00F16E24">
        <w:rPr>
          <w:rFonts w:ascii="Arial" w:eastAsia="Geomanist Light" w:hAnsi="Arial" w:cs="Arial"/>
          <w:color w:val="201F1E"/>
          <w:sz w:val="24"/>
          <w:szCs w:val="24"/>
          <w:lang w:val="es-MX"/>
        </w:rPr>
        <w:t>[Día] de [Mes.NombreCapitalizado] de [Año]</w:t>
      </w:r>
    </w:p>
    <w:p w14:paraId="263F56BE" w14:textId="77777777" w:rsidR="00871B59" w:rsidRPr="00F16E24" w:rsidRDefault="00871B59" w:rsidP="00871B59">
      <w:pPr>
        <w:spacing w:after="0" w:line="240" w:lineRule="auto"/>
        <w:jc w:val="both"/>
        <w:rPr>
          <w:rFonts w:ascii="Arial" w:eastAsia="Calibri" w:hAnsi="Arial" w:cs="Arial"/>
          <w:color w:val="000000"/>
          <w:sz w:val="24"/>
          <w:szCs w:val="24"/>
          <w:lang w:val="es-ES"/>
        </w:rPr>
      </w:pPr>
    </w:p>
    <w:p w14:paraId="0C81C424" w14:textId="5FAA7AC6" w:rsidR="00F16E24" w:rsidRPr="00F16E24" w:rsidRDefault="00F16E24" w:rsidP="330CE3FD">
      <w:pPr>
        <w:spacing w:line="276" w:lineRule="auto"/>
        <w:jc w:val="center"/>
        <w:rPr>
          <w:rFonts w:ascii="Arial" w:hAnsi="Arial" w:cs="Arial"/>
          <w:sz w:val="24"/>
          <w:szCs w:val="24"/>
        </w:rPr>
      </w:pPr>
    </w:p>
    <w:p w14:paraId="1AAB5234" w14:textId="77777777" w:rsidR="00EC4C18" w:rsidRPr="00EC4C18" w:rsidRDefault="00EC4C18" w:rsidP="00EC4C18">
      <w:pPr>
        <w:spacing w:after="0" w:line="240" w:lineRule="auto"/>
        <w:jc w:val="both"/>
        <w:rPr>
          <w:rFonts w:ascii="Arial" w:eastAsia="Calibri" w:hAnsi="Arial" w:cs="Arial"/>
          <w:bCs/>
          <w:sz w:val="24"/>
          <w:szCs w:val="24"/>
          <w:lang w:eastAsia="es-ES_tradnl"/>
        </w:rPr>
      </w:pPr>
      <w:r w:rsidRPr="00EC4C18">
        <w:rPr>
          <w:rFonts w:ascii="Arial" w:eastAsia="Calibri" w:hAnsi="Arial" w:cs="Arial"/>
          <w:bCs/>
          <w:sz w:val="24"/>
          <w:szCs w:val="24"/>
          <w:lang w:eastAsia="es-ES_tradnl"/>
        </w:rPr>
        <w:t>Señor</w:t>
      </w:r>
    </w:p>
    <w:p w14:paraId="397D4751" w14:textId="77777777" w:rsidR="00EC4C18" w:rsidRPr="00EC4C18" w:rsidRDefault="00EC4C18" w:rsidP="00EC4C18">
      <w:pPr>
        <w:spacing w:after="0" w:line="240" w:lineRule="auto"/>
        <w:rPr>
          <w:rFonts w:ascii="Arial" w:eastAsia="Calibri" w:hAnsi="Arial" w:cs="Arial"/>
          <w:b/>
          <w:sz w:val="24"/>
          <w:szCs w:val="24"/>
          <w:lang w:eastAsia="es-ES_tradnl"/>
        </w:rPr>
      </w:pPr>
      <w:r w:rsidRPr="00EC4C18">
        <w:rPr>
          <w:rFonts w:ascii="Arial" w:eastAsia="Calibri" w:hAnsi="Arial" w:cs="Arial"/>
          <w:b/>
          <w:sz w:val="24"/>
          <w:szCs w:val="24"/>
          <w:lang w:eastAsia="es-ES_tradnl"/>
        </w:rPr>
        <w:t>Dagoberto Beltrán Silvestre</w:t>
      </w:r>
    </w:p>
    <w:p w14:paraId="1625D1A2" w14:textId="77777777" w:rsidR="00EC4C18" w:rsidRPr="00EC4C18" w:rsidRDefault="00EC4C18" w:rsidP="00EC4C18">
      <w:pPr>
        <w:spacing w:after="0" w:line="240" w:lineRule="auto"/>
        <w:rPr>
          <w:rFonts w:ascii="Arial" w:eastAsia="Calibri" w:hAnsi="Arial" w:cs="Arial"/>
          <w:bCs/>
          <w:sz w:val="24"/>
          <w:szCs w:val="24"/>
          <w:u w:val="single"/>
          <w:lang w:eastAsia="es-ES_tradnl"/>
        </w:rPr>
      </w:pPr>
      <w:hyperlink r:id="rId11" w:history="1">
        <w:r w:rsidRPr="00EC4C18">
          <w:rPr>
            <w:rFonts w:ascii="Arial" w:eastAsia="Calibri" w:hAnsi="Arial" w:cs="Arial"/>
            <w:bCs/>
            <w:color w:val="0563C1" w:themeColor="hyperlink"/>
            <w:sz w:val="24"/>
            <w:szCs w:val="24"/>
            <w:u w:val="single"/>
            <w:lang w:eastAsia="es-ES_tradnl"/>
          </w:rPr>
          <w:t>dagoberto.beltran@medicinalegal.gov.co</w:t>
        </w:r>
      </w:hyperlink>
    </w:p>
    <w:p w14:paraId="43E7FA36" w14:textId="77777777" w:rsidR="00EC4C18" w:rsidRPr="00EC4C18" w:rsidRDefault="00EC4C18" w:rsidP="00EC4C18">
      <w:pPr>
        <w:spacing w:after="0" w:line="240" w:lineRule="auto"/>
        <w:rPr>
          <w:rFonts w:ascii="Arial" w:eastAsia="Calibri" w:hAnsi="Arial" w:cs="Arial"/>
          <w:bCs/>
          <w:sz w:val="24"/>
          <w:szCs w:val="24"/>
          <w:lang w:val="es-MX" w:eastAsia="es-ES_tradnl"/>
        </w:rPr>
      </w:pPr>
      <w:r w:rsidRPr="00EC4C18">
        <w:rPr>
          <w:rFonts w:ascii="Arial" w:eastAsia="Calibri" w:hAnsi="Arial" w:cs="Arial"/>
          <w:bCs/>
          <w:sz w:val="24"/>
          <w:szCs w:val="24"/>
          <w:lang w:val="es-MX" w:eastAsia="es-ES_tradnl"/>
        </w:rPr>
        <w:t xml:space="preserve">Bogotá D.C. </w:t>
      </w:r>
    </w:p>
    <w:p w14:paraId="3576B299" w14:textId="77777777" w:rsidR="00EC4C18" w:rsidRPr="00EC4C18" w:rsidRDefault="00EC4C18" w:rsidP="00EC4C18">
      <w:pPr>
        <w:spacing w:after="0" w:line="240" w:lineRule="auto"/>
        <w:rPr>
          <w:rFonts w:ascii="Arial" w:eastAsia="Calibri" w:hAnsi="Arial" w:cs="Arial"/>
          <w:b/>
          <w:bCs/>
          <w:color w:val="000000"/>
          <w:sz w:val="24"/>
          <w:szCs w:val="24"/>
          <w:lang w:val="es-ES_tradnl" w:eastAsia="es-ES_tradnl"/>
        </w:rPr>
      </w:pPr>
    </w:p>
    <w:p w14:paraId="25AE6E47" w14:textId="74B20100" w:rsidR="00EC4C18" w:rsidRPr="00EC4C18" w:rsidRDefault="00C76707" w:rsidP="00EC4C18">
      <w:pPr>
        <w:spacing w:after="0" w:line="240" w:lineRule="auto"/>
        <w:jc w:val="right"/>
        <w:rPr>
          <w:rFonts w:ascii="Arial" w:eastAsia="Calibri" w:hAnsi="Arial" w:cs="Arial"/>
          <w:b/>
          <w:bCs/>
          <w:noProof/>
          <w:color w:val="000000"/>
          <w:sz w:val="24"/>
          <w:szCs w:val="24"/>
          <w:lang w:val="es-ES_tradnl" w:eastAsia="es-ES_tradnl"/>
        </w:rPr>
      </w:pPr>
      <w:r w:rsidRPr="00C76707">
        <w:rPr>
          <w:rFonts w:ascii="Arial" w:eastAsia="Calibri" w:hAnsi="Arial" w:cs="Arial"/>
          <w:b/>
          <w:bCs/>
          <w:noProof/>
          <w:color w:val="000000"/>
          <w:sz w:val="24"/>
          <w:szCs w:val="24"/>
          <w:lang w:val="es-ES_tradnl" w:eastAsia="es-ES_tradnl"/>
        </w:rPr>
        <w:drawing>
          <wp:inline distT="0" distB="0" distL="0" distR="0" wp14:anchorId="6BDD4A18" wp14:editId="2370668B">
            <wp:extent cx="3467400" cy="967824"/>
            <wp:effectExtent l="0" t="0" r="0" b="3810"/>
            <wp:docPr id="9956140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14001" name=""/>
                    <pic:cNvPicPr/>
                  </pic:nvPicPr>
                  <pic:blipFill>
                    <a:blip r:embed="rId12"/>
                    <a:stretch>
                      <a:fillRect/>
                    </a:stretch>
                  </pic:blipFill>
                  <pic:spPr>
                    <a:xfrm>
                      <a:off x="0" y="0"/>
                      <a:ext cx="3467400" cy="967824"/>
                    </a:xfrm>
                    <a:prstGeom prst="rect">
                      <a:avLst/>
                    </a:prstGeom>
                  </pic:spPr>
                </pic:pic>
              </a:graphicData>
            </a:graphic>
          </wp:inline>
        </w:drawing>
      </w:r>
    </w:p>
    <w:p w14:paraId="2FC95357" w14:textId="77777777" w:rsidR="00EC4C18" w:rsidRPr="00EC4C18" w:rsidRDefault="00EC4C18" w:rsidP="00EC4C18">
      <w:pPr>
        <w:spacing w:after="0" w:line="240" w:lineRule="auto"/>
        <w:jc w:val="right"/>
        <w:rPr>
          <w:rFonts w:ascii="Arial" w:eastAsia="Calibri" w:hAnsi="Arial" w:cs="Arial"/>
          <w:b/>
          <w:bCs/>
          <w:color w:val="000000"/>
          <w:sz w:val="24"/>
          <w:szCs w:val="24"/>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EC4C18" w:rsidRPr="00EC4C18" w14:paraId="007E0660" w14:textId="77777777" w:rsidTr="00E3556E">
        <w:trPr>
          <w:trHeight w:val="884"/>
        </w:trPr>
        <w:tc>
          <w:tcPr>
            <w:tcW w:w="2689" w:type="dxa"/>
          </w:tcPr>
          <w:p w14:paraId="598EF743" w14:textId="77777777" w:rsidR="00EC4C18" w:rsidRPr="00EC4C18" w:rsidRDefault="00EC4C18" w:rsidP="00EC4C18">
            <w:pPr>
              <w:jc w:val="both"/>
              <w:rPr>
                <w:rFonts w:ascii="Arial" w:eastAsia="Calibri" w:hAnsi="Arial" w:cs="Arial"/>
                <w:b/>
                <w:bCs/>
                <w:color w:val="7030A0"/>
                <w:sz w:val="24"/>
                <w:szCs w:val="24"/>
                <w:lang w:val="es-ES_tradnl" w:eastAsia="es-ES_tradnl"/>
              </w:rPr>
            </w:pPr>
          </w:p>
        </w:tc>
        <w:tc>
          <w:tcPr>
            <w:tcW w:w="6242" w:type="dxa"/>
          </w:tcPr>
          <w:p w14:paraId="5CB0AA31" w14:textId="77777777" w:rsidR="00EC4C18" w:rsidRPr="00EC4C18" w:rsidRDefault="00EC4C18" w:rsidP="00EC4C18">
            <w:pPr>
              <w:jc w:val="both"/>
              <w:rPr>
                <w:rFonts w:ascii="Arial" w:eastAsia="Calibri" w:hAnsi="Arial" w:cs="Arial"/>
                <w:b/>
                <w:sz w:val="24"/>
                <w:szCs w:val="24"/>
                <w:lang w:val="es-MX" w:eastAsia="es-ES_tradnl"/>
              </w:rPr>
            </w:pPr>
            <w:r w:rsidRPr="00EC4C18">
              <w:rPr>
                <w:rFonts w:ascii="Arial" w:eastAsia="Calibri" w:hAnsi="Arial" w:cs="Arial"/>
                <w:b/>
                <w:sz w:val="24"/>
                <w:szCs w:val="24"/>
                <w:lang w:val="es-MX" w:eastAsia="es-ES_tradnl"/>
              </w:rPr>
              <w:t>Concepto C- 530 de 2024</w:t>
            </w:r>
          </w:p>
        </w:tc>
      </w:tr>
      <w:tr w:rsidR="00EC4C18" w:rsidRPr="00EC4C18" w14:paraId="06DA6780" w14:textId="77777777" w:rsidTr="00E3556E">
        <w:trPr>
          <w:trHeight w:val="884"/>
        </w:trPr>
        <w:tc>
          <w:tcPr>
            <w:tcW w:w="2689" w:type="dxa"/>
          </w:tcPr>
          <w:p w14:paraId="7DC74BEA" w14:textId="77777777" w:rsidR="00EC4C18" w:rsidRPr="00EC4C18" w:rsidRDefault="00EC4C18" w:rsidP="00EC4C18">
            <w:pPr>
              <w:jc w:val="both"/>
              <w:rPr>
                <w:rFonts w:ascii="Arial" w:eastAsia="Calibri" w:hAnsi="Arial" w:cs="Arial"/>
                <w:bCs/>
                <w:sz w:val="24"/>
                <w:szCs w:val="24"/>
                <w:lang w:val="es-MX" w:eastAsia="es-ES_tradnl"/>
              </w:rPr>
            </w:pPr>
            <w:r w:rsidRPr="00EC4C18">
              <w:rPr>
                <w:rFonts w:ascii="Arial" w:eastAsia="Calibri" w:hAnsi="Arial" w:cs="Arial"/>
                <w:bCs/>
                <w:sz w:val="24"/>
                <w:szCs w:val="24"/>
                <w:lang w:val="es-MX" w:eastAsia="es-ES_tradnl"/>
              </w:rPr>
              <w:t xml:space="preserve">Temas:                   </w:t>
            </w:r>
          </w:p>
        </w:tc>
        <w:tc>
          <w:tcPr>
            <w:tcW w:w="6242" w:type="dxa"/>
          </w:tcPr>
          <w:p w14:paraId="61B8554E" w14:textId="77777777" w:rsidR="00EC4C18" w:rsidRPr="00EC4C18" w:rsidRDefault="00EC4C18" w:rsidP="00EC4C18">
            <w:pPr>
              <w:jc w:val="both"/>
              <w:rPr>
                <w:rFonts w:ascii="Verdana" w:eastAsia="Century Gothic" w:hAnsi="Verdana" w:cs="Century Gothic"/>
                <w:b/>
                <w:bCs/>
                <w:lang w:val="es-ES"/>
              </w:rPr>
            </w:pPr>
            <w:r w:rsidRPr="00EC4C18">
              <w:rPr>
                <w:rFonts w:ascii="Arial" w:eastAsia="Calibri" w:hAnsi="Arial" w:cs="Arial"/>
                <w:bCs/>
                <w:sz w:val="24"/>
                <w:szCs w:val="24"/>
                <w:lang w:val="es-MX" w:eastAsia="es-ES_tradnl"/>
              </w:rPr>
              <w:t>REQUISITOS HABILITANTES – Capacidad financiera – Autonomía / CAPACIDAD FINANCIERA proponente plural– Definición.</w:t>
            </w:r>
          </w:p>
          <w:p w14:paraId="77AD7C1B" w14:textId="77777777" w:rsidR="00EC4C18" w:rsidRPr="00EC4C18" w:rsidRDefault="00EC4C18" w:rsidP="00EC4C18">
            <w:pPr>
              <w:spacing w:line="276" w:lineRule="auto"/>
              <w:jc w:val="both"/>
              <w:rPr>
                <w:rFonts w:ascii="Arial" w:eastAsia="Calibri" w:hAnsi="Arial" w:cs="Arial"/>
                <w:bCs/>
                <w:sz w:val="24"/>
                <w:szCs w:val="24"/>
                <w:lang w:val="es-MX" w:eastAsia="es-ES_tradnl"/>
              </w:rPr>
            </w:pPr>
          </w:p>
          <w:p w14:paraId="557F11CA" w14:textId="77777777" w:rsidR="00EC4C18" w:rsidRPr="00EC4C18" w:rsidRDefault="00EC4C18" w:rsidP="00EC4C18">
            <w:pPr>
              <w:spacing w:line="276" w:lineRule="auto"/>
              <w:jc w:val="both"/>
              <w:rPr>
                <w:rFonts w:ascii="Arial" w:eastAsia="Calibri" w:hAnsi="Arial" w:cs="Arial"/>
                <w:bCs/>
                <w:sz w:val="24"/>
                <w:szCs w:val="24"/>
                <w:lang w:val="es-MX" w:eastAsia="es-ES_tradnl"/>
              </w:rPr>
            </w:pPr>
          </w:p>
        </w:tc>
      </w:tr>
      <w:tr w:rsidR="00EC4C18" w:rsidRPr="00EC4C18" w14:paraId="337A4A86" w14:textId="77777777" w:rsidTr="00E3556E">
        <w:tc>
          <w:tcPr>
            <w:tcW w:w="2689" w:type="dxa"/>
          </w:tcPr>
          <w:p w14:paraId="03C1494F" w14:textId="77777777" w:rsidR="00EC4C18" w:rsidRPr="00EC4C18" w:rsidRDefault="00EC4C18" w:rsidP="00EC4C18">
            <w:pPr>
              <w:jc w:val="both"/>
              <w:rPr>
                <w:rFonts w:ascii="Arial" w:eastAsia="Calibri" w:hAnsi="Arial" w:cs="Arial"/>
                <w:bCs/>
                <w:sz w:val="24"/>
                <w:szCs w:val="24"/>
                <w:lang w:val="es-MX" w:eastAsia="es-ES_tradnl"/>
              </w:rPr>
            </w:pPr>
            <w:r w:rsidRPr="00EC4C18">
              <w:rPr>
                <w:rFonts w:ascii="Arial" w:eastAsia="Calibri" w:hAnsi="Arial" w:cs="Arial"/>
                <w:bCs/>
                <w:sz w:val="24"/>
                <w:szCs w:val="24"/>
                <w:lang w:val="es-MX" w:eastAsia="es-ES_tradnl"/>
              </w:rPr>
              <w:t xml:space="preserve">Radicación:               </w:t>
            </w:r>
          </w:p>
        </w:tc>
        <w:tc>
          <w:tcPr>
            <w:tcW w:w="6242" w:type="dxa"/>
          </w:tcPr>
          <w:p w14:paraId="29260AD5" w14:textId="77777777" w:rsidR="00EC4C18" w:rsidRPr="00EC4C18" w:rsidRDefault="00EC4C18" w:rsidP="00EC4C18">
            <w:pPr>
              <w:jc w:val="both"/>
              <w:rPr>
                <w:rFonts w:ascii="Arial" w:eastAsia="Calibri" w:hAnsi="Arial" w:cs="Arial"/>
                <w:bCs/>
                <w:sz w:val="24"/>
                <w:szCs w:val="24"/>
                <w:lang w:val="es-MX" w:eastAsia="es-ES_tradnl"/>
              </w:rPr>
            </w:pPr>
            <w:r w:rsidRPr="00EC4C18">
              <w:rPr>
                <w:rFonts w:ascii="Arial" w:eastAsia="Calibri" w:hAnsi="Arial" w:cs="Arial"/>
                <w:bCs/>
                <w:sz w:val="24"/>
                <w:szCs w:val="24"/>
                <w:lang w:val="es-MX" w:eastAsia="es-ES_tradnl"/>
              </w:rPr>
              <w:t xml:space="preserve">Respuesta a consulta con radicado No. </w:t>
            </w:r>
            <w:r w:rsidRPr="00EC4C18">
              <w:rPr>
                <w:rFonts w:ascii="Arial" w:eastAsia="Calibri" w:hAnsi="Arial" w:cs="Arial"/>
                <w:bCs/>
                <w:sz w:val="24"/>
                <w:szCs w:val="24"/>
                <w:lang w:eastAsia="es-ES_tradnl"/>
              </w:rPr>
              <w:t>P20240829008782</w:t>
            </w:r>
          </w:p>
        </w:tc>
      </w:tr>
    </w:tbl>
    <w:p w14:paraId="7589B28B" w14:textId="77777777" w:rsidR="00EC4C18" w:rsidRPr="00EC4C18" w:rsidRDefault="00EC4C18" w:rsidP="00EC4C18">
      <w:pPr>
        <w:spacing w:after="0" w:line="240" w:lineRule="auto"/>
        <w:jc w:val="both"/>
        <w:rPr>
          <w:rFonts w:ascii="Arial" w:eastAsia="Calibri" w:hAnsi="Arial" w:cs="Arial"/>
          <w:color w:val="000000"/>
          <w:sz w:val="24"/>
          <w:szCs w:val="24"/>
          <w:lang w:val="es-ES_tradnl" w:eastAsia="es-ES_tradnl"/>
        </w:rPr>
      </w:pPr>
    </w:p>
    <w:p w14:paraId="3E9383B8" w14:textId="77777777" w:rsidR="00EC4C18" w:rsidRPr="00EC4C18" w:rsidRDefault="00EC4C18" w:rsidP="00EC4C18">
      <w:pPr>
        <w:spacing w:after="0" w:line="240" w:lineRule="auto"/>
        <w:jc w:val="both"/>
        <w:rPr>
          <w:rFonts w:ascii="Arial" w:eastAsia="Calibri" w:hAnsi="Arial" w:cs="Arial"/>
          <w:color w:val="000000"/>
          <w:sz w:val="24"/>
          <w:szCs w:val="24"/>
          <w:lang w:val="es-ES_tradnl" w:eastAsia="es-ES_tradnl"/>
        </w:rPr>
      </w:pPr>
    </w:p>
    <w:p w14:paraId="3C31022F" w14:textId="77777777" w:rsidR="00EC4C18" w:rsidRPr="00EC4C18" w:rsidRDefault="00EC4C18" w:rsidP="00EC4C18">
      <w:pPr>
        <w:spacing w:after="0" w:line="276" w:lineRule="auto"/>
        <w:jc w:val="both"/>
        <w:rPr>
          <w:rFonts w:ascii="Arial" w:eastAsia="Calibri" w:hAnsi="Arial" w:cs="Arial"/>
          <w:bCs/>
          <w:sz w:val="24"/>
          <w:szCs w:val="24"/>
          <w:lang w:val="es-MX" w:eastAsia="es-ES_tradnl"/>
        </w:rPr>
      </w:pPr>
      <w:r w:rsidRPr="00EC4C18">
        <w:rPr>
          <w:rFonts w:ascii="Arial" w:eastAsia="Calibri" w:hAnsi="Arial" w:cs="Arial"/>
          <w:bCs/>
          <w:sz w:val="24"/>
          <w:szCs w:val="24"/>
          <w:lang w:val="es-MX" w:eastAsia="es-ES_tradnl"/>
        </w:rPr>
        <w:t xml:space="preserve">Estimado señor Beltrán: </w:t>
      </w:r>
    </w:p>
    <w:p w14:paraId="3F2DA4D5" w14:textId="77777777" w:rsidR="00EC4C18" w:rsidRPr="00EC4C18" w:rsidRDefault="00EC4C18" w:rsidP="00EC4C18">
      <w:pPr>
        <w:tabs>
          <w:tab w:val="left" w:pos="3768"/>
        </w:tabs>
        <w:spacing w:after="0" w:line="276" w:lineRule="auto"/>
        <w:jc w:val="both"/>
        <w:rPr>
          <w:rFonts w:ascii="Arial" w:eastAsia="Calibri" w:hAnsi="Arial" w:cs="Arial"/>
          <w:color w:val="000000" w:themeColor="text1"/>
          <w:sz w:val="24"/>
          <w:szCs w:val="24"/>
          <w:lang w:val="es-ES" w:eastAsia="es-ES"/>
        </w:rPr>
      </w:pPr>
      <w:r w:rsidRPr="00EC4C18">
        <w:rPr>
          <w:rFonts w:ascii="Arial" w:eastAsia="Calibri" w:hAnsi="Arial" w:cs="Arial"/>
          <w:color w:val="000000" w:themeColor="text1"/>
          <w:sz w:val="24"/>
          <w:szCs w:val="24"/>
          <w:lang w:val="es-ES" w:eastAsia="es-ES"/>
        </w:rPr>
        <w:tab/>
      </w:r>
    </w:p>
    <w:p w14:paraId="55195E76" w14:textId="77777777" w:rsidR="00EC4C18" w:rsidRPr="00EC4C18" w:rsidRDefault="00EC4C18" w:rsidP="00EC4C18">
      <w:pPr>
        <w:spacing w:after="0" w:line="276" w:lineRule="auto"/>
        <w:jc w:val="both"/>
        <w:rPr>
          <w:rFonts w:ascii="Arial" w:eastAsia="Calibri" w:hAnsi="Arial" w:cs="Arial"/>
          <w:sz w:val="24"/>
          <w:szCs w:val="24"/>
          <w:lang w:val="es-ES" w:eastAsia="es-ES"/>
        </w:rPr>
      </w:pPr>
      <w:r w:rsidRPr="00EC4C18">
        <w:rPr>
          <w:rFonts w:ascii="Arial" w:eastAsia="Calibri" w:hAnsi="Arial" w:cs="Arial"/>
          <w:color w:val="000000" w:themeColor="text1"/>
          <w:sz w:val="24"/>
          <w:szCs w:val="24"/>
          <w:lang w:val="es-ES" w:eastAsia="es-ES"/>
        </w:rPr>
        <w:t>En ejercicio de la competencia otorgada por los artículos 3, numeral 5º, y 11, numeral 8º, del Decreto Ley 4170 de 2011,</w:t>
      </w:r>
      <w:r w:rsidRPr="00EC4C18">
        <w:rPr>
          <w:rFonts w:ascii="Arial" w:eastAsia="Arial MT" w:hAnsi="Arial" w:cs="Arial"/>
          <w:sz w:val="24"/>
          <w:szCs w:val="24"/>
          <w:lang w:val="es-ES" w:eastAsia="es-ES"/>
        </w:rPr>
        <w:t xml:space="preserve"> </w:t>
      </w:r>
      <w:r w:rsidRPr="00EC4C18">
        <w:rPr>
          <w:rFonts w:ascii="Arial" w:hAnsi="Arial" w:cs="Arial"/>
          <w:sz w:val="24"/>
          <w:szCs w:val="24"/>
        </w:rPr>
        <w:t xml:space="preserve">así como lo establecido en el artículo 4 de la Resolución 1707 de 2018 expedida por esta Entidad, </w:t>
      </w:r>
      <w:r w:rsidRPr="00EC4C18">
        <w:rPr>
          <w:rFonts w:ascii="Arial" w:eastAsia="Calibri" w:hAnsi="Arial" w:cs="Arial"/>
          <w:sz w:val="24"/>
          <w:szCs w:val="24"/>
          <w:lang w:val="es-ES" w:eastAsia="es-ES"/>
        </w:rPr>
        <w:t xml:space="preserve">la Agencia Nacional de Contratación Pública – Colombia Compra Eficiente– responde su solicitud de consulta de fecha 29 de agosto de 2024, en la cual manifiesta lo siguiente: </w:t>
      </w:r>
    </w:p>
    <w:p w14:paraId="4949C1F6" w14:textId="77777777" w:rsidR="00EC4C18" w:rsidRPr="00EC4C18" w:rsidRDefault="00EC4C18" w:rsidP="00EC4C18">
      <w:pPr>
        <w:tabs>
          <w:tab w:val="left" w:pos="142"/>
          <w:tab w:val="left" w:pos="284"/>
        </w:tabs>
        <w:spacing w:line="276" w:lineRule="auto"/>
        <w:contextualSpacing/>
        <w:jc w:val="both"/>
        <w:rPr>
          <w:rFonts w:ascii="Arial" w:eastAsia="Century Gothic" w:hAnsi="Arial" w:cs="Arial"/>
          <w:b/>
          <w:bCs/>
          <w:sz w:val="20"/>
          <w:szCs w:val="20"/>
          <w:lang w:val="es-ES"/>
        </w:rPr>
      </w:pPr>
    </w:p>
    <w:p w14:paraId="2DA2E631" w14:textId="77777777" w:rsidR="00EC4C18" w:rsidRPr="00EC4C18" w:rsidRDefault="00EC4C18" w:rsidP="00EC4C18">
      <w:pPr>
        <w:ind w:left="709" w:right="616"/>
        <w:jc w:val="both"/>
        <w:rPr>
          <w:rFonts w:ascii="Arial" w:eastAsia="Century Gothic" w:hAnsi="Arial" w:cs="Arial"/>
          <w:sz w:val="20"/>
          <w:szCs w:val="20"/>
        </w:rPr>
      </w:pPr>
      <w:bookmarkStart w:id="0" w:name="_Hlk95313578"/>
      <w:r w:rsidRPr="00EC4C18">
        <w:rPr>
          <w:rFonts w:ascii="Arial" w:eastAsia="Century Gothic" w:hAnsi="Arial" w:cs="Arial"/>
          <w:sz w:val="20"/>
          <w:szCs w:val="20"/>
          <w:lang w:val="es-ES"/>
        </w:rPr>
        <w:t>“</w:t>
      </w:r>
      <w:bookmarkEnd w:id="0"/>
      <w:r w:rsidRPr="00EC4C18">
        <w:rPr>
          <w:rFonts w:ascii="Arial" w:eastAsia="Century Gothic" w:hAnsi="Arial" w:cs="Arial"/>
          <w:sz w:val="20"/>
          <w:szCs w:val="20"/>
        </w:rPr>
        <w:t xml:space="preserve">[…]Agradezco su colaboración para que se sirvan expedir concepto sobre la forma de realizar la verificación de aspectos financieros de los proponentes que presentan </w:t>
      </w:r>
      <w:r w:rsidRPr="00EC4C18">
        <w:rPr>
          <w:rFonts w:ascii="Arial" w:eastAsia="Century Gothic" w:hAnsi="Arial" w:cs="Arial"/>
          <w:sz w:val="20"/>
          <w:szCs w:val="20"/>
        </w:rPr>
        <w:lastRenderedPageBreak/>
        <w:t>ofertas a los diferentes procesos contractuales de una entidad pública del Orden Nacional y que acorde a la normatividad vigente, especificamente el Decreto 1082 de 2015, en la actual vigencia un oferente plural llamese Consorcio o Unión Temporal que tiene dos o más integrantes de los cuales uno tiene información financiera vigente y en firme del primer o segundo semestre de esta vigencia y los otros con información a diciembre 31 de la vigencia anterior, puede ser evaluado financieramente?...Agradecemos nos precisen el punto de vista desde Colombia Compra Eficiente.:</w:t>
      </w:r>
      <w:r w:rsidRPr="00EC4C18">
        <w:rPr>
          <w:rFonts w:ascii="Arial" w:eastAsia="Century Gothic" w:hAnsi="Arial" w:cs="Arial"/>
          <w:sz w:val="20"/>
          <w:szCs w:val="20"/>
          <w:lang w:val="es-ES"/>
        </w:rPr>
        <w:t>” [sic]</w:t>
      </w:r>
    </w:p>
    <w:p w14:paraId="5D65A7E3" w14:textId="77777777" w:rsidR="00EC4C18" w:rsidRPr="00EC4C18" w:rsidRDefault="00EC4C18" w:rsidP="00EC4C18">
      <w:pPr>
        <w:tabs>
          <w:tab w:val="left" w:pos="142"/>
          <w:tab w:val="left" w:pos="284"/>
        </w:tabs>
        <w:spacing w:line="276" w:lineRule="auto"/>
        <w:contextualSpacing/>
        <w:jc w:val="both"/>
        <w:rPr>
          <w:rFonts w:ascii="Arial" w:eastAsia="Century Gothic" w:hAnsi="Arial" w:cs="Arial"/>
          <w:b/>
          <w:bCs/>
          <w:sz w:val="24"/>
          <w:szCs w:val="24"/>
          <w:lang w:val="es-ES"/>
        </w:rPr>
      </w:pPr>
    </w:p>
    <w:p w14:paraId="1FE69140" w14:textId="77777777" w:rsidR="00EC4C18" w:rsidRPr="00EC4C18" w:rsidRDefault="00EC4C18" w:rsidP="00EC4C18">
      <w:pPr>
        <w:spacing w:after="120" w:line="276" w:lineRule="auto"/>
        <w:ind w:firstLine="709"/>
        <w:jc w:val="both"/>
        <w:rPr>
          <w:rFonts w:ascii="Arial" w:eastAsia="Calibri" w:hAnsi="Arial" w:cs="Arial"/>
          <w:color w:val="000000"/>
          <w:sz w:val="24"/>
          <w:szCs w:val="24"/>
          <w:lang w:val="es-ES_tradnl" w:eastAsia="es-ES_tradnl"/>
        </w:rPr>
      </w:pPr>
      <w:r w:rsidRPr="00EC4C18">
        <w:rPr>
          <w:rFonts w:ascii="Arial" w:eastAsia="Calibri" w:hAnsi="Arial" w:cs="Arial"/>
          <w:color w:val="000000"/>
          <w:sz w:val="24"/>
          <w:szCs w:val="24"/>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C4C18">
        <w:rPr>
          <w:rFonts w:ascii="Arial" w:eastAsia="Calibri" w:hAnsi="Arial" w:cs="Arial"/>
          <w:color w:val="000000"/>
          <w:sz w:val="24"/>
          <w:szCs w:val="24"/>
          <w:lang w:val="es-ES_tradnl" w:eastAsia="es-ES_tradnl"/>
        </w:rPr>
        <w:tab/>
      </w:r>
    </w:p>
    <w:p w14:paraId="6B5EF94C" w14:textId="77777777" w:rsidR="00EC4C18" w:rsidRPr="00EC4C18" w:rsidRDefault="00EC4C18" w:rsidP="00EC4C18">
      <w:pPr>
        <w:spacing w:after="0" w:line="276" w:lineRule="auto"/>
        <w:ind w:firstLine="709"/>
        <w:jc w:val="both"/>
        <w:rPr>
          <w:rFonts w:ascii="Arial" w:eastAsia="Calibri" w:hAnsi="Arial" w:cs="Arial"/>
          <w:color w:val="000000"/>
          <w:sz w:val="24"/>
          <w:szCs w:val="24"/>
          <w:lang w:val="es-ES" w:eastAsia="es-ES"/>
        </w:rPr>
      </w:pPr>
      <w:r w:rsidRPr="00EC4C18">
        <w:rPr>
          <w:rFonts w:ascii="Arial" w:eastAsia="Calibri" w:hAnsi="Arial" w:cs="Arial"/>
          <w:color w:val="000000"/>
          <w:sz w:val="24"/>
          <w:szCs w:val="24"/>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C4C18">
        <w:rPr>
          <w:rFonts w:ascii="Arial" w:eastAsia="Calibri" w:hAnsi="Arial" w:cs="Arial"/>
          <w:color w:val="7030A0"/>
          <w:sz w:val="24"/>
          <w:szCs w:val="24"/>
          <w:lang w:val="es-ES" w:eastAsia="es-ES"/>
        </w:rPr>
        <w:t xml:space="preserve"> </w:t>
      </w:r>
      <w:r w:rsidRPr="00EC4C18">
        <w:rPr>
          <w:rFonts w:ascii="Arial" w:eastAsia="Calibri" w:hAnsi="Arial" w:cs="Arial"/>
          <w:color w:val="000000"/>
          <w:sz w:val="24"/>
          <w:szCs w:val="24"/>
          <w:lang w:val="es-ES" w:eastAsia="es-ES"/>
        </w:rPr>
        <w:t>problema</w:t>
      </w:r>
      <w:r w:rsidRPr="00EC4C18">
        <w:rPr>
          <w:rFonts w:ascii="Arial" w:eastAsia="Calibri" w:hAnsi="Arial" w:cs="Arial"/>
          <w:color w:val="7030A0"/>
          <w:sz w:val="24"/>
          <w:szCs w:val="24"/>
          <w:lang w:val="es-ES" w:eastAsia="es-ES"/>
        </w:rPr>
        <w:t xml:space="preserve"> </w:t>
      </w:r>
      <w:r w:rsidRPr="00EC4C18">
        <w:rPr>
          <w:rFonts w:ascii="Arial" w:eastAsia="Calibri" w:hAnsi="Arial" w:cs="Arial"/>
          <w:color w:val="000000"/>
          <w:sz w:val="24"/>
          <w:szCs w:val="24"/>
          <w:lang w:val="es-ES" w:eastAsia="es-ES"/>
        </w:rPr>
        <w:t>jurídico</w:t>
      </w:r>
      <w:r w:rsidRPr="00EC4C18">
        <w:rPr>
          <w:rFonts w:ascii="Arial" w:eastAsia="Calibri" w:hAnsi="Arial" w:cs="Arial"/>
          <w:color w:val="7030A0"/>
          <w:sz w:val="24"/>
          <w:szCs w:val="24"/>
          <w:lang w:val="es-ES" w:eastAsia="es-ES"/>
        </w:rPr>
        <w:t xml:space="preserve"> </w:t>
      </w:r>
      <w:r w:rsidRPr="00EC4C18">
        <w:rPr>
          <w:rFonts w:ascii="Arial" w:eastAsia="Calibri" w:hAnsi="Arial" w:cs="Arial"/>
          <w:color w:val="000000"/>
          <w:sz w:val="24"/>
          <w:szCs w:val="24"/>
          <w:lang w:val="es-ES" w:eastAsia="es-ES"/>
        </w:rPr>
        <w:t xml:space="preserve">de su consulta. </w:t>
      </w:r>
    </w:p>
    <w:p w14:paraId="358EC987" w14:textId="77777777" w:rsidR="00EC4C18" w:rsidRPr="00EC4C18" w:rsidRDefault="00EC4C18" w:rsidP="00EC4C18">
      <w:pPr>
        <w:spacing w:after="0" w:line="276" w:lineRule="auto"/>
        <w:ind w:firstLine="709"/>
        <w:jc w:val="both"/>
        <w:rPr>
          <w:rFonts w:ascii="Arial" w:eastAsia="Calibri" w:hAnsi="Arial" w:cs="Arial"/>
          <w:color w:val="000000"/>
          <w:sz w:val="24"/>
          <w:szCs w:val="24"/>
          <w:lang w:val="es-ES" w:eastAsia="es-ES"/>
        </w:rPr>
      </w:pPr>
    </w:p>
    <w:p w14:paraId="41D60FB1" w14:textId="77777777" w:rsidR="00EC4C18" w:rsidRPr="00EC4C18" w:rsidRDefault="00EC4C18" w:rsidP="00EC4C18">
      <w:pPr>
        <w:numPr>
          <w:ilvl w:val="0"/>
          <w:numId w:val="4"/>
        </w:numPr>
        <w:tabs>
          <w:tab w:val="left" w:pos="142"/>
          <w:tab w:val="left" w:pos="284"/>
        </w:tabs>
        <w:spacing w:after="0" w:line="276" w:lineRule="auto"/>
        <w:ind w:left="0" w:firstLine="0"/>
        <w:contextualSpacing/>
        <w:jc w:val="both"/>
        <w:rPr>
          <w:rFonts w:ascii="Arial" w:eastAsia="Century Gothic" w:hAnsi="Arial" w:cs="Arial"/>
          <w:b/>
          <w:bCs/>
          <w:sz w:val="24"/>
          <w:szCs w:val="24"/>
          <w:lang w:val="es-ES"/>
        </w:rPr>
      </w:pPr>
      <w:r w:rsidRPr="00EC4C18">
        <w:rPr>
          <w:rFonts w:ascii="Arial" w:eastAsia="Century Gothic" w:hAnsi="Arial" w:cs="Arial"/>
          <w:b/>
          <w:bCs/>
          <w:sz w:val="24"/>
          <w:szCs w:val="24"/>
          <w:lang w:val="es-ES"/>
        </w:rPr>
        <w:t>Problema planteado:</w:t>
      </w:r>
    </w:p>
    <w:p w14:paraId="4C24D65C" w14:textId="77777777" w:rsidR="00EC4C18" w:rsidRPr="00EC4C18" w:rsidRDefault="00EC4C18" w:rsidP="00EC4C18">
      <w:pPr>
        <w:tabs>
          <w:tab w:val="left" w:pos="426"/>
        </w:tabs>
        <w:spacing w:after="0" w:line="276" w:lineRule="auto"/>
        <w:jc w:val="both"/>
        <w:rPr>
          <w:rFonts w:ascii="Arial" w:eastAsia="Century Gothic" w:hAnsi="Arial" w:cs="Arial"/>
          <w:sz w:val="24"/>
          <w:szCs w:val="24"/>
          <w:lang w:val="es-ES"/>
        </w:rPr>
      </w:pPr>
    </w:p>
    <w:p w14:paraId="3C407831" w14:textId="77777777" w:rsidR="00EC4C18" w:rsidRPr="00EC4C18" w:rsidRDefault="00EC4C18" w:rsidP="00EC4C18">
      <w:pPr>
        <w:spacing w:before="1" w:after="120" w:line="276" w:lineRule="auto"/>
        <w:ind w:right="306"/>
        <w:jc w:val="both"/>
        <w:rPr>
          <w:rFonts w:ascii="Arial" w:hAnsi="Arial" w:cs="Arial"/>
          <w:sz w:val="24"/>
          <w:szCs w:val="24"/>
        </w:rPr>
      </w:pPr>
      <w:r w:rsidRPr="00EC4C18">
        <w:rPr>
          <w:rFonts w:ascii="Arial" w:eastAsia="Century Gothic" w:hAnsi="Arial" w:cs="Arial"/>
          <w:sz w:val="24"/>
          <w:szCs w:val="24"/>
        </w:rPr>
        <w:t xml:space="preserve">De acuerdo con el contenido de su solicitud, esta Agencia resolverá el siguiente problema jurídico: ¿Cómo verificar la capacidad financiera como requisito habilitante en un Proceso de Contratación en los casos en donde el proponente sea plural? </w:t>
      </w:r>
    </w:p>
    <w:p w14:paraId="104FB171" w14:textId="77777777" w:rsidR="00EC4C18" w:rsidRPr="00EC4C18" w:rsidRDefault="00EC4C18" w:rsidP="00EC4C18">
      <w:pPr>
        <w:spacing w:after="0" w:line="276" w:lineRule="auto"/>
        <w:jc w:val="both"/>
        <w:rPr>
          <w:rFonts w:ascii="Arial" w:eastAsia="Century Gothic" w:hAnsi="Arial" w:cs="Arial"/>
          <w:sz w:val="24"/>
          <w:szCs w:val="24"/>
        </w:rPr>
      </w:pPr>
      <w:r w:rsidRPr="00EC4C18">
        <w:rPr>
          <w:rFonts w:ascii="Arial" w:eastAsia="Century Gothic" w:hAnsi="Arial" w:cs="Arial"/>
          <w:sz w:val="24"/>
          <w:szCs w:val="24"/>
        </w:rPr>
        <w:lastRenderedPageBreak/>
        <w:t xml:space="preserve"> </w:t>
      </w:r>
    </w:p>
    <w:p w14:paraId="5C56F405" w14:textId="77777777" w:rsidR="00EC4C18" w:rsidRPr="00EC4C18" w:rsidRDefault="00EC4C18" w:rsidP="00EC4C18">
      <w:pPr>
        <w:numPr>
          <w:ilvl w:val="0"/>
          <w:numId w:val="4"/>
        </w:numPr>
        <w:tabs>
          <w:tab w:val="left" w:pos="142"/>
          <w:tab w:val="left" w:pos="284"/>
        </w:tabs>
        <w:spacing w:after="0" w:line="276" w:lineRule="auto"/>
        <w:ind w:left="0" w:firstLine="0"/>
        <w:jc w:val="both"/>
        <w:rPr>
          <w:rFonts w:ascii="Arial" w:eastAsia="Century Gothic" w:hAnsi="Arial" w:cs="Arial"/>
          <w:b/>
          <w:bCs/>
          <w:sz w:val="24"/>
          <w:szCs w:val="24"/>
          <w:lang w:val="es-ES"/>
        </w:rPr>
      </w:pPr>
      <w:r w:rsidRPr="00EC4C18">
        <w:rPr>
          <w:rFonts w:ascii="Arial" w:eastAsia="Century Gothic" w:hAnsi="Arial" w:cs="Arial"/>
          <w:b/>
          <w:bCs/>
          <w:sz w:val="24"/>
          <w:szCs w:val="24"/>
          <w:lang w:val="es-ES"/>
        </w:rPr>
        <w:t>Respuesta:</w:t>
      </w:r>
    </w:p>
    <w:p w14:paraId="0EDC57F5" w14:textId="77777777" w:rsidR="00EC4C18" w:rsidRPr="00EC4C18" w:rsidRDefault="00EC4C18" w:rsidP="00EC4C18">
      <w:pPr>
        <w:tabs>
          <w:tab w:val="left" w:pos="142"/>
          <w:tab w:val="left" w:pos="284"/>
        </w:tabs>
        <w:spacing w:after="0" w:line="276" w:lineRule="auto"/>
        <w:jc w:val="both"/>
        <w:rPr>
          <w:rFonts w:ascii="Arial" w:eastAsia="Century Gothic" w:hAnsi="Arial" w:cs="Arial"/>
          <w:b/>
          <w:bCs/>
          <w:sz w:val="24"/>
          <w:szCs w:val="24"/>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C4C18" w:rsidRPr="00EC4C18" w14:paraId="3E78875F" w14:textId="77777777" w:rsidTr="00E3556E">
        <w:tc>
          <w:tcPr>
            <w:tcW w:w="8828" w:type="dxa"/>
            <w:shd w:val="clear" w:color="auto" w:fill="auto"/>
          </w:tcPr>
          <w:p w14:paraId="36271A50" w14:textId="77777777" w:rsidR="00EC4C18" w:rsidRPr="00EC4C18" w:rsidRDefault="00EC4C18" w:rsidP="00EC4C18">
            <w:pPr>
              <w:spacing w:before="120" w:after="120" w:line="276" w:lineRule="auto"/>
              <w:jc w:val="both"/>
              <w:rPr>
                <w:rFonts w:ascii="Arial" w:eastAsia="Calibri" w:hAnsi="Arial" w:cs="Arial"/>
                <w:color w:val="000000" w:themeColor="text1"/>
                <w:sz w:val="24"/>
                <w:szCs w:val="24"/>
              </w:rPr>
            </w:pPr>
            <w:r w:rsidRPr="00EC4C18">
              <w:rPr>
                <w:rFonts w:ascii="Arial" w:eastAsia="Calibri" w:hAnsi="Arial" w:cs="Arial"/>
                <w:color w:val="000000" w:themeColor="text1"/>
                <w:sz w:val="24"/>
                <w:szCs w:val="24"/>
                <w:lang w:val="es-ES"/>
              </w:rPr>
              <w:t xml:space="preserve">Para evaluar la capacidad financiera, la entidad contratante deberá </w:t>
            </w:r>
            <w:r w:rsidRPr="00EC4C18">
              <w:rPr>
                <w:rFonts w:ascii="Arial" w:eastAsia="Calibri" w:hAnsi="Arial" w:cs="Arial"/>
                <w:color w:val="000000" w:themeColor="text1"/>
                <w:sz w:val="24"/>
                <w:szCs w:val="24"/>
              </w:rPr>
              <w:t>verificar los requisitos del pliego de condiciones, conforme a lo señalado en el artículo 5 de la Ley 1150 de 2007 y el artículo 2.2.1.1.1.5.3 del Decreto 1082 de 2015. Es decir, a través del RUP con los estados financieros del proponente, suscritos por el representante legal y el revisor fiscal, cuando aplique, de este modo, lo que se verifica con el registro es que el proponente tenga los indicadores financieros solicitados por la Entidad, que le permitan satisfacer la necesidad que se contratará una vez desarrollado el procedimiento de selección.</w:t>
            </w:r>
          </w:p>
          <w:p w14:paraId="15292D68" w14:textId="77777777" w:rsidR="00EC4C18" w:rsidRPr="00EC4C18" w:rsidRDefault="00EC4C18" w:rsidP="00EC4C18">
            <w:pPr>
              <w:spacing w:line="276" w:lineRule="auto"/>
              <w:jc w:val="both"/>
              <w:rPr>
                <w:rFonts w:ascii="Arial" w:eastAsia="Calibri" w:hAnsi="Arial" w:cs="Arial"/>
                <w:sz w:val="24"/>
                <w:szCs w:val="24"/>
                <w:lang w:eastAsia="es-MX"/>
              </w:rPr>
            </w:pPr>
            <w:r w:rsidRPr="00EC4C18">
              <w:rPr>
                <w:rFonts w:ascii="Arial" w:eastAsia="Calibri" w:hAnsi="Arial" w:cs="Arial"/>
                <w:color w:val="000000" w:themeColor="text1"/>
                <w:sz w:val="24"/>
                <w:szCs w:val="24"/>
                <w:lang w:val="es-ES"/>
              </w:rPr>
              <w:t>Ahora bien, para el caso de proponentes plurales, cada uno deberá cumplir los requisitos de información para inscripción, renovación o actualización de los estados financieros de acuerdo con lo establecido en el artículo </w:t>
            </w:r>
            <w:bookmarkStart w:id="1" w:name="2.2.1.1.1.5.2"/>
            <w:bookmarkEnd w:id="1"/>
            <w:r w:rsidRPr="00EC4C18">
              <w:rPr>
                <w:rFonts w:ascii="Arial" w:eastAsia="Calibri" w:hAnsi="Arial" w:cs="Arial"/>
                <w:color w:val="000000" w:themeColor="text1"/>
                <w:sz w:val="24"/>
                <w:szCs w:val="24"/>
                <w:lang w:val="es-ES"/>
              </w:rPr>
              <w:t xml:space="preserve">2.2.1.1.1.5.2 del Decreto 1082 de 2015. Sin embargo, la Entidad Estatal debe determinar y justificar en los Documentos del Proceso la metodología para calcular los indicadores de los proponentes plurales a partir de la información de cada uno de sus integrantes. En todo caso, </w:t>
            </w:r>
            <w:r w:rsidRPr="00EC4C18">
              <w:rPr>
                <w:rFonts w:ascii="Arial" w:eastAsia="Calibri" w:hAnsi="Arial" w:cs="Arial"/>
                <w:sz w:val="24"/>
                <w:szCs w:val="24"/>
                <w:lang w:eastAsia="es-MX"/>
              </w:rPr>
              <w:t>esta Agencia puso a disposición de los interesados el “</w:t>
            </w:r>
            <w:r w:rsidRPr="00EC4C18">
              <w:rPr>
                <w:rFonts w:ascii="Arial" w:eastAsia="Calibri" w:hAnsi="Arial" w:cs="Arial"/>
                <w:i/>
                <w:iCs/>
                <w:sz w:val="24"/>
                <w:szCs w:val="24"/>
                <w:lang w:eastAsia="es-MX"/>
              </w:rPr>
              <w:t>Manual para determinar y verificar los requisitos habilitantes en los procesos de contratación</w:t>
            </w:r>
            <w:r w:rsidRPr="00EC4C18">
              <w:rPr>
                <w:rFonts w:ascii="Arial" w:eastAsia="Calibri" w:hAnsi="Arial" w:cs="Arial"/>
                <w:sz w:val="24"/>
                <w:szCs w:val="24"/>
                <w:lang w:eastAsia="es-MX"/>
              </w:rPr>
              <w:t>”</w:t>
            </w:r>
            <w:r w:rsidRPr="00EC4C18">
              <w:rPr>
                <w:rFonts w:ascii="Arial" w:eastAsia="Calibri" w:hAnsi="Arial" w:cs="Arial"/>
                <w:sz w:val="24"/>
                <w:szCs w:val="24"/>
                <w:vertAlign w:val="superscript"/>
                <w:lang w:eastAsia="es-MX"/>
              </w:rPr>
              <w:footnoteReference w:id="2"/>
            </w:r>
            <w:r w:rsidRPr="00EC4C18">
              <w:rPr>
                <w:rFonts w:ascii="Arial" w:eastAsia="Calibri" w:hAnsi="Arial" w:cs="Arial"/>
                <w:sz w:val="24"/>
                <w:szCs w:val="24"/>
                <w:lang w:eastAsia="es-MX"/>
              </w:rPr>
              <w:t>, donde propone alternativas para que las entidades calculen los indicadores de proponentes plurales.</w:t>
            </w:r>
          </w:p>
          <w:p w14:paraId="67BFA70D" w14:textId="77777777" w:rsidR="00EC4C18" w:rsidRPr="00EC4C18" w:rsidRDefault="00EC4C18" w:rsidP="00EC4C18">
            <w:pPr>
              <w:spacing w:after="120" w:line="276" w:lineRule="auto"/>
              <w:jc w:val="both"/>
              <w:rPr>
                <w:rFonts w:ascii="Arial" w:eastAsia="Calibri" w:hAnsi="Arial" w:cs="Arial"/>
                <w:sz w:val="24"/>
                <w:szCs w:val="24"/>
                <w:lang w:val="es-ES_tradnl" w:eastAsia="es-MX"/>
              </w:rPr>
            </w:pPr>
          </w:p>
        </w:tc>
      </w:tr>
    </w:tbl>
    <w:p w14:paraId="30EE25B3" w14:textId="77777777" w:rsidR="00EC4C18" w:rsidRPr="00EC4C18" w:rsidRDefault="00EC4C18" w:rsidP="00EC4C18">
      <w:pPr>
        <w:tabs>
          <w:tab w:val="left" w:pos="142"/>
          <w:tab w:val="left" w:pos="284"/>
        </w:tabs>
        <w:spacing w:after="0" w:line="276" w:lineRule="auto"/>
        <w:jc w:val="both"/>
        <w:rPr>
          <w:rFonts w:ascii="Arial" w:eastAsia="Century Gothic" w:hAnsi="Arial" w:cs="Arial"/>
          <w:b/>
          <w:bCs/>
          <w:sz w:val="24"/>
          <w:szCs w:val="24"/>
          <w:lang w:val="es-ES"/>
        </w:rPr>
      </w:pPr>
    </w:p>
    <w:p w14:paraId="3B2903DE" w14:textId="77777777" w:rsidR="00EC4C18" w:rsidRPr="00EC4C18" w:rsidRDefault="00EC4C18" w:rsidP="00EC4C18">
      <w:pPr>
        <w:numPr>
          <w:ilvl w:val="0"/>
          <w:numId w:val="4"/>
        </w:numPr>
        <w:tabs>
          <w:tab w:val="left" w:pos="142"/>
          <w:tab w:val="left" w:pos="284"/>
        </w:tabs>
        <w:spacing w:after="0" w:line="276" w:lineRule="auto"/>
        <w:ind w:left="0" w:firstLine="0"/>
        <w:jc w:val="both"/>
        <w:rPr>
          <w:rFonts w:ascii="Arial" w:eastAsia="Century Gothic" w:hAnsi="Arial" w:cs="Arial"/>
          <w:b/>
          <w:bCs/>
          <w:sz w:val="24"/>
          <w:szCs w:val="24"/>
          <w:lang w:val="es-ES"/>
        </w:rPr>
      </w:pPr>
      <w:r w:rsidRPr="00EC4C18">
        <w:rPr>
          <w:rFonts w:ascii="Arial" w:eastAsia="Century Gothic" w:hAnsi="Arial" w:cs="Arial"/>
          <w:b/>
          <w:bCs/>
          <w:sz w:val="24"/>
          <w:szCs w:val="24"/>
          <w:lang w:val="es-ES"/>
        </w:rPr>
        <w:t>Razones de la respuesta:</w:t>
      </w:r>
    </w:p>
    <w:p w14:paraId="2F862C33" w14:textId="77777777" w:rsidR="00EC4C18" w:rsidRPr="00EC4C18" w:rsidRDefault="00EC4C18" w:rsidP="00EC4C18">
      <w:pPr>
        <w:spacing w:after="0" w:line="276" w:lineRule="auto"/>
        <w:jc w:val="both"/>
        <w:rPr>
          <w:rFonts w:ascii="Arial" w:eastAsia="Calibri" w:hAnsi="Arial" w:cs="Arial"/>
          <w:color w:val="7030A0"/>
          <w:sz w:val="24"/>
          <w:szCs w:val="24"/>
          <w:lang w:val="es-ES"/>
        </w:rPr>
      </w:pPr>
    </w:p>
    <w:p w14:paraId="495A5E1E" w14:textId="77777777" w:rsidR="00EC4C18" w:rsidRPr="00EC4C18" w:rsidRDefault="00EC4C18" w:rsidP="00EC4C18">
      <w:pPr>
        <w:spacing w:after="0" w:line="276" w:lineRule="auto"/>
        <w:jc w:val="both"/>
        <w:rPr>
          <w:rFonts w:ascii="Arial" w:eastAsia="Calibri" w:hAnsi="Arial" w:cs="Arial"/>
          <w:sz w:val="24"/>
          <w:szCs w:val="24"/>
          <w:lang w:val="es-ES"/>
        </w:rPr>
      </w:pPr>
      <w:r w:rsidRPr="00EC4C18">
        <w:rPr>
          <w:rFonts w:ascii="Arial" w:eastAsia="Calibri" w:hAnsi="Arial" w:cs="Arial"/>
          <w:sz w:val="24"/>
          <w:szCs w:val="24"/>
          <w:lang w:val="es-ES"/>
        </w:rPr>
        <w:t xml:space="preserve">Lo anterior se sustenta en las siguientes consideraciones: </w:t>
      </w:r>
    </w:p>
    <w:p w14:paraId="2AD98A94" w14:textId="77777777" w:rsidR="00EC4C18" w:rsidRPr="00EC4C18" w:rsidRDefault="00EC4C18" w:rsidP="00EC4C18">
      <w:pPr>
        <w:spacing w:after="0" w:line="276" w:lineRule="auto"/>
        <w:jc w:val="both"/>
        <w:rPr>
          <w:rFonts w:ascii="Arial" w:eastAsia="Calibri" w:hAnsi="Arial" w:cs="Arial"/>
          <w:sz w:val="24"/>
          <w:szCs w:val="24"/>
          <w:lang w:val="es-ES"/>
        </w:rPr>
      </w:pPr>
    </w:p>
    <w:p w14:paraId="76A615E5" w14:textId="77777777" w:rsidR="00EC4C18" w:rsidRPr="00EC4C18" w:rsidRDefault="00EC4C18" w:rsidP="00EC4C18">
      <w:pPr>
        <w:numPr>
          <w:ilvl w:val="0"/>
          <w:numId w:val="19"/>
        </w:numPr>
        <w:spacing w:after="120" w:line="276" w:lineRule="auto"/>
        <w:contextualSpacing/>
        <w:jc w:val="both"/>
        <w:rPr>
          <w:rFonts w:ascii="Arial" w:eastAsia="Calibri" w:hAnsi="Arial" w:cs="Arial"/>
          <w:color w:val="000000" w:themeColor="text1"/>
          <w:sz w:val="24"/>
          <w:szCs w:val="24"/>
          <w:lang w:val="es-ES_tradnl" w:eastAsia="es-ES_tradnl"/>
        </w:rPr>
      </w:pPr>
      <w:r w:rsidRPr="00EC4C18">
        <w:rPr>
          <w:rFonts w:ascii="Arial" w:eastAsia="Calibri" w:hAnsi="Arial" w:cs="Arial"/>
          <w:color w:val="000000" w:themeColor="text1"/>
          <w:sz w:val="24"/>
          <w:szCs w:val="24"/>
          <w:lang w:val="es-ES_tradnl" w:eastAsia="es-ES_tradnl"/>
        </w:rPr>
        <w:t xml:space="preserve">Los </w:t>
      </w:r>
      <w:r w:rsidRPr="00EC4C18">
        <w:rPr>
          <w:rFonts w:ascii="Arial" w:eastAsia="Calibri" w:hAnsi="Arial" w:cs="Arial"/>
          <w:i/>
          <w:iCs/>
          <w:color w:val="000000" w:themeColor="text1"/>
          <w:sz w:val="24"/>
          <w:szCs w:val="24"/>
          <w:lang w:val="es-ES_tradnl" w:eastAsia="es-ES_tradnl"/>
        </w:rPr>
        <w:t>requisitos habilitantes</w:t>
      </w:r>
      <w:r w:rsidRPr="00EC4C18">
        <w:rPr>
          <w:rFonts w:ascii="Arial" w:eastAsia="Calibri" w:hAnsi="Arial" w:cs="Arial"/>
          <w:color w:val="000000" w:themeColor="text1"/>
          <w:sz w:val="24"/>
          <w:szCs w:val="24"/>
          <w:lang w:val="es-ES_tradnl" w:eastAsia="es-ES_tradnl"/>
        </w:rPr>
        <w:t xml:space="preserve"> se definen como exigencias de participación en los procedimientos de selección, establecidos en disposiciones normativas, de </w:t>
      </w:r>
      <w:r w:rsidRPr="00EC4C18">
        <w:rPr>
          <w:rFonts w:ascii="Arial" w:eastAsia="Calibri" w:hAnsi="Arial" w:cs="Arial"/>
          <w:color w:val="000000" w:themeColor="text1"/>
          <w:sz w:val="24"/>
          <w:szCs w:val="24"/>
          <w:lang w:val="es-ES_tradnl" w:eastAsia="es-ES_tradnl"/>
        </w:rPr>
        <w:lastRenderedPageBreak/>
        <w:t xml:space="preserve">carácter legal o reglamentario, o contenidas en el acto administrativo que regula las reglas de la convocatoria, es decir, en el pliego de condiciones o el documento equivalente a este. Se diferencian de los </w:t>
      </w:r>
      <w:r w:rsidRPr="00EC4C18">
        <w:rPr>
          <w:rFonts w:ascii="Arial" w:eastAsia="Calibri" w:hAnsi="Arial" w:cs="Arial"/>
          <w:i/>
          <w:iCs/>
          <w:color w:val="000000" w:themeColor="text1"/>
          <w:sz w:val="24"/>
          <w:szCs w:val="24"/>
          <w:lang w:val="es-ES_tradnl" w:eastAsia="es-ES_tradnl"/>
        </w:rPr>
        <w:t>criterios de evaluación</w:t>
      </w:r>
      <w:r w:rsidRPr="00EC4C18">
        <w:rPr>
          <w:rFonts w:ascii="Arial" w:eastAsia="Calibri" w:hAnsi="Arial" w:cs="Arial"/>
          <w:color w:val="000000" w:themeColor="text1"/>
          <w:sz w:val="24"/>
          <w:szCs w:val="24"/>
          <w:lang w:val="es-ES_tradnl" w:eastAsia="es-ES_tradnl"/>
        </w:rPr>
        <w:t xml:space="preserve"> –también conocidos como </w:t>
      </w:r>
      <w:r w:rsidRPr="00EC4C18">
        <w:rPr>
          <w:rFonts w:ascii="Arial" w:eastAsia="Calibri" w:hAnsi="Arial" w:cs="Arial"/>
          <w:i/>
          <w:iCs/>
          <w:color w:val="000000" w:themeColor="text1"/>
          <w:sz w:val="24"/>
          <w:szCs w:val="24"/>
          <w:lang w:val="es-ES_tradnl" w:eastAsia="es-ES_tradnl"/>
        </w:rPr>
        <w:t>criterios de calificación</w:t>
      </w:r>
      <w:r w:rsidRPr="00EC4C18">
        <w:rPr>
          <w:rFonts w:ascii="Arial" w:eastAsia="Calibri" w:hAnsi="Arial" w:cs="Arial"/>
          <w:color w:val="000000" w:themeColor="text1"/>
          <w:sz w:val="24"/>
          <w:szCs w:val="24"/>
          <w:lang w:val="es-ES_tradnl" w:eastAsia="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CA2F2FE" w14:textId="77777777" w:rsidR="00EC4C18" w:rsidRPr="00EC4C18" w:rsidRDefault="00EC4C18" w:rsidP="00EC4C18">
      <w:pPr>
        <w:numPr>
          <w:ilvl w:val="0"/>
          <w:numId w:val="19"/>
        </w:numPr>
        <w:spacing w:after="120" w:line="276" w:lineRule="auto"/>
        <w:contextualSpacing/>
        <w:jc w:val="both"/>
        <w:rPr>
          <w:rFonts w:ascii="Arial" w:eastAsia="Calibri" w:hAnsi="Arial" w:cs="Arial"/>
          <w:color w:val="000000" w:themeColor="text1"/>
          <w:sz w:val="24"/>
          <w:szCs w:val="24"/>
          <w:lang w:val="es-ES" w:eastAsia="es-ES"/>
        </w:rPr>
      </w:pPr>
      <w:r w:rsidRPr="00EC4C18">
        <w:rPr>
          <w:rFonts w:ascii="Arial" w:eastAsia="Calibri" w:hAnsi="Arial" w:cs="Arial"/>
          <w:color w:val="000000" w:themeColor="text1"/>
          <w:sz w:val="24"/>
          <w:szCs w:val="24"/>
          <w:lang w:val="es-ES" w:eastAsia="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7250DD67" w14:textId="77777777" w:rsidR="00EC4C18" w:rsidRPr="00EC4C18" w:rsidRDefault="00EC4C18" w:rsidP="00EC4C18">
      <w:pPr>
        <w:numPr>
          <w:ilvl w:val="0"/>
          <w:numId w:val="19"/>
        </w:numPr>
        <w:spacing w:after="0" w:line="276" w:lineRule="auto"/>
        <w:contextualSpacing/>
        <w:jc w:val="both"/>
        <w:rPr>
          <w:rFonts w:ascii="Arial" w:eastAsia="Calibri" w:hAnsi="Arial" w:cs="Arial"/>
          <w:color w:val="000000" w:themeColor="text1"/>
          <w:sz w:val="24"/>
          <w:szCs w:val="24"/>
          <w:lang w:val="es-ES" w:eastAsia="es-ES"/>
        </w:rPr>
      </w:pPr>
      <w:r w:rsidRPr="00EC4C18">
        <w:rPr>
          <w:rFonts w:ascii="Arial" w:eastAsia="Calibri" w:hAnsi="Arial" w:cs="Arial"/>
          <w:color w:val="000000" w:themeColor="text1"/>
          <w:sz w:val="24"/>
          <w:szCs w:val="24"/>
          <w:lang w:val="es-ES" w:eastAsia="es-ES"/>
        </w:rPr>
        <w:t xml:space="preserve">El mencionado artículo dispone que se considera </w:t>
      </w:r>
      <w:r w:rsidRPr="00EC4C18">
        <w:rPr>
          <w:rFonts w:ascii="Arial" w:eastAsia="Calibri" w:hAnsi="Arial" w:cs="Arial"/>
          <w:i/>
          <w:iCs/>
          <w:color w:val="000000" w:themeColor="text1"/>
          <w:sz w:val="24"/>
          <w:szCs w:val="24"/>
          <w:lang w:val="es-ES" w:eastAsia="es-ES"/>
        </w:rPr>
        <w:t>“objetiva la selección en la cual la escogencia se haga al ofrecimiento más favorable a la entidad y a los fines que ella busca, sin tener en consideración factores de afecto o de interés y, en general, cualquier clase de motivación subjetiva”.</w:t>
      </w:r>
      <w:r w:rsidRPr="00EC4C18">
        <w:rPr>
          <w:rFonts w:ascii="Arial" w:eastAsia="Calibri" w:hAnsi="Arial" w:cs="Arial"/>
          <w:color w:val="000000" w:themeColor="text1"/>
          <w:sz w:val="24"/>
          <w:szCs w:val="24"/>
          <w:lang w:val="es-ES" w:eastAsia="es-ES"/>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EC4C18">
        <w:rPr>
          <w:rFonts w:ascii="Arial" w:eastAsia="Calibri" w:hAnsi="Arial" w:cs="Arial"/>
          <w:i/>
          <w:iCs/>
          <w:color w:val="000000" w:themeColor="text1"/>
          <w:sz w:val="24"/>
          <w:szCs w:val="24"/>
          <w:lang w:val="es-ES" w:eastAsia="es-ES"/>
        </w:rPr>
        <w:t>entre otros</w:t>
      </w:r>
      <w:r w:rsidRPr="00EC4C18">
        <w:rPr>
          <w:rFonts w:ascii="Arial" w:eastAsia="Calibri" w:hAnsi="Arial" w:cs="Arial"/>
          <w:color w:val="000000" w:themeColor="text1"/>
          <w:sz w:val="24"/>
          <w:szCs w:val="24"/>
          <w:lang w:val="es-ES" w:eastAsia="es-ES"/>
        </w:rPr>
        <w:t>, los siguientes: i) la capacidad jurídica; ii) la experiencia; iii) la capacidad financiera y iv) la capacidad de organización. En efecto, la normativa citada prescribe lo siguiente:</w:t>
      </w:r>
    </w:p>
    <w:p w14:paraId="234A9E2C" w14:textId="77777777" w:rsidR="00EC4C18" w:rsidRPr="00EC4C18" w:rsidRDefault="00EC4C18" w:rsidP="00EC4C18">
      <w:pPr>
        <w:spacing w:after="0" w:line="276" w:lineRule="auto"/>
        <w:ind w:firstLine="709"/>
        <w:jc w:val="both"/>
        <w:rPr>
          <w:rFonts w:ascii="Arial" w:eastAsia="Calibri" w:hAnsi="Arial" w:cs="Arial"/>
          <w:color w:val="000000" w:themeColor="text1"/>
          <w:sz w:val="24"/>
          <w:szCs w:val="24"/>
          <w:lang w:val="es-ES_tradnl" w:eastAsia="es-ES_tradnl"/>
        </w:rPr>
      </w:pPr>
      <w:r w:rsidRPr="00EC4C18">
        <w:rPr>
          <w:rFonts w:ascii="Arial" w:eastAsia="Calibri" w:hAnsi="Arial" w:cs="Arial"/>
          <w:color w:val="000000" w:themeColor="text1"/>
          <w:sz w:val="24"/>
          <w:szCs w:val="24"/>
          <w:lang w:val="es-ES_tradnl" w:eastAsia="es-ES_tradnl"/>
        </w:rPr>
        <w:t xml:space="preserve"> </w:t>
      </w:r>
    </w:p>
    <w:p w14:paraId="00A2CB3D" w14:textId="77777777" w:rsidR="00EC4C18" w:rsidRPr="00EC4C18" w:rsidRDefault="00EC4C18" w:rsidP="00EC4C18">
      <w:pPr>
        <w:spacing w:after="0" w:line="240" w:lineRule="auto"/>
        <w:ind w:left="1134" w:right="709"/>
        <w:jc w:val="both"/>
        <w:rPr>
          <w:rFonts w:ascii="Arial" w:eastAsia="Calibri" w:hAnsi="Arial" w:cs="Arial"/>
          <w:color w:val="000000" w:themeColor="text1"/>
          <w:sz w:val="20"/>
          <w:szCs w:val="20"/>
          <w:lang w:val="es-ES_tradnl" w:eastAsia="es-ES_tradnl"/>
        </w:rPr>
      </w:pPr>
      <w:r w:rsidRPr="00EC4C18">
        <w:rPr>
          <w:rFonts w:ascii="Arial" w:eastAsia="Calibri" w:hAnsi="Arial" w:cs="Arial"/>
          <w:i/>
          <w:iCs/>
          <w:color w:val="000000" w:themeColor="text1"/>
          <w:sz w:val="20"/>
          <w:szCs w:val="20"/>
          <w:lang w:val="es-ES_tradnl" w:eastAsia="es-ES_tradnl"/>
        </w:rPr>
        <w:t>“</w:t>
      </w:r>
      <w:r w:rsidRPr="00EC4C18">
        <w:rPr>
          <w:rFonts w:ascii="Arial" w:eastAsia="Calibri" w:hAnsi="Arial" w:cs="Arial"/>
          <w:color w:val="000000" w:themeColor="text1"/>
          <w:sz w:val="20"/>
          <w:szCs w:val="20"/>
          <w:lang w:val="es-ES_tradnl" w:eastAsia="es-ES_tradnl"/>
        </w:rPr>
        <w:t xml:space="preserve">Artículo 5. De la Selección Objetiva. </w:t>
      </w:r>
    </w:p>
    <w:p w14:paraId="005BA10E" w14:textId="77777777" w:rsidR="00EC4C18" w:rsidRPr="00EC4C18" w:rsidRDefault="00EC4C18" w:rsidP="00EC4C18">
      <w:pPr>
        <w:spacing w:after="0" w:line="240" w:lineRule="auto"/>
        <w:ind w:left="1134" w:right="709"/>
        <w:jc w:val="both"/>
        <w:rPr>
          <w:rFonts w:ascii="Arial" w:eastAsia="Calibri" w:hAnsi="Arial" w:cs="Arial"/>
          <w:color w:val="000000" w:themeColor="text1"/>
          <w:sz w:val="20"/>
          <w:szCs w:val="20"/>
          <w:lang w:val="es-ES_tradnl" w:eastAsia="es-ES_tradnl"/>
        </w:rPr>
      </w:pPr>
      <w:r w:rsidRPr="00EC4C18">
        <w:rPr>
          <w:rFonts w:ascii="Arial" w:eastAsia="Calibri" w:hAnsi="Arial" w:cs="Arial"/>
          <w:color w:val="000000" w:themeColor="text1"/>
          <w:sz w:val="20"/>
          <w:szCs w:val="20"/>
          <w:lang w:val="es-ES_tradnl" w:eastAsia="es-ES_tradnl"/>
        </w:rPr>
        <w:t>[…]</w:t>
      </w:r>
    </w:p>
    <w:p w14:paraId="563E4AE9" w14:textId="77777777" w:rsidR="00EC4C18" w:rsidRPr="00EC4C18" w:rsidRDefault="00EC4C18" w:rsidP="00EC4C18">
      <w:pPr>
        <w:numPr>
          <w:ilvl w:val="0"/>
          <w:numId w:val="22"/>
        </w:numPr>
        <w:spacing w:after="0" w:line="240" w:lineRule="auto"/>
        <w:ind w:right="709"/>
        <w:contextualSpacing/>
        <w:jc w:val="both"/>
        <w:rPr>
          <w:rFonts w:ascii="Arial" w:eastAsia="Calibri" w:hAnsi="Arial" w:cs="Arial"/>
          <w:color w:val="000000" w:themeColor="text1"/>
          <w:sz w:val="20"/>
          <w:szCs w:val="20"/>
          <w:lang w:val="es-ES"/>
        </w:rPr>
      </w:pPr>
      <w:r w:rsidRPr="00EC4C18">
        <w:rPr>
          <w:rFonts w:ascii="Arial" w:eastAsia="Calibri" w:hAnsi="Arial" w:cs="Arial"/>
          <w:color w:val="000000" w:themeColor="text1"/>
          <w:sz w:val="20"/>
          <w:szCs w:val="20"/>
          <w:lang w:val="es-ES"/>
        </w:rPr>
        <w:lastRenderedPageBreak/>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2ECCB428" w14:textId="77777777" w:rsidR="00EC4C18" w:rsidRPr="00EC4C18" w:rsidRDefault="00EC4C18" w:rsidP="00EC4C18">
      <w:pPr>
        <w:spacing w:after="0" w:line="240" w:lineRule="auto"/>
        <w:ind w:left="1494" w:right="709"/>
        <w:contextualSpacing/>
        <w:jc w:val="both"/>
        <w:rPr>
          <w:rFonts w:ascii="Arial" w:eastAsia="Calibri" w:hAnsi="Arial" w:cs="Arial"/>
          <w:color w:val="000000" w:themeColor="text1"/>
          <w:sz w:val="24"/>
          <w:szCs w:val="24"/>
          <w:lang w:val="es-ES_tradnl"/>
        </w:rPr>
      </w:pPr>
    </w:p>
    <w:p w14:paraId="7E2838FF" w14:textId="77777777" w:rsidR="00EC4C18" w:rsidRPr="00EC4C18" w:rsidRDefault="00EC4C18" w:rsidP="00EC4C18">
      <w:pPr>
        <w:numPr>
          <w:ilvl w:val="0"/>
          <w:numId w:val="21"/>
        </w:numPr>
        <w:spacing w:after="120" w:line="276" w:lineRule="auto"/>
        <w:contextualSpacing/>
        <w:jc w:val="both"/>
        <w:rPr>
          <w:rFonts w:ascii="Arial" w:eastAsia="Calibri" w:hAnsi="Arial" w:cs="Arial"/>
          <w:sz w:val="24"/>
          <w:szCs w:val="24"/>
          <w:lang w:val="es-MX"/>
        </w:rPr>
      </w:pPr>
      <w:r w:rsidRPr="00EC4C18">
        <w:rPr>
          <w:rFonts w:ascii="Arial" w:eastAsia="Calibri" w:hAnsi="Arial" w:cs="Arial"/>
          <w:sz w:val="24"/>
          <w:szCs w:val="24"/>
          <w:lang w:val="es-MX"/>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w:t>
      </w:r>
      <w:r w:rsidRPr="00EC4C18">
        <w:rPr>
          <w:rFonts w:ascii="Arial" w:hAnsi="Arial" w:cs="Arial"/>
          <w:color w:val="000000" w:themeColor="text1"/>
          <w:sz w:val="24"/>
          <w:szCs w:val="24"/>
          <w:vertAlign w:val="superscript"/>
          <w:lang w:val="es-ES_tradnl" w:eastAsia="es-ES_tradnl"/>
        </w:rPr>
        <w:footnoteReference w:id="3"/>
      </w:r>
      <w:r w:rsidRPr="00EC4C18">
        <w:rPr>
          <w:rFonts w:ascii="Arial" w:eastAsia="Calibri" w:hAnsi="Arial" w:cs="Arial"/>
          <w:sz w:val="24"/>
          <w:szCs w:val="24"/>
          <w:lang w:val="es-MX"/>
        </w:rPr>
        <w:t xml:space="preserve">–, se pondrá de presente toda la información relacionada con la experiencia, capacidad jurídica, capacidad financiera y organizacional, así como la clasificación del proponente. </w:t>
      </w:r>
    </w:p>
    <w:p w14:paraId="681F8000" w14:textId="77777777" w:rsidR="00EC4C18" w:rsidRPr="00EC4C18" w:rsidRDefault="00EC4C18" w:rsidP="00EC4C18">
      <w:pPr>
        <w:numPr>
          <w:ilvl w:val="0"/>
          <w:numId w:val="21"/>
        </w:numPr>
        <w:spacing w:after="120" w:line="276" w:lineRule="auto"/>
        <w:contextualSpacing/>
        <w:jc w:val="both"/>
        <w:rPr>
          <w:rFonts w:ascii="Arial" w:eastAsia="Calibri" w:hAnsi="Arial" w:cs="Arial"/>
          <w:sz w:val="24"/>
          <w:szCs w:val="24"/>
          <w:lang w:val="es-MX"/>
        </w:rPr>
      </w:pPr>
      <w:r w:rsidRPr="00EC4C18">
        <w:rPr>
          <w:rFonts w:ascii="Arial" w:eastAsia="Calibri" w:hAnsi="Arial" w:cs="Arial"/>
          <w:sz w:val="24"/>
          <w:szCs w:val="24"/>
          <w:lang w:val="es-MX"/>
        </w:rPr>
        <w:t xml:space="preserve">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es de aquellos en los cuales no se exceptúa el RUP, de acuerdo con el inciso segundo del artículo 6 de la Ley 1150 de 2007 –contratación </w:t>
      </w:r>
      <w:r w:rsidRPr="00EC4C18">
        <w:rPr>
          <w:rFonts w:ascii="Arial" w:eastAsia="Calibri" w:hAnsi="Arial" w:cs="Arial"/>
          <w:sz w:val="24"/>
          <w:szCs w:val="24"/>
          <w:lang w:val="es-MX"/>
        </w:rPr>
        <w:lastRenderedPageBreak/>
        <w:t>directa, contratos para la prestación de servicios de salud, contratos de mínima cuantía, entre otros puestos de presente por la norma–. De esto se desprende que las personas extranjeras sin domicilio o sucursal en Colombia que pretendan celebrar contratos con el Estado colombiano no están obligadas a inscribirse en el RUP, puesto que, tratándose de proponentes extranjeros la norma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Entidad Estatal, para que sirvan de prueba, y la Entidad Estatal deberá realizar una verificación directa del cumplimiento de los requisitos habilitantes.</w:t>
      </w:r>
    </w:p>
    <w:p w14:paraId="1B7E7976" w14:textId="77777777" w:rsidR="00EC4C18" w:rsidRPr="00EC4C18" w:rsidRDefault="00EC4C18" w:rsidP="00EC4C18">
      <w:pPr>
        <w:numPr>
          <w:ilvl w:val="0"/>
          <w:numId w:val="21"/>
        </w:numPr>
        <w:spacing w:after="120" w:line="276" w:lineRule="auto"/>
        <w:contextualSpacing/>
        <w:jc w:val="both"/>
        <w:rPr>
          <w:rFonts w:ascii="Arial" w:eastAsia="Calibri" w:hAnsi="Arial" w:cs="Arial"/>
          <w:sz w:val="24"/>
          <w:szCs w:val="24"/>
          <w:lang w:val="es-MX"/>
        </w:rPr>
      </w:pPr>
      <w:r w:rsidRPr="00EC4C18">
        <w:rPr>
          <w:rFonts w:ascii="Arial" w:eastAsia="Calibri" w:hAnsi="Arial" w:cs="Arial"/>
          <w:color w:val="000000"/>
          <w:sz w:val="24"/>
          <w:szCs w:val="24"/>
          <w:lang w:val="es-MX" w:eastAsia="es-ES_tradnl"/>
        </w:rPr>
        <w:t xml:space="preserve">Ahora bien, dentro de los requisitos habilitantes se destaca la capacidad financiera, la cual </w:t>
      </w:r>
      <w:r w:rsidRPr="00EC4C18">
        <w:rPr>
          <w:rFonts w:ascii="Arial" w:eastAsia="Calibri" w:hAnsi="Arial" w:cs="Arial"/>
          <w:sz w:val="24"/>
          <w:szCs w:val="24"/>
          <w:lang w:val="es-MX"/>
        </w:rPr>
        <w:t xml:space="preserve">se deriva del comportamiento contable de la empresa, su liquidez y endeudamiento, para determinar que sus recursos y solidez financiera le permita cumplir los compromisos que adquiera. Como explica esta Agencia en el </w:t>
      </w:r>
      <w:r w:rsidRPr="00EC4C18">
        <w:rPr>
          <w:rFonts w:ascii="Arial" w:eastAsia="Calibri" w:hAnsi="Arial" w:cs="Arial"/>
          <w:i/>
          <w:iCs/>
          <w:sz w:val="24"/>
          <w:szCs w:val="24"/>
          <w:lang w:val="es-MX"/>
        </w:rPr>
        <w:t>Manual para determinar y verificar los requisitos habilitantes en los procesos de contratación</w:t>
      </w:r>
      <w:r w:rsidRPr="00EC4C18">
        <w:rPr>
          <w:rFonts w:ascii="Arial" w:eastAsia="Calibri" w:hAnsi="Arial" w:cs="Arial"/>
          <w:sz w:val="24"/>
          <w:szCs w:val="24"/>
          <w:lang w:val="es-MX"/>
        </w:rPr>
        <w:t xml:space="preserve">: </w:t>
      </w:r>
      <w:r w:rsidRPr="00EC4C18">
        <w:rPr>
          <w:rFonts w:ascii="Arial" w:eastAsia="Calibri" w:hAnsi="Arial" w:cs="Arial"/>
          <w:i/>
          <w:iCs/>
          <w:sz w:val="24"/>
          <w:szCs w:val="24"/>
          <w:lang w:val="es-MX"/>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EC4C18">
        <w:rPr>
          <w:rFonts w:ascii="Arial" w:hAnsi="Arial" w:cs="Arial"/>
          <w:i/>
          <w:iCs/>
          <w:color w:val="000000"/>
          <w:sz w:val="24"/>
          <w:szCs w:val="24"/>
          <w:vertAlign w:val="superscript"/>
          <w:lang w:val="es-ES_tradnl" w:eastAsia="es-ES_tradnl"/>
        </w:rPr>
        <w:footnoteReference w:id="4"/>
      </w:r>
      <w:r w:rsidRPr="00EC4C18">
        <w:rPr>
          <w:rFonts w:ascii="Arial" w:eastAsia="Calibri" w:hAnsi="Arial" w:cs="Arial"/>
          <w:i/>
          <w:iCs/>
          <w:color w:val="000000"/>
          <w:sz w:val="24"/>
          <w:szCs w:val="24"/>
          <w:lang w:val="es-ES_tradnl" w:eastAsia="es-ES_tradnl"/>
        </w:rPr>
        <w:t>.</w:t>
      </w:r>
      <w:r w:rsidRPr="00EC4C18">
        <w:rPr>
          <w:rFonts w:ascii="Arial" w:eastAsia="Calibri" w:hAnsi="Arial" w:cs="Arial"/>
          <w:color w:val="000000"/>
          <w:sz w:val="24"/>
          <w:szCs w:val="24"/>
          <w:lang w:val="es-MX" w:eastAsia="es-ES_tradnl"/>
        </w:rPr>
        <w:t xml:space="preserve"> </w:t>
      </w:r>
    </w:p>
    <w:p w14:paraId="5E066833" w14:textId="77777777" w:rsidR="00EC4C18" w:rsidRPr="00EC4C18" w:rsidRDefault="00EC4C18" w:rsidP="00EC4C18">
      <w:pPr>
        <w:numPr>
          <w:ilvl w:val="0"/>
          <w:numId w:val="21"/>
        </w:numPr>
        <w:spacing w:after="120" w:line="276" w:lineRule="auto"/>
        <w:contextualSpacing/>
        <w:jc w:val="both"/>
        <w:rPr>
          <w:rFonts w:ascii="Arial" w:eastAsia="Calibri" w:hAnsi="Arial" w:cs="Arial"/>
          <w:sz w:val="24"/>
          <w:szCs w:val="24"/>
          <w:lang w:val="es-MX"/>
        </w:rPr>
      </w:pPr>
      <w:r w:rsidRPr="00EC4C18">
        <w:rPr>
          <w:rFonts w:ascii="Arial" w:eastAsia="Calibri" w:hAnsi="Arial" w:cs="Arial"/>
          <w:color w:val="000000"/>
          <w:sz w:val="24"/>
          <w:szCs w:val="24"/>
          <w:lang w:val="es-MX" w:eastAsia="es-ES_tradnl"/>
        </w:rPr>
        <w:t xml:space="preserve">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w:t>
      </w:r>
      <w:r w:rsidRPr="00EC4C18">
        <w:rPr>
          <w:rFonts w:ascii="Arial" w:eastAsia="Calibri" w:hAnsi="Arial" w:cs="Arial"/>
          <w:color w:val="000000"/>
          <w:sz w:val="24"/>
          <w:szCs w:val="24"/>
          <w:lang w:val="es-MX" w:eastAsia="es-ES_tradnl"/>
        </w:rPr>
        <w:lastRenderedPageBreak/>
        <w:t>del sector</w:t>
      </w:r>
      <w:r w:rsidRPr="00EC4C18">
        <w:rPr>
          <w:rFonts w:ascii="Arial" w:hAnsi="Arial" w:cs="Arial"/>
          <w:color w:val="000000"/>
          <w:sz w:val="24"/>
          <w:szCs w:val="24"/>
          <w:vertAlign w:val="superscript"/>
          <w:lang w:val="es-MX" w:eastAsia="es-ES_tradnl"/>
        </w:rPr>
        <w:footnoteReference w:id="5"/>
      </w:r>
      <w:r w:rsidRPr="00EC4C18">
        <w:rPr>
          <w:rFonts w:ascii="Arial" w:eastAsia="Calibri" w:hAnsi="Arial" w:cs="Arial"/>
          <w:color w:val="000000"/>
          <w:sz w:val="24"/>
          <w:szCs w:val="24"/>
          <w:lang w:val="es-MX" w:eastAsia="es-ES_tradnl"/>
        </w:rPr>
        <w:t xml:space="preserve"> y sus componentes como la identificación de riesgos, el mercado y precio del bien, obra o servicio a contratar</w:t>
      </w:r>
      <w:r w:rsidRPr="00EC4C18">
        <w:rPr>
          <w:rFonts w:ascii="Arial" w:hAnsi="Arial" w:cs="Arial"/>
          <w:color w:val="000000"/>
          <w:sz w:val="24"/>
          <w:szCs w:val="24"/>
          <w:vertAlign w:val="superscript"/>
          <w:lang w:val="es-MX" w:eastAsia="es-ES_tradnl"/>
        </w:rPr>
        <w:footnoteReference w:id="6"/>
      </w:r>
      <w:r w:rsidRPr="00EC4C18">
        <w:rPr>
          <w:rFonts w:ascii="Arial" w:eastAsia="Calibri" w:hAnsi="Arial" w:cs="Arial"/>
          <w:color w:val="000000"/>
          <w:sz w:val="24"/>
          <w:szCs w:val="24"/>
          <w:lang w:val="es-MX" w:eastAsia="es-ES_tradnl"/>
        </w:rPr>
        <w:t>.</w:t>
      </w:r>
    </w:p>
    <w:p w14:paraId="36D85F8B" w14:textId="77777777" w:rsidR="00EC4C18" w:rsidRPr="00EC4C18" w:rsidRDefault="00EC4C18" w:rsidP="00EC4C18">
      <w:pPr>
        <w:numPr>
          <w:ilvl w:val="0"/>
          <w:numId w:val="21"/>
        </w:numPr>
        <w:spacing w:before="120" w:after="120" w:line="276" w:lineRule="auto"/>
        <w:contextualSpacing/>
        <w:jc w:val="both"/>
        <w:rPr>
          <w:rFonts w:ascii="Arial" w:eastAsia="Calibri" w:hAnsi="Arial" w:cs="Arial"/>
          <w:color w:val="000000"/>
          <w:sz w:val="24"/>
          <w:szCs w:val="24"/>
          <w:lang w:val="es-ES_tradnl" w:eastAsia="es-ES_tradnl"/>
        </w:rPr>
      </w:pPr>
      <w:r w:rsidRPr="00EC4C18">
        <w:rPr>
          <w:rFonts w:ascii="Arial" w:eastAsia="Calibri" w:hAnsi="Arial" w:cs="Arial"/>
          <w:color w:val="000000"/>
          <w:sz w:val="24"/>
          <w:szCs w:val="24"/>
          <w:lang w:val="es-ES_tradnl" w:eastAsia="es-ES_tradnl"/>
        </w:rPr>
        <w:t xml:space="preserve">De conformidad con lo dispuesto en los artículos 5, numeral 1 de la Ley 1150 de 2007 y 2.2.1.1.1.5.3 del Decreto 1082 de 2015, por regla general, la acreditación del requisito habilitante de capacidad financiera se realiza a través del RUP. En atención a esto, para los tramites de inscripción, renovación y actualización el numeral 2.3 del artículo 2.2.1.1.1.5.2 del Decreto 1082 de 2015 exige la presentación de los </w:t>
      </w:r>
      <w:r w:rsidRPr="00EC4C18">
        <w:rPr>
          <w:rFonts w:ascii="Arial" w:eastAsia="Calibri" w:hAnsi="Arial" w:cs="Arial"/>
          <w:i/>
          <w:iCs/>
          <w:color w:val="000000"/>
          <w:sz w:val="24"/>
          <w:szCs w:val="24"/>
          <w:lang w:val="es-ES_tradnl" w:eastAsia="es-ES_tradnl"/>
        </w:rPr>
        <w:t>“</w:t>
      </w:r>
      <w:r w:rsidRPr="00EC4C18">
        <w:rPr>
          <w:rFonts w:ascii="Arial" w:hAnsi="Arial" w:cs="Arial"/>
          <w:i/>
          <w:iCs/>
          <w:color w:val="000000"/>
          <w:sz w:val="24"/>
          <w:szCs w:val="24"/>
        </w:rPr>
        <w:t>Estados financieros de la sociedad y los estados financieros consolidados del grupo empresarial, cuando la norma aplicable lo exige, auditados con sus notas […]”</w:t>
      </w:r>
      <w:r w:rsidRPr="00EC4C18">
        <w:rPr>
          <w:rFonts w:ascii="Arial" w:eastAsia="Calibri" w:hAnsi="Arial" w:cs="Arial"/>
          <w:color w:val="000000"/>
          <w:sz w:val="24"/>
          <w:szCs w:val="24"/>
          <w:lang w:val="es-ES_tradnl" w:eastAsia="es-ES_tradnl"/>
        </w:rPr>
        <w:t>, además de unos anexos dirigidos a servir de medio de verificación de la salud financiera de los proponentes</w:t>
      </w:r>
      <w:r w:rsidRPr="00EC4C18">
        <w:rPr>
          <w:rFonts w:ascii="Arial" w:eastAsia="Calibri" w:hAnsi="Arial" w:cs="Arial"/>
          <w:color w:val="000000"/>
          <w:sz w:val="24"/>
          <w:szCs w:val="24"/>
          <w:vertAlign w:val="superscript"/>
          <w:lang w:val="es-ES_tradnl" w:eastAsia="es-ES_tradnl"/>
        </w:rPr>
        <w:footnoteReference w:id="7"/>
      </w:r>
      <w:r w:rsidRPr="00EC4C18">
        <w:rPr>
          <w:rFonts w:ascii="Arial" w:eastAsia="Calibri" w:hAnsi="Arial" w:cs="Arial"/>
          <w:color w:val="000000"/>
          <w:sz w:val="24"/>
          <w:szCs w:val="24"/>
          <w:lang w:val="es-ES_tradnl" w:eastAsia="es-ES_tradnl"/>
        </w:rPr>
        <w:t xml:space="preserve">.  De este modo, lo que se verifica con el registro es que el proponente cumpla con los indicadores financieros solicitados por la entidad para medir la capacidad financiera requerida para el procedimiento de selección. </w:t>
      </w:r>
    </w:p>
    <w:p w14:paraId="25D62A5E" w14:textId="77777777" w:rsidR="00EC4C18" w:rsidRPr="00EC4C18" w:rsidRDefault="00EC4C18" w:rsidP="00EC4C18">
      <w:pPr>
        <w:numPr>
          <w:ilvl w:val="0"/>
          <w:numId w:val="21"/>
        </w:numPr>
        <w:spacing w:before="120" w:after="120" w:line="276" w:lineRule="auto"/>
        <w:contextualSpacing/>
        <w:jc w:val="both"/>
        <w:rPr>
          <w:rFonts w:ascii="Arial" w:eastAsia="Calibri" w:hAnsi="Arial" w:cs="Arial"/>
          <w:color w:val="000000"/>
          <w:sz w:val="24"/>
          <w:szCs w:val="24"/>
          <w:lang w:val="es-ES" w:eastAsia="es-ES"/>
        </w:rPr>
      </w:pPr>
      <w:r w:rsidRPr="00EC4C18">
        <w:rPr>
          <w:rFonts w:ascii="Arial" w:eastAsia="Calibri" w:hAnsi="Arial" w:cs="Arial"/>
          <w:color w:val="000000"/>
          <w:sz w:val="24"/>
          <w:szCs w:val="24"/>
          <w:lang w:val="es-ES" w:eastAsia="es-ES"/>
        </w:rPr>
        <w:t xml:space="preserve">Según el artículo 2.2.1.1.1.5.3. del Decreto 1082 de 2015, el RUP contempla como indicadores de capacidad financiera los siguientes: i) el </w:t>
      </w:r>
      <w:r w:rsidRPr="00EC4C18">
        <w:rPr>
          <w:rFonts w:ascii="Arial" w:eastAsia="Calibri" w:hAnsi="Arial" w:cs="Arial"/>
          <w:i/>
          <w:iCs/>
          <w:color w:val="000000"/>
          <w:sz w:val="24"/>
          <w:szCs w:val="24"/>
          <w:lang w:val="es-ES" w:eastAsia="es-ES"/>
        </w:rPr>
        <w:t xml:space="preserve">índice de </w:t>
      </w:r>
      <w:r w:rsidRPr="00EC4C18">
        <w:rPr>
          <w:rFonts w:ascii="Arial" w:eastAsia="Calibri" w:hAnsi="Arial" w:cs="Arial"/>
          <w:i/>
          <w:iCs/>
          <w:color w:val="000000"/>
          <w:sz w:val="24"/>
          <w:szCs w:val="24"/>
          <w:lang w:val="es-ES" w:eastAsia="es-ES"/>
        </w:rPr>
        <w:lastRenderedPageBreak/>
        <w:t>liquidez</w:t>
      </w:r>
      <w:r w:rsidRPr="00EC4C18">
        <w:rPr>
          <w:rFonts w:ascii="Arial" w:eastAsia="Calibri" w:hAnsi="Arial" w:cs="Arial"/>
          <w:color w:val="000000"/>
          <w:sz w:val="24"/>
          <w:szCs w:val="24"/>
          <w:lang w:val="es-ES" w:eastAsia="es-ES"/>
        </w:rPr>
        <w:t xml:space="preserve">, que corresponde a la división entre el activo corriente y el pasivo corriente, y que determina la capacidad que tiene el proponente para cumplir con sus obligaciones de corto plazo; ii) el </w:t>
      </w:r>
      <w:r w:rsidRPr="00EC4C18">
        <w:rPr>
          <w:rFonts w:ascii="Arial" w:eastAsia="Calibri" w:hAnsi="Arial" w:cs="Arial"/>
          <w:i/>
          <w:iCs/>
          <w:color w:val="000000"/>
          <w:sz w:val="24"/>
          <w:szCs w:val="24"/>
          <w:lang w:val="es-ES" w:eastAsia="es-ES"/>
        </w:rPr>
        <w:t>índice de endeudamiento</w:t>
      </w:r>
      <w:r w:rsidRPr="00EC4C18">
        <w:rPr>
          <w:rFonts w:ascii="Arial" w:eastAsia="Calibri" w:hAnsi="Arial" w:cs="Arial"/>
          <w:color w:val="000000"/>
          <w:sz w:val="24"/>
          <w:szCs w:val="24"/>
          <w:lang w:val="es-ES" w:eastAsia="es-ES"/>
        </w:rPr>
        <w:t xml:space="preserve">, que se calcula dividiendo el pasivo total por el activo total, el cual determina el grado de endeudamiento en la estructura de financiación del proponente; y iii) la </w:t>
      </w:r>
      <w:r w:rsidRPr="00EC4C18">
        <w:rPr>
          <w:rFonts w:ascii="Arial" w:eastAsia="Calibri" w:hAnsi="Arial" w:cs="Arial"/>
          <w:i/>
          <w:iCs/>
          <w:color w:val="000000"/>
          <w:sz w:val="24"/>
          <w:szCs w:val="24"/>
          <w:lang w:val="es-ES" w:eastAsia="es-ES"/>
        </w:rPr>
        <w:t>razón de cobertura de intereses</w:t>
      </w:r>
      <w:r w:rsidRPr="00EC4C18">
        <w:rPr>
          <w:rFonts w:ascii="Arial" w:eastAsia="Calibri" w:hAnsi="Arial" w:cs="Arial"/>
          <w:color w:val="000000"/>
          <w:sz w:val="24"/>
          <w:szCs w:val="24"/>
          <w:lang w:val="es-ES" w:eastAsia="es-ES"/>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EC4C18">
        <w:rPr>
          <w:rFonts w:ascii="Arial" w:eastAsia="Calibri" w:hAnsi="Arial" w:cs="Arial"/>
          <w:i/>
          <w:iCs/>
          <w:color w:val="000000"/>
          <w:sz w:val="24"/>
          <w:szCs w:val="24"/>
          <w:lang w:val="es-ES" w:eastAsia="es-ES"/>
        </w:rPr>
        <w:t>capital de trabajo</w:t>
      </w:r>
      <w:r w:rsidRPr="00EC4C18">
        <w:rPr>
          <w:rFonts w:ascii="Arial" w:eastAsia="Calibri" w:hAnsi="Arial" w:cs="Arial"/>
          <w:color w:val="000000"/>
          <w:sz w:val="24"/>
          <w:szCs w:val="24"/>
          <w:lang w:val="es-ES" w:eastAsia="es-ES"/>
        </w:rPr>
        <w:t xml:space="preserve">, la </w:t>
      </w:r>
      <w:r w:rsidRPr="00EC4C18">
        <w:rPr>
          <w:rFonts w:ascii="Arial" w:eastAsia="Calibri" w:hAnsi="Arial" w:cs="Arial"/>
          <w:i/>
          <w:iCs/>
          <w:color w:val="000000"/>
          <w:sz w:val="24"/>
          <w:szCs w:val="24"/>
          <w:lang w:val="es-ES" w:eastAsia="es-ES"/>
        </w:rPr>
        <w:t>razón de efectivo</w:t>
      </w:r>
      <w:r w:rsidRPr="00EC4C18">
        <w:rPr>
          <w:rFonts w:ascii="Arial" w:eastAsia="Calibri" w:hAnsi="Arial" w:cs="Arial"/>
          <w:color w:val="000000"/>
          <w:sz w:val="24"/>
          <w:szCs w:val="24"/>
          <w:lang w:val="es-ES" w:eastAsia="es-ES"/>
        </w:rPr>
        <w:t xml:space="preserve">, la denominada </w:t>
      </w:r>
      <w:r w:rsidRPr="00EC4C18">
        <w:rPr>
          <w:rFonts w:ascii="Arial" w:eastAsia="Calibri" w:hAnsi="Arial" w:cs="Arial"/>
          <w:i/>
          <w:iCs/>
          <w:color w:val="000000"/>
          <w:sz w:val="24"/>
          <w:szCs w:val="24"/>
          <w:lang w:val="es-ES" w:eastAsia="es-ES"/>
        </w:rPr>
        <w:t>prueba ácida</w:t>
      </w:r>
      <w:r w:rsidRPr="00EC4C18">
        <w:rPr>
          <w:rFonts w:ascii="Arial" w:hAnsi="Arial" w:cs="Arial"/>
          <w:sz w:val="24"/>
          <w:szCs w:val="24"/>
          <w:vertAlign w:val="superscript"/>
          <w:lang w:val="es-ES" w:eastAsia="es-ES"/>
        </w:rPr>
        <w:footnoteReference w:id="8"/>
      </w:r>
      <w:r w:rsidRPr="00EC4C18">
        <w:rPr>
          <w:rFonts w:ascii="Arial" w:eastAsia="Calibri" w:hAnsi="Arial" w:cs="Arial"/>
          <w:color w:val="000000"/>
          <w:sz w:val="24"/>
          <w:szCs w:val="24"/>
          <w:lang w:val="es-ES" w:eastAsia="es-ES"/>
        </w:rPr>
        <w:t xml:space="preserve">, la </w:t>
      </w:r>
      <w:r w:rsidRPr="00EC4C18">
        <w:rPr>
          <w:rFonts w:ascii="Arial" w:eastAsia="Calibri" w:hAnsi="Arial" w:cs="Arial"/>
          <w:i/>
          <w:iCs/>
          <w:color w:val="000000"/>
          <w:sz w:val="24"/>
          <w:szCs w:val="24"/>
          <w:lang w:val="es-ES" w:eastAsia="es-ES"/>
        </w:rPr>
        <w:t xml:space="preserve">concentración de endeudamiento a corto </w:t>
      </w:r>
      <w:r w:rsidRPr="00EC4C18">
        <w:rPr>
          <w:rFonts w:ascii="Arial" w:eastAsia="Calibri" w:hAnsi="Arial" w:cs="Arial"/>
          <w:color w:val="000000"/>
          <w:sz w:val="24"/>
          <w:szCs w:val="24"/>
          <w:lang w:val="es-ES" w:eastAsia="es-ES"/>
        </w:rPr>
        <w:t>y</w:t>
      </w:r>
      <w:r w:rsidRPr="00EC4C18">
        <w:rPr>
          <w:rFonts w:ascii="Arial" w:eastAsia="Calibri" w:hAnsi="Arial" w:cs="Arial"/>
          <w:i/>
          <w:iCs/>
          <w:color w:val="000000"/>
          <w:sz w:val="24"/>
          <w:szCs w:val="24"/>
          <w:lang w:val="es-ES" w:eastAsia="es-ES"/>
        </w:rPr>
        <w:t xml:space="preserve"> a largo plazo</w:t>
      </w:r>
      <w:r w:rsidRPr="00EC4C18">
        <w:rPr>
          <w:rFonts w:ascii="Arial" w:eastAsia="Calibri" w:hAnsi="Arial" w:cs="Arial"/>
          <w:color w:val="000000"/>
          <w:sz w:val="24"/>
          <w:szCs w:val="24"/>
          <w:lang w:val="es-ES" w:eastAsia="es-ES"/>
        </w:rPr>
        <w:t xml:space="preserve"> y el </w:t>
      </w:r>
      <w:r w:rsidRPr="00EC4C18">
        <w:rPr>
          <w:rFonts w:ascii="Arial" w:eastAsia="Calibri" w:hAnsi="Arial" w:cs="Arial"/>
          <w:i/>
          <w:iCs/>
          <w:color w:val="000000"/>
          <w:sz w:val="24"/>
          <w:szCs w:val="24"/>
          <w:lang w:val="es-ES" w:eastAsia="es-ES"/>
        </w:rPr>
        <w:t>patrimonio</w:t>
      </w:r>
      <w:r w:rsidRPr="00EC4C18">
        <w:rPr>
          <w:rFonts w:ascii="Arial" w:hAnsi="Arial" w:cs="Arial"/>
          <w:i/>
          <w:iCs/>
          <w:sz w:val="24"/>
          <w:szCs w:val="24"/>
          <w:vertAlign w:val="superscript"/>
          <w:lang w:val="es-ES" w:eastAsia="es-ES"/>
        </w:rPr>
        <w:footnoteReference w:id="9"/>
      </w:r>
      <w:r w:rsidRPr="00EC4C18">
        <w:rPr>
          <w:rFonts w:ascii="Arial" w:eastAsia="Calibri" w:hAnsi="Arial" w:cs="Arial"/>
          <w:color w:val="000000"/>
          <w:sz w:val="24"/>
          <w:szCs w:val="24"/>
          <w:lang w:val="es-ES" w:eastAsia="es-ES"/>
        </w:rPr>
        <w:t>.</w:t>
      </w:r>
    </w:p>
    <w:p w14:paraId="24242DF1" w14:textId="77777777" w:rsidR="00EC4C18" w:rsidRPr="00EC4C18" w:rsidRDefault="00EC4C18" w:rsidP="00EC4C18">
      <w:pPr>
        <w:numPr>
          <w:ilvl w:val="0"/>
          <w:numId w:val="21"/>
        </w:numPr>
        <w:spacing w:before="120" w:after="120" w:line="276" w:lineRule="auto"/>
        <w:contextualSpacing/>
        <w:jc w:val="both"/>
        <w:rPr>
          <w:rFonts w:ascii="Arial" w:eastAsia="Calibri" w:hAnsi="Arial" w:cs="Arial"/>
          <w:color w:val="000000" w:themeColor="text1"/>
          <w:sz w:val="24"/>
          <w:szCs w:val="24"/>
          <w:lang w:val="es-ES_tradnl" w:eastAsia="es-ES_tradnl"/>
        </w:rPr>
      </w:pPr>
      <w:r w:rsidRPr="00EC4C18">
        <w:rPr>
          <w:rFonts w:ascii="Arial" w:eastAsia="Calibri" w:hAnsi="Arial" w:cs="Arial"/>
          <w:color w:val="000000" w:themeColor="text1"/>
          <w:sz w:val="24"/>
          <w:szCs w:val="24"/>
          <w:lang w:val="es-ES_tradnl" w:eastAsia="es-ES_tradnl"/>
        </w:rPr>
        <w:t>De igual forma,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p>
    <w:p w14:paraId="1B034F91" w14:textId="77777777" w:rsidR="00EC4C18" w:rsidRPr="00EC4C18" w:rsidRDefault="00EC4C18" w:rsidP="00EC4C18">
      <w:pPr>
        <w:numPr>
          <w:ilvl w:val="0"/>
          <w:numId w:val="21"/>
        </w:numPr>
        <w:spacing w:line="276" w:lineRule="auto"/>
        <w:contextualSpacing/>
        <w:jc w:val="both"/>
        <w:rPr>
          <w:rFonts w:ascii="Arial" w:eastAsia="Calibri" w:hAnsi="Arial" w:cs="Arial"/>
          <w:color w:val="000000" w:themeColor="text1"/>
          <w:sz w:val="24"/>
          <w:szCs w:val="24"/>
          <w:lang w:val="es-ES"/>
        </w:rPr>
      </w:pPr>
      <w:r w:rsidRPr="00EC4C18">
        <w:rPr>
          <w:rFonts w:ascii="Arial" w:eastAsia="Calibri" w:hAnsi="Arial" w:cs="Arial"/>
          <w:color w:val="000000" w:themeColor="text1"/>
          <w:sz w:val="24"/>
          <w:szCs w:val="24"/>
          <w:lang w:val="es-ES"/>
        </w:rPr>
        <w:t xml:space="preserve">Actualmente, en la normatividad vigente tratándose de personas naturales obligadas a llevar contabilidad, deben presentar copia de la información contable del último año exigida por las normas tributarias. En contraste, las </w:t>
      </w:r>
      <w:r w:rsidRPr="00EC4C18">
        <w:rPr>
          <w:rFonts w:ascii="Arial" w:eastAsia="Calibri" w:hAnsi="Arial" w:cs="Arial"/>
          <w:color w:val="000000" w:themeColor="text1"/>
          <w:sz w:val="24"/>
          <w:szCs w:val="24"/>
          <w:lang w:val="es-ES"/>
        </w:rPr>
        <w:lastRenderedPageBreak/>
        <w:t>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69103F6C" w14:textId="77777777" w:rsidR="00EC4C18" w:rsidRPr="00EC4C18" w:rsidRDefault="00EC4C18" w:rsidP="00EC4C18">
      <w:pPr>
        <w:numPr>
          <w:ilvl w:val="0"/>
          <w:numId w:val="21"/>
        </w:numPr>
        <w:spacing w:line="276" w:lineRule="auto"/>
        <w:contextualSpacing/>
        <w:jc w:val="both"/>
        <w:rPr>
          <w:rFonts w:ascii="Arial" w:eastAsia="Calibri" w:hAnsi="Arial" w:cs="Arial"/>
          <w:color w:val="000000" w:themeColor="text1"/>
          <w:sz w:val="24"/>
          <w:szCs w:val="24"/>
          <w:lang w:val="es-ES"/>
        </w:rPr>
      </w:pPr>
      <w:r w:rsidRPr="00EC4C18">
        <w:rPr>
          <w:rFonts w:ascii="Arial" w:eastAsia="Calibri" w:hAnsi="Arial" w:cs="Arial"/>
          <w:color w:val="000000" w:themeColor="text1"/>
          <w:sz w:val="24"/>
          <w:szCs w:val="24"/>
          <w:lang w:val="es-ES"/>
        </w:rPr>
        <w:t>En consecuencia, una interpretación razonable permite concluir que a partir del 1° de enero de 2024 los indicadores deben acreditarse frente a la Cámara de Comercio conforme a las reglas de generales del Decreto 1082 de 2015, es decir, con la información contable del año inmediatamente anterior –nums. 1.3 y 2.3 del artículo 2.2.1.1.1.5.2 del Decreto 1082 de 2015–.</w:t>
      </w:r>
    </w:p>
    <w:p w14:paraId="2F5DF298" w14:textId="77777777" w:rsidR="00EC4C18" w:rsidRPr="00EC4C18" w:rsidRDefault="00EC4C18" w:rsidP="00EC4C18">
      <w:pPr>
        <w:tabs>
          <w:tab w:val="left" w:pos="142"/>
          <w:tab w:val="left" w:pos="284"/>
        </w:tabs>
        <w:spacing w:after="0" w:line="276" w:lineRule="auto"/>
        <w:jc w:val="both"/>
        <w:rPr>
          <w:rFonts w:ascii="Arial" w:eastAsia="Century Gothic" w:hAnsi="Arial" w:cs="Arial"/>
          <w:b/>
          <w:bCs/>
          <w:sz w:val="24"/>
          <w:szCs w:val="24"/>
          <w:lang w:val="es-ES"/>
        </w:rPr>
      </w:pPr>
    </w:p>
    <w:p w14:paraId="42307B53" w14:textId="77777777" w:rsidR="00EC4C18" w:rsidRPr="00EC4C18" w:rsidRDefault="00EC4C18" w:rsidP="00EC4C18">
      <w:pPr>
        <w:numPr>
          <w:ilvl w:val="0"/>
          <w:numId w:val="4"/>
        </w:numPr>
        <w:tabs>
          <w:tab w:val="left" w:pos="142"/>
          <w:tab w:val="left" w:pos="284"/>
        </w:tabs>
        <w:spacing w:after="0" w:line="276" w:lineRule="auto"/>
        <w:ind w:left="0" w:firstLine="0"/>
        <w:jc w:val="both"/>
        <w:rPr>
          <w:rFonts w:ascii="Arial" w:eastAsia="Century Gothic" w:hAnsi="Arial" w:cs="Arial"/>
          <w:b/>
          <w:bCs/>
          <w:sz w:val="24"/>
          <w:szCs w:val="24"/>
          <w:lang w:val="es-ES"/>
        </w:rPr>
      </w:pPr>
      <w:r w:rsidRPr="00EC4C18">
        <w:rPr>
          <w:rFonts w:ascii="Arial" w:eastAsia="Century Gothic" w:hAnsi="Arial" w:cs="Arial"/>
          <w:b/>
          <w:bCs/>
          <w:sz w:val="24"/>
          <w:szCs w:val="24"/>
          <w:lang w:val="es-ES"/>
        </w:rPr>
        <w:t>Referencias normativas, jurisprudenciales y otras fuentes:</w:t>
      </w:r>
    </w:p>
    <w:p w14:paraId="58F7EB47"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C4C18" w:rsidRPr="00EC4C18" w14:paraId="1E795CC9" w14:textId="77777777" w:rsidTr="00E3556E">
        <w:trPr>
          <w:trHeight w:val="870"/>
        </w:trPr>
        <w:tc>
          <w:tcPr>
            <w:tcW w:w="8647" w:type="dxa"/>
          </w:tcPr>
          <w:p w14:paraId="3A09F19D" w14:textId="77777777" w:rsidR="00EC4C18" w:rsidRPr="00EC4C18" w:rsidRDefault="00EC4C18" w:rsidP="00EC4C18">
            <w:pPr>
              <w:widowControl w:val="0"/>
              <w:numPr>
                <w:ilvl w:val="0"/>
                <w:numId w:val="8"/>
              </w:numPr>
              <w:tabs>
                <w:tab w:val="left" w:pos="8419"/>
              </w:tabs>
              <w:autoSpaceDE w:val="0"/>
              <w:autoSpaceDN w:val="0"/>
              <w:spacing w:after="120" w:line="276" w:lineRule="auto"/>
              <w:jc w:val="both"/>
              <w:rPr>
                <w:rFonts w:ascii="Arial" w:eastAsia="Calibri" w:hAnsi="Arial" w:cs="Arial"/>
                <w:color w:val="000000"/>
                <w:sz w:val="24"/>
                <w:szCs w:val="24"/>
                <w:lang w:val="es-ES"/>
              </w:rPr>
            </w:pPr>
            <w:r w:rsidRPr="00EC4C18">
              <w:rPr>
                <w:rFonts w:ascii="Arial" w:eastAsia="Calibri" w:hAnsi="Arial" w:cs="Arial"/>
                <w:color w:val="000000"/>
                <w:sz w:val="24"/>
                <w:szCs w:val="24"/>
                <w:lang w:val="es-ES"/>
              </w:rPr>
              <w:t>Ley 1150 de 2007</w:t>
            </w:r>
          </w:p>
          <w:p w14:paraId="2A86E050" w14:textId="77777777" w:rsidR="00EC4C18" w:rsidRPr="00EC4C18" w:rsidRDefault="00EC4C18" w:rsidP="00EC4C18">
            <w:pPr>
              <w:widowControl w:val="0"/>
              <w:numPr>
                <w:ilvl w:val="0"/>
                <w:numId w:val="8"/>
              </w:numPr>
              <w:tabs>
                <w:tab w:val="left" w:pos="8419"/>
              </w:tabs>
              <w:autoSpaceDE w:val="0"/>
              <w:autoSpaceDN w:val="0"/>
              <w:spacing w:after="120" w:line="276" w:lineRule="auto"/>
              <w:jc w:val="both"/>
              <w:rPr>
                <w:rFonts w:ascii="Arial" w:eastAsia="Calibri" w:hAnsi="Arial" w:cs="Arial"/>
                <w:color w:val="000000"/>
                <w:sz w:val="24"/>
                <w:szCs w:val="24"/>
                <w:lang w:val="es-ES"/>
              </w:rPr>
            </w:pPr>
            <w:r w:rsidRPr="00EC4C18">
              <w:rPr>
                <w:rFonts w:ascii="Arial" w:eastAsia="Calibri" w:hAnsi="Arial" w:cs="Arial"/>
                <w:color w:val="000000"/>
                <w:sz w:val="24"/>
                <w:szCs w:val="24"/>
                <w:lang w:val="es-ES"/>
              </w:rPr>
              <w:t>Artículos 2.2.1.1.1.5.2 y 2.2.1.1.1.5.3 del Decreto 1082 de 2015del Decreto Único Reglamentario 1082 de 2015</w:t>
            </w:r>
          </w:p>
          <w:p w14:paraId="13583375" w14:textId="77777777" w:rsidR="00EC4C18" w:rsidRPr="00EC4C18" w:rsidRDefault="00EC4C18" w:rsidP="00EC4C18">
            <w:pPr>
              <w:widowControl w:val="0"/>
              <w:numPr>
                <w:ilvl w:val="0"/>
                <w:numId w:val="8"/>
              </w:numPr>
              <w:autoSpaceDE w:val="0"/>
              <w:autoSpaceDN w:val="0"/>
              <w:spacing w:after="120" w:line="276" w:lineRule="auto"/>
              <w:jc w:val="both"/>
              <w:rPr>
                <w:rFonts w:ascii="Arial" w:eastAsia="Calibri" w:hAnsi="Arial" w:cs="Arial"/>
                <w:color w:val="000000"/>
                <w:sz w:val="24"/>
                <w:szCs w:val="24"/>
                <w:lang w:val="es-ES"/>
              </w:rPr>
            </w:pPr>
            <w:r w:rsidRPr="00EC4C18">
              <w:rPr>
                <w:rFonts w:ascii="Arial" w:eastAsia="Calibri" w:hAnsi="Arial" w:cs="Arial"/>
                <w:color w:val="000000"/>
                <w:sz w:val="24"/>
                <w:szCs w:val="24"/>
                <w:lang w:val="es-ES"/>
              </w:rPr>
              <w:t xml:space="preserve">Jurisprudencia del Consejo de Estado. Disponible en: </w:t>
            </w:r>
            <w:hyperlink r:id="rId13" w:history="1">
              <w:r w:rsidRPr="00EC4C18">
                <w:rPr>
                  <w:rFonts w:ascii="Arial" w:eastAsia="Calibri" w:hAnsi="Arial" w:cs="Arial"/>
                  <w:color w:val="000000"/>
                  <w:sz w:val="24"/>
                  <w:szCs w:val="24"/>
                  <w:lang w:val="es-ES"/>
                </w:rPr>
                <w:t>https://relatoria.colombiacompra.gov.co/providencias-consejo-de-estado/</w:t>
              </w:r>
            </w:hyperlink>
            <w:r w:rsidRPr="00EC4C18">
              <w:rPr>
                <w:rFonts w:ascii="Arial" w:eastAsia="Calibri" w:hAnsi="Arial" w:cs="Arial"/>
                <w:color w:val="000000"/>
                <w:sz w:val="24"/>
                <w:szCs w:val="24"/>
                <w:lang w:val="es-ES"/>
              </w:rPr>
              <w:t xml:space="preserve"> </w:t>
            </w:r>
          </w:p>
          <w:p w14:paraId="39BAD38A" w14:textId="77777777" w:rsidR="00EC4C18" w:rsidRPr="00EC4C18" w:rsidRDefault="00EC4C18" w:rsidP="00EC4C18">
            <w:pPr>
              <w:widowControl w:val="0"/>
              <w:numPr>
                <w:ilvl w:val="0"/>
                <w:numId w:val="8"/>
              </w:numPr>
              <w:autoSpaceDE w:val="0"/>
              <w:autoSpaceDN w:val="0"/>
              <w:spacing w:after="120" w:line="276" w:lineRule="auto"/>
              <w:jc w:val="both"/>
              <w:rPr>
                <w:rFonts w:ascii="Arial" w:eastAsia="Calibri" w:hAnsi="Arial" w:cs="Arial"/>
                <w:color w:val="000000"/>
                <w:sz w:val="24"/>
                <w:szCs w:val="24"/>
                <w:lang w:val="es-ES"/>
              </w:rPr>
            </w:pPr>
            <w:r w:rsidRPr="00EC4C18">
              <w:rPr>
                <w:rFonts w:ascii="Arial" w:eastAsia="Calibri" w:hAnsi="Arial" w:cs="Arial"/>
                <w:color w:val="000000"/>
                <w:sz w:val="24"/>
                <w:szCs w:val="24"/>
                <w:lang w:val="es-ES"/>
              </w:rPr>
              <w:t xml:space="preserve">Guías y manuales expedidos por la ANCP-CCE. Disponible en: </w:t>
            </w:r>
            <w:hyperlink r:id="rId14" w:history="1">
              <w:r w:rsidRPr="00EC4C18">
                <w:rPr>
                  <w:rFonts w:ascii="Arial" w:eastAsia="Calibri" w:hAnsi="Arial" w:cs="Arial"/>
                  <w:color w:val="000000"/>
                  <w:sz w:val="24"/>
                  <w:szCs w:val="24"/>
                  <w:lang w:val="es-ES"/>
                </w:rPr>
                <w:t>https://www.colombiacompra.gov.co/manuales-guias-y-pliegos-tipo/manuales-y-guias</w:t>
              </w:r>
            </w:hyperlink>
            <w:r w:rsidRPr="00EC4C18">
              <w:rPr>
                <w:rFonts w:ascii="Arial" w:eastAsia="Calibri" w:hAnsi="Arial" w:cs="Arial"/>
                <w:color w:val="000000"/>
                <w:sz w:val="24"/>
                <w:szCs w:val="24"/>
                <w:lang w:val="es-ES"/>
              </w:rPr>
              <w:t xml:space="preserve"> </w:t>
            </w:r>
          </w:p>
          <w:p w14:paraId="4F522C46" w14:textId="77777777" w:rsidR="00EC4C18" w:rsidRPr="00EC4C18" w:rsidRDefault="00EC4C18" w:rsidP="00EC4C18">
            <w:pPr>
              <w:widowControl w:val="0"/>
              <w:autoSpaceDE w:val="0"/>
              <w:autoSpaceDN w:val="0"/>
              <w:spacing w:after="120" w:line="276" w:lineRule="auto"/>
              <w:ind w:left="360"/>
              <w:jc w:val="both"/>
              <w:rPr>
                <w:rFonts w:ascii="Arial" w:hAnsi="Arial" w:cs="Arial"/>
                <w:sz w:val="24"/>
                <w:szCs w:val="24"/>
              </w:rPr>
            </w:pPr>
          </w:p>
        </w:tc>
      </w:tr>
    </w:tbl>
    <w:p w14:paraId="30E95F51"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p>
    <w:p w14:paraId="03FA672B"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p>
    <w:p w14:paraId="38548DB3" w14:textId="77777777" w:rsidR="00EC4C18" w:rsidRPr="00EC4C18" w:rsidRDefault="00EC4C18" w:rsidP="00EC4C18">
      <w:pPr>
        <w:numPr>
          <w:ilvl w:val="0"/>
          <w:numId w:val="4"/>
        </w:numPr>
        <w:tabs>
          <w:tab w:val="left" w:pos="142"/>
          <w:tab w:val="left" w:pos="284"/>
        </w:tabs>
        <w:spacing w:after="0" w:line="276" w:lineRule="auto"/>
        <w:ind w:left="0" w:firstLine="0"/>
        <w:jc w:val="both"/>
        <w:rPr>
          <w:rFonts w:ascii="Arial" w:eastAsia="Century Gothic" w:hAnsi="Arial" w:cs="Arial"/>
          <w:b/>
          <w:bCs/>
          <w:sz w:val="24"/>
          <w:szCs w:val="24"/>
          <w:lang w:val="es-ES"/>
        </w:rPr>
      </w:pPr>
      <w:r w:rsidRPr="00EC4C18">
        <w:rPr>
          <w:rFonts w:ascii="Arial" w:eastAsia="Century Gothic" w:hAnsi="Arial" w:cs="Arial"/>
          <w:b/>
          <w:bCs/>
          <w:sz w:val="24"/>
          <w:szCs w:val="24"/>
          <w:lang w:val="es-ES"/>
        </w:rPr>
        <w:t>Doctrina de la Agencia Nacional de Contratación Pública:</w:t>
      </w:r>
    </w:p>
    <w:p w14:paraId="1ECCE4E5"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p>
    <w:p w14:paraId="3575E901"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r w:rsidRPr="00EC4C18">
        <w:rPr>
          <w:rFonts w:ascii="Arial" w:hAnsi="Arial" w:cs="Arial"/>
          <w:sz w:val="24"/>
          <w:szCs w:val="24"/>
        </w:rPr>
        <w:t>La Agencia Nacional de Contratación Pública – Colombia Compra Eficiente, en los conceptos No. 4201912000006798 del 24 de octubre de 2019, C-002 del 12 de febrero de 2020, C-089 del 4 de marzo de 2020, C-099 del 06 de abril de 2020, C-166 del 14 de abril de 2020, C-233 del 16 de abril de 2020, C-326 del 9 de junio de 2020, C-140 del 9 de abril de 2021. Respecto de la reciente reglamentación establecida en los Decretos 399 y 579 de 2021 se pronunció en los Conceptos C-288 de 17 de junio de 2021, C-353 del 19 de julio de 2021, C-366 del 26 de julio de 2021 y C-372 del 28 de julio de 2021, C-406 del 8 de agosto de 2021, C-407 del 25 de agosto de 2021, C-439 de 5 de julio de 2022, C-673 del 19 de octubre de 2023, C-831 del 28 de noviembre de 2023 y C-333 de 2024,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Pr="00EC4C18">
          <w:rPr>
            <w:rFonts w:ascii="Arial" w:hAnsi="Arial" w:cs="Arial"/>
            <w:color w:val="0563C1" w:themeColor="hyperlink"/>
            <w:sz w:val="24"/>
            <w:szCs w:val="24"/>
            <w:u w:val="single"/>
          </w:rPr>
          <w:t>https://relatoria.colombiacompra.gov.co/</w:t>
        </w:r>
      </w:hyperlink>
      <w:r w:rsidRPr="00EC4C18">
        <w:rPr>
          <w:rFonts w:ascii="Arial" w:hAnsi="Arial" w:cs="Arial"/>
          <w:sz w:val="24"/>
          <w:szCs w:val="24"/>
        </w:rPr>
        <w:t> .</w:t>
      </w:r>
    </w:p>
    <w:p w14:paraId="07788D9B"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p>
    <w:p w14:paraId="36DD164D"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r w:rsidRPr="00EC4C18">
        <w:rPr>
          <w:rFonts w:ascii="Arial" w:hAnsi="Arial" w:cs="Arial"/>
          <w:sz w:val="24"/>
          <w:szCs w:val="24"/>
        </w:rPr>
        <w:t>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Pr="00EC4C18">
          <w:rPr>
            <w:rFonts w:ascii="Arial" w:hAnsi="Arial" w:cs="Arial"/>
            <w:color w:val="0563C1" w:themeColor="hyperlink"/>
            <w:sz w:val="24"/>
            <w:szCs w:val="24"/>
            <w:u w:val="single"/>
          </w:rPr>
          <w:t>https://www.colombiacompra.gov.co/sites/cce_public/files/files_2020/boletin_de_realtoria_iii.pdf</w:t>
        </w:r>
      </w:hyperlink>
      <w:r w:rsidRPr="00EC4C18">
        <w:rPr>
          <w:rFonts w:ascii="Arial" w:hAnsi="Arial" w:cs="Arial"/>
          <w:sz w:val="24"/>
          <w:szCs w:val="24"/>
        </w:rPr>
        <w:t>.</w:t>
      </w:r>
    </w:p>
    <w:p w14:paraId="5AAD5B24"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p>
    <w:p w14:paraId="478E65BF"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r w:rsidRPr="00EC4C18">
        <w:rPr>
          <w:rFonts w:ascii="Arial" w:hAnsi="Arial" w:cs="Arial"/>
          <w:sz w:val="24"/>
          <w:szCs w:val="24"/>
        </w:rPr>
        <w:t xml:space="preserve">Por último, te invitamos a seguirnos en las redes sociales en las cuales se difunde información institucional: </w:t>
      </w:r>
    </w:p>
    <w:p w14:paraId="3CE218EB" w14:textId="77777777" w:rsidR="00EC4C18" w:rsidRPr="00EC4C18" w:rsidRDefault="00EC4C18" w:rsidP="00EC4C18">
      <w:pPr>
        <w:spacing w:after="0" w:line="240" w:lineRule="auto"/>
        <w:jc w:val="both"/>
        <w:rPr>
          <w:rFonts w:ascii="Arial" w:hAnsi="Arial" w:cs="Arial"/>
          <w:sz w:val="24"/>
          <w:szCs w:val="24"/>
        </w:rPr>
      </w:pPr>
    </w:p>
    <w:p w14:paraId="48E2C29E" w14:textId="77777777" w:rsidR="00EC4C18" w:rsidRPr="00EC4C18" w:rsidRDefault="00EC4C18" w:rsidP="00EC4C18">
      <w:pPr>
        <w:spacing w:after="0" w:line="240" w:lineRule="auto"/>
        <w:jc w:val="both"/>
        <w:rPr>
          <w:rFonts w:ascii="Arial" w:hAnsi="Arial" w:cs="Arial"/>
          <w:sz w:val="24"/>
          <w:szCs w:val="24"/>
        </w:rPr>
      </w:pPr>
      <w:r w:rsidRPr="00EC4C18">
        <w:rPr>
          <w:rFonts w:ascii="Arial" w:hAnsi="Arial" w:cs="Arial"/>
          <w:sz w:val="24"/>
          <w:szCs w:val="24"/>
        </w:rPr>
        <w:t xml:space="preserve">Twitter: </w:t>
      </w:r>
      <w:r w:rsidRPr="00EC4C18">
        <w:rPr>
          <w:rFonts w:ascii="Arial" w:hAnsi="Arial" w:cs="Arial"/>
          <w:color w:val="4472C4" w:themeColor="accent1"/>
          <w:sz w:val="24"/>
          <w:szCs w:val="24"/>
          <w:u w:val="single"/>
        </w:rPr>
        <w:t>@colombiacompra</w:t>
      </w:r>
      <w:r w:rsidRPr="00EC4C18">
        <w:rPr>
          <w:rFonts w:ascii="Arial" w:hAnsi="Arial" w:cs="Arial"/>
          <w:color w:val="4472C4" w:themeColor="accent1"/>
          <w:sz w:val="24"/>
          <w:szCs w:val="24"/>
        </w:rPr>
        <w:t xml:space="preserve"> </w:t>
      </w:r>
    </w:p>
    <w:p w14:paraId="3E50F9AC" w14:textId="77777777" w:rsidR="00EC4C18" w:rsidRPr="00EC4C18" w:rsidRDefault="00EC4C18" w:rsidP="00EC4C18">
      <w:pPr>
        <w:spacing w:after="0" w:line="240" w:lineRule="auto"/>
        <w:jc w:val="both"/>
        <w:rPr>
          <w:rFonts w:ascii="Arial" w:hAnsi="Arial" w:cs="Arial"/>
          <w:sz w:val="24"/>
          <w:szCs w:val="24"/>
        </w:rPr>
      </w:pPr>
      <w:r w:rsidRPr="00EC4C18">
        <w:rPr>
          <w:rFonts w:ascii="Arial" w:hAnsi="Arial" w:cs="Arial"/>
          <w:sz w:val="24"/>
          <w:szCs w:val="24"/>
        </w:rPr>
        <w:t xml:space="preserve">Facebook: </w:t>
      </w:r>
      <w:r w:rsidRPr="00EC4C18">
        <w:rPr>
          <w:rFonts w:ascii="Arial" w:hAnsi="Arial" w:cs="Arial"/>
          <w:color w:val="4472C4" w:themeColor="accent1"/>
          <w:sz w:val="24"/>
          <w:szCs w:val="24"/>
          <w:u w:val="single"/>
        </w:rPr>
        <w:t>ColombiaCompraEficiente</w:t>
      </w:r>
    </w:p>
    <w:p w14:paraId="4386FFE5" w14:textId="77777777" w:rsidR="00EC4C18" w:rsidRPr="00EC4C18" w:rsidRDefault="00EC4C18" w:rsidP="00EC4C18">
      <w:pPr>
        <w:spacing w:after="0" w:line="240" w:lineRule="auto"/>
        <w:jc w:val="both"/>
        <w:rPr>
          <w:rFonts w:ascii="Arial" w:hAnsi="Arial" w:cs="Arial"/>
          <w:sz w:val="24"/>
          <w:szCs w:val="24"/>
        </w:rPr>
      </w:pPr>
      <w:r w:rsidRPr="00EC4C18">
        <w:rPr>
          <w:rFonts w:ascii="Arial" w:hAnsi="Arial" w:cs="Arial"/>
          <w:sz w:val="24"/>
          <w:szCs w:val="24"/>
        </w:rPr>
        <w:t xml:space="preserve">LinkedIn: </w:t>
      </w:r>
      <w:r w:rsidRPr="00EC4C18">
        <w:rPr>
          <w:rFonts w:ascii="Arial" w:hAnsi="Arial" w:cs="Arial"/>
          <w:color w:val="4472C4" w:themeColor="accent1"/>
          <w:sz w:val="24"/>
          <w:szCs w:val="24"/>
          <w:u w:val="single"/>
        </w:rPr>
        <w:t>Agencia Nacional de Contratación Pública - Colombia Compra Eficiente</w:t>
      </w:r>
      <w:r w:rsidRPr="00EC4C18">
        <w:rPr>
          <w:rFonts w:ascii="Arial" w:hAnsi="Arial" w:cs="Arial"/>
          <w:color w:val="4472C4" w:themeColor="accent1"/>
          <w:sz w:val="24"/>
          <w:szCs w:val="24"/>
        </w:rPr>
        <w:t xml:space="preserve"> </w:t>
      </w:r>
      <w:r w:rsidRPr="00EC4C18">
        <w:rPr>
          <w:rFonts w:ascii="Arial" w:hAnsi="Arial" w:cs="Arial"/>
          <w:sz w:val="24"/>
          <w:szCs w:val="24"/>
        </w:rPr>
        <w:t xml:space="preserve">Instagram: </w:t>
      </w:r>
      <w:r w:rsidRPr="00EC4C18">
        <w:rPr>
          <w:rFonts w:ascii="Arial" w:hAnsi="Arial" w:cs="Arial"/>
          <w:color w:val="4472C4" w:themeColor="accent1"/>
          <w:sz w:val="24"/>
          <w:szCs w:val="24"/>
          <w:u w:val="single"/>
        </w:rPr>
        <w:t>@colombiacompraeficiente_cce</w:t>
      </w:r>
    </w:p>
    <w:p w14:paraId="2D13C7D0"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p>
    <w:p w14:paraId="6AE5454F" w14:textId="77777777" w:rsidR="00EC4C18" w:rsidRPr="00EC4C18" w:rsidRDefault="00EC4C18" w:rsidP="00EC4C18">
      <w:pPr>
        <w:widowControl w:val="0"/>
        <w:autoSpaceDE w:val="0"/>
        <w:autoSpaceDN w:val="0"/>
        <w:spacing w:after="0" w:line="276" w:lineRule="auto"/>
        <w:jc w:val="both"/>
        <w:rPr>
          <w:rFonts w:ascii="Arial" w:hAnsi="Arial" w:cs="Arial"/>
          <w:sz w:val="24"/>
          <w:szCs w:val="24"/>
          <w:lang w:val="es-ES_tradnl"/>
        </w:rPr>
      </w:pPr>
      <w:r w:rsidRPr="00EC4C18">
        <w:rPr>
          <w:rFonts w:ascii="Arial" w:hAnsi="Arial" w:cs="Arial"/>
          <w:sz w:val="24"/>
          <w:szCs w:val="24"/>
        </w:rPr>
        <w:t xml:space="preserve">Este concepto tiene el alcance previsto en el artículo 28 del Código de Procedimiento Administrativo y de lo Contencioso Administrativo </w:t>
      </w:r>
      <w:r w:rsidRPr="00EC4C18">
        <w:rPr>
          <w:rFonts w:ascii="Arial" w:hAnsi="Arial" w:cs="Arial"/>
          <w:sz w:val="24"/>
          <w:szCs w:val="24"/>
          <w:lang w:val="es-ES_tradnl"/>
        </w:rPr>
        <w:t>y las expresiones aquí utilizadas con mayúscula inicial deben ser entendidas con el significado que les otorga el artículo 2.2.1.1.1.3.1. del Decreto 1082 de 2015.</w:t>
      </w:r>
    </w:p>
    <w:p w14:paraId="78A0E43A" w14:textId="77777777" w:rsidR="00EC4C18" w:rsidRPr="00EC4C18" w:rsidRDefault="00EC4C18" w:rsidP="00EC4C18">
      <w:pPr>
        <w:widowControl w:val="0"/>
        <w:autoSpaceDE w:val="0"/>
        <w:autoSpaceDN w:val="0"/>
        <w:spacing w:after="0" w:line="276" w:lineRule="auto"/>
        <w:jc w:val="both"/>
        <w:rPr>
          <w:rFonts w:ascii="Arial" w:hAnsi="Arial" w:cs="Arial"/>
          <w:sz w:val="24"/>
          <w:szCs w:val="24"/>
        </w:rPr>
      </w:pPr>
    </w:p>
    <w:p w14:paraId="4F608113" w14:textId="77777777" w:rsidR="00EC4C18" w:rsidRPr="00EC4C18" w:rsidRDefault="00EC4C18" w:rsidP="00EC4C18">
      <w:pPr>
        <w:spacing w:after="0" w:line="240" w:lineRule="auto"/>
        <w:rPr>
          <w:rFonts w:ascii="Arial" w:hAnsi="Arial" w:cs="Arial"/>
          <w:sz w:val="24"/>
          <w:szCs w:val="24"/>
          <w:lang w:eastAsia="es-CO"/>
        </w:rPr>
      </w:pPr>
      <w:r w:rsidRPr="00EC4C18">
        <w:rPr>
          <w:rFonts w:ascii="Arial" w:eastAsia="Times New Roman" w:hAnsi="Arial" w:cs="Arial"/>
          <w:sz w:val="24"/>
          <w:szCs w:val="24"/>
          <w:lang w:eastAsia="es-CO"/>
        </w:rPr>
        <w:t>Atentamente,</w:t>
      </w:r>
      <w:r w:rsidRPr="00EC4C18">
        <w:rPr>
          <w:rFonts w:ascii="Arial" w:hAnsi="Arial" w:cs="Arial"/>
          <w:sz w:val="24"/>
          <w:szCs w:val="24"/>
          <w:lang w:eastAsia="es-CO"/>
        </w:rPr>
        <w:t xml:space="preserve"> </w:t>
      </w:r>
    </w:p>
    <w:p w14:paraId="4444A76B" w14:textId="77777777" w:rsidR="00EC4C18" w:rsidRPr="00EC4C18" w:rsidRDefault="00EC4C18" w:rsidP="00EC4C18">
      <w:pPr>
        <w:spacing w:line="276" w:lineRule="auto"/>
        <w:jc w:val="center"/>
        <w:rPr>
          <w:rFonts w:ascii="Arial" w:hAnsi="Arial" w:cs="Arial"/>
          <w:noProof/>
          <w:sz w:val="24"/>
          <w:szCs w:val="24"/>
        </w:rPr>
      </w:pPr>
    </w:p>
    <w:p w14:paraId="18D794D5" w14:textId="72C1ED06" w:rsidR="00EC4C18" w:rsidRPr="00EC4C18" w:rsidRDefault="00367357" w:rsidP="00EC4C18">
      <w:pPr>
        <w:spacing w:line="276" w:lineRule="auto"/>
        <w:jc w:val="center"/>
        <w:rPr>
          <w:rFonts w:ascii="Arial" w:hAnsi="Arial" w:cs="Arial"/>
          <w:sz w:val="24"/>
          <w:szCs w:val="24"/>
        </w:rPr>
      </w:pPr>
      <w:r w:rsidRPr="002C3AD6">
        <w:rPr>
          <w:rFonts w:ascii="Century Gothic" w:hAnsi="Century Gothic"/>
          <w:noProof/>
        </w:rPr>
        <w:drawing>
          <wp:inline distT="0" distB="0" distL="0" distR="0" wp14:anchorId="14AF02AF" wp14:editId="19069EA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C4C18" w:rsidRPr="00EC4C18" w14:paraId="39C32657" w14:textId="77777777" w:rsidTr="00E3556E">
        <w:trPr>
          <w:trHeight w:val="315"/>
        </w:trPr>
        <w:tc>
          <w:tcPr>
            <w:tcW w:w="893" w:type="dxa"/>
            <w:vAlign w:val="center"/>
            <w:hideMark/>
          </w:tcPr>
          <w:p w14:paraId="21756481" w14:textId="77777777" w:rsidR="00EC4C18" w:rsidRPr="00EC4C18" w:rsidRDefault="00EC4C18" w:rsidP="00EC4C18">
            <w:pPr>
              <w:contextualSpacing/>
              <w:rPr>
                <w:rFonts w:ascii="Arial" w:hAnsi="Arial" w:cs="Arial"/>
                <w:sz w:val="16"/>
                <w:szCs w:val="16"/>
                <w:lang w:val="es-ES_tradnl"/>
              </w:rPr>
            </w:pPr>
            <w:r w:rsidRPr="00EC4C18">
              <w:rPr>
                <w:rFonts w:ascii="Arial" w:hAnsi="Arial"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F9D7A63" w14:textId="77777777" w:rsidR="00EC4C18" w:rsidRPr="00EC4C18" w:rsidRDefault="00EC4C18" w:rsidP="00EC4C18">
            <w:pPr>
              <w:contextualSpacing/>
              <w:rPr>
                <w:rFonts w:ascii="Arial" w:hAnsi="Arial" w:cs="Arial"/>
                <w:sz w:val="16"/>
                <w:szCs w:val="16"/>
                <w:lang w:val="es-ES_tradnl"/>
              </w:rPr>
            </w:pPr>
            <w:r w:rsidRPr="00EC4C18">
              <w:rPr>
                <w:rFonts w:ascii="Arial" w:hAnsi="Arial" w:cs="Arial"/>
                <w:sz w:val="16"/>
                <w:szCs w:val="16"/>
                <w:lang w:val="es-ES_tradnl"/>
              </w:rPr>
              <w:t xml:space="preserve">Diana Carolina Blanco Rodriguez </w:t>
            </w:r>
          </w:p>
          <w:p w14:paraId="476CF36B" w14:textId="77777777" w:rsidR="00EC4C18" w:rsidRPr="00EC4C18" w:rsidRDefault="00EC4C18" w:rsidP="00EC4C18">
            <w:pPr>
              <w:contextualSpacing/>
              <w:rPr>
                <w:rFonts w:ascii="Arial" w:hAnsi="Arial" w:cs="Arial"/>
                <w:sz w:val="16"/>
                <w:szCs w:val="16"/>
                <w:lang w:val="es-ES_tradnl"/>
              </w:rPr>
            </w:pPr>
            <w:r w:rsidRPr="00EC4C18">
              <w:rPr>
                <w:rFonts w:ascii="Arial" w:hAnsi="Arial" w:cs="Arial"/>
                <w:sz w:val="16"/>
                <w:szCs w:val="16"/>
                <w:lang w:val="es-ES_tradnl"/>
              </w:rPr>
              <w:t>Contratista de la Subdirección de Gestión Contractual</w:t>
            </w:r>
          </w:p>
        </w:tc>
      </w:tr>
      <w:tr w:rsidR="00EC4C18" w:rsidRPr="00EC4C18" w14:paraId="45EBBAAE" w14:textId="77777777" w:rsidTr="00E3556E">
        <w:trPr>
          <w:trHeight w:val="330"/>
        </w:trPr>
        <w:tc>
          <w:tcPr>
            <w:tcW w:w="893" w:type="dxa"/>
            <w:vAlign w:val="center"/>
            <w:hideMark/>
          </w:tcPr>
          <w:p w14:paraId="0EA2A29D" w14:textId="77777777" w:rsidR="00EC4C18" w:rsidRPr="00EC4C18" w:rsidRDefault="00EC4C18" w:rsidP="00EC4C18">
            <w:pPr>
              <w:contextualSpacing/>
              <w:rPr>
                <w:rFonts w:ascii="Arial" w:hAnsi="Arial" w:cs="Arial"/>
                <w:sz w:val="16"/>
                <w:szCs w:val="16"/>
                <w:lang w:val="es-ES_tradnl"/>
              </w:rPr>
            </w:pPr>
            <w:r w:rsidRPr="00EC4C18">
              <w:rPr>
                <w:rFonts w:ascii="Arial" w:hAnsi="Arial"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450DB2" w14:textId="77777777" w:rsidR="00EC4C18" w:rsidRPr="00EC4C18" w:rsidRDefault="00EC4C18" w:rsidP="00EC4C18">
            <w:pPr>
              <w:contextualSpacing/>
              <w:textAlignment w:val="baseline"/>
              <w:rPr>
                <w:rFonts w:ascii="Arial" w:hAnsi="Arial" w:cs="Arial"/>
                <w:sz w:val="16"/>
                <w:szCs w:val="16"/>
                <w:lang w:val="es-ES_tradnl"/>
              </w:rPr>
            </w:pPr>
            <w:r w:rsidRPr="00EC4C18">
              <w:rPr>
                <w:rFonts w:ascii="Arial" w:hAnsi="Arial" w:cs="Arial"/>
                <w:sz w:val="16"/>
                <w:szCs w:val="16"/>
                <w:lang w:val="es-ES_tradnl"/>
              </w:rPr>
              <w:t>Ximena Ríos</w:t>
            </w:r>
          </w:p>
          <w:p w14:paraId="442B2308" w14:textId="77777777" w:rsidR="00EC4C18" w:rsidRPr="00EC4C18" w:rsidRDefault="00EC4C18" w:rsidP="00EC4C18">
            <w:pPr>
              <w:contextualSpacing/>
              <w:textAlignment w:val="baseline"/>
              <w:rPr>
                <w:rFonts w:ascii="Arial" w:hAnsi="Arial" w:cs="Arial"/>
                <w:sz w:val="16"/>
                <w:szCs w:val="16"/>
                <w:lang w:val="es-ES_tradnl"/>
              </w:rPr>
            </w:pPr>
            <w:r w:rsidRPr="00EC4C18">
              <w:rPr>
                <w:rFonts w:ascii="Arial" w:hAnsi="Arial" w:cs="Arial"/>
                <w:sz w:val="16"/>
                <w:szCs w:val="16"/>
                <w:lang w:val="es-ES_tradnl"/>
              </w:rPr>
              <w:t>Gestor T1-11 de la Subdirección de Gestión Contractual </w:t>
            </w:r>
          </w:p>
        </w:tc>
      </w:tr>
      <w:tr w:rsidR="00EC4C18" w:rsidRPr="00EC4C18" w14:paraId="2EEB2B0F" w14:textId="77777777" w:rsidTr="00E3556E">
        <w:trPr>
          <w:trHeight w:val="300"/>
        </w:trPr>
        <w:tc>
          <w:tcPr>
            <w:tcW w:w="893" w:type="dxa"/>
            <w:vAlign w:val="center"/>
          </w:tcPr>
          <w:p w14:paraId="7F6577B4" w14:textId="77777777" w:rsidR="00EC4C18" w:rsidRPr="00EC4C18" w:rsidRDefault="00EC4C18" w:rsidP="00EC4C18">
            <w:pPr>
              <w:contextualSpacing/>
              <w:rPr>
                <w:rFonts w:ascii="Arial" w:hAnsi="Arial" w:cs="Arial"/>
                <w:sz w:val="16"/>
                <w:szCs w:val="16"/>
                <w:lang w:val="es-ES_tradnl"/>
              </w:rPr>
            </w:pPr>
            <w:r w:rsidRPr="00EC4C18">
              <w:rPr>
                <w:rFonts w:ascii="Arial" w:hAnsi="Arial"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AE3411" w14:textId="77777777" w:rsidR="00EC4C18" w:rsidRPr="00EC4C18" w:rsidRDefault="00EC4C18" w:rsidP="00EC4C18">
            <w:pPr>
              <w:contextualSpacing/>
              <w:rPr>
                <w:rFonts w:ascii="Arial" w:hAnsi="Arial" w:cs="Arial"/>
                <w:sz w:val="16"/>
                <w:szCs w:val="16"/>
                <w:lang w:val="es-ES"/>
              </w:rPr>
            </w:pPr>
            <w:r w:rsidRPr="00EC4C18">
              <w:rPr>
                <w:rFonts w:ascii="Arial" w:hAnsi="Arial" w:cs="Arial"/>
                <w:sz w:val="16"/>
                <w:szCs w:val="16"/>
                <w:lang w:val="es-ES"/>
              </w:rPr>
              <w:t>Carolina Quintero Gacharná</w:t>
            </w:r>
          </w:p>
          <w:p w14:paraId="20105DCC" w14:textId="77777777" w:rsidR="00EC4C18" w:rsidRPr="00EC4C18" w:rsidRDefault="00EC4C18" w:rsidP="00EC4C18">
            <w:pPr>
              <w:contextualSpacing/>
              <w:rPr>
                <w:rFonts w:ascii="Arial" w:hAnsi="Arial" w:cs="Arial"/>
                <w:sz w:val="16"/>
                <w:szCs w:val="16"/>
                <w:lang w:val="es-ES_tradnl"/>
              </w:rPr>
            </w:pPr>
            <w:r w:rsidRPr="00EC4C18">
              <w:rPr>
                <w:rFonts w:ascii="Arial" w:hAnsi="Arial" w:cs="Arial"/>
                <w:sz w:val="16"/>
                <w:szCs w:val="16"/>
                <w:lang w:val="es-ES_tradnl"/>
              </w:rPr>
              <w:t>Subdirectora de Gestión Contractual ANCP – CCE</w:t>
            </w:r>
          </w:p>
        </w:tc>
      </w:tr>
    </w:tbl>
    <w:p w14:paraId="0EDFB106" w14:textId="77777777" w:rsidR="00EC4C18" w:rsidRPr="00EC4C18" w:rsidRDefault="00EC4C18" w:rsidP="00EC4C18">
      <w:pPr>
        <w:spacing w:after="0" w:line="240" w:lineRule="auto"/>
        <w:rPr>
          <w:rFonts w:ascii="Arial" w:eastAsia="Times New Roman" w:hAnsi="Arial" w:cs="Arial"/>
          <w:sz w:val="24"/>
          <w:szCs w:val="24"/>
          <w:lang w:eastAsia="es-ES"/>
        </w:rPr>
      </w:pPr>
    </w:p>
    <w:p w14:paraId="510CF084" w14:textId="77777777" w:rsidR="00871B59" w:rsidRPr="00F16E24" w:rsidRDefault="00871B59" w:rsidP="00871B59">
      <w:pPr>
        <w:spacing w:after="0" w:line="240" w:lineRule="auto"/>
        <w:rPr>
          <w:rFonts w:ascii="Arial" w:eastAsia="Times New Roman" w:hAnsi="Arial" w:cs="Arial"/>
          <w:sz w:val="24"/>
          <w:szCs w:val="24"/>
          <w:lang w:eastAsia="es-ES"/>
        </w:rPr>
      </w:pPr>
    </w:p>
    <w:p w14:paraId="0083C991" w14:textId="5C765C2F" w:rsidR="5D8505AD" w:rsidRPr="00F16E24" w:rsidRDefault="5D8505AD" w:rsidP="00871B59">
      <w:pPr>
        <w:rPr>
          <w:rFonts w:ascii="Arial" w:hAnsi="Arial" w:cs="Arial"/>
          <w:sz w:val="24"/>
          <w:szCs w:val="24"/>
        </w:rPr>
      </w:pPr>
    </w:p>
    <w:sectPr w:rsidR="5D8505AD" w:rsidRPr="00F16E24"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A37A81" w14:textId="77777777" w:rsidR="006A36EE" w:rsidRDefault="006A36EE" w:rsidP="00B30448">
      <w:pPr>
        <w:spacing w:after="0" w:line="240" w:lineRule="auto"/>
      </w:pPr>
      <w:r>
        <w:separator/>
      </w:r>
    </w:p>
  </w:endnote>
  <w:endnote w:type="continuationSeparator" w:id="0">
    <w:p w14:paraId="33CFBEFF" w14:textId="77777777" w:rsidR="006A36EE" w:rsidRDefault="006A36EE" w:rsidP="00B30448">
      <w:pPr>
        <w:spacing w:after="0" w:line="240" w:lineRule="auto"/>
      </w:pPr>
      <w:r>
        <w:continuationSeparator/>
      </w:r>
    </w:p>
  </w:endnote>
  <w:endnote w:type="continuationNotice" w:id="1">
    <w:p w14:paraId="5EBC0B85" w14:textId="77777777" w:rsidR="006A36EE" w:rsidRDefault="006A36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4BF168" w14:textId="77777777" w:rsidR="006A36EE" w:rsidRDefault="006A36EE" w:rsidP="00B30448">
      <w:pPr>
        <w:spacing w:after="0" w:line="240" w:lineRule="auto"/>
      </w:pPr>
      <w:r>
        <w:separator/>
      </w:r>
    </w:p>
  </w:footnote>
  <w:footnote w:type="continuationSeparator" w:id="0">
    <w:p w14:paraId="03828EDA" w14:textId="77777777" w:rsidR="006A36EE" w:rsidRDefault="006A36EE" w:rsidP="00B30448">
      <w:pPr>
        <w:spacing w:after="0" w:line="240" w:lineRule="auto"/>
      </w:pPr>
      <w:r>
        <w:continuationSeparator/>
      </w:r>
    </w:p>
  </w:footnote>
  <w:footnote w:type="continuationNotice" w:id="1">
    <w:p w14:paraId="4F1DC2F0" w14:textId="77777777" w:rsidR="006A36EE" w:rsidRDefault="006A36EE">
      <w:pPr>
        <w:spacing w:after="0" w:line="240" w:lineRule="auto"/>
      </w:pPr>
    </w:p>
  </w:footnote>
  <w:footnote w:id="2">
    <w:p w14:paraId="05994162" w14:textId="77777777" w:rsidR="00EC4C18" w:rsidRPr="00F16E24" w:rsidRDefault="00EC4C18" w:rsidP="00EC4C18">
      <w:pPr>
        <w:pStyle w:val="Textonotapie"/>
        <w:ind w:firstLine="709"/>
        <w:jc w:val="both"/>
        <w:rPr>
          <w:rFonts w:ascii="Arial" w:hAnsi="Arial" w:cs="Arial"/>
          <w:sz w:val="16"/>
          <w:szCs w:val="16"/>
        </w:rPr>
      </w:pPr>
      <w:r w:rsidRPr="00F16E24">
        <w:rPr>
          <w:rStyle w:val="Refdenotaalpie"/>
          <w:rFonts w:ascii="Arial" w:hAnsi="Arial" w:cs="Arial"/>
          <w:sz w:val="16"/>
          <w:szCs w:val="16"/>
        </w:rPr>
        <w:footnoteRef/>
      </w:r>
      <w:r w:rsidRPr="00F16E24">
        <w:rPr>
          <w:rFonts w:ascii="Arial" w:hAnsi="Arial" w:cs="Arial"/>
          <w:sz w:val="16"/>
          <w:szCs w:val="16"/>
        </w:rPr>
        <w:t xml:space="preserve"> </w:t>
      </w:r>
      <w:r w:rsidRPr="00F16E24">
        <w:rPr>
          <w:rFonts w:ascii="Arial" w:eastAsia="Calibri" w:hAnsi="Arial" w:cs="Arial"/>
          <w:color w:val="000000"/>
          <w:sz w:val="16"/>
          <w:szCs w:val="16"/>
          <w:lang w:val="es-ES_tradnl" w:eastAsia="es-ES_tradnl"/>
        </w:rPr>
        <w:t xml:space="preserve">El “Manual para verificar y determinar los requisitos habilitantes en los Procesos de Contratación” puede ser consultado en el siguiente link: </w:t>
      </w:r>
      <w:hyperlink r:id="rId1" w:history="1">
        <w:r w:rsidRPr="00F16E24">
          <w:rPr>
            <w:rFonts w:ascii="Arial" w:eastAsia="Calibri" w:hAnsi="Arial" w:cs="Arial"/>
            <w:color w:val="000000"/>
            <w:sz w:val="16"/>
            <w:szCs w:val="16"/>
            <w:u w:val="single"/>
            <w:lang w:val="es-ES_tradnl" w:eastAsia="es-ES_tradnl"/>
          </w:rPr>
          <w:t>https://www.colombiacompra.gov.co/sites/cce_public/files/cce_documents/cce_manual_requisitos_habilitantes.pdf</w:t>
        </w:r>
      </w:hyperlink>
      <w:r w:rsidRPr="00F16E24">
        <w:rPr>
          <w:rFonts w:ascii="Arial" w:hAnsi="Arial" w:cs="Arial"/>
          <w:sz w:val="16"/>
          <w:szCs w:val="16"/>
        </w:rPr>
        <w:t xml:space="preserve"> </w:t>
      </w:r>
    </w:p>
  </w:footnote>
  <w:footnote w:id="3">
    <w:p w14:paraId="636DEE51" w14:textId="77777777" w:rsidR="00EC4C18" w:rsidRPr="00F16E24" w:rsidRDefault="00EC4C18" w:rsidP="00EC4C18">
      <w:pPr>
        <w:pStyle w:val="NormalWeb"/>
        <w:spacing w:after="0"/>
        <w:ind w:firstLine="708"/>
        <w:jc w:val="both"/>
        <w:rPr>
          <w:rFonts w:ascii="Arial" w:eastAsia="Calibri" w:hAnsi="Arial" w:cs="Arial"/>
          <w:color w:val="000000"/>
          <w:sz w:val="16"/>
          <w:szCs w:val="16"/>
          <w:lang w:val="es-ES_tradnl" w:eastAsia="es-ES_tradnl"/>
        </w:rPr>
      </w:pPr>
      <w:r w:rsidRPr="00F16E24">
        <w:rPr>
          <w:rStyle w:val="Refdenotaalpie"/>
          <w:rFonts w:ascii="Arial" w:hAnsi="Arial" w:cs="Arial"/>
          <w:color w:val="000000" w:themeColor="text1"/>
          <w:sz w:val="16"/>
          <w:szCs w:val="16"/>
        </w:rPr>
        <w:footnoteRef/>
      </w:r>
      <w:r w:rsidRPr="00F16E24">
        <w:rPr>
          <w:rFonts w:ascii="Arial" w:hAnsi="Arial" w:cs="Arial"/>
          <w:color w:val="000000" w:themeColor="text1"/>
          <w:sz w:val="16"/>
          <w:szCs w:val="16"/>
        </w:rPr>
        <w:t xml:space="preserve"> </w:t>
      </w:r>
      <w:r w:rsidRPr="00F16E24">
        <w:rPr>
          <w:rFonts w:ascii="Arial" w:eastAsia="Calibri" w:hAnsi="Arial" w:cs="Arial"/>
          <w:color w:val="000000"/>
          <w:sz w:val="16"/>
          <w:szCs w:val="16"/>
          <w:lang w:val="es-ES_tradnl" w:eastAsia="es-ES_tradnl"/>
        </w:rPr>
        <w:t>Ley 1150 de 2007: “Artículo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B5C8F97" w14:textId="77777777" w:rsidR="00EC4C18" w:rsidRPr="00F16E24" w:rsidRDefault="00EC4C18" w:rsidP="00EC4C18">
      <w:pPr>
        <w:pStyle w:val="NormalWeb"/>
        <w:spacing w:after="0"/>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8FD587D" w14:textId="77777777" w:rsidR="00EC4C18" w:rsidRPr="00F16E24" w:rsidRDefault="00EC4C18" w:rsidP="00EC4C18">
      <w:pPr>
        <w:pStyle w:val="NormalWeb"/>
        <w:spacing w:after="0"/>
        <w:ind w:firstLine="708"/>
        <w:jc w:val="both"/>
        <w:rPr>
          <w:rFonts w:ascii="Arial" w:hAnsi="Arial" w:cs="Arial"/>
          <w:color w:val="000000" w:themeColor="text1"/>
          <w:sz w:val="16"/>
          <w:szCs w:val="16"/>
        </w:rPr>
      </w:pPr>
      <w:r w:rsidRPr="00F16E24">
        <w:rPr>
          <w:rFonts w:ascii="Arial" w:eastAsia="Calibri" w:hAnsi="Arial" w:cs="Arial"/>
          <w:color w:val="000000"/>
          <w:sz w:val="16"/>
          <w:szCs w:val="16"/>
          <w:lang w:val="es-ES_tradnl" w:eastAsia="es-ES_tradnl"/>
        </w:rPr>
        <w:t>En dicho registro constará la información relacionada con la experiencia, capacidad jurídica, financiera y de organización del proponente y su clasificación”.</w:t>
      </w:r>
    </w:p>
  </w:footnote>
  <w:footnote w:id="4">
    <w:p w14:paraId="2A389BF0" w14:textId="77777777" w:rsidR="00EC4C18" w:rsidRPr="00F16E24" w:rsidRDefault="00EC4C18" w:rsidP="00EC4C18">
      <w:pPr>
        <w:pStyle w:val="Textonotapie"/>
        <w:ind w:firstLine="709"/>
        <w:jc w:val="both"/>
        <w:rPr>
          <w:rFonts w:ascii="Arial" w:hAnsi="Arial" w:cs="Arial"/>
          <w:sz w:val="16"/>
          <w:szCs w:val="16"/>
        </w:rPr>
      </w:pPr>
    </w:p>
    <w:p w14:paraId="58C308A6" w14:textId="77777777" w:rsidR="00EC4C18" w:rsidRPr="00F16E24" w:rsidRDefault="00EC4C18" w:rsidP="00EC4C18">
      <w:pPr>
        <w:pStyle w:val="Textonotapie"/>
        <w:ind w:firstLine="709"/>
        <w:jc w:val="both"/>
        <w:rPr>
          <w:rFonts w:ascii="Arial" w:hAnsi="Arial" w:cs="Arial"/>
          <w:sz w:val="16"/>
          <w:szCs w:val="16"/>
          <w:lang w:val="es-ES"/>
        </w:rPr>
      </w:pPr>
      <w:r w:rsidRPr="00F16E24">
        <w:rPr>
          <w:rStyle w:val="Refdenotaalpie"/>
          <w:rFonts w:ascii="Arial" w:hAnsi="Arial" w:cs="Arial"/>
          <w:sz w:val="16"/>
          <w:szCs w:val="16"/>
        </w:rPr>
        <w:footnoteRef/>
      </w:r>
      <w:r w:rsidRPr="00F16E24">
        <w:rPr>
          <w:rFonts w:ascii="Arial" w:hAnsi="Arial" w:cs="Arial"/>
          <w:sz w:val="16"/>
          <w:szCs w:val="16"/>
        </w:rPr>
        <w:t xml:space="preserve"> </w:t>
      </w:r>
      <w:r w:rsidRPr="00F16E24">
        <w:rPr>
          <w:rFonts w:ascii="Arial" w:eastAsia="Calibri" w:hAnsi="Arial" w:cs="Arial"/>
          <w:color w:val="000000"/>
          <w:sz w:val="16"/>
          <w:szCs w:val="16"/>
          <w:lang w:val="es-ES_tradnl" w:eastAsia="es-ES_tradnl"/>
        </w:rPr>
        <w:t>Ibídem.</w:t>
      </w:r>
    </w:p>
    <w:p w14:paraId="4D2FA690" w14:textId="77777777" w:rsidR="00EC4C18" w:rsidRPr="00F16E24" w:rsidRDefault="00EC4C18" w:rsidP="00EC4C18">
      <w:pPr>
        <w:pStyle w:val="Textonotapie"/>
        <w:ind w:firstLine="709"/>
        <w:jc w:val="both"/>
        <w:rPr>
          <w:rFonts w:ascii="Arial" w:hAnsi="Arial" w:cs="Arial"/>
          <w:sz w:val="16"/>
          <w:szCs w:val="16"/>
          <w:lang w:val="es-ES"/>
        </w:rPr>
      </w:pPr>
    </w:p>
  </w:footnote>
  <w:footnote w:id="5">
    <w:p w14:paraId="3815CF7C"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footnoteRef/>
      </w:r>
      <w:r w:rsidRPr="00F16E24">
        <w:rPr>
          <w:rFonts w:ascii="Arial" w:eastAsia="Calibri" w:hAnsi="Arial" w:cs="Arial"/>
          <w:color w:val="000000"/>
          <w:sz w:val="16"/>
          <w:szCs w:val="16"/>
          <w:lang w:val="es-ES_tradnl" w:eastAsia="es-ES_tradnl"/>
        </w:rPr>
        <w:t xml:space="preserve"> Para la realización de los respectivos análisis del sector de los Procesos de Contratación, esta Agencia recomienda tener en cuenta la última modificación de la “Guía de Elaboración de Estudios del Sector”, que puede ser consultada en el siguiente link: </w:t>
      </w:r>
      <w:hyperlink r:id="rId2" w:history="1">
        <w:r w:rsidRPr="00F16E24">
          <w:rPr>
            <w:rFonts w:ascii="Arial" w:hAnsi="Arial" w:cs="Arial"/>
            <w:color w:val="000000"/>
            <w:sz w:val="16"/>
            <w:szCs w:val="16"/>
            <w:lang w:val="es-ES_tradnl" w:eastAsia="es-ES_tradnl"/>
          </w:rPr>
          <w:t>https://www.colombiacompra.gov.co/sites/cce_public/files/cce_documentos/cce-eicp-gi-18._gees_v.2_2.pdf</w:t>
        </w:r>
      </w:hyperlink>
      <w:r w:rsidRPr="00F16E24">
        <w:rPr>
          <w:rFonts w:ascii="Arial" w:eastAsia="Calibri" w:hAnsi="Arial" w:cs="Arial"/>
          <w:color w:val="000000"/>
          <w:sz w:val="16"/>
          <w:szCs w:val="16"/>
          <w:lang w:val="es-ES_tradnl" w:eastAsia="es-ES_tradnl"/>
        </w:rPr>
        <w:t xml:space="preserve"> </w:t>
      </w:r>
    </w:p>
    <w:p w14:paraId="37C59479"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p>
  </w:footnote>
  <w:footnote w:id="6">
    <w:p w14:paraId="31DDCA4A"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footnoteRef/>
      </w:r>
      <w:r w:rsidRPr="00F16E24">
        <w:rPr>
          <w:rFonts w:ascii="Arial" w:eastAsia="Calibri" w:hAnsi="Arial" w:cs="Arial"/>
          <w:color w:val="000000"/>
          <w:sz w:val="16"/>
          <w:szCs w:val="16"/>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14:paraId="24A634AD" w14:textId="77777777" w:rsidR="00EC4C18" w:rsidRPr="00F16E24" w:rsidRDefault="00EC4C18" w:rsidP="00EC4C18">
      <w:pPr>
        <w:pStyle w:val="Textonotapie"/>
        <w:ind w:firstLine="708"/>
        <w:rPr>
          <w:rFonts w:ascii="Arial" w:eastAsia="Calibri" w:hAnsi="Arial" w:cs="Arial"/>
          <w:color w:val="000000"/>
          <w:sz w:val="16"/>
          <w:szCs w:val="16"/>
          <w:lang w:val="es-ES_tradnl" w:eastAsia="es-ES_tradnl"/>
        </w:rPr>
      </w:pPr>
    </w:p>
    <w:p w14:paraId="173FA8BE"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footnoteRef/>
      </w:r>
      <w:r w:rsidRPr="00F16E24">
        <w:rPr>
          <w:rFonts w:ascii="Arial" w:eastAsia="Calibri" w:hAnsi="Arial" w:cs="Arial"/>
          <w:color w:val="000000"/>
          <w:sz w:val="16"/>
          <w:szCs w:val="16"/>
          <w:lang w:val="es-ES_tradnl" w:eastAsia="es-ES_tradnl"/>
        </w:rPr>
        <w:t xml:space="preserve"> Decreto 1082 de 2015: “</w:t>
      </w:r>
      <w:r w:rsidRPr="00F16E24">
        <w:rPr>
          <w:rFonts w:ascii="Arial" w:eastAsia="Calibri" w:hAnsi="Arial" w:cs="Arial"/>
          <w:b/>
          <w:bCs/>
          <w:sz w:val="16"/>
          <w:szCs w:val="16"/>
          <w:lang w:val="es-ES_tradnl" w:eastAsia="es-ES_tradnl"/>
        </w:rPr>
        <w:t>Artículo 2.2.1.1.1.5.2. </w:t>
      </w:r>
      <w:r w:rsidRPr="00F16E24">
        <w:rPr>
          <w:rFonts w:ascii="Arial" w:eastAsia="Calibri" w:hAnsi="Arial" w:cs="Arial"/>
          <w:i/>
          <w:iCs/>
          <w:sz w:val="16"/>
          <w:szCs w:val="16"/>
          <w:lang w:val="es-ES_tradnl" w:eastAsia="es-ES_tradnl"/>
        </w:rPr>
        <w:t>Información para inscripción, renovación o actualización. </w:t>
      </w:r>
      <w:r w:rsidRPr="00F16E24">
        <w:rPr>
          <w:rFonts w:ascii="Arial" w:eastAsia="Calibri" w:hAnsi="Arial" w:cs="Arial"/>
          <w:color w:val="000000"/>
          <w:sz w:val="16"/>
          <w:szCs w:val="16"/>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03936FA"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t>[…]</w:t>
      </w:r>
    </w:p>
    <w:p w14:paraId="2DFEBFE8"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2114EBC5"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t xml:space="preserve">I. Principales cuentas detalladas del balance general. </w:t>
      </w:r>
    </w:p>
    <w:p w14:paraId="3AA5A72E"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t xml:space="preserve">II. Principales cuentas del estado de pérdidas y ganancias. </w:t>
      </w:r>
    </w:p>
    <w:p w14:paraId="000B558C"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sz w:val="16"/>
          <w:szCs w:val="16"/>
          <w:lang w:val="es-ES_tradnl" w:eastAsia="es-ES_tradnl"/>
        </w:rPr>
        <w:t xml:space="preserve">III. Cuentas contingentes deudoras y acreedoras. </w:t>
      </w:r>
    </w:p>
    <w:p w14:paraId="4DDD9A6D" w14:textId="77777777" w:rsidR="00EC4C18" w:rsidRPr="00F16E24" w:rsidRDefault="00EC4C18" w:rsidP="00EC4C18">
      <w:pPr>
        <w:pStyle w:val="Textonotapie"/>
        <w:ind w:firstLine="708"/>
        <w:jc w:val="both"/>
        <w:rPr>
          <w:rFonts w:ascii="Arial" w:hAnsi="Arial" w:cs="Arial"/>
          <w:sz w:val="16"/>
          <w:szCs w:val="16"/>
        </w:rPr>
      </w:pPr>
      <w:r w:rsidRPr="00F16E24">
        <w:rPr>
          <w:rFonts w:ascii="Arial" w:eastAsia="Calibri" w:hAnsi="Arial" w:cs="Arial"/>
          <w:color w:val="000000"/>
          <w:sz w:val="16"/>
          <w:szCs w:val="16"/>
          <w:lang w:val="es-ES_tradnl" w:eastAsia="es-ES_tradnl"/>
        </w:rPr>
        <w:t>Si el interesado no tiene antigüedad suficiente para tener estados financieros auditados a 31 de diciembre, debe inscribirse con estados financieros de corte trimestral, suscritos por el representante legal y el auditor o contador o estados financieros de apertura[...]”</w:t>
      </w:r>
      <w:r w:rsidRPr="00F16E24">
        <w:rPr>
          <w:rFonts w:ascii="Arial" w:hAnsi="Arial" w:cs="Arial"/>
          <w:sz w:val="16"/>
          <w:szCs w:val="16"/>
        </w:rPr>
        <w:t xml:space="preserve">  </w:t>
      </w:r>
    </w:p>
  </w:footnote>
  <w:footnote w:id="8">
    <w:p w14:paraId="497A14C6"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Style w:val="Refdenotaalpie"/>
          <w:rFonts w:ascii="Arial" w:hAnsi="Arial" w:cs="Arial"/>
          <w:sz w:val="16"/>
          <w:szCs w:val="16"/>
        </w:rPr>
        <w:footnoteRef/>
      </w:r>
      <w:r w:rsidRPr="00F16E24">
        <w:rPr>
          <w:rFonts w:ascii="Arial" w:hAnsi="Arial" w:cs="Arial"/>
          <w:sz w:val="16"/>
          <w:szCs w:val="16"/>
        </w:rPr>
        <w:t xml:space="preserve"> </w:t>
      </w:r>
      <w:r w:rsidRPr="00F16E24">
        <w:rPr>
          <w:rFonts w:ascii="Arial" w:eastAsia="Calibri" w:hAnsi="Arial" w:cs="Arial"/>
          <w:color w:val="000000"/>
          <w:sz w:val="16"/>
          <w:szCs w:val="16"/>
          <w:lang w:val="es-ES_tradnl" w:eastAsia="es-ES_tradnl"/>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6B7BDADA"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p>
  </w:footnote>
  <w:footnote w:id="9">
    <w:p w14:paraId="0987BEC1" w14:textId="77777777" w:rsidR="00EC4C18" w:rsidRPr="00F16E24" w:rsidRDefault="00EC4C18" w:rsidP="00EC4C18">
      <w:pPr>
        <w:pStyle w:val="Textonotapie"/>
        <w:ind w:firstLine="708"/>
        <w:jc w:val="both"/>
        <w:rPr>
          <w:rFonts w:ascii="Arial" w:eastAsia="Calibri" w:hAnsi="Arial" w:cs="Arial"/>
          <w:color w:val="000000"/>
          <w:sz w:val="16"/>
          <w:szCs w:val="16"/>
          <w:lang w:val="es-ES_tradnl" w:eastAsia="es-ES_tradnl"/>
        </w:rPr>
      </w:pPr>
      <w:r w:rsidRPr="00F16E24">
        <w:rPr>
          <w:rFonts w:ascii="Arial" w:eastAsia="Calibri" w:hAnsi="Arial" w:cs="Arial"/>
          <w:color w:val="000000"/>
          <w:vertAlign w:val="superscript"/>
          <w:lang w:val="es-ES_tradnl" w:eastAsia="es-ES_tradnl"/>
        </w:rPr>
        <w:footnoteRef/>
      </w:r>
      <w:r w:rsidRPr="00F16E24">
        <w:rPr>
          <w:rFonts w:ascii="Arial" w:eastAsia="Calibri" w:hAnsi="Arial" w:cs="Arial"/>
          <w:color w:val="000000"/>
          <w:sz w:val="16"/>
          <w:szCs w:val="16"/>
          <w:vertAlign w:val="superscript"/>
          <w:lang w:val="es-ES_tradnl" w:eastAsia="es-ES_tradnl"/>
        </w:rPr>
        <w:t xml:space="preserve"> </w:t>
      </w:r>
      <w:r w:rsidRPr="00F16E24">
        <w:rPr>
          <w:rFonts w:ascii="Arial" w:eastAsia="Calibri" w:hAnsi="Arial" w:cs="Arial"/>
          <w:color w:val="000000"/>
          <w:sz w:val="16"/>
          <w:szCs w:val="16"/>
          <w:lang w:val="es-ES_tradnl" w:eastAsia="es-ES_tradnl"/>
        </w:rPr>
        <w:t>Agencia Nacional de Contratación Pública – Colombia Compra Eficiente, “Manual para determinar y verificar los requisitos habilitantes en los Procesos de Contratación”.</w:t>
      </w:r>
    </w:p>
    <w:p w14:paraId="37ADB8C6" w14:textId="77777777" w:rsidR="00EC4C18" w:rsidRPr="00F16E24" w:rsidRDefault="00EC4C18" w:rsidP="00EC4C18">
      <w:pPr>
        <w:pStyle w:val="Textonotapie"/>
        <w:ind w:firstLine="567"/>
        <w:jc w:val="both"/>
        <w:rPr>
          <w:rFonts w:ascii="Arial" w:hAnsi="Arial"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08D64D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0FE91606"/>
    <w:multiLevelType w:val="hybridMultilevel"/>
    <w:tmpl w:val="99EA2E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CF543C8"/>
    <w:multiLevelType w:val="hybridMultilevel"/>
    <w:tmpl w:val="FFBEA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E6B5018"/>
    <w:multiLevelType w:val="hybridMultilevel"/>
    <w:tmpl w:val="F59E2E2C"/>
    <w:lvl w:ilvl="0" w:tplc="240A0001">
      <w:start w:val="1"/>
      <w:numFmt w:val="bullet"/>
      <w:lvlText w:val=""/>
      <w:lvlJc w:val="left"/>
      <w:pPr>
        <w:ind w:left="1427" w:hanging="360"/>
      </w:pPr>
      <w:rPr>
        <w:rFonts w:ascii="Symbol" w:hAnsi="Symbol" w:hint="default"/>
      </w:rPr>
    </w:lvl>
    <w:lvl w:ilvl="1" w:tplc="240A0003" w:tentative="1">
      <w:start w:val="1"/>
      <w:numFmt w:val="bullet"/>
      <w:lvlText w:val="o"/>
      <w:lvlJc w:val="left"/>
      <w:pPr>
        <w:ind w:left="2147" w:hanging="360"/>
      </w:pPr>
      <w:rPr>
        <w:rFonts w:ascii="Courier New" w:hAnsi="Courier New" w:cs="Courier New" w:hint="default"/>
      </w:rPr>
    </w:lvl>
    <w:lvl w:ilvl="2" w:tplc="240A0005" w:tentative="1">
      <w:start w:val="1"/>
      <w:numFmt w:val="bullet"/>
      <w:lvlText w:val=""/>
      <w:lvlJc w:val="left"/>
      <w:pPr>
        <w:ind w:left="2867" w:hanging="360"/>
      </w:pPr>
      <w:rPr>
        <w:rFonts w:ascii="Wingdings" w:hAnsi="Wingdings" w:hint="default"/>
      </w:rPr>
    </w:lvl>
    <w:lvl w:ilvl="3" w:tplc="240A0001" w:tentative="1">
      <w:start w:val="1"/>
      <w:numFmt w:val="bullet"/>
      <w:lvlText w:val=""/>
      <w:lvlJc w:val="left"/>
      <w:pPr>
        <w:ind w:left="3587" w:hanging="360"/>
      </w:pPr>
      <w:rPr>
        <w:rFonts w:ascii="Symbol" w:hAnsi="Symbol" w:hint="default"/>
      </w:rPr>
    </w:lvl>
    <w:lvl w:ilvl="4" w:tplc="240A0003" w:tentative="1">
      <w:start w:val="1"/>
      <w:numFmt w:val="bullet"/>
      <w:lvlText w:val="o"/>
      <w:lvlJc w:val="left"/>
      <w:pPr>
        <w:ind w:left="4307" w:hanging="360"/>
      </w:pPr>
      <w:rPr>
        <w:rFonts w:ascii="Courier New" w:hAnsi="Courier New" w:cs="Courier New" w:hint="default"/>
      </w:rPr>
    </w:lvl>
    <w:lvl w:ilvl="5" w:tplc="240A0005" w:tentative="1">
      <w:start w:val="1"/>
      <w:numFmt w:val="bullet"/>
      <w:lvlText w:val=""/>
      <w:lvlJc w:val="left"/>
      <w:pPr>
        <w:ind w:left="5027" w:hanging="360"/>
      </w:pPr>
      <w:rPr>
        <w:rFonts w:ascii="Wingdings" w:hAnsi="Wingdings" w:hint="default"/>
      </w:rPr>
    </w:lvl>
    <w:lvl w:ilvl="6" w:tplc="240A0001" w:tentative="1">
      <w:start w:val="1"/>
      <w:numFmt w:val="bullet"/>
      <w:lvlText w:val=""/>
      <w:lvlJc w:val="left"/>
      <w:pPr>
        <w:ind w:left="5747" w:hanging="360"/>
      </w:pPr>
      <w:rPr>
        <w:rFonts w:ascii="Symbol" w:hAnsi="Symbol" w:hint="default"/>
      </w:rPr>
    </w:lvl>
    <w:lvl w:ilvl="7" w:tplc="240A0003" w:tentative="1">
      <w:start w:val="1"/>
      <w:numFmt w:val="bullet"/>
      <w:lvlText w:val="o"/>
      <w:lvlJc w:val="left"/>
      <w:pPr>
        <w:ind w:left="6467" w:hanging="360"/>
      </w:pPr>
      <w:rPr>
        <w:rFonts w:ascii="Courier New" w:hAnsi="Courier New" w:cs="Courier New" w:hint="default"/>
      </w:rPr>
    </w:lvl>
    <w:lvl w:ilvl="8" w:tplc="240A0005" w:tentative="1">
      <w:start w:val="1"/>
      <w:numFmt w:val="bullet"/>
      <w:lvlText w:val=""/>
      <w:lvlJc w:val="left"/>
      <w:pPr>
        <w:ind w:left="7187" w:hanging="360"/>
      </w:pPr>
      <w:rPr>
        <w:rFonts w:ascii="Wingdings" w:hAnsi="Wingdings" w:hint="default"/>
      </w:rPr>
    </w:lvl>
  </w:abstractNum>
  <w:abstractNum w:abstractNumId="14"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6"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7"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6D1751AC"/>
    <w:multiLevelType w:val="hybridMultilevel"/>
    <w:tmpl w:val="000ADD0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1" w15:restartNumberingAfterBreak="0">
    <w:nsid w:val="71994FE8"/>
    <w:multiLevelType w:val="hybridMultilevel"/>
    <w:tmpl w:val="59A0D3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10"/>
  </w:num>
  <w:num w:numId="2" w16cid:durableId="4285022">
    <w:abstractNumId w:val="2"/>
  </w:num>
  <w:num w:numId="3" w16cid:durableId="881983949">
    <w:abstractNumId w:val="7"/>
  </w:num>
  <w:num w:numId="4" w16cid:durableId="341274352">
    <w:abstractNumId w:val="0"/>
  </w:num>
  <w:num w:numId="5" w16cid:durableId="1887524674">
    <w:abstractNumId w:val="15"/>
  </w:num>
  <w:num w:numId="6" w16cid:durableId="1082990391">
    <w:abstractNumId w:val="1"/>
  </w:num>
  <w:num w:numId="7" w16cid:durableId="1492209491">
    <w:abstractNumId w:val="9"/>
  </w:num>
  <w:num w:numId="8" w16cid:durableId="679089576">
    <w:abstractNumId w:val="11"/>
  </w:num>
  <w:num w:numId="9" w16cid:durableId="2123767494">
    <w:abstractNumId w:val="14"/>
  </w:num>
  <w:num w:numId="10" w16cid:durableId="1391228846">
    <w:abstractNumId w:val="8"/>
  </w:num>
  <w:num w:numId="11" w16cid:durableId="15233557">
    <w:abstractNumId w:val="19"/>
  </w:num>
  <w:num w:numId="12" w16cid:durableId="354035714">
    <w:abstractNumId w:val="3"/>
  </w:num>
  <w:num w:numId="13" w16cid:durableId="101463356">
    <w:abstractNumId w:val="5"/>
  </w:num>
  <w:num w:numId="14" w16cid:durableId="190606430">
    <w:abstractNumId w:val="4"/>
  </w:num>
  <w:num w:numId="15" w16cid:durableId="1150177500">
    <w:abstractNumId w:val="12"/>
  </w:num>
  <w:num w:numId="16" w16cid:durableId="1117799111">
    <w:abstractNumId w:val="6"/>
  </w:num>
  <w:num w:numId="17" w16cid:durableId="2146727359">
    <w:abstractNumId w:val="20"/>
  </w:num>
  <w:num w:numId="18" w16cid:durableId="1016154943">
    <w:abstractNumId w:val="21"/>
  </w:num>
  <w:num w:numId="19" w16cid:durableId="2097506960">
    <w:abstractNumId w:val="18"/>
  </w:num>
  <w:num w:numId="20" w16cid:durableId="475490479">
    <w:abstractNumId w:val="13"/>
  </w:num>
  <w:num w:numId="21" w16cid:durableId="1977490869">
    <w:abstractNumId w:val="17"/>
  </w:num>
  <w:num w:numId="22" w16cid:durableId="1586632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0504"/>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4962"/>
    <w:rsid w:val="000C7262"/>
    <w:rsid w:val="000D2A7F"/>
    <w:rsid w:val="000D4FCE"/>
    <w:rsid w:val="0011037E"/>
    <w:rsid w:val="0011160B"/>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1BFE"/>
    <w:rsid w:val="001A5DD4"/>
    <w:rsid w:val="001A67E9"/>
    <w:rsid w:val="001B143B"/>
    <w:rsid w:val="001B21CA"/>
    <w:rsid w:val="001B275C"/>
    <w:rsid w:val="001C04FC"/>
    <w:rsid w:val="001C25A3"/>
    <w:rsid w:val="001C5D03"/>
    <w:rsid w:val="001C7771"/>
    <w:rsid w:val="001D62FF"/>
    <w:rsid w:val="001F3F48"/>
    <w:rsid w:val="001F48DA"/>
    <w:rsid w:val="002000AA"/>
    <w:rsid w:val="00204109"/>
    <w:rsid w:val="00211E6E"/>
    <w:rsid w:val="00212A46"/>
    <w:rsid w:val="0021401D"/>
    <w:rsid w:val="002146B8"/>
    <w:rsid w:val="00215516"/>
    <w:rsid w:val="002527C2"/>
    <w:rsid w:val="00270443"/>
    <w:rsid w:val="00270EE2"/>
    <w:rsid w:val="00272972"/>
    <w:rsid w:val="00286161"/>
    <w:rsid w:val="00286491"/>
    <w:rsid w:val="002A0F8D"/>
    <w:rsid w:val="002B6E44"/>
    <w:rsid w:val="002E1DB5"/>
    <w:rsid w:val="002F1766"/>
    <w:rsid w:val="002F6CCB"/>
    <w:rsid w:val="0030461E"/>
    <w:rsid w:val="0031699C"/>
    <w:rsid w:val="0032756A"/>
    <w:rsid w:val="00334EF8"/>
    <w:rsid w:val="00336408"/>
    <w:rsid w:val="00340DFB"/>
    <w:rsid w:val="0034404F"/>
    <w:rsid w:val="00356980"/>
    <w:rsid w:val="00367357"/>
    <w:rsid w:val="00367462"/>
    <w:rsid w:val="003675AB"/>
    <w:rsid w:val="00371ECA"/>
    <w:rsid w:val="00372748"/>
    <w:rsid w:val="0037332A"/>
    <w:rsid w:val="0038151A"/>
    <w:rsid w:val="0039082A"/>
    <w:rsid w:val="00390C21"/>
    <w:rsid w:val="003A37BD"/>
    <w:rsid w:val="003A5B4D"/>
    <w:rsid w:val="003B257E"/>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95DB3"/>
    <w:rsid w:val="004A0E7B"/>
    <w:rsid w:val="004A3498"/>
    <w:rsid w:val="004B0C45"/>
    <w:rsid w:val="004C0AB2"/>
    <w:rsid w:val="004C1619"/>
    <w:rsid w:val="004C1A26"/>
    <w:rsid w:val="004C1CC9"/>
    <w:rsid w:val="004C3755"/>
    <w:rsid w:val="004C4485"/>
    <w:rsid w:val="004D11AF"/>
    <w:rsid w:val="004D4593"/>
    <w:rsid w:val="00500DFA"/>
    <w:rsid w:val="005019AA"/>
    <w:rsid w:val="005021BB"/>
    <w:rsid w:val="005139E7"/>
    <w:rsid w:val="005147DA"/>
    <w:rsid w:val="00515FB5"/>
    <w:rsid w:val="0052365C"/>
    <w:rsid w:val="005271EB"/>
    <w:rsid w:val="0053380B"/>
    <w:rsid w:val="005426DB"/>
    <w:rsid w:val="00543572"/>
    <w:rsid w:val="00545489"/>
    <w:rsid w:val="0055082B"/>
    <w:rsid w:val="00552503"/>
    <w:rsid w:val="00552B57"/>
    <w:rsid w:val="00557DA1"/>
    <w:rsid w:val="00562FFA"/>
    <w:rsid w:val="0056322C"/>
    <w:rsid w:val="005750D4"/>
    <w:rsid w:val="0058743A"/>
    <w:rsid w:val="005A1C97"/>
    <w:rsid w:val="005A3696"/>
    <w:rsid w:val="005A4DB0"/>
    <w:rsid w:val="005A7B8E"/>
    <w:rsid w:val="005B012B"/>
    <w:rsid w:val="005B0C87"/>
    <w:rsid w:val="005B5EC0"/>
    <w:rsid w:val="005D23F6"/>
    <w:rsid w:val="005D2FA8"/>
    <w:rsid w:val="005E2281"/>
    <w:rsid w:val="005E667C"/>
    <w:rsid w:val="005F077C"/>
    <w:rsid w:val="005F63D0"/>
    <w:rsid w:val="005F7973"/>
    <w:rsid w:val="00600948"/>
    <w:rsid w:val="00605783"/>
    <w:rsid w:val="0061690E"/>
    <w:rsid w:val="00627361"/>
    <w:rsid w:val="0063017E"/>
    <w:rsid w:val="00631B28"/>
    <w:rsid w:val="00645B90"/>
    <w:rsid w:val="00650991"/>
    <w:rsid w:val="006511D7"/>
    <w:rsid w:val="00663D75"/>
    <w:rsid w:val="00670AEF"/>
    <w:rsid w:val="00675678"/>
    <w:rsid w:val="00677012"/>
    <w:rsid w:val="00680B4E"/>
    <w:rsid w:val="006825B4"/>
    <w:rsid w:val="00682AF2"/>
    <w:rsid w:val="00685798"/>
    <w:rsid w:val="00685FFD"/>
    <w:rsid w:val="006864DF"/>
    <w:rsid w:val="00687F9B"/>
    <w:rsid w:val="006A36EE"/>
    <w:rsid w:val="006A3C8A"/>
    <w:rsid w:val="006A7552"/>
    <w:rsid w:val="006B5953"/>
    <w:rsid w:val="006B76D4"/>
    <w:rsid w:val="006B7A81"/>
    <w:rsid w:val="006C4BAC"/>
    <w:rsid w:val="006C52F3"/>
    <w:rsid w:val="006E1D19"/>
    <w:rsid w:val="006E7F37"/>
    <w:rsid w:val="006F3B81"/>
    <w:rsid w:val="006F4F79"/>
    <w:rsid w:val="00705B37"/>
    <w:rsid w:val="00711FD9"/>
    <w:rsid w:val="0071249B"/>
    <w:rsid w:val="00722257"/>
    <w:rsid w:val="0072628E"/>
    <w:rsid w:val="00735062"/>
    <w:rsid w:val="00740CB9"/>
    <w:rsid w:val="00746BA5"/>
    <w:rsid w:val="00751D23"/>
    <w:rsid w:val="00770577"/>
    <w:rsid w:val="00777666"/>
    <w:rsid w:val="00780EE2"/>
    <w:rsid w:val="0078159B"/>
    <w:rsid w:val="00782E10"/>
    <w:rsid w:val="0078706B"/>
    <w:rsid w:val="00790836"/>
    <w:rsid w:val="00797131"/>
    <w:rsid w:val="007A3C1D"/>
    <w:rsid w:val="007A7364"/>
    <w:rsid w:val="007B285D"/>
    <w:rsid w:val="007B465D"/>
    <w:rsid w:val="007C6BC6"/>
    <w:rsid w:val="007F5420"/>
    <w:rsid w:val="00807D79"/>
    <w:rsid w:val="00813634"/>
    <w:rsid w:val="00822821"/>
    <w:rsid w:val="00831C29"/>
    <w:rsid w:val="008431EF"/>
    <w:rsid w:val="008468E0"/>
    <w:rsid w:val="00871B59"/>
    <w:rsid w:val="00874839"/>
    <w:rsid w:val="00877D03"/>
    <w:rsid w:val="00877E96"/>
    <w:rsid w:val="008806CA"/>
    <w:rsid w:val="008815E5"/>
    <w:rsid w:val="00887B37"/>
    <w:rsid w:val="008909B9"/>
    <w:rsid w:val="00891DFC"/>
    <w:rsid w:val="008A59E6"/>
    <w:rsid w:val="008B12B4"/>
    <w:rsid w:val="008B7914"/>
    <w:rsid w:val="008C5D2A"/>
    <w:rsid w:val="008C7AF4"/>
    <w:rsid w:val="008D1B5B"/>
    <w:rsid w:val="008D529F"/>
    <w:rsid w:val="008F5CC8"/>
    <w:rsid w:val="009061B8"/>
    <w:rsid w:val="0091008B"/>
    <w:rsid w:val="00911EA2"/>
    <w:rsid w:val="00916160"/>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50FB"/>
    <w:rsid w:val="009D7739"/>
    <w:rsid w:val="009D7F3A"/>
    <w:rsid w:val="009E35E3"/>
    <w:rsid w:val="009E4885"/>
    <w:rsid w:val="009E715B"/>
    <w:rsid w:val="009F2209"/>
    <w:rsid w:val="00A07DB6"/>
    <w:rsid w:val="00A10A73"/>
    <w:rsid w:val="00A170B3"/>
    <w:rsid w:val="00A223D5"/>
    <w:rsid w:val="00A37D1C"/>
    <w:rsid w:val="00A5453E"/>
    <w:rsid w:val="00A56F6C"/>
    <w:rsid w:val="00A76C8C"/>
    <w:rsid w:val="00A83E50"/>
    <w:rsid w:val="00A85F30"/>
    <w:rsid w:val="00A9099E"/>
    <w:rsid w:val="00A91969"/>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86708"/>
    <w:rsid w:val="00B87A25"/>
    <w:rsid w:val="00B91B81"/>
    <w:rsid w:val="00B94B92"/>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3220"/>
    <w:rsid w:val="00C76707"/>
    <w:rsid w:val="00CA3347"/>
    <w:rsid w:val="00CB7386"/>
    <w:rsid w:val="00CC299A"/>
    <w:rsid w:val="00CD03E3"/>
    <w:rsid w:val="00CE4DAB"/>
    <w:rsid w:val="00CE6BDA"/>
    <w:rsid w:val="00CE7288"/>
    <w:rsid w:val="00D03DBE"/>
    <w:rsid w:val="00D072C0"/>
    <w:rsid w:val="00D34C82"/>
    <w:rsid w:val="00D3757A"/>
    <w:rsid w:val="00D44D04"/>
    <w:rsid w:val="00D504A9"/>
    <w:rsid w:val="00D5206D"/>
    <w:rsid w:val="00D52ECE"/>
    <w:rsid w:val="00D7177D"/>
    <w:rsid w:val="00D81311"/>
    <w:rsid w:val="00D97115"/>
    <w:rsid w:val="00DB201E"/>
    <w:rsid w:val="00DC0E68"/>
    <w:rsid w:val="00DD25ED"/>
    <w:rsid w:val="00DE0D6E"/>
    <w:rsid w:val="00E051A5"/>
    <w:rsid w:val="00E052DF"/>
    <w:rsid w:val="00E07CDA"/>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334D"/>
    <w:rsid w:val="00EA7D7F"/>
    <w:rsid w:val="00EB02F4"/>
    <w:rsid w:val="00EB0513"/>
    <w:rsid w:val="00EB2FA2"/>
    <w:rsid w:val="00EB769A"/>
    <w:rsid w:val="00EC3A35"/>
    <w:rsid w:val="00EC4C18"/>
    <w:rsid w:val="00ED053D"/>
    <w:rsid w:val="00ED33DD"/>
    <w:rsid w:val="00EE17F2"/>
    <w:rsid w:val="00EE3138"/>
    <w:rsid w:val="00EF2AC7"/>
    <w:rsid w:val="00EF400A"/>
    <w:rsid w:val="00EF6BE4"/>
    <w:rsid w:val="00EF6E5D"/>
    <w:rsid w:val="00F04CE9"/>
    <w:rsid w:val="00F07764"/>
    <w:rsid w:val="00F124AB"/>
    <w:rsid w:val="00F12517"/>
    <w:rsid w:val="00F131DD"/>
    <w:rsid w:val="00F16AB7"/>
    <w:rsid w:val="00F16BA1"/>
    <w:rsid w:val="00F16E24"/>
    <w:rsid w:val="00F24435"/>
    <w:rsid w:val="00F30C0F"/>
    <w:rsid w:val="00F314E8"/>
    <w:rsid w:val="00F323A2"/>
    <w:rsid w:val="00F33B57"/>
    <w:rsid w:val="00F33D5C"/>
    <w:rsid w:val="00F34E90"/>
    <w:rsid w:val="00F356D6"/>
    <w:rsid w:val="00F40419"/>
    <w:rsid w:val="00F46F22"/>
    <w:rsid w:val="00F53BE2"/>
    <w:rsid w:val="00F55684"/>
    <w:rsid w:val="00F64D5A"/>
    <w:rsid w:val="00F709CD"/>
    <w:rsid w:val="00F906F4"/>
    <w:rsid w:val="00F919E7"/>
    <w:rsid w:val="00F95264"/>
    <w:rsid w:val="00FA0716"/>
    <w:rsid w:val="00FB05D1"/>
    <w:rsid w:val="00FB4629"/>
    <w:rsid w:val="00FB657A"/>
    <w:rsid w:val="00FB6FB1"/>
    <w:rsid w:val="00FB7063"/>
    <w:rsid w:val="00FC7056"/>
    <w:rsid w:val="00FE1A00"/>
    <w:rsid w:val="00FE33B4"/>
    <w:rsid w:val="00FE4471"/>
    <w:rsid w:val="024D7E2C"/>
    <w:rsid w:val="0D2EB883"/>
    <w:rsid w:val="0D8163B6"/>
    <w:rsid w:val="13A69650"/>
    <w:rsid w:val="1BB32F19"/>
    <w:rsid w:val="1F2C3AF5"/>
    <w:rsid w:val="1FF4886A"/>
    <w:rsid w:val="22D2584A"/>
    <w:rsid w:val="28751A95"/>
    <w:rsid w:val="29FA8189"/>
    <w:rsid w:val="2C00A012"/>
    <w:rsid w:val="304C0AD5"/>
    <w:rsid w:val="330CE3FD"/>
    <w:rsid w:val="389994B3"/>
    <w:rsid w:val="3B30A011"/>
    <w:rsid w:val="3B93C128"/>
    <w:rsid w:val="3CFBE104"/>
    <w:rsid w:val="4F689A9F"/>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431896965">
      <w:bodyDiv w:val="1"/>
      <w:marLeft w:val="0"/>
      <w:marRight w:val="0"/>
      <w:marTop w:val="0"/>
      <w:marBottom w:val="0"/>
      <w:divBdr>
        <w:top w:val="none" w:sz="0" w:space="0" w:color="auto"/>
        <w:left w:val="none" w:sz="0" w:space="0" w:color="auto"/>
        <w:bottom w:val="none" w:sz="0" w:space="0" w:color="auto"/>
        <w:right w:val="none" w:sz="0" w:space="0" w:color="auto"/>
      </w:divBdr>
      <w:divsChild>
        <w:div w:id="287706397">
          <w:marLeft w:val="0"/>
          <w:marRight w:val="0"/>
          <w:marTop w:val="0"/>
          <w:marBottom w:val="0"/>
          <w:divBdr>
            <w:top w:val="none" w:sz="0" w:space="0" w:color="auto"/>
            <w:left w:val="none" w:sz="0" w:space="0" w:color="auto"/>
            <w:bottom w:val="none" w:sz="0" w:space="0" w:color="auto"/>
            <w:right w:val="none" w:sz="0" w:space="0" w:color="auto"/>
          </w:divBdr>
        </w:div>
      </w:divsChild>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8552474">
      <w:bodyDiv w:val="1"/>
      <w:marLeft w:val="0"/>
      <w:marRight w:val="0"/>
      <w:marTop w:val="0"/>
      <w:marBottom w:val="0"/>
      <w:divBdr>
        <w:top w:val="none" w:sz="0" w:space="0" w:color="auto"/>
        <w:left w:val="none" w:sz="0" w:space="0" w:color="auto"/>
        <w:bottom w:val="none" w:sz="0" w:space="0" w:color="auto"/>
        <w:right w:val="none" w:sz="0" w:space="0" w:color="auto"/>
      </w:divBdr>
      <w:divsChild>
        <w:div w:id="12057567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tricia.valencia@correo.policia.gov.co"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cce-eicp-gi-18._gees_v.2_2.pdf"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3458</Words>
  <Characters>19023</Characters>
  <Application>Microsoft Office Word</Application>
  <DocSecurity>0</DocSecurity>
  <Lines>158</Lines>
  <Paragraphs>44</Paragraphs>
  <ScaleCrop>false</ScaleCrop>
  <Company/>
  <LinksUpToDate>false</LinksUpToDate>
  <CharactersWithSpaces>22437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5</cp:revision>
  <dcterms:created xsi:type="dcterms:W3CDTF">2024-09-19T20:36:00Z</dcterms:created>
  <dcterms:modified xsi:type="dcterms:W3CDTF">2024-10-31T02:50:00Z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