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231F3" w14:textId="77777777" w:rsidR="00CB5936" w:rsidRPr="0022784B" w:rsidRDefault="00CB5936" w:rsidP="00CB5936">
      <w:pPr>
        <w:spacing w:after="0" w:line="240" w:lineRule="auto"/>
        <w:jc w:val="both"/>
        <w:rPr>
          <w:rFonts w:ascii="Verdana" w:eastAsia="Calibri" w:hAnsi="Verdana" w:cs="Arial"/>
          <w:b/>
          <w:bCs/>
          <w:lang w:val="es-MX"/>
        </w:rPr>
      </w:pPr>
      <w:bookmarkStart w:id="0" w:name="_Hlk143780582"/>
      <w:r w:rsidRPr="0022784B">
        <w:rPr>
          <w:rFonts w:ascii="Verdana" w:eastAsia="Calibri" w:hAnsi="Verdana" w:cs="Arial"/>
          <w:b/>
          <w:bCs/>
          <w:lang w:val="es-MX"/>
        </w:rPr>
        <w:t xml:space="preserve">PRECIOS ARTIFICIALMENTE BAJOS </w:t>
      </w:r>
      <w:r w:rsidRPr="0022784B">
        <w:rPr>
          <w:rFonts w:ascii="Verdana" w:eastAsia="Calibri" w:hAnsi="Verdana" w:cs="Arial"/>
          <w:b/>
          <w:lang w:val="es-MX"/>
        </w:rPr>
        <w:t>–</w:t>
      </w:r>
      <w:r w:rsidRPr="0022784B">
        <w:rPr>
          <w:rFonts w:ascii="Verdana" w:eastAsia="Calibri" w:hAnsi="Verdana" w:cs="Arial"/>
          <w:b/>
          <w:bCs/>
          <w:lang w:val="es-MX"/>
        </w:rPr>
        <w:t xml:space="preserve"> Noción</w:t>
      </w:r>
    </w:p>
    <w:p w14:paraId="52430640" w14:textId="77777777" w:rsidR="00CB5936" w:rsidRPr="0022784B" w:rsidRDefault="00CB5936" w:rsidP="00CB5936">
      <w:pPr>
        <w:spacing w:after="0" w:line="240" w:lineRule="auto"/>
        <w:jc w:val="both"/>
        <w:rPr>
          <w:rFonts w:ascii="Verdana" w:eastAsia="Verdana" w:hAnsi="Verdana" w:cs="Verdana"/>
          <w:b/>
          <w:color w:val="7030A0"/>
          <w:lang w:val="es-ES"/>
        </w:rPr>
      </w:pPr>
    </w:p>
    <w:p w14:paraId="7053B052" w14:textId="77777777" w:rsidR="00CB5936" w:rsidRPr="0022784B" w:rsidRDefault="00CB5936" w:rsidP="0088272B">
      <w:pPr>
        <w:widowControl w:val="0"/>
        <w:autoSpaceDE w:val="0"/>
        <w:autoSpaceDN w:val="0"/>
        <w:snapToGrid w:val="0"/>
        <w:spacing w:after="0" w:line="240" w:lineRule="auto"/>
        <w:jc w:val="both"/>
        <w:rPr>
          <w:rFonts w:ascii="Verdana" w:eastAsia="Arial" w:hAnsi="Verdana" w:cs="Arial"/>
          <w:sz w:val="20"/>
          <w:szCs w:val="20"/>
          <w:lang w:val="es-ES" w:eastAsia="es-ES" w:bidi="es-ES"/>
        </w:rPr>
      </w:pPr>
      <w:r w:rsidRPr="0022784B">
        <w:rPr>
          <w:rFonts w:ascii="Verdana" w:eastAsia="Arial" w:hAnsi="Verdana" w:cs="Arial"/>
          <w:sz w:val="20"/>
          <w:szCs w:val="20"/>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 Al respecto, el Consejo de Estado, Sección Tercera, sentencia 4 de junio de 2008, radicado No. 17.783, M.P. Myriam Guerrero de Escobar, define el precio artificialmente bajo como aquel que no tiene sustento o fundamento en su</w:t>
      </w:r>
      <w:r w:rsidRPr="0022784B">
        <w:rPr>
          <w:rFonts w:ascii="Verdana" w:eastAsia="Arial" w:hAnsi="Verdana" w:cs="Arial"/>
          <w:spacing w:val="-45"/>
          <w:sz w:val="20"/>
          <w:szCs w:val="20"/>
          <w:lang w:val="es-ES" w:eastAsia="es-ES" w:bidi="es-ES"/>
        </w:rPr>
        <w:t xml:space="preserve"> </w:t>
      </w:r>
      <w:r w:rsidRPr="0022784B">
        <w:rPr>
          <w:rFonts w:ascii="Verdana" w:eastAsia="Arial" w:hAnsi="Verdana" w:cs="Arial"/>
          <w:sz w:val="20"/>
          <w:szCs w:val="20"/>
          <w:lang w:val="es-ES" w:eastAsia="es-ES" w:bidi="es-ES"/>
        </w:rPr>
        <w:t xml:space="preserve">estructuración dentro del tráfico comercial: </w:t>
      </w:r>
      <w:r w:rsidRPr="0022784B">
        <w:rPr>
          <w:rFonts w:ascii="Verdana" w:eastAsia="Aptos" w:hAnsi="Verdana" w:cs="Times New Roman"/>
          <w:kern w:val="2"/>
          <w:sz w:val="20"/>
          <w:szCs w:val="20"/>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22784B">
        <w:rPr>
          <w:rFonts w:ascii="Verdana" w:eastAsia="Aptos" w:hAnsi="Verdana" w:cs="Times New Roman"/>
          <w:spacing w:val="-8"/>
          <w:kern w:val="2"/>
          <w:sz w:val="20"/>
          <w:szCs w:val="20"/>
          <w14:ligatures w14:val="standardContextual"/>
        </w:rPr>
        <w:t xml:space="preserve"> </w:t>
      </w:r>
      <w:r w:rsidRPr="0022784B">
        <w:rPr>
          <w:rFonts w:ascii="Verdana" w:eastAsia="Aptos" w:hAnsi="Verdana" w:cs="Times New Roman"/>
          <w:kern w:val="2"/>
          <w:sz w:val="20"/>
          <w:szCs w:val="20"/>
          <w14:ligatures w14:val="standardContextual"/>
        </w:rPr>
        <w:t>[…]”.</w:t>
      </w:r>
    </w:p>
    <w:p w14:paraId="55A02948" w14:textId="77777777" w:rsidR="00CB5936" w:rsidRPr="0022784B" w:rsidRDefault="00CB5936" w:rsidP="00CB5936">
      <w:pPr>
        <w:spacing w:after="0" w:line="240" w:lineRule="auto"/>
        <w:jc w:val="both"/>
        <w:rPr>
          <w:rFonts w:ascii="Verdana" w:eastAsia="Verdana" w:hAnsi="Verdana" w:cs="Verdana"/>
          <w:b/>
          <w:color w:val="7030A0"/>
          <w:sz w:val="20"/>
          <w:lang w:val="es-MX"/>
        </w:rPr>
      </w:pPr>
    </w:p>
    <w:p w14:paraId="7C5C93C8" w14:textId="77777777" w:rsidR="00CB5936" w:rsidRPr="0022784B" w:rsidRDefault="00CB5936" w:rsidP="00CB5936">
      <w:pPr>
        <w:spacing w:after="0" w:line="240" w:lineRule="auto"/>
        <w:jc w:val="both"/>
        <w:rPr>
          <w:rFonts w:ascii="Verdana" w:eastAsia="Arial" w:hAnsi="Verdana" w:cs="Arial"/>
          <w:b/>
          <w:bCs/>
          <w:lang w:val="es-ES" w:eastAsia="es-ES" w:bidi="es-ES"/>
        </w:rPr>
      </w:pPr>
      <w:r w:rsidRPr="0022784B">
        <w:rPr>
          <w:rFonts w:ascii="Verdana" w:eastAsia="Calibri" w:hAnsi="Verdana" w:cs="Arial"/>
          <w:b/>
          <w:bCs/>
          <w:lang w:val="es-MX"/>
        </w:rPr>
        <w:t xml:space="preserve">PRECIOS ARTIFICIALMENTE BAJOS – </w:t>
      </w:r>
      <w:r w:rsidRPr="0022784B">
        <w:rPr>
          <w:rFonts w:ascii="Verdana" w:eastAsia="Arial" w:hAnsi="Verdana" w:cs="Arial"/>
          <w:b/>
          <w:bCs/>
          <w:lang w:val="es-ES" w:eastAsia="es-ES" w:bidi="es-ES"/>
        </w:rPr>
        <w:t>Decreto 1082 de 2015 - Artículo 2.2.1.1.2.2.4</w:t>
      </w:r>
    </w:p>
    <w:p w14:paraId="069E5DB1" w14:textId="77777777" w:rsidR="00CB5936" w:rsidRPr="0022784B" w:rsidRDefault="00CB5936" w:rsidP="00CB5936">
      <w:pPr>
        <w:spacing w:after="0" w:line="240" w:lineRule="auto"/>
        <w:jc w:val="both"/>
        <w:rPr>
          <w:rFonts w:ascii="Verdana" w:eastAsia="Arial" w:hAnsi="Verdana" w:cs="Arial"/>
          <w:sz w:val="20"/>
          <w:szCs w:val="20"/>
          <w:lang w:val="es-ES" w:eastAsia="es-ES" w:bidi="es-ES"/>
        </w:rPr>
      </w:pPr>
    </w:p>
    <w:p w14:paraId="047CF07F" w14:textId="77777777" w:rsidR="00CB5936" w:rsidRPr="0022784B" w:rsidRDefault="00CB5936" w:rsidP="0088272B">
      <w:pPr>
        <w:widowControl w:val="0"/>
        <w:autoSpaceDE w:val="0"/>
        <w:autoSpaceDN w:val="0"/>
        <w:spacing w:after="0" w:line="240" w:lineRule="auto"/>
        <w:jc w:val="both"/>
        <w:rPr>
          <w:rFonts w:ascii="Verdana" w:eastAsia="Arial" w:hAnsi="Verdana" w:cs="Arial"/>
          <w:sz w:val="20"/>
          <w:szCs w:val="20"/>
          <w:lang w:val="es-ES" w:eastAsia="es-ES" w:bidi="es-ES"/>
        </w:rPr>
      </w:pPr>
      <w:r w:rsidRPr="0022784B">
        <w:rPr>
          <w:rFonts w:ascii="Verdana" w:eastAsia="Arial" w:hAnsi="Verdana" w:cs="Arial"/>
          <w:sz w:val="20"/>
          <w:szCs w:val="20"/>
          <w:lang w:val="es-ES" w:eastAsia="es-ES" w:bidi="es-ES"/>
        </w:rPr>
        <w:t>[…]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debe rechazar la oferta o continuar con el análisis de la oferta durante la evaluación de las ofertas […]</w:t>
      </w:r>
    </w:p>
    <w:p w14:paraId="4822FD85" w14:textId="77777777" w:rsidR="00CB5936" w:rsidRPr="0022784B" w:rsidRDefault="00CB5936" w:rsidP="0088272B">
      <w:pPr>
        <w:spacing w:after="0" w:line="240" w:lineRule="auto"/>
        <w:ind w:left="708" w:right="616" w:firstLine="1"/>
        <w:jc w:val="both"/>
        <w:rPr>
          <w:rFonts w:ascii="Verdana" w:hAnsi="Verdana"/>
          <w:sz w:val="18"/>
          <w:szCs w:val="18"/>
        </w:rPr>
      </w:pPr>
    </w:p>
    <w:p w14:paraId="0164B8CD" w14:textId="77777777" w:rsidR="00CB5936" w:rsidRPr="0022784B" w:rsidRDefault="00CB5936" w:rsidP="0088272B">
      <w:pPr>
        <w:spacing w:after="120" w:line="240" w:lineRule="auto"/>
        <w:jc w:val="both"/>
        <w:rPr>
          <w:rFonts w:ascii="Verdana" w:eastAsia="Calibri" w:hAnsi="Verdana" w:cs="Arial"/>
          <w:sz w:val="20"/>
          <w:szCs w:val="20"/>
          <w:lang w:val="es-ES"/>
        </w:rPr>
      </w:pPr>
      <w:r w:rsidRPr="0022784B">
        <w:rPr>
          <w:rFonts w:ascii="Verdana" w:eastAsia="Calibri" w:hAnsi="Verdana" w:cs="Arial"/>
          <w:sz w:val="20"/>
          <w:szCs w:val="20"/>
          <w:lang w:val="es-MX"/>
        </w:rPr>
        <w:t>Así pues, el artículo 2.2.1.1.2.2.4 ibidem, establece lo que debe hacer la entidad cuando el precio de una oferta parece artificialmente bajo, esto es: i) solicitar explicación al oferente, ii) analizar las explicaciones del oferente, iii) el responsable de la evaluación de las ofertas debe recomendar rechazar o continuar la evaluación de la oferta, y iv) para la subasta inversa, lo anterior se debe hacer al finalizar el evento.</w:t>
      </w:r>
    </w:p>
    <w:p w14:paraId="10125004" w14:textId="77777777" w:rsidR="00CB5936" w:rsidRPr="0022784B" w:rsidRDefault="00CB5936" w:rsidP="00CB5936">
      <w:pPr>
        <w:spacing w:after="0" w:line="240" w:lineRule="auto"/>
        <w:jc w:val="both"/>
        <w:rPr>
          <w:rFonts w:ascii="Verdana" w:eastAsia="Calibri" w:hAnsi="Verdana" w:cs="Arial"/>
          <w:sz w:val="20"/>
          <w:szCs w:val="20"/>
          <w:lang w:val="es-ES"/>
        </w:rPr>
      </w:pPr>
    </w:p>
    <w:p w14:paraId="29945E21" w14:textId="77777777" w:rsidR="00CB5936" w:rsidRPr="0022784B" w:rsidRDefault="00CB5936" w:rsidP="00CB5936">
      <w:pPr>
        <w:spacing w:after="0" w:line="240" w:lineRule="auto"/>
        <w:jc w:val="both"/>
        <w:rPr>
          <w:rFonts w:ascii="Verdana" w:eastAsia="Calibri" w:hAnsi="Verdana" w:cs="Arial"/>
          <w:b/>
          <w:lang w:val="es-MX"/>
        </w:rPr>
      </w:pPr>
      <w:r w:rsidRPr="0022784B">
        <w:rPr>
          <w:rFonts w:ascii="Verdana" w:eastAsia="Calibri" w:hAnsi="Verdana" w:cs="Arial"/>
          <w:b/>
          <w:bCs/>
          <w:lang w:val="es-MX"/>
        </w:rPr>
        <w:t xml:space="preserve">GUÍA PARA EL MANEJO DE OFERTAS ARTIFICIALMENTE BAJAS </w:t>
      </w:r>
      <w:r w:rsidRPr="0022784B">
        <w:rPr>
          <w:rFonts w:ascii="Verdana" w:eastAsia="Calibri" w:hAnsi="Verdana" w:cs="Arial"/>
          <w:b/>
          <w:lang w:val="es-MX"/>
        </w:rPr>
        <w:t>– Identificación</w:t>
      </w:r>
    </w:p>
    <w:p w14:paraId="3BEBF191" w14:textId="77777777" w:rsidR="00CB5936" w:rsidRPr="0022784B" w:rsidRDefault="00CB5936" w:rsidP="00CB5936">
      <w:pPr>
        <w:spacing w:after="0"/>
        <w:jc w:val="both"/>
        <w:rPr>
          <w:rFonts w:ascii="Verdana" w:eastAsia="Verdana" w:hAnsi="Verdana" w:cs="Verdana"/>
          <w:color w:val="7030A0"/>
          <w:sz w:val="18"/>
          <w:szCs w:val="18"/>
          <w:lang w:val="es-ES"/>
        </w:rPr>
      </w:pPr>
    </w:p>
    <w:p w14:paraId="659F1423" w14:textId="77777777" w:rsidR="00CB5936" w:rsidRPr="0022784B" w:rsidRDefault="00CB5936" w:rsidP="0088272B">
      <w:pPr>
        <w:spacing w:after="120" w:line="240" w:lineRule="auto"/>
        <w:jc w:val="both"/>
        <w:rPr>
          <w:rFonts w:ascii="Verdana" w:eastAsia="Times New Roman" w:hAnsi="Verdana" w:cs="Arial"/>
          <w:sz w:val="20"/>
          <w:szCs w:val="20"/>
          <w:lang w:val="es-ES"/>
        </w:rPr>
      </w:pPr>
      <w:r w:rsidRPr="0022784B">
        <w:rPr>
          <w:rFonts w:ascii="Verdana" w:eastAsia="Times New Roman" w:hAnsi="Verdana" w:cs="Arial"/>
          <w:sz w:val="20"/>
          <w:szCs w:val="20"/>
          <w:lang w:val="es-ES"/>
        </w:rPr>
        <w:t xml:space="preserve">[…] La Agencia Nacional de Contratación Pública – Colombia Compra Eficiente el 16 de diciembre de 2024, actualizó la “Guía para el manejo de ofertas artificialmente bajas en Procesos de Contratación”, donde se </w:t>
      </w:r>
      <w:r w:rsidRPr="0022784B">
        <w:rPr>
          <w:rFonts w:ascii="Verdana" w:hAnsi="Verdana" w:cs="Arial"/>
          <w:color w:val="000000" w:themeColor="text1"/>
          <w:sz w:val="20"/>
          <w:szCs w:val="20"/>
        </w:rPr>
        <w:t xml:space="preserve">recomienda a las entidades estatales tener en cuenta la siguiente información: i) promedio del valor de las ofertas, ii) mediana del valor las ofertas, iii)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w:t>
      </w:r>
      <w:r w:rsidRPr="0022784B">
        <w:rPr>
          <w:rFonts w:ascii="Verdana" w:hAnsi="Verdana" w:cs="Arial"/>
          <w:color w:val="000000" w:themeColor="text1"/>
          <w:sz w:val="20"/>
          <w:szCs w:val="20"/>
        </w:rPr>
        <w:lastRenderedPageBreak/>
        <w:t xml:space="preserve">baja y el costo estimado del contrato, y vii) la información histórica de ofertas y contratos del objeto del proceso de contratación. </w:t>
      </w:r>
    </w:p>
    <w:p w14:paraId="22D47DC0" w14:textId="77777777" w:rsidR="00CB5936" w:rsidRPr="0022784B" w:rsidRDefault="00CB5936" w:rsidP="0088272B">
      <w:pPr>
        <w:spacing w:before="120" w:line="240" w:lineRule="auto"/>
        <w:jc w:val="both"/>
        <w:rPr>
          <w:rFonts w:ascii="Verdana" w:hAnsi="Verdana" w:cs="Arial"/>
          <w:color w:val="000000" w:themeColor="text1"/>
          <w:sz w:val="20"/>
          <w:szCs w:val="20"/>
        </w:rPr>
      </w:pPr>
      <w:r w:rsidRPr="0022784B">
        <w:rPr>
          <w:rFonts w:ascii="Verdana" w:hAnsi="Verdana" w:cs="Arial"/>
          <w:color w:val="000000" w:themeColor="text1"/>
          <w:sz w:val="20"/>
          <w:szCs w:val="20"/>
        </w:rPr>
        <w:t xml:space="preserve">Con estos datos, la entidad puede emplear herramientas para identificar ofertas que pueden ser artíficamente bajas, tales como la comparación absoluta o la comparación relativa. La </w:t>
      </w:r>
      <w:r w:rsidRPr="0022784B">
        <w:rPr>
          <w:rFonts w:ascii="Verdana" w:hAnsi="Verdana" w:cs="Arial"/>
          <w:i/>
          <w:iCs/>
          <w:color w:val="000000" w:themeColor="text1"/>
          <w:sz w:val="20"/>
          <w:szCs w:val="20"/>
        </w:rPr>
        <w:t>comparación absoluta</w:t>
      </w:r>
      <w:r w:rsidRPr="0022784B">
        <w:rPr>
          <w:rFonts w:ascii="Verdana" w:hAnsi="Verdana" w:cs="Arial"/>
          <w:color w:val="000000" w:themeColor="text1"/>
          <w:sz w:val="20"/>
          <w:szCs w:val="20"/>
        </w:rPr>
        <w:t xml:space="preserve"> consiste en contrastar cada oferta con el costo estimado del bien o servicio, de acuerdo con el estudio del sector. En este caso, si se reciben menos de cinco (5) ofertas, se debe solicitar aclaración a los proponentes cuyas ofertas sean menores en un 20%, o un mayor porcentaje en relación con el costo estimado por la entidad estatal. La </w:t>
      </w:r>
      <w:r w:rsidRPr="0022784B">
        <w:rPr>
          <w:rFonts w:ascii="Verdana" w:hAnsi="Verdana" w:cs="Arial"/>
          <w:i/>
          <w:iCs/>
          <w:color w:val="000000" w:themeColor="text1"/>
          <w:sz w:val="20"/>
          <w:szCs w:val="20"/>
        </w:rPr>
        <w:t>comparación relativa</w:t>
      </w:r>
      <w:r w:rsidRPr="0022784B">
        <w:rPr>
          <w:rFonts w:ascii="Verdana" w:hAnsi="Verdana" w:cs="Arial"/>
          <w:color w:val="000000" w:themeColor="text1"/>
          <w:sz w:val="20"/>
          <w:szCs w:val="20"/>
        </w:rPr>
        <w:t xml:space="preserve"> consiste en comparar cada oferta con las demás presentadas. [...]</w:t>
      </w:r>
    </w:p>
    <w:p w14:paraId="4CE8EBF7" w14:textId="77777777" w:rsidR="00CB5936" w:rsidRPr="0022784B" w:rsidRDefault="00CB5936" w:rsidP="00CB5936">
      <w:pPr>
        <w:spacing w:after="0" w:line="240" w:lineRule="auto"/>
        <w:jc w:val="both"/>
        <w:rPr>
          <w:rFonts w:ascii="Verdana" w:eastAsia="Calibri" w:hAnsi="Verdana" w:cs="Arial"/>
          <w:sz w:val="20"/>
          <w:szCs w:val="20"/>
          <w:lang w:val="es-ES"/>
        </w:rPr>
      </w:pPr>
    </w:p>
    <w:p w14:paraId="1EB14BEF" w14:textId="77777777" w:rsidR="00CB5936" w:rsidRPr="0022784B" w:rsidRDefault="00CB5936" w:rsidP="00CB5936">
      <w:pPr>
        <w:spacing w:after="0" w:line="240" w:lineRule="auto"/>
        <w:jc w:val="both"/>
        <w:rPr>
          <w:rFonts w:ascii="Verdana" w:eastAsia="Calibri" w:hAnsi="Verdana" w:cs="Arial"/>
          <w:b/>
          <w:lang w:val="es-MX"/>
        </w:rPr>
      </w:pPr>
      <w:r w:rsidRPr="0022784B">
        <w:rPr>
          <w:rFonts w:ascii="Verdana" w:eastAsia="Calibri" w:hAnsi="Verdana" w:cs="Arial"/>
          <w:b/>
          <w:bCs/>
          <w:lang w:val="es-MX"/>
        </w:rPr>
        <w:t xml:space="preserve">GUÍA PARA EL MANEJO DE OFERTAS ARTIFICIALMENTE BAJAS </w:t>
      </w:r>
      <w:r w:rsidRPr="0022784B">
        <w:rPr>
          <w:rFonts w:ascii="Verdana" w:eastAsia="Calibri" w:hAnsi="Verdana" w:cs="Arial"/>
          <w:b/>
          <w:lang w:val="es-MX"/>
        </w:rPr>
        <w:t>– Manejo</w:t>
      </w:r>
    </w:p>
    <w:p w14:paraId="12BAC434" w14:textId="77777777" w:rsidR="00CB5936" w:rsidRPr="0022784B" w:rsidRDefault="00CB5936" w:rsidP="00CB5936">
      <w:pPr>
        <w:spacing w:after="0"/>
        <w:jc w:val="both"/>
        <w:rPr>
          <w:rFonts w:ascii="Verdana" w:eastAsia="Verdana" w:hAnsi="Verdana" w:cs="Verdana"/>
          <w:color w:val="7030A0"/>
          <w:sz w:val="20"/>
          <w:szCs w:val="20"/>
          <w:lang w:val="es-MX"/>
        </w:rPr>
      </w:pPr>
    </w:p>
    <w:p w14:paraId="2205B118" w14:textId="77777777" w:rsidR="00CB5936" w:rsidRPr="000D102B" w:rsidRDefault="00CB5936" w:rsidP="00CB5936">
      <w:pPr>
        <w:spacing w:before="120" w:line="240" w:lineRule="auto"/>
        <w:jc w:val="both"/>
        <w:rPr>
          <w:rFonts w:ascii="Verdana" w:eastAsia="Calibri" w:hAnsi="Verdana" w:cs="Arial"/>
          <w:sz w:val="20"/>
          <w:szCs w:val="20"/>
          <w:lang w:val="es-ES"/>
        </w:rPr>
      </w:pPr>
      <w:r w:rsidRPr="000D102B">
        <w:rPr>
          <w:rFonts w:ascii="Verdana" w:eastAsia="Verdana" w:hAnsi="Verdana" w:cs="Verdana"/>
          <w:sz w:val="20"/>
          <w:szCs w:val="20"/>
          <w:lang w:val="es-ES"/>
        </w:rPr>
        <w:t>[…] La</w:t>
      </w:r>
      <w:r w:rsidRPr="000D102B">
        <w:rPr>
          <w:rFonts w:ascii="Verdana" w:eastAsia="Calibri" w:hAnsi="Verdana" w:cs="Arial"/>
          <w:sz w:val="20"/>
          <w:szCs w:val="20"/>
          <w:lang w:val="es-ES"/>
        </w:rPr>
        <w:t xml:space="preserve"> Guía sugiere llevar a cabo las siguientes actuaciones: i) comparar el valor de cada oferta con el costo estimado de la provisión del bien o servicio, de acuerdo con el estudio del sector que elaboró la entidad. De todos modos, la verificación de las ofertas artificialmente bajas se puede sustentar en información adicional, como, por ejemplo, los precios de fabricantes y otros factores económicos relevantes. ii) Solicitar explicaciones a los proponentes cuyas ofertas sean menores en un 20% o más en relación con el precio estimado por la Entidad Estatal. Para tales fines, se sugiere acudir al método de </w:t>
      </w:r>
      <w:r w:rsidRPr="000D102B">
        <w:rPr>
          <w:rFonts w:ascii="Verdana" w:eastAsia="Calibri" w:hAnsi="Verdana" w:cs="Arial"/>
          <w:i/>
          <w:iCs/>
          <w:sz w:val="20"/>
          <w:szCs w:val="20"/>
          <w:lang w:val="es-ES"/>
        </w:rPr>
        <w:t>comparación absoluta</w:t>
      </w:r>
      <w:r w:rsidRPr="000D102B">
        <w:rPr>
          <w:rFonts w:ascii="Verdana" w:eastAsia="Calibri" w:hAnsi="Verdana" w:cs="Arial"/>
          <w:sz w:val="20"/>
          <w:szCs w:val="20"/>
          <w:lang w:val="es-ES"/>
        </w:rPr>
        <w:t xml:space="preserve">, previamente explicado. Por último, iii) analizar la información remitida por el proponente requerido y, con fundamento en esta, considerar el rechazo de las ofertas por la configuración de alguno de los eventos señalados en la Sección VII de la mencionada Guía. </w:t>
      </w:r>
      <w:r w:rsidRPr="000D102B">
        <w:rPr>
          <w:rStyle w:val="normaltextrun"/>
          <w:rFonts w:ascii="Verdana" w:hAnsi="Verdana" w:cs="Arial"/>
          <w:sz w:val="20"/>
          <w:szCs w:val="20"/>
          <w:shd w:val="clear" w:color="auto" w:fill="FFFFFF"/>
          <w:lang w:val="es-ES"/>
        </w:rPr>
        <w:t>Este documento se refiere a los eventos en los que el proponente omitió diligenciar algún ítem o componente de la oferta; cometió un error aritmético en la determinación del valor total de la oferta; ofreció por una unidad de medida diferente a la solicitada por la Entidad Estatal; u ofreció condiciones técnicas o de ejecución del contrato que no se ajustan a las especificaciones requeridas por la Entidad.</w:t>
      </w:r>
      <w:r w:rsidRPr="000D102B">
        <w:rPr>
          <w:rStyle w:val="eop"/>
          <w:rFonts w:ascii="Verdana" w:hAnsi="Verdana" w:cs="Arial"/>
          <w:sz w:val="20"/>
          <w:szCs w:val="20"/>
          <w:shd w:val="clear" w:color="auto" w:fill="FFFFFF"/>
        </w:rPr>
        <w:t> </w:t>
      </w:r>
      <w:r w:rsidRPr="000D102B">
        <w:rPr>
          <w:rFonts w:ascii="Verdana" w:eastAsia="Calibri" w:hAnsi="Verdana" w:cs="Arial"/>
          <w:sz w:val="20"/>
          <w:szCs w:val="20"/>
          <w:lang w:val="es-ES"/>
        </w:rPr>
        <w:t xml:space="preserve"> </w:t>
      </w:r>
    </w:p>
    <w:p w14:paraId="4F67B405" w14:textId="77777777" w:rsidR="00CB5936" w:rsidRPr="000D102B" w:rsidRDefault="00CB5936" w:rsidP="00CB5936">
      <w:pPr>
        <w:spacing w:before="120" w:line="240" w:lineRule="auto"/>
        <w:jc w:val="both"/>
        <w:rPr>
          <w:rFonts w:ascii="Verdana" w:hAnsi="Verdana" w:cs="Arial"/>
          <w:sz w:val="20"/>
          <w:szCs w:val="20"/>
        </w:rPr>
      </w:pPr>
      <w:r w:rsidRPr="000D102B">
        <w:rPr>
          <w:rFonts w:ascii="Verdana" w:hAnsi="Verdana" w:cs="Arial"/>
          <w:sz w:val="20"/>
          <w:szCs w:val="20"/>
        </w:rPr>
        <w:t>Una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la misma en el proceso de evaluación de ofertas. […]</w:t>
      </w:r>
    </w:p>
    <w:p w14:paraId="5871F689" w14:textId="77777777" w:rsidR="00CB5936" w:rsidRDefault="00CB5936" w:rsidP="00CB5936">
      <w:pPr>
        <w:spacing w:before="120" w:line="240" w:lineRule="auto"/>
        <w:jc w:val="both"/>
        <w:rPr>
          <w:rFonts w:ascii="Verdana" w:hAnsi="Verdana" w:cs="Arial"/>
          <w:color w:val="000000" w:themeColor="text1"/>
        </w:rPr>
      </w:pPr>
    </w:p>
    <w:p w14:paraId="537772DF" w14:textId="77777777" w:rsidR="000D102B" w:rsidRDefault="000D102B" w:rsidP="00CB5936">
      <w:pPr>
        <w:spacing w:before="120" w:line="240" w:lineRule="auto"/>
        <w:jc w:val="both"/>
        <w:rPr>
          <w:rFonts w:ascii="Verdana" w:hAnsi="Verdana" w:cs="Arial"/>
          <w:color w:val="000000" w:themeColor="text1"/>
        </w:rPr>
      </w:pPr>
    </w:p>
    <w:p w14:paraId="231FE3AA" w14:textId="77777777" w:rsidR="000D102B" w:rsidRPr="0022784B" w:rsidRDefault="000D102B" w:rsidP="00CB5936">
      <w:pPr>
        <w:spacing w:before="120" w:line="240" w:lineRule="auto"/>
        <w:jc w:val="both"/>
        <w:rPr>
          <w:rFonts w:ascii="Verdana" w:hAnsi="Verdana" w:cs="Arial"/>
          <w:color w:val="000000" w:themeColor="text1"/>
        </w:rPr>
      </w:pPr>
    </w:p>
    <w:p w14:paraId="270BD3FE" w14:textId="77777777" w:rsidR="00CB5936" w:rsidRPr="0022784B" w:rsidRDefault="00CB5936" w:rsidP="00CB5936">
      <w:pPr>
        <w:spacing w:before="120" w:line="240" w:lineRule="auto"/>
        <w:jc w:val="both"/>
        <w:rPr>
          <w:rFonts w:ascii="Verdana" w:hAnsi="Verdana" w:cs="Arial"/>
          <w:color w:val="000000" w:themeColor="text1"/>
        </w:rPr>
      </w:pPr>
    </w:p>
    <w:p w14:paraId="0BD0722C" w14:textId="1A3ABE50" w:rsidR="00CB5936" w:rsidRPr="0022784B" w:rsidRDefault="00CB5936" w:rsidP="00CB5936">
      <w:pPr>
        <w:spacing w:after="0"/>
        <w:rPr>
          <w:rFonts w:ascii="Verdana" w:hAnsi="Verdana"/>
        </w:rPr>
      </w:pPr>
      <w:r w:rsidRPr="0022784B">
        <w:rPr>
          <w:rFonts w:ascii="Verdana" w:hAnsi="Verdana"/>
        </w:rPr>
        <w:t xml:space="preserve">Bogotá D.C., </w:t>
      </w:r>
      <w:r w:rsidR="00236E37">
        <w:rPr>
          <w:rFonts w:ascii="Verdana" w:hAnsi="Verdana"/>
        </w:rPr>
        <w:t>14 Mayo 2026</w:t>
      </w:r>
    </w:p>
    <w:p w14:paraId="56B8AC9E" w14:textId="77777777" w:rsidR="00CB5936" w:rsidRPr="0022784B" w:rsidRDefault="00CB5936" w:rsidP="00CB5936">
      <w:pPr>
        <w:spacing w:after="0"/>
        <w:rPr>
          <w:rFonts w:ascii="Verdana" w:hAnsi="Verdana"/>
          <w:lang w:val="es-ES"/>
        </w:rPr>
      </w:pPr>
    </w:p>
    <w:p w14:paraId="05C310CE" w14:textId="17583FD4" w:rsidR="00CB5936" w:rsidRPr="0022784B" w:rsidRDefault="00E17C83" w:rsidP="00CB5936">
      <w:pPr>
        <w:spacing w:after="0" w:line="240" w:lineRule="auto"/>
        <w:rPr>
          <w:rFonts w:ascii="Verdana" w:hAnsi="Verdana"/>
          <w:lang w:val="es-ES"/>
        </w:rPr>
      </w:pPr>
      <w:r w:rsidRPr="00AB5B37">
        <w:rPr>
          <w:rFonts w:ascii="Verdana" w:eastAsia="Calibri" w:hAnsi="Verdana" w:cs="Arial"/>
          <w:b/>
          <w:bCs/>
          <w:lang w:eastAsia="es-ES"/>
        </w:rPr>
        <w:drawing>
          <wp:anchor distT="0" distB="0" distL="114300" distR="114300" simplePos="0" relativeHeight="251660288" behindDoc="1" locked="0" layoutInCell="1" allowOverlap="1" wp14:anchorId="2740454E" wp14:editId="00C2FDCA">
            <wp:simplePos x="0" y="0"/>
            <wp:positionH relativeFrom="margin">
              <wp:align>right</wp:align>
            </wp:positionH>
            <wp:positionV relativeFrom="paragraph">
              <wp:posOffset>10160</wp:posOffset>
            </wp:positionV>
            <wp:extent cx="2350920" cy="652316"/>
            <wp:effectExtent l="0" t="0" r="0" b="0"/>
            <wp:wrapNone/>
            <wp:docPr id="7766018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01839" name=""/>
                    <pic:cNvPicPr/>
                  </pic:nvPicPr>
                  <pic:blipFill>
                    <a:blip r:embed="rId10">
                      <a:extLst>
                        <a:ext uri="{28A0092B-C50C-407E-A947-70E740481C1C}">
                          <a14:useLocalDpi xmlns:a14="http://schemas.microsoft.com/office/drawing/2010/main" val="0"/>
                        </a:ext>
                      </a:extLst>
                    </a:blip>
                    <a:stretch>
                      <a:fillRect/>
                    </a:stretch>
                  </pic:blipFill>
                  <pic:spPr>
                    <a:xfrm>
                      <a:off x="0" y="0"/>
                      <a:ext cx="2350920" cy="652316"/>
                    </a:xfrm>
                    <a:prstGeom prst="rect">
                      <a:avLst/>
                    </a:prstGeom>
                  </pic:spPr>
                </pic:pic>
              </a:graphicData>
            </a:graphic>
            <wp14:sizeRelH relativeFrom="margin">
              <wp14:pctWidth>0</wp14:pctWidth>
            </wp14:sizeRelH>
            <wp14:sizeRelV relativeFrom="margin">
              <wp14:pctHeight>0</wp14:pctHeight>
            </wp14:sizeRelV>
          </wp:anchor>
        </w:drawing>
      </w:r>
      <w:r w:rsidR="00CB5936" w:rsidRPr="0022784B">
        <w:rPr>
          <w:rFonts w:ascii="Verdana" w:eastAsia="Calibri" w:hAnsi="Verdana" w:cs="Arial"/>
          <w:lang w:val="es-ES" w:eastAsia="es-ES"/>
        </w:rPr>
        <w:t>Señor</w:t>
      </w:r>
    </w:p>
    <w:p w14:paraId="2768556D" w14:textId="792EE6C6" w:rsidR="00CB5936" w:rsidRPr="0022784B" w:rsidRDefault="00CB5936" w:rsidP="00CB5936">
      <w:pPr>
        <w:spacing w:after="0"/>
        <w:rPr>
          <w:rFonts w:ascii="Verdana" w:eastAsia="Calibri" w:hAnsi="Verdana" w:cs="Arial"/>
          <w:b/>
          <w:bCs/>
          <w:lang w:eastAsia="es-ES"/>
        </w:rPr>
      </w:pPr>
      <w:r w:rsidRPr="0022784B">
        <w:rPr>
          <w:rFonts w:ascii="Verdana" w:eastAsia="Calibri" w:hAnsi="Verdana" w:cs="Arial"/>
          <w:b/>
          <w:bCs/>
          <w:lang w:eastAsia="es-ES"/>
        </w:rPr>
        <w:t>Daniel Leonardo Mayorga Harker</w:t>
      </w:r>
    </w:p>
    <w:p w14:paraId="68A1FEFA" w14:textId="77777777" w:rsidR="00CB5936" w:rsidRPr="0022784B" w:rsidRDefault="00CB5936" w:rsidP="00CB5936">
      <w:pPr>
        <w:spacing w:after="0"/>
        <w:rPr>
          <w:rFonts w:ascii="Verdana" w:eastAsia="Calibri" w:hAnsi="Verdana" w:cs="Arial"/>
          <w:lang w:eastAsia="es-ES"/>
        </w:rPr>
      </w:pPr>
      <w:r w:rsidRPr="0022784B">
        <w:rPr>
          <w:rFonts w:ascii="Verdana" w:eastAsia="Calibri" w:hAnsi="Verdana" w:cs="Arial"/>
          <w:lang w:eastAsia="es-ES"/>
        </w:rPr>
        <w:t>Representante Legal</w:t>
      </w:r>
    </w:p>
    <w:p w14:paraId="29BFA87E" w14:textId="77777777" w:rsidR="00CB5936" w:rsidRPr="0022784B" w:rsidRDefault="00CB5936" w:rsidP="00CB5936">
      <w:pPr>
        <w:spacing w:after="0"/>
        <w:rPr>
          <w:rFonts w:ascii="Verdana" w:eastAsia="Calibri" w:hAnsi="Verdana" w:cs="Arial"/>
          <w:lang w:eastAsia="es-ES"/>
        </w:rPr>
      </w:pPr>
      <w:r w:rsidRPr="0022784B">
        <w:rPr>
          <w:rFonts w:ascii="Verdana" w:eastAsia="Calibri" w:hAnsi="Verdana" w:cs="Arial"/>
          <w:lang w:eastAsia="es-ES"/>
        </w:rPr>
        <w:t>Gestión Estratégica BPO S.A.S</w:t>
      </w:r>
    </w:p>
    <w:p w14:paraId="38AFC44A" w14:textId="77777777" w:rsidR="00CB5936" w:rsidRPr="0022784B" w:rsidRDefault="00CB5936" w:rsidP="00CB5936">
      <w:pPr>
        <w:spacing w:after="0"/>
        <w:rPr>
          <w:rFonts w:ascii="Verdana" w:eastAsia="Calibri" w:hAnsi="Verdana" w:cs="Arial"/>
          <w:color w:val="7030A0"/>
          <w:lang w:eastAsia="es-ES"/>
        </w:rPr>
      </w:pPr>
      <w:hyperlink r:id="rId11" w:history="1">
        <w:r w:rsidRPr="0022784B">
          <w:rPr>
            <w:rStyle w:val="Hipervnculo"/>
            <w:rFonts w:ascii="Verdana" w:hAnsi="Verdana"/>
          </w:rPr>
          <w:t>mayorgaharker@gmail.com</w:t>
        </w:r>
      </w:hyperlink>
      <w:r w:rsidRPr="0022784B">
        <w:rPr>
          <w:rFonts w:ascii="Verdana" w:hAnsi="Verdana"/>
          <w:color w:val="7030A0"/>
        </w:rPr>
        <w:t xml:space="preserve"> </w:t>
      </w:r>
    </w:p>
    <w:p w14:paraId="4A0A0E8B" w14:textId="77777777" w:rsidR="00CB5936" w:rsidRPr="0022784B" w:rsidRDefault="00CB5936" w:rsidP="00CB5936">
      <w:pPr>
        <w:spacing w:after="0"/>
        <w:rPr>
          <w:rFonts w:ascii="Verdana" w:eastAsia="Calibri" w:hAnsi="Verdana" w:cs="Arial"/>
          <w:lang w:eastAsia="es-ES"/>
        </w:rPr>
      </w:pPr>
      <w:r w:rsidRPr="0022784B">
        <w:rPr>
          <w:rFonts w:ascii="Verdana" w:eastAsia="Calibri" w:hAnsi="Verdana" w:cs="Arial"/>
          <w:lang w:eastAsia="es-ES"/>
        </w:rPr>
        <w:t>Bogotá D.C</w:t>
      </w:r>
    </w:p>
    <w:p w14:paraId="7EDCC528" w14:textId="77777777" w:rsidR="00CB5936" w:rsidRPr="0022784B" w:rsidRDefault="00CB5936" w:rsidP="00CB5936">
      <w:pPr>
        <w:spacing w:after="0"/>
        <w:rPr>
          <w:rFonts w:ascii="Verdana" w:eastAsia="Calibri" w:hAnsi="Verdana" w:cs="Arial"/>
          <w:color w:val="7030A0"/>
          <w:lang w:val="es-ES" w:eastAsia="es-ES"/>
        </w:rPr>
      </w:pPr>
    </w:p>
    <w:p w14:paraId="7684877D" w14:textId="77777777" w:rsidR="00CB5936" w:rsidRPr="0022784B" w:rsidRDefault="00CB5936" w:rsidP="00CB5936">
      <w:pPr>
        <w:spacing w:after="0" w:line="240" w:lineRule="auto"/>
        <w:rPr>
          <w:rFonts w:ascii="Verdana" w:eastAsia="Calibri" w:hAnsi="Verdana" w:cs="Arial"/>
          <w:b/>
          <w:bCs/>
          <w:color w:val="7030A0"/>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CB5936" w:rsidRPr="0022784B" w14:paraId="46587AB0" w14:textId="77777777" w:rsidTr="00D567FF">
        <w:trPr>
          <w:trHeight w:val="300"/>
        </w:trPr>
        <w:tc>
          <w:tcPr>
            <w:tcW w:w="2410" w:type="dxa"/>
          </w:tcPr>
          <w:p w14:paraId="554EBF45" w14:textId="77777777" w:rsidR="00CB5936" w:rsidRPr="0022784B" w:rsidRDefault="00CB5936" w:rsidP="00D567FF">
            <w:pPr>
              <w:ind w:left="-142"/>
              <w:jc w:val="both"/>
              <w:rPr>
                <w:rFonts w:ascii="Verdana" w:eastAsia="Calibri" w:hAnsi="Verdana" w:cs="Arial"/>
                <w:b/>
                <w:bCs/>
                <w:lang w:val="es-ES" w:eastAsia="es-ES_tradnl"/>
              </w:rPr>
            </w:pPr>
          </w:p>
        </w:tc>
        <w:tc>
          <w:tcPr>
            <w:tcW w:w="6100" w:type="dxa"/>
          </w:tcPr>
          <w:p w14:paraId="490C9375" w14:textId="77777777" w:rsidR="00CB5936" w:rsidRPr="0022784B" w:rsidRDefault="00CB5936" w:rsidP="00D567FF">
            <w:pPr>
              <w:ind w:left="3"/>
              <w:jc w:val="both"/>
              <w:rPr>
                <w:rFonts w:ascii="Verdana" w:eastAsia="Calibri" w:hAnsi="Verdana" w:cs="Arial"/>
                <w:b/>
                <w:bCs/>
                <w:lang w:val="es-ES" w:eastAsia="es-ES"/>
              </w:rPr>
            </w:pPr>
            <w:r w:rsidRPr="0022784B">
              <w:rPr>
                <w:rFonts w:ascii="Verdana" w:eastAsia="Calibri" w:hAnsi="Verdana" w:cs="Arial"/>
                <w:b/>
                <w:bCs/>
                <w:lang w:val="es-ES" w:eastAsia="es-ES"/>
              </w:rPr>
              <w:t>Concepto C-533 de 2026</w:t>
            </w:r>
          </w:p>
          <w:p w14:paraId="0281BDBC" w14:textId="77777777" w:rsidR="00CB5936" w:rsidRPr="0022784B" w:rsidRDefault="00CB5936" w:rsidP="00D567FF">
            <w:pPr>
              <w:ind w:left="3"/>
              <w:jc w:val="both"/>
              <w:rPr>
                <w:rFonts w:ascii="Verdana" w:eastAsia="Calibri" w:hAnsi="Verdana" w:cs="Arial"/>
                <w:b/>
                <w:bCs/>
                <w:lang w:val="es-ES" w:eastAsia="es-ES"/>
              </w:rPr>
            </w:pPr>
          </w:p>
        </w:tc>
      </w:tr>
      <w:tr w:rsidR="00CB5936" w:rsidRPr="0022784B" w14:paraId="07C3084D" w14:textId="77777777" w:rsidTr="00D567FF">
        <w:trPr>
          <w:trHeight w:val="300"/>
        </w:trPr>
        <w:tc>
          <w:tcPr>
            <w:tcW w:w="2410" w:type="dxa"/>
          </w:tcPr>
          <w:p w14:paraId="4B677DEB" w14:textId="77777777" w:rsidR="00CB5936" w:rsidRPr="0022784B" w:rsidRDefault="00CB5936" w:rsidP="00D567FF">
            <w:pPr>
              <w:ind w:left="424" w:firstLine="137"/>
              <w:jc w:val="both"/>
              <w:rPr>
                <w:rFonts w:ascii="Verdana" w:eastAsia="Calibri" w:hAnsi="Verdana" w:cs="Arial"/>
                <w:color w:val="7030A0"/>
                <w:lang w:val="es-ES" w:eastAsia="es-ES_tradnl"/>
              </w:rPr>
            </w:pPr>
            <w:r w:rsidRPr="0022784B">
              <w:rPr>
                <w:rFonts w:ascii="Verdana" w:eastAsia="Calibri" w:hAnsi="Verdana" w:cs="Arial"/>
                <w:b/>
                <w:lang w:val="es-ES" w:eastAsia="es-ES_tradnl"/>
              </w:rPr>
              <w:t>Temas:</w:t>
            </w:r>
            <w:r w:rsidRPr="0022784B">
              <w:rPr>
                <w:rFonts w:ascii="Verdana" w:eastAsia="Calibri" w:hAnsi="Verdana" w:cs="Arial"/>
                <w:lang w:val="es-ES" w:eastAsia="es-ES_tradnl"/>
              </w:rPr>
              <w:t xml:space="preserve">                  </w:t>
            </w:r>
          </w:p>
        </w:tc>
        <w:tc>
          <w:tcPr>
            <w:tcW w:w="6100" w:type="dxa"/>
          </w:tcPr>
          <w:p w14:paraId="5C5671E4" w14:textId="77777777" w:rsidR="00CB5936" w:rsidRPr="0022784B" w:rsidRDefault="00CB5936" w:rsidP="00D567FF">
            <w:pPr>
              <w:jc w:val="both"/>
              <w:rPr>
                <w:rFonts w:ascii="Verdana" w:eastAsia="Calibri" w:hAnsi="Verdana" w:cs="Arial"/>
                <w:b/>
                <w:lang w:val="es-MX"/>
              </w:rPr>
            </w:pPr>
            <w:r w:rsidRPr="0022784B">
              <w:rPr>
                <w:rFonts w:ascii="Verdana" w:eastAsia="Calibri" w:hAnsi="Verdana" w:cs="Arial"/>
                <w:lang w:val="es-MX"/>
              </w:rPr>
              <w:t xml:space="preserve">PRECIOS ARTIFICIALMENTE BAJOS – Noción / PRECIOS ARTIFICIALMENTE BAJOS – </w:t>
            </w:r>
            <w:r w:rsidRPr="0022784B">
              <w:rPr>
                <w:rFonts w:ascii="Verdana" w:eastAsia="Arial" w:hAnsi="Verdana" w:cs="Arial"/>
                <w:lang w:val="es-ES" w:eastAsia="es-ES" w:bidi="es-ES"/>
              </w:rPr>
              <w:t xml:space="preserve">Decreto 1082 de 2015 - Artículo 2.2.1.1.2.2.4 / </w:t>
            </w:r>
            <w:r w:rsidRPr="0022784B">
              <w:rPr>
                <w:rFonts w:ascii="Verdana" w:eastAsia="Calibri" w:hAnsi="Verdana" w:cs="Arial"/>
                <w:lang w:val="es-MX"/>
              </w:rPr>
              <w:t>GUÍA PARA EL MANEJO DE OFERTAS ARTIFICIALMENTE BAJAS – Identificación /</w:t>
            </w:r>
            <w:r w:rsidRPr="0022784B">
              <w:rPr>
                <w:rFonts w:ascii="Verdana" w:eastAsia="Calibri" w:hAnsi="Verdana" w:cs="Arial"/>
                <w:b/>
                <w:bCs/>
                <w:lang w:val="es-MX"/>
              </w:rPr>
              <w:t xml:space="preserve"> </w:t>
            </w:r>
            <w:r w:rsidRPr="0022784B">
              <w:rPr>
                <w:rFonts w:ascii="Verdana" w:eastAsia="Calibri" w:hAnsi="Verdana" w:cs="Arial"/>
                <w:lang w:val="es-MX"/>
              </w:rPr>
              <w:t>GUÍA PARA EL MANEJO DE OFERTAS ARTIFICIALMENTE BAJAS – Manejo</w:t>
            </w:r>
          </w:p>
          <w:p w14:paraId="7B5C29A4" w14:textId="77777777" w:rsidR="00CB5936" w:rsidRPr="0022784B" w:rsidRDefault="00CB5936" w:rsidP="00D567FF">
            <w:pPr>
              <w:jc w:val="both"/>
              <w:rPr>
                <w:rFonts w:ascii="Verdana" w:eastAsia="Calibri" w:hAnsi="Verdana" w:cs="Arial"/>
                <w:lang w:val="es-MX"/>
              </w:rPr>
            </w:pPr>
          </w:p>
          <w:p w14:paraId="19B67569" w14:textId="77777777" w:rsidR="00CB5936" w:rsidRPr="0022784B" w:rsidRDefault="00CB5936" w:rsidP="00D567FF">
            <w:pPr>
              <w:jc w:val="both"/>
              <w:rPr>
                <w:rFonts w:ascii="Verdana" w:hAnsi="Verdana"/>
                <w:color w:val="7030A0"/>
                <w:lang w:val="es-ES"/>
              </w:rPr>
            </w:pPr>
          </w:p>
        </w:tc>
      </w:tr>
      <w:tr w:rsidR="00CB5936" w:rsidRPr="0022784B" w14:paraId="223826C8" w14:textId="77777777" w:rsidTr="00D567FF">
        <w:trPr>
          <w:trHeight w:val="80"/>
        </w:trPr>
        <w:tc>
          <w:tcPr>
            <w:tcW w:w="2410" w:type="dxa"/>
          </w:tcPr>
          <w:p w14:paraId="60222C91" w14:textId="77777777" w:rsidR="00CB5936" w:rsidRPr="0022784B" w:rsidRDefault="00CB5936" w:rsidP="00D567FF">
            <w:pPr>
              <w:ind w:left="561"/>
              <w:jc w:val="both"/>
              <w:rPr>
                <w:rFonts w:ascii="Verdana" w:eastAsia="Calibri" w:hAnsi="Verdana" w:cs="Arial"/>
                <w:b/>
                <w:lang w:val="es-ES" w:eastAsia="es-ES_tradnl"/>
              </w:rPr>
            </w:pPr>
            <w:r w:rsidRPr="0022784B">
              <w:rPr>
                <w:rFonts w:ascii="Verdana" w:eastAsia="Calibri" w:hAnsi="Verdana" w:cs="Arial"/>
                <w:b/>
                <w:lang w:val="es-ES" w:eastAsia="es-ES_tradnl"/>
              </w:rPr>
              <w:t>Radicación:</w:t>
            </w:r>
            <w:r w:rsidRPr="0022784B">
              <w:rPr>
                <w:rFonts w:ascii="Verdana" w:eastAsia="Calibri" w:hAnsi="Verdana" w:cs="Arial"/>
                <w:lang w:val="es-ES" w:eastAsia="es-ES_tradnl"/>
              </w:rPr>
              <w:t xml:space="preserve">              </w:t>
            </w:r>
          </w:p>
        </w:tc>
        <w:tc>
          <w:tcPr>
            <w:tcW w:w="6100" w:type="dxa"/>
          </w:tcPr>
          <w:p w14:paraId="1A14922A" w14:textId="77777777" w:rsidR="00CB5936" w:rsidRPr="0022784B" w:rsidRDefault="00CB5936" w:rsidP="00D567FF">
            <w:pPr>
              <w:ind w:left="3"/>
              <w:jc w:val="both"/>
              <w:rPr>
                <w:rFonts w:ascii="Verdana" w:hAnsi="Verdana"/>
                <w:lang w:val="es-ES"/>
              </w:rPr>
            </w:pPr>
            <w:r w:rsidRPr="0022784B">
              <w:rPr>
                <w:rFonts w:ascii="Verdana" w:eastAsia="Calibri" w:hAnsi="Verdana" w:cs="Arial"/>
                <w:lang w:val="es-ES" w:eastAsia="es-ES"/>
              </w:rPr>
              <w:t>Respuesta a consulta con radicado No. 1_2026_03_31_004450</w:t>
            </w:r>
          </w:p>
        </w:tc>
      </w:tr>
    </w:tbl>
    <w:p w14:paraId="5F34921C" w14:textId="77777777" w:rsidR="00CB5936" w:rsidRPr="0022784B" w:rsidRDefault="00CB5936" w:rsidP="00CB5936">
      <w:pPr>
        <w:spacing w:after="0" w:line="276" w:lineRule="auto"/>
        <w:jc w:val="both"/>
        <w:rPr>
          <w:rFonts w:ascii="Verdana" w:eastAsia="Calibri" w:hAnsi="Verdana" w:cs="Arial"/>
          <w:color w:val="7030A0"/>
          <w:lang w:val="es-ES" w:eastAsia="es-ES"/>
        </w:rPr>
      </w:pPr>
    </w:p>
    <w:p w14:paraId="7ED612A3" w14:textId="77777777" w:rsidR="00CB5936" w:rsidRPr="0022784B" w:rsidRDefault="00CB5936" w:rsidP="00CB5936">
      <w:pPr>
        <w:spacing w:after="0" w:line="276" w:lineRule="auto"/>
        <w:jc w:val="both"/>
        <w:rPr>
          <w:rFonts w:ascii="Verdana" w:eastAsia="Calibri" w:hAnsi="Verdana" w:cs="Arial"/>
          <w:lang w:val="es-ES" w:eastAsia="es-ES"/>
        </w:rPr>
      </w:pPr>
    </w:p>
    <w:p w14:paraId="7595E894" w14:textId="77777777" w:rsidR="00CB5936" w:rsidRPr="0022784B" w:rsidRDefault="00CB5936" w:rsidP="00CB5936">
      <w:pPr>
        <w:spacing w:after="0" w:line="276" w:lineRule="auto"/>
        <w:jc w:val="both"/>
        <w:rPr>
          <w:rFonts w:ascii="Verdana" w:eastAsia="Calibri" w:hAnsi="Verdana" w:cs="Arial"/>
          <w:lang w:val="es-ES" w:eastAsia="es-ES"/>
        </w:rPr>
      </w:pPr>
      <w:r w:rsidRPr="0022784B">
        <w:rPr>
          <w:rFonts w:ascii="Verdana" w:eastAsia="Calibri" w:hAnsi="Verdana" w:cs="Arial"/>
          <w:lang w:val="es-ES" w:eastAsia="es-ES"/>
        </w:rPr>
        <w:t>Estimado señor Mayorga,</w:t>
      </w:r>
    </w:p>
    <w:p w14:paraId="13086F3A" w14:textId="77777777" w:rsidR="00CB5936" w:rsidRPr="0022784B" w:rsidRDefault="00CB5936" w:rsidP="00CB5936">
      <w:pPr>
        <w:spacing w:after="0" w:line="276" w:lineRule="auto"/>
        <w:jc w:val="both"/>
        <w:rPr>
          <w:rFonts w:ascii="Verdana" w:eastAsia="Calibri" w:hAnsi="Verdana" w:cs="Arial"/>
          <w:lang w:val="es-ES" w:eastAsia="es-ES"/>
        </w:rPr>
      </w:pPr>
      <w:r w:rsidRPr="0022784B">
        <w:rPr>
          <w:rFonts w:ascii="Verdana" w:eastAsia="Calibri" w:hAnsi="Verdana" w:cs="Arial"/>
          <w:lang w:val="es-ES" w:eastAsia="es-ES"/>
        </w:rPr>
        <w:t xml:space="preserve"> </w:t>
      </w:r>
    </w:p>
    <w:p w14:paraId="459FC87B" w14:textId="77777777" w:rsidR="00CB5936" w:rsidRPr="0022784B" w:rsidRDefault="00CB5936" w:rsidP="00CB5936">
      <w:pPr>
        <w:tabs>
          <w:tab w:val="left" w:pos="3768"/>
        </w:tabs>
        <w:spacing w:after="0" w:line="276" w:lineRule="auto"/>
        <w:jc w:val="both"/>
        <w:rPr>
          <w:rFonts w:ascii="Verdana" w:eastAsia="Calibri" w:hAnsi="Verdana" w:cs="Arial"/>
          <w:lang w:eastAsia="es-ES"/>
        </w:rPr>
      </w:pPr>
      <w:r w:rsidRPr="0022784B">
        <w:rPr>
          <w:rFonts w:ascii="Verdana" w:eastAsia="Calibri" w:hAnsi="Verdana" w:cs="Arial"/>
          <w:lang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31 de marzo de 2026, en la cual manifiesta lo siguiente: </w:t>
      </w:r>
    </w:p>
    <w:p w14:paraId="1DDAEA4E" w14:textId="77777777" w:rsidR="00CB5936" w:rsidRPr="0022784B" w:rsidRDefault="00CB5936" w:rsidP="00CB5936">
      <w:pPr>
        <w:tabs>
          <w:tab w:val="left" w:pos="142"/>
          <w:tab w:val="left" w:pos="284"/>
        </w:tabs>
        <w:spacing w:after="0" w:line="276" w:lineRule="auto"/>
        <w:contextualSpacing/>
        <w:jc w:val="both"/>
        <w:rPr>
          <w:rFonts w:ascii="Verdana" w:eastAsia="Century Gothic" w:hAnsi="Verdana" w:cs="Century Gothic"/>
          <w:b/>
          <w:bCs/>
        </w:rPr>
      </w:pPr>
    </w:p>
    <w:p w14:paraId="725B8115" w14:textId="77777777" w:rsidR="00CB5936" w:rsidRPr="0022784B" w:rsidRDefault="00CB5936" w:rsidP="00CB5936">
      <w:pPr>
        <w:spacing w:after="0" w:line="240" w:lineRule="auto"/>
        <w:ind w:left="709" w:right="709"/>
        <w:jc w:val="both"/>
        <w:rPr>
          <w:rFonts w:ascii="Verdana" w:eastAsia="Calibri" w:hAnsi="Verdana" w:cs="Arial"/>
          <w:sz w:val="20"/>
          <w:szCs w:val="20"/>
          <w:lang w:eastAsia="es-ES"/>
        </w:rPr>
      </w:pPr>
      <w:r w:rsidRPr="0022784B">
        <w:rPr>
          <w:rFonts w:ascii="Verdana" w:eastAsia="Century Gothic" w:hAnsi="Verdana" w:cs="Century Gothic"/>
          <w:i/>
          <w:iCs/>
          <w:sz w:val="20"/>
          <w:szCs w:val="20"/>
          <w:lang w:val="es-ES"/>
        </w:rPr>
        <w:t>“</w:t>
      </w:r>
      <w:r w:rsidRPr="0022784B">
        <w:rPr>
          <w:rFonts w:ascii="Verdana" w:eastAsia="Calibri" w:hAnsi="Verdana" w:cs="Arial"/>
          <w:sz w:val="20"/>
          <w:szCs w:val="20"/>
          <w:lang w:eastAsia="es-ES"/>
        </w:rPr>
        <w:t>[…] En este contexto, respetuosamente solicitamos a esa Agencia se sirva conceptuar sobre los siguientes aspectos:</w:t>
      </w:r>
    </w:p>
    <w:p w14:paraId="3B73FF29" w14:textId="77777777" w:rsidR="00CB5936" w:rsidRPr="0022784B" w:rsidRDefault="00CB5936" w:rsidP="00CB5936">
      <w:pPr>
        <w:spacing w:after="0" w:line="240" w:lineRule="auto"/>
        <w:ind w:left="709" w:right="709"/>
        <w:jc w:val="both"/>
        <w:rPr>
          <w:rFonts w:ascii="Verdana" w:eastAsia="Calibri" w:hAnsi="Verdana" w:cs="Arial"/>
          <w:sz w:val="20"/>
          <w:szCs w:val="20"/>
          <w:lang w:eastAsia="es-ES"/>
        </w:rPr>
      </w:pPr>
    </w:p>
    <w:p w14:paraId="6C109D89" w14:textId="77777777" w:rsidR="00CB5936" w:rsidRPr="0022784B" w:rsidRDefault="00CB5936" w:rsidP="00CB5936">
      <w:pPr>
        <w:pStyle w:val="Prrafodelista"/>
        <w:numPr>
          <w:ilvl w:val="0"/>
          <w:numId w:val="17"/>
        </w:numPr>
        <w:spacing w:after="0" w:line="240" w:lineRule="auto"/>
        <w:ind w:left="993" w:right="709" w:hanging="284"/>
        <w:jc w:val="both"/>
        <w:rPr>
          <w:rFonts w:ascii="Verdana" w:eastAsia="Calibri" w:hAnsi="Verdana" w:cs="Arial"/>
          <w:sz w:val="20"/>
          <w:szCs w:val="20"/>
          <w:lang w:eastAsia="es-ES"/>
        </w:rPr>
      </w:pPr>
      <w:r w:rsidRPr="0022784B">
        <w:rPr>
          <w:rFonts w:ascii="Verdana" w:eastAsia="Calibri" w:hAnsi="Verdana" w:cs="Arial"/>
          <w:sz w:val="20"/>
          <w:szCs w:val="20"/>
          <w:lang w:eastAsia="es-ES"/>
        </w:rPr>
        <w:t xml:space="preserve">La oportunidad procedimental adecuada para solicitar la justificación de presuntos precios artificialmente bajos dentro de los procesos de contratación estatal, particularmente en mínima cuantía. </w:t>
      </w:r>
    </w:p>
    <w:p w14:paraId="54788236" w14:textId="77777777" w:rsidR="00CB5936" w:rsidRPr="0022784B" w:rsidRDefault="00CB5936" w:rsidP="00CB5936">
      <w:pPr>
        <w:pStyle w:val="Prrafodelista"/>
        <w:spacing w:after="0" w:line="240" w:lineRule="auto"/>
        <w:ind w:left="993" w:right="709"/>
        <w:jc w:val="both"/>
        <w:rPr>
          <w:rFonts w:ascii="Verdana" w:eastAsia="Calibri" w:hAnsi="Verdana" w:cs="Arial"/>
          <w:sz w:val="20"/>
          <w:szCs w:val="20"/>
          <w:lang w:eastAsia="es-ES"/>
        </w:rPr>
      </w:pPr>
    </w:p>
    <w:p w14:paraId="2E282BC2" w14:textId="77777777" w:rsidR="00CB5936" w:rsidRPr="0022784B" w:rsidRDefault="00CB5936" w:rsidP="00CB5936">
      <w:pPr>
        <w:pStyle w:val="Prrafodelista"/>
        <w:numPr>
          <w:ilvl w:val="0"/>
          <w:numId w:val="17"/>
        </w:numPr>
        <w:spacing w:after="0" w:line="240" w:lineRule="auto"/>
        <w:ind w:left="993" w:right="709" w:hanging="284"/>
        <w:jc w:val="both"/>
        <w:rPr>
          <w:rFonts w:ascii="Verdana" w:eastAsia="Calibri" w:hAnsi="Verdana" w:cs="Arial"/>
          <w:sz w:val="20"/>
          <w:szCs w:val="20"/>
          <w:lang w:eastAsia="es-ES"/>
        </w:rPr>
      </w:pPr>
      <w:r w:rsidRPr="0022784B">
        <w:rPr>
          <w:rFonts w:ascii="Verdana" w:hAnsi="Verdana"/>
          <w:sz w:val="20"/>
          <w:szCs w:val="20"/>
        </w:rPr>
        <w:t xml:space="preserve">Si resulta procedente que las entidades fijen términos perentorios para atender estos requerimientos que no hayan sido previamente establecidos en la invitación o en el cronograma del proceso. </w:t>
      </w:r>
    </w:p>
    <w:p w14:paraId="562378A8" w14:textId="77777777" w:rsidR="00CB5936" w:rsidRPr="0022784B" w:rsidRDefault="00CB5936" w:rsidP="00CB5936">
      <w:pPr>
        <w:pStyle w:val="Prrafodelista"/>
        <w:spacing w:after="0" w:line="240" w:lineRule="auto"/>
        <w:ind w:left="993" w:right="709"/>
        <w:jc w:val="both"/>
        <w:rPr>
          <w:rFonts w:ascii="Verdana" w:eastAsia="Calibri" w:hAnsi="Verdana" w:cs="Arial"/>
          <w:sz w:val="20"/>
          <w:szCs w:val="20"/>
          <w:lang w:eastAsia="es-ES"/>
        </w:rPr>
      </w:pPr>
    </w:p>
    <w:p w14:paraId="29D8B44D" w14:textId="77777777" w:rsidR="00CB5936" w:rsidRPr="0022784B" w:rsidRDefault="00CB5936" w:rsidP="00CB5936">
      <w:pPr>
        <w:pStyle w:val="Prrafodelista"/>
        <w:numPr>
          <w:ilvl w:val="0"/>
          <w:numId w:val="17"/>
        </w:numPr>
        <w:spacing w:after="0" w:line="240" w:lineRule="auto"/>
        <w:ind w:left="993" w:right="709" w:hanging="284"/>
        <w:jc w:val="both"/>
        <w:rPr>
          <w:rFonts w:ascii="Verdana" w:eastAsia="Calibri" w:hAnsi="Verdana" w:cs="Arial"/>
          <w:sz w:val="20"/>
          <w:szCs w:val="20"/>
          <w:lang w:eastAsia="es-ES"/>
        </w:rPr>
      </w:pPr>
      <w:r w:rsidRPr="0022784B">
        <w:rPr>
          <w:rFonts w:ascii="Verdana" w:eastAsia="Calibri" w:hAnsi="Verdana" w:cs="Arial"/>
          <w:sz w:val="20"/>
          <w:szCs w:val="20"/>
          <w:lang w:eastAsia="es-ES"/>
        </w:rPr>
        <w:t>Los criterios de razonabilidad y proporcionalidad que deben observarse en la fijación de dichos términos, en especial cuando se trata de requerimientos que implican análisis técnicos, económicos y financieros.</w:t>
      </w:r>
    </w:p>
    <w:p w14:paraId="7989BDB1" w14:textId="77777777" w:rsidR="00CB5936" w:rsidRPr="0022784B" w:rsidRDefault="00CB5936" w:rsidP="00CB5936">
      <w:pPr>
        <w:pStyle w:val="Prrafodelista"/>
        <w:spacing w:after="0" w:line="240" w:lineRule="auto"/>
        <w:ind w:left="993" w:right="709"/>
        <w:jc w:val="both"/>
        <w:rPr>
          <w:rFonts w:ascii="Verdana" w:eastAsia="Calibri" w:hAnsi="Verdana" w:cs="Arial"/>
          <w:sz w:val="20"/>
          <w:szCs w:val="20"/>
          <w:lang w:eastAsia="es-ES"/>
        </w:rPr>
      </w:pPr>
    </w:p>
    <w:p w14:paraId="343F39B2" w14:textId="77777777" w:rsidR="00CB5936" w:rsidRPr="0022784B" w:rsidRDefault="00CB5936" w:rsidP="00CB5936">
      <w:pPr>
        <w:pStyle w:val="Prrafodelista"/>
        <w:numPr>
          <w:ilvl w:val="0"/>
          <w:numId w:val="17"/>
        </w:numPr>
        <w:spacing w:after="0" w:line="240" w:lineRule="auto"/>
        <w:ind w:left="993" w:right="709" w:hanging="284"/>
        <w:jc w:val="both"/>
        <w:rPr>
          <w:rFonts w:ascii="Verdana" w:eastAsia="Calibri" w:hAnsi="Verdana" w:cs="Arial"/>
          <w:sz w:val="20"/>
          <w:szCs w:val="20"/>
          <w:lang w:eastAsia="es-ES"/>
        </w:rPr>
      </w:pPr>
      <w:r w:rsidRPr="0022784B">
        <w:rPr>
          <w:rFonts w:ascii="Verdana" w:hAnsi="Verdana"/>
          <w:sz w:val="20"/>
          <w:szCs w:val="20"/>
        </w:rPr>
        <w:t>La relación entre la solicitud de justificación de precios artificialmente bajos y la etapa de traslado del informe de evaluación, en el marco del derecho de contradicción de los proponentes.</w:t>
      </w:r>
    </w:p>
    <w:p w14:paraId="78952805" w14:textId="77777777" w:rsidR="00CB5936" w:rsidRPr="0022784B" w:rsidRDefault="00CB5936" w:rsidP="00CB5936">
      <w:pPr>
        <w:pStyle w:val="Prrafodelista"/>
        <w:spacing w:after="0" w:line="240" w:lineRule="auto"/>
        <w:ind w:left="993" w:right="709"/>
        <w:jc w:val="both"/>
        <w:rPr>
          <w:rFonts w:ascii="Verdana" w:eastAsia="Calibri" w:hAnsi="Verdana" w:cs="Arial"/>
          <w:sz w:val="20"/>
          <w:szCs w:val="20"/>
          <w:lang w:eastAsia="es-ES"/>
        </w:rPr>
      </w:pPr>
    </w:p>
    <w:p w14:paraId="0D2D372A" w14:textId="77777777" w:rsidR="00CB5936" w:rsidRPr="0022784B" w:rsidRDefault="00CB5936" w:rsidP="00CB5936">
      <w:pPr>
        <w:pStyle w:val="Prrafodelista"/>
        <w:numPr>
          <w:ilvl w:val="0"/>
          <w:numId w:val="17"/>
        </w:numPr>
        <w:spacing w:after="0" w:line="240" w:lineRule="auto"/>
        <w:ind w:left="993" w:right="709" w:hanging="284"/>
        <w:jc w:val="both"/>
        <w:rPr>
          <w:rFonts w:ascii="Verdana" w:eastAsia="Calibri" w:hAnsi="Verdana" w:cs="Arial"/>
          <w:sz w:val="20"/>
          <w:szCs w:val="20"/>
          <w:lang w:eastAsia="es-ES"/>
        </w:rPr>
      </w:pPr>
      <w:r w:rsidRPr="0022784B">
        <w:rPr>
          <w:rFonts w:ascii="Verdana" w:hAnsi="Verdana"/>
          <w:sz w:val="20"/>
          <w:szCs w:val="20"/>
        </w:rPr>
        <w:t>Las implicaciones que podría tener la fijación de términos no previstos en las reglas del proceso frente a los principios de debido proceso, igualdad, transparencia y selección objetiva.</w:t>
      </w:r>
    </w:p>
    <w:p w14:paraId="1AA9F6BD" w14:textId="77777777" w:rsidR="00CB5936" w:rsidRPr="0022784B" w:rsidRDefault="00CB5936" w:rsidP="00CB5936">
      <w:pPr>
        <w:pStyle w:val="Prrafodelista"/>
        <w:spacing w:after="0" w:line="240" w:lineRule="auto"/>
        <w:ind w:left="993" w:right="709"/>
        <w:jc w:val="both"/>
        <w:rPr>
          <w:rFonts w:ascii="Verdana" w:eastAsia="Calibri" w:hAnsi="Verdana" w:cs="Arial"/>
          <w:sz w:val="20"/>
          <w:szCs w:val="20"/>
          <w:lang w:eastAsia="es-ES"/>
        </w:rPr>
      </w:pPr>
    </w:p>
    <w:p w14:paraId="056B7825" w14:textId="77777777" w:rsidR="00CB5936" w:rsidRPr="0022784B" w:rsidRDefault="00CB5936" w:rsidP="00CB5936">
      <w:pPr>
        <w:pStyle w:val="Prrafodelista"/>
        <w:numPr>
          <w:ilvl w:val="0"/>
          <w:numId w:val="17"/>
        </w:numPr>
        <w:spacing w:after="0" w:line="240" w:lineRule="auto"/>
        <w:ind w:left="993" w:right="709" w:hanging="284"/>
        <w:jc w:val="both"/>
        <w:rPr>
          <w:rFonts w:ascii="Verdana" w:eastAsia="Calibri" w:hAnsi="Verdana" w:cs="Arial"/>
          <w:sz w:val="20"/>
          <w:szCs w:val="20"/>
          <w:lang w:eastAsia="es-ES"/>
        </w:rPr>
      </w:pPr>
      <w:r w:rsidRPr="0022784B">
        <w:rPr>
          <w:rFonts w:ascii="Verdana" w:hAnsi="Verdana"/>
          <w:sz w:val="20"/>
          <w:szCs w:val="20"/>
        </w:rPr>
        <w:t xml:space="preserve">La conveniencia de establecer lineamientos más precisos que permitan uniformar este procedimiento y evitar prácticas que puedan generar incertidumbre o afectar la participación en condiciones de equidad. </w:t>
      </w:r>
      <w:r w:rsidRPr="0022784B">
        <w:rPr>
          <w:rFonts w:ascii="Verdana" w:eastAsia="Calibri" w:hAnsi="Verdana" w:cs="Arial"/>
          <w:sz w:val="20"/>
          <w:szCs w:val="20"/>
          <w:lang w:eastAsia="es-ES"/>
        </w:rPr>
        <w:t>[…]”</w:t>
      </w:r>
    </w:p>
    <w:p w14:paraId="06ECE1DC" w14:textId="77777777" w:rsidR="00CB5936" w:rsidRPr="0022784B" w:rsidRDefault="00CB5936" w:rsidP="00CB5936">
      <w:pPr>
        <w:tabs>
          <w:tab w:val="left" w:pos="1624"/>
        </w:tabs>
        <w:spacing w:after="0" w:line="240" w:lineRule="auto"/>
        <w:ind w:left="709" w:right="709"/>
        <w:jc w:val="both"/>
        <w:rPr>
          <w:rFonts w:ascii="Verdana" w:eastAsia="Calibri" w:hAnsi="Verdana" w:cs="Arial"/>
          <w:sz w:val="20"/>
          <w:szCs w:val="20"/>
          <w:lang w:eastAsia="es-ES"/>
        </w:rPr>
      </w:pPr>
    </w:p>
    <w:p w14:paraId="48A17429" w14:textId="77777777" w:rsidR="00CB5936" w:rsidRPr="0022784B" w:rsidRDefault="00CB5936" w:rsidP="00CB5936">
      <w:pPr>
        <w:spacing w:after="120" w:line="276" w:lineRule="auto"/>
        <w:ind w:firstLine="708"/>
        <w:jc w:val="both"/>
        <w:rPr>
          <w:rFonts w:ascii="Verdana" w:eastAsia="Calibri" w:hAnsi="Verdana" w:cs="Arial"/>
          <w:lang w:val="es-ES" w:eastAsia="es-ES"/>
        </w:rPr>
      </w:pPr>
      <w:r w:rsidRPr="0022784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2784B">
        <w:rPr>
          <w:rFonts w:ascii="Verdana" w:hAnsi="Verdana"/>
          <w:lang w:val="es-ES"/>
        </w:rPr>
        <w:tab/>
      </w:r>
    </w:p>
    <w:p w14:paraId="74F22E6B" w14:textId="77777777" w:rsidR="00CB5936" w:rsidRPr="0022784B" w:rsidRDefault="00CB5936" w:rsidP="00CB5936">
      <w:pPr>
        <w:spacing w:after="0" w:line="276" w:lineRule="auto"/>
        <w:ind w:firstLine="709"/>
        <w:jc w:val="both"/>
        <w:rPr>
          <w:rFonts w:ascii="Verdana" w:eastAsia="Calibri" w:hAnsi="Verdana" w:cs="Arial"/>
          <w:lang w:val="es-ES" w:eastAsia="es-ES"/>
        </w:rPr>
      </w:pPr>
      <w:r w:rsidRPr="0022784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w:t>
      </w:r>
      <w:r w:rsidRPr="0022784B">
        <w:rPr>
          <w:rFonts w:ascii="Verdana" w:eastAsia="Calibri" w:hAnsi="Verdana" w:cs="Arial"/>
          <w:lang w:eastAsia="es-ES"/>
        </w:rPr>
        <w:t xml:space="preserve">pero señalando algunas </w:t>
      </w:r>
      <w:r w:rsidRPr="0022784B">
        <w:rPr>
          <w:rFonts w:ascii="Verdana" w:eastAsia="Calibri" w:hAnsi="Verdana" w:cs="Arial"/>
          <w:lang w:val="es-ES" w:eastAsia="es-ES"/>
        </w:rPr>
        <w:t xml:space="preserve">consideraciones sobre las normas generales relacionadas con el problema jurídico de su consulta. </w:t>
      </w:r>
    </w:p>
    <w:p w14:paraId="09EBC3CC" w14:textId="77777777" w:rsidR="00CB5936" w:rsidRPr="0022784B" w:rsidRDefault="00CB5936" w:rsidP="00CB5936">
      <w:pPr>
        <w:spacing w:after="0" w:line="276" w:lineRule="auto"/>
        <w:ind w:firstLine="709"/>
        <w:jc w:val="both"/>
        <w:rPr>
          <w:rFonts w:ascii="Verdana" w:eastAsia="Calibri" w:hAnsi="Verdana" w:cs="Arial"/>
          <w:lang w:val="es-ES" w:eastAsia="es-ES"/>
        </w:rPr>
      </w:pPr>
    </w:p>
    <w:p w14:paraId="34C32594" w14:textId="77777777" w:rsidR="00CB5936" w:rsidRPr="0022784B" w:rsidRDefault="00CB5936" w:rsidP="00CB5936">
      <w:pPr>
        <w:tabs>
          <w:tab w:val="left" w:pos="142"/>
          <w:tab w:val="left" w:pos="284"/>
        </w:tabs>
        <w:spacing w:after="0" w:line="276" w:lineRule="auto"/>
        <w:contextualSpacing/>
        <w:jc w:val="both"/>
        <w:rPr>
          <w:rFonts w:ascii="Verdana" w:eastAsia="Century Gothic" w:hAnsi="Verdana" w:cs="Century Gothic"/>
          <w:b/>
          <w:lang w:val="es-ES"/>
        </w:rPr>
      </w:pPr>
      <w:r w:rsidRPr="0022784B">
        <w:rPr>
          <w:rFonts w:ascii="Verdana" w:eastAsia="Century Gothic" w:hAnsi="Verdana" w:cs="Century Gothic"/>
          <w:b/>
          <w:lang w:val="es-ES"/>
        </w:rPr>
        <w:t>1. Problema planteado:</w:t>
      </w:r>
    </w:p>
    <w:p w14:paraId="3D8568A5" w14:textId="77777777" w:rsidR="00CB5936" w:rsidRPr="0022784B" w:rsidRDefault="00CB5936" w:rsidP="00CB5936">
      <w:pPr>
        <w:tabs>
          <w:tab w:val="left" w:pos="426"/>
        </w:tabs>
        <w:spacing w:after="0" w:line="276" w:lineRule="auto"/>
        <w:jc w:val="both"/>
        <w:rPr>
          <w:rFonts w:ascii="Verdana" w:eastAsia="Century Gothic" w:hAnsi="Verdana" w:cs="Century Gothic"/>
          <w:color w:val="7030A0"/>
          <w:lang w:val="es-ES"/>
        </w:rPr>
      </w:pPr>
    </w:p>
    <w:p w14:paraId="420C5F87" w14:textId="77777777" w:rsidR="00CB5936" w:rsidRPr="0022784B" w:rsidRDefault="00CB5936" w:rsidP="00CB5936">
      <w:pPr>
        <w:spacing w:after="0" w:line="276" w:lineRule="auto"/>
        <w:jc w:val="both"/>
        <w:rPr>
          <w:rFonts w:ascii="Verdana" w:eastAsia="Century Gothic" w:hAnsi="Verdana" w:cs="Century Gothic"/>
          <w:color w:val="7030A0"/>
        </w:rPr>
      </w:pPr>
      <w:r w:rsidRPr="0022784B">
        <w:rPr>
          <w:rFonts w:ascii="Verdana" w:eastAsia="Century Gothic" w:hAnsi="Verdana" w:cs="Century Gothic"/>
          <w:lang w:val="es-ES"/>
        </w:rPr>
        <w:t xml:space="preserve">De acuerdo con el contenido de su solicitud, esta Agencia resolverá el siguiente problema jurídico: </w:t>
      </w:r>
      <w:r w:rsidRPr="0022784B">
        <w:rPr>
          <w:rFonts w:ascii="Verdana" w:eastAsia="Century Gothic" w:hAnsi="Verdana" w:cs="Century Gothic"/>
        </w:rPr>
        <w:t>¿</w:t>
      </w:r>
      <w:r w:rsidRPr="0022784B">
        <w:rPr>
          <w:rFonts w:ascii="Verdana" w:eastAsia="Calibri" w:hAnsi="Verdana" w:cs="Arial"/>
          <w:lang w:eastAsia="es-ES"/>
        </w:rPr>
        <w:t xml:space="preserve">Cuál es el marco normativo aplicable y cuáles son los </w:t>
      </w:r>
      <w:r w:rsidRPr="0022784B">
        <w:rPr>
          <w:rFonts w:ascii="Verdana" w:eastAsia="Century Gothic" w:hAnsi="Verdana" w:cs="Century Gothic"/>
        </w:rPr>
        <w:lastRenderedPageBreak/>
        <w:t>criterios que deben aplicar las Entidades Estatales para analizar los precios artificialmente bajos en los procesos de selección?</w:t>
      </w:r>
    </w:p>
    <w:p w14:paraId="6FB992DC" w14:textId="77777777" w:rsidR="00CB5936" w:rsidRPr="0022784B" w:rsidRDefault="00CB5936" w:rsidP="00CB5936">
      <w:pPr>
        <w:spacing w:after="0" w:line="276" w:lineRule="auto"/>
        <w:jc w:val="both"/>
        <w:rPr>
          <w:rFonts w:ascii="Verdana" w:eastAsia="Century Gothic" w:hAnsi="Verdana" w:cs="Century Gothic"/>
          <w:color w:val="7030A0"/>
        </w:rPr>
      </w:pPr>
    </w:p>
    <w:p w14:paraId="3D43F370" w14:textId="77777777" w:rsidR="00CB5936" w:rsidRPr="0022784B" w:rsidRDefault="00CB5936" w:rsidP="00CB5936">
      <w:pPr>
        <w:tabs>
          <w:tab w:val="left" w:pos="142"/>
          <w:tab w:val="left" w:pos="284"/>
        </w:tabs>
        <w:spacing w:after="0" w:line="276" w:lineRule="auto"/>
        <w:jc w:val="both"/>
        <w:rPr>
          <w:rFonts w:ascii="Verdana" w:eastAsia="Century Gothic" w:hAnsi="Verdana" w:cs="Century Gothic"/>
          <w:b/>
          <w:lang w:val="es-ES"/>
        </w:rPr>
      </w:pPr>
      <w:r w:rsidRPr="0022784B">
        <w:rPr>
          <w:rFonts w:ascii="Verdana" w:eastAsia="Century Gothic" w:hAnsi="Verdana" w:cs="Century Gothic"/>
          <w:b/>
          <w:lang w:val="es-ES"/>
        </w:rPr>
        <w:t>2. Respuesta:</w:t>
      </w:r>
    </w:p>
    <w:p w14:paraId="72DEF0B8" w14:textId="77777777" w:rsidR="00CB5936" w:rsidRPr="0022784B" w:rsidRDefault="00CB5936" w:rsidP="00CB5936">
      <w:pPr>
        <w:tabs>
          <w:tab w:val="left" w:pos="142"/>
          <w:tab w:val="left" w:pos="284"/>
        </w:tabs>
        <w:spacing w:after="0" w:line="276" w:lineRule="auto"/>
        <w:jc w:val="both"/>
        <w:rPr>
          <w:rFonts w:ascii="Verdana" w:eastAsia="Century Gothic" w:hAnsi="Verdana" w:cs="Century Gothic"/>
          <w:b/>
          <w:bCs/>
          <w:color w:val="7030A0"/>
          <w:lang w:val="es-ES"/>
        </w:rPr>
      </w:pPr>
    </w:p>
    <w:tbl>
      <w:tblPr>
        <w:tblStyle w:val="Tablaconcuadrcula"/>
        <w:tblW w:w="885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52"/>
      </w:tblGrid>
      <w:tr w:rsidR="00CB5936" w:rsidRPr="0022784B" w14:paraId="604C4B3B" w14:textId="77777777" w:rsidTr="00D567FF">
        <w:tc>
          <w:tcPr>
            <w:tcW w:w="8852" w:type="dxa"/>
          </w:tcPr>
          <w:p w14:paraId="6DC5A54C" w14:textId="77777777" w:rsidR="00CB5936" w:rsidRPr="0022784B" w:rsidRDefault="00CB5936" w:rsidP="00D567FF">
            <w:pPr>
              <w:spacing w:before="120" w:after="120" w:line="276" w:lineRule="auto"/>
              <w:jc w:val="both"/>
              <w:rPr>
                <w:rFonts w:ascii="Verdana" w:eastAsia="Calibri" w:hAnsi="Verdana" w:cs="Arial"/>
              </w:rPr>
            </w:pPr>
            <w:r w:rsidRPr="0022784B">
              <w:rPr>
                <w:rFonts w:ascii="Verdana" w:eastAsia="Calibri" w:hAnsi="Verdana" w:cs="Arial"/>
              </w:rPr>
              <w:t>En primer lugar, es preciso indicar que, en virtud del principio de selección objetiva previsto en el artículo 5 de la Ley 1150 de 2007,</w:t>
            </w:r>
            <w:r w:rsidRPr="0022784B">
              <w:t xml:space="preserve"> </w:t>
            </w:r>
            <w:r w:rsidRPr="0022784B">
              <w:rPr>
                <w:rFonts w:ascii="Verdana" w:eastAsia="Calibri" w:hAnsi="Verdana" w:cs="Arial"/>
              </w:rPr>
              <w:t>las entidades estatales deben elegir la oferta más favorable a sus necesidades, previa verificación y comparación con los precios de mercado y los estudios adelantados por la entidad.</w:t>
            </w:r>
          </w:p>
          <w:p w14:paraId="52634886" w14:textId="77777777" w:rsidR="00CB5936" w:rsidRPr="0022784B" w:rsidRDefault="00CB5936" w:rsidP="00D567FF">
            <w:pPr>
              <w:spacing w:before="120" w:after="120" w:line="276" w:lineRule="auto"/>
              <w:ind w:firstLine="709"/>
              <w:jc w:val="both"/>
              <w:rPr>
                <w:rFonts w:ascii="Verdana" w:eastAsia="Calibri" w:hAnsi="Verdana" w:cs="Arial"/>
              </w:rPr>
            </w:pPr>
            <w:r w:rsidRPr="0022784B">
              <w:rPr>
                <w:rFonts w:ascii="Verdana" w:eastAsia="Calibri" w:hAnsi="Verdana" w:cs="Arial"/>
              </w:rPr>
              <w:t xml:space="preserve">En ese contexto, el concepto de precio artificialmente bajo debe analizarse desde la perspectiva de lo que resulta conveniente para las entidades estatales en su calidad de compradoras de bienes y servicios, en su interacción con el mercado, para lo cual deberán efectuar las verificaciones a que haya lugar conforme a lo dispuesto en el artículo 2.2.1.1.2.2.4 del Decreto 1082 de 2015, lo que supone partir de un análisis serio y real del sector económico frente al mercado objeto de estudio. </w:t>
            </w:r>
          </w:p>
          <w:p w14:paraId="45E21685" w14:textId="77777777" w:rsidR="00CB5936" w:rsidRPr="0022784B" w:rsidRDefault="00CB5936" w:rsidP="00D567FF">
            <w:pPr>
              <w:spacing w:before="120" w:after="120" w:line="276" w:lineRule="auto"/>
              <w:ind w:firstLine="709"/>
              <w:jc w:val="both"/>
              <w:rPr>
                <w:rFonts w:ascii="Verdana" w:eastAsia="Calibri" w:hAnsi="Verdana" w:cs="Arial"/>
              </w:rPr>
            </w:pPr>
            <w:r w:rsidRPr="0022784B">
              <w:rPr>
                <w:rFonts w:ascii="Verdana" w:eastAsia="Calibri" w:hAnsi="Verdana" w:cs="Arial"/>
              </w:rPr>
              <w:t>La referida disposición establece que, cuando el precio de una oferta parece artificialmente bajo, la entidad debe: i) solicitar explicación al oferente, ii) analizar las explicaciones presentadas, iii) que el responsable de la evaluación de las ofertas recomiende rechazar o continuar con la evaluación de la oferta, y iv) en el caso de la subasta inversa, adelantar este procedimiento una vez finalice el evento.</w:t>
            </w:r>
          </w:p>
          <w:p w14:paraId="0D86BDFE" w14:textId="77777777" w:rsidR="00CB5936" w:rsidRPr="0022784B" w:rsidRDefault="00CB5936" w:rsidP="00D567FF">
            <w:pPr>
              <w:spacing w:before="120" w:after="120" w:line="276" w:lineRule="auto"/>
              <w:ind w:firstLine="709"/>
              <w:jc w:val="both"/>
              <w:rPr>
                <w:rFonts w:ascii="Verdana" w:eastAsia="Calibri" w:hAnsi="Verdana" w:cs="Arial"/>
              </w:rPr>
            </w:pPr>
            <w:r w:rsidRPr="0022784B">
              <w:rPr>
                <w:rFonts w:ascii="Verdana" w:eastAsia="Calibri" w:hAnsi="Verdana" w:cs="Arial"/>
              </w:rPr>
              <w:t>Sin embargo, el análisis de los precios de una oferta se realiza en la etapa de evaluación del procedimiento de selección, momento en el cual la entidad, a través del comité evaluador, verifica el cumplimiento de las reglas previstas en los pliegos de condiciones. En efecto, la evaluación de las ofertas tiene como finalidad comprobar que estas se ajusten a los parámetros exigidos, determinar la habilitación de los proponentes dentro del proceso y establecer, con base en la ponderación de los factores de evaluación aplicables, cuál de ellos resulta ser el adjudicatario del respectivo contrato.</w:t>
            </w:r>
          </w:p>
          <w:p w14:paraId="05336C4E" w14:textId="77777777" w:rsidR="00CB5936" w:rsidRPr="0022784B" w:rsidRDefault="00CB5936" w:rsidP="00D567FF">
            <w:pPr>
              <w:spacing w:before="120" w:after="120" w:line="276" w:lineRule="auto"/>
              <w:ind w:firstLine="709"/>
              <w:jc w:val="both"/>
              <w:rPr>
                <w:rFonts w:ascii="Verdana" w:eastAsia="Calibri" w:hAnsi="Verdana" w:cs="Arial"/>
                <w:lang w:val="es-ES"/>
              </w:rPr>
            </w:pPr>
            <w:r w:rsidRPr="0022784B">
              <w:rPr>
                <w:rFonts w:ascii="Verdana" w:eastAsia="Calibri" w:hAnsi="Verdana" w:cs="Arial"/>
                <w:lang w:val="es-ES"/>
              </w:rPr>
              <w:t xml:space="preserve">En ese sentido, en la evaluación que se realiza antes de la adjudicación del contrato la entidad debe verificar la oferta y su componente económico, para determinar si corresponde con el resultado del análisis de la oferta en el </w:t>
            </w:r>
            <w:r w:rsidRPr="0022784B">
              <w:rPr>
                <w:rFonts w:ascii="Verdana" w:eastAsia="Calibri" w:hAnsi="Verdana" w:cs="Arial"/>
                <w:lang w:val="es-ES"/>
              </w:rPr>
              <w:lastRenderedPageBreak/>
              <w:t>estudio de mercado, o si los precios tienen un componente atípico que no se identificó al observar el comportamiento de los proveedores del bien, obra o servicio que pretende contratarse. En ese caso, la entidad podrá identificar las ofertas con precios que parecen artificialmente bajos, y seguir el procedimiento del Decreto 1082 de 2015.</w:t>
            </w:r>
          </w:p>
          <w:p w14:paraId="20CE9433" w14:textId="77777777" w:rsidR="00CB5936" w:rsidRPr="0022784B" w:rsidRDefault="00CB5936" w:rsidP="00D567FF">
            <w:pPr>
              <w:spacing w:before="120" w:after="120" w:line="276" w:lineRule="auto"/>
              <w:ind w:firstLine="709"/>
              <w:jc w:val="both"/>
              <w:rPr>
                <w:rFonts w:ascii="Verdana" w:hAnsi="Verdana" w:cs="Arial"/>
                <w:color w:val="4472C4" w:themeColor="accent1"/>
              </w:rPr>
            </w:pPr>
            <w:r w:rsidRPr="0022784B">
              <w:rPr>
                <w:rFonts w:ascii="Verdana" w:hAnsi="Verdana" w:cs="Arial"/>
              </w:rPr>
              <w:t>Ahora bien, en esta materia, la Agencia Nacional de Contratación Pública – Colombia Compra Eficiente cuenta con la “</w:t>
            </w:r>
            <w:r w:rsidRPr="0022784B">
              <w:rPr>
                <w:rFonts w:ascii="Verdana" w:eastAsia="Arial MT" w:hAnsi="Verdana" w:cs="Arial"/>
                <w:bCs/>
                <w:lang w:eastAsia="es-ES" w:bidi="es-ES"/>
              </w:rPr>
              <w:t xml:space="preserve">Guía para el Manejo de Ofertas Artificialmente Bajas En Procesos de Contratación”, la cual puede consultare en el siguiente enlace: </w:t>
            </w:r>
            <w:hyperlink r:id="rId12" w:tgtFrame="_blank" w:tooltip="Usa Ctrl + clic para abrir https://www.colombiacompra.gov.co/archivos/manual/guia-para-el-manejo-de-ofertas-artificialmente-bajas-en-procesos-de-contratacion-2 en una nueva pestaña." w:history="1">
              <w:r w:rsidRPr="0022784B">
                <w:rPr>
                  <w:rStyle w:val="Hipervnculo"/>
                  <w:rFonts w:ascii="Verdana" w:eastAsia="Arial MT" w:hAnsi="Verdana" w:cs="Arial"/>
                  <w:bCs/>
                  <w:lang w:eastAsia="es-ES" w:bidi="es-ES"/>
                </w:rPr>
                <w:t xml:space="preserve">Guía </w:t>
              </w:r>
            </w:hyperlink>
            <w:r w:rsidRPr="0022784B">
              <w:rPr>
                <w:rFonts w:ascii="Verdana" w:eastAsia="Arial MT" w:hAnsi="Verdana" w:cs="Arial"/>
                <w:bCs/>
                <w:color w:val="7030A0"/>
                <w:lang w:eastAsia="es-ES" w:bidi="es-ES"/>
              </w:rPr>
              <w:t xml:space="preserve">. </w:t>
            </w:r>
            <w:r w:rsidRPr="0022784B">
              <w:rPr>
                <w:rFonts w:ascii="Verdana" w:eastAsia="Arial MT" w:hAnsi="Verdana" w:cs="Arial"/>
                <w:bCs/>
                <w:lang w:eastAsia="es-ES" w:bidi="es-ES"/>
              </w:rPr>
              <w:t xml:space="preserve">Este documento se encuentra a disposición de las entidades estatales como herramienta orientadora y en él se sugieren elementos para identificar ofertas que pueden ser artificialmente bajas. </w:t>
            </w:r>
          </w:p>
          <w:p w14:paraId="30183448" w14:textId="77777777" w:rsidR="00CB5936" w:rsidRPr="0022784B" w:rsidRDefault="00CB5936" w:rsidP="00D567FF">
            <w:pPr>
              <w:spacing w:before="120" w:after="120" w:line="276" w:lineRule="auto"/>
              <w:ind w:firstLine="709"/>
              <w:jc w:val="both"/>
              <w:rPr>
                <w:rFonts w:ascii="Verdana" w:hAnsi="Verdana" w:cs="Arial"/>
                <w:color w:val="4472C4" w:themeColor="accent1"/>
              </w:rPr>
            </w:pPr>
            <w:r w:rsidRPr="0022784B">
              <w:rPr>
                <w:rFonts w:ascii="Verdana" w:hAnsi="Verdana" w:cs="Arial"/>
                <w:color w:val="000000" w:themeColor="text1"/>
              </w:rPr>
              <w:t>Finalmente, al margen de la explicación precedente debe advertirse que el análisis requerido para determinar la existencia de precios artificialmente bajos en los procesos de contratación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2B9A7A23" w14:textId="77777777" w:rsidR="00CB5936" w:rsidRPr="0022784B" w:rsidRDefault="00CB5936" w:rsidP="00D567FF">
            <w:pPr>
              <w:spacing w:line="276" w:lineRule="auto"/>
              <w:ind w:firstLine="709"/>
              <w:jc w:val="both"/>
              <w:rPr>
                <w:rFonts w:ascii="Verdana" w:eastAsia="Calibri" w:hAnsi="Verdana" w:cs="Times New Roman"/>
                <w:lang w:val="es-ES"/>
              </w:rPr>
            </w:pPr>
            <w:r w:rsidRPr="0022784B">
              <w:rPr>
                <w:rFonts w:ascii="Verdana" w:hAnsi="Verdana" w:cs="Arial"/>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r w:rsidRPr="0022784B">
              <w:rPr>
                <w:rFonts w:ascii="Verdana" w:eastAsia="Calibri" w:hAnsi="Verdana" w:cs="Times New Roman"/>
                <w:lang w:val="es-ES"/>
              </w:rPr>
              <w:t xml:space="preserve"> </w:t>
            </w:r>
          </w:p>
        </w:tc>
      </w:tr>
    </w:tbl>
    <w:p w14:paraId="69EF1150" w14:textId="77777777" w:rsidR="00CB5936" w:rsidRPr="0022784B" w:rsidRDefault="00CB5936" w:rsidP="00CB5936">
      <w:pPr>
        <w:tabs>
          <w:tab w:val="left" w:pos="142"/>
          <w:tab w:val="left" w:pos="284"/>
        </w:tabs>
        <w:spacing w:after="0" w:line="276" w:lineRule="auto"/>
        <w:jc w:val="both"/>
        <w:rPr>
          <w:rFonts w:ascii="Verdana" w:eastAsia="Century Gothic" w:hAnsi="Verdana" w:cs="Century Gothic"/>
          <w:b/>
          <w:bCs/>
          <w:lang w:val="es-ES"/>
        </w:rPr>
      </w:pPr>
    </w:p>
    <w:p w14:paraId="13782612" w14:textId="77777777" w:rsidR="00CB5936" w:rsidRPr="0022784B" w:rsidRDefault="00CB5936" w:rsidP="00CB5936">
      <w:pPr>
        <w:tabs>
          <w:tab w:val="left" w:pos="142"/>
          <w:tab w:val="left" w:pos="284"/>
        </w:tabs>
        <w:spacing w:after="0" w:line="276" w:lineRule="auto"/>
        <w:jc w:val="both"/>
        <w:rPr>
          <w:rFonts w:ascii="Verdana" w:eastAsia="Century Gothic" w:hAnsi="Verdana" w:cs="Century Gothic"/>
          <w:b/>
          <w:lang w:val="es-ES"/>
        </w:rPr>
      </w:pPr>
      <w:r w:rsidRPr="0022784B">
        <w:rPr>
          <w:rFonts w:ascii="Verdana" w:eastAsia="Century Gothic" w:hAnsi="Verdana" w:cs="Century Gothic"/>
          <w:b/>
          <w:lang w:val="es-ES"/>
        </w:rPr>
        <w:t>3. Razones de la respuesta:</w:t>
      </w:r>
    </w:p>
    <w:p w14:paraId="03594B9F" w14:textId="77777777" w:rsidR="00CB5936" w:rsidRPr="0022784B" w:rsidRDefault="00CB5936" w:rsidP="00CB5936">
      <w:pPr>
        <w:tabs>
          <w:tab w:val="left" w:pos="142"/>
          <w:tab w:val="left" w:pos="284"/>
        </w:tabs>
        <w:spacing w:after="0" w:line="276" w:lineRule="auto"/>
        <w:jc w:val="both"/>
        <w:rPr>
          <w:rFonts w:ascii="Verdana" w:eastAsia="Century Gothic" w:hAnsi="Verdana" w:cs="Century Gothic"/>
          <w:b/>
          <w:lang w:val="es-ES"/>
        </w:rPr>
      </w:pPr>
    </w:p>
    <w:p w14:paraId="13B6C664" w14:textId="77777777" w:rsidR="00CB5936" w:rsidRPr="0022784B" w:rsidRDefault="00CB5936" w:rsidP="00CB5936">
      <w:pPr>
        <w:spacing w:after="0" w:line="276" w:lineRule="auto"/>
        <w:jc w:val="both"/>
        <w:rPr>
          <w:rFonts w:ascii="Verdana" w:eastAsia="Calibri" w:hAnsi="Verdana" w:cs="Arial"/>
          <w:lang w:val="es-ES"/>
        </w:rPr>
      </w:pPr>
      <w:r w:rsidRPr="0022784B">
        <w:rPr>
          <w:rFonts w:ascii="Verdana" w:eastAsia="Calibri" w:hAnsi="Verdana" w:cs="Arial"/>
          <w:lang w:val="es-ES"/>
        </w:rPr>
        <w:t>Lo anterior se sustenta en las siguientes consideraciones:</w:t>
      </w:r>
      <w:bookmarkStart w:id="1" w:name="_Hlk102983874"/>
      <w:bookmarkStart w:id="2" w:name="_Hlk102388095"/>
    </w:p>
    <w:p w14:paraId="65E5A392" w14:textId="77777777" w:rsidR="00CB5936" w:rsidRPr="0022784B" w:rsidRDefault="00CB5936" w:rsidP="00CB5936">
      <w:pPr>
        <w:spacing w:after="0" w:line="276" w:lineRule="auto"/>
        <w:jc w:val="both"/>
        <w:rPr>
          <w:rFonts w:ascii="Verdana" w:eastAsia="Calibri" w:hAnsi="Verdana" w:cs="Arial"/>
          <w:color w:val="7030A0"/>
          <w:lang w:val="es-ES"/>
        </w:rPr>
      </w:pPr>
    </w:p>
    <w:p w14:paraId="35C10F8D" w14:textId="77777777" w:rsidR="00CB5936" w:rsidRPr="0022784B" w:rsidRDefault="00CB5936" w:rsidP="00CB5936">
      <w:pPr>
        <w:widowControl w:val="0"/>
        <w:autoSpaceDE w:val="0"/>
        <w:autoSpaceDN w:val="0"/>
        <w:snapToGrid w:val="0"/>
        <w:spacing w:after="0" w:line="276" w:lineRule="auto"/>
        <w:jc w:val="both"/>
        <w:rPr>
          <w:rFonts w:ascii="Verdana" w:eastAsia="Arial" w:hAnsi="Verdana" w:cs="Arial"/>
          <w:lang w:val="es-ES" w:eastAsia="es-ES" w:bidi="es-ES"/>
        </w:rPr>
      </w:pPr>
      <w:bookmarkStart w:id="3" w:name="_Hlk198934308"/>
      <w:r w:rsidRPr="0022784B">
        <w:rPr>
          <w:rFonts w:ascii="Verdana" w:eastAsia="Calibri" w:hAnsi="Verdana" w:cs="Arial"/>
          <w:bCs/>
          <w:lang w:val="es-ES_tradnl"/>
        </w:rPr>
        <w:t xml:space="preserve">i. </w:t>
      </w:r>
      <w:r w:rsidRPr="0022784B">
        <w:rPr>
          <w:rFonts w:ascii="Verdana" w:eastAsia="Arial" w:hAnsi="Verdana" w:cs="Arial"/>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22784B">
        <w:rPr>
          <w:rFonts w:ascii="Verdana" w:eastAsia="Arial" w:hAnsi="Verdana" w:cs="Arial"/>
          <w:vertAlign w:val="superscript"/>
          <w:lang w:val="es-ES" w:eastAsia="es-ES" w:bidi="es-ES"/>
        </w:rPr>
        <w:footnoteReference w:id="1"/>
      </w:r>
      <w:r w:rsidRPr="0022784B">
        <w:rPr>
          <w:rFonts w:ascii="Verdana" w:eastAsia="Arial" w:hAnsi="Verdana" w:cs="Arial"/>
          <w:lang w:val="es-ES" w:eastAsia="es-ES" w:bidi="es-ES"/>
        </w:rPr>
        <w:t>. Al respecto, el Consejo de Estado, Sección Tercera, sentencia 4 de junio de 2008, radicado No. 17.783, M.P. Myriam Guerrero de Escobar, define el precio artificialmente bajo como aquel que no tiene sustento o fundamento en su</w:t>
      </w:r>
      <w:r w:rsidRPr="0022784B">
        <w:rPr>
          <w:rFonts w:ascii="Verdana" w:eastAsia="Arial" w:hAnsi="Verdana" w:cs="Arial"/>
          <w:spacing w:val="-45"/>
          <w:lang w:val="es-ES" w:eastAsia="es-ES" w:bidi="es-ES"/>
        </w:rPr>
        <w:t xml:space="preserve"> </w:t>
      </w:r>
      <w:r w:rsidRPr="0022784B">
        <w:rPr>
          <w:rFonts w:ascii="Verdana" w:eastAsia="Arial" w:hAnsi="Verdana" w:cs="Arial"/>
          <w:lang w:val="es-ES" w:eastAsia="es-ES" w:bidi="es-ES"/>
        </w:rPr>
        <w:t>estructuración dentro del tráfico comercial:</w:t>
      </w:r>
    </w:p>
    <w:p w14:paraId="4A7E6332" w14:textId="77777777" w:rsidR="00CB5936" w:rsidRPr="0022784B" w:rsidRDefault="00CB5936" w:rsidP="00CB5936">
      <w:pPr>
        <w:widowControl w:val="0"/>
        <w:autoSpaceDE w:val="0"/>
        <w:autoSpaceDN w:val="0"/>
        <w:spacing w:after="0" w:line="276" w:lineRule="auto"/>
        <w:ind w:left="720"/>
        <w:rPr>
          <w:rFonts w:ascii="Verdana" w:eastAsia="Arial" w:hAnsi="Verdana" w:cs="Arial"/>
          <w:lang w:val="es-ES" w:eastAsia="es-ES" w:bidi="es-ES"/>
        </w:rPr>
      </w:pPr>
    </w:p>
    <w:p w14:paraId="6DB0603C" w14:textId="77777777" w:rsidR="00CB5936" w:rsidRPr="0022784B" w:rsidRDefault="00CB5936" w:rsidP="00CB5936">
      <w:pPr>
        <w:spacing w:after="0" w:line="240" w:lineRule="auto"/>
        <w:ind w:left="709" w:right="709"/>
        <w:jc w:val="both"/>
        <w:rPr>
          <w:rFonts w:ascii="Verdana" w:eastAsia="Aptos" w:hAnsi="Verdana" w:cs="Times New Roman"/>
          <w:kern w:val="2"/>
          <w:sz w:val="20"/>
          <w:szCs w:val="20"/>
          <w14:ligatures w14:val="standardContextual"/>
        </w:rPr>
      </w:pPr>
      <w:r w:rsidRPr="0022784B">
        <w:rPr>
          <w:rFonts w:ascii="Verdana" w:eastAsia="Aptos" w:hAnsi="Verdana" w:cs="Times New Roman"/>
          <w:kern w:val="2"/>
          <w:sz w:val="20"/>
          <w:szCs w:val="20"/>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22784B">
        <w:rPr>
          <w:rFonts w:ascii="Verdana" w:eastAsia="Aptos" w:hAnsi="Verdana" w:cs="Times New Roman"/>
          <w:spacing w:val="-8"/>
          <w:kern w:val="2"/>
          <w:sz w:val="20"/>
          <w:szCs w:val="20"/>
          <w14:ligatures w14:val="standardContextual"/>
        </w:rPr>
        <w:t xml:space="preserve"> </w:t>
      </w:r>
      <w:r w:rsidRPr="0022784B">
        <w:rPr>
          <w:rFonts w:ascii="Verdana" w:eastAsia="Aptos" w:hAnsi="Verdana" w:cs="Times New Roman"/>
          <w:kern w:val="2"/>
          <w:sz w:val="20"/>
          <w:szCs w:val="20"/>
          <w14:ligatures w14:val="standardContextual"/>
        </w:rPr>
        <w:t>[…]”.</w:t>
      </w:r>
    </w:p>
    <w:p w14:paraId="2268CD4B" w14:textId="77777777" w:rsidR="00CB5936" w:rsidRPr="0022784B" w:rsidRDefault="00CB5936" w:rsidP="00CB5936">
      <w:pPr>
        <w:widowControl w:val="0"/>
        <w:autoSpaceDE w:val="0"/>
        <w:autoSpaceDN w:val="0"/>
        <w:spacing w:after="0" w:line="276" w:lineRule="auto"/>
        <w:ind w:left="720"/>
        <w:jc w:val="both"/>
        <w:rPr>
          <w:rFonts w:ascii="Verdana" w:eastAsia="Arial" w:hAnsi="Verdana" w:cs="Arial"/>
          <w:lang w:val="es-ES" w:eastAsia="es-ES" w:bidi="es-ES"/>
        </w:rPr>
      </w:pPr>
    </w:p>
    <w:p w14:paraId="29987483" w14:textId="77777777" w:rsidR="00CB5936" w:rsidRPr="0022784B" w:rsidRDefault="00CB5936" w:rsidP="00CB5936">
      <w:pPr>
        <w:widowControl w:val="0"/>
        <w:autoSpaceDE w:val="0"/>
        <w:autoSpaceDN w:val="0"/>
        <w:spacing w:after="0" w:line="276" w:lineRule="auto"/>
        <w:ind w:firstLine="709"/>
        <w:jc w:val="both"/>
        <w:rPr>
          <w:rFonts w:ascii="Verdana" w:eastAsia="Arial" w:hAnsi="Verdana" w:cs="Arial"/>
          <w:lang w:val="es-ES" w:eastAsia="es-ES" w:bidi="es-ES"/>
        </w:rPr>
      </w:pPr>
      <w:r w:rsidRPr="0022784B">
        <w:rPr>
          <w:rFonts w:ascii="Verdana" w:eastAsia="Arial" w:hAnsi="Verdana" w:cs="Arial"/>
          <w:lang w:val="es-ES" w:eastAsia="es-ES" w:bidi="es-ES"/>
        </w:rPr>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debe rechazar la oferta o continuar con el análisis de la oferta durante la evaluación de las ofertas:</w:t>
      </w:r>
    </w:p>
    <w:p w14:paraId="58BA9D41" w14:textId="77777777" w:rsidR="00CB5936" w:rsidRPr="0022784B" w:rsidRDefault="00CB5936" w:rsidP="00CB5936">
      <w:pPr>
        <w:spacing w:after="0" w:line="240" w:lineRule="auto"/>
        <w:ind w:left="708" w:right="616" w:firstLine="1"/>
        <w:jc w:val="both"/>
        <w:rPr>
          <w:rFonts w:ascii="Verdana" w:hAnsi="Verdana"/>
          <w:sz w:val="21"/>
          <w:szCs w:val="21"/>
        </w:rPr>
      </w:pPr>
    </w:p>
    <w:p w14:paraId="0A2FB463" w14:textId="77777777" w:rsidR="00CB5936" w:rsidRPr="0022784B" w:rsidRDefault="00CB5936" w:rsidP="00CB5936">
      <w:pPr>
        <w:spacing w:after="0" w:line="240" w:lineRule="auto"/>
        <w:ind w:left="708" w:right="616" w:firstLine="1"/>
        <w:jc w:val="both"/>
        <w:rPr>
          <w:rFonts w:ascii="Verdana" w:hAnsi="Verdana"/>
          <w:sz w:val="20"/>
          <w:szCs w:val="20"/>
        </w:rPr>
      </w:pPr>
      <w:r w:rsidRPr="0022784B">
        <w:rPr>
          <w:rFonts w:ascii="Verdana" w:hAnsi="Verdana"/>
          <w:bCs/>
          <w:sz w:val="20"/>
          <w:szCs w:val="20"/>
        </w:rPr>
        <w:t>“Artículo 2.2.1.1.2.2.4. </w:t>
      </w:r>
      <w:r w:rsidRPr="0022784B">
        <w:rPr>
          <w:rFonts w:ascii="Verdana" w:hAnsi="Verdana"/>
          <w:bCs/>
          <w:i/>
          <w:iCs/>
          <w:sz w:val="20"/>
          <w:szCs w:val="20"/>
        </w:rPr>
        <w:t>Oferta con valor artificialmente bajo.</w:t>
      </w:r>
      <w:r w:rsidRPr="0022784B">
        <w:rPr>
          <w:rFonts w:ascii="Verdana" w:hAnsi="Verdana"/>
          <w:i/>
          <w:iCs/>
          <w:sz w:val="20"/>
          <w:szCs w:val="20"/>
        </w:rPr>
        <w:t> </w:t>
      </w:r>
      <w:r w:rsidRPr="0022784B">
        <w:rPr>
          <w:rFonts w:ascii="Verdana" w:hAnsi="Verdana"/>
          <w:sz w:val="20"/>
          <w:szCs w:val="20"/>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6327F169" w14:textId="77777777" w:rsidR="00CB5936" w:rsidRPr="0022784B" w:rsidRDefault="00CB5936" w:rsidP="00CB5936">
      <w:pPr>
        <w:spacing w:after="0" w:line="240" w:lineRule="auto"/>
        <w:ind w:left="708" w:right="616" w:firstLine="1"/>
        <w:jc w:val="both"/>
        <w:rPr>
          <w:rFonts w:ascii="Verdana" w:hAnsi="Verdana"/>
          <w:sz w:val="20"/>
          <w:szCs w:val="20"/>
        </w:rPr>
      </w:pPr>
    </w:p>
    <w:p w14:paraId="0E6532DF" w14:textId="77777777" w:rsidR="00CB5936" w:rsidRPr="0022784B" w:rsidRDefault="00CB5936" w:rsidP="00CB5936">
      <w:pPr>
        <w:spacing w:after="0" w:line="240" w:lineRule="auto"/>
        <w:ind w:left="708" w:right="616" w:firstLine="1"/>
        <w:jc w:val="both"/>
        <w:rPr>
          <w:rFonts w:ascii="Verdana" w:hAnsi="Verdana"/>
          <w:sz w:val="20"/>
          <w:szCs w:val="20"/>
        </w:rPr>
      </w:pPr>
      <w:r w:rsidRPr="0022784B">
        <w:rPr>
          <w:rFonts w:ascii="Verdana" w:hAnsi="Verdana"/>
          <w:sz w:val="20"/>
          <w:szCs w:val="20"/>
        </w:rPr>
        <w:lastRenderedPageBreak/>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5B5D53CD" w14:textId="77777777" w:rsidR="00CB5936" w:rsidRPr="0022784B" w:rsidRDefault="00CB5936" w:rsidP="00CB5936">
      <w:pPr>
        <w:spacing w:after="0" w:line="240" w:lineRule="auto"/>
        <w:ind w:left="708" w:right="616" w:firstLine="1"/>
        <w:jc w:val="both"/>
        <w:rPr>
          <w:rFonts w:ascii="Verdana" w:hAnsi="Verdana"/>
          <w:sz w:val="20"/>
          <w:szCs w:val="20"/>
        </w:rPr>
      </w:pPr>
    </w:p>
    <w:p w14:paraId="2664C18E" w14:textId="77777777" w:rsidR="00CB5936" w:rsidRPr="0022784B" w:rsidRDefault="00CB5936" w:rsidP="00CB5936">
      <w:pPr>
        <w:spacing w:after="0" w:line="240" w:lineRule="auto"/>
        <w:ind w:left="708" w:right="616" w:firstLine="1"/>
        <w:jc w:val="both"/>
        <w:rPr>
          <w:rFonts w:ascii="Verdana" w:hAnsi="Verdana"/>
          <w:sz w:val="20"/>
          <w:szCs w:val="20"/>
        </w:rPr>
      </w:pPr>
      <w:r w:rsidRPr="0022784B">
        <w:rPr>
          <w:rFonts w:ascii="Verdana" w:hAnsi="Verdana"/>
          <w:sz w:val="20"/>
          <w:szCs w:val="20"/>
        </w:rPr>
        <w:t>En la subasta inversa esta disposición es aplicable sobre el precio obtenido al final de la misma”.</w:t>
      </w:r>
    </w:p>
    <w:p w14:paraId="02623583" w14:textId="77777777" w:rsidR="00CB5936" w:rsidRPr="0022784B" w:rsidRDefault="00CB5936" w:rsidP="00CB5936">
      <w:pPr>
        <w:spacing w:after="0" w:line="240" w:lineRule="auto"/>
        <w:ind w:left="708" w:right="616" w:firstLine="1"/>
        <w:jc w:val="both"/>
        <w:rPr>
          <w:rFonts w:ascii="Verdana" w:hAnsi="Verdana"/>
          <w:sz w:val="21"/>
          <w:szCs w:val="21"/>
        </w:rPr>
      </w:pPr>
    </w:p>
    <w:p w14:paraId="0CAB9CAA" w14:textId="77777777" w:rsidR="00CB5936" w:rsidRPr="0022784B" w:rsidRDefault="00CB5936" w:rsidP="00CB5936">
      <w:pPr>
        <w:spacing w:after="120" w:line="276" w:lineRule="auto"/>
        <w:ind w:firstLine="708"/>
        <w:jc w:val="both"/>
        <w:rPr>
          <w:rFonts w:ascii="Verdana" w:eastAsia="Calibri" w:hAnsi="Verdana" w:cs="Arial"/>
          <w:lang w:val="es-ES"/>
        </w:rPr>
      </w:pPr>
      <w:r w:rsidRPr="0022784B">
        <w:rPr>
          <w:rFonts w:ascii="Verdana" w:eastAsia="Calibri" w:hAnsi="Verdana" w:cs="Arial"/>
          <w:lang w:val="es-MX"/>
        </w:rPr>
        <w:t>Así pues, el artículo 2.2.1.1.2.2.4 ibidem, establece lo que debe hacer la entidad cuando el precio de una oferta parece artificialmente bajo, esto es: i) solicitar explicación al oferente, ii) analizar las explicaciones del oferente, iii) el responsable de la evaluación de las ofertas debe recomendar rechazar o continuar la evaluación de la oferta, y iv) para la subasta inversa, lo anterior se debe hacer al finalizar el evento.</w:t>
      </w:r>
    </w:p>
    <w:p w14:paraId="2EA5D078" w14:textId="77777777" w:rsidR="00CB5936" w:rsidRPr="0022784B" w:rsidRDefault="00CB5936" w:rsidP="00CB5936">
      <w:pPr>
        <w:spacing w:before="120" w:line="276" w:lineRule="auto"/>
        <w:ind w:firstLine="708"/>
        <w:jc w:val="both"/>
        <w:rPr>
          <w:rFonts w:ascii="Verdana" w:eastAsia="Calibri" w:hAnsi="Verdana" w:cs="Arial"/>
        </w:rPr>
      </w:pPr>
      <w:r w:rsidRPr="0022784B">
        <w:rPr>
          <w:rFonts w:ascii="Verdana" w:eastAsia="Calibri" w:hAnsi="Verdana" w:cs="Arial"/>
          <w:lang w:val="es-ES"/>
        </w:rPr>
        <w:t>Sin embargo, debe precisarse que el análisis de los precios de una oferta se hace en la fase de evaluación del procedimiento de selección, que es la oportunidad para verificar, a través del comité evaluador</w:t>
      </w:r>
      <w:r w:rsidRPr="0022784B">
        <w:rPr>
          <w:rFonts w:ascii="Verdana" w:eastAsia="Aptos" w:hAnsi="Verdana" w:cs="Times New Roman"/>
          <w:kern w:val="2"/>
          <w:vertAlign w:val="superscript"/>
          <w:lang w:val="es-MX"/>
          <w14:ligatures w14:val="standardContextual"/>
        </w:rPr>
        <w:footnoteReference w:id="2"/>
      </w:r>
      <w:r w:rsidRPr="0022784B">
        <w:rPr>
          <w:rFonts w:ascii="Verdana" w:eastAsia="Calibri" w:hAnsi="Verdana" w:cs="Arial"/>
          <w:lang w:val="es-MX"/>
        </w:rPr>
        <w:t xml:space="preserve"> si se cumplen o no las reglas de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2A3B6A98" w14:textId="77777777" w:rsidR="00CB5936" w:rsidRPr="0022784B" w:rsidRDefault="00CB5936" w:rsidP="00CB5936">
      <w:pPr>
        <w:spacing w:after="120" w:line="276" w:lineRule="auto"/>
        <w:ind w:firstLine="708"/>
        <w:jc w:val="both"/>
        <w:rPr>
          <w:rFonts w:ascii="Verdana" w:eastAsia="Calibri" w:hAnsi="Verdana" w:cs="Arial"/>
          <w:lang w:val="es-ES"/>
        </w:rPr>
      </w:pPr>
      <w:r w:rsidRPr="0022784B">
        <w:rPr>
          <w:rFonts w:ascii="Verdana" w:eastAsia="Calibri" w:hAnsi="Verdana" w:cs="Arial"/>
          <w:lang w:val="es-ES"/>
        </w:rPr>
        <w:t xml:space="preserve">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pretende contratarse. En ese caso, la entidad podrá identificar las ofertas con </w:t>
      </w:r>
      <w:r w:rsidRPr="0022784B">
        <w:rPr>
          <w:rFonts w:ascii="Verdana" w:eastAsia="Calibri" w:hAnsi="Verdana" w:cs="Arial"/>
          <w:lang w:val="es-ES"/>
        </w:rPr>
        <w:lastRenderedPageBreak/>
        <w:t>precios que parecen artificialmente bajos, y seguir el procedimiento del Decreto 1082 de 2015. Concluido dicho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44752019" w14:textId="77777777" w:rsidR="00CB5936" w:rsidRPr="0022784B" w:rsidRDefault="00CB5936" w:rsidP="00CB5936">
      <w:pPr>
        <w:spacing w:after="120" w:line="276" w:lineRule="auto"/>
        <w:jc w:val="both"/>
        <w:rPr>
          <w:rFonts w:ascii="Verdana" w:eastAsia="Times New Roman" w:hAnsi="Verdana" w:cs="Arial"/>
          <w:lang w:val="es-ES"/>
        </w:rPr>
      </w:pPr>
      <w:r w:rsidRPr="0022784B">
        <w:rPr>
          <w:rFonts w:ascii="Verdana" w:eastAsia="Times New Roman" w:hAnsi="Verdana" w:cs="Arial"/>
          <w:lang w:val="es-ES"/>
        </w:rPr>
        <w:t xml:space="preserve">ii. Ahora bien,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donde se </w:t>
      </w:r>
      <w:r w:rsidRPr="0022784B">
        <w:rPr>
          <w:rFonts w:ascii="Verdana" w:hAnsi="Verdana" w:cs="Arial"/>
          <w:color w:val="000000" w:themeColor="text1"/>
        </w:rPr>
        <w:t xml:space="preserve">recomienda a las entidades estatales tener en cuenta la siguiente información: i) promedio del valor de las ofertas, ii) mediana del valor las ofertas, iii)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vii) la información histórica de ofertas y contratos del objeto del proceso de contratación. </w:t>
      </w:r>
    </w:p>
    <w:p w14:paraId="5C5D3D3A" w14:textId="77777777" w:rsidR="00CB5936" w:rsidRPr="0022784B" w:rsidRDefault="00CB5936" w:rsidP="00CB5936">
      <w:pPr>
        <w:spacing w:before="120" w:line="276" w:lineRule="auto"/>
        <w:ind w:firstLine="708"/>
        <w:jc w:val="both"/>
        <w:rPr>
          <w:rFonts w:ascii="Verdana" w:hAnsi="Verdana" w:cs="Arial"/>
          <w:color w:val="000000" w:themeColor="text1"/>
        </w:rPr>
      </w:pPr>
      <w:r w:rsidRPr="0022784B">
        <w:rPr>
          <w:rFonts w:ascii="Verdana" w:hAnsi="Verdana" w:cs="Arial"/>
          <w:color w:val="000000" w:themeColor="text1"/>
        </w:rPr>
        <w:t xml:space="preserve">Con estos datos, la entidad puede emplear herramientas para identificar ofertas que pueden ser artíficamente bajas, tales como la comparación absoluta o la comparación relativa. La </w:t>
      </w:r>
      <w:r w:rsidRPr="0022784B">
        <w:rPr>
          <w:rFonts w:ascii="Verdana" w:hAnsi="Verdana" w:cs="Arial"/>
          <w:i/>
          <w:iCs/>
          <w:color w:val="000000" w:themeColor="text1"/>
        </w:rPr>
        <w:t>comparación absoluta</w:t>
      </w:r>
      <w:r w:rsidRPr="0022784B">
        <w:rPr>
          <w:rFonts w:ascii="Verdana" w:hAnsi="Verdana" w:cs="Arial"/>
          <w:color w:val="000000" w:themeColor="text1"/>
        </w:rPr>
        <w:t xml:space="preserve"> consiste en contrastar cada oferta con el costo estimado del bien o servicio, de acuerdo con el estudio del sector. En este caso, si se reciben menos de cinco (5) ofertas, se debe solicitar aclaración a los proponentes cuyas ofertas sean menores en un 20%, o un mayor porcentaje en relación con el costo estimado por la entidad estatal. La </w:t>
      </w:r>
      <w:r w:rsidRPr="0022784B">
        <w:rPr>
          <w:rFonts w:ascii="Verdana" w:hAnsi="Verdana" w:cs="Arial"/>
          <w:i/>
          <w:iCs/>
          <w:color w:val="000000" w:themeColor="text1"/>
        </w:rPr>
        <w:t>comparación relativa</w:t>
      </w:r>
      <w:r w:rsidRPr="0022784B">
        <w:rPr>
          <w:rFonts w:ascii="Verdana" w:hAnsi="Verdana" w:cs="Arial"/>
          <w:color w:val="000000" w:themeColor="text1"/>
        </w:rPr>
        <w:t xml:space="preserve"> consiste en comparar cada oferta con las demás presentadas. </w:t>
      </w:r>
    </w:p>
    <w:p w14:paraId="0002D003" w14:textId="77777777" w:rsidR="00CB5936" w:rsidRPr="0022784B" w:rsidRDefault="00CB5936" w:rsidP="00CB5936">
      <w:pPr>
        <w:spacing w:before="120" w:after="0" w:line="276" w:lineRule="auto"/>
        <w:ind w:firstLine="708"/>
        <w:jc w:val="both"/>
        <w:rPr>
          <w:rFonts w:ascii="Verdana" w:hAnsi="Verdana" w:cs="Arial"/>
          <w:color w:val="000000" w:themeColor="text1"/>
        </w:rPr>
      </w:pPr>
      <w:r w:rsidRPr="0022784B">
        <w:rPr>
          <w:rFonts w:ascii="Verdana" w:hAnsi="Verdana" w:cs="Arial"/>
          <w:color w:val="000000"/>
          <w:shd w:val="clear" w:color="auto" w:fill="FFFFFF"/>
        </w:rPr>
        <w:t>Colombia Compra Eficiente ha sugerido a las entidades aplicar la siguiente metodología para identificar ofertas con “precios artificialmente bajos”, en aquellos procesos en los que hay cinco (5) o más ofertas</w:t>
      </w:r>
      <w:r w:rsidRPr="0022784B">
        <w:rPr>
          <w:rFonts w:ascii="Verdana" w:hAnsi="Verdana" w:cs="Arial"/>
          <w:color w:val="000000" w:themeColor="text1"/>
        </w:rPr>
        <w:t>:</w:t>
      </w:r>
    </w:p>
    <w:p w14:paraId="06F2B2D3" w14:textId="77777777" w:rsidR="00CB5936" w:rsidRPr="0022784B" w:rsidRDefault="00CB5936" w:rsidP="00CB5936">
      <w:pPr>
        <w:spacing w:after="0" w:line="276" w:lineRule="auto"/>
        <w:jc w:val="both"/>
        <w:rPr>
          <w:rFonts w:ascii="Verdana" w:hAnsi="Verdana" w:cs="Arial"/>
          <w:color w:val="000000" w:themeColor="text1"/>
        </w:rPr>
      </w:pPr>
    </w:p>
    <w:p w14:paraId="27C2F0D1" w14:textId="77777777" w:rsidR="00CB5936" w:rsidRPr="0022784B" w:rsidRDefault="00CB5936" w:rsidP="00CB5936">
      <w:pPr>
        <w:spacing w:after="0"/>
        <w:ind w:left="709" w:right="709" w:hanging="2"/>
        <w:jc w:val="both"/>
        <w:rPr>
          <w:rFonts w:ascii="Verdana" w:hAnsi="Verdana" w:cs="Arial"/>
          <w:color w:val="000000" w:themeColor="text1"/>
          <w:sz w:val="21"/>
          <w:szCs w:val="21"/>
        </w:rPr>
      </w:pPr>
      <w:r w:rsidRPr="0022784B">
        <w:rPr>
          <w:rFonts w:ascii="Verdana" w:hAnsi="Verdana" w:cs="Arial"/>
          <w:color w:val="000000" w:themeColor="text1"/>
          <w:sz w:val="21"/>
          <w:szCs w:val="21"/>
        </w:rPr>
        <w:t xml:space="preserve">1. Tomar el conjunto de ofertas a evaluar. </w:t>
      </w:r>
    </w:p>
    <w:p w14:paraId="7C9D5105" w14:textId="77777777" w:rsidR="00CB5936" w:rsidRPr="0022784B" w:rsidRDefault="00CB5936" w:rsidP="00CB5936">
      <w:pPr>
        <w:spacing w:after="0"/>
        <w:ind w:left="709" w:right="709" w:hanging="2"/>
        <w:jc w:val="both"/>
        <w:rPr>
          <w:rFonts w:ascii="Verdana" w:hAnsi="Verdana" w:cs="Arial"/>
          <w:color w:val="000000" w:themeColor="text1"/>
          <w:sz w:val="21"/>
          <w:szCs w:val="21"/>
        </w:rPr>
      </w:pPr>
      <w:r w:rsidRPr="0022784B">
        <w:rPr>
          <w:rFonts w:ascii="Verdana" w:hAnsi="Verdana" w:cs="Arial"/>
          <w:color w:val="000000" w:themeColor="text1"/>
          <w:sz w:val="21"/>
          <w:szCs w:val="21"/>
        </w:rPr>
        <w:t>2. Calcular la mediana, o dependiendo de la dispersión de los datos el promedio, del valor de cada oferta o de cada ítem dentro de la oferta.</w:t>
      </w:r>
    </w:p>
    <w:p w14:paraId="3A3A1E69" w14:textId="77777777" w:rsidR="00CB5936" w:rsidRPr="0022784B" w:rsidRDefault="00CB5936" w:rsidP="00CB5936">
      <w:pPr>
        <w:spacing w:after="0"/>
        <w:ind w:left="709" w:right="709" w:hanging="2"/>
        <w:jc w:val="both"/>
        <w:rPr>
          <w:rFonts w:ascii="Verdana" w:hAnsi="Verdana" w:cs="Arial"/>
          <w:color w:val="000000" w:themeColor="text1"/>
          <w:sz w:val="21"/>
          <w:szCs w:val="21"/>
        </w:rPr>
      </w:pPr>
      <w:r w:rsidRPr="0022784B">
        <w:rPr>
          <w:rFonts w:ascii="Verdana" w:hAnsi="Verdana" w:cs="Arial"/>
          <w:color w:val="000000" w:themeColor="text1"/>
          <w:sz w:val="21"/>
          <w:szCs w:val="21"/>
        </w:rPr>
        <w:lastRenderedPageBreak/>
        <w:t xml:space="preserve">3. Calcular la desviación estándar del conjunto. </w:t>
      </w:r>
    </w:p>
    <w:p w14:paraId="62AD63B4" w14:textId="77777777" w:rsidR="00CB5936" w:rsidRPr="0022784B" w:rsidRDefault="00CB5936" w:rsidP="00CB5936">
      <w:pPr>
        <w:spacing w:after="0"/>
        <w:ind w:left="709" w:right="709" w:hanging="2"/>
        <w:jc w:val="both"/>
        <w:rPr>
          <w:rFonts w:ascii="Verdana" w:hAnsi="Verdana" w:cs="Arial"/>
          <w:color w:val="000000" w:themeColor="text1"/>
          <w:sz w:val="21"/>
          <w:szCs w:val="21"/>
        </w:rPr>
      </w:pPr>
      <w:r w:rsidRPr="0022784B">
        <w:rPr>
          <w:rFonts w:ascii="Verdana" w:hAnsi="Verdana" w:cs="Arial"/>
          <w:color w:val="000000" w:themeColor="text1"/>
          <w:sz w:val="21"/>
          <w:szCs w:val="21"/>
        </w:rPr>
        <w:t>4. Determinar el valor mínimo aceptable.</w:t>
      </w:r>
      <w:r w:rsidRPr="0022784B">
        <w:rPr>
          <w:rStyle w:val="Refdenotaalpie"/>
          <w:rFonts w:ascii="Verdana" w:hAnsi="Verdana" w:cs="Arial"/>
          <w:color w:val="000000" w:themeColor="text1"/>
          <w:sz w:val="21"/>
          <w:szCs w:val="21"/>
        </w:rPr>
        <w:footnoteReference w:id="3"/>
      </w:r>
    </w:p>
    <w:p w14:paraId="30D6EE1F" w14:textId="77777777" w:rsidR="00CB5936" w:rsidRPr="0022784B" w:rsidRDefault="00CB5936" w:rsidP="00CB5936">
      <w:pPr>
        <w:spacing w:after="0" w:line="276" w:lineRule="auto"/>
        <w:jc w:val="both"/>
        <w:rPr>
          <w:rFonts w:ascii="Verdana" w:hAnsi="Verdana" w:cs="Arial"/>
          <w:color w:val="000000" w:themeColor="text1"/>
        </w:rPr>
      </w:pPr>
    </w:p>
    <w:p w14:paraId="4079ED29" w14:textId="77777777" w:rsidR="00CB5936" w:rsidRPr="0022784B" w:rsidRDefault="00CB5936" w:rsidP="00CB5936">
      <w:pPr>
        <w:spacing w:after="0" w:line="276" w:lineRule="auto"/>
        <w:ind w:firstLine="708"/>
        <w:jc w:val="both"/>
        <w:rPr>
          <w:rFonts w:ascii="Verdana" w:hAnsi="Verdana" w:cs="Arial"/>
          <w:color w:val="000000" w:themeColor="text1"/>
        </w:rPr>
      </w:pPr>
      <w:r w:rsidRPr="0022784B">
        <w:rPr>
          <w:rFonts w:ascii="Verdana" w:hAnsi="Verdana" w:cs="Arial"/>
          <w:color w:val="000000" w:themeColor="text1"/>
        </w:rPr>
        <w:t xml:space="preserve">La </w:t>
      </w:r>
      <w:r w:rsidRPr="0022784B">
        <w:rPr>
          <w:rFonts w:ascii="Verdana" w:hAnsi="Verdana" w:cs="Arial"/>
          <w:i/>
          <w:iCs/>
          <w:color w:val="000000" w:themeColor="text1"/>
        </w:rPr>
        <w:t>mediana</w:t>
      </w:r>
      <w:r w:rsidRPr="0022784B">
        <w:rPr>
          <w:rFonts w:ascii="Verdana" w:hAnsi="Verdana" w:cs="Arial"/>
          <w:color w:val="000000" w:themeColor="text1"/>
        </w:rPr>
        <w:t xml:space="preserve"> debe calcularse ordenando los valores de mayor a menor y tomando el valor de la oferta en la mitad de la lista. Si el número de ofertas es par, caso en el cual no habrá una oferta “en la mitad”, debe tomarse los dos valores del medio, se suman y dividen en dos. Posteriormente, es necesario calcular la </w:t>
      </w:r>
      <w:r w:rsidRPr="0022784B">
        <w:rPr>
          <w:rFonts w:ascii="Verdana" w:hAnsi="Verdana" w:cs="Arial"/>
          <w:i/>
          <w:iCs/>
          <w:color w:val="000000" w:themeColor="text1"/>
        </w:rPr>
        <w:t>desviación estándar</w:t>
      </w:r>
      <w:r w:rsidRPr="0022784B">
        <w:rPr>
          <w:rFonts w:ascii="Verdana" w:hAnsi="Verdana" w:cs="Arial"/>
          <w:color w:val="000000" w:themeColor="text1"/>
        </w:rPr>
        <w:t xml:space="preserve">, utilizando la siguiente fórmula, en la que el </w:t>
      </w:r>
      <w:r w:rsidRPr="0022784B">
        <w:rPr>
          <w:rFonts w:ascii="Verdana" w:eastAsia="Calibri" w:hAnsi="Verdana" w:cs="Arial"/>
          <w:color w:val="000000" w:themeColor="text1"/>
          <w:lang w:val="es-ES"/>
        </w:rPr>
        <w:t xml:space="preserve">valor </w:t>
      </w:r>
      <w:r w:rsidRPr="0022784B">
        <w:rPr>
          <w:rFonts w:ascii="Verdana" w:eastAsia="Calibri" w:hAnsi="Verdana" w:cs="Arial"/>
          <w:i/>
          <w:color w:val="000000" w:themeColor="text1"/>
          <w:lang w:val="es-ES"/>
        </w:rPr>
        <w:t>n</w:t>
      </w:r>
      <w:r w:rsidRPr="0022784B">
        <w:rPr>
          <w:rFonts w:ascii="Verdana" w:eastAsia="Calibri" w:hAnsi="Verdana" w:cs="Arial"/>
          <w:color w:val="000000" w:themeColor="text1"/>
          <w:lang w:val="es-ES"/>
        </w:rPr>
        <w:t xml:space="preserve"> es el número de ofertas</w:t>
      </w:r>
      <w:r w:rsidRPr="0022784B">
        <w:rPr>
          <w:rFonts w:ascii="Verdana" w:hAnsi="Verdana" w:cs="Arial"/>
          <w:color w:val="000000" w:themeColor="text1"/>
        </w:rPr>
        <w:t xml:space="preserve">: </w:t>
      </w:r>
    </w:p>
    <w:p w14:paraId="208C05D4" w14:textId="77777777" w:rsidR="00CB5936" w:rsidRPr="0022784B" w:rsidRDefault="00CB5936" w:rsidP="00CB5936">
      <w:pPr>
        <w:spacing w:after="0" w:line="276" w:lineRule="auto"/>
        <w:ind w:firstLine="708"/>
        <w:jc w:val="both"/>
        <w:rPr>
          <w:rFonts w:ascii="Verdana" w:hAnsi="Verdana" w:cs="Arial"/>
          <w:color w:val="000000" w:themeColor="text1"/>
        </w:rPr>
      </w:pPr>
    </w:p>
    <w:p w14:paraId="36C857E1" w14:textId="77777777" w:rsidR="00CB5936" w:rsidRPr="0022784B" w:rsidRDefault="00CB5936" w:rsidP="00CB5936">
      <w:pPr>
        <w:spacing w:after="0" w:line="276" w:lineRule="auto"/>
        <w:jc w:val="center"/>
        <w:rPr>
          <w:rFonts w:ascii="Verdana" w:hAnsi="Verdana" w:cs="Arial"/>
          <w:color w:val="000000" w:themeColor="text1"/>
        </w:rPr>
      </w:pPr>
      <w:r w:rsidRPr="0022784B">
        <w:rPr>
          <w:rFonts w:ascii="Verdana" w:hAnsi="Verdana" w:cs="Arial"/>
          <w:noProof/>
          <w:color w:val="000000" w:themeColor="text1"/>
          <w:lang w:eastAsia="es-CO"/>
        </w:rPr>
        <w:drawing>
          <wp:inline distT="0" distB="0" distL="0" distR="0" wp14:anchorId="0291240B" wp14:editId="152060BD">
            <wp:extent cx="4967416" cy="460709"/>
            <wp:effectExtent l="0" t="0" r="5080" b="0"/>
            <wp:docPr id="9"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3EE01F9D" w14:textId="77777777" w:rsidR="00CB5936" w:rsidRPr="0022784B" w:rsidRDefault="00CB5936" w:rsidP="00CB5936">
      <w:pPr>
        <w:spacing w:after="0" w:line="276" w:lineRule="auto"/>
        <w:jc w:val="both"/>
        <w:rPr>
          <w:rFonts w:ascii="Verdana" w:hAnsi="Verdana" w:cs="Arial"/>
          <w:color w:val="000000" w:themeColor="text1"/>
        </w:rPr>
      </w:pPr>
    </w:p>
    <w:p w14:paraId="3729B1D0" w14:textId="77777777" w:rsidR="00CB5936" w:rsidRPr="0022784B" w:rsidRDefault="00CB5936" w:rsidP="00CB5936">
      <w:pPr>
        <w:spacing w:line="276" w:lineRule="auto"/>
        <w:ind w:firstLine="708"/>
        <w:jc w:val="both"/>
        <w:rPr>
          <w:rFonts w:ascii="Verdana" w:hAnsi="Verdana" w:cs="Arial"/>
          <w:color w:val="000000" w:themeColor="text1"/>
        </w:rPr>
      </w:pPr>
      <w:r w:rsidRPr="0022784B">
        <w:rPr>
          <w:rFonts w:ascii="Verdana" w:hAnsi="Verdana" w:cs="Arial"/>
          <w:color w:val="000000" w:themeColor="text1"/>
        </w:rPr>
        <w:t xml:space="preserve">Por último, el </w:t>
      </w:r>
      <w:r w:rsidRPr="0022784B">
        <w:rPr>
          <w:rFonts w:ascii="Verdana" w:hAnsi="Verdana" w:cs="Arial"/>
          <w:i/>
          <w:iCs/>
          <w:color w:val="000000" w:themeColor="text1"/>
        </w:rPr>
        <w:t>valor mínimo aceptable</w:t>
      </w:r>
      <w:r w:rsidRPr="0022784B">
        <w:rPr>
          <w:rFonts w:ascii="Verdana" w:hAnsi="Verdana" w:cs="Arial"/>
          <w:color w:val="000000" w:themeColor="text1"/>
        </w:rPr>
        <w:t xml:space="preserve">, será igual a la </w:t>
      </w:r>
      <w:r w:rsidRPr="0022784B">
        <w:rPr>
          <w:rFonts w:ascii="Verdana" w:hAnsi="Verdana" w:cs="Arial"/>
          <w:i/>
          <w:iCs/>
          <w:color w:val="000000" w:themeColor="text1"/>
        </w:rPr>
        <w:t>mediana</w:t>
      </w:r>
      <w:r w:rsidRPr="0022784B">
        <w:rPr>
          <w:rFonts w:ascii="Verdana" w:hAnsi="Verdana" w:cs="Arial"/>
          <w:color w:val="000000" w:themeColor="text1"/>
        </w:rPr>
        <w:t xml:space="preserve"> menos la </w:t>
      </w:r>
      <w:r w:rsidRPr="0022784B">
        <w:rPr>
          <w:rFonts w:ascii="Verdana" w:hAnsi="Verdana" w:cs="Arial"/>
          <w:i/>
          <w:iCs/>
          <w:color w:val="000000" w:themeColor="text1"/>
        </w:rPr>
        <w:t>desviación estándar</w:t>
      </w:r>
      <w:r w:rsidRPr="0022784B">
        <w:rPr>
          <w:rFonts w:ascii="Verdana" w:hAnsi="Verdana" w:cs="Arial"/>
          <w:color w:val="000000" w:themeColor="text1"/>
        </w:rPr>
        <w:t xml:space="preserve">. De esta manera, la entidad puede identificar como ofertas artificialmente bajas las que se encuentren por debajo de ese valor mínimo. Con todo, dicho valor puede ser diferente al obtenido con la anterior metodología, dependiendo de la información y los datos con los que cuenten las entidades. </w:t>
      </w:r>
      <w:r w:rsidRPr="0022784B">
        <w:rPr>
          <w:rStyle w:val="normaltextrun"/>
          <w:rFonts w:ascii="Verdana" w:hAnsi="Verdana" w:cs="Arial"/>
          <w:color w:val="000000"/>
          <w:shd w:val="clear" w:color="auto" w:fill="FFFFFF"/>
        </w:rPr>
        <w:t>Esto es así porque l</w:t>
      </w:r>
      <w:r w:rsidRPr="0022784B">
        <w:rPr>
          <w:rStyle w:val="normaltextrun"/>
          <w:rFonts w:ascii="Verdana" w:hAnsi="Verdana" w:cs="Arial"/>
          <w:color w:val="000000"/>
          <w:shd w:val="clear" w:color="auto" w:fill="FFFFFF"/>
          <w:lang w:val="es-ES"/>
        </w:rPr>
        <w:t>as entidades pueden o no acoger la metodología explicada, toda vez que la Guía no es de obligatorio cumplimiento para las entidades, pues sólo constituye una orientación o lineamiento para sus procesos de contratación</w:t>
      </w:r>
      <w:r w:rsidRPr="0022784B">
        <w:rPr>
          <w:rFonts w:ascii="Verdana" w:eastAsia="Calibri" w:hAnsi="Verdana" w:cs="Arial"/>
          <w:color w:val="000000" w:themeColor="text1"/>
          <w:lang w:val="es-ES"/>
        </w:rPr>
        <w:t>.</w:t>
      </w:r>
    </w:p>
    <w:p w14:paraId="559741FE" w14:textId="77777777" w:rsidR="00CB5936" w:rsidRPr="0022784B" w:rsidRDefault="00CB5936" w:rsidP="00CB5936">
      <w:pPr>
        <w:spacing w:before="120" w:line="276" w:lineRule="auto"/>
        <w:ind w:firstLine="708"/>
        <w:jc w:val="both"/>
        <w:rPr>
          <w:rFonts w:ascii="Verdana" w:eastAsia="Calibri" w:hAnsi="Verdana" w:cs="Arial"/>
          <w:color w:val="000000" w:themeColor="text1"/>
          <w:lang w:val="es-ES"/>
        </w:rPr>
      </w:pPr>
      <w:r w:rsidRPr="0022784B">
        <w:rPr>
          <w:rFonts w:ascii="Verdana" w:eastAsia="Calibri" w:hAnsi="Verdana" w:cs="Arial"/>
          <w:color w:val="000000" w:themeColor="text1"/>
          <w:lang w:val="es-ES"/>
        </w:rPr>
        <w:t xml:space="preserve">La Guía también contempla los casos en los que el contratista se selecciona a través de </w:t>
      </w:r>
      <w:r w:rsidRPr="0022784B">
        <w:rPr>
          <w:rFonts w:ascii="Verdana" w:eastAsia="Calibri" w:hAnsi="Verdana" w:cs="Arial"/>
          <w:i/>
          <w:iCs/>
          <w:color w:val="000000" w:themeColor="text1"/>
          <w:lang w:val="es-ES"/>
        </w:rPr>
        <w:t>subasta inversa</w:t>
      </w:r>
      <w:r w:rsidRPr="0022784B">
        <w:rPr>
          <w:rFonts w:ascii="Verdana" w:eastAsia="Calibri" w:hAnsi="Verdana" w:cs="Arial"/>
          <w:color w:val="000000" w:themeColor="text1"/>
          <w:lang w:val="es-ES"/>
        </w:rPr>
        <w:t xml:space="preserve">, en los cuales el criterio de evaluación es el precio. En este evento, la Agencia recomienda tener especial cuidado, ya que es común que ofertas competitivas puedan parecer artificialmente bajas en el desarrollo de la subasta inversa. </w:t>
      </w:r>
    </w:p>
    <w:p w14:paraId="26CB876A" w14:textId="77777777" w:rsidR="00CB5936" w:rsidRPr="0022784B" w:rsidRDefault="00CB5936" w:rsidP="00CB5936">
      <w:pPr>
        <w:spacing w:before="120" w:line="276" w:lineRule="auto"/>
        <w:ind w:firstLine="708"/>
        <w:jc w:val="both"/>
        <w:rPr>
          <w:rFonts w:ascii="Verdana" w:eastAsia="Calibri" w:hAnsi="Verdana" w:cs="Arial"/>
          <w:color w:val="000000" w:themeColor="text1"/>
          <w:lang w:val="es-ES"/>
        </w:rPr>
      </w:pPr>
      <w:r w:rsidRPr="0022784B">
        <w:rPr>
          <w:rFonts w:ascii="Verdana" w:eastAsia="Calibri" w:hAnsi="Verdana" w:cs="Arial"/>
          <w:color w:val="000000" w:themeColor="text1"/>
          <w:lang w:val="es-ES"/>
        </w:rPr>
        <w:t xml:space="preserve">En todo caso, la Guía sugiere llevar a cabo las siguientes actuaciones: i) comparar el valor de cada oferta con el costo estimado de la provisión del bien o servicio, de acuerdo con el estudio del sector que elaboró la entidad. De todos modos, la verificación de las ofertas artificialmente bajas se puede sustentar en información adicional, como, por ejemplo, los precios de fabricantes y otros factores económicos relevantes. ii) Solicitar explicaciones a los proponentes cuyas ofertas sean menores en un 20% o más en relación con el precio estimado </w:t>
      </w:r>
      <w:r w:rsidRPr="0022784B">
        <w:rPr>
          <w:rFonts w:ascii="Verdana" w:eastAsia="Calibri" w:hAnsi="Verdana" w:cs="Arial"/>
          <w:color w:val="000000" w:themeColor="text1"/>
          <w:lang w:val="es-ES"/>
        </w:rPr>
        <w:lastRenderedPageBreak/>
        <w:t xml:space="preserve">por la Entidad Estatal. Para tales fines, se sugiere acudir al método de </w:t>
      </w:r>
      <w:r w:rsidRPr="0022784B">
        <w:rPr>
          <w:rFonts w:ascii="Verdana" w:eastAsia="Calibri" w:hAnsi="Verdana" w:cs="Arial"/>
          <w:i/>
          <w:iCs/>
          <w:color w:val="000000" w:themeColor="text1"/>
          <w:lang w:val="es-ES"/>
        </w:rPr>
        <w:t>comparación absoluta</w:t>
      </w:r>
      <w:r w:rsidRPr="0022784B">
        <w:rPr>
          <w:rFonts w:ascii="Verdana" w:eastAsia="Calibri" w:hAnsi="Verdana" w:cs="Arial"/>
          <w:color w:val="000000" w:themeColor="text1"/>
          <w:lang w:val="es-ES"/>
        </w:rPr>
        <w:t xml:space="preserve">, previamente explicado. Por último, iii) analizar la información remitida por el proponente requerido y, con fundamento en esta, considerar el rechazo de las ofertas por la configuración de alguno de los eventos señalados en la Sección VII de la mencionada Guía. </w:t>
      </w:r>
      <w:r w:rsidRPr="0022784B">
        <w:rPr>
          <w:rStyle w:val="normaltextrun"/>
          <w:rFonts w:ascii="Verdana" w:hAnsi="Verdana" w:cs="Arial"/>
          <w:color w:val="000000"/>
          <w:shd w:val="clear" w:color="auto" w:fill="FFFFFF"/>
          <w:lang w:val="es-ES"/>
        </w:rPr>
        <w:t>Este documento se refiere a los eventos en los que el proponente omitió diligenciar algún ítem o componente de la oferta; cometió un error aritmético en la determinación del valor total de la oferta; ofreció por una unidad de medida diferente a la solicitada por la Entidad Estatal; u ofreció condiciones técnicas o de ejecución del contrato que no se ajustan a las especificaciones requeridas por la Entidad.</w:t>
      </w:r>
      <w:r w:rsidRPr="0022784B">
        <w:rPr>
          <w:rStyle w:val="eop"/>
          <w:rFonts w:ascii="Verdana" w:hAnsi="Verdana" w:cs="Arial"/>
          <w:color w:val="000000"/>
          <w:shd w:val="clear" w:color="auto" w:fill="FFFFFF"/>
        </w:rPr>
        <w:t> </w:t>
      </w:r>
      <w:r w:rsidRPr="0022784B">
        <w:rPr>
          <w:rFonts w:ascii="Verdana" w:eastAsia="Calibri" w:hAnsi="Verdana" w:cs="Arial"/>
          <w:color w:val="000000" w:themeColor="text1"/>
          <w:lang w:val="es-ES"/>
        </w:rPr>
        <w:t xml:space="preserve"> </w:t>
      </w:r>
    </w:p>
    <w:p w14:paraId="6916B4B0" w14:textId="77777777" w:rsidR="00CB5936" w:rsidRPr="0022784B" w:rsidRDefault="00CB5936" w:rsidP="00CB5936">
      <w:pPr>
        <w:spacing w:before="120" w:line="276" w:lineRule="auto"/>
        <w:ind w:firstLine="708"/>
        <w:jc w:val="both"/>
        <w:rPr>
          <w:rFonts w:ascii="Verdana" w:hAnsi="Verdana" w:cs="Arial"/>
          <w:color w:val="000000" w:themeColor="text1"/>
        </w:rPr>
      </w:pPr>
      <w:r w:rsidRPr="0022784B">
        <w:rPr>
          <w:rFonts w:ascii="Verdana" w:hAnsi="Verdana" w:cs="Arial"/>
          <w:color w:val="000000" w:themeColor="text1"/>
        </w:rPr>
        <w:t xml:space="preserve">Una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la misma en el proceso de evaluación de ofertas. </w:t>
      </w:r>
    </w:p>
    <w:p w14:paraId="271EB335" w14:textId="77777777" w:rsidR="00CB5936" w:rsidRPr="0022784B" w:rsidRDefault="00CB5936" w:rsidP="00CB5936">
      <w:pPr>
        <w:spacing w:before="120" w:line="276" w:lineRule="auto"/>
        <w:ind w:firstLine="709"/>
        <w:jc w:val="both"/>
        <w:rPr>
          <w:rFonts w:ascii="Verdana" w:hAnsi="Verdana" w:cs="Arial"/>
          <w:color w:val="000000" w:themeColor="text1"/>
        </w:rPr>
      </w:pPr>
      <w:r w:rsidRPr="0022784B">
        <w:rPr>
          <w:rFonts w:ascii="Verdana" w:hAnsi="Verdana" w:cs="Arial"/>
          <w:color w:val="000000" w:themeColor="text1"/>
        </w:rPr>
        <w:t>La ley y el reglamento no determinan la forma ni 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w:t>
      </w:r>
    </w:p>
    <w:p w14:paraId="5FCDC7FA" w14:textId="77777777" w:rsidR="00CB5936" w:rsidRPr="0022784B" w:rsidRDefault="00CB5936" w:rsidP="00CB5936">
      <w:pPr>
        <w:spacing w:before="120" w:line="276" w:lineRule="auto"/>
        <w:ind w:firstLine="708"/>
        <w:jc w:val="both"/>
        <w:rPr>
          <w:rFonts w:ascii="Verdana" w:hAnsi="Verdana" w:cs="Arial"/>
          <w:color w:val="000000" w:themeColor="text1"/>
        </w:rPr>
      </w:pPr>
      <w:r w:rsidRPr="0022784B">
        <w:rPr>
          <w:rFonts w:ascii="Verdana" w:hAnsi="Verdana" w:cs="Arial"/>
          <w:color w:val="000000" w:themeColor="text1"/>
        </w:rPr>
        <w:t xml:space="preserve">En el evento en que el proponente no allegue información una vez se haya requerido, se tratará de una omisión que el comité evaluador deberá analizar. De ser el caso, podrá rechazar la oferta si la duda que tiene es de tal magnitud que no tomar la decisión podría eventualmente comprometer la legalidad del proceso.   </w:t>
      </w:r>
    </w:p>
    <w:p w14:paraId="747DA5D9" w14:textId="77777777" w:rsidR="00CB5936" w:rsidRPr="0022784B" w:rsidRDefault="00CB5936" w:rsidP="00CB5936">
      <w:pPr>
        <w:spacing w:before="120" w:line="276" w:lineRule="auto"/>
        <w:ind w:firstLine="708"/>
        <w:jc w:val="both"/>
        <w:rPr>
          <w:rFonts w:ascii="Verdana" w:hAnsi="Verdana" w:cs="Arial"/>
          <w:color w:val="000000" w:themeColor="text1"/>
        </w:rPr>
      </w:pPr>
      <w:r w:rsidRPr="0022784B">
        <w:rPr>
          <w:rFonts w:ascii="Verdana" w:hAnsi="Verdana" w:cs="Arial"/>
          <w:color w:val="000000" w:themeColor="text1"/>
        </w:rPr>
        <w:t xml:space="preserve">El requerimiento debe comunicarse al proponente por el medio que la entidad considere más eficaz e idóneo, de acuerdo con el caso y las circunstancias particulares de la información objeto de requerimiento. Puede acudir a mensajes electrónicos y otros de similar informalidad. En relación con este aspecto, en el Concepto 2201913000008288 del 7 de noviembre de 2019, esta Agencia avaló en abstracto la idoneidad de una llamada telefónica para comunicar el requerimiento al oferente. La entidad estatal, entonces, no tiene la </w:t>
      </w:r>
      <w:r w:rsidRPr="0022784B">
        <w:rPr>
          <w:rFonts w:ascii="Verdana" w:hAnsi="Verdana" w:cs="Arial"/>
          <w:color w:val="000000" w:themeColor="text1"/>
        </w:rPr>
        <w:lastRenderedPageBreak/>
        <w:t>obligación de notificar dicho requerimiento al proponente, pues el mismo es un acto de trámite y no uno definitivo</w:t>
      </w:r>
      <w:r w:rsidRPr="0022784B">
        <w:rPr>
          <w:rStyle w:val="Refdenotaalpie"/>
          <w:rFonts w:ascii="Verdana" w:hAnsi="Verdana" w:cs="Arial"/>
          <w:color w:val="000000" w:themeColor="text1"/>
        </w:rPr>
        <w:footnoteReference w:id="4"/>
      </w:r>
      <w:r w:rsidRPr="0022784B">
        <w:rPr>
          <w:rFonts w:ascii="Verdana" w:hAnsi="Verdana" w:cs="Arial"/>
          <w:color w:val="000000" w:themeColor="text1"/>
        </w:rPr>
        <w:t>.</w:t>
      </w:r>
    </w:p>
    <w:p w14:paraId="1350627B" w14:textId="77777777" w:rsidR="00CB5936" w:rsidRPr="0022784B" w:rsidRDefault="00CB5936" w:rsidP="00CB5936">
      <w:pPr>
        <w:spacing w:before="120" w:line="276" w:lineRule="auto"/>
        <w:ind w:firstLine="708"/>
        <w:jc w:val="both"/>
        <w:rPr>
          <w:rFonts w:ascii="Verdana" w:hAnsi="Verdana" w:cs="Arial"/>
          <w:color w:val="000000" w:themeColor="text1"/>
        </w:rPr>
      </w:pPr>
      <w:r w:rsidRPr="0022784B">
        <w:rPr>
          <w:rFonts w:ascii="Verdana" w:hAnsi="Verdana" w:cs="Arial"/>
          <w:color w:val="000000" w:themeColor="text1"/>
        </w:rPr>
        <w:t>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explicó la Sección Quinta del Consejo de Estado 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22784B">
        <w:rPr>
          <w:rStyle w:val="Refdenotaalpie"/>
          <w:rFonts w:ascii="Verdana" w:hAnsi="Verdana" w:cs="Arial"/>
          <w:color w:val="000000" w:themeColor="text1"/>
        </w:rPr>
        <w:footnoteReference w:id="5"/>
      </w:r>
      <w:r w:rsidRPr="0022784B">
        <w:rPr>
          <w:rFonts w:ascii="Verdana" w:hAnsi="Verdana" w:cs="Arial"/>
          <w:color w:val="000000" w:themeColor="text1"/>
        </w:rPr>
        <w:t xml:space="preserve">. </w:t>
      </w:r>
    </w:p>
    <w:p w14:paraId="0DDECAD9" w14:textId="77777777" w:rsidR="00CB5936" w:rsidRPr="0022784B" w:rsidRDefault="00CB5936" w:rsidP="00CB5936">
      <w:pPr>
        <w:spacing w:before="120" w:line="276" w:lineRule="auto"/>
        <w:ind w:firstLine="708"/>
        <w:jc w:val="both"/>
        <w:rPr>
          <w:rFonts w:ascii="Verdana" w:hAnsi="Verdana" w:cs="Arial"/>
          <w:color w:val="000000" w:themeColor="text1"/>
        </w:rPr>
      </w:pPr>
      <w:r w:rsidRPr="0022784B">
        <w:rPr>
          <w:rFonts w:ascii="Verdana" w:hAnsi="Verdana" w:cs="Arial"/>
          <w:color w:val="000000" w:themeColor="text1"/>
        </w:rPr>
        <w:t xml:space="preserve">La entidad tiene entonces la facultad de definir el término mínimo que otorgará a los proponentes para aclarar el precio artificialmente bajo. No obstante, dicho término debe estar acorde, por un lado, con el interés general y, por el otro, con los principios de proporcionalidad y razonabilidad, así como también con los principios del Estatuto General de Contratación de la Administración Pública. </w:t>
      </w:r>
    </w:p>
    <w:p w14:paraId="3718A938" w14:textId="77777777" w:rsidR="00CB5936" w:rsidRPr="0022784B" w:rsidRDefault="00CB5936" w:rsidP="00CB5936">
      <w:pPr>
        <w:pStyle w:val="NormalWeb"/>
        <w:spacing w:after="120" w:line="276" w:lineRule="auto"/>
        <w:ind w:firstLine="709"/>
        <w:jc w:val="both"/>
        <w:rPr>
          <w:rFonts w:ascii="Verdana" w:hAnsi="Verdana" w:cs="Arial"/>
          <w:color w:val="000000" w:themeColor="text1"/>
          <w:sz w:val="22"/>
          <w:szCs w:val="22"/>
          <w:lang w:val="es-ES"/>
        </w:rPr>
      </w:pPr>
      <w:r w:rsidRPr="0022784B">
        <w:rPr>
          <w:rFonts w:ascii="Verdana" w:hAnsi="Verdana" w:cs="Arial"/>
          <w:color w:val="000000" w:themeColor="text1"/>
          <w:sz w:val="22"/>
          <w:szCs w:val="22"/>
          <w:lang w:val="es-ES"/>
        </w:rPr>
        <w:t xml:space="preserve">Finalmente, verificada la información remitida por el proponente, la entidad debe definir si rechaza o no la oferta. En la “Guía para el manejo de ofertas artificialmente bajas en Procesos de Contratación”, la </w:t>
      </w:r>
      <w:r w:rsidRPr="0022784B">
        <w:rPr>
          <w:rFonts w:ascii="Verdana" w:hAnsi="Verdana" w:cs="Arial"/>
          <w:color w:val="000000" w:themeColor="text1"/>
          <w:sz w:val="22"/>
        </w:rPr>
        <w:t xml:space="preserve">Agencia Nacional de Contratación Pública </w:t>
      </w:r>
      <w:r w:rsidRPr="0022784B">
        <w:rPr>
          <w:rFonts w:ascii="Verdana" w:hAnsi="Verdana" w:cs="Arial"/>
          <w:color w:val="000000" w:themeColor="text1"/>
          <w:sz w:val="22"/>
          <w:szCs w:val="22"/>
          <w:lang w:val="es-ES"/>
        </w:rPr>
        <w:t xml:space="preserve">precisó que se debe rechazar la propuesta en los siguientes eventos: i) “el proponente no presenta por escrito a la entidad estatal la aclaración de la oferta”, ii) “el proponente no envía parte o la totalidad de la información solicitada por la entidad estatal”, iii) “las aclaraciones del proponente no son satisfactorias para garantizar la sostenibilidad de la oferta durante la ejecución del contrato” y iv) “las aclaraciones del proponente no </w:t>
      </w:r>
      <w:r w:rsidRPr="0022784B">
        <w:rPr>
          <w:rFonts w:ascii="Verdana" w:hAnsi="Verdana" w:cs="Arial"/>
          <w:color w:val="000000" w:themeColor="text1"/>
          <w:sz w:val="22"/>
          <w:szCs w:val="22"/>
          <w:lang w:val="es-ES"/>
        </w:rPr>
        <w:lastRenderedPageBreak/>
        <w:t>desvirtúan la teoría de que está utilizando su oferta como parte de una estrategia colusoria o […] anticompetitiva durante el proceso de selección”. Lo anterior, sin perjuicio de los eventos señalados en la Sección VII de la “Guía para el manejo de ofertas artificialmente bajas en Procesos de Contratación de Colombia Compra Eficiente”, los cuales, debe advertirse, son criterios orientadores para las entidades públicas y no causales de rechazo en estricto sentido.</w:t>
      </w:r>
    </w:p>
    <w:p w14:paraId="4820A0A3" w14:textId="77777777" w:rsidR="00CB5936" w:rsidRPr="0022784B" w:rsidRDefault="00CB5936" w:rsidP="00CB5936">
      <w:pPr>
        <w:pStyle w:val="NormalWeb"/>
        <w:spacing w:after="120" w:line="276" w:lineRule="auto"/>
        <w:ind w:firstLine="709"/>
        <w:jc w:val="both"/>
        <w:rPr>
          <w:rFonts w:ascii="Verdana" w:hAnsi="Verdana" w:cs="Arial"/>
          <w:color w:val="000000" w:themeColor="text1"/>
          <w:sz w:val="22"/>
          <w:szCs w:val="22"/>
          <w:lang w:val="es-ES"/>
        </w:rPr>
      </w:pPr>
      <w:r w:rsidRPr="0022784B">
        <w:rPr>
          <w:rFonts w:ascii="Verdana" w:hAnsi="Verdana" w:cs="Arial"/>
          <w:color w:val="000000" w:themeColor="text1"/>
          <w:sz w:val="22"/>
          <w:szCs w:val="22"/>
          <w:lang w:val="es-ES"/>
        </w:rPr>
        <w:t xml:space="preserve">En todo caso, debe advertirse que las aclaraciones que están obligados a dar los proponentes según lo dispuesto en el artículo 2.2.1.1.2.2.4 del Decreto 1082 de 2015, deben cumplir con la carga de claridad suficiente para desvirtuar las razones por las que la Entidad Estatal ha estimado que la oferta es artificialmente baja. Esto implica dar cuenta de las circunstancias objetivas debido a las cuales la oferta es sustentable y competitiva. De acuerdo con lo señalado en la mencionada guía estas circunstancias pueden estar relacionadas con </w:t>
      </w:r>
      <w:r w:rsidRPr="0022784B">
        <w:rPr>
          <w:rFonts w:ascii="Verdana" w:hAnsi="Verdana" w:cs="Arial"/>
          <w:color w:val="000000" w:themeColor="text1"/>
          <w:sz w:val="22"/>
          <w:szCs w:val="22"/>
        </w:rPr>
        <w:t>i) técnicas diferenciadas de producción del bien o provisión del servicio; ii) cercanía al lugar de provisión o al lugar de abastecimiento de materias primas; iii) mejores condiciones contractuales con los proveedores de insumos; y iv) mayor diversificación de productos o servicios relacionados.</w:t>
      </w:r>
      <w:r w:rsidRPr="0022784B">
        <w:rPr>
          <w:rFonts w:ascii="Verdana" w:hAnsi="Verdana" w:cs="Arial"/>
          <w:color w:val="000000" w:themeColor="text1"/>
          <w:sz w:val="22"/>
          <w:szCs w:val="22"/>
          <w:lang w:val="es-ES"/>
        </w:rPr>
        <w:t xml:space="preserve"> Lo anterior sin perjuicio de que el contratista indique alguna otra razón distinta por la que la oferta es competitiva, incluyendo aquellas relacionadas con implementación de economías de escala o alcance. </w:t>
      </w:r>
    </w:p>
    <w:p w14:paraId="26BF5825" w14:textId="77777777" w:rsidR="00CB5936" w:rsidRPr="00122978" w:rsidRDefault="00CB5936" w:rsidP="00CB5936">
      <w:pPr>
        <w:pStyle w:val="NormalWeb"/>
        <w:spacing w:after="120" w:line="276" w:lineRule="auto"/>
        <w:ind w:firstLine="709"/>
        <w:jc w:val="both"/>
        <w:rPr>
          <w:rFonts w:ascii="Verdana" w:hAnsi="Verdana" w:cs="Arial"/>
          <w:color w:val="000000" w:themeColor="text1"/>
          <w:sz w:val="22"/>
          <w:szCs w:val="22"/>
          <w:lang w:val="es-ES"/>
        </w:rPr>
      </w:pPr>
      <w:r w:rsidRPr="00122978">
        <w:rPr>
          <w:rFonts w:ascii="Verdana" w:hAnsi="Verdana" w:cs="Arial"/>
          <w:color w:val="000000" w:themeColor="text1"/>
          <w:sz w:val="22"/>
          <w:szCs w:val="22"/>
        </w:rPr>
        <w:t>Para verificar la sostenibilidad de una oferta, el Banco Mundial recomienda analizar los subtotales de cada componente de un contrato</w:t>
      </w:r>
      <w:r w:rsidRPr="00122978">
        <w:rPr>
          <w:rStyle w:val="Refdenotaalpie"/>
          <w:rFonts w:ascii="Verdana" w:hAnsi="Verdana" w:cs="Arial"/>
          <w:color w:val="000000" w:themeColor="text1"/>
          <w:sz w:val="22"/>
          <w:szCs w:val="22"/>
        </w:rPr>
        <w:footnoteReference w:id="6"/>
      </w:r>
      <w:r w:rsidRPr="00122978">
        <w:rPr>
          <w:rFonts w:ascii="Verdana" w:hAnsi="Verdana" w:cs="Arial"/>
          <w:color w:val="000000" w:themeColor="text1"/>
          <w:sz w:val="22"/>
          <w:szCs w:val="22"/>
        </w:rPr>
        <w:t>. Para el efecto, la Entidad Estatal debe comparar el costo de cada componente del contrato de cada una de las ofertas recibidas para determinar los componentes que presentan mayor diferencia. Si alguna oferta resulta estar muy por debajo de las demás en el análisis de subtotales, quiere decir que el proponente subestimó todos los costos asociados, o estableció un margen de utilidad excepcionalmente reducido. En este caso, la Entidad Estatal puede solicitar nuevamente aclaraciones, haciendo énfasis en el margen de utilidad estimado por el proponente.</w:t>
      </w:r>
    </w:p>
    <w:p w14:paraId="15A54F7F" w14:textId="77777777" w:rsidR="00CB5936" w:rsidRPr="00BD6C28" w:rsidRDefault="00CB5936" w:rsidP="00CB5936">
      <w:pPr>
        <w:pStyle w:val="NormalWeb"/>
        <w:spacing w:after="120" w:line="276" w:lineRule="auto"/>
        <w:ind w:firstLine="709"/>
        <w:jc w:val="both"/>
        <w:rPr>
          <w:rFonts w:ascii="Verdana" w:hAnsi="Verdana" w:cs="Arial"/>
          <w:color w:val="000000" w:themeColor="text1"/>
          <w:sz w:val="22"/>
          <w:szCs w:val="22"/>
          <w:lang w:val="es-ES"/>
        </w:rPr>
      </w:pPr>
      <w:r w:rsidRPr="00BD6C28">
        <w:rPr>
          <w:rFonts w:ascii="Verdana" w:hAnsi="Verdana" w:cs="Arial"/>
          <w:color w:val="000000" w:themeColor="text1"/>
          <w:sz w:val="22"/>
          <w:szCs w:val="22"/>
          <w:lang w:val="es-ES"/>
        </w:rPr>
        <w:lastRenderedPageBreak/>
        <w:t xml:space="preserve">De esta manera, la entidad estatal debe calcular el valor mínimo aceptable considerando únicamente las ofertas habilitadas, es decir, aquellas que cumplen con los requisitos establecidos en el pliego de condiciones y no se encuentran incursos en causales de rechazo o inhabilidad. </w:t>
      </w:r>
      <w:r w:rsidRPr="00BD6C28">
        <w:rPr>
          <w:rFonts w:ascii="Verdana" w:hAnsi="Verdana" w:cs="Arial"/>
          <w:color w:val="000000"/>
          <w:sz w:val="22"/>
          <w:szCs w:val="22"/>
          <w:shd w:val="clear" w:color="auto" w:fill="FFFFFF"/>
        </w:rPr>
        <w:t>Todo lo anterior, teniendo en cuenta que la referida Guía contiene criterios orientadores para las entidades públicas, los cuales, en consecuencia, no son vinculantes ni de obligatorio acatamiento. En otras palabras, las entidades están facultadas para aplicar los criterios contenidos en la Guía o acudir, si bien lo tienen, a otro tipo de criterios que consideren más apropiados para cada proceso de contratación</w:t>
      </w:r>
      <w:r w:rsidRPr="00BD6C28">
        <w:rPr>
          <w:rFonts w:ascii="Verdana" w:hAnsi="Verdana" w:cs="Arial"/>
          <w:color w:val="000000" w:themeColor="text1"/>
          <w:sz w:val="22"/>
          <w:szCs w:val="22"/>
          <w:lang w:val="es-ES"/>
        </w:rPr>
        <w:t>.</w:t>
      </w:r>
    </w:p>
    <w:p w14:paraId="01E77CA1" w14:textId="77777777" w:rsidR="00CB5936" w:rsidRPr="00B963C5" w:rsidRDefault="00CB5936" w:rsidP="00CB5936">
      <w:pPr>
        <w:pStyle w:val="NormalWeb"/>
        <w:spacing w:after="120" w:line="276" w:lineRule="auto"/>
        <w:jc w:val="both"/>
        <w:rPr>
          <w:rFonts w:ascii="Verdana" w:hAnsi="Verdana" w:cs="Arial"/>
          <w:sz w:val="22"/>
          <w:szCs w:val="22"/>
        </w:rPr>
      </w:pPr>
      <w:r w:rsidRPr="00B963C5">
        <w:rPr>
          <w:rFonts w:ascii="Verdana" w:hAnsi="Verdana" w:cs="Arial"/>
          <w:sz w:val="22"/>
          <w:szCs w:val="22"/>
        </w:rPr>
        <w:t>iii. Al margen de la explicación precedente debe advertirse que el análisis requerido para determinar la existencia de precios artificialmente bajos en los procesos de contratación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28A4D686" w14:textId="77777777" w:rsidR="00CB5936" w:rsidRPr="00B963C5" w:rsidRDefault="00CB5936" w:rsidP="00CB5936">
      <w:pPr>
        <w:spacing w:after="0" w:line="276" w:lineRule="auto"/>
        <w:ind w:firstLine="708"/>
        <w:jc w:val="both"/>
        <w:rPr>
          <w:rFonts w:ascii="Verdana" w:eastAsia="Calibri" w:hAnsi="Verdana" w:cs="Times New Roman"/>
          <w:lang w:val="es-ES"/>
        </w:rPr>
      </w:pPr>
      <w:r w:rsidRPr="00B963C5">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bookmarkEnd w:id="3"/>
    </w:p>
    <w:p w14:paraId="56C6A8B3" w14:textId="77777777" w:rsidR="00CB5936" w:rsidRPr="00B963C5" w:rsidRDefault="00CB5936" w:rsidP="00CB5936">
      <w:pPr>
        <w:spacing w:after="0" w:line="276" w:lineRule="auto"/>
        <w:ind w:firstLine="708"/>
        <w:jc w:val="both"/>
        <w:rPr>
          <w:rFonts w:ascii="Verdana" w:eastAsia="Calibri" w:hAnsi="Verdana" w:cs="Arial"/>
        </w:rPr>
      </w:pPr>
    </w:p>
    <w:p w14:paraId="1E42B997" w14:textId="77777777" w:rsidR="00CB5936" w:rsidRPr="00B963C5" w:rsidRDefault="00CB5936" w:rsidP="00CB5936">
      <w:pPr>
        <w:spacing w:after="0" w:line="276" w:lineRule="auto"/>
        <w:ind w:firstLine="708"/>
        <w:jc w:val="both"/>
        <w:rPr>
          <w:rFonts w:ascii="Verdana" w:eastAsia="Times New Roman" w:hAnsi="Verdana" w:cs="Times New Roman"/>
          <w:lang w:eastAsia="es-ES"/>
        </w:rPr>
      </w:pPr>
      <w:r w:rsidRPr="00B963C5">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1"/>
      <w:bookmarkEnd w:id="2"/>
    </w:p>
    <w:p w14:paraId="00D6922D" w14:textId="77777777" w:rsidR="00CB5936" w:rsidRPr="008275DA" w:rsidRDefault="00CB5936" w:rsidP="00CB5936">
      <w:pPr>
        <w:spacing w:after="0" w:line="276" w:lineRule="auto"/>
        <w:ind w:firstLine="709"/>
        <w:jc w:val="both"/>
        <w:rPr>
          <w:rFonts w:ascii="Verdana" w:eastAsia="Times New Roman" w:hAnsi="Verdana" w:cs="Times New Roman"/>
          <w:lang w:eastAsia="es-ES"/>
        </w:rPr>
      </w:pPr>
    </w:p>
    <w:p w14:paraId="42B2844A" w14:textId="77777777" w:rsidR="00CB5936" w:rsidRPr="008275DA" w:rsidRDefault="00CB5936" w:rsidP="00CB5936">
      <w:pPr>
        <w:spacing w:after="0" w:line="276" w:lineRule="auto"/>
        <w:jc w:val="both"/>
        <w:rPr>
          <w:rFonts w:ascii="Verdana" w:eastAsia="Century Gothic" w:hAnsi="Verdana" w:cs="Century Gothic"/>
          <w:b/>
          <w:lang w:val="es-ES"/>
        </w:rPr>
      </w:pPr>
      <w:r w:rsidRPr="008275DA">
        <w:rPr>
          <w:rFonts w:ascii="Verdana" w:eastAsia="Century Gothic" w:hAnsi="Verdana" w:cs="Century Gothic"/>
          <w:b/>
          <w:lang w:val="es-ES"/>
        </w:rPr>
        <w:t>4. Referencias normativas, jurisprudenciales y otras fuentes:</w:t>
      </w:r>
    </w:p>
    <w:p w14:paraId="5589F0B6" w14:textId="77777777" w:rsidR="00CB5936" w:rsidRPr="00872AF5" w:rsidRDefault="00CB5936" w:rsidP="00CB5936">
      <w:pPr>
        <w:spacing w:after="0" w:line="276" w:lineRule="auto"/>
        <w:jc w:val="both"/>
        <w:rPr>
          <w:rFonts w:ascii="Verdana" w:eastAsia="Century Gothic" w:hAnsi="Verdana" w:cs="Century Gothic"/>
          <w:b/>
          <w:color w:val="7030A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B5936" w:rsidRPr="00872AF5" w14:paraId="1B2264FA" w14:textId="77777777" w:rsidTr="00D567FF">
        <w:trPr>
          <w:trHeight w:val="1689"/>
        </w:trPr>
        <w:tc>
          <w:tcPr>
            <w:tcW w:w="8647" w:type="dxa"/>
          </w:tcPr>
          <w:p w14:paraId="27E455A7" w14:textId="77777777" w:rsidR="00CB5936" w:rsidRDefault="00CB5936" w:rsidP="00D567FF">
            <w:pPr>
              <w:widowControl w:val="0"/>
              <w:numPr>
                <w:ilvl w:val="0"/>
                <w:numId w:val="16"/>
              </w:numPr>
              <w:autoSpaceDE w:val="0"/>
              <w:autoSpaceDN w:val="0"/>
              <w:spacing w:line="276" w:lineRule="auto"/>
              <w:jc w:val="both"/>
              <w:rPr>
                <w:rFonts w:ascii="Verdana" w:eastAsia="Arial MT" w:hAnsi="Verdana" w:cs="Arial"/>
                <w:bCs/>
                <w:lang w:eastAsia="es-ES" w:bidi="es-ES"/>
              </w:rPr>
            </w:pPr>
            <w:r w:rsidRPr="00F40908">
              <w:rPr>
                <w:rFonts w:ascii="Verdana" w:eastAsia="Arial MT" w:hAnsi="Verdana" w:cs="Arial"/>
                <w:bCs/>
                <w:lang w:eastAsia="es-ES" w:bidi="es-ES"/>
              </w:rPr>
              <w:t>Ley 80 de 1993. Artículo 26</w:t>
            </w:r>
          </w:p>
          <w:p w14:paraId="7DB6B1D8" w14:textId="77777777" w:rsidR="00CB5936" w:rsidRPr="00F40908" w:rsidRDefault="00CB5936" w:rsidP="00D567FF">
            <w:pPr>
              <w:widowControl w:val="0"/>
              <w:numPr>
                <w:ilvl w:val="0"/>
                <w:numId w:val="16"/>
              </w:numPr>
              <w:autoSpaceDE w:val="0"/>
              <w:autoSpaceDN w:val="0"/>
              <w:spacing w:line="276" w:lineRule="auto"/>
              <w:jc w:val="both"/>
              <w:rPr>
                <w:rFonts w:ascii="Verdana" w:eastAsia="Arial MT" w:hAnsi="Verdana" w:cs="Arial"/>
                <w:bCs/>
                <w:lang w:eastAsia="es-ES" w:bidi="es-ES"/>
              </w:rPr>
            </w:pPr>
            <w:r>
              <w:rPr>
                <w:rFonts w:ascii="Verdana" w:eastAsia="Arial MT" w:hAnsi="Verdana" w:cs="Arial"/>
                <w:bCs/>
                <w:lang w:eastAsia="es-ES" w:bidi="es-ES"/>
              </w:rPr>
              <w:t>Ley 1150 de 2007. Artículo 5.</w:t>
            </w:r>
          </w:p>
          <w:p w14:paraId="64D1A4ED" w14:textId="77777777" w:rsidR="00CB5936" w:rsidRPr="00F40908" w:rsidRDefault="00CB5936" w:rsidP="00D567FF">
            <w:pPr>
              <w:widowControl w:val="0"/>
              <w:numPr>
                <w:ilvl w:val="0"/>
                <w:numId w:val="16"/>
              </w:numPr>
              <w:autoSpaceDE w:val="0"/>
              <w:autoSpaceDN w:val="0"/>
              <w:spacing w:line="276" w:lineRule="auto"/>
              <w:jc w:val="both"/>
              <w:rPr>
                <w:rFonts w:ascii="Verdana" w:eastAsia="Arial MT" w:hAnsi="Verdana" w:cs="Arial"/>
                <w:bCs/>
                <w:lang w:eastAsia="es-ES" w:bidi="es-ES"/>
              </w:rPr>
            </w:pPr>
            <w:r w:rsidRPr="00F40908">
              <w:rPr>
                <w:rFonts w:ascii="Verdana" w:eastAsia="Arial MT" w:hAnsi="Verdana" w:cs="Arial"/>
                <w:bCs/>
                <w:lang w:eastAsia="es-ES" w:bidi="es-ES"/>
              </w:rPr>
              <w:t xml:space="preserve">Decreto 1082 de 2015. Artículos 2.2.1.1.2.2.3, 2.2.1.1.2.2.4. </w:t>
            </w:r>
          </w:p>
          <w:p w14:paraId="59B102DF" w14:textId="77777777" w:rsidR="00CB5936" w:rsidRPr="00F40908" w:rsidRDefault="00CB5936" w:rsidP="00D567FF">
            <w:pPr>
              <w:widowControl w:val="0"/>
              <w:numPr>
                <w:ilvl w:val="0"/>
                <w:numId w:val="16"/>
              </w:numPr>
              <w:autoSpaceDE w:val="0"/>
              <w:autoSpaceDN w:val="0"/>
              <w:spacing w:line="276" w:lineRule="auto"/>
              <w:jc w:val="both"/>
              <w:rPr>
                <w:rFonts w:ascii="Verdana" w:eastAsia="Arial MT" w:hAnsi="Verdana" w:cs="Arial"/>
                <w:bCs/>
                <w:lang w:eastAsia="es-ES" w:bidi="es-ES"/>
              </w:rPr>
            </w:pPr>
            <w:r w:rsidRPr="00F40908">
              <w:rPr>
                <w:rFonts w:ascii="Verdana" w:eastAsia="Arial MT" w:hAnsi="Verdana" w:cs="Arial"/>
                <w:bCs/>
                <w:lang w:eastAsia="es-ES" w:bidi="es-ES"/>
              </w:rPr>
              <w:t>Consejo de Estado. Sección Tercera de fecha 04 de junio de 2018, Rad. 17783. C. P. Myriam Guerrero de Escobar.</w:t>
            </w:r>
          </w:p>
          <w:p w14:paraId="76C7F8A1" w14:textId="77777777" w:rsidR="00CB5936" w:rsidRPr="00F40908" w:rsidRDefault="00CB5936" w:rsidP="00D567FF">
            <w:pPr>
              <w:widowControl w:val="0"/>
              <w:numPr>
                <w:ilvl w:val="0"/>
                <w:numId w:val="16"/>
              </w:numPr>
              <w:autoSpaceDE w:val="0"/>
              <w:autoSpaceDN w:val="0"/>
              <w:spacing w:line="276" w:lineRule="auto"/>
              <w:jc w:val="both"/>
              <w:rPr>
                <w:rFonts w:ascii="Verdana" w:eastAsia="Arial MT" w:hAnsi="Verdana" w:cs="Arial"/>
                <w:bCs/>
                <w:lang w:eastAsia="es-ES" w:bidi="es-ES"/>
              </w:rPr>
            </w:pPr>
            <w:r w:rsidRPr="00F40908">
              <w:rPr>
                <w:rFonts w:ascii="Verdana" w:eastAsia="Arial MT" w:hAnsi="Verdana" w:cs="Arial"/>
                <w:bCs/>
                <w:lang w:eastAsia="es-ES" w:bidi="es-ES"/>
              </w:rPr>
              <w:t>Consejo de Estado. Sección Segunda. Sentencia del 10 de junio de 1992. Exp. No. 4.249. C.P. Álvaro Lecompte Luna.</w:t>
            </w:r>
          </w:p>
          <w:p w14:paraId="709A2D99" w14:textId="77777777" w:rsidR="00CB5936" w:rsidRPr="00F40908" w:rsidRDefault="00CB5936" w:rsidP="00D567FF">
            <w:pPr>
              <w:widowControl w:val="0"/>
              <w:numPr>
                <w:ilvl w:val="0"/>
                <w:numId w:val="16"/>
              </w:numPr>
              <w:autoSpaceDE w:val="0"/>
              <w:autoSpaceDN w:val="0"/>
              <w:spacing w:line="276" w:lineRule="auto"/>
              <w:jc w:val="both"/>
              <w:rPr>
                <w:rFonts w:ascii="Verdana" w:eastAsia="Arial MT" w:hAnsi="Verdana" w:cs="Arial"/>
                <w:bCs/>
                <w:color w:val="7030A0"/>
                <w:lang w:eastAsia="es-ES" w:bidi="es-ES"/>
              </w:rPr>
            </w:pPr>
            <w:r w:rsidRPr="00F40908">
              <w:rPr>
                <w:rFonts w:ascii="Verdana" w:eastAsia="Arial MT" w:hAnsi="Verdana" w:cs="Arial"/>
                <w:bCs/>
                <w:lang w:eastAsia="es-ES" w:bidi="es-ES"/>
              </w:rPr>
              <w:t xml:space="preserve">Agencia Nacional de Contratación Pública - Colombia Compra Eficiente. Guía para el Manejo de Ofertas Artificialmente Bajas En Procesos de Contratación. </w:t>
            </w:r>
            <w:hyperlink r:id="rId14" w:tgtFrame="_blank" w:tooltip="Usa Ctrl + clic para abrir https://www.colombiacompra.gov.co/archivos/manual/guia-para-el-manejo-de-ofertas-artificialmente-bajas-en-procesos-de-contratacion-2 en una nueva pestaña." w:history="1">
              <w:r>
                <w:rPr>
                  <w:rStyle w:val="Hipervnculo"/>
                  <w:rFonts w:ascii="Verdana" w:eastAsia="Arial MT" w:hAnsi="Verdana" w:cs="Arial"/>
                  <w:bCs/>
                  <w:lang w:eastAsia="es-ES" w:bidi="es-ES"/>
                </w:rPr>
                <w:t>Guía para el Manejo de Ofertas Artificialmente Bajas</w:t>
              </w:r>
            </w:hyperlink>
            <w:r>
              <w:rPr>
                <w:rFonts w:ascii="Verdana" w:eastAsia="Arial MT" w:hAnsi="Verdana" w:cs="Arial"/>
                <w:bCs/>
                <w:color w:val="7030A0"/>
                <w:lang w:eastAsia="es-ES" w:bidi="es-ES"/>
              </w:rPr>
              <w:t>.</w:t>
            </w:r>
          </w:p>
          <w:p w14:paraId="65D44330" w14:textId="77777777" w:rsidR="00CB5936" w:rsidRPr="00872AF5" w:rsidRDefault="00CB5936" w:rsidP="00D567FF">
            <w:pPr>
              <w:widowControl w:val="0"/>
              <w:autoSpaceDE w:val="0"/>
              <w:autoSpaceDN w:val="0"/>
              <w:spacing w:line="276" w:lineRule="auto"/>
              <w:ind w:left="720"/>
              <w:jc w:val="both"/>
              <w:rPr>
                <w:rFonts w:ascii="Verdana" w:eastAsia="Arial MT" w:hAnsi="Verdana" w:cs="Arial"/>
                <w:bCs/>
                <w:color w:val="7030A0"/>
                <w:lang w:eastAsia="es-ES" w:bidi="es-ES"/>
              </w:rPr>
            </w:pPr>
          </w:p>
        </w:tc>
      </w:tr>
    </w:tbl>
    <w:p w14:paraId="11888AD0" w14:textId="77777777" w:rsidR="00CB5936" w:rsidRPr="008275DA" w:rsidRDefault="00CB5936" w:rsidP="00CB5936">
      <w:pPr>
        <w:widowControl w:val="0"/>
        <w:autoSpaceDE w:val="0"/>
        <w:autoSpaceDN w:val="0"/>
        <w:spacing w:after="0" w:line="276" w:lineRule="auto"/>
        <w:jc w:val="both"/>
        <w:rPr>
          <w:rFonts w:ascii="Verdana" w:hAnsi="Verdana" w:cs="Arial"/>
          <w:lang w:val="es-ES"/>
        </w:rPr>
      </w:pPr>
    </w:p>
    <w:p w14:paraId="3E4205AF" w14:textId="77777777" w:rsidR="00CB5936" w:rsidRPr="008275DA" w:rsidRDefault="00CB5936" w:rsidP="00CB5936">
      <w:pPr>
        <w:tabs>
          <w:tab w:val="left" w:pos="142"/>
          <w:tab w:val="left" w:pos="284"/>
        </w:tabs>
        <w:spacing w:after="0" w:line="276" w:lineRule="auto"/>
        <w:jc w:val="both"/>
        <w:rPr>
          <w:rFonts w:ascii="Verdana" w:eastAsia="Century Gothic" w:hAnsi="Verdana" w:cs="Century Gothic"/>
          <w:b/>
          <w:lang w:val="es-ES"/>
        </w:rPr>
      </w:pPr>
      <w:r w:rsidRPr="008275DA">
        <w:rPr>
          <w:rFonts w:ascii="Verdana" w:eastAsia="Century Gothic" w:hAnsi="Verdana" w:cs="Century Gothic"/>
          <w:b/>
          <w:lang w:val="es-ES"/>
        </w:rPr>
        <w:t>5. Doctrina de la Agencia Nacional de Contratación Pública:</w:t>
      </w:r>
    </w:p>
    <w:p w14:paraId="05E0E64A" w14:textId="77777777" w:rsidR="00CB5936" w:rsidRPr="00872AF5" w:rsidRDefault="00CB5936" w:rsidP="00CB5936">
      <w:pPr>
        <w:widowControl w:val="0"/>
        <w:autoSpaceDE w:val="0"/>
        <w:autoSpaceDN w:val="0"/>
        <w:spacing w:after="0" w:line="276" w:lineRule="auto"/>
        <w:jc w:val="both"/>
        <w:rPr>
          <w:rFonts w:ascii="Verdana" w:hAnsi="Verdana" w:cs="Arial"/>
          <w:color w:val="7030A0"/>
          <w:lang w:val="es-ES"/>
        </w:rPr>
      </w:pPr>
    </w:p>
    <w:p w14:paraId="1FEF64F3" w14:textId="77777777" w:rsidR="00CB5936" w:rsidRPr="00E24F6C" w:rsidRDefault="00CB5936" w:rsidP="00CB5936">
      <w:pPr>
        <w:spacing w:after="0" w:line="276" w:lineRule="auto"/>
        <w:jc w:val="both"/>
        <w:rPr>
          <w:rFonts w:ascii="Verdana" w:hAnsi="Verdana" w:cs="Arial"/>
          <w:bCs/>
          <w:shd w:val="clear" w:color="auto" w:fill="FFFFFF"/>
          <w:lang w:val="es-ES"/>
        </w:rPr>
      </w:pPr>
      <w:r w:rsidRPr="009B6FD8">
        <w:rPr>
          <w:rFonts w:ascii="Verdana" w:eastAsia="Calibri" w:hAnsi="Verdana" w:cs="Arial"/>
          <w:lang w:val="es-ES"/>
        </w:rPr>
        <w:t xml:space="preserve">La Agencia Nacional de Contratación Pública – Colombia Compra Eficiente se ha referido </w:t>
      </w:r>
      <w:r w:rsidRPr="009B6FD8">
        <w:rPr>
          <w:rFonts w:ascii="Verdana" w:hAnsi="Verdana" w:cs="Arial"/>
          <w:shd w:val="clear" w:color="auto" w:fill="FFFFFF"/>
          <w:lang w:val="es-ES"/>
        </w:rPr>
        <w:t xml:space="preserve">sobre </w:t>
      </w:r>
      <w:r w:rsidRPr="009B6FD8">
        <w:rPr>
          <w:rFonts w:ascii="Verdana" w:hAnsi="Verdana" w:cs="Arial"/>
          <w:bCs/>
          <w:shd w:val="clear" w:color="auto" w:fill="FFFFFF"/>
        </w:rPr>
        <w:t xml:space="preserve">precios artificialmente </w:t>
      </w:r>
      <w:r w:rsidRPr="0059253A">
        <w:rPr>
          <w:rFonts w:ascii="Verdana" w:hAnsi="Verdana" w:cs="Arial"/>
          <w:bCs/>
          <w:shd w:val="clear" w:color="auto" w:fill="FFFFFF"/>
        </w:rPr>
        <w:t>bajos</w:t>
      </w:r>
      <w:r w:rsidRPr="0059253A">
        <w:rPr>
          <w:rFonts w:ascii="Verdana" w:hAnsi="Verdana" w:cs="Arial"/>
          <w:shd w:val="clear" w:color="auto" w:fill="FFFFFF"/>
        </w:rPr>
        <w:t xml:space="preserve"> </w:t>
      </w:r>
      <w:r w:rsidRPr="0059253A">
        <w:rPr>
          <w:rFonts w:ascii="Verdana" w:eastAsia="Calibri" w:hAnsi="Verdana" w:cs="Arial"/>
          <w:bCs/>
          <w:shd w:val="clear" w:color="auto" w:fill="FFFFFF"/>
        </w:rPr>
        <w:t xml:space="preserve">en los conceptos </w:t>
      </w:r>
      <w:r w:rsidRPr="0059253A">
        <w:rPr>
          <w:rFonts w:ascii="Verdana" w:hAnsi="Verdana" w:cs="Arial"/>
          <w:bCs/>
          <w:shd w:val="clear" w:color="auto" w:fill="FFFFFF"/>
          <w:lang w:val="es-ES"/>
        </w:rPr>
        <w:t>C–163 del 31 de marzo de 2020 C-429 del 24 de julio de 2020, C-011 del 17 de febrero</w:t>
      </w:r>
      <w:r w:rsidRPr="0015159A">
        <w:rPr>
          <w:rFonts w:ascii="Verdana" w:hAnsi="Verdana" w:cs="Arial"/>
          <w:bCs/>
          <w:shd w:val="clear" w:color="auto" w:fill="FFFFFF"/>
          <w:lang w:val="es-ES"/>
        </w:rPr>
        <w:t xml:space="preserve"> de 2021, </w:t>
      </w:r>
      <w:r w:rsidRPr="000669AE">
        <w:rPr>
          <w:rFonts w:ascii="Verdana" w:hAnsi="Verdana" w:cs="Arial"/>
          <w:bCs/>
          <w:shd w:val="clear" w:color="auto" w:fill="FFFFFF"/>
          <w:lang w:val="es-ES"/>
        </w:rPr>
        <w:t xml:space="preserve">C-205 del 7 de mayo </w:t>
      </w:r>
      <w:r w:rsidRPr="00E7413C">
        <w:rPr>
          <w:rFonts w:ascii="Verdana" w:hAnsi="Verdana" w:cs="Arial"/>
          <w:bCs/>
          <w:shd w:val="clear" w:color="auto" w:fill="FFFFFF"/>
          <w:lang w:val="es-ES"/>
        </w:rPr>
        <w:t xml:space="preserve">de 2021, </w:t>
      </w:r>
      <w:r>
        <w:rPr>
          <w:rFonts w:ascii="Verdana" w:hAnsi="Verdana" w:cs="Arial"/>
          <w:bCs/>
          <w:shd w:val="clear" w:color="auto" w:fill="FFFFFF"/>
          <w:lang w:val="es-ES"/>
        </w:rPr>
        <w:t xml:space="preserve">C-304 del 30 de marzo de 2022, C-287 del 11 de mayo de </w:t>
      </w:r>
      <w:r w:rsidRPr="001444EB">
        <w:rPr>
          <w:rFonts w:ascii="Verdana" w:hAnsi="Verdana" w:cs="Arial"/>
          <w:bCs/>
          <w:shd w:val="clear" w:color="auto" w:fill="FFFFFF"/>
          <w:lang w:val="es-ES"/>
        </w:rPr>
        <w:t>2022,</w:t>
      </w:r>
      <w:r>
        <w:rPr>
          <w:rFonts w:ascii="Verdana" w:hAnsi="Verdana" w:cs="Arial"/>
          <w:bCs/>
          <w:shd w:val="clear" w:color="auto" w:fill="FFFFFF"/>
          <w:lang w:val="es-ES"/>
        </w:rPr>
        <w:t xml:space="preserve"> </w:t>
      </w:r>
      <w:r w:rsidRPr="001444EB">
        <w:rPr>
          <w:rFonts w:ascii="Verdana" w:hAnsi="Verdana" w:cs="Arial"/>
          <w:bCs/>
          <w:shd w:val="clear" w:color="auto" w:fill="FFFFFF"/>
          <w:lang w:val="es-ES"/>
        </w:rPr>
        <w:t xml:space="preserve">C-299 del 14 de mayo de 2022, </w:t>
      </w:r>
      <w:r>
        <w:rPr>
          <w:rFonts w:ascii="Verdana" w:hAnsi="Verdana" w:cs="Arial"/>
          <w:bCs/>
          <w:shd w:val="clear" w:color="auto" w:fill="FFFFFF"/>
          <w:lang w:val="es-ES"/>
        </w:rPr>
        <w:t xml:space="preserve">C-403 del 22 de junio de 2022, C-546 del 30 de agosto de </w:t>
      </w:r>
      <w:r w:rsidRPr="0059253A">
        <w:rPr>
          <w:rFonts w:ascii="Verdana" w:hAnsi="Verdana" w:cs="Arial"/>
          <w:bCs/>
          <w:shd w:val="clear" w:color="auto" w:fill="FFFFFF"/>
          <w:lang w:val="es-ES"/>
        </w:rPr>
        <w:t xml:space="preserve">2022, C-952 del 20 de </w:t>
      </w:r>
      <w:r w:rsidRPr="00E7099F">
        <w:rPr>
          <w:rFonts w:ascii="Verdana" w:hAnsi="Verdana" w:cs="Arial"/>
          <w:bCs/>
          <w:shd w:val="clear" w:color="auto" w:fill="FFFFFF"/>
          <w:lang w:val="es-ES"/>
        </w:rPr>
        <w:t>enero de 2023,</w:t>
      </w:r>
      <w:r>
        <w:rPr>
          <w:rFonts w:ascii="Verdana" w:hAnsi="Verdana" w:cs="Arial"/>
          <w:bCs/>
          <w:shd w:val="clear" w:color="auto" w:fill="FFFFFF"/>
          <w:lang w:val="es-ES"/>
        </w:rPr>
        <w:t xml:space="preserve"> C-220 del 25 </w:t>
      </w:r>
      <w:r w:rsidRPr="00F45FF7">
        <w:rPr>
          <w:rFonts w:ascii="Verdana" w:hAnsi="Verdana" w:cs="Arial"/>
          <w:bCs/>
          <w:shd w:val="clear" w:color="auto" w:fill="FFFFFF"/>
          <w:lang w:val="es-ES"/>
        </w:rPr>
        <w:t xml:space="preserve">de junio del 2024, C-264 del 22 </w:t>
      </w:r>
      <w:proofErr w:type="spellStart"/>
      <w:r w:rsidRPr="00F45FF7">
        <w:rPr>
          <w:rFonts w:ascii="Verdana" w:hAnsi="Verdana" w:cs="Arial"/>
          <w:bCs/>
          <w:shd w:val="clear" w:color="auto" w:fill="FFFFFF"/>
          <w:lang w:val="es-ES"/>
        </w:rPr>
        <w:t>del</w:t>
      </w:r>
      <w:proofErr w:type="spellEnd"/>
      <w:r w:rsidRPr="00F45FF7">
        <w:rPr>
          <w:rFonts w:ascii="Verdana" w:hAnsi="Verdana" w:cs="Arial"/>
          <w:bCs/>
          <w:shd w:val="clear" w:color="auto" w:fill="FFFFFF"/>
          <w:lang w:val="es-ES"/>
        </w:rPr>
        <w:t xml:space="preserve"> julio de 2024, C-507 del 23 de agosto de 2024, C-1031 del 18 de diciembre de 2024, C-329 del 25 de abril de 2025, C-</w:t>
      </w:r>
      <w:r w:rsidRPr="00E24F6C">
        <w:rPr>
          <w:rFonts w:ascii="Verdana" w:hAnsi="Verdana" w:cs="Arial"/>
          <w:bCs/>
          <w:shd w:val="clear" w:color="auto" w:fill="FFFFFF"/>
          <w:lang w:val="es-ES"/>
        </w:rPr>
        <w:t xml:space="preserve">408 del 13 de mayo de 2025, C-573 del 16 de junio de 2025, C-769 de 25 de julio de 2025, C-850 del 08 de agosto de 2025, C-1042 del 28 de julio de 2025, </w:t>
      </w:r>
    </w:p>
    <w:p w14:paraId="3E007D5E" w14:textId="77777777" w:rsidR="00CB5936" w:rsidRPr="0097063C" w:rsidRDefault="00CB5936" w:rsidP="00CB5936">
      <w:pPr>
        <w:spacing w:after="0" w:line="276" w:lineRule="auto"/>
        <w:jc w:val="both"/>
        <w:rPr>
          <w:rStyle w:val="normaltextrun"/>
          <w:rFonts w:ascii="Verdana" w:hAnsi="Verdana" w:cs="Arial"/>
          <w:bCs/>
          <w:highlight w:val="yellow"/>
          <w:shd w:val="clear" w:color="auto" w:fill="FFFFFF"/>
          <w:lang w:val="es-ES"/>
        </w:rPr>
      </w:pPr>
      <w:r w:rsidRPr="00E24F6C">
        <w:rPr>
          <w:rFonts w:ascii="Verdana" w:hAnsi="Verdana" w:cs="Arial"/>
          <w:bCs/>
          <w:shd w:val="clear" w:color="auto" w:fill="FFFFFF"/>
          <w:lang w:val="es-ES"/>
        </w:rPr>
        <w:t xml:space="preserve">C-1042 del 5 de septiembre de 2025, C-1069 del 12 de septiembre de 2025, C-1237 del 24 de septiembre de 2025, </w:t>
      </w:r>
      <w:r>
        <w:rPr>
          <w:rFonts w:ascii="Verdana" w:hAnsi="Verdana" w:cs="Arial"/>
          <w:bCs/>
          <w:shd w:val="clear" w:color="auto" w:fill="FFFFFF"/>
          <w:lang w:val="es-ES"/>
        </w:rPr>
        <w:t xml:space="preserve">C-1299 del 20 de octubre de 2025, C-1414 del 06 de noviembre de 2025, C-1794 del 31 de </w:t>
      </w:r>
      <w:r w:rsidRPr="00565CBD">
        <w:rPr>
          <w:rFonts w:ascii="Verdana" w:hAnsi="Verdana" w:cs="Arial"/>
          <w:bCs/>
          <w:shd w:val="clear" w:color="auto" w:fill="FFFFFF"/>
          <w:lang w:val="es-ES"/>
        </w:rPr>
        <w:t xml:space="preserve">diciembre de 2025, C-1846 del 21 </w:t>
      </w:r>
      <w:proofErr w:type="spellStart"/>
      <w:r w:rsidRPr="00565CBD">
        <w:rPr>
          <w:rFonts w:ascii="Verdana" w:hAnsi="Verdana" w:cs="Arial"/>
          <w:bCs/>
          <w:shd w:val="clear" w:color="auto" w:fill="FFFFFF"/>
          <w:lang w:val="es-ES"/>
        </w:rPr>
        <w:t>del</w:t>
      </w:r>
      <w:proofErr w:type="spellEnd"/>
      <w:r w:rsidRPr="00565CBD">
        <w:rPr>
          <w:rFonts w:ascii="Verdana" w:hAnsi="Verdana" w:cs="Arial"/>
          <w:bCs/>
          <w:shd w:val="clear" w:color="auto" w:fill="FFFFFF"/>
          <w:lang w:val="es-ES"/>
        </w:rPr>
        <w:t xml:space="preserve"> enero de 2026, C-069 del 18 de febrero de 2026, entre otros.</w:t>
      </w:r>
      <w:r>
        <w:rPr>
          <w:rFonts w:ascii="Verdana" w:hAnsi="Verdana" w:cs="Arial"/>
          <w:bCs/>
          <w:shd w:val="clear" w:color="auto" w:fill="FFFFFF"/>
          <w:lang w:val="es-ES"/>
        </w:rPr>
        <w:t xml:space="preserve"> </w:t>
      </w:r>
    </w:p>
    <w:p w14:paraId="33D656BE" w14:textId="77777777" w:rsidR="00CB5936" w:rsidRPr="00872AF5" w:rsidRDefault="00CB5936" w:rsidP="00CB5936">
      <w:pPr>
        <w:spacing w:after="0" w:line="276" w:lineRule="auto"/>
        <w:jc w:val="both"/>
        <w:rPr>
          <w:rStyle w:val="normaltextrun"/>
          <w:rFonts w:ascii="Verdana" w:hAnsi="Verdana" w:cs="Arial"/>
          <w:color w:val="7030A0"/>
          <w:shd w:val="clear" w:color="auto" w:fill="FFFFFF"/>
          <w:lang w:val="es-ES"/>
        </w:rPr>
      </w:pPr>
    </w:p>
    <w:p w14:paraId="40CA7776" w14:textId="77777777" w:rsidR="00CB5936" w:rsidRPr="0076466E" w:rsidRDefault="00CB5936" w:rsidP="00CB5936">
      <w:pPr>
        <w:spacing w:after="0" w:line="276" w:lineRule="auto"/>
        <w:jc w:val="both"/>
        <w:rPr>
          <w:rFonts w:ascii="Verdana" w:hAnsi="Verdana"/>
          <w:color w:val="EE0000"/>
        </w:rPr>
      </w:pPr>
      <w:r w:rsidRPr="00FD551E">
        <w:rPr>
          <w:rFonts w:ascii="Verdana" w:hAnsi="Verdana" w:cs="Arial"/>
          <w:shd w:val="clear" w:color="auto" w:fill="FFFFFF"/>
          <w:lang w:val="es-ES"/>
        </w:rPr>
        <w:t>Estos</w:t>
      </w:r>
      <w:r w:rsidRPr="00FD551E">
        <w:rPr>
          <w:rFonts w:ascii="Verdana" w:hAnsi="Verdana"/>
          <w:lang w:val="es-ES"/>
        </w:rPr>
        <w:t xml:space="preserve"> y otros se encuentran disponibles para consulta en el Sistema de relatoría de la Agencia, al cual se puede acceder a través del siguiente enlace:</w:t>
      </w:r>
      <w:r w:rsidRPr="00FD551E">
        <w:rPr>
          <w:rFonts w:ascii="Verdana" w:hAnsi="Verdana" w:cs="Arial"/>
          <w:shd w:val="clear" w:color="auto" w:fill="FFFFFF"/>
          <w:lang w:val="es-ES"/>
        </w:rPr>
        <w:t xml:space="preserve"> </w:t>
      </w:r>
      <w:hyperlink r:id="rId15" w:history="1">
        <w:r w:rsidRPr="00FD551E">
          <w:rPr>
            <w:rStyle w:val="Hipervnculo"/>
            <w:rFonts w:ascii="Verdana" w:hAnsi="Verdana" w:cs="Arial"/>
            <w:shd w:val="clear" w:color="auto" w:fill="FFFFFF"/>
            <w:lang w:val="es-ES"/>
          </w:rPr>
          <w:t>https://relatoria.colombiacompra.gov.co/busqueda/conceptos</w:t>
        </w:r>
      </w:hyperlink>
    </w:p>
    <w:p w14:paraId="3255CBCD" w14:textId="77777777" w:rsidR="00CB5936" w:rsidRPr="0076466E" w:rsidRDefault="00CB5936" w:rsidP="00CB5936">
      <w:pPr>
        <w:spacing w:after="0" w:line="276" w:lineRule="auto"/>
        <w:jc w:val="both"/>
        <w:rPr>
          <w:rStyle w:val="normaltextrun"/>
          <w:rFonts w:ascii="Verdana" w:hAnsi="Verdana" w:cs="Arial"/>
          <w:color w:val="EE0000"/>
          <w:shd w:val="clear" w:color="auto" w:fill="FFFFFF"/>
        </w:rPr>
      </w:pPr>
    </w:p>
    <w:p w14:paraId="20783A76" w14:textId="77777777" w:rsidR="00CB5936" w:rsidRPr="0076466E" w:rsidRDefault="00CB5936" w:rsidP="00CB5936">
      <w:pPr>
        <w:spacing w:after="0" w:line="276" w:lineRule="auto"/>
        <w:jc w:val="both"/>
        <w:rPr>
          <w:rFonts w:ascii="Verdana" w:hAnsi="Verdana"/>
          <w:color w:val="EE0000"/>
        </w:rPr>
      </w:pPr>
      <w:r w:rsidRPr="00FD551E">
        <w:rPr>
          <w:rFonts w:ascii="Verdana" w:hAnsi="Verdana"/>
        </w:rPr>
        <w:t xml:space="preserve">La sostenibilidad no es una opción, es una obligación. Por ello, la Agencia Nacional de Contratación Pública –Colombia Compra Eficiente– te invita a realizar el </w:t>
      </w:r>
      <w:r w:rsidRPr="00FD551E">
        <w:rPr>
          <w:rFonts w:ascii="Verdana" w:hAnsi="Verdana"/>
          <w:b/>
          <w:bCs/>
        </w:rPr>
        <w:t>Curso de Contratación Pública Sostenible y Socialmente Responsable</w:t>
      </w:r>
      <w:r w:rsidRPr="00FD551E">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6466E">
        <w:rPr>
          <w:rFonts w:ascii="Verdana" w:hAnsi="Verdana"/>
          <w:color w:val="EE0000"/>
        </w:rPr>
        <w:br/>
      </w:r>
      <w:hyperlink r:id="rId16" w:tgtFrame="_new" w:history="1">
        <w:r w:rsidRPr="00FD551E">
          <w:rPr>
            <w:rStyle w:val="Hipervnculo"/>
            <w:rFonts w:ascii="Verdana" w:hAnsi="Verdana"/>
          </w:rPr>
          <w:t>https://formacionvirtual.colombiacompra.gov.co/mod/page/view.php?id=3718</w:t>
        </w:r>
      </w:hyperlink>
    </w:p>
    <w:p w14:paraId="3F67832E" w14:textId="77777777" w:rsidR="00CB5936" w:rsidRPr="0076466E" w:rsidRDefault="00CB5936" w:rsidP="00CB5936">
      <w:pPr>
        <w:spacing w:after="0" w:line="276" w:lineRule="auto"/>
        <w:jc w:val="both"/>
        <w:rPr>
          <w:rFonts w:ascii="Verdana" w:hAnsi="Verdana"/>
          <w:color w:val="EE0000"/>
        </w:rPr>
      </w:pPr>
    </w:p>
    <w:p w14:paraId="01204C0A" w14:textId="77777777" w:rsidR="00CB5936" w:rsidRPr="0076466E" w:rsidRDefault="00CB5936" w:rsidP="00CB5936">
      <w:pPr>
        <w:spacing w:after="0" w:line="276" w:lineRule="auto"/>
        <w:jc w:val="both"/>
        <w:rPr>
          <w:rFonts w:ascii="Verdana" w:hAnsi="Verdana"/>
          <w:color w:val="EE0000"/>
        </w:rPr>
      </w:pPr>
      <w:r w:rsidRPr="00FD551E">
        <w:rPr>
          <w:rFonts w:ascii="Verdana" w:hAnsi="Verdana"/>
        </w:rPr>
        <w:t xml:space="preserve">De otro lado, te contamos que esta Agencia ha da un paso decisivo en la estandarización y modernización del </w:t>
      </w:r>
      <w:r w:rsidRPr="00FD551E">
        <w:rPr>
          <w:rFonts w:ascii="Verdana" w:hAnsi="Verdana"/>
          <w:b/>
          <w:bCs/>
        </w:rPr>
        <w:t>sector  social</w:t>
      </w:r>
      <w:r w:rsidRPr="00FD551E">
        <w:rPr>
          <w:rFonts w:ascii="Verdana" w:hAnsi="Verdana"/>
        </w:rPr>
        <w:t xml:space="preserve"> con la expedición de las </w:t>
      </w:r>
      <w:r w:rsidRPr="00FD551E">
        <w:rPr>
          <w:rFonts w:ascii="Verdana" w:hAnsi="Verdana"/>
          <w:b/>
          <w:bCs/>
        </w:rPr>
        <w:t>Resoluciones 539, 540, 541, 952 y 953 de 2025</w:t>
      </w:r>
      <w:r w:rsidRPr="00FD551E">
        <w:rPr>
          <w:rFonts w:ascii="Verdana" w:hAnsi="Verdana"/>
        </w:rPr>
        <w:t xml:space="preserve">, </w:t>
      </w:r>
      <w:r w:rsidRPr="00FD551E">
        <w:rPr>
          <w:rFonts w:ascii="Verdana" w:hAnsi="Verdana"/>
          <w:b/>
          <w:bCs/>
        </w:rPr>
        <w:t>mediante las cuales adoptó Documentos Tipo</w:t>
      </w:r>
      <w:r w:rsidRPr="00FD551E">
        <w:rPr>
          <w:rFonts w:ascii="Verdana" w:hAnsi="Verdana"/>
        </w:rPr>
        <w:t xml:space="preserve"> para las modalidades de selección de</w:t>
      </w:r>
      <w:r w:rsidRPr="00FD551E">
        <w:rPr>
          <w:rFonts w:ascii="Verdana" w:hAnsi="Verdana"/>
          <w:b/>
          <w:bCs/>
        </w:rPr>
        <w:t xml:space="preserve"> licitación pública (versión 2), selección abreviada de menor cuantía, mínima cuantía, consultoría e interventoría</w:t>
      </w:r>
      <w:r w:rsidRPr="00FD551E">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7" w:tgtFrame="_new" w:history="1">
        <w:r w:rsidRPr="00FD551E">
          <w:rPr>
            <w:rStyle w:val="Hipervnculo"/>
            <w:rFonts w:ascii="Verdana" w:hAnsi="Verdana"/>
          </w:rPr>
          <w:t>https://www.colombiacompra.gov.co/normativa-y-relatoria/documentos-tipo</w:t>
        </w:r>
      </w:hyperlink>
    </w:p>
    <w:p w14:paraId="4F11C451" w14:textId="77777777" w:rsidR="00CB5936" w:rsidRPr="0076466E" w:rsidRDefault="00CB5936" w:rsidP="00CB5936">
      <w:pPr>
        <w:spacing w:after="0" w:line="276" w:lineRule="auto"/>
        <w:jc w:val="both"/>
        <w:rPr>
          <w:rFonts w:ascii="Verdana" w:hAnsi="Verdana"/>
          <w:color w:val="EE0000"/>
        </w:rPr>
      </w:pPr>
    </w:p>
    <w:p w14:paraId="77A54977" w14:textId="77777777" w:rsidR="00CB5936" w:rsidRPr="0076466E" w:rsidRDefault="00CB5936" w:rsidP="00CB5936">
      <w:pPr>
        <w:spacing w:after="0" w:line="276" w:lineRule="auto"/>
        <w:jc w:val="both"/>
        <w:rPr>
          <w:rFonts w:ascii="Verdana" w:hAnsi="Verdana"/>
          <w:color w:val="EE0000"/>
        </w:rPr>
      </w:pPr>
      <w:r w:rsidRPr="00FD551E">
        <w:rPr>
          <w:rFonts w:ascii="Verdana" w:hAnsi="Verdana"/>
        </w:rPr>
        <w:t xml:space="preserve">Si quieres conocer más sobre la aplicación de Documentos Tipo puedes consultar la última versión de la </w:t>
      </w:r>
      <w:r w:rsidRPr="00FD551E">
        <w:rPr>
          <w:rFonts w:ascii="Verdana" w:hAnsi="Verdana"/>
          <w:b/>
          <w:bCs/>
        </w:rPr>
        <w:t>Guía para la comprensión e implementación de los Documentos Tipo de obra pública de infraestructura de transporte</w:t>
      </w:r>
      <w:r w:rsidRPr="00FD551E">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6466E">
        <w:rPr>
          <w:rFonts w:ascii="Verdana" w:hAnsi="Verdana"/>
          <w:color w:val="EE0000"/>
        </w:rPr>
        <w:br/>
      </w:r>
      <w:hyperlink r:id="rId18" w:tgtFrame="_new" w:history="1">
        <w:r w:rsidRPr="00FD551E">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B005112" w14:textId="77777777" w:rsidR="00CB5936" w:rsidRPr="0076466E" w:rsidRDefault="00CB5936" w:rsidP="00CB5936">
      <w:pPr>
        <w:spacing w:after="0" w:line="276" w:lineRule="auto"/>
        <w:jc w:val="both"/>
        <w:rPr>
          <w:rFonts w:ascii="Verdana" w:hAnsi="Verdana" w:cs="Arial"/>
          <w:color w:val="EE0000"/>
          <w:shd w:val="clear" w:color="auto" w:fill="FFFFFF"/>
        </w:rPr>
      </w:pPr>
    </w:p>
    <w:p w14:paraId="7632D64F" w14:textId="77777777" w:rsidR="00CB5936" w:rsidRPr="00116940" w:rsidRDefault="00CB5936" w:rsidP="00CB5936">
      <w:pPr>
        <w:spacing w:after="0"/>
        <w:jc w:val="both"/>
        <w:rPr>
          <w:rFonts w:ascii="Verdana" w:hAnsi="Verdana"/>
        </w:rPr>
      </w:pPr>
      <w:r>
        <w:rPr>
          <w:rFonts w:ascii="Verdana" w:hAnsi="Verdana"/>
        </w:rPr>
        <w:lastRenderedPageBreak/>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17548C70" w14:textId="77777777" w:rsidR="00CB5936" w:rsidRPr="00116940" w:rsidRDefault="00CB5936" w:rsidP="00CB5936">
      <w:pPr>
        <w:spacing w:after="0"/>
        <w:jc w:val="both"/>
        <w:rPr>
          <w:rFonts w:ascii="Verdana" w:hAnsi="Verdana"/>
        </w:rPr>
      </w:pPr>
    </w:p>
    <w:p w14:paraId="219C625B" w14:textId="77777777" w:rsidR="00CB5936" w:rsidRPr="00116940" w:rsidRDefault="00CB5936" w:rsidP="00CB5936">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7760358" w14:textId="77777777" w:rsidR="00CB5936" w:rsidRPr="00116940" w:rsidRDefault="00CB5936" w:rsidP="00CB5936">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556B08FB" w14:textId="77777777" w:rsidR="00CB5936" w:rsidRPr="00116940" w:rsidRDefault="00CB5936" w:rsidP="00CB593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9">
        <w:r w:rsidRPr="00116940">
          <w:rPr>
            <w:rStyle w:val="Hipervnculo"/>
            <w:rFonts w:ascii="Verdana" w:eastAsia="Verdana" w:hAnsi="Verdana" w:cs="Verdana"/>
            <w:lang w:val="es-MX"/>
          </w:rPr>
          <w:t>ventanilladeradicacion@colombiacompra.gov.co</w:t>
        </w:r>
      </w:hyperlink>
    </w:p>
    <w:p w14:paraId="06446000" w14:textId="77777777" w:rsidR="00CB5936" w:rsidRPr="00116940" w:rsidRDefault="00CB5936" w:rsidP="00CB593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0">
        <w:r w:rsidRPr="00116940">
          <w:rPr>
            <w:rStyle w:val="Hipervnculo"/>
            <w:rFonts w:ascii="Verdana" w:eastAsia="Verdana" w:hAnsi="Verdana" w:cs="Verdana"/>
            <w:lang w:val="es-MX"/>
          </w:rPr>
          <w:t>https://www.colombiacompra.gov.co/pqrsd/informacion-importante-antes-de-formular-una-pqrsd</w:t>
        </w:r>
      </w:hyperlink>
    </w:p>
    <w:p w14:paraId="0823992D" w14:textId="77777777" w:rsidR="00CB5936" w:rsidRPr="00116940" w:rsidRDefault="00CB5936" w:rsidP="00CB5936">
      <w:pPr>
        <w:spacing w:after="0" w:line="240" w:lineRule="auto"/>
        <w:ind w:left="720"/>
        <w:jc w:val="both"/>
        <w:rPr>
          <w:rFonts w:ascii="Verdana" w:hAnsi="Verdana"/>
        </w:rPr>
      </w:pPr>
    </w:p>
    <w:p w14:paraId="58B7F72A" w14:textId="77777777" w:rsidR="00CB5936" w:rsidRPr="00116940" w:rsidRDefault="00CB5936" w:rsidP="00CB5936">
      <w:pPr>
        <w:spacing w:after="0" w:line="240"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21" w:history="1">
        <w:r w:rsidRPr="00FB4AC0">
          <w:rPr>
            <w:rStyle w:val="Hipervnculo"/>
            <w:rFonts w:ascii="Verdana" w:hAnsi="Verdana"/>
          </w:rPr>
          <w:t>https://forms.office.com/r/pPHyWVs2SZ</w:t>
        </w:r>
      </w:hyperlink>
      <w:r w:rsidRPr="00116940">
        <w:rPr>
          <w:rFonts w:ascii="Verdana" w:hAnsi="Verdana"/>
        </w:rPr>
        <w:t xml:space="preserve"> .¡Ayúdanos a</w:t>
      </w:r>
      <w:r>
        <w:rPr>
          <w:rFonts w:ascii="Verdana" w:hAnsi="Verdana"/>
        </w:rPr>
        <w:t xml:space="preserve"> </w:t>
      </w:r>
      <w:r w:rsidRPr="00116940">
        <w:rPr>
          <w:rFonts w:ascii="Verdana" w:hAnsi="Verdana"/>
        </w:rPr>
        <w:t>mejorar porque el compromiso es de todos!</w:t>
      </w:r>
    </w:p>
    <w:p w14:paraId="2491D95B" w14:textId="77777777" w:rsidR="00CB5936" w:rsidRPr="00116940" w:rsidRDefault="00CB5936" w:rsidP="00CB5936">
      <w:pPr>
        <w:spacing w:after="0" w:line="240" w:lineRule="auto"/>
        <w:rPr>
          <w:rFonts w:ascii="Verdana" w:hAnsi="Verdana"/>
        </w:rPr>
      </w:pPr>
    </w:p>
    <w:p w14:paraId="0A4C3C66" w14:textId="77777777" w:rsidR="00CB5936" w:rsidRPr="00116940" w:rsidRDefault="00CB5936" w:rsidP="00CB5936">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29B5BB58" w14:textId="77777777" w:rsidR="00CB5936" w:rsidRPr="00116940" w:rsidRDefault="00CB5936" w:rsidP="00CB5936">
      <w:pPr>
        <w:spacing w:after="0" w:line="240" w:lineRule="auto"/>
        <w:jc w:val="both"/>
        <w:rPr>
          <w:rFonts w:ascii="Verdana" w:hAnsi="Verdana"/>
        </w:rPr>
      </w:pPr>
    </w:p>
    <w:p w14:paraId="3BE0F1D7" w14:textId="77777777" w:rsidR="00CB5936" w:rsidRPr="00116940" w:rsidRDefault="00CB5936" w:rsidP="00CB5936">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FAA9AE6" w14:textId="77777777" w:rsidR="00CB5936" w:rsidRPr="00116940" w:rsidRDefault="00CB5936" w:rsidP="00CB5936">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0F054293" w14:textId="77777777" w:rsidR="00CB5936" w:rsidRPr="00116940" w:rsidRDefault="00CB5936" w:rsidP="00CB5936">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7D7ACC9" w14:textId="77777777" w:rsidR="00CB5936" w:rsidRPr="00CC060C" w:rsidRDefault="00CB5936" w:rsidP="00CB5936">
      <w:pPr>
        <w:widowControl w:val="0"/>
        <w:autoSpaceDE w:val="0"/>
        <w:autoSpaceDN w:val="0"/>
        <w:spacing w:after="0" w:line="276" w:lineRule="auto"/>
        <w:jc w:val="both"/>
        <w:rPr>
          <w:rFonts w:ascii="Verdana" w:hAnsi="Verdana" w:cs="Arial"/>
        </w:rPr>
      </w:pPr>
    </w:p>
    <w:p w14:paraId="080C7B62" w14:textId="77777777" w:rsidR="00CB5936" w:rsidRPr="00FD551E" w:rsidRDefault="00CB5936" w:rsidP="00CB5936">
      <w:pPr>
        <w:widowControl w:val="0"/>
        <w:autoSpaceDE w:val="0"/>
        <w:autoSpaceDN w:val="0"/>
        <w:spacing w:after="0" w:line="276" w:lineRule="auto"/>
        <w:jc w:val="both"/>
        <w:rPr>
          <w:rFonts w:ascii="Verdana" w:hAnsi="Verdana" w:cs="Arial"/>
          <w:lang w:val="es-ES"/>
        </w:rPr>
      </w:pPr>
      <w:r w:rsidRPr="00FD551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1E60257" w14:textId="77777777" w:rsidR="00CB5936" w:rsidRPr="00FD551E" w:rsidRDefault="00CB5936" w:rsidP="00CB5936">
      <w:pPr>
        <w:widowControl w:val="0"/>
        <w:autoSpaceDE w:val="0"/>
        <w:autoSpaceDN w:val="0"/>
        <w:spacing w:after="0" w:line="276" w:lineRule="auto"/>
        <w:jc w:val="both"/>
        <w:rPr>
          <w:rFonts w:ascii="Verdana" w:hAnsi="Verdana" w:cs="Arial"/>
          <w:lang w:val="es-ES"/>
        </w:rPr>
      </w:pPr>
    </w:p>
    <w:p w14:paraId="4FF4B618" w14:textId="77777777" w:rsidR="00CB5936" w:rsidRPr="00FD551E" w:rsidRDefault="00CB5936" w:rsidP="00CB5936">
      <w:pPr>
        <w:spacing w:after="0" w:line="276" w:lineRule="auto"/>
        <w:rPr>
          <w:rFonts w:ascii="Verdana" w:hAnsi="Verdana" w:cs="Arial"/>
          <w:lang w:val="es-ES" w:eastAsia="es-CO"/>
        </w:rPr>
      </w:pPr>
      <w:r w:rsidRPr="00FD551E">
        <w:rPr>
          <w:rFonts w:ascii="Verdana" w:eastAsia="Times New Roman" w:hAnsi="Verdana" w:cs="Arial"/>
          <w:lang w:val="es-ES" w:eastAsia="es-CO"/>
        </w:rPr>
        <w:t>Atentamente,</w:t>
      </w:r>
      <w:r w:rsidRPr="00FD551E">
        <w:rPr>
          <w:rFonts w:ascii="Verdana" w:hAnsi="Verdana" w:cs="Arial"/>
          <w:lang w:val="es-ES" w:eastAsia="es-CO"/>
        </w:rPr>
        <w:t xml:space="preserve"> </w:t>
      </w:r>
    </w:p>
    <w:p w14:paraId="6E5C3EE8" w14:textId="77777777" w:rsidR="00CB5936" w:rsidRPr="0076466E" w:rsidRDefault="00CB5936" w:rsidP="00CB5936">
      <w:pPr>
        <w:spacing w:after="0" w:line="276" w:lineRule="auto"/>
        <w:jc w:val="center"/>
        <w:rPr>
          <w:rFonts w:ascii="Verdana" w:hAnsi="Verdana"/>
          <w:noProof/>
          <w:color w:val="EE0000"/>
        </w:rPr>
      </w:pPr>
    </w:p>
    <w:p w14:paraId="74D23C4E" w14:textId="47649FF0" w:rsidR="00CB5936" w:rsidRDefault="00F37F1C" w:rsidP="00F37F1C">
      <w:pPr>
        <w:spacing w:after="0" w:line="276" w:lineRule="auto"/>
        <w:jc w:val="center"/>
        <w:rPr>
          <w:rFonts w:ascii="Verdana" w:hAnsi="Verdana" w:cs="Arial"/>
          <w:color w:val="EE0000"/>
          <w:lang w:val="es-ES" w:eastAsia="es-CO"/>
        </w:rPr>
      </w:pPr>
      <w:r w:rsidRPr="00F37F1C">
        <w:rPr>
          <w:rFonts w:ascii="Verdana" w:hAnsi="Verdana" w:cs="Arial"/>
          <w:color w:val="EE0000"/>
          <w:lang w:val="es-ES" w:eastAsia="es-CO"/>
        </w:rPr>
        <w:lastRenderedPageBreak/>
        <w:drawing>
          <wp:inline distT="0" distB="0" distL="0" distR="0" wp14:anchorId="5BB1881B" wp14:editId="19D7880F">
            <wp:extent cx="2771775" cy="1143104"/>
            <wp:effectExtent l="0" t="0" r="0" b="0"/>
            <wp:docPr id="1294094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094628" name=""/>
                    <pic:cNvPicPr/>
                  </pic:nvPicPr>
                  <pic:blipFill>
                    <a:blip r:embed="rId22"/>
                    <a:stretch>
                      <a:fillRect/>
                    </a:stretch>
                  </pic:blipFill>
                  <pic:spPr>
                    <a:xfrm>
                      <a:off x="0" y="0"/>
                      <a:ext cx="2774974" cy="1144423"/>
                    </a:xfrm>
                    <a:prstGeom prst="rect">
                      <a:avLst/>
                    </a:prstGeom>
                  </pic:spPr>
                </pic:pic>
              </a:graphicData>
            </a:graphic>
          </wp:inline>
        </w:drawing>
      </w:r>
    </w:p>
    <w:p w14:paraId="32FA24CD" w14:textId="77777777" w:rsidR="00F37F1C" w:rsidRPr="0076466E" w:rsidRDefault="00F37F1C" w:rsidP="00F37F1C">
      <w:pPr>
        <w:spacing w:after="0" w:line="276" w:lineRule="auto"/>
        <w:jc w:val="center"/>
        <w:rPr>
          <w:rFonts w:ascii="Verdana" w:hAnsi="Verdana" w:cs="Arial"/>
          <w:color w:val="EE0000"/>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B5936" w:rsidRPr="0076466E" w14:paraId="3F8182BE" w14:textId="77777777" w:rsidTr="00D567FF">
        <w:trPr>
          <w:trHeight w:val="315"/>
        </w:trPr>
        <w:tc>
          <w:tcPr>
            <w:tcW w:w="893" w:type="dxa"/>
            <w:vAlign w:val="center"/>
            <w:hideMark/>
          </w:tcPr>
          <w:p w14:paraId="40607E43" w14:textId="77777777" w:rsidR="00CB5936" w:rsidRPr="00FD551E" w:rsidRDefault="00CB5936" w:rsidP="00D567FF">
            <w:pPr>
              <w:contextualSpacing/>
              <w:rPr>
                <w:rFonts w:ascii="Verdana" w:hAnsi="Verdana" w:cs="Arial"/>
                <w:sz w:val="16"/>
                <w:szCs w:val="16"/>
                <w:lang w:val="es-ES" w:eastAsia="es-ES"/>
              </w:rPr>
            </w:pPr>
            <w:r w:rsidRPr="00FD551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0D8A8FB" w14:textId="77777777" w:rsidR="00CB5936" w:rsidRPr="00FD551E" w:rsidRDefault="00CB5936" w:rsidP="00D567FF">
            <w:pPr>
              <w:rPr>
                <w:rFonts w:ascii="Verdana" w:eastAsia="Times New Roman" w:hAnsi="Verdana" w:cs="Arial"/>
                <w:sz w:val="16"/>
                <w:szCs w:val="16"/>
                <w:lang w:eastAsia="es-ES"/>
              </w:rPr>
            </w:pPr>
            <w:r w:rsidRPr="00FD551E">
              <w:rPr>
                <w:rFonts w:ascii="Verdana" w:eastAsia="Times New Roman" w:hAnsi="Verdana" w:cs="Arial"/>
                <w:sz w:val="16"/>
                <w:szCs w:val="16"/>
                <w:lang w:eastAsia="es-ES"/>
              </w:rPr>
              <w:t>Camila Alejandra Naranjo Gómez</w:t>
            </w:r>
          </w:p>
          <w:p w14:paraId="22D77A74" w14:textId="77777777" w:rsidR="00CB5936" w:rsidRPr="00FD551E" w:rsidRDefault="00CB5936" w:rsidP="00D567FF">
            <w:pPr>
              <w:contextualSpacing/>
              <w:rPr>
                <w:rFonts w:ascii="Verdana" w:eastAsia="Arial" w:hAnsi="Verdana" w:cs="Arial"/>
                <w:sz w:val="16"/>
                <w:szCs w:val="16"/>
                <w:lang w:val="es-ES"/>
              </w:rPr>
            </w:pPr>
            <w:r w:rsidRPr="00FD551E">
              <w:rPr>
                <w:rFonts w:ascii="Verdana" w:eastAsia="Times New Roman" w:hAnsi="Verdana" w:cs="Arial"/>
                <w:sz w:val="16"/>
                <w:szCs w:val="16"/>
                <w:lang w:eastAsia="es-ES"/>
              </w:rPr>
              <w:t>Analista T2-02 de la Subdirección de Gestión Contractual</w:t>
            </w:r>
          </w:p>
        </w:tc>
      </w:tr>
      <w:tr w:rsidR="00CB5936" w:rsidRPr="0076466E" w14:paraId="7BDB0443" w14:textId="77777777" w:rsidTr="00D567FF">
        <w:trPr>
          <w:trHeight w:val="330"/>
        </w:trPr>
        <w:tc>
          <w:tcPr>
            <w:tcW w:w="893" w:type="dxa"/>
            <w:vAlign w:val="center"/>
            <w:hideMark/>
          </w:tcPr>
          <w:p w14:paraId="66817B41" w14:textId="77777777" w:rsidR="00CB5936" w:rsidRPr="00FD551E" w:rsidRDefault="00CB5936" w:rsidP="00D567FF">
            <w:pPr>
              <w:contextualSpacing/>
              <w:rPr>
                <w:rFonts w:ascii="Verdana" w:hAnsi="Verdana" w:cs="Arial"/>
                <w:sz w:val="16"/>
                <w:szCs w:val="16"/>
                <w:lang w:val="es-ES" w:eastAsia="es-ES"/>
              </w:rPr>
            </w:pPr>
            <w:r w:rsidRPr="00FD551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624A5A" w14:textId="77777777" w:rsidR="00CB5936" w:rsidRPr="00FD551E" w:rsidRDefault="00CB5936" w:rsidP="00D567FF">
            <w:pPr>
              <w:rPr>
                <w:rFonts w:ascii="Verdana" w:eastAsia="Times New Roman" w:hAnsi="Verdana" w:cs="Arial"/>
                <w:sz w:val="16"/>
                <w:szCs w:val="16"/>
                <w:lang w:eastAsia="es-ES"/>
              </w:rPr>
            </w:pPr>
            <w:r>
              <w:rPr>
                <w:rFonts w:ascii="Verdana" w:eastAsia="Times New Roman" w:hAnsi="Verdana" w:cs="Arial"/>
                <w:sz w:val="16"/>
                <w:szCs w:val="16"/>
                <w:lang w:eastAsia="es-ES"/>
              </w:rPr>
              <w:t>Juan David Cárdenas Cabeza</w:t>
            </w:r>
          </w:p>
          <w:p w14:paraId="25CB1B17" w14:textId="77777777" w:rsidR="00CB5936" w:rsidRPr="00FD551E" w:rsidRDefault="00CB5936" w:rsidP="00D567FF">
            <w:pPr>
              <w:pStyle w:val="paragraph"/>
              <w:spacing w:before="0" w:beforeAutospacing="0" w:after="0" w:afterAutospacing="0"/>
              <w:contextualSpacing/>
              <w:textAlignment w:val="baseline"/>
              <w:rPr>
                <w:rFonts w:ascii="Verdana" w:hAnsi="Verdana" w:cs="Segoe UI"/>
                <w:sz w:val="16"/>
                <w:szCs w:val="16"/>
                <w:lang w:val="es-ES"/>
              </w:rPr>
            </w:pPr>
            <w:r w:rsidRPr="00FD551E">
              <w:rPr>
                <w:rFonts w:ascii="Verdana" w:hAnsi="Verdana" w:cs="Arial"/>
                <w:sz w:val="16"/>
                <w:szCs w:val="16"/>
                <w:lang w:eastAsia="es-ES"/>
              </w:rPr>
              <w:t>Contratista de la Subdirección de Gestión Contractual</w:t>
            </w:r>
          </w:p>
        </w:tc>
      </w:tr>
      <w:tr w:rsidR="00CB5936" w:rsidRPr="0076466E" w14:paraId="2925319B" w14:textId="77777777" w:rsidTr="00D567FF">
        <w:trPr>
          <w:trHeight w:val="300"/>
        </w:trPr>
        <w:tc>
          <w:tcPr>
            <w:tcW w:w="893" w:type="dxa"/>
            <w:vAlign w:val="center"/>
          </w:tcPr>
          <w:p w14:paraId="1C3F866A" w14:textId="77777777" w:rsidR="00CB5936" w:rsidRPr="00FD551E" w:rsidRDefault="00CB5936" w:rsidP="00D567FF">
            <w:pPr>
              <w:contextualSpacing/>
              <w:rPr>
                <w:rFonts w:ascii="Verdana" w:hAnsi="Verdana" w:cs="Arial"/>
                <w:sz w:val="16"/>
                <w:szCs w:val="16"/>
                <w:lang w:val="es-ES" w:eastAsia="es-ES"/>
              </w:rPr>
            </w:pPr>
            <w:r w:rsidRPr="00FD551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C143E97" w14:textId="77777777" w:rsidR="00CB5936" w:rsidRPr="00FD551E" w:rsidRDefault="00CB5936" w:rsidP="00D567FF">
            <w:pPr>
              <w:contextualSpacing/>
              <w:rPr>
                <w:rFonts w:ascii="Verdana" w:eastAsia="Calibri" w:hAnsi="Verdana" w:cs="Arial"/>
                <w:sz w:val="16"/>
                <w:szCs w:val="16"/>
                <w:lang w:val="es-ES" w:eastAsia="es-ES"/>
              </w:rPr>
            </w:pPr>
            <w:r w:rsidRPr="00FD551E">
              <w:rPr>
                <w:rFonts w:ascii="Verdana" w:eastAsia="Calibri" w:hAnsi="Verdana" w:cs="Arial"/>
                <w:sz w:val="16"/>
                <w:szCs w:val="16"/>
                <w:lang w:val="es-ES" w:eastAsia="es-ES"/>
              </w:rPr>
              <w:t>Carolina Quintero Gacharná</w:t>
            </w:r>
          </w:p>
          <w:p w14:paraId="3FB1F588" w14:textId="77777777" w:rsidR="00CB5936" w:rsidRPr="00FD551E" w:rsidRDefault="00CB5936" w:rsidP="00D567FF">
            <w:pPr>
              <w:contextualSpacing/>
              <w:rPr>
                <w:rFonts w:ascii="Verdana" w:eastAsia="Calibri" w:hAnsi="Verdana" w:cs="Arial"/>
                <w:sz w:val="16"/>
                <w:szCs w:val="16"/>
                <w:lang w:val="es-ES" w:eastAsia="es-ES"/>
              </w:rPr>
            </w:pPr>
            <w:r w:rsidRPr="00FD551E">
              <w:rPr>
                <w:rFonts w:ascii="Verdana" w:eastAsia="Calibri" w:hAnsi="Verdana" w:cs="Arial"/>
                <w:sz w:val="16"/>
                <w:szCs w:val="16"/>
                <w:lang w:val="es-ES" w:eastAsia="es-ES"/>
              </w:rPr>
              <w:t>Subdirectora de Gestión Contractual ANCP – CCE</w:t>
            </w:r>
          </w:p>
        </w:tc>
      </w:tr>
    </w:tbl>
    <w:p w14:paraId="12ECE0ED" w14:textId="77777777" w:rsidR="00CB5936" w:rsidRPr="0076466E" w:rsidRDefault="00CB5936" w:rsidP="00CB5936">
      <w:pPr>
        <w:spacing w:after="0" w:line="240" w:lineRule="auto"/>
        <w:jc w:val="both"/>
        <w:textAlignment w:val="baseline"/>
        <w:rPr>
          <w:rFonts w:ascii="Verdana" w:eastAsia="Verdana" w:hAnsi="Verdana" w:cs="Verdana"/>
          <w:color w:val="EE0000"/>
          <w:lang w:eastAsia="es-CO"/>
        </w:rPr>
      </w:pPr>
    </w:p>
    <w:p w14:paraId="247DA0DE" w14:textId="5BCD6432" w:rsidR="00CB5936" w:rsidRPr="0084775B" w:rsidRDefault="00CB5936" w:rsidP="00CB5936">
      <w:pPr>
        <w:spacing w:after="0" w:line="240" w:lineRule="auto"/>
        <w:textAlignment w:val="baseline"/>
        <w:rPr>
          <w:rFonts w:ascii="Verdana" w:eastAsia="Verdana" w:hAnsi="Verdana" w:cs="Verdana"/>
          <w:color w:val="EE0000"/>
          <w:lang w:eastAsia="es-CO"/>
        </w:rPr>
      </w:pPr>
      <w:r w:rsidRPr="0076466E">
        <w:rPr>
          <w:rFonts w:ascii="Verdana" w:eastAsia="Verdana" w:hAnsi="Verdana" w:cs="Verdana"/>
          <w:color w:val="EE0000"/>
          <w:lang w:eastAsia="es-CO"/>
        </w:rPr>
        <w:t> </w:t>
      </w:r>
      <w:bookmarkEnd w:id="0"/>
    </w:p>
    <w:p w14:paraId="0F293BF4" w14:textId="47921099" w:rsidR="00127233" w:rsidRPr="00CB5936" w:rsidRDefault="00127233" w:rsidP="00CB5936"/>
    <w:sectPr w:rsidR="00127233" w:rsidRPr="00CB5936"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708FE" w14:textId="77777777" w:rsidR="006B5A16" w:rsidRDefault="006B5A16" w:rsidP="004A1847">
      <w:pPr>
        <w:spacing w:after="0" w:line="240" w:lineRule="auto"/>
      </w:pPr>
      <w:r>
        <w:separator/>
      </w:r>
    </w:p>
  </w:endnote>
  <w:endnote w:type="continuationSeparator" w:id="0">
    <w:p w14:paraId="382285CC" w14:textId="77777777" w:rsidR="006B5A16" w:rsidRDefault="006B5A1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134A0" w14:textId="77777777" w:rsidR="006B5A16" w:rsidRDefault="006B5A16" w:rsidP="004A1847">
      <w:pPr>
        <w:spacing w:after="0" w:line="240" w:lineRule="auto"/>
      </w:pPr>
      <w:r>
        <w:separator/>
      </w:r>
    </w:p>
  </w:footnote>
  <w:footnote w:type="continuationSeparator" w:id="0">
    <w:p w14:paraId="25A7D1F5" w14:textId="77777777" w:rsidR="006B5A16" w:rsidRDefault="006B5A16" w:rsidP="004A1847">
      <w:pPr>
        <w:spacing w:after="0" w:line="240" w:lineRule="auto"/>
      </w:pPr>
      <w:r>
        <w:continuationSeparator/>
      </w:r>
    </w:p>
  </w:footnote>
  <w:footnote w:id="1">
    <w:p w14:paraId="3E9FEA2E" w14:textId="77777777" w:rsidR="00CB5936" w:rsidRPr="00666BAC" w:rsidRDefault="00CB5936" w:rsidP="00CB5936">
      <w:pPr>
        <w:spacing w:after="0" w:line="240" w:lineRule="auto"/>
        <w:ind w:firstLine="709"/>
        <w:jc w:val="both"/>
        <w:rPr>
          <w:rFonts w:ascii="Verdana" w:hAnsi="Verdana"/>
          <w:sz w:val="16"/>
          <w:szCs w:val="16"/>
        </w:rPr>
      </w:pPr>
      <w:r w:rsidRPr="00666BAC">
        <w:rPr>
          <w:rStyle w:val="Refdenotaalpie"/>
          <w:rFonts w:ascii="Verdana" w:hAnsi="Verdana"/>
          <w:sz w:val="16"/>
          <w:szCs w:val="16"/>
        </w:rPr>
        <w:footnoteRef/>
      </w:r>
      <w:r w:rsidRPr="00666BAC">
        <w:rPr>
          <w:rFonts w:ascii="Verdana" w:hAnsi="Verdana"/>
          <w:sz w:val="16"/>
          <w:szCs w:val="16"/>
        </w:rPr>
        <w:t xml:space="preserve"> Ley 80 de 1993: “Artículo 26. Del Principio de Responsabilidad. En virtud de este principio:</w:t>
      </w:r>
    </w:p>
    <w:p w14:paraId="17E7B517" w14:textId="77777777" w:rsidR="00CB5936" w:rsidRPr="00666BAC" w:rsidRDefault="00CB5936" w:rsidP="00CB5936">
      <w:pPr>
        <w:spacing w:after="0" w:line="240" w:lineRule="auto"/>
        <w:ind w:firstLine="709"/>
        <w:jc w:val="both"/>
        <w:rPr>
          <w:rFonts w:ascii="Verdana" w:hAnsi="Verdana"/>
          <w:sz w:val="16"/>
          <w:szCs w:val="16"/>
        </w:rPr>
      </w:pPr>
      <w:r w:rsidRPr="00666BAC">
        <w:rPr>
          <w:rFonts w:ascii="Verdana" w:hAnsi="Verdana"/>
          <w:sz w:val="16"/>
          <w:szCs w:val="16"/>
        </w:rPr>
        <w:t>[…]</w:t>
      </w:r>
    </w:p>
    <w:p w14:paraId="2F1AE6AF" w14:textId="77777777" w:rsidR="00CB5936" w:rsidRPr="00666BAC" w:rsidRDefault="00CB5936" w:rsidP="00CB5936">
      <w:pPr>
        <w:spacing w:after="0" w:line="240" w:lineRule="auto"/>
        <w:ind w:firstLine="709"/>
        <w:jc w:val="both"/>
        <w:rPr>
          <w:rFonts w:ascii="Verdana" w:hAnsi="Verdana"/>
          <w:sz w:val="16"/>
          <w:szCs w:val="16"/>
        </w:rPr>
      </w:pPr>
      <w:r w:rsidRPr="00666BAC">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footnote>
  <w:footnote w:id="2">
    <w:p w14:paraId="36108B4F" w14:textId="77777777" w:rsidR="00CB5936" w:rsidRPr="00666BAC" w:rsidRDefault="00CB5936" w:rsidP="00CB5936">
      <w:pPr>
        <w:pStyle w:val="Textonotapie"/>
        <w:ind w:firstLine="709"/>
        <w:jc w:val="both"/>
        <w:rPr>
          <w:rFonts w:ascii="Verdana" w:hAnsi="Verdana" w:cs="Arial"/>
          <w:sz w:val="16"/>
          <w:szCs w:val="16"/>
        </w:rPr>
      </w:pPr>
      <w:r w:rsidRPr="00666BAC">
        <w:rPr>
          <w:rStyle w:val="Refdenotaalpie"/>
          <w:rFonts w:ascii="Verdana" w:hAnsi="Verdana" w:cs="Arial"/>
          <w:sz w:val="16"/>
          <w:szCs w:val="16"/>
        </w:rPr>
        <w:footnoteRef/>
      </w:r>
      <w:r w:rsidRPr="00666BAC">
        <w:rPr>
          <w:rFonts w:ascii="Verdana" w:hAnsi="Verdana" w:cs="Arial"/>
          <w:sz w:val="16"/>
          <w:szCs w:val="16"/>
        </w:rPr>
        <w:t xml:space="preserve"> Decreto 1082 de 2015: </w:t>
      </w:r>
      <w:r w:rsidRPr="00666BAC">
        <w:rPr>
          <w:rFonts w:ascii="Verdana" w:eastAsia="Times New Roman" w:hAnsi="Verdana" w:cs="Arial"/>
          <w:sz w:val="16"/>
          <w:szCs w:val="16"/>
          <w:lang w:val="es-CO"/>
        </w:rPr>
        <w:t>“</w:t>
      </w:r>
      <w:r w:rsidRPr="00666BAC">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33BD3755" w14:textId="77777777" w:rsidR="00CB5936" w:rsidRPr="00666BAC" w:rsidRDefault="00CB5936" w:rsidP="00CB5936">
      <w:pPr>
        <w:pStyle w:val="Textonotapie"/>
        <w:ind w:firstLine="709"/>
        <w:jc w:val="both"/>
        <w:rPr>
          <w:rFonts w:ascii="Verdana" w:hAnsi="Verdana" w:cs="Arial"/>
          <w:sz w:val="16"/>
          <w:szCs w:val="16"/>
        </w:rPr>
      </w:pPr>
      <w:r w:rsidRPr="00666BAC">
        <w:rPr>
          <w:rFonts w:ascii="Verdana" w:hAnsi="Verdana" w:cs="Arial"/>
          <w:sz w:val="16"/>
          <w:szCs w:val="16"/>
        </w:rPr>
        <w:t>Los miembros del comité evaluador están sujetos al régimen de inhabilidades e incompatibilidades y conflicto de interés previstos en la Constitución y la ley.</w:t>
      </w:r>
    </w:p>
    <w:p w14:paraId="7D00855A" w14:textId="77777777" w:rsidR="00CB5936" w:rsidRPr="00666BAC" w:rsidRDefault="00CB5936" w:rsidP="00CB5936">
      <w:pPr>
        <w:pStyle w:val="Textonotapie"/>
        <w:ind w:firstLine="709"/>
        <w:jc w:val="both"/>
        <w:rPr>
          <w:rFonts w:ascii="Verdana" w:hAnsi="Verdana" w:cs="Arial"/>
          <w:sz w:val="16"/>
          <w:szCs w:val="16"/>
          <w:lang w:val="es-ES"/>
        </w:rPr>
      </w:pPr>
      <w:r w:rsidRPr="00666BAC">
        <w:rPr>
          <w:rFonts w:ascii="Verdana" w:hAnsi="Verdana" w:cs="Arial"/>
          <w:sz w:val="16"/>
          <w:szCs w:val="16"/>
        </w:rPr>
        <w:t>La verificación y la evaluación de las ofertas para la mínima cuantía será adelantada por quien sea designado por el ordenador del gasto sin que se requiera un comité plural”.</w:t>
      </w:r>
    </w:p>
  </w:footnote>
  <w:footnote w:id="3">
    <w:p w14:paraId="1808C6DB" w14:textId="77777777" w:rsidR="00CB5936" w:rsidRPr="00DC2507" w:rsidRDefault="00CB5936" w:rsidP="00CB5936">
      <w:pPr>
        <w:pStyle w:val="Textonotapie"/>
        <w:ind w:firstLine="708"/>
        <w:jc w:val="both"/>
        <w:rPr>
          <w:rFonts w:ascii="Verdana" w:hAnsi="Verdana" w:cs="Arial"/>
          <w:color w:val="000000" w:themeColor="text1"/>
          <w:sz w:val="16"/>
          <w:szCs w:val="16"/>
          <w:lang w:val="es-ES"/>
        </w:rPr>
      </w:pPr>
      <w:r w:rsidRPr="00DC2507">
        <w:rPr>
          <w:rStyle w:val="Refdenotaalpie"/>
          <w:rFonts w:ascii="Verdana" w:hAnsi="Verdana" w:cs="Arial"/>
          <w:color w:val="000000" w:themeColor="text1"/>
          <w:sz w:val="16"/>
          <w:szCs w:val="16"/>
        </w:rPr>
        <w:footnoteRef/>
      </w:r>
      <w:r w:rsidRPr="00DC2507">
        <w:rPr>
          <w:rFonts w:ascii="Verdana" w:hAnsi="Verdana" w:cs="Arial"/>
          <w:color w:val="000000" w:themeColor="text1"/>
          <w:sz w:val="16"/>
          <w:szCs w:val="16"/>
        </w:rPr>
        <w:t xml:space="preserve"> </w:t>
      </w:r>
      <w:r>
        <w:rPr>
          <w:rFonts w:ascii="Verdana" w:hAnsi="Verdana" w:cs="Arial"/>
          <w:color w:val="000000" w:themeColor="text1"/>
          <w:sz w:val="16"/>
          <w:szCs w:val="16"/>
        </w:rPr>
        <w:t xml:space="preserve">Agencia Nacional de Contratación Pública – Colombia Compra Eficiente. </w:t>
      </w:r>
      <w:r w:rsidRPr="00DC2507">
        <w:rPr>
          <w:rFonts w:ascii="Verdana" w:hAnsi="Verdana" w:cs="Arial"/>
          <w:color w:val="000000" w:themeColor="text1"/>
          <w:sz w:val="16"/>
          <w:szCs w:val="16"/>
        </w:rPr>
        <w:t>Guía para el manejo de ofertas artificialmente bajas en Procesos de Contratación. p. 5.</w:t>
      </w:r>
    </w:p>
  </w:footnote>
  <w:footnote w:id="4">
    <w:p w14:paraId="23C18E76" w14:textId="77777777" w:rsidR="00CB5936" w:rsidRPr="00DC2507" w:rsidRDefault="00CB5936" w:rsidP="00CB5936">
      <w:pPr>
        <w:pStyle w:val="Textonotapie"/>
        <w:ind w:firstLine="708"/>
        <w:jc w:val="both"/>
        <w:rPr>
          <w:rFonts w:ascii="Verdana" w:hAnsi="Verdana" w:cs="Arial"/>
          <w:color w:val="000000" w:themeColor="text1"/>
          <w:sz w:val="16"/>
          <w:szCs w:val="16"/>
        </w:rPr>
      </w:pPr>
      <w:r w:rsidRPr="00DC2507">
        <w:rPr>
          <w:rStyle w:val="Refdenotaalpie"/>
          <w:rFonts w:ascii="Verdana" w:hAnsi="Verdana" w:cs="Arial"/>
          <w:color w:val="000000" w:themeColor="text1"/>
          <w:sz w:val="16"/>
          <w:szCs w:val="16"/>
        </w:rPr>
        <w:footnoteRef/>
      </w:r>
      <w:r w:rsidRPr="00DC2507">
        <w:rPr>
          <w:rFonts w:ascii="Verdana" w:hAnsi="Verdana" w:cs="Arial"/>
          <w:color w:val="000000" w:themeColor="text1"/>
          <w:sz w:val="16"/>
          <w:szCs w:val="16"/>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footnote>
  <w:footnote w:id="5">
    <w:p w14:paraId="5383029B" w14:textId="77777777" w:rsidR="00CB5936" w:rsidRPr="00CB5936" w:rsidRDefault="00CB5936" w:rsidP="00CB5936">
      <w:pPr>
        <w:pStyle w:val="Textonotapie"/>
        <w:ind w:firstLine="708"/>
        <w:jc w:val="both"/>
        <w:rPr>
          <w:rFonts w:ascii="Verdana" w:hAnsi="Verdana" w:cs="Arial"/>
          <w:color w:val="000000" w:themeColor="text1"/>
          <w:sz w:val="16"/>
          <w:szCs w:val="16"/>
          <w:lang w:val="en-US"/>
        </w:rPr>
      </w:pPr>
      <w:r w:rsidRPr="00DC2507">
        <w:rPr>
          <w:rStyle w:val="Refdenotaalpie"/>
          <w:rFonts w:ascii="Verdana" w:hAnsi="Verdana" w:cs="Arial"/>
          <w:color w:val="000000" w:themeColor="text1"/>
          <w:sz w:val="16"/>
          <w:szCs w:val="16"/>
        </w:rPr>
        <w:footnoteRef/>
      </w:r>
      <w:r w:rsidRPr="00DC2507">
        <w:rPr>
          <w:rFonts w:ascii="Verdana" w:hAnsi="Verdana" w:cs="Arial"/>
          <w:color w:val="000000" w:themeColor="text1"/>
          <w:sz w:val="16"/>
          <w:szCs w:val="16"/>
        </w:rPr>
        <w:t xml:space="preserve"> </w:t>
      </w:r>
      <w:r w:rsidRPr="00DC2507">
        <w:rPr>
          <w:rFonts w:ascii="Verdana" w:hAnsi="Verdana" w:cs="Arial"/>
          <w:color w:val="000000" w:themeColor="text1"/>
          <w:sz w:val="16"/>
          <w:szCs w:val="16"/>
          <w:lang w:val="es-ES"/>
        </w:rPr>
        <w:t xml:space="preserve">Consejo de Estado. Sección Segunda. Sentencia del 10 de junio de 1992. </w:t>
      </w:r>
      <w:r w:rsidRPr="00CB5936">
        <w:rPr>
          <w:rFonts w:ascii="Verdana" w:hAnsi="Verdana" w:cs="Arial"/>
          <w:color w:val="000000" w:themeColor="text1"/>
          <w:sz w:val="16"/>
          <w:szCs w:val="16"/>
          <w:lang w:val="en-US"/>
        </w:rPr>
        <w:t>Exp. No. 4.249. C.P. Álvaro Lecompte Luna.</w:t>
      </w:r>
    </w:p>
    <w:p w14:paraId="6407E7EC" w14:textId="77777777" w:rsidR="00CB5936" w:rsidRPr="00CB5936" w:rsidRDefault="00CB5936" w:rsidP="00CB5936">
      <w:pPr>
        <w:pStyle w:val="Textonotapie"/>
        <w:ind w:firstLine="708"/>
        <w:jc w:val="both"/>
        <w:rPr>
          <w:rFonts w:ascii="Verdana" w:hAnsi="Verdana" w:cs="Arial"/>
          <w:color w:val="000000" w:themeColor="text1"/>
          <w:sz w:val="16"/>
          <w:szCs w:val="16"/>
          <w:lang w:val="en-US"/>
        </w:rPr>
      </w:pPr>
    </w:p>
  </w:footnote>
  <w:footnote w:id="6">
    <w:p w14:paraId="1E592CFE" w14:textId="77777777" w:rsidR="00CB5936" w:rsidRDefault="00CB5936" w:rsidP="00CB5936">
      <w:pPr>
        <w:pStyle w:val="Textonotapie"/>
        <w:ind w:firstLine="708"/>
        <w:jc w:val="both"/>
        <w:rPr>
          <w:rFonts w:ascii="Verdana" w:hAnsi="Verdana"/>
          <w:sz w:val="16"/>
          <w:szCs w:val="16"/>
          <w:lang w:val="en-US"/>
        </w:rPr>
      </w:pPr>
      <w:r w:rsidRPr="00FA56D6">
        <w:rPr>
          <w:rStyle w:val="Refdenotaalpie"/>
          <w:rFonts w:ascii="Verdana" w:hAnsi="Verdana"/>
          <w:sz w:val="16"/>
          <w:szCs w:val="16"/>
        </w:rPr>
        <w:footnoteRef/>
      </w:r>
      <w:r w:rsidRPr="00FA56D6">
        <w:rPr>
          <w:rFonts w:ascii="Verdana" w:hAnsi="Verdana"/>
          <w:sz w:val="16"/>
          <w:szCs w:val="16"/>
          <w:lang w:val="en-US"/>
        </w:rPr>
        <w:t xml:space="preserve">  WORLD BANK. Abnormally Low Bids and Proposals. Guide the identification and treatment of Abnormally Low Bids and Proposals, 2016.</w:t>
      </w:r>
    </w:p>
    <w:p w14:paraId="5E1FC119" w14:textId="77777777" w:rsidR="00CB5936" w:rsidRPr="00FA56D6" w:rsidRDefault="00CB5936" w:rsidP="00CB5936">
      <w:pPr>
        <w:pStyle w:val="Textonotapie"/>
        <w:jc w:val="both"/>
        <w:rPr>
          <w:rFonts w:ascii="Verdana" w:hAnsi="Verdana"/>
          <w:sz w:val="16"/>
          <w:szCs w:val="16"/>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DE2E64"/>
    <w:multiLevelType w:val="hybridMultilevel"/>
    <w:tmpl w:val="C0783DAE"/>
    <w:lvl w:ilvl="0" w:tplc="240A000F">
      <w:start w:val="1"/>
      <w:numFmt w:val="decimal"/>
      <w:lvlText w:val="%1."/>
      <w:lvlJc w:val="left"/>
      <w:pPr>
        <w:ind w:left="1429" w:hanging="360"/>
      </w:p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3"/>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9"/>
  </w:num>
  <w:num w:numId="17" w16cid:durableId="3296036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102B"/>
    <w:rsid w:val="000D5DA7"/>
    <w:rsid w:val="000F6486"/>
    <w:rsid w:val="00116940"/>
    <w:rsid w:val="00125105"/>
    <w:rsid w:val="00127233"/>
    <w:rsid w:val="0015699B"/>
    <w:rsid w:val="001A33BF"/>
    <w:rsid w:val="001E4177"/>
    <w:rsid w:val="001F0B24"/>
    <w:rsid w:val="001F3FE6"/>
    <w:rsid w:val="001F7DC6"/>
    <w:rsid w:val="0022400B"/>
    <w:rsid w:val="00236E37"/>
    <w:rsid w:val="002421BB"/>
    <w:rsid w:val="0025796E"/>
    <w:rsid w:val="002707A2"/>
    <w:rsid w:val="00290EDB"/>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B5A16"/>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272B"/>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9F7390"/>
    <w:rsid w:val="00A122D3"/>
    <w:rsid w:val="00A14468"/>
    <w:rsid w:val="00A17F13"/>
    <w:rsid w:val="00A20739"/>
    <w:rsid w:val="00A23AF9"/>
    <w:rsid w:val="00A33C78"/>
    <w:rsid w:val="00AB0ADB"/>
    <w:rsid w:val="00AB5B37"/>
    <w:rsid w:val="00B00C0E"/>
    <w:rsid w:val="00B01B1A"/>
    <w:rsid w:val="00B0381D"/>
    <w:rsid w:val="00B44A47"/>
    <w:rsid w:val="00B72CD3"/>
    <w:rsid w:val="00B72FFF"/>
    <w:rsid w:val="00B82DB7"/>
    <w:rsid w:val="00BC3D36"/>
    <w:rsid w:val="00BD54A6"/>
    <w:rsid w:val="00BD7F72"/>
    <w:rsid w:val="00BF7425"/>
    <w:rsid w:val="00C04FB3"/>
    <w:rsid w:val="00C11D8B"/>
    <w:rsid w:val="00C15139"/>
    <w:rsid w:val="00C330EB"/>
    <w:rsid w:val="00C50D69"/>
    <w:rsid w:val="00C5365C"/>
    <w:rsid w:val="00C754BE"/>
    <w:rsid w:val="00C76B1C"/>
    <w:rsid w:val="00C925AC"/>
    <w:rsid w:val="00C9354D"/>
    <w:rsid w:val="00CB5936"/>
    <w:rsid w:val="00CB6357"/>
    <w:rsid w:val="00CC1B26"/>
    <w:rsid w:val="00D361FD"/>
    <w:rsid w:val="00D423A2"/>
    <w:rsid w:val="00D44E26"/>
    <w:rsid w:val="00D520D8"/>
    <w:rsid w:val="00D63AC2"/>
    <w:rsid w:val="00D733EB"/>
    <w:rsid w:val="00D7383B"/>
    <w:rsid w:val="00D7788A"/>
    <w:rsid w:val="00DA231B"/>
    <w:rsid w:val="00DC39FC"/>
    <w:rsid w:val="00DF5254"/>
    <w:rsid w:val="00E02524"/>
    <w:rsid w:val="00E16408"/>
    <w:rsid w:val="00E17C83"/>
    <w:rsid w:val="00E20894"/>
    <w:rsid w:val="00E245AB"/>
    <w:rsid w:val="00E2764C"/>
    <w:rsid w:val="00E27F2E"/>
    <w:rsid w:val="00E50AFE"/>
    <w:rsid w:val="00E75C92"/>
    <w:rsid w:val="00E771DC"/>
    <w:rsid w:val="00E8772A"/>
    <w:rsid w:val="00E90F6B"/>
    <w:rsid w:val="00E92C27"/>
    <w:rsid w:val="00EA0E3D"/>
    <w:rsid w:val="00EC38A7"/>
    <w:rsid w:val="00EE1AA8"/>
    <w:rsid w:val="00EF36CB"/>
    <w:rsid w:val="00F23FEA"/>
    <w:rsid w:val="00F31EDC"/>
    <w:rsid w:val="00F37F1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B5936"/>
    <w:pPr>
      <w:spacing w:line="240" w:lineRule="exact"/>
    </w:pPr>
    <w:rPr>
      <w:vertAlign w:val="superscript"/>
    </w:rPr>
  </w:style>
  <w:style w:type="character" w:customStyle="1" w:styleId="NormalWebCar">
    <w:name w:val="Normal (Web) Car"/>
    <w:link w:val="NormalWeb"/>
    <w:uiPriority w:val="99"/>
    <w:locked/>
    <w:rsid w:val="00CB593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webSettings" Target="webSettings.xml"/><Relationship Id="rId12" Type="http://schemas.openxmlformats.org/officeDocument/2006/relationships/hyperlink" Target="https://www.colombiacompra.gov.co/archivos/manual/guia-para-el-manejo-de-ofertas-artificialmente-bajas-en-procesos-de-contratacion-2" TargetMode="External"/><Relationship Id="rId17" Type="http://schemas.openxmlformats.org/officeDocument/2006/relationships/hyperlink" Target="https://www.colombiacompra.gov.co/normativa-y-relatoria/documentos-tip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yorgaharker@gmai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mailto:ventanilladeradicacion@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el-manejo-de-ofertas-artificialmente-bajas-en-procesos-de-contratacion-2" TargetMode="External"/><Relationship Id="rId22"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F02B29-DFB9-40FD-8971-8D3E953FD1E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18</Pages>
  <Words>5985</Words>
  <Characters>32920</Characters>
  <Application>Microsoft Office Word</Application>
  <DocSecurity>0</DocSecurity>
  <Lines>274</Lines>
  <Paragraphs>77</Paragraphs>
  <ScaleCrop>false</ScaleCrop>
  <Company/>
  <LinksUpToDate>false</LinksUpToDate>
  <CharactersWithSpaces>38828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9</cp:revision>
  <cp:lastPrinted>2023-01-10T21:18:00Z</cp:lastPrinted>
  <dcterms:created xsi:type="dcterms:W3CDTF">2026-05-14T17:21:00Z</dcterms:created>
  <dcterms:modified xsi:type="dcterms:W3CDTF">2026-05-15T14:23:00Z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