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BB415" w14:textId="77777777" w:rsidR="00EA28C0" w:rsidRDefault="00EA28C0" w:rsidP="00EA28C0">
      <w:pPr>
        <w:jc w:val="both"/>
        <w:rPr>
          <w:rFonts w:ascii="Verdana" w:eastAsia="Calibri" w:hAnsi="Verdana" w:cs="Arial"/>
          <w:b/>
          <w:bCs/>
        </w:rPr>
      </w:pPr>
      <w:bookmarkStart w:id="0" w:name="_Hlk143780582"/>
      <w:r w:rsidRPr="003D462A">
        <w:rPr>
          <w:rFonts w:ascii="Verdana" w:eastAsia="Calibri" w:hAnsi="Verdana" w:cs="Arial"/>
          <w:b/>
          <w:bCs/>
        </w:rPr>
        <w:t xml:space="preserve">ENTIDADES SIN ÁNIMO DE LUCRO – Naturaleza jurídica – Capacidad para contratar </w:t>
      </w:r>
    </w:p>
    <w:p w14:paraId="32087035" w14:textId="77777777" w:rsidR="00EA28C0" w:rsidRDefault="00EA28C0" w:rsidP="00EA28C0">
      <w:pPr>
        <w:jc w:val="both"/>
        <w:rPr>
          <w:rFonts w:ascii="Verdana" w:eastAsia="Calibri" w:hAnsi="Verdana" w:cs="Arial"/>
          <w:bCs/>
          <w:sz w:val="20"/>
          <w:szCs w:val="20"/>
        </w:rPr>
      </w:pPr>
      <w:r w:rsidRPr="00911EC0">
        <w:rPr>
          <w:rFonts w:ascii="Verdana" w:eastAsia="Calibri" w:hAnsi="Verdana" w:cs="Arial"/>
          <w:bCs/>
          <w:sz w:val="20"/>
          <w:szCs w:val="20"/>
        </w:rPr>
        <w:t>Por tanto, es claro que las ESAL tienen capacidad para contratar bajo las reglas del EGCAP al ser personas jurídicas consideradas legalmente capaces, en los términos del artículo 6 de la Ley 80 de 1993. En armonía con ello, el Decreto 092 de 2017 reguló un régimen especial de contratación; sin embargo, nada obsta para que las ESAL participen, en términos de igualdad con los demás oferentes, en los diferentes procesos contractuales que regula el EGCAP, siempre que cumplan con los requisitos exigidos en cada proceso, donde competirán con los demás proponentes. En este orden de ideas, las ESAL no solo pueden contratar bajo las reglas establecidas en el Decreto 092 de 2017, sino que también pueden intervenir en procesos de selección regidos por las reglas del EGCAP, caso en el cual participan con las mismas reglas aplicables a los demás oferentes.</w:t>
      </w:r>
    </w:p>
    <w:p w14:paraId="08C56E49" w14:textId="77777777" w:rsidR="00EA28C0" w:rsidRPr="00EA28C0" w:rsidRDefault="00EA28C0" w:rsidP="00EA28C0">
      <w:pPr>
        <w:spacing w:after="0" w:line="240" w:lineRule="auto"/>
        <w:jc w:val="both"/>
        <w:rPr>
          <w:rFonts w:ascii="Verdana" w:eastAsia="Times New Roman" w:hAnsi="Verdana" w:cs="Arial"/>
          <w:b/>
          <w:bCs/>
          <w:sz w:val="20"/>
          <w:szCs w:val="20"/>
          <w:bdr w:val="none" w:sz="0" w:space="0" w:color="auto" w:frame="1"/>
          <w:lang w:val="es-ES" w:eastAsia="es-ES_tradnl"/>
        </w:rPr>
      </w:pPr>
      <w:r w:rsidRPr="00EA28C0">
        <w:rPr>
          <w:rFonts w:ascii="Verdana" w:eastAsia="Times New Roman" w:hAnsi="Verdana" w:cs="Arial"/>
          <w:b/>
          <w:bCs/>
          <w:sz w:val="20"/>
          <w:szCs w:val="20"/>
          <w:bdr w:val="none" w:sz="0" w:space="0" w:color="auto" w:frame="1"/>
          <w:lang w:val="es-ES" w:eastAsia="es-ES_tradnl"/>
        </w:rPr>
        <w:t xml:space="preserve">CONTRATO DE PRESTACIÓN DE SERVICIOS ― Concepto ― Requisitos y límites para su celebración </w:t>
      </w:r>
    </w:p>
    <w:p w14:paraId="19248F82" w14:textId="77777777" w:rsidR="00EA28C0" w:rsidRPr="00EA28C0" w:rsidRDefault="00EA28C0" w:rsidP="00EA28C0">
      <w:pPr>
        <w:spacing w:after="0" w:line="240" w:lineRule="auto"/>
        <w:jc w:val="both"/>
        <w:rPr>
          <w:rFonts w:ascii="Verdana" w:eastAsia="Times New Roman" w:hAnsi="Verdana" w:cs="Arial"/>
          <w:sz w:val="20"/>
          <w:szCs w:val="20"/>
          <w:bdr w:val="none" w:sz="0" w:space="0" w:color="auto" w:frame="1"/>
          <w:lang w:val="es-ES" w:eastAsia="es-ES_tradnl"/>
        </w:rPr>
      </w:pPr>
    </w:p>
    <w:p w14:paraId="2AA22F6A" w14:textId="77777777" w:rsidR="00EA28C0" w:rsidRPr="00EA28C0" w:rsidRDefault="00EA28C0" w:rsidP="00EA28C0">
      <w:pPr>
        <w:spacing w:after="0" w:line="240" w:lineRule="auto"/>
        <w:jc w:val="both"/>
        <w:rPr>
          <w:rFonts w:ascii="Verdana" w:eastAsia="Calibri" w:hAnsi="Verdana" w:cs="Arial"/>
          <w:sz w:val="20"/>
          <w:szCs w:val="20"/>
          <w:lang w:val="es-ES_tradnl" w:eastAsia="es-ES_tradnl"/>
        </w:rPr>
      </w:pPr>
      <w:r w:rsidRPr="00EA28C0">
        <w:rPr>
          <w:rFonts w:ascii="Verdana" w:eastAsia="Calibri" w:hAnsi="Verdana" w:cs="Arial"/>
          <w:sz w:val="20"/>
          <w:szCs w:val="20"/>
          <w:lang w:val="es-ES_tradnl" w:eastAsia="es-ES_tradnl"/>
        </w:rPr>
        <w:t>El contrato de prestación de servicios es uno de los tipos contractuales consagrados en el Estatuto General de Contratación de la Administración Pública – en adelante EGCAP–, que pueden celebrar las Entidades Estatales. Se trata de un contrato típico, ya que se encuentra definido en la ley.</w:t>
      </w:r>
    </w:p>
    <w:p w14:paraId="2B01D066" w14:textId="77777777" w:rsidR="00EA28C0" w:rsidRPr="00EA28C0" w:rsidRDefault="00EA28C0" w:rsidP="00EA28C0">
      <w:pPr>
        <w:spacing w:after="0" w:line="240" w:lineRule="auto"/>
        <w:jc w:val="both"/>
        <w:rPr>
          <w:rFonts w:ascii="Verdana" w:eastAsia="Calibri" w:hAnsi="Verdana" w:cs="Arial"/>
          <w:sz w:val="20"/>
          <w:szCs w:val="20"/>
          <w:lang w:val="es-ES_tradnl" w:eastAsia="es-ES_tradnl"/>
        </w:rPr>
      </w:pPr>
    </w:p>
    <w:p w14:paraId="7FA49931" w14:textId="2C32EE0C" w:rsidR="00EA28C0" w:rsidRPr="00EA28C0" w:rsidRDefault="00EA28C0" w:rsidP="004E4591">
      <w:pPr>
        <w:tabs>
          <w:tab w:val="left" w:pos="5205"/>
        </w:tabs>
        <w:spacing w:after="0" w:line="240" w:lineRule="auto"/>
        <w:jc w:val="both"/>
        <w:rPr>
          <w:rFonts w:ascii="Verdana" w:eastAsia="Calibri" w:hAnsi="Verdana" w:cs="Arial"/>
          <w:sz w:val="20"/>
          <w:szCs w:val="20"/>
          <w:lang w:val="es-ES_tradnl" w:eastAsia="es-ES_tradnl"/>
        </w:rPr>
      </w:pPr>
      <w:r w:rsidRPr="00EA28C0">
        <w:rPr>
          <w:rFonts w:ascii="Verdana" w:eastAsia="Calibri" w:hAnsi="Verdana" w:cs="Arial"/>
          <w:sz w:val="20"/>
          <w:szCs w:val="20"/>
          <w:lang w:val="es-ES_tradnl" w:eastAsia="es-ES_tradnl"/>
        </w:rPr>
        <w:t>[…]</w:t>
      </w:r>
      <w:r w:rsidR="004E4591">
        <w:rPr>
          <w:rFonts w:ascii="Verdana" w:eastAsia="Calibri" w:hAnsi="Verdana" w:cs="Arial"/>
          <w:sz w:val="20"/>
          <w:szCs w:val="20"/>
          <w:lang w:val="es-ES_tradnl" w:eastAsia="es-ES_tradnl"/>
        </w:rPr>
        <w:tab/>
      </w:r>
    </w:p>
    <w:p w14:paraId="6895D938" w14:textId="77777777" w:rsidR="00EA28C0" w:rsidRPr="00EA28C0" w:rsidRDefault="00EA28C0" w:rsidP="00EA28C0">
      <w:pPr>
        <w:spacing w:after="0" w:line="240" w:lineRule="auto"/>
        <w:jc w:val="both"/>
        <w:rPr>
          <w:rFonts w:ascii="Verdana" w:eastAsia="Calibri" w:hAnsi="Verdana" w:cs="Arial"/>
          <w:sz w:val="20"/>
          <w:szCs w:val="20"/>
          <w:lang w:val="es-ES_tradnl" w:eastAsia="es-ES_tradnl"/>
        </w:rPr>
      </w:pPr>
    </w:p>
    <w:p w14:paraId="57BB3340" w14:textId="77777777" w:rsidR="00EA28C0" w:rsidRPr="00EA28C0" w:rsidRDefault="00EA28C0" w:rsidP="00EA28C0">
      <w:pPr>
        <w:spacing w:after="0" w:line="240" w:lineRule="auto"/>
        <w:jc w:val="both"/>
        <w:rPr>
          <w:rFonts w:ascii="Verdana" w:eastAsia="Times New Roman" w:hAnsi="Verdana" w:cs="Arial"/>
          <w:b/>
          <w:bCs/>
          <w:sz w:val="20"/>
          <w:szCs w:val="20"/>
          <w:bdr w:val="none" w:sz="0" w:space="0" w:color="auto" w:frame="1"/>
          <w:lang w:val="es-ES" w:eastAsia="es-ES_tradnl"/>
        </w:rPr>
      </w:pPr>
      <w:r w:rsidRPr="00EA28C0">
        <w:rPr>
          <w:rStyle w:val="normaltextrun"/>
          <w:rFonts w:ascii="Verdana" w:hAnsi="Verdana" w:cs="Arial"/>
          <w:color w:val="000000"/>
          <w:sz w:val="20"/>
          <w:szCs w:val="20"/>
          <w:shd w:val="clear" w:color="auto" w:fill="FFFFFF"/>
          <w:lang w:val="es-ES"/>
        </w:rPr>
        <w:t xml:space="preserve">Sus principales características son: i) </w:t>
      </w:r>
      <w:r w:rsidRPr="00EA28C0">
        <w:rPr>
          <w:rFonts w:ascii="Verdana" w:eastAsia="Calibri" w:hAnsi="Verdana" w:cs="Arial"/>
          <w:sz w:val="20"/>
          <w:szCs w:val="20"/>
          <w:lang w:val="es-ES_tradnl" w:eastAsia="es-ES_tradnl"/>
        </w:rPr>
        <w:t>Solo puede celebrarse para realizar “actividades relacionadas con la administración o funcionamiento de la entidad”, es decir, que hagan parte de su giro ordinario o quehacer cotidiano</w:t>
      </w:r>
      <w:r w:rsidRPr="00EA28C0">
        <w:rPr>
          <w:rStyle w:val="normaltextrun"/>
          <w:rFonts w:ascii="Verdana" w:hAnsi="Verdana" w:cs="Arial"/>
          <w:color w:val="000000"/>
          <w:sz w:val="20"/>
          <w:szCs w:val="20"/>
          <w:shd w:val="clear" w:color="auto" w:fill="FFFFFF"/>
          <w:lang w:val="es-ES"/>
        </w:rPr>
        <w:t xml:space="preserve">; </w:t>
      </w:r>
      <w:proofErr w:type="spellStart"/>
      <w:r w:rsidRPr="00EA28C0">
        <w:rPr>
          <w:rStyle w:val="normaltextrun"/>
          <w:rFonts w:ascii="Verdana" w:hAnsi="Verdana" w:cs="Arial"/>
          <w:color w:val="000000"/>
          <w:sz w:val="20"/>
          <w:szCs w:val="20"/>
          <w:shd w:val="clear" w:color="auto" w:fill="FFFFFF"/>
          <w:lang w:val="es-ES"/>
        </w:rPr>
        <w:t>ii</w:t>
      </w:r>
      <w:proofErr w:type="spellEnd"/>
      <w:r w:rsidRPr="00EA28C0">
        <w:rPr>
          <w:rStyle w:val="normaltextrun"/>
          <w:rFonts w:ascii="Verdana" w:hAnsi="Verdana" w:cs="Arial"/>
          <w:color w:val="000000"/>
          <w:sz w:val="20"/>
          <w:szCs w:val="20"/>
          <w:shd w:val="clear" w:color="auto" w:fill="FFFFFF"/>
          <w:lang w:val="es-ES"/>
        </w:rPr>
        <w:t xml:space="preserve">) </w:t>
      </w:r>
      <w:r w:rsidRPr="00EA28C0">
        <w:rPr>
          <w:rFonts w:ascii="Verdana" w:eastAsia="Calibri" w:hAnsi="Verdana" w:cs="Arial"/>
          <w:sz w:val="20"/>
          <w:szCs w:val="20"/>
          <w:lang w:val="es-ES_tradnl" w:eastAsia="es-ES_tradnl"/>
        </w:rPr>
        <w:t>admite que se suscriba tanto con personas naturales como con personas jurídicas […]</w:t>
      </w:r>
      <w:r w:rsidRPr="00EA28C0">
        <w:rPr>
          <w:rStyle w:val="normaltextrun"/>
          <w:rFonts w:ascii="Verdana" w:hAnsi="Verdana" w:cs="Arial"/>
          <w:color w:val="000000"/>
          <w:sz w:val="20"/>
          <w:szCs w:val="20"/>
          <w:shd w:val="clear" w:color="auto" w:fill="FFFFFF"/>
          <w:lang w:val="es-ES"/>
        </w:rPr>
        <w:t xml:space="preserve">; </w:t>
      </w:r>
      <w:proofErr w:type="spellStart"/>
      <w:r w:rsidRPr="00EA28C0">
        <w:rPr>
          <w:rStyle w:val="normaltextrun"/>
          <w:rFonts w:ascii="Verdana" w:hAnsi="Verdana" w:cs="Arial"/>
          <w:color w:val="000000"/>
          <w:sz w:val="20"/>
          <w:szCs w:val="20"/>
          <w:shd w:val="clear" w:color="auto" w:fill="FFFFFF"/>
          <w:lang w:val="es-ES"/>
        </w:rPr>
        <w:t>iii</w:t>
      </w:r>
      <w:proofErr w:type="spellEnd"/>
      <w:r w:rsidRPr="00EA28C0">
        <w:rPr>
          <w:rStyle w:val="normaltextrun"/>
          <w:rFonts w:ascii="Verdana" w:hAnsi="Verdana" w:cs="Arial"/>
          <w:color w:val="000000"/>
          <w:sz w:val="20"/>
          <w:szCs w:val="20"/>
          <w:shd w:val="clear" w:color="auto" w:fill="FFFFFF"/>
          <w:lang w:val="es-ES"/>
        </w:rPr>
        <w:t xml:space="preserve">) </w:t>
      </w:r>
      <w:r w:rsidRPr="00EA28C0">
        <w:rPr>
          <w:rFonts w:ascii="Verdana" w:eastAsia="Calibri" w:hAnsi="Verdana" w:cs="Arial"/>
          <w:sz w:val="20"/>
          <w:szCs w:val="20"/>
          <w:lang w:val="es-ES_tradnl" w:eastAsia="es-ES_tradnl"/>
        </w:rPr>
        <w:t xml:space="preserve">si bien se celebran para obtener la prestación personal de un servicio, se diferencian del contrato de trabajo en que quien celebra el contrato de prestación de servicios debe mantener autonomía e independencia en la ejecución de la labor, lo que significa que no puede existir la </w:t>
      </w:r>
      <w:r w:rsidRPr="00EA28C0">
        <w:rPr>
          <w:rFonts w:ascii="Verdana" w:eastAsia="Calibri" w:hAnsi="Verdana" w:cs="Arial"/>
          <w:i/>
          <w:sz w:val="20"/>
          <w:szCs w:val="20"/>
          <w:lang w:val="es-ES_tradnl" w:eastAsia="es-ES_tradnl"/>
        </w:rPr>
        <w:t>subordinación y dependencia</w:t>
      </w:r>
      <w:r w:rsidRPr="00EA28C0">
        <w:rPr>
          <w:rFonts w:ascii="Verdana" w:eastAsia="Calibri" w:hAnsi="Verdana" w:cs="Arial"/>
          <w:iCs/>
          <w:sz w:val="20"/>
          <w:szCs w:val="20"/>
          <w:lang w:val="es-ES_tradnl" w:eastAsia="es-ES_tradnl"/>
        </w:rPr>
        <w:t>,</w:t>
      </w:r>
      <w:r w:rsidRPr="00EA28C0">
        <w:rPr>
          <w:rFonts w:ascii="Verdana" w:eastAsia="Calibri" w:hAnsi="Verdana" w:cs="Arial"/>
          <w:sz w:val="20"/>
          <w:szCs w:val="20"/>
          <w:lang w:val="es-ES_tradnl" w:eastAsia="es-ES_tradnl"/>
        </w:rPr>
        <w:t xml:space="preserve"> que es uno de los elementos constitutivos del vínculo laboral […]</w:t>
      </w:r>
      <w:r w:rsidRPr="00EA28C0">
        <w:rPr>
          <w:rStyle w:val="normaltextrun"/>
          <w:rFonts w:ascii="Verdana" w:hAnsi="Verdana" w:cs="Arial"/>
          <w:color w:val="000000"/>
          <w:sz w:val="20"/>
          <w:szCs w:val="20"/>
          <w:shd w:val="clear" w:color="auto" w:fill="FFFFFF"/>
          <w:lang w:val="es-ES"/>
        </w:rPr>
        <w:t xml:space="preserve">; </w:t>
      </w:r>
      <w:proofErr w:type="spellStart"/>
      <w:r w:rsidRPr="00EA28C0">
        <w:rPr>
          <w:rStyle w:val="normaltextrun"/>
          <w:rFonts w:ascii="Verdana" w:hAnsi="Verdana" w:cs="Arial"/>
          <w:color w:val="000000"/>
          <w:sz w:val="20"/>
          <w:szCs w:val="20"/>
          <w:shd w:val="clear" w:color="auto" w:fill="FFFFFF"/>
          <w:lang w:val="es-ES"/>
        </w:rPr>
        <w:t>iv</w:t>
      </w:r>
      <w:proofErr w:type="spellEnd"/>
      <w:r w:rsidRPr="00EA28C0">
        <w:rPr>
          <w:rStyle w:val="normaltextrun"/>
          <w:rFonts w:ascii="Verdana" w:hAnsi="Verdana" w:cs="Arial"/>
          <w:color w:val="000000"/>
          <w:sz w:val="20"/>
          <w:szCs w:val="20"/>
          <w:shd w:val="clear" w:color="auto" w:fill="FFFFFF"/>
          <w:lang w:val="es-ES"/>
        </w:rPr>
        <w:t xml:space="preserve">) debe ser temporal […]; v) </w:t>
      </w:r>
      <w:r w:rsidRPr="00EA28C0">
        <w:rPr>
          <w:rFonts w:ascii="Verdana" w:eastAsia="Calibri" w:hAnsi="Verdana" w:cs="Arial"/>
          <w:sz w:val="20"/>
          <w:szCs w:val="20"/>
          <w:lang w:val="es-ES_tradnl" w:eastAsia="es-ES_tradnl"/>
        </w:rPr>
        <w:t xml:space="preserve">los contratos de prestación de servicios constituyen un </w:t>
      </w:r>
      <w:r w:rsidRPr="00EA28C0">
        <w:rPr>
          <w:rFonts w:ascii="Verdana" w:eastAsia="Calibri" w:hAnsi="Verdana" w:cs="Arial"/>
          <w:i/>
          <w:iCs/>
          <w:sz w:val="20"/>
          <w:szCs w:val="20"/>
          <w:lang w:val="es-ES_tradnl" w:eastAsia="es-ES_tradnl"/>
        </w:rPr>
        <w:t>género</w:t>
      </w:r>
      <w:r w:rsidRPr="00EA28C0">
        <w:rPr>
          <w:rFonts w:ascii="Verdana" w:eastAsia="Calibri" w:hAnsi="Verdana" w:cs="Arial"/>
          <w:sz w:val="20"/>
          <w:szCs w:val="20"/>
          <w:lang w:val="es-ES_tradnl" w:eastAsia="es-ES_tradnl"/>
        </w:rPr>
        <w:t xml:space="preserve"> que incluye, como </w:t>
      </w:r>
      <w:r w:rsidRPr="00EA28C0">
        <w:rPr>
          <w:rFonts w:ascii="Verdana" w:eastAsia="Calibri" w:hAnsi="Verdana" w:cs="Arial"/>
          <w:i/>
          <w:iCs/>
          <w:sz w:val="20"/>
          <w:szCs w:val="20"/>
          <w:lang w:val="es-ES_tradnl" w:eastAsia="es-ES_tradnl"/>
        </w:rPr>
        <w:t>especies</w:t>
      </w:r>
      <w:r w:rsidRPr="00EA28C0">
        <w:rPr>
          <w:rFonts w:ascii="Verdana" w:eastAsia="Calibri" w:hAnsi="Verdana" w:cs="Arial"/>
          <w:sz w:val="20"/>
          <w:szCs w:val="20"/>
          <w:lang w:val="es-ES_tradnl" w:eastAsia="es-ES_tradnl"/>
        </w:rPr>
        <w:t>, los contratos de prestación de servicios profesionales, los contratos de prestación de servicios de apoyo a la gestión y los contratos de prestación de servicios artísticos que solo pueden encomendarse a determinadas personas naturales […]</w:t>
      </w:r>
      <w:r w:rsidRPr="00EA28C0">
        <w:rPr>
          <w:rStyle w:val="normaltextrun"/>
          <w:rFonts w:ascii="Verdana" w:hAnsi="Verdana" w:cs="Arial"/>
          <w:color w:val="000000"/>
          <w:sz w:val="20"/>
          <w:szCs w:val="20"/>
          <w:shd w:val="clear" w:color="auto" w:fill="FFFFFF"/>
          <w:lang w:val="es-ES"/>
        </w:rPr>
        <w:t xml:space="preserve">; vi) </w:t>
      </w:r>
      <w:r w:rsidRPr="00EA28C0">
        <w:rPr>
          <w:rFonts w:ascii="Verdana" w:eastAsia="Calibri" w:hAnsi="Verdana" w:cs="Arial"/>
          <w:sz w:val="20"/>
          <w:szCs w:val="20"/>
          <w:lang w:val="es-ES_tradnl" w:eastAsia="es-ES_tradnl"/>
        </w:rPr>
        <w:t>Su celebración debe realizarse a través de la modalidad de contratación directa, independientemente de la cuantía y del tipo de servicio, siempre que este no ingrese dentro del objeto del contrato de consultoría […]</w:t>
      </w:r>
      <w:r w:rsidRPr="00EA28C0">
        <w:rPr>
          <w:rStyle w:val="normaltextrun"/>
          <w:rFonts w:ascii="Verdana" w:hAnsi="Verdana" w:cs="Arial"/>
          <w:color w:val="000000"/>
          <w:sz w:val="20"/>
          <w:szCs w:val="20"/>
          <w:shd w:val="clear" w:color="auto" w:fill="FFFFFF"/>
          <w:lang w:val="es-ES"/>
        </w:rPr>
        <w:t xml:space="preserve">; </w:t>
      </w:r>
      <w:proofErr w:type="spellStart"/>
      <w:r w:rsidRPr="00EA28C0">
        <w:rPr>
          <w:rStyle w:val="normaltextrun"/>
          <w:rFonts w:ascii="Verdana" w:hAnsi="Verdana" w:cs="Arial"/>
          <w:color w:val="000000"/>
          <w:sz w:val="20"/>
          <w:szCs w:val="20"/>
          <w:shd w:val="clear" w:color="auto" w:fill="FFFFFF"/>
          <w:lang w:val="es-ES"/>
        </w:rPr>
        <w:t>vii</w:t>
      </w:r>
      <w:proofErr w:type="spellEnd"/>
      <w:r w:rsidRPr="00EA28C0">
        <w:rPr>
          <w:rStyle w:val="normaltextrun"/>
          <w:rFonts w:ascii="Verdana" w:hAnsi="Verdana" w:cs="Arial"/>
          <w:color w:val="000000"/>
          <w:sz w:val="20"/>
          <w:szCs w:val="20"/>
          <w:shd w:val="clear" w:color="auto" w:fill="FFFFFF"/>
          <w:lang w:val="es-ES"/>
        </w:rPr>
        <w:t xml:space="preserve">) </w:t>
      </w:r>
      <w:r w:rsidRPr="00EA28C0">
        <w:rPr>
          <w:rFonts w:ascii="Verdana" w:eastAsia="Calibri" w:hAnsi="Verdana" w:cs="Arial"/>
          <w:sz w:val="20"/>
          <w:szCs w:val="20"/>
          <w:lang w:val="es-ES_tradnl" w:eastAsia="es-ES_tradnl"/>
        </w:rPr>
        <w:t>Para su celebración no se requiere en algunos casos la expedición del acto administrativo de justificación de la contratación directa […]</w:t>
      </w:r>
      <w:r w:rsidRPr="00EA28C0">
        <w:rPr>
          <w:rStyle w:val="normaltextrun"/>
          <w:rFonts w:ascii="Verdana" w:hAnsi="Verdana" w:cs="Arial"/>
          <w:color w:val="000000"/>
          <w:sz w:val="20"/>
          <w:szCs w:val="20"/>
          <w:shd w:val="clear" w:color="auto" w:fill="FFFFFF"/>
          <w:lang w:val="es-ES"/>
        </w:rPr>
        <w:t xml:space="preserve">; </w:t>
      </w:r>
      <w:proofErr w:type="spellStart"/>
      <w:r w:rsidRPr="00EA28C0">
        <w:rPr>
          <w:rStyle w:val="normaltextrun"/>
          <w:rFonts w:ascii="Verdana" w:hAnsi="Verdana" w:cs="Arial"/>
          <w:color w:val="000000"/>
          <w:sz w:val="20"/>
          <w:szCs w:val="20"/>
          <w:shd w:val="clear" w:color="auto" w:fill="FFFFFF"/>
          <w:lang w:val="es-ES"/>
        </w:rPr>
        <w:t>viii</w:t>
      </w:r>
      <w:proofErr w:type="spellEnd"/>
      <w:r w:rsidRPr="00EA28C0">
        <w:rPr>
          <w:rStyle w:val="normaltextrun"/>
          <w:rFonts w:ascii="Verdana" w:hAnsi="Verdana" w:cs="Arial"/>
          <w:color w:val="000000"/>
          <w:sz w:val="20"/>
          <w:szCs w:val="20"/>
          <w:shd w:val="clear" w:color="auto" w:fill="FFFFFF"/>
          <w:lang w:val="es-ES"/>
        </w:rPr>
        <w:t xml:space="preserve">) </w:t>
      </w:r>
      <w:r w:rsidRPr="00EA28C0">
        <w:rPr>
          <w:rFonts w:ascii="Verdana" w:eastAsia="Calibri" w:hAnsi="Verdana" w:cs="Arial"/>
          <w:sz w:val="20"/>
          <w:szCs w:val="20"/>
          <w:lang w:val="es-ES_tradnl" w:eastAsia="es-ES_tradnl"/>
        </w:rPr>
        <w:t>admiten el pacto de cláusulas excepcionales […]</w:t>
      </w:r>
      <w:r w:rsidRPr="00EA28C0">
        <w:rPr>
          <w:rStyle w:val="normaltextrun"/>
          <w:rFonts w:ascii="Verdana" w:hAnsi="Verdana" w:cs="Arial"/>
          <w:color w:val="000000"/>
          <w:sz w:val="20"/>
          <w:szCs w:val="20"/>
          <w:shd w:val="clear" w:color="auto" w:fill="FFFFFF"/>
          <w:lang w:val="es-ES"/>
        </w:rPr>
        <w:t xml:space="preserve">; </w:t>
      </w:r>
      <w:proofErr w:type="spellStart"/>
      <w:r w:rsidRPr="00EA28C0">
        <w:rPr>
          <w:rStyle w:val="normaltextrun"/>
          <w:rFonts w:ascii="Verdana" w:hAnsi="Verdana" w:cs="Arial"/>
          <w:color w:val="000000"/>
          <w:sz w:val="20"/>
          <w:szCs w:val="20"/>
          <w:shd w:val="clear" w:color="auto" w:fill="FFFFFF"/>
          <w:lang w:val="es-ES"/>
        </w:rPr>
        <w:t>ix</w:t>
      </w:r>
      <w:proofErr w:type="spellEnd"/>
      <w:r w:rsidRPr="00EA28C0">
        <w:rPr>
          <w:rStyle w:val="normaltextrun"/>
          <w:rFonts w:ascii="Verdana" w:hAnsi="Verdana" w:cs="Arial"/>
          <w:color w:val="000000"/>
          <w:sz w:val="20"/>
          <w:szCs w:val="20"/>
          <w:shd w:val="clear" w:color="auto" w:fill="FFFFFF"/>
          <w:lang w:val="es-ES"/>
        </w:rPr>
        <w:t xml:space="preserve">) </w:t>
      </w:r>
      <w:r w:rsidRPr="00EA28C0">
        <w:rPr>
          <w:rFonts w:ascii="Verdana" w:eastAsia="Calibri" w:hAnsi="Verdana" w:cs="Arial"/>
          <w:sz w:val="20"/>
          <w:szCs w:val="20"/>
          <w:lang w:val="es-ES_tradnl" w:eastAsia="es-ES_tradnl"/>
        </w:rPr>
        <w:t>) en algunos casos no es obligatoria la liquidación […]</w:t>
      </w:r>
      <w:r w:rsidRPr="00EA28C0">
        <w:rPr>
          <w:rStyle w:val="normaltextrun"/>
          <w:rFonts w:ascii="Verdana" w:hAnsi="Verdana" w:cs="Arial"/>
          <w:color w:val="000000"/>
          <w:sz w:val="20"/>
          <w:szCs w:val="20"/>
          <w:shd w:val="clear" w:color="auto" w:fill="FFFFFF"/>
          <w:lang w:val="es-ES"/>
        </w:rPr>
        <w:t>; x) para su celebración no se requiere inscripción en el Registro Único de Proponentes […]; xi) en ellos no son necesarias las garantías.</w:t>
      </w:r>
      <w:r w:rsidRPr="00EA28C0">
        <w:rPr>
          <w:rStyle w:val="eop"/>
          <w:rFonts w:ascii="Verdana" w:hAnsi="Verdana" w:cs="Arial"/>
          <w:color w:val="000000"/>
          <w:sz w:val="20"/>
          <w:szCs w:val="20"/>
          <w:shd w:val="clear" w:color="auto" w:fill="FFFFFF"/>
        </w:rPr>
        <w:t> </w:t>
      </w:r>
    </w:p>
    <w:p w14:paraId="43AA0C65" w14:textId="77777777" w:rsidR="00EA28C0" w:rsidRDefault="00EA28C0" w:rsidP="00EA28C0">
      <w:pPr>
        <w:jc w:val="both"/>
        <w:rPr>
          <w:rFonts w:ascii="Verdana" w:eastAsia="Calibri" w:hAnsi="Verdana" w:cs="Arial"/>
          <w:b/>
          <w:bCs/>
        </w:rPr>
      </w:pPr>
    </w:p>
    <w:p w14:paraId="6DAA58FA" w14:textId="77777777" w:rsidR="00EA28C0" w:rsidRPr="003D462A" w:rsidRDefault="00EA28C0" w:rsidP="00EA28C0">
      <w:pPr>
        <w:jc w:val="both"/>
        <w:rPr>
          <w:rFonts w:ascii="Verdana" w:eastAsia="Calibri" w:hAnsi="Verdana" w:cs="Arial"/>
          <w:bCs/>
          <w:sz w:val="20"/>
          <w:szCs w:val="20"/>
        </w:rPr>
      </w:pPr>
    </w:p>
    <w:p w14:paraId="3B246A4E" w14:textId="77777777" w:rsidR="00EA28C0" w:rsidRPr="00B97CC5" w:rsidRDefault="00EA28C0" w:rsidP="00EA28C0">
      <w:pPr>
        <w:jc w:val="both"/>
        <w:rPr>
          <w:rFonts w:ascii="Verdana" w:eastAsia="Calibri" w:hAnsi="Verdana" w:cs="Arial"/>
          <w:b/>
          <w:bCs/>
        </w:rPr>
      </w:pPr>
      <w:r w:rsidRPr="00B97CC5">
        <w:rPr>
          <w:rFonts w:ascii="Verdana" w:eastAsia="Calibri" w:hAnsi="Verdana" w:cs="Arial"/>
          <w:b/>
          <w:bCs/>
        </w:rPr>
        <w:lastRenderedPageBreak/>
        <w:t xml:space="preserve">SEGURIDAD SOCIAL – Aportes al Sistema de Seguridad Social-Personas jurídicas </w:t>
      </w:r>
    </w:p>
    <w:p w14:paraId="7F0EF2FF" w14:textId="77777777" w:rsidR="00EA28C0" w:rsidRPr="001D2D8F" w:rsidRDefault="00EA28C0" w:rsidP="00EA28C0">
      <w:pPr>
        <w:spacing w:after="0"/>
        <w:jc w:val="both"/>
        <w:rPr>
          <w:rFonts w:ascii="Verdana" w:eastAsia="Calibri" w:hAnsi="Verdana" w:cs="Arial"/>
          <w:bCs/>
          <w:sz w:val="20"/>
          <w:szCs w:val="20"/>
        </w:rPr>
      </w:pPr>
      <w:r w:rsidRPr="001D2D8F">
        <w:rPr>
          <w:rFonts w:ascii="Verdana" w:eastAsia="Calibri" w:hAnsi="Verdana" w:cs="Arial"/>
          <w:bCs/>
          <w:sz w:val="20"/>
          <w:szCs w:val="20"/>
        </w:rPr>
        <w:t>Asimismo, en virtud del artículo 50 de la Ley 789 de 2002, la entidad verificará, tanto para las personas naturales como para las jurídicas, la realización de los aportes al Sistema de Seguridad Social Integral, al momento de su liquidación, y dejarán constancia del cumplimiento de las obligaciones del contratista frente a los aportes mencionados durante toda su vigencia, estableciendo una correcta relación entre el monto cancelado y las sumas que debieron cotizar.</w:t>
      </w:r>
    </w:p>
    <w:p w14:paraId="7B8D1778" w14:textId="77777777" w:rsidR="00EA28C0" w:rsidRPr="00190500" w:rsidRDefault="00EA28C0" w:rsidP="00EA28C0">
      <w:pPr>
        <w:spacing w:after="0"/>
        <w:rPr>
          <w:rFonts w:ascii="Verdana" w:hAnsi="Verdana"/>
        </w:rPr>
      </w:pPr>
    </w:p>
    <w:p w14:paraId="6ECA5A17" w14:textId="77777777" w:rsidR="00EA28C0" w:rsidRDefault="00EA28C0" w:rsidP="00EA28C0">
      <w:pPr>
        <w:rPr>
          <w:rFonts w:ascii="Verdana" w:hAnsi="Verdana"/>
        </w:rPr>
      </w:pPr>
      <w:r>
        <w:rPr>
          <w:rFonts w:ascii="Verdana" w:hAnsi="Verdana"/>
        </w:rPr>
        <w:br w:type="page"/>
      </w:r>
    </w:p>
    <w:p w14:paraId="63EF1C2A" w14:textId="21284908" w:rsidR="00EA28C0" w:rsidRPr="00190500" w:rsidRDefault="00EA28C0" w:rsidP="00EA28C0">
      <w:pPr>
        <w:spacing w:after="0"/>
        <w:rPr>
          <w:rFonts w:ascii="Verdana" w:hAnsi="Verdana"/>
        </w:rPr>
      </w:pPr>
      <w:r w:rsidRPr="00190500">
        <w:rPr>
          <w:rFonts w:ascii="Verdana" w:hAnsi="Verdana"/>
        </w:rPr>
        <w:lastRenderedPageBreak/>
        <w:t>Bogotá D.C.</w:t>
      </w:r>
      <w:r w:rsidR="00DF6C1C">
        <w:rPr>
          <w:rFonts w:ascii="Verdana" w:hAnsi="Verdana"/>
        </w:rPr>
        <w:t>, 11 de junio de 2025</w:t>
      </w:r>
    </w:p>
    <w:p w14:paraId="6718622E" w14:textId="67FDCD98" w:rsidR="00EA28C0" w:rsidRPr="00190500" w:rsidRDefault="00EA28C0" w:rsidP="008F59C9">
      <w:pPr>
        <w:spacing w:after="0"/>
        <w:jc w:val="right"/>
        <w:rPr>
          <w:rFonts w:ascii="Verdana" w:hAnsi="Verdana"/>
        </w:rPr>
      </w:pPr>
    </w:p>
    <w:p w14:paraId="2D7B6045" w14:textId="3C425ABC" w:rsidR="00EA28C0" w:rsidRPr="00190500" w:rsidRDefault="00EA28C0" w:rsidP="00EA28C0">
      <w:pPr>
        <w:spacing w:after="0" w:line="240" w:lineRule="auto"/>
        <w:jc w:val="both"/>
        <w:rPr>
          <w:rFonts w:ascii="Verdana" w:eastAsia="Calibri" w:hAnsi="Verdana" w:cs="Arial"/>
          <w:lang w:val="es-ES" w:eastAsia="es-ES"/>
        </w:rPr>
      </w:pPr>
      <w:r w:rsidRPr="00190500">
        <w:rPr>
          <w:rFonts w:ascii="Verdana" w:eastAsia="Calibri" w:hAnsi="Verdana" w:cs="Arial"/>
          <w:lang w:val="es-ES" w:eastAsia="es-ES"/>
        </w:rPr>
        <w:t>Señor</w:t>
      </w:r>
      <w:r w:rsidR="004E4591">
        <w:rPr>
          <w:rFonts w:ascii="Verdana" w:eastAsia="Calibri" w:hAnsi="Verdana" w:cs="Arial"/>
          <w:lang w:val="es-ES" w:eastAsia="es-ES"/>
        </w:rPr>
        <w:t>a</w:t>
      </w:r>
    </w:p>
    <w:p w14:paraId="0E0ACC01" w14:textId="4C7F0308" w:rsidR="004E4591" w:rsidRDefault="004E4591" w:rsidP="00EA28C0">
      <w:pPr>
        <w:spacing w:after="0" w:line="240" w:lineRule="auto"/>
        <w:jc w:val="both"/>
        <w:rPr>
          <w:rFonts w:ascii="Verdana" w:eastAsia="Calibri" w:hAnsi="Verdana" w:cs="Arial"/>
          <w:b/>
          <w:bCs/>
          <w:szCs w:val="24"/>
          <w:lang w:eastAsia="es-ES_tradnl"/>
        </w:rPr>
      </w:pPr>
      <w:r w:rsidRPr="004E4591">
        <w:rPr>
          <w:rFonts w:ascii="Verdana" w:eastAsia="Calibri" w:hAnsi="Verdana" w:cs="Arial"/>
          <w:b/>
          <w:bCs/>
          <w:szCs w:val="24"/>
          <w:lang w:eastAsia="es-ES_tradnl"/>
        </w:rPr>
        <w:t>SANDRA LILIANA NARANJO MORENO</w:t>
      </w:r>
      <w:r w:rsidR="004A470A">
        <w:rPr>
          <w:rFonts w:ascii="Verdana" w:eastAsia="Calibri" w:hAnsi="Verdana" w:cs="Arial"/>
          <w:b/>
          <w:bCs/>
          <w:szCs w:val="24"/>
          <w:lang w:eastAsia="es-ES_tradnl"/>
        </w:rPr>
        <w:t xml:space="preserve"> </w:t>
      </w:r>
    </w:p>
    <w:p w14:paraId="0AA28517" w14:textId="047C9867" w:rsidR="004E4591" w:rsidRPr="00903CF7" w:rsidRDefault="008E0605" w:rsidP="00EA28C0">
      <w:pPr>
        <w:spacing w:after="0" w:line="240" w:lineRule="auto"/>
        <w:jc w:val="both"/>
        <w:rPr>
          <w:rFonts w:ascii="Verdana" w:eastAsia="Calibri" w:hAnsi="Verdana" w:cs="Arial"/>
          <w:u w:val="single"/>
          <w:lang w:val="es-ES" w:eastAsia="es-ES"/>
        </w:rPr>
      </w:pPr>
      <w:r>
        <w:rPr>
          <w:rFonts w:ascii="Verdana" w:eastAsia="Calibri" w:hAnsi="Verdana" w:cs="Arial"/>
          <w:u w:val="single"/>
          <w:lang w:val="es-ES" w:eastAsia="es-ES"/>
        </w:rPr>
        <w:t>a</w:t>
      </w:r>
      <w:r w:rsidR="004E4591" w:rsidRPr="00903CF7">
        <w:rPr>
          <w:rFonts w:ascii="Verdana" w:eastAsia="Calibri" w:hAnsi="Verdana" w:cs="Arial"/>
          <w:u w:val="single"/>
          <w:lang w:val="es-ES" w:eastAsia="es-ES"/>
        </w:rPr>
        <w:t>bog.sandranaranjo@gmail.com</w:t>
      </w:r>
    </w:p>
    <w:p w14:paraId="02AF633E" w14:textId="4F40F923" w:rsidR="00EA28C0" w:rsidRPr="00190500" w:rsidRDefault="00EA28C0" w:rsidP="00EA28C0">
      <w:pPr>
        <w:spacing w:after="0" w:line="240" w:lineRule="auto"/>
        <w:jc w:val="both"/>
        <w:rPr>
          <w:rFonts w:ascii="Verdana" w:eastAsia="Calibri" w:hAnsi="Verdana" w:cs="Arial"/>
          <w:szCs w:val="24"/>
          <w:lang w:val="es-ES_tradnl" w:eastAsia="es-ES_tradnl"/>
        </w:rPr>
      </w:pPr>
      <w:r w:rsidRPr="00190500">
        <w:rPr>
          <w:rFonts w:ascii="Verdana" w:eastAsia="Calibri" w:hAnsi="Verdana" w:cs="Arial"/>
          <w:szCs w:val="24"/>
          <w:lang w:val="es-ES_tradnl" w:eastAsia="es-ES_tradnl"/>
        </w:rPr>
        <w:t>Bogotá D.C</w:t>
      </w:r>
    </w:p>
    <w:p w14:paraId="1D7EFBD2" w14:textId="065B7140" w:rsidR="00EA28C0" w:rsidRPr="00190500" w:rsidRDefault="0050498C" w:rsidP="0050498C">
      <w:pPr>
        <w:spacing w:after="0" w:line="240" w:lineRule="auto"/>
        <w:jc w:val="right"/>
        <w:rPr>
          <w:rFonts w:ascii="Verdana" w:eastAsia="Calibri" w:hAnsi="Verdana" w:cs="Arial"/>
          <w:szCs w:val="24"/>
          <w:lang w:val="es-ES_tradnl" w:eastAsia="es-ES_tradnl"/>
        </w:rPr>
      </w:pPr>
      <w:r w:rsidRPr="0050498C">
        <w:rPr>
          <w:rFonts w:ascii="Verdana" w:eastAsia="Calibri" w:hAnsi="Verdana" w:cs="Arial"/>
          <w:noProof/>
          <w:szCs w:val="24"/>
          <w:lang w:val="es-ES_tradnl" w:eastAsia="es-ES_tradnl"/>
        </w:rPr>
        <w:drawing>
          <wp:inline distT="0" distB="0" distL="0" distR="0" wp14:anchorId="7D146283" wp14:editId="1214399F">
            <wp:extent cx="2644369" cy="807790"/>
            <wp:effectExtent l="0" t="0" r="3810" b="0"/>
            <wp:docPr id="15822552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255286" name=""/>
                    <pic:cNvPicPr/>
                  </pic:nvPicPr>
                  <pic:blipFill>
                    <a:blip r:embed="rId11"/>
                    <a:stretch>
                      <a:fillRect/>
                    </a:stretch>
                  </pic:blipFill>
                  <pic:spPr>
                    <a:xfrm>
                      <a:off x="0" y="0"/>
                      <a:ext cx="2644369" cy="807790"/>
                    </a:xfrm>
                    <a:prstGeom prst="rect">
                      <a:avLst/>
                    </a:prstGeom>
                  </pic:spPr>
                </pic:pic>
              </a:graphicData>
            </a:graphic>
          </wp:inline>
        </w:drawing>
      </w:r>
    </w:p>
    <w:p w14:paraId="2B8F66E8" w14:textId="20504B23" w:rsidR="00EA28C0" w:rsidRPr="00190500" w:rsidRDefault="00EA28C0" w:rsidP="00EA28C0">
      <w:pPr>
        <w:spacing w:after="0" w:line="240" w:lineRule="auto"/>
        <w:ind w:left="2694"/>
        <w:jc w:val="both"/>
        <w:rPr>
          <w:rFonts w:ascii="Verdana" w:eastAsia="Calibri" w:hAnsi="Verdana" w:cs="Arial"/>
          <w:b/>
          <w:bCs/>
          <w:szCs w:val="24"/>
          <w:lang w:val="es-ES_tradnl" w:eastAsia="es-ES_tradnl"/>
        </w:rPr>
      </w:pPr>
      <w:r w:rsidRPr="00190500">
        <w:rPr>
          <w:rFonts w:ascii="Verdana" w:eastAsia="Calibri" w:hAnsi="Verdana" w:cs="Arial"/>
          <w:b/>
          <w:bCs/>
          <w:szCs w:val="24"/>
          <w:lang w:val="es-ES_tradnl" w:eastAsia="es-ES_tradnl"/>
        </w:rPr>
        <w:t>Concepto C–</w:t>
      </w:r>
      <w:r w:rsidR="00903CF7">
        <w:rPr>
          <w:rFonts w:ascii="Verdana" w:eastAsia="Calibri" w:hAnsi="Verdana" w:cs="Arial"/>
          <w:b/>
          <w:bCs/>
          <w:szCs w:val="24"/>
          <w:lang w:val="es-ES_tradnl" w:eastAsia="es-ES_tradnl"/>
        </w:rPr>
        <w:t>534</w:t>
      </w:r>
      <w:r w:rsidR="004E4591">
        <w:rPr>
          <w:rFonts w:ascii="Verdana" w:eastAsia="Calibri" w:hAnsi="Verdana" w:cs="Arial"/>
          <w:b/>
          <w:bCs/>
          <w:szCs w:val="24"/>
          <w:lang w:val="es-ES_tradnl" w:eastAsia="es-ES_tradnl"/>
        </w:rPr>
        <w:t xml:space="preserve"> </w:t>
      </w:r>
      <w:r w:rsidRPr="00190500">
        <w:rPr>
          <w:rFonts w:ascii="Verdana" w:eastAsia="Calibri" w:hAnsi="Verdana" w:cs="Arial"/>
          <w:b/>
          <w:bCs/>
          <w:szCs w:val="24"/>
          <w:lang w:val="es-ES_tradnl" w:eastAsia="es-ES_tradnl"/>
        </w:rPr>
        <w:t>de 202</w:t>
      </w:r>
      <w:r w:rsidR="004E4591">
        <w:rPr>
          <w:rFonts w:ascii="Verdana" w:eastAsia="Calibri" w:hAnsi="Verdana" w:cs="Arial"/>
          <w:b/>
          <w:bCs/>
          <w:szCs w:val="24"/>
          <w:lang w:val="es-ES_tradnl" w:eastAsia="es-ES_tradnl"/>
        </w:rPr>
        <w:t>5</w:t>
      </w:r>
    </w:p>
    <w:p w14:paraId="376BA4EE" w14:textId="77777777" w:rsidR="00EA28C0" w:rsidRPr="00190500" w:rsidRDefault="00EA28C0" w:rsidP="00EA28C0">
      <w:pPr>
        <w:spacing w:after="0" w:line="240" w:lineRule="auto"/>
        <w:rPr>
          <w:rFonts w:ascii="Verdana" w:eastAsia="Calibri" w:hAnsi="Verdana" w:cs="Arial"/>
          <w:szCs w:val="24"/>
          <w:lang w:val="es-ES_tradnl" w:eastAsia="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gridCol w:w="6237"/>
      </w:tblGrid>
      <w:tr w:rsidR="00EA28C0" w:rsidRPr="00190500" w14:paraId="308B8996" w14:textId="77777777" w:rsidTr="00D929D0">
        <w:trPr>
          <w:trHeight w:val="884"/>
        </w:trPr>
        <w:tc>
          <w:tcPr>
            <w:tcW w:w="2689" w:type="dxa"/>
            <w:hideMark/>
          </w:tcPr>
          <w:p w14:paraId="37A2FF5A" w14:textId="77777777" w:rsidR="00EA28C0" w:rsidRPr="00190500" w:rsidRDefault="00EA28C0" w:rsidP="00D929D0">
            <w:pPr>
              <w:jc w:val="both"/>
              <w:rPr>
                <w:rFonts w:ascii="Verdana" w:eastAsia="Calibri" w:hAnsi="Verdana" w:cs="Arial"/>
                <w:szCs w:val="24"/>
                <w:lang w:val="es-ES_tradnl" w:eastAsia="es-ES_tradnl"/>
              </w:rPr>
            </w:pPr>
            <w:r w:rsidRPr="00190500">
              <w:rPr>
                <w:rFonts w:ascii="Verdana" w:eastAsia="Calibri" w:hAnsi="Verdana" w:cs="Arial"/>
                <w:szCs w:val="24"/>
                <w:lang w:val="es-ES_tradnl" w:eastAsia="es-ES_tradnl"/>
              </w:rPr>
              <w:t xml:space="preserve">Temas:                   </w:t>
            </w:r>
          </w:p>
        </w:tc>
        <w:tc>
          <w:tcPr>
            <w:tcW w:w="6237" w:type="dxa"/>
            <w:hideMark/>
          </w:tcPr>
          <w:p w14:paraId="032ADEB7" w14:textId="00458333" w:rsidR="00EA28C0" w:rsidRPr="00190500" w:rsidRDefault="00EA28C0" w:rsidP="00D929D0">
            <w:pPr>
              <w:jc w:val="both"/>
              <w:rPr>
                <w:rFonts w:ascii="Verdana" w:hAnsi="Verdana"/>
              </w:rPr>
            </w:pPr>
            <w:r w:rsidRPr="00B97CC5">
              <w:rPr>
                <w:rFonts w:ascii="Verdana" w:hAnsi="Verdana"/>
              </w:rPr>
              <w:t>ENTIDADES SIN ÁNIMO DE LUCRO – Naturaleza jurídica – Capacidad para contratar</w:t>
            </w:r>
            <w:r w:rsidR="004A470A">
              <w:rPr>
                <w:rFonts w:ascii="Verdana" w:hAnsi="Verdana"/>
              </w:rPr>
              <w:t xml:space="preserve"> </w:t>
            </w:r>
            <w:r>
              <w:rPr>
                <w:rFonts w:ascii="Verdana" w:hAnsi="Verdana"/>
              </w:rPr>
              <w:t>/</w:t>
            </w:r>
            <w:r w:rsidRPr="003504B3">
              <w:rPr>
                <w:rFonts w:ascii="Verdana" w:hAnsi="Verdana"/>
              </w:rPr>
              <w:t>SEGURIDAD SOCIAL – Aportes al Sistema de Seguridad Social</w:t>
            </w:r>
            <w:r w:rsidR="004A470A">
              <w:rPr>
                <w:rFonts w:ascii="Verdana" w:hAnsi="Verdana"/>
              </w:rPr>
              <w:t xml:space="preserve"> </w:t>
            </w:r>
            <w:r w:rsidR="004A470A" w:rsidRPr="003504B3">
              <w:rPr>
                <w:rFonts w:ascii="Verdana" w:hAnsi="Verdana"/>
              </w:rPr>
              <w:t>–</w:t>
            </w:r>
            <w:r w:rsidR="004A470A">
              <w:rPr>
                <w:rFonts w:ascii="Verdana" w:hAnsi="Verdana"/>
              </w:rPr>
              <w:t xml:space="preserve"> </w:t>
            </w:r>
            <w:r>
              <w:rPr>
                <w:rFonts w:ascii="Verdana" w:hAnsi="Verdana"/>
              </w:rPr>
              <w:t>Personas jurídicas</w:t>
            </w:r>
            <w:r w:rsidR="004A470A">
              <w:rPr>
                <w:rFonts w:ascii="Verdana" w:hAnsi="Verdana"/>
              </w:rPr>
              <w:t xml:space="preserve"> /</w:t>
            </w:r>
            <w:r>
              <w:rPr>
                <w:rFonts w:ascii="Verdana" w:hAnsi="Verdana"/>
              </w:rPr>
              <w:t xml:space="preserve"> CONTRATO DE PRESTACIÓN DE SERVICIOS- Naturaleza jurídica- Apoyo a la Gestión</w:t>
            </w:r>
          </w:p>
        </w:tc>
        <w:tc>
          <w:tcPr>
            <w:tcW w:w="6237" w:type="dxa"/>
          </w:tcPr>
          <w:p w14:paraId="1EAEBCBE" w14:textId="77777777" w:rsidR="00EA28C0" w:rsidRPr="00190500" w:rsidRDefault="00EA28C0" w:rsidP="00D929D0">
            <w:pPr>
              <w:jc w:val="both"/>
              <w:rPr>
                <w:rFonts w:ascii="Verdana" w:hAnsi="Verdana" w:cs="Arial"/>
                <w:highlight w:val="yellow"/>
                <w:lang w:val="es-ES"/>
              </w:rPr>
            </w:pPr>
          </w:p>
        </w:tc>
      </w:tr>
      <w:tr w:rsidR="00EA28C0" w:rsidRPr="00190500" w14:paraId="0B712D95" w14:textId="77777777" w:rsidTr="00D929D0">
        <w:tc>
          <w:tcPr>
            <w:tcW w:w="2689" w:type="dxa"/>
            <w:hideMark/>
          </w:tcPr>
          <w:p w14:paraId="742A11B0" w14:textId="77777777" w:rsidR="00EA28C0" w:rsidRPr="00190500" w:rsidRDefault="00EA28C0" w:rsidP="00D929D0">
            <w:pPr>
              <w:spacing w:before="120"/>
              <w:jc w:val="both"/>
              <w:rPr>
                <w:rFonts w:ascii="Verdana" w:eastAsia="Calibri" w:hAnsi="Verdana" w:cs="Arial"/>
                <w:szCs w:val="24"/>
                <w:lang w:val="es-ES_tradnl" w:eastAsia="es-ES_tradnl"/>
              </w:rPr>
            </w:pPr>
            <w:r w:rsidRPr="00190500">
              <w:rPr>
                <w:rFonts w:ascii="Verdana" w:eastAsia="Calibri" w:hAnsi="Verdana" w:cs="Arial"/>
                <w:szCs w:val="24"/>
                <w:lang w:val="es-ES_tradnl" w:eastAsia="es-ES_tradnl"/>
              </w:rPr>
              <w:t xml:space="preserve">Radicación:               </w:t>
            </w:r>
          </w:p>
        </w:tc>
        <w:tc>
          <w:tcPr>
            <w:tcW w:w="6237" w:type="dxa"/>
            <w:hideMark/>
          </w:tcPr>
          <w:p w14:paraId="0CF570BF" w14:textId="7DF0772E" w:rsidR="00EA28C0" w:rsidRPr="00190500" w:rsidRDefault="00EA28C0" w:rsidP="00D929D0">
            <w:pPr>
              <w:spacing w:before="120" w:line="276" w:lineRule="auto"/>
              <w:jc w:val="both"/>
              <w:rPr>
                <w:rFonts w:ascii="Verdana" w:eastAsia="Calibri" w:hAnsi="Verdana" w:cs="Arial"/>
                <w:szCs w:val="24"/>
                <w:lang w:val="es-ES_tradnl" w:eastAsia="es-ES_tradnl"/>
              </w:rPr>
            </w:pPr>
            <w:r w:rsidRPr="00190500">
              <w:rPr>
                <w:rFonts w:ascii="Verdana" w:eastAsia="Calibri" w:hAnsi="Verdana" w:cs="Arial"/>
                <w:szCs w:val="24"/>
                <w:lang w:val="es-ES_tradnl" w:eastAsia="es-ES_tradnl"/>
              </w:rPr>
              <w:t xml:space="preserve">Respuesta a consulta con radicado No. </w:t>
            </w:r>
            <w:r w:rsidR="004E4591" w:rsidRPr="004E4591">
              <w:rPr>
                <w:rFonts w:ascii="Verdana" w:eastAsia="Calibri" w:hAnsi="Verdana" w:cs="Arial"/>
                <w:szCs w:val="24"/>
                <w:lang w:eastAsia="es-ES_tradnl"/>
              </w:rPr>
              <w:t>P20250430004139</w:t>
            </w:r>
          </w:p>
        </w:tc>
        <w:tc>
          <w:tcPr>
            <w:tcW w:w="6237" w:type="dxa"/>
          </w:tcPr>
          <w:p w14:paraId="3EF300C4" w14:textId="77777777" w:rsidR="00EA28C0" w:rsidRPr="00190500" w:rsidRDefault="00EA28C0" w:rsidP="00D929D0">
            <w:pPr>
              <w:spacing w:before="120"/>
              <w:jc w:val="both"/>
              <w:rPr>
                <w:rFonts w:ascii="Verdana" w:eastAsia="Calibri" w:hAnsi="Verdana" w:cs="Arial"/>
                <w:szCs w:val="24"/>
                <w:lang w:val="es-ES_tradnl" w:eastAsia="es-ES_tradnl"/>
              </w:rPr>
            </w:pPr>
          </w:p>
        </w:tc>
      </w:tr>
    </w:tbl>
    <w:p w14:paraId="0FEE6075" w14:textId="77777777" w:rsidR="00EA28C0" w:rsidRPr="00190500" w:rsidRDefault="00EA28C0" w:rsidP="00EA28C0">
      <w:pPr>
        <w:spacing w:after="0" w:line="240" w:lineRule="auto"/>
        <w:jc w:val="both"/>
        <w:rPr>
          <w:rFonts w:ascii="Verdana" w:eastAsia="Calibri" w:hAnsi="Verdana" w:cs="Arial"/>
          <w:szCs w:val="24"/>
          <w:lang w:val="es-ES_tradnl" w:eastAsia="es-ES_tradnl"/>
        </w:rPr>
      </w:pPr>
    </w:p>
    <w:p w14:paraId="46F72C3D" w14:textId="5955664C" w:rsidR="00EA28C0" w:rsidRPr="00190500" w:rsidRDefault="00EA28C0" w:rsidP="00EA28C0">
      <w:pPr>
        <w:spacing w:after="0" w:line="240" w:lineRule="auto"/>
        <w:jc w:val="both"/>
        <w:rPr>
          <w:rFonts w:ascii="Verdana" w:eastAsia="Calibri" w:hAnsi="Verdana" w:cs="Arial"/>
          <w:lang w:val="es-ES" w:eastAsia="es-ES"/>
        </w:rPr>
      </w:pPr>
      <w:r w:rsidRPr="00190500">
        <w:rPr>
          <w:rFonts w:ascii="Verdana" w:eastAsia="Calibri" w:hAnsi="Verdana" w:cs="Arial"/>
          <w:lang w:val="es-ES" w:eastAsia="es-ES"/>
        </w:rPr>
        <w:t>Estimad</w:t>
      </w:r>
      <w:r w:rsidR="004E4591">
        <w:rPr>
          <w:rFonts w:ascii="Verdana" w:eastAsia="Calibri" w:hAnsi="Verdana" w:cs="Arial"/>
          <w:lang w:val="es-ES" w:eastAsia="es-ES"/>
        </w:rPr>
        <w:t>a señora Naranjo</w:t>
      </w:r>
      <w:r w:rsidRPr="00190500">
        <w:rPr>
          <w:rFonts w:ascii="Verdana" w:eastAsia="Calibri" w:hAnsi="Verdana" w:cs="Arial"/>
          <w:lang w:val="es-ES" w:eastAsia="es-ES"/>
        </w:rPr>
        <w:t xml:space="preserve">: </w:t>
      </w:r>
    </w:p>
    <w:p w14:paraId="136901CB" w14:textId="77777777" w:rsidR="00EA28C0" w:rsidRPr="00190500" w:rsidRDefault="00EA28C0" w:rsidP="00EA28C0">
      <w:pPr>
        <w:spacing w:after="0" w:line="240" w:lineRule="auto"/>
        <w:jc w:val="both"/>
        <w:rPr>
          <w:rFonts w:ascii="Verdana" w:eastAsia="Calibri" w:hAnsi="Verdana" w:cs="Arial"/>
          <w:lang w:val="es-ES" w:eastAsia="es-ES"/>
        </w:rPr>
      </w:pPr>
    </w:p>
    <w:p w14:paraId="3C234EC8" w14:textId="77777777" w:rsidR="00903CF7" w:rsidRDefault="00EA28C0" w:rsidP="00903CF7">
      <w:pPr>
        <w:spacing w:after="120" w:line="276" w:lineRule="auto"/>
        <w:jc w:val="both"/>
        <w:rPr>
          <w:rFonts w:ascii="Verdana" w:eastAsia="Calibri" w:hAnsi="Verdana" w:cs="Arial"/>
          <w:lang w:val="es-ES" w:eastAsia="es-ES"/>
        </w:rPr>
      </w:pPr>
      <w:r w:rsidRPr="00190500">
        <w:rPr>
          <w:rFonts w:ascii="Verdana" w:eastAsia="Calibri" w:hAnsi="Verdana" w:cs="Arial"/>
          <w:lang w:val="es-ES" w:eastAsia="es-ES"/>
        </w:rPr>
        <w:t>En ejercicio de la competencia otorgada por los artículos 3, numeral 5º, y 11, numeral 8º, del Decreto Ley 4170 de 2011,</w:t>
      </w:r>
      <w:r w:rsidRPr="00190500">
        <w:rPr>
          <w:rFonts w:ascii="Verdana" w:eastAsia="Arial MT" w:hAnsi="Verdana" w:cs="Arial MT"/>
          <w:lang w:val="es-ES" w:eastAsia="es-ES"/>
        </w:rPr>
        <w:t xml:space="preserve"> </w:t>
      </w:r>
      <w:r w:rsidRPr="00190500">
        <w:rPr>
          <w:rFonts w:ascii="Verdana" w:eastAsia="Calibri" w:hAnsi="Verdana" w:cs="Arial"/>
          <w:lang w:val="es-ES" w:eastAsia="es-ES"/>
        </w:rPr>
        <w:t xml:space="preserve">la Agencia Nacional de Contratación Pública – Colombia Compra Eficiente– responde su solicitud de consulta del </w:t>
      </w:r>
      <w:r w:rsidR="004E4591">
        <w:rPr>
          <w:rFonts w:ascii="Verdana" w:eastAsia="Calibri" w:hAnsi="Verdana" w:cs="Arial"/>
          <w:lang w:val="es-ES" w:eastAsia="es-ES"/>
        </w:rPr>
        <w:t>30</w:t>
      </w:r>
      <w:r w:rsidRPr="00190500">
        <w:rPr>
          <w:rFonts w:ascii="Verdana" w:eastAsia="Calibri" w:hAnsi="Verdana" w:cs="Arial"/>
          <w:lang w:val="es-ES" w:eastAsia="es-ES"/>
        </w:rPr>
        <w:t xml:space="preserve"> de </w:t>
      </w:r>
      <w:r w:rsidR="004E4591">
        <w:rPr>
          <w:rFonts w:ascii="Verdana" w:eastAsia="Calibri" w:hAnsi="Verdana" w:cs="Arial"/>
          <w:lang w:val="es-ES" w:eastAsia="es-ES"/>
        </w:rPr>
        <w:t>abril</w:t>
      </w:r>
      <w:r w:rsidRPr="00190500">
        <w:rPr>
          <w:rFonts w:ascii="Verdana" w:eastAsia="Calibri" w:hAnsi="Verdana" w:cs="Arial"/>
          <w:lang w:val="es-ES" w:eastAsia="es-ES"/>
        </w:rPr>
        <w:t xml:space="preserve"> de 202</w:t>
      </w:r>
      <w:r w:rsidR="004E4591">
        <w:rPr>
          <w:rFonts w:ascii="Verdana" w:eastAsia="Calibri" w:hAnsi="Verdana" w:cs="Arial"/>
          <w:lang w:val="es-ES" w:eastAsia="es-ES"/>
        </w:rPr>
        <w:t>5</w:t>
      </w:r>
      <w:r w:rsidRPr="00190500">
        <w:rPr>
          <w:rFonts w:ascii="Verdana" w:eastAsia="Calibri" w:hAnsi="Verdana" w:cs="Arial"/>
          <w:lang w:val="es-ES" w:eastAsia="es-ES"/>
        </w:rPr>
        <w:t>, en la cual manifiesta lo siguiente:</w:t>
      </w:r>
    </w:p>
    <w:p w14:paraId="507E726B" w14:textId="77777777" w:rsidR="00903CF7" w:rsidRDefault="00903CF7" w:rsidP="00903CF7">
      <w:pPr>
        <w:spacing w:after="120" w:line="276" w:lineRule="auto"/>
        <w:jc w:val="both"/>
        <w:rPr>
          <w:rFonts w:ascii="Verdana" w:eastAsia="Calibri" w:hAnsi="Verdana" w:cs="Arial"/>
          <w:lang w:val="es-ES" w:eastAsia="es-ES"/>
        </w:rPr>
      </w:pPr>
    </w:p>
    <w:p w14:paraId="6DA6964D" w14:textId="3192316A" w:rsidR="004E4591" w:rsidRDefault="004E4591" w:rsidP="00903CF7">
      <w:pPr>
        <w:tabs>
          <w:tab w:val="left" w:pos="8505"/>
        </w:tabs>
        <w:spacing w:after="120" w:line="276" w:lineRule="auto"/>
        <w:ind w:left="709" w:right="426"/>
        <w:jc w:val="both"/>
        <w:rPr>
          <w:rFonts w:ascii="Verdana" w:eastAsia="Calibri" w:hAnsi="Verdana" w:cs="Arial"/>
          <w:sz w:val="20"/>
          <w:szCs w:val="20"/>
          <w:lang w:eastAsia="es-ES"/>
        </w:rPr>
      </w:pPr>
      <w:r>
        <w:rPr>
          <w:rFonts w:ascii="Verdana" w:eastAsia="Calibri" w:hAnsi="Verdana" w:cs="Arial"/>
          <w:sz w:val="20"/>
          <w:szCs w:val="20"/>
          <w:lang w:val="es-ES" w:eastAsia="es-ES"/>
        </w:rPr>
        <w:t>“</w:t>
      </w:r>
      <w:r w:rsidRPr="004E4591">
        <w:rPr>
          <w:rFonts w:ascii="Verdana" w:eastAsia="Calibri" w:hAnsi="Verdana" w:cs="Arial"/>
          <w:sz w:val="20"/>
          <w:szCs w:val="20"/>
          <w:lang w:eastAsia="es-ES"/>
        </w:rPr>
        <w:t xml:space="preserve">Como autoridad encargada de optimizar los procesos de compra y contratación estatal, buscando mayor eficiencia, transparencia y uso óptimo de los recursos públicos, comedidamente me permito consultar: ¿Puedo celebrar un contrato de prestación de servicios con persona Jurídica bajo la modalidad de contratación </w:t>
      </w:r>
      <w:proofErr w:type="gramStart"/>
      <w:r w:rsidRPr="004E4591">
        <w:rPr>
          <w:rFonts w:ascii="Verdana" w:eastAsia="Calibri" w:hAnsi="Verdana" w:cs="Arial"/>
          <w:sz w:val="20"/>
          <w:szCs w:val="20"/>
          <w:lang w:eastAsia="es-ES"/>
        </w:rPr>
        <w:t>directa?.</w:t>
      </w:r>
      <w:proofErr w:type="gramEnd"/>
      <w:r w:rsidRPr="004E4591">
        <w:rPr>
          <w:rFonts w:ascii="Verdana" w:eastAsia="Calibri" w:hAnsi="Verdana" w:cs="Arial"/>
          <w:sz w:val="20"/>
          <w:szCs w:val="20"/>
          <w:lang w:eastAsia="es-ES"/>
        </w:rPr>
        <w:t xml:space="preserve"> Cuál es la normatividad al respecto. Bajo el entendido que es una entidad de derecho privado con ánimo de lucro</w:t>
      </w:r>
      <w:r>
        <w:rPr>
          <w:rFonts w:ascii="Verdana" w:eastAsia="Calibri" w:hAnsi="Verdana" w:cs="Arial"/>
          <w:sz w:val="20"/>
          <w:szCs w:val="20"/>
          <w:lang w:eastAsia="es-ES"/>
        </w:rPr>
        <w:t>”</w:t>
      </w:r>
      <w:r w:rsidRPr="004E4591">
        <w:rPr>
          <w:rFonts w:ascii="Verdana" w:eastAsia="Calibri" w:hAnsi="Verdana" w:cs="Arial"/>
          <w:sz w:val="20"/>
          <w:szCs w:val="20"/>
          <w:lang w:eastAsia="es-ES"/>
        </w:rPr>
        <w:t>.</w:t>
      </w:r>
    </w:p>
    <w:p w14:paraId="5F8CC8F3" w14:textId="77777777" w:rsidR="004E4591" w:rsidRDefault="004E4591" w:rsidP="004E4591">
      <w:pPr>
        <w:spacing w:after="0" w:line="240" w:lineRule="auto"/>
        <w:ind w:right="709"/>
        <w:jc w:val="both"/>
        <w:rPr>
          <w:rFonts w:ascii="Verdana" w:eastAsia="Calibri" w:hAnsi="Verdana" w:cs="Arial"/>
          <w:sz w:val="20"/>
          <w:szCs w:val="20"/>
          <w:lang w:eastAsia="es-ES"/>
        </w:rPr>
      </w:pPr>
    </w:p>
    <w:p w14:paraId="26F5E713" w14:textId="20866992" w:rsidR="00EA28C0" w:rsidRDefault="00EA28C0" w:rsidP="00903CF7">
      <w:pPr>
        <w:spacing w:after="0" w:line="240" w:lineRule="auto"/>
        <w:ind w:right="49"/>
        <w:jc w:val="both"/>
        <w:rPr>
          <w:rFonts w:ascii="Verdana" w:eastAsia="Calibri" w:hAnsi="Verdana" w:cs="Arial"/>
          <w:lang w:val="es-ES" w:eastAsia="es-ES"/>
        </w:rPr>
      </w:pPr>
      <w:r w:rsidRPr="00190500">
        <w:rPr>
          <w:rFonts w:ascii="Verdana" w:eastAsia="Calibri" w:hAnsi="Verdana" w:cs="Arial"/>
          <w:lang w:val="es-ES_tradnl" w:eastAsia="es-ES_tradnl"/>
        </w:rPr>
        <w:tab/>
      </w:r>
      <w:r w:rsidRPr="00190500">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w:t>
      </w:r>
      <w:r w:rsidRPr="00190500">
        <w:rPr>
          <w:rFonts w:ascii="Verdana" w:eastAsia="Calibri" w:hAnsi="Verdana" w:cs="Arial"/>
          <w:lang w:val="es-ES" w:eastAsia="es-ES"/>
        </w:rPr>
        <w:lastRenderedPageBreak/>
        <w:t>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tampoco la de definir o precisar las posibles consecuencias por el actuar de las entidades en su actividad contractual.</w:t>
      </w:r>
    </w:p>
    <w:p w14:paraId="455CF448" w14:textId="77777777" w:rsidR="00903CF7" w:rsidRPr="00190500" w:rsidRDefault="00903CF7" w:rsidP="00903CF7">
      <w:pPr>
        <w:spacing w:after="0" w:line="240" w:lineRule="auto"/>
        <w:ind w:right="49"/>
        <w:jc w:val="both"/>
        <w:rPr>
          <w:rFonts w:ascii="Verdana" w:eastAsia="Calibri" w:hAnsi="Verdana" w:cs="Arial"/>
          <w:lang w:val="es-ES" w:eastAsia="es-ES"/>
        </w:rPr>
      </w:pPr>
    </w:p>
    <w:p w14:paraId="42AE9546" w14:textId="77777777" w:rsidR="00EA28C0" w:rsidRPr="00190500" w:rsidRDefault="00EA28C0" w:rsidP="00EA28C0">
      <w:pPr>
        <w:spacing w:after="0" w:line="276" w:lineRule="auto"/>
        <w:ind w:firstLine="708"/>
        <w:jc w:val="both"/>
        <w:rPr>
          <w:rFonts w:ascii="Verdana" w:eastAsia="Calibri" w:hAnsi="Verdana" w:cs="Arial"/>
          <w:lang w:val="es-ES" w:eastAsia="es-ES"/>
        </w:rPr>
      </w:pPr>
      <w:r w:rsidRPr="00190500">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3EA1824F" w14:textId="77777777" w:rsidR="00EA28C0" w:rsidRPr="00190500" w:rsidRDefault="00EA28C0" w:rsidP="00EA28C0">
      <w:pPr>
        <w:spacing w:after="0" w:line="276" w:lineRule="auto"/>
        <w:jc w:val="both"/>
        <w:rPr>
          <w:rFonts w:ascii="Verdana" w:eastAsia="Calibri" w:hAnsi="Verdana" w:cs="Arial"/>
          <w:lang w:val="es-ES" w:eastAsia="es-ES"/>
        </w:rPr>
      </w:pPr>
    </w:p>
    <w:p w14:paraId="5510EF68" w14:textId="77777777" w:rsidR="00EA28C0" w:rsidRPr="00190500" w:rsidRDefault="00EA28C0" w:rsidP="00EA28C0">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190500">
        <w:rPr>
          <w:rFonts w:ascii="Verdana" w:eastAsia="Century Gothic" w:hAnsi="Verdana" w:cs="Century Gothic"/>
          <w:b/>
          <w:bCs/>
        </w:rPr>
        <w:t>Problema planteado:</w:t>
      </w:r>
    </w:p>
    <w:p w14:paraId="05BD5967" w14:textId="77777777" w:rsidR="00EA28C0" w:rsidRPr="00190500" w:rsidRDefault="00EA28C0" w:rsidP="00EA28C0">
      <w:pPr>
        <w:spacing w:after="0" w:line="240" w:lineRule="auto"/>
        <w:jc w:val="both"/>
        <w:rPr>
          <w:rFonts w:ascii="Verdana" w:eastAsia="Century Gothic" w:hAnsi="Verdana" w:cs="Century Gothic"/>
        </w:rPr>
      </w:pPr>
    </w:p>
    <w:p w14:paraId="4C1B781E" w14:textId="74C6A358" w:rsidR="00EA28C0" w:rsidRPr="00A1609F" w:rsidRDefault="00EA28C0" w:rsidP="00EA28C0">
      <w:pPr>
        <w:spacing w:after="0" w:line="276" w:lineRule="auto"/>
        <w:jc w:val="both"/>
        <w:rPr>
          <w:rFonts w:ascii="Verdana" w:eastAsia="Calibri" w:hAnsi="Verdana" w:cs="Arial"/>
          <w:lang w:eastAsia="es-ES"/>
        </w:rPr>
      </w:pPr>
      <w:r w:rsidRPr="00A1609F">
        <w:rPr>
          <w:rFonts w:ascii="Verdana" w:eastAsia="Century Gothic" w:hAnsi="Verdana" w:cs="Century Gothic"/>
        </w:rPr>
        <w:t xml:space="preserve">De acuerdo con el contenido de su solicitud, esta Agencia resolverá </w:t>
      </w:r>
      <w:r w:rsidR="008E0605">
        <w:rPr>
          <w:rFonts w:ascii="Verdana" w:eastAsia="Century Gothic" w:hAnsi="Verdana" w:cs="Century Gothic"/>
        </w:rPr>
        <w:t>el</w:t>
      </w:r>
      <w:r w:rsidRPr="00A1609F">
        <w:rPr>
          <w:rFonts w:ascii="Verdana" w:eastAsia="Century Gothic" w:hAnsi="Verdana" w:cs="Century Gothic"/>
        </w:rPr>
        <w:t xml:space="preserve"> siguiente problema jurídico: i) </w:t>
      </w:r>
      <w:r>
        <w:rPr>
          <w:rFonts w:ascii="Verdana" w:eastAsia="Century Gothic" w:hAnsi="Verdana" w:cs="Century Gothic"/>
        </w:rPr>
        <w:t>¿</w:t>
      </w:r>
      <w:r w:rsidR="00903CF7">
        <w:rPr>
          <w:rFonts w:ascii="Verdana" w:eastAsia="Century Gothic" w:hAnsi="Verdana" w:cs="Century Gothic"/>
        </w:rPr>
        <w:t>Es viable celebrar un</w:t>
      </w:r>
      <w:r>
        <w:rPr>
          <w:rFonts w:ascii="Verdana" w:eastAsia="Century Gothic" w:hAnsi="Verdana" w:cs="Century Gothic"/>
        </w:rPr>
        <w:t xml:space="preserve"> contrato de prestación de servicio de apoyo a la gestión con una ESAL? </w:t>
      </w:r>
    </w:p>
    <w:p w14:paraId="54DBFD79" w14:textId="77777777" w:rsidR="00EA28C0" w:rsidRDefault="00EA28C0" w:rsidP="00EA28C0">
      <w:pPr>
        <w:spacing w:after="0" w:line="276" w:lineRule="auto"/>
        <w:jc w:val="both"/>
        <w:rPr>
          <w:rFonts w:ascii="Verdana" w:eastAsia="Calibri" w:hAnsi="Verdana" w:cs="Arial"/>
          <w:sz w:val="20"/>
          <w:szCs w:val="20"/>
          <w:lang w:eastAsia="es-ES"/>
        </w:rPr>
      </w:pPr>
    </w:p>
    <w:p w14:paraId="1697FE59" w14:textId="77777777" w:rsidR="00EA28C0" w:rsidRPr="00190500" w:rsidRDefault="00EA28C0" w:rsidP="00EA28C0">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190500">
        <w:rPr>
          <w:rFonts w:ascii="Verdana" w:eastAsia="Century Gothic" w:hAnsi="Verdana" w:cs="Century Gothic"/>
          <w:b/>
          <w:bCs/>
        </w:rPr>
        <w:t>Respuesta:</w:t>
      </w:r>
    </w:p>
    <w:p w14:paraId="60056BAE" w14:textId="77777777" w:rsidR="00EA28C0" w:rsidRDefault="00EA28C0" w:rsidP="00EA28C0">
      <w:pPr>
        <w:pStyle w:val="Prrafodelista"/>
        <w:tabs>
          <w:tab w:val="left" w:pos="142"/>
          <w:tab w:val="left" w:pos="284"/>
        </w:tabs>
        <w:spacing w:after="0" w:line="276" w:lineRule="auto"/>
        <w:ind w:left="0"/>
        <w:jc w:val="both"/>
        <w:rPr>
          <w:rFonts w:ascii="Verdana" w:eastAsia="Century Gothic" w:hAnsi="Verdana" w:cs="Century Gothic"/>
          <w:b/>
          <w:bCs/>
        </w:rPr>
      </w:pPr>
    </w:p>
    <w:p w14:paraId="4B00D9C3" w14:textId="0EC8E3AB" w:rsidR="00EA28C0" w:rsidRDefault="00EA28C0" w:rsidP="008E0605">
      <w:pPr>
        <w:pBdr>
          <w:top w:val="single" w:sz="4" w:space="1" w:color="auto"/>
          <w:left w:val="single" w:sz="4" w:space="4" w:color="auto"/>
          <w:bottom w:val="single" w:sz="4" w:space="1" w:color="auto"/>
          <w:right w:val="single" w:sz="4" w:space="4" w:color="auto"/>
        </w:pBdr>
        <w:spacing w:line="276" w:lineRule="auto"/>
        <w:jc w:val="both"/>
        <w:rPr>
          <w:rFonts w:ascii="Verdana" w:hAnsi="Verdana"/>
        </w:rPr>
      </w:pPr>
      <w:r>
        <w:rPr>
          <w:rFonts w:ascii="Verdana" w:hAnsi="Verdana"/>
        </w:rPr>
        <w:t xml:space="preserve">Frente al interrogante planteado, los contratos de prestación de apoyo a la gestión suscritos por una entidad pública se llevarán a cabo mediante la contratación directa, de conformidad con lo estipulado en el literal h) numeral 4 del artículo 2 de la Ley 1150 de 2007. </w:t>
      </w:r>
    </w:p>
    <w:p w14:paraId="7AAEE8B9" w14:textId="2F3A6BDB" w:rsidR="00EA28C0" w:rsidRDefault="00EA28C0" w:rsidP="008E0605">
      <w:pPr>
        <w:pBdr>
          <w:top w:val="single" w:sz="4" w:space="1" w:color="auto"/>
          <w:left w:val="single" w:sz="4" w:space="4" w:color="auto"/>
          <w:bottom w:val="single" w:sz="4" w:space="1" w:color="auto"/>
          <w:right w:val="single" w:sz="4" w:space="4" w:color="auto"/>
        </w:pBdr>
        <w:spacing w:line="276" w:lineRule="auto"/>
        <w:jc w:val="both"/>
        <w:rPr>
          <w:rFonts w:ascii="Verdana" w:hAnsi="Verdana" w:cs="Arial"/>
          <w:color w:val="000000" w:themeColor="text1"/>
        </w:rPr>
      </w:pPr>
      <w:r>
        <w:rPr>
          <w:rFonts w:ascii="Verdana" w:hAnsi="Verdana"/>
        </w:rPr>
        <w:t>En ese sentido</w:t>
      </w:r>
      <w:r w:rsidRPr="00D62509">
        <w:rPr>
          <w:rFonts w:ascii="Verdana" w:hAnsi="Verdana"/>
        </w:rPr>
        <w:t xml:space="preserve">, </w:t>
      </w:r>
      <w:r>
        <w:rPr>
          <w:rFonts w:ascii="Verdana" w:hAnsi="Verdana"/>
        </w:rPr>
        <w:t xml:space="preserve">es preciso indicar que es posible la celebración de contratos de </w:t>
      </w:r>
      <w:r>
        <w:rPr>
          <w:rFonts w:ascii="Verdana" w:hAnsi="Verdana" w:cs="Arial"/>
          <w:color w:val="000000" w:themeColor="text1"/>
        </w:rPr>
        <w:t xml:space="preserve">prestación de servicios de apoyo a la gestión con personas jurídicas, entre las cuales se encuentran las ESAL, siempre y cuando se cumplan con cada uno de los requisitos de orden jurídico, como capacidad jurídica, inexistencia de inhabilidades e incompatibilidades, y cumplan con la idoneidad o experiencia en las actividades requeridas por parte de la entidad estatal, conforme al estudio previo que esta adelante. </w:t>
      </w:r>
    </w:p>
    <w:p w14:paraId="68C2DF1B" w14:textId="4F00C41F" w:rsidR="002B413A" w:rsidRDefault="00EA28C0" w:rsidP="008E0605">
      <w:pPr>
        <w:pBdr>
          <w:top w:val="single" w:sz="4" w:space="1" w:color="auto"/>
          <w:left w:val="single" w:sz="4" w:space="4" w:color="auto"/>
          <w:bottom w:val="single" w:sz="4" w:space="1" w:color="auto"/>
          <w:right w:val="single" w:sz="4" w:space="4" w:color="auto"/>
        </w:pBdr>
        <w:spacing w:line="276" w:lineRule="auto"/>
        <w:jc w:val="both"/>
        <w:rPr>
          <w:rFonts w:ascii="Verdana" w:hAnsi="Verdana" w:cs="Arial"/>
          <w:color w:val="000000" w:themeColor="text1"/>
        </w:rPr>
      </w:pPr>
      <w:r>
        <w:rPr>
          <w:rFonts w:ascii="Verdana" w:hAnsi="Verdana" w:cs="Arial"/>
          <w:color w:val="000000" w:themeColor="text1"/>
        </w:rPr>
        <w:t xml:space="preserve">En </w:t>
      </w:r>
      <w:r w:rsidR="00903CF7">
        <w:rPr>
          <w:rFonts w:ascii="Verdana" w:hAnsi="Verdana" w:cs="Arial"/>
          <w:color w:val="000000" w:themeColor="text1"/>
        </w:rPr>
        <w:t>conclusión,</w:t>
      </w:r>
      <w:r>
        <w:rPr>
          <w:rFonts w:ascii="Verdana" w:hAnsi="Verdana" w:cs="Arial"/>
          <w:color w:val="000000" w:themeColor="text1"/>
        </w:rPr>
        <w:t xml:space="preserve"> es discrecional de la entidad contratante definir con quien suscribir contratos de prestación de servicio de apoyo a la gestión con persona natural o con persona jurídica</w:t>
      </w:r>
      <w:r w:rsidR="00903CF7">
        <w:rPr>
          <w:rFonts w:ascii="Verdana" w:hAnsi="Verdana" w:cs="Arial"/>
          <w:color w:val="000000" w:themeColor="text1"/>
        </w:rPr>
        <w:t>.</w:t>
      </w:r>
    </w:p>
    <w:p w14:paraId="2B2E14D7" w14:textId="77777777" w:rsidR="00EA28C0" w:rsidRPr="00190500" w:rsidRDefault="00EA28C0" w:rsidP="00EA28C0">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190500">
        <w:rPr>
          <w:rFonts w:ascii="Verdana" w:eastAsia="Century Gothic" w:hAnsi="Verdana" w:cs="Century Gothic"/>
          <w:b/>
          <w:bCs/>
        </w:rPr>
        <w:t>Razones de la respuesta:</w:t>
      </w:r>
    </w:p>
    <w:p w14:paraId="21E23CEC" w14:textId="77777777" w:rsidR="00EA28C0" w:rsidRDefault="00EA28C0" w:rsidP="00EA28C0">
      <w:pPr>
        <w:jc w:val="both"/>
        <w:rPr>
          <w:rFonts w:ascii="Verdana" w:hAnsi="Verdana" w:cs="Arial"/>
          <w:color w:val="000000" w:themeColor="text1"/>
        </w:rPr>
      </w:pPr>
    </w:p>
    <w:p w14:paraId="7F47E1C7" w14:textId="77777777" w:rsidR="00EA28C0" w:rsidRPr="00190500" w:rsidRDefault="00EA28C0" w:rsidP="00EA28C0">
      <w:pPr>
        <w:jc w:val="both"/>
        <w:rPr>
          <w:rFonts w:ascii="Verdana" w:hAnsi="Verdana" w:cs="Arial"/>
          <w:color w:val="000000" w:themeColor="text1"/>
        </w:rPr>
      </w:pPr>
      <w:r w:rsidRPr="00190500">
        <w:rPr>
          <w:rFonts w:ascii="Verdana" w:hAnsi="Verdana" w:cs="Arial"/>
          <w:color w:val="000000" w:themeColor="text1"/>
        </w:rPr>
        <w:t>Lo anterior se sustenta en las siguientes consideraciones:</w:t>
      </w:r>
    </w:p>
    <w:p w14:paraId="03AD8A67" w14:textId="77777777" w:rsidR="00EA28C0" w:rsidRPr="00190500" w:rsidRDefault="00EA28C0" w:rsidP="00EA28C0">
      <w:pPr>
        <w:pStyle w:val="Prrafodelista"/>
        <w:numPr>
          <w:ilvl w:val="0"/>
          <w:numId w:val="18"/>
        </w:numPr>
        <w:spacing w:after="120" w:line="276" w:lineRule="auto"/>
        <w:ind w:left="851"/>
        <w:jc w:val="both"/>
        <w:rPr>
          <w:rFonts w:ascii="Verdana" w:hAnsi="Verdana" w:cs="Arial"/>
          <w:color w:val="000000" w:themeColor="text1"/>
        </w:rPr>
      </w:pPr>
      <w:r w:rsidRPr="00190500">
        <w:rPr>
          <w:rFonts w:ascii="Verdana" w:eastAsia="Calibri" w:hAnsi="Verdana" w:cs="Arial"/>
          <w:bCs/>
          <w:lang w:val="es-MX"/>
        </w:rPr>
        <w:t>Una de las formas tradicionales de desarrollar empresas</w:t>
      </w:r>
      <w:r w:rsidRPr="00190500">
        <w:rPr>
          <w:rFonts w:ascii="Verdana" w:eastAsia="Calibri" w:hAnsi="Verdana" w:cs="Arial"/>
          <w:bCs/>
          <w:i/>
          <w:iCs/>
          <w:lang w:val="es-MX"/>
        </w:rPr>
        <w:t xml:space="preserve"> </w:t>
      </w:r>
      <w:r w:rsidRPr="00190500">
        <w:rPr>
          <w:rFonts w:ascii="Verdana" w:eastAsia="Calibri" w:hAnsi="Verdana" w:cs="Arial"/>
          <w:bCs/>
          <w:lang w:val="es-MX"/>
        </w:rPr>
        <w:t xml:space="preserve">y ejercer el comercio en Colombia, es a través del contrato de sociedad por medio del cual dos o más personas se obligan a hacer un aporte en dinero, en trabajo o en otros bienes apreciables en dinero con el fin de repartirse entre sí las utilidades obtenidas en la empresa, según el artículo 98 </w:t>
      </w:r>
      <w:r w:rsidRPr="00190500">
        <w:rPr>
          <w:rFonts w:ascii="Verdana" w:eastAsia="Calibri" w:hAnsi="Verdana" w:cs="Arial"/>
          <w:bCs/>
          <w:i/>
          <w:iCs/>
          <w:lang w:val="es-MX"/>
        </w:rPr>
        <w:t xml:space="preserve">ibidem. </w:t>
      </w:r>
    </w:p>
    <w:p w14:paraId="33A355AE" w14:textId="77777777" w:rsidR="00EA28C0" w:rsidRPr="00190500" w:rsidRDefault="00EA28C0" w:rsidP="00EA28C0">
      <w:pPr>
        <w:pStyle w:val="Prrafodelista"/>
        <w:spacing w:after="120" w:line="276" w:lineRule="auto"/>
        <w:ind w:left="851"/>
        <w:jc w:val="both"/>
        <w:rPr>
          <w:rFonts w:ascii="Verdana" w:hAnsi="Verdana" w:cs="Arial"/>
          <w:color w:val="000000" w:themeColor="text1"/>
        </w:rPr>
      </w:pPr>
    </w:p>
    <w:p w14:paraId="1C1AB9E6" w14:textId="77777777" w:rsidR="00EA28C0" w:rsidRDefault="00EA28C0" w:rsidP="00EA28C0">
      <w:pPr>
        <w:pStyle w:val="Prrafodelista"/>
        <w:numPr>
          <w:ilvl w:val="0"/>
          <w:numId w:val="18"/>
        </w:numPr>
        <w:spacing w:after="120" w:line="276" w:lineRule="auto"/>
        <w:ind w:left="851"/>
        <w:jc w:val="both"/>
        <w:rPr>
          <w:rFonts w:ascii="Verdana" w:hAnsi="Verdana" w:cs="Arial"/>
          <w:color w:val="000000" w:themeColor="text1"/>
        </w:rPr>
      </w:pPr>
      <w:r w:rsidRPr="00FF5067">
        <w:rPr>
          <w:rFonts w:ascii="Verdana" w:eastAsia="Calibri" w:hAnsi="Verdana" w:cs="Arial"/>
          <w:bCs/>
          <w:lang w:val="es-MX"/>
        </w:rPr>
        <w:t>En ese sentido, puede decirse que serán sociedades comerciales aquellas que ejecuten actos o empresas mercantiles, en los términos señalados en el artículo 100 del Código de Comercio</w:t>
      </w:r>
      <w:r w:rsidRPr="00FF5067">
        <w:rPr>
          <w:rFonts w:ascii="Verdana" w:hAnsi="Verdana" w:cs="Arial"/>
          <w:color w:val="000000" w:themeColor="text1"/>
          <w:vertAlign w:val="superscript"/>
        </w:rPr>
        <w:footnoteReference w:id="2"/>
      </w:r>
      <w:r w:rsidRPr="00FF5067">
        <w:rPr>
          <w:rFonts w:ascii="Verdana" w:hAnsi="Verdana" w:cs="Arial"/>
          <w:color w:val="000000" w:themeColor="text1"/>
        </w:rPr>
        <w:t xml:space="preserve">. Sin perjuicio de esto, el artículo 2 de la Ley 590 del 2000, modificado por el </w:t>
      </w:r>
      <w:r w:rsidRPr="00FF5067">
        <w:rPr>
          <w:rFonts w:ascii="Verdana" w:eastAsia="Calibri" w:hAnsi="Verdana" w:cs="Arial"/>
          <w:bCs/>
          <w:lang w:val="es-MX"/>
        </w:rPr>
        <w:t>artículo 43 de la Ley 1450 de 2011, define la empresa</w:t>
      </w:r>
      <w:r w:rsidRPr="00FF5067">
        <w:rPr>
          <w:rFonts w:ascii="Verdana" w:eastAsia="Calibri" w:hAnsi="Verdana" w:cs="Arial"/>
          <w:bCs/>
          <w:i/>
          <w:iCs/>
          <w:lang w:val="es-MX"/>
        </w:rPr>
        <w:t xml:space="preserve"> </w:t>
      </w:r>
      <w:r w:rsidRPr="00FF5067">
        <w:rPr>
          <w:rFonts w:ascii="Verdana" w:eastAsia="Calibri" w:hAnsi="Verdana" w:cs="Arial"/>
          <w:bCs/>
          <w:lang w:val="es-MX"/>
        </w:rPr>
        <w:t>como toda unidad de explotación económica que realiza una persona natural o jurídica en actividades agropecuarias, industriales, comerciales o de servicios</w:t>
      </w:r>
      <w:r w:rsidRPr="00FF5067">
        <w:rPr>
          <w:rFonts w:ascii="Verdana" w:hAnsi="Verdana" w:cs="Arial"/>
          <w:color w:val="000000" w:themeColor="text1"/>
          <w:vertAlign w:val="superscript"/>
        </w:rPr>
        <w:footnoteReference w:id="3"/>
      </w:r>
      <w:r w:rsidRPr="00FF5067">
        <w:rPr>
          <w:rFonts w:ascii="Verdana" w:hAnsi="Verdana" w:cs="Arial"/>
          <w:color w:val="000000" w:themeColor="text1"/>
        </w:rPr>
        <w:t xml:space="preserve">. Además, establece que estas se clasifican en micro, pequeña, mediana y gran empresa, de acuerdo con </w:t>
      </w:r>
      <w:r w:rsidRPr="00FF5067">
        <w:rPr>
          <w:rFonts w:ascii="Verdana" w:hAnsi="Verdana" w:cs="Arial"/>
          <w:color w:val="000000" w:themeColor="text1"/>
        </w:rPr>
        <w:lastRenderedPageBreak/>
        <w:t>los criterios del número de trabajadores totales, el valor de ventas brutales anuales y el valor de activos totales.</w:t>
      </w:r>
    </w:p>
    <w:p w14:paraId="485A5D2F" w14:textId="77777777" w:rsidR="00EA28C0" w:rsidRPr="00FF5067" w:rsidRDefault="00EA28C0" w:rsidP="00EA28C0">
      <w:pPr>
        <w:pStyle w:val="Prrafodelista"/>
        <w:rPr>
          <w:rFonts w:ascii="Verdana" w:hAnsi="Verdana" w:cs="Arial"/>
          <w:color w:val="000000" w:themeColor="text1"/>
        </w:rPr>
      </w:pPr>
    </w:p>
    <w:p w14:paraId="4DB5A97E" w14:textId="77777777" w:rsidR="00EA28C0" w:rsidRDefault="00EA28C0" w:rsidP="00EA28C0">
      <w:pPr>
        <w:pStyle w:val="Prrafodelista"/>
        <w:numPr>
          <w:ilvl w:val="0"/>
          <w:numId w:val="18"/>
        </w:numPr>
        <w:spacing w:after="120" w:line="276" w:lineRule="auto"/>
        <w:ind w:left="851"/>
        <w:jc w:val="both"/>
        <w:rPr>
          <w:rFonts w:ascii="Verdana" w:hAnsi="Verdana" w:cs="Arial"/>
          <w:color w:val="000000" w:themeColor="text1"/>
        </w:rPr>
      </w:pPr>
      <w:r w:rsidRPr="00190500">
        <w:rPr>
          <w:rFonts w:ascii="Verdana" w:eastAsia="Calibri" w:hAnsi="Verdana" w:cs="Arial"/>
          <w:bCs/>
          <w:lang w:val="es-MX"/>
        </w:rPr>
        <w:t>En todo caso, para efectos de la presente, es preciso mencionar que el Libro Segundo del Código de Comercio no incluye a las corporaciones o asociaciones ni a las fundaciones, esto es, a las ESAL, en la enumeración de las sociedades comerciales. La razón de la exclusión</w:t>
      </w:r>
      <w:r>
        <w:rPr>
          <w:rFonts w:ascii="Verdana" w:eastAsia="Calibri" w:hAnsi="Verdana" w:cs="Arial"/>
          <w:bCs/>
          <w:lang w:val="es-MX"/>
        </w:rPr>
        <w:t xml:space="preserve"> se sustenta en que </w:t>
      </w:r>
      <w:r w:rsidRPr="00190500">
        <w:rPr>
          <w:rFonts w:ascii="Verdana" w:eastAsia="Calibri" w:hAnsi="Verdana" w:cs="Arial"/>
          <w:bCs/>
          <w:lang w:val="es-MX"/>
        </w:rPr>
        <w:t>estas organizaciones no tienen fines comerciales, es decir carecen de ánimo de lucro, por eso no forman un tipo o clase de sociedad comercial</w:t>
      </w:r>
      <w:r w:rsidRPr="00190500">
        <w:rPr>
          <w:rFonts w:ascii="Verdana" w:hAnsi="Verdana" w:cs="Arial"/>
          <w:color w:val="000000" w:themeColor="text1"/>
          <w:vertAlign w:val="superscript"/>
        </w:rPr>
        <w:footnoteReference w:id="4"/>
      </w:r>
      <w:r w:rsidRPr="00190500">
        <w:rPr>
          <w:rFonts w:ascii="Verdana" w:hAnsi="Verdana" w:cs="Arial"/>
          <w:color w:val="000000" w:themeColor="text1"/>
        </w:rPr>
        <w:t xml:space="preserve">. </w:t>
      </w:r>
    </w:p>
    <w:p w14:paraId="4D34234F" w14:textId="77777777" w:rsidR="00EA28C0" w:rsidRPr="000C23C4" w:rsidRDefault="00EA28C0" w:rsidP="00EA28C0">
      <w:pPr>
        <w:pStyle w:val="Prrafodelista"/>
        <w:rPr>
          <w:rFonts w:ascii="Verdana" w:hAnsi="Verdana" w:cs="Arial"/>
          <w:color w:val="000000" w:themeColor="text1"/>
        </w:rPr>
      </w:pPr>
    </w:p>
    <w:p w14:paraId="643B740D" w14:textId="77777777" w:rsidR="00EA28C0" w:rsidRDefault="00EA28C0" w:rsidP="00EA28C0">
      <w:pPr>
        <w:pStyle w:val="Prrafodelista"/>
        <w:numPr>
          <w:ilvl w:val="0"/>
          <w:numId w:val="18"/>
        </w:numPr>
        <w:spacing w:after="120" w:line="276" w:lineRule="auto"/>
        <w:ind w:left="851"/>
        <w:jc w:val="both"/>
        <w:rPr>
          <w:rFonts w:ascii="Verdana" w:hAnsi="Verdana" w:cs="Arial"/>
          <w:color w:val="000000" w:themeColor="text1"/>
        </w:rPr>
      </w:pPr>
      <w:r w:rsidRPr="00190500">
        <w:rPr>
          <w:rFonts w:ascii="Verdana" w:hAnsi="Verdana" w:cs="Arial"/>
          <w:color w:val="000000" w:themeColor="text1"/>
        </w:rPr>
        <w:t>La norma que regula este tipo de corporaciones o asociaciones es el Código Civil –entre otras normas que se armonizan con él– de lo que se sigue que no constituyen formas de sociedad comercial sino formas de organización civil, con fines esencialmente altruistas o de interés general, que se conforman entre personas que tienen como finalidad contribuir con su esfuerzo, y hasta con sus bienes, a ayudar a la comunidad</w:t>
      </w:r>
      <w:r w:rsidRPr="00190500">
        <w:rPr>
          <w:rFonts w:ascii="Verdana" w:hAnsi="Verdana" w:cs="Arial"/>
          <w:color w:val="000000" w:themeColor="text1"/>
          <w:vertAlign w:val="superscript"/>
        </w:rPr>
        <w:footnoteReference w:id="5"/>
      </w:r>
      <w:r w:rsidRPr="00190500">
        <w:rPr>
          <w:rFonts w:ascii="Verdana" w:hAnsi="Verdana" w:cs="Arial"/>
          <w:color w:val="000000" w:themeColor="text1"/>
        </w:rPr>
        <w:t>. La ausencia de ánimo de lucro es, entonces, la característica determinante de estas corporaciones u organizaciones con las sociedades comerciales.</w:t>
      </w:r>
      <w:r>
        <w:rPr>
          <w:rStyle w:val="Refdenotaalpie"/>
          <w:rFonts w:ascii="Verdana" w:hAnsi="Verdana" w:cs="Arial"/>
          <w:color w:val="000000" w:themeColor="text1"/>
        </w:rPr>
        <w:footnoteReference w:id="6"/>
      </w:r>
    </w:p>
    <w:p w14:paraId="57DFF535" w14:textId="77777777" w:rsidR="00EA28C0" w:rsidRPr="00847747" w:rsidRDefault="00EA28C0" w:rsidP="00EA28C0">
      <w:pPr>
        <w:pStyle w:val="Prrafodelista"/>
        <w:rPr>
          <w:rFonts w:ascii="Verdana" w:hAnsi="Verdana" w:cs="Arial"/>
          <w:color w:val="000000" w:themeColor="text1"/>
        </w:rPr>
      </w:pPr>
    </w:p>
    <w:p w14:paraId="6CE5CD23" w14:textId="33BBD14A" w:rsidR="00EA28C0" w:rsidRPr="00B82A13" w:rsidRDefault="00EA28C0" w:rsidP="007318AB">
      <w:pPr>
        <w:pStyle w:val="Prrafodelista"/>
        <w:numPr>
          <w:ilvl w:val="0"/>
          <w:numId w:val="18"/>
        </w:numPr>
        <w:spacing w:after="120" w:line="276" w:lineRule="auto"/>
        <w:ind w:left="851"/>
        <w:jc w:val="both"/>
        <w:rPr>
          <w:rFonts w:ascii="Verdana" w:hAnsi="Verdana" w:cs="Arial"/>
          <w:color w:val="000000" w:themeColor="text1"/>
        </w:rPr>
      </w:pPr>
      <w:r w:rsidRPr="00190500">
        <w:rPr>
          <w:rFonts w:ascii="Verdana" w:hAnsi="Verdana" w:cs="Arial"/>
          <w:color w:val="000000" w:themeColor="text1"/>
        </w:rPr>
        <w:t xml:space="preserve">Es del caso precisar que en el caso de las ESAL no se admite el reparto de utilidades, ni durante la existencia de la organización ni cuando se extinga, y en este aspecto, se insiste, radica la diferencia más apreciable entre unas y otras organizaciones, pese a que ambas se crean con la </w:t>
      </w:r>
      <w:r w:rsidRPr="00190500">
        <w:rPr>
          <w:rFonts w:ascii="Verdana" w:hAnsi="Verdana" w:cs="Arial"/>
          <w:color w:val="000000" w:themeColor="text1"/>
        </w:rPr>
        <w:lastRenderedPageBreak/>
        <w:t>libertad y al amparo del derecho fundamental de asociación, previsto en el artículo 38 de la Constitución Política y otras normas contenidas en tratados internacionales suscritos por Colombia.</w:t>
      </w:r>
    </w:p>
    <w:p w14:paraId="3DFD0FE3" w14:textId="77777777" w:rsidR="00EA28C0" w:rsidRPr="00AD3AA9" w:rsidRDefault="00EA28C0" w:rsidP="00EA28C0">
      <w:pPr>
        <w:pStyle w:val="Prrafodelista"/>
        <w:rPr>
          <w:rFonts w:ascii="Verdana" w:hAnsi="Verdana" w:cs="Arial"/>
          <w:color w:val="000000" w:themeColor="text1"/>
        </w:rPr>
      </w:pPr>
    </w:p>
    <w:p w14:paraId="30573A74" w14:textId="77777777" w:rsidR="00EA28C0" w:rsidRPr="00190500" w:rsidRDefault="00EA28C0" w:rsidP="00EA28C0">
      <w:pPr>
        <w:pStyle w:val="Prrafodelista"/>
        <w:numPr>
          <w:ilvl w:val="0"/>
          <w:numId w:val="18"/>
        </w:numPr>
        <w:spacing w:after="120" w:line="276" w:lineRule="auto"/>
        <w:ind w:left="851"/>
        <w:jc w:val="both"/>
        <w:rPr>
          <w:rFonts w:ascii="Verdana" w:eastAsia="Times New Roman" w:hAnsi="Verdana" w:cs="Arial"/>
          <w:color w:val="000000" w:themeColor="text1"/>
          <w:szCs w:val="24"/>
          <w:lang w:eastAsia="es-MX"/>
        </w:rPr>
      </w:pPr>
      <w:r w:rsidRPr="00190500">
        <w:rPr>
          <w:rFonts w:ascii="Verdana" w:eastAsia="Times New Roman" w:hAnsi="Verdana" w:cs="Arial"/>
          <w:color w:val="000000" w:themeColor="text1"/>
          <w:szCs w:val="24"/>
          <w:lang w:eastAsia="es-MX"/>
        </w:rPr>
        <w:t xml:space="preserve">Por su parte, la Corte Constitucional, en la </w:t>
      </w:r>
      <w:r w:rsidRPr="005D6C09">
        <w:rPr>
          <w:rFonts w:ascii="Verdana" w:eastAsia="Times New Roman" w:hAnsi="Verdana" w:cs="Arial"/>
          <w:color w:val="000000" w:themeColor="text1"/>
          <w:szCs w:val="24"/>
          <w:lang w:eastAsia="es-MX"/>
        </w:rPr>
        <w:t>Sentencia C-287 de 2012,</w:t>
      </w:r>
      <w:r w:rsidRPr="00190500">
        <w:rPr>
          <w:rFonts w:ascii="Verdana" w:eastAsia="Times New Roman" w:hAnsi="Verdana" w:cs="Arial"/>
          <w:color w:val="000000" w:themeColor="text1"/>
          <w:szCs w:val="24"/>
          <w:lang w:eastAsia="es-MX"/>
        </w:rPr>
        <w:t xml:space="preserve"> reiteró que la diferencia existente entre las sociedades comerciales y las ESAL es que estas últimas no reparten sus utilidades entre los socios</w:t>
      </w:r>
      <w:r w:rsidRPr="00190500">
        <w:rPr>
          <w:rFonts w:ascii="Verdana" w:eastAsia="Times New Roman" w:hAnsi="Verdana" w:cs="Arial"/>
          <w:color w:val="000000" w:themeColor="text1"/>
          <w:szCs w:val="24"/>
          <w:vertAlign w:val="superscript"/>
          <w:lang w:eastAsia="es-MX"/>
        </w:rPr>
        <w:footnoteReference w:id="7"/>
      </w:r>
      <w:r w:rsidRPr="00190500">
        <w:rPr>
          <w:rFonts w:ascii="Verdana" w:eastAsia="Times New Roman" w:hAnsi="Verdana" w:cs="Arial"/>
          <w:color w:val="000000" w:themeColor="text1"/>
          <w:szCs w:val="24"/>
          <w:lang w:eastAsia="es-MX"/>
        </w:rPr>
        <w:t xml:space="preserve">. Así lo explicó en los siguientes términos: </w:t>
      </w:r>
    </w:p>
    <w:p w14:paraId="1D6A3674" w14:textId="77777777" w:rsidR="00EA28C0" w:rsidRPr="00190500" w:rsidRDefault="00EA28C0" w:rsidP="00EA28C0">
      <w:pPr>
        <w:spacing w:after="0" w:line="276" w:lineRule="auto"/>
        <w:ind w:left="709" w:right="760"/>
        <w:jc w:val="both"/>
        <w:rPr>
          <w:rFonts w:ascii="Verdana" w:eastAsia="Times New Roman" w:hAnsi="Verdana" w:cs="Arial"/>
          <w:color w:val="000000" w:themeColor="text1"/>
          <w:sz w:val="21"/>
          <w:szCs w:val="21"/>
          <w:lang w:eastAsia="es-MX"/>
        </w:rPr>
      </w:pPr>
    </w:p>
    <w:p w14:paraId="0EB7D078" w14:textId="77777777" w:rsidR="00EA28C0" w:rsidRPr="00190500" w:rsidRDefault="00EA28C0" w:rsidP="00EA28C0">
      <w:pPr>
        <w:spacing w:after="0" w:line="240" w:lineRule="auto"/>
        <w:ind w:left="851" w:right="760"/>
        <w:jc w:val="both"/>
        <w:rPr>
          <w:rFonts w:ascii="Verdana" w:eastAsia="Times New Roman" w:hAnsi="Verdana" w:cs="Arial"/>
          <w:color w:val="000000" w:themeColor="text1"/>
          <w:sz w:val="21"/>
          <w:szCs w:val="21"/>
          <w:lang w:eastAsia="es-MX"/>
        </w:rPr>
      </w:pPr>
      <w:r w:rsidRPr="00190500">
        <w:rPr>
          <w:rFonts w:ascii="Verdana" w:eastAsia="Times New Roman" w:hAnsi="Verdana" w:cs="Arial"/>
          <w:color w:val="000000" w:themeColor="text1"/>
          <w:sz w:val="21"/>
          <w:szCs w:val="21"/>
          <w:lang w:eastAsia="es-MX"/>
        </w:rPr>
        <w:t>“</w:t>
      </w:r>
      <w:r w:rsidRPr="00AD3AA9">
        <w:rPr>
          <w:rFonts w:ascii="Verdana" w:eastAsia="Times New Roman" w:hAnsi="Verdana" w:cs="Arial"/>
          <w:color w:val="000000" w:themeColor="text1"/>
          <w:sz w:val="20"/>
          <w:szCs w:val="20"/>
          <w:lang w:eastAsia="es-MX"/>
        </w:rPr>
        <w:t xml:space="preserve">Sin embargo, el hecho que no persigan una finalidad lucrativa no significa que no desarrollen actividades que generen utilidades, lo que pasa es que, a diferencia de las sociedades, el lucro o ganancia obtenida no se reparte entre sus </w:t>
      </w:r>
      <w:proofErr w:type="gramStart"/>
      <w:r w:rsidRPr="00AD3AA9">
        <w:rPr>
          <w:rFonts w:ascii="Verdana" w:eastAsia="Times New Roman" w:hAnsi="Verdana" w:cs="Arial"/>
          <w:color w:val="000000" w:themeColor="text1"/>
          <w:sz w:val="20"/>
          <w:szCs w:val="20"/>
          <w:lang w:eastAsia="es-MX"/>
        </w:rPr>
        <w:t>miembros</w:t>
      </w:r>
      <w:proofErr w:type="gramEnd"/>
      <w:r w:rsidRPr="00AD3AA9">
        <w:rPr>
          <w:rFonts w:ascii="Verdana" w:eastAsia="Times New Roman" w:hAnsi="Verdana" w:cs="Arial"/>
          <w:color w:val="000000" w:themeColor="text1"/>
          <w:sz w:val="20"/>
          <w:szCs w:val="20"/>
          <w:lang w:eastAsia="es-MX"/>
        </w:rPr>
        <w:t xml:space="preserve"> sino que se integra al patrimonio de la asociación para la obtención del fin deseado.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w:t>
      </w:r>
      <w:proofErr w:type="gramStart"/>
      <w:r w:rsidRPr="00AD3AA9">
        <w:rPr>
          <w:rFonts w:ascii="Verdana" w:eastAsia="Times New Roman" w:hAnsi="Verdana" w:cs="Arial"/>
          <w:color w:val="000000" w:themeColor="text1"/>
          <w:sz w:val="20"/>
          <w:szCs w:val="20"/>
          <w:lang w:eastAsia="es-MX"/>
        </w:rPr>
        <w:t>del mismo</w:t>
      </w:r>
      <w:proofErr w:type="gramEnd"/>
      <w:r w:rsidRPr="00AD3AA9">
        <w:rPr>
          <w:rFonts w:ascii="Verdana" w:eastAsia="Times New Roman" w:hAnsi="Verdana" w:cs="Arial"/>
          <w:color w:val="000000" w:themeColor="text1"/>
          <w:sz w:val="20"/>
          <w:szCs w:val="20"/>
          <w:lang w:eastAsia="es-MX"/>
        </w:rPr>
        <w:t xml:space="preserve"> en el momento de su disolución o liquidación</w:t>
      </w:r>
      <w:r w:rsidRPr="00190500">
        <w:rPr>
          <w:rFonts w:ascii="Verdana" w:eastAsia="Times New Roman" w:hAnsi="Verdana" w:cs="Arial"/>
          <w:color w:val="000000" w:themeColor="text1"/>
          <w:sz w:val="21"/>
          <w:szCs w:val="21"/>
          <w:lang w:eastAsia="es-MX"/>
        </w:rPr>
        <w:t>”.</w:t>
      </w:r>
    </w:p>
    <w:p w14:paraId="3CC53448" w14:textId="77777777" w:rsidR="00EA28C0" w:rsidRPr="00190500" w:rsidRDefault="00EA28C0" w:rsidP="00EA28C0">
      <w:pPr>
        <w:spacing w:after="0" w:line="276" w:lineRule="auto"/>
        <w:ind w:right="51" w:firstLine="709"/>
        <w:jc w:val="both"/>
        <w:rPr>
          <w:rFonts w:ascii="Verdana" w:eastAsia="Times New Roman" w:hAnsi="Verdana" w:cs="Arial"/>
          <w:color w:val="000000" w:themeColor="text1"/>
          <w:sz w:val="21"/>
          <w:szCs w:val="21"/>
          <w:lang w:eastAsia="es-MX"/>
        </w:rPr>
      </w:pPr>
    </w:p>
    <w:p w14:paraId="747379D5" w14:textId="77777777" w:rsidR="00EA28C0" w:rsidRDefault="00EA28C0" w:rsidP="00EA28C0">
      <w:pPr>
        <w:pStyle w:val="Prrafodelista"/>
        <w:numPr>
          <w:ilvl w:val="0"/>
          <w:numId w:val="18"/>
        </w:numPr>
        <w:spacing w:after="120" w:line="276" w:lineRule="auto"/>
        <w:ind w:left="851"/>
        <w:jc w:val="both"/>
        <w:rPr>
          <w:rFonts w:ascii="Verdana" w:eastAsia="Times New Roman" w:hAnsi="Verdana" w:cs="Arial"/>
          <w:color w:val="000000" w:themeColor="text1"/>
          <w:szCs w:val="24"/>
          <w:lang w:eastAsia="es-MX"/>
        </w:rPr>
      </w:pPr>
      <w:r w:rsidRPr="00190500">
        <w:rPr>
          <w:rFonts w:ascii="Verdana" w:eastAsia="Times New Roman" w:hAnsi="Verdana" w:cs="Arial"/>
          <w:color w:val="000000" w:themeColor="text1"/>
          <w:szCs w:val="24"/>
          <w:lang w:eastAsia="es-MX"/>
        </w:rPr>
        <w:t>Igualmente, el Consejo de Estado expresó que la naturaleza jurídica de las ESAL es diferente a las sociedades mercantiles, toda vez que su objeto no está destinado a perseguir un lucro que pueda ser repartido entre sus asociados, sino que las ganancias se reinvierten en la ESAL para el desarrollo de su objeto social</w:t>
      </w:r>
      <w:r w:rsidRPr="00190500">
        <w:rPr>
          <w:rFonts w:ascii="Verdana" w:eastAsia="Times New Roman" w:hAnsi="Verdana" w:cs="Arial"/>
          <w:color w:val="000000" w:themeColor="text1"/>
          <w:szCs w:val="24"/>
          <w:vertAlign w:val="superscript"/>
          <w:lang w:eastAsia="es-MX"/>
        </w:rPr>
        <w:footnoteReference w:id="8"/>
      </w:r>
      <w:r w:rsidRPr="00190500">
        <w:rPr>
          <w:rFonts w:ascii="Verdana" w:eastAsia="Times New Roman" w:hAnsi="Verdana" w:cs="Arial"/>
          <w:color w:val="000000" w:themeColor="text1"/>
          <w:szCs w:val="24"/>
          <w:lang w:eastAsia="es-MX"/>
        </w:rPr>
        <w:t xml:space="preserve">. </w:t>
      </w:r>
    </w:p>
    <w:p w14:paraId="0D15CBC1" w14:textId="77777777" w:rsidR="00EA28C0" w:rsidRDefault="00EA28C0" w:rsidP="00EA28C0">
      <w:pPr>
        <w:pStyle w:val="Prrafodelista"/>
        <w:spacing w:after="120" w:line="276" w:lineRule="auto"/>
        <w:ind w:left="851"/>
        <w:jc w:val="both"/>
        <w:rPr>
          <w:rFonts w:ascii="Verdana" w:eastAsia="Times New Roman" w:hAnsi="Verdana" w:cs="Arial"/>
          <w:color w:val="000000" w:themeColor="text1"/>
          <w:szCs w:val="24"/>
          <w:lang w:eastAsia="es-MX"/>
        </w:rPr>
      </w:pPr>
    </w:p>
    <w:p w14:paraId="7A86C520" w14:textId="1EA32A3C" w:rsidR="00EA28C0" w:rsidRDefault="00EA28C0" w:rsidP="00EA28C0">
      <w:pPr>
        <w:pStyle w:val="Prrafodelista"/>
        <w:spacing w:after="120" w:line="276" w:lineRule="auto"/>
        <w:ind w:left="851"/>
        <w:jc w:val="both"/>
        <w:rPr>
          <w:rFonts w:ascii="Verdana" w:eastAsia="Times New Roman" w:hAnsi="Verdana" w:cs="Arial"/>
          <w:color w:val="000000" w:themeColor="text1"/>
          <w:lang w:eastAsia="es-MX"/>
        </w:rPr>
      </w:pPr>
      <w:r w:rsidRPr="002170D6">
        <w:rPr>
          <w:rFonts w:ascii="Verdana" w:eastAsia="Times New Roman" w:hAnsi="Verdana" w:cs="Arial"/>
          <w:color w:val="000000" w:themeColor="text1"/>
          <w:lang w:eastAsia="es-MX"/>
        </w:rPr>
        <w:t xml:space="preserve">Las ESAL, pues, no tienen la naturaleza jurídica de empresa sino de asociaciones que buscan la realización de un fin común y objetivos carentes de un contenido esencialmente patrimonial −fin de lucro y reparto de las utilidades−. Debido a que las ESAL no persiguen el reparto de utilidades entre sus miembros, sino que su objeto está destinado a realizar una actividad de interés general sin esperar a cambio un reparto de ganancia en proporción a sus utilidades. </w:t>
      </w:r>
    </w:p>
    <w:p w14:paraId="22FBB3A4" w14:textId="77777777" w:rsidR="002377F1" w:rsidRPr="00190500" w:rsidRDefault="002377F1" w:rsidP="00EA28C0">
      <w:pPr>
        <w:pStyle w:val="Prrafodelista"/>
        <w:spacing w:after="120" w:line="276" w:lineRule="auto"/>
        <w:ind w:left="851"/>
        <w:jc w:val="both"/>
        <w:rPr>
          <w:rFonts w:ascii="Verdana" w:eastAsia="Times New Roman" w:hAnsi="Verdana" w:cs="Arial"/>
          <w:color w:val="000000" w:themeColor="text1"/>
          <w:szCs w:val="24"/>
          <w:lang w:eastAsia="es-MX"/>
        </w:rPr>
      </w:pPr>
    </w:p>
    <w:p w14:paraId="1F455809" w14:textId="09DCD36F" w:rsidR="00EA28C0" w:rsidRPr="00A75FA7" w:rsidRDefault="00EA28C0" w:rsidP="00EA28C0">
      <w:pPr>
        <w:pStyle w:val="Prrafodelista"/>
        <w:numPr>
          <w:ilvl w:val="0"/>
          <w:numId w:val="18"/>
        </w:numPr>
        <w:spacing w:after="120" w:line="276" w:lineRule="auto"/>
        <w:ind w:left="851"/>
        <w:jc w:val="both"/>
        <w:rPr>
          <w:rFonts w:ascii="Verdana" w:eastAsia="Times New Roman" w:hAnsi="Verdana" w:cs="Arial"/>
          <w:color w:val="000000" w:themeColor="text1"/>
          <w:lang w:eastAsia="es-MX"/>
        </w:rPr>
      </w:pPr>
      <w:r>
        <w:rPr>
          <w:rFonts w:ascii="Verdana" w:eastAsia="Times New Roman" w:hAnsi="Verdana" w:cs="Arial"/>
          <w:color w:val="000000" w:themeColor="text1"/>
          <w:lang w:eastAsia="es-MX"/>
        </w:rPr>
        <w:t>Ahora bien</w:t>
      </w:r>
      <w:r w:rsidRPr="00A75FA7">
        <w:rPr>
          <w:rFonts w:ascii="Verdana" w:eastAsia="Times New Roman" w:hAnsi="Verdana" w:cs="Arial"/>
          <w:color w:val="000000" w:themeColor="text1"/>
          <w:lang w:eastAsia="es-MX"/>
        </w:rPr>
        <w:t>,</w:t>
      </w:r>
      <w:r>
        <w:rPr>
          <w:rFonts w:ascii="Verdana" w:eastAsia="Times New Roman" w:hAnsi="Verdana" w:cs="Arial"/>
          <w:color w:val="000000" w:themeColor="text1"/>
          <w:lang w:eastAsia="es-MX"/>
        </w:rPr>
        <w:t xml:space="preserve"> respecto a la capacidad</w:t>
      </w:r>
      <w:r w:rsidRPr="00A75FA7">
        <w:rPr>
          <w:rFonts w:ascii="Verdana" w:eastAsia="Times New Roman" w:hAnsi="Verdana" w:cs="Arial"/>
          <w:color w:val="000000" w:themeColor="text1"/>
          <w:lang w:eastAsia="es-MX"/>
        </w:rPr>
        <w:t xml:space="preserve"> </w:t>
      </w:r>
      <w:r>
        <w:rPr>
          <w:rFonts w:ascii="Verdana" w:eastAsia="Times New Roman" w:hAnsi="Verdana" w:cs="Arial"/>
          <w:color w:val="000000" w:themeColor="text1"/>
          <w:lang w:eastAsia="es-MX"/>
        </w:rPr>
        <w:t xml:space="preserve">de participar en los procesos de contratación pública del EGCAP, </w:t>
      </w:r>
      <w:r w:rsidRPr="00A75FA7">
        <w:rPr>
          <w:rFonts w:ascii="Verdana" w:eastAsia="Times New Roman" w:hAnsi="Verdana" w:cs="Arial"/>
          <w:color w:val="000000" w:themeColor="text1"/>
          <w:lang w:eastAsia="es-MX"/>
        </w:rPr>
        <w:t xml:space="preserve">se debe aclarar que la capacidad jurídica </w:t>
      </w:r>
      <w:r w:rsidRPr="00A75FA7">
        <w:rPr>
          <w:rFonts w:ascii="Verdana" w:eastAsia="Times New Roman" w:hAnsi="Verdana" w:cs="Arial"/>
          <w:color w:val="000000" w:themeColor="text1"/>
          <w:lang w:eastAsia="es-MX"/>
        </w:rPr>
        <w:lastRenderedPageBreak/>
        <w:t>es la aptitud que recae en los sujetos activos o pasivos de las relaciones jurídicas</w:t>
      </w:r>
      <w:r w:rsidRPr="00A75FA7">
        <w:rPr>
          <w:rFonts w:ascii="Verdana" w:eastAsia="Times New Roman" w:hAnsi="Verdana" w:cs="Arial"/>
          <w:color w:val="000000" w:themeColor="text1"/>
          <w:vertAlign w:val="superscript"/>
          <w:lang w:eastAsia="es-MX"/>
        </w:rPr>
        <w:footnoteReference w:id="9"/>
      </w:r>
      <w:r w:rsidRPr="00A75FA7">
        <w:rPr>
          <w:rFonts w:ascii="Verdana" w:eastAsia="Times New Roman" w:hAnsi="Verdana" w:cs="Arial"/>
          <w:color w:val="000000" w:themeColor="text1"/>
          <w:lang w:eastAsia="es-MX"/>
        </w:rPr>
        <w:t xml:space="preserve">. Para efectos de las relaciones contractuales en las que uno de los extremos de la relación sea una Entidad Estatal, la capacidad contractual es la facultad que se ostenta para celebrar contratos con una Entidad Estatal. En otras palabras, es: i) la capacidad de obligarse a cumplir el objeto del contrato y </w:t>
      </w:r>
      <w:proofErr w:type="spellStart"/>
      <w:r w:rsidRPr="00A75FA7">
        <w:rPr>
          <w:rFonts w:ascii="Verdana" w:eastAsia="Times New Roman" w:hAnsi="Verdana" w:cs="Arial"/>
          <w:color w:val="000000" w:themeColor="text1"/>
          <w:lang w:eastAsia="es-MX"/>
        </w:rPr>
        <w:t>ii</w:t>
      </w:r>
      <w:proofErr w:type="spellEnd"/>
      <w:r w:rsidRPr="00A75FA7">
        <w:rPr>
          <w:rFonts w:ascii="Verdana" w:eastAsia="Times New Roman" w:hAnsi="Verdana" w:cs="Arial"/>
          <w:color w:val="000000" w:themeColor="text1"/>
          <w:lang w:eastAsia="es-MX"/>
        </w:rPr>
        <w:t>) de no estar incursa en inhabilidades o incompatibilidades que impiden la celebración del negocio.</w:t>
      </w:r>
    </w:p>
    <w:p w14:paraId="424F0B0A" w14:textId="77777777" w:rsidR="00EA28C0" w:rsidRPr="000A6A5A" w:rsidRDefault="00EA28C0" w:rsidP="00EA28C0">
      <w:pPr>
        <w:pStyle w:val="Prrafodelista"/>
        <w:rPr>
          <w:rFonts w:ascii="Verdana" w:eastAsia="Times New Roman" w:hAnsi="Verdana" w:cs="Arial"/>
          <w:color w:val="000000" w:themeColor="text1"/>
          <w:sz w:val="21"/>
          <w:szCs w:val="21"/>
          <w:lang w:eastAsia="es-MX"/>
        </w:rPr>
      </w:pPr>
    </w:p>
    <w:p w14:paraId="6D675A31" w14:textId="16DDC013" w:rsidR="00EA28C0" w:rsidRPr="00A75FA7" w:rsidRDefault="00EA28C0" w:rsidP="00EA28C0">
      <w:pPr>
        <w:pStyle w:val="Prrafodelista"/>
        <w:numPr>
          <w:ilvl w:val="0"/>
          <w:numId w:val="18"/>
        </w:numPr>
        <w:spacing w:after="120" w:line="276" w:lineRule="auto"/>
        <w:ind w:left="851"/>
        <w:jc w:val="both"/>
        <w:rPr>
          <w:rFonts w:ascii="Verdana" w:eastAsia="Times New Roman" w:hAnsi="Verdana" w:cs="Arial"/>
          <w:color w:val="000000" w:themeColor="text1"/>
          <w:lang w:eastAsia="es-MX"/>
        </w:rPr>
      </w:pPr>
      <w:r w:rsidRPr="00A75FA7">
        <w:rPr>
          <w:rFonts w:ascii="Verdana" w:eastAsia="Times New Roman" w:hAnsi="Verdana" w:cs="Arial"/>
          <w:color w:val="000000" w:themeColor="text1"/>
          <w:lang w:eastAsia="es-MX"/>
        </w:rPr>
        <w:t>Para efectos de la aplicación del EGCAP, la capacidad para contratar la tienen las personas consideradas legalmente capaces en las disposiciones vigentes</w:t>
      </w:r>
      <w:r w:rsidRPr="00A75FA7">
        <w:rPr>
          <w:rFonts w:ascii="Verdana" w:eastAsia="Times New Roman" w:hAnsi="Verdana" w:cs="Arial"/>
          <w:color w:val="000000" w:themeColor="text1"/>
          <w:vertAlign w:val="superscript"/>
          <w:lang w:eastAsia="es-MX"/>
        </w:rPr>
        <w:footnoteReference w:id="10"/>
      </w:r>
      <w:r w:rsidRPr="00A75FA7">
        <w:rPr>
          <w:rFonts w:ascii="Verdana" w:eastAsia="Times New Roman" w:hAnsi="Verdana" w:cs="Arial"/>
          <w:color w:val="000000" w:themeColor="text1"/>
          <w:lang w:eastAsia="es-MX"/>
        </w:rPr>
        <w:t>, así como otras formas asociativas. De modo que, cuando se señala que las personas jurídicas tienen capacidad jurídica para contratar se hace referencia a la posibilidad que tienen para adelantar actividades en el marco de su objeto social, a las facultades que le han sido otorgadas al representante legal y a la ausencia de inhabilidades, incompatibilidades o prohibiciones para contratar, derivadas de la ley.</w:t>
      </w:r>
    </w:p>
    <w:p w14:paraId="30FC08A8" w14:textId="77777777" w:rsidR="00EA28C0" w:rsidRPr="00182210" w:rsidRDefault="00EA28C0" w:rsidP="00EA28C0">
      <w:pPr>
        <w:pStyle w:val="Prrafodelista"/>
        <w:rPr>
          <w:rFonts w:ascii="Verdana" w:eastAsia="Times New Roman" w:hAnsi="Verdana" w:cs="Arial"/>
          <w:color w:val="000000" w:themeColor="text1"/>
          <w:sz w:val="21"/>
          <w:szCs w:val="21"/>
          <w:lang w:eastAsia="es-MX"/>
        </w:rPr>
      </w:pPr>
    </w:p>
    <w:p w14:paraId="4FE4DC70" w14:textId="77777777" w:rsidR="00EA28C0" w:rsidRPr="00A75FA7" w:rsidRDefault="00EA28C0" w:rsidP="00EA28C0">
      <w:pPr>
        <w:pStyle w:val="Prrafodelista"/>
        <w:numPr>
          <w:ilvl w:val="0"/>
          <w:numId w:val="18"/>
        </w:numPr>
        <w:spacing w:after="120" w:line="276" w:lineRule="auto"/>
        <w:ind w:left="851"/>
        <w:jc w:val="both"/>
        <w:rPr>
          <w:rFonts w:ascii="Verdana" w:hAnsi="Verdana" w:cs="Arial"/>
          <w:color w:val="000000" w:themeColor="text1"/>
          <w:sz w:val="24"/>
          <w:szCs w:val="24"/>
        </w:rPr>
      </w:pPr>
      <w:bookmarkStart w:id="2" w:name="_Hlk173275435"/>
      <w:r w:rsidRPr="00A75FA7">
        <w:rPr>
          <w:rFonts w:ascii="Verdana" w:eastAsia="Times New Roman" w:hAnsi="Verdana" w:cs="Arial"/>
          <w:color w:val="000000" w:themeColor="text1"/>
          <w:lang w:eastAsia="es-MX"/>
        </w:rPr>
        <w:t>Por tanto, es claro que las ESAL tienen capacidad para contratar bajo las reglas del EGCAP al ser personas jurídicas consideradas legalmente capaces, en los términos del artículo 6 de la Ley 80 de 1993. En armonía con ello, el Decreto 092 de 2017 reguló un régimen especial de contratación; sin embargo, nada obsta para que las ESAL participen, en términos de igualdad con los demás oferentes, en los diferentes procesos contractuales que regula el EGCAP, siempre que cumplan con los requisitos exigidos en cada proceso, donde competirán con los demás proponentes. En este orden de ideas, las ESAL no solo pueden contratar bajo las reglas establecidas en el Decreto 092 de 2017, sino que también pueden intervenir en procesos de selección regidos por las reglas del EGCAP, caso en el cual participan con las mismas reglas aplicables a los demás oferentes.</w:t>
      </w:r>
    </w:p>
    <w:bookmarkEnd w:id="2"/>
    <w:p w14:paraId="19E99280" w14:textId="77777777" w:rsidR="00EA28C0" w:rsidRPr="00E14A35" w:rsidRDefault="00EA28C0" w:rsidP="00EA28C0">
      <w:pPr>
        <w:pStyle w:val="Prrafodelista"/>
        <w:rPr>
          <w:rFonts w:ascii="Verdana" w:hAnsi="Verdana" w:cs="Arial"/>
          <w:color w:val="000000" w:themeColor="text1"/>
        </w:rPr>
      </w:pPr>
    </w:p>
    <w:p w14:paraId="30A5FBDD" w14:textId="77777777" w:rsidR="00EA28C0" w:rsidRPr="000574AF" w:rsidRDefault="00EA28C0" w:rsidP="00EA28C0">
      <w:pPr>
        <w:pStyle w:val="Prrafodelista"/>
        <w:numPr>
          <w:ilvl w:val="0"/>
          <w:numId w:val="18"/>
        </w:numPr>
        <w:spacing w:after="120" w:line="276" w:lineRule="auto"/>
        <w:ind w:left="851"/>
        <w:jc w:val="both"/>
        <w:rPr>
          <w:rFonts w:ascii="Verdana" w:hAnsi="Verdana" w:cs="Arial"/>
          <w:color w:val="000000" w:themeColor="text1"/>
        </w:rPr>
      </w:pPr>
      <w:r>
        <w:rPr>
          <w:rFonts w:ascii="Verdana" w:hAnsi="Verdana" w:cs="Arial"/>
          <w:color w:val="000000" w:themeColor="text1"/>
        </w:rPr>
        <w:t>Ahora bien, es pertinente señalar frente al</w:t>
      </w:r>
      <w:r w:rsidRPr="000574AF">
        <w:rPr>
          <w:rFonts w:ascii="Verdana" w:hAnsi="Verdana" w:cs="Arial"/>
          <w:color w:val="000000" w:themeColor="text1"/>
        </w:rPr>
        <w:t xml:space="preserve"> contrato de prestación de servicios</w:t>
      </w:r>
      <w:r>
        <w:rPr>
          <w:rFonts w:ascii="Verdana" w:hAnsi="Verdana" w:cs="Arial"/>
          <w:color w:val="000000" w:themeColor="text1"/>
        </w:rPr>
        <w:t xml:space="preserve">, que este </w:t>
      </w:r>
      <w:r w:rsidRPr="000574AF">
        <w:rPr>
          <w:rFonts w:ascii="Verdana" w:hAnsi="Verdana" w:cs="Arial"/>
          <w:color w:val="000000" w:themeColor="text1"/>
        </w:rPr>
        <w:t xml:space="preserve">es un contrato estatal nominado y típico que se </w:t>
      </w:r>
      <w:r w:rsidRPr="000574AF">
        <w:rPr>
          <w:rFonts w:ascii="Verdana" w:hAnsi="Verdana" w:cs="Arial"/>
          <w:color w:val="000000" w:themeColor="text1"/>
        </w:rPr>
        <w:lastRenderedPageBreak/>
        <w:t>encuentra definido en el numeral 3 del artículo 3</w:t>
      </w:r>
      <w:r>
        <w:rPr>
          <w:rFonts w:ascii="Verdana" w:hAnsi="Verdana" w:cs="Arial"/>
          <w:color w:val="000000" w:themeColor="text1"/>
        </w:rPr>
        <w:t>2</w:t>
      </w:r>
      <w:r w:rsidRPr="000574AF">
        <w:rPr>
          <w:rFonts w:ascii="Verdana" w:hAnsi="Verdana" w:cs="Arial"/>
          <w:color w:val="000000" w:themeColor="text1"/>
        </w:rPr>
        <w:t xml:space="preserve"> de la Ley 80 de 1993, como aquel que: </w:t>
      </w:r>
    </w:p>
    <w:p w14:paraId="6ABC0C13" w14:textId="77777777" w:rsidR="00EA28C0" w:rsidRDefault="00EA28C0" w:rsidP="00EA28C0">
      <w:pPr>
        <w:tabs>
          <w:tab w:val="left" w:pos="709"/>
        </w:tabs>
        <w:spacing w:line="276" w:lineRule="auto"/>
        <w:ind w:left="851" w:right="616"/>
        <w:jc w:val="both"/>
        <w:rPr>
          <w:rFonts w:ascii="Verdana" w:hAnsi="Verdana" w:cs="Arial"/>
          <w:color w:val="000000" w:themeColor="text1"/>
        </w:rPr>
      </w:pPr>
      <w:r w:rsidRPr="00235068">
        <w:rPr>
          <w:rFonts w:ascii="Verdana" w:hAnsi="Verdana" w:cs="Arial"/>
          <w:color w:val="000000" w:themeColor="text1"/>
          <w:sz w:val="20"/>
          <w:szCs w:val="20"/>
        </w:rPr>
        <w:t>“celebren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Pr>
          <w:rFonts w:ascii="Verdana" w:hAnsi="Verdana" w:cs="Arial"/>
          <w:color w:val="000000" w:themeColor="text1"/>
        </w:rPr>
        <w:t>”</w:t>
      </w:r>
      <w:r w:rsidRPr="0037493E">
        <w:rPr>
          <w:rFonts w:ascii="Verdana" w:hAnsi="Verdana" w:cs="Arial"/>
          <w:color w:val="000000" w:themeColor="text1"/>
        </w:rPr>
        <w:t>.</w:t>
      </w:r>
    </w:p>
    <w:p w14:paraId="7C1F0265" w14:textId="77777777" w:rsidR="00EA28C0" w:rsidRPr="00263E44" w:rsidRDefault="00EA28C0" w:rsidP="00EA28C0">
      <w:pPr>
        <w:pStyle w:val="Prrafodelista"/>
        <w:numPr>
          <w:ilvl w:val="0"/>
          <w:numId w:val="18"/>
        </w:numPr>
        <w:spacing w:after="120" w:line="276" w:lineRule="auto"/>
        <w:ind w:left="851"/>
        <w:jc w:val="both"/>
        <w:rPr>
          <w:rFonts w:ascii="Verdana" w:eastAsia="Calibri" w:hAnsi="Verdana" w:cs="Arial"/>
          <w:color w:val="000000" w:themeColor="text1"/>
        </w:rPr>
      </w:pPr>
      <w:r>
        <w:rPr>
          <w:rFonts w:ascii="Verdana" w:eastAsia="Calibri" w:hAnsi="Verdana" w:cs="Arial"/>
          <w:color w:val="000000" w:themeColor="text1"/>
        </w:rPr>
        <w:t>En ese sentido</w:t>
      </w:r>
      <w:r w:rsidRPr="00263E44">
        <w:rPr>
          <w:rFonts w:ascii="Verdana" w:eastAsia="Calibri" w:hAnsi="Verdana" w:cs="Arial"/>
          <w:color w:val="000000" w:themeColor="text1"/>
        </w:rPr>
        <w:t>, el legislador dispuso que para la celebración de este contrato se debe efectuar a través de la modalidad de contratación directa. Así lo dispone el artículo 2, numeral 4º, literal h, de la Ley 1150 de 2007:</w:t>
      </w:r>
    </w:p>
    <w:p w14:paraId="7B39261E" w14:textId="77777777" w:rsidR="00EA28C0" w:rsidRPr="00A433F1" w:rsidRDefault="00EA28C0" w:rsidP="00B00EC4">
      <w:pPr>
        <w:pStyle w:val="Prrafodelista"/>
        <w:spacing w:after="120" w:line="276" w:lineRule="auto"/>
        <w:ind w:left="851"/>
        <w:jc w:val="both"/>
        <w:rPr>
          <w:rFonts w:ascii="Verdana" w:eastAsia="Calibri" w:hAnsi="Verdana" w:cs="Arial"/>
          <w:color w:val="000000" w:themeColor="text1"/>
          <w:sz w:val="20"/>
          <w:szCs w:val="21"/>
        </w:rPr>
      </w:pPr>
      <w:r>
        <w:rPr>
          <w:rFonts w:ascii="Verdana" w:eastAsia="Calibri" w:hAnsi="Verdana" w:cs="Arial"/>
          <w:color w:val="000000" w:themeColor="text1"/>
          <w:sz w:val="21"/>
          <w:szCs w:val="21"/>
        </w:rPr>
        <w:t>“</w:t>
      </w:r>
      <w:r w:rsidRPr="00A433F1">
        <w:rPr>
          <w:rFonts w:ascii="Verdana" w:eastAsia="Calibri" w:hAnsi="Verdana" w:cs="Arial"/>
          <w:color w:val="000000" w:themeColor="text1"/>
          <w:sz w:val="20"/>
          <w:szCs w:val="21"/>
        </w:rPr>
        <w:t>La escogencia del contratista se efectuará con arreglo a las modalidades de selección de licitación pública, selección abreviada, concurso de méritos y contratación directa, con base en las siguientes reglas:</w:t>
      </w:r>
    </w:p>
    <w:p w14:paraId="7304B9A1" w14:textId="77777777" w:rsidR="00EA28C0" w:rsidRPr="00A433F1" w:rsidRDefault="00EA28C0" w:rsidP="00614A35">
      <w:pPr>
        <w:pStyle w:val="Prrafodelista"/>
        <w:spacing w:after="120" w:line="276" w:lineRule="auto"/>
        <w:ind w:left="851"/>
        <w:jc w:val="both"/>
        <w:rPr>
          <w:rFonts w:ascii="Verdana" w:eastAsia="Calibri" w:hAnsi="Verdana" w:cs="Arial"/>
          <w:color w:val="000000" w:themeColor="text1"/>
          <w:sz w:val="20"/>
          <w:szCs w:val="21"/>
        </w:rPr>
      </w:pPr>
      <w:r>
        <w:rPr>
          <w:rFonts w:ascii="Verdana" w:eastAsia="Calibri" w:hAnsi="Verdana" w:cs="Arial"/>
          <w:color w:val="000000" w:themeColor="text1"/>
          <w:sz w:val="20"/>
          <w:szCs w:val="21"/>
        </w:rPr>
        <w:t>(</w:t>
      </w:r>
      <w:r w:rsidRPr="00A433F1">
        <w:rPr>
          <w:rFonts w:ascii="Verdana" w:eastAsia="Calibri" w:hAnsi="Verdana" w:cs="Arial"/>
          <w:color w:val="000000" w:themeColor="text1"/>
          <w:sz w:val="20"/>
          <w:szCs w:val="21"/>
        </w:rPr>
        <w:t>…</w:t>
      </w:r>
      <w:r>
        <w:rPr>
          <w:rFonts w:ascii="Verdana" w:eastAsia="Calibri" w:hAnsi="Verdana" w:cs="Arial"/>
          <w:color w:val="000000" w:themeColor="text1"/>
          <w:sz w:val="20"/>
          <w:szCs w:val="21"/>
        </w:rPr>
        <w:t>)</w:t>
      </w:r>
    </w:p>
    <w:p w14:paraId="6401E017" w14:textId="77777777" w:rsidR="00EA28C0" w:rsidRPr="00A433F1" w:rsidRDefault="00EA28C0" w:rsidP="00614A35">
      <w:pPr>
        <w:pStyle w:val="Prrafodelista"/>
        <w:spacing w:after="120" w:line="276" w:lineRule="auto"/>
        <w:ind w:left="851"/>
        <w:jc w:val="both"/>
        <w:rPr>
          <w:rFonts w:ascii="Verdana" w:eastAsia="Calibri" w:hAnsi="Verdana" w:cs="Arial"/>
          <w:color w:val="000000" w:themeColor="text1"/>
          <w:sz w:val="20"/>
          <w:szCs w:val="21"/>
        </w:rPr>
      </w:pPr>
      <w:r w:rsidRPr="00A433F1">
        <w:rPr>
          <w:rFonts w:ascii="Verdana" w:eastAsia="Calibri" w:hAnsi="Verdana" w:cs="Arial"/>
          <w:color w:val="000000" w:themeColor="text1"/>
          <w:sz w:val="20"/>
          <w:szCs w:val="21"/>
        </w:rPr>
        <w:t>4. Contratación directa. La modalidad de selección de contratación directa solamente procederá en los siguientes casos:</w:t>
      </w:r>
    </w:p>
    <w:p w14:paraId="6F04AB2A" w14:textId="77777777" w:rsidR="00EA28C0" w:rsidRPr="00A433F1" w:rsidRDefault="00EA28C0" w:rsidP="00614A35">
      <w:pPr>
        <w:pStyle w:val="Prrafodelista"/>
        <w:spacing w:after="120" w:line="276" w:lineRule="auto"/>
        <w:ind w:left="851"/>
        <w:jc w:val="both"/>
        <w:rPr>
          <w:rFonts w:ascii="Verdana" w:eastAsia="Calibri" w:hAnsi="Verdana" w:cs="Arial"/>
          <w:color w:val="000000" w:themeColor="text1"/>
          <w:sz w:val="20"/>
          <w:szCs w:val="21"/>
        </w:rPr>
      </w:pPr>
      <w:r>
        <w:rPr>
          <w:rFonts w:ascii="Verdana" w:eastAsia="Calibri" w:hAnsi="Verdana" w:cs="Arial"/>
          <w:color w:val="000000" w:themeColor="text1"/>
          <w:sz w:val="20"/>
          <w:szCs w:val="21"/>
        </w:rPr>
        <w:t>(</w:t>
      </w:r>
      <w:r w:rsidRPr="00A433F1">
        <w:rPr>
          <w:rFonts w:ascii="Verdana" w:eastAsia="Calibri" w:hAnsi="Verdana" w:cs="Arial"/>
          <w:color w:val="000000" w:themeColor="text1"/>
          <w:sz w:val="20"/>
          <w:szCs w:val="21"/>
        </w:rPr>
        <w:t>…</w:t>
      </w:r>
      <w:r>
        <w:rPr>
          <w:rFonts w:ascii="Verdana" w:eastAsia="Calibri" w:hAnsi="Verdana" w:cs="Arial"/>
          <w:color w:val="000000" w:themeColor="text1"/>
          <w:sz w:val="20"/>
          <w:szCs w:val="21"/>
        </w:rPr>
        <w:t>)</w:t>
      </w:r>
    </w:p>
    <w:p w14:paraId="7BDC3446" w14:textId="77777777" w:rsidR="00614A35" w:rsidRDefault="00614A35" w:rsidP="00614A35">
      <w:pPr>
        <w:pStyle w:val="Prrafodelista"/>
        <w:spacing w:after="120" w:line="276" w:lineRule="auto"/>
        <w:ind w:left="851"/>
        <w:jc w:val="both"/>
        <w:rPr>
          <w:rFonts w:ascii="Verdana" w:eastAsia="Calibri" w:hAnsi="Verdana" w:cs="Arial"/>
          <w:color w:val="000000" w:themeColor="text1"/>
          <w:sz w:val="20"/>
          <w:szCs w:val="21"/>
        </w:rPr>
      </w:pPr>
    </w:p>
    <w:p w14:paraId="3B59F99D" w14:textId="21274DB1" w:rsidR="00EA28C0" w:rsidRPr="0037493E" w:rsidRDefault="00EA28C0" w:rsidP="00614A35">
      <w:pPr>
        <w:pStyle w:val="Prrafodelista"/>
        <w:spacing w:after="120" w:line="276" w:lineRule="auto"/>
        <w:ind w:left="851"/>
        <w:jc w:val="both"/>
        <w:rPr>
          <w:rFonts w:ascii="Verdana" w:eastAsia="Calibri" w:hAnsi="Verdana" w:cs="Arial"/>
          <w:color w:val="000000" w:themeColor="text1"/>
          <w:sz w:val="21"/>
          <w:szCs w:val="21"/>
        </w:rPr>
      </w:pPr>
      <w:r w:rsidRPr="00A433F1">
        <w:rPr>
          <w:rFonts w:ascii="Verdana" w:eastAsia="Calibri" w:hAnsi="Verdana" w:cs="Arial"/>
          <w:color w:val="000000" w:themeColor="text1"/>
          <w:sz w:val="20"/>
          <w:szCs w:val="21"/>
        </w:rPr>
        <w:t>h) Para la prestación de servicios profesionales y de apoyo a la gestión, o para la ejecución de trabajos artísticos que sólo puedan encomendarse a determinadas personas naturales</w:t>
      </w:r>
      <w:r>
        <w:rPr>
          <w:rFonts w:ascii="Verdana" w:eastAsia="Calibri" w:hAnsi="Verdana" w:cs="Arial"/>
          <w:color w:val="000000" w:themeColor="text1"/>
          <w:sz w:val="21"/>
          <w:szCs w:val="21"/>
        </w:rPr>
        <w:t>”</w:t>
      </w:r>
      <w:r w:rsidRPr="0037493E">
        <w:rPr>
          <w:rFonts w:ascii="Verdana" w:eastAsia="Calibri" w:hAnsi="Verdana" w:cs="Arial"/>
          <w:color w:val="000000" w:themeColor="text1"/>
          <w:sz w:val="21"/>
          <w:szCs w:val="21"/>
        </w:rPr>
        <w:t>.</w:t>
      </w:r>
    </w:p>
    <w:p w14:paraId="0A2E9C16" w14:textId="77777777" w:rsidR="00614A35" w:rsidRPr="00614A35" w:rsidRDefault="00614A35" w:rsidP="00614A35">
      <w:pPr>
        <w:pStyle w:val="Prrafodelista"/>
        <w:spacing w:after="120" w:line="276" w:lineRule="auto"/>
        <w:ind w:left="851"/>
        <w:jc w:val="both"/>
        <w:rPr>
          <w:rFonts w:ascii="Verdana" w:eastAsia="Calibri" w:hAnsi="Verdana" w:cs="Arial"/>
          <w:color w:val="000000" w:themeColor="text1"/>
          <w:sz w:val="20"/>
          <w:szCs w:val="21"/>
        </w:rPr>
      </w:pPr>
    </w:p>
    <w:p w14:paraId="05C9E22B" w14:textId="77777777" w:rsidR="00EA28C0" w:rsidRDefault="00EA28C0" w:rsidP="00EA28C0">
      <w:pPr>
        <w:pStyle w:val="Prrafodelista"/>
        <w:numPr>
          <w:ilvl w:val="0"/>
          <w:numId w:val="18"/>
        </w:numPr>
        <w:spacing w:after="120" w:line="276" w:lineRule="auto"/>
        <w:ind w:left="851"/>
        <w:jc w:val="both"/>
        <w:rPr>
          <w:rFonts w:ascii="Verdana" w:eastAsia="Calibri" w:hAnsi="Verdana" w:cs="Arial"/>
          <w:color w:val="000000" w:themeColor="text1"/>
        </w:rPr>
      </w:pPr>
      <w:r>
        <w:rPr>
          <w:rFonts w:ascii="Verdana" w:eastAsia="Calibri" w:hAnsi="Verdana" w:cs="Arial"/>
          <w:color w:val="000000" w:themeColor="text1"/>
        </w:rPr>
        <w:t xml:space="preserve">Como se puede apreciar, el legislador amplió la tipología consagrada en el citado numeral 3 del artículo 32, señalando la presencia de los contratos de apoyo a la gestión y la ejecución de trabajos artísticos. </w:t>
      </w:r>
    </w:p>
    <w:p w14:paraId="2CF62ED7" w14:textId="77777777" w:rsidR="00EA28C0" w:rsidRDefault="00EA28C0" w:rsidP="00EA28C0">
      <w:pPr>
        <w:pStyle w:val="Prrafodelista"/>
        <w:spacing w:after="120" w:line="276" w:lineRule="auto"/>
        <w:ind w:left="851"/>
        <w:jc w:val="both"/>
        <w:rPr>
          <w:rFonts w:ascii="Verdana" w:eastAsia="Calibri" w:hAnsi="Verdana" w:cs="Arial"/>
          <w:color w:val="000000" w:themeColor="text1"/>
        </w:rPr>
      </w:pPr>
    </w:p>
    <w:p w14:paraId="5BDEBE1E" w14:textId="77777777" w:rsidR="00EA28C0" w:rsidRDefault="00EA28C0" w:rsidP="00EA28C0">
      <w:pPr>
        <w:pStyle w:val="Prrafodelista"/>
        <w:numPr>
          <w:ilvl w:val="0"/>
          <w:numId w:val="18"/>
        </w:numPr>
        <w:spacing w:after="120" w:line="276" w:lineRule="auto"/>
        <w:ind w:left="851"/>
        <w:jc w:val="both"/>
        <w:rPr>
          <w:rFonts w:ascii="Verdana" w:eastAsia="Calibri" w:hAnsi="Verdana" w:cs="Arial"/>
          <w:color w:val="000000" w:themeColor="text1"/>
        </w:rPr>
      </w:pPr>
      <w:r>
        <w:rPr>
          <w:rFonts w:ascii="Verdana" w:eastAsia="Calibri" w:hAnsi="Verdana" w:cs="Arial"/>
          <w:color w:val="000000" w:themeColor="text1"/>
        </w:rPr>
        <w:t xml:space="preserve">A su vez el artículo </w:t>
      </w:r>
      <w:r w:rsidRPr="003E48C2">
        <w:rPr>
          <w:rFonts w:ascii="Verdana" w:eastAsia="Calibri" w:hAnsi="Verdana" w:cs="Arial"/>
          <w:color w:val="000000" w:themeColor="text1"/>
        </w:rPr>
        <w:t>2.2.1.2.1.4.9</w:t>
      </w:r>
      <w:r>
        <w:rPr>
          <w:rFonts w:ascii="Verdana" w:eastAsia="Calibri" w:hAnsi="Verdana" w:cs="Arial"/>
          <w:color w:val="000000" w:themeColor="text1"/>
        </w:rPr>
        <w:t xml:space="preserve"> del Decreto 1082 de 2015, al momento de reglamentar lo concerniente a los contratos de prestación de servicios indicó: </w:t>
      </w:r>
    </w:p>
    <w:p w14:paraId="0B30693B" w14:textId="77777777" w:rsidR="00B00EC4" w:rsidRPr="00B00EC4" w:rsidRDefault="00B00EC4" w:rsidP="00B00EC4">
      <w:pPr>
        <w:pStyle w:val="Prrafodelista"/>
        <w:rPr>
          <w:rFonts w:ascii="Verdana" w:hAnsi="Verdana" w:cs="Arial"/>
          <w:color w:val="000000" w:themeColor="text1"/>
          <w:sz w:val="20"/>
          <w:szCs w:val="20"/>
          <w:lang w:val="es-CO"/>
        </w:rPr>
      </w:pPr>
    </w:p>
    <w:p w14:paraId="06B8CA3C" w14:textId="72F92A75" w:rsidR="00EA28C0" w:rsidRPr="007E332F" w:rsidRDefault="00EA28C0" w:rsidP="00B00EC4">
      <w:pPr>
        <w:pStyle w:val="Prrafodelista"/>
        <w:spacing w:after="120" w:line="276" w:lineRule="auto"/>
        <w:ind w:left="851"/>
        <w:jc w:val="both"/>
        <w:rPr>
          <w:rFonts w:ascii="Verdana" w:hAnsi="Verdana" w:cs="Arial"/>
          <w:color w:val="000000" w:themeColor="text1"/>
          <w:sz w:val="20"/>
          <w:szCs w:val="20"/>
          <w:lang w:val="es-CO"/>
        </w:rPr>
      </w:pPr>
      <w:r>
        <w:rPr>
          <w:rFonts w:ascii="Verdana" w:hAnsi="Verdana" w:cs="Arial"/>
          <w:color w:val="000000" w:themeColor="text1"/>
          <w:sz w:val="20"/>
          <w:szCs w:val="20"/>
          <w:lang w:val="es-CO"/>
        </w:rPr>
        <w:t>“</w:t>
      </w:r>
      <w:r w:rsidRPr="007E332F">
        <w:rPr>
          <w:rFonts w:ascii="Verdana" w:hAnsi="Verdana" w:cs="Arial"/>
          <w:color w:val="000000" w:themeColor="text1"/>
          <w:sz w:val="20"/>
          <w:szCs w:val="20"/>
          <w:lang w:val="es-CO"/>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r>
        <w:rPr>
          <w:rFonts w:ascii="Verdana" w:hAnsi="Verdana" w:cs="Arial"/>
          <w:color w:val="000000" w:themeColor="text1"/>
          <w:sz w:val="20"/>
          <w:szCs w:val="20"/>
          <w:lang w:val="es-CO"/>
        </w:rPr>
        <w:t xml:space="preserve"> (…)</w:t>
      </w:r>
    </w:p>
    <w:p w14:paraId="616CAB3B" w14:textId="77777777" w:rsidR="00B00EC4" w:rsidRPr="00B00EC4" w:rsidRDefault="00B00EC4" w:rsidP="00B00EC4">
      <w:pPr>
        <w:pStyle w:val="Prrafodelista"/>
        <w:spacing w:after="120" w:line="276" w:lineRule="auto"/>
        <w:ind w:left="851"/>
        <w:jc w:val="both"/>
        <w:rPr>
          <w:rFonts w:ascii="Verdana" w:eastAsia="Calibri" w:hAnsi="Verdana" w:cs="Arial"/>
          <w:color w:val="000000" w:themeColor="text1"/>
        </w:rPr>
      </w:pPr>
    </w:p>
    <w:p w14:paraId="7A330316" w14:textId="77777777" w:rsidR="00EA28C0" w:rsidRDefault="00EA28C0" w:rsidP="00EA28C0">
      <w:pPr>
        <w:pStyle w:val="Prrafodelista"/>
        <w:numPr>
          <w:ilvl w:val="0"/>
          <w:numId w:val="18"/>
        </w:numPr>
        <w:spacing w:after="120" w:line="276" w:lineRule="auto"/>
        <w:ind w:left="851"/>
        <w:jc w:val="both"/>
        <w:rPr>
          <w:rFonts w:ascii="Verdana" w:hAnsi="Verdana" w:cs="Arial"/>
          <w:color w:val="000000" w:themeColor="text1"/>
        </w:rPr>
      </w:pPr>
      <w:r>
        <w:rPr>
          <w:rFonts w:ascii="Verdana" w:hAnsi="Verdana" w:cs="Arial"/>
          <w:color w:val="000000" w:themeColor="text1"/>
        </w:rPr>
        <w:t>De lo anterior se desprende la posibilidad de celebrar contratos de prestación de servicios de apoyo a la gestión con personas jurídicas, entre las cuales se encuentran las ESAL, siempre y cuando cumplan con la idoneidad o experiencia en las actividades requeridas por parte de la entidad estatal.</w:t>
      </w:r>
    </w:p>
    <w:p w14:paraId="120A520A" w14:textId="77777777" w:rsidR="00EA28C0" w:rsidRPr="00190500" w:rsidRDefault="00EA28C0" w:rsidP="00EA28C0">
      <w:pPr>
        <w:pStyle w:val="Prrafodelista"/>
        <w:spacing w:after="120" w:line="276" w:lineRule="auto"/>
        <w:ind w:left="851"/>
        <w:jc w:val="both"/>
        <w:rPr>
          <w:rFonts w:ascii="Verdana" w:hAnsi="Verdana" w:cs="Arial"/>
          <w:color w:val="000000" w:themeColor="text1"/>
        </w:rPr>
      </w:pPr>
    </w:p>
    <w:p w14:paraId="30FA049A" w14:textId="77777777" w:rsidR="00EA28C0" w:rsidRDefault="00EA28C0" w:rsidP="00EA28C0">
      <w:pPr>
        <w:pStyle w:val="Prrafodelista"/>
        <w:numPr>
          <w:ilvl w:val="0"/>
          <w:numId w:val="18"/>
        </w:numPr>
        <w:tabs>
          <w:tab w:val="left" w:pos="426"/>
        </w:tabs>
        <w:jc w:val="both"/>
        <w:rPr>
          <w:rFonts w:ascii="Verdana" w:eastAsia="Times New Roman" w:hAnsi="Verdana" w:cs="Arial MT"/>
        </w:rPr>
      </w:pPr>
      <w:r w:rsidRPr="003729D6">
        <w:rPr>
          <w:rFonts w:ascii="Verdana" w:eastAsia="Times New Roman" w:hAnsi="Verdana" w:cs="Arial MT"/>
        </w:rPr>
        <w:t xml:space="preserve">En los contratos de apoyo a la gestión el contratista desempeña un esfuerzo o actividad de apoyo, acompañamiento, o soporte, donde “lo predominante es el actuar como ejecutor, con el propósito y finalidad de satisfacer necesidades de las entidades estatales en lo relacionado con la gestión administrativa o funcionamiento de </w:t>
      </w:r>
      <w:proofErr w:type="gramStart"/>
      <w:r w:rsidRPr="003729D6">
        <w:rPr>
          <w:rFonts w:ascii="Verdana" w:eastAsia="Times New Roman" w:hAnsi="Verdana" w:cs="Arial MT"/>
        </w:rPr>
        <w:t>la misma</w:t>
      </w:r>
      <w:proofErr w:type="gramEnd"/>
      <w:r w:rsidRPr="003729D6">
        <w:rPr>
          <w:rFonts w:ascii="Verdana" w:eastAsia="Times New Roman" w:hAnsi="Verdana" w:cs="Arial MT"/>
        </w:rPr>
        <w:t>, por personas no profesionales y que no implican el ejercicio de funciones públicas administrativas</w:t>
      </w:r>
      <w:r>
        <w:rPr>
          <w:rFonts w:ascii="Verdana" w:eastAsia="Times New Roman" w:hAnsi="Verdana" w:cs="Arial MT"/>
        </w:rPr>
        <w:t>”.</w:t>
      </w:r>
      <w:r>
        <w:rPr>
          <w:rStyle w:val="Refdenotaalpie"/>
          <w:rFonts w:ascii="Verdana" w:eastAsia="Times New Roman" w:hAnsi="Verdana" w:cs="Arial MT"/>
        </w:rPr>
        <w:footnoteReference w:id="11"/>
      </w:r>
    </w:p>
    <w:p w14:paraId="028F5FEA" w14:textId="77777777" w:rsidR="00EA28C0" w:rsidRPr="00EA28C0" w:rsidRDefault="00EA28C0" w:rsidP="00EA28C0">
      <w:pPr>
        <w:pStyle w:val="Prrafodelista"/>
        <w:rPr>
          <w:rFonts w:ascii="Verdana" w:eastAsia="Times New Roman" w:hAnsi="Verdana" w:cs="Arial MT"/>
        </w:rPr>
      </w:pPr>
    </w:p>
    <w:p w14:paraId="515F50EC" w14:textId="77777777" w:rsidR="00EA28C0" w:rsidRDefault="00EA28C0" w:rsidP="00EA28C0">
      <w:pPr>
        <w:pStyle w:val="Prrafodelista"/>
        <w:numPr>
          <w:ilvl w:val="0"/>
          <w:numId w:val="18"/>
        </w:numPr>
        <w:tabs>
          <w:tab w:val="left" w:pos="426"/>
        </w:tabs>
        <w:jc w:val="both"/>
        <w:rPr>
          <w:rFonts w:ascii="Verdana" w:eastAsia="Times New Roman" w:hAnsi="Verdana" w:cs="Arial MT"/>
        </w:rPr>
      </w:pPr>
      <w:r>
        <w:rPr>
          <w:rFonts w:ascii="Verdana" w:eastAsia="Times New Roman" w:hAnsi="Verdana" w:cs="Arial MT"/>
        </w:rPr>
        <w:t xml:space="preserve">Ahora bien, independiente de la modalidad de contratación, la entidad pública debe surtir una etapa de planeación del proceso contractual, en el cual definirá </w:t>
      </w:r>
      <w:r w:rsidRPr="00C16B71">
        <w:rPr>
          <w:rFonts w:ascii="Verdana" w:eastAsia="Times New Roman" w:hAnsi="Verdana" w:cs="Arial MT"/>
        </w:rPr>
        <w:t>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w:t>
      </w:r>
      <w:r>
        <w:rPr>
          <w:rFonts w:ascii="Verdana" w:eastAsia="Times New Roman" w:hAnsi="Verdana" w:cs="Arial MT"/>
        </w:rPr>
        <w:t xml:space="preserve"> entre otros.</w:t>
      </w:r>
    </w:p>
    <w:p w14:paraId="50B0616D" w14:textId="77777777" w:rsidR="00EA28C0" w:rsidRPr="00EA28C0" w:rsidRDefault="00EA28C0" w:rsidP="00EA28C0">
      <w:pPr>
        <w:pStyle w:val="Prrafodelista"/>
        <w:rPr>
          <w:rFonts w:ascii="Verdana" w:eastAsia="Times New Roman" w:hAnsi="Verdana" w:cs="Arial MT"/>
        </w:rPr>
      </w:pPr>
    </w:p>
    <w:p w14:paraId="19966E76" w14:textId="77777777" w:rsidR="00EA28C0" w:rsidRDefault="00EA28C0" w:rsidP="00EA28C0">
      <w:pPr>
        <w:pStyle w:val="Prrafodelista"/>
        <w:numPr>
          <w:ilvl w:val="0"/>
          <w:numId w:val="18"/>
        </w:numPr>
        <w:tabs>
          <w:tab w:val="left" w:pos="426"/>
        </w:tabs>
        <w:jc w:val="both"/>
        <w:rPr>
          <w:rFonts w:ascii="Verdana" w:eastAsia="Times New Roman" w:hAnsi="Verdana" w:cs="Arial MT"/>
        </w:rPr>
      </w:pPr>
      <w:r w:rsidRPr="00C16B71">
        <w:rPr>
          <w:rFonts w:ascii="Verdana" w:eastAsia="Times New Roman" w:hAnsi="Verdana" w:cs="Arial MT"/>
        </w:rPr>
        <w:t>Por su parte, al ser el análisis de idoneidad y experiencia del contratista un aspecto que debe evaluarse en la fase de planeación contractual, este hace parte de la etapa precontractual de los procesos de contratación directa</w:t>
      </w:r>
      <w:r>
        <w:rPr>
          <w:rFonts w:ascii="Verdana" w:eastAsia="Times New Roman" w:hAnsi="Verdana" w:cs="Arial MT"/>
        </w:rPr>
        <w:t>.</w:t>
      </w:r>
    </w:p>
    <w:p w14:paraId="3B1872DE" w14:textId="77777777" w:rsidR="00EA28C0" w:rsidRPr="00EA28C0" w:rsidRDefault="00EA28C0" w:rsidP="00EA28C0">
      <w:pPr>
        <w:pStyle w:val="Prrafodelista"/>
        <w:rPr>
          <w:rFonts w:ascii="Verdana" w:eastAsia="Times New Roman" w:hAnsi="Verdana" w:cs="Arial MT"/>
        </w:rPr>
      </w:pPr>
    </w:p>
    <w:p w14:paraId="33FB8BDC" w14:textId="77777777" w:rsidR="00EA28C0" w:rsidRDefault="00EA28C0" w:rsidP="00EA28C0">
      <w:pPr>
        <w:pStyle w:val="Prrafodelista"/>
        <w:numPr>
          <w:ilvl w:val="0"/>
          <w:numId w:val="18"/>
        </w:numPr>
        <w:tabs>
          <w:tab w:val="left" w:pos="426"/>
        </w:tabs>
        <w:jc w:val="both"/>
        <w:rPr>
          <w:rFonts w:ascii="Verdana" w:eastAsia="Times New Roman" w:hAnsi="Verdana" w:cs="Arial MT"/>
        </w:rPr>
      </w:pPr>
      <w:r>
        <w:rPr>
          <w:rFonts w:ascii="Verdana" w:eastAsia="Times New Roman" w:hAnsi="Verdana" w:cs="Arial MT"/>
        </w:rPr>
        <w:t xml:space="preserve">En ese sentido, </w:t>
      </w:r>
      <w:r w:rsidRPr="00C16B71">
        <w:rPr>
          <w:rFonts w:ascii="Verdana" w:eastAsia="Times New Roman" w:hAnsi="Verdana" w:cs="Arial MT"/>
        </w:rPr>
        <w:t xml:space="preserve">las entidades estatales son autónomas para estructurar los estudios previos, pudiendo establecer, entre otras cosas, formatos para la verificación de condiciones de idoneidad y experiencia de los contratistas, sin que sea competencia de Colombia Compra Eficiente la validación de estos. En todo caso, lo relevante es que se observen los aspectos que deben contener esos estudios, de conformidad con los artículos 2.2.1.1.1.6.1, 2.2.1.1.2.1.1 y 2.2.1.2.1.4.9 del Decreto 1082 de 2015. </w:t>
      </w:r>
    </w:p>
    <w:p w14:paraId="54314F43" w14:textId="77777777" w:rsidR="00EA28C0" w:rsidRPr="00EA28C0" w:rsidRDefault="00EA28C0" w:rsidP="00EA28C0">
      <w:pPr>
        <w:pStyle w:val="Prrafodelista"/>
        <w:rPr>
          <w:rFonts w:ascii="Verdana" w:eastAsia="Times New Roman" w:hAnsi="Verdana" w:cs="Arial MT"/>
        </w:rPr>
      </w:pPr>
    </w:p>
    <w:p w14:paraId="02BA9D1A" w14:textId="7089BBFC" w:rsidR="00EA28C0" w:rsidRPr="00EA28C0" w:rsidRDefault="00EA28C0" w:rsidP="00EA28C0">
      <w:pPr>
        <w:pStyle w:val="Prrafodelista"/>
        <w:numPr>
          <w:ilvl w:val="0"/>
          <w:numId w:val="18"/>
        </w:numPr>
        <w:tabs>
          <w:tab w:val="left" w:pos="426"/>
        </w:tabs>
        <w:jc w:val="both"/>
        <w:rPr>
          <w:rFonts w:ascii="Verdana" w:eastAsia="Times New Roman" w:hAnsi="Verdana" w:cs="Arial MT"/>
        </w:rPr>
      </w:pPr>
      <w:r>
        <w:rPr>
          <w:rFonts w:ascii="Verdana" w:eastAsia="Times New Roman" w:hAnsi="Verdana" w:cs="Arial MT"/>
        </w:rPr>
        <w:t xml:space="preserve">Ahor bien, tal y como se ha dicho previamente la Entidad Estatal en la etapa de planeación deberá </w:t>
      </w:r>
      <w:r>
        <w:rPr>
          <w:rFonts w:ascii="Verdana" w:hAnsi="Verdana" w:cs="Arial"/>
          <w:color w:val="000000" w:themeColor="text1"/>
        </w:rPr>
        <w:t xml:space="preserve">validar que las obligaciones estipuladas en este </w:t>
      </w:r>
      <w:r>
        <w:rPr>
          <w:rFonts w:ascii="Verdana" w:hAnsi="Verdana" w:cs="Arial"/>
          <w:color w:val="000000" w:themeColor="text1"/>
        </w:rPr>
        <w:lastRenderedPageBreak/>
        <w:t xml:space="preserve">tipo de contrato sean </w:t>
      </w:r>
      <w:r w:rsidR="007B5089">
        <w:rPr>
          <w:rFonts w:ascii="Verdana" w:hAnsi="Verdana" w:cs="Arial"/>
          <w:color w:val="000000" w:themeColor="text1"/>
        </w:rPr>
        <w:t>conducentes</w:t>
      </w:r>
      <w:r>
        <w:rPr>
          <w:rFonts w:ascii="Verdana" w:hAnsi="Verdana" w:cs="Arial"/>
          <w:color w:val="000000" w:themeColor="text1"/>
        </w:rPr>
        <w:t xml:space="preserve"> con la naturaleza </w:t>
      </w:r>
      <w:proofErr w:type="gramStart"/>
      <w:r>
        <w:rPr>
          <w:rFonts w:ascii="Verdana" w:hAnsi="Verdana" w:cs="Arial"/>
          <w:color w:val="000000" w:themeColor="text1"/>
        </w:rPr>
        <w:t>del mismo</w:t>
      </w:r>
      <w:proofErr w:type="gramEnd"/>
      <w:r>
        <w:rPr>
          <w:rFonts w:ascii="Verdana" w:hAnsi="Verdana" w:cs="Arial"/>
          <w:color w:val="000000" w:themeColor="text1"/>
        </w:rPr>
        <w:t>, puesto que sería inapropiado establecer obligaciones que no puedan ser cumplidas por una persona jurídica.</w:t>
      </w:r>
    </w:p>
    <w:p w14:paraId="4C29A72A" w14:textId="77777777" w:rsidR="00EA28C0" w:rsidRPr="00EA28C0" w:rsidRDefault="00EA28C0" w:rsidP="00EA28C0">
      <w:pPr>
        <w:pStyle w:val="Prrafodelista"/>
        <w:rPr>
          <w:rFonts w:ascii="Verdana" w:eastAsia="Times New Roman" w:hAnsi="Verdana" w:cs="Arial MT"/>
        </w:rPr>
      </w:pPr>
    </w:p>
    <w:p w14:paraId="74FEE35A" w14:textId="77777777" w:rsidR="00EA28C0" w:rsidRPr="00EA28C0" w:rsidRDefault="00EA28C0" w:rsidP="00EA28C0">
      <w:pPr>
        <w:pStyle w:val="Prrafodelista"/>
        <w:tabs>
          <w:tab w:val="left" w:pos="426"/>
        </w:tabs>
        <w:jc w:val="both"/>
        <w:rPr>
          <w:rFonts w:ascii="Verdana" w:eastAsia="Times New Roman" w:hAnsi="Verdana" w:cs="Arial MT"/>
        </w:rPr>
      </w:pPr>
    </w:p>
    <w:p w14:paraId="5A29518E" w14:textId="77777777" w:rsidR="00EA28C0" w:rsidRDefault="00EA28C0" w:rsidP="00EA28C0">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190500">
        <w:rPr>
          <w:rFonts w:ascii="Verdana" w:eastAsia="Century Gothic" w:hAnsi="Verdana" w:cs="Century Gothic"/>
          <w:b/>
          <w:bCs/>
        </w:rPr>
        <w:t>Referencias normativas, jurisprudenciales y otras fuentes:</w:t>
      </w:r>
    </w:p>
    <w:p w14:paraId="3955E578" w14:textId="77777777" w:rsidR="007B5089" w:rsidRPr="007B5089" w:rsidRDefault="007B5089" w:rsidP="007B5089">
      <w:pPr>
        <w:tabs>
          <w:tab w:val="left" w:pos="142"/>
          <w:tab w:val="left" w:pos="284"/>
        </w:tabs>
        <w:spacing w:after="0" w:line="276" w:lineRule="auto"/>
        <w:jc w:val="both"/>
        <w:rPr>
          <w:rFonts w:ascii="Verdana" w:eastAsia="Century Gothic" w:hAnsi="Verdana" w:cs="Century Gothic"/>
          <w:b/>
          <w:bCs/>
        </w:rPr>
      </w:pPr>
    </w:p>
    <w:p w14:paraId="7E2A9923" w14:textId="77777777" w:rsidR="00EA28C0" w:rsidRPr="00190500" w:rsidRDefault="00EA28C0" w:rsidP="007B5089">
      <w:pPr>
        <w:spacing w:after="0" w:line="276" w:lineRule="auto"/>
        <w:ind w:right="49"/>
        <w:jc w:val="both"/>
        <w:textAlignment w:val="baseline"/>
        <w:rPr>
          <w:rFonts w:ascii="Verdana" w:eastAsia="Times New Roman" w:hAnsi="Verdana" w:cs="Arial"/>
          <w:bCs/>
          <w:lang w:val="es-ES_tradnl" w:eastAsia="es-CO"/>
        </w:rPr>
      </w:pPr>
    </w:p>
    <w:p w14:paraId="4341CAC7" w14:textId="77777777" w:rsidR="00EA28C0" w:rsidRDefault="00EA28C0" w:rsidP="007B5089">
      <w:pPr>
        <w:pStyle w:val="Prrafodelista"/>
        <w:numPr>
          <w:ilvl w:val="0"/>
          <w:numId w:val="17"/>
        </w:numPr>
        <w:spacing w:after="0" w:line="276" w:lineRule="auto"/>
        <w:ind w:right="49"/>
        <w:jc w:val="both"/>
        <w:rPr>
          <w:rFonts w:ascii="Verdana" w:hAnsi="Verdana" w:cs="Arial"/>
          <w:color w:val="000000" w:themeColor="text1"/>
          <w:lang w:val="es-ES_tradnl"/>
        </w:rPr>
      </w:pPr>
      <w:r>
        <w:rPr>
          <w:rFonts w:ascii="Verdana" w:hAnsi="Verdana" w:cs="Arial"/>
          <w:color w:val="000000" w:themeColor="text1"/>
          <w:lang w:val="es-ES_tradnl"/>
        </w:rPr>
        <w:t>Constitución Política de Colombia, Artículo 38. Disponible en:</w:t>
      </w:r>
    </w:p>
    <w:p w14:paraId="4E0CFFE5" w14:textId="77777777" w:rsidR="00EA28C0" w:rsidRDefault="00EA28C0" w:rsidP="007B5089">
      <w:pPr>
        <w:pStyle w:val="Prrafodelista"/>
        <w:spacing w:after="0" w:line="276" w:lineRule="auto"/>
        <w:ind w:right="49"/>
        <w:jc w:val="both"/>
        <w:rPr>
          <w:rFonts w:ascii="Verdana" w:hAnsi="Verdana" w:cs="Arial"/>
          <w:color w:val="000000" w:themeColor="text1"/>
          <w:lang w:val="es-ES_tradnl"/>
        </w:rPr>
      </w:pPr>
      <w:hyperlink r:id="rId12" w:history="1">
        <w:r w:rsidRPr="001119C1">
          <w:rPr>
            <w:rStyle w:val="Hipervnculo"/>
            <w:rFonts w:ascii="Verdana" w:hAnsi="Verdana" w:cs="Arial"/>
            <w:lang w:val="es-ES_tradnl"/>
          </w:rPr>
          <w:t>https://relatoria.colombiacompra.gov.co/normativa/constitucion-politica-de-colombia/</w:t>
        </w:r>
      </w:hyperlink>
    </w:p>
    <w:p w14:paraId="63C1D898" w14:textId="77777777" w:rsidR="00EA28C0" w:rsidRDefault="00EA28C0" w:rsidP="007B5089">
      <w:pPr>
        <w:pStyle w:val="Prrafodelista"/>
        <w:spacing w:after="0" w:line="276" w:lineRule="auto"/>
        <w:ind w:right="49"/>
        <w:jc w:val="both"/>
        <w:rPr>
          <w:rFonts w:ascii="Verdana" w:hAnsi="Verdana" w:cs="Arial"/>
          <w:color w:val="000000" w:themeColor="text1"/>
          <w:lang w:val="es-ES_tradnl"/>
        </w:rPr>
      </w:pPr>
    </w:p>
    <w:p w14:paraId="1E9F2858" w14:textId="77777777" w:rsidR="00EA28C0" w:rsidRDefault="00EA28C0" w:rsidP="007B5089">
      <w:pPr>
        <w:pStyle w:val="Prrafodelista"/>
        <w:numPr>
          <w:ilvl w:val="0"/>
          <w:numId w:val="17"/>
        </w:numPr>
        <w:spacing w:after="0" w:line="276" w:lineRule="auto"/>
        <w:ind w:right="49"/>
        <w:jc w:val="both"/>
        <w:rPr>
          <w:rFonts w:ascii="Verdana" w:hAnsi="Verdana" w:cs="Arial"/>
          <w:color w:val="000000" w:themeColor="text1"/>
          <w:lang w:val="es-ES_tradnl"/>
        </w:rPr>
      </w:pPr>
      <w:r>
        <w:rPr>
          <w:rFonts w:ascii="Verdana" w:hAnsi="Verdana" w:cs="Arial"/>
          <w:color w:val="000000" w:themeColor="text1"/>
          <w:lang w:val="es-ES_tradnl"/>
        </w:rPr>
        <w:t xml:space="preserve">Código de Comercio, Artículo 98, Artículo 100. Disponible en: </w:t>
      </w:r>
      <w:hyperlink r:id="rId13" w:history="1">
        <w:r w:rsidRPr="001119C1">
          <w:rPr>
            <w:rStyle w:val="Hipervnculo"/>
            <w:rFonts w:ascii="Verdana" w:hAnsi="Verdana" w:cs="Arial"/>
            <w:lang w:val="es-ES_tradnl"/>
          </w:rPr>
          <w:t>https://relatoria.colombiacompra.gov.co/normativa/codigo-de-comercio-decreto-410-de-1971/</w:t>
        </w:r>
      </w:hyperlink>
    </w:p>
    <w:p w14:paraId="5ADB8BBD" w14:textId="77777777" w:rsidR="00EA28C0" w:rsidRDefault="00EA28C0" w:rsidP="007B5089">
      <w:pPr>
        <w:pStyle w:val="Prrafodelista"/>
        <w:spacing w:after="0" w:line="276" w:lineRule="auto"/>
        <w:ind w:right="49"/>
        <w:jc w:val="both"/>
        <w:rPr>
          <w:rFonts w:ascii="Verdana" w:hAnsi="Verdana" w:cs="Arial"/>
          <w:color w:val="000000" w:themeColor="text1"/>
          <w:lang w:val="es-ES_tradnl"/>
        </w:rPr>
      </w:pPr>
    </w:p>
    <w:p w14:paraId="338CAE59" w14:textId="77777777" w:rsidR="00EA28C0" w:rsidRPr="00F24379" w:rsidRDefault="00EA28C0" w:rsidP="007B5089">
      <w:pPr>
        <w:pStyle w:val="Prrafodelista"/>
        <w:numPr>
          <w:ilvl w:val="0"/>
          <w:numId w:val="17"/>
        </w:numPr>
        <w:spacing w:after="0" w:line="276" w:lineRule="auto"/>
        <w:ind w:right="49"/>
        <w:jc w:val="both"/>
        <w:rPr>
          <w:rFonts w:ascii="Verdana" w:hAnsi="Verdana" w:cs="Arial"/>
          <w:color w:val="000000" w:themeColor="text1"/>
          <w:lang w:val="es-ES_tradnl"/>
        </w:rPr>
      </w:pPr>
      <w:r w:rsidRPr="00F24379">
        <w:rPr>
          <w:rFonts w:ascii="Verdana" w:eastAsia="Calibri" w:hAnsi="Verdana" w:cs="Arial"/>
          <w:bCs/>
          <w:lang w:val="es-MX"/>
        </w:rPr>
        <w:t xml:space="preserve">Ley 1450 de 2011, Artículo 43. Disponible en: </w:t>
      </w:r>
      <w:hyperlink r:id="rId14" w:history="1">
        <w:r w:rsidRPr="00F24379">
          <w:rPr>
            <w:rStyle w:val="Hipervnculo"/>
            <w:rFonts w:ascii="Verdana" w:eastAsia="Calibri" w:hAnsi="Verdana" w:cs="Arial"/>
            <w:bCs/>
            <w:lang w:val="es-MX"/>
          </w:rPr>
          <w:t>https://relatoria.colombiacompra.gov.co/normativa/ley-1450-de-2011/</w:t>
        </w:r>
      </w:hyperlink>
    </w:p>
    <w:p w14:paraId="37095A42" w14:textId="77777777" w:rsidR="00EA28C0" w:rsidRPr="00260F35" w:rsidRDefault="00EA28C0" w:rsidP="007B5089">
      <w:pPr>
        <w:pStyle w:val="Prrafodelista"/>
        <w:ind w:right="49"/>
        <w:jc w:val="both"/>
        <w:rPr>
          <w:rFonts w:ascii="Verdana" w:hAnsi="Verdana" w:cs="Arial"/>
          <w:color w:val="000000" w:themeColor="text1"/>
          <w:lang w:val="es-ES_tradnl"/>
        </w:rPr>
      </w:pPr>
    </w:p>
    <w:p w14:paraId="7CD86C37" w14:textId="77777777" w:rsidR="00EA28C0" w:rsidRDefault="00EA28C0" w:rsidP="007B5089">
      <w:pPr>
        <w:pStyle w:val="Prrafodelista"/>
        <w:numPr>
          <w:ilvl w:val="0"/>
          <w:numId w:val="17"/>
        </w:numPr>
        <w:spacing w:after="0" w:line="276" w:lineRule="auto"/>
        <w:ind w:right="49"/>
        <w:jc w:val="both"/>
        <w:rPr>
          <w:rFonts w:ascii="Verdana" w:hAnsi="Verdana" w:cs="Arial"/>
          <w:color w:val="000000" w:themeColor="text1"/>
          <w:lang w:val="es-ES_tradnl"/>
        </w:rPr>
      </w:pPr>
      <w:r>
        <w:rPr>
          <w:rFonts w:ascii="Verdana" w:hAnsi="Verdana" w:cs="Arial"/>
          <w:color w:val="000000" w:themeColor="text1"/>
          <w:lang w:val="es-ES_tradnl"/>
        </w:rPr>
        <w:t xml:space="preserve">Ley 80 de 1993, Artículo 6. Artículo 32 numeral 3. Artículo 41. Disponible en: </w:t>
      </w:r>
      <w:hyperlink r:id="rId15" w:history="1">
        <w:r w:rsidRPr="0026747D">
          <w:rPr>
            <w:rStyle w:val="Hipervnculo"/>
            <w:rFonts w:ascii="Verdana" w:hAnsi="Verdana" w:cs="Arial"/>
            <w:lang w:val="es-ES_tradnl"/>
          </w:rPr>
          <w:t>https://relatoria.colombiacompra.gov.co/normativa/ley-80-de-1993/</w:t>
        </w:r>
      </w:hyperlink>
    </w:p>
    <w:p w14:paraId="15BC7CCF" w14:textId="77777777" w:rsidR="00EA28C0" w:rsidRPr="00A335D1" w:rsidRDefault="00EA28C0" w:rsidP="007B5089">
      <w:pPr>
        <w:spacing w:after="0" w:line="276" w:lineRule="auto"/>
        <w:ind w:left="360" w:right="49"/>
        <w:jc w:val="both"/>
        <w:rPr>
          <w:rFonts w:ascii="Verdana" w:hAnsi="Verdana" w:cs="Arial"/>
          <w:color w:val="000000" w:themeColor="text1"/>
          <w:lang w:val="es-ES_tradnl"/>
        </w:rPr>
      </w:pPr>
    </w:p>
    <w:p w14:paraId="7B0CCA5E" w14:textId="77777777" w:rsidR="00EA28C0" w:rsidRPr="00AB4808" w:rsidRDefault="00EA28C0" w:rsidP="007B5089">
      <w:pPr>
        <w:pStyle w:val="Prrafodelista"/>
        <w:numPr>
          <w:ilvl w:val="0"/>
          <w:numId w:val="17"/>
        </w:numPr>
        <w:spacing w:after="0" w:line="276" w:lineRule="auto"/>
        <w:ind w:right="49"/>
        <w:jc w:val="both"/>
        <w:rPr>
          <w:rStyle w:val="Hipervnculo"/>
          <w:rFonts w:ascii="Verdana" w:hAnsi="Verdana" w:cs="Arial"/>
          <w:color w:val="000000" w:themeColor="text1"/>
          <w:u w:val="none"/>
          <w:lang w:val="es-ES_tradnl"/>
        </w:rPr>
      </w:pPr>
      <w:r w:rsidRPr="003504B3">
        <w:rPr>
          <w:rFonts w:ascii="Verdana" w:hAnsi="Verdana" w:cs="Arial"/>
          <w:color w:val="000000" w:themeColor="text1"/>
          <w:lang w:val="es-ES_tradnl"/>
        </w:rPr>
        <w:t xml:space="preserve">Ley 1150 de 2007, </w:t>
      </w:r>
      <w:r>
        <w:rPr>
          <w:rFonts w:ascii="Verdana" w:hAnsi="Verdana" w:cs="Arial"/>
          <w:color w:val="000000" w:themeColor="text1"/>
          <w:lang w:val="es-ES_tradnl"/>
        </w:rPr>
        <w:t>A</w:t>
      </w:r>
      <w:r w:rsidRPr="003504B3">
        <w:rPr>
          <w:rFonts w:ascii="Verdana" w:hAnsi="Verdana" w:cs="Arial"/>
          <w:color w:val="000000" w:themeColor="text1"/>
          <w:lang w:val="es-ES_tradnl"/>
        </w:rPr>
        <w:t xml:space="preserve">rtículo </w:t>
      </w:r>
      <w:r w:rsidRPr="00263E44">
        <w:rPr>
          <w:rFonts w:ascii="Verdana" w:eastAsia="Calibri" w:hAnsi="Verdana" w:cs="Arial"/>
          <w:color w:val="000000" w:themeColor="text1"/>
        </w:rPr>
        <w:t>2</w:t>
      </w:r>
      <w:r>
        <w:rPr>
          <w:rFonts w:ascii="Verdana" w:eastAsia="Calibri" w:hAnsi="Verdana" w:cs="Arial"/>
          <w:color w:val="000000" w:themeColor="text1"/>
        </w:rPr>
        <w:t xml:space="preserve"> </w:t>
      </w:r>
      <w:r w:rsidRPr="00263E44">
        <w:rPr>
          <w:rFonts w:ascii="Verdana" w:eastAsia="Calibri" w:hAnsi="Verdana" w:cs="Arial"/>
          <w:color w:val="000000" w:themeColor="text1"/>
        </w:rPr>
        <w:t>numeral 4º</w:t>
      </w:r>
      <w:r>
        <w:rPr>
          <w:rFonts w:ascii="Verdana" w:eastAsia="Calibri" w:hAnsi="Verdana" w:cs="Arial"/>
          <w:color w:val="000000" w:themeColor="text1"/>
        </w:rPr>
        <w:t xml:space="preserve"> </w:t>
      </w:r>
      <w:r w:rsidRPr="00263E44">
        <w:rPr>
          <w:rFonts w:ascii="Verdana" w:eastAsia="Calibri" w:hAnsi="Verdana" w:cs="Arial"/>
          <w:color w:val="000000" w:themeColor="text1"/>
        </w:rPr>
        <w:t>literal h</w:t>
      </w:r>
      <w:r w:rsidRPr="003504B3">
        <w:rPr>
          <w:rFonts w:ascii="Verdana" w:hAnsi="Verdana" w:cs="Arial"/>
          <w:color w:val="000000" w:themeColor="text1"/>
          <w:lang w:val="es-ES_tradnl"/>
        </w:rPr>
        <w:t>.</w:t>
      </w:r>
      <w:r>
        <w:rPr>
          <w:rFonts w:ascii="Verdana" w:hAnsi="Verdana" w:cs="Arial"/>
          <w:color w:val="000000" w:themeColor="text1"/>
          <w:lang w:val="es-ES_tradnl"/>
        </w:rPr>
        <w:t xml:space="preserve"> Artículo 23</w:t>
      </w:r>
      <w:r w:rsidRPr="003504B3">
        <w:rPr>
          <w:rFonts w:ascii="Verdana" w:hAnsi="Verdana" w:cs="Arial"/>
          <w:color w:val="000000" w:themeColor="text1"/>
          <w:lang w:val="es-ES_tradnl"/>
        </w:rPr>
        <w:t xml:space="preserve"> Disponible en: </w:t>
      </w:r>
      <w:hyperlink r:id="rId16" w:history="1">
        <w:r w:rsidRPr="003504B3">
          <w:rPr>
            <w:rStyle w:val="Hipervnculo"/>
            <w:rFonts w:ascii="Verdana" w:hAnsi="Verdana" w:cs="Arial"/>
            <w:lang w:val="es-ES_tradnl"/>
          </w:rPr>
          <w:t>https://relatoria.colombiacompra.gov.co/normativa/ley-1150-de-2007/</w:t>
        </w:r>
      </w:hyperlink>
    </w:p>
    <w:p w14:paraId="34BC68B1" w14:textId="77777777" w:rsidR="00EA28C0" w:rsidRPr="00AB4808" w:rsidRDefault="00EA28C0" w:rsidP="007B5089">
      <w:pPr>
        <w:pStyle w:val="Prrafodelista"/>
        <w:ind w:right="49"/>
        <w:jc w:val="both"/>
        <w:rPr>
          <w:rStyle w:val="Hipervnculo"/>
          <w:rFonts w:ascii="Verdana" w:hAnsi="Verdana" w:cs="Arial"/>
          <w:color w:val="000000" w:themeColor="text1"/>
          <w:u w:val="none"/>
          <w:lang w:val="es-ES_tradnl"/>
        </w:rPr>
      </w:pPr>
    </w:p>
    <w:p w14:paraId="3B09218C" w14:textId="77777777" w:rsidR="00EA28C0" w:rsidRPr="00BC61BB" w:rsidRDefault="00EA28C0" w:rsidP="007B5089">
      <w:pPr>
        <w:pStyle w:val="Prrafodelista"/>
        <w:numPr>
          <w:ilvl w:val="0"/>
          <w:numId w:val="17"/>
        </w:numPr>
        <w:spacing w:after="0" w:line="276" w:lineRule="auto"/>
        <w:ind w:right="49"/>
        <w:jc w:val="both"/>
        <w:rPr>
          <w:rFonts w:ascii="Verdana" w:hAnsi="Verdana" w:cs="Arial"/>
          <w:color w:val="000000" w:themeColor="text1"/>
          <w:lang w:val="es-ES_tradnl"/>
        </w:rPr>
      </w:pPr>
      <w:r>
        <w:rPr>
          <w:rFonts w:ascii="Verdana" w:eastAsia="Calibri" w:hAnsi="Verdana" w:cs="Arial"/>
          <w:color w:val="000000" w:themeColor="text1"/>
        </w:rPr>
        <w:t xml:space="preserve">Decreto 1082 de 2015, Artículo </w:t>
      </w:r>
      <w:r w:rsidRPr="003E48C2">
        <w:rPr>
          <w:rFonts w:ascii="Verdana" w:eastAsia="Calibri" w:hAnsi="Verdana" w:cs="Arial"/>
          <w:color w:val="000000" w:themeColor="text1"/>
        </w:rPr>
        <w:t>2.2.1.2.1.4.9</w:t>
      </w:r>
      <w:r>
        <w:rPr>
          <w:rFonts w:ascii="Verdana" w:eastAsia="Calibri" w:hAnsi="Verdana" w:cs="Arial"/>
          <w:color w:val="000000" w:themeColor="text1"/>
        </w:rPr>
        <w:t xml:space="preserve">. Disponible en: </w:t>
      </w:r>
      <w:hyperlink r:id="rId17" w:history="1">
        <w:r w:rsidRPr="001119C1">
          <w:rPr>
            <w:rStyle w:val="Hipervnculo"/>
            <w:rFonts w:ascii="Verdana" w:eastAsia="Calibri" w:hAnsi="Verdana" w:cs="Arial"/>
          </w:rPr>
          <w:t>https://relatoria.colombiacompra.gov.co/normativa/decreto-1082-de-2015/</w:t>
        </w:r>
      </w:hyperlink>
    </w:p>
    <w:p w14:paraId="6858CA21" w14:textId="77777777" w:rsidR="00EA28C0" w:rsidRPr="00BC61BB" w:rsidRDefault="00EA28C0" w:rsidP="007B5089">
      <w:pPr>
        <w:pStyle w:val="Prrafodelista"/>
        <w:ind w:right="49"/>
        <w:jc w:val="both"/>
        <w:rPr>
          <w:rStyle w:val="Hipervnculo"/>
          <w:rFonts w:ascii="Verdana" w:hAnsi="Verdana" w:cs="Arial"/>
          <w:color w:val="000000" w:themeColor="text1"/>
          <w:u w:val="none"/>
          <w:lang w:val="es-ES_tradnl"/>
        </w:rPr>
      </w:pPr>
    </w:p>
    <w:p w14:paraId="314F3EC3" w14:textId="77777777" w:rsidR="00EA28C0" w:rsidRPr="008A22A1" w:rsidRDefault="00EA28C0" w:rsidP="007B5089">
      <w:pPr>
        <w:pStyle w:val="Prrafodelista"/>
        <w:numPr>
          <w:ilvl w:val="0"/>
          <w:numId w:val="17"/>
        </w:numPr>
        <w:spacing w:after="0" w:line="276" w:lineRule="auto"/>
        <w:ind w:right="49"/>
        <w:jc w:val="both"/>
        <w:rPr>
          <w:rStyle w:val="Hipervnculo"/>
          <w:rFonts w:ascii="Verdana" w:hAnsi="Verdana" w:cs="Arial"/>
          <w:color w:val="000000" w:themeColor="text1"/>
          <w:u w:val="none"/>
          <w:lang w:val="es-ES_tradnl"/>
        </w:rPr>
      </w:pPr>
      <w:r>
        <w:rPr>
          <w:rFonts w:ascii="Verdana" w:hAnsi="Verdana" w:cs="Arial"/>
          <w:color w:val="000000" w:themeColor="text1"/>
          <w:lang w:val="es-ES_tradnl"/>
        </w:rPr>
        <w:t xml:space="preserve">Ley 789 de 2002, Artículo 50. Disponible en: </w:t>
      </w:r>
      <w:hyperlink r:id="rId18" w:history="1">
        <w:r w:rsidRPr="0026747D">
          <w:rPr>
            <w:rStyle w:val="Hipervnculo"/>
            <w:rFonts w:ascii="Verdana" w:hAnsi="Verdana" w:cs="Arial"/>
            <w:lang w:val="es-ES_tradnl"/>
          </w:rPr>
          <w:t>https://relatoria.colombiacompra.gov.co/normativa/ley-789-de-2002/</w:t>
        </w:r>
      </w:hyperlink>
    </w:p>
    <w:p w14:paraId="48279276" w14:textId="77777777" w:rsidR="00EA28C0" w:rsidRPr="008A22A1" w:rsidRDefault="00EA28C0" w:rsidP="007B5089">
      <w:pPr>
        <w:pStyle w:val="Prrafodelista"/>
        <w:ind w:right="49"/>
        <w:jc w:val="both"/>
        <w:rPr>
          <w:rFonts w:ascii="Verdana" w:hAnsi="Verdana" w:cs="Arial"/>
          <w:color w:val="000000" w:themeColor="text1"/>
          <w:lang w:val="es-ES_tradnl"/>
        </w:rPr>
      </w:pPr>
    </w:p>
    <w:p w14:paraId="312A879E" w14:textId="77777777" w:rsidR="00EA28C0" w:rsidRDefault="00EA28C0" w:rsidP="007B5089">
      <w:pPr>
        <w:pStyle w:val="Prrafodelista"/>
        <w:numPr>
          <w:ilvl w:val="0"/>
          <w:numId w:val="17"/>
        </w:numPr>
        <w:spacing w:after="0" w:line="276" w:lineRule="auto"/>
        <w:ind w:right="49"/>
        <w:jc w:val="both"/>
        <w:rPr>
          <w:rFonts w:ascii="Verdana" w:hAnsi="Verdana" w:cs="Arial"/>
          <w:color w:val="000000" w:themeColor="text1"/>
          <w:lang w:val="es-ES_tradnl"/>
        </w:rPr>
      </w:pPr>
      <w:r>
        <w:rPr>
          <w:rFonts w:ascii="Verdana" w:hAnsi="Verdana" w:cs="Arial"/>
          <w:color w:val="000000" w:themeColor="text1"/>
          <w:lang w:val="es-ES_tradnl"/>
        </w:rPr>
        <w:t xml:space="preserve">Corte Constitucional de Colombia, Sentencia C-287 de 2012, </w:t>
      </w:r>
      <w:r w:rsidRPr="00B469EA">
        <w:rPr>
          <w:rFonts w:ascii="Verdana" w:hAnsi="Verdana" w:cs="Arial"/>
          <w:color w:val="000000" w:themeColor="text1"/>
          <w:lang w:val="es-ES_tradnl"/>
        </w:rPr>
        <w:t>M.P. María Victoria Calle</w:t>
      </w:r>
      <w:r>
        <w:rPr>
          <w:rFonts w:ascii="Verdana" w:hAnsi="Verdana" w:cs="Arial"/>
          <w:color w:val="000000" w:themeColor="text1"/>
          <w:lang w:val="es-ES_tradnl"/>
        </w:rPr>
        <w:t xml:space="preserve">, Disponible en: </w:t>
      </w:r>
      <w:hyperlink r:id="rId19" w:history="1">
        <w:r w:rsidRPr="001119C1">
          <w:rPr>
            <w:rStyle w:val="Hipervnculo"/>
            <w:rFonts w:ascii="Verdana" w:hAnsi="Verdana" w:cs="Arial"/>
            <w:lang w:val="es-ES_tradnl"/>
          </w:rPr>
          <w:t>https://www.corteconstitucional.gov.co/RELATORIA/2012/C-287-12.htm</w:t>
        </w:r>
      </w:hyperlink>
    </w:p>
    <w:p w14:paraId="47A18E91" w14:textId="77777777" w:rsidR="00EA28C0" w:rsidRPr="008A22A1" w:rsidRDefault="00EA28C0" w:rsidP="007B5089">
      <w:pPr>
        <w:pStyle w:val="Prrafodelista"/>
        <w:ind w:right="49"/>
        <w:jc w:val="both"/>
        <w:rPr>
          <w:rFonts w:ascii="Verdana" w:hAnsi="Verdana" w:cs="Arial"/>
          <w:color w:val="000000" w:themeColor="text1"/>
          <w:lang w:val="es-ES_tradnl"/>
        </w:rPr>
      </w:pPr>
    </w:p>
    <w:p w14:paraId="1BE7262C" w14:textId="77777777" w:rsidR="00EA28C0" w:rsidRDefault="00EA28C0" w:rsidP="007B5089">
      <w:pPr>
        <w:pStyle w:val="Prrafodelista"/>
        <w:numPr>
          <w:ilvl w:val="0"/>
          <w:numId w:val="17"/>
        </w:numPr>
        <w:spacing w:after="0" w:line="276" w:lineRule="auto"/>
        <w:ind w:right="49"/>
        <w:jc w:val="both"/>
        <w:rPr>
          <w:rFonts w:ascii="Verdana" w:hAnsi="Verdana" w:cs="Arial"/>
          <w:color w:val="000000" w:themeColor="text1"/>
        </w:rPr>
      </w:pPr>
      <w:r w:rsidRPr="6BE06B3F">
        <w:rPr>
          <w:rFonts w:ascii="Verdana" w:hAnsi="Verdana" w:cs="Arial"/>
          <w:color w:val="000000" w:themeColor="text1"/>
        </w:rPr>
        <w:t xml:space="preserve">Consejo de Estado, Sección Cuarta. Providencia del 26 de octubre de 2009. </w:t>
      </w:r>
      <w:proofErr w:type="spellStart"/>
      <w:r w:rsidRPr="6BE06B3F">
        <w:rPr>
          <w:rFonts w:ascii="Verdana" w:hAnsi="Verdana" w:cs="Arial"/>
          <w:color w:val="000000" w:themeColor="text1"/>
        </w:rPr>
        <w:t>Exp</w:t>
      </w:r>
      <w:proofErr w:type="spellEnd"/>
      <w:r w:rsidRPr="6BE06B3F">
        <w:rPr>
          <w:rFonts w:ascii="Verdana" w:hAnsi="Verdana" w:cs="Arial"/>
          <w:color w:val="000000" w:themeColor="text1"/>
        </w:rPr>
        <w:t xml:space="preserve">. No. 25000-23-27-000-2007-00160-01(17200). M.P. Martha Teresa </w:t>
      </w:r>
      <w:r w:rsidRPr="6BE06B3F">
        <w:rPr>
          <w:rFonts w:ascii="Verdana" w:hAnsi="Verdana" w:cs="Arial"/>
          <w:color w:val="000000" w:themeColor="text1"/>
        </w:rPr>
        <w:lastRenderedPageBreak/>
        <w:t xml:space="preserve">Briceño de Valencia. </w:t>
      </w:r>
      <w:hyperlink r:id="rId20">
        <w:r w:rsidRPr="6BE06B3F">
          <w:rPr>
            <w:rStyle w:val="Hipervnculo"/>
            <w:rFonts w:ascii="Verdana" w:hAnsi="Verdana" w:cs="Arial"/>
          </w:rPr>
          <w:t>http://servicios.consejodeestado.gov.co/WebRelatoria/FileReferenceServlet?corp=ce&amp;ext=html&amp;file=2001314</w:t>
        </w:r>
      </w:hyperlink>
    </w:p>
    <w:p w14:paraId="0DB02321" w14:textId="77777777" w:rsidR="00EA28C0" w:rsidRPr="00190500" w:rsidRDefault="00EA28C0" w:rsidP="00EA28C0">
      <w:pPr>
        <w:pStyle w:val="Prrafodelista"/>
        <w:rPr>
          <w:rFonts w:ascii="Verdana" w:hAnsi="Verdana" w:cs="Arial"/>
          <w:color w:val="000000" w:themeColor="text1"/>
          <w:lang w:val="es-ES_tradnl"/>
        </w:rPr>
      </w:pPr>
    </w:p>
    <w:p w14:paraId="394064DB" w14:textId="77777777" w:rsidR="00EA28C0" w:rsidRPr="00190500" w:rsidRDefault="00EA28C0" w:rsidP="00EA28C0">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190500">
        <w:rPr>
          <w:rFonts w:ascii="Verdana" w:eastAsia="Century Gothic" w:hAnsi="Verdana" w:cs="Century Gothic"/>
          <w:b/>
          <w:bCs/>
        </w:rPr>
        <w:t>Doctrina de la Agencia Nacional de Contratación Pública:</w:t>
      </w:r>
    </w:p>
    <w:p w14:paraId="766A046A" w14:textId="77777777" w:rsidR="00EA28C0" w:rsidRPr="00190500" w:rsidRDefault="00EA28C0" w:rsidP="00EA28C0">
      <w:pPr>
        <w:widowControl w:val="0"/>
        <w:autoSpaceDE w:val="0"/>
        <w:autoSpaceDN w:val="0"/>
        <w:spacing w:after="0" w:line="276" w:lineRule="auto"/>
        <w:jc w:val="both"/>
        <w:rPr>
          <w:rFonts w:ascii="Verdana" w:eastAsia="Calibri" w:hAnsi="Verdana" w:cs="Arial"/>
          <w:lang w:val="es-ES" w:eastAsia="es-ES"/>
        </w:rPr>
      </w:pPr>
    </w:p>
    <w:p w14:paraId="782418B5" w14:textId="3CAC6E3D" w:rsidR="00EA28C0" w:rsidRPr="007B5089" w:rsidRDefault="00EA28C0" w:rsidP="00EA28C0">
      <w:pPr>
        <w:spacing w:after="120" w:line="276" w:lineRule="auto"/>
        <w:jc w:val="both"/>
        <w:rPr>
          <w:rStyle w:val="normaltextrun"/>
          <w:rFonts w:ascii="Verdana" w:hAnsi="Verdana"/>
        </w:rPr>
      </w:pPr>
      <w:r w:rsidRPr="00190500">
        <w:rPr>
          <w:rFonts w:ascii="Verdana" w:hAnsi="Verdana"/>
        </w:rPr>
        <w:t xml:space="preserve">La Agencia Nacional de Contratación Pública – Colombia Compra Eficiente </w:t>
      </w:r>
      <w:r>
        <w:rPr>
          <w:rFonts w:ascii="Verdana" w:hAnsi="Verdana"/>
        </w:rPr>
        <w:t xml:space="preserve">se </w:t>
      </w:r>
      <w:r w:rsidRPr="00190500">
        <w:rPr>
          <w:rFonts w:ascii="Verdana" w:hAnsi="Verdana"/>
        </w:rPr>
        <w:t>ha</w:t>
      </w:r>
      <w:r>
        <w:rPr>
          <w:rFonts w:ascii="Verdana" w:hAnsi="Verdana"/>
        </w:rPr>
        <w:t xml:space="preserve"> pronunciado en relación con la contratación con las ESAL, en diferentes conceptos entre los cuales se encuentran, el concepto </w:t>
      </w:r>
      <w:r w:rsidRPr="007A5909">
        <w:rPr>
          <w:rFonts w:ascii="Verdana" w:hAnsi="Verdana"/>
        </w:rPr>
        <w:t>C-280 del 15 de junio de 2021, C-391 de 11 de agosto de 2021, C-560 del 1 de septiembre de 2021, -021 del 22 de febrero de 2022</w:t>
      </w:r>
      <w:r>
        <w:rPr>
          <w:rFonts w:ascii="Verdana" w:hAnsi="Verdana"/>
        </w:rPr>
        <w:t>,</w:t>
      </w:r>
      <w:r w:rsidRPr="007A5909">
        <w:rPr>
          <w:rFonts w:ascii="Verdana" w:hAnsi="Verdana"/>
        </w:rPr>
        <w:t xml:space="preserve"> C-041 del 12 de abril de 2023</w:t>
      </w:r>
      <w:r>
        <w:rPr>
          <w:rFonts w:ascii="Verdana" w:hAnsi="Verdana"/>
        </w:rPr>
        <w:t xml:space="preserve"> C-183 del 08 de junio de 2023 y C-141 del 29 de julio de 2024. </w:t>
      </w:r>
      <w:r w:rsidRPr="00190500">
        <w:rPr>
          <w:rStyle w:val="normaltextrun"/>
          <w:rFonts w:ascii="Verdana" w:hAnsi="Verdana" w:cs="Arial"/>
          <w:shd w:val="clear" w:color="auto" w:fill="FFFFFF"/>
        </w:rPr>
        <w:t>Es</w:t>
      </w:r>
      <w:r w:rsidRPr="00190500">
        <w:rPr>
          <w:rFonts w:ascii="Verdana" w:hAnsi="Verdana"/>
        </w:rPr>
        <w:t>tos y otros conceptos se encuentran disponibles para consulta en el Sistema de relatoría de la Agencia, al cual se puede acceder a través del siguiente enlace:</w:t>
      </w:r>
      <w:hyperlink r:id="rId21" w:history="1">
        <w:r w:rsidRPr="00190500">
          <w:rPr>
            <w:rStyle w:val="Hipervnculo"/>
            <w:rFonts w:ascii="Verdana" w:hAnsi="Verdana" w:cs="Arial"/>
            <w:shd w:val="clear" w:color="auto" w:fill="FFFFFF"/>
            <w:lang w:val="es-ES"/>
          </w:rPr>
          <w:t>https://relatoria.colombiacompra.gov.co/busqueda/conceptos</w:t>
        </w:r>
      </w:hyperlink>
      <w:r w:rsidRPr="00190500">
        <w:rPr>
          <w:rStyle w:val="normaltextrun"/>
          <w:rFonts w:ascii="Verdana" w:hAnsi="Verdana" w:cs="Arial"/>
          <w:color w:val="FF0000"/>
          <w:shd w:val="clear" w:color="auto" w:fill="FFFFFF"/>
        </w:rPr>
        <w:t xml:space="preserve">. </w:t>
      </w:r>
    </w:p>
    <w:p w14:paraId="1BD4C60D" w14:textId="77777777" w:rsidR="00EA28C0" w:rsidRPr="00190500" w:rsidRDefault="00EA28C0" w:rsidP="00EA28C0">
      <w:pPr>
        <w:widowControl w:val="0"/>
        <w:autoSpaceDE w:val="0"/>
        <w:autoSpaceDN w:val="0"/>
        <w:spacing w:after="0" w:line="276" w:lineRule="auto"/>
        <w:jc w:val="both"/>
        <w:rPr>
          <w:rStyle w:val="normaltextrun"/>
          <w:rFonts w:ascii="Verdana" w:hAnsi="Verdana" w:cs="Arial"/>
          <w:color w:val="FF0000"/>
          <w:shd w:val="clear" w:color="auto" w:fill="FFFFFF"/>
        </w:rPr>
      </w:pPr>
    </w:p>
    <w:p w14:paraId="560D582E" w14:textId="77777777" w:rsidR="00EA28C0" w:rsidRPr="00190500" w:rsidRDefault="00EA28C0" w:rsidP="00EA28C0">
      <w:pPr>
        <w:spacing w:after="0" w:line="240" w:lineRule="auto"/>
        <w:jc w:val="both"/>
        <w:rPr>
          <w:rFonts w:ascii="Verdana" w:hAnsi="Verdana"/>
        </w:rPr>
      </w:pPr>
      <w:r w:rsidRPr="00190500">
        <w:rPr>
          <w:rFonts w:ascii="Verdana" w:hAnsi="Verdana"/>
        </w:rPr>
        <w:t xml:space="preserve">Por último, lo invitamos a seguirnos en las redes sociales en las cuales se difunde información institucional: </w:t>
      </w:r>
    </w:p>
    <w:p w14:paraId="58FCCA41" w14:textId="77777777" w:rsidR="00EA28C0" w:rsidRPr="00190500" w:rsidRDefault="00EA28C0" w:rsidP="00EA28C0">
      <w:pPr>
        <w:spacing w:after="0" w:line="240" w:lineRule="auto"/>
        <w:jc w:val="both"/>
        <w:rPr>
          <w:rFonts w:ascii="Verdana" w:hAnsi="Verdana"/>
        </w:rPr>
      </w:pPr>
    </w:p>
    <w:p w14:paraId="74E80EE1" w14:textId="77777777" w:rsidR="00EA28C0" w:rsidRPr="00190500" w:rsidRDefault="00EA28C0" w:rsidP="00EA28C0">
      <w:pPr>
        <w:spacing w:after="0" w:line="240" w:lineRule="auto"/>
        <w:jc w:val="both"/>
        <w:rPr>
          <w:rFonts w:ascii="Verdana" w:hAnsi="Verdana"/>
        </w:rPr>
      </w:pPr>
      <w:r w:rsidRPr="00190500">
        <w:rPr>
          <w:rFonts w:ascii="Verdana" w:hAnsi="Verdana"/>
        </w:rPr>
        <w:t xml:space="preserve">Twitter: </w:t>
      </w:r>
      <w:r w:rsidRPr="00190500">
        <w:rPr>
          <w:rFonts w:ascii="Verdana" w:hAnsi="Verdana"/>
          <w:color w:val="4472C4" w:themeColor="accent1"/>
          <w:u w:val="single"/>
        </w:rPr>
        <w:t>@colombiacompra</w:t>
      </w:r>
      <w:r w:rsidRPr="00190500">
        <w:rPr>
          <w:rFonts w:ascii="Verdana" w:hAnsi="Verdana"/>
          <w:color w:val="4472C4" w:themeColor="accent1"/>
        </w:rPr>
        <w:t xml:space="preserve"> </w:t>
      </w:r>
    </w:p>
    <w:p w14:paraId="058FC3D4" w14:textId="77777777" w:rsidR="00EA28C0" w:rsidRPr="00190500" w:rsidRDefault="00EA28C0" w:rsidP="00EA28C0">
      <w:pPr>
        <w:spacing w:after="0" w:line="240" w:lineRule="auto"/>
        <w:jc w:val="both"/>
        <w:rPr>
          <w:rFonts w:ascii="Verdana" w:hAnsi="Verdana"/>
        </w:rPr>
      </w:pPr>
      <w:r w:rsidRPr="00190500">
        <w:rPr>
          <w:rFonts w:ascii="Verdana" w:hAnsi="Verdana"/>
        </w:rPr>
        <w:t xml:space="preserve">Facebook: </w:t>
      </w:r>
      <w:proofErr w:type="spellStart"/>
      <w:r w:rsidRPr="00190500">
        <w:rPr>
          <w:rFonts w:ascii="Verdana" w:hAnsi="Verdana"/>
          <w:color w:val="4472C4" w:themeColor="accent1"/>
          <w:u w:val="single"/>
        </w:rPr>
        <w:t>ColombiaCompraEficiente</w:t>
      </w:r>
      <w:proofErr w:type="spellEnd"/>
    </w:p>
    <w:p w14:paraId="775859AE" w14:textId="77777777" w:rsidR="00EA28C0" w:rsidRPr="00190500" w:rsidRDefault="00EA28C0" w:rsidP="00EA28C0">
      <w:pPr>
        <w:spacing w:after="0" w:line="240" w:lineRule="auto"/>
        <w:jc w:val="both"/>
        <w:rPr>
          <w:rFonts w:ascii="Verdana" w:hAnsi="Verdana"/>
        </w:rPr>
      </w:pPr>
      <w:r w:rsidRPr="00190500">
        <w:rPr>
          <w:rFonts w:ascii="Verdana" w:hAnsi="Verdana"/>
        </w:rPr>
        <w:t xml:space="preserve">LinkedIn: </w:t>
      </w:r>
      <w:r w:rsidRPr="00190500">
        <w:rPr>
          <w:rFonts w:ascii="Verdana" w:hAnsi="Verdana"/>
          <w:color w:val="4472C4" w:themeColor="accent1"/>
          <w:u w:val="single"/>
        </w:rPr>
        <w:t>Agencia Nacional de Contratación Pública - Colombia Compra Eficiente</w:t>
      </w:r>
      <w:r w:rsidRPr="00190500">
        <w:rPr>
          <w:rFonts w:ascii="Verdana" w:hAnsi="Verdana"/>
          <w:color w:val="4472C4" w:themeColor="accent1"/>
        </w:rPr>
        <w:t xml:space="preserve"> </w:t>
      </w:r>
      <w:r w:rsidRPr="00190500">
        <w:rPr>
          <w:rFonts w:ascii="Verdana" w:hAnsi="Verdana"/>
        </w:rPr>
        <w:t xml:space="preserve">Instagram: </w:t>
      </w:r>
      <w:r w:rsidRPr="00190500">
        <w:rPr>
          <w:rFonts w:ascii="Verdana" w:hAnsi="Verdana"/>
          <w:color w:val="4472C4" w:themeColor="accent1"/>
          <w:u w:val="single"/>
        </w:rPr>
        <w:t>@colombiacompraeficiente_cce</w:t>
      </w:r>
    </w:p>
    <w:p w14:paraId="137554DC" w14:textId="77777777" w:rsidR="00EA28C0" w:rsidRPr="00190500" w:rsidRDefault="00EA28C0" w:rsidP="00EA28C0">
      <w:pPr>
        <w:widowControl w:val="0"/>
        <w:autoSpaceDE w:val="0"/>
        <w:autoSpaceDN w:val="0"/>
        <w:spacing w:after="0" w:line="276" w:lineRule="auto"/>
        <w:jc w:val="both"/>
        <w:rPr>
          <w:rFonts w:ascii="Verdana" w:hAnsi="Verdana" w:cs="Arial"/>
        </w:rPr>
      </w:pPr>
    </w:p>
    <w:p w14:paraId="17453E16" w14:textId="77777777" w:rsidR="00EA28C0" w:rsidRPr="00190500" w:rsidRDefault="00EA28C0" w:rsidP="00EA28C0">
      <w:pPr>
        <w:spacing w:before="120" w:after="0" w:line="276" w:lineRule="auto"/>
        <w:jc w:val="both"/>
        <w:textAlignment w:val="baseline"/>
        <w:rPr>
          <w:rFonts w:ascii="Verdana" w:eastAsia="Times New Roman" w:hAnsi="Verdana"/>
          <w:bCs/>
          <w:lang w:val="es-ES_tradnl" w:eastAsia="es-CO"/>
        </w:rPr>
      </w:pPr>
      <w:r w:rsidRPr="00190500">
        <w:rPr>
          <w:rFonts w:ascii="Verdana" w:hAnsi="Verdana" w:cs="Arial"/>
          <w:color w:val="000000" w:themeColor="text1"/>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66B9461" w14:textId="77777777" w:rsidR="00EA28C0" w:rsidRPr="00190500" w:rsidRDefault="00EA28C0" w:rsidP="00EA28C0">
      <w:pPr>
        <w:spacing w:after="0" w:line="240" w:lineRule="auto"/>
        <w:rPr>
          <w:rFonts w:ascii="Verdana" w:eastAsia="Calibri" w:hAnsi="Verdana"/>
        </w:rPr>
      </w:pPr>
    </w:p>
    <w:p w14:paraId="78282487" w14:textId="77777777" w:rsidR="00EA28C0" w:rsidRPr="00190500" w:rsidRDefault="00EA28C0" w:rsidP="00EA28C0">
      <w:pPr>
        <w:spacing w:after="0" w:line="240" w:lineRule="auto"/>
        <w:rPr>
          <w:rFonts w:ascii="Verdana" w:eastAsia="Times New Roman" w:hAnsi="Verdana" w:cs="Arial"/>
          <w:lang w:eastAsia="es-CO"/>
        </w:rPr>
      </w:pPr>
      <w:r w:rsidRPr="00190500">
        <w:rPr>
          <w:rFonts w:ascii="Verdana" w:eastAsia="Times New Roman" w:hAnsi="Verdana" w:cs="Arial"/>
          <w:lang w:eastAsia="es-CO"/>
        </w:rPr>
        <w:t>Atentamente,</w:t>
      </w:r>
    </w:p>
    <w:p w14:paraId="42D6F819" w14:textId="024C728E" w:rsidR="00EA28C0" w:rsidRPr="00190500" w:rsidRDefault="00EA28C0" w:rsidP="00EA28C0">
      <w:pPr>
        <w:spacing w:after="0" w:line="276" w:lineRule="auto"/>
        <w:jc w:val="center"/>
        <w:rPr>
          <w:rFonts w:ascii="Verdana" w:eastAsia="Times New Roman" w:hAnsi="Verdana" w:cs="Arial"/>
          <w:color w:val="000000"/>
          <w:lang w:val="es-ES_tradnl" w:eastAsia="es-CO"/>
        </w:rPr>
      </w:pPr>
    </w:p>
    <w:bookmarkEnd w:id="0"/>
    <w:p w14:paraId="68C9E44C" w14:textId="71CFE572" w:rsidR="007B5089" w:rsidRPr="007F1C94" w:rsidRDefault="0050498C" w:rsidP="007B5089">
      <w:pPr>
        <w:spacing w:after="0" w:line="240" w:lineRule="auto"/>
        <w:jc w:val="center"/>
        <w:rPr>
          <w:rFonts w:ascii="Verdana" w:hAnsi="Verdana" w:cs="Arial"/>
          <w:lang w:eastAsia="es-CO"/>
        </w:rPr>
      </w:pPr>
      <w:r w:rsidRPr="002C3AD6">
        <w:rPr>
          <w:rFonts w:ascii="Century Gothic" w:hAnsi="Century Gothic"/>
          <w:noProof/>
        </w:rPr>
        <w:drawing>
          <wp:inline distT="0" distB="0" distL="0" distR="0" wp14:anchorId="4FA23D79" wp14:editId="1E1D3CED">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2"/>
                    <a:stretch>
                      <a:fillRect/>
                    </a:stretch>
                  </pic:blipFill>
                  <pic:spPr>
                    <a:xfrm>
                      <a:off x="0" y="0"/>
                      <a:ext cx="3772426" cy="1400370"/>
                    </a:xfrm>
                    <a:prstGeom prst="rect">
                      <a:avLst/>
                    </a:prstGeom>
                  </pic:spPr>
                </pic:pic>
              </a:graphicData>
            </a:graphic>
          </wp:inline>
        </w:drawing>
      </w:r>
    </w:p>
    <w:p w14:paraId="244819D8" w14:textId="77777777" w:rsidR="007B5089" w:rsidRPr="007F1C94" w:rsidRDefault="007B5089" w:rsidP="007B5089">
      <w:pPr>
        <w:spacing w:line="276" w:lineRule="auto"/>
        <w:rPr>
          <w:rFonts w:ascii="Verdana" w:hAnsi="Verdana" w:cs="Arial"/>
          <w:color w:val="000000"/>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B5089" w:rsidRPr="007F1C94" w14:paraId="5470EBC8" w14:textId="77777777" w:rsidTr="00C165A1">
        <w:trPr>
          <w:trHeight w:val="315"/>
        </w:trPr>
        <w:tc>
          <w:tcPr>
            <w:tcW w:w="893" w:type="dxa"/>
            <w:vAlign w:val="center"/>
            <w:hideMark/>
          </w:tcPr>
          <w:p w14:paraId="7D142BF6" w14:textId="77777777" w:rsidR="007B5089" w:rsidRPr="007F1C94" w:rsidRDefault="007B5089" w:rsidP="00C165A1">
            <w:pPr>
              <w:contextualSpacing/>
              <w:rPr>
                <w:rFonts w:ascii="Verdana" w:hAnsi="Verdana" w:cs="Arial"/>
                <w:sz w:val="16"/>
                <w:szCs w:val="16"/>
                <w:lang w:val="es-ES" w:eastAsia="es-ES"/>
              </w:rPr>
            </w:pPr>
            <w:r w:rsidRPr="007F1C94">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9E77AED" w14:textId="65BF904E" w:rsidR="007B5089" w:rsidRPr="007F1C94" w:rsidRDefault="008E0605" w:rsidP="00C165A1">
            <w:pPr>
              <w:contextualSpacing/>
              <w:rPr>
                <w:rStyle w:val="normaltextrun"/>
                <w:rFonts w:ascii="Verdana" w:eastAsia="Times New Roman" w:hAnsi="Verdana" w:cs="Times New Roman"/>
                <w:sz w:val="16"/>
                <w:szCs w:val="16"/>
                <w:lang w:val="es-ES" w:eastAsia="es-CO"/>
              </w:rPr>
            </w:pPr>
            <w:r w:rsidRPr="008E0605">
              <w:rPr>
                <w:rStyle w:val="normaltextrun"/>
                <w:rFonts w:ascii="Verdana" w:eastAsia="Times New Roman" w:hAnsi="Verdana" w:cs="Times New Roman"/>
                <w:sz w:val="16"/>
                <w:szCs w:val="16"/>
                <w:lang w:val="es-ES" w:eastAsia="es-CO"/>
              </w:rPr>
              <w:t xml:space="preserve">Diana </w:t>
            </w:r>
            <w:r w:rsidR="007B5089" w:rsidRPr="008E0605">
              <w:rPr>
                <w:rStyle w:val="normaltextrun"/>
                <w:rFonts w:ascii="Verdana" w:eastAsia="Times New Roman" w:hAnsi="Verdana" w:cs="Times New Roman"/>
                <w:sz w:val="16"/>
                <w:szCs w:val="16"/>
                <w:lang w:val="es-ES" w:eastAsia="es-CO"/>
              </w:rPr>
              <w:t>Carolina</w:t>
            </w:r>
            <w:r w:rsidR="007B5089" w:rsidRPr="007F1C94">
              <w:rPr>
                <w:rStyle w:val="normaltextrun"/>
                <w:rFonts w:ascii="Verdana" w:eastAsia="Times New Roman" w:hAnsi="Verdana" w:cs="Times New Roman"/>
                <w:sz w:val="16"/>
                <w:szCs w:val="16"/>
                <w:lang w:val="es-ES" w:eastAsia="es-CO"/>
              </w:rPr>
              <w:t xml:space="preserve"> Blanco Rodriguez </w:t>
            </w:r>
          </w:p>
          <w:p w14:paraId="106381A2" w14:textId="77777777" w:rsidR="007B5089" w:rsidRPr="007F1C94" w:rsidRDefault="007B5089" w:rsidP="00C165A1">
            <w:pPr>
              <w:contextualSpacing/>
              <w:rPr>
                <w:rFonts w:ascii="Verdana" w:eastAsia="Arial" w:hAnsi="Verdana" w:cs="Arial"/>
                <w:sz w:val="16"/>
                <w:szCs w:val="16"/>
              </w:rPr>
            </w:pPr>
            <w:r w:rsidRPr="007F1C94">
              <w:rPr>
                <w:rStyle w:val="normaltextrun"/>
                <w:rFonts w:ascii="Verdana" w:eastAsia="Times New Roman" w:hAnsi="Verdana" w:cs="Times New Roman"/>
                <w:sz w:val="16"/>
                <w:szCs w:val="16"/>
                <w:lang w:val="es-ES" w:eastAsia="es-CO"/>
              </w:rPr>
              <w:t>Contratista de la Subdirección de Gestión Contractual</w:t>
            </w:r>
            <w:r w:rsidRPr="007F1C94">
              <w:rPr>
                <w:rStyle w:val="eop"/>
                <w:rFonts w:ascii="Verdana" w:hAnsi="Verdana" w:cs="Arial"/>
                <w:sz w:val="16"/>
                <w:szCs w:val="16"/>
              </w:rPr>
              <w:t> </w:t>
            </w:r>
          </w:p>
        </w:tc>
      </w:tr>
      <w:tr w:rsidR="007B5089" w:rsidRPr="007F1C94" w14:paraId="7D1C9202" w14:textId="77777777" w:rsidTr="00C165A1">
        <w:trPr>
          <w:trHeight w:val="330"/>
        </w:trPr>
        <w:tc>
          <w:tcPr>
            <w:tcW w:w="893" w:type="dxa"/>
            <w:vAlign w:val="center"/>
            <w:hideMark/>
          </w:tcPr>
          <w:p w14:paraId="0B123FE3" w14:textId="77777777" w:rsidR="007B5089" w:rsidRPr="007F1C94" w:rsidRDefault="007B5089" w:rsidP="00C165A1">
            <w:pPr>
              <w:contextualSpacing/>
              <w:rPr>
                <w:rFonts w:ascii="Verdana" w:hAnsi="Verdana" w:cs="Arial"/>
                <w:sz w:val="16"/>
                <w:szCs w:val="16"/>
                <w:lang w:val="es-ES" w:eastAsia="es-ES"/>
              </w:rPr>
            </w:pPr>
            <w:r w:rsidRPr="007F1C94">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6298DFA" w14:textId="010FF873" w:rsidR="007B5089" w:rsidRPr="007B5089" w:rsidRDefault="007B5089" w:rsidP="00C165A1">
            <w:pPr>
              <w:pStyle w:val="paragraph"/>
              <w:spacing w:before="0" w:beforeAutospacing="0" w:after="0" w:afterAutospacing="0"/>
              <w:contextualSpacing/>
              <w:textAlignment w:val="baseline"/>
              <w:rPr>
                <w:rStyle w:val="normaltextrun"/>
                <w:rFonts w:ascii="Verdana" w:hAnsi="Verdana"/>
                <w:sz w:val="16"/>
                <w:szCs w:val="16"/>
                <w:lang w:val="es-ES"/>
              </w:rPr>
            </w:pPr>
            <w:r w:rsidRPr="007B5089">
              <w:rPr>
                <w:rStyle w:val="normaltextrun"/>
                <w:rFonts w:ascii="Verdana" w:hAnsi="Verdana"/>
                <w:sz w:val="16"/>
                <w:szCs w:val="16"/>
                <w:lang w:val="es-ES"/>
              </w:rPr>
              <w:t xml:space="preserve">Diana Saavedra </w:t>
            </w:r>
          </w:p>
          <w:p w14:paraId="13389799" w14:textId="77777777" w:rsidR="007B5089" w:rsidRPr="007F1C94" w:rsidRDefault="007B5089" w:rsidP="00C165A1">
            <w:pPr>
              <w:pStyle w:val="paragraph"/>
              <w:spacing w:before="0" w:beforeAutospacing="0" w:after="0" w:afterAutospacing="0"/>
              <w:contextualSpacing/>
              <w:textAlignment w:val="baseline"/>
              <w:rPr>
                <w:rFonts w:ascii="Verdana" w:hAnsi="Verdana" w:cs="Segoe UI"/>
                <w:sz w:val="16"/>
                <w:szCs w:val="16"/>
              </w:rPr>
            </w:pPr>
            <w:r w:rsidRPr="007B5089">
              <w:rPr>
                <w:rStyle w:val="eop"/>
                <w:rFonts w:ascii="Verdana" w:hAnsi="Verdana" w:cs="Arial"/>
                <w:sz w:val="16"/>
                <w:szCs w:val="16"/>
              </w:rPr>
              <w:t>Contratista de la</w:t>
            </w:r>
            <w:r w:rsidRPr="007F1C94">
              <w:rPr>
                <w:rStyle w:val="eop"/>
                <w:rFonts w:ascii="Verdana" w:hAnsi="Verdana" w:cs="Arial"/>
                <w:sz w:val="16"/>
                <w:szCs w:val="16"/>
              </w:rPr>
              <w:t xml:space="preserve"> Subdirección de Negocios </w:t>
            </w:r>
          </w:p>
        </w:tc>
      </w:tr>
      <w:tr w:rsidR="007B5089" w:rsidRPr="007F1C94" w14:paraId="303C88F4" w14:textId="77777777" w:rsidTr="00C165A1">
        <w:trPr>
          <w:trHeight w:val="300"/>
        </w:trPr>
        <w:tc>
          <w:tcPr>
            <w:tcW w:w="893" w:type="dxa"/>
            <w:vAlign w:val="center"/>
          </w:tcPr>
          <w:p w14:paraId="4C1A573A" w14:textId="77777777" w:rsidR="007B5089" w:rsidRPr="007F1C94" w:rsidRDefault="007B5089" w:rsidP="00C165A1">
            <w:pPr>
              <w:contextualSpacing/>
              <w:rPr>
                <w:rFonts w:ascii="Verdana" w:hAnsi="Verdana" w:cs="Arial"/>
                <w:sz w:val="16"/>
                <w:szCs w:val="16"/>
                <w:lang w:val="es-ES" w:eastAsia="es-ES"/>
              </w:rPr>
            </w:pPr>
            <w:r w:rsidRPr="007F1C94">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99139B1" w14:textId="77777777" w:rsidR="007B5089" w:rsidRPr="007F1C94" w:rsidRDefault="007B5089" w:rsidP="00C165A1">
            <w:pPr>
              <w:contextualSpacing/>
              <w:rPr>
                <w:rFonts w:ascii="Verdana" w:eastAsia="Calibri" w:hAnsi="Verdana" w:cs="Arial"/>
                <w:sz w:val="16"/>
                <w:szCs w:val="16"/>
                <w:lang w:val="pt-BR" w:eastAsia="es-ES"/>
              </w:rPr>
            </w:pPr>
            <w:r w:rsidRPr="007F1C94">
              <w:rPr>
                <w:rFonts w:ascii="Verdana" w:eastAsia="Calibri" w:hAnsi="Verdana" w:cs="Arial"/>
                <w:sz w:val="16"/>
                <w:szCs w:val="16"/>
                <w:lang w:val="pt-BR" w:eastAsia="es-ES"/>
              </w:rPr>
              <w:t xml:space="preserve">Carolina Quintero </w:t>
            </w:r>
            <w:proofErr w:type="spellStart"/>
            <w:r w:rsidRPr="007F1C94">
              <w:rPr>
                <w:rFonts w:ascii="Verdana" w:eastAsia="Calibri" w:hAnsi="Verdana" w:cs="Arial"/>
                <w:sz w:val="16"/>
                <w:szCs w:val="16"/>
                <w:lang w:val="pt-BR" w:eastAsia="es-ES"/>
              </w:rPr>
              <w:t>Gacharná</w:t>
            </w:r>
            <w:proofErr w:type="spellEnd"/>
          </w:p>
          <w:p w14:paraId="435F0B2D" w14:textId="77777777" w:rsidR="007B5089" w:rsidRPr="007F1C94" w:rsidRDefault="007B5089" w:rsidP="00C165A1">
            <w:pPr>
              <w:contextualSpacing/>
              <w:rPr>
                <w:rFonts w:ascii="Verdana" w:eastAsia="Calibri" w:hAnsi="Verdana" w:cs="Arial"/>
                <w:sz w:val="16"/>
                <w:szCs w:val="16"/>
                <w:lang w:val="pt-BR" w:eastAsia="es-ES"/>
              </w:rPr>
            </w:pPr>
            <w:r w:rsidRPr="007F1C94">
              <w:rPr>
                <w:rFonts w:ascii="Verdana" w:eastAsia="Calibri" w:hAnsi="Verdana" w:cs="Arial"/>
                <w:sz w:val="16"/>
                <w:szCs w:val="16"/>
                <w:lang w:eastAsia="es-ES"/>
              </w:rPr>
              <w:t>Subdirectora</w:t>
            </w:r>
            <w:r w:rsidRPr="007F1C94">
              <w:rPr>
                <w:rFonts w:ascii="Verdana" w:eastAsia="Calibri" w:hAnsi="Verdana" w:cs="Arial"/>
                <w:sz w:val="16"/>
                <w:szCs w:val="16"/>
                <w:lang w:val="pt-BR" w:eastAsia="es-ES"/>
              </w:rPr>
              <w:t xml:space="preserve"> de Gestión </w:t>
            </w:r>
            <w:proofErr w:type="spellStart"/>
            <w:r w:rsidRPr="007F1C94">
              <w:rPr>
                <w:rFonts w:ascii="Verdana" w:eastAsia="Calibri" w:hAnsi="Verdana" w:cs="Arial"/>
                <w:sz w:val="16"/>
                <w:szCs w:val="16"/>
                <w:lang w:val="pt-BR" w:eastAsia="es-ES"/>
              </w:rPr>
              <w:t>Contractual</w:t>
            </w:r>
            <w:proofErr w:type="spellEnd"/>
            <w:r w:rsidRPr="007F1C94">
              <w:rPr>
                <w:rFonts w:ascii="Verdana" w:eastAsia="Calibri" w:hAnsi="Verdana" w:cs="Arial"/>
                <w:sz w:val="16"/>
                <w:szCs w:val="16"/>
                <w:lang w:val="pt-BR" w:eastAsia="es-ES"/>
              </w:rPr>
              <w:t xml:space="preserve"> ANCP – CCE</w:t>
            </w:r>
          </w:p>
        </w:tc>
      </w:tr>
    </w:tbl>
    <w:p w14:paraId="19F06F4D" w14:textId="77777777" w:rsidR="00EA28C0" w:rsidRPr="00190500" w:rsidRDefault="00EA28C0" w:rsidP="00EA28C0">
      <w:pPr>
        <w:rPr>
          <w:rFonts w:ascii="Verdana" w:hAnsi="Verdana"/>
        </w:rPr>
      </w:pPr>
    </w:p>
    <w:p w14:paraId="37EA994A" w14:textId="77777777" w:rsidR="00EA28C0" w:rsidRPr="00190500" w:rsidRDefault="00EA28C0" w:rsidP="00EA28C0">
      <w:pPr>
        <w:rPr>
          <w:rFonts w:ascii="Verdana" w:hAnsi="Verdana"/>
        </w:rPr>
      </w:pPr>
    </w:p>
    <w:p w14:paraId="3E078E30" w14:textId="77777777" w:rsidR="00EA28C0" w:rsidRPr="00190500" w:rsidRDefault="00EA28C0" w:rsidP="00EA28C0">
      <w:pPr>
        <w:rPr>
          <w:rFonts w:ascii="Verdana" w:hAnsi="Verdana"/>
        </w:rPr>
      </w:pPr>
    </w:p>
    <w:p w14:paraId="42E6AD44" w14:textId="77777777" w:rsidR="00EA28C0" w:rsidRPr="00190500" w:rsidRDefault="00EA28C0" w:rsidP="00EA28C0">
      <w:pPr>
        <w:rPr>
          <w:rFonts w:ascii="Verdana" w:hAnsi="Verdana"/>
        </w:rPr>
      </w:pPr>
    </w:p>
    <w:p w14:paraId="0F293BF4" w14:textId="7BBFAB11" w:rsidR="00127233" w:rsidRPr="00EA28C0" w:rsidRDefault="00127233" w:rsidP="00EA28C0"/>
    <w:sectPr w:rsidR="00127233" w:rsidRPr="00EA28C0" w:rsidSect="00903CF7">
      <w:headerReference w:type="default" r:id="rId23"/>
      <w:footerReference w:type="default" r:id="rId24"/>
      <w:pgSz w:w="12240" w:h="15840" w:code="1"/>
      <w:pgMar w:top="1417" w:right="1608"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D8365" w14:textId="77777777" w:rsidR="00DC092B" w:rsidRDefault="00DC092B" w:rsidP="004A1847">
      <w:pPr>
        <w:spacing w:after="0" w:line="240" w:lineRule="auto"/>
      </w:pPr>
      <w:r>
        <w:separator/>
      </w:r>
    </w:p>
  </w:endnote>
  <w:endnote w:type="continuationSeparator" w:id="0">
    <w:p w14:paraId="62493FC8" w14:textId="77777777" w:rsidR="00DC092B" w:rsidRDefault="00DC092B" w:rsidP="004A1847">
      <w:pPr>
        <w:spacing w:after="0" w:line="240" w:lineRule="auto"/>
      </w:pPr>
      <w:r>
        <w:continuationSeparator/>
      </w:r>
    </w:p>
  </w:endnote>
  <w:endnote w:type="continuationNotice" w:id="1">
    <w:p w14:paraId="19FB7FF8" w14:textId="77777777" w:rsidR="00DC092B" w:rsidRDefault="00DC09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D8E53" w14:textId="77777777" w:rsidR="00DC092B" w:rsidRDefault="00DC092B" w:rsidP="004A1847">
      <w:pPr>
        <w:spacing w:after="0" w:line="240" w:lineRule="auto"/>
      </w:pPr>
      <w:r>
        <w:separator/>
      </w:r>
    </w:p>
  </w:footnote>
  <w:footnote w:type="continuationSeparator" w:id="0">
    <w:p w14:paraId="02EF7825" w14:textId="77777777" w:rsidR="00DC092B" w:rsidRDefault="00DC092B" w:rsidP="004A1847">
      <w:pPr>
        <w:spacing w:after="0" w:line="240" w:lineRule="auto"/>
      </w:pPr>
      <w:r>
        <w:continuationSeparator/>
      </w:r>
    </w:p>
  </w:footnote>
  <w:footnote w:type="continuationNotice" w:id="1">
    <w:p w14:paraId="49ACEF82" w14:textId="77777777" w:rsidR="00DC092B" w:rsidRDefault="00DC092B">
      <w:pPr>
        <w:spacing w:after="0" w:line="240" w:lineRule="auto"/>
      </w:pPr>
    </w:p>
  </w:footnote>
  <w:footnote w:id="2">
    <w:p w14:paraId="623D90E4" w14:textId="77777777" w:rsidR="00EA28C0" w:rsidRPr="00E706E2" w:rsidRDefault="00EA28C0" w:rsidP="00EA28C0">
      <w:pPr>
        <w:pStyle w:val="Default"/>
        <w:ind w:firstLine="708"/>
        <w:jc w:val="both"/>
        <w:rPr>
          <w:rFonts w:ascii="Verdana" w:hAnsi="Verdana"/>
          <w:color w:val="000000" w:themeColor="text1"/>
          <w:sz w:val="16"/>
          <w:szCs w:val="16"/>
        </w:rPr>
      </w:pPr>
      <w:r w:rsidRPr="00E706E2">
        <w:rPr>
          <w:rStyle w:val="Refdenotaalpie"/>
          <w:rFonts w:ascii="Verdana" w:hAnsi="Verdana"/>
          <w:color w:val="000000" w:themeColor="text1"/>
          <w:sz w:val="16"/>
          <w:szCs w:val="16"/>
        </w:rPr>
        <w:footnoteRef/>
      </w:r>
      <w:r w:rsidRPr="00E706E2">
        <w:rPr>
          <w:rFonts w:ascii="Verdana" w:hAnsi="Verdana"/>
          <w:color w:val="000000" w:themeColor="text1"/>
          <w:sz w:val="16"/>
          <w:szCs w:val="16"/>
        </w:rPr>
        <w:t xml:space="preserve"> “Artículo 100: Asimilación a sociedades comerciales - legislación mercantil. Se tendrán como comerciales, para todos los efectos legales las sociedades que se formen para la ejecución de actos o empresas mercantiles. Si la empresa social comprende actos mercantiles y actos que no tengan esa calidad, la sociedad será comercial. Las sociedades que no contemplen en su objeto social actos mercantiles serán civiles. </w:t>
      </w:r>
    </w:p>
    <w:p w14:paraId="6EEC64ED" w14:textId="77777777" w:rsidR="00EA28C0" w:rsidRPr="00E706E2" w:rsidRDefault="00EA28C0" w:rsidP="00EA28C0">
      <w:pPr>
        <w:pStyle w:val="Textonotapie"/>
        <w:spacing w:before="120"/>
        <w:ind w:firstLine="709"/>
        <w:jc w:val="both"/>
        <w:rPr>
          <w:rFonts w:ascii="Verdana" w:hAnsi="Verdana" w:cs="Arial"/>
          <w:color w:val="000000" w:themeColor="text1"/>
          <w:sz w:val="16"/>
          <w:szCs w:val="16"/>
        </w:rPr>
      </w:pPr>
      <w:r w:rsidRPr="00E706E2">
        <w:rPr>
          <w:rFonts w:ascii="Verdana" w:hAnsi="Verdana" w:cs="Arial"/>
          <w:color w:val="000000" w:themeColor="text1"/>
          <w:sz w:val="16"/>
          <w:szCs w:val="16"/>
        </w:rPr>
        <w:t>Sin embargo, cualquiera que sea su objeto, las sociedades comerciales y civiles estarán sujetas, para todos los efectos, a la legislación mercantil”.</w:t>
      </w:r>
    </w:p>
    <w:p w14:paraId="7DE8B9BA" w14:textId="77777777" w:rsidR="00EA28C0" w:rsidRPr="00E706E2" w:rsidRDefault="00EA28C0" w:rsidP="00EA28C0">
      <w:pPr>
        <w:pStyle w:val="Textonotapie"/>
        <w:ind w:firstLine="708"/>
        <w:jc w:val="both"/>
        <w:rPr>
          <w:rFonts w:ascii="Verdana" w:hAnsi="Verdana" w:cs="Arial"/>
          <w:color w:val="000000" w:themeColor="text1"/>
          <w:sz w:val="16"/>
          <w:szCs w:val="16"/>
        </w:rPr>
      </w:pPr>
    </w:p>
  </w:footnote>
  <w:footnote w:id="3">
    <w:p w14:paraId="642A087C" w14:textId="77777777" w:rsidR="00EA28C0" w:rsidRPr="00E706E2" w:rsidRDefault="00EA28C0" w:rsidP="00EA28C0">
      <w:pPr>
        <w:pStyle w:val="Textonotapie"/>
        <w:ind w:firstLine="709"/>
        <w:jc w:val="both"/>
        <w:rPr>
          <w:rFonts w:ascii="Verdana" w:hAnsi="Verdana" w:cs="Arial"/>
          <w:sz w:val="16"/>
          <w:szCs w:val="16"/>
        </w:rPr>
      </w:pPr>
      <w:r w:rsidRPr="00E706E2">
        <w:rPr>
          <w:rStyle w:val="Refdenotaalpie"/>
          <w:rFonts w:ascii="Verdana" w:hAnsi="Verdana" w:cs="Arial"/>
          <w:sz w:val="16"/>
          <w:szCs w:val="16"/>
        </w:rPr>
        <w:footnoteRef/>
      </w:r>
      <w:r w:rsidRPr="00E706E2">
        <w:rPr>
          <w:rFonts w:ascii="Verdana" w:hAnsi="Verdana" w:cs="Arial"/>
          <w:sz w:val="16"/>
          <w:szCs w:val="16"/>
        </w:rPr>
        <w:t xml:space="preserve"> Ley 1450 de 2011. “Artículo 43. Definiciones de tamaño empresarial. El artículo 2° de la Ley 590 de 2000, quedará así: </w:t>
      </w:r>
    </w:p>
    <w:p w14:paraId="3B9456E3" w14:textId="77777777" w:rsidR="00EA28C0" w:rsidRPr="00E706E2" w:rsidRDefault="00EA28C0" w:rsidP="00EA28C0">
      <w:pPr>
        <w:pStyle w:val="Textonotapie"/>
        <w:spacing w:before="120"/>
        <w:ind w:firstLine="708"/>
        <w:jc w:val="both"/>
        <w:rPr>
          <w:rFonts w:ascii="Verdana" w:hAnsi="Verdana" w:cs="Arial"/>
          <w:sz w:val="16"/>
          <w:szCs w:val="16"/>
        </w:rPr>
      </w:pPr>
      <w:r w:rsidRPr="00E706E2">
        <w:rPr>
          <w:rFonts w:ascii="Verdana" w:hAnsi="Verdana" w:cs="Arial"/>
          <w:sz w:val="16"/>
          <w:szCs w:val="16"/>
        </w:rPr>
        <w:t xml:space="preserve">Artículo 2°. Definiciones de tamaño empresarial. Para todos los efectos, se entiende por empresa, toda unidad de explotación económica, realizada por persona natural o jurídica, en actividades agropecuarias, industriales, comerciales o de servicios, en el área rural o urbana. Para la clasificación por tamaño empresarial, entiéndase micro, pequeña, mediana y gran empresa, se podrá utilizar uno o varios de los siguientes criterios: </w:t>
      </w:r>
    </w:p>
    <w:p w14:paraId="44D61423" w14:textId="77777777" w:rsidR="00EA28C0" w:rsidRPr="00E706E2" w:rsidRDefault="00EA28C0" w:rsidP="00EA28C0">
      <w:pPr>
        <w:pStyle w:val="Textonotapie"/>
        <w:spacing w:before="120"/>
        <w:ind w:firstLine="708"/>
        <w:jc w:val="both"/>
        <w:rPr>
          <w:rFonts w:ascii="Verdana" w:hAnsi="Verdana" w:cs="Arial"/>
          <w:sz w:val="16"/>
          <w:szCs w:val="16"/>
        </w:rPr>
      </w:pPr>
      <w:r w:rsidRPr="00E706E2">
        <w:rPr>
          <w:rFonts w:ascii="Verdana" w:hAnsi="Verdana" w:cs="Arial"/>
          <w:sz w:val="16"/>
          <w:szCs w:val="16"/>
        </w:rPr>
        <w:t xml:space="preserve">1. Número de trabajadores totales. </w:t>
      </w:r>
    </w:p>
    <w:p w14:paraId="63CF5C1A" w14:textId="77777777" w:rsidR="00EA28C0" w:rsidRPr="00E706E2" w:rsidRDefault="00EA28C0" w:rsidP="00EA28C0">
      <w:pPr>
        <w:pStyle w:val="Textonotapie"/>
        <w:spacing w:before="120"/>
        <w:jc w:val="both"/>
        <w:rPr>
          <w:rFonts w:ascii="Verdana" w:hAnsi="Verdana" w:cs="Arial"/>
          <w:sz w:val="16"/>
          <w:szCs w:val="16"/>
        </w:rPr>
      </w:pPr>
      <w:r w:rsidRPr="00E706E2">
        <w:rPr>
          <w:rFonts w:ascii="Verdana" w:hAnsi="Verdana" w:cs="Arial"/>
          <w:sz w:val="16"/>
          <w:szCs w:val="16"/>
        </w:rPr>
        <w:t xml:space="preserve"> </w:t>
      </w:r>
      <w:r w:rsidRPr="00E706E2">
        <w:rPr>
          <w:rFonts w:ascii="Verdana" w:hAnsi="Verdana" w:cs="Arial"/>
          <w:sz w:val="16"/>
          <w:szCs w:val="16"/>
        </w:rPr>
        <w:tab/>
        <w:t xml:space="preserve">2. Valor de ventas brutas anuales. </w:t>
      </w:r>
    </w:p>
    <w:p w14:paraId="250D4609" w14:textId="77777777" w:rsidR="00EA28C0" w:rsidRPr="00E706E2" w:rsidRDefault="00EA28C0" w:rsidP="00EA28C0">
      <w:pPr>
        <w:pStyle w:val="Textonotapie"/>
        <w:spacing w:before="120"/>
        <w:ind w:firstLine="708"/>
        <w:jc w:val="both"/>
        <w:rPr>
          <w:rFonts w:ascii="Verdana" w:hAnsi="Verdana" w:cs="Arial"/>
          <w:sz w:val="16"/>
          <w:szCs w:val="16"/>
        </w:rPr>
      </w:pPr>
      <w:r w:rsidRPr="00E706E2">
        <w:rPr>
          <w:rFonts w:ascii="Verdana" w:hAnsi="Verdana" w:cs="Arial"/>
          <w:sz w:val="16"/>
          <w:szCs w:val="16"/>
        </w:rPr>
        <w:t xml:space="preserve"> 3. Valor activos totales. </w:t>
      </w:r>
    </w:p>
    <w:p w14:paraId="09449307" w14:textId="77777777" w:rsidR="00EA28C0" w:rsidRPr="00E706E2" w:rsidRDefault="00EA28C0" w:rsidP="00EA28C0">
      <w:pPr>
        <w:pStyle w:val="Textonotapie"/>
        <w:spacing w:before="120"/>
        <w:ind w:firstLine="708"/>
        <w:jc w:val="both"/>
        <w:rPr>
          <w:rFonts w:ascii="Verdana" w:hAnsi="Verdana" w:cs="Arial"/>
          <w:sz w:val="16"/>
          <w:szCs w:val="16"/>
        </w:rPr>
      </w:pPr>
      <w:r w:rsidRPr="00E706E2">
        <w:rPr>
          <w:rFonts w:ascii="Verdana" w:hAnsi="Verdana" w:cs="Arial"/>
          <w:sz w:val="16"/>
          <w:szCs w:val="16"/>
        </w:rPr>
        <w:t xml:space="preserve">Para efectos de los beneficios otorgados por el Gobierno nacional a las micro, pequeñas y medianas empresas el criterio determinante será el valor de ventas brutas anuales. </w:t>
      </w:r>
    </w:p>
    <w:p w14:paraId="26C91929" w14:textId="77777777" w:rsidR="00EA28C0" w:rsidRPr="00E706E2" w:rsidRDefault="00EA28C0" w:rsidP="00EA28C0">
      <w:pPr>
        <w:pStyle w:val="Textonotapie"/>
        <w:spacing w:before="120"/>
        <w:ind w:firstLine="708"/>
        <w:jc w:val="both"/>
        <w:rPr>
          <w:rFonts w:ascii="Verdana" w:hAnsi="Verdana" w:cs="Arial"/>
          <w:sz w:val="16"/>
          <w:szCs w:val="16"/>
        </w:rPr>
      </w:pPr>
      <w:r w:rsidRPr="00E706E2">
        <w:rPr>
          <w:rFonts w:ascii="Verdana" w:hAnsi="Verdana" w:cs="Arial"/>
          <w:sz w:val="16"/>
          <w:szCs w:val="16"/>
        </w:rPr>
        <w:t xml:space="preserve">Parágrafo 1°. El Gobierno Nacional reglamentará los rangos que aplicarán para los tres criterios e incluirá especificidades sectoriales en los casos que considere necesario. </w:t>
      </w:r>
    </w:p>
    <w:p w14:paraId="0BD6F46B" w14:textId="77777777" w:rsidR="00EA28C0" w:rsidRDefault="00EA28C0" w:rsidP="00EA28C0">
      <w:pPr>
        <w:pStyle w:val="Textonotapie"/>
        <w:spacing w:before="120"/>
        <w:ind w:firstLine="708"/>
        <w:jc w:val="both"/>
        <w:rPr>
          <w:rFonts w:ascii="Verdana" w:hAnsi="Verdana" w:cs="Arial"/>
          <w:sz w:val="16"/>
          <w:szCs w:val="16"/>
        </w:rPr>
      </w:pPr>
      <w:r w:rsidRPr="00E706E2">
        <w:rPr>
          <w:rFonts w:ascii="Verdana" w:hAnsi="Verdana" w:cs="Arial"/>
          <w:sz w:val="16"/>
          <w:szCs w:val="16"/>
        </w:rPr>
        <w:t>Parágrafo 2°. Las definiciones contenidas en el artículo 2° de la Ley 590 de 2000 continuarán vigentes hasta tanto entren a regir las normas reglamentarias que profiera el Gobierno Nacional en desarrollo de lo previsto en el presente artículo”.</w:t>
      </w:r>
    </w:p>
    <w:p w14:paraId="506B5B07" w14:textId="77777777" w:rsidR="00EA28C0" w:rsidRPr="00E706E2" w:rsidRDefault="00EA28C0" w:rsidP="00EA28C0">
      <w:pPr>
        <w:pStyle w:val="Textonotapie"/>
        <w:spacing w:before="120"/>
        <w:ind w:firstLine="708"/>
        <w:jc w:val="both"/>
        <w:rPr>
          <w:rFonts w:ascii="Verdana" w:hAnsi="Verdana" w:cs="Arial"/>
          <w:sz w:val="16"/>
          <w:szCs w:val="16"/>
          <w:lang w:val="es-CO"/>
        </w:rPr>
      </w:pPr>
    </w:p>
  </w:footnote>
  <w:footnote w:id="4">
    <w:p w14:paraId="418FF130" w14:textId="77777777" w:rsidR="00EA28C0" w:rsidRPr="00E706E2" w:rsidRDefault="00EA28C0" w:rsidP="00EA28C0">
      <w:pPr>
        <w:pStyle w:val="Textonotapie"/>
        <w:ind w:firstLine="708"/>
        <w:jc w:val="both"/>
        <w:rPr>
          <w:rFonts w:ascii="Verdana" w:hAnsi="Verdana" w:cs="Arial"/>
          <w:color w:val="000000" w:themeColor="text1"/>
          <w:sz w:val="16"/>
          <w:szCs w:val="16"/>
        </w:rPr>
      </w:pPr>
      <w:r w:rsidRPr="00E706E2">
        <w:rPr>
          <w:rStyle w:val="Refdenotaalpie"/>
          <w:rFonts w:ascii="Verdana" w:hAnsi="Verdana" w:cs="Arial"/>
          <w:color w:val="000000" w:themeColor="text1"/>
          <w:sz w:val="16"/>
          <w:szCs w:val="16"/>
        </w:rPr>
        <w:footnoteRef/>
      </w:r>
      <w:r w:rsidRPr="00E706E2">
        <w:rPr>
          <w:rFonts w:ascii="Verdana" w:hAnsi="Verdana" w:cs="Arial"/>
          <w:color w:val="000000" w:themeColor="text1"/>
          <w:sz w:val="16"/>
          <w:szCs w:val="16"/>
        </w:rPr>
        <w:t xml:space="preserve"> BARRERO BUITRAGO, Álvaro. Manual para el establecimiento de sociedades (4ta. ed.). Editorial Librería del Profesional. Bogotá. 2006. p. 21. Allí se lee, en relación con el requisito que deben cumplir las sociedades comerciales sobre el ánimo de lucro, lo siguiente: “esta característica viene a diferenciar a la sociedad mercantil de cualquier otra forma asociativa, pues para el comerciante la utilidad es primordial en sus actividades, no ocurriendo lo mismo para otras personas, donde el fin primordial no es obtener ganancias, como en el caso de las sociedades cooperativas”.</w:t>
      </w:r>
    </w:p>
    <w:p w14:paraId="4A248984" w14:textId="77777777" w:rsidR="00EA28C0" w:rsidRPr="00E706E2" w:rsidRDefault="00EA28C0" w:rsidP="00EA28C0">
      <w:pPr>
        <w:pStyle w:val="Textonotapie"/>
        <w:ind w:firstLine="708"/>
        <w:jc w:val="both"/>
        <w:rPr>
          <w:rFonts w:ascii="Verdana" w:hAnsi="Verdana" w:cs="Arial"/>
          <w:color w:val="000000" w:themeColor="text1"/>
          <w:sz w:val="16"/>
          <w:szCs w:val="16"/>
        </w:rPr>
      </w:pPr>
    </w:p>
  </w:footnote>
  <w:footnote w:id="5">
    <w:p w14:paraId="76BC66F0" w14:textId="77777777" w:rsidR="00EA28C0" w:rsidRPr="00E706E2" w:rsidRDefault="00EA28C0" w:rsidP="00EA28C0">
      <w:pPr>
        <w:pStyle w:val="Textonotapie"/>
        <w:ind w:firstLine="708"/>
        <w:jc w:val="both"/>
        <w:rPr>
          <w:rFonts w:ascii="Verdana" w:hAnsi="Verdana" w:cs="Arial"/>
          <w:color w:val="000000" w:themeColor="text1"/>
          <w:sz w:val="16"/>
          <w:szCs w:val="16"/>
        </w:rPr>
      </w:pPr>
      <w:r w:rsidRPr="00E706E2">
        <w:rPr>
          <w:rStyle w:val="Refdenotaalpie"/>
          <w:rFonts w:ascii="Verdana" w:hAnsi="Verdana" w:cs="Arial"/>
          <w:color w:val="000000" w:themeColor="text1"/>
          <w:sz w:val="16"/>
          <w:szCs w:val="16"/>
        </w:rPr>
        <w:footnoteRef/>
      </w:r>
      <w:r w:rsidRPr="00E706E2">
        <w:rPr>
          <w:rFonts w:ascii="Verdana" w:hAnsi="Verdana" w:cs="Arial"/>
          <w:color w:val="000000" w:themeColor="text1"/>
          <w:sz w:val="16"/>
          <w:szCs w:val="16"/>
        </w:rPr>
        <w:t xml:space="preserve"> TORRENTE BAYONA, César y BUSTAMANTE, Luis Eduardo. Las entidades sin ánimo de lucro (3ª Ed.). Editado por la Cámara de Comercio de Bogotá.  Bogotá. 2000, p. 33. Allí se lee: “Las entidades sin ánimo de lucro son personas jurídicas, capaces de ejercer derechos y contraer obligaciones y de ser representadas judicial y extrajudicialmente, con sujeción a las disposiciones legales y a sus propios estatutos. Nacen por voluntad de los asociados en virtud del derecho constitucional de asociación, o por la libertad de disposición de los bienes de los particulares, para la realización de fines altruistas o de beneficio comunitario; de lo que se infiere que no contemplan dentro de su objeto principal el desarrollo de actividades mercantiles.</w:t>
      </w:r>
    </w:p>
    <w:p w14:paraId="34C60B29" w14:textId="77777777" w:rsidR="00EA28C0" w:rsidRPr="00E706E2" w:rsidRDefault="00EA28C0" w:rsidP="00EA28C0">
      <w:pPr>
        <w:pStyle w:val="Textonotapie"/>
        <w:spacing w:before="120"/>
        <w:ind w:firstLine="709"/>
        <w:jc w:val="both"/>
        <w:rPr>
          <w:rFonts w:ascii="Verdana" w:hAnsi="Verdana" w:cs="Arial"/>
          <w:color w:val="000000" w:themeColor="text1"/>
          <w:sz w:val="16"/>
          <w:szCs w:val="16"/>
        </w:rPr>
      </w:pPr>
      <w:r w:rsidRPr="00E706E2">
        <w:rPr>
          <w:rFonts w:ascii="Verdana" w:hAnsi="Verdana" w:cs="Arial"/>
          <w:color w:val="000000" w:themeColor="text1"/>
          <w:sz w:val="16"/>
          <w:szCs w:val="16"/>
        </w:rPr>
        <w:t xml:space="preserve">La ausencia de lucro es una de sus características fundamentales, lo cual significa que no existe el reparto de utilidades o remanentes generados en el desarrollo de sus objetivos, ni es viable el reembolso de los bienes o dineros aportados a la entidad </w:t>
      </w:r>
      <w:r>
        <w:rPr>
          <w:rFonts w:ascii="Verdana" w:hAnsi="Verdana" w:cs="Arial"/>
          <w:color w:val="000000" w:themeColor="text1"/>
          <w:sz w:val="16"/>
          <w:szCs w:val="16"/>
        </w:rPr>
        <w:t>(</w:t>
      </w:r>
      <w:r w:rsidRPr="00E706E2">
        <w:rPr>
          <w:rFonts w:ascii="Verdana" w:hAnsi="Verdana" w:cs="Arial"/>
          <w:color w:val="000000" w:themeColor="text1"/>
          <w:sz w:val="16"/>
          <w:szCs w:val="16"/>
        </w:rPr>
        <w:t>…</w:t>
      </w:r>
      <w:r>
        <w:rPr>
          <w:rFonts w:ascii="Verdana" w:hAnsi="Verdana" w:cs="Arial"/>
          <w:color w:val="000000" w:themeColor="text1"/>
          <w:sz w:val="16"/>
          <w:szCs w:val="16"/>
        </w:rPr>
        <w:t>)</w:t>
      </w:r>
      <w:r w:rsidRPr="00E706E2">
        <w:rPr>
          <w:rFonts w:ascii="Verdana" w:hAnsi="Verdana" w:cs="Arial"/>
          <w:color w:val="000000" w:themeColor="text1"/>
          <w:sz w:val="16"/>
          <w:szCs w:val="16"/>
        </w:rPr>
        <w:t>”.</w:t>
      </w:r>
    </w:p>
    <w:p w14:paraId="2CA6F50B" w14:textId="77777777" w:rsidR="00EA28C0" w:rsidRPr="00E706E2" w:rsidRDefault="00EA28C0" w:rsidP="00EA28C0">
      <w:pPr>
        <w:pStyle w:val="Textonotapie"/>
        <w:ind w:firstLine="708"/>
        <w:jc w:val="both"/>
        <w:rPr>
          <w:rFonts w:ascii="Verdana" w:hAnsi="Verdana" w:cs="Arial"/>
          <w:color w:val="000000" w:themeColor="text1"/>
          <w:sz w:val="16"/>
          <w:szCs w:val="16"/>
        </w:rPr>
      </w:pPr>
    </w:p>
  </w:footnote>
  <w:footnote w:id="6">
    <w:p w14:paraId="1C1375F9" w14:textId="77777777" w:rsidR="00EA28C0" w:rsidRPr="00EA28C0" w:rsidRDefault="00EA28C0" w:rsidP="00EA28C0">
      <w:pPr>
        <w:pStyle w:val="Textonotapie"/>
        <w:rPr>
          <w:lang w:val="es-ES"/>
        </w:rPr>
      </w:pPr>
      <w:r>
        <w:rPr>
          <w:rStyle w:val="Refdenotaalpie"/>
        </w:rPr>
        <w:footnoteRef/>
      </w:r>
      <w:r>
        <w:t xml:space="preserve"> Artículo 98 </w:t>
      </w:r>
      <w:r>
        <w:t>C.Co “</w:t>
      </w:r>
      <w:r w:rsidRPr="00041D4B">
        <w:rPr>
          <w:lang w:val="es-CO"/>
        </w:rPr>
        <w:t>Por el contrato de sociedad dos o más personas se obligan a hacer un aporte en dinero, en trabajo o en otros bienes apreciables en dinero, con el fin de repartirse entre sí las utilidades obtenidas en la empresa o actividad social</w:t>
      </w:r>
      <w:r>
        <w:rPr>
          <w:lang w:val="es-CO"/>
        </w:rPr>
        <w:t>”.</w:t>
      </w:r>
    </w:p>
  </w:footnote>
  <w:footnote w:id="7">
    <w:p w14:paraId="31A1962B" w14:textId="77777777" w:rsidR="00EA28C0" w:rsidRPr="00E706E2" w:rsidRDefault="00EA28C0" w:rsidP="00EA28C0">
      <w:pPr>
        <w:pStyle w:val="Textonotapie"/>
        <w:ind w:firstLine="708"/>
        <w:jc w:val="both"/>
        <w:rPr>
          <w:rFonts w:ascii="Verdana" w:hAnsi="Verdana" w:cs="Arial"/>
          <w:color w:val="000000" w:themeColor="text1"/>
          <w:sz w:val="16"/>
          <w:szCs w:val="16"/>
        </w:rPr>
      </w:pPr>
      <w:r w:rsidRPr="00E706E2">
        <w:rPr>
          <w:rStyle w:val="Refdenotaalpie"/>
          <w:rFonts w:ascii="Verdana" w:hAnsi="Verdana" w:cs="Arial"/>
          <w:color w:val="000000" w:themeColor="text1"/>
          <w:sz w:val="16"/>
          <w:szCs w:val="16"/>
        </w:rPr>
        <w:footnoteRef/>
      </w:r>
      <w:r w:rsidRPr="00E706E2">
        <w:rPr>
          <w:rFonts w:ascii="Verdana" w:hAnsi="Verdana" w:cs="Arial"/>
          <w:color w:val="000000" w:themeColor="text1"/>
          <w:sz w:val="16"/>
          <w:szCs w:val="16"/>
        </w:rPr>
        <w:t xml:space="preserve"> Corte Constitucional. Sentencia C-287 de 2012. </w:t>
      </w:r>
      <w:bookmarkStart w:id="1" w:name="_Hlk173274364"/>
      <w:r w:rsidRPr="00E706E2">
        <w:rPr>
          <w:rFonts w:ascii="Verdana" w:hAnsi="Verdana" w:cs="Arial"/>
          <w:color w:val="000000" w:themeColor="text1"/>
          <w:sz w:val="16"/>
          <w:szCs w:val="16"/>
        </w:rPr>
        <w:t>M.P. María Victoria Calle.</w:t>
      </w:r>
      <w:bookmarkEnd w:id="1"/>
    </w:p>
    <w:p w14:paraId="1F0AB8C1" w14:textId="77777777" w:rsidR="00EA28C0" w:rsidRPr="00E706E2" w:rsidRDefault="00EA28C0" w:rsidP="00EA28C0">
      <w:pPr>
        <w:pStyle w:val="Textonotapie"/>
        <w:ind w:firstLine="708"/>
        <w:jc w:val="both"/>
        <w:rPr>
          <w:rFonts w:ascii="Verdana" w:hAnsi="Verdana" w:cs="Arial"/>
          <w:color w:val="000000" w:themeColor="text1"/>
          <w:sz w:val="16"/>
          <w:szCs w:val="16"/>
        </w:rPr>
      </w:pPr>
    </w:p>
  </w:footnote>
  <w:footnote w:id="8">
    <w:p w14:paraId="795E8260" w14:textId="77777777" w:rsidR="00EA28C0" w:rsidRPr="00E706E2" w:rsidRDefault="00EA28C0" w:rsidP="00EA28C0">
      <w:pPr>
        <w:pStyle w:val="Textonotapie"/>
        <w:ind w:firstLine="708"/>
        <w:jc w:val="both"/>
        <w:rPr>
          <w:rFonts w:ascii="Verdana" w:hAnsi="Verdana" w:cs="Arial"/>
          <w:color w:val="000000" w:themeColor="text1"/>
          <w:sz w:val="16"/>
          <w:szCs w:val="16"/>
        </w:rPr>
      </w:pPr>
      <w:r w:rsidRPr="00E706E2">
        <w:rPr>
          <w:rStyle w:val="Refdenotaalpie"/>
          <w:rFonts w:ascii="Verdana" w:hAnsi="Verdana" w:cs="Arial"/>
          <w:color w:val="000000" w:themeColor="text1"/>
          <w:sz w:val="16"/>
          <w:szCs w:val="16"/>
        </w:rPr>
        <w:footnoteRef/>
      </w:r>
      <w:r w:rsidRPr="00E706E2">
        <w:rPr>
          <w:rFonts w:ascii="Verdana" w:hAnsi="Verdana" w:cs="Arial"/>
          <w:color w:val="000000" w:themeColor="text1"/>
          <w:sz w:val="16"/>
          <w:szCs w:val="16"/>
        </w:rPr>
        <w:t xml:space="preserve"> Consejo de Estado, Sección Cuarta. Providencia del 26 de octubre de 2009. </w:t>
      </w:r>
      <w:r w:rsidRPr="00E706E2">
        <w:rPr>
          <w:rFonts w:ascii="Verdana" w:hAnsi="Verdana" w:cs="Arial"/>
          <w:color w:val="000000" w:themeColor="text1"/>
          <w:sz w:val="16"/>
          <w:szCs w:val="16"/>
        </w:rPr>
        <w:t>Exp. No. 25000-23-27-000-2007-00160-01(17200). M.P. Martha Teresa Briceño de Valencia.</w:t>
      </w:r>
    </w:p>
    <w:p w14:paraId="39BC9AE8" w14:textId="77777777" w:rsidR="00EA28C0" w:rsidRPr="00E706E2" w:rsidRDefault="00EA28C0" w:rsidP="00EA28C0">
      <w:pPr>
        <w:pStyle w:val="Textonotapie"/>
        <w:ind w:firstLine="708"/>
        <w:jc w:val="both"/>
        <w:rPr>
          <w:rFonts w:ascii="Verdana" w:hAnsi="Verdana" w:cs="Arial"/>
          <w:color w:val="000000" w:themeColor="text1"/>
          <w:sz w:val="16"/>
          <w:szCs w:val="16"/>
        </w:rPr>
      </w:pPr>
    </w:p>
  </w:footnote>
  <w:footnote w:id="9">
    <w:p w14:paraId="138F7DD7" w14:textId="77777777" w:rsidR="00EA28C0" w:rsidRPr="00E706E2" w:rsidRDefault="00EA28C0" w:rsidP="00EA28C0">
      <w:pPr>
        <w:pStyle w:val="Textonotapie"/>
        <w:ind w:firstLine="709"/>
        <w:jc w:val="both"/>
        <w:rPr>
          <w:rFonts w:ascii="Verdana" w:hAnsi="Verdana" w:cs="Arial"/>
          <w:color w:val="000000" w:themeColor="text1"/>
          <w:sz w:val="16"/>
          <w:szCs w:val="16"/>
          <w:lang w:val="es-CO"/>
        </w:rPr>
      </w:pPr>
      <w:r w:rsidRPr="00E706E2">
        <w:rPr>
          <w:rStyle w:val="Refdenotaalpie"/>
          <w:rFonts w:ascii="Verdana" w:hAnsi="Verdana" w:cs="Arial"/>
          <w:color w:val="000000" w:themeColor="text1"/>
          <w:sz w:val="16"/>
          <w:szCs w:val="16"/>
        </w:rPr>
        <w:footnoteRef/>
      </w:r>
      <w:r w:rsidRPr="00E706E2">
        <w:rPr>
          <w:rFonts w:ascii="Verdana" w:hAnsi="Verdana" w:cs="Arial"/>
          <w:color w:val="000000" w:themeColor="text1"/>
          <w:sz w:val="16"/>
          <w:szCs w:val="16"/>
        </w:rPr>
        <w:t xml:space="preserve"> Corte Constitucional. Sala Plena. Sentencia C 178 de 29 de abril de 1996. Magistrado Ponente: Antonio Barrera Carbonell. Expediente No. D-974. </w:t>
      </w:r>
    </w:p>
  </w:footnote>
  <w:footnote w:id="10">
    <w:p w14:paraId="02DB667E" w14:textId="77777777" w:rsidR="00EA28C0" w:rsidRPr="00E706E2" w:rsidRDefault="00EA28C0" w:rsidP="00EA28C0">
      <w:pPr>
        <w:spacing w:after="0" w:line="240" w:lineRule="auto"/>
        <w:ind w:firstLine="709"/>
        <w:jc w:val="both"/>
        <w:rPr>
          <w:rFonts w:ascii="Verdana" w:hAnsi="Verdana" w:cs="Arial"/>
          <w:color w:val="000000" w:themeColor="text1"/>
          <w:sz w:val="16"/>
          <w:szCs w:val="16"/>
        </w:rPr>
      </w:pPr>
    </w:p>
    <w:p w14:paraId="35F7AAE5" w14:textId="77777777" w:rsidR="00EA28C0" w:rsidRPr="00E706E2" w:rsidRDefault="00EA28C0" w:rsidP="00EA28C0">
      <w:pPr>
        <w:spacing w:after="0" w:line="240" w:lineRule="auto"/>
        <w:ind w:firstLine="709"/>
        <w:jc w:val="both"/>
        <w:rPr>
          <w:rFonts w:ascii="Verdana" w:hAnsi="Verdana" w:cs="Arial"/>
          <w:color w:val="000000" w:themeColor="text1"/>
          <w:sz w:val="16"/>
          <w:szCs w:val="16"/>
        </w:rPr>
      </w:pPr>
      <w:r w:rsidRPr="00E706E2">
        <w:rPr>
          <w:rStyle w:val="Refdenotaalpie"/>
          <w:rFonts w:ascii="Verdana" w:hAnsi="Verdana" w:cs="Arial"/>
          <w:color w:val="000000" w:themeColor="text1"/>
          <w:sz w:val="16"/>
          <w:szCs w:val="16"/>
        </w:rPr>
        <w:footnoteRef/>
      </w:r>
      <w:r w:rsidRPr="00E706E2">
        <w:rPr>
          <w:rFonts w:ascii="Verdana" w:hAnsi="Verdana" w:cs="Arial"/>
          <w:color w:val="000000" w:themeColor="text1"/>
          <w:sz w:val="16"/>
          <w:szCs w:val="16"/>
        </w:rPr>
        <w:t xml:space="preserve"> “Artículo 6o. De la capacidad para contratar. Pueden celebrar contratos con las entidades estatales las personas consideradas legalmente capaces en las disposiciones vigentes”.</w:t>
      </w:r>
    </w:p>
    <w:p w14:paraId="7963D2BB" w14:textId="77777777" w:rsidR="00EA28C0" w:rsidRPr="00E706E2" w:rsidRDefault="00EA28C0" w:rsidP="00EA28C0">
      <w:pPr>
        <w:pStyle w:val="Textonotapie"/>
        <w:ind w:firstLine="709"/>
        <w:jc w:val="both"/>
        <w:rPr>
          <w:rFonts w:ascii="Verdana" w:hAnsi="Verdana" w:cs="Arial"/>
          <w:color w:val="000000" w:themeColor="text1"/>
          <w:sz w:val="16"/>
          <w:szCs w:val="16"/>
        </w:rPr>
      </w:pPr>
    </w:p>
  </w:footnote>
  <w:footnote w:id="11">
    <w:p w14:paraId="059841FA" w14:textId="77777777" w:rsidR="00EA28C0" w:rsidRPr="00EA28C0" w:rsidRDefault="00EA28C0" w:rsidP="00EA28C0">
      <w:pPr>
        <w:pStyle w:val="Textonotapie"/>
        <w:rPr>
          <w:lang w:val="es-ES"/>
        </w:rPr>
      </w:pPr>
      <w:r>
        <w:rPr>
          <w:rStyle w:val="Refdenotaalpie"/>
        </w:rPr>
        <w:footnoteRef/>
      </w:r>
      <w:r>
        <w:t xml:space="preserve"> </w:t>
      </w:r>
      <w:r>
        <w:rPr>
          <w:lang w:val="es-ES"/>
        </w:rPr>
        <w:t>C 135 de 2023 Expedido por la ANCP-CCE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76326942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671193696" name="Imagen 671193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2D09A17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33542321" o:spid="_x0000_i1025" type="#_x0000_t75" style="width:11.25pt;height:11.25pt;visibility:visible;mso-wrap-style:square">
            <v:imagedata r:id="rId1" o:title=""/>
          </v:shape>
        </w:pict>
      </mc:Choice>
      <mc:Fallback>
        <w:drawing>
          <wp:inline distT="0" distB="0" distL="0" distR="0" wp14:anchorId="6CA406C6" wp14:editId="6BA4DACE">
            <wp:extent cx="142875" cy="142875"/>
            <wp:effectExtent l="0" t="0" r="0" b="0"/>
            <wp:docPr id="233542321" name="Imagen 233542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694460F"/>
    <w:multiLevelType w:val="hybridMultilevel"/>
    <w:tmpl w:val="A50EA0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7"/>
  </w:num>
  <w:num w:numId="8" w16cid:durableId="152644682">
    <w:abstractNumId w:val="13"/>
  </w:num>
  <w:num w:numId="9" w16cid:durableId="1317221377">
    <w:abstractNumId w:val="9"/>
  </w:num>
  <w:num w:numId="10" w16cid:durableId="1471245386">
    <w:abstractNumId w:val="12"/>
  </w:num>
  <w:num w:numId="11" w16cid:durableId="289172385">
    <w:abstractNumId w:val="10"/>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105666100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91132821">
    <w:abstractNumId w:val="3"/>
  </w:num>
  <w:num w:numId="18" w16cid:durableId="12400156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46E0"/>
    <w:rsid w:val="00061B2A"/>
    <w:rsid w:val="00082362"/>
    <w:rsid w:val="000A683E"/>
    <w:rsid w:val="000A6A5A"/>
    <w:rsid w:val="000B19B9"/>
    <w:rsid w:val="000B3CCB"/>
    <w:rsid w:val="000B4FA8"/>
    <w:rsid w:val="000C23C4"/>
    <w:rsid w:val="000D0334"/>
    <w:rsid w:val="000F3965"/>
    <w:rsid w:val="000F6486"/>
    <w:rsid w:val="00125105"/>
    <w:rsid w:val="00127233"/>
    <w:rsid w:val="00151D15"/>
    <w:rsid w:val="00180F0D"/>
    <w:rsid w:val="00182210"/>
    <w:rsid w:val="00190500"/>
    <w:rsid w:val="001B00AF"/>
    <w:rsid w:val="001D2D8F"/>
    <w:rsid w:val="001E4177"/>
    <w:rsid w:val="001F7DC6"/>
    <w:rsid w:val="00235068"/>
    <w:rsid w:val="002377F1"/>
    <w:rsid w:val="002421BB"/>
    <w:rsid w:val="0025796E"/>
    <w:rsid w:val="00260F35"/>
    <w:rsid w:val="002707A2"/>
    <w:rsid w:val="002951A0"/>
    <w:rsid w:val="002962BC"/>
    <w:rsid w:val="002A093D"/>
    <w:rsid w:val="002A0DD0"/>
    <w:rsid w:val="002A49AC"/>
    <w:rsid w:val="002A64FD"/>
    <w:rsid w:val="002B413A"/>
    <w:rsid w:val="002C7A84"/>
    <w:rsid w:val="002E144C"/>
    <w:rsid w:val="002E4FD9"/>
    <w:rsid w:val="002E531C"/>
    <w:rsid w:val="0030537C"/>
    <w:rsid w:val="00322A85"/>
    <w:rsid w:val="00324168"/>
    <w:rsid w:val="003278B1"/>
    <w:rsid w:val="003448F4"/>
    <w:rsid w:val="003452EC"/>
    <w:rsid w:val="00374F5E"/>
    <w:rsid w:val="00377E3E"/>
    <w:rsid w:val="003A26D1"/>
    <w:rsid w:val="003A779E"/>
    <w:rsid w:val="003D0F4D"/>
    <w:rsid w:val="003D462A"/>
    <w:rsid w:val="003D5B0D"/>
    <w:rsid w:val="003E0499"/>
    <w:rsid w:val="003F3941"/>
    <w:rsid w:val="00406575"/>
    <w:rsid w:val="004146A0"/>
    <w:rsid w:val="0042722E"/>
    <w:rsid w:val="0044528D"/>
    <w:rsid w:val="0049428D"/>
    <w:rsid w:val="004A1847"/>
    <w:rsid w:val="004A2761"/>
    <w:rsid w:val="004A305D"/>
    <w:rsid w:val="004A470A"/>
    <w:rsid w:val="004E4591"/>
    <w:rsid w:val="004F21C4"/>
    <w:rsid w:val="004F685F"/>
    <w:rsid w:val="004F6B27"/>
    <w:rsid w:val="0050498C"/>
    <w:rsid w:val="0052172D"/>
    <w:rsid w:val="00550432"/>
    <w:rsid w:val="005566E8"/>
    <w:rsid w:val="00566512"/>
    <w:rsid w:val="00574867"/>
    <w:rsid w:val="00591460"/>
    <w:rsid w:val="00592628"/>
    <w:rsid w:val="005C3777"/>
    <w:rsid w:val="005C5CDC"/>
    <w:rsid w:val="005D476C"/>
    <w:rsid w:val="005D6C09"/>
    <w:rsid w:val="005D7029"/>
    <w:rsid w:val="005F009D"/>
    <w:rsid w:val="00610812"/>
    <w:rsid w:val="00614A35"/>
    <w:rsid w:val="006219F8"/>
    <w:rsid w:val="00650FF7"/>
    <w:rsid w:val="006554F3"/>
    <w:rsid w:val="00665D70"/>
    <w:rsid w:val="006707C8"/>
    <w:rsid w:val="00671DAC"/>
    <w:rsid w:val="00675D4D"/>
    <w:rsid w:val="00677311"/>
    <w:rsid w:val="0068364B"/>
    <w:rsid w:val="006900D9"/>
    <w:rsid w:val="006B2855"/>
    <w:rsid w:val="006D12F8"/>
    <w:rsid w:val="006D6F36"/>
    <w:rsid w:val="00706C16"/>
    <w:rsid w:val="00730C66"/>
    <w:rsid w:val="007318AB"/>
    <w:rsid w:val="00732EED"/>
    <w:rsid w:val="007407D3"/>
    <w:rsid w:val="00740B6D"/>
    <w:rsid w:val="00754A1A"/>
    <w:rsid w:val="00756841"/>
    <w:rsid w:val="007649AB"/>
    <w:rsid w:val="00771D0C"/>
    <w:rsid w:val="007833AC"/>
    <w:rsid w:val="00795898"/>
    <w:rsid w:val="007A5909"/>
    <w:rsid w:val="007B268C"/>
    <w:rsid w:val="007B5089"/>
    <w:rsid w:val="007B7171"/>
    <w:rsid w:val="007C0C0F"/>
    <w:rsid w:val="007C3DC2"/>
    <w:rsid w:val="007D4886"/>
    <w:rsid w:val="007E1EE6"/>
    <w:rsid w:val="007E5497"/>
    <w:rsid w:val="008029BB"/>
    <w:rsid w:val="00806F5F"/>
    <w:rsid w:val="00810178"/>
    <w:rsid w:val="00820278"/>
    <w:rsid w:val="008219B8"/>
    <w:rsid w:val="00843D3F"/>
    <w:rsid w:val="00847747"/>
    <w:rsid w:val="00850CED"/>
    <w:rsid w:val="008843B6"/>
    <w:rsid w:val="00891928"/>
    <w:rsid w:val="00897C61"/>
    <w:rsid w:val="008A22A1"/>
    <w:rsid w:val="008A446D"/>
    <w:rsid w:val="008A7543"/>
    <w:rsid w:val="008D180B"/>
    <w:rsid w:val="008E0605"/>
    <w:rsid w:val="008E51CD"/>
    <w:rsid w:val="008F0EA7"/>
    <w:rsid w:val="008F59C9"/>
    <w:rsid w:val="00903CF7"/>
    <w:rsid w:val="00911EC0"/>
    <w:rsid w:val="0091519A"/>
    <w:rsid w:val="009221F7"/>
    <w:rsid w:val="00922807"/>
    <w:rsid w:val="00923EEF"/>
    <w:rsid w:val="0092661C"/>
    <w:rsid w:val="009419F9"/>
    <w:rsid w:val="0094375E"/>
    <w:rsid w:val="0095685E"/>
    <w:rsid w:val="00961B09"/>
    <w:rsid w:val="00965334"/>
    <w:rsid w:val="00967AFE"/>
    <w:rsid w:val="0097093E"/>
    <w:rsid w:val="00994D67"/>
    <w:rsid w:val="009A0DFA"/>
    <w:rsid w:val="009B2D26"/>
    <w:rsid w:val="009C1E9F"/>
    <w:rsid w:val="009C56AA"/>
    <w:rsid w:val="009C71FA"/>
    <w:rsid w:val="009C72E7"/>
    <w:rsid w:val="009D3058"/>
    <w:rsid w:val="009E0128"/>
    <w:rsid w:val="009F3A13"/>
    <w:rsid w:val="00A077FA"/>
    <w:rsid w:val="00A122D3"/>
    <w:rsid w:val="00A1609F"/>
    <w:rsid w:val="00A1686A"/>
    <w:rsid w:val="00A17F13"/>
    <w:rsid w:val="00A20739"/>
    <w:rsid w:val="00A218FC"/>
    <w:rsid w:val="00A272C9"/>
    <w:rsid w:val="00A32843"/>
    <w:rsid w:val="00A33C78"/>
    <w:rsid w:val="00A75FA7"/>
    <w:rsid w:val="00AB0ADB"/>
    <w:rsid w:val="00AB4808"/>
    <w:rsid w:val="00AC4ED3"/>
    <w:rsid w:val="00AD3AA9"/>
    <w:rsid w:val="00AF3A09"/>
    <w:rsid w:val="00B00EC4"/>
    <w:rsid w:val="00B01B1A"/>
    <w:rsid w:val="00B037D9"/>
    <w:rsid w:val="00B03B03"/>
    <w:rsid w:val="00B07C28"/>
    <w:rsid w:val="00B20183"/>
    <w:rsid w:val="00B219FA"/>
    <w:rsid w:val="00B469EA"/>
    <w:rsid w:val="00B47E89"/>
    <w:rsid w:val="00B616E3"/>
    <w:rsid w:val="00B72CD3"/>
    <w:rsid w:val="00B72FFF"/>
    <w:rsid w:val="00B771F4"/>
    <w:rsid w:val="00B82A13"/>
    <w:rsid w:val="00B9312A"/>
    <w:rsid w:val="00B97CC5"/>
    <w:rsid w:val="00BA7E37"/>
    <w:rsid w:val="00BC3D36"/>
    <w:rsid w:val="00BC54A2"/>
    <w:rsid w:val="00BC61BB"/>
    <w:rsid w:val="00BD7F72"/>
    <w:rsid w:val="00C04FB3"/>
    <w:rsid w:val="00C1026D"/>
    <w:rsid w:val="00C330EB"/>
    <w:rsid w:val="00C55376"/>
    <w:rsid w:val="00C55402"/>
    <w:rsid w:val="00C754BE"/>
    <w:rsid w:val="00C76B1C"/>
    <w:rsid w:val="00C9402A"/>
    <w:rsid w:val="00CA0389"/>
    <w:rsid w:val="00CB6357"/>
    <w:rsid w:val="00CC1B26"/>
    <w:rsid w:val="00CC3BDB"/>
    <w:rsid w:val="00D063B7"/>
    <w:rsid w:val="00D218E3"/>
    <w:rsid w:val="00D423A2"/>
    <w:rsid w:val="00D47E37"/>
    <w:rsid w:val="00D520D8"/>
    <w:rsid w:val="00D554FE"/>
    <w:rsid w:val="00D62509"/>
    <w:rsid w:val="00D63AC2"/>
    <w:rsid w:val="00D63F03"/>
    <w:rsid w:val="00D7383B"/>
    <w:rsid w:val="00DA202B"/>
    <w:rsid w:val="00DA20B0"/>
    <w:rsid w:val="00DA231B"/>
    <w:rsid w:val="00DA23A0"/>
    <w:rsid w:val="00DB01C6"/>
    <w:rsid w:val="00DC092B"/>
    <w:rsid w:val="00DC39FC"/>
    <w:rsid w:val="00DE7DC2"/>
    <w:rsid w:val="00DF5254"/>
    <w:rsid w:val="00DF6C1C"/>
    <w:rsid w:val="00E04659"/>
    <w:rsid w:val="00E05894"/>
    <w:rsid w:val="00E14A35"/>
    <w:rsid w:val="00E16408"/>
    <w:rsid w:val="00E20894"/>
    <w:rsid w:val="00E245AB"/>
    <w:rsid w:val="00E2764C"/>
    <w:rsid w:val="00E27F2E"/>
    <w:rsid w:val="00E413EA"/>
    <w:rsid w:val="00E41718"/>
    <w:rsid w:val="00E50AFE"/>
    <w:rsid w:val="00E706E2"/>
    <w:rsid w:val="00E75C92"/>
    <w:rsid w:val="00E771DC"/>
    <w:rsid w:val="00E8772A"/>
    <w:rsid w:val="00E90F6B"/>
    <w:rsid w:val="00E92C27"/>
    <w:rsid w:val="00EA0E3D"/>
    <w:rsid w:val="00EA28C0"/>
    <w:rsid w:val="00EC2443"/>
    <w:rsid w:val="00EC38A7"/>
    <w:rsid w:val="00EC5B6D"/>
    <w:rsid w:val="00ED6845"/>
    <w:rsid w:val="00EE1AA8"/>
    <w:rsid w:val="00F24379"/>
    <w:rsid w:val="00F31EDC"/>
    <w:rsid w:val="00F324E4"/>
    <w:rsid w:val="00F462B3"/>
    <w:rsid w:val="00F5664F"/>
    <w:rsid w:val="00F61BEE"/>
    <w:rsid w:val="00F666C4"/>
    <w:rsid w:val="00F76AFC"/>
    <w:rsid w:val="00FA47C0"/>
    <w:rsid w:val="00FA5E85"/>
    <w:rsid w:val="00FB28C6"/>
    <w:rsid w:val="00FB5DD1"/>
    <w:rsid w:val="00FC2B5D"/>
    <w:rsid w:val="00FE4BE9"/>
    <w:rsid w:val="00FF1449"/>
    <w:rsid w:val="00FF5067"/>
    <w:rsid w:val="00FF6290"/>
    <w:rsid w:val="5CEADB7B"/>
    <w:rsid w:val="6BE06B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730C66"/>
    <w:rPr>
      <w:rFonts w:ascii="Geomanist Light" w:hAnsi="Geomanist Light"/>
      <w:lang w:val="es-ES"/>
    </w:rPr>
  </w:style>
  <w:style w:type="paragraph" w:customStyle="1" w:styleId="Appelnotedebasde">
    <w:name w:val="Appel note de bas de..."/>
    <w:basedOn w:val="Normal"/>
    <w:link w:val="Refdenotaalpie"/>
    <w:uiPriority w:val="99"/>
    <w:rsid w:val="00730C66"/>
    <w:pPr>
      <w:spacing w:line="240" w:lineRule="exact"/>
    </w:pPr>
    <w:rPr>
      <w:vertAlign w:val="superscript"/>
    </w:rPr>
  </w:style>
  <w:style w:type="paragraph" w:styleId="Textoindependiente">
    <w:name w:val="Body Text"/>
    <w:basedOn w:val="Normal"/>
    <w:link w:val="TextoindependienteCar"/>
    <w:uiPriority w:val="99"/>
    <w:unhideWhenUsed/>
    <w:rsid w:val="00730C66"/>
    <w:pPr>
      <w:spacing w:after="120" w:line="240" w:lineRule="auto"/>
    </w:pPr>
    <w:rPr>
      <w:sz w:val="24"/>
      <w:lang w:val="es-MX"/>
    </w:rPr>
  </w:style>
  <w:style w:type="character" w:customStyle="1" w:styleId="TextoindependienteCar">
    <w:name w:val="Texto independiente Car"/>
    <w:basedOn w:val="Fuentedeprrafopredeter"/>
    <w:link w:val="Textoindependiente"/>
    <w:uiPriority w:val="99"/>
    <w:rsid w:val="00730C66"/>
    <w:rPr>
      <w:sz w:val="24"/>
      <w:lang w:val="es-MX"/>
    </w:rPr>
  </w:style>
  <w:style w:type="character" w:styleId="Refdecomentario">
    <w:name w:val="annotation reference"/>
    <w:basedOn w:val="Fuentedeprrafopredeter"/>
    <w:uiPriority w:val="99"/>
    <w:semiHidden/>
    <w:unhideWhenUsed/>
    <w:rsid w:val="00F324E4"/>
    <w:rPr>
      <w:sz w:val="16"/>
      <w:szCs w:val="16"/>
    </w:rPr>
  </w:style>
  <w:style w:type="paragraph" w:styleId="Textocomentario">
    <w:name w:val="annotation text"/>
    <w:basedOn w:val="Normal"/>
    <w:link w:val="TextocomentarioCar"/>
    <w:uiPriority w:val="99"/>
    <w:unhideWhenUsed/>
    <w:rsid w:val="00F324E4"/>
    <w:pPr>
      <w:spacing w:line="240" w:lineRule="auto"/>
    </w:pPr>
    <w:rPr>
      <w:sz w:val="20"/>
      <w:szCs w:val="20"/>
    </w:rPr>
  </w:style>
  <w:style w:type="character" w:customStyle="1" w:styleId="TextocomentarioCar">
    <w:name w:val="Texto comentario Car"/>
    <w:basedOn w:val="Fuentedeprrafopredeter"/>
    <w:link w:val="Textocomentario"/>
    <w:uiPriority w:val="99"/>
    <w:rsid w:val="00F324E4"/>
    <w:rPr>
      <w:sz w:val="20"/>
      <w:szCs w:val="20"/>
    </w:rPr>
  </w:style>
  <w:style w:type="paragraph" w:styleId="Asuntodelcomentario">
    <w:name w:val="annotation subject"/>
    <w:basedOn w:val="Textocomentario"/>
    <w:next w:val="Textocomentario"/>
    <w:link w:val="AsuntodelcomentarioCar"/>
    <w:uiPriority w:val="99"/>
    <w:semiHidden/>
    <w:unhideWhenUsed/>
    <w:rsid w:val="00F324E4"/>
    <w:rPr>
      <w:b/>
      <w:bCs/>
    </w:rPr>
  </w:style>
  <w:style w:type="character" w:customStyle="1" w:styleId="AsuntodelcomentarioCar">
    <w:name w:val="Asunto del comentario Car"/>
    <w:basedOn w:val="TextocomentarioCar"/>
    <w:link w:val="Asuntodelcomentario"/>
    <w:uiPriority w:val="99"/>
    <w:semiHidden/>
    <w:rsid w:val="00F324E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normativa/codigo-de-comercio-decreto-410-de-1971/" TargetMode="External"/><Relationship Id="rId18" Type="http://schemas.openxmlformats.org/officeDocument/2006/relationships/hyperlink" Target="https://relatoria.colombiacompra.gov.co/normativa/ley-789-de-2002/"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relatoria.colombiacompra.gov.co/busqueda/conceptos" TargetMode="External"/><Relationship Id="rId7" Type="http://schemas.openxmlformats.org/officeDocument/2006/relationships/settings" Target="settings.xml"/><Relationship Id="rId12" Type="http://schemas.openxmlformats.org/officeDocument/2006/relationships/hyperlink" Target="https://relatoria.colombiacompra.gov.co/normativa/constitucion-politica-de-colombia/" TargetMode="External"/><Relationship Id="rId17" Type="http://schemas.openxmlformats.org/officeDocument/2006/relationships/hyperlink" Target="https://relatoria.colombiacompra.gov.co/normativa/decreto-1082-de-2015/"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relatoria.colombiacompra.gov.co/normativa/ley-1150-de-2007/" TargetMode="External"/><Relationship Id="rId20" Type="http://schemas.openxmlformats.org/officeDocument/2006/relationships/hyperlink" Target="http://servicios.consejodeestado.gov.co/WebRelatoria/FileReferenceServlet?corp=ce&amp;ext=html&amp;file=200131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relatoria.colombiacompra.gov.co/normativa/ley-80-de-1993/"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corteconstitucional.gov.co/RELATORIA/2012/C-287-12.ht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normativa/ley-1450-de-2011/" TargetMode="External"/><Relationship Id="rId22"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612ADB-9C4A-435A-A36B-35B9A94BC7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E85F1C-9A11-41F3-B26F-A26FFF43F65D}">
  <ds:schemaRefs>
    <ds:schemaRef ds:uri="http://schemas.openxmlformats.org/officeDocument/2006/bibliography"/>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13</Pages>
  <Words>3449</Words>
  <Characters>18971</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5</cp:revision>
  <cp:lastPrinted>2023-01-10T21:18:00Z</cp:lastPrinted>
  <dcterms:created xsi:type="dcterms:W3CDTF">2025-06-10T20:44:00Z</dcterms:created>
  <dcterms:modified xsi:type="dcterms:W3CDTF">2025-06-13T21:31:00Z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