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5A0" w:rsidRPr="00FB65A0" w:rsidRDefault="00FB65A0" w:rsidP="00FB65A0">
      <w:pPr>
        <w:spacing w:after="0" w:line="240" w:lineRule="auto"/>
        <w:jc w:val="right"/>
        <w:rPr>
          <w:rFonts w:ascii="Arial" w:eastAsia="Times New Roman" w:hAnsi="Arial" w:cs="Arial"/>
          <w:b/>
          <w:color w:val="000000" w:themeColor="text1"/>
          <w:sz w:val="16"/>
          <w:szCs w:val="16"/>
          <w:lang w:val="es-ES" w:eastAsia="es-ES"/>
        </w:rPr>
      </w:pPr>
      <w:bookmarkStart w:id="0" w:name="_Hlk28946138"/>
      <w:bookmarkStart w:id="1" w:name="_Hlk29548183"/>
      <w:r w:rsidRPr="00FB65A0">
        <w:rPr>
          <w:rFonts w:ascii="Arial" w:eastAsia="Times New Roman" w:hAnsi="Arial" w:cs="Arial"/>
          <w:b/>
          <w:color w:val="000000" w:themeColor="text1"/>
          <w:sz w:val="16"/>
          <w:szCs w:val="16"/>
          <w:lang w:val="es-ES" w:eastAsia="es-ES"/>
        </w:rPr>
        <w:tab/>
        <w:t>CCE-DES-FM-17</w:t>
      </w:r>
    </w:p>
    <w:p w:rsidR="00FB65A0" w:rsidRPr="00FB65A0" w:rsidRDefault="00FB65A0" w:rsidP="00FB65A0">
      <w:pPr>
        <w:spacing w:after="0" w:line="240" w:lineRule="auto"/>
        <w:jc w:val="both"/>
        <w:rPr>
          <w:rFonts w:ascii="Arial" w:eastAsia="Calibri" w:hAnsi="Arial" w:cs="Arial"/>
          <w:b/>
          <w:bCs/>
          <w:color w:val="000000" w:themeColor="text1"/>
          <w:lang w:val="es-ES"/>
        </w:rPr>
      </w:pPr>
    </w:p>
    <w:p w:rsidR="00FB65A0" w:rsidRPr="00FB65A0" w:rsidRDefault="00FB65A0" w:rsidP="00FB65A0">
      <w:pPr>
        <w:spacing w:after="0" w:line="240" w:lineRule="auto"/>
        <w:jc w:val="both"/>
        <w:rPr>
          <w:rFonts w:ascii="Arial" w:eastAsia="Calibri" w:hAnsi="Arial" w:cs="Arial"/>
          <w:b/>
          <w:bCs/>
          <w:color w:val="000000" w:themeColor="text1"/>
          <w:lang w:val="es-ES"/>
        </w:rPr>
      </w:pPr>
      <w:r w:rsidRPr="00FB65A0">
        <w:rPr>
          <w:rFonts w:ascii="Arial" w:eastAsia="Calibri" w:hAnsi="Arial" w:cs="Arial"/>
          <w:b/>
          <w:bCs/>
          <w:color w:val="000000" w:themeColor="text1"/>
          <w:lang w:val="es-ES"/>
        </w:rPr>
        <w:t xml:space="preserve">CONTRATACIÓN ESTATAL – Políticas horizontales </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r w:rsidRPr="00FB65A0">
        <w:rPr>
          <w:rFonts w:ascii="Arial" w:eastAsia="Calibri" w:hAnsi="Arial" w:cs="Arial"/>
          <w:bCs/>
          <w:color w:val="000000" w:themeColor="text1"/>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r w:rsidRPr="00FB65A0">
        <w:rPr>
          <w:rFonts w:ascii="Arial" w:eastAsia="Calibri" w:hAnsi="Arial" w:cs="Arial"/>
          <w:bCs/>
          <w:color w:val="000000" w:themeColor="text1"/>
          <w:sz w:val="20"/>
          <w:szCs w:val="20"/>
          <w:lang w:val="es-ES"/>
        </w:rPr>
        <w:t xml:space="preserve">Estas finalidades reciben diferentes nombres en los diversos contextos en los que son utilizadas, algunos recurren al nombre de políticas secundarias, finalidades paralelas, o políticas colaterales u horizontales en materia de </w:t>
      </w:r>
      <w:proofErr w:type="gramStart"/>
      <w:r w:rsidRPr="00FB65A0">
        <w:rPr>
          <w:rFonts w:ascii="Arial" w:eastAsia="Calibri" w:hAnsi="Arial" w:cs="Arial"/>
          <w:bCs/>
          <w:color w:val="000000" w:themeColor="text1"/>
          <w:sz w:val="20"/>
          <w:szCs w:val="20"/>
          <w:lang w:val="es-ES"/>
        </w:rPr>
        <w:t>contratación .</w:t>
      </w:r>
      <w:proofErr w:type="gramEnd"/>
      <w:r w:rsidRPr="00FB65A0">
        <w:rPr>
          <w:rFonts w:ascii="Arial" w:eastAsia="Calibri" w:hAnsi="Arial" w:cs="Arial"/>
          <w:bCs/>
          <w:color w:val="000000" w:themeColor="text1"/>
          <w:sz w:val="20"/>
          <w:szCs w:val="20"/>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FB65A0" w:rsidRPr="00FB65A0" w:rsidRDefault="00FB65A0" w:rsidP="00FB65A0">
      <w:pPr>
        <w:spacing w:after="0" w:line="240" w:lineRule="auto"/>
        <w:jc w:val="both"/>
        <w:rPr>
          <w:rFonts w:ascii="Arial" w:eastAsia="Calibri" w:hAnsi="Arial" w:cs="Arial"/>
          <w:b/>
          <w:bCs/>
          <w:color w:val="000000" w:themeColor="text1"/>
          <w:lang w:val="es-ES"/>
        </w:rPr>
      </w:pPr>
      <w:r w:rsidRPr="00FB65A0">
        <w:rPr>
          <w:rFonts w:ascii="Arial" w:eastAsia="Calibri" w:hAnsi="Arial" w:cs="Arial"/>
          <w:b/>
          <w:bCs/>
          <w:color w:val="000000" w:themeColor="text1"/>
          <w:lang w:val="es-ES"/>
        </w:rPr>
        <w:t xml:space="preserve">CONTRATACIÓN ESTATAL – Políticas horizontales – Incentivos contractuales </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r w:rsidRPr="00FB65A0">
        <w:rPr>
          <w:rFonts w:ascii="Arial" w:eastAsia="Calibri" w:hAnsi="Arial" w:cs="Arial"/>
          <w:bCs/>
          <w:color w:val="000000" w:themeColor="text1"/>
          <w:sz w:val="20"/>
          <w:szCs w:val="20"/>
          <w:lang w:val="es-ES"/>
        </w:rPr>
        <w:t xml:space="preserve">La política horizontal […]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FB65A0" w:rsidRPr="00FB65A0" w:rsidRDefault="00FB65A0" w:rsidP="00FB65A0">
      <w:pPr>
        <w:spacing w:after="0" w:line="240" w:lineRule="auto"/>
        <w:jc w:val="both"/>
        <w:rPr>
          <w:rFonts w:ascii="Arial" w:eastAsia="Calibri" w:hAnsi="Arial" w:cs="Arial"/>
          <w:b/>
          <w:bCs/>
          <w:color w:val="000000" w:themeColor="text1"/>
          <w:lang w:val="es-ES"/>
        </w:rPr>
      </w:pPr>
      <w:r w:rsidRPr="00FB65A0">
        <w:rPr>
          <w:rFonts w:ascii="Arial" w:eastAsia="Calibri" w:hAnsi="Arial" w:cs="Arial"/>
          <w:b/>
          <w:bCs/>
          <w:color w:val="000000" w:themeColor="text1"/>
          <w:lang w:val="es-ES"/>
        </w:rPr>
        <w:t>INCENTIVOS CONTRACTUALES – Empleabilidad de adultos mayores – Política horizontal – Criterio de desempate – Ley 2040 de 2020</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r w:rsidRPr="00FB65A0">
        <w:rPr>
          <w:rFonts w:ascii="Arial" w:eastAsia="Calibri" w:hAnsi="Arial" w:cs="Arial"/>
          <w:bCs/>
          <w:color w:val="000000" w:themeColor="text1"/>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r w:rsidRPr="00FB65A0">
        <w:rPr>
          <w:rFonts w:ascii="Arial" w:eastAsia="Calibri" w:hAnsi="Arial" w:cs="Arial"/>
          <w:bCs/>
          <w:color w:val="000000" w:themeColor="text1"/>
          <w:sz w:val="20"/>
          <w:szCs w:val="20"/>
          <w:lang w:val="es-ES"/>
        </w:rPr>
        <w:t xml:space="preserve">Para ello, la Ley 2040 de 2020 adopta una serie de instrumentos diversos, entre las cuales se cuentan una reducción del impuesto sobre la renta por contratación de adultos mayores –artículo 2–, la creación del sello amigable «adulto mayor» para identificar a las empresas que vinculen a adultos mayores que no cuentan con pensión –artículo 7–, la creación de la «Ruta para el emprendimiento del adulto mayor» para que los adultos mayores puedan poner en marcha su propia empresa –artículo 10–. </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r w:rsidRPr="00FB65A0">
        <w:rPr>
          <w:rFonts w:ascii="Arial" w:eastAsia="Calibri" w:hAnsi="Arial" w:cs="Arial"/>
          <w:bCs/>
          <w:color w:val="000000" w:themeColor="text1"/>
          <w:sz w:val="20"/>
          <w:szCs w:val="20"/>
          <w:lang w:val="es-ES"/>
        </w:rPr>
        <w:t>Todos estos son mecanismos que la ley instrumenta para cumplir su finalidad: incrementar la empleabilidad de los adultos mayores, lo que a la postre, se espera, se traducirá en mayor empleo para este sector vulnerable de la población.</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FB65A0" w:rsidRPr="00FB65A0" w:rsidRDefault="00FB65A0" w:rsidP="00FB65A0">
      <w:pPr>
        <w:spacing w:after="0" w:line="240" w:lineRule="auto"/>
        <w:jc w:val="both"/>
        <w:rPr>
          <w:rFonts w:ascii="Arial" w:eastAsia="Calibri" w:hAnsi="Arial" w:cs="Arial"/>
          <w:b/>
          <w:bCs/>
          <w:color w:val="000000" w:themeColor="text1"/>
          <w:lang w:val="es-ES"/>
        </w:rPr>
      </w:pPr>
      <w:r w:rsidRPr="00FB65A0">
        <w:rPr>
          <w:rFonts w:ascii="Arial" w:eastAsia="Calibri" w:hAnsi="Arial" w:cs="Arial"/>
          <w:b/>
          <w:bCs/>
          <w:color w:val="000000" w:themeColor="text1"/>
          <w:lang w:val="es-ES"/>
        </w:rPr>
        <w:t>INCENTIVOS CONTRACTUALES – Empleabilidad de adultos mayores – Criterio de desempate – Necesidad del reglamento</w:t>
      </w:r>
    </w:p>
    <w:p w:rsidR="00FB65A0" w:rsidRPr="00FB65A0" w:rsidRDefault="00FB65A0" w:rsidP="00FB65A0">
      <w:pPr>
        <w:spacing w:after="0" w:line="240" w:lineRule="auto"/>
        <w:jc w:val="both"/>
        <w:rPr>
          <w:rFonts w:ascii="Arial" w:eastAsia="Calibri" w:hAnsi="Arial" w:cs="Arial"/>
          <w:bCs/>
          <w:color w:val="000000" w:themeColor="text1"/>
          <w:sz w:val="20"/>
          <w:szCs w:val="20"/>
          <w:lang w:val="es-ES"/>
        </w:rPr>
      </w:pPr>
    </w:p>
    <w:p w:rsidR="00D57013" w:rsidRPr="00D57013" w:rsidRDefault="00D57013" w:rsidP="00D57013">
      <w:pPr>
        <w:spacing w:after="0" w:line="240" w:lineRule="auto"/>
        <w:rPr>
          <w:rFonts w:ascii="Arial" w:eastAsia="Calibri" w:hAnsi="Arial" w:cs="Arial"/>
          <w:bCs/>
          <w:color w:val="000000" w:themeColor="text1"/>
          <w:sz w:val="20"/>
          <w:szCs w:val="20"/>
          <w:lang w:val="es-ES"/>
        </w:rPr>
      </w:pPr>
      <w:r w:rsidRPr="00D57013">
        <w:rPr>
          <w:rFonts w:ascii="Arial" w:eastAsia="Calibri" w:hAnsi="Arial" w:cs="Arial"/>
          <w:bCs/>
          <w:color w:val="000000" w:themeColor="text1"/>
          <w:sz w:val="20"/>
          <w:szCs w:val="20"/>
          <w:lang w:val="es-ES"/>
        </w:rPr>
        <w:t xml:space="preserve">El criterio de desempate creado es una «estrategias para la promoción del empleo de personas mayores», y requiere reglamentación previa para establecer qué tipo de actividades y oficios pueden </w:t>
      </w:r>
      <w:r w:rsidRPr="00D57013">
        <w:rPr>
          <w:rFonts w:ascii="Arial" w:eastAsia="Calibri" w:hAnsi="Arial" w:cs="Arial"/>
          <w:bCs/>
          <w:color w:val="000000" w:themeColor="text1"/>
          <w:sz w:val="20"/>
          <w:szCs w:val="20"/>
          <w:lang w:val="es-ES"/>
        </w:rPr>
        <w:lastRenderedPageBreak/>
        <w:t>desempeñar los adultos mayores, y otorga un derecho especial para las empresas que se acogen a esa Ley, por lo que, según el literal del artículo 4, debe ser objeto de reglamentación por el Gobierno Nacional en un término no mayor a 6 meses.</w:t>
      </w:r>
    </w:p>
    <w:p w:rsidR="00FB65A0" w:rsidRPr="00FB65A0" w:rsidRDefault="00FB65A0" w:rsidP="00FB65A0">
      <w:pPr>
        <w:spacing w:after="0" w:line="240" w:lineRule="auto"/>
        <w:rPr>
          <w:rFonts w:ascii="Arial" w:eastAsia="Times New Roman" w:hAnsi="Arial" w:cs="Arial"/>
          <w:color w:val="000000" w:themeColor="text1"/>
          <w:szCs w:val="24"/>
          <w:lang w:val="es-ES"/>
        </w:rPr>
      </w:pPr>
    </w:p>
    <w:p w:rsidR="00FB65A0" w:rsidRPr="00FB65A0" w:rsidRDefault="00FB65A0" w:rsidP="00FB65A0">
      <w:pPr>
        <w:spacing w:after="0" w:line="240" w:lineRule="auto"/>
        <w:rPr>
          <w:rFonts w:ascii="Arial" w:eastAsia="Times New Roman" w:hAnsi="Arial" w:cs="Arial"/>
          <w:color w:val="000000" w:themeColor="text1"/>
          <w:szCs w:val="24"/>
          <w:lang w:val="es-ES"/>
        </w:rPr>
      </w:pPr>
    </w:p>
    <w:p w:rsidR="00FB65A0" w:rsidRPr="00FB65A0" w:rsidRDefault="00FB65A0" w:rsidP="00FB65A0">
      <w:pPr>
        <w:spacing w:after="0" w:line="240" w:lineRule="auto"/>
        <w:rPr>
          <w:rFonts w:ascii="Arial" w:eastAsia="Times New Roman" w:hAnsi="Arial" w:cs="Arial"/>
          <w:b/>
          <w:bCs/>
          <w:color w:val="000000" w:themeColor="text1"/>
          <w:szCs w:val="24"/>
          <w:lang w:val="es-ES"/>
        </w:rPr>
      </w:pPr>
      <w:r w:rsidRPr="00FB65A0">
        <w:rPr>
          <w:rFonts w:ascii="Arial" w:eastAsia="Times New Roman" w:hAnsi="Arial" w:cs="Arial"/>
          <w:color w:val="000000" w:themeColor="text1"/>
          <w:szCs w:val="24"/>
          <w:lang w:val="es-ES"/>
        </w:rPr>
        <w:t xml:space="preserve">Bogotá D.C., </w:t>
      </w:r>
      <w:r w:rsidR="000E4EE5" w:rsidRPr="000E4EE5">
        <w:rPr>
          <w:rFonts w:ascii="Arial" w:eastAsia="Times New Roman" w:hAnsi="Arial" w:cs="Arial"/>
          <w:b/>
          <w:color w:val="000000" w:themeColor="text1"/>
          <w:szCs w:val="24"/>
        </w:rPr>
        <w:t>26/08/2020 Hora 21:6:33s</w:t>
      </w:r>
    </w:p>
    <w:p w:rsidR="00FB65A0" w:rsidRPr="00FB65A0" w:rsidRDefault="000E4EE5" w:rsidP="00FB65A0">
      <w:pPr>
        <w:spacing w:after="0" w:line="240" w:lineRule="auto"/>
        <w:jc w:val="right"/>
        <w:rPr>
          <w:rFonts w:ascii="Arial" w:eastAsia="Calibri" w:hAnsi="Arial" w:cs="Arial"/>
          <w:color w:val="000000" w:themeColor="text1"/>
          <w:szCs w:val="24"/>
          <w:lang w:val="es-ES"/>
        </w:rPr>
      </w:pPr>
      <w:r>
        <w:rPr>
          <w:rFonts w:ascii="Arial" w:eastAsia="Times New Roman" w:hAnsi="Arial" w:cs="Arial"/>
          <w:b/>
          <w:bCs/>
          <w:color w:val="000000" w:themeColor="text1"/>
          <w:szCs w:val="24"/>
          <w:lang w:val="es-ES"/>
        </w:rPr>
        <w:t xml:space="preserve">N° Radicado: </w:t>
      </w:r>
      <w:r w:rsidRPr="000E4EE5">
        <w:rPr>
          <w:rFonts w:ascii="Arial" w:eastAsia="Times New Roman" w:hAnsi="Arial" w:cs="Arial"/>
          <w:b/>
          <w:bCs/>
          <w:color w:val="000000" w:themeColor="text1"/>
          <w:szCs w:val="24"/>
        </w:rPr>
        <w:t>2202013000008009</w:t>
      </w:r>
    </w:p>
    <w:p w:rsidR="00FB65A0" w:rsidRPr="00FB65A0" w:rsidRDefault="00FB65A0" w:rsidP="00FB65A0">
      <w:pPr>
        <w:spacing w:after="0" w:line="240" w:lineRule="auto"/>
        <w:rPr>
          <w:rFonts w:ascii="Arial" w:eastAsia="Calibri" w:hAnsi="Arial" w:cs="Arial"/>
          <w:color w:val="000000" w:themeColor="text1"/>
          <w:szCs w:val="24"/>
          <w:lang w:val="es-ES"/>
        </w:rPr>
      </w:pPr>
    </w:p>
    <w:p w:rsidR="00FB65A0" w:rsidRPr="00FB65A0" w:rsidRDefault="00FB65A0" w:rsidP="00FB65A0">
      <w:pPr>
        <w:spacing w:after="0" w:line="240" w:lineRule="auto"/>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Señor</w:t>
      </w:r>
    </w:p>
    <w:p w:rsidR="00FB65A0" w:rsidRPr="00FB65A0" w:rsidRDefault="00FB65A0" w:rsidP="00FB65A0">
      <w:pPr>
        <w:spacing w:after="0" w:line="240" w:lineRule="auto"/>
        <w:rPr>
          <w:rFonts w:ascii="Arial" w:eastAsia="Calibri" w:hAnsi="Arial" w:cs="Arial"/>
          <w:b/>
          <w:color w:val="000000" w:themeColor="text1"/>
          <w:szCs w:val="24"/>
          <w:lang w:val="es-ES"/>
        </w:rPr>
      </w:pPr>
      <w:r>
        <w:rPr>
          <w:rFonts w:ascii="Arial" w:eastAsia="Calibri" w:hAnsi="Arial" w:cs="Arial"/>
          <w:b/>
          <w:color w:val="000000" w:themeColor="text1"/>
          <w:szCs w:val="24"/>
          <w:lang w:val="es-ES"/>
        </w:rPr>
        <w:t xml:space="preserve">Martín Elías Salcedo </w:t>
      </w:r>
      <w:r w:rsidRPr="00FB65A0">
        <w:rPr>
          <w:rFonts w:ascii="Arial" w:eastAsia="Calibri" w:hAnsi="Arial" w:cs="Arial"/>
          <w:b/>
          <w:color w:val="000000" w:themeColor="text1"/>
          <w:szCs w:val="24"/>
          <w:lang w:val="es-ES"/>
        </w:rPr>
        <w:t xml:space="preserve"> </w:t>
      </w:r>
    </w:p>
    <w:p w:rsidR="00FB65A0" w:rsidRPr="00FB65A0" w:rsidRDefault="00FB65A0" w:rsidP="00FB65A0">
      <w:pPr>
        <w:spacing w:after="0" w:line="240" w:lineRule="auto"/>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Bogotá, Cundinamarca </w:t>
      </w:r>
    </w:p>
    <w:p w:rsidR="00FB65A0" w:rsidRPr="00FB65A0" w:rsidRDefault="00FB65A0" w:rsidP="00FB65A0">
      <w:pPr>
        <w:spacing w:after="0" w:line="240" w:lineRule="auto"/>
        <w:rPr>
          <w:rFonts w:ascii="Arial" w:eastAsia="Calibri" w:hAnsi="Arial" w:cs="Arial"/>
          <w:color w:val="000000" w:themeColor="text1"/>
          <w:szCs w:val="24"/>
          <w:lang w:val="es-ES"/>
        </w:rPr>
      </w:pPr>
    </w:p>
    <w:p w:rsidR="00FB65A0" w:rsidRPr="00FB65A0" w:rsidRDefault="00FB65A0" w:rsidP="00FB65A0">
      <w:pPr>
        <w:spacing w:after="0" w:line="240" w:lineRule="auto"/>
        <w:rPr>
          <w:rFonts w:ascii="Arial" w:eastAsia="Calibri" w:hAnsi="Arial" w:cs="Arial"/>
          <w:color w:val="000000" w:themeColor="text1"/>
          <w:szCs w:val="24"/>
          <w:lang w:val="es-ES"/>
        </w:rPr>
      </w:pPr>
    </w:p>
    <w:p w:rsidR="00FB65A0" w:rsidRPr="00FB65A0" w:rsidRDefault="00FB65A0" w:rsidP="00FB65A0">
      <w:pPr>
        <w:spacing w:after="0" w:line="240" w:lineRule="auto"/>
        <w:ind w:firstLine="2694"/>
        <w:rPr>
          <w:rFonts w:ascii="Arial" w:eastAsia="Calibri" w:hAnsi="Arial" w:cs="Arial"/>
          <w:b/>
          <w:color w:val="000000" w:themeColor="text1"/>
          <w:szCs w:val="24"/>
          <w:lang w:val="es-ES"/>
        </w:rPr>
      </w:pPr>
      <w:r w:rsidRPr="00FB65A0">
        <w:rPr>
          <w:rFonts w:ascii="Arial" w:eastAsia="Calibri" w:hAnsi="Arial" w:cs="Arial"/>
          <w:b/>
          <w:color w:val="000000" w:themeColor="text1"/>
          <w:szCs w:val="24"/>
          <w:lang w:val="es-ES"/>
        </w:rPr>
        <w:t>Concepto C ─</w:t>
      </w:r>
      <w:r>
        <w:rPr>
          <w:rFonts w:ascii="Arial" w:eastAsia="Calibri" w:hAnsi="Arial" w:cs="Arial"/>
          <w:b/>
          <w:color w:val="000000" w:themeColor="text1"/>
          <w:szCs w:val="24"/>
          <w:lang w:val="es-ES"/>
        </w:rPr>
        <w:t xml:space="preserve"> </w:t>
      </w:r>
      <w:r w:rsidR="00005585">
        <w:rPr>
          <w:rFonts w:ascii="Arial" w:eastAsia="Calibri" w:hAnsi="Arial" w:cs="Arial"/>
          <w:b/>
          <w:color w:val="000000" w:themeColor="text1"/>
          <w:szCs w:val="24"/>
          <w:lang w:val="es-ES"/>
        </w:rPr>
        <w:t>537</w:t>
      </w:r>
      <w:r w:rsidRPr="00FB65A0">
        <w:rPr>
          <w:rFonts w:ascii="Arial" w:eastAsia="Calibri" w:hAnsi="Arial" w:cs="Arial"/>
          <w:b/>
          <w:color w:val="000000" w:themeColor="text1"/>
          <w:szCs w:val="24"/>
          <w:lang w:val="es-ES"/>
        </w:rPr>
        <w:t xml:space="preserve"> de 2020</w:t>
      </w:r>
    </w:p>
    <w:p w:rsidR="00FB65A0" w:rsidRPr="00FB65A0" w:rsidRDefault="00FB65A0" w:rsidP="00FB65A0">
      <w:pPr>
        <w:spacing w:after="0" w:line="240" w:lineRule="auto"/>
        <w:rPr>
          <w:rFonts w:ascii="Arial" w:eastAsia="Calibri" w:hAnsi="Arial" w:cs="Arial"/>
          <w:color w:val="000000" w:themeColor="text1"/>
          <w:szCs w:val="24"/>
          <w:lang w:val="es-ES"/>
        </w:rPr>
      </w:pPr>
    </w:p>
    <w:p w:rsidR="00FB65A0" w:rsidRPr="00FB65A0" w:rsidRDefault="00FB65A0" w:rsidP="00FB65A0">
      <w:pPr>
        <w:spacing w:after="0" w:line="240" w:lineRule="auto"/>
        <w:rPr>
          <w:rFonts w:ascii="Arial" w:eastAsia="Calibri" w:hAnsi="Arial" w:cs="Arial"/>
          <w:color w:val="000000" w:themeColor="text1"/>
          <w:szCs w:val="24"/>
          <w:lang w:val="es-ES"/>
        </w:rPr>
      </w:pPr>
      <w:bookmarkStart w:id="2" w:name="_GoBack"/>
      <w:bookmarkEnd w:id="2"/>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B65A0" w:rsidRPr="00FB65A0" w:rsidTr="002D21B8">
        <w:tc>
          <w:tcPr>
            <w:tcW w:w="2689" w:type="dxa"/>
            <w:hideMark/>
          </w:tcPr>
          <w:p w:rsidR="00FB65A0" w:rsidRPr="00FB65A0" w:rsidRDefault="00FB65A0" w:rsidP="00FB65A0">
            <w:pPr>
              <w:rPr>
                <w:rFonts w:ascii="Arial" w:eastAsia="Calibri" w:hAnsi="Arial" w:cs="Arial"/>
                <w:color w:val="000000" w:themeColor="text1"/>
                <w:szCs w:val="24"/>
                <w:lang w:val="es-ES"/>
              </w:rPr>
            </w:pPr>
            <w:r w:rsidRPr="00FB65A0">
              <w:rPr>
                <w:rFonts w:ascii="Arial" w:eastAsia="Calibri" w:hAnsi="Arial" w:cs="Arial"/>
                <w:b/>
                <w:color w:val="000000" w:themeColor="text1"/>
                <w:szCs w:val="24"/>
                <w:lang w:val="es-ES"/>
              </w:rPr>
              <w:t>Temas:</w:t>
            </w:r>
            <w:r w:rsidRPr="00FB65A0">
              <w:rPr>
                <w:rFonts w:ascii="Arial" w:eastAsia="Calibri" w:hAnsi="Arial" w:cs="Arial"/>
                <w:color w:val="000000" w:themeColor="text1"/>
                <w:szCs w:val="24"/>
                <w:lang w:val="es-ES"/>
              </w:rPr>
              <w:t xml:space="preserve">           </w:t>
            </w:r>
          </w:p>
          <w:p w:rsidR="00FB65A0" w:rsidRPr="00FB65A0" w:rsidRDefault="00FB65A0" w:rsidP="00FB65A0">
            <w:pPr>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                           </w:t>
            </w:r>
          </w:p>
        </w:tc>
        <w:tc>
          <w:tcPr>
            <w:tcW w:w="6237" w:type="dxa"/>
            <w:hideMark/>
          </w:tcPr>
          <w:p w:rsidR="00FB65A0" w:rsidRPr="00FB65A0" w:rsidRDefault="00FB65A0" w:rsidP="00FB65A0">
            <w:pPr>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CONTRATACIÓN ESTATAL – Políticas horizontales / CONTRATACIÓN ESTATAL – Políticas horizontales – Incentivos contractuales / INCENTIVOS CONTRACTUALES – Empleabilidad de adultos mayores – Política horizontal – Criterio de desempate – Ley 2040 de 2020 / INCENTIVOS CONTRACTUALES – Empleabilidad de adultos mayores – Criterio de desempate – Necesidad del reglamento</w:t>
            </w:r>
          </w:p>
          <w:p w:rsidR="00FB65A0" w:rsidRPr="00FB65A0" w:rsidRDefault="00FB65A0" w:rsidP="00FB65A0">
            <w:pPr>
              <w:jc w:val="both"/>
              <w:rPr>
                <w:rFonts w:ascii="Arial" w:eastAsia="Calibri" w:hAnsi="Arial" w:cs="Arial"/>
                <w:color w:val="000000" w:themeColor="text1"/>
                <w:szCs w:val="24"/>
                <w:lang w:val="es-ES"/>
              </w:rPr>
            </w:pPr>
          </w:p>
          <w:p w:rsidR="00FB65A0" w:rsidRPr="00FB65A0" w:rsidRDefault="00FB65A0" w:rsidP="00FB65A0">
            <w:pPr>
              <w:jc w:val="both"/>
              <w:rPr>
                <w:rFonts w:ascii="Arial" w:eastAsia="Calibri" w:hAnsi="Arial" w:cs="Arial"/>
                <w:color w:val="000000" w:themeColor="text1"/>
                <w:szCs w:val="24"/>
                <w:lang w:val="es-ES"/>
              </w:rPr>
            </w:pPr>
          </w:p>
        </w:tc>
      </w:tr>
      <w:tr w:rsidR="00FB65A0" w:rsidRPr="00FB65A0" w:rsidTr="002D21B8">
        <w:trPr>
          <w:trHeight w:val="95"/>
        </w:trPr>
        <w:tc>
          <w:tcPr>
            <w:tcW w:w="2689" w:type="dxa"/>
          </w:tcPr>
          <w:p w:rsidR="00FB65A0" w:rsidRPr="00FB65A0" w:rsidRDefault="00FB65A0" w:rsidP="00FB65A0">
            <w:pPr>
              <w:spacing w:before="60"/>
              <w:rPr>
                <w:rFonts w:ascii="Arial" w:eastAsia="Calibri" w:hAnsi="Arial" w:cs="Arial"/>
                <w:b/>
                <w:color w:val="000000" w:themeColor="text1"/>
                <w:szCs w:val="24"/>
                <w:lang w:val="es-ES"/>
              </w:rPr>
            </w:pPr>
            <w:r w:rsidRPr="00FB65A0">
              <w:rPr>
                <w:rFonts w:ascii="Arial" w:eastAsia="Calibri" w:hAnsi="Arial" w:cs="Arial"/>
                <w:b/>
                <w:color w:val="000000" w:themeColor="text1"/>
                <w:szCs w:val="24"/>
                <w:lang w:val="es-ES"/>
              </w:rPr>
              <w:t>Radicación:</w:t>
            </w:r>
            <w:r w:rsidRPr="00FB65A0">
              <w:rPr>
                <w:rFonts w:ascii="Arial" w:eastAsia="Calibri" w:hAnsi="Arial" w:cs="Arial"/>
                <w:color w:val="000000" w:themeColor="text1"/>
                <w:szCs w:val="24"/>
                <w:lang w:val="es-ES"/>
              </w:rPr>
              <w:t xml:space="preserve">                              </w:t>
            </w:r>
          </w:p>
        </w:tc>
        <w:tc>
          <w:tcPr>
            <w:tcW w:w="6237" w:type="dxa"/>
          </w:tcPr>
          <w:p w:rsidR="00FB65A0" w:rsidRPr="00FB65A0" w:rsidRDefault="000E4EE5" w:rsidP="00617D7D">
            <w:pPr>
              <w:spacing w:before="60"/>
              <w:jc w:val="both"/>
              <w:rPr>
                <w:rFonts w:ascii="Arial" w:eastAsia="Calibri" w:hAnsi="Arial" w:cs="Arial"/>
                <w:color w:val="000000" w:themeColor="text1"/>
                <w:szCs w:val="24"/>
                <w:lang w:val="es-ES"/>
              </w:rPr>
            </w:pPr>
            <w:r>
              <w:rPr>
                <w:rFonts w:ascii="Arial" w:eastAsia="Calibri" w:hAnsi="Arial" w:cs="Arial"/>
                <w:color w:val="000000" w:themeColor="text1"/>
                <w:szCs w:val="24"/>
                <w:lang w:val="es-ES"/>
              </w:rPr>
              <w:t>Respuesta a consulta # 4202012</w:t>
            </w:r>
            <w:r w:rsidR="00FB65A0" w:rsidRPr="00FB65A0">
              <w:rPr>
                <w:rFonts w:ascii="Arial" w:eastAsia="Calibri" w:hAnsi="Arial" w:cs="Arial"/>
                <w:color w:val="000000" w:themeColor="text1"/>
                <w:szCs w:val="24"/>
                <w:lang w:val="es-ES"/>
              </w:rPr>
              <w:t>000006</w:t>
            </w:r>
            <w:r>
              <w:rPr>
                <w:rFonts w:ascii="Arial" w:eastAsia="Calibri" w:hAnsi="Arial" w:cs="Arial"/>
                <w:color w:val="000000" w:themeColor="text1"/>
                <w:szCs w:val="24"/>
                <w:lang w:val="es-ES"/>
              </w:rPr>
              <w:t>684</w:t>
            </w:r>
          </w:p>
        </w:tc>
      </w:tr>
    </w:tbl>
    <w:p w:rsidR="00FB65A0" w:rsidRPr="00FB65A0" w:rsidRDefault="00FB65A0" w:rsidP="00FB65A0">
      <w:pPr>
        <w:spacing w:before="60" w:after="0" w:line="240" w:lineRule="auto"/>
        <w:jc w:val="both"/>
        <w:rPr>
          <w:rFonts w:ascii="Arial" w:eastAsia="Calibri" w:hAnsi="Arial" w:cs="Arial"/>
          <w:color w:val="000000" w:themeColor="text1"/>
          <w:szCs w:val="24"/>
          <w:lang w:val="es-ES"/>
        </w:rPr>
      </w:pPr>
    </w:p>
    <w:p w:rsidR="00FB65A0" w:rsidRPr="00FB65A0" w:rsidRDefault="00FB65A0" w:rsidP="00FB65A0">
      <w:pPr>
        <w:spacing w:after="0" w:line="240" w:lineRule="auto"/>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Estimad</w:t>
      </w:r>
      <w:r w:rsidR="00C323EB">
        <w:rPr>
          <w:rFonts w:ascii="Arial" w:eastAsia="Calibri" w:hAnsi="Arial" w:cs="Arial"/>
          <w:color w:val="000000" w:themeColor="text1"/>
          <w:szCs w:val="24"/>
          <w:lang w:val="es-ES"/>
        </w:rPr>
        <w:t>o</w:t>
      </w:r>
      <w:r w:rsidRPr="00FB65A0">
        <w:rPr>
          <w:rFonts w:ascii="Arial" w:eastAsia="Calibri" w:hAnsi="Arial" w:cs="Arial"/>
          <w:color w:val="000000" w:themeColor="text1"/>
          <w:szCs w:val="24"/>
          <w:lang w:val="es-ES"/>
        </w:rPr>
        <w:t xml:space="preserve"> señor</w:t>
      </w:r>
      <w:r>
        <w:rPr>
          <w:rFonts w:ascii="Arial" w:eastAsia="Calibri" w:hAnsi="Arial" w:cs="Arial"/>
          <w:color w:val="000000" w:themeColor="text1"/>
          <w:szCs w:val="24"/>
          <w:lang w:val="es-ES"/>
        </w:rPr>
        <w:t xml:space="preserve"> Salcedo</w:t>
      </w:r>
      <w:r w:rsidRPr="00FB65A0">
        <w:rPr>
          <w:rFonts w:ascii="Arial" w:eastAsia="Calibri" w:hAnsi="Arial" w:cs="Arial"/>
          <w:color w:val="000000" w:themeColor="text1"/>
          <w:szCs w:val="24"/>
          <w:lang w:val="es-ES"/>
        </w:rPr>
        <w:t>:</w:t>
      </w:r>
    </w:p>
    <w:p w:rsidR="00FB65A0" w:rsidRPr="00FB65A0" w:rsidRDefault="00FB65A0" w:rsidP="00FB65A0">
      <w:pPr>
        <w:spacing w:after="0" w:line="240" w:lineRule="auto"/>
        <w:rPr>
          <w:rFonts w:ascii="Arial" w:eastAsia="Calibri" w:hAnsi="Arial" w:cs="Arial"/>
          <w:color w:val="000000" w:themeColor="text1"/>
          <w:szCs w:val="24"/>
          <w:lang w:val="es-ES"/>
        </w:rPr>
      </w:pPr>
    </w:p>
    <w:p w:rsidR="00FB65A0" w:rsidRPr="00FB65A0" w:rsidRDefault="00FB65A0" w:rsidP="00FB65A0">
      <w:pPr>
        <w:spacing w:after="0" w:line="276" w:lineRule="auto"/>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Cs w:val="24"/>
          <w:lang w:val="es-ES"/>
        </w:rPr>
        <w:t>5 de agosto</w:t>
      </w:r>
      <w:r w:rsidRPr="00FB65A0">
        <w:rPr>
          <w:rFonts w:ascii="Arial" w:eastAsia="Calibri" w:hAnsi="Arial" w:cs="Arial"/>
          <w:color w:val="000000" w:themeColor="text1"/>
          <w:szCs w:val="24"/>
          <w:lang w:val="es-ES"/>
        </w:rPr>
        <w:t xml:space="preserve"> de 2020. </w:t>
      </w:r>
    </w:p>
    <w:p w:rsidR="00FB65A0" w:rsidRPr="00FB65A0" w:rsidRDefault="00FB65A0" w:rsidP="00FB65A0">
      <w:pPr>
        <w:spacing w:after="0" w:line="276" w:lineRule="auto"/>
        <w:jc w:val="both"/>
        <w:rPr>
          <w:rFonts w:ascii="Arial" w:eastAsia="Calibri" w:hAnsi="Arial" w:cs="Arial"/>
          <w:color w:val="000000" w:themeColor="text1"/>
          <w:szCs w:val="24"/>
          <w:lang w:val="es-ES"/>
        </w:rPr>
      </w:pPr>
    </w:p>
    <w:p w:rsidR="00FB65A0" w:rsidRPr="00FB65A0" w:rsidRDefault="00FB65A0" w:rsidP="004C213B">
      <w:pPr>
        <w:numPr>
          <w:ilvl w:val="0"/>
          <w:numId w:val="1"/>
        </w:numPr>
        <w:tabs>
          <w:tab w:val="left" w:pos="284"/>
        </w:tabs>
        <w:spacing w:after="0" w:line="276" w:lineRule="auto"/>
        <w:ind w:left="0" w:firstLine="0"/>
        <w:contextualSpacing/>
        <w:jc w:val="both"/>
        <w:rPr>
          <w:rFonts w:ascii="Arial" w:eastAsia="Calibri" w:hAnsi="Arial" w:cs="Arial"/>
          <w:b/>
          <w:color w:val="000000" w:themeColor="text1"/>
          <w:lang w:val="es-ES"/>
        </w:rPr>
      </w:pPr>
      <w:r w:rsidRPr="00FB65A0">
        <w:rPr>
          <w:rFonts w:ascii="Arial" w:eastAsia="Calibri" w:hAnsi="Arial" w:cs="Arial"/>
          <w:b/>
          <w:color w:val="000000" w:themeColor="text1"/>
          <w:lang w:val="es-ES"/>
        </w:rPr>
        <w:t xml:space="preserve">Problemas planteados </w:t>
      </w:r>
    </w:p>
    <w:p w:rsidR="00FB65A0" w:rsidRPr="00FB65A0" w:rsidRDefault="00FB65A0" w:rsidP="00FB65A0">
      <w:pPr>
        <w:tabs>
          <w:tab w:val="left" w:pos="426"/>
        </w:tabs>
        <w:spacing w:after="0" w:line="276" w:lineRule="auto"/>
        <w:jc w:val="both"/>
        <w:rPr>
          <w:rFonts w:ascii="Arial" w:eastAsia="Calibri" w:hAnsi="Arial" w:cs="Arial"/>
          <w:b/>
          <w:color w:val="000000" w:themeColor="text1"/>
          <w:szCs w:val="24"/>
          <w:lang w:val="es-ES"/>
        </w:rPr>
      </w:pPr>
    </w:p>
    <w:p w:rsidR="00FB65A0" w:rsidRPr="00FB65A0" w:rsidRDefault="00130F0D" w:rsidP="00FB65A0">
      <w:pPr>
        <w:tabs>
          <w:tab w:val="left" w:pos="426"/>
        </w:tabs>
        <w:spacing w:after="0" w:line="276" w:lineRule="auto"/>
        <w:jc w:val="both"/>
        <w:rPr>
          <w:rFonts w:ascii="Arial" w:eastAsia="Calibri" w:hAnsi="Arial" w:cs="Arial"/>
          <w:color w:val="000000" w:themeColor="text1"/>
          <w:szCs w:val="24"/>
          <w:lang w:val="es-ES"/>
        </w:rPr>
      </w:pPr>
      <w:r>
        <w:rPr>
          <w:rFonts w:ascii="Arial" w:eastAsia="Calibri" w:hAnsi="Arial" w:cs="Arial"/>
          <w:color w:val="000000" w:themeColor="text1"/>
          <w:szCs w:val="24"/>
          <w:lang w:val="es-ES"/>
        </w:rPr>
        <w:t xml:space="preserve">Usted formula lo siguiente: </w:t>
      </w:r>
      <w:r w:rsidR="00FB65A0" w:rsidRPr="00FB65A0">
        <w:rPr>
          <w:rFonts w:ascii="Arial" w:eastAsia="Calibri" w:hAnsi="Arial" w:cs="Arial"/>
          <w:color w:val="000000" w:themeColor="text1"/>
          <w:szCs w:val="24"/>
        </w:rPr>
        <w:t xml:space="preserve">Teniendo en cuenta lo dispuesto en </w:t>
      </w:r>
      <w:r w:rsidR="00FB65A0">
        <w:rPr>
          <w:rFonts w:ascii="Arial" w:eastAsia="Calibri" w:hAnsi="Arial" w:cs="Arial"/>
          <w:color w:val="000000" w:themeColor="text1"/>
          <w:szCs w:val="24"/>
        </w:rPr>
        <w:t xml:space="preserve">el </w:t>
      </w:r>
      <w:r w:rsidR="00FB65A0" w:rsidRPr="00FB65A0">
        <w:rPr>
          <w:rFonts w:ascii="Arial" w:eastAsia="Calibri" w:hAnsi="Arial" w:cs="Arial"/>
          <w:color w:val="000000" w:themeColor="text1"/>
          <w:szCs w:val="24"/>
        </w:rPr>
        <w:t xml:space="preserve">artículo 3 de Ley 2040 del 27/07/2020 por medio del cual se adiciona un parágrafo al artículo 12 Ley 1150 de 2007 se solicita </w:t>
      </w:r>
      <w:r>
        <w:rPr>
          <w:rFonts w:ascii="Arial" w:eastAsia="Calibri" w:hAnsi="Arial" w:cs="Arial"/>
          <w:color w:val="000000" w:themeColor="text1"/>
          <w:szCs w:val="24"/>
        </w:rPr>
        <w:t xml:space="preserve">precisar: </w:t>
      </w:r>
      <w:r w:rsidR="00CC7D50" w:rsidRPr="00CC7D50">
        <w:rPr>
          <w:rFonts w:ascii="Arial" w:eastAsia="Calibri" w:hAnsi="Arial" w:cs="Arial"/>
          <w:color w:val="000000" w:themeColor="text1"/>
          <w:szCs w:val="24"/>
        </w:rPr>
        <w:t>«</w:t>
      </w:r>
      <w:r w:rsidRPr="00CC7D50">
        <w:rPr>
          <w:rFonts w:ascii="Arial" w:eastAsia="Calibri" w:hAnsi="Arial" w:cs="Arial"/>
          <w:color w:val="000000" w:themeColor="text1"/>
          <w:szCs w:val="24"/>
        </w:rPr>
        <w:t>i) ¿</w:t>
      </w:r>
      <w:r w:rsidR="00590358" w:rsidRPr="00CC7D50">
        <w:rPr>
          <w:rFonts w:ascii="Arial" w:eastAsia="Calibri" w:hAnsi="Arial" w:cs="Arial"/>
          <w:color w:val="000000" w:themeColor="text1"/>
          <w:szCs w:val="24"/>
        </w:rPr>
        <w:t>c</w:t>
      </w:r>
      <w:r w:rsidRPr="00CC7D50">
        <w:rPr>
          <w:rFonts w:ascii="Arial" w:eastAsia="Calibri" w:hAnsi="Arial" w:cs="Arial"/>
          <w:color w:val="000000" w:themeColor="text1"/>
          <w:szCs w:val="24"/>
        </w:rPr>
        <w:t>ómo</w:t>
      </w:r>
      <w:r w:rsidR="00FB65A0" w:rsidRPr="00CC7D50">
        <w:rPr>
          <w:rFonts w:ascii="Arial" w:eastAsia="Calibri" w:hAnsi="Arial" w:cs="Arial"/>
          <w:color w:val="000000" w:themeColor="text1"/>
          <w:szCs w:val="24"/>
        </w:rPr>
        <w:t xml:space="preserve"> queda el artículo 2.2.</w:t>
      </w:r>
      <w:r w:rsidRPr="00CC7D50">
        <w:rPr>
          <w:rFonts w:ascii="Arial" w:eastAsia="Calibri" w:hAnsi="Arial" w:cs="Arial"/>
          <w:color w:val="000000" w:themeColor="text1"/>
          <w:szCs w:val="24"/>
        </w:rPr>
        <w:t>1.1.2.2.9 Decreto 1082 de 2015, sobre factores de desempate?, ii) ¿</w:t>
      </w:r>
      <w:r w:rsidR="00590358" w:rsidRPr="00CC7D50">
        <w:rPr>
          <w:rFonts w:ascii="Arial" w:eastAsia="Calibri" w:hAnsi="Arial" w:cs="Arial"/>
          <w:color w:val="000000" w:themeColor="text1"/>
          <w:szCs w:val="24"/>
        </w:rPr>
        <w:t>c</w:t>
      </w:r>
      <w:r w:rsidRPr="00CC7D50">
        <w:rPr>
          <w:rFonts w:ascii="Arial" w:eastAsia="Calibri" w:hAnsi="Arial" w:cs="Arial"/>
          <w:color w:val="000000" w:themeColor="text1"/>
          <w:szCs w:val="24"/>
        </w:rPr>
        <w:t>uál sería el criterio de desempate inicial ?, iii) ¿</w:t>
      </w:r>
      <w:r w:rsidR="00590358" w:rsidRPr="00CC7D50">
        <w:rPr>
          <w:rFonts w:ascii="Arial" w:eastAsia="Calibri" w:hAnsi="Arial" w:cs="Arial"/>
          <w:color w:val="000000" w:themeColor="text1"/>
          <w:szCs w:val="24"/>
        </w:rPr>
        <w:t>e</w:t>
      </w:r>
      <w:r w:rsidRPr="00CC7D50">
        <w:rPr>
          <w:rFonts w:ascii="Arial" w:eastAsia="Calibri" w:hAnsi="Arial" w:cs="Arial"/>
          <w:color w:val="000000" w:themeColor="text1"/>
          <w:szCs w:val="24"/>
        </w:rPr>
        <w:t>l establecido en Ley 2040 o el que indica que el oferente que tenga el mayor puntaje en el primero de los factores de escogencia o calificación?</w:t>
      </w:r>
      <w:r w:rsidR="00CC7D50" w:rsidRPr="00CC7D50">
        <w:rPr>
          <w:rFonts w:ascii="Arial" w:eastAsia="Calibri" w:hAnsi="Arial" w:cs="Arial"/>
          <w:color w:val="000000" w:themeColor="text1"/>
          <w:szCs w:val="24"/>
        </w:rPr>
        <w:t>»</w:t>
      </w:r>
    </w:p>
    <w:p w:rsidR="00FB65A0" w:rsidRPr="00FB65A0" w:rsidRDefault="00FB65A0" w:rsidP="00FB65A0">
      <w:pPr>
        <w:tabs>
          <w:tab w:val="left" w:pos="426"/>
        </w:tabs>
        <w:spacing w:after="0" w:line="276" w:lineRule="auto"/>
        <w:jc w:val="both"/>
        <w:rPr>
          <w:rFonts w:ascii="Arial" w:eastAsia="Calibri" w:hAnsi="Arial" w:cs="Arial"/>
          <w:color w:val="000000" w:themeColor="text1"/>
          <w:szCs w:val="24"/>
          <w:lang w:val="es-ES"/>
        </w:rPr>
      </w:pPr>
    </w:p>
    <w:p w:rsidR="00FB65A0" w:rsidRPr="00FB65A0" w:rsidRDefault="00FB65A0" w:rsidP="00FB65A0">
      <w:pPr>
        <w:numPr>
          <w:ilvl w:val="0"/>
          <w:numId w:val="1"/>
        </w:numPr>
        <w:tabs>
          <w:tab w:val="left" w:pos="426"/>
        </w:tabs>
        <w:spacing w:after="0" w:line="276" w:lineRule="auto"/>
        <w:ind w:left="284" w:hanging="284"/>
        <w:contextualSpacing/>
        <w:jc w:val="both"/>
        <w:rPr>
          <w:rFonts w:ascii="Arial" w:eastAsia="Calibri" w:hAnsi="Arial" w:cs="Arial"/>
          <w:b/>
          <w:color w:val="000000" w:themeColor="text1"/>
          <w:lang w:val="es-ES"/>
        </w:rPr>
      </w:pPr>
      <w:r w:rsidRPr="00FB65A0">
        <w:rPr>
          <w:rFonts w:ascii="Arial" w:eastAsia="Calibri" w:hAnsi="Arial" w:cs="Arial"/>
          <w:b/>
          <w:color w:val="000000" w:themeColor="text1"/>
          <w:lang w:val="es-ES"/>
        </w:rPr>
        <w:t>Consideraciones</w:t>
      </w:r>
    </w:p>
    <w:p w:rsidR="00FB65A0" w:rsidRPr="00FB65A0" w:rsidRDefault="00FB65A0" w:rsidP="00FB65A0">
      <w:pPr>
        <w:tabs>
          <w:tab w:val="left" w:pos="426"/>
        </w:tabs>
        <w:spacing w:after="0" w:line="276" w:lineRule="auto"/>
        <w:jc w:val="both"/>
        <w:rPr>
          <w:rFonts w:ascii="Arial" w:eastAsia="Calibri" w:hAnsi="Arial" w:cs="Arial"/>
          <w:b/>
          <w:color w:val="000000" w:themeColor="text1"/>
          <w:szCs w:val="24"/>
          <w:lang w:val="es-ES"/>
        </w:rPr>
      </w:pPr>
    </w:p>
    <w:p w:rsidR="00FB65A0" w:rsidRPr="00FB65A0" w:rsidRDefault="00FB65A0" w:rsidP="00FB65A0">
      <w:pPr>
        <w:tabs>
          <w:tab w:val="left" w:pos="426"/>
        </w:tabs>
        <w:spacing w:after="120" w:line="276" w:lineRule="auto"/>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lastRenderedPageBreak/>
        <w:t>Para resolver los interrogantes planteados en la consulta, hay que analizar las políticas horizontales en la contratación pública, los incentivos contractuales, los tipos de incentivos reconocidos por el ordenamiento y la nueva opción establecida en el artículo 3 de la Ley 2040 de 2020, que crea un incentivo y criterio de desempate en virtud del cual se preferirá al proponente que demuestre la vinculación del mayor porcentaje de personas mayores que no sean beneficiarios de la pensión de vejez, familiar o de sobrevivencia, y que hayan cumplido el requisito de edad de pensión establecido en la ley.</w:t>
      </w:r>
    </w:p>
    <w:p w:rsidR="00FB65A0" w:rsidRPr="00FB65A0" w:rsidRDefault="00FB65A0" w:rsidP="00FB65A0">
      <w:pPr>
        <w:spacing w:after="120" w:line="276" w:lineRule="auto"/>
        <w:ind w:firstLine="708"/>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La Agencia Nacional de Contratación Pública – Colombia Compra Eficiente se ha pronunciado sobre la promoción y el fomento de la industria nacional, como uno de los incentivos en materia contractual, en los conceptos C–043 de 15 del enero de 2020, C–029 de 12 del febrero de 2020, C–073 del 28 de febrero de 2020, C–123 del 5 de marzo de 2020, C–114 del 6 de marzo de 2020, C–178 del 16 de marzo de 2020, C–119 del 18 de marzo de 2020, y C–460 de 2020 del 14 de julio de 2020. </w:t>
      </w:r>
    </w:p>
    <w:p w:rsidR="00FB65A0" w:rsidRPr="00FB65A0" w:rsidRDefault="00FB65A0" w:rsidP="00FB65A0">
      <w:pPr>
        <w:spacing w:after="120" w:line="276" w:lineRule="auto"/>
        <w:ind w:firstLine="708"/>
        <w:jc w:val="both"/>
        <w:rPr>
          <w:rFonts w:ascii="Arial" w:eastAsia="Calibri" w:hAnsi="Arial" w:cs="Arial"/>
          <w:szCs w:val="24"/>
          <w:lang w:val="es-ES"/>
        </w:rPr>
      </w:pPr>
      <w:r w:rsidRPr="00FB65A0">
        <w:rPr>
          <w:rFonts w:ascii="Arial" w:eastAsia="Calibri" w:hAnsi="Arial" w:cs="Arial"/>
          <w:color w:val="000000" w:themeColor="text1"/>
          <w:szCs w:val="24"/>
          <w:lang w:val="es-ES"/>
        </w:rPr>
        <w:t xml:space="preserve">Asimismo, </w:t>
      </w:r>
      <w:r w:rsidRPr="00FB65A0">
        <w:rPr>
          <w:rFonts w:ascii="Arial" w:eastAsia="Calibri" w:hAnsi="Arial" w:cs="Arial"/>
          <w:bCs/>
          <w:szCs w:val="24"/>
          <w:lang w:val="es-ES"/>
        </w:rPr>
        <w:t xml:space="preserve">en el concepto con radicado No. 4201912000004631 del 31 de julio de 2019, reiterado y desarrollado en los conceptos No. </w:t>
      </w:r>
      <w:r w:rsidRPr="00FB65A0">
        <w:rPr>
          <w:rFonts w:ascii="Arial" w:eastAsia="Calibri" w:hAnsi="Arial" w:cs="Arial"/>
          <w:szCs w:val="24"/>
          <w:lang w:val="es-ES"/>
        </w:rPr>
        <w:t xml:space="preserve">4201913000005084 del 23 de julio de 2019, 4201913000004446 del 13 de agosto de 2019, 4201912000005689 del 16 de septiembre de 2019, </w:t>
      </w:r>
      <w:r w:rsidRPr="00FB65A0">
        <w:rPr>
          <w:rFonts w:ascii="Arial" w:eastAsia="Times New Roman" w:hAnsi="Arial" w:cs="Arial"/>
          <w:szCs w:val="24"/>
          <w:lang w:val="es-ES"/>
        </w:rPr>
        <w:t>4201913000006373 del 18 de septiembre de 2019,</w:t>
      </w:r>
      <w:r w:rsidRPr="00FB65A0">
        <w:rPr>
          <w:rFonts w:ascii="Arial" w:eastAsia="Calibri" w:hAnsi="Arial" w:cs="Arial"/>
          <w:szCs w:val="24"/>
          <w:lang w:val="es-ES"/>
        </w:rPr>
        <w:t xml:space="preserve"> 4201913000006154 del 10 de octubre de 2019, 4201912000006258 del 3 de octubre de 2019, </w:t>
      </w:r>
      <w:r w:rsidRPr="00FB65A0">
        <w:rPr>
          <w:rFonts w:ascii="Arial" w:eastAsia="Times New Roman" w:hAnsi="Arial" w:cs="Arial"/>
          <w:szCs w:val="24"/>
          <w:lang w:val="es-ES"/>
        </w:rPr>
        <w:t>4201912000007756 del 16 de noviembre de 2019,</w:t>
      </w:r>
      <w:r w:rsidRPr="00FB65A0">
        <w:rPr>
          <w:rFonts w:ascii="Arial" w:eastAsia="Calibri" w:hAnsi="Arial" w:cs="Arial"/>
          <w:szCs w:val="24"/>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 estudió los requisitos para acreditar la vinculación de personas en condición de discapacidad en la planta de personal, con la finalidad de obtener el incentivo previsto en el Decreto 392 de 2018.</w:t>
      </w:r>
    </w:p>
    <w:p w:rsidR="00FB65A0" w:rsidRPr="00FB65A0" w:rsidRDefault="00FB65A0" w:rsidP="00FB65A0">
      <w:pPr>
        <w:spacing w:after="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Por último, esta Agencia ha estudiado los incentivos en materia de Mipymes en los conceptos del 5 y el 20 de agosto de 2019 –radicados Nos. 2201913000005596 y 2201913000006007–, y recientemente en los conceptos CU–021 del 21 de febrero de 2020, C–050 del 25 de febrero de 2020, C–058 del 25 de febrero de 2018, , C–092 del 4 de marzo de 2020, C–083 del 11 de marzo de 2020, C–045 del 17 de marzo de 2020, C–197 del 26 de marzo de 2020, C–258 del 17 de abril de 2020, C–214 del 21 de abril de 2020, C–302 del 12 de junio de 2020 y C–482 del 27 de julio de 2020. </w:t>
      </w:r>
    </w:p>
    <w:p w:rsidR="00FB65A0" w:rsidRPr="00FB65A0" w:rsidRDefault="00FB65A0" w:rsidP="00FB65A0">
      <w:pPr>
        <w:tabs>
          <w:tab w:val="left" w:pos="426"/>
        </w:tabs>
        <w:spacing w:after="0" w:line="276" w:lineRule="auto"/>
        <w:jc w:val="both"/>
        <w:rPr>
          <w:rFonts w:ascii="Arial" w:eastAsia="Calibri" w:hAnsi="Arial" w:cs="Arial"/>
          <w:b/>
          <w:color w:val="000000" w:themeColor="text1"/>
          <w:szCs w:val="24"/>
          <w:lang w:val="es-ES"/>
        </w:rPr>
      </w:pPr>
    </w:p>
    <w:p w:rsidR="00FB65A0" w:rsidRPr="00FB65A0" w:rsidRDefault="00FB65A0" w:rsidP="00FB65A0">
      <w:pPr>
        <w:tabs>
          <w:tab w:val="left" w:pos="426"/>
        </w:tabs>
        <w:spacing w:after="0" w:line="276" w:lineRule="auto"/>
        <w:jc w:val="both"/>
        <w:rPr>
          <w:rFonts w:ascii="Arial" w:eastAsia="Calibri" w:hAnsi="Arial" w:cs="Arial"/>
          <w:b/>
          <w:color w:val="000000" w:themeColor="text1"/>
          <w:szCs w:val="24"/>
          <w:lang w:val="es-ES"/>
        </w:rPr>
      </w:pPr>
      <w:r w:rsidRPr="00FB65A0">
        <w:rPr>
          <w:rFonts w:ascii="Arial" w:eastAsia="Calibri" w:hAnsi="Arial" w:cs="Arial"/>
          <w:b/>
          <w:color w:val="000000" w:themeColor="text1"/>
          <w:szCs w:val="24"/>
          <w:lang w:val="es-ES"/>
        </w:rPr>
        <w:t>2.1. Políticas horizontales e incentivos contractuales</w:t>
      </w:r>
    </w:p>
    <w:p w:rsidR="00FB65A0" w:rsidRPr="00FB65A0" w:rsidRDefault="00FB65A0" w:rsidP="00FB65A0">
      <w:pPr>
        <w:tabs>
          <w:tab w:val="left" w:pos="426"/>
        </w:tabs>
        <w:spacing w:after="0" w:line="276" w:lineRule="auto"/>
        <w:jc w:val="both"/>
        <w:rPr>
          <w:rFonts w:ascii="Arial" w:eastAsia="Calibri" w:hAnsi="Arial" w:cs="Arial"/>
          <w:b/>
          <w:color w:val="000000" w:themeColor="text1"/>
          <w:szCs w:val="24"/>
          <w:lang w:val="es-ES"/>
        </w:rPr>
      </w:pPr>
    </w:p>
    <w:p w:rsidR="00FB65A0" w:rsidRPr="00FB65A0" w:rsidRDefault="00FB65A0" w:rsidP="00FB65A0">
      <w:pPr>
        <w:tabs>
          <w:tab w:val="left" w:pos="426"/>
        </w:tabs>
        <w:spacing w:after="120" w:line="276" w:lineRule="auto"/>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La contratación pública puede utilizarse como un mecanismo para promover condiciones de trabajo equitativas, el desarrollo económico, oportunidades económicas para los sectores de </w:t>
      </w:r>
      <w:r w:rsidRPr="00FB65A0">
        <w:rPr>
          <w:rFonts w:ascii="Arial" w:eastAsia="Calibri" w:hAnsi="Arial" w:cs="Arial"/>
          <w:color w:val="000000" w:themeColor="text1"/>
          <w:szCs w:val="24"/>
          <w:lang w:val="es-ES"/>
        </w:rPr>
        <w:lastRenderedPageBreak/>
        <w:t>la población o las regiones más vulnerables dentro del territorio nacional y para promover la adquisición, de acuerdo con criterios de sostenibilidad ambiental</w:t>
      </w:r>
      <w:r w:rsidRPr="00FB65A0">
        <w:rPr>
          <w:rFonts w:ascii="Arial" w:eastAsia="Calibri" w:hAnsi="Arial" w:cs="Arial"/>
          <w:color w:val="000000" w:themeColor="text1"/>
          <w:szCs w:val="24"/>
          <w:vertAlign w:val="superscript"/>
          <w:lang w:val="es-ES"/>
        </w:rPr>
        <w:footnoteReference w:id="1"/>
      </w:r>
      <w:r w:rsidRPr="00FB65A0">
        <w:rPr>
          <w:rFonts w:ascii="Arial" w:eastAsia="Calibri" w:hAnsi="Arial" w:cs="Arial"/>
          <w:color w:val="000000" w:themeColor="text1"/>
          <w:szCs w:val="24"/>
          <w:lang w:val="es-ES"/>
        </w:rPr>
        <w:t>.</w:t>
      </w:r>
    </w:p>
    <w:p w:rsidR="00FB65A0" w:rsidRPr="00FB65A0" w:rsidRDefault="00FB65A0" w:rsidP="00FB65A0">
      <w:pPr>
        <w:tabs>
          <w:tab w:val="left" w:pos="426"/>
        </w:tabs>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Estas finalidades reciben diferentes nombres en los diversos contextos en los que s utilizan, algunos recurren al nombre de políticas secundarias, finalidades paralelas, o políticas colaterales u horizontales en materia de contratación</w:t>
      </w:r>
      <w:r w:rsidRPr="00FB65A0">
        <w:rPr>
          <w:rFonts w:ascii="Arial" w:eastAsia="Calibri" w:hAnsi="Arial" w:cs="Arial"/>
          <w:color w:val="000000" w:themeColor="text1"/>
          <w:szCs w:val="24"/>
          <w:vertAlign w:val="superscript"/>
          <w:lang w:val="es-ES"/>
        </w:rPr>
        <w:footnoteReference w:id="2"/>
      </w:r>
      <w:r w:rsidRPr="00FB65A0">
        <w:rPr>
          <w:rFonts w:ascii="Arial" w:eastAsia="Calibri" w:hAnsi="Arial" w:cs="Arial"/>
          <w:color w:val="000000" w:themeColor="text1"/>
          <w:szCs w:val="24"/>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w:t>
      </w:r>
      <w:r w:rsidRPr="00FB65A0">
        <w:rPr>
          <w:rFonts w:ascii="Verdana" w:eastAsia="Calibri" w:hAnsi="Verdana" w:cs="Arial"/>
          <w:color w:val="000000" w:themeColor="text1"/>
          <w:szCs w:val="24"/>
          <w:lang w:val="es-ES"/>
        </w:rPr>
        <w:t>«</w:t>
      </w:r>
      <w:r w:rsidRPr="00FB65A0">
        <w:rPr>
          <w:rFonts w:ascii="Arial" w:eastAsia="Calibri" w:hAnsi="Arial" w:cs="Arial"/>
          <w:color w:val="000000" w:themeColor="text1"/>
          <w:szCs w:val="24"/>
          <w:lang w:val="es-ES"/>
        </w:rPr>
        <w:t xml:space="preserve">el cumplimiento de los fines estatales, la continua y eficiente prestación de los servicios públicos y la efectividad de los derechos e intereses de los administrados que colaboran con ellas en la consecución de dichos fines». </w:t>
      </w:r>
    </w:p>
    <w:p w:rsidR="00FB65A0" w:rsidRPr="00FB65A0" w:rsidRDefault="00FB65A0" w:rsidP="00FB65A0">
      <w:pPr>
        <w:tabs>
          <w:tab w:val="left" w:pos="426"/>
        </w:tabs>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FB65A0">
        <w:rPr>
          <w:rFonts w:ascii="Arial" w:eastAsia="Calibri" w:hAnsi="Arial" w:cs="Arial"/>
          <w:color w:val="000000" w:themeColor="text1"/>
          <w:szCs w:val="24"/>
          <w:vertAlign w:val="superscript"/>
          <w:lang w:val="es-ES"/>
        </w:rPr>
        <w:footnoteReference w:id="3"/>
      </w:r>
      <w:r w:rsidRPr="00FB65A0">
        <w:rPr>
          <w:rFonts w:ascii="Arial" w:eastAsia="Calibri" w:hAnsi="Arial" w:cs="Arial"/>
          <w:color w:val="000000" w:themeColor="text1"/>
          <w:szCs w:val="24"/>
          <w:lang w:val="es-ES"/>
        </w:rPr>
        <w:t xml:space="preserve">. </w:t>
      </w:r>
    </w:p>
    <w:p w:rsidR="00FB65A0" w:rsidRPr="00FB65A0" w:rsidRDefault="00FB65A0" w:rsidP="00FB65A0">
      <w:pPr>
        <w:tabs>
          <w:tab w:val="left" w:pos="709"/>
        </w:tabs>
        <w:spacing w:after="120" w:line="276" w:lineRule="auto"/>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ab/>
        <w:t xml:space="preserve">Para la cabal comprensión, es necesario distinguir entre </w:t>
      </w:r>
      <w:r w:rsidRPr="00FB65A0">
        <w:rPr>
          <w:rFonts w:ascii="Verdana" w:eastAsia="Calibri" w:hAnsi="Verdana" w:cs="Arial"/>
          <w:color w:val="000000" w:themeColor="text1"/>
          <w:szCs w:val="24"/>
          <w:lang w:val="es-ES"/>
        </w:rPr>
        <w:t>«</w:t>
      </w:r>
      <w:r w:rsidRPr="00FB65A0">
        <w:rPr>
          <w:rFonts w:ascii="Arial" w:eastAsia="Calibri" w:hAnsi="Arial" w:cs="Arial"/>
          <w:color w:val="000000" w:themeColor="text1"/>
          <w:szCs w:val="24"/>
          <w:lang w:val="es-ES"/>
        </w:rPr>
        <w:t>política horizontal</w:t>
      </w:r>
      <w:r w:rsidRPr="00FB65A0">
        <w:rPr>
          <w:rFonts w:ascii="Verdana" w:eastAsia="Calibri" w:hAnsi="Verdana" w:cs="Arial"/>
          <w:color w:val="000000" w:themeColor="text1"/>
          <w:szCs w:val="24"/>
          <w:lang w:val="es-ES"/>
        </w:rPr>
        <w:t>»</w:t>
      </w:r>
      <w:r w:rsidRPr="00FB65A0">
        <w:rPr>
          <w:rFonts w:ascii="Arial" w:eastAsia="Calibri" w:hAnsi="Arial" w:cs="Arial"/>
          <w:color w:val="000000" w:themeColor="text1"/>
          <w:szCs w:val="24"/>
          <w:lang w:val="es-ES"/>
        </w:rPr>
        <w:t xml:space="preserve"> e </w:t>
      </w:r>
      <w:r w:rsidRPr="00FB65A0">
        <w:rPr>
          <w:rFonts w:ascii="Verdana" w:eastAsia="Calibri" w:hAnsi="Verdana" w:cs="Arial"/>
          <w:color w:val="000000" w:themeColor="text1"/>
          <w:szCs w:val="24"/>
          <w:lang w:val="es-ES"/>
        </w:rPr>
        <w:t>«</w:t>
      </w:r>
      <w:r w:rsidRPr="00FB65A0">
        <w:rPr>
          <w:rFonts w:ascii="Arial" w:eastAsia="Calibri" w:hAnsi="Arial" w:cs="Arial"/>
          <w:color w:val="000000" w:themeColor="text1"/>
          <w:szCs w:val="24"/>
          <w:lang w:val="es-ES"/>
        </w:rPr>
        <w:t>incentivo contractual</w:t>
      </w:r>
      <w:r w:rsidRPr="00FB65A0">
        <w:rPr>
          <w:rFonts w:ascii="Verdana" w:eastAsia="Calibri" w:hAnsi="Verdana" w:cs="Arial"/>
          <w:color w:val="000000" w:themeColor="text1"/>
          <w:szCs w:val="24"/>
          <w:lang w:val="es-ES"/>
        </w:rPr>
        <w:t>»</w:t>
      </w:r>
      <w:r w:rsidRPr="00FB65A0">
        <w:rPr>
          <w:rFonts w:ascii="Arial" w:eastAsia="Calibri" w:hAnsi="Arial" w:cs="Arial"/>
          <w:color w:val="000000" w:themeColor="text1"/>
          <w:szCs w:val="24"/>
          <w:lang w:val="es-ES"/>
        </w:rPr>
        <w:t>. La política horizontal, como se dijo,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w:t>
      </w:r>
      <w:r w:rsidRPr="00FB65A0">
        <w:rPr>
          <w:rFonts w:ascii="Arial" w:eastAsia="Calibri" w:hAnsi="Arial" w:cs="Arial"/>
          <w:color w:val="000000" w:themeColor="text1"/>
          <w:szCs w:val="24"/>
          <w:vertAlign w:val="superscript"/>
          <w:lang w:val="es-ES"/>
        </w:rPr>
        <w:footnoteReference w:id="4"/>
      </w:r>
      <w:r w:rsidRPr="00FB65A0">
        <w:rPr>
          <w:rFonts w:ascii="Arial" w:eastAsia="Calibri" w:hAnsi="Arial" w:cs="Arial"/>
          <w:color w:val="000000" w:themeColor="text1"/>
          <w:szCs w:val="24"/>
          <w:lang w:val="es-ES"/>
        </w:rPr>
        <w:t xml:space="preserve">, como es el caso, se reitera, de los criterios de desempate, puntaje adicional o convocatorias reservadas.  </w:t>
      </w:r>
    </w:p>
    <w:p w:rsidR="00FB65A0" w:rsidRPr="00FB65A0" w:rsidRDefault="00FB65A0" w:rsidP="00FB65A0">
      <w:pPr>
        <w:tabs>
          <w:tab w:val="left" w:pos="709"/>
        </w:tabs>
        <w:spacing w:after="0" w:line="276" w:lineRule="auto"/>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ab/>
        <w:t xml:space="preserve">Sobre este punto, interesa decir que la adopción de medidas tendientes a satisfacer necesidades adicionales, o políticas horizontales, no puede contrariar las disposiciones normativas que admiten su implementación. Por esa razón: </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 xml:space="preserve">[…] Es indispensable garantizar la consagración de premisas que irradien las nociones propias de los principios de igualdad, transparencia, economía y moralidad en todas las decisiones discrecionales que la Administración llegue a </w:t>
      </w:r>
      <w:r w:rsidRPr="00FB65A0">
        <w:rPr>
          <w:rFonts w:ascii="Arial" w:eastAsia="Calibri" w:hAnsi="Arial" w:cs="Arial"/>
          <w:color w:val="000000" w:themeColor="text1"/>
          <w:sz w:val="21"/>
          <w:szCs w:val="21"/>
          <w:lang w:val="es-ES"/>
        </w:rPr>
        <w:lastRenderedPageBreak/>
        <w:t>adoptar por medio de las facultades que le han sido otorgadas por el legislador para avalar la satisfacción de su intención primaria</w:t>
      </w:r>
      <w:r w:rsidRPr="00FB65A0">
        <w:rPr>
          <w:rFonts w:ascii="Arial" w:eastAsia="Calibri" w:hAnsi="Arial" w:cs="Arial"/>
          <w:color w:val="000000" w:themeColor="text1"/>
          <w:sz w:val="21"/>
          <w:szCs w:val="21"/>
          <w:vertAlign w:val="superscript"/>
          <w:lang w:val="es-ES"/>
        </w:rPr>
        <w:footnoteReference w:id="5"/>
      </w:r>
      <w:r w:rsidRPr="00FB65A0">
        <w:rPr>
          <w:rFonts w:ascii="Arial" w:eastAsia="Calibri" w:hAnsi="Arial" w:cs="Arial"/>
          <w:color w:val="000000" w:themeColor="text1"/>
          <w:sz w:val="21"/>
          <w:szCs w:val="21"/>
          <w:lang w:val="es-ES"/>
        </w:rPr>
        <w:t>.</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120" w:line="276" w:lineRule="auto"/>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ab/>
        <w:t>En otras palabras, no puede haber contradicción entre la satisfacción de la intención primaria, los principios de la función administrativa, y la búsqueda de beneficios sociales, económicos o sociales para ciertos sectores de la población.</w:t>
      </w:r>
      <w:r w:rsidRPr="00FB65A0">
        <w:rPr>
          <w:rFonts w:ascii="Arial" w:eastAsia="Calibri" w:hAnsi="Arial" w:cs="Arial"/>
          <w:color w:val="000000" w:themeColor="text1"/>
          <w:szCs w:val="24"/>
          <w:lang w:val="es-ES"/>
        </w:rPr>
        <w:tab/>
        <w:t xml:space="preserve"> </w:t>
      </w:r>
    </w:p>
    <w:p w:rsidR="00FB65A0" w:rsidRPr="00FB65A0" w:rsidRDefault="00FB65A0" w:rsidP="00FB65A0">
      <w:pPr>
        <w:tabs>
          <w:tab w:val="left" w:pos="709"/>
        </w:tabs>
        <w:spacing w:after="120" w:line="276" w:lineRule="auto"/>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ab/>
        <w:t xml:space="preserve">A </w:t>
      </w:r>
      <w:proofErr w:type="gramStart"/>
      <w:r w:rsidRPr="00FB65A0">
        <w:rPr>
          <w:rFonts w:ascii="Arial" w:eastAsia="Calibri" w:hAnsi="Arial" w:cs="Arial"/>
          <w:color w:val="000000" w:themeColor="text1"/>
          <w:szCs w:val="24"/>
          <w:lang w:val="es-ES"/>
        </w:rPr>
        <w:t>continuación</w:t>
      </w:r>
      <w:proofErr w:type="gramEnd"/>
      <w:r w:rsidRPr="00FB65A0">
        <w:rPr>
          <w:rFonts w:ascii="Arial" w:eastAsia="Calibri" w:hAnsi="Arial" w:cs="Arial"/>
          <w:color w:val="000000" w:themeColor="text1"/>
          <w:szCs w:val="24"/>
          <w:lang w:val="es-ES"/>
        </w:rPr>
        <w:t xml:space="preserve"> se expondrán, brevemente, algunos casos de </w:t>
      </w:r>
      <w:r w:rsidRPr="00FB65A0">
        <w:rPr>
          <w:rFonts w:ascii="Verdana" w:eastAsia="Calibri" w:hAnsi="Verdana" w:cs="Arial"/>
          <w:color w:val="000000" w:themeColor="text1"/>
          <w:szCs w:val="24"/>
          <w:lang w:val="es-ES"/>
        </w:rPr>
        <w:t>«</w:t>
      </w:r>
      <w:r w:rsidRPr="00FB65A0">
        <w:rPr>
          <w:rFonts w:ascii="Arial" w:eastAsia="Calibri" w:hAnsi="Arial" w:cs="Arial"/>
          <w:color w:val="000000" w:themeColor="text1"/>
          <w:szCs w:val="24"/>
          <w:lang w:val="es-ES"/>
        </w:rPr>
        <w:t>políticas horizontales</w:t>
      </w:r>
      <w:r w:rsidRPr="00FB65A0">
        <w:rPr>
          <w:rFonts w:ascii="Verdana" w:eastAsia="Calibri" w:hAnsi="Verdana" w:cs="Arial"/>
          <w:color w:val="000000" w:themeColor="text1"/>
          <w:szCs w:val="24"/>
          <w:lang w:val="es-ES"/>
        </w:rPr>
        <w:t>»</w:t>
      </w:r>
      <w:r w:rsidRPr="00FB65A0">
        <w:rPr>
          <w:rFonts w:ascii="Arial" w:eastAsia="Calibri" w:hAnsi="Arial" w:cs="Arial"/>
          <w:color w:val="000000" w:themeColor="text1"/>
          <w:szCs w:val="24"/>
          <w:lang w:val="es-ES"/>
        </w:rPr>
        <w:t xml:space="preserve">, así como los incentivos utilizados para materializarlas en el ordenamiento colombiano, que preexisten la expedición de la Ley 2040 de 2020. </w:t>
      </w:r>
    </w:p>
    <w:p w:rsidR="00FB65A0" w:rsidRPr="00FB65A0" w:rsidRDefault="00FB65A0" w:rsidP="00FB65A0">
      <w:pPr>
        <w:spacing w:after="0" w:line="276" w:lineRule="auto"/>
        <w:ind w:firstLine="709"/>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Este artículo dispone: </w:t>
      </w:r>
    </w:p>
    <w:p w:rsidR="00FB65A0" w:rsidRPr="00FB65A0" w:rsidRDefault="00FB65A0" w:rsidP="00FB65A0">
      <w:pPr>
        <w:spacing w:after="0" w:line="240" w:lineRule="auto"/>
        <w:ind w:left="709" w:right="709"/>
        <w:jc w:val="both"/>
        <w:rPr>
          <w:rFonts w:ascii="Arial" w:eastAsia="Times New Roman" w:hAnsi="Arial" w:cs="Arial"/>
          <w:color w:val="000000" w:themeColor="text1"/>
          <w:sz w:val="21"/>
          <w:szCs w:val="21"/>
          <w:lang w:val="es-ES"/>
        </w:rPr>
      </w:pPr>
    </w:p>
    <w:p w:rsidR="00FB65A0" w:rsidRPr="00FB65A0" w:rsidRDefault="00FB65A0" w:rsidP="00FB65A0">
      <w:pPr>
        <w:spacing w:after="0" w:line="240" w:lineRule="auto"/>
        <w:ind w:left="709" w:right="709"/>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 w:val="21"/>
          <w:szCs w:val="21"/>
          <w:lang w:val="es-ES"/>
        </w:rPr>
        <w:t>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FB65A0">
        <w:rPr>
          <w:rFonts w:ascii="Arial" w:eastAsia="Times New Roman" w:hAnsi="Arial" w:cs="Arial"/>
          <w:iCs/>
          <w:color w:val="000000" w:themeColor="text1"/>
          <w:sz w:val="21"/>
          <w:szCs w:val="21"/>
          <w:lang w:val="es-ES"/>
        </w:rPr>
        <w:t> </w:t>
      </w:r>
      <w:r w:rsidRPr="00FB65A0">
        <w:rPr>
          <w:rFonts w:ascii="Arial" w:eastAsia="Times New Roman" w:hAnsi="Arial" w:cs="Arial"/>
          <w:color w:val="000000" w:themeColor="text1"/>
          <w:sz w:val="21"/>
          <w:szCs w:val="21"/>
          <w:lang w:val="es-ES"/>
        </w:rPr>
        <w:t>no obligue a solicitar más de una propuesta, adoptarán criterios objetivos que permitan apoyar a la industria nacional</w:t>
      </w:r>
      <w:r w:rsidRPr="00FB65A0">
        <w:rPr>
          <w:rFonts w:ascii="Arial" w:eastAsia="Times New Roman" w:hAnsi="Arial" w:cs="Arial"/>
          <w:color w:val="000000" w:themeColor="text1"/>
          <w:szCs w:val="24"/>
          <w:lang w:val="es-ES"/>
        </w:rPr>
        <w:t xml:space="preserve">. </w:t>
      </w:r>
    </w:p>
    <w:p w:rsidR="00FB65A0" w:rsidRPr="00FB65A0" w:rsidRDefault="00FB65A0" w:rsidP="00FB65A0">
      <w:pPr>
        <w:spacing w:after="0" w:line="276" w:lineRule="auto"/>
        <w:ind w:right="709"/>
        <w:jc w:val="both"/>
        <w:rPr>
          <w:rFonts w:ascii="Arial" w:eastAsia="Times New Roman" w:hAnsi="Arial" w:cs="Arial"/>
          <w:color w:val="000000" w:themeColor="text1"/>
          <w:szCs w:val="24"/>
          <w:lang w:val="es-ES"/>
        </w:rPr>
      </w:pPr>
    </w:p>
    <w:p w:rsidR="00FB65A0" w:rsidRPr="00FB65A0" w:rsidRDefault="00FB65A0" w:rsidP="00FB65A0">
      <w:pPr>
        <w:spacing w:after="0" w:line="276" w:lineRule="auto"/>
        <w:ind w:firstLine="709"/>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 xml:space="preserve">Además, el artículo 2 de la misma ley, de forma expresa, determina el puntaje que las entidades deben incluir dentro de los criterios de calificación de las propuestas para promover la industria colombiana: </w:t>
      </w:r>
    </w:p>
    <w:p w:rsidR="00FB65A0" w:rsidRPr="00FB65A0" w:rsidRDefault="00FB65A0" w:rsidP="00FB65A0">
      <w:pPr>
        <w:spacing w:after="0" w:line="240" w:lineRule="auto"/>
        <w:jc w:val="both"/>
        <w:rPr>
          <w:rFonts w:ascii="Arial" w:eastAsia="Times New Roman" w:hAnsi="Arial" w:cs="Arial"/>
          <w:color w:val="000000" w:themeColor="text1"/>
          <w:szCs w:val="24"/>
          <w:lang w:val="es-ES"/>
        </w:rPr>
      </w:pPr>
    </w:p>
    <w:p w:rsidR="00FB65A0" w:rsidRPr="00FB65A0" w:rsidRDefault="00FB65A0" w:rsidP="00FB65A0">
      <w:pPr>
        <w:spacing w:after="0" w:line="240" w:lineRule="auto"/>
        <w:ind w:left="709" w:right="709"/>
        <w:jc w:val="both"/>
        <w:rPr>
          <w:rFonts w:ascii="Arial" w:eastAsia="Times New Roman" w:hAnsi="Arial" w:cs="Arial"/>
          <w:color w:val="000000" w:themeColor="text1"/>
          <w:sz w:val="21"/>
          <w:szCs w:val="21"/>
          <w:lang w:val="es-ES"/>
        </w:rPr>
      </w:pPr>
      <w:r w:rsidRPr="00FB65A0">
        <w:rPr>
          <w:rFonts w:ascii="Arial" w:eastAsia="Times New Roman" w:hAnsi="Arial" w:cs="Arial"/>
          <w:color w:val="000000" w:themeColor="text1"/>
          <w:sz w:val="21"/>
          <w:szCs w:val="21"/>
          <w:lang w:val="es-ES"/>
        </w:rPr>
        <w:t xml:space="preserve">Artículo 2. Las entidades de que trata el artículo 1º asignarán, dentro de los criterios de calificación de las propuestas, un puntaje comprendido entre el diez </w:t>
      </w:r>
      <w:r w:rsidRPr="00FB65A0">
        <w:rPr>
          <w:rFonts w:ascii="Arial" w:eastAsia="Times New Roman" w:hAnsi="Arial" w:cs="Arial"/>
          <w:color w:val="000000" w:themeColor="text1"/>
          <w:szCs w:val="24"/>
          <w:lang w:val="es-ES"/>
        </w:rPr>
        <w:t>[</w:t>
      </w:r>
      <w:r w:rsidRPr="00FB65A0">
        <w:rPr>
          <w:rFonts w:ascii="Arial" w:eastAsia="Times New Roman" w:hAnsi="Arial" w:cs="Arial"/>
          <w:color w:val="000000" w:themeColor="text1"/>
          <w:sz w:val="21"/>
          <w:szCs w:val="21"/>
          <w:lang w:val="es-ES"/>
        </w:rPr>
        <w:t>10</w:t>
      </w:r>
      <w:r w:rsidRPr="00FB65A0">
        <w:rPr>
          <w:rFonts w:ascii="Arial" w:eastAsia="Times New Roman" w:hAnsi="Arial" w:cs="Arial"/>
          <w:color w:val="000000" w:themeColor="text1"/>
          <w:szCs w:val="24"/>
          <w:lang w:val="es-ES"/>
        </w:rPr>
        <w:t>]</w:t>
      </w:r>
      <w:r w:rsidRPr="00FB65A0">
        <w:rPr>
          <w:rFonts w:ascii="Arial" w:eastAsia="Times New Roman" w:hAnsi="Arial" w:cs="Arial"/>
          <w:color w:val="000000" w:themeColor="text1"/>
          <w:sz w:val="21"/>
          <w:szCs w:val="21"/>
          <w:lang w:val="es-ES"/>
        </w:rPr>
        <w:t xml:space="preserve"> y el veinte por ciento </w:t>
      </w:r>
      <w:r w:rsidRPr="00FB65A0">
        <w:rPr>
          <w:rFonts w:ascii="Arial" w:eastAsia="Times New Roman" w:hAnsi="Arial" w:cs="Arial"/>
          <w:color w:val="000000" w:themeColor="text1"/>
          <w:szCs w:val="24"/>
          <w:lang w:val="es-ES"/>
        </w:rPr>
        <w:t>[</w:t>
      </w:r>
      <w:r w:rsidRPr="00FB65A0">
        <w:rPr>
          <w:rFonts w:ascii="Arial" w:eastAsia="Times New Roman" w:hAnsi="Arial" w:cs="Arial"/>
          <w:color w:val="000000" w:themeColor="text1"/>
          <w:sz w:val="21"/>
          <w:szCs w:val="21"/>
          <w:lang w:val="es-ES"/>
        </w:rPr>
        <w:t>20%</w:t>
      </w:r>
      <w:r w:rsidRPr="00FB65A0">
        <w:rPr>
          <w:rFonts w:ascii="Arial" w:eastAsia="Times New Roman" w:hAnsi="Arial" w:cs="Arial"/>
          <w:color w:val="000000" w:themeColor="text1"/>
          <w:szCs w:val="24"/>
          <w:lang w:val="es-ES"/>
        </w:rPr>
        <w:t>]</w:t>
      </w:r>
      <w:r w:rsidRPr="00FB65A0">
        <w:rPr>
          <w:rFonts w:ascii="Arial" w:eastAsia="Times New Roman" w:hAnsi="Arial" w:cs="Arial"/>
          <w:color w:val="000000" w:themeColor="text1"/>
          <w:sz w:val="21"/>
          <w:szCs w:val="21"/>
          <w:lang w:val="es-ES"/>
        </w:rPr>
        <w:t>, para estimular la industria colombiana cuando los proponentes oferten bienes o servicios nacionales.</w:t>
      </w:r>
    </w:p>
    <w:p w:rsidR="00FB65A0" w:rsidRPr="00FB65A0" w:rsidRDefault="00FB65A0" w:rsidP="00FB65A0">
      <w:pPr>
        <w:spacing w:after="0" w:line="240" w:lineRule="auto"/>
        <w:ind w:left="709" w:right="709"/>
        <w:jc w:val="both"/>
        <w:rPr>
          <w:rFonts w:ascii="Arial" w:eastAsia="Times New Roman" w:hAnsi="Arial" w:cs="Arial"/>
          <w:color w:val="000000" w:themeColor="text1"/>
          <w:sz w:val="21"/>
          <w:szCs w:val="21"/>
          <w:lang w:val="es-ES"/>
        </w:rPr>
      </w:pPr>
    </w:p>
    <w:p w:rsidR="00FB65A0" w:rsidRPr="00FB65A0" w:rsidRDefault="00FB65A0" w:rsidP="00FB65A0">
      <w:pPr>
        <w:spacing w:after="0" w:line="240" w:lineRule="auto"/>
        <w:ind w:left="709" w:right="709"/>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 w:val="21"/>
          <w:szCs w:val="21"/>
          <w:lang w:val="es-ES"/>
        </w:rPr>
        <w:t xml:space="preserve">Tratándose de bienes o servicios extranjeros, la entidad contratante establecerá un puntaje comprendido entre el cinco </w:t>
      </w:r>
      <w:r w:rsidRPr="00FB65A0">
        <w:rPr>
          <w:rFonts w:ascii="Arial" w:eastAsia="Times New Roman" w:hAnsi="Arial" w:cs="Arial"/>
          <w:color w:val="000000" w:themeColor="text1"/>
          <w:szCs w:val="24"/>
          <w:lang w:val="es-ES"/>
        </w:rPr>
        <w:t>[</w:t>
      </w:r>
      <w:r w:rsidRPr="00FB65A0">
        <w:rPr>
          <w:rFonts w:ascii="Arial" w:eastAsia="Times New Roman" w:hAnsi="Arial" w:cs="Arial"/>
          <w:color w:val="000000" w:themeColor="text1"/>
          <w:sz w:val="21"/>
          <w:szCs w:val="21"/>
          <w:lang w:val="es-ES"/>
        </w:rPr>
        <w:t>5</w:t>
      </w:r>
      <w:r w:rsidRPr="00FB65A0">
        <w:rPr>
          <w:rFonts w:ascii="Arial" w:eastAsia="Times New Roman" w:hAnsi="Arial" w:cs="Arial"/>
          <w:color w:val="000000" w:themeColor="text1"/>
          <w:szCs w:val="24"/>
          <w:lang w:val="es-ES"/>
        </w:rPr>
        <w:t>]</w:t>
      </w:r>
      <w:r w:rsidRPr="00FB65A0">
        <w:rPr>
          <w:rFonts w:ascii="Arial" w:eastAsia="Times New Roman" w:hAnsi="Arial" w:cs="Arial"/>
          <w:color w:val="000000" w:themeColor="text1"/>
          <w:sz w:val="21"/>
          <w:szCs w:val="21"/>
          <w:lang w:val="es-ES"/>
        </w:rPr>
        <w:t xml:space="preserve"> y el quince por ciento </w:t>
      </w:r>
      <w:r w:rsidRPr="00FB65A0">
        <w:rPr>
          <w:rFonts w:ascii="Arial" w:eastAsia="Times New Roman" w:hAnsi="Arial" w:cs="Arial"/>
          <w:color w:val="000000" w:themeColor="text1"/>
          <w:szCs w:val="24"/>
          <w:lang w:val="es-ES"/>
        </w:rPr>
        <w:t>[</w:t>
      </w:r>
      <w:r w:rsidRPr="00FB65A0">
        <w:rPr>
          <w:rFonts w:ascii="Arial" w:eastAsia="Times New Roman" w:hAnsi="Arial" w:cs="Arial"/>
          <w:color w:val="000000" w:themeColor="text1"/>
          <w:sz w:val="21"/>
          <w:szCs w:val="21"/>
          <w:lang w:val="es-ES"/>
        </w:rPr>
        <w:t>15%</w:t>
      </w:r>
      <w:r w:rsidRPr="00FB65A0">
        <w:rPr>
          <w:rFonts w:ascii="Arial" w:eastAsia="Times New Roman" w:hAnsi="Arial" w:cs="Arial"/>
          <w:color w:val="000000" w:themeColor="text1"/>
          <w:szCs w:val="24"/>
          <w:lang w:val="es-ES"/>
        </w:rPr>
        <w:t>]</w:t>
      </w:r>
      <w:r w:rsidRPr="00FB65A0">
        <w:rPr>
          <w:rFonts w:ascii="Arial" w:eastAsia="Times New Roman" w:hAnsi="Arial" w:cs="Arial"/>
          <w:color w:val="000000" w:themeColor="text1"/>
          <w:sz w:val="21"/>
          <w:szCs w:val="21"/>
          <w:lang w:val="es-ES"/>
        </w:rPr>
        <w:t>, para incentivar la incorporación de componente colombiano de bienes y servicios profesionales, técnicos y operativos</w:t>
      </w:r>
      <w:r w:rsidRPr="00FB65A0">
        <w:rPr>
          <w:rFonts w:ascii="Arial" w:eastAsia="Times New Roman" w:hAnsi="Arial" w:cs="Arial"/>
          <w:color w:val="000000" w:themeColor="text1"/>
          <w:szCs w:val="24"/>
          <w:lang w:val="es-ES"/>
        </w:rPr>
        <w:t>.</w:t>
      </w:r>
    </w:p>
    <w:p w:rsidR="00FB65A0" w:rsidRPr="00FB65A0" w:rsidRDefault="00FB65A0" w:rsidP="00FB65A0">
      <w:pPr>
        <w:spacing w:after="0" w:line="240" w:lineRule="auto"/>
        <w:jc w:val="both"/>
        <w:rPr>
          <w:rFonts w:ascii="Arial" w:eastAsia="Times New Roman" w:hAnsi="Arial" w:cs="Arial"/>
          <w:color w:val="000000" w:themeColor="text1"/>
          <w:szCs w:val="24"/>
          <w:lang w:val="es-ES"/>
        </w:rPr>
      </w:pPr>
    </w:p>
    <w:p w:rsidR="00FB65A0" w:rsidRPr="00FB65A0" w:rsidRDefault="00FB65A0" w:rsidP="00FB65A0">
      <w:pPr>
        <w:spacing w:after="120" w:line="276" w:lineRule="auto"/>
        <w:ind w:firstLine="709"/>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De esta manera, la norma establece dos supuestos para asignar puntaje. Por un lado, se encuentran los proponentes que oferten bienes o servicios nacionales y los proponentes que tienen trato nacional producto de los acuerdos comerciales suscritos por Colombia con otros Estados</w:t>
      </w:r>
      <w:r w:rsidRPr="00FB65A0">
        <w:rPr>
          <w:rFonts w:ascii="Arial" w:eastAsia="Times New Roman" w:hAnsi="Arial" w:cs="Arial"/>
          <w:color w:val="000000" w:themeColor="text1"/>
          <w:szCs w:val="24"/>
          <w:vertAlign w:val="superscript"/>
          <w:lang w:val="es-ES"/>
        </w:rPr>
        <w:footnoteReference w:id="6"/>
      </w:r>
      <w:r w:rsidRPr="00FB65A0">
        <w:rPr>
          <w:rFonts w:ascii="Arial" w:eastAsia="Times New Roman" w:hAnsi="Arial" w:cs="Arial"/>
          <w:color w:val="000000" w:themeColor="text1"/>
          <w:szCs w:val="24"/>
          <w:lang w:val="es-ES"/>
        </w:rPr>
        <w:t xml:space="preserve">. Por otro </w:t>
      </w:r>
      <w:proofErr w:type="gramStart"/>
      <w:r w:rsidRPr="00FB65A0">
        <w:rPr>
          <w:rFonts w:ascii="Arial" w:eastAsia="Times New Roman" w:hAnsi="Arial" w:cs="Arial"/>
          <w:color w:val="000000" w:themeColor="text1"/>
          <w:szCs w:val="24"/>
          <w:lang w:val="es-ES"/>
        </w:rPr>
        <w:t>lado</w:t>
      </w:r>
      <w:proofErr w:type="gramEnd"/>
      <w:r w:rsidRPr="00FB65A0">
        <w:rPr>
          <w:rFonts w:ascii="Arial" w:eastAsia="Times New Roman" w:hAnsi="Arial" w:cs="Arial"/>
          <w:color w:val="000000" w:themeColor="text1"/>
          <w:szCs w:val="24"/>
          <w:lang w:val="es-ES"/>
        </w:rPr>
        <w:t xml:space="preserve"> están los proponentes extranjeros que no tengan trato nacional y oferten la incorporación de componente colombiano de bienes o servicios. </w:t>
      </w:r>
    </w:p>
    <w:p w:rsidR="00FB65A0" w:rsidRPr="00FB65A0" w:rsidRDefault="00FB65A0" w:rsidP="00FB65A0">
      <w:pPr>
        <w:spacing w:after="120" w:line="276" w:lineRule="auto"/>
        <w:ind w:firstLine="709"/>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lastRenderedPageBreak/>
        <w:t>Asimismo, el Decreto 1082 de 2015 definió los «Servicios Nacionales» como aquellos prestados por personas naturales colombianas o residentes en Colombia, o por personas jurídicas constituidas en Colombia conforme a lo previsto en las disposiciones de la legislación colombiana</w:t>
      </w:r>
      <w:r w:rsidRPr="00FB65A0">
        <w:rPr>
          <w:rFonts w:ascii="Arial" w:eastAsia="Times New Roman" w:hAnsi="Arial" w:cs="Arial"/>
          <w:color w:val="000000" w:themeColor="text1"/>
          <w:szCs w:val="24"/>
          <w:vertAlign w:val="superscript"/>
          <w:lang w:val="es-ES"/>
        </w:rPr>
        <w:footnoteReference w:id="7"/>
      </w:r>
      <w:r w:rsidRPr="00FB65A0">
        <w:rPr>
          <w:rFonts w:ascii="Arial" w:eastAsia="Times New Roman" w:hAnsi="Arial" w:cs="Arial"/>
          <w:color w:val="000000" w:themeColor="text1"/>
          <w:szCs w:val="24"/>
          <w:lang w:val="es-ES"/>
        </w:rPr>
        <w:t xml:space="preserve">. </w:t>
      </w:r>
    </w:p>
    <w:p w:rsidR="00FB65A0" w:rsidRPr="00FB65A0" w:rsidRDefault="00FB65A0" w:rsidP="00FB65A0">
      <w:pPr>
        <w:spacing w:after="0" w:line="276" w:lineRule="auto"/>
        <w:ind w:firstLine="709"/>
        <w:jc w:val="both"/>
        <w:rPr>
          <w:rFonts w:ascii="Arial" w:eastAsia="Times New Roman" w:hAnsi="Arial" w:cs="Arial"/>
          <w:szCs w:val="24"/>
          <w:lang w:val="es-ES"/>
        </w:rPr>
      </w:pPr>
      <w:r w:rsidRPr="00FB65A0">
        <w:rPr>
          <w:rFonts w:ascii="Arial" w:eastAsia="Times New Roman" w:hAnsi="Arial" w:cs="Arial"/>
          <w:color w:val="000000" w:themeColor="text1"/>
          <w:szCs w:val="24"/>
          <w:lang w:val="es-ES"/>
        </w:rPr>
        <w:t xml:space="preserve">De otra parte, </w:t>
      </w:r>
      <w:r w:rsidRPr="00FB65A0">
        <w:rPr>
          <w:rFonts w:ascii="Arial" w:eastAsia="Times New Roman" w:hAnsi="Arial" w:cs="Arial"/>
          <w:szCs w:val="24"/>
          <w:lang w:val="es-ES"/>
        </w:rPr>
        <w:t>la Ley 1618 de 2013 estableció disposiciones para garantizar el ejercicio de los derechos de personas en condición de discapacidad</w:t>
      </w:r>
      <w:r w:rsidRPr="00FB65A0">
        <w:rPr>
          <w:rFonts w:ascii="Arial" w:eastAsia="Times New Roman" w:hAnsi="Arial" w:cs="Arial"/>
          <w:sz w:val="21"/>
          <w:szCs w:val="21"/>
          <w:vertAlign w:val="superscript"/>
          <w:lang w:val="es-ES"/>
        </w:rPr>
        <w:footnoteReference w:id="8"/>
      </w:r>
      <w:r w:rsidRPr="00FB65A0">
        <w:rPr>
          <w:rFonts w:ascii="Arial" w:eastAsia="Times New Roman" w:hAnsi="Arial" w:cs="Arial"/>
          <w:sz w:val="21"/>
          <w:szCs w:val="21"/>
          <w:lang w:val="es-ES"/>
        </w:rPr>
        <w:t>. El</w:t>
      </w:r>
      <w:r w:rsidRPr="00FB65A0">
        <w:rPr>
          <w:rFonts w:ascii="Arial" w:eastAsia="Times New Roman" w:hAnsi="Arial" w:cs="Arial"/>
          <w:szCs w:val="24"/>
          <w:lang w:val="es-ES"/>
        </w:rPr>
        <w:t xml:space="preserve"> artículo 13 </w:t>
      </w:r>
      <w:r w:rsidRPr="00FB65A0">
        <w:rPr>
          <w:rFonts w:ascii="Arial" w:eastAsia="Times New Roman" w:hAnsi="Arial" w:cs="Arial"/>
          <w:i/>
          <w:iCs/>
          <w:szCs w:val="24"/>
          <w:lang w:val="es-ES"/>
        </w:rPr>
        <w:t xml:space="preserve">ibídem </w:t>
      </w:r>
      <w:r w:rsidRPr="00FB65A0">
        <w:rPr>
          <w:rFonts w:ascii="Arial" w:eastAsia="Times New Roman" w:hAnsi="Arial" w:cs="Arial"/>
          <w:szCs w:val="24"/>
          <w:lang w:val="es-ES"/>
        </w:rPr>
        <w:t>ordenó al Gobierno Nacional expedir un reglamento que determinara la metodología mediante la cual se otorgaría el puntaje adicional a las empresas que en su planta de personal cuenten con personal en situación de discapacidad:</w:t>
      </w:r>
    </w:p>
    <w:p w:rsidR="00FB65A0" w:rsidRPr="00FB65A0" w:rsidRDefault="00FB65A0" w:rsidP="00FB65A0">
      <w:pPr>
        <w:spacing w:after="0" w:line="240" w:lineRule="auto"/>
        <w:jc w:val="both"/>
        <w:rPr>
          <w:rFonts w:ascii="Arial" w:eastAsia="Times New Roman" w:hAnsi="Arial" w:cs="Arial"/>
          <w:szCs w:val="24"/>
          <w:lang w:val="es-ES"/>
        </w:rPr>
      </w:pPr>
    </w:p>
    <w:p w:rsidR="00FB65A0" w:rsidRPr="00FB65A0" w:rsidRDefault="00FB65A0" w:rsidP="00FB65A0">
      <w:pPr>
        <w:spacing w:after="0" w:line="240" w:lineRule="auto"/>
        <w:ind w:left="709" w:right="709"/>
        <w:jc w:val="both"/>
        <w:rPr>
          <w:rFonts w:ascii="Arial" w:eastAsia="Times New Roman" w:hAnsi="Arial" w:cs="Arial"/>
          <w:sz w:val="21"/>
          <w:szCs w:val="21"/>
          <w:lang w:val="es-ES"/>
        </w:rPr>
      </w:pPr>
      <w:r w:rsidRPr="00FB65A0">
        <w:rPr>
          <w:rFonts w:ascii="Arial" w:eastAsia="Times New Roman"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00FB65A0" w:rsidRPr="00FB65A0" w:rsidRDefault="00FB65A0" w:rsidP="00FB65A0">
      <w:pPr>
        <w:spacing w:after="0" w:line="240" w:lineRule="auto"/>
        <w:ind w:left="709" w:right="709"/>
        <w:jc w:val="both"/>
        <w:rPr>
          <w:rFonts w:ascii="Arial" w:eastAsia="Times New Roman" w:hAnsi="Arial" w:cs="Arial"/>
          <w:sz w:val="21"/>
          <w:szCs w:val="21"/>
          <w:lang w:val="es-ES"/>
        </w:rPr>
      </w:pPr>
    </w:p>
    <w:p w:rsidR="00FB65A0" w:rsidRPr="00FB65A0" w:rsidRDefault="00FB65A0" w:rsidP="00FB65A0">
      <w:pPr>
        <w:spacing w:after="0" w:line="240" w:lineRule="auto"/>
        <w:ind w:left="709" w:right="709"/>
        <w:jc w:val="both"/>
        <w:rPr>
          <w:rFonts w:ascii="Arial" w:eastAsia="Times New Roman" w:hAnsi="Arial" w:cs="Arial"/>
          <w:sz w:val="21"/>
          <w:szCs w:val="21"/>
          <w:lang w:val="es-ES"/>
        </w:rPr>
      </w:pPr>
      <w:r w:rsidRPr="00FB65A0">
        <w:rPr>
          <w:rFonts w:ascii="Arial" w:eastAsia="Times New Roman"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00FB65A0" w:rsidRPr="00FB65A0" w:rsidRDefault="00FB65A0" w:rsidP="00FB65A0">
      <w:pPr>
        <w:spacing w:after="0" w:line="240" w:lineRule="auto"/>
        <w:ind w:left="709" w:right="709"/>
        <w:jc w:val="both"/>
        <w:rPr>
          <w:rFonts w:ascii="Arial" w:eastAsia="Times New Roman" w:hAnsi="Arial" w:cs="Arial"/>
          <w:sz w:val="21"/>
          <w:szCs w:val="21"/>
          <w:lang w:val="es-ES"/>
        </w:rPr>
      </w:pPr>
      <w:r w:rsidRPr="00FB65A0">
        <w:rPr>
          <w:rFonts w:ascii="Arial" w:eastAsia="Times New Roman" w:hAnsi="Arial" w:cs="Arial"/>
          <w:sz w:val="21"/>
          <w:szCs w:val="21"/>
          <w:lang w:val="es-ES"/>
        </w:rPr>
        <w:t>[…]</w:t>
      </w:r>
    </w:p>
    <w:p w:rsidR="00FB65A0" w:rsidRPr="00FB65A0" w:rsidRDefault="00FB65A0" w:rsidP="00FB65A0">
      <w:pPr>
        <w:spacing w:after="0" w:line="240" w:lineRule="auto"/>
        <w:ind w:left="709" w:right="709"/>
        <w:jc w:val="both"/>
        <w:rPr>
          <w:rFonts w:ascii="Arial" w:eastAsia="Times New Roman" w:hAnsi="Arial" w:cs="Arial"/>
          <w:sz w:val="21"/>
          <w:szCs w:val="21"/>
          <w:lang w:val="es-ES"/>
        </w:rPr>
      </w:pPr>
    </w:p>
    <w:p w:rsidR="00FB65A0" w:rsidRPr="00FB65A0" w:rsidRDefault="00FB65A0" w:rsidP="00FB65A0">
      <w:pPr>
        <w:spacing w:after="0" w:line="240" w:lineRule="auto"/>
        <w:ind w:left="708" w:right="709"/>
        <w:jc w:val="both"/>
        <w:rPr>
          <w:rFonts w:ascii="Arial" w:eastAsia="Times New Roman" w:hAnsi="Arial" w:cs="Arial"/>
          <w:sz w:val="21"/>
          <w:szCs w:val="21"/>
          <w:lang w:val="es-ES"/>
        </w:rPr>
      </w:pPr>
      <w:r w:rsidRPr="00FB65A0">
        <w:rPr>
          <w:rFonts w:ascii="Arial" w:eastAsia="Times New Roman" w:hAnsi="Arial" w:cs="Arial"/>
          <w:sz w:val="21"/>
          <w:szCs w:val="21"/>
          <w:lang w:val="es-ES"/>
        </w:rPr>
        <w:t xml:space="preserve">8. Los </w:t>
      </w:r>
      <w:proofErr w:type="gramStart"/>
      <w:r w:rsidRPr="00FB65A0">
        <w:rPr>
          <w:rFonts w:ascii="Arial" w:eastAsia="Times New Roman" w:hAnsi="Arial" w:cs="Arial"/>
          <w:sz w:val="21"/>
          <w:szCs w:val="21"/>
          <w:lang w:val="es-ES"/>
        </w:rPr>
        <w:t>gobiernos nacional</w:t>
      </w:r>
      <w:proofErr w:type="gramEnd"/>
      <w:r w:rsidRPr="00FB65A0">
        <w:rPr>
          <w:rFonts w:ascii="Arial" w:eastAsia="Times New Roman" w:hAnsi="Arial" w:cs="Arial"/>
          <w:sz w:val="21"/>
          <w:szCs w:val="21"/>
          <w:lang w:val="es-ES"/>
        </w:rPr>
        <w:t xml:space="preserve">, departamentales, distritales y municipales, deberán fijar mediante decreto reglamentario, en los procesos de selección de los </w:t>
      </w:r>
      <w:r w:rsidRPr="00FB65A0">
        <w:rPr>
          <w:rFonts w:ascii="Arial" w:eastAsia="Times New Roman" w:hAnsi="Arial" w:cs="Arial"/>
          <w:sz w:val="21"/>
          <w:szCs w:val="21"/>
          <w:lang w:val="es-ES"/>
        </w:rPr>
        <w:lastRenderedPageBreak/>
        <w:t>contratistas y proveedores, un sistema de preferencias a favor de las personas con discapacidad.</w:t>
      </w:r>
    </w:p>
    <w:p w:rsidR="00FB65A0" w:rsidRPr="00FB65A0" w:rsidRDefault="00FB65A0" w:rsidP="00FB65A0">
      <w:pPr>
        <w:spacing w:after="0" w:line="240" w:lineRule="auto"/>
        <w:ind w:left="708" w:right="709"/>
        <w:jc w:val="both"/>
        <w:rPr>
          <w:rFonts w:ascii="Arial" w:eastAsia="Times New Roman" w:hAnsi="Arial" w:cs="Arial"/>
          <w:sz w:val="21"/>
          <w:szCs w:val="21"/>
          <w:lang w:val="es-ES"/>
        </w:rPr>
      </w:pPr>
    </w:p>
    <w:p w:rsidR="00FB65A0" w:rsidRPr="00FB65A0" w:rsidRDefault="00FB65A0" w:rsidP="00FB65A0">
      <w:pPr>
        <w:spacing w:after="120" w:line="276" w:lineRule="auto"/>
        <w:ind w:firstLine="708"/>
        <w:jc w:val="both"/>
        <w:rPr>
          <w:rFonts w:ascii="Arial" w:eastAsia="Times New Roman" w:hAnsi="Arial" w:cs="Arial"/>
          <w:szCs w:val="24"/>
          <w:lang w:val="es-ES"/>
        </w:rPr>
      </w:pPr>
      <w:r w:rsidRPr="00FB65A0">
        <w:rPr>
          <w:rFonts w:ascii="Arial" w:eastAsia="Times New Roman" w:hAnsi="Arial" w:cs="Arial"/>
          <w:szCs w:val="24"/>
          <w:lang w:val="es-ES"/>
        </w:rPr>
        <w:t xml:space="preserve">Como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compilado en el Decreto 1082 de 2015, obliga a las entidades a otorgar un puntaje adicional en los procesos de selección de contratistas del Estado, en las modalidades de licitación pública y concurso de méritos, a quienes acrediten que al menos el diez por ciento (10%) de su nómina la integran personas en situación de discapacidad. </w:t>
      </w:r>
    </w:p>
    <w:p w:rsidR="00FB65A0" w:rsidRPr="00FB65A0" w:rsidRDefault="00FB65A0" w:rsidP="00FB65A0">
      <w:pPr>
        <w:spacing w:after="120" w:line="276" w:lineRule="auto"/>
        <w:ind w:firstLine="709"/>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Finalmente, el articulo 12 la Ley 1150 de 2007, modificado por el artículo 32 de la Ley 1450 de 2011, estableció las convocatorias limitadas a Mipymes en contratación pública, en los siguientes términos:</w:t>
      </w:r>
    </w:p>
    <w:p w:rsidR="00FB65A0" w:rsidRPr="00FB65A0" w:rsidRDefault="00FB65A0" w:rsidP="00FB65A0">
      <w:pPr>
        <w:spacing w:after="0" w:line="240" w:lineRule="auto"/>
        <w:jc w:val="both"/>
        <w:rPr>
          <w:rFonts w:ascii="Arial" w:eastAsia="Times New Roman" w:hAnsi="Arial" w:cs="Arial"/>
          <w:color w:val="000000" w:themeColor="text1"/>
          <w:szCs w:val="24"/>
          <w:lang w:val="es-ES"/>
        </w:rPr>
      </w:pPr>
    </w:p>
    <w:p w:rsidR="00FB65A0" w:rsidRPr="00FB65A0" w:rsidRDefault="00FB65A0" w:rsidP="00FB65A0">
      <w:pPr>
        <w:spacing w:after="0" w:line="240" w:lineRule="auto"/>
        <w:ind w:left="709" w:right="709"/>
        <w:jc w:val="both"/>
        <w:rPr>
          <w:rFonts w:ascii="Arial" w:eastAsia="Times New Roman" w:hAnsi="Arial" w:cs="Arial"/>
          <w:color w:val="000000" w:themeColor="text1"/>
          <w:sz w:val="21"/>
          <w:szCs w:val="21"/>
          <w:lang w:val="es-ES"/>
        </w:rPr>
      </w:pPr>
      <w:r w:rsidRPr="00FB65A0">
        <w:rPr>
          <w:rFonts w:ascii="Arial" w:eastAsia="Times New Roman"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FB65A0">
        <w:rPr>
          <w:rFonts w:ascii="Arial" w:eastAsia="Times New Roman" w:hAnsi="Arial" w:cs="Arial"/>
          <w:i/>
          <w:iCs/>
          <w:color w:val="000000" w:themeColor="text1"/>
          <w:sz w:val="21"/>
          <w:szCs w:val="21"/>
          <w:lang w:val="es-ES"/>
        </w:rPr>
        <w:t xml:space="preserve">las entidades estatales adopten en beneficio de las Mipymes, convocatorias limitadas a estas en las que, previo a la Resolución de apertura del proceso respectivo, se haya manifestado el interés del número plural de Mipymes que haya sido determinado en el reglamento </w:t>
      </w:r>
      <w:r w:rsidRPr="00FB65A0">
        <w:rPr>
          <w:rFonts w:ascii="Arial" w:eastAsia="Times New Roman" w:hAnsi="Arial" w:cs="Arial"/>
          <w:color w:val="000000" w:themeColor="text1"/>
          <w:sz w:val="21"/>
          <w:szCs w:val="21"/>
          <w:lang w:val="es-ES"/>
        </w:rPr>
        <w:t>[…] (Cursivas fuera de texto).</w:t>
      </w:r>
    </w:p>
    <w:p w:rsidR="00FB65A0" w:rsidRPr="00FB65A0" w:rsidRDefault="00FB65A0" w:rsidP="00FB65A0">
      <w:pPr>
        <w:spacing w:after="0" w:line="240" w:lineRule="auto"/>
        <w:ind w:left="709" w:right="709"/>
        <w:jc w:val="both"/>
        <w:rPr>
          <w:rFonts w:ascii="Arial" w:eastAsia="Times New Roman" w:hAnsi="Arial" w:cs="Arial"/>
          <w:color w:val="000000" w:themeColor="text1"/>
          <w:szCs w:val="24"/>
          <w:lang w:val="es-ES"/>
        </w:rPr>
      </w:pPr>
    </w:p>
    <w:p w:rsidR="00FB65A0" w:rsidRPr="00FB65A0" w:rsidRDefault="00FB65A0" w:rsidP="00FB65A0">
      <w:pPr>
        <w:spacing w:after="0" w:line="276" w:lineRule="auto"/>
        <w:ind w:firstLine="709"/>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El Decreto 1082 de 2015 reglamentó la norma transcrita, adoptando medidas para incentivar a las Mipymes en la contratación pública. Dentro de estas medidas se destacan las «convocatorias limitadas a Mipymes» y la «limitación territorial» a Mipymes, contenidas, respectivamente, en los artículos 2.2.1.2.4.2.2. y 2.2.1.2.4.2.3. Este último dice lo siguiente:</w:t>
      </w:r>
    </w:p>
    <w:p w:rsidR="00FB65A0" w:rsidRPr="00FB65A0" w:rsidRDefault="00FB65A0" w:rsidP="00FB65A0">
      <w:pPr>
        <w:spacing w:after="0" w:line="240" w:lineRule="auto"/>
        <w:ind w:firstLine="709"/>
        <w:jc w:val="both"/>
        <w:rPr>
          <w:rFonts w:ascii="Arial" w:eastAsia="Times New Roman" w:hAnsi="Arial" w:cs="Arial"/>
          <w:color w:val="000000" w:themeColor="text1"/>
          <w:szCs w:val="24"/>
          <w:lang w:val="es-ES"/>
        </w:rPr>
      </w:pPr>
    </w:p>
    <w:p w:rsidR="00FB65A0" w:rsidRPr="00FB65A0" w:rsidRDefault="00FB65A0" w:rsidP="00FB65A0">
      <w:pPr>
        <w:spacing w:after="0" w:line="240" w:lineRule="auto"/>
        <w:ind w:left="709" w:right="760"/>
        <w:jc w:val="both"/>
        <w:rPr>
          <w:rFonts w:ascii="Arial" w:eastAsia="Times New Roman" w:hAnsi="Arial" w:cs="Arial"/>
          <w:color w:val="000000" w:themeColor="text1"/>
          <w:sz w:val="21"/>
          <w:szCs w:val="21"/>
          <w:lang w:val="es-ES"/>
        </w:rPr>
      </w:pPr>
      <w:r w:rsidRPr="00FB65A0">
        <w:rPr>
          <w:rFonts w:ascii="Arial" w:eastAsia="Times New Roman" w:hAnsi="Arial" w:cs="Arial"/>
          <w:color w:val="000000" w:themeColor="text1"/>
          <w:sz w:val="21"/>
          <w:szCs w:val="21"/>
          <w:lang w:val="es-ES"/>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rsidR="00FB65A0" w:rsidRPr="00FB65A0" w:rsidRDefault="00FB65A0" w:rsidP="00FB65A0">
      <w:pPr>
        <w:spacing w:after="0" w:line="240" w:lineRule="auto"/>
        <w:ind w:left="709" w:right="760"/>
        <w:jc w:val="both"/>
        <w:rPr>
          <w:rFonts w:ascii="Arial" w:eastAsia="Times New Roman" w:hAnsi="Arial" w:cs="Arial"/>
          <w:color w:val="000000" w:themeColor="text1"/>
          <w:sz w:val="21"/>
          <w:szCs w:val="21"/>
          <w:lang w:val="es-ES"/>
        </w:rPr>
      </w:pPr>
    </w:p>
    <w:p w:rsidR="00FB65A0" w:rsidRPr="00FB65A0" w:rsidRDefault="00FB65A0" w:rsidP="00FB65A0">
      <w:pPr>
        <w:spacing w:after="0" w:line="240" w:lineRule="auto"/>
        <w:ind w:right="760"/>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El artículo 2.2.1.2.4.2.2., por su parte, dispone que:</w:t>
      </w:r>
    </w:p>
    <w:p w:rsidR="00FB65A0" w:rsidRPr="00FB65A0" w:rsidRDefault="00FB65A0" w:rsidP="00FB65A0">
      <w:pPr>
        <w:spacing w:after="0" w:line="240" w:lineRule="auto"/>
        <w:ind w:left="709" w:right="760"/>
        <w:jc w:val="both"/>
        <w:rPr>
          <w:rFonts w:ascii="Arial" w:eastAsia="Times New Roman" w:hAnsi="Arial" w:cs="Arial"/>
          <w:color w:val="000000" w:themeColor="text1"/>
          <w:sz w:val="21"/>
          <w:szCs w:val="21"/>
          <w:lang w:val="es-ES"/>
        </w:rPr>
      </w:pPr>
    </w:p>
    <w:p w:rsidR="00FB65A0" w:rsidRPr="00FB65A0" w:rsidRDefault="00FB65A0" w:rsidP="00FB65A0">
      <w:pPr>
        <w:spacing w:after="0" w:line="240" w:lineRule="auto"/>
        <w:ind w:left="709" w:right="760"/>
        <w:jc w:val="both"/>
        <w:rPr>
          <w:rFonts w:ascii="Arial" w:eastAsia="Times New Roman" w:hAnsi="Arial" w:cs="Arial"/>
          <w:color w:val="000000" w:themeColor="text1"/>
          <w:sz w:val="21"/>
          <w:szCs w:val="21"/>
          <w:lang w:val="es-ES"/>
        </w:rPr>
      </w:pPr>
      <w:r w:rsidRPr="00FB65A0">
        <w:rPr>
          <w:rFonts w:ascii="Arial" w:eastAsia="Times New Roman" w:hAnsi="Arial" w:cs="Arial"/>
          <w:color w:val="000000" w:themeColor="text1"/>
          <w:sz w:val="21"/>
          <w:szCs w:val="21"/>
          <w:lang w:val="es-ES"/>
        </w:rPr>
        <w:t>La Entidad Estatal debe limitar a las Mipyme nacionales con mínimo un (1) año de existencia la convocatoria del Proceso de Contratación en la modalidad de licitación pública, selección abreviada y concurso de méritos cuando:</w:t>
      </w:r>
    </w:p>
    <w:p w:rsidR="00FB65A0" w:rsidRPr="00FB65A0" w:rsidRDefault="00FB65A0" w:rsidP="00FB65A0">
      <w:pPr>
        <w:spacing w:after="0" w:line="240" w:lineRule="auto"/>
        <w:ind w:left="709" w:right="760"/>
        <w:jc w:val="both"/>
        <w:rPr>
          <w:rFonts w:ascii="Arial" w:eastAsia="Times New Roman" w:hAnsi="Arial" w:cs="Arial"/>
          <w:color w:val="000000" w:themeColor="text1"/>
          <w:sz w:val="21"/>
          <w:szCs w:val="21"/>
          <w:lang w:val="es-ES"/>
        </w:rPr>
      </w:pPr>
    </w:p>
    <w:p w:rsidR="00FB65A0" w:rsidRPr="00FB65A0" w:rsidRDefault="00FB65A0" w:rsidP="00FB65A0">
      <w:pPr>
        <w:spacing w:after="0" w:line="240" w:lineRule="auto"/>
        <w:ind w:left="709" w:right="760"/>
        <w:contextualSpacing/>
        <w:jc w:val="both"/>
        <w:rPr>
          <w:rFonts w:ascii="Arial" w:hAnsi="Arial" w:cs="Arial"/>
          <w:color w:val="000000" w:themeColor="text1"/>
          <w:sz w:val="21"/>
          <w:szCs w:val="21"/>
          <w:lang w:val="es-ES"/>
        </w:rPr>
      </w:pPr>
      <w:r w:rsidRPr="00FB65A0">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rsidR="00FB65A0" w:rsidRPr="00FB65A0" w:rsidRDefault="00FB65A0" w:rsidP="00FB65A0">
      <w:pPr>
        <w:spacing w:after="0" w:line="240" w:lineRule="auto"/>
        <w:ind w:left="709" w:right="760"/>
        <w:contextualSpacing/>
        <w:jc w:val="both"/>
        <w:rPr>
          <w:rFonts w:ascii="Arial" w:hAnsi="Arial" w:cs="Arial"/>
          <w:color w:val="000000" w:themeColor="text1"/>
          <w:sz w:val="21"/>
          <w:szCs w:val="21"/>
          <w:lang w:val="es-ES"/>
        </w:rPr>
      </w:pPr>
    </w:p>
    <w:p w:rsidR="00FB65A0" w:rsidRPr="00FB65A0" w:rsidRDefault="00FB65A0" w:rsidP="00FB65A0">
      <w:pPr>
        <w:spacing w:after="0" w:line="240" w:lineRule="auto"/>
        <w:ind w:left="709" w:right="760"/>
        <w:contextualSpacing/>
        <w:jc w:val="both"/>
        <w:rPr>
          <w:rFonts w:ascii="Arial" w:hAnsi="Arial" w:cs="Arial"/>
          <w:color w:val="000000" w:themeColor="text1"/>
          <w:sz w:val="21"/>
          <w:szCs w:val="21"/>
          <w:lang w:val="es-ES"/>
        </w:rPr>
      </w:pPr>
      <w:r w:rsidRPr="00FB65A0">
        <w:rPr>
          <w:rFonts w:ascii="Arial" w:hAnsi="Arial" w:cs="Arial"/>
          <w:color w:val="000000" w:themeColor="text1"/>
          <w:sz w:val="21"/>
          <w:szCs w:val="21"/>
          <w:lang w:val="es-ES"/>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rsidR="00FB65A0" w:rsidRPr="00FB65A0" w:rsidRDefault="00FB65A0" w:rsidP="00FB65A0">
      <w:pPr>
        <w:spacing w:after="0" w:line="240" w:lineRule="auto"/>
        <w:jc w:val="both"/>
        <w:rPr>
          <w:rFonts w:ascii="Arial" w:eastAsia="Times New Roman" w:hAnsi="Arial" w:cs="Arial"/>
          <w:color w:val="000000" w:themeColor="text1"/>
          <w:sz w:val="20"/>
          <w:szCs w:val="20"/>
          <w:lang w:val="es-ES"/>
        </w:rPr>
      </w:pPr>
    </w:p>
    <w:p w:rsidR="00FB65A0" w:rsidRPr="00FB65A0" w:rsidRDefault="00FB65A0" w:rsidP="00FB65A0">
      <w:pPr>
        <w:spacing w:after="120" w:line="276" w:lineRule="auto"/>
        <w:ind w:firstLine="709"/>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 xml:space="preserve">Puede decirse, entonces, que el Decreto 1082 de 2015 regula la limitación de convocatorias a Mipymes en dos normas distintas, las cuales, sin embargo, deben leerse conjunta y armónicamente. Por un lado, una disposición prevé los requisitos generales para que la entidad limite sus convocatorias a Mipymes nacionales, y por el otro se establece la posibilidad de regular la convocatoria a Mipymes nacionales domiciliadas en los departamentos o municipios donde se ejecutará el contrato. </w:t>
      </w:r>
    </w:p>
    <w:p w:rsidR="00FB65A0" w:rsidRPr="00FB65A0" w:rsidRDefault="00FB65A0" w:rsidP="00FB65A0">
      <w:pPr>
        <w:spacing w:after="0" w:line="276" w:lineRule="auto"/>
        <w:ind w:firstLine="709"/>
        <w:jc w:val="both"/>
        <w:rPr>
          <w:rFonts w:ascii="Arial" w:eastAsia="Calibri" w:hAnsi="Arial" w:cs="Arial"/>
          <w:color w:val="000000" w:themeColor="text1"/>
          <w:szCs w:val="24"/>
          <w:lang w:val="es-ES"/>
        </w:rPr>
      </w:pPr>
      <w:r w:rsidRPr="00FB65A0">
        <w:rPr>
          <w:rFonts w:ascii="Arial" w:eastAsia="Times New Roman" w:hAnsi="Arial" w:cs="Arial"/>
          <w:color w:val="000000" w:themeColor="text1"/>
          <w:szCs w:val="24"/>
          <w:lang w:val="es-ES"/>
        </w:rPr>
        <w:t>En los ejemplos señalados, a modo enunciativo, las políticas se han materializado otorgando puntos adicionales o mediante la modalidad de contratación reservada o limitada –para el caso de las Mipymes–. No obstante, los incentivos contractuales o precontractuales no se agotan allí. En</w:t>
      </w:r>
      <w:r w:rsidRPr="00FB65A0">
        <w:rPr>
          <w:rFonts w:ascii="Arial" w:eastAsia="Calibri" w:hAnsi="Arial" w:cs="Arial"/>
          <w:color w:val="000000" w:themeColor="text1"/>
          <w:szCs w:val="24"/>
          <w:lang w:val="es-ES"/>
        </w:rPr>
        <w:t xml:space="preserve"> adición a esos incentivos, el ordenamiento prevé uno adicional: los criterios de desempate. En este sentido, el artículo 2.2.1.1.2.2.9. del Decreto 1082 de 2015 dispone: </w:t>
      </w:r>
    </w:p>
    <w:p w:rsidR="00FB65A0" w:rsidRPr="00FB65A0" w:rsidRDefault="00FB65A0" w:rsidP="00FB65A0">
      <w:pPr>
        <w:spacing w:after="0" w:line="276" w:lineRule="auto"/>
        <w:ind w:firstLine="709"/>
        <w:jc w:val="both"/>
        <w:rPr>
          <w:rFonts w:ascii="Arial" w:hAnsi="Arial" w:cs="Arial"/>
          <w:color w:val="000000" w:themeColor="text1"/>
          <w:szCs w:val="24"/>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Si persiste el empate, la Entidad Estatal debe utilizar las siguientes reglas de forma sucesiva y excluyente para seleccionar el oferente favorecido, respetando los compromisos adquiridos por Acuerdos Comerciales:</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1.    Preferir la oferta de bienes o servicios nacionales frente a la oferta de bienes o servicios extranjeros.</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2.    Preferir las ofertas presentada por una Mipyme nacional.</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3.    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lastRenderedPageBreak/>
        <w:t>4.    Preferir la propuesta presentada por el oferente que acredite en las condiciones establecidas en la ley que por lo menos el diez por ciento (10%) de su nómina está en condición de discapacidad a la que se refiere la </w:t>
      </w:r>
      <w:r w:rsidRPr="00FB65A0">
        <w:rPr>
          <w:rFonts w:ascii="Arial" w:eastAsia="Calibri" w:hAnsi="Arial" w:cs="Arial"/>
          <w:sz w:val="21"/>
          <w:szCs w:val="21"/>
          <w:lang w:val="es-ES"/>
        </w:rPr>
        <w:t>Ley 361 de 1997</w:t>
      </w:r>
      <w:r w:rsidRPr="00FB65A0">
        <w:rPr>
          <w:rFonts w:ascii="Arial" w:eastAsia="Calibri" w:hAnsi="Arial" w:cs="Arial"/>
          <w:color w:val="000000" w:themeColor="text1"/>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5.    Utilizar un método aleatorio para seleccionar el oferente, método que deberá haber sido previsto en los pliegos de condiciones del Proceso de Contratación.</w:t>
      </w:r>
    </w:p>
    <w:p w:rsidR="00FB65A0" w:rsidRPr="00FB65A0" w:rsidRDefault="00FB65A0" w:rsidP="00FB65A0">
      <w:pPr>
        <w:spacing w:after="0" w:line="276" w:lineRule="auto"/>
        <w:ind w:firstLine="709"/>
        <w:jc w:val="both"/>
        <w:rPr>
          <w:rFonts w:ascii="Arial" w:eastAsia="Times New Roman" w:hAnsi="Arial" w:cs="Arial"/>
          <w:color w:val="000000" w:themeColor="text1"/>
          <w:szCs w:val="24"/>
          <w:lang w:val="es-ES"/>
        </w:rPr>
      </w:pPr>
    </w:p>
    <w:p w:rsidR="00FB65A0" w:rsidRPr="00FB65A0" w:rsidRDefault="00FB65A0" w:rsidP="00FB65A0">
      <w:pPr>
        <w:spacing w:after="0" w:line="276" w:lineRule="auto"/>
        <w:jc w:val="both"/>
        <w:rPr>
          <w:rFonts w:ascii="Arial" w:eastAsia="Times New Roman" w:hAnsi="Arial" w:cs="Arial"/>
          <w:b/>
          <w:color w:val="000000" w:themeColor="text1"/>
          <w:szCs w:val="24"/>
          <w:lang w:val="es-ES"/>
        </w:rPr>
      </w:pPr>
      <w:r w:rsidRPr="00FB65A0">
        <w:rPr>
          <w:rFonts w:ascii="Arial" w:eastAsia="Times New Roman" w:hAnsi="Arial" w:cs="Arial"/>
          <w:b/>
          <w:color w:val="000000" w:themeColor="text1"/>
          <w:szCs w:val="24"/>
          <w:lang w:val="es-ES"/>
        </w:rPr>
        <w:t>2.2. Criterio de desempate creado por el artículo 3º de la Ley 2040 de 2020: incentivo contractual y política horizontal</w:t>
      </w:r>
    </w:p>
    <w:p w:rsidR="00FB65A0" w:rsidRPr="00FB65A0" w:rsidRDefault="00FB65A0" w:rsidP="00FB65A0">
      <w:pPr>
        <w:spacing w:after="0" w:line="276" w:lineRule="auto"/>
        <w:jc w:val="both"/>
        <w:rPr>
          <w:rFonts w:ascii="Arial" w:eastAsia="Times New Roman" w:hAnsi="Arial" w:cs="Arial"/>
          <w:color w:val="000000" w:themeColor="text1"/>
          <w:szCs w:val="24"/>
          <w:lang w:val="es-ES"/>
        </w:rPr>
      </w:pPr>
    </w:p>
    <w:p w:rsidR="00FB65A0" w:rsidRPr="00FB65A0" w:rsidRDefault="00FB65A0" w:rsidP="00FB65A0">
      <w:pPr>
        <w:spacing w:after="120" w:line="276" w:lineRule="auto"/>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rsidR="00FB65A0" w:rsidRPr="00FB65A0" w:rsidRDefault="00FB65A0" w:rsidP="00FB65A0">
      <w:pPr>
        <w:spacing w:after="120" w:line="276" w:lineRule="auto"/>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ab/>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w:t>
      </w:r>
      <w:r w:rsidRPr="00FB65A0">
        <w:rPr>
          <w:rFonts w:ascii="Verdana" w:eastAsia="Times New Roman" w:hAnsi="Verdana" w:cs="Arial"/>
          <w:color w:val="000000" w:themeColor="text1"/>
          <w:szCs w:val="24"/>
          <w:lang w:val="es-ES"/>
        </w:rPr>
        <w:t>«</w:t>
      </w:r>
      <w:r w:rsidRPr="00FB65A0">
        <w:rPr>
          <w:rFonts w:ascii="Arial" w:eastAsia="Times New Roman" w:hAnsi="Arial" w:cs="Arial"/>
          <w:color w:val="000000" w:themeColor="text1"/>
          <w:szCs w:val="24"/>
          <w:lang w:val="es-ES"/>
        </w:rPr>
        <w:t xml:space="preserve">Ruta para el emprendimiento del adulto mayor» para que los adultos mayores puedan poner en marcha su propia empresa –artículo 10–. Todos estos son mecanismos para cumplir su finalidad: incrementar la empleabilidad de los adultos mayores, lo que a la postre, se espera, se traducirá en mayor empleo para este sector vulnerable de la población. </w:t>
      </w:r>
    </w:p>
    <w:p w:rsidR="00FB65A0" w:rsidRPr="00FB65A0" w:rsidRDefault="00FB65A0" w:rsidP="00FB65A0">
      <w:pPr>
        <w:spacing w:after="0" w:line="276" w:lineRule="auto"/>
        <w:jc w:val="both"/>
        <w:rPr>
          <w:rFonts w:ascii="Arial" w:eastAsia="Times New Roman" w:hAnsi="Arial" w:cs="Arial"/>
          <w:color w:val="000000" w:themeColor="text1"/>
          <w:szCs w:val="24"/>
          <w:lang w:val="es-ES"/>
        </w:rPr>
      </w:pPr>
      <w:r w:rsidRPr="00FB65A0">
        <w:rPr>
          <w:rFonts w:ascii="Arial" w:eastAsia="Times New Roman" w:hAnsi="Arial" w:cs="Arial"/>
          <w:color w:val="000000" w:themeColor="text1"/>
          <w:szCs w:val="24"/>
          <w:lang w:val="es-ES"/>
        </w:rPr>
        <w:tab/>
        <w:t xml:space="preserve">La Ley 2040 de 2020, además de las estrategias referidas, contiene un mecanismo que forma parte del Estatuto General de Contratación de la Administración Pública. Se hace referencia al artículo 3 de dicha ley, que adiciona un parágrafo al artículo 12 de la Ley 1150 de 2007: </w:t>
      </w:r>
    </w:p>
    <w:p w:rsidR="00FB65A0" w:rsidRPr="00FB65A0" w:rsidRDefault="00FB65A0" w:rsidP="00FB65A0">
      <w:pPr>
        <w:tabs>
          <w:tab w:val="left" w:pos="709"/>
        </w:tabs>
        <w:spacing w:after="0" w:line="276" w:lineRule="auto"/>
        <w:jc w:val="both"/>
        <w:rPr>
          <w:rFonts w:ascii="Arial" w:eastAsia="Times New Roman" w:hAnsi="Arial" w:cs="Arial"/>
          <w:color w:val="000000" w:themeColor="text1"/>
          <w:szCs w:val="24"/>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 </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 xml:space="preserve">Para los efectos de este parágrafo solo se tendrá en cuenta la vinculación de aquellos adultos mayores objeto de esta Ley que hayan estado vinculados con </w:t>
      </w:r>
      <w:r w:rsidRPr="00FB65A0">
        <w:rPr>
          <w:rFonts w:ascii="Arial" w:eastAsia="Calibri" w:hAnsi="Arial" w:cs="Arial"/>
          <w:color w:val="000000" w:themeColor="text1"/>
          <w:sz w:val="21"/>
          <w:szCs w:val="21"/>
          <w:lang w:val="es-ES"/>
        </w:rPr>
        <w:lastRenderedPageBreak/>
        <w:t xml:space="preserve">una anterioridad igual o mayor a un año. Para los casos de constitución inferior a un año se tendrá en cuenta a aquellos trabajadores que hayan estado vinculados desde el momento de constitución de la misma. </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p>
    <w:p w:rsidR="00FB65A0" w:rsidRPr="00FB65A0" w:rsidRDefault="00FB65A0" w:rsidP="00FB65A0">
      <w:pPr>
        <w:tabs>
          <w:tab w:val="left" w:pos="709"/>
        </w:tabs>
        <w:spacing w:after="0" w:line="240" w:lineRule="auto"/>
        <w:ind w:left="709" w:right="758"/>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rsidR="00FB65A0" w:rsidRPr="00FB65A0" w:rsidRDefault="00FB65A0" w:rsidP="00FB65A0">
      <w:pPr>
        <w:tabs>
          <w:tab w:val="left" w:pos="426"/>
        </w:tabs>
        <w:spacing w:after="0" w:line="276" w:lineRule="auto"/>
        <w:jc w:val="both"/>
        <w:rPr>
          <w:rFonts w:ascii="Arial" w:eastAsia="Calibri" w:hAnsi="Arial" w:cs="Arial"/>
          <w:color w:val="000000" w:themeColor="text1"/>
          <w:szCs w:val="24"/>
          <w:lang w:val="es-ES"/>
        </w:rPr>
      </w:pP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La política horizontal perseguida es maximizar el número de personas vinculadas laboralmente a empresas contratistas del Estado que hayan cumplido con el requisito de edad y no cuenten con una pensión de vejez, familiar o de sobrevivencia.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De otra parte, el incentivo, en el esquema de la contratación estatal, es la creación de un criterio de desempate para favorecer a la empresa que tenga un porcentaje mayor –no un número mayor– de adultos mayores contratados que no cuenten con una pensión de vejez, familiar o de sobrevivencia. La norma procura que los potenciales contratistas del Estado incrementen el porcentaje de adultos mayores vinculados a su planta de personal, con el fin de ser beneficiarios de este criterio de desempate en un eventual procedimiento de selección. Es importante reseñar que solamente se podrá tener en cuenta al personal con vinculación mayor o igual a un año, o que esté vinculado desde la constitución del proponente, para aquellos cuya constitución es inferior al año.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Adicionalmente, el inciso 3 de la misma disposición establece que el contratista que haya obtenido un contrato estatal, sirviéndose de este criterio de desempate, debe mantener el mismo porcentaje de personal vinculado en esta condición, en su planta de personal, durante el plazo de ejecución del contrato. Es decir, el criterio de desempate se convierte en una obligación contractual por mandato de la ley –otra forma de materializar políticas horizontales– en caso de que la adjudicación del contrato se hubiera obtenido con base en este criterio. El mismo inciso establece una sanción para quienes incumplan la obligación durante la etapa de ejecución: no podrán hacer uso de este beneficio durante el término de 5 años.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En relación con la acreditación del criterio de desempate, el inciso 4 establece que se debe demostrar el porcentaje de adultos mayores contratados con una certificación, expedida bajo la gravedad de juramento, del total de trabajadores que cumplan con lo señalado en la norma y que se encuentren vinculados a la planta de personal del oferente a </w:t>
      </w:r>
      <w:r w:rsidRPr="00FB65A0">
        <w:rPr>
          <w:rFonts w:ascii="Arial" w:eastAsia="Calibri" w:hAnsi="Arial" w:cs="Arial"/>
          <w:color w:val="000000" w:themeColor="text1"/>
          <w:szCs w:val="24"/>
          <w:lang w:val="es-ES"/>
        </w:rPr>
        <w:lastRenderedPageBreak/>
        <w:t xml:space="preserve">la fecha de cierre del proceso de selección. Esta certificación debe ser expedida, según el caso, por la persona natural, el representante legal de la persona jurídica o su revisor fiscal.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Es posible afirmar que, desde el punto de vista del mecanismo, el legislador optó por concretar la política horizontal a través de un criterio de desempate. Ello plantea, como se indica en la consulta,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Mipymes y los oferentes que hayan vinculado personas en condición de discapacidad, en cierto porcentaje, en su planta de personal.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La dificultad práctica, frente a la nueva ley, radica en que, exclusivamente con base en el ordenamiento vigente, no es posible determinar con certeza cómo debe articularse el criterio de desempate de la Ley 2040 de 2020 con los que preexisten en el ordenamiento.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En este asunto debe tenerse en cuenta que las normas jurídicas, por regla general, producen efectos a partir de su promulgación o publicación. De allí se derivan principios tales como la irretroactividad de la ley y su efecto general inmediato</w:t>
      </w:r>
      <w:r w:rsidRPr="00FB65A0">
        <w:rPr>
          <w:rFonts w:ascii="Arial" w:eastAsia="Calibri" w:hAnsi="Arial" w:cs="Arial"/>
          <w:color w:val="000000" w:themeColor="text1"/>
          <w:szCs w:val="24"/>
          <w:vertAlign w:val="superscript"/>
          <w:lang w:val="es-ES"/>
        </w:rPr>
        <w:footnoteReference w:id="9"/>
      </w:r>
      <w:r w:rsidRPr="00FB65A0">
        <w:rPr>
          <w:rFonts w:ascii="Arial" w:eastAsia="Calibri" w:hAnsi="Arial" w:cs="Arial"/>
          <w:color w:val="000000" w:themeColor="text1"/>
          <w:szCs w:val="24"/>
          <w:lang w:val="es-ES"/>
        </w:rPr>
        <w:t>. La Ley 2040 de 2020, en principio, no parece ser la excepción, pues el artículo 12 dispone: «</w:t>
      </w:r>
      <w:r w:rsidRPr="00FB65A0">
        <w:rPr>
          <w:rFonts w:ascii="Arial" w:eastAsia="Calibri" w:hAnsi="Arial" w:cs="Arial"/>
          <w:color w:val="000000" w:themeColor="text1"/>
          <w:szCs w:val="24"/>
        </w:rPr>
        <w:t>La presente ley rige a partir del momento de su promulgación y deroga las disposiciones que le sean contrarias</w:t>
      </w:r>
      <w:r w:rsidRPr="00FB65A0">
        <w:rPr>
          <w:rFonts w:ascii="Arial" w:eastAsia="Calibri" w:hAnsi="Arial" w:cs="Arial"/>
          <w:color w:val="000000" w:themeColor="text1"/>
          <w:szCs w:val="24"/>
          <w:lang w:val="es-ES"/>
        </w:rPr>
        <w:t>».</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Sin embargo, las leyes pueden modular sus efectos en el tiempo y establecer para el inicio de su entrada en vigor un plazo o una condición. Ejemplo de una ley que establece un plazo es la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w:t>
      </w:r>
      <w:r w:rsidRPr="00FB65A0">
        <w:rPr>
          <w:rFonts w:ascii="Arial" w:eastAsia="Calibri" w:hAnsi="Arial" w:cs="Arial"/>
          <w:color w:val="000000" w:themeColor="text1"/>
          <w:szCs w:val="24"/>
          <w:lang w:val="es-ES"/>
        </w:rPr>
        <w:lastRenderedPageBreak/>
        <w:t>podrá hacer uso de la selección abreviada como modalidad de selección».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rsidR="00FB65A0" w:rsidRPr="00FB65A0" w:rsidRDefault="00FB65A0" w:rsidP="00FB65A0">
      <w:pPr>
        <w:shd w:val="clear" w:color="auto" w:fill="FFFFFF"/>
        <w:spacing w:after="150" w:line="276" w:lineRule="auto"/>
        <w:ind w:right="49" w:firstLine="708"/>
        <w:jc w:val="both"/>
        <w:rPr>
          <w:rFonts w:ascii="Arial" w:eastAsia="Calibri" w:hAnsi="Arial" w:cs="Arial"/>
          <w:color w:val="000000" w:themeColor="text1"/>
          <w:szCs w:val="24"/>
          <w:lang w:val="es-ES"/>
        </w:rPr>
      </w:pPr>
      <w:r w:rsidRPr="00FB65A0">
        <w:rPr>
          <w:rFonts w:ascii="Arial" w:eastAsia="Calibri" w:hAnsi="Arial" w:cs="Arial"/>
          <w:color w:val="000000" w:themeColor="text1"/>
          <w:lang w:val="es-ES"/>
        </w:rPr>
        <w:t xml:space="preserve">En este caso, debe estudiarse si la Ley 2040 de 2020 tiene una condición para empezar a regir, concretamente su criterio de desempate. Hay dos argumentos que dan cuenta de tal condición: el primero </w:t>
      </w:r>
      <w:r w:rsidRPr="00FB65A0">
        <w:rPr>
          <w:rFonts w:ascii="Arial" w:eastAsia="Calibri" w:hAnsi="Arial" w:cs="Arial"/>
          <w:color w:val="000000" w:themeColor="text1"/>
          <w:szCs w:val="24"/>
          <w:lang w:val="es-ES"/>
        </w:rPr>
        <w:t>puede encontrarse en los antecedentes legislativos. En ellos</w:t>
      </w:r>
      <w:r w:rsidRPr="00FB65A0">
        <w:rPr>
          <w:rFonts w:ascii="Arial" w:eastAsia="Calibri" w:hAnsi="Arial" w:cs="Arial"/>
          <w:color w:val="000000" w:themeColor="text1"/>
          <w:szCs w:val="24"/>
          <w:vertAlign w:val="superscript"/>
          <w:lang w:val="es-ES"/>
        </w:rPr>
        <w:footnoteReference w:id="10"/>
      </w:r>
      <w:r w:rsidRPr="00FB65A0">
        <w:rPr>
          <w:rFonts w:ascii="Arial" w:eastAsia="Calibri" w:hAnsi="Arial" w:cs="Arial"/>
          <w:color w:val="000000" w:themeColor="text1"/>
          <w:szCs w:val="24"/>
          <w:lang w:val="es-ES"/>
        </w:rPr>
        <w:t xml:space="preserve"> se explica que el proyecto de Ley tenía como objeto incentivar la contratación de adultos mayores a través de varias medidas, y se destaca la «[r]</w:t>
      </w:r>
      <w:proofErr w:type="spellStart"/>
      <w:r w:rsidRPr="00FB65A0">
        <w:rPr>
          <w:rFonts w:ascii="Arial" w:eastAsia="Calibri" w:hAnsi="Arial" w:cs="Arial"/>
          <w:color w:val="000000" w:themeColor="text1"/>
          <w:szCs w:val="24"/>
          <w:lang w:val="es-ES"/>
        </w:rPr>
        <w:t>eglamentación</w:t>
      </w:r>
      <w:proofErr w:type="spellEnd"/>
      <w:r w:rsidRPr="00FB65A0">
        <w:rPr>
          <w:rFonts w:ascii="Arial" w:eastAsia="Calibri" w:hAnsi="Arial" w:cs="Arial"/>
          <w:color w:val="000000" w:themeColor="text1"/>
          <w:szCs w:val="24"/>
          <w:lang w:val="es-ES"/>
        </w:rPr>
        <w:t xml:space="preserve"> a cargo del gobierno en materia de estrategias de promoción del empleo de adultos mayores en el sector público, tipos de oficios y actividades que pueden realizar, derechos y obligaciones especiales de los empleadores que se acojan a la ley, procedimientos de verificación de los requisitos por parte de los empleadores»</w:t>
      </w:r>
      <w:r w:rsidRPr="00FB65A0">
        <w:rPr>
          <w:rFonts w:ascii="Arial" w:eastAsia="Calibri" w:hAnsi="Arial" w:cs="Arial"/>
          <w:color w:val="000000" w:themeColor="text1"/>
          <w:szCs w:val="24"/>
          <w:vertAlign w:val="superscript"/>
          <w:lang w:val="es-ES"/>
        </w:rPr>
        <w:footnoteReference w:id="11"/>
      </w:r>
      <w:r w:rsidRPr="00FB65A0">
        <w:rPr>
          <w:rFonts w:ascii="Arial" w:eastAsia="Calibri" w:hAnsi="Arial" w:cs="Arial"/>
          <w:color w:val="000000" w:themeColor="text1"/>
          <w:szCs w:val="24"/>
          <w:lang w:val="es-ES"/>
        </w:rPr>
        <w:t>.</w:t>
      </w:r>
      <w:r w:rsidRPr="00FB65A0">
        <w:rPr>
          <w:rFonts w:ascii="Verdana" w:eastAsia="Calibri" w:hAnsi="Verdana" w:cs="Arial"/>
          <w:color w:val="000000" w:themeColor="text1"/>
          <w:szCs w:val="24"/>
          <w:lang w:val="es-ES"/>
        </w:rPr>
        <w:t xml:space="preserve"> </w:t>
      </w:r>
      <w:r w:rsidRPr="00FB65A0">
        <w:rPr>
          <w:rFonts w:ascii="Arial" w:eastAsia="Calibri" w:hAnsi="Arial" w:cs="Arial"/>
          <w:color w:val="000000" w:themeColor="text1"/>
          <w:szCs w:val="24"/>
          <w:lang w:val="es-ES"/>
        </w:rPr>
        <w:t xml:space="preserve">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El legislador consideró necesaria la reglamentación para determinar los derechos y obligaciones especiales de los empleadores que se acojan a la Ley. El derecho a ser adjudicatario en caso de empate es uno de esos derechos especiales, luego, no hay duda de la intención del legislador, atendiendo a los antecedentes de la Ley, para que el criterio de desempate estuviera sometido en su vigencia a la condición de la expedición de la reglamentación. </w:t>
      </w:r>
    </w:p>
    <w:p w:rsidR="00FB65A0" w:rsidRPr="00FB65A0" w:rsidRDefault="00FB65A0" w:rsidP="00FB65A0">
      <w:pPr>
        <w:shd w:val="clear" w:color="auto" w:fill="FFFFFF"/>
        <w:spacing w:after="150" w:line="276" w:lineRule="auto"/>
        <w:ind w:right="49" w:firstLine="708"/>
        <w:jc w:val="both"/>
        <w:rPr>
          <w:rFonts w:ascii="Arial" w:eastAsia="Calibri" w:hAnsi="Arial" w:cs="Arial"/>
          <w:color w:val="000000" w:themeColor="text1"/>
          <w:szCs w:val="24"/>
          <w:lang w:val="es-ES"/>
        </w:rPr>
      </w:pPr>
      <w:r w:rsidRPr="00FB65A0">
        <w:rPr>
          <w:rFonts w:ascii="Arial" w:eastAsia="Calibri" w:hAnsi="Arial" w:cs="Arial"/>
          <w:color w:val="000000" w:themeColor="text1"/>
          <w:lang w:val="es-ES"/>
        </w:rPr>
        <w:t xml:space="preserve">El segundo argumento procede de la misma Ley. El artículo 4 de la Ley </w:t>
      </w:r>
      <w:r w:rsidRPr="00FB65A0">
        <w:rPr>
          <w:rFonts w:ascii="Arial" w:eastAsia="Calibri" w:hAnsi="Arial" w:cs="Arial"/>
          <w:color w:val="000000" w:themeColor="text1"/>
          <w:szCs w:val="24"/>
          <w:lang w:val="es-ES"/>
        </w:rPr>
        <w:t>2040 de 2020</w:t>
      </w:r>
      <w:r w:rsidRPr="00FB65A0">
        <w:rPr>
          <w:rFonts w:ascii="Arial" w:eastAsia="Calibri" w:hAnsi="Arial" w:cs="Arial"/>
          <w:color w:val="000000" w:themeColor="text1"/>
          <w:szCs w:val="24"/>
          <w:vertAlign w:val="superscript"/>
          <w:lang w:val="es-ES"/>
        </w:rPr>
        <w:footnoteReference w:id="12"/>
      </w:r>
      <w:r w:rsidRPr="00FB65A0">
        <w:rPr>
          <w:rFonts w:ascii="Arial" w:eastAsia="Calibri" w:hAnsi="Arial" w:cs="Arial"/>
          <w:color w:val="000000" w:themeColor="text1"/>
          <w:szCs w:val="24"/>
          <w:lang w:val="es-ES"/>
        </w:rPr>
        <w:t xml:space="preserve"> establece que el Gobierno Nacional, en consulta con el Consejo Nacional del Adulto </w:t>
      </w:r>
      <w:r w:rsidRPr="00FB65A0">
        <w:rPr>
          <w:rFonts w:ascii="Arial" w:eastAsia="Calibri" w:hAnsi="Arial" w:cs="Arial"/>
          <w:color w:val="000000" w:themeColor="text1"/>
          <w:szCs w:val="24"/>
          <w:lang w:val="es-ES"/>
        </w:rPr>
        <w:lastRenderedPageBreak/>
        <w:t xml:space="preserve">Mayor, debe reglamentar esta ley, entre otros aspectos, en relación con las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El criterio de desempate creado es una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rsidR="00FB65A0" w:rsidRPr="00FB65A0" w:rsidRDefault="00FB65A0" w:rsidP="00FB65A0">
      <w:pPr>
        <w:spacing w:after="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Sobre este asunto, es preciso llamar la atención sobre la jurisprudencia. Sobre ello, el Consejo de Estado ha dicho: </w:t>
      </w:r>
    </w:p>
    <w:p w:rsidR="00FB65A0" w:rsidRPr="00FB65A0" w:rsidRDefault="00FB65A0" w:rsidP="00FB65A0">
      <w:pPr>
        <w:shd w:val="clear" w:color="auto" w:fill="FFFFFF"/>
        <w:spacing w:after="0" w:line="240" w:lineRule="auto"/>
        <w:ind w:left="709" w:right="760"/>
        <w:jc w:val="both"/>
        <w:rPr>
          <w:rFonts w:ascii="Arial" w:eastAsia="Calibri" w:hAnsi="Arial" w:cs="Arial"/>
          <w:color w:val="000000" w:themeColor="text1"/>
          <w:sz w:val="21"/>
          <w:szCs w:val="21"/>
          <w:lang w:val="es-ES"/>
        </w:rPr>
      </w:pPr>
    </w:p>
    <w:p w:rsidR="00FB65A0" w:rsidRPr="00FB65A0" w:rsidRDefault="00FB65A0" w:rsidP="00FB65A0">
      <w:pPr>
        <w:shd w:val="clear" w:color="auto" w:fill="FFFFFF"/>
        <w:spacing w:after="0" w:line="240" w:lineRule="auto"/>
        <w:ind w:left="709" w:right="760"/>
        <w:jc w:val="both"/>
        <w:rPr>
          <w:rFonts w:ascii="Arial" w:eastAsia="Calibri" w:hAnsi="Arial" w:cs="Arial"/>
          <w:color w:val="000000" w:themeColor="text1"/>
          <w:sz w:val="21"/>
          <w:szCs w:val="21"/>
          <w:lang w:val="es-ES"/>
        </w:rPr>
      </w:pPr>
      <w:r w:rsidRPr="00FB65A0">
        <w:rPr>
          <w:rFonts w:ascii="Arial" w:eastAsia="Calibri" w:hAnsi="Arial" w:cs="Arial"/>
          <w:color w:val="000000" w:themeColor="text1"/>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FB65A0">
        <w:rPr>
          <w:rFonts w:ascii="Arial" w:eastAsia="Calibri" w:hAnsi="Arial" w:cs="Arial"/>
          <w:color w:val="000000" w:themeColor="text1"/>
          <w:sz w:val="21"/>
          <w:szCs w:val="21"/>
          <w:vertAlign w:val="superscript"/>
          <w:lang w:val="es-ES"/>
        </w:rPr>
        <w:footnoteReference w:id="13"/>
      </w:r>
      <w:r w:rsidRPr="00FB65A0">
        <w:rPr>
          <w:rFonts w:ascii="Arial" w:eastAsia="Calibri" w:hAnsi="Arial" w:cs="Arial"/>
          <w:color w:val="000000" w:themeColor="text1"/>
          <w:sz w:val="21"/>
          <w:szCs w:val="21"/>
          <w:lang w:val="es-ES"/>
        </w:rPr>
        <w:t>.</w:t>
      </w:r>
    </w:p>
    <w:p w:rsidR="00FB65A0" w:rsidRPr="00FB65A0" w:rsidRDefault="00FB65A0" w:rsidP="00FB65A0">
      <w:pPr>
        <w:shd w:val="clear" w:color="auto" w:fill="FFFFFF"/>
        <w:spacing w:after="0" w:line="240" w:lineRule="auto"/>
        <w:ind w:left="709" w:right="760"/>
        <w:jc w:val="both"/>
        <w:rPr>
          <w:rFonts w:ascii="Arial" w:eastAsia="Calibri" w:hAnsi="Arial" w:cs="Arial"/>
          <w:color w:val="000000" w:themeColor="text1"/>
          <w:sz w:val="21"/>
          <w:szCs w:val="21"/>
          <w:lang w:val="es-ES"/>
        </w:rPr>
      </w:pPr>
    </w:p>
    <w:p w:rsidR="00FB65A0" w:rsidRPr="00FB65A0" w:rsidRDefault="00FB65A0" w:rsidP="00FB65A0">
      <w:pPr>
        <w:shd w:val="clear" w:color="auto" w:fill="FFFFFF"/>
        <w:spacing w:after="120" w:line="276" w:lineRule="auto"/>
        <w:ind w:right="51" w:firstLine="709"/>
        <w:jc w:val="both"/>
        <w:rPr>
          <w:rFonts w:ascii="Arial" w:eastAsia="Calibri" w:hAnsi="Arial" w:cs="Arial"/>
          <w:color w:val="000000" w:themeColor="text1"/>
          <w:lang w:val="es-ES"/>
        </w:rPr>
      </w:pPr>
      <w:r w:rsidRPr="00FB65A0">
        <w:rPr>
          <w:rFonts w:ascii="Arial" w:eastAsia="Calibri" w:hAnsi="Arial" w:cs="Arial"/>
          <w:color w:val="000000" w:themeColor="text1"/>
          <w:lang w:val="es-ES"/>
        </w:rPr>
        <w:t xml:space="preserve">La referencia hecha en una Ley a que el Gobierno Nacional reglamentará la materia es un reconocimiento de que el reglamento puede ser indispensable para el cumplimiento de esta. Claro está que tal reconocimiento, por parte del legislador, no siempre implica que la ley se encuentre sometida a condición para entrar a regir; pero cuando ello se analiza con otros elementos que obran en este sentido, como los antecedentes legislativos, sí es posible utilizar la referencia al reglamento como una prueba de que la Ley moduló sus efectos en el tiempo y se encuentra sometida a condición. </w:t>
      </w:r>
    </w:p>
    <w:p w:rsidR="00FB65A0" w:rsidRPr="00FB65A0" w:rsidRDefault="00FB65A0" w:rsidP="00FB65A0">
      <w:pPr>
        <w:spacing w:after="120" w:line="276" w:lineRule="auto"/>
        <w:ind w:firstLine="709"/>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rsidR="00FB65A0" w:rsidRPr="00FB65A0" w:rsidRDefault="00FB65A0" w:rsidP="00FB65A0">
      <w:pPr>
        <w:spacing w:after="0" w:line="276" w:lineRule="auto"/>
        <w:ind w:firstLine="709"/>
        <w:jc w:val="both"/>
        <w:rPr>
          <w:rFonts w:ascii="Arial" w:eastAsia="Calibri" w:hAnsi="Arial" w:cs="Arial"/>
          <w:color w:val="000000" w:themeColor="text1"/>
          <w:szCs w:val="24"/>
          <w:lang w:val="es-ES"/>
        </w:rPr>
      </w:pPr>
    </w:p>
    <w:p w:rsidR="00FB65A0" w:rsidRPr="00FB65A0" w:rsidRDefault="00FB65A0" w:rsidP="00B71EC5">
      <w:pPr>
        <w:numPr>
          <w:ilvl w:val="0"/>
          <w:numId w:val="1"/>
        </w:numPr>
        <w:tabs>
          <w:tab w:val="left" w:pos="284"/>
        </w:tabs>
        <w:spacing w:after="0" w:line="276" w:lineRule="auto"/>
        <w:ind w:left="0" w:firstLine="0"/>
        <w:contextualSpacing/>
        <w:rPr>
          <w:rFonts w:ascii="Arial" w:hAnsi="Arial" w:cs="Arial"/>
          <w:b/>
          <w:bCs/>
          <w:color w:val="000000" w:themeColor="text1"/>
          <w:lang w:val="es-ES"/>
        </w:rPr>
      </w:pPr>
      <w:r w:rsidRPr="00FB65A0">
        <w:rPr>
          <w:rFonts w:ascii="Arial" w:hAnsi="Arial" w:cs="Arial"/>
          <w:b/>
          <w:bCs/>
          <w:color w:val="000000" w:themeColor="text1"/>
          <w:lang w:val="es-ES"/>
        </w:rPr>
        <w:lastRenderedPageBreak/>
        <w:t xml:space="preserve">Respuesta </w:t>
      </w:r>
    </w:p>
    <w:p w:rsidR="00FB65A0" w:rsidRPr="00FB65A0" w:rsidRDefault="00FB65A0" w:rsidP="00FB65A0">
      <w:pPr>
        <w:spacing w:after="0" w:line="240" w:lineRule="auto"/>
        <w:ind w:left="709" w:right="709"/>
        <w:jc w:val="both"/>
        <w:rPr>
          <w:rFonts w:ascii="Arial" w:eastAsia="Calibri" w:hAnsi="Arial" w:cs="Arial"/>
          <w:color w:val="000000" w:themeColor="text1"/>
          <w:sz w:val="21"/>
          <w:szCs w:val="21"/>
          <w:lang w:val="es-ES"/>
        </w:rPr>
      </w:pPr>
    </w:p>
    <w:p w:rsidR="007C5322" w:rsidRPr="00590358" w:rsidRDefault="00130F0D" w:rsidP="00590358">
      <w:pPr>
        <w:spacing w:after="0" w:line="240" w:lineRule="auto"/>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«(i) </w:t>
      </w:r>
      <w:r w:rsidRPr="00130F0D">
        <w:rPr>
          <w:rFonts w:ascii="Arial" w:eastAsia="Calibri" w:hAnsi="Arial" w:cs="Arial"/>
          <w:color w:val="000000" w:themeColor="text1"/>
          <w:sz w:val="21"/>
          <w:szCs w:val="21"/>
        </w:rPr>
        <w:t>¿</w:t>
      </w:r>
      <w:r w:rsidR="00590358">
        <w:rPr>
          <w:rFonts w:ascii="Arial" w:eastAsia="Calibri" w:hAnsi="Arial" w:cs="Arial"/>
          <w:color w:val="000000" w:themeColor="text1"/>
          <w:sz w:val="21"/>
          <w:szCs w:val="21"/>
        </w:rPr>
        <w:t>c</w:t>
      </w:r>
      <w:r w:rsidRPr="00130F0D">
        <w:rPr>
          <w:rFonts w:ascii="Arial" w:eastAsia="Calibri" w:hAnsi="Arial" w:cs="Arial"/>
          <w:color w:val="000000" w:themeColor="text1"/>
          <w:sz w:val="21"/>
          <w:szCs w:val="21"/>
        </w:rPr>
        <w:t xml:space="preserve">ómo queda el artículo 2.2.1.1.2.2.9 </w:t>
      </w:r>
      <w:proofErr w:type="gramStart"/>
      <w:r w:rsidRPr="00130F0D">
        <w:rPr>
          <w:rFonts w:ascii="Arial" w:eastAsia="Calibri" w:hAnsi="Arial" w:cs="Arial"/>
          <w:color w:val="000000" w:themeColor="text1"/>
          <w:sz w:val="21"/>
          <w:szCs w:val="21"/>
        </w:rPr>
        <w:t>Decreto 1082 de 2015, sobre factores de desempate?</w:t>
      </w:r>
      <w:proofErr w:type="gramEnd"/>
      <w:r w:rsidR="00FB65A0" w:rsidRPr="00FB65A0">
        <w:rPr>
          <w:rFonts w:ascii="Arial" w:eastAsia="Calibri" w:hAnsi="Arial" w:cs="Arial"/>
          <w:color w:val="000000" w:themeColor="text1"/>
          <w:sz w:val="21"/>
          <w:szCs w:val="21"/>
          <w:lang w:val="es-ES"/>
        </w:rPr>
        <w:t xml:space="preserve">». </w:t>
      </w:r>
    </w:p>
    <w:p w:rsidR="00130F0D" w:rsidRPr="00FB65A0" w:rsidRDefault="00130F0D" w:rsidP="00590358">
      <w:pPr>
        <w:spacing w:after="0" w:line="240" w:lineRule="auto"/>
        <w:ind w:right="709"/>
        <w:jc w:val="both"/>
        <w:rPr>
          <w:rFonts w:ascii="Arial" w:eastAsia="Calibri" w:hAnsi="Arial" w:cs="Arial"/>
          <w:color w:val="000000" w:themeColor="text1"/>
          <w:sz w:val="21"/>
          <w:szCs w:val="21"/>
          <w:lang w:val="es-ES"/>
        </w:rPr>
      </w:pPr>
    </w:p>
    <w:p w:rsidR="00130F0D" w:rsidRDefault="00130F0D" w:rsidP="00590358">
      <w:pPr>
        <w:spacing w:after="0" w:line="240" w:lineRule="auto"/>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w:t>
      </w:r>
      <w:r w:rsidRPr="00130F0D">
        <w:rPr>
          <w:rFonts w:ascii="Arial" w:eastAsia="Calibri" w:hAnsi="Arial" w:cs="Arial"/>
          <w:color w:val="000000" w:themeColor="text1"/>
          <w:sz w:val="21"/>
          <w:szCs w:val="21"/>
        </w:rPr>
        <w:t>(ii) ¿</w:t>
      </w:r>
      <w:r w:rsidR="00590358">
        <w:rPr>
          <w:rFonts w:ascii="Arial" w:eastAsia="Calibri" w:hAnsi="Arial" w:cs="Arial"/>
          <w:color w:val="000000" w:themeColor="text1"/>
          <w:sz w:val="21"/>
          <w:szCs w:val="21"/>
        </w:rPr>
        <w:t>c</w:t>
      </w:r>
      <w:r w:rsidRPr="00130F0D">
        <w:rPr>
          <w:rFonts w:ascii="Arial" w:eastAsia="Calibri" w:hAnsi="Arial" w:cs="Arial"/>
          <w:color w:val="000000" w:themeColor="text1"/>
          <w:sz w:val="21"/>
          <w:szCs w:val="21"/>
        </w:rPr>
        <w:t xml:space="preserve">uál sería el criterio de </w:t>
      </w:r>
      <w:r>
        <w:rPr>
          <w:rFonts w:ascii="Arial" w:eastAsia="Calibri" w:hAnsi="Arial" w:cs="Arial"/>
          <w:color w:val="000000" w:themeColor="text1"/>
          <w:sz w:val="21"/>
          <w:szCs w:val="21"/>
        </w:rPr>
        <w:t>desempate inicial?</w:t>
      </w:r>
      <w:r w:rsidRPr="00130F0D">
        <w:rPr>
          <w:rFonts w:ascii="Arial" w:eastAsia="Calibri" w:hAnsi="Arial" w:cs="Arial"/>
          <w:color w:val="000000" w:themeColor="text1"/>
          <w:sz w:val="21"/>
          <w:szCs w:val="21"/>
          <w:lang w:val="es-ES"/>
        </w:rPr>
        <w:t>»</w:t>
      </w:r>
      <w:r>
        <w:rPr>
          <w:rFonts w:ascii="Arial" w:eastAsia="Calibri" w:hAnsi="Arial" w:cs="Arial"/>
          <w:color w:val="000000" w:themeColor="text1"/>
          <w:sz w:val="21"/>
          <w:szCs w:val="21"/>
          <w:lang w:val="es-ES"/>
        </w:rPr>
        <w:t>.</w:t>
      </w:r>
    </w:p>
    <w:p w:rsidR="00130F0D" w:rsidRDefault="00130F0D" w:rsidP="00590358">
      <w:pPr>
        <w:spacing w:after="0" w:line="240" w:lineRule="auto"/>
        <w:ind w:left="709" w:right="709"/>
        <w:jc w:val="both"/>
        <w:rPr>
          <w:rFonts w:ascii="Arial" w:eastAsia="Calibri" w:hAnsi="Arial" w:cs="Arial"/>
          <w:color w:val="000000" w:themeColor="text1"/>
          <w:sz w:val="21"/>
          <w:szCs w:val="21"/>
        </w:rPr>
      </w:pPr>
    </w:p>
    <w:p w:rsidR="00FB65A0" w:rsidRPr="00FB65A0" w:rsidRDefault="00130F0D" w:rsidP="00590358">
      <w:pPr>
        <w:spacing w:after="0" w:line="240" w:lineRule="auto"/>
        <w:ind w:left="709" w:right="709"/>
        <w:jc w:val="both"/>
        <w:rPr>
          <w:rFonts w:ascii="Arial" w:eastAsia="Calibri" w:hAnsi="Arial" w:cs="Arial"/>
          <w:color w:val="000000" w:themeColor="text1"/>
          <w:sz w:val="21"/>
          <w:szCs w:val="21"/>
          <w:lang w:val="es-ES"/>
        </w:rPr>
      </w:pPr>
      <w:r w:rsidRPr="00130F0D">
        <w:rPr>
          <w:rFonts w:ascii="Arial" w:eastAsia="Calibri" w:hAnsi="Arial" w:cs="Arial"/>
          <w:color w:val="000000" w:themeColor="text1"/>
          <w:sz w:val="21"/>
          <w:szCs w:val="21"/>
          <w:lang w:val="es-ES"/>
        </w:rPr>
        <w:t>«</w:t>
      </w:r>
      <w:r w:rsidRPr="00130F0D">
        <w:rPr>
          <w:rFonts w:ascii="Arial" w:eastAsia="Calibri" w:hAnsi="Arial" w:cs="Arial"/>
          <w:color w:val="000000" w:themeColor="text1"/>
          <w:sz w:val="21"/>
          <w:szCs w:val="21"/>
        </w:rPr>
        <w:t>(iii) ¿</w:t>
      </w:r>
      <w:r w:rsidR="00590358">
        <w:rPr>
          <w:rFonts w:ascii="Arial" w:eastAsia="Calibri" w:hAnsi="Arial" w:cs="Arial"/>
          <w:color w:val="000000" w:themeColor="text1"/>
          <w:sz w:val="21"/>
          <w:szCs w:val="21"/>
        </w:rPr>
        <w:t>e</w:t>
      </w:r>
      <w:r w:rsidRPr="00130F0D">
        <w:rPr>
          <w:rFonts w:ascii="Arial" w:eastAsia="Calibri" w:hAnsi="Arial" w:cs="Arial"/>
          <w:color w:val="000000" w:themeColor="text1"/>
          <w:sz w:val="21"/>
          <w:szCs w:val="21"/>
        </w:rPr>
        <w:t>l establecido en Ley 2040 o el que indica que el oferente que tenga el mayor puntaje en el primero de los factor</w:t>
      </w:r>
      <w:r>
        <w:rPr>
          <w:rFonts w:ascii="Arial" w:eastAsia="Calibri" w:hAnsi="Arial" w:cs="Arial"/>
          <w:color w:val="000000" w:themeColor="text1"/>
          <w:sz w:val="21"/>
          <w:szCs w:val="21"/>
        </w:rPr>
        <w:t>es de escogencia o calificación</w:t>
      </w:r>
      <w:r w:rsidRPr="00130F0D">
        <w:rPr>
          <w:rFonts w:ascii="Arial" w:eastAsia="Calibri" w:hAnsi="Arial" w:cs="Arial"/>
          <w:color w:val="000000" w:themeColor="text1"/>
          <w:sz w:val="21"/>
          <w:szCs w:val="21"/>
        </w:rPr>
        <w:t>?</w:t>
      </w:r>
      <w:r w:rsidRPr="00130F0D">
        <w:rPr>
          <w:rFonts w:ascii="Arial" w:eastAsia="Calibri" w:hAnsi="Arial" w:cs="Arial"/>
          <w:color w:val="000000" w:themeColor="text1"/>
          <w:sz w:val="21"/>
          <w:szCs w:val="21"/>
          <w:lang w:val="es-ES"/>
        </w:rPr>
        <w:t>»</w:t>
      </w:r>
      <w:r>
        <w:rPr>
          <w:rFonts w:ascii="Arial" w:eastAsia="Calibri" w:hAnsi="Arial" w:cs="Arial"/>
          <w:color w:val="000000" w:themeColor="text1"/>
          <w:sz w:val="21"/>
          <w:szCs w:val="21"/>
          <w:lang w:val="es-ES"/>
        </w:rPr>
        <w:t xml:space="preserve">. </w:t>
      </w:r>
    </w:p>
    <w:p w:rsidR="00FB65A0" w:rsidRPr="00FB65A0" w:rsidRDefault="00FB65A0" w:rsidP="00FB65A0">
      <w:pPr>
        <w:spacing w:after="120" w:line="276" w:lineRule="auto"/>
        <w:jc w:val="both"/>
        <w:rPr>
          <w:rFonts w:ascii="Arial" w:eastAsia="Calibri" w:hAnsi="Arial" w:cs="Arial"/>
          <w:color w:val="000000" w:themeColor="text1"/>
          <w:szCs w:val="24"/>
          <w:lang w:val="es-ES"/>
        </w:rPr>
      </w:pPr>
    </w:p>
    <w:p w:rsidR="00FB65A0" w:rsidRPr="00FB65A0" w:rsidRDefault="00FB65A0" w:rsidP="00FB65A0">
      <w:pPr>
        <w:spacing w:after="0" w:line="276" w:lineRule="auto"/>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El artículo 4 de la Ley 2040 de 2020 expresa la necesidad de contar con un reglamento para cumplir sus disposiciones, sometiendo su vigencia a condición, concretamente para el criterio de desempate de que trata el artículo 3, como se infiere de su contenido y de los antecedentes legislativos.</w:t>
      </w:r>
    </w:p>
    <w:p w:rsidR="00FB65A0" w:rsidRPr="00FB65A0" w:rsidRDefault="00FB65A0" w:rsidP="00FB65A0">
      <w:pPr>
        <w:spacing w:before="120" w:after="0" w:line="276" w:lineRule="auto"/>
        <w:jc w:val="both"/>
        <w:rPr>
          <w:rFonts w:ascii="Arial" w:eastAsia="Calibri" w:hAnsi="Arial" w:cs="Arial"/>
          <w:color w:val="000000" w:themeColor="text1"/>
          <w:szCs w:val="24"/>
          <w:lang w:val="es-ES"/>
        </w:rPr>
      </w:pPr>
      <w:r w:rsidRPr="00FB65A0">
        <w:rPr>
          <w:rFonts w:ascii="Arial" w:eastAsia="Calibri" w:hAnsi="Arial" w:cs="Arial"/>
          <w:color w:val="000000" w:themeColor="text1"/>
          <w:szCs w:val="24"/>
          <w:lang w:val="es-ES"/>
        </w:rPr>
        <w:t>Este concepto tiene el alcance previsto en el artículo 28 del Código de Procedimiento Administrativo y de lo Contencioso Administrativo.</w:t>
      </w:r>
    </w:p>
    <w:p w:rsidR="00FB65A0" w:rsidRPr="00FB65A0" w:rsidRDefault="00FB65A0" w:rsidP="00FB65A0">
      <w:pPr>
        <w:spacing w:after="0" w:line="240" w:lineRule="auto"/>
        <w:ind w:firstLine="709"/>
        <w:jc w:val="both"/>
        <w:rPr>
          <w:rFonts w:ascii="Arial" w:eastAsia="Calibri" w:hAnsi="Arial" w:cs="Arial"/>
          <w:color w:val="000000" w:themeColor="text1"/>
          <w:szCs w:val="24"/>
          <w:lang w:val="es-ES"/>
        </w:rPr>
      </w:pPr>
    </w:p>
    <w:p w:rsidR="00FB65A0" w:rsidRPr="00FB65A0" w:rsidRDefault="00FB65A0" w:rsidP="00FB65A0">
      <w:pPr>
        <w:spacing w:after="0" w:line="240" w:lineRule="auto"/>
        <w:jc w:val="both"/>
        <w:rPr>
          <w:rFonts w:ascii="Arial" w:eastAsia="Times New Roman" w:hAnsi="Arial" w:cs="Arial"/>
          <w:color w:val="000000" w:themeColor="text1"/>
          <w:szCs w:val="24"/>
          <w:lang w:val="es-ES" w:eastAsia="es-CO"/>
        </w:rPr>
      </w:pPr>
      <w:r w:rsidRPr="00FB65A0">
        <w:rPr>
          <w:rFonts w:ascii="Arial" w:eastAsia="Times New Roman" w:hAnsi="Arial" w:cs="Arial"/>
          <w:color w:val="000000" w:themeColor="text1"/>
          <w:szCs w:val="24"/>
          <w:lang w:val="es-ES" w:eastAsia="es-CO"/>
        </w:rPr>
        <w:t>Atentamente,</w:t>
      </w:r>
    </w:p>
    <w:bookmarkEnd w:id="0"/>
    <w:bookmarkEnd w:id="1"/>
    <w:p w:rsidR="00FB65A0" w:rsidRPr="00FB65A0" w:rsidRDefault="00D57013" w:rsidP="00FB65A0">
      <w:pPr>
        <w:spacing w:after="0" w:line="240" w:lineRule="auto"/>
        <w:jc w:val="center"/>
        <w:rPr>
          <w:rFonts w:ascii="Times New Roman" w:eastAsia="Times New Roman" w:hAnsi="Times New Roman" w:cs="Times New Roman"/>
          <w:sz w:val="24"/>
          <w:szCs w:val="24"/>
          <w:lang w:val="es-ES"/>
        </w:rPr>
      </w:pPr>
      <w:r>
        <w:rPr>
          <w:noProof/>
          <w:lang w:eastAsia="es-CO"/>
        </w:rPr>
        <w:drawing>
          <wp:inline distT="0" distB="0" distL="0" distR="0" wp14:anchorId="4D1BA30B" wp14:editId="384AC705">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rsidR="00FB65A0" w:rsidRPr="00FB65A0" w:rsidRDefault="00FB65A0" w:rsidP="00FB65A0">
      <w:pPr>
        <w:spacing w:after="0" w:line="240" w:lineRule="auto"/>
        <w:jc w:val="center"/>
        <w:rPr>
          <w:rFonts w:ascii="Times New Roman" w:eastAsia="Times New Roman" w:hAnsi="Times New Roman" w:cs="Times New Roman"/>
          <w:sz w:val="24"/>
          <w:szCs w:val="24"/>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B65A0" w:rsidRPr="00FB65A0" w:rsidTr="002D21B8">
        <w:trPr>
          <w:trHeight w:val="315"/>
        </w:trPr>
        <w:tc>
          <w:tcPr>
            <w:tcW w:w="812" w:type="dxa"/>
            <w:vAlign w:val="center"/>
            <w:hideMark/>
          </w:tcPr>
          <w:p w:rsidR="00FB65A0" w:rsidRPr="00FB65A0" w:rsidRDefault="00FB65A0" w:rsidP="00FB65A0">
            <w:pPr>
              <w:rPr>
                <w:rFonts w:ascii="Arial" w:eastAsia="Times New Roman" w:hAnsi="Arial" w:cs="Arial"/>
                <w:color w:val="000000" w:themeColor="text1"/>
                <w:sz w:val="16"/>
                <w:szCs w:val="16"/>
                <w:lang w:val="es-ES" w:eastAsia="es-ES"/>
              </w:rPr>
            </w:pPr>
            <w:r w:rsidRPr="00FB65A0">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rsidR="00FB65A0" w:rsidRPr="00FB65A0" w:rsidRDefault="00FB65A0" w:rsidP="00FB65A0">
            <w:pPr>
              <w:rPr>
                <w:rFonts w:ascii="Arial" w:eastAsia="Times New Roman" w:hAnsi="Arial" w:cs="Arial"/>
                <w:color w:val="000000" w:themeColor="text1"/>
                <w:sz w:val="16"/>
                <w:szCs w:val="16"/>
                <w:lang w:val="es-ES" w:eastAsia="es-ES"/>
              </w:rPr>
            </w:pPr>
            <w:r w:rsidRPr="00FB65A0">
              <w:rPr>
                <w:rFonts w:ascii="Arial" w:eastAsia="Times New Roman" w:hAnsi="Arial" w:cs="Arial"/>
                <w:color w:val="000000" w:themeColor="text1"/>
                <w:sz w:val="16"/>
                <w:szCs w:val="16"/>
                <w:lang w:val="es-ES" w:eastAsia="es-ES"/>
              </w:rPr>
              <w:t xml:space="preserve">Sebastián Barreto Cifuentes </w:t>
            </w:r>
          </w:p>
          <w:p w:rsidR="00FB65A0" w:rsidRPr="00FB65A0" w:rsidRDefault="00FB65A0" w:rsidP="00FB65A0">
            <w:pPr>
              <w:rPr>
                <w:rFonts w:ascii="Arial" w:eastAsia="Times New Roman" w:hAnsi="Arial" w:cs="Arial"/>
                <w:color w:val="000000" w:themeColor="text1"/>
                <w:sz w:val="16"/>
                <w:szCs w:val="16"/>
                <w:lang w:val="es-ES" w:eastAsia="es-ES"/>
              </w:rPr>
            </w:pPr>
            <w:r w:rsidRPr="00FB65A0">
              <w:rPr>
                <w:rFonts w:ascii="Arial" w:eastAsia="Times New Roman" w:hAnsi="Arial" w:cs="Arial"/>
                <w:color w:val="000000" w:themeColor="text1"/>
                <w:sz w:val="16"/>
                <w:szCs w:val="16"/>
                <w:lang w:val="es-ES" w:eastAsia="es-ES"/>
              </w:rPr>
              <w:t>Contratista Dirección y Subdirección de Gestión Contractual</w:t>
            </w:r>
          </w:p>
        </w:tc>
      </w:tr>
      <w:tr w:rsidR="00FB65A0" w:rsidRPr="00FB65A0" w:rsidTr="002D21B8">
        <w:trPr>
          <w:trHeight w:val="330"/>
        </w:trPr>
        <w:tc>
          <w:tcPr>
            <w:tcW w:w="812" w:type="dxa"/>
            <w:vAlign w:val="center"/>
            <w:hideMark/>
          </w:tcPr>
          <w:p w:rsidR="00FB65A0" w:rsidRPr="00FB65A0" w:rsidRDefault="00FB65A0" w:rsidP="00FB65A0">
            <w:pPr>
              <w:rPr>
                <w:rFonts w:ascii="Arial" w:eastAsia="Times New Roman" w:hAnsi="Arial" w:cs="Arial"/>
                <w:color w:val="000000" w:themeColor="text1"/>
                <w:sz w:val="16"/>
                <w:szCs w:val="16"/>
                <w:lang w:val="es-ES" w:eastAsia="es-ES"/>
              </w:rPr>
            </w:pPr>
            <w:r w:rsidRPr="00FB65A0">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rsidR="00FB65A0" w:rsidRPr="00FB65A0" w:rsidRDefault="00FB65A0" w:rsidP="00FB65A0">
            <w:pPr>
              <w:rPr>
                <w:rFonts w:ascii="Arial" w:eastAsia="Times New Roman" w:hAnsi="Arial" w:cs="Arial"/>
                <w:color w:val="000000" w:themeColor="text1"/>
                <w:sz w:val="16"/>
                <w:szCs w:val="16"/>
                <w:lang w:val="es-ES" w:eastAsia="es-ES"/>
              </w:rPr>
            </w:pPr>
            <w:r w:rsidRPr="00FB65A0">
              <w:rPr>
                <w:rFonts w:ascii="Arial" w:eastAsia="Times New Roman" w:hAnsi="Arial" w:cs="Arial"/>
                <w:color w:val="000000" w:themeColor="text1"/>
                <w:sz w:val="16"/>
                <w:szCs w:val="16"/>
                <w:lang w:val="es-ES" w:eastAsia="es-ES"/>
              </w:rPr>
              <w:t>Sebastián Ramírez Grisales</w:t>
            </w:r>
          </w:p>
          <w:p w:rsidR="00FB65A0" w:rsidRPr="00FB65A0" w:rsidRDefault="00FB65A0" w:rsidP="00FB65A0">
            <w:pPr>
              <w:rPr>
                <w:rFonts w:ascii="Arial" w:eastAsia="Times New Roman" w:hAnsi="Arial" w:cs="Arial"/>
                <w:color w:val="000000" w:themeColor="text1"/>
                <w:sz w:val="16"/>
                <w:szCs w:val="16"/>
                <w:lang w:val="es-ES" w:eastAsia="es-ES"/>
              </w:rPr>
            </w:pPr>
            <w:r w:rsidRPr="00FB65A0">
              <w:rPr>
                <w:rFonts w:ascii="Arial" w:eastAsia="Times New Roman" w:hAnsi="Arial" w:cs="Arial"/>
                <w:color w:val="000000" w:themeColor="text1"/>
                <w:sz w:val="16"/>
                <w:szCs w:val="16"/>
                <w:lang w:val="es-ES" w:eastAsia="es-ES"/>
              </w:rPr>
              <w:t>Contratista – Subdirección de Gestión Contractual</w:t>
            </w:r>
          </w:p>
        </w:tc>
      </w:tr>
      <w:tr w:rsidR="00FB65A0" w:rsidRPr="00FB65A0" w:rsidTr="002D21B8">
        <w:trPr>
          <w:trHeight w:val="300"/>
        </w:trPr>
        <w:tc>
          <w:tcPr>
            <w:tcW w:w="812" w:type="dxa"/>
            <w:vAlign w:val="center"/>
            <w:hideMark/>
          </w:tcPr>
          <w:p w:rsidR="00FB65A0" w:rsidRPr="00FB65A0" w:rsidRDefault="00FB65A0" w:rsidP="00FB65A0">
            <w:pPr>
              <w:rPr>
                <w:rFonts w:ascii="Arial" w:eastAsia="Times New Roman" w:hAnsi="Arial" w:cs="Arial"/>
                <w:color w:val="000000" w:themeColor="text1"/>
                <w:sz w:val="16"/>
                <w:szCs w:val="16"/>
                <w:lang w:val="es-ES" w:eastAsia="es-ES"/>
              </w:rPr>
            </w:pPr>
            <w:r w:rsidRPr="00FB65A0">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rsidR="00FB65A0" w:rsidRPr="00FB65A0" w:rsidRDefault="00FB65A0" w:rsidP="00FB65A0">
            <w:pPr>
              <w:rPr>
                <w:rFonts w:ascii="Arial" w:eastAsia="Times New Roman" w:hAnsi="Arial" w:cs="Arial"/>
                <w:color w:val="000000" w:themeColor="text1"/>
                <w:sz w:val="16"/>
                <w:szCs w:val="16"/>
                <w:lang w:val="es-ES" w:eastAsia="es-ES"/>
              </w:rPr>
            </w:pPr>
            <w:r w:rsidRPr="00FB65A0">
              <w:rPr>
                <w:rFonts w:ascii="Arial" w:eastAsia="Times New Roman" w:hAnsi="Arial" w:cs="Arial"/>
                <w:color w:val="000000" w:themeColor="text1"/>
                <w:sz w:val="16"/>
                <w:szCs w:val="16"/>
                <w:lang w:val="es-ES" w:eastAsia="es-ES"/>
              </w:rPr>
              <w:t>Fabián Gonzalo Marín Cortés</w:t>
            </w:r>
          </w:p>
          <w:p w:rsidR="00FB65A0" w:rsidRPr="00FB65A0" w:rsidRDefault="00FB65A0" w:rsidP="00FB65A0">
            <w:pPr>
              <w:rPr>
                <w:rFonts w:ascii="Arial" w:eastAsia="Times New Roman" w:hAnsi="Arial" w:cs="Arial"/>
                <w:color w:val="000000" w:themeColor="text1"/>
                <w:sz w:val="16"/>
                <w:szCs w:val="16"/>
                <w:lang w:val="es-ES" w:eastAsia="es-ES"/>
              </w:rPr>
            </w:pPr>
            <w:r w:rsidRPr="00FB65A0">
              <w:rPr>
                <w:rFonts w:ascii="Arial" w:eastAsia="Times New Roman" w:hAnsi="Arial" w:cs="Arial"/>
                <w:color w:val="000000" w:themeColor="text1"/>
                <w:sz w:val="16"/>
                <w:szCs w:val="16"/>
                <w:lang w:val="es-ES" w:eastAsia="es-ES"/>
              </w:rPr>
              <w:t>Subdirector de Gestión Contractual</w:t>
            </w:r>
          </w:p>
        </w:tc>
      </w:tr>
    </w:tbl>
    <w:p w:rsidR="00FB65A0" w:rsidRPr="00FB65A0" w:rsidRDefault="00FB65A0" w:rsidP="00FB65A0">
      <w:pPr>
        <w:spacing w:after="0" w:line="240" w:lineRule="auto"/>
        <w:rPr>
          <w:rFonts w:ascii="Times New Roman" w:eastAsia="Times New Roman" w:hAnsi="Times New Roman" w:cs="Times New Roman"/>
          <w:color w:val="000000" w:themeColor="text1"/>
          <w:sz w:val="24"/>
          <w:szCs w:val="24"/>
          <w:lang w:val="es-ES"/>
        </w:rPr>
      </w:pPr>
    </w:p>
    <w:p w:rsidR="00C00D1F" w:rsidRPr="00FB65A0" w:rsidRDefault="00C00D1F">
      <w:pPr>
        <w:rPr>
          <w:lang w:val="es-ES"/>
        </w:rPr>
      </w:pPr>
    </w:p>
    <w:sectPr w:rsidR="00C00D1F" w:rsidRPr="00FB65A0" w:rsidSect="003821D7">
      <w:headerReference w:type="default" r:id="rId8"/>
      <w:footerReference w:type="default" r:id="rId9"/>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0C6" w:rsidRDefault="005F00C6" w:rsidP="00FB65A0">
      <w:pPr>
        <w:spacing w:after="0" w:line="240" w:lineRule="auto"/>
      </w:pPr>
      <w:r>
        <w:separator/>
      </w:r>
    </w:p>
  </w:endnote>
  <w:endnote w:type="continuationSeparator" w:id="0">
    <w:p w:rsidR="005F00C6" w:rsidRDefault="005F00C6" w:rsidP="00FB6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5F00C6" w:rsidP="007115CD">
    <w:pPr>
      <w:pStyle w:val="Sinespaciado"/>
      <w:jc w:val="right"/>
      <w:rPr>
        <w:rFonts w:ascii="Arial" w:hAnsi="Arial" w:cs="Arial"/>
        <w:sz w:val="18"/>
        <w:szCs w:val="18"/>
      </w:rPr>
    </w:pPr>
  </w:p>
  <w:p w:rsidR="007D4CE6" w:rsidRPr="008217B7" w:rsidRDefault="00F2194C" w:rsidP="007115C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E4EE5">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E4EE5">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rsidR="007D4CE6" w:rsidRDefault="00F2194C" w:rsidP="007115CD">
    <w:pPr>
      <w:pStyle w:val="Piedepgina"/>
      <w:jc w:val="center"/>
      <w:rPr>
        <w:lang w:val="es-ES"/>
      </w:rPr>
    </w:pPr>
    <w:r>
      <w:rPr>
        <w:noProof/>
        <w:lang w:eastAsia="es-CO"/>
      </w:rPr>
      <w:drawing>
        <wp:inline distT="0" distB="0" distL="0" distR="0" wp14:anchorId="70AEC9DE" wp14:editId="7C832FB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7D4CE6" w:rsidRPr="00E756AC" w:rsidRDefault="005F00C6" w:rsidP="007115CD">
    <w:pPr>
      <w:pStyle w:val="Piedepgina"/>
      <w:jc w:val="center"/>
      <w:rPr>
        <w:sz w:val="18"/>
        <w:szCs w:val="18"/>
        <w:lang w:val="es-ES"/>
      </w:rPr>
    </w:pPr>
  </w:p>
  <w:p w:rsidR="007D4CE6" w:rsidRPr="00E756AC" w:rsidRDefault="005F00C6" w:rsidP="007115CD">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0C6" w:rsidRDefault="005F00C6" w:rsidP="00FB65A0">
      <w:pPr>
        <w:spacing w:after="0" w:line="240" w:lineRule="auto"/>
      </w:pPr>
      <w:r>
        <w:separator/>
      </w:r>
    </w:p>
  </w:footnote>
  <w:footnote w:type="continuationSeparator" w:id="0">
    <w:p w:rsidR="005F00C6" w:rsidRDefault="005F00C6" w:rsidP="00FB65A0">
      <w:pPr>
        <w:spacing w:after="0" w:line="240" w:lineRule="auto"/>
      </w:pPr>
      <w:r>
        <w:continuationSeparator/>
      </w:r>
    </w:p>
  </w:footnote>
  <w:footnote w:id="1">
    <w:p w:rsidR="00FB65A0" w:rsidRPr="00002995" w:rsidRDefault="00FB65A0" w:rsidP="00FB65A0">
      <w:pPr>
        <w:pStyle w:val="Textonotapie"/>
        <w:ind w:firstLine="708"/>
        <w:jc w:val="both"/>
        <w:rPr>
          <w:rFonts w:ascii="Arial" w:hAnsi="Arial" w:cs="Arial"/>
          <w:sz w:val="19"/>
          <w:szCs w:val="19"/>
          <w:lang w:val="en-US"/>
        </w:rPr>
      </w:pPr>
      <w:r w:rsidRPr="00002995">
        <w:rPr>
          <w:rStyle w:val="Refdenotaalpie"/>
          <w:rFonts w:ascii="Arial" w:hAnsi="Arial" w:cs="Arial"/>
          <w:sz w:val="19"/>
          <w:szCs w:val="19"/>
        </w:rPr>
        <w:footnoteRef/>
      </w:r>
      <w:r w:rsidRPr="00002995">
        <w:rPr>
          <w:rFonts w:ascii="Arial" w:hAnsi="Arial" w:cs="Arial"/>
          <w:sz w:val="19"/>
          <w:szCs w:val="19"/>
          <w:lang w:val="en-US"/>
        </w:rPr>
        <w:t xml:space="preserve"> EUROPEAN COMMISSION. Buying Green – A handbook on green procurement, 2016, disponible en: https://ec.europa.eu/environment/gpp/pdf/Buying-Green-Handbook-3rd-Edition.pdf  </w:t>
      </w:r>
    </w:p>
    <w:p w:rsidR="00FB65A0" w:rsidRPr="00002995" w:rsidRDefault="00FB65A0" w:rsidP="00FB65A0">
      <w:pPr>
        <w:pStyle w:val="Textonotapie"/>
        <w:ind w:firstLine="708"/>
        <w:jc w:val="both"/>
        <w:rPr>
          <w:rFonts w:ascii="Arial" w:hAnsi="Arial" w:cs="Arial"/>
          <w:sz w:val="19"/>
          <w:szCs w:val="19"/>
          <w:lang w:val="en-US"/>
        </w:rPr>
      </w:pPr>
    </w:p>
  </w:footnote>
  <w:footnote w:id="2">
    <w:p w:rsidR="00FB65A0" w:rsidRPr="00002995" w:rsidRDefault="00FB65A0" w:rsidP="00FB65A0">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lang w:val="es-ES"/>
        </w:rPr>
        <w:t xml:space="preserve"> ARROWSMITH, SUE. </w:t>
      </w:r>
      <w:r w:rsidRPr="00002995">
        <w:rPr>
          <w:rFonts w:ascii="Arial" w:hAnsi="Arial" w:cs="Arial"/>
          <w:sz w:val="19"/>
          <w:szCs w:val="19"/>
          <w:lang w:val="es-CO"/>
        </w:rPr>
        <w:t>Políticas horizontales en la contratación pública: una taxonomía, Revista Digital de Derecho Administrativo. Bogotá: Universidad Externado de Colombia, 2019, pp. 224-226.</w:t>
      </w:r>
    </w:p>
    <w:p w:rsidR="00FB65A0" w:rsidRPr="00002995" w:rsidRDefault="00FB65A0" w:rsidP="00FB65A0">
      <w:pPr>
        <w:pStyle w:val="Textonotapie"/>
        <w:ind w:firstLine="708"/>
        <w:jc w:val="both"/>
        <w:rPr>
          <w:rFonts w:ascii="Arial" w:hAnsi="Arial" w:cs="Arial"/>
          <w:sz w:val="19"/>
          <w:szCs w:val="19"/>
          <w:lang w:val="es-CO"/>
        </w:rPr>
      </w:pPr>
    </w:p>
  </w:footnote>
  <w:footnote w:id="3">
    <w:p w:rsidR="00FB65A0" w:rsidRPr="00002995" w:rsidRDefault="00FB65A0" w:rsidP="00FB65A0">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Ibídem, p. 227. </w:t>
      </w:r>
    </w:p>
    <w:p w:rsidR="00FB65A0" w:rsidRPr="00002995" w:rsidRDefault="00FB65A0" w:rsidP="00FB65A0">
      <w:pPr>
        <w:pStyle w:val="Textonotapie"/>
        <w:ind w:firstLine="708"/>
        <w:jc w:val="both"/>
        <w:rPr>
          <w:rFonts w:ascii="Arial" w:hAnsi="Arial" w:cs="Arial"/>
          <w:sz w:val="19"/>
          <w:szCs w:val="19"/>
          <w:lang w:val="es-CO"/>
        </w:rPr>
      </w:pPr>
    </w:p>
  </w:footnote>
  <w:footnote w:id="4">
    <w:p w:rsidR="00FB65A0" w:rsidRPr="00002995" w:rsidRDefault="00FB65A0" w:rsidP="00FB65A0">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CONSEJO DE ESTADO, SALA DE CONSULTA Y SERVICIO CIVIL. Concepto del 8 de marzo de 2017, rad. </w:t>
      </w:r>
      <w:r w:rsidRPr="00002995">
        <w:rPr>
          <w:rFonts w:ascii="Arial" w:hAnsi="Arial" w:cs="Arial"/>
          <w:sz w:val="19"/>
          <w:szCs w:val="19"/>
        </w:rPr>
        <w:t xml:space="preserve">11001-03-06-000-2016-00102-00(2298). CP. Édgar González López. </w:t>
      </w:r>
    </w:p>
    <w:p w:rsidR="00FB65A0" w:rsidRPr="00002995" w:rsidRDefault="00FB65A0" w:rsidP="00FB65A0">
      <w:pPr>
        <w:pStyle w:val="Textonotapie"/>
        <w:ind w:firstLine="708"/>
        <w:jc w:val="both"/>
        <w:rPr>
          <w:rFonts w:ascii="Arial" w:hAnsi="Arial" w:cs="Arial"/>
          <w:sz w:val="19"/>
          <w:szCs w:val="19"/>
          <w:lang w:val="es-CO"/>
        </w:rPr>
      </w:pPr>
    </w:p>
  </w:footnote>
  <w:footnote w:id="5">
    <w:p w:rsidR="00FB65A0" w:rsidRPr="00002995" w:rsidRDefault="00FB65A0" w:rsidP="00FB65A0">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DUQUE BOTERO, Juan David. Contratación pública estratégica, socialmente responsable y competitiva. Bogotá: Tirant Lo Blanch, 2018. p. 52. </w:t>
      </w:r>
    </w:p>
  </w:footnote>
  <w:footnote w:id="6">
    <w:p w:rsidR="00FB65A0" w:rsidRPr="00002995" w:rsidRDefault="00FB65A0" w:rsidP="00FB65A0">
      <w:pPr>
        <w:pStyle w:val="Textonotapie"/>
        <w:ind w:firstLine="708"/>
        <w:jc w:val="both"/>
        <w:rPr>
          <w:rFonts w:ascii="Arial" w:hAnsi="Arial" w:cs="Arial"/>
          <w:color w:val="000000" w:themeColor="text1"/>
          <w:sz w:val="19"/>
          <w:szCs w:val="19"/>
        </w:rPr>
      </w:pPr>
      <w:r w:rsidRPr="00002995">
        <w:rPr>
          <w:rStyle w:val="Refdenotaalpie"/>
          <w:rFonts w:ascii="Arial" w:hAnsi="Arial" w:cs="Arial"/>
          <w:color w:val="000000" w:themeColor="text1"/>
          <w:sz w:val="19"/>
          <w:szCs w:val="19"/>
        </w:rPr>
        <w:footnoteRef/>
      </w:r>
      <w:r w:rsidRPr="00002995">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rsidR="00FB65A0" w:rsidRPr="00002995" w:rsidRDefault="00FB65A0" w:rsidP="00FB65A0">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w:t>
      </w:r>
    </w:p>
    <w:p w:rsidR="00FB65A0" w:rsidRPr="00002995" w:rsidRDefault="00FB65A0" w:rsidP="00FB65A0">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rsidR="00FB65A0" w:rsidRPr="00002995" w:rsidRDefault="00FB65A0" w:rsidP="00FB65A0">
      <w:pPr>
        <w:pStyle w:val="Textonotapie"/>
        <w:ind w:firstLine="708"/>
        <w:jc w:val="both"/>
        <w:rPr>
          <w:rFonts w:ascii="Arial" w:hAnsi="Arial" w:cs="Arial"/>
          <w:color w:val="000000" w:themeColor="text1"/>
          <w:sz w:val="19"/>
          <w:szCs w:val="19"/>
          <w:lang w:val="es-ES"/>
        </w:rPr>
      </w:pPr>
    </w:p>
  </w:footnote>
  <w:footnote w:id="7">
    <w:p w:rsidR="00FB65A0" w:rsidRPr="00002995" w:rsidRDefault="00FB65A0" w:rsidP="00FB65A0">
      <w:pPr>
        <w:pStyle w:val="Textonotapie"/>
        <w:ind w:firstLine="708"/>
        <w:jc w:val="both"/>
        <w:rPr>
          <w:rFonts w:ascii="Arial" w:hAnsi="Arial" w:cs="Arial"/>
          <w:color w:val="000000" w:themeColor="text1"/>
          <w:sz w:val="19"/>
          <w:szCs w:val="19"/>
        </w:rPr>
      </w:pPr>
      <w:r w:rsidRPr="00002995">
        <w:rPr>
          <w:rStyle w:val="Refdenotaalpie"/>
          <w:rFonts w:ascii="Arial" w:hAnsi="Arial" w:cs="Arial"/>
          <w:color w:val="000000" w:themeColor="text1"/>
          <w:sz w:val="19"/>
          <w:szCs w:val="19"/>
        </w:rPr>
        <w:footnoteRef/>
      </w:r>
      <w:r w:rsidRPr="00002995">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00FB65A0" w:rsidRPr="00002995" w:rsidRDefault="00FB65A0" w:rsidP="00FB65A0">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w:t>
      </w:r>
    </w:p>
    <w:p w:rsidR="00FB65A0" w:rsidRPr="00002995" w:rsidRDefault="00FB65A0" w:rsidP="00FB65A0">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p w:rsidR="00FB65A0" w:rsidRPr="00002995" w:rsidRDefault="00FB65A0" w:rsidP="00FB65A0">
      <w:pPr>
        <w:pStyle w:val="Textonotapie"/>
        <w:ind w:firstLine="708"/>
        <w:jc w:val="both"/>
        <w:rPr>
          <w:rFonts w:ascii="Arial" w:hAnsi="Arial" w:cs="Arial"/>
          <w:color w:val="000000" w:themeColor="text1"/>
          <w:sz w:val="19"/>
          <w:szCs w:val="19"/>
        </w:rPr>
      </w:pPr>
    </w:p>
  </w:footnote>
  <w:footnote w:id="8">
    <w:p w:rsidR="00FB65A0" w:rsidRPr="00002995" w:rsidRDefault="00FB65A0" w:rsidP="00FB65A0">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rsidR="00FB65A0" w:rsidRPr="00002995" w:rsidRDefault="00FB65A0" w:rsidP="00FB65A0">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En ese sentido, ver CORTE CONSTITUCIONAL. Sentencia C-619 del 14 de junio de 2001. M.P. Marco Gerardo Monry Cabra. </w:t>
      </w:r>
    </w:p>
    <w:p w:rsidR="00FB65A0" w:rsidRPr="00002995" w:rsidRDefault="00FB65A0" w:rsidP="00FB65A0">
      <w:pPr>
        <w:pStyle w:val="Textonotapie"/>
        <w:ind w:firstLine="708"/>
        <w:jc w:val="both"/>
        <w:rPr>
          <w:rFonts w:ascii="Arial" w:hAnsi="Arial" w:cs="Arial"/>
          <w:sz w:val="19"/>
          <w:szCs w:val="19"/>
        </w:rPr>
      </w:pPr>
    </w:p>
  </w:footnote>
  <w:footnote w:id="10">
    <w:p w:rsidR="00FB65A0" w:rsidRPr="00002995" w:rsidRDefault="00FB65A0" w:rsidP="00FB65A0">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Gacetas del Congreso 948 de 2018, 192 de 2019, 900 de 2019, y 314 de 2020. </w:t>
      </w:r>
    </w:p>
  </w:footnote>
  <w:footnote w:id="11">
    <w:p w:rsidR="00FB65A0" w:rsidRDefault="00FB65A0" w:rsidP="00FB65A0">
      <w:pPr>
        <w:pStyle w:val="Textonotapie"/>
        <w:ind w:firstLine="708"/>
        <w:jc w:val="both"/>
        <w:rPr>
          <w:rFonts w:ascii="Arial" w:hAnsi="Arial" w:cs="Arial"/>
          <w:sz w:val="19"/>
          <w:szCs w:val="19"/>
        </w:rPr>
      </w:pPr>
    </w:p>
    <w:p w:rsidR="00FB65A0" w:rsidRPr="00002995" w:rsidRDefault="00FB65A0" w:rsidP="00FB65A0">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Gaceta del Congreso</w:t>
      </w:r>
      <w:r>
        <w:rPr>
          <w:rFonts w:ascii="Arial" w:hAnsi="Arial" w:cs="Arial"/>
          <w:sz w:val="19"/>
          <w:szCs w:val="19"/>
        </w:rPr>
        <w:t>.</w:t>
      </w:r>
      <w:r w:rsidRPr="00002995">
        <w:rPr>
          <w:rFonts w:ascii="Arial" w:hAnsi="Arial" w:cs="Arial"/>
          <w:sz w:val="19"/>
          <w:szCs w:val="19"/>
        </w:rPr>
        <w:t xml:space="preserve"> 314</w:t>
      </w:r>
      <w:r>
        <w:rPr>
          <w:rFonts w:ascii="Arial" w:hAnsi="Arial" w:cs="Arial"/>
          <w:sz w:val="19"/>
          <w:szCs w:val="19"/>
        </w:rPr>
        <w:t xml:space="preserve"> del</w:t>
      </w:r>
      <w:r w:rsidRPr="00002995">
        <w:rPr>
          <w:rFonts w:ascii="Arial" w:hAnsi="Arial" w:cs="Arial"/>
          <w:sz w:val="19"/>
          <w:szCs w:val="19"/>
        </w:rPr>
        <w:t xml:space="preserve"> </w:t>
      </w:r>
      <w:r>
        <w:rPr>
          <w:rFonts w:ascii="Arial" w:hAnsi="Arial" w:cs="Arial"/>
          <w:sz w:val="19"/>
          <w:szCs w:val="19"/>
        </w:rPr>
        <w:t>m</w:t>
      </w:r>
      <w:r w:rsidRPr="00002995">
        <w:rPr>
          <w:rFonts w:ascii="Arial" w:hAnsi="Arial" w:cs="Arial"/>
          <w:sz w:val="19"/>
          <w:szCs w:val="19"/>
        </w:rPr>
        <w:t>iércoles 10 de junio de 2020</w:t>
      </w:r>
      <w:r>
        <w:rPr>
          <w:rFonts w:ascii="Arial" w:hAnsi="Arial" w:cs="Arial"/>
          <w:sz w:val="19"/>
          <w:szCs w:val="19"/>
        </w:rPr>
        <w:t>,</w:t>
      </w:r>
      <w:r w:rsidRPr="00002995">
        <w:rPr>
          <w:rFonts w:ascii="Arial" w:hAnsi="Arial" w:cs="Arial"/>
          <w:sz w:val="19"/>
          <w:szCs w:val="19"/>
        </w:rPr>
        <w:t xml:space="preserve"> Página 7.</w:t>
      </w:r>
    </w:p>
    <w:p w:rsidR="00FB65A0" w:rsidRPr="00002995" w:rsidRDefault="00FB65A0" w:rsidP="00FB65A0">
      <w:pPr>
        <w:pStyle w:val="Textonotapie"/>
        <w:ind w:firstLine="708"/>
        <w:jc w:val="both"/>
        <w:rPr>
          <w:rFonts w:ascii="Arial" w:hAnsi="Arial" w:cs="Arial"/>
          <w:sz w:val="19"/>
          <w:szCs w:val="19"/>
          <w:lang w:val="es-ES"/>
        </w:rPr>
      </w:pPr>
    </w:p>
  </w:footnote>
  <w:footnote w:id="12">
    <w:p w:rsidR="00FB65A0" w:rsidRPr="00002995" w:rsidRDefault="00FB65A0" w:rsidP="00FB65A0">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iv) Procedimiento de verificación del cumplimiento de requisitos por parte de las empresas empleadoras. </w:t>
      </w:r>
    </w:p>
    <w:p w:rsidR="00FB65A0" w:rsidRPr="00002995" w:rsidRDefault="00FB65A0" w:rsidP="00FB65A0">
      <w:pPr>
        <w:pStyle w:val="Textonotapie"/>
        <w:ind w:firstLine="708"/>
        <w:jc w:val="both"/>
        <w:rPr>
          <w:rFonts w:ascii="Arial" w:hAnsi="Arial" w:cs="Arial"/>
          <w:sz w:val="19"/>
          <w:szCs w:val="19"/>
        </w:rPr>
      </w:pPr>
      <w:r w:rsidRPr="00002995">
        <w:rPr>
          <w:rFonts w:ascii="Arial" w:hAnsi="Arial" w:cs="Arial"/>
          <w:sz w:val="19"/>
          <w:szCs w:val="19"/>
        </w:rPr>
        <w:t xml:space="preserve">»Parágrafo 1. Será responsabilidad de las empresas certificar ante el Ministerio del Trabajo el cumplimiento de los requisitos para acceder a los beneficios contemplados por esta ley. </w:t>
      </w:r>
    </w:p>
    <w:p w:rsidR="00FB65A0" w:rsidRPr="00002995" w:rsidRDefault="00FB65A0" w:rsidP="00FB65A0">
      <w:pPr>
        <w:pStyle w:val="Textonotapie"/>
        <w:ind w:firstLine="708"/>
        <w:jc w:val="both"/>
        <w:rPr>
          <w:rFonts w:ascii="Arial" w:hAnsi="Arial" w:cs="Arial"/>
          <w:sz w:val="19"/>
          <w:szCs w:val="19"/>
        </w:rPr>
      </w:pPr>
      <w:r w:rsidRPr="00002995">
        <w:rPr>
          <w:rFonts w:ascii="Arial" w:hAnsi="Arial" w:cs="Arial"/>
          <w:sz w:val="19"/>
          <w:szCs w:val="19"/>
        </w:rPr>
        <w:t>»Parágrafo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rsidR="00FB65A0" w:rsidRPr="00002995" w:rsidRDefault="00FB65A0" w:rsidP="00FB65A0">
      <w:pPr>
        <w:pStyle w:val="Textonotapie"/>
        <w:ind w:firstLine="708"/>
        <w:jc w:val="both"/>
        <w:rPr>
          <w:rFonts w:ascii="Arial" w:hAnsi="Arial" w:cs="Arial"/>
          <w:sz w:val="19"/>
          <w:szCs w:val="19"/>
          <w:lang w:val="es-CO"/>
        </w:rPr>
      </w:pPr>
    </w:p>
  </w:footnote>
  <w:footnote w:id="13">
    <w:p w:rsidR="00FB65A0" w:rsidRPr="00002995" w:rsidRDefault="00FB65A0" w:rsidP="00FB65A0">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CE6" w:rsidRDefault="00F2194C">
    <w:pPr>
      <w:pStyle w:val="Encabezado"/>
    </w:pPr>
    <w:r>
      <w:rPr>
        <w:noProof/>
        <w:lang w:eastAsia="es-CO"/>
      </w:rPr>
      <w:drawing>
        <wp:anchor distT="0" distB="0" distL="114300" distR="114300" simplePos="0" relativeHeight="251659264" behindDoc="1" locked="0" layoutInCell="1" allowOverlap="1" wp14:anchorId="50D6B4ED" wp14:editId="57E7BF9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5A0"/>
    <w:rsid w:val="00005585"/>
    <w:rsid w:val="000E4EE5"/>
    <w:rsid w:val="00130F0D"/>
    <w:rsid w:val="00405DFB"/>
    <w:rsid w:val="004C213B"/>
    <w:rsid w:val="00590358"/>
    <w:rsid w:val="005F00C6"/>
    <w:rsid w:val="00617D7D"/>
    <w:rsid w:val="007A1C69"/>
    <w:rsid w:val="007C5322"/>
    <w:rsid w:val="007F7341"/>
    <w:rsid w:val="009740C7"/>
    <w:rsid w:val="00A23BBD"/>
    <w:rsid w:val="00B71EC5"/>
    <w:rsid w:val="00C00D1F"/>
    <w:rsid w:val="00C323EB"/>
    <w:rsid w:val="00CC7D50"/>
    <w:rsid w:val="00D57013"/>
    <w:rsid w:val="00F2194C"/>
    <w:rsid w:val="00FB65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7EB7"/>
  <w15:chartTrackingRefBased/>
  <w15:docId w15:val="{96220A3D-F61D-4743-B34A-A8D0BBBB5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FB65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FB65A0"/>
  </w:style>
  <w:style w:type="paragraph" w:styleId="Encabezado">
    <w:name w:val="header"/>
    <w:basedOn w:val="Normal"/>
    <w:link w:val="EncabezadoCar"/>
    <w:uiPriority w:val="99"/>
    <w:semiHidden/>
    <w:unhideWhenUsed/>
    <w:rsid w:val="00FB65A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B65A0"/>
  </w:style>
  <w:style w:type="paragraph" w:styleId="Sinespaciado">
    <w:name w:val="No Spacing"/>
    <w:uiPriority w:val="1"/>
    <w:qFormat/>
    <w:rsid w:val="00FB65A0"/>
    <w:pPr>
      <w:spacing w:after="0" w:line="240" w:lineRule="auto"/>
    </w:pPr>
  </w:style>
  <w:style w:type="table" w:styleId="Tablaconcuadrcula">
    <w:name w:val="Table Grid"/>
    <w:basedOn w:val="Tablanormal"/>
    <w:uiPriority w:val="39"/>
    <w:rsid w:val="00FB6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FB65A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FB65A0"/>
    <w:pPr>
      <w:spacing w:after="0" w:line="240" w:lineRule="auto"/>
    </w:pPr>
    <w:rPr>
      <w:sz w:val="20"/>
      <w:szCs w:val="20"/>
      <w:lang w:val="es-MX"/>
    </w:rPr>
  </w:style>
  <w:style w:type="character" w:customStyle="1" w:styleId="TextonotapieCar1">
    <w:name w:val="Texto nota pie Car1"/>
    <w:basedOn w:val="Fuentedeprrafopredeter"/>
    <w:uiPriority w:val="99"/>
    <w:semiHidden/>
    <w:rsid w:val="00FB65A0"/>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FB65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605880E-A870-4C00-83FC-901A8D82E6B7}"/>
</file>

<file path=customXml/itemProps2.xml><?xml version="1.0" encoding="utf-8"?>
<ds:datastoreItem xmlns:ds="http://schemas.openxmlformats.org/officeDocument/2006/customXml" ds:itemID="{7BEB8A77-265C-4F7E-8C28-B608F0651601}"/>
</file>

<file path=customXml/itemProps3.xml><?xml version="1.0" encoding="utf-8"?>
<ds:datastoreItem xmlns:ds="http://schemas.openxmlformats.org/officeDocument/2006/customXml" ds:itemID="{7810A875-57F4-4604-94E4-8D6332783146}"/>
</file>

<file path=docProps/app.xml><?xml version="1.0" encoding="utf-8"?>
<Properties xmlns="http://schemas.openxmlformats.org/officeDocument/2006/extended-properties" xmlns:vt="http://schemas.openxmlformats.org/officeDocument/2006/docPropsVTypes">
  <Template>Normal</Template>
  <TotalTime>75</TotalTime>
  <Pages>14</Pages>
  <Words>5377</Words>
  <Characters>29574</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Camilo Amado</dc:creator>
  <cp:keywords/>
  <dc:description/>
  <cp:lastModifiedBy>Juan Camilo Amado</cp:lastModifiedBy>
  <cp:revision>7</cp:revision>
  <dcterms:created xsi:type="dcterms:W3CDTF">2020-08-27T00:56:00Z</dcterms:created>
  <dcterms:modified xsi:type="dcterms:W3CDTF">2020-08-27T23:19:00Z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