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17E77" w14:textId="77777777" w:rsidR="00AB4BC2" w:rsidRPr="00AF1555" w:rsidRDefault="00AB4BC2" w:rsidP="00CB5F5A">
      <w:pPr>
        <w:tabs>
          <w:tab w:val="left" w:pos="709"/>
        </w:tabs>
        <w:spacing w:after="0" w:line="240" w:lineRule="auto"/>
        <w:jc w:val="both"/>
        <w:rPr>
          <w:rFonts w:ascii="Verdana" w:eastAsia="Calibri" w:hAnsi="Verdana" w:cs="Arial"/>
          <w:bCs/>
          <w:sz w:val="20"/>
          <w:szCs w:val="20"/>
          <w:lang w:val="es-ES_tradnl" w:eastAsia="es-ES_tradnl"/>
        </w:rPr>
      </w:pPr>
    </w:p>
    <w:p w14:paraId="038D5262" w14:textId="77777777" w:rsidR="00AB4BC2" w:rsidRPr="00AF1555" w:rsidRDefault="00AB4BC2" w:rsidP="00CB5F5A">
      <w:pPr>
        <w:spacing w:after="0" w:line="240" w:lineRule="auto"/>
        <w:jc w:val="both"/>
        <w:rPr>
          <w:rFonts w:ascii="Verdana" w:eastAsia="Calibri" w:hAnsi="Verdana" w:cs="Arial"/>
          <w:b/>
          <w:color w:val="000000" w:themeColor="text1"/>
          <w:lang w:val="es-ES"/>
        </w:rPr>
      </w:pPr>
      <w:r w:rsidRPr="000B5B4A">
        <w:rPr>
          <w:rFonts w:ascii="Verdana" w:eastAsia="Calibri" w:hAnsi="Verdana" w:cs="Arial"/>
          <w:b/>
          <w:color w:val="000000" w:themeColor="text1"/>
          <w:lang w:val="es-ES"/>
        </w:rPr>
        <w:t>MODALIDADES DE SELECCIÓN – Selección abreviada de menor cuantía – Características</w:t>
      </w:r>
      <w:r w:rsidRPr="00AF1555">
        <w:rPr>
          <w:rFonts w:ascii="Verdana" w:eastAsia="Calibri" w:hAnsi="Verdana" w:cs="Arial"/>
          <w:b/>
          <w:color w:val="000000" w:themeColor="text1"/>
          <w:lang w:val="es-ES"/>
        </w:rPr>
        <w:t xml:space="preserve"> </w:t>
      </w:r>
    </w:p>
    <w:p w14:paraId="5F9E2116" w14:textId="77777777" w:rsidR="00AB4BC2" w:rsidRPr="00AF1555" w:rsidRDefault="00AB4BC2" w:rsidP="00CB5F5A">
      <w:pPr>
        <w:spacing w:after="0" w:line="240" w:lineRule="auto"/>
        <w:jc w:val="both"/>
        <w:rPr>
          <w:rFonts w:ascii="Verdana" w:eastAsia="Calibri" w:hAnsi="Verdana" w:cs="Arial"/>
          <w:bCs/>
          <w:color w:val="000000" w:themeColor="text1"/>
          <w:sz w:val="20"/>
          <w:szCs w:val="20"/>
          <w:lang w:val="es-ES"/>
        </w:rPr>
      </w:pPr>
    </w:p>
    <w:p w14:paraId="50683EA1" w14:textId="77777777" w:rsidR="00AB4BC2" w:rsidRPr="000B5B4A" w:rsidRDefault="00AB4BC2" w:rsidP="00CB5F5A">
      <w:pPr>
        <w:spacing w:after="0" w:line="240" w:lineRule="auto"/>
        <w:jc w:val="both"/>
        <w:rPr>
          <w:rFonts w:ascii="Verdana" w:eastAsia="Calibri" w:hAnsi="Verdana" w:cs="Arial"/>
          <w:bCs/>
          <w:color w:val="000000" w:themeColor="text1"/>
          <w:sz w:val="20"/>
          <w:szCs w:val="20"/>
          <w:lang w:val="es-ES" w:eastAsia="es-ES_tradnl"/>
        </w:rPr>
      </w:pPr>
      <w:r w:rsidRPr="000B5B4A">
        <w:rPr>
          <w:rFonts w:ascii="Verdana" w:eastAsia="Calibri" w:hAnsi="Verdana" w:cs="Arial"/>
          <w:bCs/>
          <w:color w:val="000000" w:themeColor="text1"/>
          <w:sz w:val="20"/>
          <w:szCs w:val="20"/>
          <w:lang w:val="es-ES" w:eastAsia="es-ES_tradnl"/>
        </w:rPr>
        <w:t xml:space="preserve">Respecto a la selección abreviada, el numeral 2 del artículo 2 de la Ley 1150 de 2007 dispone que «[…] corresponde a la modalidad de selección objetiva prevista para aquellos casos en </w:t>
      </w:r>
      <w:proofErr w:type="gramStart"/>
      <w:r w:rsidRPr="000B5B4A">
        <w:rPr>
          <w:rFonts w:ascii="Verdana" w:eastAsia="Calibri" w:hAnsi="Verdana" w:cs="Arial"/>
          <w:bCs/>
          <w:color w:val="000000" w:themeColor="text1"/>
          <w:sz w:val="20"/>
          <w:szCs w:val="20"/>
          <w:lang w:val="es-ES" w:eastAsia="es-ES_tradnl"/>
        </w:rPr>
        <w:t>que</w:t>
      </w:r>
      <w:proofErr w:type="gramEnd"/>
      <w:r w:rsidRPr="000B5B4A">
        <w:rPr>
          <w:rFonts w:ascii="Verdana" w:eastAsia="Calibri" w:hAnsi="Verdana" w:cs="Arial"/>
          <w:bCs/>
          <w:color w:val="000000" w:themeColor="text1"/>
          <w:sz w:val="20"/>
          <w:szCs w:val="20"/>
          <w:lang w:val="es-ES" w:eastAsia="es-ES_tradnl"/>
        </w:rPr>
        <w:t xml:space="preserve"> por las características del objeto a contratar, las circunstancias de la contratación o la cuantía o destinación del bien, obra o servicio puedan adelantarse procesos simplificados para garantizar la eficiencia de la gestión contractual», regulando cada una de las causales. </w:t>
      </w:r>
    </w:p>
    <w:p w14:paraId="4A378712" w14:textId="77777777" w:rsidR="00AB4BC2" w:rsidRPr="000B5B4A" w:rsidRDefault="00AB4BC2" w:rsidP="00CB5F5A">
      <w:pPr>
        <w:spacing w:after="0" w:line="240" w:lineRule="auto"/>
        <w:jc w:val="both"/>
        <w:rPr>
          <w:rFonts w:ascii="Verdana" w:eastAsia="Calibri" w:hAnsi="Verdana" w:cs="Arial"/>
          <w:bCs/>
          <w:color w:val="000000" w:themeColor="text1"/>
          <w:sz w:val="20"/>
          <w:szCs w:val="20"/>
          <w:lang w:val="es-ES" w:eastAsia="es-ES_tradnl"/>
        </w:rPr>
      </w:pPr>
    </w:p>
    <w:p w14:paraId="4F459C8C" w14:textId="77777777" w:rsidR="00AB4BC2" w:rsidRPr="00EB0B5F" w:rsidRDefault="00AB4BC2" w:rsidP="00CB5F5A">
      <w:pPr>
        <w:spacing w:after="0" w:line="240" w:lineRule="auto"/>
        <w:jc w:val="both"/>
        <w:rPr>
          <w:rFonts w:ascii="Verdana" w:eastAsia="Calibri" w:hAnsi="Verdana" w:cs="Arial"/>
          <w:iCs/>
          <w:color w:val="000000" w:themeColor="text1"/>
          <w:sz w:val="20"/>
          <w:szCs w:val="20"/>
          <w:lang w:eastAsia="es-ES_tradnl"/>
        </w:rPr>
      </w:pPr>
      <w:r w:rsidRPr="000B5B4A">
        <w:rPr>
          <w:rFonts w:ascii="Verdana" w:eastAsia="Calibri" w:hAnsi="Verdana" w:cs="Arial"/>
          <w:bCs/>
          <w:color w:val="000000" w:themeColor="text1"/>
          <w:sz w:val="20"/>
          <w:szCs w:val="20"/>
          <w:lang w:val="es-ES" w:eastAsia="es-ES_tradnl"/>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p>
    <w:p w14:paraId="3C938CFD" w14:textId="77777777" w:rsidR="00AB4BC2" w:rsidRPr="00AF1555" w:rsidRDefault="00AB4BC2" w:rsidP="00CB5F5A">
      <w:pPr>
        <w:spacing w:after="0" w:line="240" w:lineRule="auto"/>
        <w:rPr>
          <w:rFonts w:ascii="Verdana" w:eastAsia="Geomanist Light" w:hAnsi="Verdana" w:cs="Arial"/>
          <w:color w:val="000000" w:themeColor="text1"/>
          <w:sz w:val="20"/>
          <w:szCs w:val="20"/>
          <w:lang w:val="es-ES_tradnl"/>
        </w:rPr>
      </w:pPr>
    </w:p>
    <w:p w14:paraId="03948F7E" w14:textId="77777777" w:rsidR="00AB4BC2" w:rsidRPr="00AF1555" w:rsidRDefault="00AB4BC2" w:rsidP="00CB5F5A">
      <w:pPr>
        <w:spacing w:after="0" w:line="240" w:lineRule="auto"/>
        <w:jc w:val="both"/>
        <w:rPr>
          <w:rFonts w:ascii="Verdana" w:eastAsia="Calibri" w:hAnsi="Verdana" w:cs="Arial"/>
          <w:b/>
          <w:sz w:val="20"/>
          <w:szCs w:val="20"/>
          <w:lang w:val="es-ES"/>
        </w:rPr>
      </w:pPr>
      <w:r w:rsidRPr="000B5B4A">
        <w:rPr>
          <w:rFonts w:ascii="Verdana" w:eastAsia="Calibri" w:hAnsi="Verdana" w:cs="Arial"/>
          <w:b/>
          <w:lang w:val="es-ES"/>
        </w:rPr>
        <w:t>MANIFESTACIÓN DE INTERÉS – Noción – Finalidad – Requisito habilitante</w:t>
      </w:r>
    </w:p>
    <w:p w14:paraId="7551967C" w14:textId="77777777" w:rsidR="00AB4BC2" w:rsidRDefault="00AB4BC2" w:rsidP="00CB5F5A">
      <w:pPr>
        <w:spacing w:after="0" w:line="240" w:lineRule="auto"/>
        <w:jc w:val="both"/>
        <w:rPr>
          <w:rFonts w:ascii="Verdana" w:eastAsia="Calibri" w:hAnsi="Verdana" w:cs="Arial"/>
          <w:bCs/>
          <w:sz w:val="20"/>
          <w:szCs w:val="20"/>
          <w:lang w:val="es-ES"/>
        </w:rPr>
      </w:pPr>
    </w:p>
    <w:p w14:paraId="5606F859" w14:textId="77777777" w:rsidR="00AB4BC2" w:rsidRPr="00683260" w:rsidRDefault="00AB4BC2" w:rsidP="00CB5F5A">
      <w:pPr>
        <w:spacing w:after="0" w:line="240" w:lineRule="auto"/>
        <w:jc w:val="both"/>
        <w:rPr>
          <w:rFonts w:ascii="Verdana" w:eastAsia="Calibri" w:hAnsi="Verdana" w:cs="Arial"/>
          <w:bCs/>
          <w:sz w:val="20"/>
          <w:szCs w:val="20"/>
          <w:lang w:val="es-ES"/>
        </w:rPr>
      </w:pPr>
      <w:r w:rsidRPr="000B5B4A">
        <w:rPr>
          <w:rFonts w:ascii="Verdana" w:eastAsia="Calibri" w:hAnsi="Verdana" w:cs="Arial"/>
          <w:bCs/>
          <w:sz w:val="20"/>
          <w:szCs w:val="20"/>
          <w:lang w:val="es-ES"/>
        </w:rPr>
        <w:t>Con respecto a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De esta manera, la manifestación de interés se constituye en un requisito habilitante, esto es, en un requisito para participar en un proceso de contratación como oferente. En efecto, según lo dispuesto en el artículo 2.2.1.2.1.2.20 del Decreto 1082 de 2015, el procedimiento inicia con la apertura del proceso que haga la entidad, y los interesados en el procedimiento contractual deben presentar una «manifestación de interés» para participar en el mismo, como requisito para poder continuar participando en el procedimiento de selección.</w:t>
      </w:r>
    </w:p>
    <w:p w14:paraId="64725E59" w14:textId="77777777" w:rsidR="00AB4BC2" w:rsidRPr="00AF1555" w:rsidRDefault="00AB4BC2" w:rsidP="00CB5F5A">
      <w:pPr>
        <w:spacing w:after="0" w:line="240" w:lineRule="auto"/>
        <w:rPr>
          <w:rFonts w:ascii="Verdana" w:eastAsia="Geomanist Light" w:hAnsi="Verdana" w:cs="Arial"/>
          <w:color w:val="000000" w:themeColor="text1"/>
          <w:sz w:val="20"/>
          <w:szCs w:val="20"/>
          <w:lang w:val="es-ES_tradnl"/>
        </w:rPr>
      </w:pPr>
    </w:p>
    <w:p w14:paraId="129A6B61" w14:textId="77777777" w:rsidR="00AB4BC2" w:rsidRPr="00AF1555" w:rsidRDefault="00AB4BC2" w:rsidP="00CB5F5A">
      <w:pPr>
        <w:tabs>
          <w:tab w:val="left" w:pos="426"/>
        </w:tabs>
        <w:spacing w:after="0" w:line="240" w:lineRule="auto"/>
        <w:jc w:val="both"/>
        <w:rPr>
          <w:rFonts w:ascii="Verdana" w:hAnsi="Verdana" w:cs="Arial"/>
          <w:b/>
          <w:lang w:eastAsia="es-CO"/>
        </w:rPr>
      </w:pPr>
      <w:r>
        <w:rPr>
          <w:rFonts w:ascii="Verdana" w:hAnsi="Verdana" w:cs="Arial"/>
          <w:b/>
          <w:lang w:eastAsia="es-CO"/>
        </w:rPr>
        <w:t>PROPONENTES PLURALES – Manifestación de interés – Documentos del proceso</w:t>
      </w:r>
    </w:p>
    <w:p w14:paraId="4916230F" w14:textId="77777777" w:rsidR="00AB4BC2" w:rsidRPr="00AF1555" w:rsidRDefault="00AB4BC2" w:rsidP="00CB5F5A">
      <w:pPr>
        <w:tabs>
          <w:tab w:val="left" w:pos="426"/>
        </w:tabs>
        <w:spacing w:after="0" w:line="240" w:lineRule="auto"/>
        <w:jc w:val="both"/>
        <w:rPr>
          <w:rFonts w:ascii="Verdana" w:hAnsi="Verdana" w:cs="Arial"/>
          <w:b/>
          <w:sz w:val="20"/>
          <w:szCs w:val="20"/>
          <w:lang w:eastAsia="es-CO"/>
        </w:rPr>
      </w:pPr>
    </w:p>
    <w:p w14:paraId="7F05DDEE" w14:textId="77777777" w:rsidR="0082584C" w:rsidRDefault="00AB4BC2" w:rsidP="00CB5F5A">
      <w:pPr>
        <w:spacing w:after="0" w:line="240" w:lineRule="auto"/>
        <w:jc w:val="both"/>
        <w:rPr>
          <w:rFonts w:ascii="Verdana" w:hAnsi="Verdana" w:cs="Arial"/>
          <w:bCs/>
          <w:sz w:val="20"/>
          <w:szCs w:val="20"/>
          <w:lang w:val="es-ES" w:eastAsia="es-CO"/>
        </w:rPr>
      </w:pPr>
      <w:r>
        <w:rPr>
          <w:rFonts w:ascii="Verdana" w:hAnsi="Verdana" w:cs="Arial"/>
          <w:bCs/>
          <w:sz w:val="20"/>
          <w:szCs w:val="20"/>
          <w:lang w:val="es-ES" w:eastAsia="es-CO"/>
        </w:rPr>
        <w:t xml:space="preserve">[…] </w:t>
      </w:r>
      <w:r w:rsidRPr="00756183">
        <w:rPr>
          <w:rFonts w:ascii="Verdana" w:hAnsi="Verdana" w:cs="Arial"/>
          <w:bCs/>
          <w:sz w:val="20"/>
          <w:szCs w:val="20"/>
          <w:lang w:val="es-ES" w:eastAsia="es-CO"/>
        </w:rPr>
        <w:t>sin perjuicio de la regla de inalterabilidad de los documentos tipo y las condiciones de uso del SECOP II en los términos explicados en el presente oficio, la entidad puede configurar las condiciones de la manifestación de interés en el pliego de condiciones para consorcios o uniones temporales. En este caso, el interesado informará su intención de participar de acuerdo con las exigencias planteadas en los documentos del proceso. En caso de que el pliego de condiciones guarde silencio sobre este tema, los interesados serán libres para escoger si dicha manifestación proviene de cada uno de los integrantes que conformarán el proponente plural o del representante del consorcio u unión temporal. Incluso, cabe la posibilidad de que quienes manifestaron interés individualmente, conformen un proponente plural al momento de presentar la oferta</w:t>
      </w:r>
      <w:r w:rsidRPr="00683260">
        <w:rPr>
          <w:rFonts w:ascii="Verdana" w:hAnsi="Verdana" w:cs="Arial"/>
          <w:bCs/>
          <w:sz w:val="20"/>
          <w:szCs w:val="20"/>
          <w:lang w:val="es-ES" w:eastAsia="es-CO"/>
        </w:rPr>
        <w:t>.</w:t>
      </w:r>
    </w:p>
    <w:p w14:paraId="603689E9" w14:textId="77777777" w:rsidR="00CB5F5A" w:rsidRDefault="00CB5F5A" w:rsidP="0082584C">
      <w:pPr>
        <w:spacing w:after="0" w:line="240" w:lineRule="auto"/>
        <w:jc w:val="both"/>
        <w:rPr>
          <w:rFonts w:ascii="Verdana" w:eastAsia="Geomanist Light" w:hAnsi="Verdana" w:cs="Arial"/>
          <w:color w:val="000000" w:themeColor="text1"/>
          <w:lang w:val="es-MX"/>
        </w:rPr>
      </w:pPr>
    </w:p>
    <w:p w14:paraId="77D124EC" w14:textId="3289816A" w:rsidR="005E3005" w:rsidRPr="0082584C" w:rsidRDefault="005E3005" w:rsidP="0082584C">
      <w:pPr>
        <w:spacing w:after="0" w:line="240" w:lineRule="auto"/>
        <w:jc w:val="both"/>
        <w:rPr>
          <w:rFonts w:ascii="Verdana" w:hAnsi="Verdana" w:cs="Arial"/>
          <w:bCs/>
          <w:sz w:val="20"/>
          <w:szCs w:val="20"/>
          <w:lang w:val="es-ES" w:eastAsia="es-CO"/>
        </w:rPr>
      </w:pPr>
      <w:r w:rsidRPr="00593A5F">
        <w:rPr>
          <w:rFonts w:ascii="Verdana" w:eastAsia="Geomanist Light" w:hAnsi="Verdana" w:cs="Arial"/>
          <w:color w:val="000000" w:themeColor="text1"/>
          <w:lang w:val="es-MX"/>
        </w:rPr>
        <w:t>Bogotá D.C., </w:t>
      </w:r>
      <w:r w:rsidR="00CC6690" w:rsidRPr="00CC6690">
        <w:rPr>
          <w:rFonts w:ascii="Verdana" w:eastAsia="Geomanist Light" w:hAnsi="Verdana" w:cs="Arial"/>
          <w:color w:val="000000" w:themeColor="text1"/>
          <w:lang w:val="es-MX"/>
        </w:rPr>
        <w:t>14 de Mayo de 2025</w:t>
      </w:r>
    </w:p>
    <w:p w14:paraId="2D82644D" w14:textId="77777777" w:rsidR="005E3005" w:rsidRDefault="005E3005" w:rsidP="005E3005">
      <w:pPr>
        <w:spacing w:after="0" w:line="240" w:lineRule="auto"/>
        <w:jc w:val="both"/>
        <w:rPr>
          <w:rFonts w:ascii="Verdana" w:eastAsia="Calibri" w:hAnsi="Verdana" w:cs="Arial"/>
          <w:color w:val="000000"/>
          <w:lang w:val="es-ES"/>
        </w:rPr>
      </w:pPr>
    </w:p>
    <w:p w14:paraId="7E4EAD78" w14:textId="50CF69F1" w:rsidR="005E3005" w:rsidRDefault="00CC6690" w:rsidP="00CC6690">
      <w:pPr>
        <w:spacing w:after="0" w:line="240" w:lineRule="auto"/>
        <w:jc w:val="right"/>
        <w:rPr>
          <w:rFonts w:ascii="Verdana" w:eastAsia="Calibri" w:hAnsi="Verdana" w:cs="Arial"/>
          <w:color w:val="000000"/>
          <w:lang w:val="es-ES"/>
        </w:rPr>
      </w:pPr>
      <w:r w:rsidRPr="00CC6690">
        <w:rPr>
          <w:rFonts w:ascii="Verdana" w:eastAsia="Calibri" w:hAnsi="Verdana" w:cs="Arial"/>
          <w:noProof/>
          <w:color w:val="000000"/>
          <w:lang w:val="es-ES"/>
        </w:rPr>
        <w:drawing>
          <wp:inline distT="0" distB="0" distL="0" distR="0" wp14:anchorId="40202D19" wp14:editId="2D6EFD29">
            <wp:extent cx="2400300" cy="622300"/>
            <wp:effectExtent l="0" t="0" r="0" b="0"/>
            <wp:docPr id="6549917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991704" name=""/>
                    <pic:cNvPicPr/>
                  </pic:nvPicPr>
                  <pic:blipFill>
                    <a:blip r:embed="rId10"/>
                    <a:stretch>
                      <a:fillRect/>
                    </a:stretch>
                  </pic:blipFill>
                  <pic:spPr>
                    <a:xfrm>
                      <a:off x="0" y="0"/>
                      <a:ext cx="2400300" cy="622300"/>
                    </a:xfrm>
                    <a:prstGeom prst="rect">
                      <a:avLst/>
                    </a:prstGeom>
                  </pic:spPr>
                </pic:pic>
              </a:graphicData>
            </a:graphic>
          </wp:inline>
        </w:drawing>
      </w:r>
    </w:p>
    <w:p w14:paraId="1DAAF5E3" w14:textId="77777777" w:rsidR="00CC6690" w:rsidRPr="00593A5F" w:rsidRDefault="00CC6690" w:rsidP="005E3005">
      <w:pPr>
        <w:spacing w:after="0" w:line="240" w:lineRule="auto"/>
        <w:jc w:val="both"/>
        <w:rPr>
          <w:rFonts w:ascii="Verdana" w:eastAsia="Calibri" w:hAnsi="Verdana" w:cs="Arial"/>
          <w:color w:val="000000"/>
          <w:lang w:val="es-ES"/>
        </w:rPr>
      </w:pPr>
    </w:p>
    <w:p w14:paraId="2B61CA15" w14:textId="77777777" w:rsidR="005E3005" w:rsidRPr="00B96799" w:rsidRDefault="005E3005" w:rsidP="005E3005">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61925A46" w14:textId="77777777" w:rsidR="005E3005" w:rsidRDefault="005E3005" w:rsidP="005E3005">
      <w:pPr>
        <w:spacing w:after="0" w:line="240" w:lineRule="auto"/>
        <w:rPr>
          <w:rFonts w:ascii="Verdana" w:eastAsia="Calibri" w:hAnsi="Verdana" w:cs="Arial"/>
          <w:b/>
          <w:lang w:val="es-ES_tradnl" w:eastAsia="es-ES_tradnl"/>
        </w:rPr>
      </w:pPr>
      <w:r w:rsidRPr="007F7BF3">
        <w:rPr>
          <w:rFonts w:ascii="Verdana" w:eastAsia="Calibri" w:hAnsi="Verdana" w:cs="Arial"/>
          <w:b/>
          <w:lang w:val="es-ES_tradnl" w:eastAsia="es-ES_tradnl"/>
        </w:rPr>
        <w:t>Abel Cruz Romero</w:t>
      </w:r>
    </w:p>
    <w:p w14:paraId="469E16AE" w14:textId="77777777" w:rsidR="005E3005" w:rsidRPr="007F7BF3" w:rsidRDefault="005E3005" w:rsidP="005E3005">
      <w:pPr>
        <w:spacing w:after="0" w:line="240" w:lineRule="auto"/>
        <w:rPr>
          <w:rFonts w:ascii="Verdana" w:eastAsia="Calibri" w:hAnsi="Verdana" w:cs="Arial"/>
          <w:lang w:val="es-ES" w:eastAsia="es-ES"/>
        </w:rPr>
      </w:pPr>
      <w:hyperlink r:id="rId11" w:history="1">
        <w:r w:rsidRPr="00026F3E">
          <w:rPr>
            <w:rStyle w:val="Hipervnculo"/>
            <w:rFonts w:ascii="Verdana" w:hAnsi="Verdana"/>
          </w:rPr>
          <w:t>abcruzro@gmail.com</w:t>
        </w:r>
      </w:hyperlink>
      <w:r>
        <w:rPr>
          <w:rFonts w:ascii="Verdana" w:eastAsia="Calibri" w:hAnsi="Verdana" w:cs="Arial"/>
          <w:lang w:val="es-ES" w:eastAsia="es-ES"/>
        </w:rPr>
        <w:t xml:space="preserve"> </w:t>
      </w:r>
      <w:r w:rsidRPr="007F7BF3">
        <w:rPr>
          <w:rFonts w:ascii="Verdana" w:eastAsia="Calibri" w:hAnsi="Verdana" w:cs="Arial"/>
          <w:lang w:val="es-ES" w:eastAsia="es-ES"/>
        </w:rPr>
        <w:t xml:space="preserve">       </w:t>
      </w:r>
    </w:p>
    <w:p w14:paraId="39D8F697" w14:textId="77777777" w:rsidR="005E3005" w:rsidRDefault="005E3005" w:rsidP="005E3005">
      <w:pPr>
        <w:spacing w:after="0" w:line="240" w:lineRule="auto"/>
        <w:rPr>
          <w:rFonts w:ascii="Verdana" w:eastAsia="Calibri" w:hAnsi="Verdana" w:cs="Arial"/>
          <w:lang w:val="es-ES" w:eastAsia="es-ES"/>
        </w:rPr>
      </w:pPr>
      <w:r>
        <w:rPr>
          <w:rFonts w:ascii="Verdana" w:eastAsia="Calibri" w:hAnsi="Verdana" w:cs="Arial"/>
          <w:lang w:val="es-ES" w:eastAsia="es-ES"/>
        </w:rPr>
        <w:t xml:space="preserve">Santiago de Cali, Valle del Cauca </w:t>
      </w:r>
    </w:p>
    <w:p w14:paraId="5378CF7A" w14:textId="77777777" w:rsidR="005E3005" w:rsidRPr="00593A5F" w:rsidRDefault="005E3005" w:rsidP="005E3005">
      <w:pPr>
        <w:spacing w:after="0" w:line="240" w:lineRule="auto"/>
        <w:rPr>
          <w:rFonts w:ascii="Verdana" w:eastAsia="Calibri" w:hAnsi="Verdana" w:cs="Arial"/>
          <w:b/>
          <w:bCs/>
          <w:color w:val="000000"/>
          <w:lang w:val="es-ES_tradnl" w:eastAsia="es-ES_tradnl"/>
        </w:rPr>
      </w:pPr>
    </w:p>
    <w:p w14:paraId="5CBC663E" w14:textId="77777777" w:rsidR="005E3005" w:rsidRPr="00593A5F" w:rsidRDefault="005E3005" w:rsidP="005E300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E3005" w:rsidRPr="00593A5F" w14:paraId="55255BA1" w14:textId="77777777" w:rsidTr="002D538E">
        <w:trPr>
          <w:trHeight w:val="884"/>
        </w:trPr>
        <w:tc>
          <w:tcPr>
            <w:tcW w:w="2689" w:type="dxa"/>
          </w:tcPr>
          <w:p w14:paraId="42AB3A15" w14:textId="77777777" w:rsidR="005E3005" w:rsidRPr="00C00976" w:rsidRDefault="005E3005" w:rsidP="002D538E">
            <w:pPr>
              <w:jc w:val="both"/>
              <w:rPr>
                <w:rFonts w:ascii="Verdana" w:eastAsia="Calibri" w:hAnsi="Verdana" w:cs="Arial"/>
                <w:b/>
                <w:bCs/>
                <w:color w:val="7030A0"/>
                <w:lang w:val="es-ES_tradnl" w:eastAsia="es-ES_tradnl"/>
              </w:rPr>
            </w:pPr>
          </w:p>
        </w:tc>
        <w:tc>
          <w:tcPr>
            <w:tcW w:w="6100" w:type="dxa"/>
          </w:tcPr>
          <w:p w14:paraId="3DDFFE23" w14:textId="77777777" w:rsidR="005E3005" w:rsidRPr="00C00976" w:rsidRDefault="005E3005" w:rsidP="002D538E">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537</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5E3005" w:rsidRPr="00593A5F" w14:paraId="1320D33D" w14:textId="77777777" w:rsidTr="002D538E">
        <w:trPr>
          <w:trHeight w:val="884"/>
        </w:trPr>
        <w:tc>
          <w:tcPr>
            <w:tcW w:w="2689" w:type="dxa"/>
          </w:tcPr>
          <w:p w14:paraId="1539244E" w14:textId="77777777" w:rsidR="005E3005" w:rsidRPr="00593A5F" w:rsidRDefault="005E3005" w:rsidP="002D538E">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C327EA1" w14:textId="77777777" w:rsidR="005E3005" w:rsidRPr="00A11406" w:rsidRDefault="005E3005" w:rsidP="002D538E">
            <w:pPr>
              <w:spacing w:line="276" w:lineRule="auto"/>
              <w:jc w:val="both"/>
              <w:rPr>
                <w:rFonts w:ascii="Verdana" w:eastAsia="Calibri" w:hAnsi="Verdana" w:cs="Arial"/>
                <w:lang w:val="es-ES" w:eastAsia="es-ES"/>
              </w:rPr>
            </w:pPr>
            <w:r w:rsidRPr="00FA083F">
              <w:rPr>
                <w:rFonts w:ascii="Verdana" w:eastAsia="Calibri" w:hAnsi="Verdana" w:cs="Arial"/>
                <w:lang w:val="es-ES" w:eastAsia="es-ES"/>
              </w:rPr>
              <w:t>MODALIDADES DE SELECCIÓN – Selección abreviada de menor cuantía – Características</w:t>
            </w:r>
            <w:r>
              <w:rPr>
                <w:rFonts w:ascii="Verdana" w:eastAsia="Calibri" w:hAnsi="Verdana" w:cs="Arial"/>
                <w:lang w:val="es-ES" w:eastAsia="es-ES"/>
              </w:rPr>
              <w:t xml:space="preserve"> / </w:t>
            </w:r>
            <w:r w:rsidRPr="00FA083F">
              <w:rPr>
                <w:rFonts w:ascii="Verdana" w:eastAsia="Calibri" w:hAnsi="Verdana" w:cs="Arial"/>
                <w:lang w:val="es-ES" w:eastAsia="es-ES"/>
              </w:rPr>
              <w:t>MANIFESTACIÓN DE INTERÉS – Noción – Finalidad – Requisito habilitante</w:t>
            </w:r>
            <w:r>
              <w:rPr>
                <w:rFonts w:ascii="Verdana" w:eastAsia="Calibri" w:hAnsi="Verdana" w:cs="Arial"/>
                <w:lang w:val="es-ES" w:eastAsia="es-ES"/>
              </w:rPr>
              <w:t xml:space="preserve"> / </w:t>
            </w:r>
            <w:r w:rsidRPr="00FA083F">
              <w:rPr>
                <w:rFonts w:ascii="Verdana" w:eastAsia="Calibri" w:hAnsi="Verdana" w:cs="Arial"/>
                <w:lang w:val="es-ES" w:eastAsia="es-ES"/>
              </w:rPr>
              <w:t>PROPONENTES PLURALES – Manifestación de interés – Documentos del proceso</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4830CC77" w14:textId="77777777" w:rsidR="005E3005" w:rsidRPr="00593A5F" w:rsidRDefault="005E3005" w:rsidP="002D538E">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5E3005" w:rsidRPr="008E6AD9" w14:paraId="73CB6933" w14:textId="77777777" w:rsidTr="002D538E">
        <w:tc>
          <w:tcPr>
            <w:tcW w:w="2689" w:type="dxa"/>
          </w:tcPr>
          <w:p w14:paraId="6D54951D" w14:textId="77777777" w:rsidR="005E3005" w:rsidRPr="008E6AD9" w:rsidRDefault="005E3005" w:rsidP="002D538E">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0E95E16" w14:textId="77777777" w:rsidR="005E3005" w:rsidRPr="008E6AD9" w:rsidRDefault="005E3005" w:rsidP="002D538E">
            <w:pPr>
              <w:spacing w:line="276" w:lineRule="auto"/>
              <w:jc w:val="both"/>
              <w:rPr>
                <w:rFonts w:ascii="Verdana" w:eastAsia="Calibri" w:hAnsi="Verdana" w:cs="Arial"/>
                <w:lang w:eastAsia="es-ES_tradnl"/>
              </w:rPr>
            </w:pPr>
            <w:r w:rsidRPr="006D13B2">
              <w:rPr>
                <w:rFonts w:ascii="Verdana" w:eastAsia="Calibri" w:hAnsi="Verdana" w:cs="Arial"/>
                <w:lang w:val="es-ES_tradnl" w:eastAsia="es-ES_tradnl"/>
              </w:rPr>
              <w:t xml:space="preserve">Respuesta a la consulta con radicado No. </w:t>
            </w:r>
            <w:r w:rsidRPr="007F7BF3">
              <w:rPr>
                <w:rFonts w:ascii="Verdana" w:eastAsia="Calibri" w:hAnsi="Verdana" w:cs="Arial"/>
                <w:lang w:val="es-ES_tradnl" w:eastAsia="es-ES_tradnl"/>
              </w:rPr>
              <w:t>P20250502004166</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5D8FC95B" w14:textId="77777777" w:rsidR="005E3005" w:rsidRPr="00593A5F" w:rsidRDefault="005E3005" w:rsidP="005E3005">
      <w:pPr>
        <w:spacing w:after="0" w:line="240" w:lineRule="auto"/>
        <w:jc w:val="both"/>
        <w:rPr>
          <w:rFonts w:ascii="Verdana" w:eastAsia="Calibri" w:hAnsi="Verdana" w:cs="Arial"/>
          <w:color w:val="000000"/>
          <w:lang w:val="es-ES_tradnl" w:eastAsia="es-ES_tradnl"/>
        </w:rPr>
      </w:pPr>
    </w:p>
    <w:p w14:paraId="702C7D66" w14:textId="77777777" w:rsidR="005E3005" w:rsidRPr="00593A5F" w:rsidRDefault="005E3005" w:rsidP="005E3005">
      <w:pPr>
        <w:spacing w:after="0" w:line="240" w:lineRule="auto"/>
        <w:jc w:val="both"/>
        <w:rPr>
          <w:rFonts w:ascii="Verdana" w:eastAsia="Calibri" w:hAnsi="Verdana" w:cs="Arial"/>
          <w:color w:val="000000"/>
          <w:lang w:val="es-ES_tradnl" w:eastAsia="es-ES_tradnl"/>
        </w:rPr>
      </w:pPr>
    </w:p>
    <w:p w14:paraId="75D3ADFC" w14:textId="77777777" w:rsidR="005E3005" w:rsidRPr="008E6AD9" w:rsidRDefault="005E3005" w:rsidP="005E3005">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sidRPr="007F7BF3">
        <w:rPr>
          <w:rFonts w:ascii="Verdana" w:eastAsia="Calibri" w:hAnsi="Verdana" w:cs="Arial"/>
          <w:lang w:val="es-ES" w:eastAsia="es-ES"/>
        </w:rPr>
        <w:t>Cruz Romero</w:t>
      </w:r>
      <w:r w:rsidRPr="008E6AD9">
        <w:rPr>
          <w:rFonts w:ascii="Verdana" w:eastAsia="Calibri" w:hAnsi="Verdana" w:cs="Arial"/>
          <w:lang w:val="es-ES" w:eastAsia="es-ES"/>
        </w:rPr>
        <w:t xml:space="preserve">: </w:t>
      </w:r>
    </w:p>
    <w:p w14:paraId="54C6872B" w14:textId="77777777" w:rsidR="005E3005" w:rsidRDefault="005E3005" w:rsidP="005E300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F3C68BE" w14:textId="77777777" w:rsidR="005E3005" w:rsidRPr="00593A5F" w:rsidRDefault="005E3005" w:rsidP="005E3005">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 de mayo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w:t>
      </w:r>
      <w:r w:rsidRPr="00AB219D">
        <w:rPr>
          <w:rFonts w:ascii="Verdana" w:eastAsia="Calibri" w:hAnsi="Verdana" w:cs="Arial"/>
          <w:lang w:val="es-ES" w:eastAsia="es-ES"/>
        </w:rPr>
        <w:t xml:space="preserve"> </w:t>
      </w:r>
      <w:r>
        <w:rPr>
          <w:rFonts w:ascii="Verdana" w:eastAsia="Calibri" w:hAnsi="Verdana" w:cs="Arial"/>
          <w:lang w:val="es-ES" w:eastAsia="es-ES"/>
        </w:rPr>
        <w:t>pregunta lo siguiente</w:t>
      </w:r>
      <w:r w:rsidRPr="008E6AD9">
        <w:rPr>
          <w:rFonts w:ascii="Verdana" w:eastAsia="Calibri" w:hAnsi="Verdana" w:cs="Arial"/>
          <w:lang w:val="es-ES" w:eastAsia="es-ES"/>
        </w:rPr>
        <w:t xml:space="preserve">: </w:t>
      </w:r>
    </w:p>
    <w:p w14:paraId="2B8B1EFC" w14:textId="77777777" w:rsidR="005E3005" w:rsidRPr="00272A7B" w:rsidRDefault="005E3005" w:rsidP="005E3005">
      <w:pPr>
        <w:pStyle w:val="Prrafodelista"/>
        <w:tabs>
          <w:tab w:val="left" w:pos="142"/>
          <w:tab w:val="left" w:pos="284"/>
        </w:tabs>
        <w:spacing w:after="0" w:line="276" w:lineRule="auto"/>
        <w:ind w:left="0"/>
        <w:jc w:val="both"/>
        <w:rPr>
          <w:rFonts w:ascii="Verdana" w:eastAsia="Century Gothic" w:hAnsi="Verdana" w:cs="Century Gothic"/>
          <w:b/>
          <w:bCs/>
        </w:rPr>
      </w:pPr>
    </w:p>
    <w:p w14:paraId="13307AD9" w14:textId="77777777" w:rsidR="005E3005" w:rsidRPr="008145ED" w:rsidRDefault="005E3005" w:rsidP="005E3005">
      <w:pPr>
        <w:spacing w:after="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sidRPr="007F7BF3">
        <w:rPr>
          <w:rFonts w:ascii="Verdana" w:eastAsia="Century Gothic" w:hAnsi="Verdana" w:cs="Century Gothic"/>
          <w:sz w:val="21"/>
          <w:szCs w:val="21"/>
          <w:lang w:val="es-ES"/>
        </w:rPr>
        <w:t>En un proceso de selección abreviada de menor cuantía, los oferentes realizaron</w:t>
      </w:r>
      <w:r>
        <w:rPr>
          <w:rFonts w:ascii="Verdana" w:eastAsia="Century Gothic" w:hAnsi="Verdana" w:cs="Century Gothic"/>
          <w:sz w:val="21"/>
          <w:szCs w:val="21"/>
          <w:lang w:val="es-ES"/>
        </w:rPr>
        <w:t xml:space="preserve"> </w:t>
      </w:r>
      <w:r w:rsidRPr="007F7BF3">
        <w:rPr>
          <w:rFonts w:ascii="Verdana" w:eastAsia="Century Gothic" w:hAnsi="Verdana" w:cs="Century Gothic"/>
          <w:sz w:val="21"/>
          <w:szCs w:val="21"/>
          <w:lang w:val="es-ES"/>
        </w:rPr>
        <w:t>manifestación de interés de manera individual, una vez superado el plazo de</w:t>
      </w:r>
      <w:r>
        <w:rPr>
          <w:rFonts w:ascii="Verdana" w:eastAsia="Century Gothic" w:hAnsi="Verdana" w:cs="Century Gothic"/>
          <w:sz w:val="21"/>
          <w:szCs w:val="21"/>
          <w:lang w:val="es-ES"/>
        </w:rPr>
        <w:t xml:space="preserve"> </w:t>
      </w:r>
      <w:r w:rsidRPr="007F7BF3">
        <w:rPr>
          <w:rFonts w:ascii="Verdana" w:eastAsia="Century Gothic" w:hAnsi="Verdana" w:cs="Century Gothic"/>
          <w:sz w:val="21"/>
          <w:szCs w:val="21"/>
          <w:lang w:val="es-ES"/>
        </w:rPr>
        <w:t>manifestación al momento de presentar oferta lo realizaron como unión temporal, es</w:t>
      </w:r>
      <w:r>
        <w:rPr>
          <w:rFonts w:ascii="Verdana" w:eastAsia="Century Gothic" w:hAnsi="Verdana" w:cs="Century Gothic"/>
          <w:sz w:val="21"/>
          <w:szCs w:val="21"/>
          <w:lang w:val="es-ES"/>
        </w:rPr>
        <w:t xml:space="preserve"> </w:t>
      </w:r>
      <w:r w:rsidRPr="007F7BF3">
        <w:rPr>
          <w:rFonts w:ascii="Verdana" w:eastAsia="Century Gothic" w:hAnsi="Verdana" w:cs="Century Gothic"/>
          <w:sz w:val="21"/>
          <w:szCs w:val="21"/>
          <w:lang w:val="es-ES"/>
        </w:rPr>
        <w:t>posible que se pueda realizar dicho procedimiento</w:t>
      </w:r>
      <w:r>
        <w:rPr>
          <w:rFonts w:ascii="Verdana" w:eastAsia="Century Gothic" w:hAnsi="Verdana" w:cs="Century Gothic"/>
          <w:sz w:val="21"/>
          <w:szCs w:val="21"/>
          <w:lang w:val="es-ES"/>
        </w:rPr>
        <w:t xml:space="preserve"> […]</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45E58D61" w14:textId="77777777" w:rsidR="005E3005" w:rsidRPr="008E6AD9" w:rsidRDefault="005E3005" w:rsidP="005E3005">
      <w:pPr>
        <w:pStyle w:val="Prrafodelista"/>
        <w:tabs>
          <w:tab w:val="left" w:pos="142"/>
          <w:tab w:val="left" w:pos="284"/>
        </w:tabs>
        <w:spacing w:after="0" w:line="276" w:lineRule="auto"/>
        <w:ind w:left="0"/>
        <w:jc w:val="both"/>
        <w:rPr>
          <w:rFonts w:ascii="Verdana" w:eastAsia="Century Gothic" w:hAnsi="Verdana" w:cs="Century Gothic"/>
          <w:b/>
          <w:bCs/>
        </w:rPr>
      </w:pPr>
    </w:p>
    <w:p w14:paraId="126DA512" w14:textId="77777777" w:rsidR="005E3005" w:rsidRPr="00A652FF" w:rsidRDefault="005E3005" w:rsidP="005E3005">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3626D6C" w14:textId="77777777" w:rsidR="005E3005" w:rsidRDefault="005E3005" w:rsidP="005E300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 que menciona en la solicitud</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20C7F75" w14:textId="77777777" w:rsidR="005E3005" w:rsidRPr="00593A5F" w:rsidRDefault="005E3005" w:rsidP="005E3005">
      <w:pPr>
        <w:spacing w:after="0" w:line="276" w:lineRule="auto"/>
        <w:ind w:firstLine="709"/>
        <w:jc w:val="both"/>
        <w:rPr>
          <w:rFonts w:ascii="Verdana" w:eastAsia="Calibri" w:hAnsi="Verdana" w:cs="Arial"/>
          <w:color w:val="000000"/>
          <w:lang w:val="es-ES" w:eastAsia="es-ES"/>
        </w:rPr>
      </w:pPr>
    </w:p>
    <w:p w14:paraId="74828052" w14:textId="77777777" w:rsidR="005E3005" w:rsidRPr="00593A5F" w:rsidRDefault="005E3005" w:rsidP="005E300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D81BB4E" w14:textId="77777777" w:rsidR="005E3005" w:rsidRPr="00593A5F" w:rsidRDefault="005E3005" w:rsidP="005E3005">
      <w:pPr>
        <w:tabs>
          <w:tab w:val="left" w:pos="426"/>
        </w:tabs>
        <w:spacing w:after="0" w:line="276" w:lineRule="auto"/>
        <w:jc w:val="both"/>
        <w:rPr>
          <w:rFonts w:ascii="Verdana" w:eastAsia="Century Gothic" w:hAnsi="Verdana" w:cs="Century Gothic"/>
          <w:lang w:val="es-ES"/>
        </w:rPr>
      </w:pPr>
    </w:p>
    <w:p w14:paraId="04FB805F" w14:textId="19B24114" w:rsidR="005E3005" w:rsidRPr="00593A5F" w:rsidRDefault="005E3005" w:rsidP="005E3005">
      <w:pPr>
        <w:spacing w:after="0" w:line="276" w:lineRule="auto"/>
        <w:jc w:val="both"/>
        <w:rPr>
          <w:rFonts w:ascii="Verdana" w:eastAsia="Century Gothic" w:hAnsi="Verdana" w:cs="Century Gothic"/>
        </w:rPr>
      </w:pPr>
      <w:r w:rsidRPr="005C5B58">
        <w:rPr>
          <w:rFonts w:ascii="Verdana" w:eastAsia="Century Gothic" w:hAnsi="Verdana" w:cs="Century Gothic"/>
        </w:rPr>
        <w:t>De acuerdo con el contenido de su solicitud, depurada la competencia consultiva de la entidad, esta Agencia resolverá el siguiente problema jurídico:</w:t>
      </w:r>
      <w:r>
        <w:rPr>
          <w:rFonts w:ascii="Verdana" w:eastAsia="Century Gothic" w:hAnsi="Verdana" w:cs="Century Gothic"/>
        </w:rPr>
        <w:t xml:space="preserve"> </w:t>
      </w:r>
      <w:r w:rsidR="00696B03">
        <w:rPr>
          <w:rFonts w:ascii="Verdana" w:eastAsia="Century Gothic" w:hAnsi="Verdana" w:cs="Century Gothic"/>
        </w:rPr>
        <w:t>En el contexto de procesos de contr</w:t>
      </w:r>
      <w:r w:rsidR="00780349">
        <w:rPr>
          <w:rFonts w:ascii="Verdana" w:eastAsia="Century Gothic" w:hAnsi="Verdana" w:cs="Century Gothic"/>
        </w:rPr>
        <w:t xml:space="preserve">atación adelantados en </w:t>
      </w:r>
      <w:r w:rsidR="003B0FE4">
        <w:rPr>
          <w:rFonts w:ascii="Verdana" w:eastAsia="Century Gothic" w:hAnsi="Verdana" w:cs="Century Gothic"/>
        </w:rPr>
        <w:t xml:space="preserve">la modalidad de </w:t>
      </w:r>
      <w:r w:rsidR="00696B03">
        <w:rPr>
          <w:rFonts w:ascii="Verdana" w:eastAsia="Century Gothic" w:hAnsi="Verdana" w:cs="Century Gothic"/>
        </w:rPr>
        <w:t xml:space="preserve"> selección abreviada de menor cuantía</w:t>
      </w:r>
      <w:r w:rsidR="003B0FE4">
        <w:rPr>
          <w:rFonts w:ascii="Verdana" w:eastAsia="Century Gothic" w:hAnsi="Verdana" w:cs="Century Gothic"/>
        </w:rPr>
        <w:t xml:space="preserve"> ¿resulta jurídicamente viable </w:t>
      </w:r>
      <w:r w:rsidR="003B0FE4">
        <w:rPr>
          <w:rFonts w:ascii="Verdana" w:eastAsia="Century Gothic" w:hAnsi="Verdana" w:cs="Century Gothic"/>
          <w:sz w:val="21"/>
          <w:szCs w:val="21"/>
          <w:lang w:val="es-ES"/>
        </w:rPr>
        <w:t xml:space="preserve">que </w:t>
      </w:r>
      <w:r w:rsidR="003B0FE4" w:rsidRPr="007F7BF3">
        <w:rPr>
          <w:rFonts w:ascii="Verdana" w:eastAsia="Century Gothic" w:hAnsi="Verdana" w:cs="Century Gothic"/>
          <w:sz w:val="21"/>
          <w:szCs w:val="21"/>
          <w:lang w:val="es-ES"/>
        </w:rPr>
        <w:t xml:space="preserve">los oferentes </w:t>
      </w:r>
      <w:r w:rsidR="00DB2CDD">
        <w:rPr>
          <w:rFonts w:ascii="Verdana" w:eastAsia="Century Gothic" w:hAnsi="Verdana" w:cs="Century Gothic"/>
          <w:sz w:val="21"/>
          <w:szCs w:val="21"/>
          <w:lang w:val="es-ES"/>
        </w:rPr>
        <w:t xml:space="preserve">que </w:t>
      </w:r>
      <w:r w:rsidR="003B0FE4" w:rsidRPr="007F7BF3">
        <w:rPr>
          <w:rFonts w:ascii="Verdana" w:eastAsia="Century Gothic" w:hAnsi="Verdana" w:cs="Century Gothic"/>
          <w:sz w:val="21"/>
          <w:szCs w:val="21"/>
          <w:lang w:val="es-ES"/>
        </w:rPr>
        <w:t>realizaron</w:t>
      </w:r>
      <w:r w:rsidR="003B0FE4">
        <w:rPr>
          <w:rFonts w:ascii="Verdana" w:eastAsia="Century Gothic" w:hAnsi="Verdana" w:cs="Century Gothic"/>
          <w:sz w:val="21"/>
          <w:szCs w:val="21"/>
          <w:lang w:val="es-ES"/>
        </w:rPr>
        <w:t xml:space="preserve"> </w:t>
      </w:r>
      <w:r w:rsidR="003B0FE4" w:rsidRPr="007F7BF3">
        <w:rPr>
          <w:rFonts w:ascii="Verdana" w:eastAsia="Century Gothic" w:hAnsi="Verdana" w:cs="Century Gothic"/>
          <w:sz w:val="21"/>
          <w:szCs w:val="21"/>
          <w:lang w:val="es-ES"/>
        </w:rPr>
        <w:t xml:space="preserve">manifestación de interés de manera individual, </w:t>
      </w:r>
      <w:r w:rsidR="003B0FE4">
        <w:rPr>
          <w:rFonts w:ascii="Verdana" w:eastAsia="Century Gothic" w:hAnsi="Verdana" w:cs="Century Gothic"/>
          <w:sz w:val="21"/>
          <w:szCs w:val="21"/>
          <w:lang w:val="es-ES"/>
        </w:rPr>
        <w:t>presenten oferta a través de un proponente plural?</w:t>
      </w:r>
    </w:p>
    <w:p w14:paraId="3F78789B" w14:textId="77777777" w:rsidR="005E3005" w:rsidRPr="004B140F" w:rsidRDefault="005E3005" w:rsidP="005E3005">
      <w:pPr>
        <w:spacing w:after="0" w:line="276" w:lineRule="auto"/>
        <w:jc w:val="both"/>
        <w:rPr>
          <w:rFonts w:ascii="Verdana" w:eastAsia="Calibri" w:hAnsi="Verdana" w:cs="Arial"/>
          <w:color w:val="7030A0"/>
        </w:rPr>
      </w:pPr>
    </w:p>
    <w:p w14:paraId="0BB79FB7" w14:textId="77777777" w:rsidR="005E3005" w:rsidRPr="00593A5F" w:rsidRDefault="005E3005" w:rsidP="005E300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E76D4F2" w14:textId="77777777" w:rsidR="005E3005" w:rsidRPr="00593A5F" w:rsidRDefault="005E3005" w:rsidP="005E300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E3005" w:rsidRPr="00593A5F" w14:paraId="4E56D9B7" w14:textId="77777777" w:rsidTr="002D538E">
        <w:trPr>
          <w:jc w:val="center"/>
        </w:trPr>
        <w:tc>
          <w:tcPr>
            <w:tcW w:w="8828" w:type="dxa"/>
            <w:shd w:val="clear" w:color="auto" w:fill="auto"/>
          </w:tcPr>
          <w:p w14:paraId="4FD41ADC" w14:textId="77777777" w:rsidR="005E3005" w:rsidRDefault="005E3005" w:rsidP="002D538E">
            <w:pPr>
              <w:spacing w:after="120" w:line="276" w:lineRule="auto"/>
              <w:jc w:val="both"/>
              <w:rPr>
                <w:rFonts w:ascii="Verdana" w:eastAsia="Calibri" w:hAnsi="Verdana" w:cs="Arial"/>
                <w:lang w:val="es-MX"/>
              </w:rPr>
            </w:pPr>
            <w:bookmarkStart w:id="1" w:name="_Hlk171694685"/>
            <w:r>
              <w:rPr>
                <w:rFonts w:ascii="Verdana" w:eastAsia="Times New Roman" w:hAnsi="Verdana" w:cs="Arial"/>
                <w:color w:val="000000"/>
                <w:lang w:val="es-ES_tradnl" w:eastAsia="es-ES_tradnl"/>
              </w:rPr>
              <w:t>Conforme a la interpretación general de las normas del sistema de compras públicas,</w:t>
            </w:r>
            <w:r w:rsidRPr="007D48B0">
              <w:rPr>
                <w:rFonts w:ascii="Verdana" w:eastAsia="Calibri" w:hAnsi="Verdana" w:cs="Arial"/>
                <w:lang w:val="es-MX"/>
              </w:rPr>
              <w:t xml:space="preserve"> la manifestación de interés </w:t>
            </w:r>
            <w:r>
              <w:rPr>
                <w:rFonts w:ascii="Verdana" w:eastAsia="Calibri" w:hAnsi="Verdana" w:cs="Arial"/>
                <w:lang w:val="es-MX"/>
              </w:rPr>
              <w:t>en la</w:t>
            </w:r>
            <w:r w:rsidRPr="007D48B0">
              <w:rPr>
                <w:rFonts w:ascii="Verdana" w:eastAsia="Calibri" w:hAnsi="Verdana" w:cs="Arial"/>
                <w:lang w:val="es-MX"/>
              </w:rPr>
              <w:t xml:space="preserve"> selección abreviada de menor cuantía constituye en un requisito habilitante, esto es, en un requisito</w:t>
            </w:r>
            <w:r w:rsidRPr="007D48B0">
              <w:rPr>
                <w:rFonts w:ascii="Verdana" w:hAnsi="Verdana" w:cs="Arial"/>
                <w:shd w:val="clear" w:color="auto" w:fill="FFFFFF"/>
              </w:rPr>
              <w:t xml:space="preserve"> para participar en un proceso de contratación como oferente. En efecto, </w:t>
            </w:r>
            <w:r w:rsidRPr="007D48B0">
              <w:rPr>
                <w:rFonts w:ascii="Verdana" w:eastAsia="Calibri" w:hAnsi="Verdana" w:cs="Arial"/>
                <w:lang w:val="es-MX"/>
              </w:rPr>
              <w:t>según lo dispuesto en el artículo 2.2.1.2.1.2.20 del Decreto 1082 de 2015</w:t>
            </w:r>
            <w:r w:rsidRPr="007D48B0">
              <w:rPr>
                <w:rFonts w:ascii="Verdana" w:eastAsia="Calibri" w:hAnsi="Verdana" w:cs="Arial"/>
                <w:vertAlign w:val="superscript"/>
                <w:lang w:val="es-MX"/>
              </w:rPr>
              <w:t xml:space="preserve">, </w:t>
            </w:r>
            <w:r w:rsidRPr="007D48B0">
              <w:rPr>
                <w:rFonts w:ascii="Verdana" w:eastAsia="Calibri" w:hAnsi="Verdana" w:cs="Arial"/>
                <w:lang w:val="es-MX"/>
              </w:rPr>
              <w:t xml:space="preserve">el procedimiento inicia con la apertura del proceso que haga la entidad, y los </w:t>
            </w:r>
            <w:r w:rsidRPr="007D48B0">
              <w:rPr>
                <w:rFonts w:ascii="Verdana" w:eastAsia="Calibri" w:hAnsi="Verdana" w:cs="Arial"/>
                <w:lang w:val="es-MX"/>
              </w:rPr>
              <w:lastRenderedPageBreak/>
              <w:t xml:space="preserve">interesados en el procedimiento contractual deben presentar una </w:t>
            </w:r>
            <w:r>
              <w:rPr>
                <w:rFonts w:ascii="Verdana" w:eastAsia="Calibri" w:hAnsi="Verdana" w:cs="Arial"/>
                <w:lang w:val="es-MX"/>
              </w:rPr>
              <w:t>“</w:t>
            </w:r>
            <w:r w:rsidRPr="007D48B0">
              <w:rPr>
                <w:rFonts w:ascii="Verdana" w:eastAsia="Calibri" w:hAnsi="Verdana" w:cs="Arial"/>
                <w:lang w:val="es-MX"/>
              </w:rPr>
              <w:t>manifestación de interés</w:t>
            </w:r>
            <w:r>
              <w:rPr>
                <w:rFonts w:ascii="Verdana" w:eastAsia="Calibri" w:hAnsi="Verdana" w:cs="Arial"/>
                <w:lang w:val="es-MX"/>
              </w:rPr>
              <w:t>”</w:t>
            </w:r>
            <w:r w:rsidRPr="007D48B0">
              <w:rPr>
                <w:rFonts w:ascii="Verdana" w:eastAsia="Calibri" w:hAnsi="Verdana" w:cs="Arial"/>
                <w:lang w:val="es-MX"/>
              </w:rPr>
              <w:t xml:space="preserve"> para participar en el mismo</w:t>
            </w:r>
            <w:r>
              <w:rPr>
                <w:rFonts w:ascii="Verdana" w:eastAsia="Calibri" w:hAnsi="Verdana" w:cs="Arial"/>
                <w:lang w:val="es-MX"/>
              </w:rPr>
              <w:t>.</w:t>
            </w:r>
          </w:p>
          <w:p w14:paraId="171746B0" w14:textId="77777777" w:rsidR="005E3005" w:rsidRDefault="005E3005" w:rsidP="002D538E">
            <w:pPr>
              <w:spacing w:after="120" w:line="276" w:lineRule="auto"/>
              <w:ind w:firstLine="731"/>
              <w:jc w:val="both"/>
              <w:rPr>
                <w:rFonts w:ascii="Verdana" w:eastAsia="Calibri" w:hAnsi="Verdana" w:cs="Arial"/>
                <w:lang w:val="es-MX"/>
              </w:rPr>
            </w:pPr>
            <w:r>
              <w:rPr>
                <w:rFonts w:ascii="Verdana" w:eastAsia="Calibri" w:hAnsi="Verdana" w:cs="Arial"/>
              </w:rPr>
              <w:t>De esta manera, s</w:t>
            </w:r>
            <w:r w:rsidRPr="007D48B0">
              <w:rPr>
                <w:rFonts w:ascii="Verdana" w:eastAsia="Calibri" w:hAnsi="Verdana" w:cs="Arial"/>
              </w:rPr>
              <w:t>in perjuicio de la regla de inalterabilidad de los documentos tipo y las condiciones de uso del SECOP II</w:t>
            </w:r>
            <w:r>
              <w:rPr>
                <w:rFonts w:ascii="Verdana" w:eastAsia="Calibri" w:hAnsi="Verdana" w:cs="Arial"/>
              </w:rPr>
              <w:t xml:space="preserve"> en los términos explicados en el presente oficio</w:t>
            </w:r>
            <w:r w:rsidRPr="007D48B0">
              <w:rPr>
                <w:rFonts w:ascii="Verdana" w:eastAsia="Calibri" w:hAnsi="Verdana" w:cs="Arial"/>
              </w:rPr>
              <w:t>, la entidad puede configurar las condiciones de la manifestación de interés en el pliego de condiciones</w:t>
            </w:r>
            <w:r>
              <w:rPr>
                <w:rFonts w:ascii="Verdana" w:eastAsia="Calibri" w:hAnsi="Verdana" w:cs="Arial"/>
              </w:rPr>
              <w:t xml:space="preserve"> para consorcios o uniones temporales</w:t>
            </w:r>
            <w:r w:rsidRPr="007D48B0">
              <w:rPr>
                <w:rFonts w:ascii="Verdana" w:eastAsia="Calibri" w:hAnsi="Verdana" w:cs="Arial"/>
              </w:rPr>
              <w:t xml:space="preserve">. En este caso, el interesado informará su intención de participar de acuerdo con las exigencias planteadas en los documentos del proceso. En caso de que el pliego de condiciones guarde silencio sobre este tema, los interesados serán libres para escoger si </w:t>
            </w:r>
            <w:r w:rsidRPr="007D48B0">
              <w:rPr>
                <w:rFonts w:ascii="Verdana" w:eastAsia="Calibri" w:hAnsi="Verdana" w:cs="Arial"/>
                <w:lang w:val="es-MX"/>
              </w:rPr>
              <w:t>dicha manifestación proviene de cada uno de los integrantes que conformarán el proponente plural o del representante del consorcio u unión temporal.</w:t>
            </w:r>
            <w:r>
              <w:rPr>
                <w:rFonts w:ascii="Verdana" w:eastAsia="Calibri" w:hAnsi="Verdana" w:cs="Arial"/>
                <w:lang w:val="es-MX"/>
              </w:rPr>
              <w:t xml:space="preserve"> Incluso, cabe la posibilidad de que quienes manifestaron interés individualmente, conformen un proponente plural al momento de presentar la oferta.</w:t>
            </w:r>
          </w:p>
          <w:p w14:paraId="72FF7C77" w14:textId="77777777" w:rsidR="005E3005" w:rsidRPr="00B83801" w:rsidRDefault="005E3005" w:rsidP="002D538E">
            <w:pPr>
              <w:spacing w:line="276" w:lineRule="auto"/>
              <w:ind w:firstLine="731"/>
              <w:jc w:val="both"/>
              <w:rPr>
                <w:rFonts w:ascii="Verdana" w:hAnsi="Verdana" w:cs="Arial"/>
                <w:lang w:eastAsia="es-ES"/>
              </w:rPr>
            </w:pPr>
            <w:r w:rsidRPr="00C81543">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74EB1E50" w14:textId="77777777" w:rsidR="005E3005" w:rsidRPr="00593A5F" w:rsidRDefault="005E3005" w:rsidP="005E3005">
      <w:pPr>
        <w:tabs>
          <w:tab w:val="left" w:pos="142"/>
          <w:tab w:val="left" w:pos="284"/>
        </w:tabs>
        <w:spacing w:after="0" w:line="276" w:lineRule="auto"/>
        <w:jc w:val="both"/>
        <w:rPr>
          <w:rFonts w:ascii="Verdana" w:eastAsia="Century Gothic" w:hAnsi="Verdana" w:cs="Century Gothic"/>
          <w:b/>
          <w:bCs/>
          <w:lang w:val="es-ES"/>
        </w:rPr>
      </w:pPr>
    </w:p>
    <w:bookmarkEnd w:id="1"/>
    <w:p w14:paraId="7AF6E549" w14:textId="77777777" w:rsidR="005E3005" w:rsidRPr="00593A5F" w:rsidRDefault="005E3005" w:rsidP="005E300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CC71608" w14:textId="77777777" w:rsidR="005E3005" w:rsidRPr="00593A5F" w:rsidRDefault="005E3005" w:rsidP="005E3005">
      <w:pPr>
        <w:spacing w:after="0" w:line="276" w:lineRule="auto"/>
        <w:jc w:val="both"/>
        <w:rPr>
          <w:rFonts w:ascii="Verdana" w:eastAsia="Calibri" w:hAnsi="Verdana" w:cs="Arial"/>
          <w:color w:val="7030A0"/>
          <w:lang w:val="es-ES"/>
        </w:rPr>
      </w:pPr>
    </w:p>
    <w:p w14:paraId="2CA51C21" w14:textId="77777777" w:rsidR="005E3005" w:rsidRDefault="005E3005" w:rsidP="005E3005">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534F521" w14:textId="77777777" w:rsidR="005E3005" w:rsidRDefault="005E3005" w:rsidP="005E3005">
      <w:pPr>
        <w:spacing w:after="0" w:line="276" w:lineRule="auto"/>
        <w:jc w:val="both"/>
        <w:rPr>
          <w:rFonts w:ascii="Verdana" w:eastAsia="Calibri" w:hAnsi="Verdana" w:cs="Arial"/>
          <w:lang w:val="es-ES"/>
        </w:rPr>
      </w:pPr>
    </w:p>
    <w:p w14:paraId="6BACD657" w14:textId="77777777" w:rsidR="005E3005" w:rsidRPr="007D48B0" w:rsidRDefault="005E3005" w:rsidP="005E3005">
      <w:pPr>
        <w:spacing w:after="120" w:line="276" w:lineRule="auto"/>
        <w:jc w:val="both"/>
        <w:rPr>
          <w:rFonts w:ascii="Verdana" w:hAnsi="Verdana" w:cs="Arial"/>
          <w:bCs/>
          <w:sz w:val="21"/>
          <w:szCs w:val="21"/>
          <w:lang w:val="es-ES_tradnl"/>
        </w:rPr>
      </w:pPr>
      <w:r>
        <w:rPr>
          <w:rFonts w:ascii="Verdana" w:hAnsi="Verdana" w:cs="Arial"/>
          <w:bCs/>
          <w:lang w:val="es-ES_tradnl"/>
        </w:rPr>
        <w:t xml:space="preserve">i. </w:t>
      </w:r>
      <w:r w:rsidRPr="007D48B0">
        <w:rPr>
          <w:rFonts w:ascii="Verdana" w:hAnsi="Verdana" w:cs="Arial"/>
          <w:bCs/>
          <w:lang w:val="es-ES_tradnl"/>
        </w:rPr>
        <w:t xml:space="preserve">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 el ordenamiento prevé para adelantarlos. En esta </w:t>
      </w:r>
      <w:r w:rsidRPr="007D48B0">
        <w:rPr>
          <w:rFonts w:ascii="Verdana" w:hAnsi="Verdana" w:cs="Arial"/>
          <w:bCs/>
          <w:lang w:val="es-ES_tradnl"/>
        </w:rPr>
        <w:lastRenderedPageBreak/>
        <w:t>medida, conforme el artículo 29 de la Constitución Política, los procesos de selección son una manifestación de la legalidad de las formas de cada proceso en sede administrativa</w:t>
      </w:r>
      <w:r w:rsidRPr="007D48B0">
        <w:rPr>
          <w:rStyle w:val="Refdenotaalpie"/>
          <w:rFonts w:ascii="Verdana" w:hAnsi="Verdana" w:cs="Arial"/>
          <w:bCs/>
          <w:sz w:val="21"/>
          <w:szCs w:val="21"/>
          <w:lang w:val="es-ES_tradnl"/>
        </w:rPr>
        <w:footnoteReference w:id="2"/>
      </w:r>
      <w:r w:rsidRPr="007D48B0">
        <w:rPr>
          <w:rFonts w:ascii="Verdana" w:hAnsi="Verdana" w:cs="Arial"/>
          <w:bCs/>
          <w:sz w:val="21"/>
          <w:szCs w:val="21"/>
          <w:lang w:val="es-ES_tradnl"/>
        </w:rPr>
        <w:t>.</w:t>
      </w:r>
    </w:p>
    <w:p w14:paraId="60A7C243" w14:textId="77777777" w:rsidR="005E3005" w:rsidRPr="007D48B0" w:rsidRDefault="005E3005" w:rsidP="7A0F87BB">
      <w:pPr>
        <w:spacing w:after="120" w:line="276" w:lineRule="auto"/>
        <w:jc w:val="both"/>
        <w:rPr>
          <w:rFonts w:ascii="Verdana" w:hAnsi="Verdana" w:cs="Arial"/>
          <w:lang w:val="es-ES"/>
        </w:rPr>
      </w:pPr>
      <w:r w:rsidRPr="007D48B0">
        <w:rPr>
          <w:rFonts w:ascii="Verdana" w:hAnsi="Verdana" w:cs="Arial"/>
          <w:bCs/>
          <w:lang w:val="es-ES_tradnl"/>
        </w:rPr>
        <w:tab/>
      </w:r>
      <w:r w:rsidRPr="7A0F87BB">
        <w:rPr>
          <w:rFonts w:ascii="Verdana" w:hAnsi="Verdana" w:cs="Arial"/>
          <w:lang w:val="es-ES"/>
        </w:rPr>
        <w:t xml:space="preserve">Inicialmente, la Ley 80 de 1993 estableció tres (3) procedimientos de selección: i) licitación o concurso público, </w:t>
      </w:r>
      <w:proofErr w:type="spellStart"/>
      <w:r w:rsidRPr="7A0F87BB">
        <w:rPr>
          <w:rFonts w:ascii="Verdana" w:hAnsi="Verdana" w:cs="Arial"/>
          <w:lang w:val="es-ES"/>
        </w:rPr>
        <w:t>ii</w:t>
      </w:r>
      <w:proofErr w:type="spellEnd"/>
      <w:r w:rsidRPr="7A0F87BB">
        <w:rPr>
          <w:rFonts w:ascii="Verdana" w:hAnsi="Verdana" w:cs="Arial"/>
          <w:lang w:val="es-ES"/>
        </w:rPr>
        <w:t xml:space="preserve">) contratación sin formalidades plenas y </w:t>
      </w:r>
      <w:proofErr w:type="spellStart"/>
      <w:r w:rsidRPr="7A0F87BB">
        <w:rPr>
          <w:rFonts w:ascii="Verdana" w:hAnsi="Verdana" w:cs="Arial"/>
          <w:lang w:val="es-ES"/>
        </w:rPr>
        <w:t>iii</w:t>
      </w:r>
      <w:proofErr w:type="spellEnd"/>
      <w:r w:rsidRPr="7A0F87BB">
        <w:rPr>
          <w:rFonts w:ascii="Verdana" w:hAnsi="Verdana" w:cs="Arial"/>
          <w:lang w:val="es-ES"/>
        </w:rPr>
        <w:t>) contratación directa. Dentro de este esquema, el primero era y continúa siendo la regla general, pues sólo es posible acudir a los demás frente a la configuración de las causales previamente establecidas por el ordenamiento, razón por la cual la Administración carece de discrecionalidad para establecer procedimientos</w:t>
      </w:r>
      <w:r w:rsidRPr="7A0F87BB">
        <w:rPr>
          <w:rStyle w:val="Refdenotaalpie"/>
          <w:rFonts w:ascii="Verdana" w:hAnsi="Verdana" w:cs="Arial"/>
          <w:lang w:val="es-ES"/>
        </w:rPr>
        <w:footnoteReference w:id="3"/>
      </w:r>
      <w:r w:rsidRPr="7A0F87BB">
        <w:rPr>
          <w:rFonts w:ascii="Verdana" w:hAnsi="Verdana" w:cs="Arial"/>
          <w:lang w:val="es-ES"/>
        </w:rPr>
        <w:t xml:space="preserve">. </w:t>
      </w:r>
    </w:p>
    <w:p w14:paraId="1ED46B85" w14:textId="77777777" w:rsidR="005E3005" w:rsidRPr="007D48B0" w:rsidRDefault="005E3005" w:rsidP="005E3005">
      <w:pPr>
        <w:spacing w:after="120" w:line="276" w:lineRule="auto"/>
        <w:jc w:val="both"/>
        <w:rPr>
          <w:rFonts w:ascii="Verdana" w:hAnsi="Verdana" w:cs="Arial"/>
          <w:bCs/>
          <w:lang w:val="es-ES_tradnl"/>
        </w:rPr>
      </w:pPr>
      <w:r w:rsidRPr="007D48B0">
        <w:rPr>
          <w:rFonts w:ascii="Verdana" w:hAnsi="Verdana" w:cs="Arial"/>
          <w:bCs/>
          <w:lang w:val="es-ES_tradnl"/>
        </w:rPr>
        <w:tab/>
        <w:t>No obstante, pese a que la licitación pública es la forma principal de selección de los contratistas y es el procedimiento que mejor garantiza principios de la función administrativa como la imparcialidad, la selección objetiva, la transparencia, la participación, entre otros, no está exento de críticas, pues –además de que no elimina por completo el riesgo de direccionamiento por parte de la entidad o de colusión entre los proponentes– la eventual lentitud es perjudicial para el interés público, haciendo que la Administración pierda ofertas ventajosas debido a demoras en el trámite</w:t>
      </w:r>
      <w:r w:rsidRPr="007D48B0">
        <w:rPr>
          <w:rStyle w:val="Refdenotaalpie"/>
          <w:rFonts w:ascii="Verdana" w:hAnsi="Verdana" w:cs="Arial"/>
          <w:bCs/>
          <w:lang w:val="es-ES_tradnl"/>
        </w:rPr>
        <w:footnoteReference w:id="4"/>
      </w:r>
      <w:r w:rsidRPr="007D48B0">
        <w:rPr>
          <w:rFonts w:ascii="Verdana" w:hAnsi="Verdana" w:cs="Arial"/>
          <w:bCs/>
          <w:lang w:val="es-ES_tradnl"/>
        </w:rPr>
        <w:t xml:space="preserve">. </w:t>
      </w:r>
    </w:p>
    <w:p w14:paraId="562D855D" w14:textId="77777777" w:rsidR="005E3005" w:rsidRDefault="005E3005" w:rsidP="005E3005">
      <w:pPr>
        <w:spacing w:after="0" w:line="276" w:lineRule="auto"/>
        <w:jc w:val="both"/>
        <w:rPr>
          <w:rFonts w:ascii="Verdana" w:eastAsia="Calibri" w:hAnsi="Verdana" w:cs="Arial"/>
        </w:rPr>
      </w:pPr>
      <w:r w:rsidRPr="007D48B0">
        <w:rPr>
          <w:rFonts w:ascii="Verdana" w:hAnsi="Verdana" w:cs="Arial"/>
          <w:bCs/>
          <w:lang w:val="es-ES_tradnl"/>
        </w:rPr>
        <w:tab/>
        <w:t xml:space="preserve">Por ello, después del 2007, el ordenamiento reguló nuevos procesos de selección. En efecto, con el artículo 2 de la Ley 1150 la licitación pública no solo es un procedimiento independiente del concurso de méritos, sino que también se creó el procedimiento de selección de selección abreviada. Finalmente, teniendo en cuenta la reforma introducida con la Ley 1474 de 2011, los procedimientos actualmente regulados son los siguientes: i) licitación pública, </w:t>
      </w:r>
      <w:proofErr w:type="spellStart"/>
      <w:r w:rsidRPr="007D48B0">
        <w:rPr>
          <w:rFonts w:ascii="Verdana" w:hAnsi="Verdana" w:cs="Arial"/>
          <w:bCs/>
          <w:lang w:val="es-ES_tradnl"/>
        </w:rPr>
        <w:t>ii</w:t>
      </w:r>
      <w:proofErr w:type="spellEnd"/>
      <w:r w:rsidRPr="007D48B0">
        <w:rPr>
          <w:rFonts w:ascii="Verdana" w:hAnsi="Verdana" w:cs="Arial"/>
          <w:bCs/>
          <w:lang w:val="es-ES_tradnl"/>
        </w:rPr>
        <w:t xml:space="preserve">) selección abreviada, </w:t>
      </w:r>
      <w:proofErr w:type="spellStart"/>
      <w:r w:rsidRPr="007D48B0">
        <w:rPr>
          <w:rFonts w:ascii="Verdana" w:hAnsi="Verdana" w:cs="Arial"/>
          <w:bCs/>
          <w:lang w:val="es-ES_tradnl"/>
        </w:rPr>
        <w:t>iii</w:t>
      </w:r>
      <w:proofErr w:type="spellEnd"/>
      <w:r w:rsidRPr="007D48B0">
        <w:rPr>
          <w:rFonts w:ascii="Verdana" w:hAnsi="Verdana" w:cs="Arial"/>
          <w:bCs/>
          <w:lang w:val="es-ES_tradnl"/>
        </w:rPr>
        <w:t xml:space="preserve">) concurso de méritos, </w:t>
      </w:r>
      <w:proofErr w:type="spellStart"/>
      <w:r w:rsidRPr="007D48B0">
        <w:rPr>
          <w:rFonts w:ascii="Verdana" w:hAnsi="Verdana" w:cs="Arial"/>
          <w:bCs/>
          <w:lang w:val="es-ES_tradnl"/>
        </w:rPr>
        <w:t>iv</w:t>
      </w:r>
      <w:proofErr w:type="spellEnd"/>
      <w:r w:rsidRPr="007D48B0">
        <w:rPr>
          <w:rFonts w:ascii="Verdana" w:hAnsi="Verdana" w:cs="Arial"/>
          <w:bCs/>
          <w:lang w:val="es-ES_tradnl"/>
        </w:rPr>
        <w:t xml:space="preserve">) mínima cuantía y v) </w:t>
      </w:r>
      <w:r w:rsidRPr="007D48B0">
        <w:rPr>
          <w:rFonts w:ascii="Verdana" w:hAnsi="Verdana" w:cs="Arial"/>
          <w:bCs/>
          <w:lang w:val="es-ES_tradnl"/>
        </w:rPr>
        <w:lastRenderedPageBreak/>
        <w:t xml:space="preserve">contratación directa. En dichos procedimientos constan </w:t>
      </w:r>
      <w:r w:rsidRPr="007D48B0">
        <w:rPr>
          <w:rFonts w:ascii="Verdana" w:eastAsia="Calibri" w:hAnsi="Verdana" w:cs="Arial"/>
        </w:rPr>
        <w:t>las etapas para la adquisición de obras, bienes y servicios, por lo que cada entidad es responsable de estructurar los procedimientos de contratación, siempre que respete el principio de legalidad.</w:t>
      </w:r>
    </w:p>
    <w:p w14:paraId="2B621588" w14:textId="77777777" w:rsidR="005E3005" w:rsidRPr="007D48B0" w:rsidRDefault="005E3005" w:rsidP="005E3005">
      <w:pPr>
        <w:spacing w:after="0" w:line="276" w:lineRule="auto"/>
        <w:jc w:val="both"/>
        <w:rPr>
          <w:rFonts w:ascii="Verdana" w:eastAsia="Calibri" w:hAnsi="Verdana" w:cs="Arial"/>
        </w:rPr>
      </w:pPr>
    </w:p>
    <w:p w14:paraId="6CE0C697" w14:textId="77777777" w:rsidR="005E3005" w:rsidRPr="007D48B0" w:rsidRDefault="005E3005" w:rsidP="005E3005">
      <w:pPr>
        <w:spacing w:after="120" w:line="276" w:lineRule="auto"/>
        <w:jc w:val="both"/>
        <w:rPr>
          <w:rFonts w:ascii="Verdana" w:eastAsia="Calibri" w:hAnsi="Verdana" w:cs="Arial"/>
        </w:rPr>
      </w:pPr>
      <w:bookmarkStart w:id="3" w:name="_Hlk39596760"/>
      <w:proofErr w:type="spellStart"/>
      <w:r>
        <w:rPr>
          <w:rFonts w:ascii="Verdana" w:eastAsia="Calibri" w:hAnsi="Verdana" w:cs="Arial"/>
        </w:rPr>
        <w:t>ii</w:t>
      </w:r>
      <w:proofErr w:type="spellEnd"/>
      <w:r>
        <w:rPr>
          <w:rFonts w:ascii="Verdana" w:eastAsia="Calibri" w:hAnsi="Verdana" w:cs="Arial"/>
        </w:rPr>
        <w:t xml:space="preserve">. </w:t>
      </w:r>
      <w:r w:rsidRPr="007D48B0">
        <w:rPr>
          <w:rFonts w:ascii="Verdana" w:eastAsia="Calibri" w:hAnsi="Verdana" w:cs="Arial"/>
        </w:rPr>
        <w:t xml:space="preserve">Respecto a la selección abreviada, </w:t>
      </w:r>
      <w:bookmarkStart w:id="4" w:name="_Hlk39070608"/>
      <w:r w:rsidRPr="007D48B0">
        <w:rPr>
          <w:rFonts w:ascii="Verdana" w:eastAsia="Calibri" w:hAnsi="Verdana" w:cs="Arial"/>
        </w:rPr>
        <w:t>el numeral 2 del artículo 2 de la Ley 1150 de 2007</w:t>
      </w:r>
      <w:bookmarkEnd w:id="4"/>
      <w:r w:rsidRPr="007D48B0">
        <w:rPr>
          <w:rFonts w:ascii="Verdana" w:eastAsia="Calibri" w:hAnsi="Verdana" w:cs="Arial"/>
        </w:rPr>
        <w:t xml:space="preserve"> dispone que </w:t>
      </w:r>
      <w:r>
        <w:rPr>
          <w:rFonts w:ascii="Verdana" w:eastAsia="Calibri" w:hAnsi="Verdana" w:cs="Arial"/>
        </w:rPr>
        <w:t>“</w:t>
      </w:r>
      <w:r w:rsidRPr="007D48B0">
        <w:rPr>
          <w:rFonts w:ascii="Verdana" w:eastAsia="Calibri" w:hAnsi="Verdana" w:cs="Arial"/>
        </w:rPr>
        <w:t>[…]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r>
        <w:rPr>
          <w:rFonts w:ascii="Verdana" w:eastAsia="Calibri" w:hAnsi="Verdana" w:cs="Arial"/>
        </w:rPr>
        <w:t>”</w:t>
      </w:r>
      <w:r w:rsidRPr="007D48B0">
        <w:rPr>
          <w:rFonts w:ascii="Verdana" w:eastAsia="Calibri" w:hAnsi="Verdana" w:cs="Arial"/>
        </w:rPr>
        <w:t>, regulando cada una de las causales</w:t>
      </w:r>
      <w:r w:rsidRPr="007D48B0">
        <w:rPr>
          <w:rStyle w:val="Refdenotaalpie"/>
          <w:rFonts w:ascii="Verdana" w:eastAsia="Calibri" w:hAnsi="Verdana" w:cs="Arial"/>
        </w:rPr>
        <w:footnoteReference w:id="5"/>
      </w:r>
      <w:r w:rsidRPr="007D48B0">
        <w:rPr>
          <w:rFonts w:ascii="Verdana" w:eastAsia="Calibri" w:hAnsi="Verdana" w:cs="Arial"/>
        </w:rPr>
        <w:t xml:space="preserve">. </w:t>
      </w:r>
    </w:p>
    <w:p w14:paraId="062F73F0" w14:textId="77777777" w:rsidR="005E3005" w:rsidRPr="007D48B0" w:rsidRDefault="005E3005" w:rsidP="005E3005">
      <w:pPr>
        <w:spacing w:after="0" w:line="276" w:lineRule="auto"/>
        <w:ind w:firstLine="708"/>
        <w:jc w:val="both"/>
        <w:rPr>
          <w:rFonts w:ascii="Verdana" w:eastAsia="Calibri" w:hAnsi="Verdana" w:cs="Arial"/>
        </w:rPr>
      </w:pPr>
      <w:bookmarkStart w:id="5" w:name="_Hlk39174727"/>
      <w:r w:rsidRPr="007D48B0">
        <w:rPr>
          <w:rFonts w:ascii="Verdana" w:eastAsia="Calibri" w:hAnsi="Verdana" w:cs="Arial"/>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bookmarkEnd w:id="3"/>
      <w:bookmarkEnd w:id="5"/>
      <w:r w:rsidRPr="007D48B0">
        <w:rPr>
          <w:rFonts w:ascii="Verdana" w:eastAsia="Calibri" w:hAnsi="Verdana" w:cs="Arial"/>
        </w:rPr>
        <w:t>. En la exposición de motivos se explica lo siguiente:</w:t>
      </w:r>
    </w:p>
    <w:p w14:paraId="657F7303" w14:textId="77777777" w:rsidR="005E3005" w:rsidRPr="007D48B0" w:rsidRDefault="005E3005" w:rsidP="005E3005">
      <w:pPr>
        <w:spacing w:after="0" w:line="276" w:lineRule="auto"/>
        <w:jc w:val="both"/>
        <w:rPr>
          <w:rFonts w:ascii="Verdana" w:eastAsia="Calibri" w:hAnsi="Verdana" w:cs="Arial"/>
        </w:rPr>
      </w:pPr>
    </w:p>
    <w:p w14:paraId="656C161A" w14:textId="77777777" w:rsidR="005E3005" w:rsidRPr="007D48B0" w:rsidRDefault="005E3005" w:rsidP="005E3005">
      <w:pPr>
        <w:spacing w:after="120" w:line="240" w:lineRule="auto"/>
        <w:ind w:left="709" w:right="709"/>
        <w:jc w:val="both"/>
        <w:rPr>
          <w:rFonts w:ascii="Verdana" w:eastAsia="Calibri" w:hAnsi="Verdana" w:cs="Arial"/>
          <w:sz w:val="21"/>
          <w:szCs w:val="21"/>
        </w:rPr>
      </w:pPr>
      <w:r>
        <w:rPr>
          <w:rFonts w:ascii="Verdana" w:eastAsia="Calibri" w:hAnsi="Verdana" w:cs="Arial"/>
          <w:sz w:val="21"/>
          <w:szCs w:val="21"/>
        </w:rPr>
        <w:t>“</w:t>
      </w:r>
      <w:r w:rsidRPr="007D48B0">
        <w:rPr>
          <w:rFonts w:ascii="Verdana" w:eastAsia="Calibri" w:hAnsi="Verdana" w:cs="Arial"/>
          <w:sz w:val="21"/>
          <w:szCs w:val="21"/>
        </w:rPr>
        <w:t>– Si bien la Licitación Pública sigue siendo la regla general, la misma pasa a reservarse para los procesos en los que la complejidad del objeto a contratar amerita la larga y cuidadosa ponderación de factores técnicos y económicos de las propuestas […].</w:t>
      </w:r>
    </w:p>
    <w:p w14:paraId="7E98BF61" w14:textId="77777777" w:rsidR="005E3005" w:rsidRPr="007D48B0" w:rsidRDefault="005E3005" w:rsidP="005E3005">
      <w:pPr>
        <w:spacing w:after="120" w:line="240" w:lineRule="auto"/>
        <w:ind w:left="709" w:right="709"/>
        <w:jc w:val="both"/>
        <w:rPr>
          <w:rFonts w:ascii="Verdana" w:eastAsia="Calibri" w:hAnsi="Verdana" w:cs="Arial"/>
          <w:sz w:val="21"/>
          <w:szCs w:val="21"/>
        </w:rPr>
      </w:pPr>
      <w:r w:rsidRPr="007D48B0">
        <w:rPr>
          <w:rFonts w:ascii="Verdana" w:eastAsia="Calibri" w:hAnsi="Verdana" w:cs="Arial"/>
          <w:sz w:val="21"/>
          <w:szCs w:val="21"/>
        </w:rPr>
        <w:t>– Se crea la llamada “selección abreviada”,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 “características técnicas uniformes y de común utilización” […].</w:t>
      </w:r>
    </w:p>
    <w:p w14:paraId="44F2E792" w14:textId="77777777" w:rsidR="005E3005" w:rsidRPr="007D48B0" w:rsidRDefault="005E3005" w:rsidP="005E3005">
      <w:pPr>
        <w:spacing w:after="0" w:line="240" w:lineRule="auto"/>
        <w:ind w:left="709" w:right="709"/>
        <w:jc w:val="both"/>
        <w:rPr>
          <w:rFonts w:ascii="Verdana" w:eastAsia="Calibri" w:hAnsi="Verdana" w:cs="Arial"/>
          <w:sz w:val="21"/>
          <w:szCs w:val="21"/>
        </w:rPr>
      </w:pPr>
      <w:r w:rsidRPr="007D48B0">
        <w:rPr>
          <w:rFonts w:ascii="Verdana" w:eastAsia="Calibri" w:hAnsi="Verdana" w:cs="Arial"/>
          <w:sz w:val="21"/>
          <w:szCs w:val="21"/>
        </w:rPr>
        <w:t>– Adicionalmente en esta categoría se recoge la llamada “menor cuantía” (sólo aplicable en lo sucesivo a bienes o servicios diferentes de los anteriores), así como otros procesos que por su naturaleza o circunstancias deben ser objeto de tratamiento expedido, tales como la defensa y seguridad nacional, entre otras</w:t>
      </w:r>
      <w:r>
        <w:rPr>
          <w:rFonts w:ascii="Verdana" w:eastAsia="Calibri" w:hAnsi="Verdana" w:cs="Arial"/>
          <w:sz w:val="21"/>
          <w:szCs w:val="21"/>
        </w:rPr>
        <w:t>”</w:t>
      </w:r>
      <w:r w:rsidRPr="007D48B0">
        <w:rPr>
          <w:rStyle w:val="Refdenotaalpie"/>
          <w:rFonts w:ascii="Verdana" w:eastAsia="Calibri" w:hAnsi="Verdana" w:cs="Arial"/>
          <w:sz w:val="21"/>
          <w:szCs w:val="21"/>
        </w:rPr>
        <w:footnoteReference w:id="6"/>
      </w:r>
      <w:r w:rsidRPr="007D48B0">
        <w:rPr>
          <w:rFonts w:ascii="Verdana" w:eastAsia="Calibri" w:hAnsi="Verdana" w:cs="Arial"/>
          <w:sz w:val="21"/>
          <w:szCs w:val="21"/>
        </w:rPr>
        <w:t>.</w:t>
      </w:r>
    </w:p>
    <w:p w14:paraId="35AAA548" w14:textId="77777777" w:rsidR="005E3005" w:rsidRPr="007D48B0" w:rsidRDefault="005E3005" w:rsidP="005E3005">
      <w:pPr>
        <w:spacing w:after="0" w:line="276" w:lineRule="auto"/>
        <w:jc w:val="both"/>
        <w:rPr>
          <w:rFonts w:ascii="Verdana" w:eastAsia="Calibri" w:hAnsi="Verdana" w:cs="Arial"/>
        </w:rPr>
      </w:pPr>
    </w:p>
    <w:p w14:paraId="6E937B71" w14:textId="77777777" w:rsidR="005E3005" w:rsidRDefault="005E3005" w:rsidP="005E3005">
      <w:pPr>
        <w:spacing w:after="0" w:line="276" w:lineRule="auto"/>
        <w:ind w:firstLine="708"/>
        <w:jc w:val="both"/>
        <w:rPr>
          <w:rFonts w:ascii="Verdana" w:eastAsia="Calibri" w:hAnsi="Verdana" w:cs="Arial"/>
        </w:rPr>
      </w:pPr>
      <w:bookmarkStart w:id="6" w:name="_Hlk39174841"/>
      <w:r w:rsidRPr="007D48B0">
        <w:rPr>
          <w:rFonts w:ascii="Verdana" w:eastAsia="Calibri" w:hAnsi="Verdana" w:cs="Arial"/>
        </w:rPr>
        <w:t xml:space="preserve">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A continuación, el Decreto 1082 de 2015 desarrolla las causales, regulando el pliego de condiciones, el procedimiento, las etapas, entre otros. Según el Consejo de Estado, el propósito del legislador es </w:t>
      </w:r>
      <w:r>
        <w:rPr>
          <w:rFonts w:ascii="Verdana" w:eastAsia="Calibri" w:hAnsi="Verdana" w:cs="Arial"/>
        </w:rPr>
        <w:t>“</w:t>
      </w:r>
      <w:r w:rsidRPr="007D48B0">
        <w:rPr>
          <w:rFonts w:ascii="Verdana" w:eastAsia="Calibri" w:hAnsi="Verdana" w:cs="Arial"/>
        </w:rPr>
        <w:t xml:space="preserve">[…] proveer de mayor agilidad y eficiencia la contratación de algunos bienes o servicios, en los que es deseable la concurrencia de oferentes, </w:t>
      </w:r>
      <w:r w:rsidRPr="007D48B0">
        <w:rPr>
          <w:rFonts w:ascii="Verdana" w:eastAsia="Calibri" w:hAnsi="Verdana" w:cs="Arial"/>
        </w:rPr>
        <w:lastRenderedPageBreak/>
        <w:t>pero no en los términos y condiciones de una licitación pública, sino de manera abreviada o, en términos de la ley, simplificada</w:t>
      </w:r>
      <w:r>
        <w:rPr>
          <w:rFonts w:ascii="Verdana" w:eastAsia="Calibri" w:hAnsi="Verdana" w:cs="Arial"/>
        </w:rPr>
        <w:t>”</w:t>
      </w:r>
      <w:r w:rsidRPr="007D48B0">
        <w:rPr>
          <w:rStyle w:val="Refdenotaalpie"/>
          <w:rFonts w:ascii="Verdana" w:eastAsia="Calibri" w:hAnsi="Verdana" w:cs="Arial"/>
        </w:rPr>
        <w:footnoteReference w:id="7"/>
      </w:r>
      <w:r w:rsidRPr="007D48B0">
        <w:rPr>
          <w:rFonts w:ascii="Verdana" w:eastAsia="Calibri" w:hAnsi="Verdana" w:cs="Arial"/>
        </w:rPr>
        <w:t xml:space="preserve">. </w:t>
      </w:r>
    </w:p>
    <w:p w14:paraId="2AF39869" w14:textId="77777777" w:rsidR="005E3005" w:rsidRPr="007D48B0" w:rsidRDefault="005E3005" w:rsidP="005E3005">
      <w:pPr>
        <w:spacing w:after="0" w:line="276" w:lineRule="auto"/>
        <w:ind w:firstLine="708"/>
        <w:jc w:val="both"/>
        <w:rPr>
          <w:rFonts w:ascii="Verdana" w:eastAsia="Calibri" w:hAnsi="Verdana" w:cs="Arial"/>
        </w:rPr>
      </w:pPr>
    </w:p>
    <w:p w14:paraId="5E2ABF72" w14:textId="77777777" w:rsidR="005E3005" w:rsidRPr="007D48B0" w:rsidRDefault="005E3005" w:rsidP="005E3005">
      <w:pPr>
        <w:spacing w:after="120" w:line="276" w:lineRule="auto"/>
        <w:jc w:val="both"/>
        <w:rPr>
          <w:rFonts w:ascii="Verdana" w:eastAsia="Calibri" w:hAnsi="Verdana" w:cs="Arial"/>
          <w:color w:val="000000" w:themeColor="text1"/>
          <w:lang w:val="es-MX"/>
        </w:rPr>
      </w:pPr>
      <w:r>
        <w:rPr>
          <w:rFonts w:ascii="Verdana" w:eastAsia="Calibri" w:hAnsi="Verdana" w:cs="Arial"/>
          <w:color w:val="000000" w:themeColor="text1"/>
          <w:lang w:val="es-MX"/>
        </w:rPr>
        <w:t xml:space="preserve">iii. </w:t>
      </w:r>
      <w:r w:rsidRPr="007D48B0">
        <w:rPr>
          <w:rFonts w:ascii="Verdana" w:eastAsia="Calibri" w:hAnsi="Verdana" w:cs="Arial"/>
          <w:color w:val="000000" w:themeColor="text1"/>
          <w:lang w:val="es-MX"/>
        </w:rPr>
        <w:t>Conforme al literal b) del artículo 2.2 de la Ley 1150 de 2007, una de las causales de selección abreviada es la de menor cuantía. Esta se refiere a los procesos contractuales cuyo su valor es inferior a los topes que la norma señala respecto de su presupuesto anual, y se desarrolla en el Decreto único Reglamentario del Sector Planeación donde se establece su procedimiento. De esta manera, en relación con las etapas, el artículo 2.2.1.2.1.2.20 del Decreto 1082 de 2015 señala que se rige por las normas generales del título en que se encuentra ubicado dicha norma y por las especiales contenidas en ese artículo</w:t>
      </w:r>
      <w:r w:rsidRPr="007D48B0">
        <w:rPr>
          <w:rFonts w:ascii="Verdana" w:eastAsia="Calibri" w:hAnsi="Verdana" w:cs="Arial"/>
          <w:color w:val="000000" w:themeColor="text1"/>
          <w:vertAlign w:val="superscript"/>
          <w:lang w:val="es-MX"/>
        </w:rPr>
        <w:footnoteReference w:id="8"/>
      </w:r>
      <w:r w:rsidRPr="007D48B0">
        <w:rPr>
          <w:rFonts w:ascii="Verdana" w:eastAsia="Calibri" w:hAnsi="Verdana" w:cs="Arial"/>
          <w:color w:val="000000" w:themeColor="text1"/>
          <w:lang w:val="es-MX"/>
        </w:rPr>
        <w:t xml:space="preserve">. Allí se establece que luego de la apertura del procedimiento de selección, los interesados, en un término no mayor a tres (3) días hábiles, deben presentar una </w:t>
      </w:r>
      <w:r>
        <w:rPr>
          <w:rFonts w:ascii="Verdana" w:eastAsia="Calibri" w:hAnsi="Verdana" w:cs="Arial"/>
          <w:color w:val="000000" w:themeColor="text1"/>
          <w:lang w:val="es-MX"/>
        </w:rPr>
        <w:t>“</w:t>
      </w:r>
      <w:r w:rsidRPr="007D48B0">
        <w:rPr>
          <w:rFonts w:ascii="Verdana" w:eastAsia="Calibri" w:hAnsi="Verdana" w:cs="Arial"/>
          <w:color w:val="000000" w:themeColor="text1"/>
          <w:lang w:val="es-MX"/>
        </w:rPr>
        <w:t>manifestación de interés</w:t>
      </w:r>
      <w:r>
        <w:rPr>
          <w:rFonts w:ascii="Verdana" w:eastAsia="Calibri" w:hAnsi="Verdana" w:cs="Arial"/>
          <w:color w:val="000000" w:themeColor="text1"/>
          <w:lang w:val="es-MX"/>
        </w:rPr>
        <w:t>”</w:t>
      </w:r>
      <w:r w:rsidRPr="007D48B0">
        <w:rPr>
          <w:rFonts w:ascii="Verdana" w:eastAsia="Calibri" w:hAnsi="Verdana" w:cs="Arial"/>
          <w:color w:val="000000" w:themeColor="text1"/>
          <w:lang w:val="es-MX"/>
        </w:rPr>
        <w:t xml:space="preserve"> para participar en el mismo, en la forma establecida en el pliego de condiciones. </w:t>
      </w:r>
    </w:p>
    <w:p w14:paraId="28FF674F" w14:textId="77777777" w:rsidR="005E3005" w:rsidRPr="007D48B0" w:rsidRDefault="005E3005" w:rsidP="005E3005">
      <w:pPr>
        <w:spacing w:before="120" w:after="120" w:line="276" w:lineRule="auto"/>
        <w:ind w:firstLine="709"/>
        <w:jc w:val="both"/>
        <w:rPr>
          <w:rFonts w:ascii="Verdana" w:eastAsia="Calibri" w:hAnsi="Verdana" w:cs="Arial"/>
          <w:color w:val="000000" w:themeColor="text1"/>
          <w:lang w:val="es-MX"/>
        </w:rPr>
      </w:pPr>
      <w:r w:rsidRPr="007D48B0">
        <w:rPr>
          <w:rFonts w:ascii="Verdana" w:eastAsia="Calibri" w:hAnsi="Verdana" w:cs="Arial"/>
          <w:color w:val="000000" w:themeColor="text1"/>
          <w:lang w:val="es-MX"/>
        </w:rPr>
        <w:t xml:space="preserve">A continuación, dependiendo de la cantidad de </w:t>
      </w:r>
      <w:r>
        <w:rPr>
          <w:rFonts w:ascii="Verdana" w:eastAsia="Calibri" w:hAnsi="Verdana" w:cs="Arial"/>
          <w:color w:val="000000" w:themeColor="text1"/>
          <w:lang w:val="es-MX"/>
        </w:rPr>
        <w:t>“</w:t>
      </w:r>
      <w:r w:rsidRPr="007D48B0">
        <w:rPr>
          <w:rFonts w:ascii="Verdana" w:eastAsia="Calibri" w:hAnsi="Verdana" w:cs="Arial"/>
          <w:color w:val="000000" w:themeColor="text1"/>
          <w:lang w:val="es-MX"/>
        </w:rPr>
        <w:t>manifestaciones de interés</w:t>
      </w:r>
      <w:r>
        <w:rPr>
          <w:rFonts w:ascii="Verdana" w:eastAsia="Calibri" w:hAnsi="Verdana" w:cs="Arial"/>
          <w:color w:val="000000" w:themeColor="text1"/>
          <w:lang w:val="es-MX"/>
        </w:rPr>
        <w:t>”</w:t>
      </w:r>
      <w:r w:rsidRPr="007D48B0">
        <w:rPr>
          <w:rFonts w:ascii="Verdana" w:eastAsia="Calibri" w:hAnsi="Verdana" w:cs="Arial"/>
          <w:color w:val="000000" w:themeColor="text1"/>
          <w:lang w:val="es-MX"/>
        </w:rPr>
        <w:t xml:space="preserve">, y lo previsto en el pliego de condiciones, donde se puede establecer si se opta o no por incluir la realización de un sorteo, si la entidad recibe más de diez (10) manifestaciones realizará el sorteo con las reglas establecidas en el pliego de condiciones, de manera que la entidad elija máximo diez (10) interesados, por lo que es necesario informarles los resultados del sorteo. Se aclara que, como se indicó, la entidad estatal debe establecer en el pliego de condiciones si hay o no lugar a sorteo y, de establecerlo, señalará la forma como se realizará el mismo, en los casos en que reciba más de diez (10) manifestaciones de interés. Si la entidad estableciera en el pliego de condiciones </w:t>
      </w:r>
      <w:r w:rsidRPr="007D48B0">
        <w:rPr>
          <w:rFonts w:ascii="Verdana" w:eastAsia="Calibri" w:hAnsi="Verdana" w:cs="Arial"/>
          <w:color w:val="000000" w:themeColor="text1"/>
          <w:lang w:val="es-MX"/>
        </w:rPr>
        <w:lastRenderedPageBreak/>
        <w:t>que no hay lugar a sorteo, ello implicará que pueden participar todos los interesados.</w:t>
      </w:r>
    </w:p>
    <w:p w14:paraId="692B14F1" w14:textId="77777777" w:rsidR="005E3005" w:rsidRPr="007D48B0" w:rsidRDefault="005E3005" w:rsidP="005E3005">
      <w:pPr>
        <w:spacing w:before="120" w:after="120" w:line="276" w:lineRule="auto"/>
        <w:ind w:firstLine="709"/>
        <w:jc w:val="both"/>
        <w:rPr>
          <w:rFonts w:ascii="Verdana" w:eastAsia="Calibri" w:hAnsi="Verdana" w:cs="Arial"/>
          <w:color w:val="000000" w:themeColor="text1"/>
          <w:lang w:val="es-MX"/>
        </w:rPr>
      </w:pPr>
      <w:r w:rsidRPr="007D48B0">
        <w:rPr>
          <w:rFonts w:ascii="Verdana" w:eastAsia="Calibri" w:hAnsi="Verdana" w:cs="Arial"/>
          <w:color w:val="000000" w:themeColor="text1"/>
          <w:lang w:val="es-MX"/>
        </w:rPr>
        <w:t>Ahora bien, cuando haya lugar al sorteo, el numeral 3 del artículo referido señala que el plazo para presentar las ofertas empezará a correr el día hábil siguiente de informar a los interesados el resultado. Además, cabe aclarar que la norma no establece un plazo mínimo para presentar ofertas, por lo cual la entidad debe establecerlo en el pliego de condiciones. Una vez presentadas las ofertas, la entidad estatal debe evaluarlas y publicar el informe de evaluación, durante tres (3) días hábiles.</w:t>
      </w:r>
    </w:p>
    <w:p w14:paraId="34CF5A30" w14:textId="77777777" w:rsidR="005E3005" w:rsidRDefault="005E3005" w:rsidP="005E3005">
      <w:pPr>
        <w:spacing w:after="0" w:line="276" w:lineRule="auto"/>
        <w:ind w:firstLine="708"/>
        <w:jc w:val="both"/>
        <w:rPr>
          <w:rFonts w:ascii="Verdana" w:eastAsia="Calibri" w:hAnsi="Verdana" w:cs="Arial"/>
          <w:lang w:val="es-MX"/>
        </w:rPr>
      </w:pPr>
      <w:r w:rsidRPr="007D48B0">
        <w:rPr>
          <w:rFonts w:ascii="Verdana" w:eastAsia="Calibri" w:hAnsi="Verdana" w:cs="Arial"/>
          <w:lang w:val="es-MX"/>
        </w:rPr>
        <w:t xml:space="preserve">Dentro de este esquema general de la selección abreviada de menor cuantía, la </w:t>
      </w:r>
      <w:r>
        <w:rPr>
          <w:rFonts w:ascii="Verdana" w:eastAsia="Calibri" w:hAnsi="Verdana" w:cs="Arial"/>
          <w:lang w:val="es-MX"/>
        </w:rPr>
        <w:t>“</w:t>
      </w:r>
      <w:r w:rsidRPr="007D48B0">
        <w:rPr>
          <w:rFonts w:ascii="Verdana" w:eastAsia="Calibri" w:hAnsi="Verdana" w:cs="Arial"/>
          <w:lang w:val="es-MX"/>
        </w:rPr>
        <w:t>manifestación de interés</w:t>
      </w:r>
      <w:r>
        <w:rPr>
          <w:rFonts w:ascii="Verdana" w:eastAsia="Calibri" w:hAnsi="Verdana" w:cs="Arial"/>
          <w:lang w:val="es-MX"/>
        </w:rPr>
        <w:t>”</w:t>
      </w:r>
      <w:r w:rsidRPr="007D48B0">
        <w:rPr>
          <w:rFonts w:ascii="Verdana" w:eastAsia="Calibri" w:hAnsi="Verdana" w:cs="Arial"/>
          <w:lang w:val="es-MX"/>
        </w:rPr>
        <w:t xml:space="preserve"> es un acto mediante el cual el interesado expresa a la entidad su intención de participar en el proceso de selección. </w:t>
      </w:r>
      <w:bookmarkStart w:id="7" w:name="_Hlk105167402"/>
      <w:r w:rsidRPr="007D48B0">
        <w:rPr>
          <w:rFonts w:ascii="Verdana" w:eastAsia="Calibri" w:hAnsi="Verdana" w:cs="Arial"/>
          <w:lang w:val="es-MX"/>
        </w:rPr>
        <w:t>El artículo 2.2.1.2.1.2.20 no señala la forma como debe realizarse la manifestación, por lo cual es discrecional de la entidad la forma de establecerlo, pudiendo señalar que sea por correo electrónico o una comunicación escrita, entre otras posibilidades. En todo caso, esta comunicación, mínimo, debe contener la identificación básica del interesado, junto con la manifestación de estar interesado en participar dentro del proceso de contratación respectivo.</w:t>
      </w:r>
      <w:bookmarkEnd w:id="7"/>
    </w:p>
    <w:p w14:paraId="11C3A7DA" w14:textId="77777777" w:rsidR="005E3005" w:rsidRPr="007D48B0" w:rsidRDefault="005E3005" w:rsidP="005E3005">
      <w:pPr>
        <w:spacing w:after="0" w:line="276" w:lineRule="auto"/>
        <w:ind w:firstLine="708"/>
        <w:jc w:val="both"/>
        <w:rPr>
          <w:rFonts w:ascii="Verdana" w:eastAsia="Calibri" w:hAnsi="Verdana" w:cs="Arial"/>
          <w:lang w:val="es-MX"/>
        </w:rPr>
      </w:pPr>
    </w:p>
    <w:p w14:paraId="1A0B0374" w14:textId="77777777" w:rsidR="005E3005" w:rsidRPr="007D48B0" w:rsidRDefault="005E3005" w:rsidP="005E3005">
      <w:pPr>
        <w:spacing w:after="120" w:line="276" w:lineRule="auto"/>
        <w:jc w:val="both"/>
        <w:rPr>
          <w:rFonts w:ascii="Verdana" w:eastAsia="Calibri" w:hAnsi="Verdana" w:cs="Arial"/>
          <w:lang w:val="es-MX"/>
        </w:rPr>
      </w:pPr>
      <w:r>
        <w:rPr>
          <w:rFonts w:ascii="Verdana" w:eastAsia="Calibri" w:hAnsi="Verdana" w:cs="Arial"/>
          <w:lang w:val="es-MX"/>
        </w:rPr>
        <w:t xml:space="preserve">iv) </w:t>
      </w:r>
      <w:r w:rsidRPr="007D48B0">
        <w:rPr>
          <w:rFonts w:ascii="Verdana" w:eastAsia="Calibri" w:hAnsi="Verdana" w:cs="Arial"/>
          <w:lang w:val="es-MX"/>
        </w:rPr>
        <w:t xml:space="preserve">El numeral primero del artículo 2.2.1.2.1.2.20 del Decreto 1082 de 2015 dispone que el interesado debe manifestar su </w:t>
      </w:r>
      <w:r>
        <w:rPr>
          <w:rFonts w:ascii="Verdana" w:eastAsia="Calibri" w:hAnsi="Verdana" w:cs="Arial"/>
          <w:lang w:val="es-MX"/>
        </w:rPr>
        <w:t>“</w:t>
      </w:r>
      <w:r w:rsidRPr="007D48B0">
        <w:rPr>
          <w:rFonts w:ascii="Verdana" w:eastAsia="Calibri" w:hAnsi="Verdana" w:cs="Arial"/>
          <w:lang w:val="es-MX"/>
        </w:rPr>
        <w:t>intención</w:t>
      </w:r>
      <w:r>
        <w:rPr>
          <w:rFonts w:ascii="Verdana" w:eastAsia="Calibri" w:hAnsi="Verdana" w:cs="Arial"/>
          <w:lang w:val="es-MX"/>
        </w:rPr>
        <w:t>”</w:t>
      </w:r>
      <w:r w:rsidRPr="007D48B0">
        <w:rPr>
          <w:rFonts w:ascii="Verdana" w:eastAsia="Calibri" w:hAnsi="Verdana" w:cs="Arial"/>
          <w:lang w:val="es-MX"/>
        </w:rPr>
        <w:t xml:space="preserve"> de participar en los procesos de selección abreviada de menor cuantía. Conviene precisar que el fin de esta disposición es que quienes estén interesados expresen a la entidad la intención de hacer parte del procedimiento. Por ello, la finalidad es que los interesados puedan participar, en igualdad de condiciones, en el procedimiento de contratación, de manera que, permite que expresen a la entidad pública su interés de presentarse al proceso de selección abreviada de menor cuantía. </w:t>
      </w:r>
    </w:p>
    <w:p w14:paraId="339047E4" w14:textId="77777777" w:rsidR="005E3005" w:rsidRPr="007D48B0" w:rsidRDefault="005E3005" w:rsidP="005E3005">
      <w:pPr>
        <w:spacing w:before="120" w:after="120" w:line="276" w:lineRule="auto"/>
        <w:jc w:val="both"/>
        <w:rPr>
          <w:rFonts w:ascii="Verdana" w:eastAsia="Calibri" w:hAnsi="Verdana" w:cs="Arial"/>
          <w:lang w:val="es-MX"/>
        </w:rPr>
      </w:pPr>
      <w:r w:rsidRPr="007D48B0">
        <w:rPr>
          <w:rFonts w:ascii="Verdana" w:eastAsia="Calibri" w:hAnsi="Verdana" w:cs="Arial"/>
          <w:lang w:val="es-MX"/>
        </w:rPr>
        <w:tab/>
        <w:t xml:space="preserve">La interpretación ajustada a los principios que orientan la contratación pública es que un interesado presente una sola comunicación de intención de participar, por la razón de que el interés de vincularse al proceso es uno solo. Esta conclusión no se infiere únicamente de la redacción de la disposición analizada, que con claridad deja entrever que lo relevante es manifestar la intención del interesado como criterio para participar en el procedimiento, sino que el fin consiste en darle a los interesados la posibilidad de participar en igualdad de condiciones, por lo que no debe permitirse que un mismo interesado </w:t>
      </w:r>
      <w:r w:rsidRPr="007D48B0">
        <w:rPr>
          <w:rFonts w:ascii="Verdana" w:eastAsia="Calibri" w:hAnsi="Verdana" w:cs="Arial"/>
          <w:lang w:val="es-MX"/>
        </w:rPr>
        <w:lastRenderedPageBreak/>
        <w:t xml:space="preserve">presente varias </w:t>
      </w:r>
      <w:r>
        <w:rPr>
          <w:rFonts w:ascii="Verdana" w:eastAsia="Calibri" w:hAnsi="Verdana" w:cs="Arial"/>
          <w:lang w:val="es-MX"/>
        </w:rPr>
        <w:t>“</w:t>
      </w:r>
      <w:r w:rsidRPr="007D48B0">
        <w:rPr>
          <w:rFonts w:ascii="Verdana" w:eastAsia="Calibri" w:hAnsi="Verdana" w:cs="Arial"/>
          <w:lang w:val="es-MX"/>
        </w:rPr>
        <w:t>manifestaciones de interés</w:t>
      </w:r>
      <w:r>
        <w:rPr>
          <w:rFonts w:ascii="Verdana" w:eastAsia="Calibri" w:hAnsi="Verdana" w:cs="Arial"/>
          <w:lang w:val="es-MX"/>
        </w:rPr>
        <w:t>”</w:t>
      </w:r>
      <w:r w:rsidRPr="007D48B0">
        <w:rPr>
          <w:rFonts w:ascii="Verdana" w:eastAsia="Calibri" w:hAnsi="Verdana" w:cs="Arial"/>
          <w:lang w:val="es-MX"/>
        </w:rPr>
        <w:t xml:space="preserve">, pues ello iría en contra de los principios que orientan la contratación pública.  </w:t>
      </w:r>
    </w:p>
    <w:p w14:paraId="4122CBFF" w14:textId="77777777" w:rsidR="005E3005" w:rsidRDefault="005E3005" w:rsidP="005E3005">
      <w:pPr>
        <w:spacing w:before="120" w:after="0" w:line="276" w:lineRule="auto"/>
        <w:jc w:val="both"/>
        <w:rPr>
          <w:rFonts w:ascii="Verdana" w:eastAsia="Calibri" w:hAnsi="Verdana" w:cs="Arial"/>
          <w:lang w:val="es-MX"/>
        </w:rPr>
      </w:pPr>
      <w:r w:rsidRPr="007D48B0">
        <w:rPr>
          <w:rFonts w:ascii="Verdana" w:eastAsia="Calibri" w:hAnsi="Verdana" w:cs="Arial"/>
          <w:lang w:val="es-MX"/>
        </w:rPr>
        <w:tab/>
        <w:t>Con respecto a la manifestación de interés durante los tres días hábiles contados a partir de la fecha de apertura del proceso de contratación de selección abreviada de menor cuantía, se señala que este es una regla o requisito especial de esta modalidad, es decir, este se convierte en un requisito habilitante para participar, establecido en el reglamento. De esta manera, la manifestación de interés se constituye en un requisito habilitante, esto es, en un requisito</w:t>
      </w:r>
      <w:r w:rsidRPr="007D48B0">
        <w:rPr>
          <w:rFonts w:ascii="Verdana" w:hAnsi="Verdana" w:cs="Arial"/>
          <w:shd w:val="clear" w:color="auto" w:fill="FFFFFF"/>
        </w:rPr>
        <w:t xml:space="preserve"> para participar en un proceso de contratación como oferente. En efecto, </w:t>
      </w:r>
      <w:r w:rsidRPr="007D48B0">
        <w:rPr>
          <w:rFonts w:ascii="Verdana" w:eastAsia="Calibri" w:hAnsi="Verdana" w:cs="Arial"/>
          <w:lang w:val="es-MX"/>
        </w:rPr>
        <w:t>según lo dispuesto en el artículo 2.2.1.2.1.2.20 del Decreto 1082 de 2015</w:t>
      </w:r>
      <w:r w:rsidRPr="007D48B0">
        <w:rPr>
          <w:rFonts w:ascii="Verdana" w:eastAsia="Calibri" w:hAnsi="Verdana" w:cs="Arial"/>
          <w:vertAlign w:val="superscript"/>
          <w:lang w:val="es-MX"/>
        </w:rPr>
        <w:t xml:space="preserve">, </w:t>
      </w:r>
      <w:r w:rsidRPr="007D48B0">
        <w:rPr>
          <w:rFonts w:ascii="Verdana" w:eastAsia="Calibri" w:hAnsi="Verdana" w:cs="Arial"/>
          <w:lang w:val="es-MX"/>
        </w:rPr>
        <w:t xml:space="preserve">el procedimiento inicia con la apertura del proceso que haga la entidad, y los interesados en el procedimiento contractual deben presentar una </w:t>
      </w:r>
      <w:r>
        <w:rPr>
          <w:rFonts w:ascii="Verdana" w:eastAsia="Calibri" w:hAnsi="Verdana" w:cs="Arial"/>
          <w:lang w:val="es-MX"/>
        </w:rPr>
        <w:t>“</w:t>
      </w:r>
      <w:r w:rsidRPr="007D48B0">
        <w:rPr>
          <w:rFonts w:ascii="Verdana" w:eastAsia="Calibri" w:hAnsi="Verdana" w:cs="Arial"/>
          <w:lang w:val="es-MX"/>
        </w:rPr>
        <w:t>manifestación de interés</w:t>
      </w:r>
      <w:r>
        <w:rPr>
          <w:rFonts w:ascii="Verdana" w:eastAsia="Calibri" w:hAnsi="Verdana" w:cs="Arial"/>
          <w:lang w:val="es-MX"/>
        </w:rPr>
        <w:t>”</w:t>
      </w:r>
      <w:r w:rsidRPr="007D48B0">
        <w:rPr>
          <w:rFonts w:ascii="Verdana" w:eastAsia="Calibri" w:hAnsi="Verdana" w:cs="Arial"/>
          <w:lang w:val="es-MX"/>
        </w:rPr>
        <w:t xml:space="preserve"> para participar en el mismo</w:t>
      </w:r>
      <w:r w:rsidRPr="007D48B0">
        <w:rPr>
          <w:rStyle w:val="Refdenotaalpie"/>
          <w:rFonts w:ascii="Verdana" w:eastAsia="Calibri" w:hAnsi="Verdana" w:cs="Arial"/>
          <w:lang w:val="es-MX"/>
        </w:rPr>
        <w:footnoteReference w:id="9"/>
      </w:r>
      <w:r w:rsidRPr="007D48B0">
        <w:rPr>
          <w:rFonts w:ascii="Verdana" w:eastAsia="Calibri" w:hAnsi="Verdana" w:cs="Arial"/>
          <w:lang w:val="es-MX"/>
        </w:rPr>
        <w:t xml:space="preserve">. </w:t>
      </w:r>
    </w:p>
    <w:p w14:paraId="6EF8CB21" w14:textId="77777777" w:rsidR="005E3005" w:rsidRPr="007D48B0" w:rsidRDefault="005E3005" w:rsidP="005E3005">
      <w:pPr>
        <w:spacing w:after="0" w:line="276" w:lineRule="auto"/>
        <w:jc w:val="both"/>
        <w:rPr>
          <w:rFonts w:ascii="Verdana" w:eastAsia="Calibri" w:hAnsi="Verdana" w:cs="Arial"/>
          <w:lang w:val="es-MX"/>
        </w:rPr>
      </w:pPr>
    </w:p>
    <w:p w14:paraId="5995947E" w14:textId="77777777" w:rsidR="005E3005" w:rsidRDefault="005E3005" w:rsidP="005E3005">
      <w:pPr>
        <w:spacing w:after="0" w:line="276" w:lineRule="auto"/>
        <w:jc w:val="both"/>
        <w:rPr>
          <w:rFonts w:ascii="Verdana" w:eastAsia="Calibri" w:hAnsi="Verdana" w:cs="Arial"/>
        </w:rPr>
      </w:pPr>
      <w:r>
        <w:rPr>
          <w:rFonts w:ascii="Verdana" w:eastAsia="Calibri" w:hAnsi="Verdana" w:cs="Arial"/>
          <w:lang w:val="es-MX"/>
        </w:rPr>
        <w:t xml:space="preserve">v) </w:t>
      </w:r>
      <w:r w:rsidRPr="007D48B0">
        <w:rPr>
          <w:rFonts w:ascii="Verdana" w:eastAsia="Calibri" w:hAnsi="Verdana" w:cs="Arial"/>
          <w:lang w:val="es-MX"/>
        </w:rPr>
        <w:t xml:space="preserve">Es importante tener en cuenta que solo quien presenta la </w:t>
      </w:r>
      <w:r>
        <w:rPr>
          <w:rFonts w:ascii="Verdana" w:eastAsia="Calibri" w:hAnsi="Verdana" w:cs="Arial"/>
          <w:lang w:val="es-MX"/>
        </w:rPr>
        <w:t>“</w:t>
      </w:r>
      <w:r w:rsidRPr="007D48B0">
        <w:rPr>
          <w:rFonts w:ascii="Verdana" w:eastAsia="Calibri" w:hAnsi="Verdana" w:cs="Arial"/>
          <w:lang w:val="es-MX"/>
        </w:rPr>
        <w:t>manifestación de interés</w:t>
      </w:r>
      <w:r>
        <w:rPr>
          <w:rFonts w:ascii="Verdana" w:eastAsia="Calibri" w:hAnsi="Verdana" w:cs="Arial"/>
          <w:lang w:val="es-MX"/>
        </w:rPr>
        <w:t>”</w:t>
      </w:r>
      <w:r w:rsidRPr="007D48B0">
        <w:rPr>
          <w:rFonts w:ascii="Verdana" w:eastAsia="Calibri" w:hAnsi="Verdana" w:cs="Arial"/>
          <w:lang w:val="es-MX"/>
        </w:rPr>
        <w:t xml:space="preserve"> puede participar en el proceso de selección con la presentación de la oferta. Tratándose de proponentes plurales, es posible que dicha manifestación provenga de cada uno de los integrantes que conformarán el proponente plural o del representante del consorcio u unión temporal. La </w:t>
      </w:r>
      <w:r w:rsidRPr="007D48B0">
        <w:rPr>
          <w:rFonts w:ascii="Verdana" w:eastAsia="Calibri" w:hAnsi="Verdana" w:cs="Arial"/>
          <w:i/>
          <w:iCs/>
          <w:lang w:val="es-MX"/>
        </w:rPr>
        <w:t>primera variante</w:t>
      </w:r>
      <w:r w:rsidRPr="007D48B0">
        <w:rPr>
          <w:rFonts w:ascii="Verdana" w:eastAsia="Calibri" w:hAnsi="Verdana" w:cs="Arial"/>
          <w:lang w:val="es-MX"/>
        </w:rPr>
        <w:t xml:space="preserve"> se recoge el numeral 2.3 del pliego de condiciones de los </w:t>
      </w:r>
      <w:r>
        <w:rPr>
          <w:rFonts w:ascii="Verdana" w:eastAsia="Calibri" w:hAnsi="Verdana" w:cs="Arial"/>
          <w:lang w:val="es-MX"/>
        </w:rPr>
        <w:t>“</w:t>
      </w:r>
      <w:r w:rsidRPr="007D48B0">
        <w:rPr>
          <w:rFonts w:ascii="Verdana" w:eastAsia="Calibri" w:hAnsi="Verdana" w:cs="Arial"/>
          <w:lang w:val="es-MX"/>
        </w:rPr>
        <w:t xml:space="preserve">Documentos Tipo – Versión </w:t>
      </w:r>
      <w:r>
        <w:rPr>
          <w:rFonts w:ascii="Verdana" w:eastAsia="Calibri" w:hAnsi="Verdana" w:cs="Arial"/>
          <w:lang w:val="es-MX"/>
        </w:rPr>
        <w:t>3”</w:t>
      </w:r>
      <w:r w:rsidRPr="007D48B0">
        <w:rPr>
          <w:rFonts w:ascii="Verdana" w:eastAsia="Calibri" w:hAnsi="Verdana" w:cs="Arial"/>
          <w:lang w:val="es-MX"/>
        </w:rPr>
        <w:t xml:space="preserve"> de menor cuantía para obras públicas de infraestructura de transporte, el cual en lo pertinente dispone que </w:t>
      </w:r>
      <w:r>
        <w:rPr>
          <w:rFonts w:ascii="Verdana" w:eastAsia="Calibri" w:hAnsi="Verdana" w:cs="Arial"/>
          <w:lang w:val="es-MX"/>
        </w:rPr>
        <w:t>“</w:t>
      </w:r>
      <w:r w:rsidRPr="007D48B0">
        <w:rPr>
          <w:rFonts w:ascii="Verdana" w:eastAsia="Calibri" w:hAnsi="Verdana" w:cs="Arial"/>
        </w:rPr>
        <w:t xml:space="preserve">Los interesados en participar en el presente proceso de selección contarán con un término de tres (3) días hábiles contados a partir de la fecha de apertura del proceso de contratación para manifestar su intención de participar. </w:t>
      </w:r>
      <w:r w:rsidRPr="007D48B0">
        <w:rPr>
          <w:rFonts w:ascii="Verdana" w:eastAsia="Calibri" w:hAnsi="Verdana" w:cs="Arial"/>
          <w:i/>
          <w:iCs/>
        </w:rPr>
        <w:t>Los interesados deben enviar una comunicación suscrita</w:t>
      </w:r>
      <w:r w:rsidRPr="007D48B0">
        <w:rPr>
          <w:rFonts w:ascii="Verdana" w:eastAsia="Calibri" w:hAnsi="Verdana" w:cs="Arial"/>
        </w:rPr>
        <w:t xml:space="preserve"> por la persona natural, el representante legal de la persona jurídica, </w:t>
      </w:r>
      <w:r w:rsidRPr="007D48B0">
        <w:rPr>
          <w:rFonts w:ascii="Verdana" w:eastAsia="Calibri" w:hAnsi="Verdana" w:cs="Arial"/>
          <w:i/>
          <w:iCs/>
        </w:rPr>
        <w:t>por todos los integrantes del proponente plural</w:t>
      </w:r>
      <w:r w:rsidRPr="007D48B0">
        <w:rPr>
          <w:rFonts w:ascii="Verdana" w:eastAsia="Calibri" w:hAnsi="Verdana" w:cs="Arial"/>
        </w:rPr>
        <w:t xml:space="preserve"> (</w:t>
      </w:r>
      <w:r w:rsidRPr="007D48B0">
        <w:rPr>
          <w:rFonts w:ascii="Verdana" w:eastAsia="Calibri" w:hAnsi="Verdana" w:cs="Arial"/>
        </w:rPr>
        <w:fldChar w:fldCharType="begin"/>
      </w:r>
      <w:r w:rsidRPr="007D48B0">
        <w:rPr>
          <w:rFonts w:ascii="Verdana" w:eastAsia="Calibri" w:hAnsi="Verdana" w:cs="Arial"/>
        </w:rPr>
        <w:instrText xml:space="preserve"> REF _Ref25305885 \h  \* MERGEFORMAT </w:instrText>
      </w:r>
      <w:r w:rsidRPr="007D48B0">
        <w:rPr>
          <w:rFonts w:ascii="Verdana" w:eastAsia="Calibri" w:hAnsi="Verdana" w:cs="Arial"/>
        </w:rPr>
      </w:r>
      <w:r w:rsidRPr="007D48B0">
        <w:rPr>
          <w:rFonts w:ascii="Verdana" w:eastAsia="Calibri" w:hAnsi="Verdana" w:cs="Arial"/>
        </w:rPr>
        <w:fldChar w:fldCharType="separate"/>
      </w:r>
      <w:r w:rsidRPr="007D48B0">
        <w:rPr>
          <w:rFonts w:ascii="Verdana" w:eastAsia="Calibri" w:hAnsi="Verdana" w:cs="Arial"/>
        </w:rPr>
        <w:t>Formato 10 – Carta Manifestación de Interés</w:t>
      </w:r>
      <w:r w:rsidRPr="007D48B0">
        <w:rPr>
          <w:rFonts w:ascii="Verdana" w:eastAsia="Calibri" w:hAnsi="Verdana" w:cs="Arial"/>
          <w:lang w:val="es-MX"/>
        </w:rPr>
        <w:fldChar w:fldCharType="end"/>
      </w:r>
      <w:r w:rsidRPr="007D48B0">
        <w:rPr>
          <w:rFonts w:ascii="Verdana" w:eastAsia="Calibri" w:hAnsi="Verdana" w:cs="Arial"/>
        </w:rPr>
        <w:t xml:space="preserve">), según corresponda, </w:t>
      </w:r>
      <w:r w:rsidRPr="007D48B0">
        <w:rPr>
          <w:rFonts w:ascii="Verdana" w:eastAsia="Calibri" w:hAnsi="Verdana" w:cs="Arial"/>
          <w:i/>
          <w:iCs/>
        </w:rPr>
        <w:t xml:space="preserve">al correo electrónico, o a </w:t>
      </w:r>
      <w:r w:rsidRPr="007D48B0">
        <w:rPr>
          <w:rFonts w:ascii="Verdana" w:eastAsia="Calibri" w:hAnsi="Verdana" w:cs="Arial"/>
          <w:i/>
          <w:iCs/>
        </w:rPr>
        <w:lastRenderedPageBreak/>
        <w:t xml:space="preserve">falta de este a la dirección física indicada en el numeral </w:t>
      </w:r>
      <w:r w:rsidRPr="007D48B0">
        <w:rPr>
          <w:rFonts w:ascii="Verdana" w:eastAsia="Calibri" w:hAnsi="Verdana" w:cs="Arial"/>
          <w:i/>
          <w:iCs/>
        </w:rPr>
        <w:fldChar w:fldCharType="begin"/>
      </w:r>
      <w:r w:rsidRPr="007D48B0">
        <w:rPr>
          <w:rFonts w:ascii="Verdana" w:eastAsia="Calibri" w:hAnsi="Verdana" w:cs="Arial"/>
          <w:i/>
          <w:iCs/>
        </w:rPr>
        <w:instrText xml:space="preserve"> REF _Ref25305833 \r \h  \* MERGEFORMAT </w:instrText>
      </w:r>
      <w:r w:rsidRPr="007D48B0">
        <w:rPr>
          <w:rFonts w:ascii="Verdana" w:eastAsia="Calibri" w:hAnsi="Verdana" w:cs="Arial"/>
          <w:i/>
          <w:iCs/>
        </w:rPr>
      </w:r>
      <w:r w:rsidRPr="007D48B0">
        <w:rPr>
          <w:rFonts w:ascii="Verdana" w:eastAsia="Calibri" w:hAnsi="Verdana" w:cs="Arial"/>
          <w:i/>
          <w:iCs/>
        </w:rPr>
        <w:fldChar w:fldCharType="separate"/>
      </w:r>
      <w:r w:rsidRPr="007D48B0">
        <w:rPr>
          <w:rFonts w:ascii="Verdana" w:eastAsia="Calibri" w:hAnsi="Verdana" w:cs="Arial"/>
          <w:i/>
          <w:iCs/>
        </w:rPr>
        <w:t>1.3</w:t>
      </w:r>
      <w:r w:rsidRPr="007D48B0">
        <w:rPr>
          <w:rFonts w:ascii="Verdana" w:eastAsia="Calibri" w:hAnsi="Verdana" w:cs="Arial"/>
          <w:i/>
          <w:iCs/>
          <w:lang w:val="es-MX"/>
        </w:rPr>
        <w:fldChar w:fldCharType="end"/>
      </w:r>
      <w:r w:rsidRPr="007D48B0">
        <w:rPr>
          <w:rFonts w:ascii="Verdana" w:eastAsia="Calibri" w:hAnsi="Verdana" w:cs="Arial"/>
          <w:i/>
          <w:iCs/>
        </w:rPr>
        <w:t xml:space="preserve"> del presente pliego</w:t>
      </w:r>
      <w:r>
        <w:rPr>
          <w:rFonts w:ascii="Verdana" w:eastAsia="Calibri" w:hAnsi="Verdana" w:cs="Arial"/>
        </w:rPr>
        <w:t>”</w:t>
      </w:r>
      <w:r w:rsidRPr="007D48B0">
        <w:rPr>
          <w:rFonts w:ascii="Verdana" w:eastAsia="Calibri" w:hAnsi="Verdana" w:cs="Arial"/>
        </w:rPr>
        <w:t xml:space="preserve"> (Énfasis fuera de texto)</w:t>
      </w:r>
      <w:r w:rsidRPr="007D48B0">
        <w:rPr>
          <w:rStyle w:val="Refdenotaalpie"/>
          <w:rFonts w:ascii="Verdana" w:eastAsia="Calibri" w:hAnsi="Verdana" w:cs="Arial"/>
        </w:rPr>
        <w:footnoteReference w:id="10"/>
      </w:r>
      <w:r w:rsidRPr="007D48B0">
        <w:rPr>
          <w:rFonts w:ascii="Verdana" w:eastAsia="Calibri" w:hAnsi="Verdana" w:cs="Arial"/>
        </w:rPr>
        <w:t>.</w:t>
      </w:r>
      <w:r>
        <w:rPr>
          <w:rFonts w:ascii="Verdana" w:eastAsia="Calibri" w:hAnsi="Verdana" w:cs="Arial"/>
        </w:rPr>
        <w:t xml:space="preserve"> Por lo demás, el pliego tipo indica lo siguiente: </w:t>
      </w:r>
    </w:p>
    <w:p w14:paraId="5A6E8801" w14:textId="77777777" w:rsidR="005E3005" w:rsidRDefault="005E3005" w:rsidP="005E3005">
      <w:pPr>
        <w:spacing w:after="0" w:line="276" w:lineRule="auto"/>
        <w:jc w:val="both"/>
        <w:rPr>
          <w:rFonts w:ascii="Verdana" w:eastAsia="Calibri" w:hAnsi="Verdana" w:cs="Arial"/>
        </w:rPr>
      </w:pPr>
    </w:p>
    <w:p w14:paraId="5D646D39" w14:textId="77777777" w:rsidR="005E3005" w:rsidRPr="006F4D6A" w:rsidRDefault="005E3005" w:rsidP="005E3005">
      <w:pPr>
        <w:spacing w:line="240" w:lineRule="auto"/>
        <w:ind w:left="709" w:right="709"/>
        <w:jc w:val="both"/>
        <w:rPr>
          <w:rFonts w:ascii="Verdana" w:eastAsia="Calibri" w:hAnsi="Verdana" w:cs="Arial"/>
          <w:sz w:val="21"/>
          <w:szCs w:val="21"/>
        </w:rPr>
      </w:pPr>
      <w:r w:rsidRPr="006F4D6A">
        <w:rPr>
          <w:rFonts w:ascii="Verdana" w:eastAsia="Calibri" w:hAnsi="Verdana" w:cs="Arial"/>
          <w:sz w:val="21"/>
          <w:szCs w:val="21"/>
        </w:rPr>
        <w:t>“La manifestación de interés constituye una condición de procedibilidad para participar, so pena de rechazo de la oferta; por lo tanto, solo puede presentar oferta quien manifestó interés, y debe hacerlo en la forma individual o como proponente plural, según como se haya inscrito. Quienes manifiesten interés bajo la forma de proponente plural deben presentar la oferta con los integrantes inscritos, sin incluir otros. Sin embargo, es posible reducir el número de integrantes, siempre y cuando la oferta no la presente un solo miembro.</w:t>
      </w:r>
    </w:p>
    <w:p w14:paraId="70BEFBE5" w14:textId="77777777" w:rsidR="005E3005" w:rsidRPr="006F4D6A" w:rsidRDefault="005E3005" w:rsidP="005E3005">
      <w:pPr>
        <w:spacing w:after="0" w:line="240" w:lineRule="auto"/>
        <w:ind w:left="709" w:right="709"/>
        <w:jc w:val="both"/>
        <w:rPr>
          <w:rFonts w:ascii="Verdana" w:eastAsia="Calibri" w:hAnsi="Verdana" w:cs="Arial"/>
          <w:sz w:val="21"/>
          <w:szCs w:val="21"/>
        </w:rPr>
      </w:pPr>
      <w:r w:rsidRPr="006F4D6A">
        <w:rPr>
          <w:rFonts w:ascii="Verdana" w:eastAsia="Calibri" w:hAnsi="Verdana" w:cs="Arial"/>
          <w:sz w:val="21"/>
          <w:szCs w:val="21"/>
        </w:rPr>
        <w:t>En caso de duplicidad de manifestación de interés, bien sea individualmente y/o como integrante de una estructura plural, se tomará como válida únicamente la primera en el tiempo, y las demás se desestimarán. Por lo tanto, tratándose de consorcios o uniones temporales donde uno o varios integrantes incurran en esta conducta, se desestimarán las demás manifestaciones de interés de los consorcios o uniones temporales donde un mismo integrante o integrantes sean coincidentes”.</w:t>
      </w:r>
    </w:p>
    <w:p w14:paraId="69D27860" w14:textId="77777777" w:rsidR="005E3005" w:rsidRPr="007D48B0" w:rsidRDefault="005E3005" w:rsidP="005E3005">
      <w:pPr>
        <w:spacing w:after="0" w:line="276" w:lineRule="auto"/>
        <w:jc w:val="both"/>
        <w:rPr>
          <w:rFonts w:ascii="Verdana" w:eastAsia="Calibri" w:hAnsi="Verdana" w:cs="Arial"/>
          <w:lang w:val="es-MX"/>
        </w:rPr>
      </w:pPr>
    </w:p>
    <w:p w14:paraId="4A60E233" w14:textId="77777777" w:rsidR="005E3005" w:rsidRPr="007D48B0" w:rsidRDefault="005E3005" w:rsidP="005E3005">
      <w:pPr>
        <w:spacing w:line="276" w:lineRule="auto"/>
        <w:jc w:val="both"/>
        <w:rPr>
          <w:rFonts w:ascii="Verdana" w:eastAsia="Calibri" w:hAnsi="Verdana" w:cs="Arial"/>
        </w:rPr>
      </w:pPr>
      <w:r w:rsidRPr="007D48B0">
        <w:rPr>
          <w:rFonts w:ascii="Verdana" w:eastAsia="Calibri" w:hAnsi="Verdana" w:cs="Arial"/>
          <w:lang w:val="es-MX"/>
        </w:rPr>
        <w:tab/>
        <w:t xml:space="preserve">La </w:t>
      </w:r>
      <w:r w:rsidRPr="007D48B0">
        <w:rPr>
          <w:rFonts w:ascii="Verdana" w:eastAsia="Calibri" w:hAnsi="Verdana" w:cs="Arial"/>
          <w:i/>
          <w:iCs/>
          <w:lang w:val="es-MX"/>
        </w:rPr>
        <w:t>segunda variable</w:t>
      </w:r>
      <w:r w:rsidRPr="007D48B0">
        <w:rPr>
          <w:rFonts w:ascii="Verdana" w:eastAsia="Calibri" w:hAnsi="Verdana" w:cs="Arial"/>
          <w:lang w:val="es-MX"/>
        </w:rPr>
        <w:t xml:space="preserve">, por su parte, se recoge para los procesos adelantados en SECOP II. Esto en el entendido que los interesados deben manifestar interés utilizando el módulo correspondiente de acuerdo con la Guía para manifestar interés y la Guía para presentar Ofertas en la respectiva plataforma. Al respecto, la guía señala lo siguiente: </w:t>
      </w:r>
      <w:r>
        <w:rPr>
          <w:rFonts w:ascii="Verdana" w:eastAsia="Calibri" w:hAnsi="Verdana" w:cs="Arial"/>
          <w:lang w:val="es-MX"/>
        </w:rPr>
        <w:t>“</w:t>
      </w:r>
      <w:r w:rsidRPr="007D48B0">
        <w:rPr>
          <w:rFonts w:ascii="Verdana" w:eastAsia="Calibri" w:hAnsi="Verdana" w:cs="Arial"/>
          <w:lang w:val="es-MX"/>
        </w:rPr>
        <w:t xml:space="preserve">[…] </w:t>
      </w:r>
      <w:r w:rsidRPr="007D48B0">
        <w:rPr>
          <w:rFonts w:ascii="Verdana" w:eastAsia="Calibri" w:hAnsi="Verdana" w:cs="Arial"/>
          <w:bCs/>
          <w:lang w:val="es-ES"/>
        </w:rPr>
        <w:t>p</w:t>
      </w:r>
      <w:r w:rsidRPr="007D48B0">
        <w:rPr>
          <w:rFonts w:ascii="Verdana" w:eastAsia="Calibri" w:hAnsi="Verdana" w:cs="Arial"/>
        </w:rPr>
        <w:t>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w:t>
      </w:r>
      <w:r>
        <w:rPr>
          <w:rFonts w:ascii="Verdana" w:eastAsia="Calibri" w:hAnsi="Verdana" w:cs="Arial"/>
        </w:rPr>
        <w:t>”</w:t>
      </w:r>
      <w:r w:rsidRPr="007D48B0">
        <w:rPr>
          <w:rFonts w:ascii="Verdana" w:eastAsia="Calibri" w:hAnsi="Verdana" w:cs="Arial"/>
        </w:rPr>
        <w:t xml:space="preserve">. Por lo demás, agrega que </w:t>
      </w:r>
      <w:r>
        <w:rPr>
          <w:rFonts w:ascii="Verdana" w:eastAsia="Calibri" w:hAnsi="Verdana" w:cs="Arial"/>
        </w:rPr>
        <w:t>“</w:t>
      </w:r>
      <w:r w:rsidRPr="007D48B0">
        <w:rPr>
          <w:rFonts w:ascii="Verdana" w:eastAsia="Calibri" w:hAnsi="Verdana" w:cs="Arial"/>
          <w:i/>
          <w:iCs/>
        </w:rPr>
        <w:t xml:space="preserve">En los Procesos de Contratación en la modalidad de Selección Abreviada de Menor Cuantía, si quiere enviar oferta como Proponente Plural, debe enviar su manifestación de interés desde la cuenta del Proponente Plural. </w:t>
      </w:r>
      <w:r w:rsidRPr="007D48B0">
        <w:rPr>
          <w:rFonts w:ascii="Verdana" w:eastAsia="Calibri" w:hAnsi="Verdana" w:cs="Arial"/>
          <w:i/>
          <w:iCs/>
        </w:rPr>
        <w:lastRenderedPageBreak/>
        <w:t>En el SECOP II no es posible manifestar interés como proponente singular y luego enviar la oferta como proponente plural</w:t>
      </w:r>
      <w:r>
        <w:rPr>
          <w:rFonts w:ascii="Verdana" w:eastAsia="Calibri" w:hAnsi="Verdana" w:cs="Arial"/>
        </w:rPr>
        <w:t>”</w:t>
      </w:r>
      <w:r w:rsidRPr="007D48B0">
        <w:rPr>
          <w:rStyle w:val="Refdenotaalpie"/>
          <w:rFonts w:ascii="Verdana" w:eastAsia="Calibri" w:hAnsi="Verdana" w:cs="Arial"/>
          <w:lang w:val="es-MX"/>
        </w:rPr>
        <w:footnoteReference w:id="11"/>
      </w:r>
      <w:r w:rsidRPr="007D48B0">
        <w:rPr>
          <w:rFonts w:ascii="Verdana" w:eastAsia="Calibri" w:hAnsi="Verdana" w:cs="Arial"/>
        </w:rPr>
        <w:t xml:space="preserve"> (Énfasis fuera de texto). </w:t>
      </w:r>
    </w:p>
    <w:p w14:paraId="01D2AAE1" w14:textId="77777777" w:rsidR="005E3005" w:rsidRDefault="005E3005" w:rsidP="005E3005">
      <w:pPr>
        <w:spacing w:before="120" w:after="0" w:line="276" w:lineRule="auto"/>
        <w:jc w:val="both"/>
        <w:rPr>
          <w:rFonts w:ascii="Verdana" w:eastAsia="Calibri" w:hAnsi="Verdana" w:cs="Arial"/>
          <w:lang w:val="es-MX"/>
        </w:rPr>
      </w:pPr>
      <w:r w:rsidRPr="007D48B0">
        <w:rPr>
          <w:rFonts w:ascii="Verdana" w:eastAsia="Calibri" w:hAnsi="Verdana" w:cs="Arial"/>
        </w:rPr>
        <w:tab/>
        <w:t>Sin perjuicio de la regla de inalterabilidad de los documentos tipo y las condiciones de uso del SECOP II, la entidad puede configurar las condiciones de la manifestación de interés en el pliego de condiciones</w:t>
      </w:r>
      <w:r>
        <w:rPr>
          <w:rFonts w:ascii="Verdana" w:eastAsia="Calibri" w:hAnsi="Verdana" w:cs="Arial"/>
        </w:rPr>
        <w:t xml:space="preserve"> para consorcios o uniones temporales</w:t>
      </w:r>
      <w:r w:rsidRPr="007D48B0">
        <w:rPr>
          <w:rFonts w:ascii="Verdana" w:eastAsia="Calibri" w:hAnsi="Verdana" w:cs="Arial"/>
        </w:rPr>
        <w:t xml:space="preserve">. En este caso, el interesado informará su intención de participar de acuerdo con las exigencias planteadas en los documentos del proceso. En caso de que el pliego de condiciones guarde silencio sobre este tema, los interesados serán libres para escoger si </w:t>
      </w:r>
      <w:r w:rsidRPr="007D48B0">
        <w:rPr>
          <w:rFonts w:ascii="Verdana" w:eastAsia="Calibri" w:hAnsi="Verdana" w:cs="Arial"/>
          <w:lang w:val="es-MX"/>
        </w:rPr>
        <w:t>dicha manifestación proviene de cada uno de los integrantes que conformarán el proponente plural o del representante del consorcio u unión temporal.</w:t>
      </w:r>
      <w:bookmarkEnd w:id="6"/>
      <w:r>
        <w:rPr>
          <w:rFonts w:ascii="Verdana" w:eastAsia="Calibri" w:hAnsi="Verdana" w:cs="Arial"/>
          <w:lang w:val="es-MX"/>
        </w:rPr>
        <w:t xml:space="preserve"> Incluso, cabe la posibilidad de que quienes manifestaron interés individualmente, conformen un proponente plural al momento de presentar la oferta. </w:t>
      </w:r>
    </w:p>
    <w:p w14:paraId="09F21FE1" w14:textId="77777777" w:rsidR="005E3005" w:rsidRPr="004674CE" w:rsidRDefault="005E3005" w:rsidP="005E3005">
      <w:pPr>
        <w:spacing w:after="0" w:line="276" w:lineRule="auto"/>
        <w:jc w:val="both"/>
        <w:rPr>
          <w:rFonts w:ascii="Verdana" w:hAnsi="Verdana" w:cs="Arial"/>
          <w:bCs/>
          <w:color w:val="1A1A1A" w:themeColor="background1" w:themeShade="1A"/>
          <w:lang w:val="es-MX"/>
        </w:rPr>
      </w:pPr>
    </w:p>
    <w:p w14:paraId="28BDBFAD" w14:textId="77777777" w:rsidR="005E3005" w:rsidRPr="00301910" w:rsidRDefault="005E3005" w:rsidP="005E3005">
      <w:pPr>
        <w:spacing w:after="0" w:line="276" w:lineRule="auto"/>
        <w:jc w:val="both"/>
        <w:rPr>
          <w:rFonts w:ascii="Verdana" w:hAnsi="Verdana" w:cs="Arial"/>
          <w:lang w:eastAsia="es-ES"/>
        </w:rPr>
      </w:pPr>
      <w:r>
        <w:rPr>
          <w:rFonts w:ascii="Verdana" w:hAnsi="Verdana" w:cs="Arial"/>
          <w:lang w:eastAsia="es-ES"/>
        </w:rPr>
        <w:t xml:space="preserve">vi)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gestión contractual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126F1E84" w14:textId="77777777" w:rsidR="005E3005" w:rsidRPr="00301910" w:rsidRDefault="005E3005" w:rsidP="005E3005">
      <w:pPr>
        <w:spacing w:before="120" w:after="0" w:line="276" w:lineRule="auto"/>
        <w:ind w:firstLine="709"/>
        <w:jc w:val="both"/>
        <w:rPr>
          <w:rFonts w:ascii="Verdana" w:hAnsi="Verdana" w:cs="Arial"/>
          <w:lang w:eastAsia="es-ES"/>
        </w:rPr>
      </w:pPr>
      <w:r w:rsidRPr="00301910">
        <w:rPr>
          <w:rFonts w:ascii="Verdana" w:hAnsi="Verdana" w:cs="Arial"/>
          <w:lang w:eastAsia="es-ES"/>
        </w:rPr>
        <w:lastRenderedPageBreak/>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4BF26DE7" w14:textId="77777777" w:rsidR="005E3005" w:rsidRPr="004A56BA" w:rsidRDefault="005E3005" w:rsidP="005E3005">
      <w:pPr>
        <w:spacing w:after="0" w:line="276" w:lineRule="auto"/>
        <w:jc w:val="both"/>
        <w:rPr>
          <w:rFonts w:ascii="Verdana" w:eastAsia="Times New Roman" w:hAnsi="Verdana" w:cs="Arial"/>
          <w:color w:val="000000" w:themeColor="text1"/>
          <w:lang w:eastAsia="es-CO"/>
        </w:rPr>
      </w:pPr>
    </w:p>
    <w:p w14:paraId="2E6F251A" w14:textId="77777777" w:rsidR="005E3005" w:rsidRPr="00593A5F" w:rsidRDefault="005E3005" w:rsidP="005E300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78EF2112" w14:textId="77777777" w:rsidR="005E3005" w:rsidRPr="00593A5F" w:rsidRDefault="005E3005" w:rsidP="005E300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E3005" w:rsidRPr="002407CE" w14:paraId="01838765" w14:textId="77777777" w:rsidTr="002D538E">
        <w:trPr>
          <w:trHeight w:val="404"/>
          <w:jc w:val="center"/>
        </w:trPr>
        <w:tc>
          <w:tcPr>
            <w:tcW w:w="8647" w:type="dxa"/>
          </w:tcPr>
          <w:p w14:paraId="08D4AC73" w14:textId="77777777" w:rsidR="005E3005" w:rsidRDefault="005E3005" w:rsidP="005E3005">
            <w:pPr>
              <w:pStyle w:val="Prrafodelista"/>
              <w:widowControl w:val="0"/>
              <w:numPr>
                <w:ilvl w:val="0"/>
                <w:numId w:val="17"/>
              </w:numPr>
              <w:autoSpaceDE w:val="0"/>
              <w:autoSpaceDN w:val="0"/>
              <w:spacing w:line="276" w:lineRule="auto"/>
              <w:jc w:val="both"/>
              <w:rPr>
                <w:rFonts w:ascii="Verdana" w:hAnsi="Verdana" w:cs="Arial"/>
              </w:rPr>
            </w:pPr>
            <w:r w:rsidRPr="009E31D5">
              <w:rPr>
                <w:rFonts w:ascii="Verdana" w:hAnsi="Verdana" w:cs="Arial"/>
              </w:rPr>
              <w:t>Constitución Política de 1991, artículo 29.</w:t>
            </w:r>
          </w:p>
          <w:p w14:paraId="61E86375" w14:textId="77777777" w:rsidR="005E3005" w:rsidRPr="009E31D5" w:rsidRDefault="005E3005" w:rsidP="002D538E">
            <w:pPr>
              <w:pStyle w:val="Prrafodelista"/>
              <w:widowControl w:val="0"/>
              <w:autoSpaceDE w:val="0"/>
              <w:autoSpaceDN w:val="0"/>
              <w:spacing w:line="276" w:lineRule="auto"/>
              <w:jc w:val="both"/>
              <w:rPr>
                <w:rFonts w:ascii="Verdana" w:hAnsi="Verdana" w:cs="Arial"/>
                <w:sz w:val="12"/>
                <w:szCs w:val="12"/>
              </w:rPr>
            </w:pPr>
          </w:p>
          <w:p w14:paraId="2B3C7BBD" w14:textId="77777777" w:rsidR="005E3005" w:rsidRDefault="005E3005" w:rsidP="005E3005">
            <w:pPr>
              <w:pStyle w:val="Prrafodelista"/>
              <w:widowControl w:val="0"/>
              <w:numPr>
                <w:ilvl w:val="0"/>
                <w:numId w:val="17"/>
              </w:numPr>
              <w:autoSpaceDE w:val="0"/>
              <w:autoSpaceDN w:val="0"/>
              <w:spacing w:line="276" w:lineRule="auto"/>
              <w:jc w:val="both"/>
              <w:rPr>
                <w:rFonts w:ascii="Verdana" w:hAnsi="Verdana" w:cs="Arial"/>
              </w:rPr>
            </w:pPr>
            <w:r w:rsidRPr="009E31D5">
              <w:rPr>
                <w:rFonts w:ascii="Verdana" w:hAnsi="Verdana" w:cs="Arial"/>
              </w:rPr>
              <w:t>Ley 1150 de 2007, artículo 2.</w:t>
            </w:r>
          </w:p>
          <w:p w14:paraId="4A63BB48" w14:textId="77777777" w:rsidR="005E3005" w:rsidRPr="009E31D5" w:rsidRDefault="005E3005" w:rsidP="002D538E">
            <w:pPr>
              <w:pStyle w:val="Prrafodelista"/>
              <w:widowControl w:val="0"/>
              <w:autoSpaceDE w:val="0"/>
              <w:autoSpaceDN w:val="0"/>
              <w:spacing w:line="276" w:lineRule="auto"/>
              <w:jc w:val="both"/>
              <w:rPr>
                <w:rFonts w:ascii="Verdana" w:hAnsi="Verdana" w:cs="Arial"/>
                <w:sz w:val="12"/>
                <w:szCs w:val="12"/>
              </w:rPr>
            </w:pPr>
          </w:p>
          <w:p w14:paraId="6F1486C8" w14:textId="77777777" w:rsidR="005E3005" w:rsidRPr="00E278D2" w:rsidRDefault="005E3005" w:rsidP="005E3005">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 xml:space="preserve">Decreto 1082 de 2015, artículo </w:t>
            </w:r>
            <w:r w:rsidRPr="009E31D5">
              <w:rPr>
                <w:rFonts w:ascii="Verdana" w:hAnsi="Verdana" w:cs="Arial"/>
              </w:rPr>
              <w:t>2.2.1.2.1.2.20</w:t>
            </w:r>
            <w:r>
              <w:rPr>
                <w:rFonts w:ascii="Verdana" w:hAnsi="Verdana" w:cs="Arial"/>
              </w:rPr>
              <w:t>.</w:t>
            </w:r>
          </w:p>
        </w:tc>
      </w:tr>
    </w:tbl>
    <w:p w14:paraId="2DEDCDFD" w14:textId="77777777" w:rsidR="005E3005" w:rsidRPr="002407CE" w:rsidRDefault="005E3005" w:rsidP="005E3005">
      <w:pPr>
        <w:widowControl w:val="0"/>
        <w:autoSpaceDE w:val="0"/>
        <w:autoSpaceDN w:val="0"/>
        <w:spacing w:after="0" w:line="276" w:lineRule="auto"/>
        <w:jc w:val="both"/>
        <w:rPr>
          <w:rFonts w:ascii="Verdana" w:hAnsi="Verdana" w:cs="Arial"/>
        </w:rPr>
      </w:pPr>
    </w:p>
    <w:p w14:paraId="17042168" w14:textId="77777777" w:rsidR="005E3005" w:rsidRPr="00593A5F" w:rsidRDefault="005E3005" w:rsidP="005E300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4823E21" w14:textId="77777777" w:rsidR="005E3005" w:rsidRPr="00593A5F" w:rsidRDefault="005E3005" w:rsidP="005E3005">
      <w:pPr>
        <w:widowControl w:val="0"/>
        <w:autoSpaceDE w:val="0"/>
        <w:autoSpaceDN w:val="0"/>
        <w:spacing w:after="0" w:line="276" w:lineRule="auto"/>
        <w:jc w:val="both"/>
        <w:rPr>
          <w:rFonts w:ascii="Verdana" w:hAnsi="Verdana" w:cs="Arial"/>
        </w:rPr>
      </w:pPr>
    </w:p>
    <w:p w14:paraId="639641AE" w14:textId="77777777" w:rsidR="005E3005" w:rsidRPr="00E278D2" w:rsidRDefault="005E3005" w:rsidP="005E3005">
      <w:pPr>
        <w:widowControl w:val="0"/>
        <w:autoSpaceDE w:val="0"/>
        <w:autoSpaceDN w:val="0"/>
        <w:spacing w:after="0" w:line="276" w:lineRule="auto"/>
        <w:jc w:val="both"/>
        <w:rPr>
          <w:rStyle w:val="normaltextrun"/>
          <w:rFonts w:ascii="Verdana" w:hAnsi="Verdana" w:cs="Arial"/>
          <w:shd w:val="clear" w:color="auto" w:fill="FFFFFF"/>
        </w:rPr>
      </w:pPr>
      <w:r>
        <w:rPr>
          <w:rStyle w:val="normaltextrun"/>
          <w:rFonts w:ascii="Verdana" w:hAnsi="Verdana" w:cs="Arial"/>
          <w:shd w:val="clear" w:color="auto" w:fill="FFFFFF"/>
        </w:rPr>
        <w:t xml:space="preserve">Esta Subdirección se ha pronunciado sobre la manifestación de interés de los proponentes plurales en los procesos de selección abreviada de menor cuantía en el Concepto C-363 del 3 de junio de 2022. </w:t>
      </w:r>
      <w:r w:rsidRPr="00E278D2">
        <w:rPr>
          <w:rStyle w:val="normaltextrun"/>
          <w:rFonts w:ascii="Verdana" w:hAnsi="Verdana" w:cs="Arial"/>
          <w:shd w:val="clear" w:color="auto" w:fill="FFFFFF"/>
        </w:rPr>
        <w:t>Est</w:t>
      </w:r>
      <w:r>
        <w:rPr>
          <w:rStyle w:val="normaltextrun"/>
          <w:rFonts w:ascii="Verdana" w:hAnsi="Verdana" w:cs="Arial"/>
          <w:shd w:val="clear" w:color="auto" w:fill="FFFFFF"/>
        </w:rPr>
        <w:t>e</w:t>
      </w:r>
      <w:r w:rsidRPr="00E278D2">
        <w:rPr>
          <w:rStyle w:val="normaltextrun"/>
          <w:rFonts w:ascii="Verdana" w:hAnsi="Verdana" w:cs="Arial"/>
          <w:shd w:val="clear" w:color="auto" w:fill="FFFFFF"/>
        </w:rPr>
        <w:t xml:space="preserve">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16628F8F" w14:textId="77777777" w:rsidR="005E3005" w:rsidRDefault="005E3005" w:rsidP="005E3005">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E2A2CED" w14:textId="77777777" w:rsidR="005E3005" w:rsidRPr="001205D1" w:rsidRDefault="005E3005" w:rsidP="005E3005">
      <w:pPr>
        <w:shd w:val="clear" w:color="auto" w:fill="FFFFFF"/>
        <w:spacing w:after="0" w:line="276" w:lineRule="auto"/>
        <w:jc w:val="both"/>
        <w:rPr>
          <w:rFonts w:ascii="Verdana" w:hAnsi="Verdana"/>
          <w:color w:val="467886"/>
          <w:u w:val="single"/>
        </w:rPr>
      </w:pPr>
      <w:r w:rsidRPr="00B83C56">
        <w:rPr>
          <w:rFonts w:ascii="Verdana" w:hAnsi="Verdana"/>
          <w:color w:val="000000"/>
        </w:rPr>
        <w:t>Te informamos que ya se encuentra disponible la </w:t>
      </w:r>
      <w:r w:rsidRPr="00B83C56">
        <w:rPr>
          <w:rFonts w:ascii="Verdana" w:hAnsi="Verdana"/>
          <w:b/>
          <w:bCs/>
          <w:color w:val="000000"/>
        </w:rPr>
        <w:t>Cartilla para incentivar y fortalecer el acceso a las compras y contratación pública de los pueblos y comunidades étnicas en Colombia.</w:t>
      </w:r>
      <w:r w:rsidRPr="00B83C56">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B83C56">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130A60FC" w14:textId="77777777" w:rsidR="005E3005" w:rsidRPr="00B83C56" w:rsidRDefault="005E3005" w:rsidP="005E3005">
      <w:pPr>
        <w:shd w:val="clear" w:color="auto" w:fill="FFFFFF"/>
        <w:spacing w:after="0" w:line="276" w:lineRule="auto"/>
        <w:jc w:val="both"/>
        <w:rPr>
          <w:rFonts w:ascii="Verdana" w:hAnsi="Verdana"/>
          <w:color w:val="212121"/>
        </w:rPr>
      </w:pPr>
    </w:p>
    <w:p w14:paraId="103751B5" w14:textId="77777777" w:rsidR="005E3005" w:rsidRPr="001205D1" w:rsidRDefault="005E3005" w:rsidP="005E3005">
      <w:pPr>
        <w:spacing w:after="0" w:line="276" w:lineRule="auto"/>
        <w:jc w:val="both"/>
        <w:rPr>
          <w:rFonts w:ascii="Verdana" w:hAnsi="Verdana"/>
          <w:color w:val="467886"/>
          <w:u w:val="single"/>
        </w:rPr>
      </w:pPr>
      <w:r w:rsidRPr="00B83C56">
        <w:rPr>
          <w:rFonts w:ascii="Verdana" w:hAnsi="Verdana"/>
          <w:color w:val="000000"/>
        </w:rPr>
        <w:lastRenderedPageBreak/>
        <w:t>De otra parte, te informamos que, con el objetivo de garantizar un conocimiento adecuado de las </w:t>
      </w:r>
      <w:r w:rsidRPr="00B83C56">
        <w:rPr>
          <w:rFonts w:ascii="Verdana" w:hAnsi="Verdana"/>
          <w:b/>
          <w:bCs/>
          <w:color w:val="000000"/>
        </w:rPr>
        <w:t>modificaciones y/o actualizaciones realizadas a los Documentos Tipo</w:t>
      </w:r>
      <w:r w:rsidRPr="00B83C56">
        <w:rPr>
          <w:rFonts w:ascii="Verdana" w:hAnsi="Verdana"/>
          <w:color w:val="000000"/>
        </w:rPr>
        <w:t>, hemos programado una serie de </w:t>
      </w:r>
      <w:r w:rsidRPr="00B83C56">
        <w:rPr>
          <w:rFonts w:ascii="Verdana" w:hAnsi="Verdana"/>
          <w:b/>
          <w:bCs/>
          <w:color w:val="000000"/>
        </w:rPr>
        <w:t>capacitaciones </w:t>
      </w:r>
      <w:r w:rsidRPr="00B83C56">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B83C56">
          <w:rPr>
            <w:rFonts w:ascii="Verdana" w:hAnsi="Verdana"/>
            <w:color w:val="467886"/>
            <w:u w:val="single"/>
          </w:rPr>
          <w:t>Calendario | Colombia Compra Eficiente | Agencia Nacional de Contratación Pública</w:t>
        </w:r>
      </w:hyperlink>
    </w:p>
    <w:p w14:paraId="35463C09" w14:textId="77777777" w:rsidR="005E3005" w:rsidRPr="00B83C56" w:rsidRDefault="005E3005" w:rsidP="005E3005">
      <w:pPr>
        <w:spacing w:after="0" w:line="276" w:lineRule="auto"/>
        <w:jc w:val="both"/>
        <w:rPr>
          <w:rFonts w:ascii="Verdana" w:hAnsi="Verdana"/>
          <w:color w:val="212121"/>
        </w:rPr>
      </w:pPr>
    </w:p>
    <w:p w14:paraId="6279F059" w14:textId="77777777" w:rsidR="005E3005" w:rsidRDefault="005E3005" w:rsidP="005E3005">
      <w:pPr>
        <w:widowControl w:val="0"/>
        <w:autoSpaceDE w:val="0"/>
        <w:autoSpaceDN w:val="0"/>
        <w:spacing w:after="0" w:line="276" w:lineRule="auto"/>
        <w:jc w:val="both"/>
      </w:pPr>
      <w:r w:rsidRPr="00B83C56">
        <w:rPr>
          <w:rFonts w:ascii="Verdana" w:hAnsi="Verdana"/>
          <w:color w:val="000000"/>
        </w:rPr>
        <w:t>También, te contamos que ya publicamos </w:t>
      </w:r>
      <w:r w:rsidRPr="00B83C56">
        <w:rPr>
          <w:rFonts w:ascii="Verdana" w:hAnsi="Verdana"/>
          <w:b/>
          <w:bCs/>
          <w:color w:val="000000"/>
        </w:rPr>
        <w:t>la nueva Guía de Contratación Pública Sostenible y Socialmente Responsable</w:t>
      </w:r>
      <w:r w:rsidRPr="00B83C56">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B83C56">
          <w:rPr>
            <w:rFonts w:ascii="Verdana" w:hAnsi="Verdana"/>
            <w:color w:val="467886"/>
            <w:u w:val="single"/>
          </w:rPr>
          <w:t>Guía de Contratación Pública Sostenible y Socialmente Responsable | Colombia Compra Eficiente | Agencia Nacional de Contratación Pública</w:t>
        </w:r>
      </w:hyperlink>
    </w:p>
    <w:p w14:paraId="7B066051" w14:textId="77777777" w:rsidR="005E3005" w:rsidRPr="00E278D2" w:rsidRDefault="005E3005" w:rsidP="005E3005">
      <w:pPr>
        <w:widowControl w:val="0"/>
        <w:autoSpaceDE w:val="0"/>
        <w:autoSpaceDN w:val="0"/>
        <w:spacing w:after="0" w:line="276" w:lineRule="auto"/>
        <w:jc w:val="both"/>
        <w:rPr>
          <w:rFonts w:ascii="Verdana" w:hAnsi="Verdana" w:cs="Arial"/>
          <w:color w:val="FF0000"/>
          <w:shd w:val="clear" w:color="auto" w:fill="FFFFFF"/>
          <w:lang w:val="es-MX"/>
        </w:rPr>
      </w:pP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3EAA0966" w14:textId="77777777" w:rsidR="005E3005" w:rsidRPr="00593A5F" w:rsidRDefault="005E3005" w:rsidP="005E300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C375F34" w14:textId="77777777" w:rsidR="005E3005" w:rsidRPr="00593A5F" w:rsidRDefault="005E3005" w:rsidP="005E3005">
      <w:pPr>
        <w:widowControl w:val="0"/>
        <w:autoSpaceDE w:val="0"/>
        <w:autoSpaceDN w:val="0"/>
        <w:spacing w:after="0" w:line="276" w:lineRule="auto"/>
        <w:jc w:val="both"/>
        <w:rPr>
          <w:rFonts w:ascii="Verdana" w:hAnsi="Verdana" w:cs="Arial"/>
        </w:rPr>
      </w:pPr>
    </w:p>
    <w:p w14:paraId="134C1CDE" w14:textId="77777777" w:rsidR="005E3005" w:rsidRPr="00593A5F" w:rsidRDefault="005E3005" w:rsidP="005E300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9FC355B" w14:textId="34C8516F" w:rsidR="005E3005" w:rsidRPr="00593A5F" w:rsidRDefault="006A2B48" w:rsidP="005E3005">
      <w:pPr>
        <w:spacing w:line="276" w:lineRule="auto"/>
        <w:jc w:val="center"/>
        <w:rPr>
          <w:rFonts w:ascii="Verdana" w:hAnsi="Verdana" w:cs="Arial"/>
          <w:color w:val="000000"/>
          <w:lang w:val="es-ES_tradnl" w:eastAsia="es-CO"/>
        </w:rPr>
      </w:pPr>
      <w:r>
        <w:rPr>
          <w:noProof/>
        </w:rPr>
        <w:drawing>
          <wp:inline distT="0" distB="0" distL="0" distR="0" wp14:anchorId="03E8E20D" wp14:editId="1834AE38">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E3005" w:rsidRPr="00593A5F" w14:paraId="22382BB2" w14:textId="77777777" w:rsidTr="002D538E">
        <w:trPr>
          <w:trHeight w:val="315"/>
        </w:trPr>
        <w:tc>
          <w:tcPr>
            <w:tcW w:w="893" w:type="dxa"/>
            <w:vAlign w:val="center"/>
            <w:hideMark/>
          </w:tcPr>
          <w:p w14:paraId="0B97D38E" w14:textId="77777777" w:rsidR="005E3005" w:rsidRPr="003751C7" w:rsidRDefault="005E3005" w:rsidP="002D538E">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A9BACDA" w14:textId="77777777" w:rsidR="005E3005" w:rsidRPr="00254A7A" w:rsidRDefault="005E3005" w:rsidP="002D538E">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142FEDD" w14:textId="77777777" w:rsidR="005E3005" w:rsidRPr="00254A7A" w:rsidRDefault="005E3005" w:rsidP="002D538E">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5E3005" w:rsidRPr="00593A5F" w14:paraId="26AEF20D" w14:textId="77777777" w:rsidTr="002D538E">
        <w:trPr>
          <w:trHeight w:val="330"/>
        </w:trPr>
        <w:tc>
          <w:tcPr>
            <w:tcW w:w="893" w:type="dxa"/>
            <w:vAlign w:val="center"/>
            <w:hideMark/>
          </w:tcPr>
          <w:p w14:paraId="5FF1031C" w14:textId="77777777" w:rsidR="005E3005" w:rsidRPr="003751C7" w:rsidRDefault="005E3005" w:rsidP="002D538E">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C1132E5" w14:textId="77777777" w:rsidR="005E3005" w:rsidRPr="00254A7A" w:rsidRDefault="005E3005" w:rsidP="002D538E">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7ADA6057" w14:textId="77777777" w:rsidR="005E3005" w:rsidRPr="00254A7A" w:rsidRDefault="005E3005" w:rsidP="002D538E">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5E3005" w:rsidRPr="00593A5F" w14:paraId="7AFC547C" w14:textId="77777777" w:rsidTr="002D538E">
        <w:trPr>
          <w:trHeight w:val="300"/>
        </w:trPr>
        <w:tc>
          <w:tcPr>
            <w:tcW w:w="893" w:type="dxa"/>
            <w:vAlign w:val="center"/>
          </w:tcPr>
          <w:p w14:paraId="2088ADB9" w14:textId="77777777" w:rsidR="005E3005" w:rsidRPr="003751C7" w:rsidRDefault="005E3005" w:rsidP="002D538E">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67D533F" w14:textId="77777777" w:rsidR="005E3005" w:rsidRPr="003751C7" w:rsidRDefault="005E3005" w:rsidP="002D538E">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00EF64D8" w14:textId="77777777" w:rsidR="005E3005" w:rsidRPr="003751C7" w:rsidRDefault="005E3005" w:rsidP="002D538E">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3D4204B8" w14:textId="77777777" w:rsidR="005E3005" w:rsidRPr="00593A5F" w:rsidRDefault="005E3005" w:rsidP="005E3005">
      <w:pPr>
        <w:spacing w:after="0" w:line="240" w:lineRule="auto"/>
        <w:rPr>
          <w:rFonts w:ascii="Verdana" w:eastAsia="Times New Roman" w:hAnsi="Verdana" w:cs="Arial"/>
          <w:sz w:val="24"/>
          <w:szCs w:val="24"/>
          <w:lang w:eastAsia="es-ES"/>
        </w:rPr>
      </w:pPr>
    </w:p>
    <w:p w14:paraId="28BBECF9" w14:textId="77777777" w:rsidR="003D5B0D" w:rsidRPr="004E6CDE" w:rsidRDefault="003D5B0D" w:rsidP="004E6CDE"/>
    <w:sectPr w:rsidR="003D5B0D" w:rsidRPr="004E6CD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B01BA" w14:textId="77777777" w:rsidR="00F01DD1" w:rsidRDefault="00F01DD1" w:rsidP="004A1847">
      <w:pPr>
        <w:spacing w:after="0" w:line="240" w:lineRule="auto"/>
      </w:pPr>
      <w:r>
        <w:separator/>
      </w:r>
    </w:p>
  </w:endnote>
  <w:endnote w:type="continuationSeparator" w:id="0">
    <w:p w14:paraId="1BB7633F" w14:textId="77777777" w:rsidR="00F01DD1" w:rsidRDefault="00F01DD1" w:rsidP="004A1847">
      <w:pPr>
        <w:spacing w:after="0" w:line="240" w:lineRule="auto"/>
      </w:pPr>
      <w:r>
        <w:continuationSeparator/>
      </w:r>
    </w:p>
  </w:endnote>
  <w:endnote w:type="continuationNotice" w:id="1">
    <w:p w14:paraId="40BF62E1" w14:textId="77777777" w:rsidR="00F01DD1" w:rsidRDefault="00F01D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9F45" w14:textId="77777777" w:rsidR="004A1847" w:rsidRDefault="004A1847">
    <w:pPr>
      <w:pStyle w:val="Piedepgina"/>
    </w:pPr>
  </w:p>
  <w:p w14:paraId="547703CA"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4D9419C"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DB6E6B9"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CBE1428"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9E915" w14:textId="77777777" w:rsidR="00F01DD1" w:rsidRDefault="00F01DD1" w:rsidP="004A1847">
      <w:pPr>
        <w:spacing w:after="0" w:line="240" w:lineRule="auto"/>
      </w:pPr>
      <w:r>
        <w:separator/>
      </w:r>
    </w:p>
  </w:footnote>
  <w:footnote w:type="continuationSeparator" w:id="0">
    <w:p w14:paraId="4C49CCFA" w14:textId="77777777" w:rsidR="00F01DD1" w:rsidRDefault="00F01DD1" w:rsidP="004A1847">
      <w:pPr>
        <w:spacing w:after="0" w:line="240" w:lineRule="auto"/>
      </w:pPr>
      <w:r>
        <w:continuationSeparator/>
      </w:r>
    </w:p>
  </w:footnote>
  <w:footnote w:type="continuationNotice" w:id="1">
    <w:p w14:paraId="0B8F4D6A" w14:textId="77777777" w:rsidR="00F01DD1" w:rsidRDefault="00F01DD1">
      <w:pPr>
        <w:spacing w:after="0" w:line="240" w:lineRule="auto"/>
      </w:pPr>
    </w:p>
  </w:footnote>
  <w:footnote w:id="2">
    <w:p w14:paraId="4C7ED609" w14:textId="77777777" w:rsidR="005E3005" w:rsidRPr="007D48B0" w:rsidRDefault="005E3005" w:rsidP="005E3005">
      <w:pPr>
        <w:pStyle w:val="Textonotapie"/>
        <w:ind w:firstLine="708"/>
        <w:jc w:val="both"/>
        <w:rPr>
          <w:rFonts w:ascii="Verdana" w:hAnsi="Verdana" w:cs="Arial"/>
          <w:sz w:val="16"/>
          <w:szCs w:val="16"/>
        </w:rPr>
      </w:pPr>
      <w:r w:rsidRPr="007D48B0">
        <w:rPr>
          <w:rStyle w:val="Refdenotaalpie"/>
          <w:rFonts w:ascii="Verdana" w:hAnsi="Verdana" w:cs="Arial"/>
          <w:sz w:val="16"/>
          <w:szCs w:val="16"/>
        </w:rPr>
        <w:footnoteRef/>
      </w:r>
      <w:r w:rsidRPr="007D48B0">
        <w:rPr>
          <w:rFonts w:ascii="Verdana" w:hAnsi="Verdana" w:cs="Arial"/>
          <w:sz w:val="16"/>
          <w:szCs w:val="16"/>
        </w:rPr>
        <w:t xml:space="preserve"> Al respecto, la jurisprudencia explica que la garantía del debido proceso </w:t>
      </w:r>
      <w:r>
        <w:rPr>
          <w:rFonts w:ascii="Verdana" w:hAnsi="Verdana" w:cs="Arial"/>
          <w:sz w:val="16"/>
          <w:szCs w:val="16"/>
        </w:rPr>
        <w:t>“</w:t>
      </w:r>
      <w:r w:rsidRPr="007D48B0">
        <w:rPr>
          <w:rFonts w:ascii="Verdana" w:hAnsi="Verdana" w:cs="Arial"/>
          <w:sz w:val="16"/>
          <w:szCs w:val="16"/>
        </w:rPr>
        <w:t>[…]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w:t>
      </w:r>
      <w:r>
        <w:rPr>
          <w:rFonts w:ascii="Verdana" w:hAnsi="Verdana" w:cs="Arial"/>
          <w:sz w:val="16"/>
          <w:szCs w:val="16"/>
        </w:rPr>
        <w:t>”</w:t>
      </w:r>
      <w:r w:rsidRPr="007D48B0">
        <w:rPr>
          <w:rFonts w:ascii="Verdana" w:hAnsi="Verdana" w:cs="Arial"/>
          <w:sz w:val="16"/>
          <w:szCs w:val="16"/>
        </w:rPr>
        <w:t xml:space="preserve"> (CONSEJO DE ESTADO. Sección Tercera. Sentencia del 23 de junio de 2010. Rad. 16.367. C.P. Enrique Gil Botero). </w:t>
      </w:r>
    </w:p>
  </w:footnote>
  <w:footnote w:id="3">
    <w:p w14:paraId="38E5FF58" w14:textId="77777777" w:rsidR="005E3005" w:rsidRPr="007D48B0" w:rsidRDefault="005E3005" w:rsidP="005E3005">
      <w:pPr>
        <w:pStyle w:val="Textonotapie"/>
        <w:ind w:firstLine="708"/>
        <w:jc w:val="both"/>
        <w:rPr>
          <w:rFonts w:ascii="Verdana" w:hAnsi="Verdana" w:cs="Arial"/>
          <w:sz w:val="16"/>
          <w:szCs w:val="16"/>
        </w:rPr>
      </w:pPr>
      <w:r w:rsidRPr="007D48B0">
        <w:rPr>
          <w:rStyle w:val="Refdenotaalpie"/>
          <w:rFonts w:ascii="Verdana" w:hAnsi="Verdana" w:cs="Arial"/>
          <w:sz w:val="16"/>
          <w:szCs w:val="16"/>
        </w:rPr>
        <w:footnoteRef/>
      </w:r>
      <w:r w:rsidRPr="007D48B0">
        <w:rPr>
          <w:rFonts w:ascii="Verdana" w:hAnsi="Verdana" w:cs="Arial"/>
          <w:sz w:val="16"/>
          <w:szCs w:val="16"/>
        </w:rPr>
        <w:t xml:space="preserve"> De hecho, en la exposición de motivos se explicó lo siguiente: </w:t>
      </w:r>
      <w:r>
        <w:rPr>
          <w:rFonts w:ascii="Verdana" w:hAnsi="Verdana" w:cs="Arial"/>
          <w:sz w:val="16"/>
          <w:szCs w:val="16"/>
        </w:rPr>
        <w:t>“</w:t>
      </w:r>
      <w:r w:rsidRPr="007D48B0">
        <w:rPr>
          <w:rFonts w:ascii="Verdana" w:hAnsi="Verdana" w:cs="Arial"/>
          <w:sz w:val="16"/>
          <w:szCs w:val="16"/>
        </w:rPr>
        <w:t>El proyecto mantiene como regla general la utilización de procedimientos reglados de selección objetiva del contratista [...], lo que afirma la ordenación que sobre la materia ha mantenido nuestra legislación desde el Código Fiscal de 1873 en cuanto que su justificación estriba, esencialmente, en los conceptos de seguridad, corrección y moralidad administrativas, así como en el principio de igualdad de oportunidades para que cualquier persona que esté en posibilidad de contratar con la administración tenga acceso a ella</w:t>
      </w:r>
      <w:r>
        <w:rPr>
          <w:rFonts w:ascii="Verdana" w:hAnsi="Verdana" w:cs="Arial"/>
          <w:sz w:val="16"/>
          <w:szCs w:val="16"/>
        </w:rPr>
        <w:t>”</w:t>
      </w:r>
      <w:r w:rsidRPr="007D48B0">
        <w:rPr>
          <w:rFonts w:ascii="Verdana" w:hAnsi="Verdana" w:cs="Arial"/>
          <w:sz w:val="16"/>
          <w:szCs w:val="16"/>
        </w:rPr>
        <w:t xml:space="preserve"> (</w:t>
      </w:r>
      <w:bookmarkStart w:id="2" w:name="_Hlk39067926"/>
      <w:r w:rsidRPr="007D48B0">
        <w:rPr>
          <w:rFonts w:ascii="Verdana" w:hAnsi="Verdana" w:cs="Arial"/>
          <w:sz w:val="16"/>
          <w:szCs w:val="16"/>
        </w:rPr>
        <w:t>CONGRESO DE LA REPÚBLICA. Exposición de motivos de la Ley 80 de 1993. Gaceta del Congreso No. 75 del 23 de septiembre de 1992</w:t>
      </w:r>
      <w:bookmarkEnd w:id="2"/>
      <w:r w:rsidRPr="007D48B0">
        <w:rPr>
          <w:rFonts w:ascii="Verdana" w:hAnsi="Verdana" w:cs="Arial"/>
          <w:sz w:val="16"/>
          <w:szCs w:val="16"/>
        </w:rPr>
        <w:t>).</w:t>
      </w:r>
    </w:p>
  </w:footnote>
  <w:footnote w:id="4">
    <w:p w14:paraId="6A81B845" w14:textId="77777777" w:rsidR="005E3005" w:rsidRPr="007D48B0" w:rsidRDefault="005E3005" w:rsidP="005E3005">
      <w:pPr>
        <w:pStyle w:val="Textonotapie"/>
        <w:ind w:firstLine="708"/>
        <w:jc w:val="both"/>
        <w:rPr>
          <w:rFonts w:ascii="Verdana" w:hAnsi="Verdana" w:cs="Arial"/>
          <w:sz w:val="16"/>
          <w:szCs w:val="16"/>
        </w:rPr>
      </w:pPr>
      <w:r w:rsidRPr="007D48B0">
        <w:rPr>
          <w:rStyle w:val="Refdenotaalpie"/>
          <w:rFonts w:ascii="Verdana" w:hAnsi="Verdana" w:cs="Arial"/>
          <w:sz w:val="16"/>
          <w:szCs w:val="16"/>
        </w:rPr>
        <w:footnoteRef/>
      </w:r>
      <w:r w:rsidRPr="007D48B0">
        <w:rPr>
          <w:rFonts w:ascii="Verdana" w:hAnsi="Verdana" w:cs="Arial"/>
          <w:sz w:val="16"/>
          <w:szCs w:val="16"/>
        </w:rPr>
        <w:t xml:space="preserve"> DROMI, José Roberto. La licitación pública. Buenos Aires: Ciudad Argentina, 1980. p. 141.</w:t>
      </w:r>
    </w:p>
  </w:footnote>
  <w:footnote w:id="5">
    <w:p w14:paraId="0D871F16" w14:textId="77777777" w:rsidR="005E3005" w:rsidRPr="007D48B0" w:rsidRDefault="005E3005" w:rsidP="005E3005">
      <w:pPr>
        <w:pStyle w:val="Textonotapie"/>
        <w:ind w:firstLine="708"/>
        <w:jc w:val="both"/>
        <w:rPr>
          <w:rFonts w:ascii="Verdana" w:hAnsi="Verdana" w:cs="Arial"/>
          <w:sz w:val="16"/>
          <w:szCs w:val="16"/>
        </w:rPr>
      </w:pPr>
      <w:r w:rsidRPr="007D48B0">
        <w:rPr>
          <w:rStyle w:val="Refdenotaalpie"/>
          <w:rFonts w:ascii="Verdana" w:hAnsi="Verdana" w:cs="Arial"/>
          <w:sz w:val="16"/>
          <w:szCs w:val="16"/>
        </w:rPr>
        <w:footnoteRef/>
      </w:r>
      <w:r w:rsidRPr="007D48B0">
        <w:rPr>
          <w:rFonts w:ascii="Verdana" w:hAnsi="Verdana" w:cs="Arial"/>
          <w:sz w:val="16"/>
          <w:szCs w:val="16"/>
        </w:rPr>
        <w:t xml:space="preserve"> El numeral 2 del artículo 2 de la Ley 1150 de 2007 prescribe: </w:t>
      </w:r>
      <w:r>
        <w:rPr>
          <w:rFonts w:ascii="Verdana" w:hAnsi="Verdana" w:cs="Arial"/>
          <w:sz w:val="16"/>
          <w:szCs w:val="16"/>
        </w:rPr>
        <w:t>“</w:t>
      </w:r>
      <w:r w:rsidRPr="007D48B0">
        <w:rPr>
          <w:rFonts w:ascii="Verdana" w:hAnsi="Verdana" w:cs="Arial"/>
          <w:sz w:val="16"/>
          <w:szCs w:val="16"/>
        </w:rPr>
        <w:t>[…] Serán causales de selección abreviada las siguientes:</w:t>
      </w:r>
    </w:p>
    <w:p w14:paraId="13C057AD" w14:textId="77777777" w:rsidR="005E3005" w:rsidRPr="007D48B0"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54F042AA" w14:textId="77777777" w:rsidR="005E3005" w:rsidRPr="007D48B0"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203A6427" w14:textId="77777777" w:rsidR="005E3005" w:rsidRPr="007D48B0"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7B20F153" w14:textId="77777777" w:rsidR="005E3005" w:rsidRPr="007D48B0"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w:t>
      </w:r>
    </w:p>
    <w:p w14:paraId="39D6F018" w14:textId="77777777" w:rsidR="005E3005" w:rsidRPr="007D48B0"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05C594C6" w14:textId="77777777" w:rsidR="005E3005" w:rsidRPr="007D48B0"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07E9316C" w14:textId="77777777" w:rsidR="005E3005" w:rsidRPr="007D48B0"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e) La enajenación de bienes del Estado, con excepción de aquellos a que se refiere la Ley 226 de 1995.</w:t>
      </w:r>
    </w:p>
    <w:p w14:paraId="1819A646" w14:textId="77777777" w:rsidR="005E3005" w:rsidRPr="007D48B0"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 xml:space="preserve">[…]; </w:t>
      </w:r>
    </w:p>
    <w:p w14:paraId="2B0C7B16" w14:textId="77777777" w:rsidR="005E3005" w:rsidRPr="007D48B0"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 xml:space="preserve">f) Productos de origen o destinación agropecuarios que se ofrezcan en las bolsas de productos legalmente constituidas; </w:t>
      </w:r>
    </w:p>
    <w:p w14:paraId="18DAC28D" w14:textId="77777777" w:rsidR="005E3005" w:rsidRPr="007D48B0"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1B66609C" w14:textId="77777777" w:rsidR="005E3005" w:rsidRPr="007D48B0"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4194FBCA" w14:textId="77777777" w:rsidR="005E3005" w:rsidRDefault="005E3005" w:rsidP="005E3005">
      <w:pPr>
        <w:pStyle w:val="Textonotapie"/>
        <w:ind w:firstLine="708"/>
        <w:jc w:val="both"/>
        <w:rPr>
          <w:rFonts w:ascii="Verdana" w:hAnsi="Verdana" w:cs="Arial"/>
          <w:sz w:val="16"/>
          <w:szCs w:val="16"/>
        </w:rPr>
      </w:pPr>
      <w:r w:rsidRPr="007D48B0">
        <w:rPr>
          <w:rFonts w:ascii="Verdana" w:hAnsi="Verdana" w:cs="Arial"/>
          <w:sz w:val="16"/>
          <w:szCs w:val="16"/>
        </w:rPr>
        <w:t>i) La contratación de bienes y servicios que se requieran para la defensa y seguridad nacional</w:t>
      </w:r>
      <w:r>
        <w:rPr>
          <w:rFonts w:ascii="Verdana" w:hAnsi="Verdana" w:cs="Arial"/>
          <w:sz w:val="16"/>
          <w:szCs w:val="16"/>
        </w:rPr>
        <w:t>.</w:t>
      </w:r>
    </w:p>
    <w:p w14:paraId="0B8C5A4A" w14:textId="77777777" w:rsidR="005E3005" w:rsidRPr="007D48B0" w:rsidRDefault="005E3005" w:rsidP="005E3005">
      <w:pPr>
        <w:pStyle w:val="Textonotapie"/>
        <w:ind w:firstLine="708"/>
        <w:jc w:val="both"/>
        <w:rPr>
          <w:rFonts w:ascii="Verdana" w:hAnsi="Verdana" w:cs="Arial"/>
          <w:sz w:val="16"/>
          <w:szCs w:val="16"/>
        </w:rPr>
      </w:pPr>
      <w:r>
        <w:rPr>
          <w:rFonts w:ascii="Verdana" w:hAnsi="Verdana" w:cs="Arial"/>
          <w:sz w:val="16"/>
          <w:szCs w:val="16"/>
        </w:rPr>
        <w:t xml:space="preserve">j) </w:t>
      </w:r>
      <w:r w:rsidRPr="000B48EE">
        <w:rPr>
          <w:rFonts w:ascii="Verdana" w:hAnsi="Verdana" w:cs="Arial"/>
          <w:sz w:val="16"/>
          <w:szCs w:val="16"/>
        </w:rPr>
        <w:t>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r>
        <w:rPr>
          <w:rFonts w:ascii="Verdana" w:hAnsi="Verdana" w:cs="Arial"/>
          <w:sz w:val="16"/>
          <w:szCs w:val="16"/>
        </w:rPr>
        <w:t>”</w:t>
      </w:r>
      <w:r w:rsidRPr="007D48B0">
        <w:rPr>
          <w:rFonts w:ascii="Verdana" w:hAnsi="Verdana" w:cs="Arial"/>
          <w:sz w:val="16"/>
          <w:szCs w:val="16"/>
        </w:rPr>
        <w:t>.</w:t>
      </w:r>
    </w:p>
  </w:footnote>
  <w:footnote w:id="6">
    <w:p w14:paraId="22707D8F" w14:textId="77777777" w:rsidR="005E3005" w:rsidRPr="00E75013" w:rsidRDefault="005E3005" w:rsidP="005E3005">
      <w:pPr>
        <w:pStyle w:val="Textonotapie"/>
        <w:ind w:firstLine="708"/>
        <w:jc w:val="both"/>
        <w:rPr>
          <w:rFonts w:ascii="Verdana" w:hAnsi="Verdana" w:cs="Arial"/>
          <w:sz w:val="16"/>
          <w:szCs w:val="16"/>
        </w:rPr>
      </w:pPr>
      <w:r w:rsidRPr="007D48B0">
        <w:rPr>
          <w:rStyle w:val="Refdenotaalpie"/>
          <w:rFonts w:ascii="Verdana" w:hAnsi="Verdana" w:cs="Arial"/>
          <w:sz w:val="16"/>
          <w:szCs w:val="16"/>
        </w:rPr>
        <w:footnoteRef/>
      </w:r>
      <w:r w:rsidRPr="007D48B0">
        <w:rPr>
          <w:rFonts w:ascii="Verdana" w:hAnsi="Verdana" w:cs="Arial"/>
          <w:sz w:val="16"/>
          <w:szCs w:val="16"/>
        </w:rPr>
        <w:t xml:space="preserve"> CONGRESO DE LA REPÚBLICA. Exposición de motivos de la Ley 1150 de 2007. Gaceta del Congreso No. 458 del 1º de agosto de 2005. p. 8. </w:t>
      </w:r>
    </w:p>
  </w:footnote>
  <w:footnote w:id="7">
    <w:p w14:paraId="508DA506" w14:textId="77777777" w:rsidR="005E3005" w:rsidRPr="007D48B0" w:rsidRDefault="005E3005" w:rsidP="005E3005">
      <w:pPr>
        <w:pStyle w:val="Textonotapie"/>
        <w:ind w:firstLine="708"/>
        <w:jc w:val="both"/>
        <w:rPr>
          <w:rFonts w:ascii="Verdana" w:hAnsi="Verdana" w:cs="Arial"/>
          <w:sz w:val="16"/>
          <w:szCs w:val="16"/>
        </w:rPr>
      </w:pPr>
      <w:r w:rsidRPr="007D48B0">
        <w:rPr>
          <w:rStyle w:val="Refdenotaalpie"/>
          <w:rFonts w:ascii="Verdana" w:hAnsi="Verdana" w:cs="Arial"/>
          <w:sz w:val="16"/>
          <w:szCs w:val="16"/>
        </w:rPr>
        <w:footnoteRef/>
      </w:r>
      <w:r w:rsidRPr="007D48B0">
        <w:rPr>
          <w:rFonts w:ascii="Verdana" w:hAnsi="Verdana" w:cs="Arial"/>
          <w:sz w:val="16"/>
          <w:szCs w:val="16"/>
        </w:rPr>
        <w:t xml:space="preserve"> CONSEJO DE ESTADO. Sección Tercera. Subsección A. Sentencia del 23 de julio de 2015. Exp. 36.805. C. P. Hernán Andrade Rincón. </w:t>
      </w:r>
    </w:p>
  </w:footnote>
  <w:footnote w:id="8">
    <w:p w14:paraId="6500BB5B" w14:textId="77777777" w:rsidR="005E3005" w:rsidRPr="007D48B0" w:rsidRDefault="005E3005" w:rsidP="005E3005">
      <w:pPr>
        <w:pStyle w:val="Textonotapie"/>
        <w:ind w:firstLine="709"/>
        <w:jc w:val="both"/>
        <w:rPr>
          <w:rFonts w:ascii="Verdana" w:hAnsi="Verdana" w:cs="Arial"/>
          <w:color w:val="000000" w:themeColor="text1"/>
          <w:sz w:val="16"/>
          <w:szCs w:val="16"/>
        </w:rPr>
      </w:pPr>
      <w:r w:rsidRPr="007D48B0">
        <w:rPr>
          <w:rStyle w:val="Refdenotaalpie"/>
          <w:rFonts w:ascii="Verdana" w:hAnsi="Verdana" w:cs="Arial"/>
          <w:color w:val="000000" w:themeColor="text1"/>
          <w:sz w:val="16"/>
          <w:szCs w:val="16"/>
        </w:rPr>
        <w:footnoteRef/>
      </w:r>
      <w:r w:rsidRPr="007D48B0">
        <w:rPr>
          <w:rFonts w:ascii="Verdana" w:hAnsi="Verdana" w:cs="Arial"/>
          <w:color w:val="000000" w:themeColor="text1"/>
          <w:sz w:val="16"/>
          <w:szCs w:val="16"/>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68208CA4" w14:textId="77777777" w:rsidR="005E3005" w:rsidRPr="007D48B0" w:rsidRDefault="005E3005" w:rsidP="005E3005">
      <w:pPr>
        <w:pStyle w:val="Textonotapie"/>
        <w:ind w:firstLine="708"/>
        <w:jc w:val="both"/>
        <w:rPr>
          <w:rFonts w:ascii="Verdana" w:hAnsi="Verdana" w:cs="Arial"/>
          <w:color w:val="000000" w:themeColor="text1"/>
          <w:sz w:val="16"/>
          <w:szCs w:val="16"/>
        </w:rPr>
      </w:pPr>
      <w:r w:rsidRPr="007D48B0">
        <w:rPr>
          <w:rFonts w:ascii="Verdana" w:hAnsi="Verdana" w:cs="Arial"/>
          <w:color w:val="000000" w:themeColor="text1"/>
          <w:sz w:val="16"/>
          <w:szCs w:val="16"/>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43C04FB6" w14:textId="77777777" w:rsidR="005E3005" w:rsidRPr="007D48B0" w:rsidRDefault="005E3005" w:rsidP="005E3005">
      <w:pPr>
        <w:pStyle w:val="Textonotapie"/>
        <w:ind w:firstLine="709"/>
        <w:jc w:val="both"/>
        <w:rPr>
          <w:rFonts w:ascii="Verdana" w:hAnsi="Verdana" w:cs="Arial"/>
          <w:color w:val="000000" w:themeColor="text1"/>
          <w:sz w:val="16"/>
          <w:szCs w:val="16"/>
        </w:rPr>
      </w:pPr>
      <w:r w:rsidRPr="007D48B0">
        <w:rPr>
          <w:rFonts w:ascii="Verdana" w:hAnsi="Verdana" w:cs="Arial"/>
          <w:color w:val="000000" w:themeColor="text1"/>
          <w:sz w:val="16"/>
          <w:szCs w:val="16"/>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43BED4AE" w14:textId="77777777" w:rsidR="005E3005" w:rsidRPr="007D48B0" w:rsidRDefault="005E3005" w:rsidP="005E3005">
      <w:pPr>
        <w:pStyle w:val="Textonotapie"/>
        <w:ind w:firstLine="709"/>
        <w:jc w:val="both"/>
        <w:rPr>
          <w:rFonts w:ascii="Verdana" w:hAnsi="Verdana" w:cs="Arial"/>
          <w:color w:val="000000" w:themeColor="text1"/>
          <w:sz w:val="16"/>
          <w:szCs w:val="16"/>
        </w:rPr>
      </w:pPr>
      <w:r w:rsidRPr="007D48B0">
        <w:rPr>
          <w:rFonts w:ascii="Verdana" w:hAnsi="Verdana" w:cs="Arial"/>
          <w:color w:val="000000" w:themeColor="text1"/>
          <w:sz w:val="16"/>
          <w:szCs w:val="16"/>
        </w:rPr>
        <w:t>3. Si hay lugar a sorteo, el plazo para la presentación de las ofertas empezará a correr el día hábil siguiente a la fecha en la cual la Entidad Estatal informe a los interesados el resultado del sorteo.</w:t>
      </w:r>
    </w:p>
    <w:p w14:paraId="0AF1EFB4" w14:textId="77777777" w:rsidR="005E3005" w:rsidRPr="007D48B0" w:rsidRDefault="005E3005" w:rsidP="005E3005">
      <w:pPr>
        <w:pStyle w:val="Textonotapie"/>
        <w:ind w:firstLine="709"/>
        <w:jc w:val="both"/>
        <w:rPr>
          <w:rFonts w:ascii="Verdana" w:hAnsi="Verdana" w:cs="Arial"/>
          <w:color w:val="000000" w:themeColor="text1"/>
          <w:sz w:val="16"/>
          <w:szCs w:val="16"/>
        </w:rPr>
      </w:pPr>
      <w:r w:rsidRPr="007D48B0">
        <w:rPr>
          <w:rFonts w:ascii="Verdana" w:hAnsi="Verdana" w:cs="Arial"/>
          <w:color w:val="000000" w:themeColor="text1"/>
          <w:sz w:val="16"/>
          <w:szCs w:val="16"/>
        </w:rPr>
        <w:t>4. La Entidad Estatal debe publicar el informe de evaluación de ofertas durante tres (3) días hábiles</w:t>
      </w:r>
      <w:r>
        <w:rPr>
          <w:rFonts w:ascii="Verdana" w:hAnsi="Verdana" w:cs="Arial"/>
          <w:color w:val="000000" w:themeColor="text1"/>
          <w:sz w:val="16"/>
          <w:szCs w:val="16"/>
        </w:rPr>
        <w:t>”.</w:t>
      </w:r>
      <w:r w:rsidRPr="007D48B0">
        <w:rPr>
          <w:rFonts w:ascii="Verdana" w:hAnsi="Verdana" w:cs="Arial"/>
          <w:color w:val="000000" w:themeColor="text1"/>
          <w:sz w:val="16"/>
          <w:szCs w:val="16"/>
        </w:rPr>
        <w:t xml:space="preserve"> </w:t>
      </w:r>
    </w:p>
  </w:footnote>
  <w:footnote w:id="9">
    <w:p w14:paraId="7E8593B8" w14:textId="77777777" w:rsidR="005E3005" w:rsidRPr="004F285C" w:rsidRDefault="005E3005" w:rsidP="005E3005">
      <w:pPr>
        <w:pStyle w:val="Textonotapie"/>
        <w:ind w:firstLine="708"/>
        <w:jc w:val="both"/>
        <w:rPr>
          <w:rFonts w:ascii="Verdana" w:eastAsiaTheme="minorEastAsia" w:hAnsi="Verdana" w:cs="Arial"/>
          <w:color w:val="000000" w:themeColor="text1"/>
          <w:sz w:val="16"/>
          <w:szCs w:val="16"/>
          <w:lang w:eastAsia="es-CO"/>
        </w:rPr>
      </w:pPr>
      <w:r w:rsidRPr="007D48B0">
        <w:rPr>
          <w:rStyle w:val="Refdenotaalpie"/>
          <w:rFonts w:ascii="Verdana" w:hAnsi="Verdana" w:cs="Arial"/>
          <w:sz w:val="16"/>
          <w:szCs w:val="16"/>
        </w:rPr>
        <w:footnoteRef/>
      </w:r>
      <w:r w:rsidRPr="007D48B0">
        <w:rPr>
          <w:rFonts w:ascii="Verdana" w:hAnsi="Verdana" w:cs="Arial"/>
          <w:sz w:val="16"/>
          <w:szCs w:val="16"/>
        </w:rPr>
        <w:t xml:space="preserve"> En armonía con lo anterior, a modo simplemente ejemplificativo, los Documentos Tipo para los procesos de selección abreviada de menor cuantía de obra pública de infraestructura de transporte, adoptados mediante la Resolución </w:t>
      </w:r>
      <w:r>
        <w:rPr>
          <w:rFonts w:ascii="Verdana" w:hAnsi="Verdana" w:cs="Arial"/>
          <w:sz w:val="16"/>
          <w:szCs w:val="16"/>
        </w:rPr>
        <w:t>463</w:t>
      </w:r>
      <w:r w:rsidRPr="007D48B0">
        <w:rPr>
          <w:rFonts w:ascii="Verdana" w:hAnsi="Verdana" w:cs="Arial"/>
          <w:sz w:val="16"/>
          <w:szCs w:val="16"/>
        </w:rPr>
        <w:t xml:space="preserve"> de 202</w:t>
      </w:r>
      <w:r>
        <w:rPr>
          <w:rFonts w:ascii="Verdana" w:hAnsi="Verdana" w:cs="Arial"/>
          <w:sz w:val="16"/>
          <w:szCs w:val="16"/>
        </w:rPr>
        <w:t>4</w:t>
      </w:r>
      <w:r w:rsidRPr="007D48B0">
        <w:rPr>
          <w:rFonts w:ascii="Verdana" w:hAnsi="Verdana" w:cs="Arial"/>
          <w:sz w:val="16"/>
          <w:szCs w:val="16"/>
        </w:rPr>
        <w:t>, por parte de la Agencia Nacional de Contratación Pública Colombia Compra Eficiente, incluyen la</w:t>
      </w:r>
      <w:r>
        <w:rPr>
          <w:rFonts w:ascii="Verdana" w:hAnsi="Verdana" w:cs="Arial"/>
          <w:sz w:val="16"/>
          <w:szCs w:val="16"/>
        </w:rPr>
        <w:t>s</w:t>
      </w:r>
      <w:r w:rsidRPr="007D48B0">
        <w:rPr>
          <w:rFonts w:ascii="Verdana" w:hAnsi="Verdana" w:cs="Arial"/>
          <w:sz w:val="16"/>
          <w:szCs w:val="16"/>
        </w:rPr>
        <w:t xml:space="preserve"> siguiente</w:t>
      </w:r>
      <w:r>
        <w:rPr>
          <w:rFonts w:ascii="Verdana" w:hAnsi="Verdana" w:cs="Arial"/>
          <w:sz w:val="16"/>
          <w:szCs w:val="16"/>
        </w:rPr>
        <w:t>s</w:t>
      </w:r>
      <w:r w:rsidRPr="007D48B0">
        <w:rPr>
          <w:rFonts w:ascii="Verdana" w:hAnsi="Verdana" w:cs="Arial"/>
          <w:sz w:val="16"/>
          <w:szCs w:val="16"/>
        </w:rPr>
        <w:t xml:space="preserve"> causal</w:t>
      </w:r>
      <w:r>
        <w:rPr>
          <w:rFonts w:ascii="Verdana" w:hAnsi="Verdana" w:cs="Arial"/>
          <w:sz w:val="16"/>
          <w:szCs w:val="16"/>
        </w:rPr>
        <w:t>es</w:t>
      </w:r>
      <w:r w:rsidRPr="007D48B0">
        <w:rPr>
          <w:rFonts w:ascii="Verdana" w:hAnsi="Verdana" w:cs="Arial"/>
          <w:sz w:val="16"/>
          <w:szCs w:val="16"/>
        </w:rPr>
        <w:t xml:space="preserve"> de rechazo en dicho pliego tipo: </w:t>
      </w:r>
      <w:r>
        <w:rPr>
          <w:rFonts w:ascii="Verdana" w:hAnsi="Verdana" w:cs="Arial"/>
          <w:sz w:val="16"/>
          <w:szCs w:val="16"/>
        </w:rPr>
        <w:t>i) “W</w:t>
      </w:r>
      <w:r w:rsidRPr="007D48B0">
        <w:rPr>
          <w:rFonts w:ascii="Verdana" w:hAnsi="Verdana" w:cs="Arial"/>
          <w:sz w:val="16"/>
          <w:szCs w:val="16"/>
        </w:rPr>
        <w:t xml:space="preserve">. </w:t>
      </w:r>
      <w:r w:rsidRPr="007D48B0">
        <w:rPr>
          <w:rFonts w:ascii="Verdana" w:eastAsiaTheme="minorEastAsia" w:hAnsi="Verdana" w:cs="Arial"/>
          <w:color w:val="000000" w:themeColor="text1"/>
          <w:sz w:val="16"/>
          <w:szCs w:val="16"/>
          <w:lang w:eastAsia="es-CO"/>
        </w:rPr>
        <w:t>Que el proponente no haya presentado la manifestación de interés para participar en el proceso de selección, y aun así haya presentado propuesta</w:t>
      </w:r>
      <w:r>
        <w:rPr>
          <w:rFonts w:ascii="Verdana" w:eastAsiaTheme="minorEastAsia" w:hAnsi="Verdana" w:cs="Arial"/>
          <w:color w:val="000000" w:themeColor="text1"/>
          <w:sz w:val="16"/>
          <w:szCs w:val="16"/>
          <w:lang w:eastAsia="es-CO"/>
        </w:rPr>
        <w:t>”, ii) “</w:t>
      </w:r>
      <w:r w:rsidRPr="004F285C">
        <w:rPr>
          <w:rFonts w:ascii="Verdana" w:eastAsiaTheme="minorEastAsia" w:hAnsi="Verdana" w:cs="Arial"/>
          <w:color w:val="000000" w:themeColor="text1"/>
          <w:sz w:val="16"/>
          <w:szCs w:val="16"/>
          <w:lang w:eastAsia="es-CO"/>
        </w:rPr>
        <w:t>AA.</w:t>
      </w:r>
      <w:r>
        <w:rPr>
          <w:rFonts w:ascii="Verdana" w:eastAsiaTheme="minorEastAsia" w:hAnsi="Verdana" w:cs="Arial"/>
          <w:color w:val="000000" w:themeColor="text1"/>
          <w:sz w:val="16"/>
          <w:szCs w:val="16"/>
          <w:lang w:eastAsia="es-CO"/>
        </w:rPr>
        <w:t xml:space="preserve"> </w:t>
      </w:r>
      <w:r w:rsidRPr="004F285C">
        <w:rPr>
          <w:rFonts w:ascii="Verdana" w:eastAsiaTheme="minorEastAsia" w:hAnsi="Verdana" w:cs="Arial"/>
          <w:color w:val="000000" w:themeColor="text1"/>
          <w:sz w:val="16"/>
          <w:szCs w:val="16"/>
          <w:lang w:eastAsia="es-CO"/>
        </w:rPr>
        <w:t>Cuando un proponente plural presente oferta con integrantes diferentes a los que manifestaron interés, aunque se mantenga la misma cantidad de miembros</w:t>
      </w:r>
      <w:r>
        <w:rPr>
          <w:rFonts w:ascii="Verdana" w:eastAsiaTheme="minorEastAsia" w:hAnsi="Verdana" w:cs="Arial"/>
          <w:color w:val="000000" w:themeColor="text1"/>
          <w:sz w:val="16"/>
          <w:szCs w:val="16"/>
          <w:lang w:eastAsia="es-CO"/>
        </w:rPr>
        <w:t>”, iii) “</w:t>
      </w:r>
      <w:r w:rsidRPr="004F285C">
        <w:rPr>
          <w:rFonts w:ascii="Verdana" w:eastAsiaTheme="minorEastAsia" w:hAnsi="Verdana" w:cs="Arial"/>
          <w:color w:val="000000" w:themeColor="text1"/>
          <w:sz w:val="16"/>
          <w:szCs w:val="16"/>
          <w:lang w:eastAsia="es-CO"/>
        </w:rPr>
        <w:t>BB.</w:t>
      </w:r>
      <w:r>
        <w:rPr>
          <w:rFonts w:ascii="Verdana" w:eastAsiaTheme="minorEastAsia" w:hAnsi="Verdana" w:cs="Arial"/>
          <w:color w:val="000000" w:themeColor="text1"/>
          <w:sz w:val="16"/>
          <w:szCs w:val="16"/>
          <w:lang w:eastAsia="es-CO"/>
        </w:rPr>
        <w:t xml:space="preserve"> </w:t>
      </w:r>
      <w:r w:rsidRPr="004F285C">
        <w:rPr>
          <w:rFonts w:ascii="Verdana" w:eastAsiaTheme="minorEastAsia" w:hAnsi="Verdana" w:cs="Arial"/>
          <w:color w:val="000000" w:themeColor="text1"/>
          <w:sz w:val="16"/>
          <w:szCs w:val="16"/>
          <w:lang w:eastAsia="es-CO"/>
        </w:rPr>
        <w:t>Cuando un proponente plural manifiesta interés, pero al presentar la oferta solo lo hace uno de los miembros, como proponente singular</w:t>
      </w:r>
      <w:r>
        <w:rPr>
          <w:rFonts w:ascii="Verdana" w:eastAsiaTheme="minorEastAsia" w:hAnsi="Verdana" w:cs="Arial"/>
          <w:color w:val="000000" w:themeColor="text1"/>
          <w:sz w:val="16"/>
          <w:szCs w:val="16"/>
          <w:lang w:eastAsia="es-CO"/>
        </w:rPr>
        <w:t>” y iv) “</w:t>
      </w:r>
      <w:r w:rsidRPr="004F285C">
        <w:rPr>
          <w:rFonts w:ascii="Verdana" w:eastAsiaTheme="minorEastAsia" w:hAnsi="Verdana" w:cs="Arial"/>
          <w:color w:val="000000" w:themeColor="text1"/>
          <w:sz w:val="16"/>
          <w:szCs w:val="16"/>
          <w:lang w:eastAsia="es-CO"/>
        </w:rPr>
        <w:t>CC.</w:t>
      </w:r>
      <w:r>
        <w:rPr>
          <w:rFonts w:ascii="Verdana" w:eastAsiaTheme="minorEastAsia" w:hAnsi="Verdana" w:cs="Arial"/>
          <w:color w:val="000000" w:themeColor="text1"/>
          <w:sz w:val="16"/>
          <w:szCs w:val="16"/>
          <w:lang w:eastAsia="es-CO"/>
        </w:rPr>
        <w:t xml:space="preserve"> </w:t>
      </w:r>
      <w:r w:rsidRPr="004F285C">
        <w:rPr>
          <w:rFonts w:ascii="Verdana" w:eastAsiaTheme="minorEastAsia" w:hAnsi="Verdana" w:cs="Arial"/>
          <w:color w:val="000000" w:themeColor="text1"/>
          <w:sz w:val="16"/>
          <w:szCs w:val="16"/>
          <w:lang w:eastAsia="es-CO"/>
        </w:rPr>
        <w:t>Cuando un proponente plural presente oferta con un número de integrantes mayor de los que manifestaron interés</w:t>
      </w:r>
      <w:r>
        <w:rPr>
          <w:rFonts w:ascii="Verdana" w:eastAsiaTheme="minorEastAsia" w:hAnsi="Verdana" w:cs="Arial"/>
          <w:color w:val="000000" w:themeColor="text1"/>
          <w:sz w:val="16"/>
          <w:szCs w:val="16"/>
          <w:lang w:eastAsia="es-CO"/>
        </w:rPr>
        <w:t>”</w:t>
      </w:r>
      <w:r w:rsidRPr="007D48B0">
        <w:rPr>
          <w:rFonts w:ascii="Verdana" w:eastAsiaTheme="minorEastAsia" w:hAnsi="Verdana" w:cs="Arial"/>
          <w:color w:val="000000" w:themeColor="text1"/>
          <w:sz w:val="16"/>
          <w:szCs w:val="16"/>
          <w:lang w:eastAsia="es-CO"/>
        </w:rPr>
        <w:t>.</w:t>
      </w:r>
    </w:p>
  </w:footnote>
  <w:footnote w:id="10">
    <w:p w14:paraId="6580F70C" w14:textId="77777777" w:rsidR="005E3005" w:rsidRPr="007D48B0" w:rsidRDefault="005E3005" w:rsidP="005E3005">
      <w:pPr>
        <w:pStyle w:val="Textonotapie"/>
        <w:ind w:firstLine="708"/>
        <w:jc w:val="both"/>
        <w:rPr>
          <w:rFonts w:ascii="Verdana" w:hAnsi="Verdana" w:cs="Arial"/>
          <w:sz w:val="16"/>
          <w:szCs w:val="16"/>
          <w:lang w:val="es-CO"/>
        </w:rPr>
      </w:pPr>
      <w:r w:rsidRPr="007D48B0">
        <w:rPr>
          <w:rStyle w:val="Refdenotaalpie"/>
          <w:rFonts w:ascii="Verdana" w:hAnsi="Verdana" w:cs="Arial"/>
          <w:sz w:val="16"/>
          <w:szCs w:val="16"/>
        </w:rPr>
        <w:footnoteRef/>
      </w:r>
      <w:r w:rsidRPr="007D48B0">
        <w:rPr>
          <w:rFonts w:ascii="Verdana" w:hAnsi="Verdana" w:cs="Arial"/>
          <w:sz w:val="16"/>
          <w:szCs w:val="16"/>
        </w:rPr>
        <w:t xml:space="preserve"> En lo pertinente, el Formato 10 dispone que </w:t>
      </w:r>
      <w:r>
        <w:rPr>
          <w:rFonts w:ascii="Verdana" w:hAnsi="Verdana" w:cs="Arial"/>
          <w:sz w:val="16"/>
          <w:szCs w:val="16"/>
        </w:rPr>
        <w:t>“</w:t>
      </w:r>
      <w:r w:rsidRPr="007D48B0">
        <w:rPr>
          <w:rFonts w:ascii="Verdana" w:hAnsi="Verdana" w:cs="Arial"/>
          <w:sz w:val="16"/>
          <w:szCs w:val="16"/>
          <w:lang w:val="es-CO"/>
        </w:rPr>
        <w:t xml:space="preserve">Los suscritos, </w:t>
      </w:r>
      <w:r w:rsidRPr="007D48B0">
        <w:rPr>
          <w:rFonts w:ascii="Verdana" w:hAnsi="Verdana" w:cs="Arial"/>
          <w:sz w:val="16"/>
          <w:szCs w:val="16"/>
          <w:highlight w:val="lightGray"/>
          <w:lang w:val="es-CO"/>
        </w:rPr>
        <w:t>[nombre del Representante Legal del integrante 1]</w:t>
      </w:r>
      <w:r w:rsidRPr="007D48B0">
        <w:rPr>
          <w:rFonts w:ascii="Verdana" w:hAnsi="Verdana" w:cs="Arial"/>
          <w:sz w:val="16"/>
          <w:szCs w:val="16"/>
          <w:lang w:val="es-CO"/>
        </w:rPr>
        <w:t xml:space="preserve"> y </w:t>
      </w:r>
      <w:r w:rsidRPr="007D48B0">
        <w:rPr>
          <w:rFonts w:ascii="Verdana" w:hAnsi="Verdana" w:cs="Arial"/>
          <w:sz w:val="16"/>
          <w:szCs w:val="16"/>
          <w:highlight w:val="lightGray"/>
          <w:lang w:val="es-CO"/>
        </w:rPr>
        <w:t>[nombre del Representante Legal del integrante 2]</w:t>
      </w:r>
      <w:r w:rsidRPr="007D48B0">
        <w:rPr>
          <w:rFonts w:ascii="Verdana" w:hAnsi="Verdana" w:cs="Arial"/>
          <w:sz w:val="16"/>
          <w:szCs w:val="16"/>
          <w:lang w:val="es-CO"/>
        </w:rPr>
        <w:t xml:space="preserve"> debidamente autorizados para actuar en nombre y representación de </w:t>
      </w:r>
      <w:r w:rsidRPr="007D48B0">
        <w:rPr>
          <w:rFonts w:ascii="Verdana" w:hAnsi="Verdana" w:cs="Arial"/>
          <w:sz w:val="16"/>
          <w:szCs w:val="16"/>
          <w:highlight w:val="lightGray"/>
          <w:lang w:val="es-CO"/>
        </w:rPr>
        <w:t>[nombre o razón social del integrante 1]</w:t>
      </w:r>
      <w:r w:rsidRPr="007D48B0">
        <w:rPr>
          <w:rFonts w:ascii="Verdana" w:hAnsi="Verdana" w:cs="Arial"/>
          <w:sz w:val="16"/>
          <w:szCs w:val="16"/>
          <w:lang w:val="es-CO"/>
        </w:rPr>
        <w:t xml:space="preserve"> y </w:t>
      </w:r>
      <w:r w:rsidRPr="007D48B0">
        <w:rPr>
          <w:rFonts w:ascii="Verdana" w:hAnsi="Verdana" w:cs="Arial"/>
          <w:sz w:val="16"/>
          <w:szCs w:val="16"/>
          <w:highlight w:val="lightGray"/>
          <w:lang w:val="es-CO"/>
        </w:rPr>
        <w:t>[nombre o razón social del integrante 2]</w:t>
      </w:r>
      <w:r w:rsidRPr="007D48B0">
        <w:rPr>
          <w:rFonts w:ascii="Verdana" w:hAnsi="Verdana" w:cs="Arial"/>
          <w:sz w:val="16"/>
          <w:szCs w:val="16"/>
          <w:lang w:val="es-CO"/>
        </w:rPr>
        <w:t xml:space="preserve"> </w:t>
      </w:r>
      <w:r w:rsidRPr="007D48B0">
        <w:rPr>
          <w:rFonts w:ascii="Verdana" w:hAnsi="Verdana" w:cs="Arial"/>
          <w:sz w:val="16"/>
          <w:szCs w:val="16"/>
          <w:highlight w:val="lightGray"/>
          <w:lang w:val="es-CO"/>
        </w:rPr>
        <w:t>[Se incluirán tantas personas naturales o jurídicas, como integrantes tenga el oferente plural]</w:t>
      </w:r>
      <w:r w:rsidRPr="007D48B0">
        <w:rPr>
          <w:rFonts w:ascii="Verdana" w:hAnsi="Verdana" w:cs="Arial"/>
          <w:sz w:val="16"/>
          <w:szCs w:val="16"/>
          <w:lang w:val="es-CO"/>
        </w:rPr>
        <w:t xml:space="preserve">, respectivamente, manifestamos nuestra intención de participar en el presente proceso de contratación, manifestación con la cual adjuntamos los documentos requeridos para acreditar la existencia de la persona jurídica o de persona natural </w:t>
      </w:r>
      <w:r w:rsidRPr="00B42018">
        <w:rPr>
          <w:rFonts w:ascii="Verdana" w:hAnsi="Verdana" w:cs="Arial"/>
          <w:sz w:val="16"/>
          <w:szCs w:val="16"/>
          <w:highlight w:val="lightGray"/>
          <w:lang w:val="es-CO"/>
        </w:rPr>
        <w:t>[Según corresponda para cada uno de los integrantes]</w:t>
      </w:r>
      <w:r w:rsidRPr="007D48B0">
        <w:rPr>
          <w:rFonts w:ascii="Verdana" w:hAnsi="Verdana" w:cs="Arial"/>
          <w:sz w:val="16"/>
          <w:szCs w:val="16"/>
          <w:lang w:val="es-CO"/>
        </w:rPr>
        <w:t>, conforme a la ley y al numeral 3.3 del Documento Base</w:t>
      </w:r>
      <w:r>
        <w:rPr>
          <w:rFonts w:ascii="Verdana" w:hAnsi="Verdana" w:cs="Arial"/>
          <w:sz w:val="16"/>
          <w:szCs w:val="16"/>
          <w:lang w:val="es-CO"/>
        </w:rPr>
        <w:t>”</w:t>
      </w:r>
      <w:r w:rsidRPr="007D48B0">
        <w:rPr>
          <w:rFonts w:ascii="Verdana" w:hAnsi="Verdana" w:cs="Arial"/>
          <w:sz w:val="16"/>
          <w:szCs w:val="16"/>
          <w:lang w:val="es-CO"/>
        </w:rPr>
        <w:t>.</w:t>
      </w:r>
    </w:p>
  </w:footnote>
  <w:footnote w:id="11">
    <w:p w14:paraId="1F927548" w14:textId="77777777" w:rsidR="005E3005" w:rsidRPr="007D48B0" w:rsidRDefault="005E3005" w:rsidP="005E3005">
      <w:pPr>
        <w:pStyle w:val="Textonotapie"/>
        <w:ind w:firstLine="708"/>
        <w:jc w:val="both"/>
        <w:rPr>
          <w:rFonts w:ascii="Verdana" w:hAnsi="Verdana" w:cs="Arial"/>
          <w:bCs/>
          <w:sz w:val="16"/>
          <w:szCs w:val="16"/>
          <w:lang w:val="es-ES"/>
        </w:rPr>
      </w:pPr>
      <w:r w:rsidRPr="007D48B0">
        <w:rPr>
          <w:rStyle w:val="Refdenotaalpie"/>
          <w:rFonts w:ascii="Verdana" w:hAnsi="Verdana" w:cs="Arial"/>
          <w:sz w:val="16"/>
          <w:szCs w:val="16"/>
        </w:rPr>
        <w:footnoteRef/>
      </w:r>
      <w:r w:rsidRPr="007D48B0">
        <w:rPr>
          <w:rFonts w:ascii="Verdana" w:hAnsi="Verdana" w:cs="Arial"/>
          <w:sz w:val="16"/>
          <w:szCs w:val="16"/>
        </w:rPr>
        <w:t xml:space="preserve"> Bajo esta orientación, </w:t>
      </w:r>
      <w:r w:rsidRPr="007D48B0">
        <w:rPr>
          <w:rFonts w:ascii="Verdana" w:hAnsi="Verdana" w:cs="Arial"/>
          <w:sz w:val="16"/>
          <w:szCs w:val="16"/>
          <w:lang w:val="es-CO"/>
        </w:rPr>
        <w:t xml:space="preserve">la Agencia </w:t>
      </w:r>
      <w:r w:rsidRPr="007D48B0">
        <w:rPr>
          <w:rFonts w:ascii="Verdana" w:hAnsi="Verdana" w:cs="Arial"/>
          <w:bCs/>
          <w:sz w:val="16"/>
          <w:szCs w:val="16"/>
          <w:lang w:val="es-ES"/>
        </w:rPr>
        <w:t xml:space="preserve">ha indicado en la Guía de Creación de proponentes plurales en el SECOP II, así como en la Guía para manifestar interés en el Secop II, que </w:t>
      </w:r>
      <w:r>
        <w:rPr>
          <w:rFonts w:ascii="Verdana" w:hAnsi="Verdana" w:cs="Arial"/>
          <w:bCs/>
          <w:sz w:val="16"/>
          <w:szCs w:val="16"/>
          <w:lang w:val="es-ES"/>
        </w:rPr>
        <w:t>“</w:t>
      </w:r>
      <w:bookmarkStart w:id="8" w:name="_Hlk105162039"/>
      <w:r w:rsidRPr="007D48B0">
        <w:rPr>
          <w:rFonts w:ascii="Verdana" w:hAnsi="Verdana" w:cs="Arial"/>
          <w:bCs/>
          <w:sz w:val="16"/>
          <w:szCs w:val="16"/>
          <w:lang w:val="es-ES"/>
        </w:rPr>
        <w:t>p</w:t>
      </w:r>
      <w:r w:rsidRPr="007D48B0">
        <w:rPr>
          <w:rFonts w:ascii="Verdana" w:hAnsi="Verdana" w:cs="Arial"/>
          <w:sz w:val="16"/>
          <w:szCs w:val="16"/>
          <w:lang w:val="es-CO"/>
        </w:rPr>
        <w:t>ara participar en Procesos de Contratación en el SECOP II como Proponente Plural (ya sea para manifestar interés, enviar observaciones, ofertas o firmar contratos), debe actuar exclusivamente desde su cuenta de Proponente Plural. Cualquier acción realizada desde la cuenta de cualquiera de los integrantes no es válida para el Proponente Plural y quedará a nombre del proponente singular</w:t>
      </w:r>
      <w:bookmarkEnd w:id="8"/>
      <w:r w:rsidRPr="007D48B0">
        <w:rPr>
          <w:rFonts w:ascii="Verdana" w:hAnsi="Verdana" w:cs="Arial"/>
          <w:sz w:val="16"/>
          <w:szCs w:val="16"/>
          <w:lang w:val="es-CO"/>
        </w:rPr>
        <w:t xml:space="preserve">. </w:t>
      </w:r>
    </w:p>
    <w:p w14:paraId="50AA108A" w14:textId="77777777" w:rsidR="005E3005" w:rsidRDefault="005E3005" w:rsidP="005E3005">
      <w:pPr>
        <w:pStyle w:val="Textonotapie"/>
        <w:ind w:firstLine="708"/>
        <w:jc w:val="both"/>
        <w:rPr>
          <w:rFonts w:ascii="Verdana" w:hAnsi="Verdana" w:cs="Arial"/>
          <w:sz w:val="16"/>
          <w:szCs w:val="16"/>
          <w:lang w:val="es-CO"/>
        </w:rPr>
      </w:pPr>
      <w:bookmarkStart w:id="9" w:name="_Hlk105162089"/>
      <w:r w:rsidRPr="007D48B0">
        <w:rPr>
          <w:rFonts w:ascii="Verdana" w:hAnsi="Verdana" w:cs="Arial"/>
          <w:i/>
          <w:iCs/>
          <w:sz w:val="16"/>
          <w:szCs w:val="16"/>
          <w:lang w:val="es-CO"/>
        </w:rPr>
        <w:t>En los Procesos de Contratación en la modalidad de Selección Abreviada de Menor Cuantía, si quiere enviar oferta como Proponente Plural, debe enviar su manifestación de interés desde la cuenta del Proponente Plural. En el SECOP II no es posible manifestar interés como proponente singular y luego enviar la oferta como proponente plural</w:t>
      </w:r>
      <w:bookmarkEnd w:id="9"/>
      <w:r>
        <w:rPr>
          <w:rFonts w:ascii="Verdana" w:hAnsi="Verdana" w:cs="Arial"/>
          <w:sz w:val="16"/>
          <w:szCs w:val="16"/>
          <w:lang w:val="es-CO"/>
        </w:rPr>
        <w:t>”</w:t>
      </w:r>
      <w:r w:rsidRPr="007D48B0">
        <w:rPr>
          <w:rFonts w:ascii="Verdana" w:hAnsi="Verdana" w:cs="Arial"/>
          <w:sz w:val="16"/>
          <w:szCs w:val="16"/>
          <w:lang w:val="es-CO"/>
        </w:rPr>
        <w:t xml:space="preserve"> (Cfr. </w:t>
      </w:r>
      <w:hyperlink r:id="rId1" w:history="1">
        <w:r w:rsidRPr="007D48B0">
          <w:rPr>
            <w:rStyle w:val="Hipervnculo"/>
            <w:rFonts w:ascii="Verdana" w:hAnsi="Verdana" w:cs="Arial"/>
            <w:color w:val="44546A" w:themeColor="text2"/>
            <w:sz w:val="16"/>
            <w:szCs w:val="16"/>
            <w:lang w:val="es-CO"/>
          </w:rPr>
          <w:t>https://www.colombiacompra.gov.co/sites/cce_public/files/cce_step/cce-sec-gi-06provppproponenteplural07-09-2020.pdf</w:t>
        </w:r>
      </w:hyperlink>
      <w:r w:rsidRPr="007D48B0">
        <w:rPr>
          <w:rFonts w:ascii="Verdana" w:hAnsi="Verdana" w:cs="Arial"/>
          <w:sz w:val="16"/>
          <w:szCs w:val="16"/>
          <w:lang w:val="es-CO"/>
        </w:rPr>
        <w:t>, énfasis fuera de texto)</w:t>
      </w:r>
      <w:r>
        <w:rPr>
          <w:rFonts w:ascii="Verdana" w:hAnsi="Verdana" w:cs="Arial"/>
          <w:sz w:val="16"/>
          <w:szCs w:val="16"/>
          <w:lang w:val="es-CO"/>
        </w:rPr>
        <w:t>.</w:t>
      </w:r>
    </w:p>
    <w:p w14:paraId="27495F9E" w14:textId="77777777" w:rsidR="005E3005" w:rsidRPr="007D48B0" w:rsidRDefault="005E3005" w:rsidP="005E3005">
      <w:pPr>
        <w:pStyle w:val="Textonotapie"/>
        <w:ind w:firstLine="708"/>
        <w:jc w:val="both"/>
        <w:rPr>
          <w:rFonts w:ascii="Verdana" w:hAnsi="Verdana" w:cs="Arial"/>
          <w:sz w:val="16"/>
          <w:szCs w:val="16"/>
          <w:lang w:val="es-CO"/>
        </w:rPr>
      </w:pPr>
      <w:r>
        <w:rPr>
          <w:rFonts w:ascii="Verdana" w:hAnsi="Verdana" w:cs="Arial"/>
          <w:sz w:val="16"/>
          <w:szCs w:val="16"/>
          <w:lang w:val="es-CO"/>
        </w:rPr>
        <w:t>Igualmente, el inciso final del numeral 2.3 del pliego de condiciones de los “Documentos Tipo – Versión 3” de selección abreviada de menor cuantía para obras de infraestructura de transporte dispone que “</w:t>
      </w:r>
      <w:r w:rsidRPr="002E6564">
        <w:rPr>
          <w:rFonts w:ascii="Verdana" w:hAnsi="Verdana" w:cs="Arial"/>
          <w:sz w:val="16"/>
          <w:szCs w:val="16"/>
          <w:highlight w:val="lightGray"/>
          <w:lang w:val="es-CO"/>
        </w:rPr>
        <w:t>[En los procesos de contratación adelantados por SECOP II el proponente plural debe manifestar interés utilizando el módulo correspondiente de acuerdo con la Guía para manifestar interés y la Guía para presentar Ofertas en el SECOP II, y no podrá hacerlo si solamente manifestó interés uno de los miembros del proponente plural desde su cuenta singular]</w:t>
      </w:r>
      <w:r>
        <w:rPr>
          <w:rFonts w:ascii="Verdana" w:hAnsi="Verdana" w:cs="Arial"/>
          <w:sz w:val="16"/>
          <w:szCs w:val="16"/>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5EFF0"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432A53A" w14:textId="77777777" w:rsidR="00756841" w:rsidRDefault="00756841">
    <w:pPr>
      <w:pStyle w:val="Encabezado"/>
    </w:pPr>
  </w:p>
  <w:p w14:paraId="65F97025" w14:textId="77777777" w:rsidR="00DC39FC" w:rsidRDefault="00DC39FC" w:rsidP="004A305D">
    <w:pPr>
      <w:spacing w:after="0"/>
      <w:rPr>
        <w:rFonts w:ascii="Verdana" w:hAnsi="Verdana"/>
        <w:b/>
        <w:bCs/>
      </w:rPr>
    </w:pPr>
  </w:p>
  <w:p w14:paraId="2D501F9F" w14:textId="77777777" w:rsidR="004A305D" w:rsidRPr="00DC39FC" w:rsidRDefault="004A305D" w:rsidP="004A305D">
    <w:pPr>
      <w:spacing w:after="0"/>
      <w:rPr>
        <w:rFonts w:ascii="Verdana" w:hAnsi="Verdana"/>
        <w:b/>
        <w:bCs/>
      </w:rPr>
    </w:pPr>
    <w:r w:rsidRPr="00DC39FC">
      <w:rPr>
        <w:rFonts w:ascii="Verdana" w:hAnsi="Verdana"/>
        <w:b/>
        <w:bCs/>
      </w:rPr>
      <w:t>FORMATO PQRSD</w:t>
    </w:r>
  </w:p>
  <w:p w14:paraId="75D9EAFA" w14:textId="77777777" w:rsidR="004A305D" w:rsidRPr="004A305D" w:rsidRDefault="004A305D" w:rsidP="00B01B1A">
    <w:pPr>
      <w:spacing w:after="0" w:line="120" w:lineRule="auto"/>
      <w:rPr>
        <w:rFonts w:ascii="Century Gothic" w:eastAsia="Geo" w:hAnsi="Century Gothic" w:cs="Geo"/>
        <w:sz w:val="16"/>
        <w:szCs w:val="16"/>
        <w:lang w:eastAsia="es-CO"/>
      </w:rPr>
    </w:pPr>
  </w:p>
  <w:p w14:paraId="44187F51"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066B04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797411311" o:spid="_x0000_i1025" type="#_x0000_t75" style="width:11.25pt;height:11.25pt;visibility:visible;mso-wrap-style:square">
            <v:imagedata r:id="rId1" o:title=""/>
          </v:shape>
        </w:pict>
      </mc:Choice>
      <mc:Fallback>
        <w:drawing>
          <wp:inline distT="0" distB="0" distL="0" distR="0" wp14:anchorId="3853FB2F" wp14:editId="08D81B2F">
            <wp:extent cx="142875" cy="142875"/>
            <wp:effectExtent l="0" t="0" r="0" b="0"/>
            <wp:docPr id="1797411311" name="Imagen 179741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60D4"/>
    <w:rsid w:val="00061B2A"/>
    <w:rsid w:val="0007110C"/>
    <w:rsid w:val="00082362"/>
    <w:rsid w:val="000A683E"/>
    <w:rsid w:val="000B19B9"/>
    <w:rsid w:val="000D0334"/>
    <w:rsid w:val="000F6486"/>
    <w:rsid w:val="00121C23"/>
    <w:rsid w:val="00125105"/>
    <w:rsid w:val="00127233"/>
    <w:rsid w:val="001511A0"/>
    <w:rsid w:val="00153361"/>
    <w:rsid w:val="00176EB9"/>
    <w:rsid w:val="001E4177"/>
    <w:rsid w:val="001F7DC6"/>
    <w:rsid w:val="00233FAE"/>
    <w:rsid w:val="00235DC0"/>
    <w:rsid w:val="002421BB"/>
    <w:rsid w:val="0025796E"/>
    <w:rsid w:val="002707A2"/>
    <w:rsid w:val="002951A0"/>
    <w:rsid w:val="002962BC"/>
    <w:rsid w:val="002A093D"/>
    <w:rsid w:val="002A0DD0"/>
    <w:rsid w:val="002A49AC"/>
    <w:rsid w:val="002A64FD"/>
    <w:rsid w:val="002B08D3"/>
    <w:rsid w:val="002C7A84"/>
    <w:rsid w:val="002E4FD9"/>
    <w:rsid w:val="002F29A8"/>
    <w:rsid w:val="00313102"/>
    <w:rsid w:val="00322A85"/>
    <w:rsid w:val="00324168"/>
    <w:rsid w:val="003448F4"/>
    <w:rsid w:val="00365661"/>
    <w:rsid w:val="00374F5E"/>
    <w:rsid w:val="00377E3E"/>
    <w:rsid w:val="003A779E"/>
    <w:rsid w:val="003B0FE4"/>
    <w:rsid w:val="003D0F4D"/>
    <w:rsid w:val="003D5B0D"/>
    <w:rsid w:val="003E0499"/>
    <w:rsid w:val="003F3941"/>
    <w:rsid w:val="00406575"/>
    <w:rsid w:val="00414C74"/>
    <w:rsid w:val="0042722E"/>
    <w:rsid w:val="0044528D"/>
    <w:rsid w:val="004739DF"/>
    <w:rsid w:val="004A1847"/>
    <w:rsid w:val="004A305D"/>
    <w:rsid w:val="004E6CDE"/>
    <w:rsid w:val="004F21C4"/>
    <w:rsid w:val="004F685F"/>
    <w:rsid w:val="005566E8"/>
    <w:rsid w:val="00574867"/>
    <w:rsid w:val="00591460"/>
    <w:rsid w:val="005B3816"/>
    <w:rsid w:val="005C3777"/>
    <w:rsid w:val="005C5677"/>
    <w:rsid w:val="005C5CDC"/>
    <w:rsid w:val="005D1E2F"/>
    <w:rsid w:val="005D476C"/>
    <w:rsid w:val="005E3005"/>
    <w:rsid w:val="006219F8"/>
    <w:rsid w:val="00665D70"/>
    <w:rsid w:val="00685835"/>
    <w:rsid w:val="006900D9"/>
    <w:rsid w:val="00696B03"/>
    <w:rsid w:val="006A2B48"/>
    <w:rsid w:val="00706C16"/>
    <w:rsid w:val="00756841"/>
    <w:rsid w:val="00757315"/>
    <w:rsid w:val="007649AB"/>
    <w:rsid w:val="00771D0C"/>
    <w:rsid w:val="00780349"/>
    <w:rsid w:val="007833AC"/>
    <w:rsid w:val="007B268C"/>
    <w:rsid w:val="007B7171"/>
    <w:rsid w:val="007C0C0F"/>
    <w:rsid w:val="007C3DC2"/>
    <w:rsid w:val="007D7F58"/>
    <w:rsid w:val="007E5497"/>
    <w:rsid w:val="007E708D"/>
    <w:rsid w:val="00806F5F"/>
    <w:rsid w:val="00820278"/>
    <w:rsid w:val="0082584C"/>
    <w:rsid w:val="00867F95"/>
    <w:rsid w:val="00873E4E"/>
    <w:rsid w:val="00877C62"/>
    <w:rsid w:val="008843B6"/>
    <w:rsid w:val="00891928"/>
    <w:rsid w:val="008A446D"/>
    <w:rsid w:val="008D180B"/>
    <w:rsid w:val="008F0EA7"/>
    <w:rsid w:val="00923EEF"/>
    <w:rsid w:val="009419F9"/>
    <w:rsid w:val="0095685E"/>
    <w:rsid w:val="00961B09"/>
    <w:rsid w:val="00965334"/>
    <w:rsid w:val="0097093E"/>
    <w:rsid w:val="00986AC5"/>
    <w:rsid w:val="00997C1D"/>
    <w:rsid w:val="009A0DFA"/>
    <w:rsid w:val="009B2D26"/>
    <w:rsid w:val="009B5B33"/>
    <w:rsid w:val="009C71FA"/>
    <w:rsid w:val="009C72E7"/>
    <w:rsid w:val="009D3058"/>
    <w:rsid w:val="009F3A13"/>
    <w:rsid w:val="00A122D3"/>
    <w:rsid w:val="00A17F13"/>
    <w:rsid w:val="00A20739"/>
    <w:rsid w:val="00A33C78"/>
    <w:rsid w:val="00A663E3"/>
    <w:rsid w:val="00A75BBF"/>
    <w:rsid w:val="00AB0ADB"/>
    <w:rsid w:val="00AB4BC2"/>
    <w:rsid w:val="00B01B1A"/>
    <w:rsid w:val="00B66319"/>
    <w:rsid w:val="00B72CD3"/>
    <w:rsid w:val="00B72FFF"/>
    <w:rsid w:val="00B80243"/>
    <w:rsid w:val="00B90A73"/>
    <w:rsid w:val="00BC3D36"/>
    <w:rsid w:val="00BD612C"/>
    <w:rsid w:val="00BD7F72"/>
    <w:rsid w:val="00C04FB3"/>
    <w:rsid w:val="00C330EB"/>
    <w:rsid w:val="00C41061"/>
    <w:rsid w:val="00C754BE"/>
    <w:rsid w:val="00C76B1C"/>
    <w:rsid w:val="00CB5F5A"/>
    <w:rsid w:val="00CB6357"/>
    <w:rsid w:val="00CC1B26"/>
    <w:rsid w:val="00CC6690"/>
    <w:rsid w:val="00D423A2"/>
    <w:rsid w:val="00D520D8"/>
    <w:rsid w:val="00D63AC2"/>
    <w:rsid w:val="00D7383B"/>
    <w:rsid w:val="00DA231B"/>
    <w:rsid w:val="00DB2CDD"/>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01DD1"/>
    <w:rsid w:val="00F31EDC"/>
    <w:rsid w:val="00F462B3"/>
    <w:rsid w:val="00F5664F"/>
    <w:rsid w:val="00F666C4"/>
    <w:rsid w:val="00F76AFC"/>
    <w:rsid w:val="00FA47C0"/>
    <w:rsid w:val="00FB5DD1"/>
    <w:rsid w:val="00FC2B5D"/>
    <w:rsid w:val="00FD5FB2"/>
    <w:rsid w:val="00FE2798"/>
    <w:rsid w:val="00FF1449"/>
    <w:rsid w:val="00FF54AC"/>
    <w:rsid w:val="7A0F87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E300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E300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cruzr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step/cce-sec-gi-06provppproponenteplural07-09-202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6BEECB-C3C1-45D9-811D-B2B09F335FD5}"/>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4566</Words>
  <Characters>25113</Characters>
  <Application>Microsoft Office Word</Application>
  <DocSecurity>0</DocSecurity>
  <Lines>209</Lines>
  <Paragraphs>59</Paragraphs>
  <ScaleCrop>false</ScaleCrop>
  <Company/>
  <LinksUpToDate>false</LinksUpToDate>
  <CharactersWithSpaces>29620</CharactersWithSpaces>
  <SharedDoc>false</SharedDoc>
  <HLinks>
    <vt:vector size="36" baseType="variant">
      <vt:variant>
        <vt:i4>6291500</vt:i4>
      </vt:variant>
      <vt:variant>
        <vt:i4>18</vt:i4>
      </vt:variant>
      <vt:variant>
        <vt:i4>0</vt:i4>
      </vt:variant>
      <vt:variant>
        <vt:i4>5</vt:i4>
      </vt:variant>
      <vt:variant>
        <vt:lpwstr>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vt:lpwstr>
      </vt:variant>
      <vt:variant>
        <vt:lpwstr/>
      </vt:variant>
      <vt:variant>
        <vt:i4>2490468</vt:i4>
      </vt:variant>
      <vt:variant>
        <vt:i4>15</vt:i4>
      </vt:variant>
      <vt:variant>
        <vt:i4>0</vt:i4>
      </vt:variant>
      <vt:variant>
        <vt:i4>5</vt:i4>
      </vt:variant>
      <vt:variant>
        <vt:lpwstr>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vt:lpwstr>
      </vt:variant>
      <vt:variant>
        <vt:lpwstr/>
      </vt:variant>
      <vt:variant>
        <vt:i4>7995442</vt:i4>
      </vt:variant>
      <vt:variant>
        <vt:i4>12</vt:i4>
      </vt:variant>
      <vt:variant>
        <vt:i4>0</vt:i4>
      </vt:variant>
      <vt:variant>
        <vt:i4>5</vt:i4>
      </vt:variant>
      <vt:variant>
        <vt:lpwstr>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6422598</vt:i4>
      </vt:variant>
      <vt:variant>
        <vt:i4>0</vt:i4>
      </vt:variant>
      <vt:variant>
        <vt:i4>0</vt:i4>
      </vt:variant>
      <vt:variant>
        <vt:i4>5</vt:i4>
      </vt:variant>
      <vt:variant>
        <vt:lpwstr>mailto:abcruzro@gmail.com</vt:lpwstr>
      </vt:variant>
      <vt:variant>
        <vt:lpwstr/>
      </vt:variant>
      <vt:variant>
        <vt:i4>1048667</vt:i4>
      </vt:variant>
      <vt:variant>
        <vt:i4>0</vt:i4>
      </vt:variant>
      <vt:variant>
        <vt:i4>0</vt:i4>
      </vt:variant>
      <vt:variant>
        <vt:i4>5</vt:i4>
      </vt:variant>
      <vt:variant>
        <vt:lpwstr>https://www.colombiacompra.gov.co/sites/cce_public/files/cce_step/cce-sec-gi-06provppproponenteplural07-09-2020.pdf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8</cp:revision>
  <cp:lastPrinted>2023-01-10T21:18:00Z</cp:lastPrinted>
  <dcterms:created xsi:type="dcterms:W3CDTF">2025-05-14T04:53:00Z</dcterms:created>
  <dcterms:modified xsi:type="dcterms:W3CDTF">2025-05-14T22:12:00Z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