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352EC" w14:textId="20057805" w:rsidR="00552E11" w:rsidRPr="00B72147" w:rsidRDefault="00552E11" w:rsidP="00260EA1">
      <w:pPr>
        <w:spacing w:after="0"/>
        <w:rPr>
          <w:rFonts w:ascii="Verdana" w:hAnsi="Verdana"/>
        </w:rPr>
      </w:pPr>
      <w:bookmarkStart w:id="0" w:name="_Hlk143780582"/>
      <w:r w:rsidRPr="00B72147">
        <w:rPr>
          <w:rFonts w:ascii="Verdana" w:eastAsia="Calibri" w:hAnsi="Verdana" w:cs="Arial"/>
          <w:b/>
          <w:bCs/>
          <w:color w:val="000000" w:themeColor="text1"/>
        </w:rPr>
        <w:t>ACTA DE INICIO – Definición – Marco normativo</w:t>
      </w:r>
      <w:bookmarkStart w:id="1" w:name="_GoBack"/>
      <w:bookmarkEnd w:id="1"/>
    </w:p>
    <w:p w14:paraId="28112671" w14:textId="77777777" w:rsidR="00552E11" w:rsidRPr="00AA7935" w:rsidRDefault="00552E11" w:rsidP="00552E11">
      <w:pPr>
        <w:spacing w:after="0" w:line="240" w:lineRule="auto"/>
        <w:jc w:val="both"/>
        <w:rPr>
          <w:rFonts w:ascii="Verdana" w:eastAsia="Calibri" w:hAnsi="Verdana" w:cs="Arial"/>
          <w:b/>
          <w:bCs/>
          <w:color w:val="000000" w:themeColor="text1"/>
          <w:sz w:val="21"/>
          <w:szCs w:val="21"/>
        </w:rPr>
      </w:pPr>
    </w:p>
    <w:p w14:paraId="34FC7686" w14:textId="77777777" w:rsidR="00552E11" w:rsidRPr="00AA7935" w:rsidRDefault="00552E11" w:rsidP="00552E11">
      <w:pPr>
        <w:spacing w:after="0" w:line="240" w:lineRule="auto"/>
        <w:jc w:val="both"/>
        <w:rPr>
          <w:rFonts w:ascii="Verdana" w:eastAsia="Calibri" w:hAnsi="Verdana" w:cs="Arial"/>
          <w:color w:val="000000"/>
          <w:sz w:val="21"/>
          <w:szCs w:val="21"/>
          <w:vertAlign w:val="subscript"/>
          <w:lang w:val="es-ES" w:eastAsia="es-ES"/>
        </w:rPr>
      </w:pPr>
      <w:r w:rsidRPr="459EA776">
        <w:rPr>
          <w:rFonts w:ascii="Verdana" w:eastAsia="Calibri" w:hAnsi="Verdana" w:cs="Arial"/>
          <w:color w:val="000000" w:themeColor="text1"/>
          <w:sz w:val="21"/>
          <w:szCs w:val="21"/>
          <w:lang w:val="es-ES" w:eastAsia="es-ES"/>
        </w:rPr>
        <w:t xml:space="preserve">En el lenguaje de la contratación estatal, el acta de inicio es un documento en el que se fija la fecha en la que comienza el cómputo del plazo del contrato, una vez cumplido los requisitos legales para la ejecución del contrato. Por tanto, si bien no la exige la ley ni el reglamento, obedece a una buena práctica contractual, ya que brinda certeza acerca del inicio de la ejecución del contrato. Es por ello que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 Al no ser un requisito legal de ejecución de los contratos estatales –pues no se encuentra consagrado en la ley–, el acta de inicio constituye un requisito de ejecución </w:t>
      </w:r>
      <w:r w:rsidRPr="459EA776">
        <w:rPr>
          <w:rFonts w:ascii="Verdana" w:eastAsia="Calibri" w:hAnsi="Verdana" w:cs="Arial"/>
          <w:i/>
          <w:iCs/>
          <w:color w:val="000000" w:themeColor="text1"/>
          <w:sz w:val="21"/>
          <w:szCs w:val="21"/>
          <w:lang w:val="es-ES" w:eastAsia="es-ES"/>
        </w:rPr>
        <w:t>convencional</w:t>
      </w:r>
      <w:r w:rsidRPr="459EA776">
        <w:rPr>
          <w:rFonts w:ascii="Verdana" w:eastAsia="Calibri" w:hAnsi="Verdana" w:cs="Arial"/>
          <w:color w:val="000000" w:themeColor="text1"/>
          <w:sz w:val="21"/>
          <w:szCs w:val="21"/>
          <w:lang w:val="es-ES" w:eastAsia="es-ES"/>
        </w:rPr>
        <w:t>, que se pacta en la minuta del contrato o que el contratista acepta, adhiriéndose al clausulado del pliego de condiciones o documento equivalente. […]</w:t>
      </w:r>
    </w:p>
    <w:p w14:paraId="545BB25E" w14:textId="77777777" w:rsidR="00552E11" w:rsidRPr="00AA7935" w:rsidRDefault="00552E11" w:rsidP="00552E11">
      <w:pPr>
        <w:spacing w:after="0" w:line="240" w:lineRule="auto"/>
        <w:jc w:val="both"/>
        <w:rPr>
          <w:rFonts w:ascii="Verdana" w:eastAsia="Calibri" w:hAnsi="Verdana" w:cs="Arial"/>
          <w:bCs/>
          <w:color w:val="000000"/>
          <w:sz w:val="21"/>
          <w:szCs w:val="21"/>
          <w:lang w:val="es-ES_tradnl" w:eastAsia="es-ES_tradnl"/>
        </w:rPr>
      </w:pPr>
    </w:p>
    <w:p w14:paraId="5CD6A91F" w14:textId="77777777" w:rsidR="00552E11" w:rsidRPr="00AA7935" w:rsidRDefault="00552E11" w:rsidP="00552E11">
      <w:pPr>
        <w:spacing w:after="0" w:line="240" w:lineRule="auto"/>
        <w:jc w:val="both"/>
        <w:rPr>
          <w:rFonts w:ascii="Verdana" w:eastAsia="Calibri" w:hAnsi="Verdana" w:cs="Arial"/>
          <w:bCs/>
          <w:color w:val="000000"/>
          <w:sz w:val="21"/>
          <w:szCs w:val="21"/>
          <w:lang w:val="es-ES_tradnl" w:eastAsia="es-ES_tradnl"/>
        </w:rPr>
      </w:pPr>
      <w:r w:rsidRPr="00AA7935">
        <w:rPr>
          <w:rFonts w:ascii="Verdana" w:eastAsia="Calibri" w:hAnsi="Verdana" w:cs="Arial"/>
          <w:bCs/>
          <w:color w:val="000000"/>
          <w:sz w:val="21"/>
          <w:szCs w:val="21"/>
          <w:lang w:val="es-ES_tradnl" w:eastAsia="es-ES_tradnl"/>
        </w:rPr>
        <w:t xml:space="preserve">El fundamento legal que habilita a las partes para establecer la suscripción del acta de inicio como un requisito de ejecución convencional se encuentra en el segundo inciso del artículo 40 de la Ley 80 de 1993, el cual indica que </w:t>
      </w:r>
      <w:r>
        <w:rPr>
          <w:rFonts w:ascii="Verdana" w:eastAsia="Calibri" w:hAnsi="Verdana" w:cs="Arial"/>
          <w:bCs/>
          <w:color w:val="000000"/>
          <w:sz w:val="21"/>
          <w:szCs w:val="21"/>
          <w:lang w:val="es-ES_tradnl" w:eastAsia="es-ES_tradnl"/>
        </w:rPr>
        <w:t>“</w:t>
      </w:r>
      <w:r w:rsidRPr="00AA7935">
        <w:rPr>
          <w:rFonts w:ascii="Verdana" w:eastAsia="Calibri" w:hAnsi="Verdana" w:cs="Arial"/>
          <w:bCs/>
          <w:i/>
          <w:iCs/>
          <w:color w:val="000000"/>
          <w:sz w:val="21"/>
          <w:szCs w:val="21"/>
          <w:lang w:val="es-ES_tradnl" w:eastAsia="es-ES_tradnl"/>
        </w:rPr>
        <w:t>Las entidades podrán celebrar los contratos y acuerdos que permitan la autonomía de la voluntad y requieran el cumplimiento de los fines estatales</w:t>
      </w:r>
      <w:r>
        <w:rPr>
          <w:rFonts w:ascii="Verdana" w:eastAsia="Calibri" w:hAnsi="Verdana" w:cs="Arial"/>
          <w:bCs/>
          <w:color w:val="000000"/>
          <w:sz w:val="21"/>
          <w:szCs w:val="21"/>
          <w:lang w:val="es-ES_tradnl" w:eastAsia="es-ES_tradnl"/>
        </w:rPr>
        <w:t>"</w:t>
      </w:r>
      <w:r w:rsidRPr="00AA7935">
        <w:rPr>
          <w:rFonts w:ascii="Verdana" w:eastAsia="Calibri" w:hAnsi="Verdana" w:cs="Arial"/>
          <w:bCs/>
          <w:color w:val="000000"/>
          <w:sz w:val="21"/>
          <w:szCs w:val="21"/>
          <w:lang w:val="es-ES_tradnl" w:eastAsia="es-ES_tradnl"/>
        </w:rPr>
        <w:t>.</w:t>
      </w:r>
      <w:r w:rsidRPr="00AA7935">
        <w:rPr>
          <w:rFonts w:ascii="Verdana" w:eastAsia="Calibri" w:hAnsi="Verdana" w:cs="Arial"/>
          <w:bCs/>
          <w:color w:val="000000"/>
          <w:sz w:val="21"/>
          <w:szCs w:val="21"/>
          <w:lang w:eastAsia="es-ES_tradnl"/>
        </w:rPr>
        <w:t xml:space="preserve"> Sin embargo</w:t>
      </w:r>
      <w:r w:rsidRPr="00AA7935">
        <w:rPr>
          <w:rFonts w:ascii="Verdana" w:eastAsia="Calibri" w:hAnsi="Verdana" w:cs="Arial"/>
          <w:bCs/>
          <w:color w:val="000000"/>
          <w:sz w:val="21"/>
          <w:szCs w:val="21"/>
          <w:lang w:val="es-ES_tradnl" w:eastAsia="es-ES_tradnl"/>
        </w:rPr>
        <w:t xml:space="preserve">, en el ejercicio de la autonomía de la voluntad las partes del contrato deben respetar las normas de orden público. En consecuencia, a pesar de que están facultadas para acordar cláusulas accidentales en el negocio jurídico, estas no pueden ir en contra de los mandatos contenidos en el Estatuto General de Contratación de la Administración Pública.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w:t>
      </w:r>
    </w:p>
    <w:p w14:paraId="3222F676" w14:textId="77777777" w:rsidR="00552E11" w:rsidRDefault="00552E11" w:rsidP="00552E11">
      <w:pPr>
        <w:spacing w:after="0"/>
        <w:rPr>
          <w:rFonts w:ascii="Verdana" w:hAnsi="Verdana"/>
          <w:lang w:val="es-ES_tradnl"/>
        </w:rPr>
      </w:pPr>
    </w:p>
    <w:p w14:paraId="0255CB70" w14:textId="77777777" w:rsidR="00552E11" w:rsidRDefault="00552E11" w:rsidP="00552E11">
      <w:pPr>
        <w:spacing w:after="0"/>
        <w:rPr>
          <w:rFonts w:ascii="Verdana" w:hAnsi="Verdana"/>
          <w:lang w:val="es-ES_tradnl"/>
        </w:rPr>
      </w:pPr>
    </w:p>
    <w:p w14:paraId="306A2E80" w14:textId="77777777" w:rsidR="00552E11" w:rsidRDefault="00552E11" w:rsidP="00552E11">
      <w:pPr>
        <w:spacing w:after="0"/>
        <w:rPr>
          <w:rFonts w:ascii="Verdana" w:hAnsi="Verdana"/>
          <w:lang w:val="es-ES_tradnl"/>
        </w:rPr>
      </w:pPr>
    </w:p>
    <w:p w14:paraId="7486C1C9" w14:textId="77777777" w:rsidR="00552E11" w:rsidRDefault="00552E11" w:rsidP="00552E11">
      <w:pPr>
        <w:spacing w:after="0"/>
        <w:rPr>
          <w:rFonts w:ascii="Verdana" w:hAnsi="Verdana"/>
          <w:lang w:val="es-ES_tradnl"/>
        </w:rPr>
      </w:pPr>
    </w:p>
    <w:p w14:paraId="70C53254" w14:textId="77777777" w:rsidR="00552E11" w:rsidRDefault="00552E11" w:rsidP="00552E11">
      <w:pPr>
        <w:spacing w:after="0"/>
        <w:rPr>
          <w:rFonts w:ascii="Verdana" w:hAnsi="Verdana"/>
          <w:lang w:val="es-ES_tradnl"/>
        </w:rPr>
      </w:pPr>
    </w:p>
    <w:p w14:paraId="5828B986" w14:textId="77777777" w:rsidR="00552E11" w:rsidRDefault="00552E11" w:rsidP="00552E11">
      <w:pPr>
        <w:spacing w:after="0"/>
        <w:rPr>
          <w:rFonts w:ascii="Verdana" w:hAnsi="Verdana"/>
          <w:lang w:val="es-ES_tradnl"/>
        </w:rPr>
      </w:pPr>
    </w:p>
    <w:p w14:paraId="2D623102" w14:textId="77777777" w:rsidR="00552E11" w:rsidRDefault="00552E11" w:rsidP="00552E11">
      <w:pPr>
        <w:spacing w:after="0"/>
        <w:rPr>
          <w:rFonts w:ascii="Verdana" w:hAnsi="Verdana"/>
          <w:lang w:val="es-ES_tradnl"/>
        </w:rPr>
      </w:pPr>
    </w:p>
    <w:p w14:paraId="2AFEDFB6" w14:textId="77777777" w:rsidR="00552E11" w:rsidRDefault="00552E11" w:rsidP="00552E11">
      <w:pPr>
        <w:spacing w:after="0"/>
        <w:rPr>
          <w:rFonts w:ascii="Verdana" w:hAnsi="Verdana"/>
          <w:lang w:val="es-ES_tradnl"/>
        </w:rPr>
      </w:pPr>
    </w:p>
    <w:p w14:paraId="0ED9159F" w14:textId="77777777" w:rsidR="00552E11" w:rsidRPr="00F66D9A" w:rsidRDefault="00552E11" w:rsidP="00552E11">
      <w:pPr>
        <w:spacing w:after="0"/>
        <w:rPr>
          <w:rFonts w:ascii="Verdana" w:hAnsi="Verdana"/>
          <w:lang w:val="es-ES_tradnl"/>
        </w:rPr>
      </w:pPr>
    </w:p>
    <w:p w14:paraId="391F39B2" w14:textId="77777777" w:rsidR="00552E11" w:rsidRDefault="00552E11" w:rsidP="00552E11">
      <w:pPr>
        <w:spacing w:after="0" w:line="240" w:lineRule="auto"/>
        <w:jc w:val="both"/>
        <w:rPr>
          <w:rFonts w:ascii="Verdana" w:eastAsia="Calibri" w:hAnsi="Verdana" w:cs="Arial"/>
          <w:lang w:val="es-ES" w:eastAsia="es-ES"/>
        </w:rPr>
      </w:pPr>
    </w:p>
    <w:p w14:paraId="7DF53FB2" w14:textId="77777777" w:rsidR="00552E11" w:rsidRDefault="00552E11" w:rsidP="00552E11">
      <w:pPr>
        <w:spacing w:after="0" w:line="240" w:lineRule="auto"/>
        <w:jc w:val="both"/>
        <w:rPr>
          <w:rFonts w:ascii="Verdana" w:eastAsia="Calibri" w:hAnsi="Verdana" w:cs="Arial"/>
          <w:lang w:val="es-ES" w:eastAsia="es-ES"/>
        </w:rPr>
      </w:pPr>
    </w:p>
    <w:p w14:paraId="44998E4B" w14:textId="22B05D00" w:rsidR="00552E11" w:rsidRDefault="00552E11" w:rsidP="00552E11">
      <w:pPr>
        <w:spacing w:after="0" w:line="240" w:lineRule="auto"/>
        <w:jc w:val="both"/>
        <w:rPr>
          <w:rFonts w:ascii="Verdana" w:eastAsia="Calibri" w:hAnsi="Verdana" w:cs="Arial"/>
          <w:lang w:val="es-ES" w:eastAsia="es-ES"/>
        </w:rPr>
      </w:pPr>
      <w:r w:rsidRPr="0044528D">
        <w:rPr>
          <w:rFonts w:ascii="Verdana" w:hAnsi="Verdana"/>
        </w:rPr>
        <w:t xml:space="preserve">Bogotá D.C., </w:t>
      </w:r>
      <w:r w:rsidR="001C124E">
        <w:rPr>
          <w:rFonts w:ascii="Verdana" w:hAnsi="Verdana"/>
        </w:rPr>
        <w:t>10 de octubre de 2024</w:t>
      </w:r>
    </w:p>
    <w:p w14:paraId="51F4AC2F" w14:textId="77777777" w:rsidR="00552E11" w:rsidRDefault="00552E11" w:rsidP="00552E11">
      <w:pPr>
        <w:spacing w:after="0" w:line="240" w:lineRule="auto"/>
        <w:jc w:val="both"/>
        <w:rPr>
          <w:rFonts w:ascii="Verdana" w:eastAsia="Calibri" w:hAnsi="Verdana" w:cs="Arial"/>
          <w:lang w:val="es-ES" w:eastAsia="es-ES"/>
        </w:rPr>
      </w:pPr>
    </w:p>
    <w:p w14:paraId="327E7838" w14:textId="77777777" w:rsidR="00552E11" w:rsidRDefault="00552E11" w:rsidP="00552E11">
      <w:pPr>
        <w:spacing w:after="0" w:line="240" w:lineRule="auto"/>
        <w:jc w:val="both"/>
        <w:rPr>
          <w:rFonts w:ascii="Verdana" w:eastAsia="Calibri" w:hAnsi="Verdana" w:cs="Arial"/>
          <w:lang w:val="es-ES" w:eastAsia="es-ES"/>
        </w:rPr>
      </w:pPr>
    </w:p>
    <w:p w14:paraId="38D6BA76" w14:textId="77777777" w:rsidR="00552E11" w:rsidRDefault="00552E11" w:rsidP="00552E11">
      <w:pPr>
        <w:spacing w:after="0" w:line="240" w:lineRule="auto"/>
        <w:jc w:val="both"/>
        <w:rPr>
          <w:rFonts w:ascii="Verdana" w:eastAsia="Calibri" w:hAnsi="Verdana" w:cs="Arial"/>
          <w:lang w:val="es-ES" w:eastAsia="es-ES"/>
        </w:rPr>
      </w:pPr>
    </w:p>
    <w:p w14:paraId="20BC0A99" w14:textId="77777777" w:rsidR="00552E11" w:rsidRDefault="00552E11" w:rsidP="00552E11">
      <w:pPr>
        <w:spacing w:after="0" w:line="240" w:lineRule="auto"/>
        <w:jc w:val="both"/>
        <w:rPr>
          <w:rFonts w:ascii="Verdana" w:eastAsia="Calibri" w:hAnsi="Verdana" w:cs="Arial"/>
          <w:lang w:val="es-ES" w:eastAsia="es-ES"/>
        </w:rPr>
      </w:pPr>
    </w:p>
    <w:p w14:paraId="68EF5F3B" w14:textId="77777777" w:rsidR="00552E11" w:rsidRPr="00CD2674" w:rsidRDefault="00552E11" w:rsidP="00552E11">
      <w:pPr>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Señor</w:t>
      </w:r>
    </w:p>
    <w:p w14:paraId="4225377F" w14:textId="77777777" w:rsidR="00552E11" w:rsidRDefault="00552E11" w:rsidP="00552E11">
      <w:pPr>
        <w:spacing w:after="0" w:line="240" w:lineRule="auto"/>
        <w:rPr>
          <w:rFonts w:ascii="Verdana" w:hAnsi="Verdana" w:cs="Arial"/>
          <w:b/>
          <w:bCs/>
        </w:rPr>
      </w:pPr>
      <w:r>
        <w:rPr>
          <w:rFonts w:ascii="Verdana" w:hAnsi="Verdana" w:cs="Arial"/>
          <w:b/>
          <w:bCs/>
        </w:rPr>
        <w:t>RAFAEL ALBERTO VEGA CAICEDO</w:t>
      </w:r>
    </w:p>
    <w:p w14:paraId="28CECD8B" w14:textId="77777777" w:rsidR="00552E11" w:rsidRDefault="00BA06A2" w:rsidP="00552E11">
      <w:pPr>
        <w:spacing w:after="0" w:line="240" w:lineRule="auto"/>
        <w:rPr>
          <w:rFonts w:ascii="Verdana" w:hAnsi="Verdana" w:cs="Arial"/>
        </w:rPr>
      </w:pPr>
      <w:hyperlink r:id="rId11" w:history="1">
        <w:r w:rsidR="00552E11" w:rsidRPr="00677912">
          <w:rPr>
            <w:rStyle w:val="Hipervnculo"/>
            <w:rFonts w:ascii="Verdana" w:hAnsi="Verdana" w:cs="Arial"/>
          </w:rPr>
          <w:t>abogvegac@gmail.com</w:t>
        </w:r>
      </w:hyperlink>
    </w:p>
    <w:p w14:paraId="20B00F23" w14:textId="77777777" w:rsidR="00552E11" w:rsidRDefault="00552E11" w:rsidP="00552E11">
      <w:pPr>
        <w:spacing w:after="0" w:line="240" w:lineRule="auto"/>
        <w:rPr>
          <w:rFonts w:ascii="Verdana" w:hAnsi="Verdana" w:cs="Arial"/>
        </w:rPr>
      </w:pPr>
      <w:r>
        <w:rPr>
          <w:rFonts w:ascii="Verdana" w:hAnsi="Verdana" w:cs="Arial"/>
        </w:rPr>
        <w:t>Mitú- Vaupés</w:t>
      </w:r>
    </w:p>
    <w:p w14:paraId="1D4169B0" w14:textId="118D8225" w:rsidR="00552E11" w:rsidRDefault="001C124E" w:rsidP="001C124E">
      <w:pPr>
        <w:spacing w:after="0" w:line="240" w:lineRule="auto"/>
        <w:jc w:val="right"/>
        <w:rPr>
          <w:rFonts w:ascii="Verdana" w:hAnsi="Verdana" w:cs="Arial"/>
        </w:rPr>
      </w:pPr>
      <w:r w:rsidRPr="001C124E">
        <w:rPr>
          <w:rFonts w:ascii="Verdana" w:hAnsi="Verdana" w:cs="Arial"/>
          <w:noProof/>
        </w:rPr>
        <w:drawing>
          <wp:inline distT="0" distB="0" distL="0" distR="0" wp14:anchorId="7CC66D13" wp14:editId="63537579">
            <wp:extent cx="3429479" cy="933580"/>
            <wp:effectExtent l="0" t="0" r="0" b="0"/>
            <wp:docPr id="13436092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09284" name=""/>
                    <pic:cNvPicPr/>
                  </pic:nvPicPr>
                  <pic:blipFill>
                    <a:blip r:embed="rId12"/>
                    <a:stretch>
                      <a:fillRect/>
                    </a:stretch>
                  </pic:blipFill>
                  <pic:spPr>
                    <a:xfrm>
                      <a:off x="0" y="0"/>
                      <a:ext cx="3429479" cy="933580"/>
                    </a:xfrm>
                    <a:prstGeom prst="rect">
                      <a:avLst/>
                    </a:prstGeom>
                  </pic:spPr>
                </pic:pic>
              </a:graphicData>
            </a:graphic>
          </wp:inline>
        </w:drawing>
      </w:r>
    </w:p>
    <w:p w14:paraId="718052B6" w14:textId="77777777" w:rsidR="00552E11" w:rsidRPr="00B167C6" w:rsidRDefault="00552E11" w:rsidP="00552E11">
      <w:pPr>
        <w:spacing w:after="0" w:line="240" w:lineRule="auto"/>
        <w:rPr>
          <w:rFonts w:ascii="Verdana" w:hAnsi="Verdana" w:cs="Arial"/>
        </w:rPr>
      </w:pPr>
    </w:p>
    <w:p w14:paraId="62F1FEC9" w14:textId="77777777" w:rsidR="00552E11" w:rsidRPr="00CD2674" w:rsidRDefault="00552E11" w:rsidP="00552E11">
      <w:pPr>
        <w:spacing w:after="0" w:line="240" w:lineRule="auto"/>
        <w:rPr>
          <w:rFonts w:ascii="Verdana" w:eastAsia="Calibri" w:hAnsi="Verdana" w:cs="Arial"/>
          <w:b/>
          <w:bCs/>
          <w:lang w:val="es-ES" w:eastAsia="es-ES"/>
        </w:rPr>
      </w:pPr>
    </w:p>
    <w:p w14:paraId="78C849CC" w14:textId="77777777" w:rsidR="00552E11" w:rsidRPr="00CD2674" w:rsidRDefault="00552E11" w:rsidP="00552E1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52E11" w:rsidRPr="00CD2674" w14:paraId="240C1381" w14:textId="77777777" w:rsidTr="00B17A80">
        <w:trPr>
          <w:trHeight w:val="884"/>
        </w:trPr>
        <w:tc>
          <w:tcPr>
            <w:tcW w:w="2689" w:type="dxa"/>
          </w:tcPr>
          <w:p w14:paraId="36C3FCB7" w14:textId="77777777" w:rsidR="00552E11" w:rsidRPr="00CD2674" w:rsidRDefault="00552E11" w:rsidP="00B17A80">
            <w:pPr>
              <w:jc w:val="both"/>
              <w:rPr>
                <w:rFonts w:ascii="Verdana" w:eastAsia="Calibri" w:hAnsi="Verdana" w:cs="Arial"/>
                <w:b/>
                <w:bCs/>
                <w:lang w:val="es-ES_tradnl" w:eastAsia="es-ES_tradnl"/>
              </w:rPr>
            </w:pPr>
          </w:p>
        </w:tc>
        <w:tc>
          <w:tcPr>
            <w:tcW w:w="6100" w:type="dxa"/>
          </w:tcPr>
          <w:p w14:paraId="17C2B7A6" w14:textId="77777777" w:rsidR="00552E11" w:rsidRPr="00CD2674" w:rsidRDefault="00552E11" w:rsidP="00B17A80">
            <w:pPr>
              <w:jc w:val="both"/>
              <w:rPr>
                <w:rFonts w:ascii="Verdana" w:eastAsia="Calibri" w:hAnsi="Verdana" w:cs="Arial"/>
                <w:b/>
                <w:bCs/>
                <w:lang w:val="es-ES" w:eastAsia="es-ES"/>
              </w:rPr>
            </w:pPr>
            <w:r w:rsidRPr="00CD2674">
              <w:rPr>
                <w:rFonts w:ascii="Verdana" w:eastAsia="Calibri" w:hAnsi="Verdana" w:cs="Arial"/>
                <w:b/>
                <w:bCs/>
                <w:lang w:val="es-ES" w:eastAsia="es-ES"/>
              </w:rPr>
              <w:t xml:space="preserve">Concepto C- </w:t>
            </w:r>
            <w:r>
              <w:rPr>
                <w:rFonts w:ascii="Verdana" w:eastAsia="Calibri" w:hAnsi="Verdana" w:cs="Arial"/>
                <w:b/>
                <w:bCs/>
                <w:lang w:val="es-ES" w:eastAsia="es-ES"/>
              </w:rPr>
              <w:t>539</w:t>
            </w:r>
            <w:r w:rsidRPr="00CD2674">
              <w:rPr>
                <w:rFonts w:ascii="Verdana" w:eastAsia="Calibri" w:hAnsi="Verdana" w:cs="Arial"/>
                <w:b/>
                <w:bCs/>
                <w:lang w:val="es-ES" w:eastAsia="es-ES"/>
              </w:rPr>
              <w:t xml:space="preserve"> de 2024</w:t>
            </w:r>
          </w:p>
        </w:tc>
      </w:tr>
      <w:tr w:rsidR="00552E11" w:rsidRPr="00CD2674" w14:paraId="54958248" w14:textId="77777777" w:rsidTr="00B17A80">
        <w:trPr>
          <w:trHeight w:val="884"/>
        </w:trPr>
        <w:tc>
          <w:tcPr>
            <w:tcW w:w="2689" w:type="dxa"/>
          </w:tcPr>
          <w:p w14:paraId="7E54F82D" w14:textId="77777777" w:rsidR="00552E11" w:rsidRPr="00CD2674" w:rsidRDefault="00552E11" w:rsidP="00B17A80">
            <w:pPr>
              <w:jc w:val="both"/>
              <w:rPr>
                <w:rFonts w:ascii="Verdana" w:eastAsia="Calibri" w:hAnsi="Verdana" w:cs="Arial"/>
                <w:lang w:val="es-ES_tradnl" w:eastAsia="es-ES_tradnl"/>
              </w:rPr>
            </w:pPr>
            <w:r w:rsidRPr="00CD2674">
              <w:rPr>
                <w:rFonts w:ascii="Verdana" w:eastAsia="Calibri" w:hAnsi="Verdana" w:cs="Arial"/>
                <w:b/>
                <w:lang w:val="es-ES_tradnl" w:eastAsia="es-ES_tradnl"/>
              </w:rPr>
              <w:t>Temas:</w:t>
            </w:r>
            <w:r w:rsidRPr="00CD2674">
              <w:rPr>
                <w:rFonts w:ascii="Verdana" w:eastAsia="Calibri" w:hAnsi="Verdana" w:cs="Arial"/>
                <w:lang w:val="es-ES_tradnl" w:eastAsia="es-ES_tradnl"/>
              </w:rPr>
              <w:t xml:space="preserve">                   </w:t>
            </w:r>
          </w:p>
        </w:tc>
        <w:tc>
          <w:tcPr>
            <w:tcW w:w="6100" w:type="dxa"/>
          </w:tcPr>
          <w:p w14:paraId="1CC1DF05" w14:textId="77777777" w:rsidR="00552E11" w:rsidRPr="00B04F87" w:rsidRDefault="00552E11" w:rsidP="00B17A80">
            <w:pPr>
              <w:jc w:val="both"/>
              <w:rPr>
                <w:rFonts w:ascii="Verdana" w:hAnsi="Verdana" w:cs="Arial"/>
                <w:b/>
                <w:lang w:val="es-ES"/>
              </w:rPr>
            </w:pPr>
            <w:r w:rsidRPr="00B04F87">
              <w:rPr>
                <w:rFonts w:ascii="Arial" w:eastAsia="Calibri" w:hAnsi="Arial" w:cs="Arial"/>
                <w:b/>
              </w:rPr>
              <w:t>ACTA DE INICIO – Definición – Marco normativo – Incumplimiento de requisitos de ejecución del contrato estatal –</w:t>
            </w:r>
          </w:p>
        </w:tc>
      </w:tr>
      <w:tr w:rsidR="00552E11" w:rsidRPr="00CD2674" w14:paraId="55064382" w14:textId="77777777" w:rsidTr="00B17A80">
        <w:tc>
          <w:tcPr>
            <w:tcW w:w="2689" w:type="dxa"/>
          </w:tcPr>
          <w:p w14:paraId="06B3D83B" w14:textId="77777777" w:rsidR="00552E11" w:rsidRPr="00CD2674" w:rsidRDefault="00552E11" w:rsidP="00B17A80">
            <w:pPr>
              <w:jc w:val="both"/>
              <w:rPr>
                <w:rFonts w:ascii="Verdana" w:eastAsia="Calibri" w:hAnsi="Verdana" w:cs="Arial"/>
                <w:b/>
                <w:lang w:val="es-ES_tradnl" w:eastAsia="es-ES_tradnl"/>
              </w:rPr>
            </w:pPr>
            <w:r w:rsidRPr="00CD2674">
              <w:rPr>
                <w:rFonts w:ascii="Verdana" w:eastAsia="Calibri" w:hAnsi="Verdana" w:cs="Arial"/>
                <w:b/>
                <w:lang w:val="es-ES_tradnl" w:eastAsia="es-ES_tradnl"/>
              </w:rPr>
              <w:t>Radicación:</w:t>
            </w:r>
            <w:r w:rsidRPr="00CD2674">
              <w:rPr>
                <w:rFonts w:ascii="Verdana" w:eastAsia="Calibri" w:hAnsi="Verdana" w:cs="Arial"/>
                <w:lang w:val="es-ES_tradnl" w:eastAsia="es-ES_tradnl"/>
              </w:rPr>
              <w:t xml:space="preserve">               </w:t>
            </w:r>
          </w:p>
        </w:tc>
        <w:tc>
          <w:tcPr>
            <w:tcW w:w="6100" w:type="dxa"/>
          </w:tcPr>
          <w:p w14:paraId="3C7AFB44" w14:textId="77777777" w:rsidR="00552E11" w:rsidRPr="00CD2674" w:rsidRDefault="00552E11" w:rsidP="00B17A80">
            <w:pPr>
              <w:jc w:val="both"/>
              <w:rPr>
                <w:rFonts w:ascii="Verdana" w:hAnsi="Verdana" w:cs="Arial"/>
              </w:rPr>
            </w:pPr>
            <w:r w:rsidRPr="00CD2674">
              <w:rPr>
                <w:rFonts w:ascii="Verdana" w:hAnsi="Verdana" w:cs="Arial"/>
              </w:rPr>
              <w:t xml:space="preserve">Respuesta a consulta con radicado No. </w:t>
            </w:r>
            <w:r w:rsidRPr="00C71348">
              <w:rPr>
                <w:rFonts w:ascii="Verdana" w:hAnsi="Verdana" w:cs="Arial"/>
              </w:rPr>
              <w:t>P20240830008832</w:t>
            </w:r>
          </w:p>
        </w:tc>
      </w:tr>
    </w:tbl>
    <w:p w14:paraId="6C58A9F7" w14:textId="77777777" w:rsidR="00552E11" w:rsidRPr="00CD2674" w:rsidRDefault="00552E11" w:rsidP="00552E11">
      <w:pPr>
        <w:spacing w:after="0" w:line="240" w:lineRule="auto"/>
        <w:jc w:val="both"/>
        <w:rPr>
          <w:rFonts w:ascii="Verdana" w:eastAsia="Calibri" w:hAnsi="Verdana" w:cs="Arial"/>
          <w:lang w:val="es-ES_tradnl" w:eastAsia="es-ES_tradnl"/>
        </w:rPr>
      </w:pPr>
    </w:p>
    <w:p w14:paraId="207D5D79" w14:textId="77777777" w:rsidR="00552E11" w:rsidRPr="00CD2674" w:rsidRDefault="00552E11" w:rsidP="00552E11">
      <w:pPr>
        <w:spacing w:after="0" w:line="240" w:lineRule="auto"/>
        <w:jc w:val="both"/>
        <w:rPr>
          <w:rFonts w:ascii="Verdana" w:eastAsia="Calibri" w:hAnsi="Verdana" w:cs="Arial"/>
          <w:lang w:val="es-ES_tradnl" w:eastAsia="es-ES_tradnl"/>
        </w:rPr>
      </w:pPr>
    </w:p>
    <w:p w14:paraId="04779E70" w14:textId="77777777" w:rsidR="00552E11" w:rsidRPr="00CD2674" w:rsidRDefault="00552E11" w:rsidP="00552E11">
      <w:pPr>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Estimad</w:t>
      </w:r>
      <w:r>
        <w:rPr>
          <w:rFonts w:ascii="Verdana" w:eastAsia="Calibri" w:hAnsi="Verdana" w:cs="Arial"/>
          <w:lang w:val="es-ES" w:eastAsia="es-ES"/>
        </w:rPr>
        <w:t>o</w:t>
      </w:r>
      <w:r w:rsidRPr="00CD2674">
        <w:rPr>
          <w:rFonts w:ascii="Verdana" w:eastAsia="Calibri" w:hAnsi="Verdana" w:cs="Arial"/>
          <w:lang w:val="es-ES" w:eastAsia="es-ES"/>
        </w:rPr>
        <w:t xml:space="preserve"> señor </w:t>
      </w:r>
      <w:r>
        <w:rPr>
          <w:rFonts w:ascii="Verdana" w:eastAsia="Calibri" w:hAnsi="Verdana" w:cs="Arial"/>
          <w:lang w:val="es-ES" w:eastAsia="es-ES"/>
        </w:rPr>
        <w:t>Vega Caicedo</w:t>
      </w:r>
      <w:r w:rsidRPr="00CD2674">
        <w:rPr>
          <w:rFonts w:ascii="Verdana" w:eastAsia="Calibri" w:hAnsi="Verdana" w:cs="Arial"/>
          <w:lang w:val="es-ES" w:eastAsia="es-ES"/>
        </w:rPr>
        <w:t xml:space="preserve">: </w:t>
      </w:r>
    </w:p>
    <w:p w14:paraId="7C05D9FE" w14:textId="77777777" w:rsidR="00552E11" w:rsidRPr="00CD2674" w:rsidRDefault="00552E11" w:rsidP="00552E11">
      <w:pPr>
        <w:tabs>
          <w:tab w:val="left" w:pos="3768"/>
        </w:tabs>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ab/>
      </w:r>
    </w:p>
    <w:p w14:paraId="0788E508" w14:textId="77777777" w:rsidR="00552E11" w:rsidRPr="00CD2674" w:rsidRDefault="00552E11" w:rsidP="00552E11">
      <w:pPr>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En ejercicio de la competencia otorgada por los artículos 3, numeral 5º, y 11, numeral 8º, del Decreto Ley 4170 de 2011,</w:t>
      </w:r>
      <w:r w:rsidRPr="00CD2674">
        <w:rPr>
          <w:rFonts w:ascii="Verdana" w:eastAsia="Arial MT" w:hAnsi="Verdana" w:cs="Arial MT"/>
          <w:lang w:val="es-ES" w:eastAsia="es-ES"/>
        </w:rPr>
        <w:t xml:space="preserve"> </w:t>
      </w:r>
      <w:r w:rsidRPr="00CD2674">
        <w:rPr>
          <w:rFonts w:ascii="Verdana" w:hAnsi="Verdana" w:cs="Arial"/>
        </w:rPr>
        <w:t xml:space="preserve">así como lo establecido en el artículo 4 de la Resolución 1707 de 2018 expedida por esta Entidad, </w:t>
      </w:r>
      <w:r w:rsidRPr="00CD2674">
        <w:rPr>
          <w:rFonts w:ascii="Verdana" w:eastAsia="Calibri" w:hAnsi="Verdana" w:cs="Arial"/>
          <w:lang w:val="es-ES" w:eastAsia="es-ES"/>
        </w:rPr>
        <w:t>la Agencia Nacional de Contratación Pública – Colombia Compra Eficiente– responde su solicitud de consulta de fecha</w:t>
      </w:r>
      <w:r>
        <w:rPr>
          <w:rFonts w:ascii="Verdana" w:eastAsia="Calibri" w:hAnsi="Verdana" w:cs="Arial"/>
          <w:lang w:val="es-ES" w:eastAsia="es-ES"/>
        </w:rPr>
        <w:t xml:space="preserve"> 30</w:t>
      </w:r>
      <w:r w:rsidRPr="00CD2674">
        <w:rPr>
          <w:rFonts w:ascii="Verdana" w:eastAsia="Calibri" w:hAnsi="Verdana" w:cs="Arial"/>
          <w:lang w:val="es-ES" w:eastAsia="es-ES"/>
        </w:rPr>
        <w:t xml:space="preserve"> de </w:t>
      </w:r>
      <w:r>
        <w:rPr>
          <w:rFonts w:ascii="Verdana" w:eastAsia="Calibri" w:hAnsi="Verdana" w:cs="Arial"/>
          <w:lang w:val="es-ES" w:eastAsia="es-ES"/>
        </w:rPr>
        <w:t>agosto</w:t>
      </w:r>
      <w:r w:rsidRPr="00CD2674">
        <w:rPr>
          <w:rFonts w:ascii="Verdana" w:eastAsia="Calibri" w:hAnsi="Verdana" w:cs="Arial"/>
          <w:lang w:val="es-ES" w:eastAsia="es-ES"/>
        </w:rPr>
        <w:t xml:space="preserve"> de 2024, en la cual manifiesta lo siguiente: </w:t>
      </w:r>
    </w:p>
    <w:p w14:paraId="29C70BD8" w14:textId="77777777" w:rsidR="00552E11" w:rsidRPr="00CD2674" w:rsidRDefault="00552E11" w:rsidP="00552E11">
      <w:pPr>
        <w:spacing w:after="0" w:line="240" w:lineRule="auto"/>
        <w:ind w:left="709" w:right="709"/>
        <w:jc w:val="both"/>
        <w:rPr>
          <w:rFonts w:ascii="Verdana" w:eastAsia="Century Gothic" w:hAnsi="Verdana" w:cs="Century Gothic"/>
          <w:b/>
          <w:bCs/>
        </w:rPr>
      </w:pPr>
    </w:p>
    <w:p w14:paraId="541E3030" w14:textId="77777777" w:rsidR="00552E11" w:rsidRPr="00B167C6" w:rsidRDefault="00552E11" w:rsidP="00552E11">
      <w:pPr>
        <w:spacing w:after="0" w:line="240" w:lineRule="auto"/>
        <w:ind w:left="709" w:right="709"/>
        <w:jc w:val="both"/>
        <w:rPr>
          <w:rFonts w:ascii="Verdana" w:eastAsia="Century Gothic" w:hAnsi="Verdana" w:cs="Century Gothic"/>
          <w:sz w:val="21"/>
          <w:szCs w:val="21"/>
        </w:rPr>
      </w:pPr>
      <w:r w:rsidRPr="00CD2674">
        <w:rPr>
          <w:rFonts w:ascii="Verdana" w:eastAsia="Century Gothic" w:hAnsi="Verdana" w:cs="Century Gothic"/>
          <w:sz w:val="21"/>
          <w:szCs w:val="21"/>
        </w:rPr>
        <w:lastRenderedPageBreak/>
        <w:t xml:space="preserve"> </w:t>
      </w:r>
      <w:proofErr w:type="gramStart"/>
      <w:r w:rsidRPr="00CD2674">
        <w:rPr>
          <w:rFonts w:ascii="Verdana" w:eastAsia="Century Gothic" w:hAnsi="Verdana" w:cs="Century Gothic"/>
          <w:sz w:val="21"/>
          <w:szCs w:val="21"/>
        </w:rPr>
        <w:t xml:space="preserve">“ </w:t>
      </w:r>
      <w:r w:rsidRPr="00B167C6">
        <w:rPr>
          <w:rFonts w:ascii="Verdana" w:eastAsia="Century Gothic" w:hAnsi="Verdana" w:cs="Century Gothic"/>
          <w:sz w:val="21"/>
          <w:szCs w:val="21"/>
        </w:rPr>
        <w:t>QUIERO</w:t>
      </w:r>
      <w:proofErr w:type="gramEnd"/>
      <w:r w:rsidRPr="00B167C6">
        <w:rPr>
          <w:rFonts w:ascii="Verdana" w:eastAsia="Century Gothic" w:hAnsi="Verdana" w:cs="Century Gothic"/>
          <w:sz w:val="21"/>
          <w:szCs w:val="21"/>
        </w:rPr>
        <w:t xml:space="preserve"> CONSULTAR SI UNA ENTIDAD PUBLICA PUEDE SUSCRIBIR EL ACTA</w:t>
      </w:r>
      <w:r>
        <w:rPr>
          <w:rFonts w:ascii="Verdana" w:eastAsia="Century Gothic" w:hAnsi="Verdana" w:cs="Century Gothic"/>
          <w:sz w:val="21"/>
          <w:szCs w:val="21"/>
        </w:rPr>
        <w:t xml:space="preserve"> </w:t>
      </w:r>
      <w:r w:rsidRPr="00B167C6">
        <w:rPr>
          <w:rFonts w:ascii="Verdana" w:eastAsia="Century Gothic" w:hAnsi="Verdana" w:cs="Century Gothic"/>
          <w:sz w:val="21"/>
          <w:szCs w:val="21"/>
        </w:rPr>
        <w:t>DE INICIO D EUN CONTRATO D EPRESTACION DE SERVICIOS UN DIA</w:t>
      </w:r>
      <w:r>
        <w:rPr>
          <w:rFonts w:ascii="Verdana" w:eastAsia="Century Gothic" w:hAnsi="Verdana" w:cs="Century Gothic"/>
          <w:sz w:val="21"/>
          <w:szCs w:val="21"/>
        </w:rPr>
        <w:t xml:space="preserve"> </w:t>
      </w:r>
      <w:r w:rsidRPr="00B167C6">
        <w:rPr>
          <w:rFonts w:ascii="Verdana" w:eastAsia="Century Gothic" w:hAnsi="Verdana" w:cs="Century Gothic"/>
          <w:sz w:val="21"/>
          <w:szCs w:val="21"/>
        </w:rPr>
        <w:t>FERIADO, EJEMPLO UN DOMINGO, O EXISTE ALGUNA RESTRICCION AL</w:t>
      </w:r>
      <w:r>
        <w:rPr>
          <w:rFonts w:ascii="Verdana" w:eastAsia="Century Gothic" w:hAnsi="Verdana" w:cs="Century Gothic"/>
          <w:sz w:val="21"/>
          <w:szCs w:val="21"/>
        </w:rPr>
        <w:t xml:space="preserve"> </w:t>
      </w:r>
      <w:r w:rsidRPr="00B167C6">
        <w:rPr>
          <w:rFonts w:ascii="Verdana" w:eastAsia="Century Gothic" w:hAnsi="Verdana" w:cs="Century Gothic"/>
          <w:sz w:val="21"/>
          <w:szCs w:val="21"/>
        </w:rPr>
        <w:t>RESPECTO</w:t>
      </w:r>
      <w:r w:rsidRPr="00CD2674">
        <w:rPr>
          <w:rStyle w:val="normaltextrun"/>
          <w:rFonts w:ascii="Verdana" w:hAnsi="Verdana" w:cs="Arial"/>
          <w:sz w:val="21"/>
          <w:szCs w:val="21"/>
          <w:shd w:val="clear" w:color="auto" w:fill="FFFFFF"/>
          <w:lang w:val="es-ES"/>
        </w:rPr>
        <w:t>”</w:t>
      </w:r>
      <w:r w:rsidRPr="00CD2674">
        <w:rPr>
          <w:rFonts w:ascii="Verdana" w:eastAsia="Century Gothic" w:hAnsi="Verdana" w:cs="Century Gothic"/>
          <w:sz w:val="21"/>
          <w:szCs w:val="21"/>
          <w:lang w:val="es-ES"/>
        </w:rPr>
        <w:t>.</w:t>
      </w:r>
      <w:r>
        <w:rPr>
          <w:rFonts w:ascii="Verdana" w:eastAsia="Century Gothic" w:hAnsi="Verdana" w:cs="Century Gothic"/>
          <w:sz w:val="21"/>
          <w:szCs w:val="21"/>
          <w:lang w:val="es-ES"/>
        </w:rPr>
        <w:t>(SIC)</w:t>
      </w:r>
    </w:p>
    <w:p w14:paraId="252B8FA9" w14:textId="77777777" w:rsidR="00552E11" w:rsidRPr="00CD2674" w:rsidRDefault="00552E11" w:rsidP="00552E11">
      <w:pPr>
        <w:pStyle w:val="Prrafodelista"/>
        <w:tabs>
          <w:tab w:val="left" w:pos="142"/>
          <w:tab w:val="left" w:pos="284"/>
        </w:tabs>
        <w:spacing w:line="240" w:lineRule="auto"/>
        <w:ind w:left="0"/>
        <w:jc w:val="both"/>
        <w:rPr>
          <w:rFonts w:ascii="Verdana" w:eastAsia="Century Gothic" w:hAnsi="Verdana" w:cs="Century Gothic"/>
          <w:b/>
          <w:bCs/>
        </w:rPr>
      </w:pPr>
    </w:p>
    <w:p w14:paraId="1333014B" w14:textId="77777777" w:rsidR="00552E11" w:rsidRPr="00CD2674" w:rsidRDefault="00552E11" w:rsidP="00552E11">
      <w:pPr>
        <w:spacing w:after="120" w:line="240" w:lineRule="auto"/>
        <w:ind w:firstLine="709"/>
        <w:jc w:val="both"/>
        <w:rPr>
          <w:rFonts w:ascii="Verdana" w:eastAsia="Calibri" w:hAnsi="Verdana" w:cs="Arial"/>
          <w:szCs w:val="24"/>
          <w:lang w:val="es-ES_tradnl" w:eastAsia="es-ES_tradnl"/>
        </w:rPr>
      </w:pPr>
      <w:r w:rsidRPr="00CD267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2674">
        <w:rPr>
          <w:rFonts w:ascii="Verdana" w:eastAsia="Calibri" w:hAnsi="Verdana" w:cs="Arial"/>
          <w:szCs w:val="24"/>
          <w:lang w:val="es-ES_tradnl" w:eastAsia="es-ES_tradnl"/>
        </w:rPr>
        <w:tab/>
      </w:r>
    </w:p>
    <w:p w14:paraId="26C544E2" w14:textId="77777777" w:rsidR="00552E11" w:rsidRPr="00CD2674" w:rsidRDefault="00552E11" w:rsidP="00552E11">
      <w:pPr>
        <w:spacing w:after="0" w:line="240" w:lineRule="auto"/>
        <w:ind w:firstLine="709"/>
        <w:jc w:val="both"/>
        <w:rPr>
          <w:rFonts w:ascii="Verdana" w:eastAsia="Calibri" w:hAnsi="Verdana" w:cs="Arial"/>
          <w:lang w:val="es-ES" w:eastAsia="es-ES"/>
        </w:rPr>
      </w:pPr>
      <w:r w:rsidRPr="00CD267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8F05323" w14:textId="77777777" w:rsidR="00552E11" w:rsidRPr="00CD2674" w:rsidRDefault="00552E11" w:rsidP="00552E11">
      <w:pPr>
        <w:spacing w:after="0" w:line="240" w:lineRule="auto"/>
        <w:ind w:firstLine="709"/>
        <w:jc w:val="both"/>
        <w:rPr>
          <w:rFonts w:ascii="Verdana" w:eastAsia="Calibri" w:hAnsi="Verdana" w:cs="Arial"/>
          <w:lang w:val="es-ES" w:eastAsia="es-ES"/>
        </w:rPr>
      </w:pPr>
    </w:p>
    <w:p w14:paraId="36B25908" w14:textId="77777777" w:rsidR="00552E11" w:rsidRPr="00CD2674" w:rsidRDefault="00552E11" w:rsidP="00552E11">
      <w:pPr>
        <w:pStyle w:val="Prrafodelista"/>
        <w:numPr>
          <w:ilvl w:val="0"/>
          <w:numId w:val="4"/>
        </w:numPr>
        <w:tabs>
          <w:tab w:val="left" w:pos="142"/>
          <w:tab w:val="left" w:pos="284"/>
        </w:tabs>
        <w:spacing w:after="0" w:line="240" w:lineRule="auto"/>
        <w:ind w:left="0" w:firstLine="0"/>
        <w:jc w:val="both"/>
        <w:rPr>
          <w:rFonts w:ascii="Verdana" w:eastAsia="Century Gothic" w:hAnsi="Verdana" w:cs="Century Gothic"/>
          <w:b/>
          <w:bCs/>
        </w:rPr>
      </w:pPr>
      <w:r w:rsidRPr="00CD2674">
        <w:rPr>
          <w:rFonts w:ascii="Verdana" w:eastAsia="Century Gothic" w:hAnsi="Verdana" w:cs="Century Gothic"/>
          <w:b/>
          <w:bCs/>
        </w:rPr>
        <w:t>Problema planteado:</w:t>
      </w:r>
    </w:p>
    <w:p w14:paraId="730E505C" w14:textId="77777777" w:rsidR="00552E11" w:rsidRPr="00CD2674" w:rsidRDefault="00552E11" w:rsidP="00552E11">
      <w:pPr>
        <w:tabs>
          <w:tab w:val="left" w:pos="426"/>
        </w:tabs>
        <w:spacing w:after="0" w:line="240" w:lineRule="auto"/>
        <w:jc w:val="both"/>
        <w:rPr>
          <w:rFonts w:ascii="Verdana" w:eastAsia="Century Gothic" w:hAnsi="Verdana" w:cs="Century Gothic"/>
          <w:lang w:val="es-ES"/>
        </w:rPr>
      </w:pPr>
    </w:p>
    <w:p w14:paraId="072DCC11" w14:textId="77777777" w:rsidR="00552E11" w:rsidRPr="00CD2674" w:rsidRDefault="00552E11" w:rsidP="00552E11">
      <w:pPr>
        <w:spacing w:after="0" w:line="240" w:lineRule="auto"/>
        <w:jc w:val="both"/>
        <w:rPr>
          <w:rFonts w:ascii="Verdana" w:eastAsia="Calibri" w:hAnsi="Verdana" w:cs="Arial"/>
          <w:lang w:val="es-ES" w:eastAsia="es-ES"/>
        </w:rPr>
      </w:pPr>
      <w:r w:rsidRPr="00CD2674">
        <w:rPr>
          <w:rFonts w:ascii="Verdana" w:eastAsia="Century Gothic" w:hAnsi="Verdana" w:cs="Century Gothic"/>
        </w:rPr>
        <w:t xml:space="preserve">De acuerdo con </w:t>
      </w:r>
      <w:r w:rsidRPr="00CD2674">
        <w:rPr>
          <w:rFonts w:ascii="Verdana" w:eastAsia="Calibri" w:hAnsi="Verdana" w:cs="Arial"/>
          <w:lang w:val="es-ES" w:eastAsia="es-ES"/>
        </w:rPr>
        <w:t xml:space="preserve">el contenido de su solicitud, esta Agencia resolverá el siguiente problema jurídico: </w:t>
      </w:r>
      <w:r>
        <w:rPr>
          <w:rFonts w:ascii="Verdana" w:eastAsia="Calibri" w:hAnsi="Verdana" w:cs="Arial"/>
          <w:lang w:val="es-ES" w:eastAsia="es-ES"/>
        </w:rPr>
        <w:t>¿Cuándo se puede suscribir un acta de inicio</w:t>
      </w:r>
      <w:r w:rsidRPr="00CD2674">
        <w:rPr>
          <w:rFonts w:ascii="Verdana" w:eastAsia="Calibri" w:hAnsi="Verdana" w:cs="Arial"/>
          <w:lang w:val="es-ES" w:eastAsia="es-ES"/>
        </w:rPr>
        <w:t xml:space="preserve">? </w:t>
      </w:r>
    </w:p>
    <w:p w14:paraId="02FA585C" w14:textId="77777777" w:rsidR="00552E11" w:rsidRPr="00CD2674" w:rsidRDefault="00552E11" w:rsidP="00552E11">
      <w:pPr>
        <w:spacing w:after="0" w:line="240" w:lineRule="auto"/>
        <w:jc w:val="both"/>
        <w:rPr>
          <w:rFonts w:ascii="Verdana" w:eastAsia="Calibri" w:hAnsi="Verdana" w:cs="Arial"/>
          <w:lang w:val="es-ES" w:eastAsia="es-ES"/>
        </w:rPr>
      </w:pPr>
    </w:p>
    <w:p w14:paraId="591C6D07" w14:textId="77777777" w:rsidR="00552E11" w:rsidRPr="00CD2674" w:rsidRDefault="00552E11" w:rsidP="00552E11">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CD2674">
        <w:rPr>
          <w:rFonts w:ascii="Verdana" w:eastAsia="Century Gothic" w:hAnsi="Verdana" w:cs="Century Gothic"/>
          <w:b/>
          <w:bCs/>
        </w:rPr>
        <w:t>Respuesta:</w:t>
      </w:r>
    </w:p>
    <w:p w14:paraId="328F9ACF" w14:textId="77777777" w:rsidR="00552E11" w:rsidRPr="00CD2674" w:rsidRDefault="00552E11" w:rsidP="00552E11">
      <w:pPr>
        <w:tabs>
          <w:tab w:val="left" w:pos="142"/>
          <w:tab w:val="left" w:pos="284"/>
        </w:tabs>
        <w:spacing w:after="0" w:line="240"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2E11" w:rsidRPr="00CD2674" w14:paraId="5F73D301" w14:textId="77777777" w:rsidTr="00B17A80">
        <w:tc>
          <w:tcPr>
            <w:tcW w:w="8828" w:type="dxa"/>
            <w:shd w:val="clear" w:color="auto" w:fill="auto"/>
          </w:tcPr>
          <w:p w14:paraId="4A32CBF1" w14:textId="77777777" w:rsidR="00552E11" w:rsidRDefault="00552E11" w:rsidP="00B17A80">
            <w:pPr>
              <w:spacing w:before="120"/>
              <w:jc w:val="both"/>
              <w:rPr>
                <w:rFonts w:ascii="Verdana" w:eastAsia="Calibri" w:hAnsi="Verdana" w:cs="Arial"/>
              </w:rPr>
            </w:pPr>
            <w:r>
              <w:rPr>
                <w:rFonts w:ascii="Verdana" w:eastAsia="Calibri" w:hAnsi="Verdana" w:cs="Arial"/>
                <w:lang w:val="es-ES_tradnl" w:eastAsia="en-GB"/>
              </w:rPr>
              <w:t xml:space="preserve">En principio cabe mencionar que </w:t>
            </w:r>
            <w:r w:rsidRPr="004F5BC1">
              <w:rPr>
                <w:rFonts w:ascii="Verdana" w:eastAsia="Calibri" w:hAnsi="Verdana" w:cs="Arial"/>
                <w:lang w:val="es-ES_tradnl" w:eastAsia="en-GB"/>
              </w:rPr>
              <w:t xml:space="preserve">el acta de inicio constituye un requisito de ejecución </w:t>
            </w:r>
            <w:r w:rsidRPr="004F5BC1">
              <w:rPr>
                <w:rFonts w:ascii="Verdana" w:eastAsia="Calibri" w:hAnsi="Verdana" w:cs="Arial"/>
                <w:i/>
                <w:iCs/>
                <w:lang w:val="es-ES_tradnl" w:eastAsia="en-GB"/>
              </w:rPr>
              <w:t>convencional</w:t>
            </w:r>
            <w:r w:rsidRPr="004F5BC1">
              <w:rPr>
                <w:rFonts w:ascii="Verdana" w:eastAsia="Calibri" w:hAnsi="Verdana" w:cs="Arial"/>
                <w:lang w:val="es-ES_tradnl" w:eastAsia="en-GB"/>
              </w:rPr>
              <w:t>, que se pacta en la minuta del contrato o que el contratista acepta adhiriéndose al clausulado del pliego de condiciones o documento equivalente.  Por lo que será de obligatorio cumplimiento en la medida en que se encuentre pactado en los mencionados documentos.</w:t>
            </w:r>
            <w:r>
              <w:rPr>
                <w:rFonts w:ascii="Verdana" w:eastAsia="Calibri" w:hAnsi="Verdana" w:cs="Arial"/>
                <w:lang w:val="es-ES_tradnl" w:eastAsia="en-GB"/>
              </w:rPr>
              <w:t xml:space="preserve"> Así mismo hay que indicar que el acta de inicio </w:t>
            </w:r>
            <w:r w:rsidRPr="00F90A84">
              <w:rPr>
                <w:rFonts w:ascii="Verdana" w:eastAsia="Calibri" w:hAnsi="Verdana" w:cs="Arial"/>
              </w:rPr>
              <w:t>obedece a una buena práctica contractual, ya que brinda certeza acerca del inicio de la ejecución del contrato</w:t>
            </w:r>
            <w:r>
              <w:rPr>
                <w:rFonts w:ascii="Verdana" w:eastAsia="Calibri" w:hAnsi="Verdana" w:cs="Arial"/>
              </w:rPr>
              <w:t>.</w:t>
            </w:r>
          </w:p>
          <w:p w14:paraId="19C6C71A" w14:textId="77777777" w:rsidR="00552E11" w:rsidRDefault="00552E11" w:rsidP="00B17A80">
            <w:pPr>
              <w:spacing w:before="120"/>
              <w:jc w:val="both"/>
              <w:rPr>
                <w:rFonts w:ascii="Verdana" w:eastAsia="Calibri" w:hAnsi="Verdana" w:cs="Arial"/>
                <w:lang w:val="es-ES_tradnl" w:eastAsia="en-GB"/>
              </w:rPr>
            </w:pPr>
            <w:r>
              <w:rPr>
                <w:rFonts w:ascii="Verdana" w:eastAsia="Calibri" w:hAnsi="Verdana" w:cs="Arial"/>
              </w:rPr>
              <w:lastRenderedPageBreak/>
              <w:t xml:space="preserve">Teniendo en cuenta lo anterior, la suscripción del acta de inicio estará sujeta a lo acordado </w:t>
            </w:r>
            <w:r>
              <w:rPr>
                <w:rFonts w:ascii="Verdana" w:eastAsia="Calibri" w:hAnsi="Verdana" w:cs="Arial"/>
                <w:lang w:val="es-ES_tradnl" w:eastAsia="en-GB"/>
              </w:rPr>
              <w:t>por las partes en la minuta o pliego de condiciones, ya que no existe un término legal que indique cuando se debe suscribir este documento,</w:t>
            </w:r>
            <w:r w:rsidRPr="00083217">
              <w:rPr>
                <w:rFonts w:ascii="Segoe UI" w:hAnsi="Segoe UI" w:cs="Segoe UI"/>
                <w:color w:val="686868"/>
                <w:sz w:val="27"/>
                <w:szCs w:val="27"/>
                <w:shd w:val="clear" w:color="auto" w:fill="FFFFFF"/>
              </w:rPr>
              <w:t xml:space="preserve"> </w:t>
            </w:r>
            <w:r w:rsidRPr="00944712">
              <w:rPr>
                <w:rFonts w:ascii="Verdana" w:eastAsia="Calibri" w:hAnsi="Verdana" w:cs="Arial"/>
              </w:rPr>
              <w:t>sin embargo</w:t>
            </w:r>
            <w:r>
              <w:rPr>
                <w:rFonts w:ascii="Verdana" w:eastAsia="Calibri" w:hAnsi="Verdana" w:cs="Arial"/>
              </w:rPr>
              <w:t>,</w:t>
            </w:r>
            <w:r w:rsidRPr="00944712">
              <w:rPr>
                <w:rFonts w:ascii="Verdana" w:eastAsia="Calibri" w:hAnsi="Verdana" w:cs="Arial"/>
              </w:rPr>
              <w:t xml:space="preserve"> </w:t>
            </w:r>
            <w:r w:rsidRPr="00083217">
              <w:rPr>
                <w:rFonts w:ascii="Verdana" w:eastAsia="Calibri" w:hAnsi="Verdana" w:cs="Arial"/>
              </w:rPr>
              <w:t>la</w:t>
            </w:r>
            <w:r w:rsidRPr="00083217">
              <w:rPr>
                <w:rFonts w:ascii="Verdana" w:eastAsia="Calibri" w:hAnsi="Verdana" w:cs="Arial"/>
                <w:lang w:eastAsia="en-GB"/>
              </w:rPr>
              <w:t xml:space="preserve"> fecha que se defina en ella para iniciar la ejecución del contrato no puede ser anterior al cumplimiento de los requisitos de ejecución establecidos en la ley</w:t>
            </w:r>
            <w:r>
              <w:rPr>
                <w:rFonts w:ascii="Verdana" w:eastAsia="Calibri" w:hAnsi="Verdana" w:cs="Arial"/>
                <w:lang w:eastAsia="en-GB"/>
              </w:rPr>
              <w:t>,</w:t>
            </w:r>
            <w:r w:rsidRPr="00083217">
              <w:rPr>
                <w:rFonts w:ascii="Verdana" w:eastAsia="Calibri" w:hAnsi="Verdana" w:cs="Arial"/>
                <w:lang w:eastAsia="en-GB"/>
              </w:rPr>
              <w:t xml:space="preserve"> pues de lo contrario las partes estarían contrariando normas de orden público. </w:t>
            </w:r>
          </w:p>
          <w:p w14:paraId="79D0EF28" w14:textId="77777777" w:rsidR="00552E11" w:rsidRPr="00CD2674" w:rsidRDefault="00552E11" w:rsidP="00B17A80">
            <w:pPr>
              <w:spacing w:before="120"/>
              <w:jc w:val="both"/>
              <w:rPr>
                <w:rFonts w:ascii="Verdana" w:eastAsia="Calibri" w:hAnsi="Verdana" w:cs="Arial"/>
                <w:szCs w:val="24"/>
                <w:lang w:val="es-ES" w:eastAsia="es-ES_tradnl"/>
              </w:rPr>
            </w:pPr>
          </w:p>
        </w:tc>
      </w:tr>
    </w:tbl>
    <w:p w14:paraId="7972C8C4" w14:textId="77777777" w:rsidR="00552E11" w:rsidRDefault="00552E11" w:rsidP="00552E11">
      <w:pPr>
        <w:tabs>
          <w:tab w:val="left" w:pos="142"/>
          <w:tab w:val="left" w:pos="284"/>
        </w:tabs>
        <w:spacing w:after="0" w:line="240" w:lineRule="auto"/>
        <w:jc w:val="both"/>
        <w:rPr>
          <w:rFonts w:ascii="Verdana" w:eastAsia="Century Gothic" w:hAnsi="Verdana" w:cs="Century Gothic"/>
          <w:b/>
          <w:bCs/>
          <w:lang w:val="es-ES"/>
        </w:rPr>
      </w:pPr>
    </w:p>
    <w:p w14:paraId="438D0DA0" w14:textId="77777777" w:rsidR="00552E11" w:rsidRDefault="00552E11" w:rsidP="00552E11">
      <w:pPr>
        <w:tabs>
          <w:tab w:val="left" w:pos="142"/>
          <w:tab w:val="left" w:pos="284"/>
        </w:tabs>
        <w:spacing w:after="0" w:line="240" w:lineRule="auto"/>
        <w:jc w:val="both"/>
        <w:rPr>
          <w:rFonts w:ascii="Verdana" w:eastAsia="Century Gothic" w:hAnsi="Verdana" w:cs="Century Gothic"/>
          <w:b/>
          <w:bCs/>
          <w:lang w:val="es-ES"/>
        </w:rPr>
      </w:pPr>
    </w:p>
    <w:p w14:paraId="155087DF" w14:textId="77777777" w:rsidR="00552E11" w:rsidRPr="00CD2674" w:rsidRDefault="00552E11" w:rsidP="00552E11">
      <w:pPr>
        <w:tabs>
          <w:tab w:val="left" w:pos="142"/>
          <w:tab w:val="left" w:pos="284"/>
        </w:tabs>
        <w:spacing w:after="0" w:line="240" w:lineRule="auto"/>
        <w:jc w:val="both"/>
        <w:rPr>
          <w:rFonts w:ascii="Verdana" w:eastAsia="Century Gothic" w:hAnsi="Verdana" w:cs="Century Gothic"/>
          <w:b/>
          <w:bCs/>
          <w:lang w:val="es-ES"/>
        </w:rPr>
      </w:pPr>
    </w:p>
    <w:p w14:paraId="4D793A32" w14:textId="77777777" w:rsidR="00552E11" w:rsidRPr="00CD2674" w:rsidRDefault="00552E11" w:rsidP="00552E11">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CD2674">
        <w:rPr>
          <w:rFonts w:ascii="Verdana" w:eastAsia="Century Gothic" w:hAnsi="Verdana" w:cs="Century Gothic"/>
          <w:b/>
          <w:bCs/>
        </w:rPr>
        <w:t>Razones de la respuesta:</w:t>
      </w:r>
    </w:p>
    <w:p w14:paraId="3EBA753E" w14:textId="77777777" w:rsidR="00552E11" w:rsidRPr="00CD2674" w:rsidRDefault="00552E11" w:rsidP="00552E11">
      <w:pPr>
        <w:spacing w:after="0" w:line="240" w:lineRule="auto"/>
        <w:jc w:val="both"/>
        <w:rPr>
          <w:rFonts w:ascii="Verdana" w:eastAsia="Calibri" w:hAnsi="Verdana" w:cs="Arial"/>
          <w:lang w:val="es-ES"/>
        </w:rPr>
      </w:pPr>
    </w:p>
    <w:p w14:paraId="1230A6A4" w14:textId="77777777" w:rsidR="00552E11" w:rsidRPr="00CD2674" w:rsidRDefault="00552E11" w:rsidP="00552E11">
      <w:pPr>
        <w:spacing w:after="0" w:line="240" w:lineRule="auto"/>
        <w:jc w:val="both"/>
        <w:rPr>
          <w:rFonts w:ascii="Verdana" w:eastAsia="Calibri" w:hAnsi="Verdana" w:cs="Arial"/>
          <w:lang w:val="es-ES"/>
        </w:rPr>
      </w:pPr>
      <w:r w:rsidRPr="00CD2674">
        <w:rPr>
          <w:rFonts w:ascii="Verdana" w:eastAsia="Calibri" w:hAnsi="Verdana" w:cs="Arial"/>
          <w:lang w:val="es-ES"/>
        </w:rPr>
        <w:t xml:space="preserve">Lo anterior se sustenta en las siguientes consideraciones: </w:t>
      </w:r>
    </w:p>
    <w:p w14:paraId="6F759042" w14:textId="77777777" w:rsidR="00552E11" w:rsidRPr="00CD2674" w:rsidRDefault="00552E11" w:rsidP="00552E11">
      <w:pPr>
        <w:spacing w:after="0" w:line="240" w:lineRule="auto"/>
        <w:jc w:val="both"/>
        <w:rPr>
          <w:rFonts w:ascii="Verdana" w:eastAsia="Calibri" w:hAnsi="Verdana" w:cs="Arial"/>
          <w:lang w:val="es-ES"/>
        </w:rPr>
      </w:pPr>
    </w:p>
    <w:p w14:paraId="0C2C140A" w14:textId="77777777" w:rsidR="00552E11" w:rsidRPr="00CD2674" w:rsidRDefault="00552E11" w:rsidP="00552E11">
      <w:pPr>
        <w:spacing w:after="0" w:line="240" w:lineRule="auto"/>
        <w:jc w:val="both"/>
        <w:rPr>
          <w:rFonts w:ascii="Verdana" w:eastAsia="Calibri" w:hAnsi="Verdana" w:cs="Arial"/>
          <w:lang w:val="es-ES"/>
        </w:rPr>
      </w:pPr>
    </w:p>
    <w:p w14:paraId="12097204" w14:textId="77777777" w:rsidR="00552E11" w:rsidRPr="00F90A84" w:rsidRDefault="00552E11" w:rsidP="00552E11">
      <w:pPr>
        <w:pStyle w:val="Prrafodelista"/>
        <w:numPr>
          <w:ilvl w:val="0"/>
          <w:numId w:val="11"/>
        </w:numPr>
        <w:spacing w:after="0" w:line="240" w:lineRule="auto"/>
        <w:jc w:val="both"/>
        <w:rPr>
          <w:rFonts w:ascii="Verdana" w:eastAsia="Calibri" w:hAnsi="Verdana" w:cs="Arial"/>
        </w:rPr>
      </w:pPr>
      <w:r w:rsidRPr="00F90A84">
        <w:rPr>
          <w:rFonts w:ascii="Verdana" w:eastAsia="Calibri" w:hAnsi="Verdana" w:cs="Arial"/>
        </w:rPr>
        <w:t xml:space="preserve">Para dar repuesta a su pregunta debemos mencionar que el acta de inicio al no ser un requisito legal de ejecución de los contratos estatales –pues no se encuentra consagrado en la ley–, el acta de inicio constituye un requisito de ejecución convencional, que se pacta en la minuta del contrato o que el contratista acepta, adhiriéndose al clausulado del pliego de condiciones o documento equivalente. </w:t>
      </w:r>
    </w:p>
    <w:p w14:paraId="0F67C7A4" w14:textId="77777777" w:rsidR="00552E11" w:rsidRPr="00F90A84" w:rsidRDefault="00552E11" w:rsidP="00552E11">
      <w:pPr>
        <w:pStyle w:val="Prrafodelista"/>
        <w:spacing w:after="0" w:line="240" w:lineRule="auto"/>
        <w:jc w:val="both"/>
        <w:rPr>
          <w:rFonts w:ascii="Verdana" w:eastAsia="Calibri" w:hAnsi="Verdana" w:cs="Arial"/>
        </w:rPr>
      </w:pPr>
    </w:p>
    <w:p w14:paraId="1B629D4C" w14:textId="77777777" w:rsidR="00552E11" w:rsidRPr="00F90A84" w:rsidRDefault="00552E11" w:rsidP="00552E11">
      <w:pPr>
        <w:pStyle w:val="Prrafodelista"/>
        <w:numPr>
          <w:ilvl w:val="0"/>
          <w:numId w:val="11"/>
        </w:numPr>
        <w:spacing w:after="0" w:line="240" w:lineRule="auto"/>
        <w:jc w:val="both"/>
        <w:rPr>
          <w:rFonts w:ascii="Verdana" w:eastAsia="Calibri" w:hAnsi="Verdana" w:cs="Arial"/>
        </w:rPr>
      </w:pPr>
      <w:r w:rsidRPr="00F90A84">
        <w:rPr>
          <w:rFonts w:ascii="Verdana" w:eastAsia="Calibri" w:hAnsi="Verdana" w:cs="Arial"/>
        </w:rPr>
        <w:t xml:space="preserve">En el lenguaje de la contratación estatal, el acta de inicio es un documento en el que se fija la fecha en la que comienza el cómputo del plazo del contrato, una vez cumplido los requisitos legales para la ejecución del contrato. Por tanto, si bien no la exige la ley ni el reglamento, obedece a una buena práctica contractual, ya que brinda certeza acerca del inicio de la ejecución del contrato. Es por ello que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w:t>
      </w:r>
    </w:p>
    <w:p w14:paraId="3139215C" w14:textId="77777777" w:rsidR="00552E11" w:rsidRPr="00F90A84" w:rsidRDefault="00552E11" w:rsidP="00552E11">
      <w:pPr>
        <w:pStyle w:val="Prrafodelista"/>
        <w:spacing w:after="0" w:line="240" w:lineRule="auto"/>
        <w:jc w:val="both"/>
        <w:rPr>
          <w:rFonts w:ascii="Verdana" w:eastAsia="Calibri" w:hAnsi="Verdana" w:cs="Arial"/>
        </w:rPr>
      </w:pPr>
    </w:p>
    <w:p w14:paraId="77C19B76" w14:textId="77777777" w:rsidR="00552E11" w:rsidRPr="00F90A84" w:rsidRDefault="00552E11" w:rsidP="00552E11">
      <w:pPr>
        <w:pStyle w:val="Prrafodelista"/>
        <w:numPr>
          <w:ilvl w:val="0"/>
          <w:numId w:val="11"/>
        </w:numPr>
        <w:spacing w:after="0" w:line="240" w:lineRule="auto"/>
        <w:jc w:val="both"/>
        <w:rPr>
          <w:rFonts w:ascii="Verdana" w:eastAsia="Calibri" w:hAnsi="Verdana" w:cs="Arial"/>
        </w:rPr>
      </w:pPr>
      <w:r w:rsidRPr="00F90A84">
        <w:rPr>
          <w:rFonts w:ascii="Verdana" w:eastAsia="Calibri" w:hAnsi="Verdana" w:cs="Arial"/>
        </w:rPr>
        <w:t xml:space="preserve">El fundamento legal que habilita a las partes para establecer la suscripción del acta de inicio como un requisito de ejecución convencional se encuentra en el segundo inciso del artículo 40 de la Ley 80 de 1993, el cual indica que “Las entidades podrán celebrar los contratos y acuerdos </w:t>
      </w:r>
      <w:r w:rsidRPr="00F90A84">
        <w:rPr>
          <w:rFonts w:ascii="Verdana" w:eastAsia="Calibri" w:hAnsi="Verdana" w:cs="Arial"/>
        </w:rPr>
        <w:lastRenderedPageBreak/>
        <w:t xml:space="preserve">que permitan la autonomía de la voluntad y requieran el cumplimiento de los fines estatales”. Sin embargo, en el ejercicio de la autonomía de la voluntad las partes del contrato deben respetar las normas de orden público. En consecuencia, a pesar de que están facultadas para acordar cláusulas accidentales en el negocio jurídico, estas no pueden ir en contra de los mandatos contenidos en el Estatuto General de Contratación de la Administración Pública.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w:t>
      </w:r>
    </w:p>
    <w:p w14:paraId="5976044A" w14:textId="77777777" w:rsidR="00552E11" w:rsidRPr="00F90A84" w:rsidRDefault="00552E11" w:rsidP="00552E11">
      <w:pPr>
        <w:pStyle w:val="Prrafodelista"/>
        <w:spacing w:after="0" w:line="240" w:lineRule="auto"/>
        <w:jc w:val="both"/>
        <w:rPr>
          <w:rFonts w:ascii="Verdana" w:eastAsia="Calibri" w:hAnsi="Verdana" w:cs="Arial"/>
        </w:rPr>
      </w:pPr>
    </w:p>
    <w:p w14:paraId="1F8F5FA1" w14:textId="77777777" w:rsidR="00552E11" w:rsidRPr="00F90A84" w:rsidRDefault="00552E11" w:rsidP="00552E11">
      <w:pPr>
        <w:pStyle w:val="Prrafodelista"/>
        <w:numPr>
          <w:ilvl w:val="0"/>
          <w:numId w:val="11"/>
        </w:numPr>
        <w:spacing w:after="0" w:line="240" w:lineRule="auto"/>
        <w:jc w:val="both"/>
        <w:rPr>
          <w:rFonts w:ascii="Verdana" w:eastAsia="Calibri" w:hAnsi="Verdana" w:cs="Arial"/>
        </w:rPr>
      </w:pPr>
      <w:r w:rsidRPr="00F90A84">
        <w:rPr>
          <w:rFonts w:ascii="Verdana" w:eastAsia="Calibri" w:hAnsi="Verdana" w:cs="Arial"/>
        </w:rPr>
        <w:t>Dicho de otra manera, el acta de inicio puede ser pactada como requisito para el comienzo del cómputo del plazo, pero la fecha que se defina en ella para iniciar la ejecución del contrato no puede ser anterior al cumplimiento de los requisitos de ejecución establecidos en la ley. Verbigracia, si las garantías no han sido aprobadas por la entidad estatal, aún no se puede suscribir el acta de inicio, pues de lo contrario las partes estarían contrariando normas de orden público, que, como bien se ha señalado, son indisponibles. O si la fecha de expedición del registro presupuestal es el día de hoy, no puede establecerse como fecha de inicio de ejecución del contrato el día de ayer, porque lo que eso estaría indicando es que el contrato estatal comenzó su ejecución sin la apropiación presupuestal suficiente.</w:t>
      </w:r>
    </w:p>
    <w:p w14:paraId="5A5467AC" w14:textId="77777777" w:rsidR="00552E11" w:rsidRPr="00F90A84" w:rsidRDefault="00552E11" w:rsidP="00552E11">
      <w:pPr>
        <w:pStyle w:val="Prrafodelista"/>
        <w:spacing w:after="0" w:line="240" w:lineRule="auto"/>
        <w:jc w:val="both"/>
        <w:rPr>
          <w:rFonts w:ascii="Verdana" w:eastAsia="Calibri" w:hAnsi="Verdana" w:cs="Arial"/>
        </w:rPr>
      </w:pPr>
    </w:p>
    <w:p w14:paraId="731A168F" w14:textId="77777777" w:rsidR="00552E11" w:rsidRPr="00F90A84" w:rsidRDefault="00552E11" w:rsidP="00552E11">
      <w:pPr>
        <w:pStyle w:val="Prrafodelista"/>
        <w:numPr>
          <w:ilvl w:val="0"/>
          <w:numId w:val="11"/>
        </w:numPr>
        <w:spacing w:after="0" w:line="240" w:lineRule="auto"/>
        <w:jc w:val="both"/>
        <w:rPr>
          <w:rFonts w:ascii="Verdana" w:eastAsia="Calibri" w:hAnsi="Verdana" w:cs="Arial"/>
        </w:rPr>
      </w:pPr>
      <w:r w:rsidRPr="00F90A84">
        <w:rPr>
          <w:rFonts w:ascii="Verdana" w:eastAsia="Calibri" w:hAnsi="Verdana" w:cs="Arial"/>
        </w:rPr>
        <w:t>Además, el artículo 6 de la Constitución dispone que “Los particulares sólo son responsables ante las autoridades por infringir la Constitución y las leyes” y que “Los servidores públicos lo son por la misma causa y por omisión o extralimitación en el ejercicio de sus funciones». Por tanto, no se puede suscribir el acta de inicio, estableciendo como fecha de inicio del contrato un día en el que aún no se hayan cumplido los requisitos de ejecución establecidos en el artículo 41 de la Ley 80 de 1993, porque ello implica una infracción de la ley.</w:t>
      </w:r>
    </w:p>
    <w:p w14:paraId="4AE06D6D" w14:textId="77777777" w:rsidR="00552E11" w:rsidRPr="00F90A84" w:rsidRDefault="00552E11" w:rsidP="00552E11">
      <w:pPr>
        <w:pStyle w:val="Prrafodelista"/>
        <w:spacing w:after="0" w:line="240" w:lineRule="auto"/>
        <w:jc w:val="both"/>
        <w:rPr>
          <w:rFonts w:ascii="Verdana" w:eastAsia="Calibri" w:hAnsi="Verdana" w:cs="Arial"/>
        </w:rPr>
      </w:pPr>
    </w:p>
    <w:p w14:paraId="1ED2C3A5" w14:textId="77777777" w:rsidR="00552E11" w:rsidRPr="00F90A84" w:rsidRDefault="00552E11" w:rsidP="00552E11">
      <w:pPr>
        <w:pStyle w:val="Prrafodelista"/>
        <w:numPr>
          <w:ilvl w:val="0"/>
          <w:numId w:val="11"/>
        </w:numPr>
        <w:spacing w:after="0" w:line="240" w:lineRule="auto"/>
        <w:jc w:val="both"/>
        <w:rPr>
          <w:rFonts w:ascii="Verdana" w:eastAsia="Calibri" w:hAnsi="Verdana" w:cs="Arial"/>
        </w:rPr>
      </w:pPr>
      <w:r w:rsidRPr="00F90A84">
        <w:rPr>
          <w:rFonts w:ascii="Verdana" w:eastAsia="Calibri" w:hAnsi="Verdana" w:cs="Arial"/>
        </w:rPr>
        <w:t xml:space="preserve">Finalmente, a juicio del Consejo de Estado, una vez se pacte el acta de inicio como requisito de ejecución del contrato, su ausencia tiene como consecuencia la falta de autorización para desplegar cualquier actividad </w:t>
      </w:r>
      <w:r w:rsidRPr="00F90A84">
        <w:rPr>
          <w:rFonts w:ascii="Verdana" w:eastAsia="Calibri" w:hAnsi="Verdana" w:cs="Arial"/>
        </w:rPr>
        <w:lastRenderedPageBreak/>
        <w:t>contractual. Por ende, concluye el alto tribunal en sentencia del 3 de abril de 2020, la eventual ejecución del contrato en estos casos no merecería reconocimiento pecuniario:</w:t>
      </w:r>
    </w:p>
    <w:p w14:paraId="16A84AA4" w14:textId="77777777" w:rsidR="00552E11" w:rsidRPr="00F90A84" w:rsidRDefault="00552E11" w:rsidP="00552E11">
      <w:pPr>
        <w:pStyle w:val="Prrafodelista"/>
        <w:spacing w:after="0" w:line="240" w:lineRule="auto"/>
        <w:jc w:val="both"/>
        <w:rPr>
          <w:rFonts w:ascii="Verdana" w:eastAsia="Calibri" w:hAnsi="Verdana" w:cs="Arial"/>
        </w:rPr>
      </w:pPr>
    </w:p>
    <w:p w14:paraId="514423CF" w14:textId="77777777" w:rsidR="00552E11" w:rsidRPr="00F90A84" w:rsidRDefault="00552E11" w:rsidP="00552E11">
      <w:pPr>
        <w:pStyle w:val="Prrafodelista"/>
        <w:numPr>
          <w:ilvl w:val="0"/>
          <w:numId w:val="11"/>
        </w:numPr>
        <w:spacing w:after="0" w:line="240" w:lineRule="auto"/>
        <w:jc w:val="both"/>
        <w:rPr>
          <w:rFonts w:ascii="Verdana" w:eastAsia="Calibri" w:hAnsi="Verdana" w:cs="Arial"/>
        </w:rPr>
      </w:pPr>
      <w:r w:rsidRPr="00F90A84">
        <w:rPr>
          <w:rFonts w:ascii="Verdana" w:eastAsia="Calibri" w:hAnsi="Verdana" w:cs="Arial"/>
        </w:rPr>
        <w:t xml:space="preserve">“Pese a declararse en esta oportunidad la nulidad del acto de terminación unilateral del convenio, la Sala encuentra que no está llamada a prosperar la pretensión de incumplimiento ni el consecuencial reconocimiento de los perjuicios reclamados por la parte demandante […] </w:t>
      </w:r>
      <w:r>
        <w:rPr>
          <w:rFonts w:ascii="Verdana" w:eastAsia="Calibri" w:hAnsi="Verdana" w:cs="Arial"/>
        </w:rPr>
        <w:t>l</w:t>
      </w:r>
      <w:r w:rsidRPr="00F90A84">
        <w:rPr>
          <w:rFonts w:ascii="Verdana" w:eastAsia="Calibri" w:hAnsi="Verdana" w:cs="Arial"/>
        </w:rPr>
        <w:t xml:space="preserve">as partes no suscribieron el acta para dar inicio a la ejecución del convenio y la entidad demandada no impartió autorización que avalara las actividades de la fundación cooperante encaminadas a la ejecución prematura de sus obligaciones. En razón de lo anterior, pese a la declaratoria de nulidad del acta de terminación unilateral del convenio 497 de 2007, no es dable acceder a la pretensión de incumplimiento, en tanto no se suscribió el acta de inicio convenida por las partes como requisito para su ejecución, lo cual significa </w:t>
      </w:r>
      <w:proofErr w:type="gramStart"/>
      <w:r w:rsidRPr="00F90A84">
        <w:rPr>
          <w:rFonts w:ascii="Verdana" w:eastAsia="Calibri" w:hAnsi="Verdana" w:cs="Arial"/>
        </w:rPr>
        <w:t>que</w:t>
      </w:r>
      <w:proofErr w:type="gramEnd"/>
      <w:r w:rsidRPr="00F90A84">
        <w:rPr>
          <w:rFonts w:ascii="Verdana" w:eastAsia="Calibri" w:hAnsi="Verdana" w:cs="Arial"/>
        </w:rPr>
        <w:t xml:space="preserve"> al momento de la terminación unilateral, no contaba el demandante con autorización para ejecutar las obligaciones contraídas con ocasión del contrato. En este orden, ante la ausencia de autorización, cualquier actividad desplegada por el cooperante no resultaría merecedora de reconocimiento pecuniario.</w:t>
      </w:r>
    </w:p>
    <w:p w14:paraId="3E1E98D0" w14:textId="77777777" w:rsidR="00552E11" w:rsidRPr="00F90A84" w:rsidRDefault="00552E11" w:rsidP="00552E11">
      <w:pPr>
        <w:pStyle w:val="Prrafodelista"/>
        <w:spacing w:after="0" w:line="240" w:lineRule="auto"/>
        <w:jc w:val="both"/>
        <w:rPr>
          <w:rFonts w:ascii="Verdana" w:eastAsia="Calibri" w:hAnsi="Verdana" w:cs="Arial"/>
        </w:rPr>
      </w:pPr>
    </w:p>
    <w:p w14:paraId="36D92A85" w14:textId="77777777" w:rsidR="00552E11" w:rsidRDefault="00552E11" w:rsidP="00552E11">
      <w:pPr>
        <w:pStyle w:val="Prrafodelista"/>
        <w:numPr>
          <w:ilvl w:val="0"/>
          <w:numId w:val="11"/>
        </w:numPr>
        <w:spacing w:after="0" w:line="240" w:lineRule="auto"/>
        <w:jc w:val="both"/>
        <w:rPr>
          <w:rFonts w:ascii="Verdana" w:eastAsia="Calibri" w:hAnsi="Verdana" w:cs="Arial"/>
        </w:rPr>
      </w:pPr>
      <w:r w:rsidRPr="00F90A84">
        <w:rPr>
          <w:rFonts w:ascii="Verdana" w:eastAsia="Calibri" w:hAnsi="Verdana" w:cs="Arial"/>
        </w:rPr>
        <w:t>No obstante, lo anterior, si se cumplen los requisitos legales consagrados en el mencionado el artículo 41 y se inicia la ejecución sin firmar el acta de inicio, bajo una justa causa, nada obsta para que la entidad contratante determine según sean las circunstancias del caso concreto, omitir el requisito y continuar con la ejecución. Lo anterior, en atención a que se trata de un requisito que más que exigir una condición o calidad adicional por parte del contratista, solo pretende dar claridad del momento en que inicia la ejecución del contrato de cara a sus efectos jurídicos y prácticos, lo cual también cuenta con otros medios de prueba. Será la Entidad Estatal entonces la que en principio defina, conforme a las circunstancias del caso en concreto, si el incumplimiento es relevante y si es susceptible de alguna medida sancionatoria que se encuentre previamente pactada.</w:t>
      </w:r>
    </w:p>
    <w:p w14:paraId="44410AAE" w14:textId="77777777" w:rsidR="00552E11" w:rsidRPr="003C22D2" w:rsidRDefault="00552E11" w:rsidP="00552E11">
      <w:pPr>
        <w:pStyle w:val="Prrafodelista"/>
        <w:rPr>
          <w:rFonts w:ascii="Verdana" w:eastAsia="Calibri" w:hAnsi="Verdana" w:cs="Arial"/>
        </w:rPr>
      </w:pPr>
    </w:p>
    <w:p w14:paraId="0E43914D" w14:textId="77777777" w:rsidR="00552E11" w:rsidRPr="003C22D2" w:rsidRDefault="00552E11" w:rsidP="00552E11">
      <w:pPr>
        <w:pStyle w:val="Prrafodelista"/>
        <w:numPr>
          <w:ilvl w:val="0"/>
          <w:numId w:val="11"/>
        </w:numPr>
        <w:spacing w:after="0" w:line="240" w:lineRule="auto"/>
        <w:jc w:val="both"/>
        <w:rPr>
          <w:rFonts w:ascii="Verdana" w:eastAsia="Calibri" w:hAnsi="Verdana" w:cs="Arial"/>
        </w:rPr>
      </w:pPr>
      <w:r>
        <w:rPr>
          <w:rFonts w:ascii="Verdana" w:eastAsia="Calibri" w:hAnsi="Verdana" w:cs="Arial"/>
        </w:rPr>
        <w:t>Por último, cabe mencionar que e</w:t>
      </w:r>
      <w:r w:rsidRPr="003C22D2">
        <w:rPr>
          <w:rFonts w:ascii="Verdana" w:eastAsia="Calibri" w:hAnsi="Verdana" w:cs="Arial"/>
        </w:rPr>
        <w:t xml:space="preserve">l acta de inicio puede ser pactada como requisito para el comienzo del cómputo del plazo, pero la fecha que se defina en ella para iniciar la ejecución del contrato no puede ser anterior al cumplimiento de los requisitos de ejecución establecidos en la ley. Por ejemplo, si las garantías no han sido aprobadas por la Entidad Estatal, </w:t>
      </w:r>
      <w:r w:rsidRPr="003C22D2">
        <w:rPr>
          <w:rFonts w:ascii="Verdana" w:eastAsia="Calibri" w:hAnsi="Verdana" w:cs="Arial"/>
        </w:rPr>
        <w:lastRenderedPageBreak/>
        <w:t>aún no se puede suscribir el acta de inicio, pues de lo contrario las partes estarían contrariando normas de orden público, que, como bien se ha señalado, son indisponibles. O, si la fecha de expedición del registro presupuestal es el día de hoy, no puede establecerse como fecha de inicio de ejecución del contrato el día de ayer, porque lo que eso estaría indicando es que el contrato estatal comenzó su ejecución sin la apropiación presupuestal suficiente</w:t>
      </w:r>
    </w:p>
    <w:p w14:paraId="5129F384" w14:textId="77777777" w:rsidR="00552E11" w:rsidRPr="00CD2674" w:rsidRDefault="00552E11" w:rsidP="00552E11">
      <w:pPr>
        <w:spacing w:after="0" w:line="240" w:lineRule="auto"/>
        <w:jc w:val="both"/>
        <w:rPr>
          <w:rFonts w:ascii="Verdana" w:eastAsia="Calibri" w:hAnsi="Verdana" w:cs="Arial"/>
          <w:lang w:val="es-ES"/>
        </w:rPr>
      </w:pPr>
    </w:p>
    <w:p w14:paraId="516FDFCD" w14:textId="77777777" w:rsidR="00552E11" w:rsidRPr="00CD2674" w:rsidRDefault="00552E11" w:rsidP="00552E11">
      <w:pPr>
        <w:widowControl w:val="0"/>
        <w:autoSpaceDE w:val="0"/>
        <w:autoSpaceDN w:val="0"/>
        <w:spacing w:after="0" w:line="240" w:lineRule="auto"/>
        <w:jc w:val="both"/>
        <w:rPr>
          <w:rFonts w:ascii="Verdana" w:hAnsi="Verdana" w:cs="Arial"/>
        </w:rPr>
      </w:pPr>
    </w:p>
    <w:p w14:paraId="4BE994F0" w14:textId="77777777" w:rsidR="00552E11" w:rsidRPr="00CD2674" w:rsidRDefault="00552E11" w:rsidP="00552E11">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CD2674">
        <w:rPr>
          <w:rFonts w:ascii="Verdana" w:eastAsia="Century Gothic" w:hAnsi="Verdana" w:cs="Century Gothic"/>
          <w:b/>
          <w:bCs/>
        </w:rPr>
        <w:t>Referencias normativas, jurisprudenciales y otras fuentes:</w:t>
      </w:r>
    </w:p>
    <w:p w14:paraId="5B039061" w14:textId="77777777" w:rsidR="00552E11" w:rsidRPr="00CD2674" w:rsidRDefault="00552E11" w:rsidP="00552E11">
      <w:pPr>
        <w:widowControl w:val="0"/>
        <w:autoSpaceDE w:val="0"/>
        <w:autoSpaceDN w:val="0"/>
        <w:spacing w:after="0" w:line="240"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2E11" w:rsidRPr="00CD2674" w14:paraId="72F8BE5C" w14:textId="77777777" w:rsidTr="00B17A80">
        <w:trPr>
          <w:trHeight w:val="870"/>
        </w:trPr>
        <w:tc>
          <w:tcPr>
            <w:tcW w:w="8647" w:type="dxa"/>
          </w:tcPr>
          <w:p w14:paraId="32C6C73C" w14:textId="77777777" w:rsidR="00552E11" w:rsidRPr="00B2722B" w:rsidRDefault="00552E11" w:rsidP="00B17A80">
            <w:pPr>
              <w:widowControl w:val="0"/>
              <w:tabs>
                <w:tab w:val="left" w:pos="8419"/>
              </w:tabs>
              <w:autoSpaceDE w:val="0"/>
              <w:autoSpaceDN w:val="0"/>
              <w:spacing w:after="120"/>
              <w:ind w:left="360"/>
              <w:jc w:val="both"/>
              <w:rPr>
                <w:rFonts w:ascii="Verdana" w:hAnsi="Verdana" w:cs="Arial"/>
              </w:rPr>
            </w:pPr>
          </w:p>
          <w:p w14:paraId="0ED61527" w14:textId="77777777" w:rsidR="00552E11" w:rsidRDefault="00552E11" w:rsidP="00552E11">
            <w:pPr>
              <w:pStyle w:val="Prrafodelista"/>
              <w:widowControl w:val="0"/>
              <w:numPr>
                <w:ilvl w:val="0"/>
                <w:numId w:val="8"/>
              </w:numPr>
              <w:tabs>
                <w:tab w:val="left" w:pos="8419"/>
              </w:tabs>
              <w:autoSpaceDE w:val="0"/>
              <w:autoSpaceDN w:val="0"/>
              <w:spacing w:after="120"/>
              <w:contextualSpacing w:val="0"/>
              <w:jc w:val="both"/>
              <w:rPr>
                <w:rFonts w:ascii="Verdana" w:hAnsi="Verdana" w:cs="Arial"/>
              </w:rPr>
            </w:pPr>
            <w:r w:rsidRPr="00F90A84">
              <w:rPr>
                <w:rFonts w:ascii="Verdana" w:eastAsia="Calibri" w:hAnsi="Verdana" w:cs="Arial"/>
              </w:rPr>
              <w:t>Ley 80 de 1993</w:t>
            </w:r>
            <w:r>
              <w:rPr>
                <w:rFonts w:ascii="Verdana" w:eastAsia="Calibri" w:hAnsi="Verdana" w:cs="Arial"/>
              </w:rPr>
              <w:t xml:space="preserve"> artículos 40, 41</w:t>
            </w:r>
          </w:p>
          <w:p w14:paraId="45F6302A" w14:textId="77777777" w:rsidR="00552E11" w:rsidRPr="00CD2674" w:rsidRDefault="00552E11" w:rsidP="00552E11">
            <w:pPr>
              <w:pStyle w:val="Prrafodelista"/>
              <w:widowControl w:val="0"/>
              <w:numPr>
                <w:ilvl w:val="0"/>
                <w:numId w:val="8"/>
              </w:numPr>
              <w:tabs>
                <w:tab w:val="left" w:pos="8419"/>
              </w:tabs>
              <w:autoSpaceDE w:val="0"/>
              <w:autoSpaceDN w:val="0"/>
              <w:spacing w:after="120"/>
              <w:contextualSpacing w:val="0"/>
              <w:jc w:val="both"/>
              <w:rPr>
                <w:rFonts w:ascii="Verdana" w:hAnsi="Verdana" w:cs="Arial"/>
              </w:rPr>
            </w:pPr>
            <w:r w:rsidRPr="00CD2674">
              <w:rPr>
                <w:rFonts w:ascii="Verdana" w:hAnsi="Verdana" w:cs="Arial"/>
              </w:rPr>
              <w:t xml:space="preserve">Circular Externa Única del 27 de diciembre de 2023. Disponible en: </w:t>
            </w:r>
            <w:hyperlink r:id="rId13" w:history="1">
              <w:r w:rsidRPr="00CD2674">
                <w:rPr>
                  <w:rStyle w:val="Hipervnculo"/>
                  <w:rFonts w:ascii="Verdana" w:hAnsi="Verdana" w:cs="Arial"/>
                </w:rPr>
                <w:t>https://www.colombiacompra.gov.co/sites/cce_public/files/cce_circulares/circular_externa_unica_version_3_vf49.pdf</w:t>
              </w:r>
            </w:hyperlink>
            <w:r w:rsidRPr="00CD2674">
              <w:rPr>
                <w:rFonts w:ascii="Verdana" w:hAnsi="Verdana" w:cs="Arial"/>
              </w:rPr>
              <w:t xml:space="preserve"> </w:t>
            </w:r>
          </w:p>
          <w:p w14:paraId="10A2A18A" w14:textId="77777777" w:rsidR="00552E11" w:rsidRPr="00CD2674" w:rsidRDefault="00552E11" w:rsidP="00552E11">
            <w:pPr>
              <w:pStyle w:val="Prrafodelista"/>
              <w:widowControl w:val="0"/>
              <w:numPr>
                <w:ilvl w:val="0"/>
                <w:numId w:val="8"/>
              </w:numPr>
              <w:autoSpaceDE w:val="0"/>
              <w:autoSpaceDN w:val="0"/>
              <w:spacing w:after="120"/>
              <w:contextualSpacing w:val="0"/>
              <w:jc w:val="both"/>
              <w:rPr>
                <w:rFonts w:ascii="Verdana" w:hAnsi="Verdana" w:cs="Arial"/>
              </w:rPr>
            </w:pPr>
            <w:r w:rsidRPr="00CD2674">
              <w:rPr>
                <w:rFonts w:ascii="Verdana" w:hAnsi="Verdana" w:cs="Arial"/>
              </w:rPr>
              <w:t xml:space="preserve">Resolución </w:t>
            </w:r>
            <w:r w:rsidRPr="00CD2674">
              <w:rPr>
                <w:rFonts w:ascii="Verdana" w:eastAsia="Times New Roman" w:hAnsi="Verdana" w:cs="Arial"/>
                <w:lang w:val="es-ES_tradnl" w:eastAsia="es-ES"/>
              </w:rPr>
              <w:t xml:space="preserve">219 de 2021 de la Agencia Nacional de Contratación Pública–Colombia Compra Eficiente–. Disponible en: </w:t>
            </w:r>
            <w:hyperlink r:id="rId14" w:history="1">
              <w:r w:rsidRPr="00CD2674">
                <w:rPr>
                  <w:rStyle w:val="Hipervnculo"/>
                  <w:rFonts w:ascii="Verdana" w:eastAsia="Times New Roman" w:hAnsi="Verdana" w:cs="Arial"/>
                  <w:lang w:val="es-ES_tradnl" w:eastAsia="es-ES"/>
                </w:rPr>
                <w:t>https://www.colombiacompra.gov.co/content/04-documentos-tipo-de-licitacion-de-obra-publica-para-proyectos-de-infraestructura-social</w:t>
              </w:r>
            </w:hyperlink>
            <w:r w:rsidRPr="00CD2674">
              <w:rPr>
                <w:rFonts w:ascii="Verdana" w:eastAsia="Times New Roman" w:hAnsi="Verdana" w:cs="Arial"/>
                <w:lang w:val="es-ES_tradnl" w:eastAsia="es-ES"/>
              </w:rPr>
              <w:t xml:space="preserve"> </w:t>
            </w:r>
          </w:p>
          <w:p w14:paraId="4A1BDC49" w14:textId="77777777" w:rsidR="00552E11" w:rsidRPr="00CD2674" w:rsidRDefault="00552E11" w:rsidP="00552E11">
            <w:pPr>
              <w:pStyle w:val="Prrafodelista"/>
              <w:widowControl w:val="0"/>
              <w:numPr>
                <w:ilvl w:val="0"/>
                <w:numId w:val="8"/>
              </w:numPr>
              <w:autoSpaceDE w:val="0"/>
              <w:autoSpaceDN w:val="0"/>
              <w:spacing w:after="120"/>
              <w:contextualSpacing w:val="0"/>
              <w:jc w:val="both"/>
              <w:rPr>
                <w:rFonts w:ascii="Verdana" w:hAnsi="Verdana" w:cs="Arial"/>
              </w:rPr>
            </w:pPr>
            <w:r w:rsidRPr="00CD2674">
              <w:rPr>
                <w:rFonts w:ascii="Verdana" w:hAnsi="Verdana" w:cs="Arial"/>
              </w:rPr>
              <w:t xml:space="preserve">Jurisprudencia del Consejo de Estado. Disponible en: </w:t>
            </w:r>
            <w:hyperlink r:id="rId15" w:history="1">
              <w:r w:rsidRPr="00CD2674">
                <w:rPr>
                  <w:rStyle w:val="Hipervnculo"/>
                  <w:rFonts w:ascii="Verdana" w:hAnsi="Verdana" w:cs="Arial"/>
                </w:rPr>
                <w:t>https://relatoria.colombiacompra.gov.co/providencias-consejo-de-estado/</w:t>
              </w:r>
            </w:hyperlink>
            <w:r w:rsidRPr="00CD2674">
              <w:rPr>
                <w:rFonts w:ascii="Verdana" w:hAnsi="Verdana" w:cs="Arial"/>
              </w:rPr>
              <w:t xml:space="preserve"> </w:t>
            </w:r>
          </w:p>
          <w:p w14:paraId="29DEBC5B" w14:textId="77777777" w:rsidR="00552E11" w:rsidRPr="00CD2674" w:rsidRDefault="00552E11" w:rsidP="00552E11">
            <w:pPr>
              <w:pStyle w:val="Prrafodelista"/>
              <w:widowControl w:val="0"/>
              <w:numPr>
                <w:ilvl w:val="0"/>
                <w:numId w:val="8"/>
              </w:numPr>
              <w:autoSpaceDE w:val="0"/>
              <w:autoSpaceDN w:val="0"/>
              <w:spacing w:after="120"/>
              <w:contextualSpacing w:val="0"/>
              <w:jc w:val="both"/>
              <w:rPr>
                <w:rFonts w:ascii="Verdana" w:hAnsi="Verdana" w:cs="Arial"/>
              </w:rPr>
            </w:pPr>
            <w:r w:rsidRPr="00CD2674">
              <w:rPr>
                <w:rFonts w:ascii="Verdana" w:hAnsi="Verdana" w:cs="Arial"/>
              </w:rPr>
              <w:t>Guías y manuales expedidos por la ANCP-CCE. Disponible en:</w:t>
            </w:r>
            <w:r w:rsidRPr="00CD2674">
              <w:rPr>
                <w:rFonts w:ascii="Verdana" w:hAnsi="Verdana"/>
              </w:rPr>
              <w:t xml:space="preserve"> </w:t>
            </w:r>
            <w:hyperlink r:id="rId16" w:history="1">
              <w:r w:rsidRPr="00CD2674">
                <w:rPr>
                  <w:rStyle w:val="Hipervnculo"/>
                  <w:rFonts w:ascii="Verdana" w:hAnsi="Verdana" w:cs="Arial"/>
                </w:rPr>
                <w:t>https://www.colombiacompra.gov.co/manuales-guias-y-pliegos-tipo/manuales-y-guias</w:t>
              </w:r>
            </w:hyperlink>
            <w:r w:rsidRPr="00CD2674">
              <w:rPr>
                <w:rFonts w:ascii="Verdana" w:hAnsi="Verdana" w:cs="Arial"/>
              </w:rPr>
              <w:t xml:space="preserve"> </w:t>
            </w:r>
          </w:p>
          <w:p w14:paraId="60ECAEBF" w14:textId="77777777" w:rsidR="00552E11" w:rsidRPr="00CD2674" w:rsidRDefault="00552E11" w:rsidP="00B17A80">
            <w:pPr>
              <w:widowControl w:val="0"/>
              <w:autoSpaceDE w:val="0"/>
              <w:autoSpaceDN w:val="0"/>
              <w:spacing w:after="120"/>
              <w:ind w:left="360"/>
              <w:jc w:val="both"/>
              <w:rPr>
                <w:rFonts w:ascii="Verdana" w:hAnsi="Verdana" w:cs="Arial"/>
              </w:rPr>
            </w:pPr>
          </w:p>
        </w:tc>
      </w:tr>
    </w:tbl>
    <w:p w14:paraId="4BABBB9E" w14:textId="77777777" w:rsidR="00552E11" w:rsidRPr="00CD2674" w:rsidRDefault="00552E11" w:rsidP="00552E11">
      <w:pPr>
        <w:widowControl w:val="0"/>
        <w:autoSpaceDE w:val="0"/>
        <w:autoSpaceDN w:val="0"/>
        <w:spacing w:after="0" w:line="240" w:lineRule="auto"/>
        <w:jc w:val="both"/>
        <w:rPr>
          <w:rFonts w:ascii="Verdana" w:hAnsi="Verdana" w:cs="Arial"/>
        </w:rPr>
      </w:pPr>
    </w:p>
    <w:p w14:paraId="16498154" w14:textId="77777777" w:rsidR="00552E11" w:rsidRPr="00CD2674" w:rsidRDefault="00552E11" w:rsidP="00552E11">
      <w:pPr>
        <w:widowControl w:val="0"/>
        <w:autoSpaceDE w:val="0"/>
        <w:autoSpaceDN w:val="0"/>
        <w:spacing w:after="0" w:line="240" w:lineRule="auto"/>
        <w:jc w:val="both"/>
        <w:rPr>
          <w:rFonts w:ascii="Verdana" w:hAnsi="Verdana" w:cs="Arial"/>
        </w:rPr>
      </w:pPr>
    </w:p>
    <w:p w14:paraId="1CF340B2" w14:textId="77777777" w:rsidR="00552E11" w:rsidRPr="00CD2674" w:rsidRDefault="00552E11" w:rsidP="00552E11">
      <w:pPr>
        <w:widowControl w:val="0"/>
        <w:autoSpaceDE w:val="0"/>
        <w:autoSpaceDN w:val="0"/>
        <w:spacing w:after="0" w:line="240" w:lineRule="auto"/>
        <w:jc w:val="both"/>
        <w:rPr>
          <w:rFonts w:ascii="Verdana" w:hAnsi="Verdana" w:cs="Arial"/>
        </w:rPr>
      </w:pPr>
    </w:p>
    <w:p w14:paraId="3B05A396" w14:textId="77777777" w:rsidR="00552E11" w:rsidRPr="00CD2674" w:rsidRDefault="00552E11" w:rsidP="00552E11">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CD2674">
        <w:rPr>
          <w:rFonts w:ascii="Verdana" w:eastAsia="Century Gothic" w:hAnsi="Verdana" w:cs="Century Gothic"/>
          <w:b/>
          <w:bCs/>
        </w:rPr>
        <w:t>Doctrina de la Agencia Nacional de Contratación Pública:</w:t>
      </w:r>
    </w:p>
    <w:p w14:paraId="626190CD" w14:textId="77777777" w:rsidR="00552E11" w:rsidRPr="00CD2674" w:rsidRDefault="00552E11" w:rsidP="00552E11">
      <w:pPr>
        <w:widowControl w:val="0"/>
        <w:autoSpaceDE w:val="0"/>
        <w:autoSpaceDN w:val="0"/>
        <w:spacing w:after="0" w:line="240" w:lineRule="auto"/>
        <w:jc w:val="both"/>
        <w:rPr>
          <w:rFonts w:ascii="Verdana" w:hAnsi="Verdana" w:cs="Arial"/>
        </w:rPr>
      </w:pPr>
    </w:p>
    <w:p w14:paraId="53FCE41C" w14:textId="77777777" w:rsidR="00552E11" w:rsidRPr="00CD2674" w:rsidRDefault="00552E11" w:rsidP="00552E11">
      <w:pPr>
        <w:widowControl w:val="0"/>
        <w:autoSpaceDE w:val="0"/>
        <w:autoSpaceDN w:val="0"/>
        <w:spacing w:after="0" w:line="240" w:lineRule="auto"/>
        <w:jc w:val="both"/>
        <w:rPr>
          <w:rFonts w:ascii="Verdana" w:eastAsia="Calibri" w:hAnsi="Verdana"/>
        </w:rPr>
      </w:pPr>
      <w:r w:rsidRPr="00CD2674">
        <w:rPr>
          <w:rFonts w:ascii="Verdana" w:eastAsia="Calibri" w:hAnsi="Verdana"/>
        </w:rPr>
        <w:t xml:space="preserve">Se ha pronunciado </w:t>
      </w:r>
      <w:r w:rsidRPr="0098575C">
        <w:rPr>
          <w:rFonts w:ascii="Verdana" w:eastAsia="Calibri" w:hAnsi="Verdana"/>
        </w:rPr>
        <w:t>sobre el acta de inicio en los conceptos C-797 de 2020, C-638 de 2022</w:t>
      </w:r>
      <w:r>
        <w:rPr>
          <w:rFonts w:ascii="Verdana" w:eastAsia="Calibri" w:hAnsi="Verdana"/>
        </w:rPr>
        <w:t xml:space="preserve">, C-053 del 7 de mayo de 2024, </w:t>
      </w:r>
      <w:r w:rsidRPr="0098575C">
        <w:rPr>
          <w:rFonts w:ascii="Verdana" w:eastAsia="Calibri" w:hAnsi="Verdana"/>
        </w:rPr>
        <w:t>entre otros</w:t>
      </w:r>
      <w:r w:rsidRPr="00CD2674">
        <w:rPr>
          <w:rFonts w:ascii="Verdana" w:eastAsia="Calibri" w:hAnsi="Verdana"/>
        </w:rPr>
        <w:t xml:space="preserve">. Estos y otros conceptos se encuentran disponibles para consulta en el Sistema de relatoría de la Agencia, </w:t>
      </w:r>
      <w:r w:rsidRPr="00CD2674">
        <w:rPr>
          <w:rFonts w:ascii="Verdana" w:eastAsia="Calibri" w:hAnsi="Verdana"/>
        </w:rPr>
        <w:lastRenderedPageBreak/>
        <w:t xml:space="preserve">al cual se puede acceder a través del siguiente enlace: </w:t>
      </w:r>
    </w:p>
    <w:p w14:paraId="27C7E5A2" w14:textId="77777777" w:rsidR="00552E11" w:rsidRPr="00CD2674" w:rsidRDefault="00552E11" w:rsidP="00552E11">
      <w:pPr>
        <w:widowControl w:val="0"/>
        <w:autoSpaceDE w:val="0"/>
        <w:autoSpaceDN w:val="0"/>
        <w:spacing w:after="0" w:line="240" w:lineRule="auto"/>
        <w:jc w:val="both"/>
        <w:rPr>
          <w:rFonts w:ascii="Verdana" w:eastAsia="Calibri" w:hAnsi="Verdana"/>
          <w:lang w:val="es-ES_tradnl"/>
        </w:rPr>
      </w:pPr>
    </w:p>
    <w:p w14:paraId="3AC13B10" w14:textId="77777777" w:rsidR="00552E11" w:rsidRPr="00CD2674" w:rsidRDefault="00BA06A2" w:rsidP="00552E11">
      <w:pPr>
        <w:widowControl w:val="0"/>
        <w:autoSpaceDE w:val="0"/>
        <w:autoSpaceDN w:val="0"/>
        <w:spacing w:after="0" w:line="240" w:lineRule="auto"/>
        <w:jc w:val="both"/>
        <w:rPr>
          <w:rFonts w:ascii="Verdana" w:eastAsia="Calibri" w:hAnsi="Verdana"/>
          <w:lang w:val="es-ES_tradnl"/>
        </w:rPr>
      </w:pPr>
      <w:hyperlink r:id="rId17" w:history="1">
        <w:r w:rsidR="00552E11" w:rsidRPr="00CD2674">
          <w:rPr>
            <w:rStyle w:val="Hipervnculo"/>
            <w:rFonts w:ascii="Verdana" w:eastAsia="Calibri" w:hAnsi="Verdana"/>
            <w:lang w:val="es-ES_tradnl"/>
          </w:rPr>
          <w:t>https://relatoria.colombiacompra.gov.co/busqueda/conceptos</w:t>
        </w:r>
      </w:hyperlink>
      <w:r w:rsidR="00552E11" w:rsidRPr="00CD2674">
        <w:rPr>
          <w:rFonts w:ascii="Verdana" w:eastAsia="Calibri" w:hAnsi="Verdana"/>
          <w:lang w:val="es-ES_tradnl"/>
        </w:rPr>
        <w:t xml:space="preserve">. </w:t>
      </w:r>
    </w:p>
    <w:p w14:paraId="2203AC08" w14:textId="77777777" w:rsidR="00552E11" w:rsidRPr="00CD2674" w:rsidRDefault="00552E11" w:rsidP="00552E11">
      <w:pPr>
        <w:widowControl w:val="0"/>
        <w:autoSpaceDE w:val="0"/>
        <w:autoSpaceDN w:val="0"/>
        <w:spacing w:after="0" w:line="240" w:lineRule="auto"/>
        <w:jc w:val="both"/>
        <w:rPr>
          <w:rFonts w:ascii="Verdana" w:eastAsia="Calibri" w:hAnsi="Verdana"/>
          <w:lang w:val="es-ES_tradnl"/>
        </w:rPr>
      </w:pPr>
    </w:p>
    <w:p w14:paraId="01EB72DF" w14:textId="77777777" w:rsidR="00552E11" w:rsidRDefault="00552E11" w:rsidP="00552E11">
      <w:pPr>
        <w:widowControl w:val="0"/>
        <w:autoSpaceDE w:val="0"/>
        <w:autoSpaceDN w:val="0"/>
        <w:spacing w:after="0" w:line="240" w:lineRule="auto"/>
        <w:jc w:val="both"/>
        <w:rPr>
          <w:rFonts w:ascii="Verdana" w:eastAsia="Calibri" w:hAnsi="Verdana"/>
        </w:rPr>
      </w:pPr>
      <w:r w:rsidRPr="00CD2674">
        <w:rPr>
          <w:rFonts w:ascii="Verdana" w:eastAsia="Calibri" w:hAnsi="Verdana"/>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8" w:tooltip="Dirección URL original: https://relatoria.colombiacompra.gov.co/. Haga clic o pulse si confía en este vínculo." w:history="1">
        <w:r w:rsidRPr="00CD2674">
          <w:rPr>
            <w:rStyle w:val="Hipervnculo"/>
            <w:rFonts w:ascii="Verdana" w:eastAsia="Calibri" w:hAnsi="Verdana"/>
          </w:rPr>
          <w:t>https://relatoria.colombiacompra.gov.co/</w:t>
        </w:r>
      </w:hyperlink>
      <w:r w:rsidRPr="00CD2674">
        <w:rPr>
          <w:rFonts w:ascii="Verdana" w:eastAsia="Calibri" w:hAnsi="Verdana"/>
        </w:rPr>
        <w:t xml:space="preserve"> . </w:t>
      </w:r>
    </w:p>
    <w:p w14:paraId="40A27ED2" w14:textId="77777777" w:rsidR="00552E11" w:rsidRDefault="00552E11" w:rsidP="00552E11">
      <w:pPr>
        <w:widowControl w:val="0"/>
        <w:autoSpaceDE w:val="0"/>
        <w:autoSpaceDN w:val="0"/>
        <w:spacing w:after="0" w:line="240" w:lineRule="auto"/>
        <w:jc w:val="both"/>
        <w:rPr>
          <w:rFonts w:ascii="Verdana" w:eastAsia="Calibri" w:hAnsi="Verdana"/>
        </w:rPr>
      </w:pPr>
    </w:p>
    <w:p w14:paraId="34E825C5" w14:textId="77777777" w:rsidR="00552E11" w:rsidRPr="00CD2674" w:rsidRDefault="00552E11" w:rsidP="00552E11">
      <w:pPr>
        <w:widowControl w:val="0"/>
        <w:autoSpaceDE w:val="0"/>
        <w:autoSpaceDN w:val="0"/>
        <w:spacing w:after="0" w:line="240" w:lineRule="auto"/>
        <w:jc w:val="both"/>
        <w:rPr>
          <w:rFonts w:ascii="Verdana" w:eastAsia="Calibri" w:hAnsi="Verdana"/>
        </w:rPr>
      </w:pPr>
      <w:r w:rsidRPr="00740D76">
        <w:rPr>
          <w:rFonts w:ascii="Verdana" w:eastAsia="Calibri" w:hAnsi="Verdana"/>
        </w:rPr>
        <w:t xml:space="preserve">Te invitamos a revisar la cuarta edición del Boletín de Relatoría de </w:t>
      </w:r>
      <w:proofErr w:type="gramStart"/>
      <w:r w:rsidRPr="00740D76">
        <w:rPr>
          <w:rFonts w:ascii="Verdana" w:eastAsia="Calibri" w:hAnsi="Verdana"/>
        </w:rPr>
        <w:t>2024,  en</w:t>
      </w:r>
      <w:proofErr w:type="gramEnd"/>
      <w:r w:rsidRPr="00740D76">
        <w:rPr>
          <w:rFonts w:ascii="Verdana" w:eastAsia="Calibri" w:hAnsi="Verdana"/>
        </w:rPr>
        <w:t xml:space="preserve">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9" w:tooltip="Dirección URL original: https://www.colombiacompra.gov.co/sala-de-prensa/boletin-digital/boletin-de-relatoria-2024-iv. Haga clic o pulse si confía en este vínculo." w:history="1">
        <w:r w:rsidRPr="00740D76">
          <w:rPr>
            <w:rStyle w:val="Hipervnculo"/>
            <w:rFonts w:ascii="Verdana" w:eastAsia="Calibri" w:hAnsi="Verdana"/>
          </w:rPr>
          <w:t>BOLETÍN DE RELATORÍA 2024 – IV | Colombia Compra Eficiente | Agencia Nacional de Contratación Pública</w:t>
        </w:r>
      </w:hyperlink>
    </w:p>
    <w:p w14:paraId="48FDBB20" w14:textId="77777777" w:rsidR="00552E11" w:rsidRPr="00CD2674" w:rsidRDefault="00552E11" w:rsidP="00552E11">
      <w:pPr>
        <w:widowControl w:val="0"/>
        <w:autoSpaceDE w:val="0"/>
        <w:autoSpaceDN w:val="0"/>
        <w:spacing w:after="0" w:line="240" w:lineRule="auto"/>
        <w:jc w:val="both"/>
        <w:rPr>
          <w:rFonts w:ascii="Verdana" w:eastAsia="Calibri" w:hAnsi="Verdana" w:cs="Arial"/>
        </w:rPr>
      </w:pPr>
    </w:p>
    <w:p w14:paraId="49009C2E" w14:textId="77777777" w:rsidR="00552E11" w:rsidRPr="00CD2674" w:rsidRDefault="00552E11" w:rsidP="00552E11">
      <w:pPr>
        <w:spacing w:after="0" w:line="240" w:lineRule="auto"/>
        <w:jc w:val="both"/>
        <w:rPr>
          <w:rFonts w:ascii="Verdana" w:eastAsia="Calibri" w:hAnsi="Verdana" w:cs="Arial"/>
          <w:lang w:val="es-ES_tradnl"/>
        </w:rPr>
      </w:pPr>
      <w:r w:rsidRPr="00CD2674">
        <w:rPr>
          <w:rFonts w:ascii="Verdana" w:eastAsia="Calibri" w:hAnsi="Verdana" w:cs="Arial"/>
          <w:lang w:val="es-ES_tradnl"/>
        </w:rPr>
        <w:t xml:space="preserve">Por último, lo invitamos a seguirnos en las redes sociales en las cuales se difunde información institucional: </w:t>
      </w:r>
    </w:p>
    <w:p w14:paraId="37747D95" w14:textId="77777777" w:rsidR="00552E11" w:rsidRPr="00CD2674" w:rsidRDefault="00552E11" w:rsidP="00552E11">
      <w:pPr>
        <w:spacing w:after="0" w:line="240" w:lineRule="auto"/>
        <w:jc w:val="both"/>
        <w:rPr>
          <w:rFonts w:ascii="Verdana" w:eastAsia="Calibri" w:hAnsi="Verdana" w:cs="Arial"/>
          <w:lang w:val="es-ES_tradnl"/>
        </w:rPr>
      </w:pPr>
    </w:p>
    <w:p w14:paraId="0B02940D" w14:textId="77777777" w:rsidR="00552E11" w:rsidRPr="00CD2674" w:rsidRDefault="00552E11" w:rsidP="00552E11">
      <w:pPr>
        <w:spacing w:after="0" w:line="240" w:lineRule="auto"/>
        <w:jc w:val="both"/>
        <w:rPr>
          <w:rFonts w:ascii="Verdana" w:eastAsia="Calibri" w:hAnsi="Verdana" w:cs="Arial"/>
          <w:lang w:val="es-ES_tradnl"/>
        </w:rPr>
      </w:pPr>
      <w:r w:rsidRPr="00CD2674">
        <w:rPr>
          <w:rFonts w:ascii="Verdana" w:eastAsia="Calibri" w:hAnsi="Verdana" w:cs="Arial"/>
          <w:lang w:val="es-ES_tradnl"/>
        </w:rPr>
        <w:t>Twitter: @</w:t>
      </w:r>
      <w:proofErr w:type="spellStart"/>
      <w:r w:rsidRPr="00CD2674">
        <w:rPr>
          <w:rFonts w:ascii="Verdana" w:eastAsia="Calibri" w:hAnsi="Verdana" w:cs="Arial"/>
          <w:lang w:val="es-ES_tradnl"/>
        </w:rPr>
        <w:t>colombiacompra</w:t>
      </w:r>
      <w:proofErr w:type="spellEnd"/>
      <w:r w:rsidRPr="00CD2674">
        <w:rPr>
          <w:rFonts w:ascii="Verdana" w:eastAsia="Calibri" w:hAnsi="Verdana" w:cs="Arial"/>
          <w:lang w:val="es-ES_tradnl"/>
        </w:rPr>
        <w:t xml:space="preserve"> </w:t>
      </w:r>
    </w:p>
    <w:p w14:paraId="7CF65ECE" w14:textId="77777777" w:rsidR="00552E11" w:rsidRPr="00CD2674" w:rsidRDefault="00552E11" w:rsidP="00552E11">
      <w:pPr>
        <w:spacing w:after="0" w:line="240" w:lineRule="auto"/>
        <w:jc w:val="both"/>
        <w:rPr>
          <w:rFonts w:ascii="Verdana" w:eastAsia="Calibri" w:hAnsi="Verdana" w:cs="Arial"/>
          <w:lang w:val="es-ES"/>
        </w:rPr>
      </w:pPr>
      <w:r w:rsidRPr="7EF62F61">
        <w:rPr>
          <w:rFonts w:ascii="Verdana" w:eastAsia="Calibri" w:hAnsi="Verdana" w:cs="Arial"/>
          <w:lang w:val="es-ES"/>
        </w:rPr>
        <w:t xml:space="preserve">Facebook: </w:t>
      </w:r>
      <w:proofErr w:type="spellStart"/>
      <w:r w:rsidRPr="7EF62F61">
        <w:rPr>
          <w:rFonts w:ascii="Verdana" w:eastAsia="Calibri" w:hAnsi="Verdana" w:cs="Arial"/>
          <w:lang w:val="es-ES"/>
        </w:rPr>
        <w:t>ColombiaCompraEficiente</w:t>
      </w:r>
      <w:proofErr w:type="spellEnd"/>
    </w:p>
    <w:p w14:paraId="12A00BDC" w14:textId="77777777" w:rsidR="00552E11" w:rsidRPr="00CD2674" w:rsidRDefault="00552E11" w:rsidP="00552E11">
      <w:pPr>
        <w:spacing w:after="0" w:line="240" w:lineRule="auto"/>
        <w:jc w:val="both"/>
        <w:rPr>
          <w:rFonts w:ascii="Verdana" w:eastAsia="Calibri" w:hAnsi="Verdana" w:cs="Arial"/>
          <w:lang w:val="es-ES_tradnl"/>
        </w:rPr>
      </w:pPr>
      <w:r w:rsidRPr="00CD2674">
        <w:rPr>
          <w:rFonts w:ascii="Verdana" w:eastAsia="Calibri" w:hAnsi="Verdana" w:cs="Arial"/>
          <w:lang w:val="es-ES_tradnl"/>
        </w:rPr>
        <w:t>LinkedIn: Agencia Nacional de Contratación Pública - Colombia Compra Eficiente Instagram: @</w:t>
      </w:r>
      <w:proofErr w:type="spellStart"/>
      <w:r w:rsidRPr="00CD2674">
        <w:rPr>
          <w:rFonts w:ascii="Verdana" w:eastAsia="Calibri" w:hAnsi="Verdana" w:cs="Arial"/>
          <w:lang w:val="es-ES_tradnl"/>
        </w:rPr>
        <w:t>colombiacompraeficiente_cce</w:t>
      </w:r>
      <w:proofErr w:type="spellEnd"/>
    </w:p>
    <w:p w14:paraId="20F3B6B0" w14:textId="77777777" w:rsidR="00552E11" w:rsidRPr="00CD2674" w:rsidRDefault="00552E11" w:rsidP="00552E11">
      <w:pPr>
        <w:widowControl w:val="0"/>
        <w:autoSpaceDE w:val="0"/>
        <w:autoSpaceDN w:val="0"/>
        <w:spacing w:after="0" w:line="240" w:lineRule="auto"/>
        <w:jc w:val="both"/>
        <w:rPr>
          <w:rFonts w:ascii="Verdana" w:eastAsia="Calibri" w:hAnsi="Verdana" w:cs="Arial"/>
          <w:lang w:val="es-ES_tradnl"/>
        </w:rPr>
      </w:pPr>
    </w:p>
    <w:p w14:paraId="40B44784"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5F287B07"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2F04A0D9"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5F9B6E7C"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68EA7A17"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065AA58B"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5E8D6929"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7208356A"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3FF61673"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5EC805D4"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3A947DDE"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6DAD7E0B"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33C96861"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50B618CB" w14:textId="77777777" w:rsidR="00552E11" w:rsidRDefault="00552E11" w:rsidP="00552E11">
      <w:pPr>
        <w:widowControl w:val="0"/>
        <w:autoSpaceDE w:val="0"/>
        <w:autoSpaceDN w:val="0"/>
        <w:spacing w:after="0" w:line="240" w:lineRule="auto"/>
        <w:jc w:val="both"/>
        <w:rPr>
          <w:rFonts w:ascii="Verdana" w:eastAsia="Calibri" w:hAnsi="Verdana" w:cs="Arial"/>
          <w:lang w:val="es-ES_tradnl"/>
        </w:rPr>
      </w:pPr>
    </w:p>
    <w:p w14:paraId="74E20F7D" w14:textId="77777777" w:rsidR="00552E11" w:rsidRPr="00CD2674" w:rsidRDefault="00552E11" w:rsidP="00552E11">
      <w:pPr>
        <w:widowControl w:val="0"/>
        <w:autoSpaceDE w:val="0"/>
        <w:autoSpaceDN w:val="0"/>
        <w:spacing w:after="0" w:line="240" w:lineRule="auto"/>
        <w:jc w:val="both"/>
        <w:rPr>
          <w:rFonts w:ascii="Verdana" w:hAnsi="Verdana" w:cs="Arial"/>
          <w:lang w:val="es-ES_tradnl"/>
        </w:rPr>
      </w:pPr>
      <w:r w:rsidRPr="00CD2674">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CD2674">
        <w:rPr>
          <w:rFonts w:ascii="Verdana" w:hAnsi="Verdana" w:cs="Arial"/>
          <w:lang w:val="es-ES_tradnl"/>
        </w:rPr>
        <w:t>2 de 2015.</w:t>
      </w:r>
    </w:p>
    <w:p w14:paraId="1F793642" w14:textId="77777777" w:rsidR="00552E11" w:rsidRPr="00CD2674" w:rsidRDefault="00552E11" w:rsidP="00552E11">
      <w:pPr>
        <w:widowControl w:val="0"/>
        <w:autoSpaceDE w:val="0"/>
        <w:autoSpaceDN w:val="0"/>
        <w:spacing w:after="0" w:line="240" w:lineRule="auto"/>
        <w:jc w:val="both"/>
        <w:rPr>
          <w:rFonts w:ascii="Verdana" w:hAnsi="Verdana" w:cs="Arial"/>
        </w:rPr>
      </w:pPr>
    </w:p>
    <w:p w14:paraId="08234198" w14:textId="77777777" w:rsidR="00552E11" w:rsidRPr="00CD2674" w:rsidRDefault="00552E11" w:rsidP="00552E11">
      <w:pPr>
        <w:spacing w:after="0" w:line="240" w:lineRule="auto"/>
        <w:rPr>
          <w:rFonts w:ascii="Verdana" w:hAnsi="Verdana" w:cs="Arial"/>
          <w:lang w:eastAsia="es-CO"/>
        </w:rPr>
      </w:pPr>
      <w:r w:rsidRPr="00CD2674">
        <w:rPr>
          <w:rFonts w:ascii="Verdana" w:eastAsia="Times New Roman" w:hAnsi="Verdana" w:cs="Arial"/>
          <w:lang w:eastAsia="es-CO"/>
        </w:rPr>
        <w:t>Atentamente,</w:t>
      </w:r>
      <w:r w:rsidRPr="00CD2674">
        <w:rPr>
          <w:rFonts w:ascii="Verdana" w:hAnsi="Verdana" w:cs="Arial"/>
          <w:lang w:eastAsia="es-CO"/>
        </w:rPr>
        <w:t xml:space="preserve"> </w:t>
      </w:r>
    </w:p>
    <w:p w14:paraId="4B981FDC" w14:textId="77777777" w:rsidR="00552E11" w:rsidRDefault="00552E11" w:rsidP="00552E11">
      <w:pPr>
        <w:spacing w:line="240" w:lineRule="auto"/>
        <w:jc w:val="center"/>
        <w:rPr>
          <w:rFonts w:ascii="Verdana" w:hAnsi="Verdana"/>
          <w:noProof/>
        </w:rPr>
      </w:pPr>
    </w:p>
    <w:p w14:paraId="260B2B3E" w14:textId="65CD01F3" w:rsidR="00552E11" w:rsidRPr="00CD2674" w:rsidRDefault="00DF0EA4" w:rsidP="00552E11">
      <w:pPr>
        <w:spacing w:line="240" w:lineRule="auto"/>
        <w:jc w:val="center"/>
        <w:rPr>
          <w:rFonts w:ascii="Verdana" w:hAnsi="Verdana"/>
          <w:noProof/>
        </w:rPr>
      </w:pPr>
      <w:r w:rsidRPr="0065791A">
        <w:rPr>
          <w:rFonts w:ascii="Century Gothic" w:hAnsi="Century Gothic"/>
          <w:noProof/>
        </w:rPr>
        <w:drawing>
          <wp:inline distT="0" distB="0" distL="0" distR="0" wp14:anchorId="04D0B739" wp14:editId="5611C76B">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962953" cy="1867161"/>
                    </a:xfrm>
                    <a:prstGeom prst="rect">
                      <a:avLst/>
                    </a:prstGeom>
                  </pic:spPr>
                </pic:pic>
              </a:graphicData>
            </a:graphic>
          </wp:inline>
        </w:drawing>
      </w:r>
    </w:p>
    <w:p w14:paraId="1586A7B8" w14:textId="77777777" w:rsidR="00552E11" w:rsidRPr="00CD2674" w:rsidRDefault="00552E11" w:rsidP="00552E11">
      <w:pPr>
        <w:spacing w:line="240" w:lineRule="auto"/>
        <w:jc w:val="center"/>
        <w:rPr>
          <w:rFonts w:ascii="Verdana" w:hAnsi="Verdana"/>
          <w:noProof/>
          <w:lang w:eastAsia="es-CO"/>
        </w:rPr>
      </w:pPr>
    </w:p>
    <w:p w14:paraId="69DCE82D" w14:textId="77777777" w:rsidR="00552E11" w:rsidRPr="00CD2674" w:rsidRDefault="00552E11" w:rsidP="00552E11">
      <w:pPr>
        <w:spacing w:line="240" w:lineRule="auto"/>
        <w:jc w:val="center"/>
        <w:rPr>
          <w:rFonts w:ascii="Verdana" w:hAnsi="Verdana" w:cs="Arial"/>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52E11" w:rsidRPr="00CD2674" w14:paraId="4D66ADA0" w14:textId="77777777" w:rsidTr="3DFC81A7">
        <w:trPr>
          <w:trHeight w:val="315"/>
        </w:trPr>
        <w:tc>
          <w:tcPr>
            <w:tcW w:w="893" w:type="dxa"/>
            <w:vAlign w:val="center"/>
            <w:hideMark/>
          </w:tcPr>
          <w:p w14:paraId="5AC3F83D" w14:textId="77777777" w:rsidR="00552E11" w:rsidRPr="00CD2674" w:rsidRDefault="00552E11" w:rsidP="00B17A80">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2B171999" w14:textId="77777777" w:rsidR="00552E11" w:rsidRPr="00CD2674" w:rsidRDefault="00552E11" w:rsidP="00B17A80">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 xml:space="preserve">María Valeska Medellín Mora </w:t>
            </w:r>
          </w:p>
          <w:p w14:paraId="303DC977" w14:textId="77777777" w:rsidR="00552E11" w:rsidRPr="00CD2674" w:rsidRDefault="00552E11" w:rsidP="00B17A80">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Gestor T1-15</w:t>
            </w:r>
            <w:r w:rsidRPr="00CD2674">
              <w:rPr>
                <w:rFonts w:ascii="Verdana" w:eastAsia="Calibri" w:hAnsi="Verdana"/>
                <w:sz w:val="16"/>
                <w:szCs w:val="16"/>
                <w:lang w:val="es-ES_tradnl"/>
              </w:rPr>
              <w:t xml:space="preserve"> de la Subdirección de Gestión Contractual</w:t>
            </w:r>
          </w:p>
        </w:tc>
      </w:tr>
      <w:tr w:rsidR="00552E11" w:rsidRPr="00CD2674" w14:paraId="24DB1588" w14:textId="77777777" w:rsidTr="3DFC81A7">
        <w:trPr>
          <w:trHeight w:val="330"/>
        </w:trPr>
        <w:tc>
          <w:tcPr>
            <w:tcW w:w="893" w:type="dxa"/>
            <w:vAlign w:val="center"/>
            <w:hideMark/>
          </w:tcPr>
          <w:p w14:paraId="771FB354" w14:textId="77777777" w:rsidR="00552E11" w:rsidRPr="00CD2674" w:rsidRDefault="00552E11" w:rsidP="00B17A80">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62FA66A" w14:textId="77777777" w:rsidR="00552E11" w:rsidRPr="00CD2674" w:rsidRDefault="00552E11" w:rsidP="3DFC81A7">
            <w:pPr>
              <w:pStyle w:val="paragraph"/>
              <w:spacing w:before="0" w:beforeAutospacing="0" w:after="0" w:afterAutospacing="0"/>
              <w:contextualSpacing/>
              <w:textAlignment w:val="baseline"/>
              <w:rPr>
                <w:rFonts w:ascii="Verdana" w:eastAsia="Calibri" w:hAnsi="Verdana" w:cs="Arial"/>
                <w:sz w:val="16"/>
                <w:szCs w:val="16"/>
                <w:lang w:val="es-ES" w:eastAsia="en-US"/>
              </w:rPr>
            </w:pPr>
            <w:r w:rsidRPr="3DFC81A7">
              <w:rPr>
                <w:rFonts w:ascii="Verdana" w:eastAsia="Calibri" w:hAnsi="Verdana" w:cs="Arial"/>
                <w:sz w:val="16"/>
                <w:szCs w:val="16"/>
                <w:lang w:val="es-ES" w:eastAsia="en-US"/>
              </w:rPr>
              <w:t xml:space="preserve">Adriana </w:t>
            </w:r>
            <w:proofErr w:type="spellStart"/>
            <w:r w:rsidRPr="3DFC81A7">
              <w:rPr>
                <w:rFonts w:ascii="Verdana" w:eastAsia="Calibri" w:hAnsi="Verdana" w:cs="Arial"/>
                <w:sz w:val="16"/>
                <w:szCs w:val="16"/>
                <w:lang w:val="es-ES" w:eastAsia="en-US"/>
              </w:rPr>
              <w:t>Katerine</w:t>
            </w:r>
            <w:proofErr w:type="spellEnd"/>
            <w:r w:rsidRPr="3DFC81A7">
              <w:rPr>
                <w:rFonts w:ascii="Verdana" w:eastAsia="Calibri" w:hAnsi="Verdana" w:cs="Arial"/>
                <w:sz w:val="16"/>
                <w:szCs w:val="16"/>
                <w:lang w:val="es-ES" w:eastAsia="en-US"/>
              </w:rPr>
              <w:t xml:space="preserve"> </w:t>
            </w:r>
            <w:proofErr w:type="spellStart"/>
            <w:r w:rsidRPr="3DFC81A7">
              <w:rPr>
                <w:rFonts w:ascii="Verdana" w:eastAsia="Calibri" w:hAnsi="Verdana" w:cs="Arial"/>
                <w:sz w:val="16"/>
                <w:szCs w:val="16"/>
                <w:lang w:val="es-ES" w:eastAsia="en-US"/>
              </w:rPr>
              <w:t>Lopez</w:t>
            </w:r>
            <w:proofErr w:type="spellEnd"/>
            <w:r w:rsidRPr="3DFC81A7">
              <w:rPr>
                <w:rFonts w:ascii="Verdana" w:eastAsia="Calibri" w:hAnsi="Verdana" w:cs="Arial"/>
                <w:sz w:val="16"/>
                <w:szCs w:val="16"/>
                <w:lang w:val="es-ES" w:eastAsia="en-US"/>
              </w:rPr>
              <w:t xml:space="preserve"> </w:t>
            </w:r>
            <w:proofErr w:type="spellStart"/>
            <w:r w:rsidRPr="3DFC81A7">
              <w:rPr>
                <w:rFonts w:ascii="Verdana" w:eastAsia="Calibri" w:hAnsi="Verdana" w:cs="Arial"/>
                <w:sz w:val="16"/>
                <w:szCs w:val="16"/>
                <w:lang w:val="es-ES" w:eastAsia="en-US"/>
              </w:rPr>
              <w:t>Rodriguez</w:t>
            </w:r>
            <w:proofErr w:type="spellEnd"/>
          </w:p>
          <w:p w14:paraId="3D0FDE97" w14:textId="77777777" w:rsidR="00552E11" w:rsidRPr="00CD2674" w:rsidRDefault="00552E11" w:rsidP="00B17A80">
            <w:pPr>
              <w:pStyle w:val="paragraph"/>
              <w:spacing w:before="0" w:beforeAutospacing="0" w:after="0" w:afterAutospacing="0"/>
              <w:contextualSpacing/>
              <w:textAlignment w:val="baseline"/>
              <w:rPr>
                <w:rFonts w:ascii="Verdana" w:eastAsia="Calibri" w:hAnsi="Verdana" w:cs="Arial"/>
                <w:sz w:val="16"/>
                <w:szCs w:val="16"/>
                <w:lang w:val="es-ES_tradnl" w:eastAsia="en-US"/>
              </w:rPr>
            </w:pPr>
            <w:r w:rsidRPr="00CD2674">
              <w:rPr>
                <w:rFonts w:ascii="Verdana" w:eastAsia="Calibri" w:hAnsi="Verdana"/>
                <w:sz w:val="16"/>
                <w:szCs w:val="16"/>
                <w:lang w:val="es-ES_tradnl" w:eastAsia="en-US"/>
              </w:rPr>
              <w:t>Contratista de la Subdirección de Gestión Contractual </w:t>
            </w:r>
          </w:p>
        </w:tc>
      </w:tr>
      <w:tr w:rsidR="00552E11" w:rsidRPr="00CD2674" w14:paraId="2504440A" w14:textId="77777777" w:rsidTr="3DFC81A7">
        <w:trPr>
          <w:trHeight w:val="300"/>
        </w:trPr>
        <w:tc>
          <w:tcPr>
            <w:tcW w:w="893" w:type="dxa"/>
            <w:vAlign w:val="center"/>
          </w:tcPr>
          <w:p w14:paraId="03D5D19C" w14:textId="77777777" w:rsidR="00552E11" w:rsidRPr="00CD2674" w:rsidRDefault="00552E11" w:rsidP="00B17A80">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D700EC" w14:textId="77777777" w:rsidR="00552E11" w:rsidRPr="00CD2674" w:rsidRDefault="00552E11" w:rsidP="00B17A80">
            <w:pPr>
              <w:contextualSpacing/>
              <w:rPr>
                <w:rFonts w:ascii="Verdana" w:eastAsia="Calibri" w:hAnsi="Verdana" w:cs="Arial"/>
                <w:sz w:val="16"/>
                <w:szCs w:val="16"/>
                <w:lang w:val="es-ES"/>
              </w:rPr>
            </w:pPr>
            <w:r w:rsidRPr="7EF62F61">
              <w:rPr>
                <w:rFonts w:ascii="Verdana" w:eastAsia="Calibri" w:hAnsi="Verdana" w:cs="Arial"/>
                <w:sz w:val="16"/>
                <w:szCs w:val="16"/>
                <w:lang w:val="es-ES"/>
              </w:rPr>
              <w:t xml:space="preserve">Carolina Quintero </w:t>
            </w:r>
            <w:proofErr w:type="spellStart"/>
            <w:r w:rsidRPr="7EF62F61">
              <w:rPr>
                <w:rFonts w:ascii="Verdana" w:eastAsia="Calibri" w:hAnsi="Verdana" w:cs="Arial"/>
                <w:sz w:val="16"/>
                <w:szCs w:val="16"/>
                <w:lang w:val="es-ES"/>
              </w:rPr>
              <w:t>Gacharná</w:t>
            </w:r>
            <w:proofErr w:type="spellEnd"/>
          </w:p>
          <w:p w14:paraId="1F4B40DE" w14:textId="77777777" w:rsidR="00552E11" w:rsidRPr="00CD2674" w:rsidRDefault="00552E11" w:rsidP="00B17A80">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Subdirectora de Gestión Contractual ANCP – CCE</w:t>
            </w:r>
          </w:p>
        </w:tc>
      </w:tr>
    </w:tbl>
    <w:p w14:paraId="2FB300BC" w14:textId="77777777" w:rsidR="00552E11" w:rsidRPr="00CD2674" w:rsidRDefault="00552E11" w:rsidP="00552E11">
      <w:pPr>
        <w:spacing w:after="0" w:line="240" w:lineRule="auto"/>
        <w:rPr>
          <w:rFonts w:ascii="Verdana" w:eastAsia="Times New Roman" w:hAnsi="Verdana" w:cs="Arial"/>
          <w:sz w:val="24"/>
          <w:szCs w:val="24"/>
          <w:lang w:eastAsia="es-ES"/>
        </w:rPr>
      </w:pPr>
    </w:p>
    <w:p w14:paraId="0130029E" w14:textId="77777777" w:rsidR="00552E11" w:rsidRPr="00CD2674" w:rsidRDefault="00552E11" w:rsidP="00552E11">
      <w:pPr>
        <w:spacing w:line="240" w:lineRule="auto"/>
        <w:rPr>
          <w:rFonts w:ascii="Verdana" w:hAnsi="Verdana"/>
        </w:rPr>
      </w:pPr>
    </w:p>
    <w:p w14:paraId="29E12477" w14:textId="77777777" w:rsidR="00552E11" w:rsidRPr="00CD2674" w:rsidRDefault="00552E11" w:rsidP="00552E11">
      <w:pPr>
        <w:spacing w:after="0" w:line="240" w:lineRule="auto"/>
        <w:jc w:val="both"/>
        <w:rPr>
          <w:rFonts w:ascii="Verdana" w:hAnsi="Verdana"/>
        </w:rPr>
      </w:pPr>
    </w:p>
    <w:p w14:paraId="3D40C47F" w14:textId="77777777" w:rsidR="00552E11" w:rsidRPr="00CD2674" w:rsidRDefault="00552E11" w:rsidP="00552E11">
      <w:pPr>
        <w:spacing w:line="240" w:lineRule="auto"/>
        <w:rPr>
          <w:rFonts w:ascii="Verdana" w:hAnsi="Verdana"/>
        </w:rPr>
      </w:pPr>
    </w:p>
    <w:p w14:paraId="78BF0441" w14:textId="77777777" w:rsidR="00552E11" w:rsidRPr="0044528D" w:rsidRDefault="00552E11" w:rsidP="00552E11">
      <w:pPr>
        <w:spacing w:after="0"/>
        <w:rPr>
          <w:rFonts w:ascii="Verdana" w:hAnsi="Verdana"/>
        </w:rPr>
      </w:pPr>
    </w:p>
    <w:p w14:paraId="5313181D" w14:textId="77777777" w:rsidR="00552E11" w:rsidRPr="00DF5650" w:rsidRDefault="00552E11" w:rsidP="00552E11">
      <w:pPr>
        <w:spacing w:after="0" w:line="240" w:lineRule="auto"/>
        <w:jc w:val="both"/>
        <w:rPr>
          <w:rFonts w:ascii="Verdana" w:eastAsia="Calibri" w:hAnsi="Verdana" w:cs="Arial"/>
          <w:lang w:eastAsia="es-ES"/>
        </w:rPr>
      </w:pPr>
    </w:p>
    <w:p w14:paraId="1E90FCF5" w14:textId="77777777" w:rsidR="00552E11" w:rsidRPr="0044528D" w:rsidRDefault="00552E11" w:rsidP="00552E11">
      <w:pPr>
        <w:spacing w:after="0"/>
        <w:rPr>
          <w:rFonts w:ascii="Verdana" w:hAnsi="Verdana"/>
        </w:rPr>
      </w:pPr>
    </w:p>
    <w:bookmarkEnd w:id="0"/>
    <w:p w14:paraId="4B4C3CEB" w14:textId="77777777" w:rsidR="00FE4EB4" w:rsidRPr="00552E11" w:rsidRDefault="00FE4EB4" w:rsidP="00552E11"/>
    <w:sectPr w:rsidR="00FE4EB4" w:rsidRPr="00552E11" w:rsidSect="00E45F4B">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54171D" w14:textId="77777777" w:rsidR="008E0EA1" w:rsidRDefault="008E0EA1" w:rsidP="00B30448">
      <w:pPr>
        <w:spacing w:after="0" w:line="240" w:lineRule="auto"/>
      </w:pPr>
      <w:r>
        <w:separator/>
      </w:r>
    </w:p>
  </w:endnote>
  <w:endnote w:type="continuationSeparator" w:id="0">
    <w:p w14:paraId="65FEE4A3" w14:textId="77777777" w:rsidR="008E0EA1" w:rsidRDefault="008E0EA1" w:rsidP="00B30448">
      <w:pPr>
        <w:spacing w:after="0" w:line="240" w:lineRule="auto"/>
      </w:pPr>
      <w:r>
        <w:continuationSeparator/>
      </w:r>
    </w:p>
  </w:endnote>
  <w:endnote w:type="continuationNotice" w:id="1">
    <w:p w14:paraId="63E88818" w14:textId="77777777" w:rsidR="008E0EA1" w:rsidRDefault="008E0E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1F8F0E" w14:textId="77777777" w:rsidR="008E0EA1" w:rsidRDefault="008E0EA1" w:rsidP="00B30448">
      <w:pPr>
        <w:spacing w:after="0" w:line="240" w:lineRule="auto"/>
      </w:pPr>
      <w:r>
        <w:separator/>
      </w:r>
    </w:p>
  </w:footnote>
  <w:footnote w:type="continuationSeparator" w:id="0">
    <w:p w14:paraId="30DBBBA6" w14:textId="77777777" w:rsidR="008E0EA1" w:rsidRDefault="008E0EA1" w:rsidP="00B30448">
      <w:pPr>
        <w:spacing w:after="0" w:line="240" w:lineRule="auto"/>
      </w:pPr>
      <w:r>
        <w:continuationSeparator/>
      </w:r>
    </w:p>
  </w:footnote>
  <w:footnote w:type="continuationNotice" w:id="1">
    <w:p w14:paraId="2A87D2AB" w14:textId="77777777" w:rsidR="008E0EA1" w:rsidRDefault="008E0E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1125632"/>
    <w:multiLevelType w:val="hybridMultilevel"/>
    <w:tmpl w:val="7DDC07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8BA223E"/>
    <w:multiLevelType w:val="hybridMultilevel"/>
    <w:tmpl w:val="A5868C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F864FF"/>
    <w:multiLevelType w:val="hybridMultilevel"/>
    <w:tmpl w:val="C5B65E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0"/>
  </w:num>
  <w:num w:numId="5">
    <w:abstractNumId w:val="10"/>
  </w:num>
  <w:num w:numId="6">
    <w:abstractNumId w:val="1"/>
  </w:num>
  <w:num w:numId="7">
    <w:abstractNumId w:val="7"/>
  </w:num>
  <w:num w:numId="8">
    <w:abstractNumId w:val="9"/>
  </w:num>
  <w:num w:numId="9">
    <w:abstractNumId w:val="12"/>
  </w:num>
  <w:num w:numId="10">
    <w:abstractNumId w:val="11"/>
  </w:num>
  <w:num w:numId="11">
    <w:abstractNumId w:val="6"/>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3E5B"/>
    <w:rsid w:val="00005BB0"/>
    <w:rsid w:val="0001025F"/>
    <w:rsid w:val="00011A77"/>
    <w:rsid w:val="0001222D"/>
    <w:rsid w:val="000135EB"/>
    <w:rsid w:val="00015D2B"/>
    <w:rsid w:val="00021926"/>
    <w:rsid w:val="00023823"/>
    <w:rsid w:val="00027EBC"/>
    <w:rsid w:val="00031584"/>
    <w:rsid w:val="00032A0E"/>
    <w:rsid w:val="00037347"/>
    <w:rsid w:val="00040A35"/>
    <w:rsid w:val="000441B0"/>
    <w:rsid w:val="000442CC"/>
    <w:rsid w:val="000531F5"/>
    <w:rsid w:val="000556D4"/>
    <w:rsid w:val="000716AB"/>
    <w:rsid w:val="00076BB0"/>
    <w:rsid w:val="00082E4C"/>
    <w:rsid w:val="00083217"/>
    <w:rsid w:val="000849D5"/>
    <w:rsid w:val="0008528F"/>
    <w:rsid w:val="00090E20"/>
    <w:rsid w:val="00093D50"/>
    <w:rsid w:val="000A6E0C"/>
    <w:rsid w:val="000A7A56"/>
    <w:rsid w:val="000B1FF7"/>
    <w:rsid w:val="000B2513"/>
    <w:rsid w:val="000B4024"/>
    <w:rsid w:val="000B5FFE"/>
    <w:rsid w:val="000C3C51"/>
    <w:rsid w:val="000C7262"/>
    <w:rsid w:val="000D2A7F"/>
    <w:rsid w:val="000D4FCE"/>
    <w:rsid w:val="000D634C"/>
    <w:rsid w:val="000E08DE"/>
    <w:rsid w:val="000E0E94"/>
    <w:rsid w:val="000E670C"/>
    <w:rsid w:val="000E67EA"/>
    <w:rsid w:val="000F2DCB"/>
    <w:rsid w:val="001039F8"/>
    <w:rsid w:val="001079A9"/>
    <w:rsid w:val="0011037E"/>
    <w:rsid w:val="0011170B"/>
    <w:rsid w:val="00120C22"/>
    <w:rsid w:val="00123B10"/>
    <w:rsid w:val="001363C7"/>
    <w:rsid w:val="00141AC5"/>
    <w:rsid w:val="00146B11"/>
    <w:rsid w:val="00147A04"/>
    <w:rsid w:val="00152E66"/>
    <w:rsid w:val="0015476D"/>
    <w:rsid w:val="00161E13"/>
    <w:rsid w:val="0016210D"/>
    <w:rsid w:val="00164AE0"/>
    <w:rsid w:val="00165E83"/>
    <w:rsid w:val="00166197"/>
    <w:rsid w:val="00166CD7"/>
    <w:rsid w:val="00167195"/>
    <w:rsid w:val="001672D4"/>
    <w:rsid w:val="0017120C"/>
    <w:rsid w:val="00172F3A"/>
    <w:rsid w:val="001809C7"/>
    <w:rsid w:val="00192719"/>
    <w:rsid w:val="0019532A"/>
    <w:rsid w:val="0019670E"/>
    <w:rsid w:val="00197205"/>
    <w:rsid w:val="001A5DD4"/>
    <w:rsid w:val="001A64AF"/>
    <w:rsid w:val="001A67E9"/>
    <w:rsid w:val="001B143B"/>
    <w:rsid w:val="001B14B3"/>
    <w:rsid w:val="001B21CA"/>
    <w:rsid w:val="001B5566"/>
    <w:rsid w:val="001C04FC"/>
    <w:rsid w:val="001C124E"/>
    <w:rsid w:val="001C25A3"/>
    <w:rsid w:val="001C5D03"/>
    <w:rsid w:val="001C7771"/>
    <w:rsid w:val="001D62FF"/>
    <w:rsid w:val="001E2B8E"/>
    <w:rsid w:val="001E5CC4"/>
    <w:rsid w:val="001F3F48"/>
    <w:rsid w:val="002000AA"/>
    <w:rsid w:val="00203A80"/>
    <w:rsid w:val="00204109"/>
    <w:rsid w:val="0021026D"/>
    <w:rsid w:val="00211E6E"/>
    <w:rsid w:val="00212A46"/>
    <w:rsid w:val="0021401D"/>
    <w:rsid w:val="002146B8"/>
    <w:rsid w:val="00215516"/>
    <w:rsid w:val="00244766"/>
    <w:rsid w:val="00244C79"/>
    <w:rsid w:val="002527C2"/>
    <w:rsid w:val="002535E5"/>
    <w:rsid w:val="00260EA1"/>
    <w:rsid w:val="00265C55"/>
    <w:rsid w:val="00270443"/>
    <w:rsid w:val="00270EE2"/>
    <w:rsid w:val="00272972"/>
    <w:rsid w:val="0028252D"/>
    <w:rsid w:val="00285F49"/>
    <w:rsid w:val="00286491"/>
    <w:rsid w:val="00294626"/>
    <w:rsid w:val="00295193"/>
    <w:rsid w:val="002A097D"/>
    <w:rsid w:val="002A0F8D"/>
    <w:rsid w:val="002B50F1"/>
    <w:rsid w:val="002B6E44"/>
    <w:rsid w:val="002D268C"/>
    <w:rsid w:val="002D3753"/>
    <w:rsid w:val="002D3E33"/>
    <w:rsid w:val="002D580F"/>
    <w:rsid w:val="002D77DF"/>
    <w:rsid w:val="002E1DB5"/>
    <w:rsid w:val="002E7444"/>
    <w:rsid w:val="002F6CCB"/>
    <w:rsid w:val="00300925"/>
    <w:rsid w:val="0030461E"/>
    <w:rsid w:val="00313541"/>
    <w:rsid w:val="00317666"/>
    <w:rsid w:val="0032756A"/>
    <w:rsid w:val="00332F38"/>
    <w:rsid w:val="00334EF8"/>
    <w:rsid w:val="00336408"/>
    <w:rsid w:val="00340DFB"/>
    <w:rsid w:val="0034404F"/>
    <w:rsid w:val="003471E6"/>
    <w:rsid w:val="00356980"/>
    <w:rsid w:val="003639DA"/>
    <w:rsid w:val="00367462"/>
    <w:rsid w:val="00371ECA"/>
    <w:rsid w:val="00372748"/>
    <w:rsid w:val="0037332A"/>
    <w:rsid w:val="00373624"/>
    <w:rsid w:val="0038151A"/>
    <w:rsid w:val="0039082A"/>
    <w:rsid w:val="00390C21"/>
    <w:rsid w:val="003A37BD"/>
    <w:rsid w:val="003A545D"/>
    <w:rsid w:val="003B6D94"/>
    <w:rsid w:val="003C0DF9"/>
    <w:rsid w:val="003C22D2"/>
    <w:rsid w:val="003C4C96"/>
    <w:rsid w:val="003C55E0"/>
    <w:rsid w:val="003F0899"/>
    <w:rsid w:val="003F2E9C"/>
    <w:rsid w:val="003F519B"/>
    <w:rsid w:val="003F5396"/>
    <w:rsid w:val="00404EAA"/>
    <w:rsid w:val="0040544F"/>
    <w:rsid w:val="00406A19"/>
    <w:rsid w:val="0041222D"/>
    <w:rsid w:val="0041483E"/>
    <w:rsid w:val="00414A21"/>
    <w:rsid w:val="00415369"/>
    <w:rsid w:val="00417CD9"/>
    <w:rsid w:val="00420C54"/>
    <w:rsid w:val="004221C8"/>
    <w:rsid w:val="00422EE2"/>
    <w:rsid w:val="00430492"/>
    <w:rsid w:val="00432FFE"/>
    <w:rsid w:val="0044729A"/>
    <w:rsid w:val="00450BE7"/>
    <w:rsid w:val="004536BD"/>
    <w:rsid w:val="004667EB"/>
    <w:rsid w:val="0046741E"/>
    <w:rsid w:val="00472CC6"/>
    <w:rsid w:val="004767A4"/>
    <w:rsid w:val="0048026E"/>
    <w:rsid w:val="004807A9"/>
    <w:rsid w:val="004813EE"/>
    <w:rsid w:val="00482349"/>
    <w:rsid w:val="00493278"/>
    <w:rsid w:val="004943D9"/>
    <w:rsid w:val="004A0E7B"/>
    <w:rsid w:val="004A3498"/>
    <w:rsid w:val="004B0C45"/>
    <w:rsid w:val="004B2A84"/>
    <w:rsid w:val="004B7E5C"/>
    <w:rsid w:val="004C0AB2"/>
    <w:rsid w:val="004C1619"/>
    <w:rsid w:val="004C1A26"/>
    <w:rsid w:val="004C1CC9"/>
    <w:rsid w:val="004C3755"/>
    <w:rsid w:val="004C4485"/>
    <w:rsid w:val="004D07AC"/>
    <w:rsid w:val="004D0B5D"/>
    <w:rsid w:val="004D11AF"/>
    <w:rsid w:val="004D3953"/>
    <w:rsid w:val="00500DFA"/>
    <w:rsid w:val="005019AA"/>
    <w:rsid w:val="005021BB"/>
    <w:rsid w:val="00507641"/>
    <w:rsid w:val="00507FDF"/>
    <w:rsid w:val="005139E7"/>
    <w:rsid w:val="005147DA"/>
    <w:rsid w:val="00515FB5"/>
    <w:rsid w:val="00516090"/>
    <w:rsid w:val="005207F7"/>
    <w:rsid w:val="0052365C"/>
    <w:rsid w:val="005271EB"/>
    <w:rsid w:val="005426DB"/>
    <w:rsid w:val="0055082B"/>
    <w:rsid w:val="00552503"/>
    <w:rsid w:val="00552B57"/>
    <w:rsid w:val="00552E11"/>
    <w:rsid w:val="00557DA1"/>
    <w:rsid w:val="0056322C"/>
    <w:rsid w:val="005679C2"/>
    <w:rsid w:val="00577152"/>
    <w:rsid w:val="00586562"/>
    <w:rsid w:val="0058743A"/>
    <w:rsid w:val="005A3FCB"/>
    <w:rsid w:val="005A4DB0"/>
    <w:rsid w:val="005A7B8E"/>
    <w:rsid w:val="005B012B"/>
    <w:rsid w:val="005B0C87"/>
    <w:rsid w:val="005C4800"/>
    <w:rsid w:val="005C4978"/>
    <w:rsid w:val="005C6EE8"/>
    <w:rsid w:val="005D23F6"/>
    <w:rsid w:val="005D2FA8"/>
    <w:rsid w:val="005D4BD8"/>
    <w:rsid w:val="005E2281"/>
    <w:rsid w:val="005E667C"/>
    <w:rsid w:val="005F077C"/>
    <w:rsid w:val="005F50D7"/>
    <w:rsid w:val="005F5F33"/>
    <w:rsid w:val="005F63D0"/>
    <w:rsid w:val="005F7973"/>
    <w:rsid w:val="006027A6"/>
    <w:rsid w:val="00606D1F"/>
    <w:rsid w:val="0061690E"/>
    <w:rsid w:val="00627361"/>
    <w:rsid w:val="0063017E"/>
    <w:rsid w:val="00631B28"/>
    <w:rsid w:val="00635F89"/>
    <w:rsid w:val="006450EE"/>
    <w:rsid w:val="00645B90"/>
    <w:rsid w:val="00650991"/>
    <w:rsid w:val="006511D7"/>
    <w:rsid w:val="00663D75"/>
    <w:rsid w:val="00664B60"/>
    <w:rsid w:val="0066531E"/>
    <w:rsid w:val="00670AEF"/>
    <w:rsid w:val="00675678"/>
    <w:rsid w:val="00676A8B"/>
    <w:rsid w:val="00677012"/>
    <w:rsid w:val="006825B4"/>
    <w:rsid w:val="00682AF2"/>
    <w:rsid w:val="006864DF"/>
    <w:rsid w:val="00694273"/>
    <w:rsid w:val="006A1D37"/>
    <w:rsid w:val="006A3C8A"/>
    <w:rsid w:val="006A49F1"/>
    <w:rsid w:val="006A7552"/>
    <w:rsid w:val="006B0C69"/>
    <w:rsid w:val="006B5953"/>
    <w:rsid w:val="006B5AD4"/>
    <w:rsid w:val="006B7A81"/>
    <w:rsid w:val="006C4BAC"/>
    <w:rsid w:val="006C52F3"/>
    <w:rsid w:val="006E0866"/>
    <w:rsid w:val="006E1F18"/>
    <w:rsid w:val="006E7F37"/>
    <w:rsid w:val="006F3B81"/>
    <w:rsid w:val="006F4F79"/>
    <w:rsid w:val="00702163"/>
    <w:rsid w:val="00705394"/>
    <w:rsid w:val="00705B37"/>
    <w:rsid w:val="00711FD9"/>
    <w:rsid w:val="00735062"/>
    <w:rsid w:val="00740D76"/>
    <w:rsid w:val="00745400"/>
    <w:rsid w:val="00746BA5"/>
    <w:rsid w:val="00751D23"/>
    <w:rsid w:val="00770577"/>
    <w:rsid w:val="00777666"/>
    <w:rsid w:val="0078159B"/>
    <w:rsid w:val="0078296B"/>
    <w:rsid w:val="00782E10"/>
    <w:rsid w:val="0078706B"/>
    <w:rsid w:val="00790836"/>
    <w:rsid w:val="00797131"/>
    <w:rsid w:val="007A3C1D"/>
    <w:rsid w:val="007A4342"/>
    <w:rsid w:val="007B285D"/>
    <w:rsid w:val="007B541E"/>
    <w:rsid w:val="007B5D8C"/>
    <w:rsid w:val="007C36C0"/>
    <w:rsid w:val="007C6BC6"/>
    <w:rsid w:val="007E130B"/>
    <w:rsid w:val="007E175D"/>
    <w:rsid w:val="00807D79"/>
    <w:rsid w:val="00813634"/>
    <w:rsid w:val="008138B5"/>
    <w:rsid w:val="0081705B"/>
    <w:rsid w:val="00822821"/>
    <w:rsid w:val="00831C29"/>
    <w:rsid w:val="00842380"/>
    <w:rsid w:val="008431EF"/>
    <w:rsid w:val="008468E0"/>
    <w:rsid w:val="00863077"/>
    <w:rsid w:val="00865FBA"/>
    <w:rsid w:val="00871B59"/>
    <w:rsid w:val="00873026"/>
    <w:rsid w:val="00876251"/>
    <w:rsid w:val="00877D03"/>
    <w:rsid w:val="00877E96"/>
    <w:rsid w:val="008806CA"/>
    <w:rsid w:val="008815E5"/>
    <w:rsid w:val="00887B37"/>
    <w:rsid w:val="0089018C"/>
    <w:rsid w:val="008909B9"/>
    <w:rsid w:val="00891DFC"/>
    <w:rsid w:val="008B12B4"/>
    <w:rsid w:val="008B6DF0"/>
    <w:rsid w:val="008B7914"/>
    <w:rsid w:val="008C0FF5"/>
    <w:rsid w:val="008C5D2A"/>
    <w:rsid w:val="008C7AF4"/>
    <w:rsid w:val="008D1EB8"/>
    <w:rsid w:val="008D529F"/>
    <w:rsid w:val="008D62AC"/>
    <w:rsid w:val="008E019D"/>
    <w:rsid w:val="008E0EA1"/>
    <w:rsid w:val="008F5CC8"/>
    <w:rsid w:val="00901D77"/>
    <w:rsid w:val="0090435F"/>
    <w:rsid w:val="009061B8"/>
    <w:rsid w:val="0091008B"/>
    <w:rsid w:val="00911EA2"/>
    <w:rsid w:val="00913B8D"/>
    <w:rsid w:val="0091425D"/>
    <w:rsid w:val="00916C7D"/>
    <w:rsid w:val="00923D6E"/>
    <w:rsid w:val="0092575D"/>
    <w:rsid w:val="00930C33"/>
    <w:rsid w:val="009341DA"/>
    <w:rsid w:val="00934C50"/>
    <w:rsid w:val="009430F9"/>
    <w:rsid w:val="009442E8"/>
    <w:rsid w:val="00944712"/>
    <w:rsid w:val="009457B6"/>
    <w:rsid w:val="00946BD0"/>
    <w:rsid w:val="0095426C"/>
    <w:rsid w:val="009542B5"/>
    <w:rsid w:val="00955E43"/>
    <w:rsid w:val="00962196"/>
    <w:rsid w:val="00970087"/>
    <w:rsid w:val="00970FB1"/>
    <w:rsid w:val="00971074"/>
    <w:rsid w:val="00983F49"/>
    <w:rsid w:val="0098575C"/>
    <w:rsid w:val="00987B8D"/>
    <w:rsid w:val="00993125"/>
    <w:rsid w:val="00995D86"/>
    <w:rsid w:val="00997EDD"/>
    <w:rsid w:val="009A5453"/>
    <w:rsid w:val="009A7AF7"/>
    <w:rsid w:val="009B1186"/>
    <w:rsid w:val="009B4D94"/>
    <w:rsid w:val="009C063A"/>
    <w:rsid w:val="009C2871"/>
    <w:rsid w:val="009C70B9"/>
    <w:rsid w:val="009D2600"/>
    <w:rsid w:val="009D3C33"/>
    <w:rsid w:val="009D7F3A"/>
    <w:rsid w:val="009E45F4"/>
    <w:rsid w:val="009E4885"/>
    <w:rsid w:val="00A07DB6"/>
    <w:rsid w:val="00A10A73"/>
    <w:rsid w:val="00A170B3"/>
    <w:rsid w:val="00A223D5"/>
    <w:rsid w:val="00A37D1C"/>
    <w:rsid w:val="00A41AF1"/>
    <w:rsid w:val="00A468AF"/>
    <w:rsid w:val="00A468BD"/>
    <w:rsid w:val="00A5453E"/>
    <w:rsid w:val="00A55848"/>
    <w:rsid w:val="00A558E2"/>
    <w:rsid w:val="00A56F6C"/>
    <w:rsid w:val="00A679CB"/>
    <w:rsid w:val="00A76C8C"/>
    <w:rsid w:val="00A85F30"/>
    <w:rsid w:val="00A9099E"/>
    <w:rsid w:val="00A91FB7"/>
    <w:rsid w:val="00A9298F"/>
    <w:rsid w:val="00A93E6D"/>
    <w:rsid w:val="00AA0351"/>
    <w:rsid w:val="00AA0873"/>
    <w:rsid w:val="00AA0DA9"/>
    <w:rsid w:val="00AA132B"/>
    <w:rsid w:val="00AA5F4A"/>
    <w:rsid w:val="00AA7935"/>
    <w:rsid w:val="00AA7BEF"/>
    <w:rsid w:val="00AB1984"/>
    <w:rsid w:val="00AB52B1"/>
    <w:rsid w:val="00AC1CAB"/>
    <w:rsid w:val="00AC4CB3"/>
    <w:rsid w:val="00AC780D"/>
    <w:rsid w:val="00AD036B"/>
    <w:rsid w:val="00AD1996"/>
    <w:rsid w:val="00AD21BF"/>
    <w:rsid w:val="00AD4099"/>
    <w:rsid w:val="00AD4901"/>
    <w:rsid w:val="00AE6458"/>
    <w:rsid w:val="00B02FE0"/>
    <w:rsid w:val="00B04F87"/>
    <w:rsid w:val="00B057B6"/>
    <w:rsid w:val="00B118C5"/>
    <w:rsid w:val="00B126EC"/>
    <w:rsid w:val="00B167C6"/>
    <w:rsid w:val="00B22327"/>
    <w:rsid w:val="00B22555"/>
    <w:rsid w:val="00B2722B"/>
    <w:rsid w:val="00B30448"/>
    <w:rsid w:val="00B34786"/>
    <w:rsid w:val="00B400EC"/>
    <w:rsid w:val="00B40162"/>
    <w:rsid w:val="00B41ACE"/>
    <w:rsid w:val="00B41B8B"/>
    <w:rsid w:val="00B50156"/>
    <w:rsid w:val="00B518AD"/>
    <w:rsid w:val="00B60A96"/>
    <w:rsid w:val="00B678EC"/>
    <w:rsid w:val="00B72147"/>
    <w:rsid w:val="00B73DDD"/>
    <w:rsid w:val="00B76C94"/>
    <w:rsid w:val="00B772D0"/>
    <w:rsid w:val="00B836EA"/>
    <w:rsid w:val="00B84C05"/>
    <w:rsid w:val="00B907CF"/>
    <w:rsid w:val="00B91B81"/>
    <w:rsid w:val="00B97135"/>
    <w:rsid w:val="00BB3072"/>
    <w:rsid w:val="00BC5FE4"/>
    <w:rsid w:val="00BC7632"/>
    <w:rsid w:val="00BD214D"/>
    <w:rsid w:val="00BD48A9"/>
    <w:rsid w:val="00BD630F"/>
    <w:rsid w:val="00BD7EC6"/>
    <w:rsid w:val="00BE3E91"/>
    <w:rsid w:val="00BE45FE"/>
    <w:rsid w:val="00BE73FA"/>
    <w:rsid w:val="00BF5C2A"/>
    <w:rsid w:val="00BF6B4B"/>
    <w:rsid w:val="00C0511C"/>
    <w:rsid w:val="00C1089B"/>
    <w:rsid w:val="00C20ACF"/>
    <w:rsid w:val="00C22307"/>
    <w:rsid w:val="00C23469"/>
    <w:rsid w:val="00C25F7D"/>
    <w:rsid w:val="00C30C62"/>
    <w:rsid w:val="00C315BE"/>
    <w:rsid w:val="00C33386"/>
    <w:rsid w:val="00C371DF"/>
    <w:rsid w:val="00C40391"/>
    <w:rsid w:val="00C42055"/>
    <w:rsid w:val="00C44B4C"/>
    <w:rsid w:val="00C46734"/>
    <w:rsid w:val="00C47A86"/>
    <w:rsid w:val="00C53220"/>
    <w:rsid w:val="00C5631D"/>
    <w:rsid w:val="00C6639C"/>
    <w:rsid w:val="00C71348"/>
    <w:rsid w:val="00C75D6C"/>
    <w:rsid w:val="00CA3347"/>
    <w:rsid w:val="00CA4E5F"/>
    <w:rsid w:val="00CB28AD"/>
    <w:rsid w:val="00CC299A"/>
    <w:rsid w:val="00CD03E3"/>
    <w:rsid w:val="00CD2674"/>
    <w:rsid w:val="00CD3DF5"/>
    <w:rsid w:val="00CE6BDA"/>
    <w:rsid w:val="00CF6BC0"/>
    <w:rsid w:val="00D03DBE"/>
    <w:rsid w:val="00D04F32"/>
    <w:rsid w:val="00D072C0"/>
    <w:rsid w:val="00D131D2"/>
    <w:rsid w:val="00D1770A"/>
    <w:rsid w:val="00D23ADC"/>
    <w:rsid w:val="00D3494C"/>
    <w:rsid w:val="00D34C82"/>
    <w:rsid w:val="00D3757A"/>
    <w:rsid w:val="00D504A9"/>
    <w:rsid w:val="00D5206D"/>
    <w:rsid w:val="00D53CEB"/>
    <w:rsid w:val="00D7177D"/>
    <w:rsid w:val="00D73D4D"/>
    <w:rsid w:val="00D81311"/>
    <w:rsid w:val="00DA538F"/>
    <w:rsid w:val="00DA55B1"/>
    <w:rsid w:val="00DB201E"/>
    <w:rsid w:val="00DB5D94"/>
    <w:rsid w:val="00DC0E68"/>
    <w:rsid w:val="00DC744B"/>
    <w:rsid w:val="00DD25ED"/>
    <w:rsid w:val="00DE0D6E"/>
    <w:rsid w:val="00DE3BAB"/>
    <w:rsid w:val="00DE3E5A"/>
    <w:rsid w:val="00DF0EA4"/>
    <w:rsid w:val="00DF4E74"/>
    <w:rsid w:val="00DF5650"/>
    <w:rsid w:val="00E04E83"/>
    <w:rsid w:val="00E074AB"/>
    <w:rsid w:val="00E1610C"/>
    <w:rsid w:val="00E16D73"/>
    <w:rsid w:val="00E21EF6"/>
    <w:rsid w:val="00E22171"/>
    <w:rsid w:val="00E23E9E"/>
    <w:rsid w:val="00E24F5C"/>
    <w:rsid w:val="00E25722"/>
    <w:rsid w:val="00E27F0A"/>
    <w:rsid w:val="00E322D8"/>
    <w:rsid w:val="00E4231E"/>
    <w:rsid w:val="00E4302C"/>
    <w:rsid w:val="00E44AC7"/>
    <w:rsid w:val="00E45F4B"/>
    <w:rsid w:val="00E60A16"/>
    <w:rsid w:val="00E6753F"/>
    <w:rsid w:val="00E82B6E"/>
    <w:rsid w:val="00E83657"/>
    <w:rsid w:val="00E87167"/>
    <w:rsid w:val="00E92110"/>
    <w:rsid w:val="00E93DE7"/>
    <w:rsid w:val="00E94258"/>
    <w:rsid w:val="00E96C18"/>
    <w:rsid w:val="00E96D68"/>
    <w:rsid w:val="00EA2E61"/>
    <w:rsid w:val="00EA7D7F"/>
    <w:rsid w:val="00EB02F4"/>
    <w:rsid w:val="00EB2FA2"/>
    <w:rsid w:val="00EB4E55"/>
    <w:rsid w:val="00EB769A"/>
    <w:rsid w:val="00EC3A35"/>
    <w:rsid w:val="00EC66AE"/>
    <w:rsid w:val="00ED13A2"/>
    <w:rsid w:val="00ED5B30"/>
    <w:rsid w:val="00EE17F2"/>
    <w:rsid w:val="00EE2C4D"/>
    <w:rsid w:val="00EE3138"/>
    <w:rsid w:val="00EE3B04"/>
    <w:rsid w:val="00EE7810"/>
    <w:rsid w:val="00EF2AC7"/>
    <w:rsid w:val="00EF400A"/>
    <w:rsid w:val="00EF6BE4"/>
    <w:rsid w:val="00EF6E5D"/>
    <w:rsid w:val="00F03ECD"/>
    <w:rsid w:val="00F07764"/>
    <w:rsid w:val="00F12517"/>
    <w:rsid w:val="00F131DD"/>
    <w:rsid w:val="00F16BA1"/>
    <w:rsid w:val="00F23900"/>
    <w:rsid w:val="00F24435"/>
    <w:rsid w:val="00F30C0F"/>
    <w:rsid w:val="00F314E8"/>
    <w:rsid w:val="00F323A2"/>
    <w:rsid w:val="00F33B57"/>
    <w:rsid w:val="00F33D5C"/>
    <w:rsid w:val="00F34E90"/>
    <w:rsid w:val="00F356D6"/>
    <w:rsid w:val="00F47695"/>
    <w:rsid w:val="00F53BE2"/>
    <w:rsid w:val="00F55684"/>
    <w:rsid w:val="00F571CF"/>
    <w:rsid w:val="00F64D5A"/>
    <w:rsid w:val="00F66D9A"/>
    <w:rsid w:val="00F709CD"/>
    <w:rsid w:val="00F731CB"/>
    <w:rsid w:val="00F85637"/>
    <w:rsid w:val="00F906F4"/>
    <w:rsid w:val="00F90A84"/>
    <w:rsid w:val="00FA0716"/>
    <w:rsid w:val="00FA4CE1"/>
    <w:rsid w:val="00FA63F8"/>
    <w:rsid w:val="00FB4629"/>
    <w:rsid w:val="00FB6FB1"/>
    <w:rsid w:val="00FB7063"/>
    <w:rsid w:val="00FC5FA1"/>
    <w:rsid w:val="00FC7056"/>
    <w:rsid w:val="00FD59A1"/>
    <w:rsid w:val="00FD676F"/>
    <w:rsid w:val="00FE1A00"/>
    <w:rsid w:val="00FE4EB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3DFC81A7"/>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rsid w:val="00EC66A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circulares/circular_externa_unica_version_3_vf49.pdf" TargetMode="External"/><Relationship Id="rId18" Type="http://schemas.openxmlformats.org/officeDocument/2006/relationships/hyperlink" Target="https://nam02.safelinks.protection.outlook.com/?url=https%3A%2F%2Frelatoria.colombiacompra.gov.co%2F&amp;data=05%7C02%7Cmaria.medellin%40colombiacompra.gov.co%7C5aad36a736844ec87b2108dcc1fa4639%7C7b09041e245149d08cb179d5e3d8c1be%7C0%7C0%7C638598527917003470%7CUnknown%7CTWFpbGZsb3d8eyJWIjoiMC4wLjAwMDAiLCJQIjoiV2luMzIiLCJBTiI6Ik1haWwiLCJXVCI6Mn0%3D%7C0%7C%7C%7C&amp;sdata=Gl6rTZtPvlbLZ4eKTnHvz4iADQ34d4XNVaMGvyKcn%2Bo%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bogvegac@gmail.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providencias-consejo-de-estad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ala-de-prensa%2Fboletin-digital%2Fboletin-de-relatoria-2024-iv&amp;data=05%7C02%7Cmaria.medellin%40colombiacompra.gov.co%7C616b83c3423e4d31151908dce489c00d%7C7b09041e245149d08cb179d5e3d8c1be%7C0%7C0%7C638636527546168926%7CUnknown%7CTWFpbGZsb3d8eyJWIjoiMC4wLjAwMDAiLCJQIjoiV2luMzIiLCJBTiI6Ik1haWwiLCJXVCI6Mn0%3D%7C0%7C%7C%7C&amp;sdata=ZWEe0M3Pg62VLewcnEHUTnHacb1ESBp8Xvgsuul7y84%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ontent/04-documentos-tipo-de-licitacion-de-obra-publica-para-proyectos-de-infraestructura-socia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purl.org/dc/elements/1.1/"/>
    <ds:schemaRef ds:uri="9d85dbaf-23eb-4e57-a637-93dcacc8b1a1"/>
    <ds:schemaRef ds:uri="http://schemas.openxmlformats.org/package/2006/metadata/core-properties"/>
    <ds:schemaRef ds:uri="http://purl.org/dc/terms/"/>
    <ds:schemaRef ds:uri="http://www.w3.org/XML/1998/namespace"/>
    <ds:schemaRef ds:uri="http://schemas.microsoft.com/office/2006/documentManagement/types"/>
    <ds:schemaRef ds:uri="http://schemas.microsoft.com/office/infopath/2007/PartnerControls"/>
    <ds:schemaRef ds:uri="a6cb9e4b-f1d1-4245-83ec-6cad768d538a"/>
    <ds:schemaRef ds:uri="http://purl.org/dc/dcmitype/"/>
  </ds:schemaRefs>
</ds:datastoreItem>
</file>

<file path=customXml/itemProps4.xml><?xml version="1.0" encoding="utf-8"?>
<ds:datastoreItem xmlns:ds="http://schemas.openxmlformats.org/officeDocument/2006/customXml" ds:itemID="{E8A21C7D-448A-4D3C-9293-92020132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2716</Words>
  <Characters>14940</Characters>
  <Application>Microsoft Office Word</Application>
  <DocSecurity>0</DocSecurity>
  <Lines>124</Lines>
  <Paragraphs>35</Paragraphs>
  <ScaleCrop>false</ScaleCrop>
  <Company/>
  <LinksUpToDate>false</LinksUpToDate>
  <CharactersWithSpaces>17621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2024-10-17T20:15:00Z</dcterms:created>
  <dcterms:modified xsi:type="dcterms:W3CDTF">2024-10-17T20:15:00Z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