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87225" w14:textId="3066CD13" w:rsidR="005A79FE" w:rsidRDefault="005A79FE" w:rsidP="005A79FE">
      <w:pPr>
        <w:spacing w:line="276" w:lineRule="auto"/>
        <w:jc w:val="right"/>
        <w:rPr>
          <w:rFonts w:ascii="Arial" w:eastAsia="Calibri" w:hAnsi="Arial" w:cs="Arial"/>
          <w:b/>
          <w:color w:val="4E4D4D"/>
          <w:sz w:val="22"/>
        </w:rPr>
      </w:pPr>
      <w:bookmarkStart w:id="0" w:name="_GoBack"/>
      <w:bookmarkEnd w:id="0"/>
      <w:r w:rsidRPr="00BC2704">
        <w:rPr>
          <w:rFonts w:ascii="Arial" w:eastAsia="Times New Roman" w:hAnsi="Arial" w:cs="Arial"/>
          <w:color w:val="7F7F7F" w:themeColor="text1" w:themeTint="80"/>
          <w:sz w:val="16"/>
          <w:szCs w:val="16"/>
          <w:lang w:eastAsia="es-ES"/>
        </w:rPr>
        <w:t>CCE-DES-FM-17</w:t>
      </w:r>
    </w:p>
    <w:p w14:paraId="591A2CE4" w14:textId="77777777" w:rsidR="0070585D" w:rsidRPr="00621424" w:rsidRDefault="0070585D" w:rsidP="0070585D">
      <w:pPr>
        <w:jc w:val="both"/>
        <w:rPr>
          <w:rFonts w:ascii="Arial" w:eastAsia="Calibri" w:hAnsi="Arial" w:cs="Arial"/>
          <w:b/>
          <w:color w:val="000000"/>
          <w:sz w:val="20"/>
          <w:szCs w:val="20"/>
        </w:rPr>
      </w:pPr>
      <w:bookmarkStart w:id="1" w:name="_Hlk29890381"/>
    </w:p>
    <w:p w14:paraId="15C6BBAA" w14:textId="0EC2F1CB" w:rsidR="0070585D" w:rsidRPr="002E7F3F" w:rsidRDefault="002E7F3F" w:rsidP="0070585D">
      <w:pPr>
        <w:jc w:val="both"/>
        <w:rPr>
          <w:rFonts w:ascii="Arial" w:eastAsia="Calibri" w:hAnsi="Arial" w:cs="Arial"/>
          <w:b/>
          <w:bCs/>
          <w:sz w:val="22"/>
        </w:rPr>
      </w:pPr>
      <w:r w:rsidRPr="002E7F3F">
        <w:rPr>
          <w:rFonts w:ascii="Arial" w:eastAsia="Calibri" w:hAnsi="Arial" w:cs="Arial"/>
          <w:b/>
          <w:bCs/>
          <w:sz w:val="22"/>
        </w:rPr>
        <w:t>DOCUMENTOS TIPO – Ley 1882 de 2018 – Características del proceso</w:t>
      </w:r>
    </w:p>
    <w:p w14:paraId="67C2C4F2" w14:textId="77777777" w:rsidR="002E7F3F" w:rsidRPr="00621424" w:rsidRDefault="002E7F3F" w:rsidP="006263D5">
      <w:pPr>
        <w:jc w:val="both"/>
        <w:rPr>
          <w:rFonts w:ascii="Arial" w:eastAsia="Calibri" w:hAnsi="Arial" w:cs="Arial"/>
          <w:color w:val="000000"/>
          <w:sz w:val="20"/>
          <w:szCs w:val="20"/>
        </w:rPr>
      </w:pPr>
    </w:p>
    <w:p w14:paraId="19F4591F" w14:textId="77777777" w:rsidR="00D40674" w:rsidRPr="00D40674" w:rsidRDefault="00D40674" w:rsidP="00D40674">
      <w:pPr>
        <w:jc w:val="both"/>
        <w:rPr>
          <w:rFonts w:ascii="Arial" w:eastAsia="Calibri" w:hAnsi="Arial" w:cs="Arial"/>
          <w:color w:val="000000"/>
          <w:sz w:val="20"/>
          <w:szCs w:val="20"/>
        </w:rPr>
      </w:pPr>
      <w:r w:rsidRPr="00D40674">
        <w:rPr>
          <w:rFonts w:ascii="Arial" w:eastAsia="Calibri" w:hAnsi="Arial" w:cs="Arial"/>
          <w:color w:val="000000"/>
          <w:sz w:val="20"/>
          <w:szCs w:val="20"/>
        </w:rPr>
        <w:t xml:space="preserve">De la norma descrita se concluye lo siguiente: i) la adopción de los documentos tipo estaba en cabeza del Gobierno nacional, ii) los documentos tipo adoptados debían estar relacionados con los procesos obra públicas, la interventoría para las obras públicas, la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requisitos habilitantes así como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7A3B2A23" w14:textId="77777777" w:rsidR="0070585D" w:rsidRPr="00621424" w:rsidRDefault="0070585D" w:rsidP="0070585D">
      <w:pPr>
        <w:jc w:val="both"/>
        <w:rPr>
          <w:rFonts w:ascii="Arial" w:eastAsia="Calibri" w:hAnsi="Arial" w:cs="Arial"/>
          <w:bCs/>
          <w:color w:val="000000"/>
          <w:sz w:val="20"/>
          <w:szCs w:val="20"/>
        </w:rPr>
      </w:pPr>
    </w:p>
    <w:p w14:paraId="4ACC7155" w14:textId="29B9FCAC" w:rsidR="0070585D" w:rsidRPr="00621424" w:rsidRDefault="002E7F3F" w:rsidP="0070585D">
      <w:pPr>
        <w:jc w:val="both"/>
        <w:rPr>
          <w:rFonts w:ascii="Arial" w:eastAsia="Calibri" w:hAnsi="Arial" w:cs="Arial"/>
          <w:b/>
          <w:bCs/>
          <w:color w:val="000000"/>
          <w:sz w:val="22"/>
        </w:rPr>
      </w:pPr>
      <w:r w:rsidRPr="002E7F3F">
        <w:rPr>
          <w:rFonts w:ascii="Arial" w:eastAsia="Calibri" w:hAnsi="Arial" w:cs="Arial"/>
          <w:b/>
          <w:bCs/>
          <w:sz w:val="22"/>
        </w:rPr>
        <w:t>DOCUMENTOS TIPO – Ley 1882 de 2018 – Documentos tipo adoptados</w:t>
      </w:r>
    </w:p>
    <w:p w14:paraId="2024A405" w14:textId="77777777" w:rsidR="0070585D" w:rsidRPr="00621424" w:rsidRDefault="0070585D" w:rsidP="0070585D">
      <w:pPr>
        <w:jc w:val="both"/>
        <w:rPr>
          <w:rFonts w:ascii="Arial" w:eastAsia="Calibri" w:hAnsi="Arial" w:cs="Arial"/>
          <w:b/>
          <w:color w:val="000000"/>
          <w:sz w:val="20"/>
          <w:szCs w:val="20"/>
        </w:rPr>
      </w:pPr>
    </w:p>
    <w:p w14:paraId="0AC7E3C0" w14:textId="129804E7" w:rsidR="00D40674" w:rsidRDefault="00D40674" w:rsidP="00D40674">
      <w:pPr>
        <w:jc w:val="both"/>
        <w:rPr>
          <w:rFonts w:ascii="Arial" w:eastAsia="Calibri" w:hAnsi="Arial" w:cs="Arial"/>
          <w:bCs/>
          <w:color w:val="000000"/>
          <w:sz w:val="20"/>
          <w:szCs w:val="20"/>
        </w:rPr>
      </w:pPr>
      <w:r w:rsidRPr="00D40674">
        <w:rPr>
          <w:rFonts w:ascii="Arial" w:eastAsia="Calibri" w:hAnsi="Arial" w:cs="Arial"/>
          <w:bCs/>
          <w:color w:val="000000"/>
          <w:sz w:val="20"/>
          <w:szCs w:val="20"/>
        </w:rPr>
        <w:t>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el Decreto 2096 del 21 de noviembre de 2019, relacionado con los documentos tipo para los pliegos de condiciones de los procesos de obras públicas de infraestructura de transporte que se adelanten por la modalidad de selección abreviada y, finalmente, el Decreto 594 del 25 de abril de 2020, frente a los documentos tipo para los contratos de obra pública</w:t>
      </w:r>
      <w:r w:rsidRPr="00D40674" w:rsidDel="00A434AB">
        <w:rPr>
          <w:rFonts w:ascii="Arial" w:eastAsia="Calibri" w:hAnsi="Arial" w:cs="Arial"/>
          <w:bCs/>
          <w:color w:val="000000"/>
          <w:sz w:val="20"/>
          <w:szCs w:val="20"/>
        </w:rPr>
        <w:t xml:space="preserve"> </w:t>
      </w:r>
      <w:r w:rsidRPr="00D40674">
        <w:rPr>
          <w:rFonts w:ascii="Arial" w:eastAsia="Calibri" w:hAnsi="Arial" w:cs="Arial"/>
          <w:bCs/>
          <w:color w:val="000000"/>
          <w:sz w:val="20"/>
          <w:szCs w:val="20"/>
        </w:rPr>
        <w:t xml:space="preserve">de infraestructura de transporte que se adelanten por la modalidad de mínima cuantía. </w:t>
      </w:r>
    </w:p>
    <w:p w14:paraId="6D00CD42" w14:textId="77777777" w:rsidR="00D40674" w:rsidRPr="00D40674" w:rsidRDefault="00D40674" w:rsidP="00D40674">
      <w:pPr>
        <w:jc w:val="both"/>
        <w:rPr>
          <w:rFonts w:ascii="Arial" w:eastAsia="Calibri" w:hAnsi="Arial" w:cs="Arial"/>
          <w:bCs/>
          <w:color w:val="000000"/>
          <w:sz w:val="20"/>
          <w:szCs w:val="20"/>
        </w:rPr>
      </w:pPr>
    </w:p>
    <w:p w14:paraId="317904FB" w14:textId="77777777" w:rsidR="00D40674" w:rsidRPr="00D40674" w:rsidRDefault="00D40674" w:rsidP="00D40674">
      <w:pPr>
        <w:jc w:val="both"/>
        <w:rPr>
          <w:rFonts w:ascii="Arial" w:eastAsia="Calibri" w:hAnsi="Arial" w:cs="Arial"/>
          <w:bCs/>
          <w:color w:val="000000"/>
          <w:sz w:val="20"/>
          <w:szCs w:val="20"/>
        </w:rPr>
      </w:pPr>
      <w:r w:rsidRPr="00D40674">
        <w:rPr>
          <w:rFonts w:ascii="Arial" w:eastAsia="Calibri" w:hAnsi="Arial" w:cs="Arial"/>
          <w:bCs/>
          <w:color w:val="000000"/>
          <w:sz w:val="20"/>
          <w:szCs w:val="20"/>
        </w:rPr>
        <w:t>Estos documentos fueron implementados y desarrollados por la Agencia Nacional de Contratación Pública – Colombia Compra Eficiente por medio de la Resolución 1798 de 1 de abril de 2019, la Resolución 044 de 2020 de 14 de febrero de 2020 y la Resolución 094 del 21 de mayo de 2020.</w:t>
      </w:r>
    </w:p>
    <w:p w14:paraId="16D997E8" w14:textId="2C60D3C4" w:rsidR="0070585D" w:rsidRDefault="0070585D" w:rsidP="006263D5">
      <w:pPr>
        <w:jc w:val="both"/>
        <w:rPr>
          <w:rFonts w:ascii="Arial" w:eastAsia="Calibri" w:hAnsi="Arial" w:cs="Arial"/>
          <w:bCs/>
          <w:color w:val="000000"/>
          <w:sz w:val="20"/>
          <w:szCs w:val="20"/>
        </w:rPr>
      </w:pPr>
    </w:p>
    <w:p w14:paraId="01149186" w14:textId="77777777" w:rsidR="006263D5" w:rsidRPr="00621424" w:rsidRDefault="006263D5" w:rsidP="006263D5">
      <w:pPr>
        <w:jc w:val="both"/>
        <w:rPr>
          <w:rFonts w:ascii="Arial" w:eastAsia="Calibri" w:hAnsi="Arial" w:cs="Arial"/>
          <w:bCs/>
          <w:color w:val="000000"/>
          <w:sz w:val="20"/>
          <w:szCs w:val="20"/>
        </w:rPr>
      </w:pPr>
    </w:p>
    <w:p w14:paraId="49A05D64" w14:textId="5B9F9A5E" w:rsidR="0070585D" w:rsidRDefault="002E7F3F" w:rsidP="0070585D">
      <w:pPr>
        <w:jc w:val="both"/>
        <w:rPr>
          <w:rFonts w:ascii="Arial" w:eastAsia="Calibri" w:hAnsi="Arial" w:cs="Arial"/>
          <w:b/>
          <w:bCs/>
          <w:color w:val="000000" w:themeColor="text1"/>
          <w:sz w:val="22"/>
        </w:rPr>
      </w:pPr>
      <w:r w:rsidRPr="002E7F3F">
        <w:rPr>
          <w:rFonts w:ascii="Arial" w:eastAsia="Calibri" w:hAnsi="Arial" w:cs="Arial"/>
          <w:b/>
          <w:bCs/>
          <w:color w:val="000000" w:themeColor="text1"/>
          <w:sz w:val="22"/>
        </w:rPr>
        <w:t xml:space="preserve">DOCUMENTOS TIPO – Ley 2022 de 2020 – </w:t>
      </w:r>
      <w:r w:rsidR="006263D5">
        <w:rPr>
          <w:rFonts w:ascii="Arial" w:eastAsia="Calibri" w:hAnsi="Arial" w:cs="Arial"/>
          <w:b/>
          <w:bCs/>
          <w:color w:val="000000" w:themeColor="text1"/>
          <w:sz w:val="22"/>
        </w:rPr>
        <w:t xml:space="preserve">Objetivo </w:t>
      </w:r>
      <w:r w:rsidRPr="002E7F3F">
        <w:rPr>
          <w:rFonts w:ascii="Arial" w:eastAsia="Calibri" w:hAnsi="Arial" w:cs="Arial"/>
          <w:b/>
          <w:bCs/>
          <w:color w:val="000000" w:themeColor="text1"/>
          <w:sz w:val="22"/>
        </w:rPr>
        <w:t>de la norma</w:t>
      </w:r>
    </w:p>
    <w:p w14:paraId="4767403E" w14:textId="77777777" w:rsidR="002E7F3F" w:rsidRPr="00621424" w:rsidRDefault="002E7F3F" w:rsidP="006263D5">
      <w:pPr>
        <w:jc w:val="both"/>
        <w:rPr>
          <w:rFonts w:ascii="Arial" w:eastAsia="Calibri" w:hAnsi="Arial" w:cs="Arial"/>
          <w:b/>
          <w:color w:val="000000"/>
          <w:sz w:val="20"/>
          <w:szCs w:val="20"/>
        </w:rPr>
      </w:pPr>
    </w:p>
    <w:p w14:paraId="203C075A" w14:textId="456BB8D9" w:rsidR="00D40674" w:rsidRPr="00296A84" w:rsidRDefault="00D40674" w:rsidP="00296A84">
      <w:pPr>
        <w:spacing w:after="120"/>
        <w:jc w:val="both"/>
        <w:rPr>
          <w:rFonts w:ascii="Arial" w:eastAsia="Calibri" w:hAnsi="Arial" w:cs="Arial"/>
          <w:color w:val="000000"/>
          <w:sz w:val="20"/>
          <w:szCs w:val="20"/>
        </w:rPr>
      </w:pPr>
      <w:r w:rsidRPr="00296A84">
        <w:rPr>
          <w:rFonts w:ascii="Arial" w:eastAsia="Calibri" w:hAnsi="Arial" w:cs="Arial"/>
          <w:color w:val="000000"/>
          <w:sz w:val="20"/>
          <w:szCs w:val="20"/>
        </w:rPr>
        <w:t xml:space="preserve">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 </w:t>
      </w:r>
    </w:p>
    <w:p w14:paraId="4A04F30D" w14:textId="4223FA11" w:rsidR="006263D5" w:rsidRPr="00296A84" w:rsidRDefault="00D40674" w:rsidP="006263D5">
      <w:pPr>
        <w:tabs>
          <w:tab w:val="left" w:pos="709"/>
        </w:tabs>
        <w:spacing w:before="120"/>
        <w:jc w:val="both"/>
        <w:rPr>
          <w:rFonts w:ascii="Arial" w:eastAsia="Calibri" w:hAnsi="Arial" w:cs="Arial"/>
          <w:bCs/>
          <w:color w:val="000000"/>
          <w:sz w:val="20"/>
          <w:szCs w:val="20"/>
        </w:rPr>
      </w:pPr>
      <w:r w:rsidRPr="00296A84">
        <w:rPr>
          <w:rFonts w:ascii="Arial" w:eastAsia="Calibri" w:hAnsi="Arial" w:cs="Arial"/>
          <w:color w:val="000000"/>
          <w:sz w:val="20"/>
          <w:szCs w:val="20"/>
        </w:rPr>
        <w:t>En la Gaceta del Congreso No. 733 de 2018 se indica que la justificación de esta norma es garantizar la uniformidad dentro de la universalidad de la contratación estatal, garantizando no solo la seguridad jurídica, sino las reglas de la ética y la moralidad administrativa, mediante una lucha y una posición frontal contra la corrupción que se presenta en nuestro país. Estos documentos tipo evitan la manipulación o el direccionamiento específico de los pliegos de condiciones a un proponente en particular, y, asimismo, facilitan el control fiscal y disciplinario respecto de los funcionarios involucrados en la contratación</w:t>
      </w:r>
      <w:r w:rsidR="006263D5" w:rsidRPr="00296A84">
        <w:rPr>
          <w:rFonts w:ascii="Arial" w:eastAsia="Calibri" w:hAnsi="Arial" w:cs="Arial"/>
          <w:bCs/>
          <w:color w:val="000000"/>
          <w:sz w:val="20"/>
          <w:szCs w:val="20"/>
        </w:rPr>
        <w:t xml:space="preserve">. </w:t>
      </w:r>
    </w:p>
    <w:p w14:paraId="4BB61731" w14:textId="77777777" w:rsidR="0070585D" w:rsidRPr="00621424" w:rsidRDefault="0070585D" w:rsidP="0070585D">
      <w:pPr>
        <w:jc w:val="both"/>
        <w:rPr>
          <w:rFonts w:ascii="Arial" w:eastAsia="Calibri" w:hAnsi="Arial" w:cs="Arial"/>
          <w:color w:val="000000"/>
          <w:sz w:val="20"/>
          <w:szCs w:val="20"/>
        </w:rPr>
      </w:pPr>
    </w:p>
    <w:p w14:paraId="7B8EB76B" w14:textId="62A27788" w:rsidR="0070585D" w:rsidRDefault="002E7F3F" w:rsidP="0070585D">
      <w:pPr>
        <w:jc w:val="both"/>
        <w:rPr>
          <w:rFonts w:ascii="Arial" w:eastAsia="Calibri" w:hAnsi="Arial" w:cs="Arial"/>
          <w:b/>
          <w:bCs/>
          <w:sz w:val="22"/>
        </w:rPr>
      </w:pPr>
      <w:r w:rsidRPr="002E7F3F">
        <w:rPr>
          <w:rFonts w:ascii="Arial" w:eastAsia="Calibri" w:hAnsi="Arial" w:cs="Arial"/>
          <w:b/>
          <w:bCs/>
          <w:sz w:val="22"/>
        </w:rPr>
        <w:t>DOCUMENTOS TIPO – Ley 2022 de 2020 – Cambios en el proceso</w:t>
      </w:r>
    </w:p>
    <w:p w14:paraId="0DD092D5" w14:textId="77777777" w:rsidR="002E7F3F" w:rsidRPr="00621424" w:rsidRDefault="002E7F3F" w:rsidP="00CE6294">
      <w:pPr>
        <w:jc w:val="both"/>
        <w:rPr>
          <w:rFonts w:ascii="Arial" w:eastAsia="Calibri" w:hAnsi="Arial" w:cs="Arial"/>
          <w:color w:val="000000"/>
          <w:sz w:val="20"/>
          <w:szCs w:val="20"/>
        </w:rPr>
      </w:pPr>
    </w:p>
    <w:p w14:paraId="5D4BE1AB" w14:textId="77777777" w:rsidR="00D40674" w:rsidRPr="00D40674" w:rsidRDefault="006263D5" w:rsidP="00D40674">
      <w:pPr>
        <w:ind w:left="66"/>
        <w:jc w:val="both"/>
        <w:rPr>
          <w:rFonts w:ascii="Arial" w:eastAsia="Calibri" w:hAnsi="Arial" w:cs="Arial"/>
          <w:bCs/>
          <w:color w:val="000000"/>
          <w:sz w:val="20"/>
          <w:szCs w:val="20"/>
        </w:rPr>
      </w:pPr>
      <w:r w:rsidRPr="006263D5">
        <w:rPr>
          <w:rFonts w:ascii="Arial" w:eastAsia="Calibri" w:hAnsi="Arial" w:cs="Arial"/>
          <w:bCs/>
          <w:color w:val="000000"/>
          <w:sz w:val="20"/>
          <w:szCs w:val="20"/>
        </w:rPr>
        <w:t xml:space="preserve">[…] </w:t>
      </w:r>
      <w:r w:rsidR="00D40674" w:rsidRPr="00D40674">
        <w:rPr>
          <w:rFonts w:ascii="Arial" w:eastAsia="Calibri" w:hAnsi="Arial" w:cs="Arial"/>
          <w:bCs/>
          <w:color w:val="000000"/>
          <w:sz w:val="20"/>
          <w:szCs w:val="20"/>
        </w:rPr>
        <w:t xml:space="preserve">los principales cambios implementados a partir de la Ley 2022 de 2020 son los siguientes: i) la adopción de los documentos tipo recae en la Agencia Nacional de Contratación pública y, por tanto, no corresponden al Presidente de la República, ii) se adoptarán documentos tipo para cualquier modalidad de contratación, iii) se obliga a la Agencia Nacional de Contratación Pública a fijar un cronograma y definir en coordinación con las entidades especializadas o técnicas el procedimiento para implementar gradualmente los documentos tipo y, finalmente, iv) indica que se deberá llevar a cabo un proceso de capacitación a los municipios. </w:t>
      </w:r>
    </w:p>
    <w:p w14:paraId="37BE8ECB" w14:textId="77777777" w:rsidR="00CE6294" w:rsidRDefault="00CE6294" w:rsidP="00CE6294">
      <w:pPr>
        <w:ind w:left="66"/>
        <w:jc w:val="both"/>
        <w:rPr>
          <w:rFonts w:ascii="Arial" w:eastAsia="Calibri" w:hAnsi="Arial" w:cs="Arial"/>
          <w:bCs/>
          <w:color w:val="000000"/>
          <w:sz w:val="20"/>
          <w:szCs w:val="20"/>
        </w:rPr>
      </w:pPr>
    </w:p>
    <w:p w14:paraId="52773F2B" w14:textId="77777777" w:rsidR="00CE6294" w:rsidRDefault="00CE6294" w:rsidP="0070585D">
      <w:pPr>
        <w:rPr>
          <w:rFonts w:ascii="Arial" w:eastAsia="Calibri" w:hAnsi="Arial" w:cs="Arial"/>
          <w:b/>
          <w:bCs/>
          <w:sz w:val="22"/>
        </w:rPr>
      </w:pPr>
      <w:r w:rsidRPr="002E7F3F">
        <w:rPr>
          <w:rFonts w:ascii="Arial" w:eastAsia="Calibri" w:hAnsi="Arial" w:cs="Arial"/>
          <w:b/>
          <w:bCs/>
          <w:sz w:val="22"/>
        </w:rPr>
        <w:t xml:space="preserve">DOCUMENTOS TIPO – Ley 2022 de 2020 – </w:t>
      </w:r>
      <w:r>
        <w:rPr>
          <w:rFonts w:ascii="Arial" w:eastAsia="Calibri" w:hAnsi="Arial" w:cs="Arial"/>
          <w:b/>
          <w:bCs/>
          <w:sz w:val="22"/>
        </w:rPr>
        <w:t>Implementación gradual</w:t>
      </w:r>
    </w:p>
    <w:p w14:paraId="1718C58B" w14:textId="77777777" w:rsidR="00CE6294" w:rsidRDefault="00CE6294" w:rsidP="0070585D">
      <w:pPr>
        <w:rPr>
          <w:rFonts w:ascii="Arial" w:eastAsia="Calibri" w:hAnsi="Arial" w:cs="Arial"/>
          <w:b/>
          <w:bCs/>
          <w:sz w:val="22"/>
        </w:rPr>
      </w:pPr>
    </w:p>
    <w:p w14:paraId="0E7DEFD9" w14:textId="77777777" w:rsidR="00296A84" w:rsidRPr="00296A84" w:rsidRDefault="00296A84" w:rsidP="00296A84">
      <w:pPr>
        <w:tabs>
          <w:tab w:val="left" w:pos="-142"/>
        </w:tabs>
        <w:autoSpaceDE w:val="0"/>
        <w:autoSpaceDN w:val="0"/>
        <w:adjustRightInd w:val="0"/>
        <w:jc w:val="both"/>
        <w:rPr>
          <w:rFonts w:ascii="Arial" w:eastAsia="Calibri" w:hAnsi="Arial" w:cs="Arial"/>
          <w:bCs/>
          <w:color w:val="000000"/>
          <w:sz w:val="20"/>
          <w:szCs w:val="20"/>
        </w:rPr>
      </w:pPr>
      <w:r w:rsidRPr="00296A84">
        <w:rPr>
          <w:rFonts w:ascii="Arial" w:eastAsia="Calibri" w:hAnsi="Arial" w:cs="Arial"/>
          <w:bCs/>
          <w:color w:val="000000"/>
          <w:sz w:val="20"/>
          <w:szCs w:val="20"/>
        </w:rPr>
        <w:t xml:space="preserve">La Ley 2022 de 2020, en el artículo 1, señala que todas las entidades sometidas al Estatuto General de Contratación de la Administración Pública están obligadas a aplicar los documentos tipo. Asimismo, indica que la Agencia Nacional de Contratación Pública fijará en coordinación con las entidades técnicas o especializadas el procedimiento para implementar los documentos tipo, con el propósito de facilitar la incorporación de estos en el sistema de compra pública. </w:t>
      </w:r>
    </w:p>
    <w:p w14:paraId="106707F0" w14:textId="042939F0" w:rsidR="00296A84" w:rsidRPr="00296A84" w:rsidRDefault="00296A84" w:rsidP="00296A84">
      <w:pPr>
        <w:tabs>
          <w:tab w:val="left" w:pos="-142"/>
        </w:tabs>
        <w:autoSpaceDE w:val="0"/>
        <w:autoSpaceDN w:val="0"/>
        <w:adjustRightInd w:val="0"/>
        <w:spacing w:before="120" w:after="120"/>
        <w:jc w:val="both"/>
        <w:rPr>
          <w:rFonts w:ascii="Arial" w:eastAsia="Calibri" w:hAnsi="Arial" w:cs="Arial"/>
          <w:bCs/>
          <w:color w:val="000000"/>
          <w:sz w:val="20"/>
          <w:szCs w:val="20"/>
        </w:rPr>
      </w:pPr>
      <w:r w:rsidRPr="00296A84">
        <w:rPr>
          <w:rFonts w:ascii="Arial" w:eastAsia="Calibri" w:hAnsi="Arial" w:cs="Arial"/>
          <w:bCs/>
          <w:color w:val="000000"/>
          <w:sz w:val="20"/>
          <w:szCs w:val="20"/>
        </w:rPr>
        <w:t>Conforme a ello, en relación con los documentos tipo de interventoría de obra pública de infraestructura de transporte, las entidades especializadas −la Agencia Nacional de Contratación Pública, la Agencia Nacional de Infraestructura, el Instituto Nacional de Vías, la Aeronáutica Civil, el Instituto de Desarrollo Urbano, el Ministerio de Transporte y el Departamento Nacional de Planeación− en la mesa de trabajo adelantada virtualmente el 10 de agosto del 2020, decidieron que la implementación de estos documentos tipo empezaría el 26 de octubre de 2020.</w:t>
      </w:r>
    </w:p>
    <w:p w14:paraId="5BA84D30" w14:textId="3CA06ECD" w:rsidR="00296A84" w:rsidRPr="00296A84" w:rsidRDefault="00296A84" w:rsidP="00296A84">
      <w:pPr>
        <w:tabs>
          <w:tab w:val="left" w:pos="-142"/>
        </w:tabs>
        <w:autoSpaceDE w:val="0"/>
        <w:autoSpaceDN w:val="0"/>
        <w:adjustRightInd w:val="0"/>
        <w:spacing w:before="120" w:after="240"/>
        <w:jc w:val="both"/>
        <w:rPr>
          <w:rFonts w:ascii="Arial" w:eastAsia="Calibri" w:hAnsi="Arial" w:cs="Arial"/>
          <w:bCs/>
          <w:color w:val="000000"/>
          <w:sz w:val="20"/>
          <w:szCs w:val="20"/>
        </w:rPr>
      </w:pPr>
      <w:r w:rsidRPr="00296A84">
        <w:rPr>
          <w:rFonts w:ascii="Arial" w:eastAsia="Calibri" w:hAnsi="Arial" w:cs="Arial"/>
          <w:bCs/>
          <w:color w:val="000000"/>
          <w:sz w:val="20"/>
          <w:szCs w:val="20"/>
        </w:rPr>
        <w:t>Por su parte, frente a los documentos tipo de catastro multipropósito todavía no se han adelantado mesas de trabajo con las entidades especializadas para definir la implementación de este documento tipo, que se encuentra en construcción.</w:t>
      </w:r>
    </w:p>
    <w:p w14:paraId="11F5D8DD" w14:textId="5824CA94" w:rsidR="00CE6294" w:rsidRDefault="00CE6294" w:rsidP="00296A84">
      <w:pPr>
        <w:jc w:val="both"/>
        <w:rPr>
          <w:rFonts w:ascii="Arial" w:eastAsia="Calibri" w:hAnsi="Arial" w:cs="Arial"/>
          <w:color w:val="000000"/>
          <w:sz w:val="22"/>
        </w:rPr>
      </w:pPr>
      <w:r w:rsidRPr="00CE6294">
        <w:rPr>
          <w:rFonts w:ascii="Arial" w:eastAsia="Calibri" w:hAnsi="Arial" w:cs="Arial"/>
          <w:bCs/>
          <w:color w:val="000000"/>
          <w:sz w:val="20"/>
          <w:szCs w:val="20"/>
        </w:rPr>
        <w:t xml:space="preserve">. </w:t>
      </w:r>
    </w:p>
    <w:p w14:paraId="4A4BEC0D" w14:textId="5E4AC5EB" w:rsidR="00CE6294" w:rsidRDefault="00CE6294" w:rsidP="0070585D">
      <w:pPr>
        <w:rPr>
          <w:rFonts w:ascii="Arial" w:eastAsia="Calibri" w:hAnsi="Arial" w:cs="Arial"/>
          <w:color w:val="000000"/>
          <w:sz w:val="22"/>
        </w:rPr>
      </w:pPr>
      <w:r w:rsidRPr="002E7F3F">
        <w:rPr>
          <w:rFonts w:ascii="Arial" w:eastAsia="Calibri" w:hAnsi="Arial" w:cs="Arial"/>
          <w:b/>
          <w:bCs/>
          <w:sz w:val="22"/>
        </w:rPr>
        <w:t xml:space="preserve">DOCUMENTOS TIPO – Ley 2022 de 2020 – </w:t>
      </w:r>
      <w:r>
        <w:rPr>
          <w:rFonts w:ascii="Arial" w:eastAsia="Calibri" w:hAnsi="Arial" w:cs="Arial"/>
          <w:b/>
          <w:bCs/>
          <w:sz w:val="22"/>
        </w:rPr>
        <w:t>Obligatorio cumplimiento</w:t>
      </w:r>
    </w:p>
    <w:p w14:paraId="1A386C8A" w14:textId="32F4C885" w:rsidR="00CE6294" w:rsidRDefault="00CE6294" w:rsidP="0070585D">
      <w:pPr>
        <w:rPr>
          <w:rFonts w:ascii="Arial" w:eastAsia="Calibri" w:hAnsi="Arial" w:cs="Arial"/>
          <w:color w:val="000000"/>
          <w:sz w:val="22"/>
        </w:rPr>
      </w:pPr>
    </w:p>
    <w:p w14:paraId="744D2024" w14:textId="3F9281F7" w:rsidR="00296A84" w:rsidRPr="00296A84" w:rsidRDefault="00296A84" w:rsidP="00296A84">
      <w:pPr>
        <w:jc w:val="both"/>
        <w:rPr>
          <w:rFonts w:ascii="Arial" w:eastAsia="Calibri" w:hAnsi="Arial" w:cs="Arial"/>
          <w:bCs/>
          <w:color w:val="000000"/>
          <w:sz w:val="20"/>
          <w:szCs w:val="20"/>
          <w:lang w:val="es-ES_tradnl"/>
        </w:rPr>
      </w:pPr>
      <w:r w:rsidRPr="00296A84">
        <w:rPr>
          <w:rFonts w:ascii="Arial" w:eastAsia="Calibri" w:hAnsi="Arial" w:cs="Arial"/>
          <w:bCs/>
          <w:color w:val="000000"/>
          <w:sz w:val="20"/>
          <w:szCs w:val="20"/>
          <w:lang w:val="es-ES_tradnl"/>
        </w:rPr>
        <w:t xml:space="preserve">Los documentos tipo son de obligatorio cumplimiento por parte de las entidades estatales sometidas al Estatuto General de Contratación de la Administración Pública, incluidas las entidades territoriales. Ahora bien, como se explicó en acápites anteriores, por expresa disposición legal, los documentos tipo adoptados en virtud de la Ley 1882 de 2018, esto es: los documentos tipo para obra de infraestructura de transporte adelantados por las modalidades de selección de licitación, de selección abreviada de menor cuantía y de mínima cuantía, siguen siendo obligatorios y no perdieron vigencia. En este sentido, las entidades territoriales deben aplicar estos documentos tipo, los cuales se encuentran en el siguiente link: </w:t>
      </w:r>
      <w:hyperlink r:id="rId11" w:history="1">
        <w:r w:rsidRPr="00296A84">
          <w:rPr>
            <w:rFonts w:ascii="Arial" w:eastAsia="Calibri" w:hAnsi="Arial" w:cs="Arial"/>
            <w:bCs/>
            <w:color w:val="000000"/>
            <w:sz w:val="20"/>
            <w:szCs w:val="20"/>
            <w:lang w:val="es-ES_tradnl"/>
          </w:rPr>
          <w:t>https://www.colombiacompra.gov.co/documentos-tipo/documentos-tipo-para-obra-publica-de-infraestructura-de-transporte</w:t>
        </w:r>
      </w:hyperlink>
    </w:p>
    <w:p w14:paraId="4C8D79D7" w14:textId="77777777" w:rsidR="00CE6294" w:rsidRDefault="00CE6294" w:rsidP="0070585D">
      <w:pPr>
        <w:rPr>
          <w:rFonts w:ascii="Arial" w:eastAsia="Calibri" w:hAnsi="Arial" w:cs="Arial"/>
          <w:color w:val="000000"/>
          <w:sz w:val="22"/>
        </w:rPr>
      </w:pPr>
    </w:p>
    <w:p w14:paraId="731E8062" w14:textId="75D8BD93" w:rsidR="0070585D" w:rsidRPr="00621424" w:rsidRDefault="0070585D" w:rsidP="00CE2BEB">
      <w:pPr>
        <w:rPr>
          <w:rFonts w:ascii="Arial" w:eastAsia="Calibri" w:hAnsi="Arial" w:cs="Arial"/>
          <w:b/>
          <w:color w:val="000000"/>
          <w:sz w:val="22"/>
        </w:rPr>
      </w:pPr>
      <w:r w:rsidRPr="00621424">
        <w:rPr>
          <w:rFonts w:ascii="Arial" w:eastAsia="Calibri" w:hAnsi="Arial" w:cs="Arial"/>
          <w:color w:val="000000"/>
          <w:sz w:val="22"/>
        </w:rPr>
        <w:t xml:space="preserve">Bogotá D.C., </w:t>
      </w:r>
      <w:r w:rsidR="00CE2BEB" w:rsidRPr="00CE2BEB">
        <w:rPr>
          <w:rFonts w:ascii="Arial" w:eastAsia="Calibri" w:hAnsi="Arial" w:cs="Arial"/>
          <w:b/>
          <w:color w:val="000000"/>
          <w:sz w:val="22"/>
        </w:rPr>
        <w:t>21/08/2020 Hora 17:32:24s</w:t>
      </w:r>
    </w:p>
    <w:p w14:paraId="7430131A" w14:textId="04D9A53A" w:rsidR="0070585D" w:rsidRPr="00621424" w:rsidRDefault="0070585D" w:rsidP="0070585D">
      <w:pPr>
        <w:jc w:val="right"/>
        <w:rPr>
          <w:rFonts w:ascii="Arial" w:eastAsia="Calibri" w:hAnsi="Arial" w:cs="Arial"/>
          <w:b/>
          <w:color w:val="000000"/>
          <w:sz w:val="22"/>
        </w:rPr>
      </w:pPr>
      <w:r w:rsidRPr="00621424">
        <w:rPr>
          <w:rFonts w:ascii="Arial" w:eastAsia="Calibri" w:hAnsi="Arial" w:cs="Arial"/>
          <w:b/>
          <w:color w:val="000000"/>
          <w:sz w:val="22"/>
        </w:rPr>
        <w:t xml:space="preserve">N° Radicado: </w:t>
      </w:r>
      <w:r w:rsidR="008256CC" w:rsidRPr="008256CC">
        <w:rPr>
          <w:rFonts w:ascii="Arial" w:eastAsia="Calibri" w:hAnsi="Arial" w:cs="Arial"/>
          <w:b/>
          <w:color w:val="000000"/>
          <w:sz w:val="22"/>
        </w:rPr>
        <w:t>2202013000007795</w:t>
      </w:r>
    </w:p>
    <w:p w14:paraId="7359D509" w14:textId="77777777" w:rsidR="0070585D" w:rsidRPr="00621424" w:rsidRDefault="0070585D" w:rsidP="0070585D">
      <w:pPr>
        <w:rPr>
          <w:rFonts w:ascii="Arial" w:eastAsia="Calibri" w:hAnsi="Arial" w:cs="Arial"/>
          <w:color w:val="000000"/>
          <w:sz w:val="22"/>
        </w:rPr>
      </w:pPr>
    </w:p>
    <w:p w14:paraId="584EBF91" w14:textId="77777777" w:rsidR="0070585D" w:rsidRPr="00621424" w:rsidRDefault="0070585D" w:rsidP="0070585D">
      <w:pPr>
        <w:rPr>
          <w:rFonts w:ascii="Arial" w:eastAsia="Calibri" w:hAnsi="Arial" w:cs="Arial"/>
          <w:color w:val="000000"/>
          <w:sz w:val="22"/>
        </w:rPr>
      </w:pPr>
    </w:p>
    <w:p w14:paraId="6017FCE8" w14:textId="77777777" w:rsidR="0070585D" w:rsidRPr="00621424" w:rsidRDefault="0070585D" w:rsidP="0070585D">
      <w:pPr>
        <w:rPr>
          <w:rFonts w:ascii="Arial" w:eastAsia="Calibri" w:hAnsi="Arial" w:cs="Arial"/>
          <w:color w:val="000000"/>
          <w:sz w:val="22"/>
        </w:rPr>
      </w:pPr>
      <w:r w:rsidRPr="00621424">
        <w:rPr>
          <w:rFonts w:ascii="Arial" w:eastAsia="Calibri" w:hAnsi="Arial" w:cs="Arial"/>
          <w:color w:val="000000"/>
          <w:sz w:val="22"/>
        </w:rPr>
        <w:t>Señor</w:t>
      </w:r>
    </w:p>
    <w:p w14:paraId="134E4B51" w14:textId="3B0F903C" w:rsidR="0070585D" w:rsidRPr="00621424" w:rsidRDefault="0070585D" w:rsidP="0070585D">
      <w:pPr>
        <w:rPr>
          <w:rFonts w:ascii="Arial" w:eastAsia="Calibri" w:hAnsi="Arial" w:cs="Arial"/>
          <w:b/>
          <w:color w:val="000000"/>
          <w:sz w:val="22"/>
        </w:rPr>
      </w:pPr>
      <w:r>
        <w:rPr>
          <w:rFonts w:ascii="Arial" w:eastAsia="Calibri" w:hAnsi="Arial" w:cs="Arial"/>
          <w:b/>
          <w:color w:val="000000"/>
          <w:sz w:val="22"/>
        </w:rPr>
        <w:t xml:space="preserve">Harold Gabriel Córdoba </w:t>
      </w:r>
    </w:p>
    <w:p w14:paraId="3DAC1FA5" w14:textId="41259DEB" w:rsidR="0070585D" w:rsidRPr="00621424" w:rsidRDefault="0070585D" w:rsidP="0070585D">
      <w:pPr>
        <w:rPr>
          <w:rFonts w:ascii="Arial" w:eastAsia="Calibri" w:hAnsi="Arial" w:cs="Arial"/>
          <w:color w:val="000000"/>
          <w:sz w:val="22"/>
        </w:rPr>
      </w:pPr>
      <w:r>
        <w:rPr>
          <w:rFonts w:ascii="Arial" w:eastAsia="Calibri" w:hAnsi="Arial" w:cs="Arial"/>
          <w:color w:val="000000"/>
          <w:sz w:val="22"/>
        </w:rPr>
        <w:t xml:space="preserve">Montería, Córdoba </w:t>
      </w:r>
    </w:p>
    <w:p w14:paraId="0F46BFC8" w14:textId="77777777" w:rsidR="0070585D" w:rsidRPr="00621424" w:rsidRDefault="0070585D" w:rsidP="0070585D">
      <w:pPr>
        <w:rPr>
          <w:rFonts w:ascii="Arial" w:eastAsia="Calibri" w:hAnsi="Arial" w:cs="Arial"/>
          <w:color w:val="000000"/>
          <w:sz w:val="22"/>
        </w:rPr>
      </w:pPr>
    </w:p>
    <w:p w14:paraId="28381008" w14:textId="77777777" w:rsidR="0070585D" w:rsidRPr="00621424" w:rsidRDefault="0070585D" w:rsidP="0070585D">
      <w:pPr>
        <w:rPr>
          <w:rFonts w:ascii="Arial" w:eastAsia="Calibri" w:hAnsi="Arial" w:cs="Arial"/>
          <w:color w:val="000000"/>
          <w:sz w:val="22"/>
        </w:rPr>
      </w:pPr>
    </w:p>
    <w:p w14:paraId="09CBDB7A" w14:textId="24A40F19" w:rsidR="0070585D" w:rsidRPr="00621424" w:rsidRDefault="0070585D" w:rsidP="0070585D">
      <w:pPr>
        <w:ind w:firstLine="2694"/>
        <w:rPr>
          <w:rFonts w:ascii="Arial" w:eastAsia="Calibri" w:hAnsi="Arial" w:cs="Arial"/>
          <w:b/>
          <w:color w:val="000000"/>
          <w:sz w:val="22"/>
        </w:rPr>
      </w:pPr>
      <w:r w:rsidRPr="00621424">
        <w:rPr>
          <w:rFonts w:ascii="Arial" w:eastAsia="Calibri" w:hAnsi="Arial" w:cs="Arial"/>
          <w:b/>
          <w:color w:val="000000"/>
          <w:sz w:val="22"/>
        </w:rPr>
        <w:t xml:space="preserve">Concepto C – </w:t>
      </w:r>
      <w:r>
        <w:rPr>
          <w:rFonts w:ascii="Arial" w:eastAsia="Calibri" w:hAnsi="Arial" w:cs="Arial"/>
          <w:b/>
          <w:color w:val="000000"/>
          <w:sz w:val="22"/>
        </w:rPr>
        <w:t>541</w:t>
      </w:r>
      <w:r w:rsidRPr="00621424">
        <w:rPr>
          <w:rFonts w:ascii="Arial" w:eastAsia="Calibri" w:hAnsi="Arial" w:cs="Arial"/>
          <w:b/>
          <w:color w:val="000000"/>
          <w:sz w:val="22"/>
        </w:rPr>
        <w:t xml:space="preserve"> de 2020</w:t>
      </w:r>
    </w:p>
    <w:p w14:paraId="6CAF7F41" w14:textId="77777777" w:rsidR="0070585D" w:rsidRPr="00621424" w:rsidRDefault="0070585D" w:rsidP="0070585D">
      <w:pPr>
        <w:rPr>
          <w:rFonts w:ascii="Arial" w:eastAsia="Calibri" w:hAnsi="Arial" w:cs="Arial"/>
          <w:color w:val="000000"/>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0585D" w:rsidRPr="00621424" w14:paraId="5F3B2491" w14:textId="77777777" w:rsidTr="00701B87">
        <w:tc>
          <w:tcPr>
            <w:tcW w:w="2689" w:type="dxa"/>
            <w:hideMark/>
          </w:tcPr>
          <w:p w14:paraId="23B1D9B3" w14:textId="77777777" w:rsidR="0070585D" w:rsidRPr="00621424" w:rsidRDefault="0070585D" w:rsidP="00701B87">
            <w:pPr>
              <w:rPr>
                <w:rFonts w:ascii="Arial" w:eastAsia="Calibri" w:hAnsi="Arial" w:cs="Arial"/>
                <w:color w:val="000000"/>
                <w:sz w:val="22"/>
              </w:rPr>
            </w:pPr>
            <w:r w:rsidRPr="00621424">
              <w:rPr>
                <w:rFonts w:ascii="Arial" w:eastAsia="Calibri" w:hAnsi="Arial" w:cs="Arial"/>
                <w:b/>
                <w:color w:val="000000"/>
                <w:sz w:val="22"/>
              </w:rPr>
              <w:t>Temas:</w:t>
            </w:r>
            <w:r w:rsidRPr="00621424">
              <w:rPr>
                <w:rFonts w:ascii="Arial" w:eastAsia="Calibri" w:hAnsi="Arial" w:cs="Arial"/>
                <w:color w:val="000000"/>
                <w:sz w:val="22"/>
              </w:rPr>
              <w:t xml:space="preserve">           </w:t>
            </w:r>
          </w:p>
          <w:p w14:paraId="78F96FE1" w14:textId="77777777" w:rsidR="0070585D" w:rsidRPr="00621424" w:rsidRDefault="0070585D" w:rsidP="00701B87">
            <w:pPr>
              <w:rPr>
                <w:rFonts w:ascii="Arial" w:eastAsia="Calibri" w:hAnsi="Arial" w:cs="Arial"/>
                <w:color w:val="000000"/>
                <w:sz w:val="22"/>
              </w:rPr>
            </w:pPr>
            <w:r w:rsidRPr="00621424">
              <w:rPr>
                <w:rFonts w:ascii="Arial" w:eastAsia="Calibri" w:hAnsi="Arial" w:cs="Arial"/>
                <w:color w:val="000000"/>
                <w:sz w:val="22"/>
              </w:rPr>
              <w:t xml:space="preserve">                           </w:t>
            </w:r>
          </w:p>
        </w:tc>
        <w:tc>
          <w:tcPr>
            <w:tcW w:w="6237" w:type="dxa"/>
            <w:hideMark/>
          </w:tcPr>
          <w:p w14:paraId="24C9E769" w14:textId="77777777" w:rsidR="00CE6294" w:rsidRPr="00CE6294" w:rsidRDefault="0070585D" w:rsidP="00CE6294">
            <w:pPr>
              <w:jc w:val="both"/>
              <w:rPr>
                <w:rFonts w:ascii="Arial" w:eastAsia="Calibri" w:hAnsi="Arial" w:cs="Arial"/>
                <w:sz w:val="22"/>
              </w:rPr>
            </w:pPr>
            <w:r w:rsidRPr="002E7F3F">
              <w:rPr>
                <w:rFonts w:ascii="Arial" w:eastAsia="Calibri" w:hAnsi="Arial" w:cs="Arial"/>
                <w:sz w:val="22"/>
              </w:rPr>
              <w:t xml:space="preserve">DOCUMENTOS TIPO – </w:t>
            </w:r>
            <w:r w:rsidR="002E7F3F" w:rsidRPr="002E7F3F">
              <w:rPr>
                <w:rFonts w:ascii="Arial" w:eastAsia="Calibri" w:hAnsi="Arial" w:cs="Arial"/>
                <w:sz w:val="22"/>
              </w:rPr>
              <w:t>Ley 1882 de 2018</w:t>
            </w:r>
            <w:r w:rsidRPr="002E7F3F">
              <w:rPr>
                <w:rFonts w:ascii="Arial" w:eastAsia="Calibri" w:hAnsi="Arial" w:cs="Arial"/>
                <w:sz w:val="22"/>
              </w:rPr>
              <w:t xml:space="preserve"> – </w:t>
            </w:r>
            <w:r w:rsidR="002E7F3F">
              <w:rPr>
                <w:rFonts w:ascii="Arial" w:eastAsia="Calibri" w:hAnsi="Arial" w:cs="Arial"/>
                <w:sz w:val="22"/>
              </w:rPr>
              <w:t>Características del proceso</w:t>
            </w:r>
            <w:r w:rsidRPr="002E7F3F">
              <w:rPr>
                <w:rFonts w:ascii="Arial" w:eastAsia="Calibri" w:hAnsi="Arial" w:cs="Arial"/>
                <w:sz w:val="22"/>
              </w:rPr>
              <w:t xml:space="preserve"> </w:t>
            </w:r>
            <w:r w:rsidR="002E7F3F" w:rsidRPr="002E7F3F">
              <w:rPr>
                <w:rFonts w:ascii="Arial" w:eastAsia="Calibri" w:hAnsi="Arial" w:cs="Arial"/>
                <w:sz w:val="22"/>
              </w:rPr>
              <w:t>/</w:t>
            </w:r>
            <w:r w:rsidRPr="002E7F3F">
              <w:rPr>
                <w:rFonts w:ascii="Arial" w:eastAsia="Calibri" w:hAnsi="Arial" w:cs="Arial"/>
                <w:sz w:val="22"/>
              </w:rPr>
              <w:t xml:space="preserve"> </w:t>
            </w:r>
            <w:r w:rsidR="002E7F3F" w:rsidRPr="002E7F3F">
              <w:rPr>
                <w:rFonts w:ascii="Arial" w:eastAsia="Calibri" w:hAnsi="Arial" w:cs="Arial"/>
                <w:sz w:val="22"/>
              </w:rPr>
              <w:t>DOCUMENTOS TIPO – Ley 1882 de 2018 – Documentos tipo adoptados /</w:t>
            </w:r>
            <w:r w:rsidRPr="002E7F3F">
              <w:rPr>
                <w:rFonts w:ascii="Arial" w:eastAsia="Calibri" w:hAnsi="Arial" w:cs="Arial"/>
                <w:sz w:val="22"/>
              </w:rPr>
              <w:t xml:space="preserve"> </w:t>
            </w:r>
            <w:r w:rsidR="002E7F3F" w:rsidRPr="002E7F3F">
              <w:rPr>
                <w:rFonts w:ascii="Arial" w:eastAsia="Calibri" w:hAnsi="Arial" w:cs="Arial"/>
                <w:sz w:val="22"/>
              </w:rPr>
              <w:t>DOCUMENTOS TIPO – Ley 2022 de 2020 – Finalidad de la norma</w:t>
            </w:r>
            <w:r w:rsidRPr="002E7F3F">
              <w:rPr>
                <w:rFonts w:ascii="Arial" w:eastAsia="Calibri" w:hAnsi="Arial" w:cs="Arial"/>
                <w:sz w:val="22"/>
              </w:rPr>
              <w:t xml:space="preserve"> / </w:t>
            </w:r>
            <w:r w:rsidRPr="00CE6294">
              <w:rPr>
                <w:rFonts w:ascii="Arial" w:eastAsia="Calibri" w:hAnsi="Arial" w:cs="Arial"/>
                <w:sz w:val="22"/>
              </w:rPr>
              <w:t xml:space="preserve">DOCUMENTOS TIPO – </w:t>
            </w:r>
            <w:r w:rsidR="002E7F3F" w:rsidRPr="00CE6294">
              <w:rPr>
                <w:rFonts w:ascii="Arial" w:eastAsia="Calibri" w:hAnsi="Arial" w:cs="Arial"/>
                <w:sz w:val="22"/>
              </w:rPr>
              <w:t>Ley 2022 de 2020</w:t>
            </w:r>
            <w:r w:rsidRPr="00CE6294">
              <w:rPr>
                <w:rFonts w:ascii="Arial" w:eastAsia="Calibri" w:hAnsi="Arial" w:cs="Arial"/>
                <w:sz w:val="22"/>
              </w:rPr>
              <w:t xml:space="preserve"> – </w:t>
            </w:r>
            <w:r w:rsidR="002E7F3F" w:rsidRPr="00CE6294">
              <w:rPr>
                <w:rFonts w:ascii="Arial" w:eastAsia="Calibri" w:hAnsi="Arial" w:cs="Arial"/>
                <w:sz w:val="22"/>
              </w:rPr>
              <w:t>Cambios en el proceso</w:t>
            </w:r>
            <w:r w:rsidR="00CE6294" w:rsidRPr="00CE6294">
              <w:rPr>
                <w:rFonts w:ascii="Arial" w:eastAsia="Calibri" w:hAnsi="Arial" w:cs="Arial"/>
                <w:sz w:val="22"/>
              </w:rPr>
              <w:t xml:space="preserve"> / DOCUMENTOS TIPO – Ley 2022 de 2020 – Implementación gradual / DOCUMENTOS TIPO – Ley 2022 de 2020 – Obligatorio cumplimiento</w:t>
            </w:r>
          </w:p>
          <w:p w14:paraId="7818AFE6" w14:textId="70BF68B4" w:rsidR="00CE6294" w:rsidRPr="00CE6294" w:rsidRDefault="00CE6294" w:rsidP="00CE6294">
            <w:pPr>
              <w:jc w:val="both"/>
              <w:rPr>
                <w:rFonts w:ascii="Arial" w:eastAsia="Calibri" w:hAnsi="Arial" w:cs="Arial"/>
                <w:sz w:val="22"/>
              </w:rPr>
            </w:pPr>
          </w:p>
          <w:p w14:paraId="1446125D" w14:textId="662113AC" w:rsidR="0070585D" w:rsidRPr="00CE6294" w:rsidRDefault="0070585D" w:rsidP="00701B87">
            <w:pPr>
              <w:jc w:val="both"/>
              <w:rPr>
                <w:rFonts w:ascii="Arial" w:eastAsia="Calibri" w:hAnsi="Arial" w:cs="Arial"/>
                <w:sz w:val="22"/>
              </w:rPr>
            </w:pPr>
          </w:p>
        </w:tc>
      </w:tr>
      <w:tr w:rsidR="0070585D" w:rsidRPr="00621424" w14:paraId="61561E76" w14:textId="77777777" w:rsidTr="00701B87">
        <w:tc>
          <w:tcPr>
            <w:tcW w:w="2689" w:type="dxa"/>
          </w:tcPr>
          <w:p w14:paraId="7AF6C403" w14:textId="77777777" w:rsidR="0070585D" w:rsidRPr="00621424" w:rsidRDefault="0070585D" w:rsidP="00701B87">
            <w:pPr>
              <w:spacing w:before="120"/>
              <w:rPr>
                <w:rFonts w:ascii="Arial" w:eastAsia="Calibri" w:hAnsi="Arial" w:cs="Arial"/>
                <w:b/>
                <w:color w:val="000000"/>
                <w:sz w:val="22"/>
              </w:rPr>
            </w:pPr>
            <w:r w:rsidRPr="00621424">
              <w:rPr>
                <w:rFonts w:ascii="Arial" w:eastAsia="Calibri" w:hAnsi="Arial" w:cs="Arial"/>
                <w:b/>
                <w:color w:val="000000"/>
                <w:sz w:val="22"/>
              </w:rPr>
              <w:t>Radicación:</w:t>
            </w:r>
            <w:r w:rsidRPr="00621424">
              <w:rPr>
                <w:rFonts w:ascii="Arial" w:eastAsia="Calibri" w:hAnsi="Arial" w:cs="Arial"/>
                <w:color w:val="000000"/>
                <w:sz w:val="22"/>
              </w:rPr>
              <w:t xml:space="preserve">                              </w:t>
            </w:r>
          </w:p>
        </w:tc>
        <w:tc>
          <w:tcPr>
            <w:tcW w:w="6237" w:type="dxa"/>
          </w:tcPr>
          <w:p w14:paraId="67CA9229" w14:textId="5E330364" w:rsidR="0070585D" w:rsidRPr="00621424" w:rsidRDefault="0070585D" w:rsidP="00701B87">
            <w:pPr>
              <w:spacing w:before="120"/>
              <w:jc w:val="both"/>
              <w:rPr>
                <w:rFonts w:ascii="Arial" w:eastAsia="Calibri" w:hAnsi="Arial" w:cs="Arial"/>
                <w:color w:val="000000"/>
                <w:sz w:val="22"/>
              </w:rPr>
            </w:pPr>
            <w:r w:rsidRPr="00621424">
              <w:rPr>
                <w:rFonts w:ascii="Arial" w:eastAsia="Calibri" w:hAnsi="Arial" w:cs="Arial"/>
                <w:color w:val="000000"/>
                <w:sz w:val="22"/>
              </w:rPr>
              <w:t>Respuesta a</w:t>
            </w:r>
            <w:r>
              <w:rPr>
                <w:rFonts w:ascii="Arial" w:eastAsia="Calibri" w:hAnsi="Arial" w:cs="Arial"/>
                <w:color w:val="000000"/>
                <w:sz w:val="22"/>
              </w:rPr>
              <w:t xml:space="preserve"> su</w:t>
            </w:r>
            <w:r w:rsidRPr="00621424">
              <w:rPr>
                <w:rFonts w:ascii="Arial" w:eastAsia="Calibri" w:hAnsi="Arial" w:cs="Arial"/>
                <w:color w:val="000000"/>
                <w:sz w:val="22"/>
              </w:rPr>
              <w:t xml:space="preserve"> consulta 420</w:t>
            </w:r>
            <w:r>
              <w:rPr>
                <w:rFonts w:ascii="Arial" w:eastAsia="Calibri" w:hAnsi="Arial" w:cs="Arial"/>
                <w:color w:val="000000"/>
                <w:sz w:val="22"/>
              </w:rPr>
              <w:t>2013000006738</w:t>
            </w:r>
          </w:p>
        </w:tc>
      </w:tr>
      <w:tr w:rsidR="0070585D" w:rsidRPr="00621424" w14:paraId="33152213" w14:textId="77777777" w:rsidTr="00701B87">
        <w:tc>
          <w:tcPr>
            <w:tcW w:w="2689" w:type="dxa"/>
          </w:tcPr>
          <w:p w14:paraId="3FDB8077" w14:textId="77777777" w:rsidR="0070585D" w:rsidRPr="00621424" w:rsidRDefault="0070585D" w:rsidP="00701B87">
            <w:pPr>
              <w:spacing w:before="120"/>
              <w:rPr>
                <w:rFonts w:ascii="Arial" w:eastAsia="Calibri" w:hAnsi="Arial" w:cs="Arial"/>
                <w:b/>
                <w:color w:val="000000"/>
                <w:sz w:val="22"/>
              </w:rPr>
            </w:pPr>
          </w:p>
        </w:tc>
        <w:tc>
          <w:tcPr>
            <w:tcW w:w="6237" w:type="dxa"/>
          </w:tcPr>
          <w:p w14:paraId="62DC28C6" w14:textId="77777777" w:rsidR="0070585D" w:rsidRPr="00621424" w:rsidRDefault="0070585D" w:rsidP="00701B87">
            <w:pPr>
              <w:spacing w:before="120"/>
              <w:jc w:val="both"/>
              <w:rPr>
                <w:rFonts w:ascii="Arial" w:eastAsia="Calibri" w:hAnsi="Arial" w:cs="Arial"/>
                <w:color w:val="000000"/>
                <w:sz w:val="22"/>
              </w:rPr>
            </w:pPr>
          </w:p>
        </w:tc>
      </w:tr>
    </w:tbl>
    <w:p w14:paraId="266616C7" w14:textId="77777777" w:rsidR="008A6E0D" w:rsidRDefault="008A6E0D" w:rsidP="0070585D">
      <w:pPr>
        <w:rPr>
          <w:rFonts w:ascii="Arial" w:eastAsia="Calibri" w:hAnsi="Arial" w:cs="Arial"/>
          <w:color w:val="000000"/>
          <w:sz w:val="22"/>
        </w:rPr>
      </w:pPr>
    </w:p>
    <w:p w14:paraId="5B804F65" w14:textId="21B135B5" w:rsidR="0070585D" w:rsidRPr="00621424" w:rsidRDefault="0070585D" w:rsidP="0070585D">
      <w:pPr>
        <w:rPr>
          <w:rFonts w:ascii="Arial" w:eastAsia="Calibri" w:hAnsi="Arial" w:cs="Arial"/>
          <w:color w:val="000000"/>
          <w:sz w:val="22"/>
        </w:rPr>
      </w:pPr>
      <w:r w:rsidRPr="00621424">
        <w:rPr>
          <w:rFonts w:ascii="Arial" w:eastAsia="Calibri" w:hAnsi="Arial" w:cs="Arial"/>
          <w:color w:val="000000"/>
          <w:sz w:val="22"/>
        </w:rPr>
        <w:t>Estimad</w:t>
      </w:r>
      <w:r>
        <w:rPr>
          <w:rFonts w:ascii="Arial" w:eastAsia="Calibri" w:hAnsi="Arial" w:cs="Arial"/>
          <w:color w:val="000000"/>
          <w:sz w:val="22"/>
        </w:rPr>
        <w:t>o</w:t>
      </w:r>
      <w:r w:rsidRPr="00621424">
        <w:rPr>
          <w:rFonts w:ascii="Arial" w:eastAsia="Calibri" w:hAnsi="Arial" w:cs="Arial"/>
          <w:color w:val="000000"/>
          <w:sz w:val="22"/>
        </w:rPr>
        <w:t xml:space="preserve"> señor </w:t>
      </w:r>
      <w:r>
        <w:rPr>
          <w:rFonts w:ascii="Arial" w:eastAsia="Calibri" w:hAnsi="Arial" w:cs="Arial"/>
          <w:color w:val="000000"/>
          <w:sz w:val="22"/>
        </w:rPr>
        <w:t>Córdoba</w:t>
      </w:r>
      <w:r w:rsidRPr="00621424">
        <w:rPr>
          <w:rFonts w:ascii="Arial" w:eastAsia="Calibri" w:hAnsi="Arial" w:cs="Arial"/>
          <w:color w:val="000000"/>
          <w:sz w:val="22"/>
        </w:rPr>
        <w:t>:</w:t>
      </w:r>
    </w:p>
    <w:p w14:paraId="6472CC87" w14:textId="77777777" w:rsidR="0070585D" w:rsidRPr="00621424" w:rsidRDefault="0070585D" w:rsidP="0070585D">
      <w:pPr>
        <w:rPr>
          <w:rFonts w:ascii="Arial" w:eastAsia="Calibri" w:hAnsi="Arial" w:cs="Arial"/>
          <w:color w:val="000000"/>
          <w:sz w:val="22"/>
        </w:rPr>
      </w:pPr>
    </w:p>
    <w:p w14:paraId="231D3408" w14:textId="63BD7BF2" w:rsidR="0070585D" w:rsidRPr="00621424" w:rsidRDefault="0070585D" w:rsidP="0070585D">
      <w:pPr>
        <w:spacing w:line="276" w:lineRule="auto"/>
        <w:jc w:val="both"/>
        <w:rPr>
          <w:rFonts w:ascii="Arial" w:eastAsia="Calibri" w:hAnsi="Arial" w:cs="Arial"/>
          <w:color w:val="000000"/>
          <w:sz w:val="22"/>
        </w:rPr>
      </w:pPr>
      <w:r w:rsidRPr="00621424">
        <w:rPr>
          <w:rFonts w:ascii="Arial" w:eastAsia="Calibri" w:hAnsi="Arial" w:cs="Arial"/>
          <w:color w:val="000000"/>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sz w:val="22"/>
        </w:rPr>
        <w:t>8</w:t>
      </w:r>
      <w:r w:rsidRPr="00621424">
        <w:rPr>
          <w:rFonts w:ascii="Arial" w:eastAsia="Calibri" w:hAnsi="Arial" w:cs="Arial"/>
          <w:color w:val="000000"/>
          <w:sz w:val="22"/>
        </w:rPr>
        <w:t xml:space="preserve"> de </w:t>
      </w:r>
      <w:r>
        <w:rPr>
          <w:rFonts w:ascii="Arial" w:eastAsia="Calibri" w:hAnsi="Arial" w:cs="Arial"/>
          <w:color w:val="000000"/>
          <w:sz w:val="22"/>
        </w:rPr>
        <w:t>agosto</w:t>
      </w:r>
      <w:r w:rsidRPr="00621424">
        <w:rPr>
          <w:rFonts w:ascii="Arial" w:eastAsia="Calibri" w:hAnsi="Arial" w:cs="Arial"/>
          <w:color w:val="000000"/>
          <w:sz w:val="22"/>
        </w:rPr>
        <w:t xml:space="preserve"> de 2020. </w:t>
      </w:r>
    </w:p>
    <w:p w14:paraId="3261DA58" w14:textId="77777777" w:rsidR="0070585D" w:rsidRPr="00621424" w:rsidRDefault="0070585D" w:rsidP="0070585D">
      <w:pPr>
        <w:spacing w:line="276" w:lineRule="auto"/>
        <w:jc w:val="both"/>
        <w:rPr>
          <w:rFonts w:ascii="Arial" w:eastAsia="Calibri" w:hAnsi="Arial" w:cs="Arial"/>
          <w:color w:val="000000"/>
          <w:sz w:val="22"/>
        </w:rPr>
      </w:pPr>
    </w:p>
    <w:p w14:paraId="6F0227B9" w14:textId="77777777" w:rsidR="0070585D" w:rsidRPr="00621424" w:rsidRDefault="0070585D" w:rsidP="0070585D">
      <w:pPr>
        <w:numPr>
          <w:ilvl w:val="0"/>
          <w:numId w:val="6"/>
        </w:numPr>
        <w:tabs>
          <w:tab w:val="left" w:pos="284"/>
        </w:tabs>
        <w:spacing w:line="276" w:lineRule="auto"/>
        <w:ind w:left="0" w:firstLine="0"/>
        <w:contextualSpacing/>
        <w:jc w:val="both"/>
        <w:rPr>
          <w:rFonts w:ascii="Arial" w:eastAsia="Calibri" w:hAnsi="Arial" w:cs="Arial"/>
          <w:b/>
          <w:color w:val="000000"/>
          <w:sz w:val="22"/>
        </w:rPr>
      </w:pPr>
      <w:r w:rsidRPr="00621424">
        <w:rPr>
          <w:rFonts w:ascii="Arial" w:eastAsia="Calibri" w:hAnsi="Arial" w:cs="Arial"/>
          <w:b/>
          <w:color w:val="000000"/>
          <w:sz w:val="22"/>
        </w:rPr>
        <w:t xml:space="preserve">Problemas planteados </w:t>
      </w:r>
    </w:p>
    <w:p w14:paraId="40BAE888" w14:textId="77777777" w:rsidR="0070585D" w:rsidRPr="00621424" w:rsidRDefault="0070585D" w:rsidP="0070585D">
      <w:pPr>
        <w:tabs>
          <w:tab w:val="left" w:pos="426"/>
        </w:tabs>
        <w:spacing w:line="276" w:lineRule="auto"/>
        <w:jc w:val="both"/>
        <w:rPr>
          <w:rFonts w:ascii="Arial" w:eastAsia="Calibri" w:hAnsi="Arial" w:cs="Arial"/>
          <w:b/>
          <w:color w:val="000000"/>
          <w:sz w:val="22"/>
        </w:rPr>
      </w:pPr>
    </w:p>
    <w:p w14:paraId="18A44189" w14:textId="1FC98800" w:rsidR="006263D5" w:rsidRDefault="0070585D" w:rsidP="00F12FFD">
      <w:pPr>
        <w:tabs>
          <w:tab w:val="left" w:pos="426"/>
        </w:tabs>
        <w:spacing w:line="276" w:lineRule="auto"/>
        <w:jc w:val="both"/>
        <w:rPr>
          <w:rFonts w:ascii="Arial" w:eastAsia="Calibri" w:hAnsi="Arial" w:cs="Arial"/>
          <w:color w:val="000000"/>
          <w:sz w:val="22"/>
        </w:rPr>
      </w:pPr>
      <w:r w:rsidRPr="00621424">
        <w:rPr>
          <w:rFonts w:ascii="Arial" w:eastAsia="Calibri" w:hAnsi="Arial" w:cs="Arial"/>
          <w:color w:val="000000"/>
          <w:sz w:val="22"/>
        </w:rPr>
        <w:t>Usted realiza la</w:t>
      </w:r>
      <w:r>
        <w:rPr>
          <w:rFonts w:ascii="Arial" w:eastAsia="Calibri" w:hAnsi="Arial" w:cs="Arial"/>
          <w:color w:val="000000"/>
          <w:sz w:val="22"/>
        </w:rPr>
        <w:t>s</w:t>
      </w:r>
      <w:r w:rsidRPr="00621424">
        <w:rPr>
          <w:rFonts w:ascii="Arial" w:eastAsia="Calibri" w:hAnsi="Arial" w:cs="Arial"/>
          <w:color w:val="000000"/>
          <w:sz w:val="22"/>
        </w:rPr>
        <w:t xml:space="preserve"> siguiente</w:t>
      </w:r>
      <w:r>
        <w:rPr>
          <w:rFonts w:ascii="Arial" w:eastAsia="Calibri" w:hAnsi="Arial" w:cs="Arial"/>
          <w:color w:val="000000"/>
          <w:sz w:val="22"/>
        </w:rPr>
        <w:t>s</w:t>
      </w:r>
      <w:r w:rsidRPr="00621424">
        <w:rPr>
          <w:rFonts w:ascii="Arial" w:eastAsia="Calibri" w:hAnsi="Arial" w:cs="Arial"/>
          <w:color w:val="000000"/>
          <w:sz w:val="22"/>
        </w:rPr>
        <w:t xml:space="preserve"> </w:t>
      </w:r>
      <w:r>
        <w:rPr>
          <w:rFonts w:ascii="Arial" w:eastAsia="Calibri" w:hAnsi="Arial" w:cs="Arial"/>
          <w:color w:val="000000"/>
          <w:sz w:val="22"/>
        </w:rPr>
        <w:t>preguntas en relación con los documentos tipo adoptados por la Ley 2022 de 2020: i) ¿cuál es el cronograma de entrada en vigor de los pliegos tipo?, ii) ¿</w:t>
      </w:r>
      <w:r w:rsidR="00F12FFD">
        <w:rPr>
          <w:rFonts w:ascii="Arial" w:eastAsia="Calibri" w:hAnsi="Arial" w:cs="Arial"/>
          <w:color w:val="000000"/>
          <w:sz w:val="22"/>
        </w:rPr>
        <w:t>c</w:t>
      </w:r>
      <w:r>
        <w:rPr>
          <w:rFonts w:ascii="Arial" w:eastAsia="Calibri" w:hAnsi="Arial" w:cs="Arial"/>
          <w:color w:val="000000"/>
          <w:sz w:val="22"/>
        </w:rPr>
        <w:t>uál es la gradualidad o ciudades que están obligadas a implementarlos</w:t>
      </w:r>
      <w:r w:rsidR="00F12FFD">
        <w:rPr>
          <w:rFonts w:ascii="Arial" w:eastAsia="Calibri" w:hAnsi="Arial" w:cs="Arial"/>
          <w:color w:val="000000"/>
          <w:sz w:val="22"/>
        </w:rPr>
        <w:t xml:space="preserve">? </w:t>
      </w:r>
      <w:r>
        <w:rPr>
          <w:rFonts w:ascii="Arial" w:eastAsia="Calibri" w:hAnsi="Arial" w:cs="Arial"/>
          <w:color w:val="000000"/>
          <w:sz w:val="22"/>
        </w:rPr>
        <w:t xml:space="preserve">Y, finalmente, iii) </w:t>
      </w:r>
      <w:r w:rsidR="00F12FFD">
        <w:rPr>
          <w:rFonts w:ascii="Arial" w:eastAsia="Calibri" w:hAnsi="Arial" w:cs="Arial"/>
          <w:color w:val="000000"/>
          <w:sz w:val="22"/>
        </w:rPr>
        <w:t>¿si el municipio de arboletes Antioquia está obligado a la utilización de pliegos tipo, los índices financieros del sector como podrá sacarlos la entidad? ¿estarán estandarizados por Colombia Compra?</w:t>
      </w:r>
    </w:p>
    <w:p w14:paraId="11732991" w14:textId="77777777" w:rsidR="006263D5" w:rsidRPr="00621424" w:rsidRDefault="006263D5" w:rsidP="00F12FFD">
      <w:pPr>
        <w:tabs>
          <w:tab w:val="left" w:pos="426"/>
        </w:tabs>
        <w:spacing w:line="276" w:lineRule="auto"/>
        <w:jc w:val="both"/>
        <w:rPr>
          <w:rFonts w:ascii="Arial" w:eastAsia="Calibri" w:hAnsi="Arial" w:cs="Arial"/>
          <w:color w:val="000000"/>
          <w:sz w:val="22"/>
        </w:rPr>
      </w:pPr>
    </w:p>
    <w:p w14:paraId="5CC2C895" w14:textId="67E6468D" w:rsidR="0070585D" w:rsidRPr="00FE5353" w:rsidRDefault="0070585D" w:rsidP="00FE5353">
      <w:pPr>
        <w:pStyle w:val="Prrafodelista"/>
        <w:numPr>
          <w:ilvl w:val="0"/>
          <w:numId w:val="6"/>
        </w:numPr>
        <w:tabs>
          <w:tab w:val="left" w:pos="426"/>
        </w:tabs>
        <w:spacing w:line="276" w:lineRule="auto"/>
        <w:ind w:left="426"/>
        <w:jc w:val="both"/>
        <w:rPr>
          <w:rFonts w:ascii="Arial" w:eastAsia="Calibri" w:hAnsi="Arial" w:cs="Arial"/>
          <w:b/>
          <w:color w:val="000000"/>
          <w:sz w:val="22"/>
        </w:rPr>
      </w:pPr>
      <w:r w:rsidRPr="00FE5353">
        <w:rPr>
          <w:rFonts w:ascii="Arial" w:eastAsia="Calibri" w:hAnsi="Arial" w:cs="Arial"/>
          <w:b/>
          <w:color w:val="000000"/>
          <w:sz w:val="22"/>
        </w:rPr>
        <w:t>Consideraciones</w:t>
      </w:r>
    </w:p>
    <w:p w14:paraId="3795ED1F" w14:textId="77777777" w:rsidR="0070585D" w:rsidRDefault="0070585D" w:rsidP="0070585D">
      <w:pPr>
        <w:spacing w:line="276" w:lineRule="auto"/>
        <w:jc w:val="both"/>
        <w:rPr>
          <w:rFonts w:ascii="Arial" w:eastAsia="Calibri" w:hAnsi="Arial" w:cs="Arial"/>
          <w:color w:val="000000"/>
          <w:sz w:val="22"/>
        </w:rPr>
      </w:pPr>
    </w:p>
    <w:p w14:paraId="307774CF" w14:textId="390A9A01" w:rsidR="0070585D" w:rsidRDefault="00F12FFD" w:rsidP="0070585D">
      <w:pPr>
        <w:spacing w:line="276" w:lineRule="auto"/>
        <w:jc w:val="both"/>
        <w:rPr>
          <w:rFonts w:ascii="Arial" w:eastAsia="Calibri" w:hAnsi="Arial" w:cs="Arial"/>
          <w:color w:val="000000"/>
          <w:sz w:val="22"/>
        </w:rPr>
      </w:pPr>
      <w:r>
        <w:rPr>
          <w:rFonts w:ascii="Arial" w:eastAsia="Calibri" w:hAnsi="Arial" w:cs="Arial"/>
          <w:color w:val="000000"/>
          <w:sz w:val="22"/>
        </w:rPr>
        <w:t xml:space="preserve">Para responder sus inquietudes, </w:t>
      </w:r>
      <w:r w:rsidR="0082639E">
        <w:rPr>
          <w:rFonts w:ascii="Arial" w:eastAsia="Calibri" w:hAnsi="Arial" w:cs="Arial"/>
          <w:color w:val="000000"/>
          <w:sz w:val="22"/>
        </w:rPr>
        <w:t xml:space="preserve">es importante señalar que, hasta el momento, dos </w:t>
      </w:r>
      <w:r w:rsidR="007C52AA">
        <w:rPr>
          <w:rFonts w:ascii="Arial" w:eastAsia="Calibri" w:hAnsi="Arial" w:cs="Arial"/>
          <w:color w:val="000000"/>
          <w:sz w:val="22"/>
        </w:rPr>
        <w:t xml:space="preserve">leyes </w:t>
      </w:r>
      <w:r w:rsidR="0082639E">
        <w:rPr>
          <w:rFonts w:ascii="Arial" w:eastAsia="Calibri" w:hAnsi="Arial" w:cs="Arial"/>
          <w:color w:val="000000"/>
          <w:sz w:val="22"/>
        </w:rPr>
        <w:t>han regulado la adopción de los documentos tipo, est</w:t>
      </w:r>
      <w:r w:rsidR="008A6E0D">
        <w:rPr>
          <w:rFonts w:ascii="Arial" w:eastAsia="Calibri" w:hAnsi="Arial" w:cs="Arial"/>
          <w:color w:val="000000"/>
          <w:sz w:val="22"/>
        </w:rPr>
        <w:t>as</w:t>
      </w:r>
      <w:r w:rsidR="0082639E">
        <w:rPr>
          <w:rFonts w:ascii="Arial" w:eastAsia="Calibri" w:hAnsi="Arial" w:cs="Arial"/>
          <w:color w:val="000000"/>
          <w:sz w:val="22"/>
        </w:rPr>
        <w:t xml:space="preserve"> </w:t>
      </w:r>
      <w:r w:rsidR="008A6E0D">
        <w:rPr>
          <w:rFonts w:ascii="Arial" w:eastAsia="Calibri" w:hAnsi="Arial" w:cs="Arial"/>
          <w:color w:val="000000"/>
          <w:sz w:val="22"/>
        </w:rPr>
        <w:t>son</w:t>
      </w:r>
      <w:r w:rsidR="007C52AA">
        <w:rPr>
          <w:rFonts w:ascii="Arial" w:eastAsia="Calibri" w:hAnsi="Arial" w:cs="Arial"/>
          <w:color w:val="000000"/>
          <w:sz w:val="22"/>
        </w:rPr>
        <w:t>:</w:t>
      </w:r>
      <w:r w:rsidR="0082639E">
        <w:rPr>
          <w:rFonts w:ascii="Arial" w:eastAsia="Calibri" w:hAnsi="Arial" w:cs="Arial"/>
          <w:color w:val="000000"/>
          <w:sz w:val="22"/>
        </w:rPr>
        <w:t xml:space="preserve"> la</w:t>
      </w:r>
      <w:r w:rsidR="008A6E0D">
        <w:rPr>
          <w:rFonts w:ascii="Arial" w:eastAsia="Calibri" w:hAnsi="Arial" w:cs="Arial"/>
          <w:color w:val="000000"/>
          <w:sz w:val="22"/>
        </w:rPr>
        <w:t>s</w:t>
      </w:r>
      <w:r w:rsidR="0082639E">
        <w:rPr>
          <w:rFonts w:ascii="Arial" w:eastAsia="Calibri" w:hAnsi="Arial" w:cs="Arial"/>
          <w:color w:val="000000"/>
          <w:sz w:val="22"/>
        </w:rPr>
        <w:t xml:space="preserve"> Ley</w:t>
      </w:r>
      <w:r w:rsidR="008A6E0D">
        <w:rPr>
          <w:rFonts w:ascii="Arial" w:eastAsia="Calibri" w:hAnsi="Arial" w:cs="Arial"/>
          <w:color w:val="000000"/>
          <w:sz w:val="22"/>
        </w:rPr>
        <w:t>es</w:t>
      </w:r>
      <w:r w:rsidR="0082639E">
        <w:rPr>
          <w:rFonts w:ascii="Arial" w:eastAsia="Calibri" w:hAnsi="Arial" w:cs="Arial"/>
          <w:color w:val="000000"/>
          <w:sz w:val="22"/>
        </w:rPr>
        <w:t xml:space="preserve"> 1882 de 2018 y 2022 de 2020. En este sentido, </w:t>
      </w:r>
      <w:r>
        <w:rPr>
          <w:rFonts w:ascii="Arial" w:eastAsia="Calibri" w:hAnsi="Arial" w:cs="Arial"/>
          <w:color w:val="000000"/>
          <w:sz w:val="22"/>
        </w:rPr>
        <w:t xml:space="preserve">en primer lugar, se explicará </w:t>
      </w:r>
      <w:r w:rsidR="0082639E">
        <w:rPr>
          <w:rFonts w:ascii="Arial" w:eastAsia="Calibri" w:hAnsi="Arial" w:cs="Arial"/>
          <w:color w:val="000000"/>
          <w:sz w:val="22"/>
        </w:rPr>
        <w:t xml:space="preserve">el proceso previsto </w:t>
      </w:r>
      <w:r>
        <w:rPr>
          <w:rFonts w:ascii="Arial" w:eastAsia="Calibri" w:hAnsi="Arial" w:cs="Arial"/>
          <w:color w:val="000000"/>
          <w:sz w:val="22"/>
        </w:rPr>
        <w:t>e</w:t>
      </w:r>
      <w:r w:rsidR="0082639E">
        <w:rPr>
          <w:rFonts w:ascii="Arial" w:eastAsia="Calibri" w:hAnsi="Arial" w:cs="Arial"/>
          <w:color w:val="000000"/>
          <w:sz w:val="22"/>
        </w:rPr>
        <w:t>n</w:t>
      </w:r>
      <w:r>
        <w:rPr>
          <w:rFonts w:ascii="Arial" w:eastAsia="Calibri" w:hAnsi="Arial" w:cs="Arial"/>
          <w:color w:val="000000"/>
          <w:sz w:val="22"/>
        </w:rPr>
        <w:t xml:space="preserve"> la Ley 1882 de 2018</w:t>
      </w:r>
      <w:r w:rsidR="0082639E">
        <w:rPr>
          <w:rFonts w:ascii="Arial" w:eastAsia="Calibri" w:hAnsi="Arial" w:cs="Arial"/>
          <w:color w:val="000000"/>
          <w:sz w:val="22"/>
        </w:rPr>
        <w:t xml:space="preserve"> y los documentos tipo adoptados </w:t>
      </w:r>
      <w:r w:rsidR="000C6E36">
        <w:rPr>
          <w:rFonts w:ascii="Arial" w:eastAsia="Calibri" w:hAnsi="Arial" w:cs="Arial"/>
          <w:color w:val="000000"/>
          <w:sz w:val="22"/>
        </w:rPr>
        <w:t xml:space="preserve">por el Gobierno Nacional </w:t>
      </w:r>
      <w:r w:rsidR="0082639E">
        <w:rPr>
          <w:rFonts w:ascii="Arial" w:eastAsia="Calibri" w:hAnsi="Arial" w:cs="Arial"/>
          <w:color w:val="000000"/>
          <w:sz w:val="22"/>
        </w:rPr>
        <w:t>en virtud de esta norma</w:t>
      </w:r>
      <w:r>
        <w:rPr>
          <w:rFonts w:ascii="Arial" w:eastAsia="Calibri" w:hAnsi="Arial" w:cs="Arial"/>
          <w:color w:val="000000"/>
          <w:sz w:val="22"/>
        </w:rPr>
        <w:t xml:space="preserve"> y, en segundo lugar, los cambios implementados por la Ley 2022 de 2020. </w:t>
      </w:r>
    </w:p>
    <w:p w14:paraId="6E345A4A" w14:textId="249DC5C8" w:rsidR="00F12FFD" w:rsidRDefault="00F12FFD" w:rsidP="0070585D">
      <w:pPr>
        <w:spacing w:line="276" w:lineRule="auto"/>
        <w:jc w:val="both"/>
        <w:rPr>
          <w:rFonts w:ascii="Arial" w:eastAsia="Calibri" w:hAnsi="Arial" w:cs="Arial"/>
          <w:color w:val="000000"/>
          <w:sz w:val="22"/>
        </w:rPr>
      </w:pPr>
    </w:p>
    <w:p w14:paraId="53B94BAB" w14:textId="5D0109E4" w:rsidR="00F12FFD" w:rsidRDefault="00F12FFD" w:rsidP="0070585D">
      <w:pPr>
        <w:spacing w:line="276" w:lineRule="auto"/>
        <w:jc w:val="both"/>
        <w:rPr>
          <w:rFonts w:ascii="Arial" w:eastAsia="Calibri" w:hAnsi="Arial" w:cs="Arial"/>
          <w:b/>
          <w:bCs/>
          <w:color w:val="000000"/>
          <w:sz w:val="22"/>
        </w:rPr>
      </w:pPr>
      <w:r w:rsidRPr="00F12FFD">
        <w:rPr>
          <w:rFonts w:ascii="Arial" w:eastAsia="Calibri" w:hAnsi="Arial" w:cs="Arial"/>
          <w:b/>
          <w:bCs/>
          <w:color w:val="000000"/>
          <w:sz w:val="22"/>
        </w:rPr>
        <w:t xml:space="preserve">2.1 </w:t>
      </w:r>
      <w:r>
        <w:rPr>
          <w:rFonts w:ascii="Arial" w:eastAsia="Calibri" w:hAnsi="Arial" w:cs="Arial"/>
          <w:b/>
          <w:bCs/>
          <w:color w:val="000000"/>
          <w:sz w:val="22"/>
        </w:rPr>
        <w:t>Documentos tipo adoptados por la Ley 1882 de 2018</w:t>
      </w:r>
    </w:p>
    <w:p w14:paraId="43FF2C18" w14:textId="77777777" w:rsidR="00C94FAF" w:rsidRDefault="00C94FAF" w:rsidP="002257D0">
      <w:pPr>
        <w:spacing w:line="276" w:lineRule="auto"/>
        <w:jc w:val="both"/>
        <w:rPr>
          <w:rFonts w:ascii="Arial" w:eastAsia="Calibri" w:hAnsi="Arial" w:cs="Arial"/>
          <w:color w:val="000000"/>
          <w:sz w:val="22"/>
        </w:rPr>
      </w:pPr>
    </w:p>
    <w:p w14:paraId="4E94781F" w14:textId="66C2D80D" w:rsidR="00B63ACA" w:rsidRDefault="006706B6" w:rsidP="002257D0">
      <w:pPr>
        <w:spacing w:line="276" w:lineRule="auto"/>
        <w:jc w:val="both"/>
        <w:rPr>
          <w:rFonts w:ascii="Arial" w:eastAsia="Calibri" w:hAnsi="Arial" w:cs="Arial"/>
          <w:color w:val="000000"/>
          <w:sz w:val="22"/>
        </w:rPr>
      </w:pPr>
      <w:r>
        <w:rPr>
          <w:rFonts w:ascii="Arial" w:eastAsia="Calibri" w:hAnsi="Arial" w:cs="Arial"/>
          <w:color w:val="000000"/>
          <w:sz w:val="22"/>
        </w:rPr>
        <w:t xml:space="preserve">La adopción de los documentos tipo </w:t>
      </w:r>
      <w:r w:rsidR="0000535E">
        <w:rPr>
          <w:rFonts w:ascii="Arial" w:eastAsia="Calibri" w:hAnsi="Arial" w:cs="Arial"/>
          <w:color w:val="000000"/>
          <w:sz w:val="22"/>
        </w:rPr>
        <w:t xml:space="preserve">en el ordenamiento jurídico colombiano se incluyó por primera vez en el artículo 4 de la Ley 1882 de 2018. A partir de esta norma, se determinó la obligatoriedad por parte </w:t>
      </w:r>
      <w:r>
        <w:rPr>
          <w:rFonts w:ascii="Arial" w:eastAsia="Calibri" w:hAnsi="Arial" w:cs="Arial"/>
          <w:color w:val="000000"/>
          <w:sz w:val="22"/>
        </w:rPr>
        <w:t xml:space="preserve">de todas las entidades sometidas al estatuto general de contratación pública </w:t>
      </w:r>
      <w:r w:rsidR="0000535E">
        <w:rPr>
          <w:rFonts w:ascii="Arial" w:eastAsia="Calibri" w:hAnsi="Arial" w:cs="Arial"/>
          <w:color w:val="000000"/>
          <w:sz w:val="22"/>
        </w:rPr>
        <w:t>de aplicar los documentos tipo adoptados por el Gobierno nacional</w:t>
      </w:r>
      <w:r w:rsidR="002257D0">
        <w:rPr>
          <w:rFonts w:ascii="Arial" w:eastAsia="Calibri" w:hAnsi="Arial" w:cs="Arial"/>
          <w:color w:val="000000"/>
          <w:sz w:val="22"/>
        </w:rPr>
        <w:t xml:space="preserve">, </w:t>
      </w:r>
      <w:r w:rsidR="002257D0">
        <w:rPr>
          <w:rFonts w:ascii="Arial" w:eastAsia="Calibri" w:hAnsi="Arial" w:cs="Arial"/>
          <w:color w:val="000000"/>
          <w:sz w:val="22"/>
        </w:rPr>
        <w:lastRenderedPageBreak/>
        <w:t xml:space="preserve">sin embargo, con ocasión a la expedición de la Ley 2022 de 2020 está norma </w:t>
      </w:r>
      <w:r>
        <w:rPr>
          <w:rFonts w:ascii="Arial" w:eastAsia="Calibri" w:hAnsi="Arial" w:cs="Arial"/>
          <w:color w:val="000000"/>
          <w:sz w:val="22"/>
        </w:rPr>
        <w:t xml:space="preserve">se derogó y perdió su vigencia. Ahora bien, </w:t>
      </w:r>
      <w:r w:rsidR="00B63ACA">
        <w:rPr>
          <w:rFonts w:ascii="Arial" w:eastAsia="Calibri" w:hAnsi="Arial" w:cs="Arial"/>
          <w:color w:val="000000"/>
          <w:sz w:val="22"/>
        </w:rPr>
        <w:t>en virtud de la Ley 1882 de 2018</w:t>
      </w:r>
      <w:r>
        <w:rPr>
          <w:rFonts w:ascii="Arial" w:eastAsia="Calibri" w:hAnsi="Arial" w:cs="Arial"/>
          <w:color w:val="000000"/>
          <w:sz w:val="22"/>
        </w:rPr>
        <w:t xml:space="preserve"> se expidieron </w:t>
      </w:r>
      <w:r w:rsidR="007C52AA">
        <w:rPr>
          <w:rFonts w:ascii="Arial" w:eastAsia="Calibri" w:hAnsi="Arial" w:cs="Arial"/>
          <w:color w:val="000000"/>
          <w:sz w:val="22"/>
        </w:rPr>
        <w:t xml:space="preserve">varios </w:t>
      </w:r>
      <w:r>
        <w:rPr>
          <w:rFonts w:ascii="Arial" w:eastAsia="Calibri" w:hAnsi="Arial" w:cs="Arial"/>
          <w:color w:val="000000"/>
          <w:sz w:val="22"/>
        </w:rPr>
        <w:t>documentos tipo</w:t>
      </w:r>
      <w:r w:rsidR="007C52AA">
        <w:rPr>
          <w:rFonts w:ascii="Arial" w:eastAsia="Calibri" w:hAnsi="Arial" w:cs="Arial"/>
          <w:color w:val="000000"/>
          <w:sz w:val="22"/>
        </w:rPr>
        <w:t xml:space="preserve"> para el sector</w:t>
      </w:r>
      <w:r>
        <w:rPr>
          <w:rFonts w:ascii="Arial" w:eastAsia="Calibri" w:hAnsi="Arial" w:cs="Arial"/>
          <w:color w:val="000000"/>
          <w:sz w:val="22"/>
        </w:rPr>
        <w:t xml:space="preserve"> de infraestructura de transporte </w:t>
      </w:r>
      <w:r w:rsidR="00B63ACA">
        <w:rPr>
          <w:rFonts w:ascii="Arial" w:eastAsia="Calibri" w:hAnsi="Arial" w:cs="Arial"/>
          <w:color w:val="000000"/>
          <w:sz w:val="22"/>
        </w:rPr>
        <w:t xml:space="preserve">y, por tanto, </w:t>
      </w:r>
      <w:r>
        <w:rPr>
          <w:rFonts w:ascii="Arial" w:eastAsia="Calibri" w:hAnsi="Arial" w:cs="Arial"/>
          <w:color w:val="000000"/>
          <w:sz w:val="22"/>
        </w:rPr>
        <w:t xml:space="preserve">es importante explicar el proceso previsto en </w:t>
      </w:r>
      <w:r w:rsidR="0000535E">
        <w:rPr>
          <w:rFonts w:ascii="Arial" w:eastAsia="Calibri" w:hAnsi="Arial" w:cs="Arial"/>
          <w:color w:val="000000"/>
          <w:sz w:val="22"/>
        </w:rPr>
        <w:t xml:space="preserve">dicha norma. </w:t>
      </w:r>
    </w:p>
    <w:p w14:paraId="57D2F93E" w14:textId="5BE753B2" w:rsidR="00F12FFD" w:rsidRDefault="00F12FFD" w:rsidP="002257D0">
      <w:pPr>
        <w:spacing w:before="120" w:after="120" w:line="276" w:lineRule="auto"/>
        <w:ind w:firstLine="708"/>
        <w:jc w:val="both"/>
        <w:rPr>
          <w:rFonts w:ascii="Arial" w:eastAsia="Calibri" w:hAnsi="Arial" w:cs="Arial"/>
          <w:color w:val="000000"/>
          <w:sz w:val="22"/>
        </w:rPr>
      </w:pPr>
      <w:r w:rsidRPr="00F12FFD">
        <w:rPr>
          <w:rFonts w:ascii="Arial" w:eastAsia="Calibri" w:hAnsi="Arial" w:cs="Arial"/>
          <w:color w:val="000000"/>
          <w:sz w:val="22"/>
        </w:rPr>
        <w:t xml:space="preserve">La </w:t>
      </w:r>
      <w:r>
        <w:rPr>
          <w:rFonts w:ascii="Arial" w:eastAsia="Calibri" w:hAnsi="Arial" w:cs="Arial"/>
          <w:color w:val="000000"/>
          <w:sz w:val="22"/>
        </w:rPr>
        <w:t xml:space="preserve">Ley 1882 de 2018, en el artículo 4, </w:t>
      </w:r>
      <w:r w:rsidR="00004775">
        <w:rPr>
          <w:rFonts w:ascii="Arial" w:eastAsia="Calibri" w:hAnsi="Arial" w:cs="Arial"/>
          <w:color w:val="000000"/>
          <w:sz w:val="22"/>
        </w:rPr>
        <w:t>establecía</w:t>
      </w:r>
      <w:r>
        <w:rPr>
          <w:rFonts w:ascii="Arial" w:eastAsia="Calibri" w:hAnsi="Arial" w:cs="Arial"/>
          <w:color w:val="000000"/>
          <w:sz w:val="22"/>
        </w:rPr>
        <w:t xml:space="preserve"> que el Gobierno nacional </w:t>
      </w:r>
      <w:r w:rsidR="00004775">
        <w:rPr>
          <w:rFonts w:ascii="Arial" w:eastAsia="Calibri" w:hAnsi="Arial" w:cs="Arial"/>
          <w:color w:val="000000"/>
          <w:sz w:val="22"/>
        </w:rPr>
        <w:t>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w:t>
      </w:r>
      <w:r w:rsidR="007C52AA">
        <w:rPr>
          <w:rFonts w:ascii="Arial" w:eastAsia="Calibri" w:hAnsi="Arial" w:cs="Arial"/>
          <w:color w:val="000000"/>
          <w:sz w:val="22"/>
        </w:rPr>
        <w:t>aran</w:t>
      </w:r>
      <w:r w:rsidR="00004775">
        <w:rPr>
          <w:rStyle w:val="Refdenotaalpie"/>
          <w:rFonts w:ascii="Arial" w:eastAsia="Calibri" w:hAnsi="Arial" w:cs="Arial"/>
          <w:color w:val="000000"/>
          <w:sz w:val="22"/>
        </w:rPr>
        <w:footnoteReference w:id="1"/>
      </w:r>
      <w:r w:rsidR="00004775">
        <w:rPr>
          <w:rFonts w:ascii="Arial" w:eastAsia="Calibri" w:hAnsi="Arial" w:cs="Arial"/>
          <w:color w:val="000000"/>
          <w:sz w:val="22"/>
        </w:rPr>
        <w:t>.</w:t>
      </w:r>
    </w:p>
    <w:p w14:paraId="1D13C216" w14:textId="5482BFDC" w:rsidR="00004775" w:rsidRDefault="00004775" w:rsidP="00004775">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t>Asimismo, señala</w:t>
      </w:r>
      <w:r w:rsidR="0082639E">
        <w:rPr>
          <w:rFonts w:ascii="Arial" w:eastAsia="Calibri" w:hAnsi="Arial" w:cs="Arial"/>
          <w:color w:val="000000"/>
          <w:sz w:val="22"/>
        </w:rPr>
        <w:t>ba</w:t>
      </w:r>
      <w:r>
        <w:rPr>
          <w:rFonts w:ascii="Arial" w:eastAsia="Calibri" w:hAnsi="Arial" w:cs="Arial"/>
          <w:color w:val="000000"/>
          <w:sz w:val="22"/>
        </w:rPr>
        <w:t xml:space="preserve"> que dentro de los documentos tipo el Gobierno adoptaría de manera general y con alcance obligatorio para todas las entidades las condiciones habilitantes, así como los factores técnicos </w:t>
      </w:r>
      <w:r w:rsidR="0082639E">
        <w:rPr>
          <w:rFonts w:ascii="Arial" w:eastAsia="Calibri" w:hAnsi="Arial" w:cs="Arial"/>
          <w:color w:val="000000"/>
          <w:sz w:val="22"/>
        </w:rPr>
        <w:t>y económicos de escogencia, según correspond</w:t>
      </w:r>
      <w:r w:rsidR="002257D0">
        <w:rPr>
          <w:rFonts w:ascii="Arial" w:eastAsia="Calibri" w:hAnsi="Arial" w:cs="Arial"/>
          <w:color w:val="000000"/>
          <w:sz w:val="22"/>
        </w:rPr>
        <w:t>iera</w:t>
      </w:r>
      <w:r w:rsidR="0082639E">
        <w:rPr>
          <w:rFonts w:ascii="Arial" w:eastAsia="Calibri" w:hAnsi="Arial" w:cs="Arial"/>
          <w:color w:val="000000"/>
          <w:sz w:val="22"/>
        </w:rPr>
        <w:t xml:space="preserve"> a cada modalidad de selección y la ponderación precisa y detallada de los mismos,</w:t>
      </w:r>
      <w:r w:rsidR="00C94FAF">
        <w:rPr>
          <w:rFonts w:ascii="Arial" w:eastAsia="Calibri" w:hAnsi="Arial" w:cs="Arial"/>
          <w:color w:val="000000"/>
          <w:sz w:val="22"/>
        </w:rPr>
        <w:t xml:space="preserve"> teniendo en cuenta la naturaleza y cuantía de los contratos. Finalmente, para la adopción de esta reglamentación el Gobierno tendr</w:t>
      </w:r>
      <w:r w:rsidR="002257D0">
        <w:rPr>
          <w:rFonts w:ascii="Arial" w:eastAsia="Calibri" w:hAnsi="Arial" w:cs="Arial"/>
          <w:color w:val="000000"/>
          <w:sz w:val="22"/>
        </w:rPr>
        <w:t>ía</w:t>
      </w:r>
      <w:r w:rsidR="00C94FAF">
        <w:rPr>
          <w:rFonts w:ascii="Arial" w:eastAsia="Calibri" w:hAnsi="Arial" w:cs="Arial"/>
          <w:color w:val="000000"/>
          <w:sz w:val="22"/>
        </w:rPr>
        <w:t xml:space="preserve"> en cuenta las características propias de las regiones con el ánimo de promover el empleo local. </w:t>
      </w:r>
    </w:p>
    <w:p w14:paraId="523F585D" w14:textId="49A328CC" w:rsidR="00C94FAF" w:rsidRDefault="00C94FAF" w:rsidP="00004775">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t xml:space="preserve">Por último, se facultaba al Gobierno </w:t>
      </w:r>
      <w:r w:rsidR="007C52AA">
        <w:rPr>
          <w:rFonts w:ascii="Arial" w:eastAsia="Calibri" w:hAnsi="Arial" w:cs="Arial"/>
          <w:color w:val="000000"/>
          <w:sz w:val="22"/>
        </w:rPr>
        <w:t xml:space="preserve">para </w:t>
      </w:r>
      <w:r>
        <w:rPr>
          <w:rFonts w:ascii="Arial" w:eastAsia="Calibri" w:hAnsi="Arial" w:cs="Arial"/>
          <w:color w:val="000000"/>
          <w:sz w:val="22"/>
        </w:rPr>
        <w:t>adoptar los documentos tipo cuando lo considerar</w:t>
      </w:r>
      <w:r w:rsidR="007C52AA">
        <w:rPr>
          <w:rFonts w:ascii="Arial" w:eastAsia="Calibri" w:hAnsi="Arial" w:cs="Arial"/>
          <w:color w:val="000000"/>
          <w:sz w:val="22"/>
        </w:rPr>
        <w:t>a</w:t>
      </w:r>
      <w:r>
        <w:rPr>
          <w:rFonts w:ascii="Arial" w:eastAsia="Calibri" w:hAnsi="Arial" w:cs="Arial"/>
          <w:color w:val="000000"/>
          <w:sz w:val="22"/>
        </w:rPr>
        <w:t xml:space="preserve"> necesario en relación con otros contratos o procesos de selección. </w:t>
      </w:r>
    </w:p>
    <w:p w14:paraId="3C2B5BB5" w14:textId="546FAFAF" w:rsidR="00C94FAF" w:rsidRDefault="00C94FAF" w:rsidP="00004775">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t xml:space="preserve">De la norma descrita se concluye lo siguiente: i) la adopción de los documentos tipo estaba en cabeza del Gobierno nacional, ii) los documentos tipo adoptados </w:t>
      </w:r>
      <w:r w:rsidR="00FE5353">
        <w:rPr>
          <w:rFonts w:ascii="Arial" w:eastAsia="Calibri" w:hAnsi="Arial" w:cs="Arial"/>
          <w:color w:val="000000"/>
          <w:sz w:val="22"/>
        </w:rPr>
        <w:t>debían estar relacionados</w:t>
      </w:r>
      <w:r>
        <w:rPr>
          <w:rFonts w:ascii="Arial" w:eastAsia="Calibri" w:hAnsi="Arial" w:cs="Arial"/>
          <w:color w:val="000000"/>
          <w:sz w:val="22"/>
        </w:rPr>
        <w:t xml:space="preserve"> con los procesos </w:t>
      </w:r>
      <w:r w:rsidR="00FE5353">
        <w:rPr>
          <w:rFonts w:ascii="Arial" w:eastAsia="Calibri" w:hAnsi="Arial" w:cs="Arial"/>
          <w:color w:val="000000"/>
          <w:sz w:val="22"/>
        </w:rPr>
        <w:t>obra públicas, la interventoría para las obras públicas, la interventoría para consultoría de estudios y diseños y</w:t>
      </w:r>
      <w:r w:rsidR="007C52AA">
        <w:rPr>
          <w:rFonts w:ascii="Arial" w:eastAsia="Calibri" w:hAnsi="Arial" w:cs="Arial"/>
          <w:color w:val="000000"/>
          <w:sz w:val="22"/>
        </w:rPr>
        <w:t>,</w:t>
      </w:r>
      <w:r w:rsidR="00FE5353">
        <w:rPr>
          <w:rFonts w:ascii="Arial" w:eastAsia="Calibri" w:hAnsi="Arial" w:cs="Arial"/>
          <w:color w:val="000000"/>
          <w:sz w:val="22"/>
        </w:rPr>
        <w:t xml:space="preserve"> finalmente, consultoría en ingeniería para obras</w:t>
      </w:r>
      <w:r>
        <w:rPr>
          <w:rFonts w:ascii="Arial" w:eastAsia="Calibri" w:hAnsi="Arial" w:cs="Arial"/>
          <w:color w:val="000000"/>
          <w:sz w:val="22"/>
        </w:rPr>
        <w:t xml:space="preserve">, iii) </w:t>
      </w:r>
      <w:r w:rsidR="007C52AA">
        <w:rPr>
          <w:rFonts w:ascii="Arial" w:eastAsia="Calibri" w:hAnsi="Arial" w:cs="Arial"/>
          <w:color w:val="000000"/>
          <w:sz w:val="22"/>
        </w:rPr>
        <w:t xml:space="preserve">eran </w:t>
      </w:r>
      <w:r>
        <w:rPr>
          <w:rFonts w:ascii="Arial" w:eastAsia="Calibri" w:hAnsi="Arial" w:cs="Arial"/>
          <w:color w:val="000000"/>
          <w:sz w:val="22"/>
        </w:rPr>
        <w:t xml:space="preserve">de obligatorio cumplimiento por parte de todas las </w:t>
      </w:r>
      <w:r w:rsidR="00FE5353">
        <w:rPr>
          <w:rFonts w:ascii="Arial" w:eastAsia="Calibri" w:hAnsi="Arial" w:cs="Arial"/>
          <w:color w:val="000000"/>
          <w:sz w:val="22"/>
        </w:rPr>
        <w:t>e</w:t>
      </w:r>
      <w:r>
        <w:rPr>
          <w:rFonts w:ascii="Arial" w:eastAsia="Calibri" w:hAnsi="Arial" w:cs="Arial"/>
          <w:color w:val="000000"/>
          <w:sz w:val="22"/>
        </w:rPr>
        <w:t xml:space="preserve">ntidades sometidas al Estatuto General de Contratación </w:t>
      </w:r>
      <w:r w:rsidR="007C52AA">
        <w:rPr>
          <w:rFonts w:ascii="Arial" w:eastAsia="Calibri" w:hAnsi="Arial" w:cs="Arial"/>
          <w:color w:val="000000"/>
          <w:sz w:val="22"/>
        </w:rPr>
        <w:t xml:space="preserve">de la Administración </w:t>
      </w:r>
      <w:r>
        <w:rPr>
          <w:rFonts w:ascii="Arial" w:eastAsia="Calibri" w:hAnsi="Arial" w:cs="Arial"/>
          <w:color w:val="000000"/>
          <w:sz w:val="22"/>
        </w:rPr>
        <w:t xml:space="preserve">Pública, </w:t>
      </w:r>
      <w:r w:rsidR="00FE5353">
        <w:rPr>
          <w:rFonts w:ascii="Arial" w:eastAsia="Calibri" w:hAnsi="Arial" w:cs="Arial"/>
          <w:color w:val="000000"/>
          <w:sz w:val="22"/>
        </w:rPr>
        <w:t xml:space="preserve">iv) en los documentos </w:t>
      </w:r>
      <w:r w:rsidR="00FE5353">
        <w:rPr>
          <w:rFonts w:ascii="Arial" w:eastAsia="Calibri" w:hAnsi="Arial" w:cs="Arial"/>
          <w:color w:val="000000"/>
          <w:sz w:val="22"/>
        </w:rPr>
        <w:lastRenderedPageBreak/>
        <w:t>tipo se indicarían las condiciones generales de requisitos habilitantes así como factores técnicos y económicos de escogencia, según correspondiera para cada modalidad de selección, v) el Gobierno nacional t</w:t>
      </w:r>
      <w:r w:rsidR="00B63ACA">
        <w:rPr>
          <w:rFonts w:ascii="Arial" w:eastAsia="Calibri" w:hAnsi="Arial" w:cs="Arial"/>
          <w:color w:val="000000"/>
          <w:sz w:val="22"/>
        </w:rPr>
        <w:t>enía</w:t>
      </w:r>
      <w:r w:rsidR="00FE5353">
        <w:rPr>
          <w:rFonts w:ascii="Arial" w:eastAsia="Calibri" w:hAnsi="Arial" w:cs="Arial"/>
          <w:color w:val="000000"/>
          <w:sz w:val="22"/>
        </w:rPr>
        <w:t xml:space="preserve"> la facultad de adoptar documentos tipo en otros contratos o procesos de selección y</w:t>
      </w:r>
      <w:r w:rsidR="007C52AA">
        <w:rPr>
          <w:rFonts w:ascii="Arial" w:eastAsia="Calibri" w:hAnsi="Arial" w:cs="Arial"/>
          <w:color w:val="000000"/>
          <w:sz w:val="22"/>
        </w:rPr>
        <w:t>,</w:t>
      </w:r>
      <w:r w:rsidR="00FE5353">
        <w:rPr>
          <w:rFonts w:ascii="Arial" w:eastAsia="Calibri" w:hAnsi="Arial" w:cs="Arial"/>
          <w:color w:val="000000"/>
          <w:sz w:val="22"/>
        </w:rPr>
        <w:t xml:space="preserve"> por último, vi) los documentos tipo serían adoptados por categorías de acuerdo con la cuantía de la contratación. </w:t>
      </w:r>
    </w:p>
    <w:p w14:paraId="25D1945B" w14:textId="5BB3B626" w:rsidR="00D50D9D" w:rsidRDefault="00C94FAF" w:rsidP="00004775">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t>Esta norma fue estudiada por la Corte Constitucional, en la sentencia C-</w:t>
      </w:r>
      <w:r w:rsidR="00FE5353">
        <w:rPr>
          <w:rFonts w:ascii="Arial" w:eastAsia="Calibri" w:hAnsi="Arial" w:cs="Arial"/>
          <w:color w:val="000000"/>
          <w:sz w:val="22"/>
        </w:rPr>
        <w:t xml:space="preserve">119 de 2020, </w:t>
      </w:r>
      <w:r w:rsidR="00E80E46">
        <w:rPr>
          <w:rFonts w:ascii="Arial" w:eastAsia="Calibri" w:hAnsi="Arial" w:cs="Arial"/>
          <w:color w:val="000000"/>
          <w:sz w:val="22"/>
        </w:rPr>
        <w:t xml:space="preserve">al respecto indicó que la adopción de los documentos tipo no afecta la autonomía de las entidades territoriales, en cuanto la estandarización se predica únicamente de los requisitos habilitantes </w:t>
      </w:r>
      <w:bookmarkStart w:id="2" w:name="_Hlk48665985"/>
      <w:r w:rsidR="00E80E46">
        <w:rPr>
          <w:rFonts w:ascii="Arial" w:eastAsia="Calibri" w:hAnsi="Arial" w:cs="Arial"/>
          <w:color w:val="000000"/>
          <w:sz w:val="22"/>
        </w:rPr>
        <w:t>y los criterios de escogencia, elementos propios del procedimiento de selección de</w:t>
      </w:r>
      <w:r w:rsidR="00B63ACA">
        <w:rPr>
          <w:rFonts w:ascii="Arial" w:eastAsia="Calibri" w:hAnsi="Arial" w:cs="Arial"/>
          <w:color w:val="000000"/>
          <w:sz w:val="22"/>
        </w:rPr>
        <w:t>l</w:t>
      </w:r>
      <w:r w:rsidR="00E80E46">
        <w:rPr>
          <w:rFonts w:ascii="Arial" w:eastAsia="Calibri" w:hAnsi="Arial" w:cs="Arial"/>
          <w:color w:val="000000"/>
          <w:sz w:val="22"/>
        </w:rPr>
        <w:t xml:space="preserve"> contratista, materia en la que existe reserva de ley y que no se encuentra atribuida a la regulación de las entidades territoriales</w:t>
      </w:r>
      <w:bookmarkEnd w:id="2"/>
      <w:r w:rsidR="00E80E46">
        <w:rPr>
          <w:rFonts w:ascii="Arial" w:eastAsia="Calibri" w:hAnsi="Arial" w:cs="Arial"/>
          <w:color w:val="000000"/>
          <w:sz w:val="22"/>
        </w:rPr>
        <w:t>. De igual manera, se establece que está autonomía se garantiza con la identificación autónoma de sus necesidades y la configuración de los elementos del contrato</w:t>
      </w:r>
      <w:r w:rsidR="00E80E46">
        <w:rPr>
          <w:rStyle w:val="Refdenotaalpie"/>
          <w:rFonts w:ascii="Arial" w:eastAsia="Calibri" w:hAnsi="Arial" w:cs="Arial"/>
          <w:color w:val="000000"/>
          <w:sz w:val="22"/>
        </w:rPr>
        <w:footnoteReference w:id="2"/>
      </w:r>
      <w:r w:rsidR="00E80E46">
        <w:rPr>
          <w:rFonts w:ascii="Arial" w:eastAsia="Calibri" w:hAnsi="Arial" w:cs="Arial"/>
          <w:color w:val="000000"/>
          <w:sz w:val="22"/>
        </w:rPr>
        <w:t>.</w:t>
      </w:r>
    </w:p>
    <w:p w14:paraId="34D84027" w14:textId="28247CBA" w:rsidR="007E72E4" w:rsidRDefault="00D50D9D" w:rsidP="00004775">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t xml:space="preserve">De este modo, los documentos tipo </w:t>
      </w:r>
      <w:r w:rsidR="007E72E4">
        <w:rPr>
          <w:rFonts w:ascii="Arial" w:eastAsia="Calibri" w:hAnsi="Arial" w:cs="Arial"/>
          <w:color w:val="000000"/>
          <w:sz w:val="22"/>
        </w:rPr>
        <w:t>no afecta</w:t>
      </w:r>
      <w:r w:rsidR="00B63ACA">
        <w:rPr>
          <w:rFonts w:ascii="Arial" w:eastAsia="Calibri" w:hAnsi="Arial" w:cs="Arial"/>
          <w:color w:val="000000"/>
          <w:sz w:val="22"/>
        </w:rPr>
        <w:t>n</w:t>
      </w:r>
      <w:r w:rsidR="007E72E4">
        <w:rPr>
          <w:rFonts w:ascii="Arial" w:eastAsia="Calibri" w:hAnsi="Arial" w:cs="Arial"/>
          <w:color w:val="000000"/>
          <w:sz w:val="22"/>
        </w:rPr>
        <w:t xml:space="preserve"> la</w:t>
      </w:r>
      <w:r>
        <w:rPr>
          <w:rFonts w:ascii="Arial" w:eastAsia="Calibri" w:hAnsi="Arial" w:cs="Arial"/>
          <w:color w:val="000000"/>
          <w:sz w:val="22"/>
        </w:rPr>
        <w:t xml:space="preserve"> autonomía</w:t>
      </w:r>
      <w:r w:rsidR="007E72E4">
        <w:rPr>
          <w:rFonts w:ascii="Arial" w:eastAsia="Calibri" w:hAnsi="Arial" w:cs="Arial"/>
          <w:color w:val="000000"/>
          <w:sz w:val="22"/>
        </w:rPr>
        <w:t xml:space="preserve"> de las entidades territoriales</w:t>
      </w:r>
      <w:r>
        <w:rPr>
          <w:rFonts w:ascii="Arial" w:eastAsia="Calibri" w:hAnsi="Arial" w:cs="Arial"/>
          <w:color w:val="000000"/>
          <w:sz w:val="22"/>
        </w:rPr>
        <w:t xml:space="preserve">. Lo anterior, debido a que la definición de los requisitos habilitantes y de aspectos técnicos </w:t>
      </w:r>
      <w:r w:rsidR="007C52AA">
        <w:rPr>
          <w:rFonts w:ascii="Arial" w:eastAsia="Calibri" w:hAnsi="Arial" w:cs="Arial"/>
          <w:color w:val="000000"/>
          <w:sz w:val="22"/>
        </w:rPr>
        <w:t xml:space="preserve">de la selección del contratista </w:t>
      </w:r>
      <w:r>
        <w:rPr>
          <w:rFonts w:ascii="Arial" w:eastAsia="Calibri" w:hAnsi="Arial" w:cs="Arial"/>
          <w:color w:val="000000"/>
          <w:sz w:val="22"/>
        </w:rPr>
        <w:t xml:space="preserve">en los procesos de selección son </w:t>
      </w:r>
      <w:r w:rsidR="007C52AA">
        <w:rPr>
          <w:rFonts w:ascii="Arial" w:eastAsia="Calibri" w:hAnsi="Arial" w:cs="Arial"/>
          <w:color w:val="000000"/>
          <w:sz w:val="22"/>
        </w:rPr>
        <w:t>aspectos en lo</w:t>
      </w:r>
      <w:r w:rsidR="00A434AB">
        <w:rPr>
          <w:rFonts w:ascii="Arial" w:eastAsia="Calibri" w:hAnsi="Arial" w:cs="Arial"/>
          <w:color w:val="000000"/>
          <w:sz w:val="22"/>
        </w:rPr>
        <w:t>s</w:t>
      </w:r>
      <w:r w:rsidR="007C52AA">
        <w:rPr>
          <w:rFonts w:ascii="Arial" w:eastAsia="Calibri" w:hAnsi="Arial" w:cs="Arial"/>
          <w:color w:val="000000"/>
          <w:sz w:val="22"/>
        </w:rPr>
        <w:t xml:space="preserve"> </w:t>
      </w:r>
      <w:r>
        <w:rPr>
          <w:rFonts w:ascii="Arial" w:eastAsia="Calibri" w:hAnsi="Arial" w:cs="Arial"/>
          <w:color w:val="000000"/>
          <w:sz w:val="22"/>
        </w:rPr>
        <w:t>que el legislador tie</w:t>
      </w:r>
      <w:r w:rsidR="007E72E4">
        <w:rPr>
          <w:rFonts w:ascii="Arial" w:eastAsia="Calibri" w:hAnsi="Arial" w:cs="Arial"/>
          <w:color w:val="000000"/>
          <w:sz w:val="22"/>
        </w:rPr>
        <w:t xml:space="preserve">ne amplia </w:t>
      </w:r>
      <w:r w:rsidR="007C52AA">
        <w:rPr>
          <w:rFonts w:ascii="Arial" w:eastAsia="Calibri" w:hAnsi="Arial" w:cs="Arial"/>
          <w:color w:val="000000"/>
          <w:sz w:val="22"/>
        </w:rPr>
        <w:t xml:space="preserve">libertad de </w:t>
      </w:r>
      <w:r w:rsidR="007E72E4">
        <w:rPr>
          <w:rFonts w:ascii="Arial" w:eastAsia="Calibri" w:hAnsi="Arial" w:cs="Arial"/>
          <w:color w:val="000000"/>
          <w:sz w:val="22"/>
        </w:rPr>
        <w:t>configuración legislativa</w:t>
      </w:r>
      <w:r w:rsidR="00B63ACA">
        <w:rPr>
          <w:rFonts w:ascii="Arial" w:eastAsia="Calibri" w:hAnsi="Arial" w:cs="Arial"/>
          <w:color w:val="000000"/>
          <w:sz w:val="22"/>
        </w:rPr>
        <w:t xml:space="preserve"> y, por tanto, puede </w:t>
      </w:r>
      <w:r w:rsidR="00A434AB">
        <w:rPr>
          <w:rFonts w:ascii="Arial" w:eastAsia="Calibri" w:hAnsi="Arial" w:cs="Arial"/>
          <w:color w:val="000000"/>
          <w:sz w:val="22"/>
        </w:rPr>
        <w:t xml:space="preserve">atribuir </w:t>
      </w:r>
      <w:r w:rsidR="00B63ACA">
        <w:rPr>
          <w:rFonts w:ascii="Arial" w:eastAsia="Calibri" w:hAnsi="Arial" w:cs="Arial"/>
          <w:color w:val="000000"/>
          <w:sz w:val="22"/>
        </w:rPr>
        <w:t xml:space="preserve">dicha </w:t>
      </w:r>
      <w:r w:rsidR="00A434AB">
        <w:rPr>
          <w:rFonts w:ascii="Arial" w:eastAsia="Calibri" w:hAnsi="Arial" w:cs="Arial"/>
          <w:color w:val="000000"/>
          <w:sz w:val="22"/>
        </w:rPr>
        <w:t>regulación</w:t>
      </w:r>
      <w:r w:rsidR="00B63ACA">
        <w:rPr>
          <w:rFonts w:ascii="Arial" w:eastAsia="Calibri" w:hAnsi="Arial" w:cs="Arial"/>
          <w:color w:val="000000"/>
          <w:sz w:val="22"/>
        </w:rPr>
        <w:t xml:space="preserve"> al Gobierno nacional</w:t>
      </w:r>
      <w:r w:rsidR="007E72E4">
        <w:rPr>
          <w:rFonts w:ascii="Arial" w:eastAsia="Calibri" w:hAnsi="Arial" w:cs="Arial"/>
          <w:color w:val="000000"/>
          <w:sz w:val="22"/>
        </w:rPr>
        <w:t xml:space="preserve">. Ahora, dicha autonomía se materializa cuando las entidades territoriales deciden abrir un proceso de convocatoria para satisfacer sus necesidades para la adquisición de un bien o servicio y además se incluyen en la minuta del contrato las </w:t>
      </w:r>
      <w:r w:rsidR="00B63ACA">
        <w:rPr>
          <w:rFonts w:ascii="Arial" w:eastAsia="Calibri" w:hAnsi="Arial" w:cs="Arial"/>
          <w:color w:val="000000"/>
          <w:sz w:val="22"/>
        </w:rPr>
        <w:t>condiciones particulares del negocio jurídico a celebrar.</w:t>
      </w:r>
    </w:p>
    <w:p w14:paraId="2255AF06" w14:textId="1AD1BF7E" w:rsidR="007E72E4" w:rsidRDefault="007E72E4" w:rsidP="00004775">
      <w:pPr>
        <w:spacing w:before="120" w:after="120" w:line="276" w:lineRule="auto"/>
        <w:jc w:val="both"/>
        <w:rPr>
          <w:rFonts w:ascii="Arial" w:eastAsia="Calibri" w:hAnsi="Arial" w:cs="Arial"/>
          <w:color w:val="000000"/>
          <w:sz w:val="22"/>
        </w:rPr>
      </w:pPr>
      <w:r>
        <w:rPr>
          <w:rFonts w:ascii="Arial" w:eastAsia="Calibri" w:hAnsi="Arial" w:cs="Arial"/>
          <w:color w:val="000000"/>
          <w:sz w:val="22"/>
        </w:rPr>
        <w:tab/>
      </w:r>
      <w:r w:rsidR="00931701">
        <w:rPr>
          <w:rFonts w:ascii="Arial" w:eastAsia="Calibri" w:hAnsi="Arial" w:cs="Arial"/>
          <w:color w:val="000000"/>
          <w:sz w:val="22"/>
        </w:rPr>
        <w:t>Explicado</w:t>
      </w:r>
      <w:r>
        <w:rPr>
          <w:rFonts w:ascii="Arial" w:eastAsia="Calibri" w:hAnsi="Arial" w:cs="Arial"/>
          <w:color w:val="000000"/>
          <w:sz w:val="22"/>
        </w:rPr>
        <w:t xml:space="preserve"> el proceso para adoptar los documentos tipo en virtud de la Ley 1882 de 2018 </w:t>
      </w:r>
      <w:r w:rsidR="00931701">
        <w:rPr>
          <w:rFonts w:ascii="Arial" w:eastAsia="Calibri" w:hAnsi="Arial" w:cs="Arial"/>
          <w:color w:val="000000"/>
          <w:sz w:val="22"/>
        </w:rPr>
        <w:t>y</w:t>
      </w:r>
      <w:r>
        <w:rPr>
          <w:rFonts w:ascii="Arial" w:eastAsia="Calibri" w:hAnsi="Arial" w:cs="Arial"/>
          <w:color w:val="000000"/>
          <w:sz w:val="22"/>
        </w:rPr>
        <w:t xml:space="preserve"> estudiada la constituciona</w:t>
      </w:r>
      <w:r w:rsidR="00931701">
        <w:rPr>
          <w:rFonts w:ascii="Arial" w:eastAsia="Calibri" w:hAnsi="Arial" w:cs="Arial"/>
          <w:color w:val="000000"/>
          <w:sz w:val="22"/>
        </w:rPr>
        <w:t>li</w:t>
      </w:r>
      <w:r>
        <w:rPr>
          <w:rFonts w:ascii="Arial" w:eastAsia="Calibri" w:hAnsi="Arial" w:cs="Arial"/>
          <w:color w:val="000000"/>
          <w:sz w:val="22"/>
        </w:rPr>
        <w:t>dad de esta norma de acuerdo con el pronunciamiento de la Corte Constitucional</w:t>
      </w:r>
      <w:r w:rsidR="00931701">
        <w:rPr>
          <w:rFonts w:ascii="Arial" w:eastAsia="Calibri" w:hAnsi="Arial" w:cs="Arial"/>
          <w:color w:val="000000"/>
          <w:sz w:val="22"/>
        </w:rPr>
        <w:t>, a continuación se identificarán los documentos tipo adoptados por el Gobierno nacional</w:t>
      </w:r>
      <w:r w:rsidR="00252D2F">
        <w:rPr>
          <w:rFonts w:ascii="Arial" w:eastAsia="Calibri" w:hAnsi="Arial" w:cs="Arial"/>
          <w:color w:val="000000"/>
          <w:sz w:val="22"/>
        </w:rPr>
        <w:t xml:space="preserve"> en virtud de esta </w:t>
      </w:r>
      <w:r w:rsidR="00A434AB">
        <w:rPr>
          <w:rFonts w:ascii="Arial" w:eastAsia="Calibri" w:hAnsi="Arial" w:cs="Arial"/>
          <w:color w:val="000000"/>
          <w:sz w:val="22"/>
        </w:rPr>
        <w:t>l</w:t>
      </w:r>
      <w:r w:rsidR="00252D2F">
        <w:rPr>
          <w:rFonts w:ascii="Arial" w:eastAsia="Calibri" w:hAnsi="Arial" w:cs="Arial"/>
          <w:color w:val="000000"/>
          <w:sz w:val="22"/>
        </w:rPr>
        <w:t>ey</w:t>
      </w:r>
      <w:r w:rsidR="00931701">
        <w:rPr>
          <w:rFonts w:ascii="Arial" w:eastAsia="Calibri" w:hAnsi="Arial" w:cs="Arial"/>
          <w:color w:val="000000"/>
          <w:sz w:val="22"/>
        </w:rPr>
        <w:t xml:space="preserve">. </w:t>
      </w:r>
    </w:p>
    <w:p w14:paraId="19BB8099" w14:textId="1A070204" w:rsidR="00252D2F" w:rsidRDefault="00931701" w:rsidP="00252D2F">
      <w:pPr>
        <w:pStyle w:val="Normal11pt"/>
        <w:spacing w:before="120" w:after="120" w:line="276" w:lineRule="auto"/>
        <w:ind w:left="0" w:right="51"/>
        <w:rPr>
          <w:rFonts w:eastAsia="Calibri"/>
          <w:lang w:val="es-MX" w:eastAsia="en-US"/>
        </w:rPr>
      </w:pPr>
      <w:r>
        <w:rPr>
          <w:rFonts w:eastAsia="Calibri"/>
        </w:rPr>
        <w:tab/>
      </w:r>
      <w:r w:rsidRPr="00931701">
        <w:rPr>
          <w:rFonts w:eastAsia="Calibri"/>
          <w:lang w:val="es-MX" w:eastAsia="en-US"/>
        </w:rPr>
        <w:t xml:space="preserve">Dada la relevancia económica y el impacto que tienen en el nivel </w:t>
      </w:r>
      <w:r w:rsidR="00A434AB">
        <w:rPr>
          <w:rFonts w:eastAsia="Calibri"/>
          <w:lang w:val="es-MX" w:eastAsia="en-US"/>
        </w:rPr>
        <w:t>territorial</w:t>
      </w:r>
      <w:r w:rsidR="00A434AB" w:rsidRPr="00931701">
        <w:rPr>
          <w:rFonts w:eastAsia="Calibri"/>
          <w:lang w:val="es-MX" w:eastAsia="en-US"/>
        </w:rPr>
        <w:t xml:space="preserve"> </w:t>
      </w:r>
      <w:r w:rsidRPr="00931701">
        <w:rPr>
          <w:rFonts w:eastAsia="Calibri"/>
          <w:lang w:val="es-MX" w:eastAsia="en-US"/>
        </w:rPr>
        <w:t xml:space="preserve">los proyectos de obra en el sector transporte, el Gobierno Nacional, en vigencia del artículo 4 de la Ley 1882 de 2018, por el cual se adicionó el parágrafo 7 del artículo 2 de la Ley 1150 de 2007, inició la implementación gradual </w:t>
      </w:r>
      <w:r w:rsidR="00252D2F">
        <w:rPr>
          <w:rFonts w:eastAsia="Calibri"/>
          <w:lang w:val="es-MX" w:eastAsia="en-US"/>
        </w:rPr>
        <w:t>mediante el Decreto 342 del 5 de marzo de 2019, relacionado con</w:t>
      </w:r>
      <w:r w:rsidRPr="00931701">
        <w:rPr>
          <w:rFonts w:eastAsia="Calibri"/>
          <w:lang w:val="es-MX" w:eastAsia="en-US"/>
        </w:rPr>
        <w:t xml:space="preserve"> los documentos tipo para los procesos de</w:t>
      </w:r>
      <w:r w:rsidR="00252D2F">
        <w:rPr>
          <w:rFonts w:eastAsia="Calibri"/>
          <w:lang w:val="es-MX" w:eastAsia="en-US"/>
        </w:rPr>
        <w:t xml:space="preserve"> selección de</w:t>
      </w:r>
      <w:r w:rsidRPr="00931701">
        <w:rPr>
          <w:rFonts w:eastAsia="Calibri"/>
          <w:lang w:val="es-MX" w:eastAsia="en-US"/>
        </w:rPr>
        <w:t xml:space="preserve"> licitación</w:t>
      </w:r>
      <w:r w:rsidR="00252D2F">
        <w:rPr>
          <w:rFonts w:eastAsia="Calibri"/>
          <w:lang w:val="es-MX" w:eastAsia="en-US"/>
        </w:rPr>
        <w:t xml:space="preserve"> de obra </w:t>
      </w:r>
      <w:r w:rsidR="00252D2F">
        <w:rPr>
          <w:rFonts w:eastAsia="Calibri"/>
          <w:lang w:val="es-MX" w:eastAsia="en-US"/>
        </w:rPr>
        <w:lastRenderedPageBreak/>
        <w:t>pública</w:t>
      </w:r>
      <w:r w:rsidR="00A434AB">
        <w:rPr>
          <w:rFonts w:eastAsia="Calibri"/>
          <w:lang w:val="es-MX" w:eastAsia="en-US"/>
        </w:rPr>
        <w:t xml:space="preserve"> de infraestructura de transporte</w:t>
      </w:r>
      <w:r w:rsidR="00252D2F">
        <w:rPr>
          <w:rFonts w:eastAsia="Calibri"/>
          <w:lang w:val="es-MX" w:eastAsia="en-US"/>
        </w:rPr>
        <w:t xml:space="preserve">; el Decreto 2096 del 21 de noviembre de 2019, relacionado con los documentos tipo para los pliegos de condiciones de los procesos de obras públicas de infraestructura de transporte que se adelanten por la </w:t>
      </w:r>
      <w:r w:rsidR="00A434AB">
        <w:rPr>
          <w:rFonts w:eastAsia="Calibri"/>
          <w:lang w:val="es-MX" w:eastAsia="en-US"/>
        </w:rPr>
        <w:t xml:space="preserve">modalidad de </w:t>
      </w:r>
      <w:r w:rsidRPr="00931701">
        <w:rPr>
          <w:rFonts w:eastAsia="Calibri"/>
          <w:lang w:val="es-MX" w:eastAsia="en-US"/>
        </w:rPr>
        <w:t>selección abreviada y</w:t>
      </w:r>
      <w:r w:rsidR="00252D2F">
        <w:rPr>
          <w:rFonts w:eastAsia="Calibri"/>
          <w:lang w:val="es-MX" w:eastAsia="en-US"/>
        </w:rPr>
        <w:t xml:space="preserve">, finalmente, el Decreto 594 del 25 de abril de 2020, frente a los documentos tipo para los </w:t>
      </w:r>
      <w:r w:rsidR="00A434AB">
        <w:rPr>
          <w:rFonts w:eastAsia="Calibri"/>
          <w:lang w:val="es-MX" w:eastAsia="en-US"/>
        </w:rPr>
        <w:t xml:space="preserve">contratos </w:t>
      </w:r>
      <w:r w:rsidR="00A434AB" w:rsidRPr="00931701">
        <w:rPr>
          <w:rFonts w:eastAsia="Calibri"/>
          <w:lang w:val="es-MX" w:eastAsia="en-US"/>
        </w:rPr>
        <w:t>de obra pública</w:t>
      </w:r>
      <w:r w:rsidR="00A434AB" w:rsidDel="00A434AB">
        <w:rPr>
          <w:rFonts w:eastAsia="Calibri"/>
          <w:lang w:val="es-MX" w:eastAsia="en-US"/>
        </w:rPr>
        <w:t xml:space="preserve"> </w:t>
      </w:r>
      <w:r w:rsidR="00A434AB">
        <w:rPr>
          <w:rFonts w:eastAsia="Calibri"/>
          <w:lang w:val="es-MX" w:eastAsia="en-US"/>
        </w:rPr>
        <w:t xml:space="preserve">de infraestructura de transporte </w:t>
      </w:r>
      <w:r w:rsidR="00252D2F">
        <w:rPr>
          <w:rFonts w:eastAsia="Calibri"/>
          <w:lang w:val="es-MX" w:eastAsia="en-US"/>
        </w:rPr>
        <w:t>que se adelanten por la modalidad de</w:t>
      </w:r>
      <w:r w:rsidRPr="00931701">
        <w:rPr>
          <w:rFonts w:eastAsia="Calibri"/>
          <w:lang w:val="es-MX" w:eastAsia="en-US"/>
        </w:rPr>
        <w:t xml:space="preserve"> mínima cuantía. </w:t>
      </w:r>
    </w:p>
    <w:p w14:paraId="0B4C315C" w14:textId="0AC1AE4F" w:rsidR="00931701" w:rsidRDefault="00931701" w:rsidP="00296A84">
      <w:pPr>
        <w:pStyle w:val="Normal11pt"/>
        <w:spacing w:before="120" w:line="276" w:lineRule="auto"/>
        <w:ind w:left="0" w:right="51" w:firstLine="709"/>
        <w:rPr>
          <w:rFonts w:eastAsia="Calibri"/>
          <w:lang w:val="es-MX" w:eastAsia="en-US"/>
        </w:rPr>
      </w:pPr>
      <w:r w:rsidRPr="00931701">
        <w:rPr>
          <w:rFonts w:eastAsia="Calibri"/>
          <w:lang w:val="es-MX" w:eastAsia="en-US"/>
        </w:rPr>
        <w:t xml:space="preserve">Estos documentos fueron implementados y desarrollados por la Agencia Nacional de Contratación Pública </w:t>
      </w:r>
      <w:bookmarkStart w:id="3" w:name="_Hlk37841850"/>
      <w:r w:rsidRPr="00931701">
        <w:rPr>
          <w:rFonts w:eastAsia="Calibri"/>
          <w:lang w:val="es-MX" w:eastAsia="en-US"/>
        </w:rPr>
        <w:t xml:space="preserve">– Colombia Compra Eficiente </w:t>
      </w:r>
      <w:bookmarkEnd w:id="3"/>
      <w:r w:rsidRPr="00931701">
        <w:rPr>
          <w:rFonts w:eastAsia="Calibri"/>
          <w:lang w:val="es-MX" w:eastAsia="en-US"/>
        </w:rPr>
        <w:t>por medio de la Resolución 1798 de 1 de abril de 2019, la Resolución 044 de 2020 de 14 de febrero de 2020 y la Resolución 094 del 21 de mayo de 2020.</w:t>
      </w:r>
    </w:p>
    <w:p w14:paraId="4348BD67" w14:textId="77777777" w:rsidR="00A434AB" w:rsidRPr="00252D2F" w:rsidRDefault="00A434AB" w:rsidP="00296A84">
      <w:pPr>
        <w:pStyle w:val="Normal11pt"/>
        <w:spacing w:line="276" w:lineRule="auto"/>
        <w:ind w:left="0" w:right="51" w:firstLine="708"/>
        <w:rPr>
          <w:rFonts w:eastAsia="Calibri"/>
          <w:lang w:val="es-MX" w:eastAsia="en-US"/>
        </w:rPr>
      </w:pPr>
    </w:p>
    <w:p w14:paraId="6844DC8D" w14:textId="5896F4CE" w:rsidR="00931701" w:rsidRDefault="000C6E36" w:rsidP="00296A84">
      <w:pPr>
        <w:pStyle w:val="Prrafodelista"/>
        <w:numPr>
          <w:ilvl w:val="1"/>
          <w:numId w:val="6"/>
        </w:numPr>
        <w:spacing w:line="276" w:lineRule="auto"/>
        <w:ind w:left="426"/>
        <w:contextualSpacing w:val="0"/>
        <w:jc w:val="both"/>
        <w:rPr>
          <w:rFonts w:ascii="Arial" w:eastAsia="Calibri" w:hAnsi="Arial" w:cs="Arial"/>
          <w:b/>
          <w:bCs/>
          <w:color w:val="000000"/>
          <w:sz w:val="22"/>
        </w:rPr>
      </w:pPr>
      <w:r w:rsidRPr="000C6E36">
        <w:rPr>
          <w:rFonts w:ascii="Arial" w:eastAsia="Calibri" w:hAnsi="Arial" w:cs="Arial"/>
          <w:b/>
          <w:bCs/>
          <w:color w:val="000000"/>
          <w:sz w:val="22"/>
        </w:rPr>
        <w:t>Documentos tipo en virtud de la Ley 2022 de 2020</w:t>
      </w:r>
    </w:p>
    <w:p w14:paraId="323A5B41" w14:textId="77777777" w:rsidR="00A434AB" w:rsidRPr="000C6E36" w:rsidRDefault="00A434AB" w:rsidP="00296A84">
      <w:pPr>
        <w:pStyle w:val="Prrafodelista"/>
        <w:spacing w:line="276" w:lineRule="auto"/>
        <w:ind w:left="426"/>
        <w:contextualSpacing w:val="0"/>
        <w:jc w:val="both"/>
        <w:rPr>
          <w:rFonts w:ascii="Arial" w:eastAsia="Calibri" w:hAnsi="Arial" w:cs="Arial"/>
          <w:b/>
          <w:bCs/>
          <w:color w:val="000000"/>
          <w:sz w:val="22"/>
        </w:rPr>
      </w:pPr>
    </w:p>
    <w:p w14:paraId="3DEEF393" w14:textId="43974BC8" w:rsidR="00DE6940" w:rsidRDefault="00701B87" w:rsidP="00296A84">
      <w:pPr>
        <w:spacing w:after="120" w:line="276" w:lineRule="auto"/>
        <w:ind w:left="68"/>
        <w:jc w:val="both"/>
        <w:rPr>
          <w:rFonts w:ascii="Arial" w:eastAsia="Calibri" w:hAnsi="Arial" w:cs="Arial"/>
          <w:color w:val="000000"/>
          <w:sz w:val="22"/>
        </w:rPr>
      </w:pPr>
      <w:r>
        <w:rPr>
          <w:rFonts w:ascii="Arial" w:eastAsia="Calibri" w:hAnsi="Arial" w:cs="Arial"/>
          <w:color w:val="000000"/>
          <w:sz w:val="22"/>
        </w:rPr>
        <w:t>El 22 de julio de 2020</w:t>
      </w:r>
      <w:r w:rsidR="00A434AB">
        <w:rPr>
          <w:rFonts w:ascii="Arial" w:eastAsia="Calibri" w:hAnsi="Arial" w:cs="Arial"/>
          <w:color w:val="000000"/>
          <w:sz w:val="22"/>
        </w:rPr>
        <w:t xml:space="preserve"> se</w:t>
      </w:r>
      <w:r>
        <w:rPr>
          <w:rFonts w:ascii="Arial" w:eastAsia="Calibri" w:hAnsi="Arial" w:cs="Arial"/>
          <w:color w:val="000000"/>
          <w:sz w:val="22"/>
        </w:rPr>
        <w:t xml:space="preserve"> sancionó la Ley 2022</w:t>
      </w:r>
      <w:r w:rsidR="00A434AB">
        <w:rPr>
          <w:rFonts w:ascii="Arial" w:eastAsia="Calibri" w:hAnsi="Arial" w:cs="Arial"/>
          <w:color w:val="000000"/>
          <w:sz w:val="22"/>
        </w:rPr>
        <w:t>,</w:t>
      </w:r>
      <w:r>
        <w:rPr>
          <w:rFonts w:ascii="Arial" w:eastAsia="Calibri" w:hAnsi="Arial" w:cs="Arial"/>
          <w:color w:val="000000"/>
          <w:sz w:val="22"/>
        </w:rPr>
        <w:t xml:space="preserve"> por medio de la cual se modificó el artículo 4 de la Ley 1882 de 2018. </w:t>
      </w:r>
      <w:r w:rsidR="00DE6940">
        <w:rPr>
          <w:rFonts w:ascii="Arial" w:eastAsia="Calibri" w:hAnsi="Arial" w:cs="Arial"/>
          <w:color w:val="000000"/>
          <w:sz w:val="22"/>
        </w:rPr>
        <w:t xml:space="preserve">El objetivo de </w:t>
      </w:r>
      <w:r w:rsidR="00A434AB">
        <w:rPr>
          <w:rFonts w:ascii="Arial" w:eastAsia="Calibri" w:hAnsi="Arial" w:cs="Arial"/>
          <w:color w:val="000000"/>
          <w:sz w:val="22"/>
        </w:rPr>
        <w:t>la modificación consiste en</w:t>
      </w:r>
      <w:r w:rsidR="00DE6940">
        <w:rPr>
          <w:rFonts w:ascii="Arial" w:eastAsia="Calibri" w:hAnsi="Arial" w:cs="Arial"/>
          <w:color w:val="000000"/>
          <w:sz w:val="22"/>
        </w:rPr>
        <w:t xml:space="preserve"> que los </w:t>
      </w:r>
      <w:r w:rsidR="00A434AB">
        <w:rPr>
          <w:rFonts w:ascii="Arial" w:eastAsia="Calibri" w:hAnsi="Arial" w:cs="Arial"/>
          <w:color w:val="000000"/>
          <w:sz w:val="22"/>
        </w:rPr>
        <w:t>documentos tipo</w:t>
      </w:r>
      <w:r w:rsidR="00DE6940">
        <w:rPr>
          <w:rFonts w:ascii="Arial" w:eastAsia="Calibri" w:hAnsi="Arial" w:cs="Arial"/>
          <w:color w:val="000000"/>
          <w:sz w:val="22"/>
        </w:rPr>
        <w:t xml:space="preserve"> sean un referente obligatorio en la elaboración de </w:t>
      </w:r>
      <w:r w:rsidR="00A434AB">
        <w:rPr>
          <w:rFonts w:ascii="Arial" w:eastAsia="Calibri" w:hAnsi="Arial" w:cs="Arial"/>
          <w:color w:val="000000"/>
          <w:sz w:val="22"/>
        </w:rPr>
        <w:t xml:space="preserve">cualquier </w:t>
      </w:r>
      <w:r w:rsidR="00DE6940">
        <w:rPr>
          <w:rFonts w:ascii="Arial" w:eastAsia="Calibri" w:hAnsi="Arial" w:cs="Arial"/>
          <w:color w:val="000000"/>
          <w:sz w:val="22"/>
        </w:rPr>
        <w:t xml:space="preserve">pliego de condiciones y no solo en </w:t>
      </w:r>
      <w:r w:rsidR="00A434AB">
        <w:rPr>
          <w:rFonts w:ascii="Arial" w:eastAsia="Calibri" w:hAnsi="Arial" w:cs="Arial"/>
          <w:color w:val="000000"/>
          <w:sz w:val="22"/>
        </w:rPr>
        <w:t xml:space="preserve">los relacionados </w:t>
      </w:r>
      <w:r w:rsidR="00DE6940">
        <w:rPr>
          <w:rFonts w:ascii="Arial" w:eastAsia="Calibri" w:hAnsi="Arial" w:cs="Arial"/>
          <w:color w:val="000000"/>
          <w:sz w:val="22"/>
        </w:rPr>
        <w:t xml:space="preserve">con </w:t>
      </w:r>
      <w:r w:rsidR="00A434AB">
        <w:rPr>
          <w:rFonts w:ascii="Arial" w:eastAsia="Calibri" w:hAnsi="Arial" w:cs="Arial"/>
          <w:color w:val="000000"/>
          <w:sz w:val="22"/>
        </w:rPr>
        <w:t>procesos de obra pública</w:t>
      </w:r>
      <w:r w:rsidR="00DE6940">
        <w:rPr>
          <w:rFonts w:ascii="Arial" w:eastAsia="Calibri" w:hAnsi="Arial" w:cs="Arial"/>
          <w:color w:val="000000"/>
          <w:sz w:val="22"/>
        </w:rPr>
        <w:t xml:space="preserve">. De igual manera, </w:t>
      </w:r>
      <w:r w:rsidR="00BB2EA9">
        <w:rPr>
          <w:rFonts w:ascii="Arial" w:eastAsia="Calibri" w:hAnsi="Arial" w:cs="Arial"/>
          <w:color w:val="000000"/>
          <w:sz w:val="22"/>
        </w:rPr>
        <w:t>busca que el contrato estatal pueda ser utilizado racionalmente como instrumento de ejecución de los recursos públicos, para garantizar el cumplimiento de los fines del Estado y la satisfacción de las necesidades de la comunidad</w:t>
      </w:r>
      <w:r w:rsidR="00BB2EA9">
        <w:rPr>
          <w:rStyle w:val="Refdenotaalpie"/>
          <w:rFonts w:ascii="Arial" w:eastAsia="Calibri" w:hAnsi="Arial" w:cs="Arial"/>
          <w:color w:val="000000"/>
          <w:sz w:val="22"/>
        </w:rPr>
        <w:footnoteReference w:id="3"/>
      </w:r>
      <w:r w:rsidR="00BB2EA9">
        <w:rPr>
          <w:rFonts w:ascii="Arial" w:eastAsia="Calibri" w:hAnsi="Arial" w:cs="Arial"/>
          <w:color w:val="000000"/>
          <w:sz w:val="22"/>
        </w:rPr>
        <w:t xml:space="preserve">. </w:t>
      </w:r>
    </w:p>
    <w:p w14:paraId="7A7F2BF4" w14:textId="7F5037A6" w:rsidR="00DE6940" w:rsidRDefault="003B4ADA" w:rsidP="00E67E00">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E</w:t>
      </w:r>
      <w:r w:rsidR="005553C1">
        <w:rPr>
          <w:rFonts w:ascii="Arial" w:eastAsia="Calibri" w:hAnsi="Arial" w:cs="Arial"/>
          <w:color w:val="000000"/>
          <w:sz w:val="22"/>
        </w:rPr>
        <w:t>n la Gaceta del Congres</w:t>
      </w:r>
      <w:r>
        <w:rPr>
          <w:rFonts w:ascii="Arial" w:eastAsia="Calibri" w:hAnsi="Arial" w:cs="Arial"/>
          <w:color w:val="000000"/>
          <w:sz w:val="22"/>
        </w:rPr>
        <w:t>o No. 733 de 2018</w:t>
      </w:r>
      <w:r w:rsidR="005553C1">
        <w:rPr>
          <w:rFonts w:ascii="Arial" w:eastAsia="Calibri" w:hAnsi="Arial" w:cs="Arial"/>
          <w:color w:val="000000"/>
          <w:sz w:val="22"/>
        </w:rPr>
        <w:t xml:space="preserve"> se indica que la justificación de est</w:t>
      </w:r>
      <w:r>
        <w:rPr>
          <w:rFonts w:ascii="Arial" w:eastAsia="Calibri" w:hAnsi="Arial" w:cs="Arial"/>
          <w:color w:val="000000"/>
          <w:sz w:val="22"/>
        </w:rPr>
        <w:t xml:space="preserve">a norma </w:t>
      </w:r>
      <w:r w:rsidR="005553C1">
        <w:rPr>
          <w:rFonts w:ascii="Arial" w:eastAsia="Calibri" w:hAnsi="Arial" w:cs="Arial"/>
          <w:color w:val="000000"/>
          <w:sz w:val="22"/>
        </w:rPr>
        <w:t>es garantizar la uniformidad dentro de la univers</w:t>
      </w:r>
      <w:r>
        <w:rPr>
          <w:rFonts w:ascii="Arial" w:eastAsia="Calibri" w:hAnsi="Arial" w:cs="Arial"/>
          <w:color w:val="000000"/>
          <w:sz w:val="22"/>
        </w:rPr>
        <w:t xml:space="preserve">alidad de </w:t>
      </w:r>
      <w:r w:rsidR="00A434AB">
        <w:rPr>
          <w:rFonts w:ascii="Arial" w:eastAsia="Calibri" w:hAnsi="Arial" w:cs="Arial"/>
          <w:color w:val="000000"/>
          <w:sz w:val="22"/>
        </w:rPr>
        <w:t xml:space="preserve">la </w:t>
      </w:r>
      <w:r>
        <w:rPr>
          <w:rFonts w:ascii="Arial" w:eastAsia="Calibri" w:hAnsi="Arial" w:cs="Arial"/>
          <w:color w:val="000000"/>
          <w:sz w:val="22"/>
        </w:rPr>
        <w:t xml:space="preserve">contratación estatal, </w:t>
      </w:r>
      <w:r w:rsidR="00A434AB">
        <w:rPr>
          <w:rFonts w:ascii="Arial" w:eastAsia="Calibri" w:hAnsi="Arial" w:cs="Arial"/>
          <w:color w:val="000000"/>
          <w:sz w:val="22"/>
        </w:rPr>
        <w:t xml:space="preserve">garantizando </w:t>
      </w:r>
      <w:r>
        <w:rPr>
          <w:rFonts w:ascii="Arial" w:eastAsia="Calibri" w:hAnsi="Arial" w:cs="Arial"/>
          <w:color w:val="000000"/>
          <w:sz w:val="22"/>
        </w:rPr>
        <w:t>no solo la seguridad jurídica</w:t>
      </w:r>
      <w:r w:rsidR="00A434AB">
        <w:rPr>
          <w:rFonts w:ascii="Arial" w:eastAsia="Calibri" w:hAnsi="Arial" w:cs="Arial"/>
          <w:color w:val="000000"/>
          <w:sz w:val="22"/>
        </w:rPr>
        <w:t>,</w:t>
      </w:r>
      <w:r>
        <w:rPr>
          <w:rFonts w:ascii="Arial" w:eastAsia="Calibri" w:hAnsi="Arial" w:cs="Arial"/>
          <w:color w:val="000000"/>
          <w:sz w:val="22"/>
        </w:rPr>
        <w:t xml:space="preserve"> </w:t>
      </w:r>
      <w:r w:rsidR="00A434AB">
        <w:rPr>
          <w:rFonts w:ascii="Arial" w:eastAsia="Calibri" w:hAnsi="Arial" w:cs="Arial"/>
          <w:color w:val="000000"/>
          <w:sz w:val="22"/>
        </w:rPr>
        <w:t>sino las</w:t>
      </w:r>
      <w:r>
        <w:rPr>
          <w:rFonts w:ascii="Arial" w:eastAsia="Calibri" w:hAnsi="Arial" w:cs="Arial"/>
          <w:color w:val="000000"/>
          <w:sz w:val="22"/>
        </w:rPr>
        <w:t xml:space="preserve"> reglas de la ética y la moralidad administrativa, </w:t>
      </w:r>
      <w:r w:rsidR="00A434AB">
        <w:rPr>
          <w:rFonts w:ascii="Arial" w:eastAsia="Calibri" w:hAnsi="Arial" w:cs="Arial"/>
          <w:color w:val="000000"/>
          <w:sz w:val="22"/>
        </w:rPr>
        <w:t>mediante</w:t>
      </w:r>
      <w:r>
        <w:rPr>
          <w:rFonts w:ascii="Arial" w:eastAsia="Calibri" w:hAnsi="Arial" w:cs="Arial"/>
          <w:color w:val="000000"/>
          <w:sz w:val="22"/>
        </w:rPr>
        <w:t xml:space="preserve"> una lucha y una posición frontal contra la corrupción que se presenta en nuestro país. </w:t>
      </w:r>
      <w:r w:rsidR="00CE6294">
        <w:rPr>
          <w:rFonts w:ascii="Arial" w:eastAsia="Calibri" w:hAnsi="Arial" w:cs="Arial"/>
          <w:color w:val="000000"/>
          <w:sz w:val="22"/>
        </w:rPr>
        <w:t>E</w:t>
      </w:r>
      <w:r>
        <w:rPr>
          <w:rFonts w:ascii="Arial" w:eastAsia="Calibri" w:hAnsi="Arial" w:cs="Arial"/>
          <w:color w:val="000000"/>
          <w:sz w:val="22"/>
        </w:rPr>
        <w:t>stos documentos tipo evita</w:t>
      </w:r>
      <w:r w:rsidR="00CE6294">
        <w:rPr>
          <w:rFonts w:ascii="Arial" w:eastAsia="Calibri" w:hAnsi="Arial" w:cs="Arial"/>
          <w:color w:val="000000"/>
          <w:sz w:val="22"/>
        </w:rPr>
        <w:t>n</w:t>
      </w:r>
      <w:r>
        <w:rPr>
          <w:rFonts w:ascii="Arial" w:eastAsia="Calibri" w:hAnsi="Arial" w:cs="Arial"/>
          <w:color w:val="000000"/>
          <w:sz w:val="22"/>
        </w:rPr>
        <w:t xml:space="preserve"> la manipulación o el direccionamiento específico de los pli</w:t>
      </w:r>
      <w:r w:rsidR="00CE6294">
        <w:rPr>
          <w:rFonts w:ascii="Arial" w:eastAsia="Calibri" w:hAnsi="Arial" w:cs="Arial"/>
          <w:color w:val="000000"/>
          <w:sz w:val="22"/>
        </w:rPr>
        <w:t>e</w:t>
      </w:r>
      <w:r>
        <w:rPr>
          <w:rFonts w:ascii="Arial" w:eastAsia="Calibri" w:hAnsi="Arial" w:cs="Arial"/>
          <w:color w:val="000000"/>
          <w:sz w:val="22"/>
        </w:rPr>
        <w:t>gos de condiciones a un proponente en particular, y, asimismo, facilita</w:t>
      </w:r>
      <w:r w:rsidR="00A434AB">
        <w:rPr>
          <w:rFonts w:ascii="Arial" w:eastAsia="Calibri" w:hAnsi="Arial" w:cs="Arial"/>
          <w:color w:val="000000"/>
          <w:sz w:val="22"/>
        </w:rPr>
        <w:t>n</w:t>
      </w:r>
      <w:r>
        <w:rPr>
          <w:rFonts w:ascii="Arial" w:eastAsia="Calibri" w:hAnsi="Arial" w:cs="Arial"/>
          <w:color w:val="000000"/>
          <w:sz w:val="22"/>
        </w:rPr>
        <w:t xml:space="preserve"> el control fiscal y disciplinario respecto de los funcionarios</w:t>
      </w:r>
      <w:r w:rsidR="00A434AB">
        <w:rPr>
          <w:rFonts w:ascii="Arial" w:eastAsia="Calibri" w:hAnsi="Arial" w:cs="Arial"/>
          <w:color w:val="000000"/>
          <w:sz w:val="22"/>
        </w:rPr>
        <w:t xml:space="preserve"> involucrados en la contratación</w:t>
      </w:r>
      <w:r>
        <w:rPr>
          <w:rStyle w:val="Refdenotaalpie"/>
          <w:rFonts w:ascii="Arial" w:eastAsia="Calibri" w:hAnsi="Arial" w:cs="Arial"/>
          <w:color w:val="000000"/>
          <w:sz w:val="22"/>
        </w:rPr>
        <w:footnoteReference w:id="4"/>
      </w:r>
      <w:r>
        <w:rPr>
          <w:rFonts w:ascii="Arial" w:eastAsia="Calibri" w:hAnsi="Arial" w:cs="Arial"/>
          <w:color w:val="000000"/>
          <w:sz w:val="22"/>
        </w:rPr>
        <w:t xml:space="preserve">. </w:t>
      </w:r>
    </w:p>
    <w:p w14:paraId="1E552C95" w14:textId="389B5718" w:rsidR="003B4ADA" w:rsidRDefault="003B4ADA" w:rsidP="00E67E00">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En el mismo sentido, señala que los beneficios de estos documentos tipo son: i) la reducción en el tiempo que requieren las entidades en la elaboración de los documentos </w:t>
      </w:r>
      <w:r w:rsidR="00DD7583">
        <w:rPr>
          <w:rFonts w:ascii="Arial" w:eastAsia="Calibri" w:hAnsi="Arial" w:cs="Arial"/>
          <w:color w:val="000000"/>
          <w:sz w:val="22"/>
        </w:rPr>
        <w:t>de los procedimientos de selección</w:t>
      </w:r>
      <w:r>
        <w:rPr>
          <w:rFonts w:ascii="Arial" w:eastAsia="Calibri" w:hAnsi="Arial" w:cs="Arial"/>
          <w:color w:val="000000"/>
          <w:sz w:val="22"/>
        </w:rPr>
        <w:t xml:space="preserve">, ii) permite a los proponentes conocer las condiciones generales de forma anticipada y </w:t>
      </w:r>
      <w:r w:rsidR="00C71FBE">
        <w:rPr>
          <w:rFonts w:ascii="Arial" w:eastAsia="Calibri" w:hAnsi="Arial" w:cs="Arial"/>
          <w:color w:val="000000"/>
          <w:sz w:val="22"/>
        </w:rPr>
        <w:t>los requisitos</w:t>
      </w:r>
      <w:r>
        <w:rPr>
          <w:rFonts w:ascii="Arial" w:eastAsia="Calibri" w:hAnsi="Arial" w:cs="Arial"/>
          <w:color w:val="000000"/>
          <w:sz w:val="22"/>
        </w:rPr>
        <w:t xml:space="preserve"> que deben cumplir, iii) promueve la transparencia de los procesos, y finalmente, iv) tiene cláusulas diseñadas para incentivar </w:t>
      </w:r>
      <w:r>
        <w:rPr>
          <w:rFonts w:ascii="Arial" w:eastAsia="Calibri" w:hAnsi="Arial" w:cs="Arial"/>
          <w:color w:val="000000"/>
          <w:sz w:val="22"/>
        </w:rPr>
        <w:lastRenderedPageBreak/>
        <w:t>la libre competencia y participación de la mayor cantidad posible de oferentes en los procesos licitatorios</w:t>
      </w:r>
      <w:r>
        <w:rPr>
          <w:rStyle w:val="Refdenotaalpie"/>
          <w:rFonts w:ascii="Arial" w:eastAsia="Calibri" w:hAnsi="Arial" w:cs="Arial"/>
          <w:color w:val="000000"/>
          <w:sz w:val="22"/>
        </w:rPr>
        <w:footnoteReference w:id="5"/>
      </w:r>
      <w:r>
        <w:rPr>
          <w:rFonts w:ascii="Arial" w:eastAsia="Calibri" w:hAnsi="Arial" w:cs="Arial"/>
          <w:color w:val="000000"/>
          <w:sz w:val="22"/>
        </w:rPr>
        <w:t xml:space="preserve">. </w:t>
      </w:r>
    </w:p>
    <w:p w14:paraId="57188494" w14:textId="0D086B58" w:rsidR="00701B87" w:rsidRDefault="003B4ADA" w:rsidP="00E67E00">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En razón a lo anterior, e</w:t>
      </w:r>
      <w:r w:rsidR="00701B87">
        <w:rPr>
          <w:rFonts w:ascii="Arial" w:eastAsia="Calibri" w:hAnsi="Arial" w:cs="Arial"/>
          <w:color w:val="000000"/>
          <w:sz w:val="22"/>
        </w:rPr>
        <w:t xml:space="preserve">sta norma establece que la Agencia Nacional de Contratación Pública Colombia Compra Eficiente o quien haga sus veces, </w:t>
      </w:r>
      <w:r w:rsidR="000B2383">
        <w:rPr>
          <w:rFonts w:ascii="Arial" w:eastAsia="Calibri" w:hAnsi="Arial" w:cs="Arial"/>
          <w:color w:val="000000"/>
          <w:sz w:val="22"/>
        </w:rPr>
        <w:t>adoptará documentos tipo que serán de obligatorio cumplimiento en la actividad contractual de todas las entidades sometidas al Estatuto General de Contratación de la Administración Pública</w:t>
      </w:r>
      <w:r w:rsidR="00397E63">
        <w:rPr>
          <w:rStyle w:val="Refdenotaalpie"/>
          <w:rFonts w:ascii="Arial" w:eastAsia="Calibri" w:hAnsi="Arial" w:cs="Arial"/>
          <w:color w:val="000000"/>
          <w:sz w:val="22"/>
        </w:rPr>
        <w:footnoteReference w:id="6"/>
      </w:r>
      <w:r w:rsidR="000B2383">
        <w:rPr>
          <w:rFonts w:ascii="Arial" w:eastAsia="Calibri" w:hAnsi="Arial" w:cs="Arial"/>
          <w:color w:val="000000"/>
          <w:sz w:val="22"/>
        </w:rPr>
        <w:t xml:space="preserve">. </w:t>
      </w:r>
    </w:p>
    <w:p w14:paraId="7B6CBAD2" w14:textId="3A6918F3" w:rsidR="000B2383" w:rsidRDefault="000B2383" w:rsidP="00296A84">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Dentro de estos documentos tipo se establecerán los requisitos habilitantes, factores</w:t>
      </w:r>
      <w:r w:rsidR="004729FA">
        <w:rPr>
          <w:rFonts w:ascii="Arial" w:eastAsia="Calibri" w:hAnsi="Arial" w:cs="Arial"/>
          <w:color w:val="000000"/>
          <w:sz w:val="22"/>
        </w:rPr>
        <w:t xml:space="preserve"> técnicos</w:t>
      </w:r>
      <w:r w:rsidR="007B64AC">
        <w:rPr>
          <w:rFonts w:ascii="Arial" w:eastAsia="Calibri" w:hAnsi="Arial" w:cs="Arial"/>
          <w:color w:val="000000"/>
          <w:sz w:val="22"/>
        </w:rPr>
        <w:t>, económicos y otros factores de escogencia, así como aquellos requisitos que, previa justificación, representen buenas prácticas contractuales que procuren el adecuado desarrollo de los principios que rigen la contratación pública.</w:t>
      </w:r>
    </w:p>
    <w:p w14:paraId="2F956E0D" w14:textId="5DB1457E" w:rsidR="007B64AC" w:rsidRDefault="00B37FD1" w:rsidP="00296A84">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74C3E27D" w14:textId="707203EA" w:rsidR="00B37FD1" w:rsidRDefault="00B37FD1" w:rsidP="00701B87">
      <w:pPr>
        <w:spacing w:before="120" w:after="120" w:line="276" w:lineRule="auto"/>
        <w:ind w:left="66" w:firstLine="360"/>
        <w:jc w:val="both"/>
        <w:rPr>
          <w:rFonts w:ascii="Arial" w:eastAsia="Calibri" w:hAnsi="Arial" w:cs="Arial"/>
          <w:color w:val="000000"/>
          <w:sz w:val="22"/>
        </w:rPr>
      </w:pPr>
      <w:r>
        <w:rPr>
          <w:rFonts w:ascii="Arial" w:eastAsia="Calibri" w:hAnsi="Arial" w:cs="Arial"/>
          <w:color w:val="000000"/>
          <w:sz w:val="22"/>
        </w:rPr>
        <w:lastRenderedPageBreak/>
        <w:tab/>
      </w:r>
      <w:r w:rsidR="00C71FBE">
        <w:rPr>
          <w:rFonts w:ascii="Arial" w:eastAsia="Calibri" w:hAnsi="Arial" w:cs="Arial"/>
          <w:color w:val="000000"/>
          <w:sz w:val="22"/>
        </w:rPr>
        <w:t>Además</w:t>
      </w:r>
      <w:r>
        <w:rPr>
          <w:rFonts w:ascii="Arial" w:eastAsia="Calibri" w:hAnsi="Arial" w:cs="Arial"/>
          <w:color w:val="000000"/>
          <w:sz w:val="22"/>
        </w:rPr>
        <w:t xml:space="preserve"> obliga a la Agencia Nacional de Contratación Pública Colombia Compra Eficiente </w:t>
      </w:r>
      <w:r w:rsidR="00C71FBE">
        <w:rPr>
          <w:rFonts w:ascii="Arial" w:eastAsia="Calibri" w:hAnsi="Arial" w:cs="Arial"/>
          <w:color w:val="000000"/>
          <w:sz w:val="22"/>
        </w:rPr>
        <w:t xml:space="preserve">a </w:t>
      </w:r>
      <w:r>
        <w:rPr>
          <w:rFonts w:ascii="Arial" w:eastAsia="Calibri" w:hAnsi="Arial" w:cs="Arial"/>
          <w:color w:val="000000"/>
          <w:sz w:val="22"/>
        </w:rPr>
        <w:t>fijar un cronograma y definir</w:t>
      </w:r>
      <w:r w:rsidR="00C71FBE">
        <w:rPr>
          <w:rFonts w:ascii="Arial" w:eastAsia="Calibri" w:hAnsi="Arial" w:cs="Arial"/>
          <w:color w:val="000000"/>
          <w:sz w:val="22"/>
        </w:rPr>
        <w:t>,</w:t>
      </w:r>
      <w:r>
        <w:rPr>
          <w:rFonts w:ascii="Arial" w:eastAsia="Calibri" w:hAnsi="Arial" w:cs="Arial"/>
          <w:color w:val="000000"/>
          <w:sz w:val="22"/>
        </w:rPr>
        <w:t xml:space="preserve"> en coordinación con las entidades técnicas o especializadas correspondientes</w:t>
      </w:r>
      <w:r w:rsidR="00C71FBE">
        <w:rPr>
          <w:rFonts w:ascii="Arial" w:eastAsia="Calibri" w:hAnsi="Arial" w:cs="Arial"/>
          <w:color w:val="000000"/>
          <w:sz w:val="22"/>
        </w:rPr>
        <w:t>,</w:t>
      </w:r>
      <w:r>
        <w:rPr>
          <w:rFonts w:ascii="Arial" w:eastAsia="Calibri" w:hAnsi="Arial" w:cs="Arial"/>
          <w:color w:val="000000"/>
          <w:sz w:val="22"/>
        </w:rPr>
        <w:t xml:space="preserve"> el procedimiento para implementar gradualmente los documentos tipo, con el propósito de facilitar </w:t>
      </w:r>
      <w:r w:rsidR="00C71FBE">
        <w:rPr>
          <w:rFonts w:ascii="Arial" w:eastAsia="Calibri" w:hAnsi="Arial" w:cs="Arial"/>
          <w:color w:val="000000"/>
          <w:sz w:val="22"/>
        </w:rPr>
        <w:t xml:space="preserve">su </w:t>
      </w:r>
      <w:r>
        <w:rPr>
          <w:rFonts w:ascii="Arial" w:eastAsia="Calibri" w:hAnsi="Arial" w:cs="Arial"/>
          <w:color w:val="000000"/>
          <w:sz w:val="22"/>
        </w:rPr>
        <w:t>incorporación en el sistema de compra pública</w:t>
      </w:r>
      <w:r w:rsidR="00C71FBE">
        <w:rPr>
          <w:rFonts w:ascii="Arial" w:eastAsia="Calibri" w:hAnsi="Arial" w:cs="Arial"/>
          <w:color w:val="000000"/>
          <w:sz w:val="22"/>
        </w:rPr>
        <w:t xml:space="preserve">, debiendo </w:t>
      </w:r>
      <w:r>
        <w:rPr>
          <w:rFonts w:ascii="Arial" w:eastAsia="Calibri" w:hAnsi="Arial" w:cs="Arial"/>
          <w:color w:val="000000"/>
          <w:sz w:val="22"/>
        </w:rPr>
        <w:t xml:space="preserve">establecer </w:t>
      </w:r>
      <w:r w:rsidR="00C71FBE">
        <w:rPr>
          <w:rFonts w:ascii="Arial" w:eastAsia="Calibri" w:hAnsi="Arial" w:cs="Arial"/>
          <w:color w:val="000000"/>
          <w:sz w:val="22"/>
        </w:rPr>
        <w:t>un</w:t>
      </w:r>
      <w:r>
        <w:rPr>
          <w:rFonts w:ascii="Arial" w:eastAsia="Calibri" w:hAnsi="Arial" w:cs="Arial"/>
          <w:color w:val="000000"/>
          <w:sz w:val="22"/>
        </w:rPr>
        <w:t xml:space="preserve"> procedimiento para recibir y revisar comentarios de los interesados, así como un sistema para la revisión constante de los documentos tipo que expida. </w:t>
      </w:r>
    </w:p>
    <w:p w14:paraId="19813239" w14:textId="610D1D58" w:rsidR="00B37FD1" w:rsidRDefault="00C71FBE" w:rsidP="00296A84">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La norma señala que</w:t>
      </w:r>
      <w:r w:rsidR="00B37FD1">
        <w:rPr>
          <w:rFonts w:ascii="Arial" w:eastAsia="Calibri" w:hAnsi="Arial" w:cs="Arial"/>
          <w:color w:val="000000"/>
          <w:sz w:val="22"/>
        </w:rPr>
        <w:t>,</w:t>
      </w:r>
      <w:r>
        <w:rPr>
          <w:rFonts w:ascii="Arial" w:eastAsia="Calibri" w:hAnsi="Arial" w:cs="Arial"/>
          <w:color w:val="000000"/>
          <w:sz w:val="22"/>
        </w:rPr>
        <w:t xml:space="preserve"> en todo caso,</w:t>
      </w:r>
      <w:r w:rsidR="00B37FD1">
        <w:rPr>
          <w:rFonts w:ascii="Arial" w:eastAsia="Calibri" w:hAnsi="Arial" w:cs="Arial"/>
          <w:color w:val="000000"/>
          <w:sz w:val="22"/>
        </w:rPr>
        <w:t xml:space="preserve"> serán de uso obligatorio los documentos tipo para los pliegos de condiciones de los procesos de selección de obras públicas, interventoría para las obras públicas, interventoría para consultoría de estudios y diseños para obras públicas, consultoría e ingeniería </w:t>
      </w:r>
      <w:r w:rsidR="00275DBD">
        <w:rPr>
          <w:rFonts w:ascii="Arial" w:eastAsia="Calibri" w:hAnsi="Arial" w:cs="Arial"/>
          <w:color w:val="000000"/>
          <w:sz w:val="22"/>
        </w:rPr>
        <w:t>para obras, que llevan a cabo todas las entidades sometidas al Estatuto General de Contratación</w:t>
      </w:r>
      <w:r>
        <w:rPr>
          <w:rFonts w:ascii="Arial" w:eastAsia="Calibri" w:hAnsi="Arial" w:cs="Arial"/>
          <w:color w:val="000000"/>
          <w:sz w:val="22"/>
        </w:rPr>
        <w:t xml:space="preserve"> de la Administración Pública</w:t>
      </w:r>
      <w:r w:rsidR="00275DBD">
        <w:rPr>
          <w:rFonts w:ascii="Arial" w:eastAsia="Calibri" w:hAnsi="Arial" w:cs="Arial"/>
          <w:color w:val="000000"/>
          <w:sz w:val="22"/>
        </w:rPr>
        <w:t xml:space="preserve">. </w:t>
      </w:r>
    </w:p>
    <w:p w14:paraId="07CB1DEA" w14:textId="0804D57D" w:rsidR="005E5652" w:rsidRDefault="00E67E00" w:rsidP="00296A84">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Conforme a lo anterior, </w:t>
      </w:r>
      <w:bookmarkStart w:id="4" w:name="_Hlk48728442"/>
      <w:r>
        <w:rPr>
          <w:rFonts w:ascii="Arial" w:eastAsia="Calibri" w:hAnsi="Arial" w:cs="Arial"/>
          <w:color w:val="000000"/>
          <w:sz w:val="22"/>
        </w:rPr>
        <w:t>l</w:t>
      </w:r>
      <w:r w:rsidR="00002FEE">
        <w:rPr>
          <w:rFonts w:ascii="Arial" w:eastAsia="Calibri" w:hAnsi="Arial" w:cs="Arial"/>
          <w:color w:val="000000"/>
          <w:sz w:val="22"/>
        </w:rPr>
        <w:t>o</w:t>
      </w:r>
      <w:r>
        <w:rPr>
          <w:rFonts w:ascii="Arial" w:eastAsia="Calibri" w:hAnsi="Arial" w:cs="Arial"/>
          <w:color w:val="000000"/>
          <w:sz w:val="22"/>
        </w:rPr>
        <w:t>s</w:t>
      </w:r>
      <w:r w:rsidR="00002FEE">
        <w:rPr>
          <w:rFonts w:ascii="Arial" w:eastAsia="Calibri" w:hAnsi="Arial" w:cs="Arial"/>
          <w:color w:val="000000"/>
          <w:sz w:val="22"/>
        </w:rPr>
        <w:t xml:space="preserve"> principales cambios implementados a partir de la Ley 2022 de 2020 son los siguientes: i) </w:t>
      </w:r>
      <w:r w:rsidR="00A428F9">
        <w:rPr>
          <w:rFonts w:ascii="Arial" w:eastAsia="Calibri" w:hAnsi="Arial" w:cs="Arial"/>
          <w:color w:val="000000"/>
          <w:sz w:val="22"/>
        </w:rPr>
        <w:t xml:space="preserve">la adopción de los documentos tipo recae en </w:t>
      </w:r>
      <w:r w:rsidR="00002FEE">
        <w:rPr>
          <w:rFonts w:ascii="Arial" w:eastAsia="Calibri" w:hAnsi="Arial" w:cs="Arial"/>
          <w:color w:val="000000"/>
          <w:sz w:val="22"/>
        </w:rPr>
        <w:t>la Agencia Nacional de Contratación pública</w:t>
      </w:r>
      <w:r w:rsidR="00A428F9">
        <w:rPr>
          <w:rFonts w:ascii="Arial" w:eastAsia="Calibri" w:hAnsi="Arial" w:cs="Arial"/>
          <w:color w:val="000000"/>
          <w:sz w:val="22"/>
        </w:rPr>
        <w:t xml:space="preserve"> y, por tanto</w:t>
      </w:r>
      <w:r w:rsidR="00C71FBE">
        <w:rPr>
          <w:rFonts w:ascii="Arial" w:eastAsia="Calibri" w:hAnsi="Arial" w:cs="Arial"/>
          <w:color w:val="000000"/>
          <w:sz w:val="22"/>
        </w:rPr>
        <w:t>,</w:t>
      </w:r>
      <w:r w:rsidR="00A428F9">
        <w:rPr>
          <w:rFonts w:ascii="Arial" w:eastAsia="Calibri" w:hAnsi="Arial" w:cs="Arial"/>
          <w:color w:val="000000"/>
          <w:sz w:val="22"/>
        </w:rPr>
        <w:t xml:space="preserve"> </w:t>
      </w:r>
      <w:r w:rsidR="00C71FBE">
        <w:rPr>
          <w:rFonts w:ascii="Arial" w:eastAsia="Calibri" w:hAnsi="Arial" w:cs="Arial"/>
          <w:color w:val="000000"/>
          <w:sz w:val="22"/>
        </w:rPr>
        <w:t>no corresponden al</w:t>
      </w:r>
      <w:r w:rsidR="00A428F9">
        <w:rPr>
          <w:rFonts w:ascii="Arial" w:eastAsia="Calibri" w:hAnsi="Arial" w:cs="Arial"/>
          <w:color w:val="000000"/>
          <w:sz w:val="22"/>
        </w:rPr>
        <w:t xml:space="preserve"> </w:t>
      </w:r>
      <w:r w:rsidR="006A4217">
        <w:rPr>
          <w:rFonts w:ascii="Arial" w:eastAsia="Calibri" w:hAnsi="Arial" w:cs="Arial"/>
          <w:color w:val="000000"/>
          <w:sz w:val="22"/>
        </w:rPr>
        <w:t>Presidente de la República</w:t>
      </w:r>
      <w:r w:rsidR="00A428F9">
        <w:rPr>
          <w:rFonts w:ascii="Arial" w:eastAsia="Calibri" w:hAnsi="Arial" w:cs="Arial"/>
          <w:color w:val="000000"/>
          <w:sz w:val="22"/>
        </w:rPr>
        <w:t xml:space="preserve">, ii) se adoptarán documentos tipo para cualquier modalidad de contratación, iii) se obliga a la Agencia Nacional de Contratación Pública </w:t>
      </w:r>
      <w:r w:rsidR="00C71FBE">
        <w:rPr>
          <w:rFonts w:ascii="Arial" w:eastAsia="Calibri" w:hAnsi="Arial" w:cs="Arial"/>
          <w:color w:val="000000"/>
          <w:sz w:val="22"/>
        </w:rPr>
        <w:t xml:space="preserve">a </w:t>
      </w:r>
      <w:r w:rsidR="00A428F9">
        <w:rPr>
          <w:rFonts w:ascii="Arial" w:eastAsia="Calibri" w:hAnsi="Arial" w:cs="Arial"/>
          <w:color w:val="000000"/>
          <w:sz w:val="22"/>
        </w:rPr>
        <w:t xml:space="preserve">fijar un cronograma y definir en coordinación con las entidades especializadas o técnicas el procedimiento para implementar </w:t>
      </w:r>
      <w:r w:rsidR="00F13490">
        <w:rPr>
          <w:rFonts w:ascii="Arial" w:eastAsia="Calibri" w:hAnsi="Arial" w:cs="Arial"/>
          <w:color w:val="000000"/>
          <w:sz w:val="22"/>
        </w:rPr>
        <w:t xml:space="preserve">gradualmente los documentos tipo </w:t>
      </w:r>
      <w:r w:rsidR="00397E63">
        <w:rPr>
          <w:rFonts w:ascii="Arial" w:eastAsia="Calibri" w:hAnsi="Arial" w:cs="Arial"/>
          <w:color w:val="000000"/>
          <w:sz w:val="22"/>
        </w:rPr>
        <w:t>y</w:t>
      </w:r>
      <w:r w:rsidR="003C52EE">
        <w:rPr>
          <w:rFonts w:ascii="Arial" w:eastAsia="Calibri" w:hAnsi="Arial" w:cs="Arial"/>
          <w:color w:val="000000"/>
          <w:sz w:val="22"/>
        </w:rPr>
        <w:t>,</w:t>
      </w:r>
      <w:r w:rsidR="00397E63">
        <w:rPr>
          <w:rFonts w:ascii="Arial" w:eastAsia="Calibri" w:hAnsi="Arial" w:cs="Arial"/>
          <w:color w:val="000000"/>
          <w:sz w:val="22"/>
        </w:rPr>
        <w:t xml:space="preserve"> finalmente, iv) indica que se deberá llevar a cabo un proceso de capacitación a los municipios. </w:t>
      </w:r>
    </w:p>
    <w:bookmarkEnd w:id="4"/>
    <w:p w14:paraId="247F5A43" w14:textId="1CCA1228" w:rsidR="00397E63" w:rsidRDefault="00397E63" w:rsidP="00397E63">
      <w:pPr>
        <w:spacing w:before="120" w:after="120" w:line="276" w:lineRule="auto"/>
        <w:ind w:left="66" w:firstLine="360"/>
        <w:jc w:val="both"/>
        <w:rPr>
          <w:rFonts w:ascii="Arial" w:eastAsia="Calibri" w:hAnsi="Arial" w:cs="Arial"/>
          <w:color w:val="000000"/>
          <w:sz w:val="22"/>
        </w:rPr>
      </w:pPr>
      <w:r>
        <w:rPr>
          <w:rFonts w:ascii="Arial" w:eastAsia="Calibri" w:hAnsi="Arial" w:cs="Arial"/>
          <w:color w:val="000000"/>
          <w:sz w:val="22"/>
        </w:rPr>
        <w:tab/>
      </w:r>
      <w:r w:rsidR="00B73AB0">
        <w:rPr>
          <w:rFonts w:ascii="Arial" w:eastAsia="Calibri" w:hAnsi="Arial" w:cs="Arial"/>
          <w:color w:val="000000"/>
          <w:sz w:val="22"/>
        </w:rPr>
        <w:t>E</w:t>
      </w:r>
      <w:r w:rsidR="006A4217">
        <w:rPr>
          <w:rFonts w:ascii="Arial" w:eastAsia="Calibri" w:hAnsi="Arial" w:cs="Arial"/>
          <w:color w:val="000000"/>
          <w:sz w:val="22"/>
        </w:rPr>
        <w:t>sta ley</w:t>
      </w:r>
      <w:r>
        <w:rPr>
          <w:rFonts w:ascii="Arial" w:eastAsia="Calibri" w:hAnsi="Arial" w:cs="Arial"/>
          <w:color w:val="000000"/>
          <w:sz w:val="22"/>
        </w:rPr>
        <w:t xml:space="preserve"> </w:t>
      </w:r>
      <w:r w:rsidR="00B73AB0">
        <w:rPr>
          <w:rFonts w:ascii="Arial" w:eastAsia="Calibri" w:hAnsi="Arial" w:cs="Arial"/>
          <w:color w:val="000000"/>
          <w:sz w:val="22"/>
        </w:rPr>
        <w:t xml:space="preserve">reitera </w:t>
      </w:r>
      <w:r>
        <w:rPr>
          <w:rFonts w:ascii="Arial" w:eastAsia="Calibri" w:hAnsi="Arial" w:cs="Arial"/>
          <w:color w:val="000000"/>
          <w:sz w:val="22"/>
        </w:rPr>
        <w:t>que en los documentos tipo se definirán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De igual manera</w:t>
      </w:r>
      <w:r w:rsidR="00B73AB0">
        <w:rPr>
          <w:rFonts w:ascii="Arial" w:eastAsia="Calibri" w:hAnsi="Arial" w:cs="Arial"/>
          <w:color w:val="000000"/>
          <w:sz w:val="22"/>
        </w:rPr>
        <w:t xml:space="preserve"> que,</w:t>
      </w:r>
      <w:r>
        <w:rPr>
          <w:rFonts w:ascii="Arial" w:eastAsia="Calibri" w:hAnsi="Arial" w:cs="Arial"/>
          <w:color w:val="000000"/>
          <w:sz w:val="22"/>
        </w:rPr>
        <w:t xml:space="preserve"> </w:t>
      </w:r>
      <w:r w:rsidRPr="00397E63">
        <w:rPr>
          <w:rFonts w:ascii="Arial" w:eastAsia="Calibri" w:hAnsi="Arial" w:cs="Arial"/>
          <w:color w:val="000000"/>
          <w:sz w:val="22"/>
        </w:rPr>
        <w:t>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w:t>
      </w:r>
      <w:r>
        <w:rPr>
          <w:rFonts w:ascii="Arial" w:eastAsia="Calibri" w:hAnsi="Arial" w:cs="Arial"/>
          <w:color w:val="000000"/>
          <w:sz w:val="22"/>
        </w:rPr>
        <w:t xml:space="preserve">. </w:t>
      </w:r>
    </w:p>
    <w:p w14:paraId="61C83000" w14:textId="6C824B76" w:rsidR="00E67E00" w:rsidRPr="00E67E00" w:rsidRDefault="00E67E00" w:rsidP="00296A84">
      <w:pPr>
        <w:spacing w:line="276" w:lineRule="auto"/>
        <w:ind w:right="51" w:firstLine="708"/>
        <w:contextualSpacing/>
        <w:jc w:val="both"/>
        <w:rPr>
          <w:rFonts w:ascii="Arial" w:eastAsia="Calibri" w:hAnsi="Arial" w:cs="Arial"/>
          <w:color w:val="000000"/>
          <w:sz w:val="22"/>
        </w:rPr>
      </w:pPr>
      <w:r>
        <w:rPr>
          <w:rFonts w:ascii="Arial" w:eastAsia="Calibri" w:hAnsi="Arial" w:cs="Arial"/>
          <w:color w:val="000000"/>
          <w:sz w:val="22"/>
        </w:rPr>
        <w:t xml:space="preserve">En el mismo sentido, </w:t>
      </w:r>
      <w:r w:rsidRPr="00E67E00">
        <w:rPr>
          <w:rFonts w:ascii="Arial" w:eastAsia="Calibri" w:hAnsi="Arial" w:cs="Arial"/>
          <w:color w:val="000000"/>
          <w:sz w:val="22"/>
        </w:rPr>
        <w:t xml:space="preserve">la </w:t>
      </w:r>
      <w:r w:rsidR="00B73AB0">
        <w:rPr>
          <w:rFonts w:ascii="Arial" w:eastAsia="Calibri" w:hAnsi="Arial" w:cs="Arial"/>
          <w:color w:val="000000"/>
          <w:sz w:val="22"/>
        </w:rPr>
        <w:t>nueva l</w:t>
      </w:r>
      <w:r w:rsidRPr="00E67E00">
        <w:rPr>
          <w:rFonts w:ascii="Arial" w:eastAsia="Calibri" w:hAnsi="Arial" w:cs="Arial"/>
          <w:color w:val="000000"/>
          <w:sz w:val="22"/>
        </w:rPr>
        <w:t>ey establece</w:t>
      </w:r>
      <w:r w:rsidR="006A4217">
        <w:rPr>
          <w:rFonts w:ascii="Arial" w:eastAsia="Calibri" w:hAnsi="Arial" w:cs="Arial"/>
          <w:color w:val="000000"/>
          <w:sz w:val="22"/>
        </w:rPr>
        <w:t xml:space="preserve">, de la misma forma que el artículo 4 de la Ley 1882 de 2018, </w:t>
      </w:r>
      <w:r w:rsidRPr="00E67E00">
        <w:rPr>
          <w:rFonts w:ascii="Arial" w:eastAsia="Calibri" w:hAnsi="Arial" w:cs="Arial"/>
          <w:color w:val="000000"/>
          <w:sz w:val="22"/>
        </w:rPr>
        <w:t xml:space="preserve">que los documentos tipo son de uso </w:t>
      </w:r>
      <w:r w:rsidR="00B73AB0">
        <w:rPr>
          <w:rFonts w:ascii="Arial" w:eastAsia="Calibri" w:hAnsi="Arial" w:cs="Arial"/>
          <w:color w:val="000000"/>
          <w:sz w:val="22"/>
        </w:rPr>
        <w:t xml:space="preserve">obligatorio </w:t>
      </w:r>
      <w:r w:rsidRPr="00E67E00">
        <w:rPr>
          <w:rFonts w:ascii="Arial" w:eastAsia="Calibri" w:hAnsi="Arial" w:cs="Arial"/>
          <w:color w:val="000000"/>
          <w:sz w:val="22"/>
        </w:rPr>
        <w:t xml:space="preserve">por parte de las entidades </w:t>
      </w:r>
      <w:r w:rsidR="00B73AB0">
        <w:rPr>
          <w:rFonts w:ascii="Arial" w:eastAsia="Calibri" w:hAnsi="Arial" w:cs="Arial"/>
          <w:color w:val="000000"/>
          <w:sz w:val="22"/>
        </w:rPr>
        <w:t>estatales</w:t>
      </w:r>
      <w:r w:rsidRPr="00E67E00">
        <w:rPr>
          <w:rFonts w:ascii="Arial" w:eastAsia="Calibri" w:hAnsi="Arial" w:cs="Arial"/>
          <w:color w:val="000000"/>
          <w:sz w:val="22"/>
        </w:rPr>
        <w:t xml:space="preserve"> que </w:t>
      </w:r>
      <w:r w:rsidR="00B73AB0">
        <w:rPr>
          <w:rFonts w:ascii="Arial" w:eastAsia="Calibri" w:hAnsi="Arial" w:cs="Arial"/>
          <w:color w:val="000000"/>
          <w:sz w:val="22"/>
        </w:rPr>
        <w:t xml:space="preserve">realicen </w:t>
      </w:r>
      <w:r w:rsidRPr="00E67E00">
        <w:rPr>
          <w:rFonts w:ascii="Arial" w:eastAsia="Calibri" w:hAnsi="Arial" w:cs="Arial"/>
          <w:color w:val="000000"/>
          <w:sz w:val="22"/>
        </w:rPr>
        <w:t>procesos de contratación que se encuentren sometidos al Estatuto General de Contratación de la Administración Pública, es decir, aquellas entidades estatales mencionadas en el artículo 2º de la Ley 80 de 1993</w:t>
      </w:r>
      <w:r w:rsidRPr="00296A84">
        <w:rPr>
          <w:rFonts w:ascii="Arial" w:eastAsia="Calibri" w:hAnsi="Arial" w:cs="Arial"/>
          <w:color w:val="000000"/>
          <w:sz w:val="22"/>
          <w:vertAlign w:val="superscript"/>
        </w:rPr>
        <w:footnoteReference w:id="7"/>
      </w:r>
      <w:r w:rsidRPr="00E67E00">
        <w:rPr>
          <w:rFonts w:ascii="Arial" w:eastAsia="Calibri" w:hAnsi="Arial" w:cs="Arial"/>
          <w:color w:val="000000"/>
          <w:sz w:val="22"/>
        </w:rPr>
        <w:t xml:space="preserve">. Esto significa, de </w:t>
      </w:r>
      <w:r w:rsidRPr="00E67E00">
        <w:rPr>
          <w:rFonts w:ascii="Arial" w:eastAsia="Calibri" w:hAnsi="Arial" w:cs="Arial"/>
          <w:color w:val="000000"/>
          <w:sz w:val="22"/>
        </w:rPr>
        <w:lastRenderedPageBreak/>
        <w:t>una parte, que dichos documentos tipo tienen como fin servir como fuente obligatoria para la elaboración de los pliegos de condiciones y, de otra, que los documentos tipo adoptados por la Agencia son obligatorios por expreso mandato del legislador para las entidades sometidas a</w:t>
      </w:r>
      <w:r w:rsidR="0086361C">
        <w:rPr>
          <w:rFonts w:ascii="Arial" w:eastAsia="Calibri" w:hAnsi="Arial" w:cs="Arial"/>
          <w:color w:val="000000"/>
          <w:sz w:val="22"/>
        </w:rPr>
        <w:t xml:space="preserve"> la Ley 80 de 1993</w:t>
      </w:r>
      <w:r w:rsidRPr="00E67E00">
        <w:rPr>
          <w:rFonts w:ascii="Arial" w:eastAsia="Calibri" w:hAnsi="Arial" w:cs="Arial"/>
          <w:color w:val="000000"/>
          <w:sz w:val="22"/>
        </w:rPr>
        <w:t>.</w:t>
      </w:r>
    </w:p>
    <w:p w14:paraId="76C989EE" w14:textId="773114F6" w:rsidR="00BD12F0" w:rsidRDefault="00397E63" w:rsidP="00296A84">
      <w:pPr>
        <w:spacing w:before="120" w:after="120"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Finalmente, </w:t>
      </w:r>
      <w:r w:rsidR="0086361C">
        <w:rPr>
          <w:rFonts w:ascii="Arial" w:eastAsia="Calibri" w:hAnsi="Arial" w:cs="Arial"/>
          <w:color w:val="000000"/>
          <w:sz w:val="22"/>
        </w:rPr>
        <w:t>la ley</w:t>
      </w:r>
      <w:r w:rsidR="00E67E00">
        <w:rPr>
          <w:rFonts w:ascii="Arial" w:eastAsia="Calibri" w:hAnsi="Arial" w:cs="Arial"/>
          <w:color w:val="000000"/>
          <w:sz w:val="22"/>
        </w:rPr>
        <w:t xml:space="preserve"> establece </w:t>
      </w:r>
      <w:r w:rsidR="0086361C">
        <w:rPr>
          <w:rFonts w:ascii="Arial" w:eastAsia="Calibri" w:hAnsi="Arial" w:cs="Arial"/>
          <w:color w:val="000000"/>
          <w:sz w:val="22"/>
        </w:rPr>
        <w:t xml:space="preserve">en el inciso final del artículo primero </w:t>
      </w:r>
      <w:r w:rsidR="00E67E00">
        <w:rPr>
          <w:rFonts w:ascii="Arial" w:eastAsia="Calibri" w:hAnsi="Arial" w:cs="Arial"/>
          <w:color w:val="000000"/>
          <w:sz w:val="22"/>
        </w:rPr>
        <w:t xml:space="preserve">que los documentos tipo, adoptados en virtud del artículo 4 de la Ley 1882 de 2018, </w:t>
      </w:r>
      <w:r w:rsidR="00E67E00" w:rsidRPr="00E67E00">
        <w:rPr>
          <w:rFonts w:ascii="Arial" w:eastAsia="Calibri" w:hAnsi="Arial" w:cs="Arial"/>
          <w:color w:val="000000"/>
          <w:sz w:val="22"/>
        </w:rPr>
        <w:t xml:space="preserve">para los pliegos de condiciones de los procesos de selección de obras públicas, </w:t>
      </w:r>
      <w:r w:rsidR="00E67E00">
        <w:rPr>
          <w:rFonts w:ascii="Arial" w:eastAsia="Calibri" w:hAnsi="Arial" w:cs="Arial"/>
          <w:color w:val="000000"/>
          <w:sz w:val="22"/>
        </w:rPr>
        <w:t xml:space="preserve">esto es, los documentos tipo de infraestructura de transporte, </w:t>
      </w:r>
      <w:r w:rsidR="0086361C">
        <w:rPr>
          <w:rFonts w:ascii="Arial" w:eastAsia="Calibri" w:hAnsi="Arial" w:cs="Arial"/>
          <w:color w:val="000000"/>
          <w:sz w:val="22"/>
        </w:rPr>
        <w:t xml:space="preserve">que fueron los que se adoptaron en vigencia de dicha ley, </w:t>
      </w:r>
      <w:r w:rsidR="00E67E00">
        <w:rPr>
          <w:rFonts w:ascii="Arial" w:eastAsia="Calibri" w:hAnsi="Arial" w:cs="Arial"/>
          <w:color w:val="000000"/>
          <w:sz w:val="22"/>
        </w:rPr>
        <w:t xml:space="preserve">son de obligatorio cumplimiento y no pierden vigencia con la expedición de la Ley 2022 de 2020. </w:t>
      </w:r>
    </w:p>
    <w:p w14:paraId="7BD08181" w14:textId="30FE12E3" w:rsidR="00BD12F0" w:rsidRDefault="00BD12F0" w:rsidP="00296A84">
      <w:pPr>
        <w:spacing w:line="276" w:lineRule="auto"/>
        <w:ind w:left="66" w:firstLine="642"/>
        <w:jc w:val="both"/>
        <w:rPr>
          <w:rFonts w:ascii="Arial" w:eastAsia="Calibri" w:hAnsi="Arial" w:cs="Arial"/>
          <w:color w:val="000000"/>
          <w:sz w:val="22"/>
        </w:rPr>
      </w:pPr>
      <w:r>
        <w:rPr>
          <w:rFonts w:ascii="Arial" w:eastAsia="Calibri" w:hAnsi="Arial" w:cs="Arial"/>
          <w:color w:val="000000"/>
          <w:sz w:val="22"/>
        </w:rPr>
        <w:t xml:space="preserve">Explicadas las normas que regulan la adopción de los documentos tipo, a continuación, se responderá cada una de sus inquietudes. </w:t>
      </w:r>
    </w:p>
    <w:p w14:paraId="6F34D749" w14:textId="77777777" w:rsidR="003C52EE" w:rsidRDefault="003C52EE" w:rsidP="00296A84">
      <w:pPr>
        <w:spacing w:line="276" w:lineRule="auto"/>
        <w:ind w:left="66" w:firstLine="642"/>
        <w:jc w:val="both"/>
        <w:rPr>
          <w:rFonts w:ascii="Arial" w:eastAsia="Calibri" w:hAnsi="Arial" w:cs="Arial"/>
          <w:color w:val="000000"/>
          <w:sz w:val="22"/>
        </w:rPr>
      </w:pPr>
    </w:p>
    <w:p w14:paraId="08D6E222" w14:textId="5933FC10" w:rsidR="00BD12F0" w:rsidRDefault="00BD12F0" w:rsidP="00296A84">
      <w:pPr>
        <w:pStyle w:val="Prrafodelista"/>
        <w:numPr>
          <w:ilvl w:val="0"/>
          <w:numId w:val="6"/>
        </w:numPr>
        <w:spacing w:line="276" w:lineRule="auto"/>
        <w:ind w:left="993" w:hanging="284"/>
        <w:contextualSpacing w:val="0"/>
        <w:jc w:val="both"/>
        <w:rPr>
          <w:rFonts w:ascii="Arial" w:eastAsia="Calibri" w:hAnsi="Arial" w:cs="Arial"/>
          <w:b/>
          <w:bCs/>
          <w:color w:val="000000"/>
          <w:sz w:val="22"/>
        </w:rPr>
      </w:pPr>
      <w:r w:rsidRPr="00BD12F0">
        <w:rPr>
          <w:rFonts w:ascii="Arial" w:eastAsia="Calibri" w:hAnsi="Arial" w:cs="Arial"/>
          <w:b/>
          <w:bCs/>
          <w:color w:val="000000"/>
          <w:sz w:val="22"/>
        </w:rPr>
        <w:t>Respuesta</w:t>
      </w:r>
    </w:p>
    <w:p w14:paraId="3A59C50F" w14:textId="77777777" w:rsidR="003C52EE" w:rsidRPr="00BD12F0" w:rsidRDefault="003C52EE" w:rsidP="00296A84">
      <w:pPr>
        <w:pStyle w:val="Prrafodelista"/>
        <w:spacing w:line="276" w:lineRule="auto"/>
        <w:ind w:left="993"/>
        <w:contextualSpacing w:val="0"/>
        <w:jc w:val="both"/>
        <w:rPr>
          <w:rFonts w:ascii="Arial" w:eastAsia="Calibri" w:hAnsi="Arial" w:cs="Arial"/>
          <w:b/>
          <w:bCs/>
          <w:color w:val="000000"/>
          <w:sz w:val="22"/>
        </w:rPr>
      </w:pPr>
    </w:p>
    <w:p w14:paraId="721C6B56" w14:textId="2FF9A72C" w:rsidR="00BD12F0" w:rsidRPr="00296A84" w:rsidRDefault="00BD12F0" w:rsidP="005F61D1">
      <w:pPr>
        <w:pStyle w:val="Normal11pt"/>
        <w:numPr>
          <w:ilvl w:val="0"/>
          <w:numId w:val="7"/>
        </w:numPr>
        <w:tabs>
          <w:tab w:val="left" w:pos="284"/>
        </w:tabs>
        <w:ind w:left="0" w:right="51" w:firstLine="0"/>
        <w:rPr>
          <w:rFonts w:eastAsia="Calibri"/>
        </w:rPr>
      </w:pPr>
      <w:r w:rsidRPr="00296A84">
        <w:rPr>
          <w:rFonts w:eastAsia="Calibri"/>
          <w:lang w:val="es-MX"/>
        </w:rPr>
        <w:t>¿Cuál es el cronograma de entrada en vigor de los pliegos tipo?</w:t>
      </w:r>
    </w:p>
    <w:p w14:paraId="7657316C" w14:textId="77777777" w:rsidR="00BD12F0" w:rsidRPr="00296A84" w:rsidRDefault="00BD12F0" w:rsidP="00BD12F0">
      <w:pPr>
        <w:pStyle w:val="Normal11pt"/>
        <w:ind w:left="360" w:right="51"/>
        <w:rPr>
          <w:rFonts w:eastAsia="Calibri"/>
        </w:rPr>
      </w:pPr>
    </w:p>
    <w:p w14:paraId="1420BAAF" w14:textId="229C043C" w:rsidR="00BD12F0" w:rsidRPr="00296A84" w:rsidRDefault="006A4217" w:rsidP="00BD12F0">
      <w:pPr>
        <w:pStyle w:val="Normal11pt"/>
        <w:spacing w:line="276" w:lineRule="auto"/>
        <w:ind w:left="0" w:right="51"/>
      </w:pPr>
      <w:r w:rsidRPr="00296A84">
        <w:t xml:space="preserve">La Agencia Nacional de Contratación Pública, en virtud del artículo 1 de la Ley 2022 </w:t>
      </w:r>
      <w:r w:rsidR="00DE4C6C">
        <w:t xml:space="preserve">de </w:t>
      </w:r>
      <w:r w:rsidRPr="00296A84">
        <w:t xml:space="preserve">2020, </w:t>
      </w:r>
      <w:r w:rsidR="00DE4C6C" w:rsidRPr="00296A84">
        <w:t>elabora los cronogramas</w:t>
      </w:r>
      <w:r w:rsidR="00DE4C6C">
        <w:t xml:space="preserve"> para cada</w:t>
      </w:r>
      <w:r w:rsidR="00DE4C6C" w:rsidRPr="00296A84">
        <w:t xml:space="preserve"> documentos tipo que </w:t>
      </w:r>
      <w:r w:rsidR="00DE4C6C">
        <w:t>decida implementar</w:t>
      </w:r>
      <w:r w:rsidR="00DE4C6C" w:rsidRPr="00296A84">
        <w:t xml:space="preserve">, es así </w:t>
      </w:r>
      <w:r w:rsidR="00DE4C6C">
        <w:t>que para los documentos tipo de interventoría de obra pública de infraestructura de transporte se definió el siguiente cronograma</w:t>
      </w:r>
      <w:r w:rsidR="00BD12F0" w:rsidRPr="00296A84">
        <w:t xml:space="preserve">: </w:t>
      </w:r>
    </w:p>
    <w:p w14:paraId="559A3BEA" w14:textId="77777777" w:rsidR="00BD12F0" w:rsidRPr="00296A84" w:rsidRDefault="00BD12F0" w:rsidP="00BD12F0">
      <w:pPr>
        <w:pStyle w:val="Normal11pt"/>
        <w:spacing w:line="276" w:lineRule="auto"/>
        <w:ind w:left="0" w:right="51"/>
      </w:pPr>
    </w:p>
    <w:p w14:paraId="39C086ED" w14:textId="565B2712" w:rsidR="00BD12F0" w:rsidRPr="00296A84" w:rsidRDefault="00BD12F0" w:rsidP="00BD12F0">
      <w:pPr>
        <w:pStyle w:val="Normal11pt"/>
        <w:numPr>
          <w:ilvl w:val="0"/>
          <w:numId w:val="9"/>
        </w:numPr>
        <w:spacing w:line="276" w:lineRule="auto"/>
        <w:ind w:right="51"/>
      </w:pPr>
      <w:r w:rsidRPr="00296A84">
        <w:t>Documentos tipo para los procesos de interventoría de obra pública de infraestructura de transporte (Tabla 1)</w:t>
      </w:r>
    </w:p>
    <w:p w14:paraId="0537CAD7" w14:textId="77777777" w:rsidR="006A4217" w:rsidRPr="006A4217" w:rsidRDefault="006A4217" w:rsidP="006A4217">
      <w:pPr>
        <w:ind w:right="51"/>
        <w:jc w:val="both"/>
        <w:rPr>
          <w:rFonts w:ascii="Arial" w:eastAsia="Times New Roman" w:hAnsi="Arial" w:cs="Arial"/>
          <w:color w:val="000000"/>
          <w:sz w:val="22"/>
          <w:lang w:val="es-ES_tradnl" w:eastAsia="es-ES"/>
        </w:rPr>
      </w:pPr>
    </w:p>
    <w:tbl>
      <w:tblPr>
        <w:tblW w:w="8500" w:type="dxa"/>
        <w:jc w:val="center"/>
        <w:tblCellMar>
          <w:left w:w="70" w:type="dxa"/>
          <w:right w:w="70" w:type="dxa"/>
        </w:tblCellMar>
        <w:tblLook w:val="04A0" w:firstRow="1" w:lastRow="0" w:firstColumn="1" w:lastColumn="0" w:noHBand="0" w:noVBand="1"/>
      </w:tblPr>
      <w:tblGrid>
        <w:gridCol w:w="753"/>
        <w:gridCol w:w="2503"/>
        <w:gridCol w:w="2526"/>
        <w:gridCol w:w="1443"/>
        <w:gridCol w:w="1275"/>
      </w:tblGrid>
      <w:tr w:rsidR="006A4217" w:rsidRPr="006A4217" w14:paraId="2377281D" w14:textId="77777777" w:rsidTr="006A4217">
        <w:trPr>
          <w:trHeight w:val="13"/>
          <w:tblHeader/>
          <w:jc w:val="center"/>
        </w:trPr>
        <w:tc>
          <w:tcPr>
            <w:tcW w:w="8500" w:type="dxa"/>
            <w:gridSpan w:val="5"/>
            <w:tcBorders>
              <w:top w:val="single" w:sz="4" w:space="0" w:color="000000"/>
              <w:left w:val="single" w:sz="4" w:space="0" w:color="000000"/>
              <w:bottom w:val="single" w:sz="4" w:space="0" w:color="000000"/>
              <w:right w:val="single" w:sz="4" w:space="0" w:color="000000"/>
            </w:tcBorders>
            <w:shd w:val="clear" w:color="auto" w:fill="D9D9D9"/>
            <w:noWrap/>
            <w:vAlign w:val="center"/>
            <w:hideMark/>
          </w:tcPr>
          <w:p w14:paraId="486D4830" w14:textId="401C39A8" w:rsidR="006A4217" w:rsidRPr="006A4217" w:rsidRDefault="006A4217" w:rsidP="006A4217">
            <w:pPr>
              <w:jc w:val="center"/>
              <w:rPr>
                <w:rFonts w:ascii="Arial" w:eastAsia="Times New Roman" w:hAnsi="Arial" w:cs="Arial"/>
                <w:b/>
                <w:bCs/>
                <w:color w:val="000000"/>
                <w:sz w:val="20"/>
                <w:szCs w:val="20"/>
                <w:lang w:val="es-ES" w:eastAsia="es-CO"/>
              </w:rPr>
            </w:pPr>
            <w:r w:rsidRPr="006A4217">
              <w:rPr>
                <w:rFonts w:ascii="Arial" w:eastAsia="Times New Roman" w:hAnsi="Arial" w:cs="Arial"/>
                <w:b/>
                <w:bCs/>
                <w:color w:val="000000"/>
                <w:sz w:val="20"/>
                <w:szCs w:val="20"/>
                <w:lang w:val="es-ES" w:eastAsia="es-CO"/>
              </w:rPr>
              <w:lastRenderedPageBreak/>
              <w:t>DOCUMENTOS TIPO DE INTERVENTORIA DE OBRA PÚBLICA DE INFRAESTRUCTURA DE TRANSPORTE</w:t>
            </w:r>
            <w:r w:rsidR="00BD12F0">
              <w:rPr>
                <w:rStyle w:val="Refdenotaalpie"/>
                <w:rFonts w:ascii="Arial" w:eastAsia="Times New Roman" w:hAnsi="Arial" w:cs="Arial"/>
                <w:b/>
                <w:bCs/>
                <w:color w:val="000000"/>
                <w:sz w:val="20"/>
                <w:szCs w:val="20"/>
                <w:lang w:val="es-ES" w:eastAsia="es-CO"/>
              </w:rPr>
              <w:footnoteReference w:id="8"/>
            </w:r>
          </w:p>
        </w:tc>
      </w:tr>
      <w:tr w:rsidR="006A4217" w:rsidRPr="006A4217" w14:paraId="10EFE32B" w14:textId="77777777" w:rsidTr="006A4217">
        <w:trPr>
          <w:trHeight w:val="537"/>
          <w:tblHeader/>
          <w:jc w:val="center"/>
        </w:trPr>
        <w:tc>
          <w:tcPr>
            <w:tcW w:w="753" w:type="dxa"/>
            <w:vMerge w:val="restart"/>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2D4AAFBC" w14:textId="77777777" w:rsidR="006A4217" w:rsidRPr="006A4217" w:rsidRDefault="006A4217" w:rsidP="006A4217">
            <w:pPr>
              <w:jc w:val="center"/>
              <w:rPr>
                <w:rFonts w:ascii="Arial" w:eastAsia="Times New Roman" w:hAnsi="Arial" w:cs="Arial"/>
                <w:b/>
                <w:bCs/>
                <w:sz w:val="20"/>
                <w:szCs w:val="20"/>
                <w:lang w:val="es-ES" w:eastAsia="es-CO"/>
              </w:rPr>
            </w:pPr>
            <w:r w:rsidRPr="006A4217">
              <w:rPr>
                <w:rFonts w:ascii="Arial" w:eastAsia="Times New Roman" w:hAnsi="Arial" w:cs="Arial"/>
                <w:b/>
                <w:bCs/>
                <w:sz w:val="20"/>
                <w:szCs w:val="20"/>
                <w:lang w:val="es-ES" w:eastAsia="es-CO"/>
              </w:rPr>
              <w:t>No.</w:t>
            </w:r>
          </w:p>
        </w:tc>
        <w:tc>
          <w:tcPr>
            <w:tcW w:w="250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54498EA" w14:textId="77777777" w:rsidR="006A4217" w:rsidRPr="006A4217" w:rsidRDefault="006A4217" w:rsidP="006A4217">
            <w:pPr>
              <w:jc w:val="center"/>
              <w:rPr>
                <w:rFonts w:ascii="Arial" w:eastAsia="Times New Roman" w:hAnsi="Arial" w:cs="Arial"/>
                <w:b/>
                <w:bCs/>
                <w:sz w:val="20"/>
                <w:szCs w:val="20"/>
                <w:lang w:val="es-ES" w:eastAsia="es-CO"/>
              </w:rPr>
            </w:pPr>
            <w:r w:rsidRPr="006A4217">
              <w:rPr>
                <w:rFonts w:ascii="Arial" w:eastAsia="Times New Roman" w:hAnsi="Arial" w:cs="Arial"/>
                <w:b/>
                <w:bCs/>
                <w:sz w:val="20"/>
                <w:szCs w:val="20"/>
                <w:lang w:val="es-ES" w:eastAsia="es-CO"/>
              </w:rPr>
              <w:t>Componentes e hitos</w:t>
            </w:r>
          </w:p>
        </w:tc>
        <w:tc>
          <w:tcPr>
            <w:tcW w:w="252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3AB05C6" w14:textId="77777777" w:rsidR="006A4217" w:rsidRPr="006A4217" w:rsidRDefault="006A4217" w:rsidP="006A4217">
            <w:pPr>
              <w:jc w:val="center"/>
              <w:rPr>
                <w:rFonts w:ascii="Arial" w:eastAsia="Times New Roman" w:hAnsi="Arial" w:cs="Arial"/>
                <w:b/>
                <w:bCs/>
                <w:color w:val="000000"/>
                <w:sz w:val="20"/>
                <w:szCs w:val="20"/>
                <w:lang w:val="es-ES" w:eastAsia="es-CO"/>
              </w:rPr>
            </w:pPr>
            <w:r w:rsidRPr="006A4217">
              <w:rPr>
                <w:rFonts w:ascii="Arial" w:eastAsia="Times New Roman" w:hAnsi="Arial" w:cs="Arial"/>
                <w:b/>
                <w:bCs/>
                <w:color w:val="000000"/>
                <w:sz w:val="20"/>
                <w:szCs w:val="20"/>
                <w:lang w:val="es-ES" w:eastAsia="es-CO"/>
              </w:rPr>
              <w:t>Detalle</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30962AE" w14:textId="77777777" w:rsidR="006A4217" w:rsidRPr="006A4217" w:rsidRDefault="006A4217" w:rsidP="006A4217">
            <w:pPr>
              <w:jc w:val="center"/>
              <w:rPr>
                <w:rFonts w:ascii="Arial" w:eastAsia="Times New Roman" w:hAnsi="Arial" w:cs="Arial"/>
                <w:b/>
                <w:bCs/>
                <w:sz w:val="20"/>
                <w:szCs w:val="20"/>
                <w:lang w:val="es-ES" w:eastAsia="es-CO"/>
              </w:rPr>
            </w:pPr>
            <w:r w:rsidRPr="006A4217">
              <w:rPr>
                <w:rFonts w:ascii="Arial" w:eastAsia="Times New Roman" w:hAnsi="Arial" w:cs="Arial"/>
                <w:b/>
                <w:bCs/>
                <w:sz w:val="20"/>
                <w:szCs w:val="20"/>
                <w:lang w:val="es-ES" w:eastAsia="es-CO"/>
              </w:rPr>
              <w:t>Fecha inicio</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A1BA0AC" w14:textId="77777777" w:rsidR="006A4217" w:rsidRPr="006A4217" w:rsidRDefault="006A4217" w:rsidP="006A4217">
            <w:pPr>
              <w:jc w:val="center"/>
              <w:rPr>
                <w:rFonts w:ascii="Arial" w:eastAsia="Times New Roman" w:hAnsi="Arial" w:cs="Arial"/>
                <w:b/>
                <w:bCs/>
                <w:sz w:val="20"/>
                <w:szCs w:val="20"/>
                <w:lang w:val="es-ES" w:eastAsia="es-CO"/>
              </w:rPr>
            </w:pPr>
            <w:r w:rsidRPr="006A4217">
              <w:rPr>
                <w:rFonts w:ascii="Arial" w:eastAsia="Times New Roman" w:hAnsi="Arial" w:cs="Arial"/>
                <w:b/>
                <w:bCs/>
                <w:sz w:val="20"/>
                <w:szCs w:val="20"/>
                <w:lang w:val="es-ES" w:eastAsia="es-CO"/>
              </w:rPr>
              <w:t>Fecha fin</w:t>
            </w:r>
          </w:p>
        </w:tc>
      </w:tr>
      <w:tr w:rsidR="006A4217" w:rsidRPr="006A4217" w14:paraId="3F504840" w14:textId="77777777" w:rsidTr="006263D5">
        <w:trPr>
          <w:trHeight w:val="537"/>
          <w:tblHeader/>
          <w:jc w:val="center"/>
        </w:trPr>
        <w:tc>
          <w:tcPr>
            <w:tcW w:w="753" w:type="dxa"/>
            <w:vMerge/>
            <w:tcBorders>
              <w:top w:val="single" w:sz="4" w:space="0" w:color="auto"/>
              <w:left w:val="single" w:sz="4" w:space="0" w:color="auto"/>
              <w:bottom w:val="single" w:sz="4" w:space="0" w:color="auto"/>
              <w:right w:val="single" w:sz="4" w:space="0" w:color="auto"/>
            </w:tcBorders>
            <w:vAlign w:val="center"/>
            <w:hideMark/>
          </w:tcPr>
          <w:p w14:paraId="5DEAA5B0" w14:textId="77777777" w:rsidR="006A4217" w:rsidRPr="006A4217" w:rsidRDefault="006A4217" w:rsidP="006A4217">
            <w:pPr>
              <w:rPr>
                <w:rFonts w:ascii="Arial" w:eastAsia="Times New Roman" w:hAnsi="Arial" w:cs="Arial"/>
                <w:b/>
                <w:bCs/>
                <w:sz w:val="20"/>
                <w:szCs w:val="20"/>
                <w:lang w:val="es-ES" w:eastAsia="es-CO"/>
              </w:rPr>
            </w:pPr>
          </w:p>
        </w:tc>
        <w:tc>
          <w:tcPr>
            <w:tcW w:w="2503" w:type="dxa"/>
            <w:vMerge/>
            <w:tcBorders>
              <w:top w:val="single" w:sz="4" w:space="0" w:color="auto"/>
              <w:left w:val="single" w:sz="4" w:space="0" w:color="auto"/>
              <w:bottom w:val="single" w:sz="4" w:space="0" w:color="auto"/>
              <w:right w:val="single" w:sz="4" w:space="0" w:color="auto"/>
            </w:tcBorders>
            <w:vAlign w:val="center"/>
            <w:hideMark/>
          </w:tcPr>
          <w:p w14:paraId="0DE32C34" w14:textId="77777777" w:rsidR="006A4217" w:rsidRPr="006A4217" w:rsidRDefault="006A4217" w:rsidP="006A4217">
            <w:pPr>
              <w:rPr>
                <w:rFonts w:ascii="Arial" w:eastAsia="Times New Roman" w:hAnsi="Arial" w:cs="Arial"/>
                <w:b/>
                <w:bCs/>
                <w:sz w:val="20"/>
                <w:szCs w:val="20"/>
                <w:lang w:val="es-ES" w:eastAsia="es-CO"/>
              </w:rPr>
            </w:pPr>
          </w:p>
        </w:tc>
        <w:tc>
          <w:tcPr>
            <w:tcW w:w="2526" w:type="dxa"/>
            <w:vMerge/>
            <w:tcBorders>
              <w:top w:val="single" w:sz="4" w:space="0" w:color="auto"/>
              <w:left w:val="single" w:sz="4" w:space="0" w:color="auto"/>
              <w:bottom w:val="single" w:sz="4" w:space="0" w:color="auto"/>
              <w:right w:val="single" w:sz="4" w:space="0" w:color="auto"/>
            </w:tcBorders>
            <w:vAlign w:val="center"/>
            <w:hideMark/>
          </w:tcPr>
          <w:p w14:paraId="5F238382" w14:textId="77777777" w:rsidR="006A4217" w:rsidRPr="006A4217" w:rsidRDefault="006A4217" w:rsidP="006A4217">
            <w:pPr>
              <w:rPr>
                <w:rFonts w:ascii="Arial" w:eastAsia="Times New Roman" w:hAnsi="Arial" w:cs="Arial"/>
                <w:b/>
                <w:bCs/>
                <w:color w:val="000000"/>
                <w:sz w:val="20"/>
                <w:szCs w:val="20"/>
                <w:lang w:val="es-ES" w:eastAsia="es-CO"/>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14:paraId="7078EA0A" w14:textId="77777777" w:rsidR="006A4217" w:rsidRPr="006A4217" w:rsidRDefault="006A4217" w:rsidP="006A4217">
            <w:pPr>
              <w:rPr>
                <w:rFonts w:ascii="Arial" w:eastAsia="Times New Roman" w:hAnsi="Arial" w:cs="Arial"/>
                <w:b/>
                <w:bCs/>
                <w:sz w:val="20"/>
                <w:szCs w:val="20"/>
                <w:lang w:val="es-ES" w:eastAsia="es-CO"/>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9B77D56" w14:textId="77777777" w:rsidR="006A4217" w:rsidRPr="006A4217" w:rsidRDefault="006A4217" w:rsidP="006A4217">
            <w:pPr>
              <w:rPr>
                <w:rFonts w:ascii="Arial" w:eastAsia="Times New Roman" w:hAnsi="Arial" w:cs="Arial"/>
                <w:b/>
                <w:bCs/>
                <w:sz w:val="20"/>
                <w:szCs w:val="20"/>
                <w:lang w:val="es-ES" w:eastAsia="es-CO"/>
              </w:rPr>
            </w:pPr>
          </w:p>
        </w:tc>
      </w:tr>
      <w:tr w:rsidR="006A4217" w:rsidRPr="006A4217" w14:paraId="3B79F69A" w14:textId="77777777" w:rsidTr="006A4217">
        <w:trPr>
          <w:trHeight w:val="1909"/>
          <w:jc w:val="center"/>
        </w:trPr>
        <w:tc>
          <w:tcPr>
            <w:tcW w:w="753" w:type="dxa"/>
            <w:tcBorders>
              <w:top w:val="single" w:sz="4" w:space="0" w:color="auto"/>
              <w:left w:val="single" w:sz="4" w:space="0" w:color="000000"/>
              <w:bottom w:val="single" w:sz="4" w:space="0" w:color="A5A5A5"/>
              <w:right w:val="single" w:sz="4" w:space="0" w:color="000000"/>
            </w:tcBorders>
            <w:shd w:val="clear" w:color="auto" w:fill="auto"/>
            <w:noWrap/>
            <w:vAlign w:val="center"/>
            <w:hideMark/>
          </w:tcPr>
          <w:p w14:paraId="05F08A55" w14:textId="77777777" w:rsidR="006A4217" w:rsidRPr="006A4217" w:rsidRDefault="006A4217" w:rsidP="006A4217">
            <w:pPr>
              <w:jc w:val="center"/>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1</w:t>
            </w:r>
          </w:p>
        </w:tc>
        <w:tc>
          <w:tcPr>
            <w:tcW w:w="2503" w:type="dxa"/>
            <w:tcBorders>
              <w:top w:val="single" w:sz="4" w:space="0" w:color="auto"/>
              <w:left w:val="nil"/>
              <w:bottom w:val="single" w:sz="4" w:space="0" w:color="A5A5A5"/>
              <w:right w:val="single" w:sz="4" w:space="0" w:color="000000"/>
            </w:tcBorders>
            <w:shd w:val="clear" w:color="auto" w:fill="auto"/>
            <w:vAlign w:val="center"/>
            <w:hideMark/>
          </w:tcPr>
          <w:p w14:paraId="77F79280"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Estructuración de componente jurídico-administrativo de la versión preliminar de los documentos tipo.</w:t>
            </w:r>
          </w:p>
        </w:tc>
        <w:tc>
          <w:tcPr>
            <w:tcW w:w="2526" w:type="dxa"/>
            <w:tcBorders>
              <w:top w:val="single" w:sz="4" w:space="0" w:color="auto"/>
              <w:left w:val="nil"/>
              <w:bottom w:val="single" w:sz="4" w:space="0" w:color="A5A5A5"/>
              <w:right w:val="single" w:sz="4" w:space="0" w:color="000000"/>
            </w:tcBorders>
            <w:shd w:val="clear" w:color="auto" w:fill="auto"/>
            <w:vAlign w:val="center"/>
            <w:hideMark/>
          </w:tcPr>
          <w:p w14:paraId="6FBC3E78"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Investigación interna del tema para fijar condiciones jurídico-administrativas particulares aplicables a la modalidad de interventoría de obra pública de infraestructura de transporte.</w:t>
            </w:r>
          </w:p>
        </w:tc>
        <w:tc>
          <w:tcPr>
            <w:tcW w:w="1443" w:type="dxa"/>
            <w:tcBorders>
              <w:top w:val="single" w:sz="4" w:space="0" w:color="auto"/>
              <w:left w:val="nil"/>
              <w:bottom w:val="single" w:sz="4" w:space="0" w:color="A5A5A5"/>
              <w:right w:val="single" w:sz="4" w:space="0" w:color="000000"/>
            </w:tcBorders>
            <w:shd w:val="clear" w:color="auto" w:fill="auto"/>
            <w:noWrap/>
            <w:vAlign w:val="center"/>
            <w:hideMark/>
          </w:tcPr>
          <w:p w14:paraId="23B5791B"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23/07/2020</w:t>
            </w:r>
          </w:p>
        </w:tc>
        <w:tc>
          <w:tcPr>
            <w:tcW w:w="1275" w:type="dxa"/>
            <w:tcBorders>
              <w:top w:val="single" w:sz="4" w:space="0" w:color="auto"/>
              <w:left w:val="nil"/>
              <w:bottom w:val="single" w:sz="4" w:space="0" w:color="A5A5A5"/>
              <w:right w:val="single" w:sz="4" w:space="0" w:color="000000"/>
            </w:tcBorders>
            <w:shd w:val="clear" w:color="auto" w:fill="auto"/>
            <w:noWrap/>
            <w:vAlign w:val="center"/>
            <w:hideMark/>
          </w:tcPr>
          <w:p w14:paraId="03F3CFDD"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30/07/2020</w:t>
            </w:r>
          </w:p>
        </w:tc>
      </w:tr>
      <w:tr w:rsidR="006A4217" w:rsidRPr="006A4217" w14:paraId="1D9ED1D7" w14:textId="77777777" w:rsidTr="006A4217">
        <w:trPr>
          <w:trHeight w:val="1979"/>
          <w:jc w:val="center"/>
        </w:trPr>
        <w:tc>
          <w:tcPr>
            <w:tcW w:w="753" w:type="dxa"/>
            <w:tcBorders>
              <w:top w:val="single" w:sz="4" w:space="0" w:color="A5A5A5"/>
              <w:left w:val="single" w:sz="4" w:space="0" w:color="000000"/>
              <w:bottom w:val="single" w:sz="4" w:space="0" w:color="A5A5A5"/>
              <w:right w:val="single" w:sz="4" w:space="0" w:color="000000"/>
            </w:tcBorders>
            <w:shd w:val="clear" w:color="auto" w:fill="auto"/>
            <w:noWrap/>
            <w:vAlign w:val="center"/>
            <w:hideMark/>
          </w:tcPr>
          <w:p w14:paraId="50F636F4" w14:textId="77777777" w:rsidR="006A4217" w:rsidRPr="006A4217" w:rsidRDefault="006A4217" w:rsidP="006A4217">
            <w:pPr>
              <w:jc w:val="center"/>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2</w:t>
            </w:r>
          </w:p>
        </w:tc>
        <w:tc>
          <w:tcPr>
            <w:tcW w:w="2503" w:type="dxa"/>
            <w:tcBorders>
              <w:top w:val="single" w:sz="4" w:space="0" w:color="A5A5A5"/>
              <w:left w:val="nil"/>
              <w:bottom w:val="single" w:sz="4" w:space="0" w:color="A5A5A5"/>
              <w:right w:val="single" w:sz="4" w:space="0" w:color="000000"/>
            </w:tcBorders>
            <w:shd w:val="clear" w:color="auto" w:fill="auto"/>
            <w:vAlign w:val="center"/>
            <w:hideMark/>
          </w:tcPr>
          <w:p w14:paraId="10A713A6"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Mesas técnicas con entidades especializadas para la estructuración técnica de los pliegos.</w:t>
            </w:r>
          </w:p>
        </w:tc>
        <w:tc>
          <w:tcPr>
            <w:tcW w:w="2526" w:type="dxa"/>
            <w:tcBorders>
              <w:top w:val="single" w:sz="4" w:space="0" w:color="A5A5A5"/>
              <w:left w:val="nil"/>
              <w:bottom w:val="single" w:sz="4" w:space="0" w:color="A5A5A5"/>
              <w:right w:val="single" w:sz="4" w:space="0" w:color="000000"/>
            </w:tcBorders>
            <w:shd w:val="clear" w:color="auto" w:fill="auto"/>
            <w:vAlign w:val="center"/>
            <w:hideMark/>
          </w:tcPr>
          <w:p w14:paraId="74A97515"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 xml:space="preserve">Definición de lineamientos y contenidos del proyecto de pliego tipo elaborado por CCE, y acuerdo sobre su implementación gradual. </w:t>
            </w:r>
          </w:p>
        </w:tc>
        <w:tc>
          <w:tcPr>
            <w:tcW w:w="1443" w:type="dxa"/>
            <w:tcBorders>
              <w:top w:val="single" w:sz="4" w:space="0" w:color="A5A5A5"/>
              <w:left w:val="nil"/>
              <w:bottom w:val="single" w:sz="4" w:space="0" w:color="A5A5A5"/>
              <w:right w:val="single" w:sz="4" w:space="0" w:color="000000"/>
            </w:tcBorders>
            <w:shd w:val="clear" w:color="auto" w:fill="auto"/>
            <w:noWrap/>
            <w:vAlign w:val="center"/>
            <w:hideMark/>
          </w:tcPr>
          <w:p w14:paraId="23FDA629"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23/07/2020</w:t>
            </w:r>
          </w:p>
        </w:tc>
        <w:tc>
          <w:tcPr>
            <w:tcW w:w="1275" w:type="dxa"/>
            <w:tcBorders>
              <w:top w:val="single" w:sz="4" w:space="0" w:color="A5A5A5"/>
              <w:left w:val="nil"/>
              <w:bottom w:val="single" w:sz="4" w:space="0" w:color="A5A5A5"/>
              <w:right w:val="single" w:sz="4" w:space="0" w:color="000000"/>
            </w:tcBorders>
            <w:shd w:val="clear" w:color="auto" w:fill="auto"/>
            <w:noWrap/>
            <w:vAlign w:val="center"/>
            <w:hideMark/>
          </w:tcPr>
          <w:p w14:paraId="54DC2C5D"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14/08/2020</w:t>
            </w:r>
          </w:p>
        </w:tc>
      </w:tr>
      <w:tr w:rsidR="006A4217" w:rsidRPr="006A4217" w14:paraId="1B426DDE" w14:textId="77777777" w:rsidTr="006A4217">
        <w:trPr>
          <w:trHeight w:val="1277"/>
          <w:jc w:val="center"/>
        </w:trPr>
        <w:tc>
          <w:tcPr>
            <w:tcW w:w="753" w:type="dxa"/>
            <w:tcBorders>
              <w:top w:val="single" w:sz="4" w:space="0" w:color="A5A5A5"/>
              <w:left w:val="single" w:sz="4" w:space="0" w:color="000000"/>
              <w:bottom w:val="single" w:sz="4" w:space="0" w:color="A5A5A5"/>
              <w:right w:val="single" w:sz="4" w:space="0" w:color="000000"/>
            </w:tcBorders>
            <w:shd w:val="clear" w:color="auto" w:fill="auto"/>
            <w:noWrap/>
            <w:vAlign w:val="center"/>
          </w:tcPr>
          <w:p w14:paraId="70E4E7B7" w14:textId="77777777" w:rsidR="006A4217" w:rsidRPr="006A4217" w:rsidRDefault="006A4217" w:rsidP="006A4217">
            <w:pPr>
              <w:jc w:val="center"/>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 xml:space="preserve">3. </w:t>
            </w:r>
          </w:p>
        </w:tc>
        <w:tc>
          <w:tcPr>
            <w:tcW w:w="2503" w:type="dxa"/>
            <w:tcBorders>
              <w:top w:val="single" w:sz="4" w:space="0" w:color="A5A5A5"/>
              <w:left w:val="nil"/>
              <w:bottom w:val="single" w:sz="4" w:space="0" w:color="A5A5A5"/>
              <w:right w:val="single" w:sz="4" w:space="0" w:color="000000"/>
            </w:tcBorders>
            <w:shd w:val="clear" w:color="auto" w:fill="auto"/>
            <w:vAlign w:val="center"/>
          </w:tcPr>
          <w:p w14:paraId="189A43AE"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Elaboración del proyecto de resolución y de la memoria justificativa.</w:t>
            </w:r>
          </w:p>
        </w:tc>
        <w:tc>
          <w:tcPr>
            <w:tcW w:w="2526" w:type="dxa"/>
            <w:tcBorders>
              <w:top w:val="single" w:sz="4" w:space="0" w:color="A5A5A5"/>
              <w:left w:val="nil"/>
              <w:bottom w:val="single" w:sz="4" w:space="0" w:color="A5A5A5"/>
              <w:right w:val="single" w:sz="4" w:space="0" w:color="000000"/>
            </w:tcBorders>
            <w:shd w:val="clear" w:color="auto" w:fill="auto"/>
            <w:vAlign w:val="center"/>
          </w:tcPr>
          <w:p w14:paraId="712328C6"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Elaboración del proyecto de resolución y de la memoria justificativa.</w:t>
            </w:r>
          </w:p>
        </w:tc>
        <w:tc>
          <w:tcPr>
            <w:tcW w:w="1443" w:type="dxa"/>
            <w:tcBorders>
              <w:top w:val="single" w:sz="4" w:space="0" w:color="A5A5A5"/>
              <w:left w:val="nil"/>
              <w:bottom w:val="single" w:sz="4" w:space="0" w:color="A5A5A5"/>
              <w:right w:val="single" w:sz="4" w:space="0" w:color="000000"/>
            </w:tcBorders>
            <w:shd w:val="clear" w:color="auto" w:fill="auto"/>
            <w:noWrap/>
            <w:vAlign w:val="center"/>
          </w:tcPr>
          <w:p w14:paraId="6CE02777"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01/08/2020</w:t>
            </w:r>
          </w:p>
        </w:tc>
        <w:tc>
          <w:tcPr>
            <w:tcW w:w="1275" w:type="dxa"/>
            <w:tcBorders>
              <w:top w:val="single" w:sz="4" w:space="0" w:color="A5A5A5"/>
              <w:left w:val="nil"/>
              <w:bottom w:val="single" w:sz="4" w:space="0" w:color="A5A5A5"/>
              <w:right w:val="single" w:sz="4" w:space="0" w:color="000000"/>
            </w:tcBorders>
            <w:shd w:val="clear" w:color="auto" w:fill="auto"/>
            <w:noWrap/>
            <w:vAlign w:val="center"/>
          </w:tcPr>
          <w:p w14:paraId="6E570407"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14/08/2020</w:t>
            </w:r>
          </w:p>
        </w:tc>
      </w:tr>
      <w:tr w:rsidR="006A4217" w:rsidRPr="006A4217" w14:paraId="1520E6F6" w14:textId="77777777" w:rsidTr="006A4217">
        <w:trPr>
          <w:trHeight w:val="1277"/>
          <w:jc w:val="center"/>
        </w:trPr>
        <w:tc>
          <w:tcPr>
            <w:tcW w:w="753" w:type="dxa"/>
            <w:tcBorders>
              <w:top w:val="single" w:sz="4" w:space="0" w:color="A5A5A5"/>
              <w:left w:val="single" w:sz="4" w:space="0" w:color="000000"/>
              <w:bottom w:val="single" w:sz="4" w:space="0" w:color="A5A5A5"/>
              <w:right w:val="single" w:sz="4" w:space="0" w:color="000000"/>
            </w:tcBorders>
            <w:shd w:val="clear" w:color="auto" w:fill="auto"/>
            <w:noWrap/>
            <w:vAlign w:val="center"/>
            <w:hideMark/>
          </w:tcPr>
          <w:p w14:paraId="5E7D91B9" w14:textId="77777777" w:rsidR="006A4217" w:rsidRPr="006A4217" w:rsidRDefault="006A4217" w:rsidP="006A4217">
            <w:pPr>
              <w:jc w:val="center"/>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4</w:t>
            </w:r>
          </w:p>
        </w:tc>
        <w:tc>
          <w:tcPr>
            <w:tcW w:w="2503" w:type="dxa"/>
            <w:tcBorders>
              <w:top w:val="single" w:sz="4" w:space="0" w:color="A5A5A5"/>
              <w:left w:val="nil"/>
              <w:bottom w:val="single" w:sz="4" w:space="0" w:color="A5A5A5"/>
              <w:right w:val="single" w:sz="4" w:space="0" w:color="000000"/>
            </w:tcBorders>
            <w:shd w:val="clear" w:color="auto" w:fill="auto"/>
            <w:vAlign w:val="center"/>
            <w:hideMark/>
          </w:tcPr>
          <w:p w14:paraId="124C4944"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Publicación del proyecto de documento tipo en la página web.</w:t>
            </w:r>
          </w:p>
        </w:tc>
        <w:tc>
          <w:tcPr>
            <w:tcW w:w="2526" w:type="dxa"/>
            <w:tcBorders>
              <w:top w:val="single" w:sz="4" w:space="0" w:color="A5A5A5"/>
              <w:left w:val="nil"/>
              <w:bottom w:val="single" w:sz="4" w:space="0" w:color="A5A5A5"/>
              <w:right w:val="single" w:sz="4" w:space="0" w:color="000000"/>
            </w:tcBorders>
            <w:shd w:val="clear" w:color="auto" w:fill="auto"/>
            <w:vAlign w:val="center"/>
            <w:hideMark/>
          </w:tcPr>
          <w:p w14:paraId="13A36E21"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Publicación para comentarios y observaciones de: i) el proyecto de documento tipo y ii) el proyecto de resolución que los adopta.</w:t>
            </w:r>
          </w:p>
        </w:tc>
        <w:tc>
          <w:tcPr>
            <w:tcW w:w="1443" w:type="dxa"/>
            <w:tcBorders>
              <w:top w:val="single" w:sz="4" w:space="0" w:color="A5A5A5"/>
              <w:left w:val="nil"/>
              <w:bottom w:val="single" w:sz="4" w:space="0" w:color="A5A5A5"/>
              <w:right w:val="single" w:sz="4" w:space="0" w:color="000000"/>
            </w:tcBorders>
            <w:shd w:val="clear" w:color="auto" w:fill="auto"/>
            <w:noWrap/>
            <w:vAlign w:val="center"/>
            <w:hideMark/>
          </w:tcPr>
          <w:p w14:paraId="7FC492D8"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18/08/2020</w:t>
            </w:r>
          </w:p>
        </w:tc>
        <w:tc>
          <w:tcPr>
            <w:tcW w:w="1275" w:type="dxa"/>
            <w:tcBorders>
              <w:top w:val="single" w:sz="4" w:space="0" w:color="A5A5A5"/>
              <w:left w:val="nil"/>
              <w:bottom w:val="single" w:sz="4" w:space="0" w:color="A5A5A5"/>
              <w:right w:val="single" w:sz="4" w:space="0" w:color="000000"/>
            </w:tcBorders>
            <w:shd w:val="clear" w:color="auto" w:fill="auto"/>
            <w:noWrap/>
            <w:vAlign w:val="center"/>
            <w:hideMark/>
          </w:tcPr>
          <w:p w14:paraId="334264C7"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31/08/2020</w:t>
            </w:r>
          </w:p>
        </w:tc>
      </w:tr>
      <w:tr w:rsidR="006A4217" w:rsidRPr="006A4217" w14:paraId="2A9577AC" w14:textId="77777777" w:rsidTr="006A4217">
        <w:trPr>
          <w:trHeight w:val="1252"/>
          <w:jc w:val="center"/>
        </w:trPr>
        <w:tc>
          <w:tcPr>
            <w:tcW w:w="753" w:type="dxa"/>
            <w:tcBorders>
              <w:top w:val="single" w:sz="4" w:space="0" w:color="A5A5A5"/>
              <w:left w:val="single" w:sz="4" w:space="0" w:color="000000"/>
              <w:bottom w:val="single" w:sz="4" w:space="0" w:color="D9D9D9"/>
              <w:right w:val="single" w:sz="4" w:space="0" w:color="000000"/>
            </w:tcBorders>
            <w:shd w:val="clear" w:color="auto" w:fill="auto"/>
            <w:noWrap/>
            <w:vAlign w:val="center"/>
            <w:hideMark/>
          </w:tcPr>
          <w:p w14:paraId="2A49157B" w14:textId="77777777" w:rsidR="006A4217" w:rsidRPr="006A4217" w:rsidRDefault="006A4217" w:rsidP="006A4217">
            <w:pPr>
              <w:jc w:val="center"/>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5</w:t>
            </w:r>
          </w:p>
        </w:tc>
        <w:tc>
          <w:tcPr>
            <w:tcW w:w="2503" w:type="dxa"/>
            <w:tcBorders>
              <w:top w:val="single" w:sz="4" w:space="0" w:color="A5A5A5"/>
              <w:left w:val="nil"/>
              <w:bottom w:val="single" w:sz="4" w:space="0" w:color="A5A5A5"/>
              <w:right w:val="single" w:sz="4" w:space="0" w:color="000000"/>
            </w:tcBorders>
            <w:shd w:val="clear" w:color="auto" w:fill="auto"/>
            <w:vAlign w:val="center"/>
            <w:hideMark/>
          </w:tcPr>
          <w:p w14:paraId="50C9C64E"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Revisión de los comentarios y ajustes al documento tipo frente a los borradores anteriores.</w:t>
            </w:r>
          </w:p>
        </w:tc>
        <w:tc>
          <w:tcPr>
            <w:tcW w:w="2526" w:type="dxa"/>
            <w:tcBorders>
              <w:top w:val="single" w:sz="4" w:space="0" w:color="A5A5A5"/>
              <w:left w:val="nil"/>
              <w:bottom w:val="single" w:sz="4" w:space="0" w:color="A5A5A5"/>
              <w:right w:val="single" w:sz="4" w:space="0" w:color="000000"/>
            </w:tcBorders>
            <w:shd w:val="clear" w:color="auto" w:fill="auto"/>
            <w:vAlign w:val="center"/>
            <w:hideMark/>
          </w:tcPr>
          <w:p w14:paraId="67C98822"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Generar respuesta a las observaciones y realizar ajustes al documento tipo.</w:t>
            </w:r>
          </w:p>
        </w:tc>
        <w:tc>
          <w:tcPr>
            <w:tcW w:w="1443" w:type="dxa"/>
            <w:tcBorders>
              <w:top w:val="single" w:sz="4" w:space="0" w:color="A5A5A5"/>
              <w:left w:val="nil"/>
              <w:bottom w:val="single" w:sz="4" w:space="0" w:color="A5A5A5"/>
              <w:right w:val="single" w:sz="4" w:space="0" w:color="000000"/>
            </w:tcBorders>
            <w:shd w:val="clear" w:color="auto" w:fill="auto"/>
            <w:noWrap/>
            <w:vAlign w:val="center"/>
            <w:hideMark/>
          </w:tcPr>
          <w:p w14:paraId="39786C79"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01/09/2020</w:t>
            </w:r>
          </w:p>
        </w:tc>
        <w:tc>
          <w:tcPr>
            <w:tcW w:w="1275" w:type="dxa"/>
            <w:tcBorders>
              <w:top w:val="single" w:sz="4" w:space="0" w:color="A5A5A5"/>
              <w:left w:val="nil"/>
              <w:bottom w:val="single" w:sz="4" w:space="0" w:color="A5A5A5"/>
              <w:right w:val="single" w:sz="4" w:space="0" w:color="000000"/>
            </w:tcBorders>
            <w:shd w:val="clear" w:color="auto" w:fill="auto"/>
            <w:noWrap/>
            <w:vAlign w:val="center"/>
            <w:hideMark/>
          </w:tcPr>
          <w:p w14:paraId="5BE63BEA"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18/09/2020</w:t>
            </w:r>
          </w:p>
        </w:tc>
      </w:tr>
      <w:tr w:rsidR="006A4217" w:rsidRPr="006A4217" w14:paraId="2168DBEA" w14:textId="77777777" w:rsidTr="006A4217">
        <w:trPr>
          <w:trHeight w:val="28"/>
          <w:jc w:val="center"/>
        </w:trPr>
        <w:tc>
          <w:tcPr>
            <w:tcW w:w="753" w:type="dxa"/>
            <w:tcBorders>
              <w:top w:val="nil"/>
              <w:left w:val="single" w:sz="4" w:space="0" w:color="000000"/>
              <w:bottom w:val="single" w:sz="4" w:space="0" w:color="A5A5A5"/>
              <w:right w:val="single" w:sz="4" w:space="0" w:color="000000"/>
            </w:tcBorders>
            <w:shd w:val="clear" w:color="auto" w:fill="auto"/>
            <w:noWrap/>
            <w:vAlign w:val="center"/>
            <w:hideMark/>
          </w:tcPr>
          <w:p w14:paraId="431CB808" w14:textId="77777777" w:rsidR="006A4217" w:rsidRPr="006A4217" w:rsidRDefault="006A4217" w:rsidP="006A4217">
            <w:pPr>
              <w:jc w:val="center"/>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6</w:t>
            </w:r>
          </w:p>
        </w:tc>
        <w:tc>
          <w:tcPr>
            <w:tcW w:w="2503" w:type="dxa"/>
            <w:tcBorders>
              <w:top w:val="single" w:sz="4" w:space="0" w:color="A5A5A5"/>
              <w:left w:val="nil"/>
              <w:bottom w:val="single" w:sz="4" w:space="0" w:color="A5A5A5"/>
              <w:right w:val="single" w:sz="4" w:space="0" w:color="000000"/>
            </w:tcBorders>
            <w:shd w:val="clear" w:color="auto" w:fill="auto"/>
            <w:vAlign w:val="center"/>
            <w:hideMark/>
          </w:tcPr>
          <w:p w14:paraId="3FCCEDBD"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Expedición del acto administrativo -Resolución de CCE- y de los documentos tipo.</w:t>
            </w:r>
          </w:p>
        </w:tc>
        <w:tc>
          <w:tcPr>
            <w:tcW w:w="2526" w:type="dxa"/>
            <w:tcBorders>
              <w:top w:val="single" w:sz="4" w:space="0" w:color="A5A5A5"/>
              <w:left w:val="nil"/>
              <w:bottom w:val="single" w:sz="4" w:space="0" w:color="A5A5A5"/>
              <w:right w:val="single" w:sz="4" w:space="0" w:color="000000"/>
            </w:tcBorders>
            <w:shd w:val="clear" w:color="auto" w:fill="auto"/>
            <w:vAlign w:val="center"/>
            <w:hideMark/>
          </w:tcPr>
          <w:p w14:paraId="33C9358A"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Publicación de acto administrativo de CCE y de los documentos tipo definitivos.</w:t>
            </w:r>
          </w:p>
        </w:tc>
        <w:tc>
          <w:tcPr>
            <w:tcW w:w="1443" w:type="dxa"/>
            <w:tcBorders>
              <w:top w:val="single" w:sz="4" w:space="0" w:color="A5A5A5"/>
              <w:left w:val="nil"/>
              <w:bottom w:val="single" w:sz="4" w:space="0" w:color="A5A5A5"/>
              <w:right w:val="single" w:sz="4" w:space="0" w:color="000000"/>
            </w:tcBorders>
            <w:shd w:val="clear" w:color="auto" w:fill="auto"/>
            <w:noWrap/>
            <w:vAlign w:val="center"/>
            <w:hideMark/>
          </w:tcPr>
          <w:p w14:paraId="4917CCB8" w14:textId="77777777" w:rsidR="006A4217" w:rsidRPr="006A4217" w:rsidRDefault="006A4217" w:rsidP="006A4217">
            <w:pPr>
              <w:jc w:val="cente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21/09/2020</w:t>
            </w:r>
          </w:p>
        </w:tc>
        <w:tc>
          <w:tcPr>
            <w:tcW w:w="1275" w:type="dxa"/>
            <w:tcBorders>
              <w:top w:val="single" w:sz="4" w:space="0" w:color="A5A5A5"/>
              <w:left w:val="nil"/>
              <w:bottom w:val="single" w:sz="4" w:space="0" w:color="A5A5A5"/>
              <w:right w:val="single" w:sz="4" w:space="0" w:color="000000"/>
            </w:tcBorders>
            <w:shd w:val="clear" w:color="auto" w:fill="auto"/>
            <w:noWrap/>
            <w:vAlign w:val="center"/>
            <w:hideMark/>
          </w:tcPr>
          <w:p w14:paraId="311583AA" w14:textId="77777777" w:rsidR="006A4217" w:rsidRPr="006A4217" w:rsidRDefault="006A4217" w:rsidP="006A4217">
            <w:pPr>
              <w:rPr>
                <w:rFonts w:ascii="Arial" w:eastAsia="Times New Roman" w:hAnsi="Arial" w:cs="Arial"/>
                <w:sz w:val="20"/>
                <w:szCs w:val="20"/>
                <w:lang w:val="es-ES" w:eastAsia="es-CO"/>
              </w:rPr>
            </w:pPr>
            <w:r w:rsidRPr="006A4217">
              <w:rPr>
                <w:rFonts w:ascii="Arial" w:eastAsia="Times New Roman" w:hAnsi="Arial" w:cs="Arial"/>
                <w:sz w:val="20"/>
                <w:szCs w:val="20"/>
                <w:lang w:val="es-ES" w:eastAsia="es-CO"/>
              </w:rPr>
              <w:t>25/09/2020</w:t>
            </w:r>
          </w:p>
        </w:tc>
      </w:tr>
      <w:tr w:rsidR="006A4217" w:rsidRPr="006A4217" w14:paraId="6CC73EC5" w14:textId="77777777" w:rsidTr="006A4217">
        <w:trPr>
          <w:cantSplit/>
          <w:trHeight w:val="1134"/>
          <w:jc w:val="center"/>
        </w:trPr>
        <w:tc>
          <w:tcPr>
            <w:tcW w:w="753" w:type="dxa"/>
            <w:tcBorders>
              <w:top w:val="single" w:sz="4" w:space="0" w:color="A5A5A5"/>
              <w:left w:val="single" w:sz="4" w:space="0" w:color="000000"/>
              <w:bottom w:val="single" w:sz="4" w:space="0" w:color="auto"/>
              <w:right w:val="single" w:sz="4" w:space="0" w:color="000000"/>
            </w:tcBorders>
            <w:shd w:val="clear" w:color="auto" w:fill="auto"/>
            <w:noWrap/>
            <w:vAlign w:val="center"/>
          </w:tcPr>
          <w:p w14:paraId="4EC95A9A" w14:textId="77777777" w:rsidR="006A4217" w:rsidRPr="006A4217" w:rsidRDefault="006A4217" w:rsidP="006A4217">
            <w:pPr>
              <w:jc w:val="center"/>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lastRenderedPageBreak/>
              <w:t>7</w:t>
            </w:r>
          </w:p>
        </w:tc>
        <w:tc>
          <w:tcPr>
            <w:tcW w:w="2503" w:type="dxa"/>
            <w:tcBorders>
              <w:top w:val="single" w:sz="4" w:space="0" w:color="A5A5A5"/>
              <w:left w:val="nil"/>
              <w:bottom w:val="single" w:sz="4" w:space="0" w:color="auto"/>
              <w:right w:val="single" w:sz="4" w:space="0" w:color="000000"/>
            </w:tcBorders>
            <w:shd w:val="clear" w:color="auto" w:fill="auto"/>
            <w:vAlign w:val="center"/>
          </w:tcPr>
          <w:p w14:paraId="1DA5A16F"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 xml:space="preserve">Implementación de los documentos tipo </w:t>
            </w:r>
          </w:p>
        </w:tc>
        <w:tc>
          <w:tcPr>
            <w:tcW w:w="2526" w:type="dxa"/>
            <w:tcBorders>
              <w:top w:val="single" w:sz="4" w:space="0" w:color="A5A5A5"/>
              <w:left w:val="nil"/>
              <w:bottom w:val="single" w:sz="4" w:space="0" w:color="auto"/>
              <w:right w:val="single" w:sz="4" w:space="0" w:color="000000"/>
            </w:tcBorders>
            <w:shd w:val="clear" w:color="auto" w:fill="auto"/>
            <w:vAlign w:val="center"/>
          </w:tcPr>
          <w:p w14:paraId="762EF0D8" w14:textId="77777777" w:rsidR="006A4217" w:rsidRPr="006A4217" w:rsidRDefault="006A4217" w:rsidP="006A4217">
            <w:pPr>
              <w:jc w:val="both"/>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 xml:space="preserve">Fecha en la cual se implementarán los documentos tipo. </w:t>
            </w:r>
            <w:r w:rsidRPr="006A4217">
              <w:rPr>
                <w:rFonts w:ascii="Arial" w:eastAsia="Times New Roman" w:hAnsi="Arial" w:cs="Arial"/>
                <w:color w:val="FF0000"/>
                <w:sz w:val="20"/>
                <w:szCs w:val="20"/>
                <w:lang w:val="es-ES" w:eastAsia="es-CO"/>
              </w:rPr>
              <w:t xml:space="preserve"> </w:t>
            </w:r>
          </w:p>
        </w:tc>
        <w:tc>
          <w:tcPr>
            <w:tcW w:w="2718" w:type="dxa"/>
            <w:gridSpan w:val="2"/>
            <w:tcBorders>
              <w:top w:val="single" w:sz="4" w:space="0" w:color="A5A5A5"/>
              <w:left w:val="nil"/>
              <w:bottom w:val="single" w:sz="4" w:space="0" w:color="000000"/>
              <w:right w:val="single" w:sz="4" w:space="0" w:color="000000"/>
            </w:tcBorders>
            <w:shd w:val="clear" w:color="auto" w:fill="auto"/>
            <w:noWrap/>
            <w:vAlign w:val="center"/>
          </w:tcPr>
          <w:p w14:paraId="01DA804A" w14:textId="77777777" w:rsidR="006A4217" w:rsidRPr="006A4217" w:rsidRDefault="006A4217" w:rsidP="006A4217">
            <w:pPr>
              <w:jc w:val="center"/>
              <w:rPr>
                <w:rFonts w:ascii="Arial" w:eastAsia="Times New Roman" w:hAnsi="Arial" w:cs="Arial"/>
                <w:color w:val="000000"/>
                <w:sz w:val="20"/>
                <w:szCs w:val="20"/>
                <w:lang w:val="es-ES" w:eastAsia="es-CO"/>
              </w:rPr>
            </w:pPr>
          </w:p>
          <w:p w14:paraId="36784710" w14:textId="77777777" w:rsidR="006A4217" w:rsidRPr="006A4217" w:rsidRDefault="006A4217" w:rsidP="006A4217">
            <w:pPr>
              <w:jc w:val="center"/>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26/10/2020</w:t>
            </w:r>
          </w:p>
          <w:p w14:paraId="3F4B02C9" w14:textId="77777777" w:rsidR="006A4217" w:rsidRPr="006A4217" w:rsidRDefault="006A4217" w:rsidP="006A4217">
            <w:pPr>
              <w:jc w:val="center"/>
              <w:rPr>
                <w:rFonts w:ascii="Arial" w:eastAsia="Times New Roman" w:hAnsi="Arial" w:cs="Arial"/>
                <w:color w:val="000000"/>
                <w:sz w:val="20"/>
                <w:szCs w:val="20"/>
                <w:lang w:val="es-ES" w:eastAsia="es-CO"/>
              </w:rPr>
            </w:pPr>
            <w:r w:rsidRPr="006A4217">
              <w:rPr>
                <w:rFonts w:ascii="Arial" w:eastAsia="Times New Roman" w:hAnsi="Arial" w:cs="Arial"/>
                <w:color w:val="000000"/>
                <w:sz w:val="20"/>
                <w:szCs w:val="20"/>
                <w:lang w:val="es-ES" w:eastAsia="es-CO"/>
              </w:rPr>
              <w:t>(Fecha acordada con las entidades especializadas en la mesa de trabajo del 10 de agosto)</w:t>
            </w:r>
          </w:p>
          <w:p w14:paraId="3BB6BEEC" w14:textId="77777777" w:rsidR="006A4217" w:rsidRPr="006A4217" w:rsidRDefault="006A4217" w:rsidP="006A4217">
            <w:pPr>
              <w:jc w:val="center"/>
              <w:rPr>
                <w:rFonts w:ascii="Arial" w:eastAsia="Times New Roman" w:hAnsi="Arial" w:cs="Arial"/>
                <w:sz w:val="20"/>
                <w:szCs w:val="20"/>
                <w:lang w:val="es-ES" w:eastAsia="es-CO"/>
              </w:rPr>
            </w:pPr>
          </w:p>
        </w:tc>
      </w:tr>
    </w:tbl>
    <w:p w14:paraId="0ACD0AB2" w14:textId="22241902" w:rsidR="006A4217" w:rsidRPr="006A4217" w:rsidRDefault="006A4217" w:rsidP="006A4217">
      <w:pPr>
        <w:spacing w:line="276" w:lineRule="auto"/>
        <w:ind w:right="51"/>
        <w:jc w:val="both"/>
        <w:rPr>
          <w:rFonts w:ascii="Arial" w:eastAsia="Times New Roman" w:hAnsi="Arial" w:cs="Arial"/>
          <w:sz w:val="22"/>
          <w:lang w:val="es-CO" w:eastAsia="es-ES"/>
        </w:rPr>
      </w:pPr>
      <w:r>
        <w:rPr>
          <w:rFonts w:ascii="Arial" w:eastAsia="Times New Roman" w:hAnsi="Arial" w:cs="Arial"/>
          <w:sz w:val="22"/>
          <w:lang w:val="es-CO" w:eastAsia="es-ES"/>
        </w:rPr>
        <w:t xml:space="preserve"> </w:t>
      </w:r>
    </w:p>
    <w:p w14:paraId="0806976C" w14:textId="1D83DEBE" w:rsidR="0070585D" w:rsidRDefault="0070585D" w:rsidP="0070585D">
      <w:pPr>
        <w:pStyle w:val="InviasNormal"/>
        <w:spacing w:before="0" w:after="0" w:line="276" w:lineRule="auto"/>
        <w:rPr>
          <w:rFonts w:ascii="Arial" w:eastAsia="Calibri" w:hAnsi="Arial" w:cs="Arial"/>
          <w:bCs/>
          <w:color w:val="auto"/>
          <w:sz w:val="22"/>
          <w:szCs w:val="22"/>
          <w:lang w:val="es-ES_tradnl" w:eastAsia="en-US"/>
        </w:rPr>
      </w:pPr>
    </w:p>
    <w:p w14:paraId="2DFB73DF" w14:textId="09B15B49" w:rsidR="008035F0" w:rsidRDefault="008035F0" w:rsidP="002E7F3F">
      <w:pPr>
        <w:pStyle w:val="InviasNormal"/>
        <w:numPr>
          <w:ilvl w:val="0"/>
          <w:numId w:val="7"/>
        </w:numPr>
        <w:tabs>
          <w:tab w:val="left" w:pos="142"/>
          <w:tab w:val="left" w:pos="284"/>
        </w:tabs>
        <w:spacing w:before="0" w:after="0" w:line="276" w:lineRule="auto"/>
        <w:ind w:left="0" w:firstLine="0"/>
        <w:rPr>
          <w:rFonts w:ascii="Arial" w:eastAsia="Calibri" w:hAnsi="Arial" w:cs="Arial"/>
          <w:bCs/>
          <w:color w:val="auto"/>
          <w:sz w:val="22"/>
          <w:szCs w:val="22"/>
          <w:lang w:val="es-ES_tradnl" w:eastAsia="en-US"/>
        </w:rPr>
      </w:pPr>
      <w:r w:rsidRPr="008035F0">
        <w:rPr>
          <w:rFonts w:ascii="Arial" w:eastAsia="Calibri" w:hAnsi="Arial" w:cs="Arial"/>
          <w:bCs/>
          <w:color w:val="auto"/>
          <w:sz w:val="22"/>
          <w:szCs w:val="22"/>
          <w:lang w:val="es-MX" w:eastAsia="en-US"/>
        </w:rPr>
        <w:t xml:space="preserve"> ¿</w:t>
      </w:r>
      <w:r w:rsidR="002E7F3F">
        <w:rPr>
          <w:rFonts w:ascii="Arial" w:eastAsia="Calibri" w:hAnsi="Arial" w:cs="Arial"/>
          <w:bCs/>
          <w:color w:val="auto"/>
          <w:sz w:val="22"/>
          <w:szCs w:val="22"/>
          <w:lang w:val="es-MX" w:eastAsia="en-US"/>
        </w:rPr>
        <w:t>C</w:t>
      </w:r>
      <w:r w:rsidRPr="008035F0">
        <w:rPr>
          <w:rFonts w:ascii="Arial" w:eastAsia="Calibri" w:hAnsi="Arial" w:cs="Arial"/>
          <w:bCs/>
          <w:color w:val="auto"/>
          <w:sz w:val="22"/>
          <w:szCs w:val="22"/>
          <w:lang w:val="es-MX" w:eastAsia="en-US"/>
        </w:rPr>
        <w:t>uál es la gradualidad o ciudades que están obligadas a implementarlos?</w:t>
      </w:r>
    </w:p>
    <w:p w14:paraId="3CE87A3F" w14:textId="3DA6A232" w:rsidR="008035F0" w:rsidRDefault="008035F0" w:rsidP="005F61D1">
      <w:pPr>
        <w:pStyle w:val="InviasNormal"/>
        <w:spacing w:before="0" w:after="0" w:line="276" w:lineRule="auto"/>
        <w:rPr>
          <w:rFonts w:ascii="Arial" w:eastAsia="Calibri" w:hAnsi="Arial" w:cs="Arial"/>
          <w:bCs/>
          <w:color w:val="auto"/>
          <w:sz w:val="22"/>
          <w:szCs w:val="22"/>
          <w:lang w:val="es-ES_tradnl" w:eastAsia="en-US"/>
        </w:rPr>
      </w:pPr>
    </w:p>
    <w:p w14:paraId="1703E140" w14:textId="2DACAF18" w:rsidR="005F61D1" w:rsidRDefault="008035F0" w:rsidP="005F61D1">
      <w:pPr>
        <w:pStyle w:val="InviasNormal"/>
        <w:spacing w:before="0" w:after="0" w:line="276" w:lineRule="auto"/>
        <w:rPr>
          <w:rFonts w:ascii="Arial" w:eastAsia="Calibri" w:hAnsi="Arial" w:cs="Arial"/>
          <w:bCs/>
          <w:color w:val="auto"/>
          <w:sz w:val="22"/>
          <w:szCs w:val="22"/>
          <w:lang w:val="es-ES_tradnl" w:eastAsia="en-US"/>
        </w:rPr>
      </w:pPr>
      <w:bookmarkStart w:id="5" w:name="_Hlk48922888"/>
      <w:r>
        <w:rPr>
          <w:rFonts w:ascii="Arial" w:eastAsia="Calibri" w:hAnsi="Arial" w:cs="Arial"/>
          <w:bCs/>
          <w:color w:val="auto"/>
          <w:sz w:val="22"/>
          <w:szCs w:val="22"/>
          <w:lang w:val="es-ES_tradnl" w:eastAsia="en-US"/>
        </w:rPr>
        <w:t xml:space="preserve">La Ley 2022 de 2020, en el artículo 1, señala que todas las entidades sometidas al Estatuto General de </w:t>
      </w:r>
      <w:r w:rsidR="003C52EE">
        <w:rPr>
          <w:rFonts w:ascii="Arial" w:eastAsia="Calibri" w:hAnsi="Arial" w:cs="Arial"/>
          <w:bCs/>
          <w:color w:val="auto"/>
          <w:sz w:val="22"/>
          <w:szCs w:val="22"/>
          <w:lang w:val="es-ES_tradnl" w:eastAsia="en-US"/>
        </w:rPr>
        <w:t>C</w:t>
      </w:r>
      <w:r>
        <w:rPr>
          <w:rFonts w:ascii="Arial" w:eastAsia="Calibri" w:hAnsi="Arial" w:cs="Arial"/>
          <w:bCs/>
          <w:color w:val="auto"/>
          <w:sz w:val="22"/>
          <w:szCs w:val="22"/>
          <w:lang w:val="es-ES_tradnl" w:eastAsia="en-US"/>
        </w:rPr>
        <w:t xml:space="preserve">ontratación </w:t>
      </w:r>
      <w:r w:rsidR="003C52EE">
        <w:rPr>
          <w:rFonts w:ascii="Arial" w:eastAsia="Calibri" w:hAnsi="Arial" w:cs="Arial"/>
          <w:bCs/>
          <w:color w:val="auto"/>
          <w:sz w:val="22"/>
          <w:szCs w:val="22"/>
          <w:lang w:val="es-ES_tradnl" w:eastAsia="en-US"/>
        </w:rPr>
        <w:t>de la Administración P</w:t>
      </w:r>
      <w:r>
        <w:rPr>
          <w:rFonts w:ascii="Arial" w:eastAsia="Calibri" w:hAnsi="Arial" w:cs="Arial"/>
          <w:bCs/>
          <w:color w:val="auto"/>
          <w:sz w:val="22"/>
          <w:szCs w:val="22"/>
          <w:lang w:val="es-ES_tradnl" w:eastAsia="en-US"/>
        </w:rPr>
        <w:t xml:space="preserve">ública están obligadas a aplicar los documentos tipo. </w:t>
      </w:r>
      <w:r w:rsidR="005F61D1">
        <w:rPr>
          <w:rFonts w:ascii="Arial" w:eastAsia="Calibri" w:hAnsi="Arial" w:cs="Arial"/>
          <w:bCs/>
          <w:color w:val="auto"/>
          <w:sz w:val="22"/>
          <w:szCs w:val="22"/>
          <w:lang w:val="es-ES_tradnl" w:eastAsia="en-US"/>
        </w:rPr>
        <w:t xml:space="preserve">Asimismo, indica </w:t>
      </w:r>
      <w:r w:rsidR="005F61D1" w:rsidRPr="005F61D1">
        <w:rPr>
          <w:rFonts w:ascii="Arial" w:eastAsia="Calibri" w:hAnsi="Arial" w:cs="Arial"/>
          <w:bCs/>
          <w:color w:val="auto"/>
          <w:sz w:val="22"/>
          <w:szCs w:val="22"/>
          <w:lang w:val="es-ES_tradnl" w:eastAsia="en-US"/>
        </w:rPr>
        <w:t xml:space="preserve">que la Agencia Nacional de Contratación Pública </w:t>
      </w:r>
      <w:r w:rsidR="005F61D1">
        <w:rPr>
          <w:rFonts w:ascii="Arial" w:eastAsia="Calibri" w:hAnsi="Arial" w:cs="Arial"/>
          <w:bCs/>
          <w:color w:val="auto"/>
          <w:sz w:val="22"/>
          <w:szCs w:val="22"/>
          <w:lang w:val="es-ES_tradnl" w:eastAsia="en-US"/>
        </w:rPr>
        <w:t xml:space="preserve">fijará </w:t>
      </w:r>
      <w:r w:rsidR="005F61D1" w:rsidRPr="005F61D1">
        <w:rPr>
          <w:rFonts w:ascii="Arial" w:eastAsia="Calibri" w:hAnsi="Arial" w:cs="Arial"/>
          <w:bCs/>
          <w:color w:val="auto"/>
          <w:sz w:val="22"/>
          <w:szCs w:val="22"/>
          <w:lang w:val="es-ES_tradnl" w:eastAsia="en-US"/>
        </w:rPr>
        <w:t xml:space="preserve">en coordinación con las entidades técnicas o especializadas el procedimiento para implementar los documentos tipo, con el propósito de facilitar la incorporación de estos en el sistema de compra pública. </w:t>
      </w:r>
    </w:p>
    <w:p w14:paraId="7EFE565A" w14:textId="0B04566F" w:rsidR="005F61D1" w:rsidRDefault="005F61D1" w:rsidP="005F61D1">
      <w:pPr>
        <w:pStyle w:val="InviasNormal"/>
        <w:spacing w:after="120" w:line="276" w:lineRule="auto"/>
        <w:rPr>
          <w:rFonts w:ascii="Arial" w:eastAsia="Calibri" w:hAnsi="Arial" w:cs="Arial"/>
          <w:bCs/>
          <w:color w:val="auto"/>
          <w:sz w:val="22"/>
          <w:szCs w:val="22"/>
          <w:lang w:val="es-ES_tradnl" w:eastAsia="en-US"/>
        </w:rPr>
      </w:pPr>
      <w:r>
        <w:rPr>
          <w:rFonts w:ascii="Arial" w:eastAsia="Calibri" w:hAnsi="Arial" w:cs="Arial"/>
          <w:bCs/>
          <w:color w:val="auto"/>
          <w:sz w:val="22"/>
          <w:szCs w:val="22"/>
          <w:lang w:val="es-ES_tradnl" w:eastAsia="en-US"/>
        </w:rPr>
        <w:tab/>
      </w:r>
      <w:r w:rsidRPr="005F61D1">
        <w:rPr>
          <w:rFonts w:ascii="Arial" w:eastAsia="Calibri" w:hAnsi="Arial" w:cs="Arial"/>
          <w:bCs/>
          <w:color w:val="auto"/>
          <w:sz w:val="22"/>
          <w:szCs w:val="22"/>
          <w:lang w:val="es-ES_tradnl" w:eastAsia="en-US"/>
        </w:rPr>
        <w:t xml:space="preserve">Conforme a ello, </w:t>
      </w:r>
      <w:r>
        <w:rPr>
          <w:rFonts w:ascii="Arial" w:eastAsia="Calibri" w:hAnsi="Arial" w:cs="Arial"/>
          <w:bCs/>
          <w:color w:val="auto"/>
          <w:sz w:val="22"/>
          <w:szCs w:val="22"/>
          <w:lang w:val="es-ES_tradnl" w:eastAsia="en-US"/>
        </w:rPr>
        <w:t xml:space="preserve">en relación con los documentos tipo de interventoría de obra pública de infraestructura de transporte, </w:t>
      </w:r>
      <w:r w:rsidRPr="005F61D1">
        <w:rPr>
          <w:rFonts w:ascii="Arial" w:eastAsia="Calibri" w:hAnsi="Arial" w:cs="Arial"/>
          <w:bCs/>
          <w:color w:val="auto"/>
          <w:sz w:val="22"/>
          <w:szCs w:val="22"/>
          <w:lang w:val="es-ES_tradnl" w:eastAsia="en-US"/>
        </w:rPr>
        <w:t>las entidades especializadas −la Agencia Nacional de Contratación Pública, la Agencia Nacional de Infraestructura, el Instituto Nacional de Vías, la Aeronáutica Civil, el Instituto de Desarrollo Urbano, el Ministerio de Transporte y el Departamento Nacional de Planeación− en la mesa de trabajo adelantada virtualmente el 10 de agosto del 2020, decidieron que la implementación de estos documentos tipo empezaría el 26 de octubre de 2020</w:t>
      </w:r>
      <w:r>
        <w:rPr>
          <w:rFonts w:ascii="Arial" w:eastAsia="Calibri" w:hAnsi="Arial" w:cs="Arial"/>
          <w:bCs/>
          <w:color w:val="auto"/>
          <w:sz w:val="22"/>
          <w:szCs w:val="22"/>
          <w:lang w:val="es-ES_tradnl" w:eastAsia="en-US"/>
        </w:rPr>
        <w:t>.</w:t>
      </w:r>
    </w:p>
    <w:p w14:paraId="6D49D084" w14:textId="482B4A96" w:rsidR="003C52EE" w:rsidRDefault="005F61D1" w:rsidP="00296A84">
      <w:pPr>
        <w:pStyle w:val="InviasNormal"/>
        <w:spacing w:after="0" w:line="276" w:lineRule="auto"/>
        <w:rPr>
          <w:rFonts w:ascii="Arial" w:eastAsia="Calibri" w:hAnsi="Arial" w:cs="Arial"/>
          <w:bCs/>
          <w:color w:val="auto"/>
          <w:sz w:val="22"/>
          <w:szCs w:val="22"/>
          <w:lang w:val="es-ES_tradnl" w:eastAsia="en-US"/>
        </w:rPr>
      </w:pPr>
      <w:r>
        <w:rPr>
          <w:rFonts w:ascii="Arial" w:eastAsia="Calibri" w:hAnsi="Arial" w:cs="Arial"/>
          <w:bCs/>
          <w:color w:val="auto"/>
          <w:sz w:val="22"/>
          <w:szCs w:val="22"/>
          <w:lang w:val="es-ES_tradnl" w:eastAsia="en-US"/>
        </w:rPr>
        <w:tab/>
        <w:t>Por su parte, frente a los documentos tipo de catastro multipropósito todavía no se ha</w:t>
      </w:r>
      <w:r w:rsidR="003C52EE">
        <w:rPr>
          <w:rFonts w:ascii="Arial" w:eastAsia="Calibri" w:hAnsi="Arial" w:cs="Arial"/>
          <w:bCs/>
          <w:color w:val="auto"/>
          <w:sz w:val="22"/>
          <w:szCs w:val="22"/>
          <w:lang w:val="es-ES_tradnl" w:eastAsia="en-US"/>
        </w:rPr>
        <w:t>n</w:t>
      </w:r>
      <w:r>
        <w:rPr>
          <w:rFonts w:ascii="Arial" w:eastAsia="Calibri" w:hAnsi="Arial" w:cs="Arial"/>
          <w:bCs/>
          <w:color w:val="auto"/>
          <w:sz w:val="22"/>
          <w:szCs w:val="22"/>
          <w:lang w:val="es-ES_tradnl" w:eastAsia="en-US"/>
        </w:rPr>
        <w:t xml:space="preserve"> adelantado mesas de trabajo con las entidades especializadas para definir la implementación de est</w:t>
      </w:r>
      <w:r w:rsidR="003C52EE">
        <w:rPr>
          <w:rFonts w:ascii="Arial" w:eastAsia="Calibri" w:hAnsi="Arial" w:cs="Arial"/>
          <w:bCs/>
          <w:color w:val="auto"/>
          <w:sz w:val="22"/>
          <w:szCs w:val="22"/>
          <w:lang w:val="es-ES_tradnl" w:eastAsia="en-US"/>
        </w:rPr>
        <w:t>e</w:t>
      </w:r>
      <w:r>
        <w:rPr>
          <w:rFonts w:ascii="Arial" w:eastAsia="Calibri" w:hAnsi="Arial" w:cs="Arial"/>
          <w:bCs/>
          <w:color w:val="auto"/>
          <w:sz w:val="22"/>
          <w:szCs w:val="22"/>
          <w:lang w:val="es-ES_tradnl" w:eastAsia="en-US"/>
        </w:rPr>
        <w:t xml:space="preserve"> documento tipo</w:t>
      </w:r>
      <w:r w:rsidR="003C52EE">
        <w:rPr>
          <w:rFonts w:ascii="Arial" w:eastAsia="Calibri" w:hAnsi="Arial" w:cs="Arial"/>
          <w:bCs/>
          <w:color w:val="auto"/>
          <w:sz w:val="22"/>
          <w:szCs w:val="22"/>
          <w:lang w:val="es-ES_tradnl" w:eastAsia="en-US"/>
        </w:rPr>
        <w:t>, que se encuentra en construcción.</w:t>
      </w:r>
    </w:p>
    <w:bookmarkEnd w:id="5"/>
    <w:p w14:paraId="30B46248" w14:textId="153B0820" w:rsidR="008035F0" w:rsidRDefault="003C52EE" w:rsidP="00296A84">
      <w:pPr>
        <w:pStyle w:val="InviasNormal"/>
        <w:spacing w:before="0" w:after="0" w:line="276" w:lineRule="auto"/>
        <w:rPr>
          <w:rFonts w:ascii="Arial" w:eastAsia="Calibri" w:hAnsi="Arial" w:cs="Arial"/>
          <w:bCs/>
          <w:color w:val="auto"/>
          <w:sz w:val="22"/>
          <w:szCs w:val="22"/>
          <w:lang w:val="es-ES_tradnl" w:eastAsia="en-US"/>
        </w:rPr>
      </w:pPr>
      <w:r>
        <w:rPr>
          <w:rFonts w:ascii="Arial" w:eastAsia="Calibri" w:hAnsi="Arial" w:cs="Arial"/>
          <w:bCs/>
          <w:color w:val="auto"/>
          <w:sz w:val="22"/>
          <w:szCs w:val="22"/>
          <w:lang w:val="es-ES_tradnl" w:eastAsia="en-US"/>
        </w:rPr>
        <w:t xml:space="preserve"> </w:t>
      </w:r>
      <w:r w:rsidR="005F61D1">
        <w:rPr>
          <w:rFonts w:ascii="Arial" w:eastAsia="Calibri" w:hAnsi="Arial" w:cs="Arial"/>
          <w:bCs/>
          <w:color w:val="auto"/>
          <w:sz w:val="22"/>
          <w:szCs w:val="22"/>
          <w:lang w:val="es-ES_tradnl" w:eastAsia="en-US"/>
        </w:rPr>
        <w:t xml:space="preserve"> </w:t>
      </w:r>
    </w:p>
    <w:p w14:paraId="4E066DF5" w14:textId="69B77567" w:rsidR="005F61D1" w:rsidRPr="006263D5" w:rsidRDefault="002E7F3F" w:rsidP="00296A84">
      <w:pPr>
        <w:pStyle w:val="Prrafodelista"/>
        <w:tabs>
          <w:tab w:val="left" w:pos="426"/>
          <w:tab w:val="left" w:pos="8080"/>
        </w:tabs>
        <w:spacing w:line="276" w:lineRule="auto"/>
        <w:ind w:left="851" w:right="709"/>
        <w:contextualSpacing w:val="0"/>
        <w:jc w:val="both"/>
        <w:rPr>
          <w:rFonts w:ascii="Arial" w:eastAsia="Calibri" w:hAnsi="Arial" w:cs="Arial"/>
          <w:bCs/>
          <w:sz w:val="22"/>
          <w:lang w:val="es-ES_tradnl"/>
        </w:rPr>
      </w:pPr>
      <w:r>
        <w:rPr>
          <w:rFonts w:ascii="Arial" w:eastAsia="Calibri" w:hAnsi="Arial" w:cs="Arial"/>
          <w:bCs/>
          <w:sz w:val="22"/>
          <w:lang w:val="es-ES_tradnl"/>
        </w:rPr>
        <w:t xml:space="preserve">iii) </w:t>
      </w:r>
      <w:r w:rsidR="005F61D1">
        <w:rPr>
          <w:rFonts w:ascii="Arial" w:eastAsia="Calibri" w:hAnsi="Arial" w:cs="Arial"/>
          <w:bCs/>
          <w:sz w:val="22"/>
          <w:lang w:val="es-ES_tradnl"/>
        </w:rPr>
        <w:t>S</w:t>
      </w:r>
      <w:r w:rsidR="005F61D1" w:rsidRPr="005F61D1">
        <w:rPr>
          <w:rFonts w:ascii="Arial" w:eastAsia="Calibri" w:hAnsi="Arial" w:cs="Arial"/>
          <w:bCs/>
          <w:sz w:val="22"/>
          <w:lang w:val="es-ES_tradnl"/>
        </w:rPr>
        <w:t xml:space="preserve">i el municipio de arboletes Antioquia está obligado a la utilización de pliegos tipo, los índices financieros del sector </w:t>
      </w:r>
      <w:r w:rsidR="005F61D1">
        <w:rPr>
          <w:rFonts w:ascii="Arial" w:eastAsia="Calibri" w:hAnsi="Arial" w:cs="Arial"/>
          <w:bCs/>
          <w:sz w:val="22"/>
          <w:lang w:val="es-ES_tradnl"/>
        </w:rPr>
        <w:t>¿</w:t>
      </w:r>
      <w:r w:rsidR="005F61D1" w:rsidRPr="005F61D1">
        <w:rPr>
          <w:rFonts w:ascii="Arial" w:eastAsia="Calibri" w:hAnsi="Arial" w:cs="Arial"/>
          <w:bCs/>
          <w:sz w:val="22"/>
          <w:lang w:val="es-ES_tradnl"/>
        </w:rPr>
        <w:t>cómo podrá sacarlos la entidad? ¿estarán estandarizados por Colombia Compra?</w:t>
      </w:r>
    </w:p>
    <w:p w14:paraId="4F415E85" w14:textId="77777777" w:rsidR="003C52EE" w:rsidRDefault="003C52EE" w:rsidP="00296A84">
      <w:pPr>
        <w:pStyle w:val="InviasNormal"/>
        <w:spacing w:before="0" w:after="0" w:line="276" w:lineRule="auto"/>
        <w:rPr>
          <w:rFonts w:ascii="Arial" w:eastAsia="Calibri" w:hAnsi="Arial" w:cs="Arial"/>
          <w:bCs/>
          <w:color w:val="auto"/>
          <w:sz w:val="22"/>
          <w:szCs w:val="22"/>
          <w:lang w:val="es-ES_tradnl" w:eastAsia="en-US"/>
        </w:rPr>
      </w:pPr>
    </w:p>
    <w:p w14:paraId="2F596BD3" w14:textId="27FC1126" w:rsidR="005F61D1" w:rsidRDefault="005F61D1" w:rsidP="00296A84">
      <w:pPr>
        <w:pStyle w:val="InviasNormal"/>
        <w:spacing w:before="0" w:after="120" w:line="276" w:lineRule="auto"/>
        <w:rPr>
          <w:rFonts w:ascii="Arial" w:eastAsia="Calibri" w:hAnsi="Arial" w:cs="Arial"/>
          <w:bCs/>
          <w:color w:val="auto"/>
          <w:sz w:val="22"/>
          <w:szCs w:val="22"/>
          <w:lang w:val="es-ES_tradnl" w:eastAsia="en-US"/>
        </w:rPr>
      </w:pPr>
      <w:r>
        <w:rPr>
          <w:rFonts w:ascii="Arial" w:eastAsia="Calibri" w:hAnsi="Arial" w:cs="Arial"/>
          <w:bCs/>
          <w:color w:val="auto"/>
          <w:sz w:val="22"/>
          <w:szCs w:val="22"/>
          <w:lang w:val="es-ES_tradnl" w:eastAsia="en-US"/>
        </w:rPr>
        <w:t>Los documentos tipo son de obligatorio cumplimiento por parte de las entidades</w:t>
      </w:r>
      <w:r w:rsidR="003C52EE">
        <w:rPr>
          <w:rFonts w:ascii="Arial" w:eastAsia="Calibri" w:hAnsi="Arial" w:cs="Arial"/>
          <w:bCs/>
          <w:color w:val="auto"/>
          <w:sz w:val="22"/>
          <w:szCs w:val="22"/>
          <w:lang w:val="es-ES_tradnl" w:eastAsia="en-US"/>
        </w:rPr>
        <w:t xml:space="preserve"> estatales</w:t>
      </w:r>
      <w:r>
        <w:rPr>
          <w:rFonts w:ascii="Arial" w:eastAsia="Calibri" w:hAnsi="Arial" w:cs="Arial"/>
          <w:bCs/>
          <w:color w:val="auto"/>
          <w:sz w:val="22"/>
          <w:szCs w:val="22"/>
          <w:lang w:val="es-ES_tradnl" w:eastAsia="en-US"/>
        </w:rPr>
        <w:t xml:space="preserve"> sometidas al Estatuto General de Contratación</w:t>
      </w:r>
      <w:r w:rsidR="003C52EE">
        <w:rPr>
          <w:rFonts w:ascii="Arial" w:eastAsia="Calibri" w:hAnsi="Arial" w:cs="Arial"/>
          <w:bCs/>
          <w:color w:val="auto"/>
          <w:sz w:val="22"/>
          <w:szCs w:val="22"/>
          <w:lang w:val="es-ES_tradnl" w:eastAsia="en-US"/>
        </w:rPr>
        <w:t xml:space="preserve"> de la Administración</w:t>
      </w:r>
      <w:r>
        <w:rPr>
          <w:rFonts w:ascii="Arial" w:eastAsia="Calibri" w:hAnsi="Arial" w:cs="Arial"/>
          <w:bCs/>
          <w:color w:val="auto"/>
          <w:sz w:val="22"/>
          <w:szCs w:val="22"/>
          <w:lang w:val="es-ES_tradnl" w:eastAsia="en-US"/>
        </w:rPr>
        <w:t xml:space="preserve"> Pública</w:t>
      </w:r>
      <w:r w:rsidR="002E7F3F">
        <w:rPr>
          <w:rFonts w:ascii="Arial" w:eastAsia="Calibri" w:hAnsi="Arial" w:cs="Arial"/>
          <w:bCs/>
          <w:color w:val="auto"/>
          <w:sz w:val="22"/>
          <w:szCs w:val="22"/>
          <w:lang w:val="es-ES_tradnl" w:eastAsia="en-US"/>
        </w:rPr>
        <w:t>, incluidas las entidades territoriales</w:t>
      </w:r>
      <w:r>
        <w:rPr>
          <w:rFonts w:ascii="Arial" w:eastAsia="Calibri" w:hAnsi="Arial" w:cs="Arial"/>
          <w:bCs/>
          <w:color w:val="auto"/>
          <w:sz w:val="22"/>
          <w:szCs w:val="22"/>
          <w:lang w:val="es-ES_tradnl" w:eastAsia="en-US"/>
        </w:rPr>
        <w:t xml:space="preserve">. Ahora bien, </w:t>
      </w:r>
      <w:r w:rsidR="003C52EE">
        <w:rPr>
          <w:rFonts w:ascii="Arial" w:eastAsia="Calibri" w:hAnsi="Arial" w:cs="Arial"/>
          <w:bCs/>
          <w:color w:val="auto"/>
          <w:sz w:val="22"/>
          <w:szCs w:val="22"/>
          <w:lang w:val="es-ES_tradnl" w:eastAsia="en-US"/>
        </w:rPr>
        <w:t xml:space="preserve">como </w:t>
      </w:r>
      <w:r>
        <w:rPr>
          <w:rFonts w:ascii="Arial" w:eastAsia="Calibri" w:hAnsi="Arial" w:cs="Arial"/>
          <w:bCs/>
          <w:color w:val="auto"/>
          <w:sz w:val="22"/>
          <w:szCs w:val="22"/>
          <w:lang w:val="es-ES_tradnl" w:eastAsia="en-US"/>
        </w:rPr>
        <w:t>se explicó en acápites anteriores, por expresa disposición legal</w:t>
      </w:r>
      <w:r w:rsidR="003C52EE">
        <w:rPr>
          <w:rFonts w:ascii="Arial" w:eastAsia="Calibri" w:hAnsi="Arial" w:cs="Arial"/>
          <w:bCs/>
          <w:color w:val="auto"/>
          <w:sz w:val="22"/>
          <w:szCs w:val="22"/>
          <w:lang w:val="es-ES_tradnl" w:eastAsia="en-US"/>
        </w:rPr>
        <w:t>,</w:t>
      </w:r>
      <w:r>
        <w:rPr>
          <w:rFonts w:ascii="Arial" w:eastAsia="Calibri" w:hAnsi="Arial" w:cs="Arial"/>
          <w:bCs/>
          <w:color w:val="auto"/>
          <w:sz w:val="22"/>
          <w:szCs w:val="22"/>
          <w:lang w:val="es-ES_tradnl" w:eastAsia="en-US"/>
        </w:rPr>
        <w:t xml:space="preserve"> los documentos tipo adoptados en virtud de la Ley 1882 de 2018, esto</w:t>
      </w:r>
      <w:r w:rsidR="00296A84">
        <w:rPr>
          <w:rFonts w:ascii="Arial" w:eastAsia="Calibri" w:hAnsi="Arial" w:cs="Arial"/>
          <w:bCs/>
          <w:color w:val="auto"/>
          <w:sz w:val="22"/>
          <w:szCs w:val="22"/>
          <w:lang w:val="es-ES_tradnl" w:eastAsia="en-US"/>
        </w:rPr>
        <w:t xml:space="preserve"> </w:t>
      </w:r>
      <w:r w:rsidR="003C52EE">
        <w:rPr>
          <w:rFonts w:ascii="Arial" w:eastAsia="Calibri" w:hAnsi="Arial" w:cs="Arial"/>
          <w:bCs/>
          <w:color w:val="auto"/>
          <w:sz w:val="22"/>
          <w:szCs w:val="22"/>
          <w:lang w:val="es-ES_tradnl" w:eastAsia="en-US"/>
        </w:rPr>
        <w:lastRenderedPageBreak/>
        <w:t>es:</w:t>
      </w:r>
      <w:r>
        <w:rPr>
          <w:rFonts w:ascii="Arial" w:eastAsia="Calibri" w:hAnsi="Arial" w:cs="Arial"/>
          <w:bCs/>
          <w:color w:val="auto"/>
          <w:sz w:val="22"/>
          <w:szCs w:val="22"/>
          <w:lang w:val="es-ES_tradnl" w:eastAsia="en-US"/>
        </w:rPr>
        <w:t xml:space="preserve"> los documentos tipo </w:t>
      </w:r>
      <w:r w:rsidR="003C52EE">
        <w:rPr>
          <w:rFonts w:ascii="Arial" w:eastAsia="Calibri" w:hAnsi="Arial" w:cs="Arial"/>
          <w:bCs/>
          <w:color w:val="auto"/>
          <w:sz w:val="22"/>
          <w:szCs w:val="22"/>
          <w:lang w:val="es-ES_tradnl" w:eastAsia="en-US"/>
        </w:rPr>
        <w:t xml:space="preserve">para obra de </w:t>
      </w:r>
      <w:r>
        <w:rPr>
          <w:rFonts w:ascii="Arial" w:eastAsia="Calibri" w:hAnsi="Arial" w:cs="Arial"/>
          <w:bCs/>
          <w:color w:val="auto"/>
          <w:sz w:val="22"/>
          <w:szCs w:val="22"/>
          <w:lang w:val="es-ES_tradnl" w:eastAsia="en-US"/>
        </w:rPr>
        <w:t xml:space="preserve">infraestructura de transporte </w:t>
      </w:r>
      <w:r w:rsidR="003C52EE">
        <w:rPr>
          <w:rFonts w:ascii="Arial" w:eastAsia="Calibri" w:hAnsi="Arial" w:cs="Arial"/>
          <w:bCs/>
          <w:color w:val="auto"/>
          <w:sz w:val="22"/>
          <w:szCs w:val="22"/>
          <w:lang w:val="es-ES_tradnl" w:eastAsia="en-US"/>
        </w:rPr>
        <w:t xml:space="preserve">adelantados </w:t>
      </w:r>
      <w:r>
        <w:rPr>
          <w:rFonts w:ascii="Arial" w:eastAsia="Calibri" w:hAnsi="Arial" w:cs="Arial"/>
          <w:bCs/>
          <w:color w:val="auto"/>
          <w:sz w:val="22"/>
          <w:szCs w:val="22"/>
          <w:lang w:val="es-ES_tradnl" w:eastAsia="en-US"/>
        </w:rPr>
        <w:t>por la</w:t>
      </w:r>
      <w:r w:rsidR="003C52EE">
        <w:rPr>
          <w:rFonts w:ascii="Arial" w:eastAsia="Calibri" w:hAnsi="Arial" w:cs="Arial"/>
          <w:bCs/>
          <w:color w:val="auto"/>
          <w:sz w:val="22"/>
          <w:szCs w:val="22"/>
          <w:lang w:val="es-ES_tradnl" w:eastAsia="en-US"/>
        </w:rPr>
        <w:t>s</w:t>
      </w:r>
      <w:r>
        <w:rPr>
          <w:rFonts w:ascii="Arial" w:eastAsia="Calibri" w:hAnsi="Arial" w:cs="Arial"/>
          <w:bCs/>
          <w:color w:val="auto"/>
          <w:sz w:val="22"/>
          <w:szCs w:val="22"/>
          <w:lang w:val="es-ES_tradnl" w:eastAsia="en-US"/>
        </w:rPr>
        <w:t xml:space="preserve"> modalidad</w:t>
      </w:r>
      <w:r w:rsidR="003C52EE">
        <w:rPr>
          <w:rFonts w:ascii="Arial" w:eastAsia="Calibri" w:hAnsi="Arial" w:cs="Arial"/>
          <w:bCs/>
          <w:color w:val="auto"/>
          <w:sz w:val="22"/>
          <w:szCs w:val="22"/>
          <w:lang w:val="es-ES_tradnl" w:eastAsia="en-US"/>
        </w:rPr>
        <w:t>es</w:t>
      </w:r>
      <w:r>
        <w:rPr>
          <w:rFonts w:ascii="Arial" w:eastAsia="Calibri" w:hAnsi="Arial" w:cs="Arial"/>
          <w:bCs/>
          <w:color w:val="auto"/>
          <w:sz w:val="22"/>
          <w:szCs w:val="22"/>
          <w:lang w:val="es-ES_tradnl" w:eastAsia="en-US"/>
        </w:rPr>
        <w:t xml:space="preserve"> de selección de licitación, </w:t>
      </w:r>
      <w:r w:rsidR="003C52EE">
        <w:rPr>
          <w:rFonts w:ascii="Arial" w:eastAsia="Calibri" w:hAnsi="Arial" w:cs="Arial"/>
          <w:bCs/>
          <w:color w:val="auto"/>
          <w:sz w:val="22"/>
          <w:szCs w:val="22"/>
          <w:lang w:val="es-ES_tradnl" w:eastAsia="en-US"/>
        </w:rPr>
        <w:t xml:space="preserve">de </w:t>
      </w:r>
      <w:r>
        <w:rPr>
          <w:rFonts w:ascii="Arial" w:eastAsia="Calibri" w:hAnsi="Arial" w:cs="Arial"/>
          <w:bCs/>
          <w:color w:val="auto"/>
          <w:sz w:val="22"/>
          <w:szCs w:val="22"/>
          <w:lang w:val="es-ES_tradnl" w:eastAsia="en-US"/>
        </w:rPr>
        <w:t xml:space="preserve">selección abreviada de menor cuantía y </w:t>
      </w:r>
      <w:r w:rsidR="003C52EE">
        <w:rPr>
          <w:rFonts w:ascii="Arial" w:eastAsia="Calibri" w:hAnsi="Arial" w:cs="Arial"/>
          <w:bCs/>
          <w:color w:val="auto"/>
          <w:sz w:val="22"/>
          <w:szCs w:val="22"/>
          <w:lang w:val="es-ES_tradnl" w:eastAsia="en-US"/>
        </w:rPr>
        <w:t xml:space="preserve">de </w:t>
      </w:r>
      <w:r>
        <w:rPr>
          <w:rFonts w:ascii="Arial" w:eastAsia="Calibri" w:hAnsi="Arial" w:cs="Arial"/>
          <w:bCs/>
          <w:color w:val="auto"/>
          <w:sz w:val="22"/>
          <w:szCs w:val="22"/>
          <w:lang w:val="es-ES_tradnl" w:eastAsia="en-US"/>
        </w:rPr>
        <w:t>mínima cuantía</w:t>
      </w:r>
      <w:r w:rsidR="002E7F3F">
        <w:rPr>
          <w:rFonts w:ascii="Arial" w:eastAsia="Calibri" w:hAnsi="Arial" w:cs="Arial"/>
          <w:bCs/>
          <w:color w:val="auto"/>
          <w:sz w:val="22"/>
          <w:szCs w:val="22"/>
          <w:lang w:val="es-ES_tradnl" w:eastAsia="en-US"/>
        </w:rPr>
        <w:t xml:space="preserve">, siguen siendo obligatorios y no perdieron vigencia. En este sentido, las entidades territoriales </w:t>
      </w:r>
      <w:r w:rsidR="003C52EE">
        <w:rPr>
          <w:rFonts w:ascii="Arial" w:eastAsia="Calibri" w:hAnsi="Arial" w:cs="Arial"/>
          <w:bCs/>
          <w:color w:val="auto"/>
          <w:sz w:val="22"/>
          <w:szCs w:val="22"/>
          <w:lang w:val="es-ES_tradnl" w:eastAsia="en-US"/>
        </w:rPr>
        <w:t xml:space="preserve">deben aplicar </w:t>
      </w:r>
      <w:r w:rsidR="002E7F3F">
        <w:rPr>
          <w:rFonts w:ascii="Arial" w:eastAsia="Calibri" w:hAnsi="Arial" w:cs="Arial"/>
          <w:bCs/>
          <w:color w:val="auto"/>
          <w:sz w:val="22"/>
          <w:szCs w:val="22"/>
          <w:lang w:val="es-ES_tradnl" w:eastAsia="en-US"/>
        </w:rPr>
        <w:t>estos documentos</w:t>
      </w:r>
      <w:r w:rsidR="003C52EE">
        <w:rPr>
          <w:rFonts w:ascii="Arial" w:eastAsia="Calibri" w:hAnsi="Arial" w:cs="Arial"/>
          <w:bCs/>
          <w:color w:val="auto"/>
          <w:sz w:val="22"/>
          <w:szCs w:val="22"/>
          <w:lang w:val="es-ES_tradnl" w:eastAsia="en-US"/>
        </w:rPr>
        <w:t xml:space="preserve"> tipo,</w:t>
      </w:r>
      <w:r w:rsidR="002E7F3F">
        <w:rPr>
          <w:rFonts w:ascii="Arial" w:eastAsia="Calibri" w:hAnsi="Arial" w:cs="Arial"/>
          <w:bCs/>
          <w:color w:val="auto"/>
          <w:sz w:val="22"/>
          <w:szCs w:val="22"/>
          <w:lang w:val="es-ES_tradnl" w:eastAsia="en-US"/>
        </w:rPr>
        <w:t xml:space="preserve"> los cuales se encuentran en el siguiente link: </w:t>
      </w:r>
      <w:hyperlink r:id="rId12" w:history="1">
        <w:r w:rsidR="002E7F3F" w:rsidRPr="002E7F3F">
          <w:rPr>
            <w:rFonts w:ascii="Arial" w:eastAsia="Calibri" w:hAnsi="Arial" w:cs="Arial"/>
            <w:bCs/>
            <w:color w:val="auto"/>
            <w:sz w:val="22"/>
            <w:szCs w:val="22"/>
            <w:lang w:val="es-ES_tradnl" w:eastAsia="en-US"/>
          </w:rPr>
          <w:t>https://www.colombiacompra.gov.co/documentos-tipo/documentos-tipo-para-obra-publica-de-infraestructura-de-transporte</w:t>
        </w:r>
      </w:hyperlink>
    </w:p>
    <w:p w14:paraId="1242AE4C" w14:textId="0CFF701B" w:rsidR="002E7F3F" w:rsidRDefault="002E7F3F" w:rsidP="006263D5">
      <w:pPr>
        <w:pStyle w:val="InviasNormal"/>
        <w:spacing w:after="120" w:line="276" w:lineRule="auto"/>
        <w:rPr>
          <w:rFonts w:ascii="Arial" w:eastAsia="Calibri" w:hAnsi="Arial" w:cs="Arial"/>
          <w:bCs/>
          <w:color w:val="auto"/>
          <w:sz w:val="22"/>
          <w:szCs w:val="22"/>
          <w:lang w:val="es-ES_tradnl" w:eastAsia="en-US"/>
        </w:rPr>
      </w:pPr>
      <w:r>
        <w:rPr>
          <w:rFonts w:ascii="Arial" w:eastAsia="Calibri" w:hAnsi="Arial" w:cs="Arial"/>
          <w:bCs/>
          <w:color w:val="auto"/>
          <w:sz w:val="22"/>
          <w:szCs w:val="22"/>
          <w:lang w:val="es-ES_tradnl" w:eastAsia="en-US"/>
        </w:rPr>
        <w:tab/>
        <w:t xml:space="preserve">Finalmente, en los mencionados documentos tipo se regulan los indicadores financieros y </w:t>
      </w:r>
      <w:r w:rsidR="003C52EE">
        <w:rPr>
          <w:rFonts w:ascii="Arial" w:eastAsia="Calibri" w:hAnsi="Arial" w:cs="Arial"/>
          <w:bCs/>
          <w:color w:val="auto"/>
          <w:sz w:val="22"/>
          <w:szCs w:val="22"/>
          <w:lang w:val="es-ES_tradnl" w:eastAsia="en-US"/>
        </w:rPr>
        <w:t xml:space="preserve">se </w:t>
      </w:r>
      <w:r>
        <w:rPr>
          <w:rFonts w:ascii="Arial" w:eastAsia="Calibri" w:hAnsi="Arial" w:cs="Arial"/>
          <w:bCs/>
          <w:color w:val="auto"/>
          <w:sz w:val="22"/>
          <w:szCs w:val="22"/>
          <w:lang w:val="es-ES_tradnl" w:eastAsia="en-US"/>
        </w:rPr>
        <w:t>determina</w:t>
      </w:r>
      <w:r w:rsidR="003C52EE">
        <w:rPr>
          <w:rFonts w:ascii="Arial" w:eastAsia="Calibri" w:hAnsi="Arial" w:cs="Arial"/>
          <w:bCs/>
          <w:color w:val="auto"/>
          <w:sz w:val="22"/>
          <w:szCs w:val="22"/>
          <w:lang w:val="es-ES_tradnl" w:eastAsia="en-US"/>
        </w:rPr>
        <w:t>n</w:t>
      </w:r>
      <w:r>
        <w:rPr>
          <w:rFonts w:ascii="Arial" w:eastAsia="Calibri" w:hAnsi="Arial" w:cs="Arial"/>
          <w:bCs/>
          <w:color w:val="auto"/>
          <w:sz w:val="22"/>
          <w:szCs w:val="22"/>
          <w:lang w:val="es-ES_tradnl" w:eastAsia="en-US"/>
        </w:rPr>
        <w:t xml:space="preserve"> los valores que las entidades deben solicitar en los procesos de contratación de </w:t>
      </w:r>
      <w:r w:rsidR="003C52EE">
        <w:rPr>
          <w:rFonts w:ascii="Arial" w:eastAsia="Calibri" w:hAnsi="Arial" w:cs="Arial"/>
          <w:bCs/>
          <w:color w:val="auto"/>
          <w:sz w:val="22"/>
          <w:szCs w:val="22"/>
          <w:lang w:val="es-ES_tradnl" w:eastAsia="en-US"/>
        </w:rPr>
        <w:t xml:space="preserve">obra de </w:t>
      </w:r>
      <w:r>
        <w:rPr>
          <w:rFonts w:ascii="Arial" w:eastAsia="Calibri" w:hAnsi="Arial" w:cs="Arial"/>
          <w:bCs/>
          <w:color w:val="auto"/>
          <w:sz w:val="22"/>
          <w:szCs w:val="22"/>
          <w:lang w:val="es-ES_tradnl" w:eastAsia="en-US"/>
        </w:rPr>
        <w:t>infraestructura de transporte adelantados por la</w:t>
      </w:r>
      <w:r w:rsidR="003C52EE">
        <w:rPr>
          <w:rFonts w:ascii="Arial" w:eastAsia="Calibri" w:hAnsi="Arial" w:cs="Arial"/>
          <w:bCs/>
          <w:color w:val="auto"/>
          <w:sz w:val="22"/>
          <w:szCs w:val="22"/>
          <w:lang w:val="es-ES_tradnl" w:eastAsia="en-US"/>
        </w:rPr>
        <w:t>s</w:t>
      </w:r>
      <w:r>
        <w:rPr>
          <w:rFonts w:ascii="Arial" w:eastAsia="Calibri" w:hAnsi="Arial" w:cs="Arial"/>
          <w:bCs/>
          <w:color w:val="auto"/>
          <w:sz w:val="22"/>
          <w:szCs w:val="22"/>
          <w:lang w:val="es-ES_tradnl" w:eastAsia="en-US"/>
        </w:rPr>
        <w:t xml:space="preserve"> modalidad</w:t>
      </w:r>
      <w:r w:rsidR="003C52EE">
        <w:rPr>
          <w:rFonts w:ascii="Arial" w:eastAsia="Calibri" w:hAnsi="Arial" w:cs="Arial"/>
          <w:bCs/>
          <w:color w:val="auto"/>
          <w:sz w:val="22"/>
          <w:szCs w:val="22"/>
          <w:lang w:val="es-ES_tradnl" w:eastAsia="en-US"/>
        </w:rPr>
        <w:t>es</w:t>
      </w:r>
      <w:r>
        <w:rPr>
          <w:rFonts w:ascii="Arial" w:eastAsia="Calibri" w:hAnsi="Arial" w:cs="Arial"/>
          <w:bCs/>
          <w:color w:val="auto"/>
          <w:sz w:val="22"/>
          <w:szCs w:val="22"/>
          <w:lang w:val="es-ES_tradnl" w:eastAsia="en-US"/>
        </w:rPr>
        <w:t xml:space="preserve"> de licitación pública, selección abreviada y mínima cuantía. </w:t>
      </w:r>
    </w:p>
    <w:p w14:paraId="3E7C785A" w14:textId="77777777" w:rsidR="00F75A72" w:rsidRPr="008035F0" w:rsidRDefault="00F75A72" w:rsidP="006263D5">
      <w:pPr>
        <w:pStyle w:val="InviasNormal"/>
        <w:spacing w:after="120" w:line="276" w:lineRule="auto"/>
        <w:rPr>
          <w:rFonts w:ascii="Arial" w:eastAsia="Calibri" w:hAnsi="Arial" w:cs="Arial"/>
          <w:bCs/>
          <w:color w:val="auto"/>
          <w:sz w:val="22"/>
          <w:szCs w:val="22"/>
          <w:lang w:val="es-ES_tradnl" w:eastAsia="en-US"/>
        </w:rPr>
      </w:pPr>
    </w:p>
    <w:p w14:paraId="1AC13389" w14:textId="77777777" w:rsidR="0070585D" w:rsidRPr="00621424" w:rsidRDefault="0070585D" w:rsidP="0070585D">
      <w:pPr>
        <w:spacing w:before="120" w:line="276" w:lineRule="auto"/>
        <w:jc w:val="both"/>
        <w:rPr>
          <w:rFonts w:ascii="Arial" w:eastAsia="Calibri" w:hAnsi="Arial" w:cs="Arial"/>
          <w:color w:val="000000"/>
          <w:sz w:val="22"/>
        </w:rPr>
      </w:pPr>
      <w:r w:rsidRPr="00621424">
        <w:rPr>
          <w:rFonts w:ascii="Arial" w:eastAsia="Calibri" w:hAnsi="Arial" w:cs="Arial"/>
          <w:color w:val="000000"/>
          <w:sz w:val="22"/>
        </w:rPr>
        <w:t>Este concepto tiene el alcance previsto en el artículo 28 del Código de Procedimiento Administrativo y de lo Contencioso Administrativo.</w:t>
      </w:r>
    </w:p>
    <w:p w14:paraId="00E2C672" w14:textId="77777777" w:rsidR="0070585D" w:rsidRPr="00621424" w:rsidRDefault="0070585D" w:rsidP="0070585D">
      <w:pPr>
        <w:ind w:firstLine="709"/>
        <w:jc w:val="both"/>
        <w:rPr>
          <w:rFonts w:ascii="Arial" w:eastAsia="Calibri" w:hAnsi="Arial" w:cs="Arial"/>
          <w:color w:val="000000"/>
          <w:sz w:val="22"/>
        </w:rPr>
      </w:pPr>
    </w:p>
    <w:p w14:paraId="16E3B552" w14:textId="77777777" w:rsidR="0070585D" w:rsidRPr="00621424" w:rsidRDefault="0070585D" w:rsidP="0070585D">
      <w:pPr>
        <w:jc w:val="both"/>
        <w:rPr>
          <w:rFonts w:ascii="Arial" w:eastAsia="Times New Roman" w:hAnsi="Arial" w:cs="Arial"/>
          <w:color w:val="000000"/>
          <w:sz w:val="22"/>
          <w:lang w:eastAsia="es-CO"/>
        </w:rPr>
      </w:pPr>
      <w:bookmarkStart w:id="6" w:name="_Hlk48741141"/>
      <w:r w:rsidRPr="00621424">
        <w:rPr>
          <w:rFonts w:ascii="Arial" w:eastAsia="Times New Roman" w:hAnsi="Arial" w:cs="Arial"/>
          <w:color w:val="000000"/>
          <w:sz w:val="22"/>
          <w:lang w:eastAsia="es-CO"/>
        </w:rPr>
        <w:t>Atentamente,</w:t>
      </w:r>
    </w:p>
    <w:p w14:paraId="38AFBD38" w14:textId="7DD0FAD9" w:rsidR="0070585D" w:rsidRPr="00621424" w:rsidRDefault="006F44B1" w:rsidP="0070585D">
      <w:pPr>
        <w:jc w:val="center"/>
        <w:rPr>
          <w:rFonts w:ascii="Arial" w:eastAsia="Times New Roman" w:hAnsi="Arial" w:cs="Arial"/>
          <w:color w:val="000000"/>
          <w:sz w:val="18"/>
          <w:szCs w:val="20"/>
          <w:lang w:eastAsia="es-CO"/>
        </w:rPr>
      </w:pPr>
      <w:r>
        <w:rPr>
          <w:noProof/>
          <w:lang w:val="en-US"/>
        </w:rPr>
        <w:drawing>
          <wp:inline distT="0" distB="0" distL="0" distR="0" wp14:anchorId="5534510A" wp14:editId="5315D05D">
            <wp:extent cx="2773045" cy="988695"/>
            <wp:effectExtent l="0" t="0" r="0" b="0"/>
            <wp:docPr id="1711710268" name="Imagen 2"/>
            <wp:cNvGraphicFramePr/>
            <a:graphic xmlns:a="http://schemas.openxmlformats.org/drawingml/2006/main">
              <a:graphicData uri="http://schemas.openxmlformats.org/drawingml/2006/picture">
                <pic:pic xmlns:pic="http://schemas.openxmlformats.org/drawingml/2006/picture">
                  <pic:nvPicPr>
                    <pic:cNvPr id="1711710268" name="Imagen 2"/>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48FAD5B0" w14:textId="77777777" w:rsidR="0070585D" w:rsidRPr="00621424" w:rsidRDefault="0070585D" w:rsidP="0070585D">
      <w:pPr>
        <w:jc w:val="center"/>
        <w:rPr>
          <w:rFonts w:ascii="Arial" w:eastAsia="Times New Roman" w:hAnsi="Arial" w:cs="Arial"/>
          <w:color w:val="000000"/>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0585D" w:rsidRPr="00621424" w14:paraId="40345C4F" w14:textId="77777777" w:rsidTr="00701B87">
        <w:trPr>
          <w:trHeight w:val="315"/>
        </w:trPr>
        <w:tc>
          <w:tcPr>
            <w:tcW w:w="812" w:type="dxa"/>
            <w:vAlign w:val="center"/>
            <w:hideMark/>
          </w:tcPr>
          <w:p w14:paraId="59E495E8" w14:textId="77777777" w:rsidR="0070585D" w:rsidRPr="00621424" w:rsidRDefault="0070585D" w:rsidP="00701B87">
            <w:pPr>
              <w:rPr>
                <w:rFonts w:ascii="Arial" w:eastAsia="Times New Roman" w:hAnsi="Arial" w:cs="Arial"/>
                <w:color w:val="000000"/>
                <w:sz w:val="16"/>
                <w:szCs w:val="16"/>
                <w:lang w:eastAsia="es-ES"/>
              </w:rPr>
            </w:pPr>
            <w:r w:rsidRPr="00621424">
              <w:rPr>
                <w:rFonts w:ascii="Arial" w:eastAsia="Times New Roman" w:hAnsi="Arial" w:cs="Arial"/>
                <w:color w:val="000000"/>
                <w:sz w:val="16"/>
                <w:szCs w:val="16"/>
                <w:lang w:eastAsia="es-ES"/>
              </w:rPr>
              <w:t>Elaboró:</w:t>
            </w:r>
          </w:p>
        </w:tc>
        <w:tc>
          <w:tcPr>
            <w:tcW w:w="4413" w:type="dxa"/>
            <w:tcBorders>
              <w:top w:val="nil"/>
              <w:left w:val="nil"/>
              <w:bottom w:val="dotted" w:sz="4" w:space="0" w:color="7F7F7F"/>
              <w:right w:val="nil"/>
            </w:tcBorders>
            <w:vAlign w:val="center"/>
            <w:hideMark/>
          </w:tcPr>
          <w:p w14:paraId="3157BE5F" w14:textId="77777777" w:rsidR="0070585D" w:rsidRPr="00621424" w:rsidRDefault="0070585D" w:rsidP="00701B87">
            <w:pP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 xml:space="preserve">Sara Milena Núñez Aldana </w:t>
            </w:r>
          </w:p>
          <w:p w14:paraId="0E2F1B3B" w14:textId="77777777" w:rsidR="0070585D" w:rsidRPr="00621424" w:rsidRDefault="0070585D" w:rsidP="00701B87">
            <w:pP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Analista T2- Grado</w:t>
            </w:r>
            <w:r w:rsidRPr="00621424">
              <w:rPr>
                <w:rFonts w:ascii="Arial" w:eastAsia="Times New Roman" w:hAnsi="Arial" w:cs="Arial"/>
                <w:color w:val="000000"/>
                <w:sz w:val="16"/>
                <w:szCs w:val="16"/>
                <w:lang w:eastAsia="es-ES"/>
              </w:rPr>
              <w:t xml:space="preserve"> de la Subdirección de Gestión Contractual</w:t>
            </w:r>
          </w:p>
        </w:tc>
      </w:tr>
      <w:tr w:rsidR="0070585D" w:rsidRPr="00621424" w14:paraId="78F960BA" w14:textId="77777777" w:rsidTr="00701B87">
        <w:trPr>
          <w:trHeight w:val="330"/>
        </w:trPr>
        <w:tc>
          <w:tcPr>
            <w:tcW w:w="812" w:type="dxa"/>
            <w:vAlign w:val="center"/>
            <w:hideMark/>
          </w:tcPr>
          <w:p w14:paraId="33C60D2E" w14:textId="77777777" w:rsidR="0070585D" w:rsidRPr="00621424" w:rsidRDefault="0070585D" w:rsidP="00701B87">
            <w:pPr>
              <w:rPr>
                <w:rFonts w:ascii="Arial" w:eastAsia="Times New Roman" w:hAnsi="Arial" w:cs="Arial"/>
                <w:color w:val="000000"/>
                <w:sz w:val="16"/>
                <w:szCs w:val="16"/>
                <w:lang w:eastAsia="es-ES"/>
              </w:rPr>
            </w:pPr>
            <w:r w:rsidRPr="00621424">
              <w:rPr>
                <w:rFonts w:ascii="Arial" w:eastAsia="Times New Roman" w:hAnsi="Arial" w:cs="Arial"/>
                <w:color w:val="000000"/>
                <w:sz w:val="16"/>
                <w:szCs w:val="16"/>
                <w:lang w:eastAsia="es-ES"/>
              </w:rPr>
              <w:t>Revisó:</w:t>
            </w:r>
          </w:p>
        </w:tc>
        <w:tc>
          <w:tcPr>
            <w:tcW w:w="4413" w:type="dxa"/>
            <w:tcBorders>
              <w:top w:val="dotted" w:sz="4" w:space="0" w:color="7F7F7F"/>
              <w:left w:val="nil"/>
              <w:bottom w:val="dotted" w:sz="4" w:space="0" w:color="7F7F7F"/>
              <w:right w:val="nil"/>
            </w:tcBorders>
            <w:vAlign w:val="center"/>
            <w:hideMark/>
          </w:tcPr>
          <w:p w14:paraId="6C8EB1CD" w14:textId="2ECBCBCD" w:rsidR="00DF75FA" w:rsidRDefault="00DF75FA" w:rsidP="000C1E2E">
            <w:pP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Sebastián Ramírez Grisales</w:t>
            </w:r>
          </w:p>
          <w:p w14:paraId="6E060BA3" w14:textId="157DC9A6" w:rsidR="0070585D" w:rsidRPr="00621424" w:rsidRDefault="00DF75FA" w:rsidP="000C1E2E">
            <w:pPr>
              <w:rPr>
                <w:rFonts w:ascii="Arial" w:eastAsia="Times New Roman" w:hAnsi="Arial" w:cs="Arial"/>
                <w:color w:val="000000"/>
                <w:sz w:val="16"/>
                <w:szCs w:val="16"/>
                <w:lang w:eastAsia="es-ES"/>
              </w:rPr>
            </w:pPr>
            <w:r>
              <w:rPr>
                <w:rFonts w:ascii="Arial" w:eastAsia="Times New Roman" w:hAnsi="Arial" w:cs="Arial"/>
                <w:color w:val="000000"/>
                <w:sz w:val="16"/>
                <w:szCs w:val="16"/>
                <w:lang w:eastAsia="es-ES"/>
              </w:rPr>
              <w:t xml:space="preserve">Contratista </w:t>
            </w:r>
            <w:r w:rsidR="00D33F93">
              <w:rPr>
                <w:rFonts w:ascii="Arial" w:eastAsia="Times New Roman" w:hAnsi="Arial" w:cs="Arial"/>
                <w:color w:val="000000"/>
                <w:sz w:val="16"/>
                <w:szCs w:val="16"/>
                <w:lang w:eastAsia="es-ES"/>
              </w:rPr>
              <w:t xml:space="preserve">– </w:t>
            </w:r>
            <w:r>
              <w:rPr>
                <w:rFonts w:ascii="Arial" w:eastAsia="Times New Roman" w:hAnsi="Arial" w:cs="Arial"/>
                <w:color w:val="000000"/>
                <w:sz w:val="16"/>
                <w:szCs w:val="16"/>
                <w:lang w:eastAsia="es-ES"/>
              </w:rPr>
              <w:t xml:space="preserve">Subdirección </w:t>
            </w:r>
            <w:r w:rsidR="000C1E2E" w:rsidRPr="00621424">
              <w:rPr>
                <w:rFonts w:ascii="Arial" w:eastAsia="Times New Roman" w:hAnsi="Arial" w:cs="Arial"/>
                <w:color w:val="000000"/>
                <w:sz w:val="16"/>
                <w:szCs w:val="16"/>
                <w:lang w:eastAsia="es-ES"/>
              </w:rPr>
              <w:t>de Gestión Contractual</w:t>
            </w:r>
          </w:p>
        </w:tc>
      </w:tr>
      <w:tr w:rsidR="0070585D" w:rsidRPr="00621424" w14:paraId="71045B95" w14:textId="77777777" w:rsidTr="00701B87">
        <w:trPr>
          <w:trHeight w:val="300"/>
        </w:trPr>
        <w:tc>
          <w:tcPr>
            <w:tcW w:w="812" w:type="dxa"/>
            <w:vAlign w:val="center"/>
            <w:hideMark/>
          </w:tcPr>
          <w:p w14:paraId="1200AACC" w14:textId="77777777" w:rsidR="0070585D" w:rsidRPr="00621424" w:rsidRDefault="0070585D" w:rsidP="00701B87">
            <w:pPr>
              <w:rPr>
                <w:rFonts w:ascii="Arial" w:eastAsia="Times New Roman" w:hAnsi="Arial" w:cs="Arial"/>
                <w:color w:val="000000"/>
                <w:sz w:val="16"/>
                <w:szCs w:val="16"/>
                <w:lang w:eastAsia="es-ES"/>
              </w:rPr>
            </w:pPr>
            <w:r w:rsidRPr="00621424">
              <w:rPr>
                <w:rFonts w:ascii="Arial" w:eastAsia="Times New Roman" w:hAnsi="Arial" w:cs="Arial"/>
                <w:color w:val="000000"/>
                <w:sz w:val="16"/>
                <w:szCs w:val="16"/>
                <w:lang w:eastAsia="es-ES"/>
              </w:rPr>
              <w:t>Aprobó:</w:t>
            </w:r>
          </w:p>
        </w:tc>
        <w:tc>
          <w:tcPr>
            <w:tcW w:w="4413" w:type="dxa"/>
            <w:tcBorders>
              <w:top w:val="dotted" w:sz="4" w:space="0" w:color="7F7F7F"/>
              <w:left w:val="nil"/>
              <w:bottom w:val="dotted" w:sz="4" w:space="0" w:color="7F7F7F"/>
              <w:right w:val="nil"/>
            </w:tcBorders>
            <w:vAlign w:val="center"/>
            <w:hideMark/>
          </w:tcPr>
          <w:p w14:paraId="3EA504E3" w14:textId="77777777" w:rsidR="0070585D" w:rsidRPr="00621424" w:rsidRDefault="0070585D" w:rsidP="00701B87">
            <w:pPr>
              <w:rPr>
                <w:rFonts w:ascii="Arial" w:eastAsia="Times New Roman" w:hAnsi="Arial" w:cs="Arial"/>
                <w:color w:val="000000"/>
                <w:sz w:val="16"/>
                <w:szCs w:val="16"/>
                <w:lang w:eastAsia="es-ES"/>
              </w:rPr>
            </w:pPr>
            <w:r w:rsidRPr="00621424">
              <w:rPr>
                <w:rFonts w:ascii="Arial" w:eastAsia="Times New Roman" w:hAnsi="Arial" w:cs="Arial"/>
                <w:color w:val="000000"/>
                <w:sz w:val="16"/>
                <w:szCs w:val="16"/>
                <w:lang w:eastAsia="es-ES"/>
              </w:rPr>
              <w:t>Fabián Gonzalo Marín Cortés</w:t>
            </w:r>
          </w:p>
          <w:p w14:paraId="5BB95BD2" w14:textId="77777777" w:rsidR="0070585D" w:rsidRPr="00621424" w:rsidRDefault="0070585D" w:rsidP="00701B87">
            <w:pPr>
              <w:rPr>
                <w:rFonts w:ascii="Arial" w:eastAsia="Times New Roman" w:hAnsi="Arial" w:cs="Arial"/>
                <w:color w:val="000000"/>
                <w:sz w:val="16"/>
                <w:szCs w:val="16"/>
                <w:lang w:eastAsia="es-ES"/>
              </w:rPr>
            </w:pPr>
            <w:r w:rsidRPr="00621424">
              <w:rPr>
                <w:rFonts w:ascii="Arial" w:eastAsia="Times New Roman" w:hAnsi="Arial" w:cs="Arial"/>
                <w:color w:val="000000"/>
                <w:sz w:val="16"/>
                <w:szCs w:val="16"/>
                <w:lang w:eastAsia="es-ES"/>
              </w:rPr>
              <w:t>Subdirector de Gestión Contractual</w:t>
            </w:r>
          </w:p>
        </w:tc>
      </w:tr>
      <w:bookmarkEnd w:id="1"/>
      <w:bookmarkEnd w:id="6"/>
    </w:tbl>
    <w:p w14:paraId="7EBF297E" w14:textId="77777777" w:rsidR="007B0854" w:rsidRDefault="007B0854">
      <w:pPr>
        <w:spacing w:line="276" w:lineRule="auto"/>
        <w:jc w:val="both"/>
        <w:rPr>
          <w:rFonts w:ascii="Arial" w:eastAsia="Calibri" w:hAnsi="Arial" w:cs="Arial"/>
          <w:color w:val="4E4D4D"/>
          <w:sz w:val="22"/>
        </w:rPr>
      </w:pPr>
    </w:p>
    <w:sectPr w:rsidR="007B0854" w:rsidSect="005A79FE">
      <w:headerReference w:type="default" r:id="rId14"/>
      <w:footerReference w:type="defaul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BB0C8" w14:textId="77777777" w:rsidR="008B61DE" w:rsidRDefault="008B61DE">
      <w:r>
        <w:separator/>
      </w:r>
    </w:p>
  </w:endnote>
  <w:endnote w:type="continuationSeparator" w:id="0">
    <w:p w14:paraId="0A3E7823" w14:textId="77777777" w:rsidR="008B61DE" w:rsidRDefault="008B6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6263D5" w:rsidRDefault="006263D5" w:rsidP="007B0854">
    <w:pPr>
      <w:pStyle w:val="Sinespaciado"/>
      <w:jc w:val="center"/>
      <w:rPr>
        <w:rFonts w:ascii="Arial" w:hAnsi="Arial" w:cs="Arial"/>
        <w:sz w:val="18"/>
        <w:szCs w:val="18"/>
      </w:rPr>
    </w:pPr>
  </w:p>
  <w:p w14:paraId="312C4A14" w14:textId="064C4C7E" w:rsidR="006263D5" w:rsidRPr="005A79FE" w:rsidRDefault="006263D5"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2401E">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2401E">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0E0B8C38" w:rsidR="006263D5" w:rsidRDefault="006263D5"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6263D5" w:rsidRPr="007B0854" w:rsidRDefault="006263D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AFF21" w14:textId="77777777" w:rsidR="008B61DE" w:rsidRDefault="008B61DE">
      <w:r>
        <w:separator/>
      </w:r>
    </w:p>
  </w:footnote>
  <w:footnote w:type="continuationSeparator" w:id="0">
    <w:p w14:paraId="18B5329F" w14:textId="77777777" w:rsidR="008B61DE" w:rsidRDefault="008B61DE">
      <w:r>
        <w:continuationSeparator/>
      </w:r>
    </w:p>
  </w:footnote>
  <w:footnote w:id="1">
    <w:p w14:paraId="6E5778B8" w14:textId="77777777" w:rsidR="006263D5" w:rsidRPr="0082639E" w:rsidRDefault="006263D5" w:rsidP="0082639E">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CBF1385" w14:textId="2DCD6D11" w:rsidR="006263D5" w:rsidRPr="0082639E" w:rsidRDefault="006263D5" w:rsidP="0082639E">
      <w:pPr>
        <w:pStyle w:val="Textonotapie"/>
        <w:ind w:firstLine="708"/>
        <w:jc w:val="both"/>
        <w:rPr>
          <w:rFonts w:ascii="Arial" w:hAnsi="Arial" w:cs="Arial"/>
          <w:sz w:val="19"/>
          <w:szCs w:val="19"/>
          <w:lang w:val="es-CO"/>
        </w:rPr>
      </w:pPr>
      <w:r w:rsidRPr="0082639E">
        <w:rPr>
          <w:rFonts w:ascii="Arial" w:hAnsi="Arial" w:cs="Arial"/>
          <w:sz w:val="19"/>
          <w:szCs w:val="19"/>
          <w:lang w:val="es-CO"/>
        </w:rPr>
        <w:t>»La facultad de adoptar documentos tipo la tendrá el Gobierno nacional, cuando lo considere necesario, en relación con otros contratos o procesos de selección.</w:t>
      </w:r>
    </w:p>
    <w:p w14:paraId="395CA5B7" w14:textId="341C945D" w:rsidR="006263D5" w:rsidRPr="0082639E" w:rsidRDefault="006263D5" w:rsidP="00FE5353">
      <w:pPr>
        <w:pStyle w:val="Textonotapie"/>
        <w:ind w:firstLine="708"/>
        <w:jc w:val="both"/>
        <w:rPr>
          <w:rFonts w:ascii="Arial" w:hAnsi="Arial" w:cs="Arial"/>
          <w:sz w:val="19"/>
          <w:szCs w:val="19"/>
          <w:lang w:val="es-CO"/>
        </w:rPr>
      </w:pPr>
      <w:r>
        <w:rPr>
          <w:rFonts w:ascii="Arial" w:hAnsi="Arial" w:cs="Arial"/>
          <w:sz w:val="19"/>
          <w:szCs w:val="19"/>
          <w:lang w:val="es-CO"/>
        </w:rPr>
        <w:t>»</w:t>
      </w:r>
      <w:r w:rsidRPr="0082639E">
        <w:rPr>
          <w:rFonts w:ascii="Arial" w:hAnsi="Arial" w:cs="Arial"/>
          <w:sz w:val="19"/>
          <w:szCs w:val="19"/>
          <w:lang w:val="es-CO"/>
        </w:rPr>
        <w:t>Los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2A5D09F3" w14:textId="324E3380" w:rsidR="006263D5" w:rsidRPr="0082639E" w:rsidRDefault="006263D5" w:rsidP="0082639E">
      <w:pPr>
        <w:pStyle w:val="Textonotapie"/>
        <w:jc w:val="both"/>
        <w:rPr>
          <w:sz w:val="19"/>
          <w:szCs w:val="19"/>
          <w:lang w:val="es-CO"/>
        </w:rPr>
      </w:pPr>
    </w:p>
  </w:footnote>
  <w:footnote w:id="2">
    <w:p w14:paraId="4337AA65" w14:textId="456D86AE" w:rsidR="006263D5" w:rsidRDefault="006263D5" w:rsidP="00D50D9D">
      <w:pPr>
        <w:pStyle w:val="Textonotapie"/>
        <w:ind w:firstLine="708"/>
        <w:jc w:val="both"/>
        <w:rPr>
          <w:rFonts w:ascii="Arial" w:hAnsi="Arial" w:cs="Arial"/>
          <w:sz w:val="19"/>
          <w:szCs w:val="19"/>
        </w:rPr>
      </w:pPr>
      <w:r>
        <w:rPr>
          <w:rStyle w:val="Refdenotaalpie"/>
        </w:rPr>
        <w:footnoteRef/>
      </w:r>
      <w:r>
        <w:t xml:space="preserve"> </w:t>
      </w:r>
      <w:r w:rsidRPr="00E80E46">
        <w:rPr>
          <w:rFonts w:ascii="Arial" w:hAnsi="Arial" w:cs="Arial"/>
          <w:sz w:val="19"/>
          <w:szCs w:val="19"/>
        </w:rPr>
        <w:t>Corte Constitucional. Sentencia C-119 de 2020. M.P</w:t>
      </w:r>
      <w:r w:rsidR="007C52AA">
        <w:rPr>
          <w:rFonts w:ascii="Arial" w:hAnsi="Arial" w:cs="Arial"/>
          <w:sz w:val="19"/>
          <w:szCs w:val="19"/>
        </w:rPr>
        <w:t>.</w:t>
      </w:r>
      <w:r w:rsidRPr="00E80E46">
        <w:rPr>
          <w:rFonts w:ascii="Arial" w:hAnsi="Arial" w:cs="Arial"/>
          <w:sz w:val="19"/>
          <w:szCs w:val="19"/>
        </w:rPr>
        <w:t xml:space="preserve"> Alejandro Linares Cantillo. </w:t>
      </w:r>
      <w:r>
        <w:rPr>
          <w:rFonts w:ascii="Arial" w:hAnsi="Arial" w:cs="Arial"/>
          <w:sz w:val="19"/>
          <w:szCs w:val="19"/>
        </w:rPr>
        <w:t>«</w:t>
      </w:r>
      <w:r w:rsidRPr="00D50D9D">
        <w:rPr>
          <w:rFonts w:ascii="Arial" w:hAnsi="Arial" w:cs="Arial"/>
          <w:sz w:val="19"/>
          <w:szCs w:val="19"/>
        </w:rPr>
        <w:t>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r>
        <w:rPr>
          <w:rFonts w:ascii="Arial" w:hAnsi="Arial" w:cs="Arial"/>
          <w:sz w:val="19"/>
          <w:szCs w:val="19"/>
        </w:rPr>
        <w:t>»</w:t>
      </w:r>
      <w:r w:rsidRPr="00D50D9D">
        <w:rPr>
          <w:rFonts w:ascii="Arial" w:hAnsi="Arial" w:cs="Arial"/>
          <w:sz w:val="19"/>
          <w:szCs w:val="19"/>
        </w:rPr>
        <w:t>.</w:t>
      </w:r>
    </w:p>
    <w:p w14:paraId="332897BE" w14:textId="77777777" w:rsidR="006263D5" w:rsidRPr="00D50D9D" w:rsidRDefault="006263D5" w:rsidP="00D50D9D">
      <w:pPr>
        <w:pStyle w:val="Textonotapie"/>
        <w:ind w:firstLine="708"/>
        <w:jc w:val="both"/>
        <w:rPr>
          <w:rFonts w:ascii="Arial" w:hAnsi="Arial" w:cs="Arial"/>
          <w:sz w:val="19"/>
          <w:szCs w:val="19"/>
        </w:rPr>
      </w:pPr>
    </w:p>
  </w:footnote>
  <w:footnote w:id="3">
    <w:p w14:paraId="1163B639" w14:textId="025E24B0" w:rsidR="006263D5" w:rsidRDefault="006263D5" w:rsidP="00BB2EA9">
      <w:pPr>
        <w:pStyle w:val="Textonotapie"/>
        <w:ind w:firstLine="708"/>
      </w:pPr>
      <w:r>
        <w:rPr>
          <w:rStyle w:val="Refdenotaalpie"/>
        </w:rPr>
        <w:footnoteRef/>
      </w:r>
      <w:r>
        <w:t xml:space="preserve"> </w:t>
      </w:r>
      <w:r w:rsidRPr="00BB2EA9">
        <w:rPr>
          <w:rFonts w:ascii="Arial" w:hAnsi="Arial" w:cs="Arial"/>
          <w:sz w:val="19"/>
          <w:szCs w:val="19"/>
        </w:rPr>
        <w:t>Gaceta del Congreso No. 733 del 201</w:t>
      </w:r>
      <w:r>
        <w:rPr>
          <w:rFonts w:ascii="Arial" w:hAnsi="Arial" w:cs="Arial"/>
          <w:sz w:val="19"/>
          <w:szCs w:val="19"/>
        </w:rPr>
        <w:t>8. Pág. 19</w:t>
      </w:r>
    </w:p>
    <w:p w14:paraId="32536B15" w14:textId="77777777" w:rsidR="006263D5" w:rsidRPr="00BB2EA9" w:rsidRDefault="006263D5" w:rsidP="00BB2EA9">
      <w:pPr>
        <w:pStyle w:val="Textonotapie"/>
        <w:rPr>
          <w:lang w:val="es-CO"/>
        </w:rPr>
      </w:pPr>
    </w:p>
  </w:footnote>
  <w:footnote w:id="4">
    <w:p w14:paraId="0716FE48" w14:textId="12DCAB66" w:rsidR="006263D5" w:rsidRDefault="006263D5" w:rsidP="003B4ADA">
      <w:pPr>
        <w:pStyle w:val="Textonotapie"/>
        <w:ind w:firstLine="708"/>
        <w:rPr>
          <w:rFonts w:ascii="Arial" w:hAnsi="Arial" w:cs="Arial"/>
          <w:sz w:val="19"/>
          <w:szCs w:val="19"/>
        </w:rPr>
      </w:pPr>
      <w:r>
        <w:rPr>
          <w:rStyle w:val="Refdenotaalpie"/>
        </w:rPr>
        <w:footnoteRef/>
      </w:r>
      <w:r>
        <w:t xml:space="preserve"> </w:t>
      </w:r>
      <w:r w:rsidRPr="003B4ADA">
        <w:rPr>
          <w:rFonts w:ascii="Arial" w:hAnsi="Arial" w:cs="Arial"/>
          <w:sz w:val="19"/>
          <w:szCs w:val="19"/>
        </w:rPr>
        <w:t xml:space="preserve">Gaceta del Congreso No. 733 del 2018. Pág. </w:t>
      </w:r>
      <w:r>
        <w:rPr>
          <w:rFonts w:ascii="Arial" w:hAnsi="Arial" w:cs="Arial"/>
          <w:sz w:val="19"/>
          <w:szCs w:val="19"/>
        </w:rPr>
        <w:t>20.</w:t>
      </w:r>
    </w:p>
    <w:p w14:paraId="36A8207A" w14:textId="77777777" w:rsidR="006263D5" w:rsidRPr="003B4ADA" w:rsidRDefault="006263D5" w:rsidP="003B4ADA">
      <w:pPr>
        <w:pStyle w:val="Textonotapie"/>
        <w:ind w:firstLine="708"/>
        <w:rPr>
          <w:lang w:val="es-CO"/>
        </w:rPr>
      </w:pPr>
    </w:p>
  </w:footnote>
  <w:footnote w:id="5">
    <w:p w14:paraId="33E25097" w14:textId="6AF2B98A" w:rsidR="006263D5" w:rsidRDefault="006263D5" w:rsidP="003B4ADA">
      <w:pPr>
        <w:pStyle w:val="Textonotapie"/>
        <w:ind w:firstLine="708"/>
        <w:rPr>
          <w:rFonts w:ascii="Arial" w:hAnsi="Arial" w:cs="Arial"/>
          <w:sz w:val="19"/>
          <w:szCs w:val="19"/>
        </w:rPr>
      </w:pPr>
      <w:r>
        <w:rPr>
          <w:rStyle w:val="Refdenotaalpie"/>
        </w:rPr>
        <w:footnoteRef/>
      </w:r>
      <w:r>
        <w:t xml:space="preserve"> </w:t>
      </w:r>
      <w:r w:rsidRPr="003B4ADA">
        <w:rPr>
          <w:rFonts w:ascii="Arial" w:hAnsi="Arial" w:cs="Arial"/>
          <w:sz w:val="19"/>
          <w:szCs w:val="19"/>
        </w:rPr>
        <w:t xml:space="preserve">Gaceta del Congreso No. 733 del 2018. Pág. </w:t>
      </w:r>
      <w:r>
        <w:rPr>
          <w:rFonts w:ascii="Arial" w:hAnsi="Arial" w:cs="Arial"/>
          <w:sz w:val="19"/>
          <w:szCs w:val="19"/>
        </w:rPr>
        <w:t>20.</w:t>
      </w:r>
    </w:p>
    <w:p w14:paraId="7CC4DF6F" w14:textId="77777777" w:rsidR="006263D5" w:rsidRPr="003B4ADA" w:rsidRDefault="006263D5" w:rsidP="003B4ADA">
      <w:pPr>
        <w:pStyle w:val="Textonotapie"/>
        <w:ind w:firstLine="708"/>
        <w:rPr>
          <w:lang w:val="es-CO"/>
        </w:rPr>
      </w:pPr>
    </w:p>
  </w:footnote>
  <w:footnote w:id="6">
    <w:p w14:paraId="24CB8A08" w14:textId="47D78CCD" w:rsidR="006263D5" w:rsidRPr="00397E63" w:rsidRDefault="006263D5" w:rsidP="00E67E00">
      <w:pPr>
        <w:pStyle w:val="Textonotapie"/>
        <w:ind w:firstLine="708"/>
        <w:jc w:val="both"/>
        <w:rPr>
          <w:rFonts w:ascii="Arial" w:hAnsi="Arial" w:cs="Arial"/>
          <w:sz w:val="19"/>
          <w:szCs w:val="19"/>
        </w:rPr>
      </w:pPr>
      <w:r>
        <w:rPr>
          <w:rStyle w:val="Refdenotaalpie"/>
        </w:rPr>
        <w:footnoteRef/>
      </w:r>
      <w:r>
        <w:t xml:space="preserve"> </w:t>
      </w:r>
      <w:r w:rsidRPr="00E67E00">
        <w:rPr>
          <w:rFonts w:ascii="Arial" w:hAnsi="Arial" w:cs="Arial"/>
          <w:sz w:val="19"/>
          <w:szCs w:val="19"/>
        </w:rPr>
        <w:t>Ley 2022 de 2020: «Artículo 1. Modifíquese el artículo </w:t>
      </w:r>
      <w:hyperlink r:id="rId1" w:anchor="4" w:history="1">
        <w:r w:rsidRPr="00E67E00">
          <w:rPr>
            <w:rFonts w:ascii="Arial" w:hAnsi="Arial" w:cs="Arial"/>
            <w:sz w:val="19"/>
            <w:szCs w:val="19"/>
          </w:rPr>
          <w:t>4</w:t>
        </w:r>
      </w:hyperlink>
      <w:r w:rsidRPr="00E67E00">
        <w:rPr>
          <w:rFonts w:ascii="Arial" w:hAnsi="Arial" w:cs="Arial"/>
          <w:sz w:val="19"/>
          <w:szCs w:val="19"/>
        </w:rPr>
        <w:t>º de la Ley 1882 de 2018, el cual quedará así:</w:t>
      </w:r>
      <w:r w:rsidRPr="00397E63">
        <w:rPr>
          <w:rFonts w:ascii="Arial" w:hAnsi="Arial" w:cs="Arial"/>
          <w:sz w:val="19"/>
          <w:szCs w:val="19"/>
        </w:rPr>
        <w:t> </w:t>
      </w:r>
    </w:p>
    <w:p w14:paraId="1ED7DF72" w14:textId="3502C71F" w:rsidR="006263D5" w:rsidRPr="00397E63" w:rsidRDefault="006263D5" w:rsidP="00E67E00">
      <w:pPr>
        <w:pStyle w:val="Textonotapie"/>
        <w:ind w:firstLine="708"/>
        <w:jc w:val="both"/>
        <w:rPr>
          <w:rFonts w:ascii="Arial" w:hAnsi="Arial" w:cs="Arial"/>
          <w:sz w:val="19"/>
          <w:szCs w:val="19"/>
        </w:rPr>
      </w:pPr>
      <w:r>
        <w:rPr>
          <w:rFonts w:ascii="Arial" w:hAnsi="Arial" w:cs="Arial"/>
          <w:sz w:val="19"/>
          <w:szCs w:val="19"/>
        </w:rPr>
        <w:t>»</w:t>
      </w:r>
      <w:r w:rsidRPr="00397E63">
        <w:rPr>
          <w:rFonts w:ascii="Arial" w:hAnsi="Arial" w:cs="Arial"/>
          <w:sz w:val="19"/>
          <w:szCs w:val="19"/>
        </w:rPr>
        <w:t>A</w:t>
      </w:r>
      <w:r>
        <w:rPr>
          <w:rFonts w:ascii="Arial" w:hAnsi="Arial" w:cs="Arial"/>
          <w:sz w:val="19"/>
          <w:szCs w:val="19"/>
        </w:rPr>
        <w:t>rtículo</w:t>
      </w:r>
      <w:r w:rsidRPr="00397E63">
        <w:rPr>
          <w:rFonts w:ascii="Arial" w:hAnsi="Arial" w:cs="Arial"/>
          <w:sz w:val="19"/>
          <w:szCs w:val="19"/>
        </w:rPr>
        <w:t xml:space="preserve"> 4º. Adiciónese el siguiente </w:t>
      </w:r>
      <w:hyperlink r:id="rId2" w:anchor="2.p7" w:history="1">
        <w:r w:rsidRPr="00397E63">
          <w:rPr>
            <w:rFonts w:ascii="Arial" w:hAnsi="Arial" w:cs="Arial"/>
            <w:sz w:val="19"/>
            <w:szCs w:val="19"/>
          </w:rPr>
          <w:t>parágrafo</w:t>
        </w:r>
      </w:hyperlink>
      <w:r w:rsidRPr="00397E63">
        <w:rPr>
          <w:rFonts w:ascii="Arial" w:hAnsi="Arial" w:cs="Arial"/>
          <w:sz w:val="19"/>
          <w:szCs w:val="19"/>
        </w:rPr>
        <w:t> al artículo 2º de la Ley 1150 de 2007.</w:t>
      </w:r>
    </w:p>
    <w:p w14:paraId="5D8EC4EC" w14:textId="38BD7EE1" w:rsidR="006263D5" w:rsidRPr="00397E63" w:rsidRDefault="006263D5" w:rsidP="00E67E00">
      <w:pPr>
        <w:pStyle w:val="Textonotapie"/>
        <w:ind w:firstLine="708"/>
        <w:jc w:val="both"/>
        <w:rPr>
          <w:rFonts w:ascii="Arial" w:hAnsi="Arial" w:cs="Arial"/>
          <w:sz w:val="19"/>
          <w:szCs w:val="19"/>
        </w:rPr>
      </w:pPr>
      <w:r>
        <w:rPr>
          <w:rFonts w:ascii="Arial" w:hAnsi="Arial" w:cs="Arial"/>
          <w:sz w:val="19"/>
          <w:szCs w:val="19"/>
        </w:rPr>
        <w:t>»</w:t>
      </w:r>
      <w:r w:rsidRPr="00397E63">
        <w:rPr>
          <w:rFonts w:ascii="Arial" w:hAnsi="Arial" w:cs="Arial"/>
          <w:sz w:val="19"/>
          <w:szCs w:val="19"/>
        </w:rPr>
        <w:t>P</w:t>
      </w:r>
      <w:r>
        <w:rPr>
          <w:rFonts w:ascii="Arial" w:hAnsi="Arial" w:cs="Arial"/>
          <w:sz w:val="19"/>
          <w:szCs w:val="19"/>
        </w:rPr>
        <w:t>arágrafo</w:t>
      </w:r>
      <w:r w:rsidRPr="00397E63">
        <w:rPr>
          <w:rFonts w:ascii="Arial" w:hAnsi="Arial" w:cs="Arial"/>
          <w:sz w:val="19"/>
          <w:szCs w:val="19"/>
        </w:rPr>
        <w:t xml:space="preserve">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F628C9F" w14:textId="04A5D72E" w:rsidR="006263D5" w:rsidRPr="00397E63" w:rsidRDefault="006263D5" w:rsidP="00E67E00">
      <w:pPr>
        <w:pStyle w:val="Textonotapie"/>
        <w:ind w:firstLine="708"/>
        <w:jc w:val="both"/>
        <w:rPr>
          <w:rFonts w:ascii="Arial" w:hAnsi="Arial" w:cs="Arial"/>
          <w:sz w:val="19"/>
          <w:szCs w:val="19"/>
        </w:rPr>
      </w:pPr>
      <w:r>
        <w:rPr>
          <w:rFonts w:ascii="Arial" w:hAnsi="Arial" w:cs="Arial"/>
          <w:sz w:val="19"/>
          <w:szCs w:val="19"/>
        </w:rPr>
        <w:t>»</w:t>
      </w:r>
      <w:r w:rsidRPr="00397E63">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2457199" w14:textId="0A27099D" w:rsidR="006263D5" w:rsidRPr="00397E63" w:rsidRDefault="006263D5" w:rsidP="00E67E00">
      <w:pPr>
        <w:pStyle w:val="Textonotapie"/>
        <w:ind w:firstLine="708"/>
        <w:jc w:val="both"/>
        <w:rPr>
          <w:rFonts w:ascii="Arial" w:hAnsi="Arial" w:cs="Arial"/>
          <w:sz w:val="19"/>
          <w:szCs w:val="19"/>
        </w:rPr>
      </w:pPr>
      <w:r>
        <w:rPr>
          <w:rFonts w:ascii="Arial" w:hAnsi="Arial" w:cs="Arial"/>
          <w:sz w:val="19"/>
          <w:szCs w:val="19"/>
        </w:rPr>
        <w:t>»</w:t>
      </w:r>
      <w:r w:rsidRPr="00397E63">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72250AA" w14:textId="16A8856F" w:rsidR="006263D5" w:rsidRPr="00397E63" w:rsidRDefault="006263D5" w:rsidP="00E67E00">
      <w:pPr>
        <w:pStyle w:val="Textonotapie"/>
        <w:ind w:firstLine="708"/>
        <w:jc w:val="both"/>
        <w:rPr>
          <w:rFonts w:ascii="Arial" w:hAnsi="Arial" w:cs="Arial"/>
          <w:sz w:val="19"/>
          <w:szCs w:val="19"/>
        </w:rPr>
      </w:pPr>
      <w:r>
        <w:rPr>
          <w:rFonts w:ascii="Arial" w:hAnsi="Arial" w:cs="Arial"/>
          <w:sz w:val="19"/>
          <w:szCs w:val="19"/>
        </w:rPr>
        <w:t>»</w:t>
      </w:r>
      <w:r w:rsidRPr="00397E63">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4A7D2D80" w14:textId="7CA6254A" w:rsidR="006263D5" w:rsidRPr="00397E63" w:rsidRDefault="006263D5" w:rsidP="00E67E00">
      <w:pPr>
        <w:pStyle w:val="Textonotapie"/>
        <w:ind w:firstLine="708"/>
        <w:jc w:val="both"/>
        <w:rPr>
          <w:rFonts w:ascii="Arial" w:hAnsi="Arial" w:cs="Arial"/>
          <w:sz w:val="19"/>
          <w:szCs w:val="19"/>
        </w:rPr>
      </w:pPr>
      <w:r>
        <w:rPr>
          <w:rFonts w:ascii="Arial" w:hAnsi="Arial" w:cs="Arial"/>
          <w:sz w:val="19"/>
          <w:szCs w:val="19"/>
        </w:rPr>
        <w:t>»</w:t>
      </w:r>
      <w:r w:rsidRPr="00397E63">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397E63">
        <w:rPr>
          <w:rFonts w:ascii="Arial" w:hAnsi="Arial" w:cs="Arial"/>
          <w:sz w:val="19"/>
          <w:szCs w:val="19"/>
        </w:rPr>
        <w:t>.</w:t>
      </w:r>
    </w:p>
    <w:p w14:paraId="6D9CA4FB" w14:textId="49144E8A" w:rsidR="006263D5" w:rsidRPr="00E67E00" w:rsidRDefault="006263D5" w:rsidP="00E67E00">
      <w:pPr>
        <w:pStyle w:val="Textonotapie"/>
        <w:ind w:firstLine="708"/>
        <w:jc w:val="both"/>
        <w:rPr>
          <w:rFonts w:ascii="Arial" w:hAnsi="Arial" w:cs="Arial"/>
          <w:sz w:val="19"/>
          <w:szCs w:val="19"/>
        </w:rPr>
      </w:pPr>
      <w:r w:rsidRPr="00397E63">
        <w:rPr>
          <w:rFonts w:ascii="Arial" w:hAnsi="Arial" w:cs="Arial"/>
          <w:sz w:val="19"/>
          <w:szCs w:val="19"/>
        </w:rPr>
        <w:t> </w:t>
      </w:r>
    </w:p>
  </w:footnote>
  <w:footnote w:id="7">
    <w:p w14:paraId="390D4A62" w14:textId="15D495E2" w:rsidR="006263D5" w:rsidRPr="00BD12F0" w:rsidRDefault="006263D5" w:rsidP="00E67E00">
      <w:pPr>
        <w:pStyle w:val="Textonotapie"/>
        <w:ind w:firstLine="708"/>
        <w:jc w:val="both"/>
        <w:rPr>
          <w:rFonts w:ascii="Arial" w:hAnsi="Arial" w:cs="Arial"/>
          <w:sz w:val="19"/>
          <w:szCs w:val="19"/>
        </w:rPr>
      </w:pPr>
      <w:r w:rsidRPr="000D028C">
        <w:rPr>
          <w:rStyle w:val="Refdenotaalpie"/>
          <w:rFonts w:ascii="Arial" w:hAnsi="Arial" w:cs="Arial"/>
          <w:sz w:val="18"/>
          <w:szCs w:val="18"/>
        </w:rPr>
        <w:footnoteRef/>
      </w:r>
      <w:r w:rsidRPr="000D028C">
        <w:rPr>
          <w:rFonts w:ascii="Arial" w:hAnsi="Arial" w:cs="Arial"/>
          <w:sz w:val="18"/>
          <w:szCs w:val="18"/>
        </w:rPr>
        <w:t xml:space="preserve"> </w:t>
      </w:r>
      <w:r w:rsidRPr="00BD12F0">
        <w:rPr>
          <w:rFonts w:ascii="Arial" w:hAnsi="Arial" w:cs="Arial"/>
          <w:sz w:val="19"/>
          <w:szCs w:val="19"/>
        </w:rPr>
        <w:t xml:space="preserve">Ley 80 de 1993. </w:t>
      </w:r>
      <w:r w:rsidR="00C71FBE">
        <w:rPr>
          <w:rFonts w:ascii="Arial" w:hAnsi="Arial" w:cs="Arial"/>
          <w:sz w:val="19"/>
          <w:szCs w:val="19"/>
        </w:rPr>
        <w:t>«</w:t>
      </w:r>
      <w:r w:rsidRPr="00BD12F0">
        <w:rPr>
          <w:rFonts w:ascii="Arial" w:hAnsi="Arial" w:cs="Arial"/>
          <w:sz w:val="19"/>
          <w:szCs w:val="19"/>
        </w:rPr>
        <w:t>Artículo 2. De la definición de entidades, servidores y servicios públicos. Para los solos efectos de esta ley:</w:t>
      </w:r>
    </w:p>
    <w:p w14:paraId="4DEB51F7" w14:textId="1786BC52" w:rsidR="006263D5" w:rsidRPr="00BD12F0" w:rsidRDefault="00C71FBE" w:rsidP="00296A84">
      <w:pPr>
        <w:pStyle w:val="Textonotapie"/>
        <w:ind w:firstLine="708"/>
        <w:jc w:val="both"/>
        <w:rPr>
          <w:rFonts w:ascii="Arial" w:hAnsi="Arial" w:cs="Arial"/>
          <w:sz w:val="19"/>
          <w:szCs w:val="19"/>
        </w:rPr>
      </w:pPr>
      <w:r>
        <w:rPr>
          <w:rFonts w:ascii="Arial" w:hAnsi="Arial" w:cs="Arial"/>
          <w:sz w:val="19"/>
          <w:szCs w:val="19"/>
        </w:rPr>
        <w:t>»</w:t>
      </w:r>
      <w:r w:rsidR="006263D5" w:rsidRPr="00BD12F0">
        <w:rPr>
          <w:rFonts w:ascii="Arial" w:hAnsi="Arial" w:cs="Arial"/>
          <w:sz w:val="19"/>
          <w:szCs w:val="19"/>
        </w:rPr>
        <w:t>1o. Se denominan entidades estatales:</w:t>
      </w:r>
    </w:p>
    <w:p w14:paraId="57B44BB1" w14:textId="26F358A1" w:rsidR="006263D5" w:rsidRPr="00BD12F0" w:rsidRDefault="00C71FBE" w:rsidP="00296A84">
      <w:pPr>
        <w:pStyle w:val="Textonotapie"/>
        <w:ind w:firstLine="708"/>
        <w:jc w:val="both"/>
        <w:rPr>
          <w:rFonts w:ascii="Arial" w:hAnsi="Arial" w:cs="Arial"/>
          <w:sz w:val="19"/>
          <w:szCs w:val="19"/>
        </w:rPr>
      </w:pPr>
      <w:r>
        <w:rPr>
          <w:rFonts w:ascii="Arial" w:hAnsi="Arial" w:cs="Arial"/>
          <w:sz w:val="19"/>
          <w:szCs w:val="19"/>
        </w:rPr>
        <w:t>»</w:t>
      </w:r>
      <w:r w:rsidR="006263D5" w:rsidRPr="00BD12F0">
        <w:rPr>
          <w:rFonts w:ascii="Arial" w:hAnsi="Arial"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AC8B2C6" w14:textId="48B9F1DB" w:rsidR="006263D5" w:rsidRPr="000D028C" w:rsidRDefault="00C71FBE" w:rsidP="00296A84">
      <w:pPr>
        <w:pStyle w:val="Textonotapie"/>
        <w:ind w:firstLine="708"/>
        <w:jc w:val="both"/>
        <w:rPr>
          <w:rFonts w:ascii="Arial" w:hAnsi="Arial" w:cs="Arial"/>
          <w:i/>
          <w:sz w:val="18"/>
          <w:szCs w:val="18"/>
        </w:rPr>
      </w:pPr>
      <w:r>
        <w:rPr>
          <w:rFonts w:ascii="Arial" w:hAnsi="Arial" w:cs="Arial"/>
          <w:sz w:val="19"/>
          <w:szCs w:val="19"/>
        </w:rPr>
        <w:t>»</w:t>
      </w:r>
      <w:r w:rsidR="006263D5" w:rsidRPr="00BD12F0">
        <w:rPr>
          <w:rFonts w:ascii="Arial" w:hAnsi="Arial" w:cs="Arial"/>
          <w:sz w:val="19"/>
          <w:szCs w:val="19"/>
        </w:rPr>
        <w:t xml:space="preserve">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r>
        <w:rPr>
          <w:rFonts w:ascii="Arial" w:hAnsi="Arial" w:cs="Arial"/>
          <w:sz w:val="19"/>
          <w:szCs w:val="19"/>
        </w:rPr>
        <w:t>[</w:t>
      </w:r>
      <w:r w:rsidR="006263D5" w:rsidRPr="00BD12F0">
        <w:rPr>
          <w:rFonts w:ascii="Arial" w:hAnsi="Arial" w:cs="Arial"/>
          <w:sz w:val="19"/>
          <w:szCs w:val="19"/>
        </w:rPr>
        <w:t>…</w:t>
      </w:r>
      <w:r>
        <w:rPr>
          <w:rFonts w:ascii="Arial" w:hAnsi="Arial" w:cs="Arial"/>
          <w:sz w:val="19"/>
          <w:szCs w:val="19"/>
        </w:rPr>
        <w:t>]»</w:t>
      </w:r>
      <w:r w:rsidR="006263D5" w:rsidRPr="00BD12F0">
        <w:rPr>
          <w:rFonts w:ascii="Arial" w:hAnsi="Arial" w:cs="Arial"/>
          <w:sz w:val="19"/>
          <w:szCs w:val="19"/>
        </w:rPr>
        <w:t>.</w:t>
      </w:r>
    </w:p>
  </w:footnote>
  <w:footnote w:id="8">
    <w:p w14:paraId="15DCB548" w14:textId="43CF3E91" w:rsidR="006263D5" w:rsidRPr="00BD12F0" w:rsidRDefault="006263D5" w:rsidP="008035F0">
      <w:pPr>
        <w:pStyle w:val="Textonotapie"/>
        <w:ind w:firstLine="708"/>
        <w:jc w:val="both"/>
        <w:rPr>
          <w:lang w:val="es-CO"/>
        </w:rPr>
      </w:pPr>
      <w:r>
        <w:rPr>
          <w:rStyle w:val="Refdenotaalpie"/>
        </w:rPr>
        <w:footnoteRef/>
      </w:r>
      <w:r>
        <w:t xml:space="preserve"> </w:t>
      </w:r>
      <w:r w:rsidRPr="008035F0">
        <w:rPr>
          <w:rFonts w:ascii="Arial" w:hAnsi="Arial" w:cs="Arial"/>
          <w:sz w:val="19"/>
          <w:szCs w:val="19"/>
        </w:rPr>
        <w:t xml:space="preserve">Tabla 1- </w:t>
      </w:r>
      <w:r w:rsidRPr="00BD12F0">
        <w:rPr>
          <w:rFonts w:ascii="Arial" w:hAnsi="Arial" w:cs="Arial"/>
          <w:sz w:val="19"/>
          <w:szCs w:val="19"/>
        </w:rPr>
        <w:t>Cronograma de los documentos tipo de interventoría de obra pública de infraestructura de transporte.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6263D5" w:rsidRDefault="006263D5">
    <w:pPr>
      <w:pStyle w:val="Encabezado"/>
    </w:pPr>
  </w:p>
  <w:p w14:paraId="6A4C7F2C" w14:textId="7D093DBB" w:rsidR="006263D5" w:rsidRDefault="006263D5">
    <w:pPr>
      <w:pStyle w:val="Encabezado"/>
    </w:pPr>
  </w:p>
  <w:p w14:paraId="055F2E1F" w14:textId="0B935ADD" w:rsidR="006263D5" w:rsidRDefault="006263D5">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6263D5" w:rsidRDefault="006263D5">
    <w:pPr>
      <w:pStyle w:val="Encabezado"/>
    </w:pPr>
  </w:p>
  <w:p w14:paraId="3D323BDB" w14:textId="04AF0DE6" w:rsidR="006263D5" w:rsidRDefault="006263D5">
    <w:pPr>
      <w:pStyle w:val="Encabezado"/>
    </w:pPr>
  </w:p>
  <w:p w14:paraId="6520770B" w14:textId="18EB07B5" w:rsidR="006263D5" w:rsidRDefault="006263D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8B3C07BE"/>
    <w:lvl w:ilvl="0">
      <w:start w:val="1"/>
      <w:numFmt w:val="decimal"/>
      <w:lvlText w:val="%1."/>
      <w:lvlJc w:val="left"/>
      <w:pPr>
        <w:ind w:left="6173"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45F39CD"/>
    <w:multiLevelType w:val="hybridMultilevel"/>
    <w:tmpl w:val="11BA7EE2"/>
    <w:lvl w:ilvl="0" w:tplc="1318026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0F5968"/>
    <w:multiLevelType w:val="hybridMultilevel"/>
    <w:tmpl w:val="75D038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FC0009A"/>
    <w:multiLevelType w:val="hybridMultilevel"/>
    <w:tmpl w:val="2EACC70A"/>
    <w:lvl w:ilvl="0" w:tplc="8528BD7E">
      <w:start w:val="1"/>
      <w:numFmt w:val="lowerRoman"/>
      <w:lvlText w:val="%1)"/>
      <w:lvlJc w:val="left"/>
      <w:pPr>
        <w:ind w:left="1080" w:hanging="720"/>
      </w:pPr>
      <w:rPr>
        <w:rFonts w:hint="default"/>
        <w:b w:val="0"/>
        <w:bCs w:val="0"/>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2FEE"/>
    <w:rsid w:val="00004775"/>
    <w:rsid w:val="0000535E"/>
    <w:rsid w:val="00071094"/>
    <w:rsid w:val="0008533F"/>
    <w:rsid w:val="000942EB"/>
    <w:rsid w:val="000B103F"/>
    <w:rsid w:val="000B2383"/>
    <w:rsid w:val="000C1E2E"/>
    <w:rsid w:val="000C6E36"/>
    <w:rsid w:val="000F14E8"/>
    <w:rsid w:val="00103915"/>
    <w:rsid w:val="00122B23"/>
    <w:rsid w:val="00137FFA"/>
    <w:rsid w:val="00166C8F"/>
    <w:rsid w:val="002257D0"/>
    <w:rsid w:val="00234B84"/>
    <w:rsid w:val="0025299E"/>
    <w:rsid w:val="00252D2F"/>
    <w:rsid w:val="00275DBD"/>
    <w:rsid w:val="00296A84"/>
    <w:rsid w:val="002E7F3F"/>
    <w:rsid w:val="003033BA"/>
    <w:rsid w:val="0034680A"/>
    <w:rsid w:val="00386456"/>
    <w:rsid w:val="00397E63"/>
    <w:rsid w:val="003A581E"/>
    <w:rsid w:val="003B4ADA"/>
    <w:rsid w:val="003C52EE"/>
    <w:rsid w:val="004422D6"/>
    <w:rsid w:val="004729FA"/>
    <w:rsid w:val="004A34D2"/>
    <w:rsid w:val="0051074C"/>
    <w:rsid w:val="00512F3B"/>
    <w:rsid w:val="00513AF2"/>
    <w:rsid w:val="0052401E"/>
    <w:rsid w:val="0054413A"/>
    <w:rsid w:val="005553C1"/>
    <w:rsid w:val="005564CA"/>
    <w:rsid w:val="005A79FE"/>
    <w:rsid w:val="005B5092"/>
    <w:rsid w:val="005E5652"/>
    <w:rsid w:val="005F61D1"/>
    <w:rsid w:val="006263D5"/>
    <w:rsid w:val="00655371"/>
    <w:rsid w:val="006706B6"/>
    <w:rsid w:val="006848B1"/>
    <w:rsid w:val="00697665"/>
    <w:rsid w:val="006A4217"/>
    <w:rsid w:val="006A7FD0"/>
    <w:rsid w:val="006B4CE5"/>
    <w:rsid w:val="006D7687"/>
    <w:rsid w:val="006E0572"/>
    <w:rsid w:val="006F44B1"/>
    <w:rsid w:val="00701B87"/>
    <w:rsid w:val="00705631"/>
    <w:rsid w:val="0070585D"/>
    <w:rsid w:val="00742DD2"/>
    <w:rsid w:val="007468D2"/>
    <w:rsid w:val="0075647A"/>
    <w:rsid w:val="007634AD"/>
    <w:rsid w:val="0078122E"/>
    <w:rsid w:val="007B0854"/>
    <w:rsid w:val="007B64AC"/>
    <w:rsid w:val="007C52AA"/>
    <w:rsid w:val="007E72E4"/>
    <w:rsid w:val="007F72CB"/>
    <w:rsid w:val="008035F0"/>
    <w:rsid w:val="00824A09"/>
    <w:rsid w:val="008256CC"/>
    <w:rsid w:val="0082639E"/>
    <w:rsid w:val="0083119B"/>
    <w:rsid w:val="00836EAB"/>
    <w:rsid w:val="0085092D"/>
    <w:rsid w:val="0086361C"/>
    <w:rsid w:val="008A6E0D"/>
    <w:rsid w:val="008B61DE"/>
    <w:rsid w:val="008E1C15"/>
    <w:rsid w:val="009047C5"/>
    <w:rsid w:val="00931701"/>
    <w:rsid w:val="0095385A"/>
    <w:rsid w:val="009E1DE7"/>
    <w:rsid w:val="00A24560"/>
    <w:rsid w:val="00A34538"/>
    <w:rsid w:val="00A428F9"/>
    <w:rsid w:val="00A434AB"/>
    <w:rsid w:val="00A725BB"/>
    <w:rsid w:val="00AA442B"/>
    <w:rsid w:val="00B22E22"/>
    <w:rsid w:val="00B37FD1"/>
    <w:rsid w:val="00B525CB"/>
    <w:rsid w:val="00B63ACA"/>
    <w:rsid w:val="00B63CB2"/>
    <w:rsid w:val="00B73AB0"/>
    <w:rsid w:val="00BB2EA9"/>
    <w:rsid w:val="00BD12F0"/>
    <w:rsid w:val="00BD78FE"/>
    <w:rsid w:val="00C71FBE"/>
    <w:rsid w:val="00C94FAF"/>
    <w:rsid w:val="00CA287E"/>
    <w:rsid w:val="00CC00CD"/>
    <w:rsid w:val="00CE2BEB"/>
    <w:rsid w:val="00CE6294"/>
    <w:rsid w:val="00D16E39"/>
    <w:rsid w:val="00D33F5E"/>
    <w:rsid w:val="00D33F93"/>
    <w:rsid w:val="00D40674"/>
    <w:rsid w:val="00D50D9D"/>
    <w:rsid w:val="00D72E9D"/>
    <w:rsid w:val="00D82CE5"/>
    <w:rsid w:val="00DA5AB1"/>
    <w:rsid w:val="00DA5B24"/>
    <w:rsid w:val="00DC62E5"/>
    <w:rsid w:val="00DD735D"/>
    <w:rsid w:val="00DD7583"/>
    <w:rsid w:val="00DE3119"/>
    <w:rsid w:val="00DE4C6C"/>
    <w:rsid w:val="00DE6940"/>
    <w:rsid w:val="00DF236B"/>
    <w:rsid w:val="00DF75FA"/>
    <w:rsid w:val="00E13AB8"/>
    <w:rsid w:val="00E33B62"/>
    <w:rsid w:val="00E67E00"/>
    <w:rsid w:val="00E80E46"/>
    <w:rsid w:val="00F12FFD"/>
    <w:rsid w:val="00F13490"/>
    <w:rsid w:val="00F75A72"/>
    <w:rsid w:val="00F801C5"/>
    <w:rsid w:val="00F84899"/>
    <w:rsid w:val="00F859F0"/>
    <w:rsid w:val="00FE141E"/>
    <w:rsid w:val="00FE53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A8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InviasNormalCar">
    <w:name w:val="Invias Normal Car"/>
    <w:link w:val="InviasNormal"/>
    <w:locked/>
    <w:rsid w:val="0070585D"/>
    <w:rPr>
      <w:rFonts w:ascii="Arial Narrow" w:eastAsia="Times New Roman" w:hAnsi="Arial Narrow" w:cs="Times New Roman"/>
      <w:color w:val="3C3C3C" w:themeColor="background2" w:themeShade="40"/>
      <w:sz w:val="24"/>
      <w:szCs w:val="24"/>
      <w:lang w:val="x-none" w:eastAsia="es-ES"/>
    </w:rPr>
  </w:style>
  <w:style w:type="paragraph" w:customStyle="1" w:styleId="InviasNormal">
    <w:name w:val="Invias Normal"/>
    <w:basedOn w:val="Normal"/>
    <w:link w:val="InviasNormalCar"/>
    <w:qFormat/>
    <w:rsid w:val="0070585D"/>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paragraph" w:customStyle="1" w:styleId="Normal11pt">
    <w:name w:val="Normal + 11 pt"/>
    <w:aliases w:val="Negro,Justificado,Izquierda:  -0,95 cm,Derecha:  0,04 cm"/>
    <w:basedOn w:val="Normal"/>
    <w:uiPriority w:val="99"/>
    <w:rsid w:val="00931701"/>
    <w:pPr>
      <w:ind w:left="-540"/>
      <w:jc w:val="both"/>
    </w:pPr>
    <w:rPr>
      <w:rFonts w:ascii="Arial" w:eastAsia="Times New Roman" w:hAnsi="Arial" w:cs="Arial"/>
      <w:color w:val="000000"/>
      <w:sz w:val="22"/>
      <w:lang w:val="es-ES_tradnl" w:eastAsia="es-ES"/>
    </w:rPr>
  </w:style>
  <w:style w:type="character" w:customStyle="1" w:styleId="UnresolvedMention">
    <w:name w:val="Unresolved Mention"/>
    <w:basedOn w:val="Fuentedeprrafopredeter"/>
    <w:uiPriority w:val="99"/>
    <w:semiHidden/>
    <w:unhideWhenUsed/>
    <w:rsid w:val="00397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4945514">
      <w:bodyDiv w:val="1"/>
      <w:marLeft w:val="0"/>
      <w:marRight w:val="0"/>
      <w:marTop w:val="0"/>
      <w:marBottom w:val="0"/>
      <w:divBdr>
        <w:top w:val="none" w:sz="0" w:space="0" w:color="auto"/>
        <w:left w:val="none" w:sz="0" w:space="0" w:color="auto"/>
        <w:bottom w:val="none" w:sz="0" w:space="0" w:color="auto"/>
        <w:right w:val="none" w:sz="0" w:space="0" w:color="auto"/>
      </w:divBdr>
    </w:div>
    <w:div w:id="1326593631">
      <w:bodyDiv w:val="1"/>
      <w:marLeft w:val="0"/>
      <w:marRight w:val="0"/>
      <w:marTop w:val="0"/>
      <w:marBottom w:val="0"/>
      <w:divBdr>
        <w:top w:val="none" w:sz="0" w:space="0" w:color="auto"/>
        <w:left w:val="none" w:sz="0" w:space="0" w:color="auto"/>
        <w:bottom w:val="none" w:sz="0" w:space="0" w:color="auto"/>
        <w:right w:val="none" w:sz="0" w:space="0" w:color="auto"/>
      </w:divBdr>
    </w:div>
    <w:div w:id="180854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documentos-tipo/documentos-tipo-para-obra-publica-de-infraestructura-de-transport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documentos-tipo/documentos-tipo-para-obra-publica-de-infraestructura-de-transport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25678" TargetMode="External"/><Relationship Id="rId1" Type="http://schemas.openxmlformats.org/officeDocument/2006/relationships/hyperlink" Target="https://www.funcionpublica.gov.co/eva/gestornormativo/norma.php?i=8489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2910952-7985-48B5-B752-EBD3195B6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AB5E613-AF14-49A4-A6B0-64A5781A7288}">
  <ds:schemaRefs>
    <ds:schemaRef ds:uri="http://schemas.openxmlformats.org/officeDocument/2006/bibliography"/>
  </ds:schemaRefs>
</ds:datastoreItem>
</file>

<file path=customXml/itemProps5.xml><?xml version="1.0" encoding="utf-8"?>
<ds:datastoreItem xmlns:ds="http://schemas.openxmlformats.org/officeDocument/2006/customXml" ds:itemID="{B1DAAE51-5595-4456-BE1D-E790A1221E73}"/>
</file>

<file path=docProps/app.xml><?xml version="1.0" encoding="utf-8"?>
<Properties xmlns="http://schemas.openxmlformats.org/officeDocument/2006/extended-properties" xmlns:vt="http://schemas.openxmlformats.org/officeDocument/2006/docPropsVTypes">
  <Template>Respuesta a consultas</Template>
  <TotalTime>0</TotalTime>
  <Pages>12</Pages>
  <Words>3913</Words>
  <Characters>22306</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2020-08-26T14:31:00Z</dcterms:created>
  <dcterms:modified xsi:type="dcterms:W3CDTF">2020-08-26T14:31:00Z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