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bookmarkEnd w:id="2"/>
    <w:p w14:paraId="79B0C924" w14:textId="77777777" w:rsidR="00E803A6" w:rsidRDefault="00E803A6" w:rsidP="00C118DB">
      <w:pPr>
        <w:spacing w:line="276" w:lineRule="auto"/>
        <w:jc w:val="both"/>
        <w:rPr>
          <w:rFonts w:ascii="Arial" w:eastAsia="Calibri" w:hAnsi="Arial" w:cs="Arial"/>
          <w:b/>
          <w:sz w:val="22"/>
          <w:lang w:val="es-ES_tradnl"/>
        </w:rPr>
      </w:pPr>
    </w:p>
    <w:p w14:paraId="44CD1185" w14:textId="77777777" w:rsidR="00C166FF" w:rsidRPr="00426117" w:rsidRDefault="00C166FF" w:rsidP="00C166FF">
      <w:pPr>
        <w:tabs>
          <w:tab w:val="left" w:pos="6551"/>
        </w:tabs>
        <w:jc w:val="both"/>
        <w:rPr>
          <w:rFonts w:ascii="Arial" w:eastAsia="Calibri" w:hAnsi="Arial" w:cs="Arial"/>
          <w:b/>
          <w:color w:val="000000" w:themeColor="text1"/>
          <w:sz w:val="22"/>
          <w:lang w:val="es-ES_tradnl"/>
        </w:rPr>
      </w:pPr>
      <w:r w:rsidRPr="00EE341D">
        <w:rPr>
          <w:rFonts w:ascii="Arial" w:eastAsia="Calibri" w:hAnsi="Arial" w:cs="Arial"/>
          <w:b/>
          <w:color w:val="000000" w:themeColor="text1"/>
          <w:sz w:val="22"/>
          <w:lang w:val="es-ES_tradnl"/>
        </w:rPr>
        <w:t xml:space="preserve">LEY DE </w:t>
      </w:r>
      <w:r w:rsidRPr="00426117">
        <w:rPr>
          <w:rFonts w:ascii="Arial" w:eastAsia="Calibri" w:hAnsi="Arial" w:cs="Arial"/>
          <w:b/>
          <w:color w:val="000000" w:themeColor="text1"/>
          <w:sz w:val="22"/>
          <w:szCs w:val="22"/>
          <w:lang w:val="es-ES_tradnl"/>
        </w:rPr>
        <w:t xml:space="preserve">EMPRENDIMIENTO – </w:t>
      </w:r>
      <w:r w:rsidRPr="00426117">
        <w:rPr>
          <w:rFonts w:ascii="Arial" w:hAnsi="Arial" w:cs="Arial"/>
          <w:b/>
          <w:bCs/>
          <w:color w:val="000000"/>
          <w:sz w:val="22"/>
          <w:szCs w:val="22"/>
          <w:lang w:val="es-ES" w:eastAsia="es-CO"/>
        </w:rPr>
        <w:t>Ley 2069 de 2020 – Contenido – Finalidad</w:t>
      </w:r>
      <w:r w:rsidRPr="008C2D08">
        <w:rPr>
          <w:rFonts w:ascii="Arial" w:hAnsi="Arial" w:cs="Arial"/>
          <w:color w:val="000000"/>
          <w:lang w:eastAsia="es-CO"/>
        </w:rPr>
        <w:t> </w:t>
      </w:r>
    </w:p>
    <w:p w14:paraId="0A25F0E3" w14:textId="77777777" w:rsidR="00C166FF" w:rsidRPr="008C2D08" w:rsidRDefault="00C166FF" w:rsidP="00C166FF">
      <w:pPr>
        <w:jc w:val="both"/>
        <w:textAlignment w:val="baseline"/>
        <w:rPr>
          <w:rFonts w:ascii="Segoe UI" w:hAnsi="Segoe UI" w:cs="Segoe UI"/>
          <w:sz w:val="18"/>
          <w:szCs w:val="18"/>
          <w:lang w:eastAsia="es-CO"/>
        </w:rPr>
      </w:pPr>
      <w:r w:rsidRPr="008C2D08">
        <w:rPr>
          <w:rFonts w:ascii="Arial" w:hAnsi="Arial" w:cs="Arial"/>
          <w:color w:val="000000"/>
          <w:sz w:val="20"/>
          <w:szCs w:val="20"/>
          <w:lang w:eastAsia="es-CO"/>
        </w:rPr>
        <w:t> </w:t>
      </w:r>
    </w:p>
    <w:p w14:paraId="6C96F893" w14:textId="7AF764C5" w:rsidR="00C166FF" w:rsidRPr="008C2D08" w:rsidRDefault="00EA294F" w:rsidP="00C166FF">
      <w:pPr>
        <w:jc w:val="both"/>
        <w:textAlignment w:val="baseline"/>
        <w:rPr>
          <w:rFonts w:ascii="Segoe UI" w:hAnsi="Segoe UI" w:cs="Segoe UI"/>
          <w:sz w:val="18"/>
          <w:szCs w:val="18"/>
          <w:lang w:eastAsia="es-CO"/>
        </w:rPr>
      </w:pPr>
      <w:r w:rsidRPr="00EA294F">
        <w:rPr>
          <w:rFonts w:ascii="Arial" w:hAnsi="Arial" w:cs="Arial"/>
          <w:color w:val="000000"/>
          <w:sz w:val="20"/>
          <w:szCs w:val="20"/>
          <w:lang w:val="es-ES_tradnl" w:eastAsia="es-CO"/>
        </w:rPr>
        <w:t xml:space="preserve">La Ley 2069 de 2020 guarda </w:t>
      </w:r>
      <w:r w:rsidRPr="00EA294F">
        <w:rPr>
          <w:rFonts w:ascii="Arial" w:hAnsi="Arial" w:cs="Arial"/>
          <w:bCs/>
          <w:color w:val="000000"/>
          <w:sz w:val="20"/>
          <w:szCs w:val="20"/>
          <w:lang w:val="es-ES_tradnl" w:eastAsia="es-CO"/>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Pr>
          <w:rFonts w:ascii="Arial" w:hAnsi="Arial" w:cs="Arial"/>
          <w:bCs/>
          <w:color w:val="000000"/>
          <w:sz w:val="20"/>
          <w:szCs w:val="20"/>
          <w:lang w:val="es-ES_tradnl" w:eastAsia="es-CO"/>
        </w:rPr>
        <w:t xml:space="preserve">. </w:t>
      </w:r>
    </w:p>
    <w:p w14:paraId="76CAFD82" w14:textId="77777777" w:rsidR="00C166FF" w:rsidRPr="008C2D08" w:rsidRDefault="00C166FF" w:rsidP="00C166FF">
      <w:pPr>
        <w:jc w:val="both"/>
        <w:textAlignment w:val="baseline"/>
        <w:rPr>
          <w:rFonts w:ascii="Segoe UI" w:hAnsi="Segoe UI" w:cs="Segoe UI"/>
          <w:sz w:val="18"/>
          <w:szCs w:val="18"/>
          <w:lang w:eastAsia="es-CO"/>
        </w:rPr>
      </w:pPr>
      <w:r w:rsidRPr="008C2D08">
        <w:rPr>
          <w:rFonts w:ascii="Arial" w:hAnsi="Arial" w:cs="Arial"/>
          <w:color w:val="000000"/>
          <w:sz w:val="20"/>
          <w:szCs w:val="20"/>
          <w:lang w:eastAsia="es-CO"/>
        </w:rPr>
        <w:t> </w:t>
      </w:r>
    </w:p>
    <w:p w14:paraId="646C69D2" w14:textId="0A0747A2" w:rsidR="00C166FF" w:rsidRDefault="00C166FF" w:rsidP="00C166FF">
      <w:pPr>
        <w:tabs>
          <w:tab w:val="left" w:pos="6551"/>
        </w:tabs>
        <w:jc w:val="both"/>
        <w:rPr>
          <w:rFonts w:ascii="Arial" w:hAnsi="Arial" w:cs="Arial"/>
          <w:color w:val="000000"/>
          <w:sz w:val="20"/>
          <w:szCs w:val="20"/>
          <w:lang w:val="es-ES" w:eastAsia="es-CO"/>
        </w:rPr>
      </w:pPr>
      <w:r w:rsidRPr="008C2D08">
        <w:rPr>
          <w:rFonts w:ascii="Arial" w:hAnsi="Arial" w:cs="Arial"/>
          <w:color w:val="000000"/>
          <w:sz w:val="20"/>
          <w:szCs w:val="20"/>
          <w:lang w:val="es-ES" w:eastAsia="es-CO"/>
        </w:rPr>
        <w:t xml:space="preserve">Por ello, la ley impulsa medidas para i) reducir cargas y trámites para los emprendedores del país; </w:t>
      </w:r>
      <w:proofErr w:type="spellStart"/>
      <w:r w:rsidRPr="008C2D08">
        <w:rPr>
          <w:rFonts w:ascii="Arial" w:hAnsi="Arial" w:cs="Arial"/>
          <w:color w:val="000000"/>
          <w:sz w:val="20"/>
          <w:szCs w:val="20"/>
          <w:lang w:val="es-ES" w:eastAsia="es-CO"/>
        </w:rPr>
        <w:t>ii</w:t>
      </w:r>
      <w:proofErr w:type="spellEnd"/>
      <w:r w:rsidRPr="008C2D08">
        <w:rPr>
          <w:rFonts w:ascii="Arial" w:hAnsi="Arial" w:cs="Arial"/>
          <w:color w:val="000000"/>
          <w:sz w:val="20"/>
          <w:szCs w:val="20"/>
          <w:lang w:val="es-ES" w:eastAsia="es-CO"/>
        </w:rPr>
        <w:t xml:space="preserve">) facilitar su acceso al sistema de compras y contratación pública; </w:t>
      </w:r>
      <w:proofErr w:type="spellStart"/>
      <w:r w:rsidRPr="008C2D08">
        <w:rPr>
          <w:rFonts w:ascii="Arial" w:hAnsi="Arial" w:cs="Arial"/>
          <w:color w:val="000000"/>
          <w:sz w:val="20"/>
          <w:szCs w:val="20"/>
          <w:lang w:val="es-ES" w:eastAsia="es-CO"/>
        </w:rPr>
        <w:t>iii</w:t>
      </w:r>
      <w:proofErr w:type="spellEnd"/>
      <w:r w:rsidRPr="008C2D08">
        <w:rPr>
          <w:rFonts w:ascii="Arial" w:hAnsi="Arial" w:cs="Arial"/>
          <w:color w:val="000000"/>
          <w:sz w:val="20"/>
          <w:szCs w:val="20"/>
          <w:lang w:val="es-ES" w:eastAsia="es-CO"/>
        </w:rPr>
        <w:t xml:space="preserve">) incentivar el crecimiento económico con la llegada de más actores al ecosistema de inversión y financiación; </w:t>
      </w:r>
      <w:proofErr w:type="spellStart"/>
      <w:r w:rsidRPr="008C2D08">
        <w:rPr>
          <w:rFonts w:ascii="Arial" w:hAnsi="Arial" w:cs="Arial"/>
          <w:color w:val="000000"/>
          <w:sz w:val="20"/>
          <w:szCs w:val="20"/>
          <w:lang w:val="es-ES" w:eastAsia="es-CO"/>
        </w:rPr>
        <w:t>iv</w:t>
      </w:r>
      <w:proofErr w:type="spellEnd"/>
      <w:r w:rsidRPr="008C2D08">
        <w:rPr>
          <w:rFonts w:ascii="Arial" w:hAnsi="Arial" w:cs="Arial"/>
          <w:color w:val="000000"/>
          <w:sz w:val="20"/>
          <w:szCs w:val="20"/>
          <w:lang w:val="es-ES" w:eastAsia="es-CO"/>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5453C8C6" w14:textId="2D4A333D" w:rsidR="00F327EF" w:rsidRDefault="00F327EF" w:rsidP="00C166FF">
      <w:pPr>
        <w:tabs>
          <w:tab w:val="left" w:pos="6551"/>
        </w:tabs>
        <w:jc w:val="both"/>
        <w:rPr>
          <w:rFonts w:ascii="Arial" w:hAnsi="Arial" w:cs="Arial"/>
          <w:color w:val="000000"/>
          <w:sz w:val="20"/>
          <w:szCs w:val="20"/>
          <w:lang w:val="es-ES" w:eastAsia="es-CO"/>
        </w:rPr>
      </w:pPr>
    </w:p>
    <w:p w14:paraId="3ABD8FF6" w14:textId="77777777" w:rsidR="00087019" w:rsidRDefault="00087019" w:rsidP="00087019">
      <w:pPr>
        <w:contextualSpacing/>
        <w:jc w:val="both"/>
        <w:rPr>
          <w:rFonts w:ascii="Arial" w:eastAsia="Calibri" w:hAnsi="Arial" w:cs="Arial"/>
          <w:b/>
          <w:bCs/>
          <w:color w:val="000000" w:themeColor="text1"/>
          <w:sz w:val="22"/>
          <w:szCs w:val="22"/>
          <w:lang w:eastAsia="en-US"/>
        </w:rPr>
      </w:pPr>
      <w:r>
        <w:rPr>
          <w:rFonts w:ascii="Arial" w:eastAsia="Calibri" w:hAnsi="Arial" w:cs="Arial"/>
          <w:b/>
          <w:bCs/>
          <w:color w:val="000000" w:themeColor="text1"/>
          <w:sz w:val="22"/>
          <w:szCs w:val="22"/>
          <w:lang w:eastAsia="en-US"/>
        </w:rPr>
        <w:t>PROMOCIÓN DEL DESARROLLO – Contratación pública – Pobreza extrema – Desplazamiento forzado – Proceso de reintegración – Proceso de reincorporación – especial protección constitucional</w:t>
      </w:r>
    </w:p>
    <w:p w14:paraId="74C80A03" w14:textId="77777777" w:rsidR="00E818B6" w:rsidRPr="003362CD" w:rsidRDefault="00E818B6" w:rsidP="00E818B6">
      <w:pPr>
        <w:jc w:val="both"/>
        <w:rPr>
          <w:rFonts w:ascii="Arial" w:eastAsia="Calibri" w:hAnsi="Arial" w:cs="Arial"/>
          <w:sz w:val="20"/>
          <w:szCs w:val="20"/>
        </w:rPr>
      </w:pPr>
    </w:p>
    <w:p w14:paraId="51743506" w14:textId="77777777" w:rsidR="00EA294F" w:rsidRPr="00EA294F" w:rsidRDefault="00EA294F" w:rsidP="00EA294F">
      <w:pPr>
        <w:tabs>
          <w:tab w:val="left" w:pos="6551"/>
        </w:tabs>
        <w:jc w:val="both"/>
        <w:rPr>
          <w:rFonts w:ascii="Arial" w:eastAsia="Calibri" w:hAnsi="Arial" w:cs="Arial"/>
          <w:bCs/>
          <w:sz w:val="20"/>
          <w:szCs w:val="20"/>
          <w:lang w:val="es-ES_tradnl"/>
        </w:rPr>
      </w:pPr>
      <w:r w:rsidRPr="00EA294F">
        <w:rPr>
          <w:rFonts w:ascii="Arial" w:eastAsia="Calibri" w:hAnsi="Arial" w:cs="Arial"/>
          <w:bCs/>
          <w:sz w:val="20"/>
          <w:szCs w:val="20"/>
          <w:lang w:val="es-ES_tradnl"/>
        </w:rPr>
        <w:t xml:space="preserve">El cuarto inciso del artículo 12 de la Ley 1150 de 2007, modificado por el artículo 34 de la Ley 2069 de 2020, establece que «las Entidades Estatales indistintamente de su régimen de contratación, los patrimonios autónomos constituidos por Entidades Estatales y los particulares que ejecuten recursos públicos» «[…],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w:t>
      </w:r>
      <w:r w:rsidRPr="00EA294F">
        <w:rPr>
          <w:rFonts w:ascii="Arial" w:eastAsia="Calibri" w:hAnsi="Arial" w:cs="Arial"/>
          <w:bCs/>
          <w:i/>
          <w:iCs/>
          <w:sz w:val="20"/>
          <w:szCs w:val="20"/>
          <w:lang w:val="es-ES_tradnl"/>
        </w:rPr>
        <w:t>en las</w:t>
      </w:r>
      <w:r w:rsidRPr="00EA294F">
        <w:rPr>
          <w:rFonts w:ascii="Arial" w:eastAsia="Calibri" w:hAnsi="Arial" w:cs="Arial"/>
          <w:bCs/>
          <w:sz w:val="20"/>
          <w:szCs w:val="20"/>
          <w:lang w:val="es-ES_tradnl"/>
        </w:rPr>
        <w:t xml:space="preserve"> </w:t>
      </w:r>
      <w:r w:rsidRPr="00EA294F">
        <w:rPr>
          <w:rFonts w:ascii="Arial" w:eastAsia="Calibri" w:hAnsi="Arial" w:cs="Arial"/>
          <w:bCs/>
          <w:i/>
          <w:iCs/>
          <w:sz w:val="20"/>
          <w:szCs w:val="20"/>
          <w:lang w:val="es-ES_tradnl"/>
        </w:rPr>
        <w:t>condiciones que señale el reglamento</w:t>
      </w:r>
      <w:r w:rsidRPr="00EA294F">
        <w:rPr>
          <w:rFonts w:ascii="Arial" w:eastAsia="Calibri" w:hAnsi="Arial" w:cs="Arial"/>
          <w:bCs/>
          <w:sz w:val="20"/>
          <w:szCs w:val="20"/>
          <w:lang w:val="es-ES_tradnl"/>
        </w:rPr>
        <w:t xml:space="preserve">; siempre que se garanticen las condiciones de calidad y cumplimiento del objeto contractual» (Énfasis fuera de texto). De esta manera, si bien la norma permite fomentar en la ejecución de los contratos estatales la provisión de bienes y servicios por parte de algunas personas que gozan de especial protección constitucional, la inclusión de estos mecanismos en los pliegos de condiciones está supeditada a las condiciones y reglas que desarrolle el reglamento. </w:t>
      </w:r>
    </w:p>
    <w:p w14:paraId="6BE3B6C8" w14:textId="77777777" w:rsidR="00E818B6" w:rsidRDefault="00E818B6" w:rsidP="00E818B6">
      <w:pPr>
        <w:jc w:val="both"/>
        <w:rPr>
          <w:rFonts w:ascii="Arial" w:eastAsia="Calibri" w:hAnsi="Arial" w:cs="Arial"/>
          <w:b/>
          <w:sz w:val="22"/>
          <w:szCs w:val="22"/>
          <w:lang w:eastAsia="en-US"/>
        </w:rPr>
      </w:pPr>
    </w:p>
    <w:p w14:paraId="00BC5BDF" w14:textId="77A3C70B" w:rsidR="00E818B6" w:rsidRPr="00087019" w:rsidRDefault="00E818B6" w:rsidP="00E818B6">
      <w:pPr>
        <w:jc w:val="both"/>
        <w:rPr>
          <w:rFonts w:ascii="Arial" w:eastAsia="Calibri" w:hAnsi="Arial" w:cs="Arial"/>
          <w:b/>
          <w:bCs/>
          <w:sz w:val="22"/>
          <w:szCs w:val="22"/>
          <w:lang w:eastAsia="en-US"/>
        </w:rPr>
      </w:pPr>
      <w:r>
        <w:rPr>
          <w:rFonts w:ascii="Arial" w:eastAsia="Calibri" w:hAnsi="Arial" w:cs="Arial"/>
          <w:b/>
          <w:sz w:val="22"/>
          <w:szCs w:val="22"/>
          <w:lang w:eastAsia="en-US"/>
        </w:rPr>
        <w:t xml:space="preserve">PROVISIÓN DE BIENES Y SERVICIOS </w:t>
      </w:r>
      <w:r w:rsidRPr="008D1519">
        <w:rPr>
          <w:rFonts w:ascii="Arial" w:eastAsia="Calibri" w:hAnsi="Arial" w:cs="Arial"/>
          <w:b/>
          <w:sz w:val="22"/>
          <w:szCs w:val="22"/>
          <w:lang w:eastAsia="en-US"/>
        </w:rPr>
        <w:t xml:space="preserve">– </w:t>
      </w:r>
      <w:r>
        <w:rPr>
          <w:rFonts w:ascii="Arial" w:eastAsia="Calibri" w:hAnsi="Arial" w:cs="Arial"/>
          <w:b/>
          <w:sz w:val="22"/>
          <w:szCs w:val="22"/>
          <w:lang w:eastAsia="en-US"/>
        </w:rPr>
        <w:t>Sujetos de especial protección constitucional</w:t>
      </w:r>
      <w:r w:rsidR="00087019">
        <w:rPr>
          <w:rFonts w:ascii="Arial" w:eastAsia="Calibri" w:hAnsi="Arial" w:cs="Arial"/>
          <w:b/>
          <w:sz w:val="22"/>
          <w:szCs w:val="22"/>
          <w:lang w:eastAsia="en-US"/>
        </w:rPr>
        <w:t xml:space="preserve"> </w:t>
      </w:r>
      <w:r w:rsidR="00087019" w:rsidRPr="008D1519">
        <w:rPr>
          <w:rFonts w:ascii="Arial" w:eastAsia="Calibri" w:hAnsi="Arial" w:cs="Arial"/>
          <w:b/>
          <w:sz w:val="22"/>
          <w:szCs w:val="22"/>
          <w:lang w:eastAsia="en-US"/>
        </w:rPr>
        <w:t>–</w:t>
      </w:r>
      <w:r w:rsidR="00E57B34">
        <w:rPr>
          <w:rFonts w:ascii="Arial" w:eastAsia="Calibri" w:hAnsi="Arial" w:cs="Arial"/>
          <w:b/>
          <w:sz w:val="22"/>
          <w:szCs w:val="22"/>
          <w:lang w:eastAsia="en-US"/>
        </w:rPr>
        <w:t xml:space="preserve"> </w:t>
      </w:r>
      <w:r w:rsidR="00087019" w:rsidRPr="00087019">
        <w:rPr>
          <w:rFonts w:ascii="Arial" w:eastAsia="Calibri" w:hAnsi="Arial" w:cs="Arial"/>
          <w:b/>
          <w:bCs/>
          <w:sz w:val="22"/>
          <w:szCs w:val="22"/>
          <w:lang w:eastAsia="en-US"/>
        </w:rPr>
        <w:t>Decreto 1</w:t>
      </w:r>
      <w:r w:rsidR="00E57B34">
        <w:rPr>
          <w:rFonts w:ascii="Arial" w:eastAsia="Calibri" w:hAnsi="Arial" w:cs="Arial"/>
          <w:b/>
          <w:bCs/>
          <w:sz w:val="22"/>
          <w:szCs w:val="22"/>
          <w:lang w:eastAsia="en-US"/>
        </w:rPr>
        <w:t>860 de 2021</w:t>
      </w:r>
      <w:r w:rsidR="00087019">
        <w:rPr>
          <w:rFonts w:ascii="Arial" w:eastAsia="Calibri" w:hAnsi="Arial" w:cs="Arial"/>
          <w:b/>
          <w:bCs/>
          <w:sz w:val="22"/>
          <w:szCs w:val="22"/>
          <w:lang w:eastAsia="en-US"/>
        </w:rPr>
        <w:t xml:space="preserve"> </w:t>
      </w:r>
      <w:r w:rsidR="00087019" w:rsidRPr="008D1519">
        <w:rPr>
          <w:rFonts w:ascii="Arial" w:eastAsia="Calibri" w:hAnsi="Arial" w:cs="Arial"/>
          <w:b/>
          <w:sz w:val="22"/>
          <w:szCs w:val="22"/>
          <w:lang w:eastAsia="en-US"/>
        </w:rPr>
        <w:t xml:space="preserve">– </w:t>
      </w:r>
      <w:r w:rsidR="00087019">
        <w:rPr>
          <w:rFonts w:ascii="Arial" w:eastAsia="Calibri" w:hAnsi="Arial" w:cs="Arial"/>
          <w:b/>
          <w:sz w:val="22"/>
          <w:szCs w:val="22"/>
          <w:lang w:eastAsia="en-US"/>
        </w:rPr>
        <w:t xml:space="preserve">Reglas </w:t>
      </w:r>
    </w:p>
    <w:p w14:paraId="551D1B0E" w14:textId="77777777" w:rsidR="00E818B6" w:rsidRDefault="00E818B6" w:rsidP="00E818B6">
      <w:pPr>
        <w:jc w:val="both"/>
        <w:rPr>
          <w:rFonts w:ascii="Arial" w:eastAsia="Calibri" w:hAnsi="Arial" w:cs="Arial"/>
          <w:b/>
          <w:sz w:val="22"/>
          <w:szCs w:val="22"/>
          <w:lang w:eastAsia="en-US"/>
        </w:rPr>
      </w:pPr>
    </w:p>
    <w:p w14:paraId="42A6DD07" w14:textId="56EAD6C1" w:rsidR="00EA294F" w:rsidRPr="00EA294F" w:rsidRDefault="00EA294F" w:rsidP="00EA294F">
      <w:pPr>
        <w:jc w:val="both"/>
        <w:rPr>
          <w:rFonts w:ascii="Arial" w:eastAsia="Calibri" w:hAnsi="Arial" w:cs="Arial"/>
          <w:bCs/>
          <w:iCs/>
          <w:sz w:val="20"/>
          <w:szCs w:val="20"/>
          <w:lang w:eastAsia="en-US"/>
        </w:rPr>
      </w:pPr>
      <w:r w:rsidRPr="00EA294F">
        <w:rPr>
          <w:rFonts w:ascii="Arial" w:eastAsia="Calibri" w:hAnsi="Arial" w:cs="Arial"/>
          <w:bCs/>
          <w:iCs/>
          <w:sz w:val="20"/>
          <w:szCs w:val="20"/>
          <w:lang w:val="es-ES_tradnl" w:eastAsia="en-US"/>
        </w:rPr>
        <w:t xml:space="preserve">Como se advierte, </w:t>
      </w:r>
      <w:r w:rsidRPr="00EA294F">
        <w:rPr>
          <w:rFonts w:ascii="Arial" w:eastAsia="Calibri" w:hAnsi="Arial" w:cs="Arial"/>
          <w:bCs/>
          <w:iCs/>
          <w:sz w:val="20"/>
          <w:szCs w:val="20"/>
          <w:lang w:eastAsia="en-US"/>
        </w:rPr>
        <w:t xml:space="preserve">en primer lugar, </w:t>
      </w:r>
      <w:r w:rsidRPr="00EA294F">
        <w:rPr>
          <w:rFonts w:ascii="Arial" w:eastAsia="Calibri" w:hAnsi="Arial" w:cs="Arial"/>
          <w:bCs/>
          <w:iCs/>
          <w:sz w:val="20"/>
          <w:szCs w:val="20"/>
          <w:lang w:val="es-ES_tradnl" w:eastAsia="en-US"/>
        </w:rPr>
        <w:t xml:space="preserve">esta disposición </w:t>
      </w:r>
      <w:r w:rsidRPr="00EA294F">
        <w:rPr>
          <w:rFonts w:ascii="Arial" w:eastAsia="Calibri" w:hAnsi="Arial" w:cs="Arial"/>
          <w:bCs/>
          <w:iCs/>
          <w:sz w:val="20"/>
          <w:szCs w:val="20"/>
          <w:lang w:eastAsia="en-US"/>
        </w:rPr>
        <w:t xml:space="preserve">está dirigida a las entidades estatales indistintamente de su régimen de contratación, los patrimonios autónomos constituidos por entidades estatales y los particulares que ejecuten recursos públicos, para que en sus procesos de </w:t>
      </w:r>
      <w:r w:rsidRPr="00EA294F">
        <w:rPr>
          <w:rFonts w:ascii="Arial" w:eastAsia="Calibri" w:hAnsi="Arial" w:cs="Arial"/>
          <w:bCs/>
          <w:iCs/>
          <w:sz w:val="20"/>
          <w:szCs w:val="20"/>
          <w:lang w:eastAsia="en-US"/>
        </w:rPr>
        <w:lastRenderedPageBreak/>
        <w:t>contratación fomenten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Por tanto, esta disposición deberá aplicarse -en los términos del reglamento- no solo por las entidades sometidas al EGCAP sino también por aquellas entidades que cuenten con un régimen exceptuado de contratación, así como por los patrimonios autónomos constituidos por entidades estatales y los particulares que ejecuten recursos públicos, en todos los procesos de contratación que adelanten.</w:t>
      </w:r>
      <w:r>
        <w:rPr>
          <w:rFonts w:ascii="Arial" w:eastAsia="Calibri" w:hAnsi="Arial" w:cs="Arial"/>
          <w:bCs/>
          <w:iCs/>
          <w:sz w:val="20"/>
          <w:szCs w:val="20"/>
          <w:lang w:eastAsia="en-US"/>
        </w:rPr>
        <w:t xml:space="preserve"> </w:t>
      </w:r>
      <w:r w:rsidRPr="00EA294F">
        <w:rPr>
          <w:rFonts w:ascii="Arial" w:eastAsia="Calibri" w:hAnsi="Arial" w:cs="Arial"/>
          <w:bCs/>
          <w:iCs/>
          <w:sz w:val="20"/>
          <w:szCs w:val="20"/>
          <w:lang w:eastAsia="en-US"/>
        </w:rPr>
        <w:t xml:space="preserve">En segundo lugar, la norma dispone que en los pliegos de condiciones o documento equivalente deben implementarse mecanismos para que durante la ejecución del contrato estatal participen los </w:t>
      </w:r>
      <w:r w:rsidRPr="00EA294F">
        <w:rPr>
          <w:rFonts w:ascii="Arial" w:eastAsia="Calibri" w:hAnsi="Arial" w:cs="Arial"/>
          <w:bCs/>
          <w:i/>
          <w:iCs/>
          <w:sz w:val="20"/>
          <w:szCs w:val="20"/>
          <w:lang w:eastAsia="en-US"/>
        </w:rPr>
        <w:t>sujetos de especial protección constitucional</w:t>
      </w:r>
      <w:r w:rsidRPr="00EA294F">
        <w:rPr>
          <w:rFonts w:ascii="Arial" w:eastAsia="Calibri" w:hAnsi="Arial" w:cs="Arial"/>
          <w:bCs/>
          <w:iCs/>
          <w:sz w:val="20"/>
          <w:szCs w:val="20"/>
          <w:lang w:eastAsia="en-US"/>
        </w:rPr>
        <w:t xml:space="preserve"> en la provisión de los bienes o servicios. </w:t>
      </w:r>
      <w:r>
        <w:rPr>
          <w:rFonts w:ascii="Arial" w:eastAsia="Calibri" w:hAnsi="Arial" w:cs="Arial"/>
          <w:bCs/>
          <w:iCs/>
          <w:sz w:val="20"/>
          <w:szCs w:val="20"/>
          <w:lang w:eastAsia="en-US"/>
        </w:rPr>
        <w:t>[…]</w:t>
      </w:r>
      <w:r>
        <w:rPr>
          <w:rFonts w:ascii="Arial" w:eastAsia="Calibri" w:hAnsi="Arial" w:cs="Arial"/>
          <w:bCs/>
          <w:iCs/>
          <w:sz w:val="20"/>
          <w:szCs w:val="20"/>
          <w:lang w:eastAsia="en-US"/>
        </w:rPr>
        <w:t xml:space="preserve"> </w:t>
      </w:r>
      <w:r w:rsidRPr="00EA294F">
        <w:rPr>
          <w:rFonts w:ascii="Arial" w:eastAsia="Calibri" w:hAnsi="Arial" w:cs="Arial"/>
          <w:bCs/>
          <w:iCs/>
          <w:sz w:val="20"/>
          <w:szCs w:val="20"/>
          <w:lang w:eastAsia="en-US"/>
        </w:rPr>
        <w:t xml:space="preserve">Para tales efectos, la norma establece unos límites dentro del cual la entidad estatal fijará en el pliego de condiciones o documento equivalente un porcentaje mínimo que debe cumplir el contratista para garantizar la provisión de bienes y servicios por parte de los sujetos mencionados. De esta manera, la norma regula un parámetro cuantitativo para su inclusión en el pliego de condiciones o documento equivalente, en la medida que dicha provisión no será superior al diez por ciento (10%) ni inferior al cinco por ciento (5%) de los bienes o servicios requeridos para la ejecución del contrato. Es decir, que la entidad determinará el porcentaje respectivo siempre que no supere los límites establecidos; sin perjuicio de que, en la ejecución del contrato, el contratista, cumpliendo con el mínimo, realice una provisión mayor a la exigida en el pliego de condiciones o documento equivalente. Además, la entidad incorporará esta obligación en la minuta del contrato del pliego de condiciones o documento equivalente, precisando las sanciones pecuniarias producto del incumplimiento injustificado de esta a través de las causales de multa que estime pertinentes. </w:t>
      </w:r>
    </w:p>
    <w:p w14:paraId="31DAFD7F" w14:textId="77777777" w:rsidR="00E818B6" w:rsidRPr="003362CD" w:rsidRDefault="00E818B6" w:rsidP="00C166FF">
      <w:pPr>
        <w:jc w:val="both"/>
        <w:rPr>
          <w:rFonts w:ascii="Arial" w:eastAsia="Calibri" w:hAnsi="Arial" w:cs="Arial"/>
          <w:b/>
          <w:sz w:val="22"/>
          <w:lang w:val="es-ES_tradnl"/>
        </w:rPr>
      </w:pPr>
    </w:p>
    <w:p w14:paraId="7372FFE6" w14:textId="0D233B5A" w:rsidR="00F327EF" w:rsidRDefault="00F327EF" w:rsidP="00F327EF">
      <w:pPr>
        <w:tabs>
          <w:tab w:val="left" w:pos="6551"/>
        </w:tabs>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INCENTIVO DE FOMENTO – Ejecución de contratos estatales </w:t>
      </w:r>
      <w:r w:rsidR="00E818B6">
        <w:rPr>
          <w:rFonts w:ascii="Arial" w:eastAsia="Calibri" w:hAnsi="Arial" w:cs="Arial"/>
          <w:b/>
          <w:color w:val="000000" w:themeColor="text1"/>
          <w:sz w:val="22"/>
          <w:lang w:val="es-ES_tradnl"/>
        </w:rPr>
        <w:t>– S</w:t>
      </w:r>
      <w:r>
        <w:rPr>
          <w:rFonts w:ascii="Arial" w:eastAsia="Calibri" w:hAnsi="Arial" w:cs="Arial"/>
          <w:b/>
          <w:color w:val="000000" w:themeColor="text1"/>
          <w:sz w:val="22"/>
          <w:lang w:val="es-ES_tradnl"/>
        </w:rPr>
        <w:t xml:space="preserve">ujetos de especial protección constitucional – Aplicación discrecional </w:t>
      </w:r>
    </w:p>
    <w:p w14:paraId="1DD004CE" w14:textId="77777777" w:rsidR="00F327EF" w:rsidRDefault="00F327EF" w:rsidP="00F327EF">
      <w:pPr>
        <w:tabs>
          <w:tab w:val="left" w:pos="6551"/>
        </w:tabs>
        <w:jc w:val="both"/>
        <w:rPr>
          <w:rFonts w:ascii="Arial" w:eastAsia="Calibri" w:hAnsi="Arial" w:cs="Arial"/>
          <w:b/>
          <w:color w:val="000000" w:themeColor="text1"/>
          <w:sz w:val="22"/>
          <w:lang w:val="es-ES_tradnl"/>
        </w:rPr>
      </w:pPr>
    </w:p>
    <w:p w14:paraId="3C4059C3" w14:textId="4E2D648D" w:rsidR="00F327EF" w:rsidRPr="00697D6B" w:rsidRDefault="00EA294F" w:rsidP="00F327EF">
      <w:pPr>
        <w:jc w:val="both"/>
        <w:rPr>
          <w:rFonts w:ascii="Arial" w:eastAsia="Calibri" w:hAnsi="Arial" w:cs="Arial"/>
          <w:bCs/>
          <w:sz w:val="20"/>
          <w:szCs w:val="20"/>
        </w:rPr>
      </w:pPr>
      <w:r w:rsidRPr="00EA294F">
        <w:rPr>
          <w:rFonts w:ascii="Arial" w:eastAsia="Calibri" w:hAnsi="Arial" w:cs="Arial"/>
          <w:bCs/>
          <w:sz w:val="20"/>
          <w:szCs w:val="20"/>
        </w:rPr>
        <w:t>la aplicación del artículo 2.2.1.2.4.2.16 del Decreto 1082 de 2015, que se traduce en la inclusión de obligaciones a cargo del contratista cuyo incumplimiento podría acarrearle sanciones pecuniarias, no es automática en todos los procesos de contratación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supeditado al análisis previo de «oportunidad y conveniencia» en los documentos del proceso</w:t>
      </w:r>
      <w:r w:rsidR="00F327EF" w:rsidRPr="00697D6B">
        <w:rPr>
          <w:rFonts w:ascii="Arial" w:eastAsia="Calibri" w:hAnsi="Arial" w:cs="Arial"/>
          <w:bCs/>
          <w:sz w:val="20"/>
          <w:szCs w:val="20"/>
        </w:rPr>
        <w:t xml:space="preserve">. […] </w:t>
      </w:r>
    </w:p>
    <w:p w14:paraId="0BC05673" w14:textId="77777777" w:rsidR="00F327EF" w:rsidRPr="00697D6B" w:rsidRDefault="00F327EF" w:rsidP="00F327EF">
      <w:pPr>
        <w:jc w:val="both"/>
        <w:rPr>
          <w:rFonts w:ascii="Arial" w:eastAsia="Calibri" w:hAnsi="Arial" w:cs="Arial"/>
          <w:bCs/>
          <w:sz w:val="20"/>
          <w:szCs w:val="20"/>
        </w:rPr>
      </w:pPr>
    </w:p>
    <w:p w14:paraId="373A83C5" w14:textId="77777777" w:rsidR="00EA294F" w:rsidRPr="00EA294F" w:rsidRDefault="00EA294F" w:rsidP="00EA294F">
      <w:pPr>
        <w:jc w:val="both"/>
        <w:rPr>
          <w:rFonts w:ascii="Arial" w:eastAsia="Calibri" w:hAnsi="Arial" w:cs="Arial"/>
          <w:bCs/>
          <w:sz w:val="20"/>
          <w:szCs w:val="20"/>
          <w:lang w:val="es-ES_tradnl"/>
        </w:rPr>
      </w:pPr>
      <w:r w:rsidRPr="00EA294F">
        <w:rPr>
          <w:rFonts w:ascii="Arial" w:eastAsia="Calibri" w:hAnsi="Arial" w:cs="Arial"/>
          <w:bCs/>
          <w:sz w:val="20"/>
          <w:szCs w:val="20"/>
        </w:rPr>
        <w:t>En consecuencia, dado</w:t>
      </w:r>
      <w:r w:rsidRPr="00EA294F">
        <w:rPr>
          <w:rFonts w:ascii="Arial" w:eastAsia="Calibri" w:hAnsi="Arial" w:cs="Arial"/>
          <w:bCs/>
          <w:sz w:val="20"/>
          <w:szCs w:val="20"/>
          <w:lang w:val="es-ES_tradnl"/>
        </w:rPr>
        <w:t xml:space="preserve"> que el fomento a la ejecución de contratos estatales con participación de sujetos de especial protección constitucional en la provisión de los bienes y servicios para el cumplimiento del objeto contractual se realizará bajo criterios </w:t>
      </w:r>
      <w:r w:rsidRPr="00EA294F">
        <w:rPr>
          <w:rFonts w:ascii="Arial" w:eastAsia="Calibri" w:hAnsi="Arial" w:cs="Arial"/>
          <w:bCs/>
          <w:i/>
          <w:iCs/>
          <w:sz w:val="20"/>
          <w:szCs w:val="20"/>
          <w:lang w:val="es-ES_tradnl"/>
        </w:rPr>
        <w:t xml:space="preserve">de oportunidad y conveniencia, garantizando la calidad y sin poner en riesgo el cumplimiento del contrato, </w:t>
      </w:r>
      <w:r w:rsidRPr="00EA294F">
        <w:rPr>
          <w:rFonts w:ascii="Arial" w:eastAsia="Calibri" w:hAnsi="Arial" w:cs="Arial"/>
          <w:bCs/>
          <w:sz w:val="20"/>
          <w:szCs w:val="20"/>
          <w:lang w:val="es-ES_tradnl"/>
        </w:rPr>
        <w:t>debe concluirse que la aplicación de este incentivo es de naturaleza discrecional, fundamentado en los elementos indicados, los cuales remiten, entre otros aspectos, al criterio de oportunidad y conveniencia realizado por la entidad contratante. De esta manera, corresponderá a la entidad contratante, en la etapa de planeación, determinar si es oportuno o inconveniente incluir dicha provisión en los pliegos de condiciones o documentos equivalente.</w:t>
      </w:r>
    </w:p>
    <w:p w14:paraId="2ED87DC9" w14:textId="425E50ED" w:rsidR="008D1519" w:rsidRDefault="008D1519" w:rsidP="00C118DB">
      <w:pPr>
        <w:spacing w:line="276" w:lineRule="auto"/>
        <w:jc w:val="both"/>
        <w:rPr>
          <w:rFonts w:ascii="Arial" w:eastAsia="Calibri" w:hAnsi="Arial" w:cs="Arial"/>
          <w:b/>
          <w:color w:val="000000" w:themeColor="text1"/>
          <w:sz w:val="22"/>
          <w:lang w:val="es-ES_tradnl"/>
        </w:rPr>
      </w:pPr>
    </w:p>
    <w:p w14:paraId="4406FF1C" w14:textId="77777777" w:rsidR="00EA294F" w:rsidRDefault="00EA294F" w:rsidP="00C118DB">
      <w:pPr>
        <w:spacing w:line="276" w:lineRule="auto"/>
        <w:jc w:val="both"/>
        <w:rPr>
          <w:rFonts w:ascii="Arial" w:eastAsia="Calibri" w:hAnsi="Arial" w:cs="Arial"/>
          <w:b/>
          <w:sz w:val="22"/>
          <w:lang w:val="es-ES_tradnl"/>
        </w:rPr>
      </w:pPr>
    </w:p>
    <w:p w14:paraId="60FC1B25" w14:textId="7EB077C4" w:rsidR="005B4B8C" w:rsidRDefault="005B4B8C" w:rsidP="005B4B8C">
      <w:pPr>
        <w:spacing w:line="276" w:lineRule="auto"/>
        <w:jc w:val="right"/>
        <w:rPr>
          <w:rFonts w:ascii="Arial" w:hAnsi="Arial" w:cs="Arial"/>
          <w:noProof/>
          <w:color w:val="000000" w:themeColor="text1"/>
          <w:sz w:val="22"/>
        </w:rPr>
      </w:pPr>
      <w:r w:rsidRPr="005B4B8C">
        <w:rPr>
          <w:rFonts w:ascii="Arial" w:hAnsi="Arial" w:cs="Arial"/>
          <w:noProof/>
          <w:color w:val="000000" w:themeColor="text1"/>
          <w:sz w:val="22"/>
        </w:rPr>
        <w:lastRenderedPageBreak/>
        <w:drawing>
          <wp:inline distT="0" distB="0" distL="0" distR="0" wp14:anchorId="1127B550" wp14:editId="52BC4F3D">
            <wp:extent cx="1962150" cy="7239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2150" cy="723900"/>
                    </a:xfrm>
                    <a:prstGeom prst="rect">
                      <a:avLst/>
                    </a:prstGeom>
                    <a:noFill/>
                    <a:ln>
                      <a:noFill/>
                    </a:ln>
                  </pic:spPr>
                </pic:pic>
              </a:graphicData>
            </a:graphic>
          </wp:inline>
        </w:drawing>
      </w:r>
    </w:p>
    <w:p w14:paraId="18A428D0" w14:textId="77777777" w:rsidR="005B4B8C" w:rsidRDefault="005B4B8C" w:rsidP="005B4B8C">
      <w:pPr>
        <w:spacing w:line="276" w:lineRule="auto"/>
        <w:jc w:val="both"/>
        <w:rPr>
          <w:rFonts w:ascii="Arial" w:hAnsi="Arial" w:cs="Arial"/>
          <w:noProof/>
          <w:color w:val="000000" w:themeColor="text1"/>
          <w:sz w:val="22"/>
        </w:rPr>
      </w:pPr>
    </w:p>
    <w:p w14:paraId="6A8A869B" w14:textId="73E2E2BB" w:rsidR="00B95C30" w:rsidRPr="005B4B8C" w:rsidRDefault="00B95C30" w:rsidP="005B4B8C">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5B4B8C">
        <w:rPr>
          <w:rFonts w:ascii="Arial" w:hAnsi="Arial" w:cs="Arial"/>
          <w:b/>
          <w:color w:val="000000" w:themeColor="text1"/>
          <w:sz w:val="22"/>
        </w:rPr>
        <w:t>26/08/2022</w:t>
      </w:r>
    </w:p>
    <w:p w14:paraId="5FDF9495" w14:textId="6221192A" w:rsidR="00631A31" w:rsidRDefault="00631A31" w:rsidP="00B95C30">
      <w:pPr>
        <w:jc w:val="both"/>
        <w:rPr>
          <w:rFonts w:ascii="Arial" w:hAnsi="Arial" w:cs="Arial"/>
          <w:b/>
          <w:color w:val="000000" w:themeColor="text1"/>
          <w:sz w:val="22"/>
          <w:lang w:val="pt-BR"/>
        </w:rPr>
      </w:pPr>
    </w:p>
    <w:p w14:paraId="2ACF5C91" w14:textId="77777777" w:rsidR="005B4B8C" w:rsidRPr="00A51520" w:rsidRDefault="005B4B8C" w:rsidP="00B95C30">
      <w:pPr>
        <w:jc w:val="both"/>
        <w:rPr>
          <w:rFonts w:ascii="Arial" w:hAnsi="Arial" w:cs="Arial"/>
          <w:b/>
          <w:color w:val="000000" w:themeColor="text1"/>
          <w:sz w:val="22"/>
          <w:lang w:val="pt-BR"/>
        </w:rPr>
      </w:pPr>
    </w:p>
    <w:p w14:paraId="798A20AC" w14:textId="1BF91BF4" w:rsidR="005F5F37" w:rsidRDefault="00B95C30" w:rsidP="00BF4EC5">
      <w:pPr>
        <w:jc w:val="both"/>
        <w:rPr>
          <w:rFonts w:ascii="Arial" w:eastAsia="Calibri" w:hAnsi="Arial" w:cs="Arial"/>
          <w:color w:val="000000" w:themeColor="text1"/>
          <w:sz w:val="22"/>
        </w:rPr>
      </w:pPr>
      <w:bookmarkStart w:id="3" w:name="_Hlk112415107"/>
      <w:r w:rsidRPr="00A51520">
        <w:rPr>
          <w:rFonts w:ascii="Arial" w:eastAsia="Calibri" w:hAnsi="Arial" w:cs="Arial"/>
          <w:color w:val="000000" w:themeColor="text1"/>
          <w:sz w:val="22"/>
        </w:rPr>
        <w:t>Señor</w:t>
      </w:r>
    </w:p>
    <w:p w14:paraId="3EB21AE9" w14:textId="60B856B1" w:rsidR="0062281D" w:rsidRPr="00D91BA7" w:rsidRDefault="0062281D" w:rsidP="00BF4EC5">
      <w:pPr>
        <w:jc w:val="both"/>
        <w:rPr>
          <w:rFonts w:ascii="Arial" w:eastAsia="Calibri" w:hAnsi="Arial" w:cs="Arial"/>
          <w:b/>
          <w:bCs/>
          <w:color w:val="000000" w:themeColor="text1"/>
          <w:sz w:val="22"/>
        </w:rPr>
      </w:pPr>
      <w:proofErr w:type="spellStart"/>
      <w:r w:rsidRPr="00D91BA7">
        <w:rPr>
          <w:rFonts w:ascii="Arial" w:eastAsia="Calibri" w:hAnsi="Arial" w:cs="Arial"/>
          <w:b/>
          <w:bCs/>
          <w:color w:val="000000" w:themeColor="text1"/>
          <w:sz w:val="22"/>
        </w:rPr>
        <w:t>Jhon</w:t>
      </w:r>
      <w:proofErr w:type="spellEnd"/>
      <w:r w:rsidRPr="00D91BA7">
        <w:rPr>
          <w:rFonts w:ascii="Arial" w:eastAsia="Calibri" w:hAnsi="Arial" w:cs="Arial"/>
          <w:b/>
          <w:bCs/>
          <w:color w:val="000000" w:themeColor="text1"/>
          <w:sz w:val="22"/>
        </w:rPr>
        <w:t xml:space="preserve"> Ma</w:t>
      </w:r>
      <w:r w:rsidR="00080B35" w:rsidRPr="00D91BA7">
        <w:rPr>
          <w:rFonts w:ascii="Arial" w:eastAsia="Calibri" w:hAnsi="Arial" w:cs="Arial"/>
          <w:b/>
          <w:bCs/>
          <w:color w:val="000000" w:themeColor="text1"/>
          <w:sz w:val="22"/>
        </w:rPr>
        <w:t>u</w:t>
      </w:r>
      <w:r w:rsidRPr="00D91BA7">
        <w:rPr>
          <w:rFonts w:ascii="Arial" w:eastAsia="Calibri" w:hAnsi="Arial" w:cs="Arial"/>
          <w:b/>
          <w:bCs/>
          <w:color w:val="000000" w:themeColor="text1"/>
          <w:sz w:val="22"/>
        </w:rPr>
        <w:t xml:space="preserve">ricio Narváez Rodríguez </w:t>
      </w:r>
    </w:p>
    <w:p w14:paraId="411CBCE1" w14:textId="43748D3D" w:rsidR="00BF4EC5" w:rsidRPr="00A51520" w:rsidRDefault="0062281D"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 xml:space="preserve">Ibagué, Tolima </w:t>
      </w:r>
    </w:p>
    <w:p w14:paraId="4A1C8FFE" w14:textId="773D3EC7" w:rsidR="008120C4" w:rsidRDefault="008120C4" w:rsidP="003C0791">
      <w:pPr>
        <w:rPr>
          <w:rFonts w:ascii="Arial" w:eastAsia="Calibri" w:hAnsi="Arial" w:cs="Arial"/>
          <w:b/>
          <w:bCs/>
          <w:color w:val="000000" w:themeColor="text1"/>
          <w:sz w:val="22"/>
        </w:rPr>
      </w:pPr>
    </w:p>
    <w:p w14:paraId="039E5A26" w14:textId="77777777" w:rsidR="006356AA" w:rsidRPr="00A51520" w:rsidRDefault="006356AA" w:rsidP="003C0791">
      <w:pPr>
        <w:rPr>
          <w:rFonts w:ascii="Arial" w:eastAsia="Calibri" w:hAnsi="Arial" w:cs="Arial"/>
          <w:b/>
          <w:bCs/>
          <w:color w:val="000000" w:themeColor="text1"/>
          <w:sz w:val="22"/>
        </w:rPr>
      </w:pPr>
    </w:p>
    <w:p w14:paraId="1BD594F9" w14:textId="02A86409"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62281D">
        <w:rPr>
          <w:rFonts w:ascii="Arial" w:eastAsia="Calibri" w:hAnsi="Arial" w:cs="Arial"/>
          <w:b/>
          <w:bCs/>
          <w:color w:val="000000" w:themeColor="text1"/>
          <w:sz w:val="22"/>
          <w:lang w:val="pt-BR"/>
        </w:rPr>
        <w:t>541</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761DC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shd w:val="clear" w:color="auto" w:fill="auto"/>
          </w:tcPr>
          <w:p w14:paraId="5F389CAF" w14:textId="17B37CF9" w:rsidR="00337178" w:rsidRPr="00864378" w:rsidRDefault="00864378" w:rsidP="00864378">
            <w:pPr>
              <w:tabs>
                <w:tab w:val="left" w:pos="6551"/>
              </w:tabs>
              <w:jc w:val="both"/>
              <w:rPr>
                <w:rFonts w:ascii="Arial" w:eastAsia="Calibri" w:hAnsi="Arial" w:cs="Arial"/>
                <w:bCs/>
                <w:color w:val="000000" w:themeColor="text1"/>
                <w:sz w:val="22"/>
                <w:lang w:val="es-ES_tradnl"/>
              </w:rPr>
            </w:pPr>
            <w:r w:rsidRPr="00864378">
              <w:rPr>
                <w:rFonts w:ascii="Arial" w:eastAsia="Calibri" w:hAnsi="Arial" w:cs="Arial"/>
                <w:bCs/>
                <w:color w:val="000000" w:themeColor="text1"/>
                <w:sz w:val="22"/>
                <w:lang w:val="es-ES_tradnl"/>
              </w:rPr>
              <w:t xml:space="preserve">LEY DE </w:t>
            </w:r>
            <w:r w:rsidRPr="00864378">
              <w:rPr>
                <w:rFonts w:ascii="Arial" w:eastAsia="Calibri" w:hAnsi="Arial" w:cs="Arial"/>
                <w:bCs/>
                <w:color w:val="000000" w:themeColor="text1"/>
                <w:sz w:val="22"/>
                <w:szCs w:val="22"/>
                <w:lang w:val="es-ES_tradnl"/>
              </w:rPr>
              <w:t xml:space="preserve">EMPRENDIMIENTO – </w:t>
            </w:r>
            <w:r w:rsidRPr="00864378">
              <w:rPr>
                <w:rFonts w:ascii="Arial" w:hAnsi="Arial" w:cs="Arial"/>
                <w:bCs/>
                <w:color w:val="000000"/>
                <w:sz w:val="22"/>
                <w:szCs w:val="22"/>
                <w:lang w:val="es-ES" w:eastAsia="es-CO"/>
              </w:rPr>
              <w:t>Ley 2069 de 2020 – Contenido – Finalidad</w:t>
            </w:r>
            <w:r w:rsidRPr="00864378">
              <w:rPr>
                <w:rFonts w:ascii="Arial" w:hAnsi="Arial" w:cs="Arial"/>
                <w:bCs/>
                <w:color w:val="000000"/>
                <w:lang w:eastAsia="es-CO"/>
              </w:rPr>
              <w:t> </w:t>
            </w:r>
            <w:r w:rsidRPr="00864378">
              <w:rPr>
                <w:rFonts w:ascii="Arial" w:hAnsi="Arial" w:cs="Arial"/>
                <w:bCs/>
                <w:color w:val="000000"/>
              </w:rPr>
              <w:t xml:space="preserve">/ </w:t>
            </w:r>
            <w:r w:rsidRPr="00864378">
              <w:rPr>
                <w:rFonts w:ascii="Arial" w:eastAsia="Calibri" w:hAnsi="Arial" w:cs="Arial"/>
                <w:bCs/>
                <w:color w:val="000000" w:themeColor="text1"/>
                <w:sz w:val="22"/>
                <w:szCs w:val="22"/>
                <w:lang w:eastAsia="en-US"/>
              </w:rPr>
              <w:t>PROMOCIÓN DEL DESARROLLO – Contratación pública – Pobreza extrema – Desplazamiento forzado – Proceso de reintegración – Proceso de reincorporación – especial protección constitucional /</w:t>
            </w:r>
            <w:r w:rsidRPr="00864378">
              <w:rPr>
                <w:rFonts w:ascii="Arial" w:eastAsia="Calibri" w:hAnsi="Arial" w:cs="Arial"/>
                <w:bCs/>
                <w:sz w:val="22"/>
                <w:szCs w:val="22"/>
                <w:lang w:eastAsia="en-US"/>
              </w:rPr>
              <w:t xml:space="preserve"> PROVISIÓN DE BIENES Y SERVICIOS – Sujetos de especial protección constitucional –Decreto 1</w:t>
            </w:r>
            <w:r w:rsidR="00E57B34">
              <w:rPr>
                <w:rFonts w:ascii="Arial" w:eastAsia="Calibri" w:hAnsi="Arial" w:cs="Arial"/>
                <w:bCs/>
                <w:sz w:val="22"/>
                <w:szCs w:val="22"/>
                <w:lang w:eastAsia="en-US"/>
              </w:rPr>
              <w:t>860</w:t>
            </w:r>
            <w:r w:rsidRPr="00864378">
              <w:rPr>
                <w:rFonts w:ascii="Arial" w:eastAsia="Calibri" w:hAnsi="Arial" w:cs="Arial"/>
                <w:bCs/>
                <w:sz w:val="22"/>
                <w:szCs w:val="22"/>
                <w:lang w:eastAsia="en-US"/>
              </w:rPr>
              <w:t xml:space="preserve"> de 2021 – Reglas / </w:t>
            </w:r>
            <w:r w:rsidRPr="00864378">
              <w:rPr>
                <w:rFonts w:ascii="Arial" w:eastAsia="Calibri" w:hAnsi="Arial" w:cs="Arial"/>
                <w:bCs/>
                <w:color w:val="000000" w:themeColor="text1"/>
                <w:sz w:val="22"/>
                <w:lang w:val="es-ES_tradnl"/>
              </w:rPr>
              <w:t xml:space="preserve">INCENTIVO DE FOMENTO – Ejecución de contratos estatales – Sujetos de especial protección constitucional – Aplicación discrecional </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33F22CD8"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62281D">
              <w:rPr>
                <w:rFonts w:ascii="Arial" w:eastAsia="Calibri" w:hAnsi="Arial" w:cs="Arial"/>
                <w:color w:val="000000" w:themeColor="text1"/>
                <w:sz w:val="22"/>
                <w:lang w:val="es-ES_tradnl"/>
              </w:rPr>
              <w:t>s</w:t>
            </w:r>
            <w:r w:rsidR="00F21D6D" w:rsidRPr="0062281D">
              <w:rPr>
                <w:rFonts w:ascii="Arial" w:eastAsia="Calibri" w:hAnsi="Arial" w:cs="Arial"/>
                <w:color w:val="000000" w:themeColor="text1"/>
                <w:sz w:val="22"/>
                <w:lang w:val="es-ES_tradnl"/>
              </w:rPr>
              <w:t xml:space="preserve"> </w:t>
            </w:r>
            <w:r w:rsidR="0062281D" w:rsidRPr="0062281D">
              <w:rPr>
                <w:rFonts w:ascii="Arial" w:eastAsia="Calibri" w:hAnsi="Arial" w:cs="Arial"/>
                <w:color w:val="000000" w:themeColor="text1"/>
                <w:sz w:val="22"/>
              </w:rPr>
              <w:t>P20220714006892</w:t>
            </w:r>
            <w:r w:rsidR="0062281D">
              <w:rPr>
                <w:rFonts w:ascii="Arial" w:eastAsia="Calibri" w:hAnsi="Arial" w:cs="Arial"/>
                <w:color w:val="000000" w:themeColor="text1"/>
                <w:sz w:val="22"/>
              </w:rPr>
              <w:t xml:space="preserve"> y </w:t>
            </w:r>
            <w:r w:rsidR="00080B35" w:rsidRPr="00080B35">
              <w:rPr>
                <w:rFonts w:ascii="Arial" w:eastAsia="Calibri" w:hAnsi="Arial" w:cs="Arial"/>
                <w:color w:val="000000" w:themeColor="text1"/>
                <w:sz w:val="22"/>
              </w:rPr>
              <w:t>P20220714006893</w:t>
            </w:r>
            <w:r w:rsidR="00080B35">
              <w:rPr>
                <w:rFonts w:ascii="Arial" w:eastAsia="Calibri" w:hAnsi="Arial" w:cs="Arial"/>
                <w:color w:val="000000" w:themeColor="text1"/>
                <w:sz w:val="22"/>
              </w:rPr>
              <w:t xml:space="preserve"> – Acumuladas </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07BFEE6E"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914C29">
        <w:rPr>
          <w:rFonts w:ascii="Arial" w:eastAsia="Calibri" w:hAnsi="Arial" w:cs="Arial"/>
          <w:color w:val="000000" w:themeColor="text1"/>
          <w:sz w:val="22"/>
          <w:lang w:val="es-ES_tradnl"/>
        </w:rPr>
        <w:t xml:space="preserve"> </w:t>
      </w:r>
      <w:r w:rsidR="00080B35">
        <w:rPr>
          <w:rFonts w:ascii="Arial" w:eastAsia="Calibri" w:hAnsi="Arial" w:cs="Arial"/>
          <w:color w:val="000000" w:themeColor="text1"/>
          <w:sz w:val="22"/>
          <w:lang w:val="es-ES_tradnl"/>
        </w:rPr>
        <w:t>Narváez</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06E8A1D8"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080B35">
        <w:rPr>
          <w:rFonts w:ascii="Arial" w:eastAsia="Calibri" w:hAnsi="Arial" w:cs="Arial"/>
          <w:color w:val="000000" w:themeColor="text1"/>
          <w:sz w:val="22"/>
          <w:lang w:val="es-ES_tradnl"/>
        </w:rPr>
        <w:t>14</w:t>
      </w:r>
      <w:r w:rsidR="008C3FFC">
        <w:rPr>
          <w:rFonts w:ascii="Arial" w:eastAsia="Calibri" w:hAnsi="Arial" w:cs="Arial"/>
          <w:color w:val="000000" w:themeColor="text1"/>
          <w:sz w:val="22"/>
          <w:lang w:val="es-ES_tradnl"/>
        </w:rPr>
        <w:t xml:space="preserve"> </w:t>
      </w:r>
      <w:r w:rsidR="00F21D6D" w:rsidRPr="00A51520">
        <w:rPr>
          <w:rFonts w:ascii="Arial" w:eastAsia="Calibri" w:hAnsi="Arial" w:cs="Arial"/>
          <w:color w:val="000000" w:themeColor="text1"/>
          <w:sz w:val="22"/>
          <w:lang w:val="es-ES_tradnl"/>
        </w:rPr>
        <w:t xml:space="preserve">de </w:t>
      </w:r>
      <w:r w:rsidR="00080B35">
        <w:rPr>
          <w:rFonts w:ascii="Arial" w:eastAsia="Calibri" w:hAnsi="Arial" w:cs="Arial"/>
          <w:color w:val="000000" w:themeColor="text1"/>
          <w:sz w:val="22"/>
          <w:lang w:val="es-ES_tradnl"/>
        </w:rPr>
        <w:t>julio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30491FA" w14:textId="256321CA" w:rsidR="009E5371" w:rsidRPr="009E5371" w:rsidRDefault="00F46782" w:rsidP="009E5371">
      <w:pPr>
        <w:spacing w:line="276" w:lineRule="auto"/>
        <w:jc w:val="both"/>
        <w:rPr>
          <w:rFonts w:ascii="Arial" w:hAnsi="Arial" w:cs="Arial"/>
          <w:sz w:val="22"/>
        </w:rPr>
      </w:pPr>
      <w:r>
        <w:rPr>
          <w:rFonts w:ascii="Arial" w:hAnsi="Arial" w:cs="Arial"/>
          <w:color w:val="000000" w:themeColor="text1"/>
          <w:sz w:val="22"/>
          <w:szCs w:val="22"/>
          <w:lang w:val="es-ES_tradnl"/>
        </w:rPr>
        <w:t xml:space="preserve">En relación con </w:t>
      </w:r>
      <w:r w:rsidR="0065218F">
        <w:rPr>
          <w:rFonts w:ascii="Arial" w:hAnsi="Arial" w:cs="Arial"/>
          <w:color w:val="000000" w:themeColor="text1"/>
          <w:sz w:val="22"/>
          <w:szCs w:val="22"/>
          <w:lang w:val="es-ES_tradnl"/>
        </w:rPr>
        <w:t xml:space="preserve">el </w:t>
      </w:r>
      <w:r w:rsidR="009E5371">
        <w:rPr>
          <w:rFonts w:ascii="Arial" w:hAnsi="Arial" w:cs="Arial"/>
          <w:color w:val="000000" w:themeColor="text1"/>
          <w:sz w:val="22"/>
          <w:szCs w:val="22"/>
          <w:lang w:val="es-ES_tradnl"/>
        </w:rPr>
        <w:t xml:space="preserve">artículo </w:t>
      </w:r>
      <w:r w:rsidR="009E5371" w:rsidRPr="009E5371">
        <w:rPr>
          <w:rFonts w:ascii="Arial" w:hAnsi="Arial" w:cs="Arial"/>
          <w:bCs/>
          <w:color w:val="000000" w:themeColor="text1"/>
          <w:sz w:val="22"/>
          <w:szCs w:val="22"/>
        </w:rPr>
        <w:t>2.2.1.2.4.2.16</w:t>
      </w:r>
      <w:r w:rsidR="009E5371">
        <w:rPr>
          <w:rFonts w:ascii="Arial" w:hAnsi="Arial" w:cs="Arial"/>
          <w:bCs/>
          <w:color w:val="000000" w:themeColor="text1"/>
          <w:sz w:val="22"/>
          <w:szCs w:val="22"/>
        </w:rPr>
        <w:t xml:space="preserve"> del Decreto 1082 de 2015</w:t>
      </w:r>
      <w:r w:rsidR="00C30982">
        <w:rPr>
          <w:rFonts w:ascii="Arial" w:hAnsi="Arial" w:cs="Arial"/>
          <w:bCs/>
          <w:color w:val="000000" w:themeColor="text1"/>
          <w:sz w:val="22"/>
          <w:szCs w:val="22"/>
        </w:rPr>
        <w:t>,</w:t>
      </w:r>
      <w:r w:rsidR="009E5371">
        <w:rPr>
          <w:rFonts w:ascii="Arial" w:hAnsi="Arial" w:cs="Arial"/>
          <w:bCs/>
          <w:color w:val="000000" w:themeColor="text1"/>
          <w:sz w:val="22"/>
          <w:szCs w:val="22"/>
        </w:rPr>
        <w:t xml:space="preserve"> adicionado por el </w:t>
      </w:r>
      <w:r w:rsidR="0065218F">
        <w:rPr>
          <w:rFonts w:ascii="Arial" w:hAnsi="Arial" w:cs="Arial"/>
          <w:color w:val="000000" w:themeColor="text1"/>
          <w:sz w:val="22"/>
          <w:szCs w:val="22"/>
          <w:lang w:val="es-ES_tradnl"/>
        </w:rPr>
        <w:t>Decreto 1860 de 2021</w:t>
      </w:r>
      <w:r w:rsidR="00D91BA7">
        <w:rPr>
          <w:rFonts w:ascii="Arial" w:hAnsi="Arial" w:cs="Arial"/>
          <w:color w:val="000000" w:themeColor="text1"/>
          <w:sz w:val="22"/>
          <w:szCs w:val="22"/>
          <w:lang w:val="es-ES_tradnl"/>
        </w:rPr>
        <w:t>,</w:t>
      </w:r>
      <w:r w:rsidR="0065218F">
        <w:rPr>
          <w:rFonts w:ascii="Arial" w:hAnsi="Arial" w:cs="Arial"/>
          <w:color w:val="000000" w:themeColor="text1"/>
          <w:sz w:val="22"/>
          <w:szCs w:val="22"/>
          <w:lang w:val="es-ES_tradnl"/>
        </w:rPr>
        <w:t xml:space="preserve"> u</w:t>
      </w:r>
      <w:r w:rsidR="00827203" w:rsidRPr="00A51520">
        <w:rPr>
          <w:rFonts w:ascii="Arial" w:hAnsi="Arial" w:cs="Arial"/>
          <w:color w:val="000000" w:themeColor="text1"/>
          <w:sz w:val="22"/>
          <w:szCs w:val="22"/>
          <w:lang w:val="es-ES_tradnl"/>
        </w:rPr>
        <w:t xml:space="preserve">sted </w:t>
      </w:r>
      <w:r w:rsidR="0065218F">
        <w:rPr>
          <w:rFonts w:ascii="Arial" w:hAnsi="Arial" w:cs="Arial"/>
          <w:color w:val="000000" w:themeColor="text1"/>
          <w:sz w:val="22"/>
          <w:szCs w:val="22"/>
          <w:lang w:val="es-ES_tradnl"/>
        </w:rPr>
        <w:t xml:space="preserve">realiza </w:t>
      </w:r>
      <w:r w:rsidR="00026092" w:rsidRPr="00A51520">
        <w:rPr>
          <w:rFonts w:ascii="Arial" w:hAnsi="Arial" w:cs="Arial"/>
          <w:color w:val="000000" w:themeColor="text1"/>
          <w:sz w:val="22"/>
          <w:szCs w:val="22"/>
          <w:lang w:val="es-ES_tradnl"/>
        </w:rPr>
        <w:t>la</w:t>
      </w:r>
      <w:r w:rsidR="0065218F">
        <w:rPr>
          <w:rFonts w:ascii="Arial" w:hAnsi="Arial" w:cs="Arial"/>
          <w:color w:val="000000" w:themeColor="text1"/>
          <w:sz w:val="22"/>
          <w:szCs w:val="22"/>
          <w:lang w:val="es-ES_tradnl"/>
        </w:rPr>
        <w:t>s</w:t>
      </w:r>
      <w:r w:rsidR="00026092" w:rsidRPr="00A51520">
        <w:rPr>
          <w:rFonts w:ascii="Arial" w:hAnsi="Arial" w:cs="Arial"/>
          <w:color w:val="000000" w:themeColor="text1"/>
          <w:sz w:val="22"/>
          <w:szCs w:val="22"/>
          <w:lang w:val="es-ES_tradnl"/>
        </w:rPr>
        <w:t xml:space="preserve"> siguiente</w:t>
      </w:r>
      <w:r w:rsidR="008C5E9A">
        <w:rPr>
          <w:rFonts w:ascii="Arial" w:hAnsi="Arial" w:cs="Arial"/>
          <w:color w:val="000000" w:themeColor="text1"/>
          <w:sz w:val="22"/>
          <w:szCs w:val="22"/>
          <w:lang w:val="es-ES_tradnl"/>
        </w:rPr>
        <w:t>s</w:t>
      </w:r>
      <w:r w:rsidR="00AC4D8F" w:rsidRPr="00A51520">
        <w:rPr>
          <w:rFonts w:ascii="Arial" w:hAnsi="Arial" w:cs="Arial"/>
          <w:color w:val="000000" w:themeColor="text1"/>
          <w:sz w:val="22"/>
          <w:szCs w:val="22"/>
          <w:lang w:val="es-ES_tradnl"/>
        </w:rPr>
        <w:t xml:space="preserve"> </w:t>
      </w:r>
      <w:r w:rsidR="0065218F">
        <w:rPr>
          <w:rFonts w:ascii="Arial" w:hAnsi="Arial" w:cs="Arial"/>
          <w:color w:val="000000" w:themeColor="text1"/>
          <w:sz w:val="22"/>
          <w:szCs w:val="22"/>
          <w:lang w:val="es-ES_tradnl"/>
        </w:rPr>
        <w:t>preguntas</w:t>
      </w:r>
      <w:r w:rsidR="008C5E9A">
        <w:rPr>
          <w:rFonts w:ascii="Arial" w:hAnsi="Arial" w:cs="Arial"/>
          <w:sz w:val="22"/>
          <w:lang w:val="es-ES_tradnl"/>
        </w:rPr>
        <w:t xml:space="preserve">: </w:t>
      </w:r>
      <w:bookmarkStart w:id="4" w:name="_Hlk109400591"/>
      <w:r w:rsidR="009E5371">
        <w:rPr>
          <w:rFonts w:ascii="Arial" w:hAnsi="Arial" w:cs="Arial"/>
          <w:sz w:val="22"/>
          <w:lang w:val="es-ES_tradnl"/>
        </w:rPr>
        <w:t xml:space="preserve">i) </w:t>
      </w:r>
      <w:r w:rsidR="009E5371" w:rsidRPr="009E5371">
        <w:rPr>
          <w:rFonts w:ascii="Arial" w:hAnsi="Arial" w:cs="Arial"/>
          <w:bCs/>
          <w:sz w:val="22"/>
        </w:rPr>
        <w:t>«es de carácter obligatorio en todos los procesos contractuales aplicar dicha disposición</w:t>
      </w:r>
      <w:r w:rsidR="009E5371" w:rsidRPr="009E5371">
        <w:rPr>
          <w:rFonts w:ascii="Arial" w:hAnsi="Arial" w:cs="Arial"/>
          <w:sz w:val="22"/>
          <w:lang w:val="es-ES_tradnl"/>
        </w:rPr>
        <w:t>»</w:t>
      </w:r>
      <w:r w:rsidR="009E5371">
        <w:rPr>
          <w:rFonts w:ascii="Arial" w:hAnsi="Arial" w:cs="Arial"/>
          <w:sz w:val="22"/>
          <w:lang w:val="es-ES_tradnl"/>
        </w:rPr>
        <w:t xml:space="preserve">, </w:t>
      </w:r>
      <w:proofErr w:type="spellStart"/>
      <w:r w:rsidR="009E5371">
        <w:rPr>
          <w:rFonts w:ascii="Arial" w:hAnsi="Arial" w:cs="Arial"/>
          <w:sz w:val="22"/>
          <w:lang w:val="es-ES_tradnl"/>
        </w:rPr>
        <w:t>ii</w:t>
      </w:r>
      <w:proofErr w:type="spellEnd"/>
      <w:r w:rsidR="009E5371">
        <w:rPr>
          <w:rFonts w:ascii="Arial" w:hAnsi="Arial" w:cs="Arial"/>
          <w:sz w:val="22"/>
          <w:lang w:val="es-ES_tradnl"/>
        </w:rPr>
        <w:t xml:space="preserve">) </w:t>
      </w:r>
      <w:r w:rsidR="009E5371" w:rsidRPr="009E5371">
        <w:rPr>
          <w:rFonts w:ascii="Arial" w:hAnsi="Arial" w:cs="Arial"/>
          <w:bCs/>
          <w:sz w:val="22"/>
        </w:rPr>
        <w:t xml:space="preserve">«cuando se establece la palabra Fomento ha </w:t>
      </w:r>
      <w:r w:rsidR="00403595">
        <w:rPr>
          <w:rFonts w:ascii="Arial" w:hAnsi="Arial" w:cs="Arial"/>
          <w:bCs/>
          <w:sz w:val="22"/>
        </w:rPr>
        <w:t xml:space="preserve">(sic) </w:t>
      </w:r>
      <w:r w:rsidR="009E5371" w:rsidRPr="009E5371">
        <w:rPr>
          <w:rFonts w:ascii="Arial" w:hAnsi="Arial" w:cs="Arial"/>
          <w:bCs/>
          <w:sz w:val="22"/>
        </w:rPr>
        <w:t>que se hace referencia</w:t>
      </w:r>
      <w:r w:rsidR="009E5371" w:rsidRPr="009E5371">
        <w:rPr>
          <w:rFonts w:ascii="Arial" w:hAnsi="Arial" w:cs="Arial"/>
          <w:sz w:val="22"/>
          <w:lang w:val="es-ES_tradnl"/>
        </w:rPr>
        <w:t>»</w:t>
      </w:r>
      <w:r w:rsidR="009E5371">
        <w:rPr>
          <w:rFonts w:ascii="Arial" w:hAnsi="Arial" w:cs="Arial"/>
          <w:sz w:val="22"/>
        </w:rPr>
        <w:t xml:space="preserve">, </w:t>
      </w:r>
      <w:proofErr w:type="spellStart"/>
      <w:r w:rsidR="009E5371">
        <w:rPr>
          <w:rFonts w:ascii="Arial" w:hAnsi="Arial" w:cs="Arial"/>
          <w:sz w:val="22"/>
        </w:rPr>
        <w:t>iii</w:t>
      </w:r>
      <w:proofErr w:type="spellEnd"/>
      <w:r w:rsidR="009E5371">
        <w:rPr>
          <w:rFonts w:ascii="Arial" w:hAnsi="Arial" w:cs="Arial"/>
          <w:sz w:val="22"/>
        </w:rPr>
        <w:t xml:space="preserve">) </w:t>
      </w:r>
      <w:r w:rsidR="009E5371" w:rsidRPr="009E5371">
        <w:rPr>
          <w:rFonts w:ascii="Arial" w:hAnsi="Arial" w:cs="Arial"/>
          <w:bCs/>
          <w:sz w:val="22"/>
        </w:rPr>
        <w:t xml:space="preserve">«cuál es el alcance de dicha </w:t>
      </w:r>
      <w:r w:rsidR="009E5371" w:rsidRPr="009E5371">
        <w:rPr>
          <w:rFonts w:ascii="Arial" w:hAnsi="Arial" w:cs="Arial"/>
          <w:bCs/>
          <w:sz w:val="22"/>
        </w:rPr>
        <w:lastRenderedPageBreak/>
        <w:t>disposición, existe algún criterio jurídico por parte de ustedes</w:t>
      </w:r>
      <w:r w:rsidR="009E5371" w:rsidRPr="009E5371">
        <w:rPr>
          <w:rFonts w:ascii="Arial" w:hAnsi="Arial" w:cs="Arial"/>
          <w:sz w:val="22"/>
          <w:lang w:val="es-ES_tradnl"/>
        </w:rPr>
        <w:t>»</w:t>
      </w:r>
      <w:r w:rsidR="009E5371">
        <w:rPr>
          <w:rFonts w:ascii="Arial" w:hAnsi="Arial" w:cs="Arial"/>
          <w:bCs/>
          <w:sz w:val="22"/>
        </w:rPr>
        <w:t xml:space="preserve"> y </w:t>
      </w:r>
      <w:proofErr w:type="spellStart"/>
      <w:r w:rsidR="009E5371">
        <w:rPr>
          <w:rFonts w:ascii="Arial" w:hAnsi="Arial" w:cs="Arial"/>
          <w:bCs/>
          <w:sz w:val="22"/>
        </w:rPr>
        <w:t>iv</w:t>
      </w:r>
      <w:proofErr w:type="spellEnd"/>
      <w:r w:rsidR="009E5371">
        <w:rPr>
          <w:rFonts w:ascii="Arial" w:hAnsi="Arial" w:cs="Arial"/>
          <w:bCs/>
          <w:sz w:val="22"/>
        </w:rPr>
        <w:t xml:space="preserve">) </w:t>
      </w:r>
      <w:r w:rsidR="009E5371" w:rsidRPr="009E5371">
        <w:rPr>
          <w:rFonts w:ascii="Arial" w:hAnsi="Arial" w:cs="Arial"/>
          <w:bCs/>
          <w:sz w:val="22"/>
        </w:rPr>
        <w:t>«dicha disposición se puede poner como obligaciones del contrato o solo de especifica en la JOC</w:t>
      </w:r>
      <w:r w:rsidR="009E5371" w:rsidRPr="009E5371">
        <w:rPr>
          <w:rFonts w:ascii="Arial" w:hAnsi="Arial" w:cs="Arial"/>
          <w:sz w:val="22"/>
          <w:lang w:val="es-ES_tradnl"/>
        </w:rPr>
        <w:t>»</w:t>
      </w:r>
      <w:r w:rsidR="009E5371">
        <w:rPr>
          <w:rFonts w:ascii="Arial" w:hAnsi="Arial" w:cs="Arial"/>
          <w:sz w:val="22"/>
          <w:lang w:val="es-ES_tradnl"/>
        </w:rPr>
        <w:t>.</w:t>
      </w:r>
      <w:bookmarkEnd w:id="4"/>
    </w:p>
    <w:p w14:paraId="05F0DBB2" w14:textId="77777777" w:rsidR="0065218F" w:rsidRPr="0065218F" w:rsidRDefault="0065218F" w:rsidP="009E5371">
      <w:pPr>
        <w:spacing w:line="276" w:lineRule="auto"/>
        <w:ind w:right="476"/>
        <w:jc w:val="both"/>
        <w:rPr>
          <w:rFonts w:ascii="Arial" w:eastAsia="Calibri" w:hAnsi="Arial" w:cs="Arial"/>
          <w:bCs/>
          <w:sz w:val="20"/>
          <w:szCs w:val="20"/>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634898A2" w14:textId="77777777" w:rsidR="009E5371" w:rsidRDefault="009E5371" w:rsidP="009E5371">
      <w:pPr>
        <w:spacing w:line="276" w:lineRule="auto"/>
        <w:jc w:val="both"/>
        <w:rPr>
          <w:rFonts w:ascii="Arial" w:eastAsia="Calibri" w:hAnsi="Arial" w:cs="Arial"/>
          <w:color w:val="000000" w:themeColor="text1"/>
          <w:sz w:val="22"/>
          <w:szCs w:val="22"/>
        </w:rPr>
      </w:pPr>
    </w:p>
    <w:p w14:paraId="222FEAEB" w14:textId="7391CEC0" w:rsidR="00CE4D4D" w:rsidRDefault="009E5371" w:rsidP="00CE4D4D">
      <w:pPr>
        <w:spacing w:before="120" w:line="276" w:lineRule="auto"/>
        <w:jc w:val="both"/>
        <w:rPr>
          <w:rFonts w:ascii="Arial" w:eastAsia="Calibri" w:hAnsi="Arial" w:cs="Arial"/>
          <w:sz w:val="22"/>
          <w:szCs w:val="22"/>
          <w:lang w:val="es-ES_tradnl"/>
        </w:rPr>
      </w:pPr>
      <w:r>
        <w:rPr>
          <w:rFonts w:ascii="Arial" w:eastAsia="Calibri" w:hAnsi="Arial" w:cs="Arial"/>
          <w:color w:val="000000" w:themeColor="text1"/>
          <w:sz w:val="22"/>
          <w:szCs w:val="22"/>
        </w:rPr>
        <w:t>Para responder sus preguntas se analizar</w:t>
      </w:r>
      <w:r w:rsidR="00C30982">
        <w:rPr>
          <w:rFonts w:ascii="Arial" w:eastAsia="Calibri" w:hAnsi="Arial" w:cs="Arial"/>
          <w:color w:val="000000" w:themeColor="text1"/>
          <w:sz w:val="22"/>
          <w:szCs w:val="22"/>
        </w:rPr>
        <w:t>án</w:t>
      </w:r>
      <w:r>
        <w:rPr>
          <w:rFonts w:ascii="Arial" w:eastAsia="Calibri" w:hAnsi="Arial" w:cs="Arial"/>
          <w:color w:val="000000" w:themeColor="text1"/>
          <w:sz w:val="22"/>
          <w:szCs w:val="22"/>
        </w:rPr>
        <w:t xml:space="preserve"> los siguientes temas: i)</w:t>
      </w:r>
      <w:r w:rsidRPr="00933AB5">
        <w:rPr>
          <w:rFonts w:ascii="Arial" w:eastAsia="Calibri" w:hAnsi="Arial" w:cs="Arial"/>
          <w:color w:val="000000" w:themeColor="text1"/>
          <w:sz w:val="22"/>
          <w:szCs w:val="22"/>
        </w:rPr>
        <w:t xml:space="preserve"> </w:t>
      </w:r>
      <w:r w:rsidR="006356AA">
        <w:rPr>
          <w:rFonts w:ascii="Arial" w:eastAsia="Calibri" w:hAnsi="Arial" w:cs="Arial"/>
          <w:color w:val="000000"/>
          <w:sz w:val="22"/>
          <w:szCs w:val="22"/>
          <w:lang w:val="es-ES_tradnl" w:eastAsia="en-US"/>
        </w:rPr>
        <w:t>v</w:t>
      </w:r>
      <w:r w:rsidR="00933AB5" w:rsidRPr="00933AB5">
        <w:rPr>
          <w:rFonts w:ascii="Arial" w:eastAsia="Calibri" w:hAnsi="Arial" w:cs="Arial"/>
          <w:color w:val="000000"/>
          <w:sz w:val="22"/>
          <w:szCs w:val="22"/>
          <w:lang w:val="es-ES_tradnl" w:eastAsia="en-US"/>
        </w:rPr>
        <w:t xml:space="preserve">igencia y ámbito de aplicación de la Ley 2069 de 2020: </w:t>
      </w:r>
      <w:r w:rsidR="00243EAD">
        <w:rPr>
          <w:rFonts w:ascii="Arial" w:eastAsia="Calibri" w:hAnsi="Arial" w:cs="Arial"/>
          <w:bCs/>
          <w:color w:val="000000" w:themeColor="text1"/>
          <w:sz w:val="22"/>
          <w:szCs w:val="22"/>
          <w:lang w:val="es-ES_tradnl"/>
        </w:rPr>
        <w:t>i</w:t>
      </w:r>
      <w:r w:rsidRPr="009E5371">
        <w:rPr>
          <w:rFonts w:ascii="Arial" w:eastAsia="Calibri" w:hAnsi="Arial" w:cs="Arial"/>
          <w:bCs/>
          <w:color w:val="000000" w:themeColor="text1"/>
          <w:sz w:val="22"/>
          <w:szCs w:val="22"/>
          <w:lang w:val="es-ES_tradnl"/>
        </w:rPr>
        <w:t>mpacto de la Ley 2069 de 2020 en la contratación estatal</w:t>
      </w:r>
      <w:r>
        <w:rPr>
          <w:rFonts w:ascii="Arial" w:eastAsia="Calibri" w:hAnsi="Arial" w:cs="Arial"/>
          <w:bCs/>
          <w:color w:val="000000" w:themeColor="text1"/>
          <w:sz w:val="22"/>
          <w:szCs w:val="22"/>
          <w:lang w:val="es-ES_tradnl"/>
        </w:rPr>
        <w:t xml:space="preserve"> y </w:t>
      </w:r>
      <w:proofErr w:type="spellStart"/>
      <w:r>
        <w:rPr>
          <w:rFonts w:ascii="Arial" w:eastAsia="Calibri" w:hAnsi="Arial" w:cs="Arial"/>
          <w:bCs/>
          <w:color w:val="000000" w:themeColor="text1"/>
          <w:sz w:val="22"/>
          <w:szCs w:val="22"/>
          <w:lang w:val="es-ES_tradnl"/>
        </w:rPr>
        <w:t>ii</w:t>
      </w:r>
      <w:proofErr w:type="spellEnd"/>
      <w:r>
        <w:rPr>
          <w:rFonts w:ascii="Arial" w:eastAsia="Calibri" w:hAnsi="Arial" w:cs="Arial"/>
          <w:bCs/>
          <w:color w:val="000000" w:themeColor="text1"/>
          <w:sz w:val="22"/>
          <w:szCs w:val="22"/>
          <w:lang w:val="es-ES_tradnl"/>
        </w:rPr>
        <w:t xml:space="preserve">) </w:t>
      </w:r>
      <w:r w:rsidR="00243EAD">
        <w:rPr>
          <w:rFonts w:ascii="Arial" w:eastAsia="Calibri" w:hAnsi="Arial" w:cs="Arial"/>
          <w:color w:val="000000" w:themeColor="text1"/>
          <w:sz w:val="22"/>
          <w:szCs w:val="22"/>
        </w:rPr>
        <w:t>f</w:t>
      </w:r>
      <w:r w:rsidR="00CE4D4D" w:rsidRPr="00CE4D4D">
        <w:rPr>
          <w:rFonts w:ascii="Arial" w:eastAsia="Calibri" w:hAnsi="Arial" w:cs="Arial"/>
          <w:color w:val="000000" w:themeColor="text1"/>
          <w:sz w:val="22"/>
          <w:szCs w:val="22"/>
        </w:rPr>
        <w:t>omento a la ejecución de contratos estatales por parte de población en pobreza extrema, desplazados por la violencia, personas en proceso de reintegración o reincorporación y sujetos de especial protección constitucional</w:t>
      </w:r>
      <w:r w:rsidR="00CE4D4D">
        <w:rPr>
          <w:rFonts w:ascii="Arial" w:eastAsia="Calibri" w:hAnsi="Arial" w:cs="Arial"/>
          <w:color w:val="000000" w:themeColor="text1"/>
          <w:sz w:val="22"/>
          <w:szCs w:val="22"/>
        </w:rPr>
        <w:t xml:space="preserve">.  </w:t>
      </w:r>
    </w:p>
    <w:p w14:paraId="561FCD8C" w14:textId="599AC978" w:rsidR="00CE4D4D" w:rsidRPr="00CE4D4D" w:rsidRDefault="00CE4D4D" w:rsidP="00CE4D4D">
      <w:pPr>
        <w:spacing w:before="120" w:line="276" w:lineRule="auto"/>
        <w:ind w:firstLine="709"/>
        <w:jc w:val="both"/>
        <w:rPr>
          <w:rFonts w:ascii="Arial" w:eastAsia="Calibri" w:hAnsi="Arial" w:cs="Arial"/>
          <w:sz w:val="22"/>
          <w:szCs w:val="22"/>
          <w:lang w:val="es-ES_tradnl"/>
        </w:rPr>
      </w:pPr>
      <w:r w:rsidRPr="00332A15">
        <w:rPr>
          <w:rFonts w:ascii="Arial" w:eastAsia="Calibri" w:hAnsi="Arial" w:cs="Arial"/>
          <w:color w:val="000000" w:themeColor="text1"/>
          <w:sz w:val="22"/>
          <w:lang w:val="es-ES_tradnl"/>
        </w:rPr>
        <w:t>La Agencia Nacional de Contratación Pública – Colombia Compra Eficiente se pronunció, en términos generales, sobre la vigencia en la Ley 2069 de 2020, en los conceptos C-009, C-012, C-013, C-015, C-016 y C-026 del 4 de febrero de 2021, C-043 del 9 de febrero de 2021, C-005 del 16 de febrero, C-028 y C-029 del 23 de febrero de 2021 y C-037 del 26 de febrero de 2021.</w:t>
      </w:r>
    </w:p>
    <w:p w14:paraId="4CFCF200" w14:textId="38B2FD8C" w:rsidR="00E9592E" w:rsidRPr="006617BC" w:rsidRDefault="00CE4D4D" w:rsidP="00CE4D4D">
      <w:pPr>
        <w:spacing w:before="120" w:line="276" w:lineRule="auto"/>
        <w:ind w:firstLine="709"/>
        <w:jc w:val="both"/>
        <w:rPr>
          <w:rFonts w:ascii="Arial" w:eastAsia="Calibri" w:hAnsi="Arial" w:cs="Arial"/>
          <w:bCs/>
          <w:color w:val="000000" w:themeColor="text1"/>
          <w:sz w:val="22"/>
          <w:szCs w:val="22"/>
          <w:lang w:val="es-ES_tradnl"/>
        </w:rPr>
      </w:pPr>
      <w:r w:rsidRPr="00332A15">
        <w:rPr>
          <w:rFonts w:ascii="Arial" w:hAnsi="Arial" w:cs="Arial"/>
          <w:color w:val="000000" w:themeColor="text1"/>
          <w:sz w:val="22"/>
          <w:lang w:val="es-ES_tradnl"/>
        </w:rPr>
        <w:t xml:space="preserve">En lo concerniente al artículo 34 de la Ley </w:t>
      </w:r>
      <w:r w:rsidRPr="00332A15">
        <w:rPr>
          <w:rFonts w:ascii="Arial" w:hAnsi="Arial" w:cs="Arial"/>
          <w:i/>
          <w:iCs/>
          <w:color w:val="000000" w:themeColor="text1"/>
          <w:sz w:val="22"/>
          <w:lang w:val="es-ES_tradnl"/>
        </w:rPr>
        <w:t>ut supra</w:t>
      </w:r>
      <w:r w:rsidRPr="00332A15">
        <w:rPr>
          <w:rFonts w:ascii="Arial" w:hAnsi="Arial" w:cs="Arial"/>
          <w:color w:val="000000" w:themeColor="text1"/>
          <w:sz w:val="22"/>
          <w:lang w:val="es-ES_tradnl"/>
        </w:rPr>
        <w:t>, la Agencia profirió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C-125 del 05 de abril de 2021, C-127 del 06 de abril de 2021, C-130 del 07 de abril de 2021, C-144 del 7</w:t>
      </w:r>
      <w:r w:rsidR="00C30982">
        <w:rPr>
          <w:rFonts w:ascii="Arial" w:hAnsi="Arial" w:cs="Arial"/>
          <w:color w:val="000000" w:themeColor="text1"/>
          <w:sz w:val="22"/>
          <w:lang w:val="es-ES_tradnl"/>
        </w:rPr>
        <w:t xml:space="preserve"> de abril de </w:t>
      </w:r>
      <w:r w:rsidRPr="00332A15">
        <w:rPr>
          <w:rFonts w:ascii="Arial" w:hAnsi="Arial" w:cs="Arial"/>
          <w:color w:val="000000" w:themeColor="text1"/>
          <w:sz w:val="22"/>
          <w:lang w:val="es-ES_tradnl"/>
        </w:rPr>
        <w:t>2021, C-125 del 5</w:t>
      </w:r>
      <w:r w:rsidR="00C30982">
        <w:rPr>
          <w:rFonts w:ascii="Arial" w:hAnsi="Arial" w:cs="Arial"/>
          <w:color w:val="000000" w:themeColor="text1"/>
          <w:sz w:val="22"/>
          <w:lang w:val="es-ES_tradnl"/>
        </w:rPr>
        <w:t xml:space="preserve"> de abril de </w:t>
      </w:r>
      <w:r w:rsidRPr="00332A15">
        <w:rPr>
          <w:rFonts w:ascii="Arial" w:hAnsi="Arial" w:cs="Arial"/>
          <w:color w:val="000000" w:themeColor="text1"/>
          <w:sz w:val="22"/>
          <w:lang w:val="es-ES_tradnl"/>
        </w:rPr>
        <w:t xml:space="preserve">2021, C-141 del </w:t>
      </w:r>
      <w:r w:rsidR="00C30982">
        <w:rPr>
          <w:rFonts w:ascii="Arial" w:hAnsi="Arial" w:cs="Arial"/>
          <w:color w:val="000000" w:themeColor="text1"/>
          <w:sz w:val="22"/>
          <w:lang w:val="es-ES_tradnl"/>
        </w:rPr>
        <w:t xml:space="preserve">8 de abril de </w:t>
      </w:r>
      <w:r w:rsidRPr="00332A15">
        <w:rPr>
          <w:rFonts w:ascii="Arial" w:hAnsi="Arial" w:cs="Arial"/>
          <w:color w:val="000000" w:themeColor="text1"/>
          <w:sz w:val="22"/>
          <w:lang w:val="es-ES_tradnl"/>
        </w:rPr>
        <w:t>2021, C-114 del 13</w:t>
      </w:r>
      <w:r w:rsidR="00C30982">
        <w:rPr>
          <w:rFonts w:ascii="Arial" w:hAnsi="Arial" w:cs="Arial"/>
          <w:color w:val="000000" w:themeColor="text1"/>
          <w:sz w:val="22"/>
          <w:lang w:val="es-ES_tradnl"/>
        </w:rPr>
        <w:t xml:space="preserve"> de julio de </w:t>
      </w:r>
      <w:r w:rsidRPr="00332A15">
        <w:rPr>
          <w:rFonts w:ascii="Arial" w:hAnsi="Arial" w:cs="Arial"/>
          <w:color w:val="000000" w:themeColor="text1"/>
          <w:sz w:val="22"/>
          <w:lang w:val="es-ES_tradnl"/>
        </w:rPr>
        <w:t>2021, C−151 del 12 de abril de 2021,  C-160 del 20 de abril de 2021, C−189 del 26 de abril de 2021, C-206 del 3 de mayo de 2021, C-208 del 10 de mayo de 2021, C-234 del 26 de mayo de 2021, C-306 del 28 de junio de 2021, C-455 del 31 de agosto de 2021,  C-438 del 28 de septiembre de 2021</w:t>
      </w:r>
      <w:r w:rsidR="00933AB5">
        <w:rPr>
          <w:rFonts w:ascii="Arial" w:hAnsi="Arial" w:cs="Arial"/>
          <w:color w:val="000000" w:themeColor="text1"/>
          <w:sz w:val="22"/>
          <w:lang w:val="es-ES_tradnl"/>
        </w:rPr>
        <w:t xml:space="preserve"> y</w:t>
      </w:r>
      <w:r w:rsidRPr="00332A15">
        <w:rPr>
          <w:rFonts w:ascii="Arial" w:hAnsi="Arial" w:cs="Arial"/>
          <w:color w:val="000000" w:themeColor="text1"/>
          <w:sz w:val="22"/>
          <w:lang w:val="es-ES_tradnl"/>
        </w:rPr>
        <w:t xml:space="preserve"> C-573 de</w:t>
      </w:r>
      <w:r>
        <w:rPr>
          <w:rFonts w:ascii="Arial" w:hAnsi="Arial" w:cs="Arial"/>
          <w:color w:val="000000" w:themeColor="text1"/>
          <w:sz w:val="22"/>
          <w:lang w:val="es-ES_tradnl"/>
        </w:rPr>
        <w:t>l 13</w:t>
      </w:r>
      <w:r w:rsidRPr="00332A15">
        <w:rPr>
          <w:rFonts w:ascii="Arial" w:hAnsi="Arial" w:cs="Arial"/>
          <w:color w:val="000000" w:themeColor="text1"/>
          <w:sz w:val="22"/>
          <w:lang w:val="es-ES_tradnl"/>
        </w:rPr>
        <w:t xml:space="preserve"> octubre de 2021</w:t>
      </w:r>
      <w:r w:rsidR="00933AB5">
        <w:rPr>
          <w:rFonts w:ascii="Arial" w:hAnsi="Arial" w:cs="Arial"/>
          <w:color w:val="000000" w:themeColor="text1"/>
          <w:sz w:val="22"/>
          <w:lang w:val="es-ES_tradnl"/>
        </w:rPr>
        <w:t xml:space="preserve">. </w:t>
      </w:r>
      <w:r w:rsidR="00E62C6F">
        <w:rPr>
          <w:rFonts w:ascii="Arial" w:hAnsi="Arial" w:cs="Arial"/>
          <w:color w:val="000000" w:themeColor="text1"/>
          <w:sz w:val="22"/>
          <w:lang w:val="es-ES_tradnl"/>
        </w:rPr>
        <w:t xml:space="preserve">En relación con </w:t>
      </w:r>
      <w:r w:rsidR="00933AB5">
        <w:rPr>
          <w:rFonts w:ascii="Arial" w:hAnsi="Arial" w:cs="Arial"/>
          <w:color w:val="000000" w:themeColor="text1"/>
          <w:sz w:val="22"/>
          <w:lang w:val="es-ES_tradnl"/>
        </w:rPr>
        <w:t xml:space="preserve">el artículo </w:t>
      </w:r>
      <w:r w:rsidR="00933AB5" w:rsidRPr="009E5371">
        <w:rPr>
          <w:rFonts w:ascii="Arial" w:hAnsi="Arial" w:cs="Arial"/>
          <w:bCs/>
          <w:color w:val="000000" w:themeColor="text1"/>
          <w:sz w:val="22"/>
          <w:szCs w:val="22"/>
        </w:rPr>
        <w:t>2.2.1.2.4.2.16</w:t>
      </w:r>
      <w:r w:rsidR="00933AB5">
        <w:rPr>
          <w:rFonts w:ascii="Arial" w:hAnsi="Arial" w:cs="Arial"/>
          <w:bCs/>
          <w:color w:val="000000" w:themeColor="text1"/>
          <w:sz w:val="22"/>
          <w:szCs w:val="22"/>
        </w:rPr>
        <w:t xml:space="preserve"> del Decreto 1082 de 2015</w:t>
      </w:r>
      <w:r w:rsidR="00C30982">
        <w:rPr>
          <w:rFonts w:ascii="Arial" w:hAnsi="Arial" w:cs="Arial"/>
          <w:bCs/>
          <w:color w:val="000000" w:themeColor="text1"/>
          <w:sz w:val="22"/>
          <w:szCs w:val="22"/>
        </w:rPr>
        <w:t>,</w:t>
      </w:r>
      <w:r w:rsidR="00933AB5">
        <w:rPr>
          <w:rFonts w:ascii="Arial" w:hAnsi="Arial" w:cs="Arial"/>
          <w:bCs/>
          <w:color w:val="000000" w:themeColor="text1"/>
          <w:sz w:val="22"/>
          <w:szCs w:val="22"/>
        </w:rPr>
        <w:t xml:space="preserve"> adicionado por el </w:t>
      </w:r>
      <w:r w:rsidR="00933AB5">
        <w:rPr>
          <w:rFonts w:ascii="Arial" w:hAnsi="Arial" w:cs="Arial"/>
          <w:color w:val="000000" w:themeColor="text1"/>
          <w:sz w:val="22"/>
          <w:szCs w:val="22"/>
          <w:lang w:val="es-ES_tradnl"/>
        </w:rPr>
        <w:t>Decreto 1860 de 2021, se pronunci</w:t>
      </w:r>
      <w:r w:rsidR="00C30982">
        <w:rPr>
          <w:rFonts w:ascii="Arial" w:hAnsi="Arial" w:cs="Arial"/>
          <w:color w:val="000000" w:themeColor="text1"/>
          <w:sz w:val="22"/>
          <w:szCs w:val="22"/>
          <w:lang w:val="es-ES_tradnl"/>
        </w:rPr>
        <w:t>ó</w:t>
      </w:r>
      <w:r w:rsidR="00933AB5">
        <w:rPr>
          <w:rFonts w:ascii="Arial" w:hAnsi="Arial" w:cs="Arial"/>
          <w:color w:val="000000" w:themeColor="text1"/>
          <w:sz w:val="22"/>
          <w:szCs w:val="22"/>
          <w:lang w:val="es-ES_tradnl"/>
        </w:rPr>
        <w:t xml:space="preserve"> en los conceptos</w:t>
      </w:r>
      <w:r w:rsidR="00933AB5">
        <w:rPr>
          <w:rFonts w:ascii="Arial" w:hAnsi="Arial" w:cs="Arial"/>
          <w:color w:val="000000" w:themeColor="text1"/>
          <w:sz w:val="22"/>
          <w:lang w:val="es-ES_tradnl"/>
        </w:rPr>
        <w:t xml:space="preserve"> </w:t>
      </w:r>
      <w:r>
        <w:rPr>
          <w:rFonts w:ascii="Arial" w:hAnsi="Arial" w:cs="Arial"/>
          <w:color w:val="000000" w:themeColor="text1"/>
          <w:sz w:val="22"/>
          <w:lang w:val="es-ES_tradnl"/>
        </w:rPr>
        <w:t>C-</w:t>
      </w:r>
      <w:r w:rsidRPr="00CE4D4D">
        <w:rPr>
          <w:rFonts w:ascii="Arial" w:hAnsi="Arial" w:cs="Arial"/>
          <w:color w:val="000000" w:themeColor="text1"/>
          <w:sz w:val="22"/>
        </w:rPr>
        <w:t>293 del 12 de abril de 2022, C-317 del 16 de mayo de 2022 y C-343 del 31 de mayo de 2022</w:t>
      </w:r>
      <w:r w:rsidRPr="00332A15">
        <w:rPr>
          <w:rFonts w:ascii="Arial" w:hAnsi="Arial" w:cs="Arial"/>
          <w:color w:val="000000" w:themeColor="text1"/>
          <w:sz w:val="22"/>
          <w:lang w:val="es-ES_tradnl"/>
        </w:rPr>
        <w:t>. Las ideas expuestas en los conceptos mencionados se reiteran a continuación y se complementan en lo pertinente</w:t>
      </w:r>
      <w:r w:rsidR="00E9592E">
        <w:rPr>
          <w:rStyle w:val="Refdenotaalpie"/>
          <w:rFonts w:ascii="Arial" w:eastAsia="Calibri" w:hAnsi="Arial" w:cs="Arial"/>
          <w:sz w:val="22"/>
          <w:szCs w:val="22"/>
          <w:lang w:val="es-ES_tradnl"/>
        </w:rPr>
        <w:footnoteReference w:id="2"/>
      </w:r>
      <w:r w:rsidR="00E9592E">
        <w:rPr>
          <w:rFonts w:ascii="Arial" w:eastAsia="Calibri" w:hAnsi="Arial" w:cs="Arial"/>
          <w:sz w:val="22"/>
          <w:szCs w:val="22"/>
          <w:lang w:val="es-ES_tradnl"/>
        </w:rPr>
        <w:t xml:space="preserve">. </w:t>
      </w:r>
    </w:p>
    <w:p w14:paraId="27DA9246" w14:textId="77777777" w:rsidR="00BA79B8" w:rsidRPr="001C75C1" w:rsidRDefault="00BA79B8" w:rsidP="002E70BF">
      <w:pPr>
        <w:spacing w:line="276" w:lineRule="auto"/>
        <w:jc w:val="both"/>
        <w:rPr>
          <w:rFonts w:ascii="Arial" w:eastAsia="Calibri" w:hAnsi="Arial" w:cs="Arial"/>
          <w:color w:val="000000" w:themeColor="text1"/>
          <w:sz w:val="22"/>
          <w:szCs w:val="22"/>
          <w:lang w:val="es-ES_tradnl"/>
        </w:rPr>
      </w:pPr>
    </w:p>
    <w:p w14:paraId="42BF7A8C" w14:textId="709858E4" w:rsidR="00CE4D4D" w:rsidRPr="00332A15" w:rsidRDefault="00063085" w:rsidP="00CE4D4D">
      <w:pPr>
        <w:tabs>
          <w:tab w:val="left" w:pos="426"/>
        </w:tabs>
        <w:spacing w:line="276" w:lineRule="auto"/>
        <w:jc w:val="both"/>
        <w:outlineLvl w:val="0"/>
        <w:rPr>
          <w:rFonts w:ascii="Arial" w:eastAsia="Calibri" w:hAnsi="Arial" w:cs="Arial"/>
          <w:b/>
          <w:color w:val="000000" w:themeColor="text1"/>
          <w:sz w:val="22"/>
          <w:lang w:val="es-ES_tradnl"/>
        </w:rPr>
      </w:pPr>
      <w:r>
        <w:rPr>
          <w:rFonts w:ascii="Arial" w:eastAsia="Calibri" w:hAnsi="Arial" w:cs="Arial"/>
          <w:b/>
          <w:bCs/>
          <w:color w:val="000000" w:themeColor="text1"/>
          <w:sz w:val="22"/>
          <w:szCs w:val="22"/>
          <w:lang w:val="es-ES_tradnl"/>
        </w:rPr>
        <w:t>2.1</w:t>
      </w:r>
      <w:r w:rsidR="00CF148D">
        <w:rPr>
          <w:rFonts w:ascii="Arial" w:eastAsia="Calibri" w:hAnsi="Arial" w:cs="Arial"/>
          <w:b/>
          <w:bCs/>
          <w:color w:val="000000" w:themeColor="text1"/>
          <w:sz w:val="22"/>
          <w:szCs w:val="22"/>
          <w:lang w:val="es-ES_tradnl"/>
        </w:rPr>
        <w:t xml:space="preserve"> </w:t>
      </w:r>
      <w:r w:rsidR="00D50A9F" w:rsidRPr="00B1493D">
        <w:rPr>
          <w:rFonts w:ascii="Arial" w:eastAsia="Calibri" w:hAnsi="Arial" w:cs="Arial"/>
          <w:b/>
          <w:bCs/>
          <w:color w:val="000000"/>
          <w:sz w:val="22"/>
          <w:szCs w:val="22"/>
          <w:lang w:val="es-ES_tradnl" w:eastAsia="en-US"/>
        </w:rPr>
        <w:t>Vigencia y ámbito de aplicación de la Ley 2069 de 2020: impacto sobre la contratación estatal</w:t>
      </w:r>
    </w:p>
    <w:p w14:paraId="46CD14B7" w14:textId="77777777" w:rsidR="00CE4D4D" w:rsidRPr="00332A15" w:rsidRDefault="00CE4D4D" w:rsidP="00CE4D4D">
      <w:pPr>
        <w:tabs>
          <w:tab w:val="left" w:pos="426"/>
        </w:tabs>
        <w:spacing w:line="276" w:lineRule="auto"/>
        <w:jc w:val="both"/>
        <w:rPr>
          <w:rFonts w:ascii="Arial" w:eastAsia="Calibri" w:hAnsi="Arial" w:cs="Arial"/>
          <w:b/>
          <w:color w:val="000000" w:themeColor="text1"/>
          <w:sz w:val="22"/>
          <w:lang w:val="es-ES_tradnl"/>
        </w:rPr>
      </w:pPr>
    </w:p>
    <w:p w14:paraId="08E733BC" w14:textId="77777777" w:rsidR="00D50A9F" w:rsidRPr="00B1493D" w:rsidRDefault="00D50A9F" w:rsidP="00D50A9F">
      <w:pPr>
        <w:spacing w:after="120" w:line="276" w:lineRule="auto"/>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lastRenderedPageBreak/>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28B86DF8" w14:textId="77777777" w:rsidR="00D50A9F" w:rsidRPr="00B1493D" w:rsidRDefault="00D50A9F" w:rsidP="00D50A9F">
      <w:pPr>
        <w:spacing w:after="120" w:line="276" w:lineRule="auto"/>
        <w:ind w:firstLine="709"/>
        <w:jc w:val="both"/>
        <w:rPr>
          <w:rFonts w:ascii="Arial" w:eastAsia="Calibri" w:hAnsi="Arial" w:cs="Arial"/>
          <w:color w:val="000000"/>
          <w:sz w:val="22"/>
          <w:szCs w:val="22"/>
          <w:lang w:val="es-ES_tradnl" w:eastAsia="en-US"/>
        </w:rPr>
      </w:pPr>
      <w:r>
        <w:rPr>
          <w:rFonts w:ascii="Arial" w:eastAsia="Calibri" w:hAnsi="Arial" w:cs="Arial"/>
          <w:color w:val="000000"/>
          <w:sz w:val="22"/>
          <w:szCs w:val="22"/>
          <w:lang w:val="es-ES_tradnl" w:eastAsia="en-US"/>
        </w:rPr>
        <w:t>Conforme con lo previsto en</w:t>
      </w:r>
      <w:r w:rsidRPr="00B1493D">
        <w:rPr>
          <w:rFonts w:ascii="Arial" w:eastAsia="Calibri" w:hAnsi="Arial" w:cs="Arial"/>
          <w:color w:val="000000"/>
          <w:sz w:val="22"/>
          <w:szCs w:val="22"/>
          <w:lang w:val="es-ES_tradnl" w:eastAsia="en-US"/>
        </w:rPr>
        <w:t xml:space="preserve"> </w:t>
      </w:r>
      <w:r>
        <w:rPr>
          <w:rFonts w:ascii="Arial" w:eastAsia="Calibri" w:hAnsi="Arial" w:cs="Arial"/>
          <w:color w:val="000000"/>
          <w:sz w:val="22"/>
          <w:szCs w:val="22"/>
          <w:lang w:val="es-ES_tradnl" w:eastAsia="en-US"/>
        </w:rPr>
        <w:t>su</w:t>
      </w:r>
      <w:r w:rsidRPr="00B1493D">
        <w:rPr>
          <w:rFonts w:ascii="Arial" w:eastAsia="Calibri" w:hAnsi="Arial" w:cs="Arial"/>
          <w:color w:val="000000"/>
          <w:sz w:val="22"/>
          <w:szCs w:val="22"/>
          <w:lang w:val="es-ES_tradnl" w:eastAsia="en-US"/>
        </w:rPr>
        <w:t xml:space="preserve">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B1493D">
        <w:rPr>
          <w:rFonts w:ascii="Arial" w:eastAsia="Calibri" w:hAnsi="Arial" w:cs="Arial"/>
          <w:color w:val="000000"/>
          <w:sz w:val="22"/>
          <w:szCs w:val="22"/>
          <w:lang w:val="es-ES_tradnl" w:eastAsia="en-US"/>
        </w:rPr>
        <w:t>de acuerdo a</w:t>
      </w:r>
      <w:proofErr w:type="gramEnd"/>
      <w:r w:rsidRPr="00B1493D">
        <w:rPr>
          <w:rFonts w:ascii="Arial" w:eastAsia="Calibri" w:hAnsi="Arial" w:cs="Arial"/>
          <w:color w:val="000000"/>
          <w:sz w:val="22"/>
          <w:szCs w:val="22"/>
          <w:lang w:val="es-ES_tradnl" w:eastAsia="en-US"/>
        </w:rPr>
        <w:t xml:space="preserve"> las realidades socioeconómicas de cada región». En desarrollo de esta finalidad, se establecen medidas de apoyo para las micro, pequeñas y medianas empresas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mediante la racionalización y simplificación de los trámites y tarifas</w:t>
      </w:r>
      <w:r w:rsidRPr="00B1493D">
        <w:rPr>
          <w:rFonts w:ascii="Arial" w:eastAsia="Calibri" w:hAnsi="Arial" w:cs="Arial"/>
          <w:color w:val="000000"/>
          <w:sz w:val="22"/>
          <w:szCs w:val="22"/>
          <w:vertAlign w:val="superscript"/>
          <w:lang w:val="es-ES_tradnl" w:eastAsia="en-US"/>
        </w:rPr>
        <w:footnoteReference w:id="3"/>
      </w:r>
      <w:r w:rsidRPr="00B1493D">
        <w:rPr>
          <w:rFonts w:ascii="Arial" w:eastAsia="Calibri" w:hAnsi="Arial" w:cs="Arial"/>
          <w:color w:val="000000"/>
          <w:sz w:val="22"/>
          <w:szCs w:val="22"/>
          <w:lang w:val="es-ES_tradnl" w:eastAsia="en-US"/>
        </w:rPr>
        <w:t>, así como incentivos a favor de aquellas dentro del sistema de compras y contratación pública</w:t>
      </w:r>
      <w:r w:rsidRPr="00B1493D">
        <w:rPr>
          <w:rFonts w:ascii="Arial" w:eastAsia="Calibri" w:hAnsi="Arial" w:cs="Arial"/>
          <w:color w:val="000000"/>
          <w:sz w:val="22"/>
          <w:szCs w:val="22"/>
          <w:vertAlign w:val="superscript"/>
          <w:lang w:val="es-ES_tradnl" w:eastAsia="en-US"/>
        </w:rPr>
        <w:footnoteReference w:id="4"/>
      </w:r>
      <w:r w:rsidRPr="00B1493D">
        <w:rPr>
          <w:rFonts w:ascii="Arial" w:eastAsia="Calibri" w:hAnsi="Arial" w:cs="Arial"/>
          <w:color w:val="000000"/>
          <w:sz w:val="22"/>
          <w:szCs w:val="22"/>
          <w:lang w:val="es-ES_tradnl" w:eastAsia="en-US"/>
        </w:rPr>
        <w:t>. También se consagran mecanismos de acceso al financiamiento</w:t>
      </w:r>
      <w:r w:rsidRPr="00B1493D">
        <w:rPr>
          <w:rFonts w:ascii="Arial" w:eastAsia="Calibri" w:hAnsi="Arial" w:cs="Arial"/>
          <w:color w:val="000000"/>
          <w:sz w:val="22"/>
          <w:szCs w:val="22"/>
          <w:vertAlign w:val="superscript"/>
          <w:lang w:val="es-ES_tradnl" w:eastAsia="en-US"/>
        </w:rPr>
        <w:footnoteReference w:id="5"/>
      </w:r>
      <w:r w:rsidRPr="00B1493D">
        <w:rPr>
          <w:rFonts w:ascii="Arial" w:eastAsia="Calibri" w:hAnsi="Arial" w:cs="Arial"/>
          <w:color w:val="000000"/>
          <w:sz w:val="22"/>
          <w:szCs w:val="22"/>
          <w:lang w:val="es-ES_tradnl" w:eastAsia="en-US"/>
        </w:rPr>
        <w:t>, se unifican las fuentes de emprendimiento y de desarrollo empresarial, para fortalecer y promover los distintos sectores de la economía</w:t>
      </w:r>
      <w:r w:rsidRPr="00B1493D">
        <w:rPr>
          <w:rFonts w:ascii="Arial" w:eastAsia="Calibri" w:hAnsi="Arial" w:cs="Arial"/>
          <w:color w:val="000000"/>
          <w:sz w:val="22"/>
          <w:szCs w:val="22"/>
          <w:vertAlign w:val="superscript"/>
          <w:lang w:val="es-ES_tradnl" w:eastAsia="en-US"/>
        </w:rPr>
        <w:footnoteReference w:id="6"/>
      </w:r>
      <w:r w:rsidRPr="00B1493D">
        <w:rPr>
          <w:rFonts w:ascii="Arial" w:eastAsia="Calibri" w:hAnsi="Arial" w:cs="Arial"/>
          <w:color w:val="000000"/>
          <w:sz w:val="22"/>
          <w:szCs w:val="22"/>
          <w:lang w:val="es-ES_tradnl" w:eastAsia="en-US"/>
        </w:rPr>
        <w:t xml:space="preserve"> y se prevén medidas de educación para el emprendimiento y la innovación</w:t>
      </w:r>
      <w:r w:rsidRPr="00B1493D">
        <w:rPr>
          <w:rFonts w:ascii="Arial" w:eastAsia="Calibri" w:hAnsi="Arial" w:cs="Arial"/>
          <w:color w:val="000000"/>
          <w:sz w:val="22"/>
          <w:szCs w:val="22"/>
          <w:vertAlign w:val="superscript"/>
          <w:lang w:val="es-ES_tradnl" w:eastAsia="en-US"/>
        </w:rPr>
        <w:footnoteReference w:id="7"/>
      </w:r>
      <w:r w:rsidRPr="00B1493D">
        <w:rPr>
          <w:rFonts w:ascii="Arial" w:eastAsia="Calibri" w:hAnsi="Arial" w:cs="Arial"/>
          <w:color w:val="000000"/>
          <w:sz w:val="22"/>
          <w:szCs w:val="22"/>
          <w:lang w:val="es-ES_tradnl" w:eastAsia="en-US"/>
        </w:rPr>
        <w:t>.</w:t>
      </w:r>
    </w:p>
    <w:p w14:paraId="465F7F30" w14:textId="77777777" w:rsidR="00D50A9F" w:rsidRPr="00B1493D" w:rsidRDefault="00D50A9F" w:rsidP="00D50A9F">
      <w:pPr>
        <w:spacing w:after="120"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La Ley 2069 de 2020 guarda </w:t>
      </w:r>
      <w:r w:rsidRPr="00B1493D">
        <w:rPr>
          <w:rFonts w:ascii="Arial" w:eastAsia="Calibri" w:hAnsi="Arial" w:cs="Arial"/>
          <w:bCs/>
          <w:color w:val="000000"/>
          <w:sz w:val="22"/>
          <w:szCs w:val="22"/>
          <w:lang w:val="es-ES_tradnl" w:eastAsia="en-US"/>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B1493D">
        <w:rPr>
          <w:rFonts w:ascii="Arial" w:eastAsia="Calibri" w:hAnsi="Arial" w:cs="Arial"/>
          <w:bCs/>
          <w:color w:val="000000"/>
          <w:sz w:val="22"/>
          <w:szCs w:val="22"/>
          <w:vertAlign w:val="superscript"/>
          <w:lang w:val="es-ES_tradnl" w:eastAsia="en-US"/>
        </w:rPr>
        <w:footnoteReference w:id="8"/>
      </w:r>
      <w:r w:rsidRPr="00B1493D">
        <w:rPr>
          <w:rFonts w:ascii="Arial" w:eastAsia="Calibri" w:hAnsi="Arial" w:cs="Arial"/>
          <w:bCs/>
          <w:color w:val="000000"/>
          <w:sz w:val="22"/>
          <w:szCs w:val="22"/>
          <w:lang w:val="es-ES_tradnl" w:eastAsia="en-US"/>
        </w:rPr>
        <w:t>.</w:t>
      </w:r>
    </w:p>
    <w:p w14:paraId="589F21D6" w14:textId="3A86A7A7" w:rsidR="00D50A9F" w:rsidRPr="00B1493D" w:rsidRDefault="00D50A9F" w:rsidP="00D50A9F">
      <w:pPr>
        <w:tabs>
          <w:tab w:val="left" w:pos="709"/>
        </w:tabs>
        <w:spacing w:after="120" w:line="276" w:lineRule="auto"/>
        <w:jc w:val="both"/>
        <w:rPr>
          <w:rFonts w:ascii="Arial" w:eastAsia="Calibri" w:hAnsi="Arial" w:cs="Arial"/>
          <w:bCs/>
          <w:color w:val="000000"/>
          <w:sz w:val="22"/>
          <w:szCs w:val="22"/>
          <w:lang w:val="es-ES_tradnl" w:eastAsia="en-US"/>
        </w:rPr>
      </w:pPr>
      <w:r w:rsidRPr="00B1493D">
        <w:rPr>
          <w:rFonts w:ascii="Arial" w:eastAsia="Calibri" w:hAnsi="Arial" w:cs="Arial"/>
          <w:bCs/>
          <w:color w:val="000000"/>
          <w:sz w:val="22"/>
          <w:szCs w:val="22"/>
          <w:lang w:val="es-ES_tradnl" w:eastAsia="en-US"/>
        </w:rPr>
        <w:lastRenderedPageBreak/>
        <w:tab/>
        <w:t>Por ello, la ley impulsa medidas para</w:t>
      </w:r>
      <w:r w:rsidR="007171CD">
        <w:rPr>
          <w:rFonts w:ascii="Arial" w:eastAsia="Calibri" w:hAnsi="Arial" w:cs="Arial"/>
          <w:bCs/>
          <w:color w:val="000000"/>
          <w:sz w:val="22"/>
          <w:szCs w:val="22"/>
          <w:lang w:val="es-ES_tradnl" w:eastAsia="en-US"/>
        </w:rPr>
        <w:t>:</w:t>
      </w:r>
      <w:r w:rsidRPr="00B1493D">
        <w:rPr>
          <w:rFonts w:ascii="Arial" w:eastAsia="Calibri" w:hAnsi="Arial" w:cs="Arial"/>
          <w:bCs/>
          <w:color w:val="000000"/>
          <w:sz w:val="22"/>
          <w:szCs w:val="22"/>
          <w:lang w:val="es-ES_tradnl" w:eastAsia="en-US"/>
        </w:rPr>
        <w:t xml:space="preserve"> i) reducir cargas y trámites para los emprendedores del país, </w:t>
      </w:r>
      <w:proofErr w:type="spellStart"/>
      <w:r w:rsidRPr="00B1493D">
        <w:rPr>
          <w:rFonts w:ascii="Arial" w:eastAsia="Calibri" w:hAnsi="Arial" w:cs="Arial"/>
          <w:bCs/>
          <w:color w:val="000000"/>
          <w:sz w:val="22"/>
          <w:szCs w:val="22"/>
          <w:lang w:val="es-ES_tradnl" w:eastAsia="en-US"/>
        </w:rPr>
        <w:t>ii</w:t>
      </w:r>
      <w:proofErr w:type="spellEnd"/>
      <w:r w:rsidRPr="00B1493D">
        <w:rPr>
          <w:rFonts w:ascii="Arial" w:eastAsia="Calibri" w:hAnsi="Arial" w:cs="Arial"/>
          <w:bCs/>
          <w:color w:val="000000"/>
          <w:sz w:val="22"/>
          <w:szCs w:val="22"/>
          <w:lang w:val="es-ES_tradnl" w:eastAsia="en-US"/>
        </w:rPr>
        <w:t xml:space="preserve">) facilitar su acceso al sistema de compras y contratación pública, </w:t>
      </w:r>
      <w:proofErr w:type="spellStart"/>
      <w:r w:rsidRPr="00B1493D">
        <w:rPr>
          <w:rFonts w:ascii="Arial" w:eastAsia="Calibri" w:hAnsi="Arial" w:cs="Arial"/>
          <w:bCs/>
          <w:color w:val="000000"/>
          <w:sz w:val="22"/>
          <w:szCs w:val="22"/>
          <w:lang w:val="es-ES_tradnl" w:eastAsia="en-US"/>
        </w:rPr>
        <w:t>iii</w:t>
      </w:r>
      <w:proofErr w:type="spellEnd"/>
      <w:r w:rsidRPr="00B1493D">
        <w:rPr>
          <w:rFonts w:ascii="Arial" w:eastAsia="Calibri" w:hAnsi="Arial" w:cs="Arial"/>
          <w:bCs/>
          <w:color w:val="000000"/>
          <w:sz w:val="22"/>
          <w:szCs w:val="22"/>
          <w:lang w:val="es-ES_tradnl" w:eastAsia="en-US"/>
        </w:rPr>
        <w:t xml:space="preserve">) incentivar el crecimiento económico con la llegada de más actores al ecosistema de inversión y financiación, </w:t>
      </w:r>
      <w:proofErr w:type="spellStart"/>
      <w:r w:rsidRPr="00B1493D">
        <w:rPr>
          <w:rFonts w:ascii="Arial" w:eastAsia="Calibri" w:hAnsi="Arial" w:cs="Arial"/>
          <w:bCs/>
          <w:color w:val="000000"/>
          <w:sz w:val="22"/>
          <w:szCs w:val="22"/>
          <w:lang w:val="es-ES_tradnl" w:eastAsia="en-US"/>
        </w:rPr>
        <w:t>iv</w:t>
      </w:r>
      <w:proofErr w:type="spellEnd"/>
      <w:r w:rsidRPr="00B1493D">
        <w:rPr>
          <w:rFonts w:ascii="Arial" w:eastAsia="Calibri" w:hAnsi="Arial" w:cs="Arial"/>
          <w:bCs/>
          <w:color w:val="000000"/>
          <w:sz w:val="22"/>
          <w:szCs w:val="22"/>
          <w:lang w:val="es-ES_tradnl" w:eastAsia="en-US"/>
        </w:rPr>
        <w:t>) focalizar esfuerzos, optimizar la gestión de recursos e incentivar una visión integral del desarrollo productivo a través del fortalecimiento institucional, v) facilitar la apropiación del emprendimiento y la cultura emprendedora en la juventud colombiana, así como</w:t>
      </w:r>
      <w:r w:rsidR="007171CD">
        <w:rPr>
          <w:rFonts w:ascii="Arial" w:eastAsia="Calibri" w:hAnsi="Arial" w:cs="Arial"/>
          <w:bCs/>
          <w:color w:val="000000"/>
          <w:sz w:val="22"/>
          <w:szCs w:val="22"/>
          <w:lang w:val="es-ES_tradnl" w:eastAsia="en-US"/>
        </w:rPr>
        <w:t>,</w:t>
      </w:r>
      <w:r w:rsidRPr="00B1493D">
        <w:rPr>
          <w:rFonts w:ascii="Arial" w:eastAsia="Calibri" w:hAnsi="Arial" w:cs="Arial"/>
          <w:bCs/>
          <w:color w:val="000000"/>
          <w:sz w:val="22"/>
          <w:szCs w:val="22"/>
          <w:lang w:val="es-ES_tradnl" w:eastAsia="en-US"/>
        </w:rPr>
        <w:t xml:space="preserve"> vi) otorgar beneficios para emprendedores, especialmente, estableciendo un enfoque diferencial respecto a los miembros de las poblaciones más vulnerables, que les permita avanzar en su actividad y desarrollar sus iniciativas</w:t>
      </w:r>
      <w:r w:rsidRPr="00B1493D">
        <w:rPr>
          <w:rFonts w:ascii="Arial" w:eastAsia="Calibri" w:hAnsi="Arial" w:cs="Arial"/>
          <w:bCs/>
          <w:color w:val="000000"/>
          <w:sz w:val="22"/>
          <w:szCs w:val="22"/>
          <w:vertAlign w:val="superscript"/>
          <w:lang w:val="es-ES_tradnl" w:eastAsia="en-US"/>
        </w:rPr>
        <w:footnoteReference w:id="9"/>
      </w:r>
      <w:r w:rsidRPr="00B1493D">
        <w:rPr>
          <w:rFonts w:ascii="Arial" w:eastAsia="Calibri" w:hAnsi="Arial" w:cs="Arial"/>
          <w:bCs/>
          <w:color w:val="000000"/>
          <w:sz w:val="22"/>
          <w:szCs w:val="22"/>
          <w:lang w:val="es-ES_tradnl" w:eastAsia="en-US"/>
        </w:rPr>
        <w:t>.</w:t>
      </w:r>
    </w:p>
    <w:p w14:paraId="6BE200EE" w14:textId="77777777" w:rsidR="00D50A9F" w:rsidRPr="00723BBD" w:rsidRDefault="00D50A9F" w:rsidP="00D50A9F">
      <w:pPr>
        <w:spacing w:line="276" w:lineRule="auto"/>
        <w:ind w:firstLine="709"/>
        <w:jc w:val="both"/>
        <w:rPr>
          <w:rFonts w:ascii="Arial" w:eastAsia="Calibri" w:hAnsi="Arial" w:cs="Arial"/>
          <w:color w:val="000000"/>
          <w:sz w:val="22"/>
          <w:szCs w:val="22"/>
          <w:lang w:val="es-ES_tradnl" w:eastAsia="en-US"/>
        </w:rPr>
      </w:pPr>
      <w:r w:rsidRPr="00B1493D">
        <w:rPr>
          <w:rFonts w:ascii="Arial" w:eastAsia="Calibri" w:hAnsi="Arial" w:cs="Arial"/>
          <w:color w:val="000000"/>
          <w:sz w:val="22"/>
          <w:szCs w:val="22"/>
          <w:lang w:val="es-ES_tradnl" w:eastAsia="en-US"/>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xml:space="preserve"> en el procedimiento de mínima cuantía, </w:t>
      </w:r>
      <w:proofErr w:type="spellStart"/>
      <w:r w:rsidRPr="00B1493D">
        <w:rPr>
          <w:rFonts w:ascii="Arial" w:eastAsia="Calibri" w:hAnsi="Arial" w:cs="Arial"/>
          <w:color w:val="000000"/>
          <w:sz w:val="22"/>
          <w:szCs w:val="22"/>
          <w:lang w:val="es-ES_tradnl" w:eastAsia="en-US"/>
        </w:rPr>
        <w:t>ii</w:t>
      </w:r>
      <w:proofErr w:type="spellEnd"/>
      <w:r w:rsidRPr="00B1493D">
        <w:rPr>
          <w:rFonts w:ascii="Arial" w:eastAsia="Calibri" w:hAnsi="Arial" w:cs="Arial"/>
          <w:color w:val="000000"/>
          <w:sz w:val="22"/>
          <w:szCs w:val="22"/>
          <w:lang w:val="es-ES_tradnl" w:eastAsia="en-US"/>
        </w:rPr>
        <w:t xml:space="preserve">) criterios diferenciales para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xml:space="preserve"> en el sistema de compras públicas, </w:t>
      </w:r>
      <w:proofErr w:type="spellStart"/>
      <w:r w:rsidRPr="00B1493D">
        <w:rPr>
          <w:rFonts w:ascii="Arial" w:eastAsia="Calibri" w:hAnsi="Arial" w:cs="Arial"/>
          <w:color w:val="000000"/>
          <w:sz w:val="22"/>
          <w:szCs w:val="22"/>
          <w:lang w:val="es-ES_tradnl" w:eastAsia="en-US"/>
        </w:rPr>
        <w:t>iii</w:t>
      </w:r>
      <w:proofErr w:type="spellEnd"/>
      <w:r w:rsidRPr="00B1493D">
        <w:rPr>
          <w:rFonts w:ascii="Arial" w:eastAsia="Calibri" w:hAnsi="Arial" w:cs="Arial"/>
          <w:color w:val="000000"/>
          <w:sz w:val="22"/>
          <w:szCs w:val="22"/>
          <w:lang w:val="es-ES_tradnl" w:eastAsia="en-US"/>
        </w:rPr>
        <w:t xml:space="preserve">) criterios diferenciales para emprendimientos y empresas de mujeres en el sistema de compras públicas, </w:t>
      </w:r>
      <w:proofErr w:type="spellStart"/>
      <w:r w:rsidRPr="00B1493D">
        <w:rPr>
          <w:rFonts w:ascii="Arial" w:eastAsia="Calibri" w:hAnsi="Arial" w:cs="Arial"/>
          <w:color w:val="000000"/>
          <w:sz w:val="22"/>
          <w:szCs w:val="22"/>
          <w:lang w:val="es-ES_tradnl" w:eastAsia="en-US"/>
        </w:rPr>
        <w:t>iv</w:t>
      </w:r>
      <w:proofErr w:type="spellEnd"/>
      <w:r w:rsidRPr="00B1493D">
        <w:rPr>
          <w:rFonts w:ascii="Arial" w:eastAsia="Calibri" w:hAnsi="Arial" w:cs="Arial"/>
          <w:color w:val="000000"/>
          <w:sz w:val="22"/>
          <w:szCs w:val="22"/>
          <w:lang w:val="es-ES_tradnl" w:eastAsia="en-US"/>
        </w:rPr>
        <w:t xml:space="preserve">) promoción del acceso de las </w:t>
      </w:r>
      <w:proofErr w:type="spellStart"/>
      <w:r w:rsidRPr="00B1493D">
        <w:rPr>
          <w:rFonts w:ascii="Arial" w:eastAsia="Calibri" w:hAnsi="Arial" w:cs="Arial"/>
          <w:color w:val="000000"/>
          <w:sz w:val="22"/>
          <w:szCs w:val="22"/>
          <w:lang w:val="es-ES_tradnl" w:eastAsia="en-US"/>
        </w:rPr>
        <w:t>mipymes</w:t>
      </w:r>
      <w:proofErr w:type="spellEnd"/>
      <w:r w:rsidRPr="00B1493D">
        <w:rPr>
          <w:rFonts w:ascii="Arial" w:eastAsia="Calibri" w:hAnsi="Arial" w:cs="Arial"/>
          <w:color w:val="000000"/>
          <w:sz w:val="22"/>
          <w:szCs w:val="22"/>
          <w:lang w:val="es-ES_tradnl" w:eastAsia="en-U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43E5D52C" w14:textId="77777777" w:rsidR="00931458" w:rsidRPr="00931458" w:rsidRDefault="00931458" w:rsidP="00931458">
      <w:pPr>
        <w:tabs>
          <w:tab w:val="left" w:pos="709"/>
        </w:tabs>
        <w:spacing w:line="276" w:lineRule="auto"/>
        <w:jc w:val="both"/>
        <w:rPr>
          <w:rFonts w:ascii="Arial" w:eastAsia="Calibri" w:hAnsi="Arial" w:cs="Arial"/>
          <w:sz w:val="22"/>
          <w:szCs w:val="22"/>
          <w:lang w:val="es-ES_tradnl"/>
        </w:rPr>
      </w:pPr>
    </w:p>
    <w:p w14:paraId="72BAB959" w14:textId="56832861" w:rsidR="00070E24" w:rsidRPr="00070E24" w:rsidRDefault="00FA6DF5" w:rsidP="00B27FED">
      <w:pPr>
        <w:spacing w:line="276" w:lineRule="auto"/>
        <w:jc w:val="both"/>
        <w:rPr>
          <w:rFonts w:ascii="Arial" w:eastAsia="Calibri" w:hAnsi="Arial" w:cs="Arial"/>
          <w:b/>
          <w:bCs/>
          <w:sz w:val="22"/>
          <w:szCs w:val="22"/>
        </w:rPr>
      </w:pPr>
      <w:r w:rsidRPr="00FA6DF5">
        <w:rPr>
          <w:rFonts w:ascii="Arial" w:hAnsi="Arial" w:cs="Arial"/>
          <w:b/>
          <w:bCs/>
          <w:sz w:val="22"/>
          <w:lang w:eastAsia="es-MX"/>
        </w:rPr>
        <w:t>2.</w:t>
      </w:r>
      <w:r w:rsidR="00CE4D4D">
        <w:rPr>
          <w:rFonts w:ascii="Arial" w:hAnsi="Arial" w:cs="Arial"/>
          <w:b/>
          <w:bCs/>
          <w:sz w:val="22"/>
          <w:lang w:eastAsia="es-MX"/>
        </w:rPr>
        <w:t xml:space="preserve">2 </w:t>
      </w:r>
      <w:r w:rsidRPr="00FA6DF5">
        <w:rPr>
          <w:rFonts w:ascii="Arial" w:eastAsia="Calibri" w:hAnsi="Arial" w:cs="Arial"/>
          <w:b/>
          <w:bCs/>
          <w:sz w:val="22"/>
          <w:szCs w:val="22"/>
        </w:rPr>
        <w:t>Fomento a la ejecución de contratos estatales por parte de población en pobreza extrema, desplazados por la violencia, personas en proceso de reintegración o reincorporación y sujetos de especial protección constitucional</w:t>
      </w:r>
    </w:p>
    <w:p w14:paraId="52845A11" w14:textId="77777777" w:rsidR="00070E24" w:rsidRDefault="00070E24" w:rsidP="00B27FED">
      <w:pPr>
        <w:spacing w:line="276" w:lineRule="auto"/>
        <w:jc w:val="both"/>
        <w:rPr>
          <w:rFonts w:ascii="Arial" w:eastAsia="Calibri" w:hAnsi="Arial" w:cs="Arial"/>
          <w:bCs/>
          <w:color w:val="000000" w:themeColor="text1"/>
          <w:sz w:val="22"/>
          <w:lang w:val="es-ES_tradnl"/>
        </w:rPr>
      </w:pPr>
    </w:p>
    <w:p w14:paraId="48F43F45" w14:textId="737871AE" w:rsidR="00F5728E" w:rsidRDefault="00836197" w:rsidP="00B27FED">
      <w:pPr>
        <w:spacing w:line="276" w:lineRule="auto"/>
        <w:jc w:val="both"/>
        <w:rPr>
          <w:rFonts w:ascii="Arial" w:hAnsi="Arial" w:cs="Arial"/>
          <w:bCs/>
          <w:sz w:val="22"/>
          <w:lang w:val="es-ES_tradnl" w:eastAsia="es-MX"/>
        </w:rPr>
      </w:pPr>
      <w:r w:rsidRPr="00332A15">
        <w:rPr>
          <w:rFonts w:ascii="Arial" w:eastAsia="Calibri" w:hAnsi="Arial" w:cs="Arial"/>
          <w:bCs/>
          <w:color w:val="000000" w:themeColor="text1"/>
          <w:sz w:val="22"/>
          <w:lang w:val="es-ES_tradnl"/>
        </w:rPr>
        <w:lastRenderedPageBreak/>
        <w:t xml:space="preserve">El cuarto inciso del artículo 12 de la Ley 1150 de 2007, modificado por el artículo 34 de la Ley 2069 de 2020, establece que «las Entidades Estatales indistintamente de su régimen de contratación, los patrimonios autónomos constituidos por Entidades Estatales y los particulares que ejecuten recursos públicos» «[…],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w:t>
      </w:r>
      <w:r w:rsidRPr="00962038">
        <w:rPr>
          <w:rFonts w:ascii="Arial" w:eastAsia="Calibri" w:hAnsi="Arial" w:cs="Arial"/>
          <w:bCs/>
          <w:i/>
          <w:iCs/>
          <w:color w:val="000000" w:themeColor="text1"/>
          <w:sz w:val="22"/>
          <w:lang w:val="es-ES_tradnl"/>
        </w:rPr>
        <w:t>en las</w:t>
      </w:r>
      <w:r w:rsidRPr="00332A15">
        <w:rPr>
          <w:rFonts w:ascii="Arial" w:eastAsia="Calibri" w:hAnsi="Arial" w:cs="Arial"/>
          <w:bCs/>
          <w:color w:val="000000" w:themeColor="text1"/>
          <w:sz w:val="22"/>
          <w:lang w:val="es-ES_tradnl"/>
        </w:rPr>
        <w:t xml:space="preserve"> </w:t>
      </w:r>
      <w:r w:rsidRPr="00962038">
        <w:rPr>
          <w:rFonts w:ascii="Arial" w:eastAsia="Calibri" w:hAnsi="Arial" w:cs="Arial"/>
          <w:bCs/>
          <w:i/>
          <w:iCs/>
          <w:color w:val="000000" w:themeColor="text1"/>
          <w:sz w:val="22"/>
          <w:lang w:val="es-ES_tradnl"/>
        </w:rPr>
        <w:t>condiciones que señale el reglamento</w:t>
      </w:r>
      <w:r w:rsidRPr="00332A15">
        <w:rPr>
          <w:rFonts w:ascii="Arial" w:eastAsia="Calibri" w:hAnsi="Arial" w:cs="Arial"/>
          <w:bCs/>
          <w:color w:val="000000" w:themeColor="text1"/>
          <w:sz w:val="22"/>
          <w:lang w:val="es-ES_tradnl"/>
        </w:rPr>
        <w:t>; siempre que se garanticen las condiciones de calidad y cumplimiento del objeto contractual»</w:t>
      </w:r>
      <w:r w:rsidR="00962038">
        <w:rPr>
          <w:rFonts w:ascii="Arial" w:eastAsia="Calibri" w:hAnsi="Arial" w:cs="Arial"/>
          <w:bCs/>
          <w:color w:val="000000" w:themeColor="text1"/>
          <w:sz w:val="22"/>
          <w:lang w:val="es-ES_tradnl"/>
        </w:rPr>
        <w:t xml:space="preserve"> </w:t>
      </w:r>
      <w:r w:rsidR="00962038">
        <w:rPr>
          <w:rFonts w:ascii="Arial" w:eastAsia="Calibri" w:hAnsi="Arial" w:cs="Arial"/>
          <w:sz w:val="22"/>
          <w:szCs w:val="22"/>
          <w:lang w:val="es-ES_tradnl"/>
        </w:rPr>
        <w:t>(Énfasis fuera de texto)</w:t>
      </w:r>
      <w:r w:rsidRPr="00332A15">
        <w:rPr>
          <w:rFonts w:ascii="Arial" w:eastAsia="Calibri" w:hAnsi="Arial" w:cs="Arial"/>
          <w:bCs/>
          <w:color w:val="000000" w:themeColor="text1"/>
          <w:sz w:val="22"/>
          <w:lang w:val="es-ES_tradnl"/>
        </w:rPr>
        <w:t>.</w:t>
      </w:r>
      <w:r>
        <w:rPr>
          <w:rFonts w:ascii="Arial" w:hAnsi="Arial" w:cs="Arial"/>
          <w:bCs/>
          <w:sz w:val="22"/>
          <w:lang w:val="es-ES_tradnl" w:eastAsia="es-MX"/>
        </w:rPr>
        <w:t xml:space="preserve"> </w:t>
      </w:r>
      <w:r w:rsidR="00403595">
        <w:rPr>
          <w:rFonts w:ascii="Arial" w:hAnsi="Arial" w:cs="Arial"/>
          <w:bCs/>
          <w:sz w:val="22"/>
          <w:lang w:val="es-ES_tradnl" w:eastAsia="es-MX"/>
        </w:rPr>
        <w:t>De esta manera, si bien la n</w:t>
      </w:r>
      <w:r w:rsidR="00EA05DD">
        <w:rPr>
          <w:rFonts w:ascii="Arial" w:hAnsi="Arial" w:cs="Arial"/>
          <w:bCs/>
          <w:sz w:val="22"/>
          <w:lang w:val="es-ES_tradnl" w:eastAsia="es-MX"/>
        </w:rPr>
        <w:t>orma permite</w:t>
      </w:r>
      <w:r w:rsidR="007171CD">
        <w:rPr>
          <w:rFonts w:ascii="Arial" w:hAnsi="Arial" w:cs="Arial"/>
          <w:bCs/>
          <w:sz w:val="22"/>
          <w:lang w:val="es-ES_tradnl" w:eastAsia="es-MX"/>
        </w:rPr>
        <w:t xml:space="preserve"> fomentar</w:t>
      </w:r>
      <w:r w:rsidR="00EA05DD">
        <w:rPr>
          <w:rFonts w:ascii="Arial" w:hAnsi="Arial" w:cs="Arial"/>
          <w:bCs/>
          <w:sz w:val="22"/>
          <w:lang w:val="es-ES_tradnl" w:eastAsia="es-MX"/>
        </w:rPr>
        <w:t xml:space="preserve"> </w:t>
      </w:r>
      <w:r w:rsidR="007171CD">
        <w:rPr>
          <w:rFonts w:ascii="Arial" w:hAnsi="Arial" w:cs="Arial"/>
          <w:bCs/>
          <w:sz w:val="22"/>
          <w:lang w:val="es-ES_tradnl" w:eastAsia="es-MX"/>
        </w:rPr>
        <w:t xml:space="preserve">en la ejecución de los contratos estatales </w:t>
      </w:r>
      <w:r w:rsidR="00EC3B48" w:rsidRPr="00B9642A">
        <w:rPr>
          <w:rFonts w:ascii="Arial" w:eastAsia="Calibri" w:hAnsi="Arial" w:cs="Arial"/>
          <w:sz w:val="22"/>
          <w:szCs w:val="22"/>
          <w:lang w:val="es-ES_tradnl"/>
        </w:rPr>
        <w:t>la provisión de bienes y servicios</w:t>
      </w:r>
      <w:r w:rsidR="007171CD">
        <w:rPr>
          <w:rFonts w:ascii="Arial" w:eastAsia="Calibri" w:hAnsi="Arial" w:cs="Arial"/>
          <w:sz w:val="22"/>
          <w:szCs w:val="22"/>
          <w:lang w:val="es-ES_tradnl"/>
        </w:rPr>
        <w:t xml:space="preserve"> por parte de </w:t>
      </w:r>
      <w:r w:rsidR="00EC3B48" w:rsidRPr="00B9642A">
        <w:rPr>
          <w:rFonts w:ascii="Arial" w:eastAsia="Calibri" w:hAnsi="Arial" w:cs="Arial"/>
          <w:sz w:val="22"/>
          <w:szCs w:val="22"/>
          <w:lang w:val="es-ES_tradnl"/>
        </w:rPr>
        <w:t xml:space="preserve">algunas </w:t>
      </w:r>
      <w:r w:rsidR="00EC3B48" w:rsidRPr="00EC3B48">
        <w:rPr>
          <w:rFonts w:ascii="Arial" w:eastAsia="Calibri" w:hAnsi="Arial" w:cs="Arial"/>
          <w:sz w:val="22"/>
          <w:szCs w:val="22"/>
          <w:lang w:val="es-ES_tradnl"/>
        </w:rPr>
        <w:t>personas que gozan de especial protección constitucional</w:t>
      </w:r>
      <w:r w:rsidR="00F5728E">
        <w:rPr>
          <w:rFonts w:ascii="Arial" w:eastAsia="Calibri" w:hAnsi="Arial" w:cs="Arial"/>
          <w:sz w:val="22"/>
          <w:szCs w:val="22"/>
          <w:lang w:val="es-ES_tradnl"/>
        </w:rPr>
        <w:t>,</w:t>
      </w:r>
      <w:r w:rsidR="00EC3B48">
        <w:rPr>
          <w:rFonts w:ascii="Arial" w:hAnsi="Arial" w:cs="Arial"/>
          <w:bCs/>
          <w:sz w:val="22"/>
          <w:lang w:val="es-ES_tradnl" w:eastAsia="es-MX"/>
        </w:rPr>
        <w:t xml:space="preserve"> </w:t>
      </w:r>
      <w:r w:rsidR="00403595">
        <w:rPr>
          <w:rFonts w:ascii="Arial" w:hAnsi="Arial" w:cs="Arial"/>
          <w:bCs/>
          <w:sz w:val="22"/>
          <w:lang w:val="es-ES_tradnl" w:eastAsia="es-MX"/>
        </w:rPr>
        <w:t>la inclusión de estos mecanismos</w:t>
      </w:r>
      <w:r w:rsidR="00EA05DD">
        <w:rPr>
          <w:rFonts w:ascii="Arial" w:hAnsi="Arial" w:cs="Arial"/>
          <w:bCs/>
          <w:sz w:val="22"/>
          <w:lang w:val="es-ES_tradnl" w:eastAsia="es-MX"/>
        </w:rPr>
        <w:t xml:space="preserve"> en los pliegos de condiciones está supeditada</w:t>
      </w:r>
      <w:r w:rsidR="00403595">
        <w:rPr>
          <w:rFonts w:ascii="Arial" w:hAnsi="Arial" w:cs="Arial"/>
          <w:bCs/>
          <w:sz w:val="22"/>
          <w:lang w:val="es-ES_tradnl" w:eastAsia="es-MX"/>
        </w:rPr>
        <w:t xml:space="preserve"> a las condiciones </w:t>
      </w:r>
      <w:r w:rsidR="00EA05DD">
        <w:rPr>
          <w:rFonts w:ascii="Arial" w:hAnsi="Arial" w:cs="Arial"/>
          <w:bCs/>
          <w:sz w:val="22"/>
          <w:lang w:val="es-ES_tradnl" w:eastAsia="es-MX"/>
        </w:rPr>
        <w:t xml:space="preserve">y reglas </w:t>
      </w:r>
      <w:r w:rsidR="00403595">
        <w:rPr>
          <w:rFonts w:ascii="Arial" w:hAnsi="Arial" w:cs="Arial"/>
          <w:bCs/>
          <w:sz w:val="22"/>
          <w:lang w:val="es-ES_tradnl" w:eastAsia="es-MX"/>
        </w:rPr>
        <w:t>que desarrolle el reglamento</w:t>
      </w:r>
      <w:r w:rsidR="00EC3B48">
        <w:rPr>
          <w:rFonts w:ascii="Arial" w:hAnsi="Arial" w:cs="Arial"/>
          <w:bCs/>
          <w:sz w:val="22"/>
          <w:lang w:val="es-ES_tradnl" w:eastAsia="es-MX"/>
        </w:rPr>
        <w:t xml:space="preserve">. </w:t>
      </w:r>
    </w:p>
    <w:p w14:paraId="6102E86A" w14:textId="36504415" w:rsidR="00DD197A" w:rsidRPr="00836197" w:rsidRDefault="00962038" w:rsidP="00F5728E">
      <w:pPr>
        <w:spacing w:before="120" w:line="276" w:lineRule="auto"/>
        <w:ind w:firstLine="709"/>
        <w:jc w:val="both"/>
        <w:rPr>
          <w:rFonts w:ascii="Arial" w:hAnsi="Arial" w:cs="Arial"/>
          <w:bCs/>
          <w:sz w:val="22"/>
          <w:lang w:val="es-ES_tradnl" w:eastAsia="es-MX"/>
        </w:rPr>
      </w:pPr>
      <w:r>
        <w:rPr>
          <w:rFonts w:ascii="Arial" w:hAnsi="Arial" w:cs="Arial"/>
          <w:bCs/>
          <w:sz w:val="22"/>
          <w:lang w:val="es-ES_tradnl" w:eastAsia="es-MX"/>
        </w:rPr>
        <w:t xml:space="preserve">Para estos efectos, </w:t>
      </w:r>
      <w:r w:rsidR="00F5728E">
        <w:rPr>
          <w:rFonts w:ascii="Arial" w:eastAsia="Calibri" w:hAnsi="Arial" w:cs="Arial"/>
          <w:sz w:val="22"/>
          <w:szCs w:val="22"/>
          <w:lang w:val="es-ES_tradnl"/>
        </w:rPr>
        <w:t xml:space="preserve">el Gobierno Nacional expidió el Decreto 1860 de 24 de diciembre de 2021, el cual adicionó el </w:t>
      </w:r>
      <w:r w:rsidR="00F5728E" w:rsidRPr="003A205B">
        <w:rPr>
          <w:rFonts w:ascii="Arial" w:eastAsia="Calibri" w:hAnsi="Arial" w:cs="Arial"/>
          <w:sz w:val="22"/>
          <w:szCs w:val="22"/>
          <w:lang w:val="es-ES_tradnl"/>
        </w:rPr>
        <w:t>artículo </w:t>
      </w:r>
      <w:r w:rsidR="00F5728E">
        <w:rPr>
          <w:rFonts w:ascii="Arial" w:eastAsia="Calibri" w:hAnsi="Arial" w:cs="Arial"/>
          <w:sz w:val="22"/>
          <w:szCs w:val="22"/>
          <w:lang w:val="es-ES_tradnl"/>
        </w:rPr>
        <w:t>2.2.1.2.4.2.16</w:t>
      </w:r>
      <w:r w:rsidR="00F5728E" w:rsidRPr="003A205B">
        <w:rPr>
          <w:rFonts w:ascii="Arial" w:eastAsia="Calibri" w:hAnsi="Arial" w:cs="Arial"/>
          <w:sz w:val="22"/>
          <w:szCs w:val="22"/>
          <w:lang w:val="es-ES_tradnl"/>
        </w:rPr>
        <w:t> a</w:t>
      </w:r>
      <w:r w:rsidR="00F5728E">
        <w:rPr>
          <w:rFonts w:ascii="Arial" w:eastAsia="Calibri" w:hAnsi="Arial" w:cs="Arial"/>
          <w:sz w:val="22"/>
          <w:szCs w:val="22"/>
          <w:lang w:val="es-ES_tradnl"/>
        </w:rPr>
        <w:t xml:space="preserve"> </w:t>
      </w:r>
      <w:r w:rsidR="00F5728E" w:rsidRPr="003A205B">
        <w:rPr>
          <w:rFonts w:ascii="Arial" w:eastAsia="Calibri" w:hAnsi="Arial" w:cs="Arial"/>
          <w:sz w:val="22"/>
          <w:szCs w:val="22"/>
          <w:lang w:val="es-ES_tradnl"/>
        </w:rPr>
        <w:t>la</w:t>
      </w:r>
      <w:r w:rsidR="00F5728E">
        <w:rPr>
          <w:rFonts w:ascii="Arial" w:eastAsia="Calibri" w:hAnsi="Arial" w:cs="Arial"/>
          <w:sz w:val="22"/>
          <w:szCs w:val="22"/>
          <w:lang w:val="es-ES_tradnl"/>
        </w:rPr>
        <w:t xml:space="preserve"> </w:t>
      </w:r>
      <w:r w:rsidR="00F5728E" w:rsidRPr="003A205B">
        <w:rPr>
          <w:rFonts w:ascii="Arial" w:eastAsia="Calibri" w:hAnsi="Arial" w:cs="Arial"/>
          <w:sz w:val="22"/>
          <w:szCs w:val="22"/>
          <w:lang w:val="es-ES_tradnl"/>
        </w:rPr>
        <w:t>Subsección 2 de la Sección 4 del Capítulo 2 del Título 1 de la Parte 2 del Libro 2 del Decreto 1082 de 2015</w:t>
      </w:r>
      <w:r w:rsidR="00F5728E" w:rsidRPr="00D66968">
        <w:rPr>
          <w:rFonts w:ascii="Arial" w:eastAsia="Calibri" w:hAnsi="Arial" w:cs="Arial"/>
          <w:sz w:val="22"/>
          <w:szCs w:val="22"/>
          <w:lang w:val="es-ES_tradnl"/>
        </w:rPr>
        <w:t>, Único Reglamentario del Sector Administrativo de Planeación Nacional</w:t>
      </w:r>
      <w:r w:rsidR="00F5728E">
        <w:rPr>
          <w:rFonts w:ascii="Arial" w:eastAsia="Calibri" w:hAnsi="Arial" w:cs="Arial"/>
          <w:sz w:val="22"/>
          <w:szCs w:val="22"/>
          <w:lang w:val="es-ES_tradnl"/>
        </w:rPr>
        <w:t xml:space="preserve">. </w:t>
      </w:r>
      <w:r w:rsidR="00F5728E">
        <w:rPr>
          <w:rFonts w:ascii="Arial" w:hAnsi="Arial" w:cs="Arial"/>
          <w:bCs/>
          <w:sz w:val="22"/>
          <w:lang w:val="es-ES_tradnl" w:eastAsia="es-MX"/>
        </w:rPr>
        <w:t xml:space="preserve">Dicho artículo </w:t>
      </w:r>
      <w:r w:rsidR="005E62EE">
        <w:rPr>
          <w:rFonts w:ascii="Arial" w:hAnsi="Arial" w:cs="Arial"/>
          <w:sz w:val="22"/>
          <w:lang w:eastAsia="es-MX"/>
        </w:rPr>
        <w:t>p</w:t>
      </w:r>
      <w:r w:rsidR="00DD197A">
        <w:rPr>
          <w:rFonts w:ascii="Arial" w:hAnsi="Arial" w:cs="Arial"/>
          <w:sz w:val="22"/>
          <w:lang w:eastAsia="es-MX"/>
        </w:rPr>
        <w:t>rescrib</w:t>
      </w:r>
      <w:r w:rsidR="00F5728E">
        <w:rPr>
          <w:rFonts w:ascii="Arial" w:hAnsi="Arial" w:cs="Arial"/>
          <w:sz w:val="22"/>
          <w:lang w:eastAsia="es-MX"/>
        </w:rPr>
        <w:t>e</w:t>
      </w:r>
      <w:r w:rsidR="00836197">
        <w:rPr>
          <w:rFonts w:ascii="Arial" w:hAnsi="Arial" w:cs="Arial"/>
          <w:sz w:val="22"/>
          <w:lang w:eastAsia="es-MX"/>
        </w:rPr>
        <w:t xml:space="preserve"> </w:t>
      </w:r>
      <w:r w:rsidR="00DD197A">
        <w:rPr>
          <w:rFonts w:ascii="Arial" w:hAnsi="Arial" w:cs="Arial"/>
          <w:sz w:val="22"/>
          <w:lang w:eastAsia="es-MX"/>
        </w:rPr>
        <w:t xml:space="preserve">lo siguiente: </w:t>
      </w:r>
    </w:p>
    <w:p w14:paraId="49543172" w14:textId="77777777" w:rsidR="00DD197A" w:rsidRDefault="00DD197A" w:rsidP="0040691D">
      <w:pPr>
        <w:spacing w:line="276" w:lineRule="auto"/>
        <w:jc w:val="both"/>
        <w:rPr>
          <w:rFonts w:ascii="Arial" w:hAnsi="Arial" w:cs="Arial"/>
          <w:sz w:val="22"/>
          <w:lang w:eastAsia="es-MX"/>
        </w:rPr>
      </w:pPr>
    </w:p>
    <w:p w14:paraId="1E9E34C0"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ARTÍCULO 2.2.1.2.4.2.16. Fomento a la ejecución de contratos estatales por parte de población en pobreza extrema, desplazados por la violencia, personas en proceso de reintegración o reincorporación y sujetos de especial protección constitucional. En los Procesos de Contratación, las Entidades Estatales indistintamente de su régimen de contratación, los patrimonios autónomos constituidos por Entidades Estatales y los particulares que ejecuten recursos públicos fomentarán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p>
    <w:p w14:paraId="365A78CD"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7D91C26" w14:textId="77777777" w:rsidR="00DD197A" w:rsidRPr="00DD197A" w:rsidRDefault="00DD197A" w:rsidP="00DD197A">
      <w:pPr>
        <w:ind w:left="709" w:right="709"/>
        <w:jc w:val="both"/>
        <w:rPr>
          <w:rFonts w:ascii="Arial" w:eastAsia="Calibri" w:hAnsi="Arial" w:cs="Arial"/>
          <w:sz w:val="21"/>
          <w:szCs w:val="21"/>
          <w:lang w:val="es-ES_tradnl"/>
        </w:rPr>
      </w:pPr>
      <w:bookmarkStart w:id="5" w:name="_Hlk109891297"/>
      <w:r w:rsidRPr="00DD197A">
        <w:rPr>
          <w:rFonts w:ascii="Arial" w:eastAsia="Calibri" w:hAnsi="Arial" w:cs="Arial"/>
          <w:sz w:val="21"/>
          <w:szCs w:val="21"/>
          <w:lang w:val="es-ES_tradnl"/>
        </w:rPr>
        <w:t>La participación de los sujetos anteriormente mencionados en la ejecución del contrato se fomentará previo análisis de su oportunidad y conveniencia en los Documentos del Proceso, teniendo en cuenta el objeto contractual y el alcance de las obligaciones</w:t>
      </w:r>
      <w:bookmarkEnd w:id="5"/>
      <w:r w:rsidRPr="00DD197A">
        <w:rPr>
          <w:rFonts w:ascii="Arial" w:eastAsia="Calibri" w:hAnsi="Arial" w:cs="Arial"/>
          <w:sz w:val="21"/>
          <w:szCs w:val="21"/>
          <w:lang w:val="es-ES_tradnl"/>
        </w:rPr>
        <w:t>.</w:t>
      </w:r>
    </w:p>
    <w:p w14:paraId="6F19C92D"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B47A85A"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xml:space="preserve">Esta provisión se establecerá en un porcentaje que no será superior al diez por ciento (10%) ni inferior al cinco por ciento (5%) de los bienes o servicios </w:t>
      </w:r>
      <w:r w:rsidRPr="00DD197A">
        <w:rPr>
          <w:rFonts w:ascii="Arial" w:eastAsia="Calibri" w:hAnsi="Arial" w:cs="Arial"/>
          <w:sz w:val="21"/>
          <w:szCs w:val="21"/>
          <w:lang w:val="es-ES_tradnl"/>
        </w:rPr>
        <w:lastRenderedPageBreak/>
        <w:t>requeridos para la ejecución del contrato, de manera que no se ponga en riesgo su cumplimiento adecuado.</w:t>
      </w:r>
    </w:p>
    <w:p w14:paraId="171258D8"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35E70945"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Previo análisis de oportunidad y conveniencia, la Entidad Estatal incorporará esta obligación en la minuta del contrato del pliego de condiciones o documento equivalente, precisando las sanciones pecuniarias producto del incumplimiento injustificado de esta a través de las causales de multa que estime pertinentes.</w:t>
      </w:r>
    </w:p>
    <w:p w14:paraId="7B5B7BBF"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7FA74CDD"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El supervisor o el interventor, según el caso, realizará el seguimiento y verificará que las personas vinculadas al inicio y durante la ejecución del contrato pertenezcan a los grupos poblacionales enunciados anteriormente.</w:t>
      </w:r>
    </w:p>
    <w:p w14:paraId="503CAB80"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28C3906"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xml:space="preserve">PARÁGRAFO 1. Para los efectos previstos en el presente artículo, los sujetos de especial protección constitucional son aquellas personas que debido a su particular condición física, psicológica o social merecen una acción positiva estatal para efectos de lograr una igualdad real y efectiva. Dentro de esta categoría se encuentran, entre otros, las víctimas del conflicto armado interno, las mujeres cabeza de familia, los adultos mayores, las personas en condición de discapacidad, así como la población de las comunidades indígena, negra, afrocolombiana, raizal, palanquera, </w:t>
      </w:r>
      <w:proofErr w:type="spellStart"/>
      <w:r w:rsidRPr="00DD197A">
        <w:rPr>
          <w:rFonts w:ascii="Arial" w:eastAsia="Calibri" w:hAnsi="Arial" w:cs="Arial"/>
          <w:sz w:val="21"/>
          <w:szCs w:val="21"/>
          <w:lang w:val="es-ES_tradnl"/>
        </w:rPr>
        <w:t>Rrom</w:t>
      </w:r>
      <w:proofErr w:type="spellEnd"/>
      <w:r w:rsidRPr="00DD197A">
        <w:rPr>
          <w:rFonts w:ascii="Arial" w:eastAsia="Calibri" w:hAnsi="Arial" w:cs="Arial"/>
          <w:sz w:val="21"/>
          <w:szCs w:val="21"/>
          <w:lang w:val="es-ES_tradnl"/>
        </w:rPr>
        <w:t xml:space="preserve"> o gitanas.</w:t>
      </w:r>
    </w:p>
    <w:p w14:paraId="187467C2"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44BD4961"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w:t>
      </w:r>
    </w:p>
    <w:p w14:paraId="2CB4E827"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 </w:t>
      </w:r>
    </w:p>
    <w:p w14:paraId="333AF8CF" w14:textId="77777777" w:rsidR="00DD197A" w:rsidRPr="00DD197A" w:rsidRDefault="00DD197A" w:rsidP="00DD197A">
      <w:pPr>
        <w:ind w:left="709" w:right="709"/>
        <w:jc w:val="both"/>
        <w:rPr>
          <w:rFonts w:ascii="Arial" w:eastAsia="Calibri" w:hAnsi="Arial" w:cs="Arial"/>
          <w:sz w:val="21"/>
          <w:szCs w:val="21"/>
          <w:lang w:val="es-ES_tradnl"/>
        </w:rPr>
      </w:pPr>
      <w:r w:rsidRPr="00DD197A">
        <w:rPr>
          <w:rFonts w:ascii="Arial" w:eastAsia="Calibri" w:hAnsi="Arial" w:cs="Arial"/>
          <w:sz w:val="21"/>
          <w:szCs w:val="21"/>
          <w:lang w:val="es-ES_tradnl"/>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p w14:paraId="2E7ECFFB" w14:textId="77777777" w:rsidR="00057226" w:rsidRDefault="00057226" w:rsidP="00066FF0">
      <w:pPr>
        <w:spacing w:line="276" w:lineRule="auto"/>
        <w:ind w:firstLine="709"/>
        <w:jc w:val="both"/>
        <w:rPr>
          <w:rFonts w:ascii="Arial" w:hAnsi="Arial" w:cs="Arial"/>
          <w:sz w:val="22"/>
          <w:lang w:eastAsia="es-MX"/>
        </w:rPr>
      </w:pPr>
    </w:p>
    <w:p w14:paraId="1CB5E914" w14:textId="3D7CC8FE" w:rsidR="00746D72" w:rsidRDefault="00BF1750" w:rsidP="00BF1750">
      <w:pPr>
        <w:spacing w:line="276" w:lineRule="auto"/>
        <w:ind w:firstLine="709"/>
        <w:jc w:val="both"/>
        <w:rPr>
          <w:rFonts w:ascii="Arial" w:hAnsi="Arial" w:cs="Arial"/>
          <w:sz w:val="22"/>
          <w:lang w:eastAsia="es-MX"/>
        </w:rPr>
      </w:pPr>
      <w:r w:rsidRPr="008F59B4">
        <w:rPr>
          <w:rFonts w:ascii="Arial" w:eastAsia="Calibri" w:hAnsi="Arial" w:cs="Arial"/>
          <w:color w:val="000000" w:themeColor="text1"/>
          <w:sz w:val="22"/>
          <w:lang w:val="es-ES_tradnl"/>
        </w:rPr>
        <w:t xml:space="preserve">Como </w:t>
      </w:r>
      <w:r w:rsidR="00457166">
        <w:rPr>
          <w:rFonts w:ascii="Arial" w:eastAsia="Calibri" w:hAnsi="Arial" w:cs="Arial"/>
          <w:color w:val="000000" w:themeColor="text1"/>
          <w:sz w:val="22"/>
          <w:lang w:val="es-ES_tradnl"/>
        </w:rPr>
        <w:t xml:space="preserve">se </w:t>
      </w:r>
      <w:r w:rsidRPr="008F59B4">
        <w:rPr>
          <w:rFonts w:ascii="Arial" w:eastAsia="Calibri" w:hAnsi="Arial" w:cs="Arial"/>
          <w:color w:val="000000" w:themeColor="text1"/>
          <w:sz w:val="22"/>
          <w:lang w:val="es-ES_tradnl"/>
        </w:rPr>
        <w:t>adv</w:t>
      </w:r>
      <w:r w:rsidR="00EA294F">
        <w:rPr>
          <w:rFonts w:ascii="Arial" w:eastAsia="Calibri" w:hAnsi="Arial" w:cs="Arial"/>
          <w:color w:val="000000" w:themeColor="text1"/>
          <w:sz w:val="22"/>
          <w:lang w:val="es-ES_tradnl"/>
        </w:rPr>
        <w:t>i</w:t>
      </w:r>
      <w:r w:rsidRPr="008F59B4">
        <w:rPr>
          <w:rFonts w:ascii="Arial" w:eastAsia="Calibri" w:hAnsi="Arial" w:cs="Arial"/>
          <w:color w:val="000000" w:themeColor="text1"/>
          <w:sz w:val="22"/>
          <w:lang w:val="es-ES_tradnl"/>
        </w:rPr>
        <w:t>ert</w:t>
      </w:r>
      <w:r w:rsidR="00ED2C70">
        <w:rPr>
          <w:rFonts w:ascii="Arial" w:eastAsia="Calibri" w:hAnsi="Arial" w:cs="Arial"/>
          <w:color w:val="000000" w:themeColor="text1"/>
          <w:sz w:val="22"/>
          <w:lang w:val="es-ES_tradnl"/>
        </w:rPr>
        <w:t>e</w:t>
      </w:r>
      <w:r w:rsidRPr="008F59B4">
        <w:rPr>
          <w:rFonts w:ascii="Arial" w:eastAsia="Calibri" w:hAnsi="Arial" w:cs="Arial"/>
          <w:color w:val="000000" w:themeColor="text1"/>
          <w:sz w:val="22"/>
          <w:lang w:val="es-ES_tradnl"/>
        </w:rPr>
        <w:t>,</w:t>
      </w:r>
      <w:r w:rsidR="00B04D29">
        <w:rPr>
          <w:rFonts w:ascii="Arial" w:eastAsia="Calibri" w:hAnsi="Arial" w:cs="Arial"/>
          <w:color w:val="000000" w:themeColor="text1"/>
          <w:sz w:val="22"/>
          <w:lang w:val="es-ES_tradnl"/>
        </w:rPr>
        <w:t xml:space="preserve"> </w:t>
      </w:r>
      <w:r w:rsidR="0099467B">
        <w:rPr>
          <w:rFonts w:ascii="Arial" w:hAnsi="Arial" w:cs="Arial"/>
          <w:sz w:val="22"/>
          <w:szCs w:val="22"/>
        </w:rPr>
        <w:t xml:space="preserve">en primer lugar, </w:t>
      </w:r>
      <w:r w:rsidRPr="008F59B4">
        <w:rPr>
          <w:rFonts w:ascii="Arial" w:eastAsia="Calibri" w:hAnsi="Arial" w:cs="Arial"/>
          <w:color w:val="000000" w:themeColor="text1"/>
          <w:sz w:val="22"/>
          <w:lang w:val="es-ES_tradnl"/>
        </w:rPr>
        <w:t xml:space="preserve">esta disposición </w:t>
      </w:r>
      <w:r w:rsidR="009E122F">
        <w:rPr>
          <w:rFonts w:ascii="Arial" w:hAnsi="Arial" w:cs="Arial"/>
          <w:sz w:val="22"/>
          <w:lang w:eastAsia="es-MX"/>
        </w:rPr>
        <w:t xml:space="preserve">está </w:t>
      </w:r>
      <w:r w:rsidR="00DD197A">
        <w:rPr>
          <w:rFonts w:ascii="Arial" w:hAnsi="Arial" w:cs="Arial"/>
          <w:sz w:val="22"/>
          <w:lang w:eastAsia="es-MX"/>
        </w:rPr>
        <w:t>dirigid</w:t>
      </w:r>
      <w:r w:rsidR="009E122F">
        <w:rPr>
          <w:rFonts w:ascii="Arial" w:hAnsi="Arial" w:cs="Arial"/>
          <w:sz w:val="22"/>
          <w:lang w:eastAsia="es-MX"/>
        </w:rPr>
        <w:t>a</w:t>
      </w:r>
      <w:r w:rsidR="00DD197A">
        <w:rPr>
          <w:rFonts w:ascii="Arial" w:hAnsi="Arial" w:cs="Arial"/>
          <w:sz w:val="22"/>
          <w:lang w:eastAsia="es-MX"/>
        </w:rPr>
        <w:t xml:space="preserve"> a </w:t>
      </w:r>
      <w:r w:rsidR="00DD197A" w:rsidRPr="00FA6DF5">
        <w:rPr>
          <w:rFonts w:ascii="Arial" w:hAnsi="Arial" w:cs="Arial"/>
          <w:sz w:val="22"/>
          <w:lang w:eastAsia="es-MX"/>
        </w:rPr>
        <w:t>la</w:t>
      </w:r>
      <w:r w:rsidR="00DD197A">
        <w:rPr>
          <w:rFonts w:ascii="Arial" w:hAnsi="Arial" w:cs="Arial"/>
          <w:sz w:val="22"/>
          <w:lang w:eastAsia="es-MX"/>
        </w:rPr>
        <w:t>s</w:t>
      </w:r>
      <w:r w:rsidR="00DD197A" w:rsidRPr="00FA6DF5">
        <w:rPr>
          <w:rFonts w:ascii="Arial" w:hAnsi="Arial" w:cs="Arial"/>
          <w:sz w:val="22"/>
          <w:lang w:eastAsia="es-MX"/>
        </w:rPr>
        <w:t xml:space="preserve"> entidades estatales indistintamente de su régimen de contratación, los patrimonios autónomos constituidos por </w:t>
      </w:r>
      <w:r w:rsidR="00DD197A">
        <w:rPr>
          <w:rFonts w:ascii="Arial" w:hAnsi="Arial" w:cs="Arial"/>
          <w:sz w:val="22"/>
          <w:lang w:eastAsia="es-MX"/>
        </w:rPr>
        <w:t>e</w:t>
      </w:r>
      <w:r w:rsidR="00DD197A" w:rsidRPr="00FA6DF5">
        <w:rPr>
          <w:rFonts w:ascii="Arial" w:hAnsi="Arial" w:cs="Arial"/>
          <w:sz w:val="22"/>
          <w:lang w:eastAsia="es-MX"/>
        </w:rPr>
        <w:t xml:space="preserve">ntidades </w:t>
      </w:r>
      <w:r w:rsidR="00DD197A">
        <w:rPr>
          <w:rFonts w:ascii="Arial" w:hAnsi="Arial" w:cs="Arial"/>
          <w:sz w:val="22"/>
          <w:lang w:eastAsia="es-MX"/>
        </w:rPr>
        <w:t>e</w:t>
      </w:r>
      <w:r w:rsidR="00DD197A" w:rsidRPr="00FA6DF5">
        <w:rPr>
          <w:rFonts w:ascii="Arial" w:hAnsi="Arial" w:cs="Arial"/>
          <w:sz w:val="22"/>
          <w:lang w:eastAsia="es-MX"/>
        </w:rPr>
        <w:t>statales y los particulares que ejecuten recursos públicos</w:t>
      </w:r>
      <w:r w:rsidR="00DD197A">
        <w:rPr>
          <w:rFonts w:ascii="Arial" w:hAnsi="Arial" w:cs="Arial"/>
          <w:sz w:val="22"/>
          <w:lang w:eastAsia="es-MX"/>
        </w:rPr>
        <w:t xml:space="preserve">, para que en sus </w:t>
      </w:r>
      <w:r w:rsidR="00B946F3">
        <w:rPr>
          <w:rFonts w:ascii="Arial" w:hAnsi="Arial" w:cs="Arial"/>
          <w:sz w:val="22"/>
          <w:lang w:eastAsia="es-MX"/>
        </w:rPr>
        <w:t>p</w:t>
      </w:r>
      <w:r w:rsidR="00DD197A">
        <w:rPr>
          <w:rFonts w:ascii="Arial" w:hAnsi="Arial" w:cs="Arial"/>
          <w:sz w:val="22"/>
          <w:lang w:eastAsia="es-MX"/>
        </w:rPr>
        <w:t xml:space="preserve">rocesos de </w:t>
      </w:r>
      <w:r w:rsidR="00B946F3">
        <w:rPr>
          <w:rFonts w:ascii="Arial" w:hAnsi="Arial" w:cs="Arial"/>
          <w:sz w:val="22"/>
          <w:lang w:eastAsia="es-MX"/>
        </w:rPr>
        <w:t>c</w:t>
      </w:r>
      <w:r w:rsidR="00DD197A">
        <w:rPr>
          <w:rFonts w:ascii="Arial" w:hAnsi="Arial" w:cs="Arial"/>
          <w:sz w:val="22"/>
          <w:lang w:eastAsia="es-MX"/>
        </w:rPr>
        <w:t>ontratación</w:t>
      </w:r>
      <w:r w:rsidR="00900440">
        <w:rPr>
          <w:rFonts w:ascii="Arial" w:hAnsi="Arial" w:cs="Arial"/>
          <w:sz w:val="22"/>
          <w:lang w:eastAsia="es-MX"/>
        </w:rPr>
        <w:t xml:space="preserve"> fomenten </w:t>
      </w:r>
      <w:r w:rsidR="00FA6DF5" w:rsidRPr="00FA6DF5">
        <w:rPr>
          <w:rFonts w:ascii="Arial" w:hAnsi="Arial" w:cs="Arial"/>
          <w:sz w:val="22"/>
          <w:lang w:eastAsia="es-MX"/>
        </w:rPr>
        <w:t>en los pliegos de condiciones</w:t>
      </w:r>
      <w:r w:rsidR="00457166">
        <w:rPr>
          <w:rFonts w:ascii="Arial" w:hAnsi="Arial" w:cs="Arial"/>
          <w:sz w:val="22"/>
          <w:lang w:eastAsia="es-MX"/>
        </w:rPr>
        <w:t>,</w:t>
      </w:r>
      <w:r w:rsidR="00FA6DF5" w:rsidRPr="00FA6DF5">
        <w:rPr>
          <w:rFonts w:ascii="Arial" w:hAnsi="Arial" w:cs="Arial"/>
          <w:sz w:val="22"/>
          <w:lang w:eastAsia="es-MX"/>
        </w:rPr>
        <w:t xml:space="preserve"> o documento equivalente</w:t>
      </w:r>
      <w:r w:rsidR="00457166">
        <w:rPr>
          <w:rFonts w:ascii="Arial" w:hAnsi="Arial" w:cs="Arial"/>
          <w:sz w:val="22"/>
          <w:lang w:eastAsia="es-MX"/>
        </w:rPr>
        <w:t>,</w:t>
      </w:r>
      <w:r w:rsidR="00FA6DF5" w:rsidRPr="00FA6DF5">
        <w:rPr>
          <w:rFonts w:ascii="Arial" w:hAnsi="Arial" w:cs="Arial"/>
          <w:sz w:val="22"/>
          <w:lang w:eastAsia="es-MX"/>
        </w:rPr>
        <w:t xml:space="preserv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w:t>
      </w:r>
      <w:r w:rsidR="008B23F7">
        <w:rPr>
          <w:rFonts w:ascii="Arial" w:hAnsi="Arial" w:cs="Arial"/>
          <w:sz w:val="22"/>
          <w:lang w:eastAsia="es-MX"/>
        </w:rPr>
        <w:t xml:space="preserve"> </w:t>
      </w:r>
      <w:r w:rsidR="00057226">
        <w:rPr>
          <w:rFonts w:ascii="Arial" w:hAnsi="Arial" w:cs="Arial"/>
          <w:sz w:val="22"/>
          <w:lang w:eastAsia="es-MX"/>
        </w:rPr>
        <w:t>Por tanto,</w:t>
      </w:r>
      <w:r w:rsidR="00066FF0">
        <w:rPr>
          <w:rFonts w:ascii="Arial" w:hAnsi="Arial" w:cs="Arial"/>
          <w:sz w:val="22"/>
          <w:lang w:eastAsia="es-MX"/>
        </w:rPr>
        <w:t xml:space="preserve"> esta disposición</w:t>
      </w:r>
      <w:r w:rsidR="00057226">
        <w:rPr>
          <w:rFonts w:ascii="Arial" w:hAnsi="Arial" w:cs="Arial"/>
          <w:sz w:val="22"/>
          <w:lang w:eastAsia="es-MX"/>
        </w:rPr>
        <w:t xml:space="preserve"> deberá aplicarse</w:t>
      </w:r>
      <w:r w:rsidR="002B32FF">
        <w:rPr>
          <w:rFonts w:ascii="Arial" w:hAnsi="Arial" w:cs="Arial"/>
          <w:sz w:val="22"/>
          <w:lang w:eastAsia="es-MX"/>
        </w:rPr>
        <w:t xml:space="preserve"> -</w:t>
      </w:r>
      <w:r w:rsidR="008361C0">
        <w:rPr>
          <w:rFonts w:ascii="Arial" w:hAnsi="Arial" w:cs="Arial"/>
          <w:sz w:val="22"/>
          <w:lang w:eastAsia="es-MX"/>
        </w:rPr>
        <w:t xml:space="preserve">en los términos del </w:t>
      </w:r>
      <w:r w:rsidR="008361C0">
        <w:rPr>
          <w:rFonts w:ascii="Arial" w:hAnsi="Arial" w:cs="Arial"/>
          <w:sz w:val="22"/>
          <w:lang w:eastAsia="es-MX"/>
        </w:rPr>
        <w:lastRenderedPageBreak/>
        <w:t>reglamento</w:t>
      </w:r>
      <w:r w:rsidR="002B32FF">
        <w:rPr>
          <w:rFonts w:ascii="Arial" w:hAnsi="Arial" w:cs="Arial"/>
          <w:sz w:val="22"/>
          <w:lang w:eastAsia="es-MX"/>
        </w:rPr>
        <w:t>-</w:t>
      </w:r>
      <w:r w:rsidR="00057226">
        <w:rPr>
          <w:rFonts w:ascii="Arial" w:hAnsi="Arial" w:cs="Arial"/>
          <w:sz w:val="22"/>
          <w:lang w:eastAsia="es-MX"/>
        </w:rPr>
        <w:t xml:space="preserve"> no solo p</w:t>
      </w:r>
      <w:r w:rsidR="00066FF0">
        <w:rPr>
          <w:rFonts w:ascii="Arial" w:hAnsi="Arial" w:cs="Arial"/>
          <w:sz w:val="22"/>
          <w:lang w:eastAsia="es-MX"/>
        </w:rPr>
        <w:t>or</w:t>
      </w:r>
      <w:r w:rsidR="00057226">
        <w:rPr>
          <w:rFonts w:ascii="Arial" w:hAnsi="Arial" w:cs="Arial"/>
          <w:sz w:val="22"/>
          <w:lang w:eastAsia="es-MX"/>
        </w:rPr>
        <w:t xml:space="preserve"> las entidades sometidas al EGCAP sino también p</w:t>
      </w:r>
      <w:r w:rsidR="00805185">
        <w:rPr>
          <w:rFonts w:ascii="Arial" w:hAnsi="Arial" w:cs="Arial"/>
          <w:sz w:val="22"/>
          <w:lang w:eastAsia="es-MX"/>
        </w:rPr>
        <w:t xml:space="preserve">or </w:t>
      </w:r>
      <w:r w:rsidR="00057226">
        <w:rPr>
          <w:rFonts w:ascii="Arial" w:hAnsi="Arial" w:cs="Arial"/>
          <w:sz w:val="22"/>
          <w:lang w:eastAsia="es-MX"/>
        </w:rPr>
        <w:t xml:space="preserve">aquellas entidades que cuenten con un régimen exceptuado de contratación, así como por </w:t>
      </w:r>
      <w:r w:rsidR="00057226" w:rsidRPr="00057226">
        <w:rPr>
          <w:rFonts w:ascii="Arial" w:hAnsi="Arial" w:cs="Arial"/>
          <w:sz w:val="22"/>
          <w:lang w:eastAsia="es-MX"/>
        </w:rPr>
        <w:t>los patrimonios autónomos constituidos por entidades estatales y los particulares que ejecuten recursos públicos</w:t>
      </w:r>
      <w:r w:rsidR="007E7368">
        <w:rPr>
          <w:rFonts w:ascii="Arial" w:hAnsi="Arial" w:cs="Arial"/>
          <w:sz w:val="22"/>
          <w:lang w:eastAsia="es-MX"/>
        </w:rPr>
        <w:t xml:space="preserve">, en </w:t>
      </w:r>
      <w:r w:rsidR="00F842E1">
        <w:rPr>
          <w:rFonts w:ascii="Arial" w:hAnsi="Arial" w:cs="Arial"/>
          <w:sz w:val="22"/>
          <w:lang w:eastAsia="es-MX"/>
        </w:rPr>
        <w:t>todos los</w:t>
      </w:r>
      <w:r w:rsidR="007E7368">
        <w:rPr>
          <w:rFonts w:ascii="Arial" w:hAnsi="Arial" w:cs="Arial"/>
          <w:sz w:val="22"/>
          <w:lang w:eastAsia="es-MX"/>
        </w:rPr>
        <w:t xml:space="preserve"> </w:t>
      </w:r>
      <w:r w:rsidR="00B946F3">
        <w:rPr>
          <w:rFonts w:ascii="Arial" w:hAnsi="Arial" w:cs="Arial"/>
          <w:sz w:val="22"/>
          <w:lang w:eastAsia="es-MX"/>
        </w:rPr>
        <w:t>p</w:t>
      </w:r>
      <w:r w:rsidR="006C5530">
        <w:rPr>
          <w:rFonts w:ascii="Arial" w:hAnsi="Arial" w:cs="Arial"/>
          <w:sz w:val="22"/>
          <w:lang w:eastAsia="es-MX"/>
        </w:rPr>
        <w:t>rocesos</w:t>
      </w:r>
      <w:r w:rsidR="007E7368">
        <w:rPr>
          <w:rFonts w:ascii="Arial" w:hAnsi="Arial" w:cs="Arial"/>
          <w:sz w:val="22"/>
          <w:lang w:eastAsia="es-MX"/>
        </w:rPr>
        <w:t xml:space="preserve"> de </w:t>
      </w:r>
      <w:r w:rsidR="00B946F3">
        <w:rPr>
          <w:rFonts w:ascii="Arial" w:hAnsi="Arial" w:cs="Arial"/>
          <w:sz w:val="22"/>
          <w:lang w:eastAsia="es-MX"/>
        </w:rPr>
        <w:t>c</w:t>
      </w:r>
      <w:r w:rsidR="007E7368">
        <w:rPr>
          <w:rFonts w:ascii="Arial" w:hAnsi="Arial" w:cs="Arial"/>
          <w:sz w:val="22"/>
          <w:lang w:eastAsia="es-MX"/>
        </w:rPr>
        <w:t xml:space="preserve">ontratación </w:t>
      </w:r>
      <w:r w:rsidR="006C5530">
        <w:rPr>
          <w:rFonts w:ascii="Arial" w:hAnsi="Arial" w:cs="Arial"/>
          <w:sz w:val="22"/>
          <w:lang w:eastAsia="es-MX"/>
        </w:rPr>
        <w:t>que adelanten</w:t>
      </w:r>
      <w:r w:rsidR="000F1B9B">
        <w:rPr>
          <w:rFonts w:ascii="Arial" w:hAnsi="Arial" w:cs="Arial"/>
          <w:sz w:val="22"/>
          <w:lang w:eastAsia="es-MX"/>
        </w:rPr>
        <w:t>.</w:t>
      </w:r>
    </w:p>
    <w:p w14:paraId="5A8DA18E" w14:textId="5126A7FB" w:rsidR="00920846" w:rsidRDefault="009A0D3F" w:rsidP="00DD1249">
      <w:pPr>
        <w:spacing w:before="120" w:line="276" w:lineRule="auto"/>
        <w:ind w:firstLine="709"/>
        <w:jc w:val="both"/>
        <w:rPr>
          <w:rFonts w:ascii="Arial" w:hAnsi="Arial" w:cs="Arial"/>
          <w:sz w:val="22"/>
          <w:lang w:eastAsia="es-MX"/>
        </w:rPr>
      </w:pPr>
      <w:r>
        <w:rPr>
          <w:rFonts w:ascii="Arial" w:hAnsi="Arial" w:cs="Arial"/>
          <w:sz w:val="22"/>
          <w:lang w:eastAsia="es-MX"/>
        </w:rPr>
        <w:t>En segundo lugar</w:t>
      </w:r>
      <w:r>
        <w:rPr>
          <w:rFonts w:ascii="Arial" w:hAnsi="Arial" w:cs="Arial"/>
          <w:sz w:val="22"/>
          <w:szCs w:val="22"/>
        </w:rPr>
        <w:t xml:space="preserve">, la norma </w:t>
      </w:r>
      <w:r w:rsidRPr="009A0D3F">
        <w:rPr>
          <w:rFonts w:ascii="Arial" w:hAnsi="Arial" w:cs="Arial"/>
          <w:sz w:val="22"/>
          <w:lang w:eastAsia="es-MX"/>
        </w:rPr>
        <w:t xml:space="preserve">dispone que en los pliegos de condiciones o documento equivalente deben implementarse mecanismos para que durante la ejecución del contrato estatal participen los </w:t>
      </w:r>
      <w:r w:rsidRPr="009A0D3F">
        <w:rPr>
          <w:rFonts w:ascii="Arial" w:hAnsi="Arial" w:cs="Arial"/>
          <w:i/>
          <w:iCs/>
          <w:sz w:val="22"/>
          <w:lang w:eastAsia="es-MX"/>
        </w:rPr>
        <w:t>sujetos de especial protección constitucional</w:t>
      </w:r>
      <w:r w:rsidRPr="009A0D3F">
        <w:rPr>
          <w:rFonts w:ascii="Arial" w:hAnsi="Arial" w:cs="Arial"/>
          <w:sz w:val="22"/>
          <w:lang w:eastAsia="es-MX"/>
        </w:rPr>
        <w:t xml:space="preserve"> en la provisión de los bienes o servicios.</w:t>
      </w:r>
      <w:r w:rsidR="00B614E0">
        <w:rPr>
          <w:rFonts w:ascii="Arial" w:hAnsi="Arial" w:cs="Arial"/>
          <w:sz w:val="22"/>
          <w:lang w:eastAsia="es-MX"/>
        </w:rPr>
        <w:t xml:space="preserve"> Al respecto</w:t>
      </w:r>
      <w:r w:rsidR="00DD1249">
        <w:rPr>
          <w:rFonts w:ascii="Arial" w:hAnsi="Arial" w:cs="Arial"/>
          <w:sz w:val="22"/>
          <w:lang w:eastAsia="es-MX"/>
        </w:rPr>
        <w:t>,</w:t>
      </w:r>
      <w:r w:rsidR="00E14622">
        <w:rPr>
          <w:rFonts w:ascii="Arial" w:hAnsi="Arial" w:cs="Arial"/>
          <w:sz w:val="22"/>
          <w:lang w:eastAsia="es-MX"/>
        </w:rPr>
        <w:t xml:space="preserve"> en</w:t>
      </w:r>
      <w:r w:rsidR="00DD1249">
        <w:rPr>
          <w:rFonts w:ascii="Arial" w:hAnsi="Arial" w:cs="Arial"/>
          <w:sz w:val="22"/>
          <w:lang w:eastAsia="es-MX"/>
        </w:rPr>
        <w:t xml:space="preserve"> la memoria justificativ</w:t>
      </w:r>
      <w:r w:rsidR="00E14622">
        <w:rPr>
          <w:rFonts w:ascii="Arial" w:hAnsi="Arial" w:cs="Arial"/>
          <w:sz w:val="22"/>
          <w:lang w:eastAsia="es-MX"/>
        </w:rPr>
        <w:t>a</w:t>
      </w:r>
      <w:r w:rsidR="0096650B" w:rsidRPr="0096650B">
        <w:rPr>
          <w:rFonts w:ascii="Arial" w:hAnsi="Arial" w:cs="Arial"/>
          <w:sz w:val="22"/>
          <w:lang w:eastAsia="es-MX"/>
        </w:rPr>
        <w:t xml:space="preserve"> </w:t>
      </w:r>
      <w:r w:rsidR="0096650B">
        <w:rPr>
          <w:rFonts w:ascii="Arial" w:hAnsi="Arial" w:cs="Arial"/>
          <w:sz w:val="22"/>
          <w:lang w:eastAsia="es-MX"/>
        </w:rPr>
        <w:t xml:space="preserve">del proyecto que se convirtió en el Decreto 1860 de 2021 </w:t>
      </w:r>
      <w:r w:rsidR="00E14622">
        <w:rPr>
          <w:rFonts w:ascii="Arial" w:hAnsi="Arial" w:cs="Arial"/>
          <w:sz w:val="22"/>
          <w:lang w:eastAsia="es-MX"/>
        </w:rPr>
        <w:t xml:space="preserve">se </w:t>
      </w:r>
      <w:r w:rsidR="00DD1249">
        <w:rPr>
          <w:rFonts w:ascii="Arial" w:hAnsi="Arial" w:cs="Arial"/>
          <w:sz w:val="22"/>
          <w:lang w:eastAsia="es-MX"/>
        </w:rPr>
        <w:t>indicó que</w:t>
      </w:r>
      <w:r w:rsidR="00E14622">
        <w:rPr>
          <w:rFonts w:ascii="Arial" w:hAnsi="Arial" w:cs="Arial"/>
          <w:sz w:val="22"/>
          <w:lang w:eastAsia="es-MX"/>
        </w:rPr>
        <w:t xml:space="preserve"> </w:t>
      </w:r>
      <w:r w:rsidR="00B614E0">
        <w:rPr>
          <w:rFonts w:ascii="Arial" w:hAnsi="Arial" w:cs="Arial"/>
          <w:sz w:val="22"/>
          <w:lang w:eastAsia="es-MX"/>
        </w:rPr>
        <w:t xml:space="preserve">se debe establecer un </w:t>
      </w:r>
      <w:r w:rsidR="00E14622">
        <w:rPr>
          <w:rFonts w:ascii="Arial" w:hAnsi="Arial" w:cs="Arial"/>
          <w:sz w:val="22"/>
          <w:lang w:eastAsia="es-MX"/>
        </w:rPr>
        <w:t xml:space="preserve">parámetro </w:t>
      </w:r>
      <w:r w:rsidR="00C16B1A">
        <w:rPr>
          <w:rFonts w:ascii="Arial" w:hAnsi="Arial" w:cs="Arial"/>
          <w:sz w:val="22"/>
          <w:lang w:eastAsia="es-MX"/>
        </w:rPr>
        <w:t>que</w:t>
      </w:r>
      <w:r w:rsidR="00DD1249">
        <w:rPr>
          <w:rFonts w:ascii="Arial" w:hAnsi="Arial" w:cs="Arial"/>
          <w:sz w:val="22"/>
          <w:lang w:eastAsia="es-MX"/>
        </w:rPr>
        <w:t xml:space="preserve"> </w:t>
      </w:r>
      <w:r w:rsidR="00DD1249" w:rsidRPr="00EE341D">
        <w:rPr>
          <w:rFonts w:ascii="Arial" w:eastAsia="Arial" w:hAnsi="Arial" w:cs="Arial"/>
          <w:color w:val="000000"/>
          <w:sz w:val="22"/>
          <w:szCs w:val="22"/>
        </w:rPr>
        <w:t>«</w:t>
      </w:r>
      <w:r w:rsidR="00DD1249" w:rsidRPr="00CE7D1F">
        <w:rPr>
          <w:rFonts w:ascii="Arial" w:hAnsi="Arial" w:cs="Arial"/>
          <w:sz w:val="22"/>
          <w:lang w:eastAsia="es-MX"/>
        </w:rPr>
        <w:t>debe asegurar de alguna manera que el mecanismo implementado no atente contra el cabal cumplimiento del contrato, de tal manera que el acatamiento del reglamento no devenga en el incumplimiento del contrato, ni la desmejora de la calidad requerida</w:t>
      </w:r>
      <w:r w:rsidR="00DD1249" w:rsidRPr="00EE341D">
        <w:rPr>
          <w:rFonts w:ascii="Arial" w:eastAsia="Arial" w:hAnsi="Arial" w:cs="Arial"/>
          <w:color w:val="000000"/>
          <w:sz w:val="22"/>
          <w:szCs w:val="22"/>
        </w:rPr>
        <w:t>»</w:t>
      </w:r>
      <w:r w:rsidR="0096650B">
        <w:rPr>
          <w:rStyle w:val="Refdenotaalpie"/>
          <w:rFonts w:ascii="Arial" w:eastAsia="Arial" w:hAnsi="Arial" w:cs="Arial"/>
          <w:color w:val="000000"/>
          <w:sz w:val="22"/>
          <w:szCs w:val="22"/>
        </w:rPr>
        <w:footnoteReference w:id="10"/>
      </w:r>
      <w:r w:rsidR="00DD1249" w:rsidRPr="00CE7D1F">
        <w:rPr>
          <w:rFonts w:ascii="Arial" w:hAnsi="Arial" w:cs="Arial"/>
          <w:sz w:val="22"/>
          <w:lang w:eastAsia="es-MX"/>
        </w:rPr>
        <w:t>.</w:t>
      </w:r>
      <w:r w:rsidR="00DD1249">
        <w:rPr>
          <w:rFonts w:ascii="Arial" w:hAnsi="Arial" w:cs="Arial"/>
          <w:sz w:val="22"/>
          <w:lang w:eastAsia="es-MX"/>
        </w:rPr>
        <w:t xml:space="preserve"> </w:t>
      </w:r>
      <w:r w:rsidRPr="00FA6DF5">
        <w:rPr>
          <w:rFonts w:ascii="Arial" w:hAnsi="Arial" w:cs="Arial"/>
          <w:sz w:val="22"/>
          <w:lang w:eastAsia="es-MX"/>
        </w:rPr>
        <w:t xml:space="preserve">Para tales efectos, la norma </w:t>
      </w:r>
      <w:r>
        <w:rPr>
          <w:rFonts w:ascii="Arial" w:hAnsi="Arial" w:cs="Arial"/>
          <w:sz w:val="22"/>
          <w:lang w:eastAsia="es-MX"/>
        </w:rPr>
        <w:t xml:space="preserve">establece unos límites dentro del cual </w:t>
      </w:r>
      <w:r w:rsidRPr="00F47CF7">
        <w:rPr>
          <w:rFonts w:ascii="Arial" w:hAnsi="Arial" w:cs="Arial"/>
          <w:sz w:val="22"/>
          <w:lang w:eastAsia="es-MX"/>
        </w:rPr>
        <w:t xml:space="preserve">la entidad estatal </w:t>
      </w:r>
      <w:r>
        <w:rPr>
          <w:rFonts w:ascii="Arial" w:hAnsi="Arial" w:cs="Arial"/>
          <w:sz w:val="22"/>
          <w:lang w:eastAsia="es-MX"/>
        </w:rPr>
        <w:t xml:space="preserve">fijará </w:t>
      </w:r>
      <w:r w:rsidRPr="00F47CF7">
        <w:rPr>
          <w:rFonts w:ascii="Arial" w:hAnsi="Arial" w:cs="Arial"/>
          <w:sz w:val="22"/>
          <w:lang w:eastAsia="es-MX"/>
        </w:rPr>
        <w:t xml:space="preserve">en el pliego de condiciones o documento equivalente un porcentaje </w:t>
      </w:r>
      <w:r w:rsidR="009352E0">
        <w:rPr>
          <w:rFonts w:ascii="Arial" w:hAnsi="Arial" w:cs="Arial"/>
          <w:sz w:val="22"/>
          <w:lang w:eastAsia="es-MX"/>
        </w:rPr>
        <w:t xml:space="preserve">mínimo </w:t>
      </w:r>
      <w:r w:rsidRPr="00F47CF7">
        <w:rPr>
          <w:rFonts w:ascii="Arial" w:hAnsi="Arial" w:cs="Arial"/>
          <w:sz w:val="22"/>
          <w:lang w:eastAsia="es-MX"/>
        </w:rPr>
        <w:t>que debe cumplir el contratista para garantizar la provisión de bienes y servicios por parte de</w:t>
      </w:r>
      <w:r>
        <w:rPr>
          <w:rFonts w:ascii="Arial" w:hAnsi="Arial" w:cs="Arial"/>
          <w:sz w:val="22"/>
          <w:lang w:eastAsia="es-MX"/>
        </w:rPr>
        <w:t xml:space="preserve"> los sujetos mencionados. </w:t>
      </w:r>
      <w:r w:rsidR="00E14622">
        <w:rPr>
          <w:rFonts w:ascii="Arial" w:hAnsi="Arial" w:cs="Arial"/>
          <w:sz w:val="22"/>
          <w:szCs w:val="22"/>
        </w:rPr>
        <w:t>De esta manera, la norma regula un parámetro cuantitativo</w:t>
      </w:r>
      <w:r w:rsidR="00457166">
        <w:rPr>
          <w:rFonts w:ascii="Arial" w:hAnsi="Arial" w:cs="Arial"/>
          <w:sz w:val="22"/>
          <w:szCs w:val="22"/>
        </w:rPr>
        <w:t xml:space="preserve"> para su inclusión en el pliego de condiciones o documento equivalente,</w:t>
      </w:r>
      <w:r w:rsidR="00E14622">
        <w:rPr>
          <w:rFonts w:ascii="Arial" w:hAnsi="Arial" w:cs="Arial"/>
          <w:sz w:val="22"/>
          <w:szCs w:val="22"/>
        </w:rPr>
        <w:t xml:space="preserve"> en la medida que dicha</w:t>
      </w:r>
      <w:r w:rsidR="00E14622" w:rsidRPr="00AD1873">
        <w:rPr>
          <w:rFonts w:ascii="Arial" w:hAnsi="Arial" w:cs="Arial"/>
          <w:sz w:val="22"/>
          <w:szCs w:val="22"/>
        </w:rPr>
        <w:t xml:space="preserve"> provisión</w:t>
      </w:r>
      <w:r w:rsidR="00E14622">
        <w:rPr>
          <w:rFonts w:ascii="Arial" w:hAnsi="Arial" w:cs="Arial"/>
          <w:sz w:val="22"/>
          <w:szCs w:val="22"/>
        </w:rPr>
        <w:t xml:space="preserve"> no será </w:t>
      </w:r>
      <w:r w:rsidR="00E14622" w:rsidRPr="00AD1873">
        <w:rPr>
          <w:rFonts w:ascii="Arial" w:hAnsi="Arial" w:cs="Arial"/>
          <w:sz w:val="22"/>
          <w:szCs w:val="22"/>
        </w:rPr>
        <w:t>superior al diez por ciento (10%) ni inferior al cinco por ciento (5%) de los bienes o servicios requeridos para la ejecución del contrato</w:t>
      </w:r>
      <w:r w:rsidR="00E14622">
        <w:rPr>
          <w:rFonts w:ascii="Arial" w:hAnsi="Arial" w:cs="Arial"/>
          <w:sz w:val="22"/>
          <w:szCs w:val="22"/>
        </w:rPr>
        <w:t xml:space="preserve">. </w:t>
      </w:r>
      <w:r>
        <w:rPr>
          <w:rFonts w:ascii="Arial" w:hAnsi="Arial" w:cs="Arial"/>
          <w:sz w:val="22"/>
          <w:lang w:eastAsia="es-MX"/>
        </w:rPr>
        <w:t>Es decir, que la entidad determinará el porcentaje respectivo siempre que no supere los límites establecidos</w:t>
      </w:r>
      <w:r w:rsidR="00457166">
        <w:rPr>
          <w:rFonts w:ascii="Arial" w:hAnsi="Arial" w:cs="Arial"/>
          <w:sz w:val="22"/>
          <w:lang w:eastAsia="es-MX"/>
        </w:rPr>
        <w:t>; sin perjuicio de que</w:t>
      </w:r>
      <w:r w:rsidR="009352E0">
        <w:rPr>
          <w:rFonts w:ascii="Arial" w:hAnsi="Arial" w:cs="Arial"/>
          <w:sz w:val="22"/>
          <w:lang w:eastAsia="es-MX"/>
        </w:rPr>
        <w:t>,</w:t>
      </w:r>
      <w:r w:rsidR="00457166">
        <w:rPr>
          <w:rFonts w:ascii="Arial" w:hAnsi="Arial" w:cs="Arial"/>
          <w:sz w:val="22"/>
          <w:lang w:eastAsia="es-MX"/>
        </w:rPr>
        <w:t xml:space="preserve"> en la ejecución del contrato, el contratista, cumpliendo con el mínimo, realice una provisión mayor a la exigida en el pliego de condiciones o documento equivalente.</w:t>
      </w:r>
      <w:r>
        <w:rPr>
          <w:rFonts w:ascii="Arial" w:hAnsi="Arial" w:cs="Arial"/>
          <w:sz w:val="22"/>
          <w:lang w:eastAsia="es-MX"/>
        </w:rPr>
        <w:t xml:space="preserve"> </w:t>
      </w:r>
      <w:r w:rsidRPr="00FA6DF5">
        <w:rPr>
          <w:rFonts w:ascii="Arial" w:hAnsi="Arial" w:cs="Arial"/>
          <w:sz w:val="22"/>
          <w:lang w:eastAsia="es-MX"/>
        </w:rPr>
        <w:t>Además, la entidad incorporará esta obligación en la minuta del contrato del pliego de condiciones o documento equivalente, precisando las sanciones pecuniarias producto del incumplimiento injustificado de esta a través de las causales de multa que estime pertinentes.</w:t>
      </w:r>
      <w:r>
        <w:rPr>
          <w:rFonts w:ascii="Arial" w:hAnsi="Arial" w:cs="Arial"/>
          <w:sz w:val="22"/>
          <w:lang w:eastAsia="es-MX"/>
        </w:rPr>
        <w:t xml:space="preserve"> </w:t>
      </w:r>
    </w:p>
    <w:p w14:paraId="498252C6" w14:textId="0F251FEE" w:rsidR="0096650B" w:rsidRDefault="0096650B" w:rsidP="0096650B">
      <w:pPr>
        <w:spacing w:before="120" w:line="276" w:lineRule="auto"/>
        <w:ind w:firstLine="709"/>
        <w:jc w:val="both"/>
        <w:rPr>
          <w:rFonts w:ascii="Arial" w:hAnsi="Arial" w:cs="Arial"/>
          <w:sz w:val="22"/>
          <w:lang w:eastAsia="es-MX"/>
        </w:rPr>
      </w:pPr>
      <w:r>
        <w:rPr>
          <w:rFonts w:ascii="Arial" w:hAnsi="Arial" w:cs="Arial"/>
          <w:sz w:val="22"/>
          <w:lang w:eastAsia="es-MX"/>
        </w:rPr>
        <w:t>Sobre la finalidad de esta norma, en la memoria justificativa se indica que</w:t>
      </w:r>
      <w:r w:rsidRPr="00066FF0">
        <w:t xml:space="preserve"> </w:t>
      </w:r>
      <w:r w:rsidRPr="00066FF0">
        <w:rPr>
          <w:rFonts w:ascii="Arial" w:hAnsi="Arial" w:cs="Arial"/>
          <w:sz w:val="22"/>
          <w:lang w:eastAsia="es-MX"/>
        </w:rPr>
        <w:t>con</w:t>
      </w:r>
      <w:r>
        <w:rPr>
          <w:rFonts w:ascii="Arial" w:hAnsi="Arial" w:cs="Arial"/>
          <w:sz w:val="22"/>
          <w:lang w:eastAsia="es-MX"/>
        </w:rPr>
        <w:t xml:space="preserve"> este mecanismo </w:t>
      </w:r>
      <w:r w:rsidRPr="00EE341D">
        <w:rPr>
          <w:rFonts w:ascii="Arial" w:eastAsia="Arial" w:hAnsi="Arial" w:cs="Arial"/>
          <w:color w:val="000000"/>
          <w:sz w:val="22"/>
          <w:szCs w:val="22"/>
        </w:rPr>
        <w:t>«</w:t>
      </w:r>
      <w:r w:rsidRPr="00066FF0">
        <w:rPr>
          <w:rFonts w:ascii="Arial" w:hAnsi="Arial" w:cs="Arial"/>
          <w:sz w:val="22"/>
          <w:lang w:eastAsia="es-MX"/>
        </w:rPr>
        <w:t>se incentiva la provisión de bienes y servicios por parte de sujetos de especial protección constitucional, utilizando los contratos estatales, y todos aquellos celebrados con cargo a recursos públicos, como un medio para llevar a cabo tal fin, lo cual se interpreta como una medida de acción afirmativa o un incentivo contractual</w:t>
      </w:r>
      <w:r w:rsidRPr="00EE341D">
        <w:rPr>
          <w:rFonts w:ascii="Arial" w:eastAsia="Arial" w:hAnsi="Arial" w:cs="Arial"/>
          <w:color w:val="000000"/>
          <w:sz w:val="22"/>
          <w:szCs w:val="22"/>
        </w:rPr>
        <w:t>»</w:t>
      </w:r>
      <w:r w:rsidRPr="00066FF0">
        <w:rPr>
          <w:rFonts w:ascii="Arial" w:hAnsi="Arial" w:cs="Arial"/>
          <w:sz w:val="22"/>
          <w:lang w:eastAsia="es-MX"/>
        </w:rPr>
        <w:t>.</w:t>
      </w:r>
      <w:r>
        <w:rPr>
          <w:rFonts w:ascii="Arial" w:hAnsi="Arial" w:cs="Arial"/>
          <w:sz w:val="22"/>
          <w:lang w:eastAsia="es-MX"/>
        </w:rPr>
        <w:t xml:space="preserve"> Así, </w:t>
      </w:r>
      <w:r>
        <w:rPr>
          <w:rFonts w:ascii="Arial" w:hAnsi="Arial" w:cs="Arial"/>
          <w:bCs/>
          <w:sz w:val="22"/>
          <w:lang w:val="es-ES_tradnl" w:eastAsia="es-MX"/>
        </w:rPr>
        <w:t>e</w:t>
      </w:r>
      <w:r w:rsidRPr="00836197">
        <w:rPr>
          <w:rFonts w:ascii="Arial" w:hAnsi="Arial" w:cs="Arial"/>
          <w:bCs/>
          <w:sz w:val="22"/>
          <w:lang w:val="es-ES_tradnl" w:eastAsia="es-MX"/>
        </w:rPr>
        <w:t>n armonía con el artículo 34 de la Ley 2069 de 2020, el espíritu de la norma es promover el desarrollo para las personas que necesiten estas acciones de fomento por parte del Estado</w:t>
      </w:r>
      <w:r w:rsidRPr="00836197">
        <w:rPr>
          <w:rFonts w:ascii="Arial" w:hAnsi="Arial" w:cs="Arial"/>
          <w:sz w:val="22"/>
          <w:lang w:eastAsia="es-MX"/>
        </w:rPr>
        <w:t xml:space="preserve">. </w:t>
      </w:r>
    </w:p>
    <w:p w14:paraId="35F9C188" w14:textId="78274D54" w:rsidR="0096650B" w:rsidRDefault="0096650B" w:rsidP="0096650B">
      <w:pPr>
        <w:spacing w:before="120" w:line="276" w:lineRule="auto"/>
        <w:ind w:firstLine="709"/>
        <w:jc w:val="both"/>
        <w:rPr>
          <w:rFonts w:ascii="Arial" w:hAnsi="Arial" w:cs="Arial"/>
          <w:sz w:val="22"/>
          <w:lang w:eastAsia="es-MX"/>
        </w:rPr>
      </w:pPr>
      <w:r w:rsidRPr="00836197">
        <w:rPr>
          <w:rFonts w:ascii="Arial" w:hAnsi="Arial" w:cs="Arial"/>
          <w:sz w:val="22"/>
          <w:lang w:eastAsia="es-MX"/>
        </w:rPr>
        <w:lastRenderedPageBreak/>
        <w:t xml:space="preserve">En este contexto, la palabra </w:t>
      </w:r>
      <w:r w:rsidRPr="00836197">
        <w:rPr>
          <w:rFonts w:ascii="Arial" w:hAnsi="Arial" w:cs="Arial"/>
          <w:bCs/>
          <w:sz w:val="22"/>
          <w:lang w:val="es-ES_tradnl" w:eastAsia="es-MX"/>
        </w:rPr>
        <w:t>«</w:t>
      </w:r>
      <w:r w:rsidRPr="00836197">
        <w:rPr>
          <w:rFonts w:ascii="Arial" w:hAnsi="Arial" w:cs="Arial"/>
          <w:sz w:val="22"/>
          <w:lang w:eastAsia="es-MX"/>
        </w:rPr>
        <w:t>Fomento</w:t>
      </w:r>
      <w:r w:rsidRPr="00836197">
        <w:rPr>
          <w:rFonts w:ascii="Arial" w:hAnsi="Arial" w:cs="Arial"/>
          <w:bCs/>
          <w:sz w:val="22"/>
          <w:lang w:val="es-ES_tradnl" w:eastAsia="es-MX"/>
        </w:rPr>
        <w:t>» incorporada en el artículo</w:t>
      </w:r>
      <w:r w:rsidRPr="00836197">
        <w:rPr>
          <w:rFonts w:ascii="Arial" w:hAnsi="Arial" w:cs="Arial"/>
          <w:sz w:val="22"/>
          <w:lang w:eastAsia="es-MX"/>
        </w:rPr>
        <w:t xml:space="preserve"> 2.2.1.2.4.2.16.</w:t>
      </w:r>
      <w:r>
        <w:rPr>
          <w:rFonts w:ascii="Arial" w:hAnsi="Arial" w:cs="Arial"/>
          <w:sz w:val="22"/>
          <w:lang w:eastAsia="es-MX"/>
        </w:rPr>
        <w:t xml:space="preserve"> del</w:t>
      </w:r>
      <w:r w:rsidRPr="00836197">
        <w:rPr>
          <w:rFonts w:ascii="Arial" w:hAnsi="Arial" w:cs="Arial"/>
          <w:sz w:val="22"/>
          <w:lang w:eastAsia="es-MX"/>
        </w:rPr>
        <w:t xml:space="preserve"> Decreto 1082 de 20</w:t>
      </w:r>
      <w:r>
        <w:rPr>
          <w:rFonts w:ascii="Arial" w:hAnsi="Arial" w:cs="Arial"/>
          <w:sz w:val="22"/>
          <w:lang w:eastAsia="es-MX"/>
        </w:rPr>
        <w:t>15</w:t>
      </w:r>
      <w:r w:rsidRPr="00836197">
        <w:rPr>
          <w:rFonts w:ascii="Arial" w:hAnsi="Arial" w:cs="Arial"/>
          <w:sz w:val="22"/>
          <w:lang w:eastAsia="es-MX"/>
        </w:rPr>
        <w:t xml:space="preserve"> debe entenderse según s</w:t>
      </w:r>
      <w:r>
        <w:rPr>
          <w:rFonts w:ascii="Arial" w:hAnsi="Arial" w:cs="Arial"/>
          <w:sz w:val="22"/>
          <w:lang w:eastAsia="es-MX"/>
        </w:rPr>
        <w:t xml:space="preserve">u </w:t>
      </w:r>
      <w:r w:rsidRPr="00836197">
        <w:rPr>
          <w:rFonts w:ascii="Arial" w:hAnsi="Arial" w:cs="Arial"/>
          <w:sz w:val="22"/>
          <w:lang w:eastAsia="es-MX"/>
        </w:rPr>
        <w:t xml:space="preserve">significado literal es decir, </w:t>
      </w:r>
      <w:r w:rsidRPr="00836197">
        <w:rPr>
          <w:rFonts w:ascii="Arial" w:hAnsi="Arial" w:cs="Arial"/>
          <w:bCs/>
          <w:sz w:val="22"/>
          <w:lang w:val="es-ES_tradnl" w:eastAsia="es-MX"/>
        </w:rPr>
        <w:t>«</w:t>
      </w:r>
      <w:r w:rsidRPr="00836197">
        <w:rPr>
          <w:rFonts w:ascii="Arial" w:hAnsi="Arial" w:cs="Arial"/>
          <w:sz w:val="22"/>
          <w:lang w:eastAsia="es-MX"/>
        </w:rPr>
        <w:t>promover</w:t>
      </w:r>
      <w:r>
        <w:rPr>
          <w:rFonts w:ascii="Arial" w:hAnsi="Arial" w:cs="Arial"/>
          <w:sz w:val="22"/>
          <w:lang w:eastAsia="es-MX"/>
        </w:rPr>
        <w:t xml:space="preserve">, </w:t>
      </w:r>
      <w:r w:rsidRPr="00836197">
        <w:rPr>
          <w:rFonts w:ascii="Arial" w:hAnsi="Arial" w:cs="Arial"/>
          <w:sz w:val="22"/>
          <w:lang w:eastAsia="es-MX"/>
        </w:rPr>
        <w:t>impulsar</w:t>
      </w:r>
      <w:r>
        <w:rPr>
          <w:rFonts w:ascii="Arial" w:hAnsi="Arial" w:cs="Arial"/>
          <w:sz w:val="22"/>
          <w:lang w:eastAsia="es-MX"/>
        </w:rPr>
        <w:t xml:space="preserve"> o proteger algo</w:t>
      </w:r>
      <w:r w:rsidRPr="00836197">
        <w:rPr>
          <w:rFonts w:ascii="Arial" w:hAnsi="Arial" w:cs="Arial"/>
          <w:bCs/>
          <w:sz w:val="22"/>
          <w:lang w:val="es-ES_tradnl" w:eastAsia="es-MX"/>
        </w:rPr>
        <w:t>»</w:t>
      </w:r>
      <w:r>
        <w:rPr>
          <w:rStyle w:val="Refdenotaalpie"/>
          <w:rFonts w:ascii="Arial" w:hAnsi="Arial" w:cs="Arial"/>
          <w:bCs/>
          <w:sz w:val="22"/>
          <w:lang w:val="es-ES_tradnl" w:eastAsia="es-MX"/>
        </w:rPr>
        <w:footnoteReference w:id="11"/>
      </w:r>
      <w:r>
        <w:rPr>
          <w:rFonts w:ascii="Arial" w:hAnsi="Arial" w:cs="Arial"/>
          <w:sz w:val="22"/>
          <w:lang w:eastAsia="es-MX"/>
        </w:rPr>
        <w:t xml:space="preserve">, de tal manera que las entidades a las que </w:t>
      </w:r>
      <w:r w:rsidR="00126291">
        <w:rPr>
          <w:rFonts w:ascii="Arial" w:hAnsi="Arial" w:cs="Arial"/>
          <w:sz w:val="22"/>
          <w:lang w:eastAsia="es-MX"/>
        </w:rPr>
        <w:t>está</w:t>
      </w:r>
      <w:r>
        <w:rPr>
          <w:rFonts w:ascii="Arial" w:hAnsi="Arial" w:cs="Arial"/>
          <w:sz w:val="22"/>
          <w:lang w:eastAsia="es-MX"/>
        </w:rPr>
        <w:t xml:space="preserve"> dirigida </w:t>
      </w:r>
      <w:r w:rsidR="00126291">
        <w:rPr>
          <w:rFonts w:ascii="Arial" w:hAnsi="Arial" w:cs="Arial"/>
          <w:sz w:val="22"/>
          <w:lang w:eastAsia="es-MX"/>
        </w:rPr>
        <w:t xml:space="preserve">la norma </w:t>
      </w:r>
      <w:r>
        <w:rPr>
          <w:rFonts w:ascii="Arial" w:hAnsi="Arial" w:cs="Arial"/>
          <w:sz w:val="22"/>
          <w:lang w:eastAsia="es-MX"/>
        </w:rPr>
        <w:t xml:space="preserve">implementen en el pliego de condiciones o documento equivalente mecanismos que promuevan en la ejecución de los contratos estatales la provisión de bienes y servicios por parte de los sujetos mencionados, en las condiciones que señale el reglamento. </w:t>
      </w:r>
      <w:r w:rsidRPr="00836197">
        <w:rPr>
          <w:rFonts w:ascii="Arial" w:hAnsi="Arial" w:cs="Arial"/>
          <w:sz w:val="22"/>
          <w:lang w:eastAsia="es-MX"/>
        </w:rPr>
        <w:t>Lo anterior</w:t>
      </w:r>
      <w:r>
        <w:rPr>
          <w:rFonts w:ascii="Arial" w:hAnsi="Arial" w:cs="Arial"/>
          <w:sz w:val="22"/>
          <w:lang w:eastAsia="es-MX"/>
        </w:rPr>
        <w:t>,</w:t>
      </w:r>
      <w:r w:rsidRPr="00836197">
        <w:rPr>
          <w:rFonts w:ascii="Arial" w:hAnsi="Arial" w:cs="Arial"/>
          <w:sz w:val="22"/>
          <w:lang w:eastAsia="es-MX"/>
        </w:rPr>
        <w:t xml:space="preserve"> en concordancia con el propósito de la ley 2069 de 2020 de </w:t>
      </w:r>
      <w:r w:rsidRPr="00836197">
        <w:rPr>
          <w:rFonts w:ascii="Arial" w:hAnsi="Arial" w:cs="Arial"/>
          <w:bCs/>
          <w:sz w:val="22"/>
          <w:lang w:val="es-ES_tradnl" w:eastAsia="es-MX"/>
        </w:rPr>
        <w:t>generar la reactivación de la economía</w:t>
      </w:r>
      <w:r>
        <w:rPr>
          <w:rFonts w:ascii="Arial" w:hAnsi="Arial" w:cs="Arial"/>
          <w:bCs/>
          <w:sz w:val="22"/>
          <w:lang w:val="es-ES_tradnl" w:eastAsia="es-MX"/>
        </w:rPr>
        <w:t>, impulsar</w:t>
      </w:r>
      <w:r w:rsidRPr="00836197">
        <w:rPr>
          <w:rFonts w:ascii="Arial" w:hAnsi="Arial" w:cs="Arial"/>
          <w:bCs/>
          <w:sz w:val="22"/>
          <w:lang w:val="es-ES_tradnl" w:eastAsia="es-MX"/>
        </w:rPr>
        <w:t xml:space="preserve"> la actividad emprendedora y así propiciar un entorno para ayudar al crecimiento, consolidación y sostenibilidad de esas iniciativas, generando mayor desarrollo social, creación de las empresas y mejoras tanto en la productividad como en la competitividad</w:t>
      </w:r>
      <w:r>
        <w:rPr>
          <w:rFonts w:ascii="Arial" w:hAnsi="Arial" w:cs="Arial"/>
          <w:bCs/>
          <w:sz w:val="22"/>
          <w:lang w:val="es-ES_tradnl" w:eastAsia="es-MX"/>
        </w:rPr>
        <w:t>.</w:t>
      </w:r>
    </w:p>
    <w:p w14:paraId="0E028C46" w14:textId="6F803119" w:rsidR="00836197" w:rsidRDefault="00836197" w:rsidP="00836197">
      <w:pPr>
        <w:spacing w:before="120" w:line="276" w:lineRule="auto"/>
        <w:ind w:firstLine="709"/>
        <w:jc w:val="both"/>
        <w:rPr>
          <w:rFonts w:ascii="Arial" w:hAnsi="Arial" w:cs="Arial"/>
          <w:sz w:val="22"/>
          <w:szCs w:val="22"/>
        </w:rPr>
      </w:pPr>
      <w:r>
        <w:rPr>
          <w:rFonts w:ascii="Arial" w:hAnsi="Arial" w:cs="Arial"/>
          <w:sz w:val="22"/>
          <w:szCs w:val="22"/>
        </w:rPr>
        <w:t>No obst</w:t>
      </w:r>
      <w:r w:rsidR="00B946F3">
        <w:rPr>
          <w:rFonts w:ascii="Arial" w:hAnsi="Arial" w:cs="Arial"/>
          <w:sz w:val="22"/>
          <w:szCs w:val="22"/>
        </w:rPr>
        <w:t>ante</w:t>
      </w:r>
      <w:r>
        <w:rPr>
          <w:rFonts w:ascii="Arial" w:hAnsi="Arial" w:cs="Arial"/>
          <w:sz w:val="22"/>
          <w:szCs w:val="22"/>
        </w:rPr>
        <w:t>,</w:t>
      </w:r>
      <w:r w:rsidR="00B946F3">
        <w:rPr>
          <w:rFonts w:ascii="Arial" w:hAnsi="Arial" w:cs="Arial"/>
          <w:sz w:val="22"/>
          <w:szCs w:val="22"/>
        </w:rPr>
        <w:t xml:space="preserve"> </w:t>
      </w:r>
      <w:r>
        <w:rPr>
          <w:rFonts w:ascii="Arial" w:hAnsi="Arial" w:cs="Arial"/>
          <w:sz w:val="22"/>
          <w:szCs w:val="22"/>
        </w:rPr>
        <w:t>la aplicación d</w:t>
      </w:r>
      <w:r w:rsidRPr="0008479C">
        <w:rPr>
          <w:rFonts w:ascii="Arial" w:hAnsi="Arial" w:cs="Arial"/>
          <w:sz w:val="22"/>
          <w:szCs w:val="22"/>
        </w:rPr>
        <w:t>el artículo 2.2.1.2.4.2.16 del Decreto 1082 de 2015</w:t>
      </w:r>
      <w:r>
        <w:rPr>
          <w:rFonts w:ascii="Arial" w:hAnsi="Arial" w:cs="Arial"/>
          <w:sz w:val="22"/>
          <w:szCs w:val="22"/>
        </w:rPr>
        <w:t xml:space="preserve">, que se traduce en la inclusión de obligaciones a cargo del contratista cuyo incumplimiento podría acarrearle sanciones pecuniarias, no es automática en todos los procesos de </w:t>
      </w:r>
      <w:r w:rsidR="00B946F3">
        <w:rPr>
          <w:rFonts w:ascii="Arial" w:hAnsi="Arial" w:cs="Arial"/>
          <w:sz w:val="22"/>
          <w:szCs w:val="22"/>
        </w:rPr>
        <w:t>contratación</w:t>
      </w:r>
      <w:r>
        <w:rPr>
          <w:rFonts w:ascii="Arial" w:hAnsi="Arial" w:cs="Arial"/>
          <w:sz w:val="22"/>
          <w:szCs w:val="22"/>
        </w:rPr>
        <w:t xml:space="preserve"> iniciados a partir de la vigencia del Decreto 1860 de 2021. Esto ya que el incentivo, además de garantizar las condiciones de calidad y el cumplimiento adecuado del objeto contractual</w:t>
      </w:r>
      <w:r w:rsidR="005242EC">
        <w:rPr>
          <w:rFonts w:ascii="Arial" w:hAnsi="Arial" w:cs="Arial"/>
          <w:sz w:val="22"/>
          <w:szCs w:val="22"/>
        </w:rPr>
        <w:t>,</w:t>
      </w:r>
      <w:r>
        <w:rPr>
          <w:rFonts w:ascii="Arial" w:hAnsi="Arial" w:cs="Arial"/>
          <w:sz w:val="22"/>
          <w:szCs w:val="22"/>
        </w:rPr>
        <w:t xml:space="preserve"> sin perjuicio de los acuerdos comerciales suscritos por el Estado colombiano, también está supeditado al análisis previo de </w:t>
      </w:r>
      <w:r w:rsidR="005242EC">
        <w:rPr>
          <w:rFonts w:ascii="Arial" w:hAnsi="Arial" w:cs="Arial"/>
          <w:sz w:val="22"/>
          <w:szCs w:val="22"/>
        </w:rPr>
        <w:t>«</w:t>
      </w:r>
      <w:r>
        <w:rPr>
          <w:rFonts w:ascii="Arial" w:hAnsi="Arial" w:cs="Arial"/>
          <w:sz w:val="22"/>
          <w:szCs w:val="22"/>
        </w:rPr>
        <w:t>oportunidad y conveniencia</w:t>
      </w:r>
      <w:r w:rsidR="005242EC">
        <w:rPr>
          <w:rFonts w:ascii="Arial" w:hAnsi="Arial" w:cs="Arial"/>
          <w:sz w:val="22"/>
          <w:szCs w:val="22"/>
        </w:rPr>
        <w:t>»</w:t>
      </w:r>
      <w:r>
        <w:rPr>
          <w:rFonts w:ascii="Arial" w:hAnsi="Arial" w:cs="Arial"/>
          <w:sz w:val="22"/>
          <w:szCs w:val="22"/>
        </w:rPr>
        <w:t xml:space="preserve"> en los </w:t>
      </w:r>
      <w:r w:rsidR="00F761E1">
        <w:rPr>
          <w:rFonts w:ascii="Arial" w:hAnsi="Arial" w:cs="Arial"/>
          <w:sz w:val="22"/>
          <w:szCs w:val="22"/>
        </w:rPr>
        <w:t>d</w:t>
      </w:r>
      <w:r>
        <w:rPr>
          <w:rFonts w:ascii="Arial" w:hAnsi="Arial" w:cs="Arial"/>
          <w:sz w:val="22"/>
          <w:szCs w:val="22"/>
        </w:rPr>
        <w:t xml:space="preserve">ocumentos del </w:t>
      </w:r>
      <w:r w:rsidR="00F761E1">
        <w:rPr>
          <w:rFonts w:ascii="Arial" w:hAnsi="Arial" w:cs="Arial"/>
          <w:sz w:val="22"/>
          <w:szCs w:val="22"/>
        </w:rPr>
        <w:t>p</w:t>
      </w:r>
      <w:r>
        <w:rPr>
          <w:rFonts w:ascii="Arial" w:hAnsi="Arial" w:cs="Arial"/>
          <w:sz w:val="22"/>
          <w:szCs w:val="22"/>
        </w:rPr>
        <w:t xml:space="preserve">roceso. Así las cosas, conforme a lo explicado en la memoria </w:t>
      </w:r>
      <w:r w:rsidR="006118F4">
        <w:rPr>
          <w:rFonts w:ascii="Arial" w:hAnsi="Arial" w:cs="Arial"/>
          <w:sz w:val="22"/>
          <w:szCs w:val="22"/>
        </w:rPr>
        <w:t>justificativa</w:t>
      </w:r>
      <w:r>
        <w:rPr>
          <w:rFonts w:ascii="Arial" w:hAnsi="Arial" w:cs="Arial"/>
          <w:sz w:val="22"/>
          <w:szCs w:val="22"/>
        </w:rPr>
        <w:t>, es necesario considerar que la regla de fomento:</w:t>
      </w:r>
    </w:p>
    <w:p w14:paraId="12CBFF59" w14:textId="77777777" w:rsidR="00836197" w:rsidRDefault="00836197" w:rsidP="00836197">
      <w:pPr>
        <w:spacing w:line="276" w:lineRule="auto"/>
        <w:ind w:firstLine="709"/>
        <w:jc w:val="both"/>
        <w:rPr>
          <w:rFonts w:ascii="Arial" w:hAnsi="Arial" w:cs="Arial"/>
          <w:sz w:val="22"/>
          <w:szCs w:val="22"/>
        </w:rPr>
      </w:pPr>
    </w:p>
    <w:p w14:paraId="370FA95D" w14:textId="77777777" w:rsidR="00836197" w:rsidRDefault="00836197" w:rsidP="00836197">
      <w:pPr>
        <w:ind w:left="709" w:right="709"/>
        <w:jc w:val="both"/>
        <w:rPr>
          <w:rFonts w:ascii="Arial" w:hAnsi="Arial" w:cs="Arial"/>
          <w:sz w:val="21"/>
          <w:szCs w:val="21"/>
        </w:rPr>
      </w:pPr>
      <w:r>
        <w:rPr>
          <w:rFonts w:ascii="Arial" w:hAnsi="Arial" w:cs="Arial"/>
          <w:sz w:val="21"/>
          <w:szCs w:val="21"/>
        </w:rPr>
        <w:t>[…]</w:t>
      </w:r>
      <w:r w:rsidRPr="000B021B">
        <w:rPr>
          <w:rFonts w:ascii="Arial" w:hAnsi="Arial" w:cs="Arial"/>
          <w:sz w:val="21"/>
          <w:szCs w:val="21"/>
        </w:rPr>
        <w:t xml:space="preserve"> </w:t>
      </w:r>
      <w:r w:rsidRPr="006B0B70">
        <w:rPr>
          <w:rFonts w:ascii="Arial" w:hAnsi="Arial" w:cs="Arial"/>
          <w:sz w:val="21"/>
          <w:szCs w:val="21"/>
        </w:rPr>
        <w:t xml:space="preserve">además de estar condicionada por un desarrollo normativo posterior, está limitada en el sentido que los mecanismos que se implementen para incentivar la provisión de bienes y servicios por población en pobreza extrema, desplazados por la violencia, personas en procesos de reintegración y reincorporación, o sujetos de especial protección constitucional, no afecten las condiciones de calidad y cumplimiento del objeto contractual. En ese sentido, cuando la norma se refiere al desarrollo reglamentario posterior, lo que hace es confiar al decreto la definición de reglas que permitan que los mecanismos que introduzcan las entidades en sus pliegos de condiciones y documentos equivalentes no atenten contra el debido cumplimiento del objeto contractual. </w:t>
      </w:r>
      <w:r w:rsidRPr="00DD21FE">
        <w:rPr>
          <w:rFonts w:ascii="Arial" w:hAnsi="Arial" w:cs="Arial"/>
          <w:i/>
          <w:iCs/>
          <w:sz w:val="21"/>
          <w:szCs w:val="21"/>
        </w:rPr>
        <w:t>Por tanto, la inclusión de los mecanismos de fomento mencionados en inciso 4 del artículo 34 de la Ley 2069 en los pliegos de condiciones, e incluso en las obligaciones del contrato, es un asunto que compete a las entidades contratantes, dentro del marco que determine el reglamento</w:t>
      </w:r>
      <w:r>
        <w:rPr>
          <w:rStyle w:val="Refdenotaalpie"/>
          <w:rFonts w:ascii="Arial" w:hAnsi="Arial" w:cs="Arial"/>
          <w:sz w:val="22"/>
          <w:szCs w:val="22"/>
        </w:rPr>
        <w:footnoteReference w:id="12"/>
      </w:r>
      <w:r w:rsidRPr="000B021B">
        <w:rPr>
          <w:rFonts w:ascii="Arial" w:hAnsi="Arial" w:cs="Arial"/>
          <w:sz w:val="21"/>
          <w:szCs w:val="21"/>
        </w:rPr>
        <w:t>.</w:t>
      </w:r>
      <w:r>
        <w:rPr>
          <w:rFonts w:ascii="Arial" w:hAnsi="Arial" w:cs="Arial"/>
          <w:sz w:val="21"/>
          <w:szCs w:val="21"/>
        </w:rPr>
        <w:t xml:space="preserve"> (Énfasis fuera de texto)</w:t>
      </w:r>
    </w:p>
    <w:p w14:paraId="6EE118D1" w14:textId="77777777" w:rsidR="00836197" w:rsidRDefault="00836197" w:rsidP="00836197">
      <w:pPr>
        <w:spacing w:line="276" w:lineRule="auto"/>
        <w:ind w:left="709" w:right="709"/>
        <w:jc w:val="both"/>
        <w:rPr>
          <w:rFonts w:ascii="Arial" w:hAnsi="Arial" w:cs="Arial"/>
          <w:sz w:val="21"/>
          <w:szCs w:val="21"/>
        </w:rPr>
      </w:pPr>
    </w:p>
    <w:p w14:paraId="4C82076E" w14:textId="4E23BC2D" w:rsidR="00836197" w:rsidRDefault="00836197" w:rsidP="00836197">
      <w:pPr>
        <w:spacing w:after="120" w:line="276" w:lineRule="auto"/>
        <w:ind w:firstLine="708"/>
        <w:jc w:val="both"/>
        <w:rPr>
          <w:rFonts w:ascii="Arial" w:eastAsia="Calibri" w:hAnsi="Arial" w:cs="Arial"/>
          <w:sz w:val="22"/>
          <w:szCs w:val="22"/>
          <w:lang w:val="es-ES_tradnl"/>
        </w:rPr>
      </w:pPr>
      <w:r>
        <w:rPr>
          <w:rFonts w:ascii="Arial" w:hAnsi="Arial" w:cs="Arial"/>
          <w:sz w:val="22"/>
          <w:szCs w:val="22"/>
        </w:rPr>
        <w:t>En consecuencia, dado</w:t>
      </w:r>
      <w:r>
        <w:rPr>
          <w:rFonts w:ascii="Arial" w:eastAsia="Calibri" w:hAnsi="Arial" w:cs="Arial"/>
          <w:sz w:val="22"/>
          <w:szCs w:val="22"/>
          <w:lang w:val="es-ES_tradnl"/>
        </w:rPr>
        <w:t xml:space="preserve"> que el fomento a la ejecución de contratos estatales con participación de sujetos de especial protección constitucional en la provisión de los bienes y servicios para el cumplimiento del objeto contractual se realizará bajo criterios </w:t>
      </w:r>
      <w:r w:rsidRPr="004118ED">
        <w:rPr>
          <w:rFonts w:ascii="Arial" w:eastAsia="Calibri" w:hAnsi="Arial" w:cs="Arial"/>
          <w:i/>
          <w:iCs/>
          <w:sz w:val="22"/>
          <w:szCs w:val="22"/>
          <w:lang w:val="es-ES_tradnl"/>
        </w:rPr>
        <w:t>de oportunidad y conveniencia</w:t>
      </w:r>
      <w:r>
        <w:rPr>
          <w:rFonts w:ascii="Arial" w:eastAsia="Calibri" w:hAnsi="Arial" w:cs="Arial"/>
          <w:i/>
          <w:iCs/>
          <w:sz w:val="22"/>
          <w:szCs w:val="22"/>
          <w:lang w:val="es-ES_tradnl"/>
        </w:rPr>
        <w:t xml:space="preserve">, garantizando la calidad y sin poner en riesgo el cumplimiento del contrato, </w:t>
      </w:r>
      <w:r>
        <w:rPr>
          <w:rFonts w:ascii="Arial" w:eastAsia="Calibri" w:hAnsi="Arial" w:cs="Arial"/>
          <w:sz w:val="22"/>
          <w:szCs w:val="22"/>
          <w:lang w:val="es-ES_tradnl"/>
        </w:rPr>
        <w:t>debe concluirse que la aplicación de este incentivo es de naturaleza discrecional</w:t>
      </w:r>
      <w:r w:rsidR="005242EC">
        <w:rPr>
          <w:rFonts w:ascii="Arial" w:eastAsia="Calibri" w:hAnsi="Arial" w:cs="Arial"/>
          <w:sz w:val="22"/>
          <w:szCs w:val="22"/>
          <w:lang w:val="es-ES_tradnl"/>
        </w:rPr>
        <w:t>, fundamentado en los elementos indicados, los cual</w:t>
      </w:r>
      <w:r w:rsidR="006B4F4C">
        <w:rPr>
          <w:rFonts w:ascii="Arial" w:eastAsia="Calibri" w:hAnsi="Arial" w:cs="Arial"/>
          <w:sz w:val="22"/>
          <w:szCs w:val="22"/>
          <w:lang w:val="es-ES_tradnl"/>
        </w:rPr>
        <w:t>es remiten, entre otros aspectos, al criterio de oportunidad y conveniencia realizado por la entidad contratante</w:t>
      </w:r>
      <w:r>
        <w:rPr>
          <w:rFonts w:ascii="Arial" w:eastAsia="Calibri" w:hAnsi="Arial" w:cs="Arial"/>
          <w:sz w:val="22"/>
          <w:szCs w:val="22"/>
          <w:lang w:val="es-ES_tradnl"/>
        </w:rPr>
        <w:t xml:space="preserve">. </w:t>
      </w:r>
      <w:r w:rsidR="006B4F4C">
        <w:rPr>
          <w:rFonts w:ascii="Arial" w:eastAsia="Calibri" w:hAnsi="Arial" w:cs="Arial"/>
          <w:sz w:val="22"/>
          <w:szCs w:val="22"/>
          <w:lang w:val="es-ES_tradnl"/>
        </w:rPr>
        <w:t>De esta manera,</w:t>
      </w:r>
      <w:r>
        <w:rPr>
          <w:rFonts w:ascii="Arial" w:eastAsia="Calibri" w:hAnsi="Arial" w:cs="Arial"/>
          <w:sz w:val="22"/>
          <w:szCs w:val="22"/>
          <w:lang w:val="es-ES_tradnl"/>
        </w:rPr>
        <w:t xml:space="preserve"> corresponderá a la entidad contratante, en la etapa de planeación, determinar si es oportuno o inconveniente incluir dicha provisión en los pliegos de condiciones o documentos</w:t>
      </w:r>
      <w:r w:rsidR="00284147">
        <w:rPr>
          <w:rFonts w:ascii="Arial" w:eastAsia="Calibri" w:hAnsi="Arial" w:cs="Arial"/>
          <w:sz w:val="22"/>
          <w:szCs w:val="22"/>
          <w:lang w:val="es-ES_tradnl"/>
        </w:rPr>
        <w:t xml:space="preserve"> </w:t>
      </w:r>
      <w:r>
        <w:rPr>
          <w:rFonts w:ascii="Arial" w:eastAsia="Calibri" w:hAnsi="Arial" w:cs="Arial"/>
          <w:sz w:val="22"/>
          <w:szCs w:val="22"/>
          <w:lang w:val="es-ES_tradnl"/>
        </w:rPr>
        <w:t>equivalente.</w:t>
      </w:r>
    </w:p>
    <w:p w14:paraId="3363EA64" w14:textId="05A122D3" w:rsidR="00836197" w:rsidRDefault="00836197" w:rsidP="00836197">
      <w:pPr>
        <w:spacing w:line="276" w:lineRule="auto"/>
        <w:ind w:firstLine="708"/>
        <w:jc w:val="both"/>
        <w:rPr>
          <w:rFonts w:ascii="Arial" w:eastAsia="Calibri" w:hAnsi="Arial" w:cs="Arial"/>
          <w:sz w:val="22"/>
          <w:szCs w:val="22"/>
        </w:rPr>
      </w:pPr>
      <w:r>
        <w:rPr>
          <w:rFonts w:ascii="Arial" w:eastAsia="Calibri" w:hAnsi="Arial" w:cs="Arial"/>
          <w:sz w:val="22"/>
          <w:szCs w:val="22"/>
          <w:lang w:val="es-ES_tradnl"/>
        </w:rPr>
        <w:t>En efecto, el ejercicio de potestades discrecionales comporta valoraciones de conveniencia</w:t>
      </w:r>
      <w:r>
        <w:rPr>
          <w:rFonts w:ascii="Arial" w:eastAsia="Calibri" w:hAnsi="Arial" w:cs="Arial"/>
          <w:sz w:val="22"/>
          <w:szCs w:val="22"/>
        </w:rPr>
        <w:t xml:space="preserve">, ya que la norma no predetermina el contenido de la decisión sino que la deja a la libre consideración del órgano competente. En otras palabras, </w:t>
      </w:r>
      <w:r w:rsidRPr="00D81335">
        <w:rPr>
          <w:rFonts w:ascii="Arial" w:eastAsia="Calibri" w:hAnsi="Arial" w:cs="Arial"/>
          <w:sz w:val="22"/>
          <w:szCs w:val="22"/>
        </w:rPr>
        <w:t xml:space="preserve">queda </w:t>
      </w:r>
      <w:r w:rsidR="00763FAD">
        <w:rPr>
          <w:rFonts w:ascii="Arial" w:eastAsia="Calibri" w:hAnsi="Arial" w:cs="Arial"/>
          <w:sz w:val="22"/>
          <w:szCs w:val="22"/>
        </w:rPr>
        <w:t>en</w:t>
      </w:r>
      <w:r w:rsidRPr="00D81335">
        <w:rPr>
          <w:rFonts w:ascii="Arial" w:eastAsia="Calibri" w:hAnsi="Arial" w:cs="Arial"/>
          <w:sz w:val="22"/>
          <w:szCs w:val="22"/>
        </w:rPr>
        <w:t xml:space="preserve"> la Administración la facultad de valorar la oportunidad de actuar o dejar de hacerlo</w:t>
      </w:r>
      <w:r>
        <w:rPr>
          <w:rFonts w:ascii="Arial" w:eastAsia="Calibri" w:hAnsi="Arial" w:cs="Arial"/>
          <w:sz w:val="22"/>
          <w:szCs w:val="22"/>
        </w:rPr>
        <w:t xml:space="preserve">. </w:t>
      </w:r>
      <w:r w:rsidRPr="00B93DC6">
        <w:rPr>
          <w:rFonts w:ascii="Arial" w:eastAsia="Calibri" w:hAnsi="Arial" w:cs="Arial"/>
          <w:sz w:val="22"/>
          <w:szCs w:val="22"/>
        </w:rPr>
        <w:t xml:space="preserve">Esa facultad de apreciación del interés público con el fin de decidir la conveniencia o no de la acción administrativa </w:t>
      </w:r>
      <w:r>
        <w:rPr>
          <w:rFonts w:ascii="Arial" w:eastAsia="Calibri" w:hAnsi="Arial" w:cs="Arial"/>
          <w:sz w:val="22"/>
          <w:szCs w:val="22"/>
        </w:rPr>
        <w:t>no correspondería a</w:t>
      </w:r>
      <w:r w:rsidR="00BB602B">
        <w:rPr>
          <w:rFonts w:ascii="Arial" w:eastAsia="Calibri" w:hAnsi="Arial" w:cs="Arial"/>
          <w:sz w:val="22"/>
          <w:szCs w:val="22"/>
        </w:rPr>
        <w:t>l</w:t>
      </w:r>
      <w:r>
        <w:rPr>
          <w:rFonts w:ascii="Arial" w:eastAsia="Calibri" w:hAnsi="Arial" w:cs="Arial"/>
          <w:sz w:val="22"/>
          <w:szCs w:val="22"/>
        </w:rPr>
        <w:t xml:space="preserve"> ejercicio de una potestad reglada</w:t>
      </w:r>
      <w:r>
        <w:rPr>
          <w:rStyle w:val="Refdenotaalpie"/>
          <w:rFonts w:ascii="Arial" w:eastAsia="Calibri" w:hAnsi="Arial" w:cs="Arial"/>
          <w:sz w:val="22"/>
          <w:szCs w:val="22"/>
        </w:rPr>
        <w:footnoteReference w:id="13"/>
      </w:r>
      <w:r>
        <w:rPr>
          <w:rFonts w:ascii="Arial" w:eastAsia="Calibri" w:hAnsi="Arial" w:cs="Arial"/>
          <w:sz w:val="22"/>
          <w:szCs w:val="22"/>
        </w:rPr>
        <w:t>. De esta manera, la doctrina explica que:</w:t>
      </w:r>
    </w:p>
    <w:p w14:paraId="1B23D998" w14:textId="77777777" w:rsidR="00836197" w:rsidRDefault="00836197" w:rsidP="00836197">
      <w:pPr>
        <w:spacing w:line="276" w:lineRule="auto"/>
        <w:ind w:firstLine="708"/>
        <w:jc w:val="both"/>
        <w:rPr>
          <w:rFonts w:ascii="Arial" w:eastAsia="Calibri" w:hAnsi="Arial" w:cs="Arial"/>
          <w:sz w:val="22"/>
          <w:szCs w:val="22"/>
        </w:rPr>
      </w:pPr>
    </w:p>
    <w:p w14:paraId="495F58D6" w14:textId="77777777" w:rsidR="00836197" w:rsidRPr="00DD21FE" w:rsidRDefault="00836197" w:rsidP="00836197">
      <w:pPr>
        <w:ind w:left="709" w:right="709"/>
        <w:jc w:val="both"/>
        <w:rPr>
          <w:rFonts w:ascii="Arial" w:eastAsia="Calibri" w:hAnsi="Arial" w:cs="Arial"/>
          <w:sz w:val="21"/>
          <w:szCs w:val="21"/>
        </w:rPr>
      </w:pPr>
      <w:r w:rsidRPr="00DD21FE">
        <w:rPr>
          <w:rFonts w:ascii="Arial" w:eastAsia="Calibri" w:hAnsi="Arial" w:cs="Arial"/>
          <w:sz w:val="21"/>
          <w:szCs w:val="21"/>
        </w:rPr>
        <w:t xml:space="preserve">[…] la discrecionalidad comporta, como se reconoce por doquier, la necesidad de tomar en cuenta criterios no estrictamente jurídicos para adoptar la decisión, es decir, criterios políticos, técnicos o de mera oportunidad o conveniencia (económica, social, organizativa), según los casos. Criterios que han de utilizarse bien para adoptar una iniciativa de gobierno o de gestión, bien para aplicar una directriz legal imprecisa, </w:t>
      </w:r>
      <w:r w:rsidRPr="00DD21FE">
        <w:rPr>
          <w:rFonts w:ascii="Arial" w:eastAsia="Calibri" w:hAnsi="Arial" w:cs="Arial"/>
          <w:i/>
          <w:iCs/>
          <w:sz w:val="21"/>
          <w:szCs w:val="21"/>
        </w:rPr>
        <w:t>bien para valorar una situación de hecho para la que la ley dispone una cierta consecuencia</w:t>
      </w:r>
      <w:r w:rsidRPr="00DD21FE">
        <w:rPr>
          <w:rFonts w:ascii="Arial" w:eastAsia="Calibri" w:hAnsi="Arial" w:cs="Arial"/>
          <w:sz w:val="21"/>
          <w:szCs w:val="21"/>
        </w:rPr>
        <w:t xml:space="preserve">, </w:t>
      </w:r>
      <w:r w:rsidRPr="00ED2C70">
        <w:rPr>
          <w:rFonts w:ascii="Arial" w:eastAsia="Calibri" w:hAnsi="Arial" w:cs="Arial"/>
          <w:i/>
          <w:iCs/>
          <w:sz w:val="21"/>
          <w:szCs w:val="21"/>
        </w:rPr>
        <w:t>bien para optar entre una u otra soluciones posibles cuando la tarea de gobernar o de administrar impone tomar una decisión</w:t>
      </w:r>
      <w:r>
        <w:rPr>
          <w:rStyle w:val="Refdenotaalpie"/>
          <w:rFonts w:ascii="Arial" w:eastAsia="Calibri" w:hAnsi="Arial" w:cs="Arial"/>
          <w:sz w:val="21"/>
          <w:szCs w:val="21"/>
        </w:rPr>
        <w:footnoteReference w:id="14"/>
      </w:r>
      <w:r w:rsidRPr="00DD21FE">
        <w:rPr>
          <w:rFonts w:ascii="Arial" w:eastAsia="Calibri" w:hAnsi="Arial" w:cs="Arial"/>
          <w:sz w:val="21"/>
          <w:szCs w:val="21"/>
        </w:rPr>
        <w:t>.</w:t>
      </w:r>
      <w:r>
        <w:rPr>
          <w:rFonts w:ascii="Arial" w:eastAsia="Calibri" w:hAnsi="Arial" w:cs="Arial"/>
          <w:sz w:val="21"/>
          <w:szCs w:val="21"/>
        </w:rPr>
        <w:t xml:space="preserve"> (Énfasis fuera de texto)</w:t>
      </w:r>
    </w:p>
    <w:p w14:paraId="69DFE18E" w14:textId="77777777" w:rsidR="00836197" w:rsidRDefault="00836197" w:rsidP="00836197">
      <w:pPr>
        <w:spacing w:line="276" w:lineRule="auto"/>
        <w:jc w:val="both"/>
        <w:rPr>
          <w:rFonts w:ascii="Arial" w:eastAsia="Calibri" w:hAnsi="Arial" w:cs="Arial"/>
          <w:sz w:val="22"/>
          <w:szCs w:val="22"/>
          <w:lang w:val="es-ES_tradnl"/>
        </w:rPr>
      </w:pPr>
    </w:p>
    <w:p w14:paraId="08BC7E1F" w14:textId="1711657C" w:rsidR="00F3547C" w:rsidRDefault="00836197" w:rsidP="00D5497A">
      <w:pPr>
        <w:spacing w:line="276" w:lineRule="auto"/>
        <w:ind w:firstLine="708"/>
        <w:jc w:val="both"/>
        <w:rPr>
          <w:rFonts w:ascii="Arial" w:hAnsi="Arial" w:cs="Arial"/>
          <w:sz w:val="22"/>
          <w:szCs w:val="22"/>
        </w:rPr>
      </w:pPr>
      <w:r>
        <w:rPr>
          <w:rFonts w:ascii="Arial" w:eastAsia="Calibri" w:hAnsi="Arial" w:cs="Arial"/>
          <w:sz w:val="22"/>
          <w:szCs w:val="22"/>
          <w:lang w:val="es-ES_tradnl"/>
        </w:rPr>
        <w:lastRenderedPageBreak/>
        <w:t>Por tanto, si previa valoración</w:t>
      </w:r>
      <w:r w:rsidR="006E329B">
        <w:rPr>
          <w:rFonts w:ascii="Arial" w:eastAsia="Calibri" w:hAnsi="Arial" w:cs="Arial"/>
          <w:sz w:val="22"/>
          <w:szCs w:val="22"/>
          <w:lang w:val="es-ES_tradnl"/>
        </w:rPr>
        <w:t xml:space="preserve"> de la </w:t>
      </w:r>
      <w:r w:rsidR="006E329B" w:rsidRPr="006E329B">
        <w:rPr>
          <w:rFonts w:ascii="Arial" w:eastAsia="Calibri" w:hAnsi="Arial" w:cs="Arial"/>
          <w:i/>
          <w:iCs/>
          <w:sz w:val="22"/>
          <w:szCs w:val="22"/>
          <w:lang w:val="es-ES_tradnl"/>
        </w:rPr>
        <w:t xml:space="preserve">oportunidad </w:t>
      </w:r>
      <w:r w:rsidR="006E329B">
        <w:rPr>
          <w:rFonts w:ascii="Arial" w:eastAsia="Calibri" w:hAnsi="Arial" w:cs="Arial"/>
          <w:sz w:val="22"/>
          <w:szCs w:val="22"/>
          <w:lang w:val="es-ES_tradnl"/>
        </w:rPr>
        <w:t xml:space="preserve">y la </w:t>
      </w:r>
      <w:r w:rsidR="006E329B" w:rsidRPr="006E329B">
        <w:rPr>
          <w:rFonts w:ascii="Arial" w:eastAsia="Calibri" w:hAnsi="Arial" w:cs="Arial"/>
          <w:i/>
          <w:iCs/>
          <w:sz w:val="22"/>
          <w:szCs w:val="22"/>
          <w:lang w:val="es-ES_tradnl"/>
        </w:rPr>
        <w:t xml:space="preserve">conveniencia </w:t>
      </w:r>
      <w:r>
        <w:rPr>
          <w:rFonts w:ascii="Arial" w:eastAsia="Calibri" w:hAnsi="Arial" w:cs="Arial"/>
          <w:sz w:val="22"/>
          <w:szCs w:val="22"/>
          <w:lang w:val="es-ES_tradnl"/>
        </w:rPr>
        <w:t xml:space="preserve"> </w:t>
      </w:r>
      <w:r w:rsidRPr="005646AE">
        <w:rPr>
          <w:rFonts w:ascii="Arial" w:eastAsia="Calibri" w:hAnsi="Arial" w:cs="Arial"/>
          <w:sz w:val="22"/>
          <w:szCs w:val="22"/>
          <w:lang w:val="es-ES_tradnl"/>
        </w:rPr>
        <w:t>se concluye</w:t>
      </w:r>
      <w:r>
        <w:rPr>
          <w:rFonts w:ascii="Arial" w:eastAsia="Calibri" w:hAnsi="Arial" w:cs="Arial"/>
          <w:sz w:val="22"/>
          <w:szCs w:val="22"/>
          <w:lang w:val="es-ES_tradnl"/>
        </w:rPr>
        <w:t xml:space="preserve"> que el incentivo </w:t>
      </w:r>
      <w:r w:rsidR="006E329B">
        <w:rPr>
          <w:rFonts w:ascii="Arial" w:eastAsia="Calibri" w:hAnsi="Arial" w:cs="Arial"/>
          <w:sz w:val="22"/>
          <w:szCs w:val="22"/>
          <w:lang w:val="es-ES_tradnl"/>
        </w:rPr>
        <w:t xml:space="preserve">puede incorporarse </w:t>
      </w:r>
      <w:r w:rsidR="00F761E1">
        <w:rPr>
          <w:rFonts w:ascii="Arial" w:eastAsia="Calibri" w:hAnsi="Arial" w:cs="Arial"/>
          <w:sz w:val="22"/>
          <w:szCs w:val="22"/>
          <w:lang w:val="es-ES_tradnl"/>
        </w:rPr>
        <w:t xml:space="preserve">y </w:t>
      </w:r>
      <w:r>
        <w:rPr>
          <w:rFonts w:ascii="Arial" w:eastAsia="Calibri" w:hAnsi="Arial" w:cs="Arial"/>
          <w:sz w:val="22"/>
          <w:szCs w:val="22"/>
          <w:lang w:val="es-ES_tradnl"/>
        </w:rPr>
        <w:t>no pone en riesgo las condiciones de calidad, no contraría Acuerdos Comerciales vigentes ni pone en riesgo la adecuada ejecución del objeto contractual, la entidad contratante</w:t>
      </w:r>
      <w:r w:rsidDel="00150930">
        <w:rPr>
          <w:rFonts w:ascii="Arial" w:eastAsia="Calibri" w:hAnsi="Arial" w:cs="Arial"/>
          <w:sz w:val="22"/>
          <w:szCs w:val="22"/>
          <w:lang w:val="es-ES_tradnl"/>
        </w:rPr>
        <w:t xml:space="preserve"> </w:t>
      </w:r>
      <w:r>
        <w:rPr>
          <w:rFonts w:ascii="Arial" w:eastAsia="Calibri" w:hAnsi="Arial" w:cs="Arial"/>
          <w:sz w:val="22"/>
          <w:szCs w:val="22"/>
          <w:lang w:val="es-ES_tradnl"/>
        </w:rPr>
        <w:t>estructurará el pliego de condiciones o documento equivalente exigiendo el porcentaje dentro del rango previsto en la norma en comento y</w:t>
      </w:r>
      <w:r w:rsidR="00763FAD">
        <w:rPr>
          <w:rFonts w:ascii="Arial" w:eastAsia="Calibri" w:hAnsi="Arial" w:cs="Arial"/>
          <w:sz w:val="22"/>
          <w:szCs w:val="22"/>
          <w:lang w:val="es-ES_tradnl"/>
        </w:rPr>
        <w:t>, adicionalmente,</w:t>
      </w:r>
      <w:r>
        <w:rPr>
          <w:rFonts w:ascii="Arial" w:eastAsia="Calibri" w:hAnsi="Arial" w:cs="Arial"/>
          <w:sz w:val="22"/>
          <w:szCs w:val="22"/>
          <w:lang w:val="es-ES_tradnl"/>
        </w:rPr>
        <w:t xml:space="preserve"> fijando</w:t>
      </w:r>
      <w:r w:rsidR="00763FAD">
        <w:rPr>
          <w:rFonts w:ascii="Arial" w:eastAsia="Calibri" w:hAnsi="Arial" w:cs="Arial"/>
          <w:sz w:val="22"/>
          <w:szCs w:val="22"/>
          <w:lang w:val="es-ES_tradnl"/>
        </w:rPr>
        <w:t xml:space="preserve"> en la minuta del contrato</w:t>
      </w:r>
      <w:r>
        <w:rPr>
          <w:rFonts w:ascii="Arial" w:eastAsia="Calibri" w:hAnsi="Arial" w:cs="Arial"/>
          <w:sz w:val="22"/>
          <w:szCs w:val="22"/>
          <w:lang w:val="es-ES_tradnl"/>
        </w:rPr>
        <w:t xml:space="preserve"> las sanciones pecuniarias derivadas del incumplimiento injustificado. Por el contrario, si estima que el incentivo no cumple los criterios anteriormente expuestos por las razones que se expresen en los documentos del proceso, no aplicará la regla de fomento del </w:t>
      </w:r>
      <w:r w:rsidRPr="0008479C">
        <w:rPr>
          <w:rFonts w:ascii="Arial" w:hAnsi="Arial" w:cs="Arial"/>
          <w:sz w:val="22"/>
          <w:szCs w:val="22"/>
        </w:rPr>
        <w:t>artículo 2.2.1.2.4.2.16 del Decreto 1082 de 2015</w:t>
      </w:r>
      <w:r>
        <w:rPr>
          <w:rFonts w:ascii="Arial" w:hAnsi="Arial" w:cs="Arial"/>
          <w:sz w:val="22"/>
          <w:szCs w:val="22"/>
        </w:rPr>
        <w:t xml:space="preserve">. </w:t>
      </w:r>
    </w:p>
    <w:p w14:paraId="4CDD004B" w14:textId="1DEC5797" w:rsidR="00836197" w:rsidRPr="00D5497A" w:rsidRDefault="00D5497A" w:rsidP="00F3547C">
      <w:pPr>
        <w:spacing w:before="120" w:line="276" w:lineRule="auto"/>
        <w:ind w:firstLine="708"/>
        <w:jc w:val="both"/>
        <w:rPr>
          <w:rFonts w:ascii="Arial" w:hAnsi="Arial" w:cs="Arial"/>
          <w:bCs/>
          <w:sz w:val="22"/>
          <w:szCs w:val="22"/>
          <w:lang w:val="es-ES_tradnl"/>
        </w:rPr>
      </w:pPr>
      <w:r>
        <w:rPr>
          <w:rFonts w:ascii="Arial" w:hAnsi="Arial" w:cs="Arial"/>
          <w:sz w:val="22"/>
          <w:szCs w:val="22"/>
        </w:rPr>
        <w:t xml:space="preserve">En todo caso, corresponde a la entidad realizar este </w:t>
      </w:r>
      <w:r w:rsidRPr="00D5497A">
        <w:rPr>
          <w:rFonts w:ascii="Arial" w:hAnsi="Arial" w:cs="Arial"/>
          <w:bCs/>
          <w:sz w:val="22"/>
          <w:szCs w:val="22"/>
          <w:lang w:val="es-ES_tradnl"/>
        </w:rPr>
        <w:t>análi</w:t>
      </w:r>
      <w:r>
        <w:rPr>
          <w:rFonts w:ascii="Arial" w:hAnsi="Arial" w:cs="Arial"/>
          <w:bCs/>
          <w:sz w:val="22"/>
          <w:szCs w:val="22"/>
          <w:lang w:val="es-ES_tradnl"/>
        </w:rPr>
        <w:t>sis</w:t>
      </w:r>
      <w:r w:rsidR="00F3547C">
        <w:rPr>
          <w:rFonts w:ascii="Arial" w:hAnsi="Arial" w:cs="Arial"/>
          <w:bCs/>
          <w:sz w:val="22"/>
          <w:szCs w:val="22"/>
          <w:lang w:val="es-ES_tradnl"/>
        </w:rPr>
        <w:t xml:space="preserve"> en los documentos del proceso</w:t>
      </w:r>
      <w:r w:rsidR="00763FAD">
        <w:rPr>
          <w:rFonts w:ascii="Arial" w:hAnsi="Arial" w:cs="Arial"/>
          <w:bCs/>
          <w:sz w:val="22"/>
          <w:szCs w:val="22"/>
          <w:lang w:val="es-ES_tradnl"/>
        </w:rPr>
        <w:t>,</w:t>
      </w:r>
      <w:r>
        <w:rPr>
          <w:rFonts w:ascii="Arial" w:hAnsi="Arial" w:cs="Arial"/>
          <w:bCs/>
          <w:sz w:val="22"/>
          <w:szCs w:val="22"/>
          <w:lang w:val="es-ES_tradnl"/>
        </w:rPr>
        <w:t xml:space="preserve"> </w:t>
      </w:r>
      <w:r w:rsidR="00F3547C">
        <w:rPr>
          <w:rFonts w:ascii="Arial" w:hAnsi="Arial" w:cs="Arial"/>
          <w:bCs/>
          <w:sz w:val="22"/>
          <w:szCs w:val="22"/>
          <w:lang w:val="es-ES_tradnl"/>
        </w:rPr>
        <w:t>teniendo en cuenta</w:t>
      </w:r>
      <w:r w:rsidRPr="00D5497A">
        <w:rPr>
          <w:rFonts w:ascii="Arial" w:hAnsi="Arial" w:cs="Arial"/>
          <w:bCs/>
          <w:sz w:val="22"/>
          <w:szCs w:val="22"/>
          <w:lang w:val="es-ES_tradnl"/>
        </w:rPr>
        <w:t xml:space="preserve"> el objeto contractual y el alcance de las obligaciones, y, con fundamento en ello, definir</w:t>
      </w:r>
      <w:r w:rsidR="0049163C">
        <w:rPr>
          <w:rFonts w:ascii="Arial" w:hAnsi="Arial" w:cs="Arial"/>
          <w:bCs/>
          <w:sz w:val="22"/>
          <w:szCs w:val="22"/>
          <w:lang w:val="es-ES_tradnl"/>
        </w:rPr>
        <w:t xml:space="preserve"> </w:t>
      </w:r>
      <w:r w:rsidRPr="00D5497A">
        <w:rPr>
          <w:rFonts w:ascii="Arial" w:hAnsi="Arial" w:cs="Arial"/>
          <w:bCs/>
          <w:sz w:val="22"/>
          <w:szCs w:val="22"/>
          <w:lang w:val="es-ES_tradnl"/>
        </w:rPr>
        <w:t xml:space="preserve">el porcentaje de provisión de bienes o servicios requeridos por parte de la población en pobreza extrema, de las personas desplazadas por la violencia, de las personas en proceso de reintegración o reincorporación </w:t>
      </w:r>
      <w:r w:rsidR="0049163C">
        <w:rPr>
          <w:rFonts w:ascii="Arial" w:hAnsi="Arial" w:cs="Arial"/>
          <w:bCs/>
          <w:sz w:val="22"/>
          <w:szCs w:val="22"/>
          <w:lang w:val="es-ES_tradnl"/>
        </w:rPr>
        <w:t xml:space="preserve">y </w:t>
      </w:r>
      <w:r w:rsidRPr="00D5497A">
        <w:rPr>
          <w:rFonts w:ascii="Arial" w:hAnsi="Arial" w:cs="Arial"/>
          <w:bCs/>
          <w:sz w:val="22"/>
          <w:szCs w:val="22"/>
          <w:lang w:val="es-ES_tradnl"/>
        </w:rPr>
        <w:t>de los sujetos de especial protección constitucional.</w:t>
      </w:r>
    </w:p>
    <w:p w14:paraId="7BAA52A0" w14:textId="3D718A6E" w:rsidR="00284147" w:rsidRDefault="002F186C" w:rsidP="00836197">
      <w:pPr>
        <w:spacing w:before="120" w:line="276" w:lineRule="auto"/>
        <w:ind w:firstLine="709"/>
        <w:jc w:val="both"/>
        <w:rPr>
          <w:rFonts w:ascii="Arial" w:eastAsia="Calibri" w:hAnsi="Arial" w:cs="Arial"/>
          <w:bCs/>
          <w:color w:val="000000"/>
          <w:sz w:val="22"/>
          <w:szCs w:val="22"/>
          <w:lang w:val="es-ES_tradnl" w:eastAsia="en-US"/>
        </w:rPr>
      </w:pPr>
      <w:r>
        <w:rPr>
          <w:rFonts w:ascii="Arial" w:eastAsia="Calibri" w:hAnsi="Arial" w:cs="Arial"/>
          <w:bCs/>
          <w:color w:val="000000"/>
          <w:sz w:val="22"/>
          <w:szCs w:val="22"/>
          <w:lang w:val="es-ES_tradnl" w:eastAsia="en-US"/>
        </w:rPr>
        <w:t>A</w:t>
      </w:r>
      <w:r w:rsidR="00CF3C1E">
        <w:rPr>
          <w:rFonts w:ascii="Arial" w:eastAsia="Calibri" w:hAnsi="Arial" w:cs="Arial"/>
          <w:bCs/>
          <w:color w:val="000000"/>
          <w:sz w:val="22"/>
          <w:szCs w:val="22"/>
          <w:lang w:val="es-ES_tradnl" w:eastAsia="en-US"/>
        </w:rPr>
        <w:t xml:space="preserve">hora bien, en el evento en que la entidad decida incluir dicha obligación conforme lo señalado en los párrafos precedentes, </w:t>
      </w:r>
      <w:r>
        <w:rPr>
          <w:rFonts w:ascii="Arial" w:eastAsia="Calibri" w:hAnsi="Arial" w:cs="Arial"/>
          <w:bCs/>
          <w:color w:val="000000"/>
          <w:sz w:val="22"/>
          <w:szCs w:val="22"/>
          <w:lang w:val="es-ES_tradnl" w:eastAsia="en-US"/>
        </w:rPr>
        <w:t>e</w:t>
      </w:r>
      <w:r w:rsidR="00836197" w:rsidRPr="00332A15">
        <w:rPr>
          <w:rFonts w:ascii="Arial" w:eastAsia="Calibri" w:hAnsi="Arial" w:cs="Arial"/>
          <w:bCs/>
          <w:color w:val="000000"/>
          <w:sz w:val="22"/>
          <w:szCs w:val="22"/>
          <w:lang w:val="es-ES_tradnl" w:eastAsia="en-US"/>
        </w:rPr>
        <w:t xml:space="preserve">l inciso quinto del artículo 2.2.1.2.4.2.16. establece que «El supervisor o el interventor, según el caso, realizará el seguimiento y verificará que las personas </w:t>
      </w:r>
      <w:r w:rsidR="00836197" w:rsidRPr="00332A15">
        <w:rPr>
          <w:rFonts w:ascii="Arial" w:eastAsia="Calibri" w:hAnsi="Arial" w:cs="Arial"/>
          <w:bCs/>
          <w:i/>
          <w:iCs/>
          <w:color w:val="000000"/>
          <w:sz w:val="22"/>
          <w:szCs w:val="22"/>
          <w:lang w:val="es-ES_tradnl" w:eastAsia="en-US"/>
        </w:rPr>
        <w:t>vinculadas</w:t>
      </w:r>
      <w:r w:rsidR="00836197" w:rsidRPr="00332A15">
        <w:rPr>
          <w:rFonts w:ascii="Arial" w:eastAsia="Calibri" w:hAnsi="Arial" w:cs="Arial"/>
          <w:bCs/>
          <w:color w:val="000000"/>
          <w:sz w:val="22"/>
          <w:szCs w:val="22"/>
          <w:lang w:val="es-ES_tradnl" w:eastAsia="en-US"/>
        </w:rPr>
        <w:t xml:space="preserve"> al inicio y durante la ejecución del contrato pertenezcan a los grupos poblacionales enunciados anteriormente» (énfasis fuera de texto). </w:t>
      </w:r>
      <w:r w:rsidR="00284147">
        <w:rPr>
          <w:rFonts w:ascii="Arial" w:eastAsia="Calibri" w:hAnsi="Arial" w:cs="Arial"/>
          <w:bCs/>
          <w:color w:val="000000"/>
          <w:sz w:val="22"/>
          <w:szCs w:val="22"/>
          <w:lang w:val="es-ES_tradnl" w:eastAsia="en-US"/>
        </w:rPr>
        <w:t>Frente a este aspecto, vale anotar que l</w:t>
      </w:r>
      <w:r w:rsidR="00836197" w:rsidRPr="00332A15">
        <w:rPr>
          <w:rFonts w:ascii="Arial" w:eastAsia="Calibri" w:hAnsi="Arial" w:cs="Arial"/>
          <w:bCs/>
          <w:color w:val="000000"/>
          <w:sz w:val="22"/>
          <w:szCs w:val="22"/>
          <w:lang w:val="es-ES_tradnl" w:eastAsia="en-US"/>
        </w:rPr>
        <w:t xml:space="preserve">a norma no exige que la vinculación sea, necesariamente, laboral, pues de acuerdo con el primer inciso del artículo en comento, lo importante es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 </w:t>
      </w:r>
      <w:r w:rsidR="001E64CE">
        <w:rPr>
          <w:rFonts w:ascii="Arial" w:eastAsia="Calibri" w:hAnsi="Arial" w:cs="Arial"/>
          <w:bCs/>
          <w:color w:val="000000"/>
          <w:sz w:val="22"/>
          <w:szCs w:val="22"/>
          <w:lang w:val="es-ES_tradnl" w:eastAsia="en-US"/>
        </w:rPr>
        <w:t xml:space="preserve">De esta manera, la vinculación se </w:t>
      </w:r>
      <w:r>
        <w:rPr>
          <w:rFonts w:ascii="Arial" w:eastAsia="Calibri" w:hAnsi="Arial" w:cs="Arial"/>
          <w:bCs/>
          <w:color w:val="000000"/>
          <w:sz w:val="22"/>
          <w:szCs w:val="22"/>
          <w:lang w:val="es-ES_tradnl" w:eastAsia="en-US"/>
        </w:rPr>
        <w:t xml:space="preserve">podrá realizar por cualquier modalidad que se determine pertinente, sin que se restrinja al ámbito laboral. </w:t>
      </w:r>
    </w:p>
    <w:p w14:paraId="4574656A" w14:textId="7B87E79E" w:rsidR="00836197" w:rsidRPr="00332A15" w:rsidRDefault="000350E8" w:rsidP="00836197">
      <w:pPr>
        <w:spacing w:before="120" w:line="276" w:lineRule="auto"/>
        <w:ind w:firstLine="709"/>
        <w:jc w:val="both"/>
        <w:rPr>
          <w:rFonts w:ascii="Arial" w:eastAsia="Calibri" w:hAnsi="Arial" w:cs="Arial"/>
          <w:bCs/>
          <w:color w:val="000000"/>
          <w:sz w:val="22"/>
          <w:szCs w:val="22"/>
          <w:lang w:val="es-ES_tradnl" w:eastAsia="en-US"/>
        </w:rPr>
      </w:pPr>
      <w:r>
        <w:rPr>
          <w:rFonts w:ascii="Arial" w:eastAsia="Calibri" w:hAnsi="Arial" w:cs="Arial"/>
          <w:bCs/>
          <w:color w:val="000000"/>
          <w:sz w:val="22"/>
          <w:szCs w:val="22"/>
          <w:lang w:val="es-ES_tradnl" w:eastAsia="en-US"/>
        </w:rPr>
        <w:t xml:space="preserve">En relación con el </w:t>
      </w:r>
      <w:r w:rsidR="00836197" w:rsidRPr="00332A15">
        <w:rPr>
          <w:rFonts w:ascii="Arial" w:eastAsia="Calibri" w:hAnsi="Arial" w:cs="Arial"/>
          <w:bCs/>
          <w:color w:val="000000"/>
          <w:sz w:val="22"/>
          <w:szCs w:val="22"/>
          <w:lang w:val="es-ES_tradnl" w:eastAsia="en-US"/>
        </w:rPr>
        <w:t>concepto de «provisión de bienes o servicios»</w:t>
      </w:r>
      <w:r w:rsidR="00284147">
        <w:rPr>
          <w:rFonts w:ascii="Arial" w:eastAsia="Calibri" w:hAnsi="Arial" w:cs="Arial"/>
          <w:bCs/>
          <w:color w:val="000000"/>
          <w:sz w:val="22"/>
          <w:szCs w:val="22"/>
          <w:lang w:val="es-ES_tradnl" w:eastAsia="en-US"/>
        </w:rPr>
        <w:t xml:space="preserve"> es pertinente indicar que es</w:t>
      </w:r>
      <w:r w:rsidR="00396923">
        <w:rPr>
          <w:rFonts w:ascii="Arial" w:eastAsia="Calibri" w:hAnsi="Arial" w:cs="Arial"/>
          <w:bCs/>
          <w:color w:val="000000"/>
          <w:sz w:val="22"/>
          <w:szCs w:val="22"/>
          <w:lang w:val="es-ES_tradnl" w:eastAsia="en-US"/>
        </w:rPr>
        <w:t>t</w:t>
      </w:r>
      <w:r w:rsidR="00284147">
        <w:rPr>
          <w:rFonts w:ascii="Arial" w:eastAsia="Calibri" w:hAnsi="Arial" w:cs="Arial"/>
          <w:bCs/>
          <w:color w:val="000000"/>
          <w:sz w:val="22"/>
          <w:szCs w:val="22"/>
          <w:lang w:val="es-ES_tradnl" w:eastAsia="en-US"/>
        </w:rPr>
        <w:t>e</w:t>
      </w:r>
      <w:r w:rsidR="00836197" w:rsidRPr="00332A15">
        <w:rPr>
          <w:rFonts w:ascii="Arial" w:eastAsia="Calibri" w:hAnsi="Arial" w:cs="Arial"/>
          <w:bCs/>
          <w:color w:val="000000"/>
          <w:sz w:val="22"/>
          <w:szCs w:val="22"/>
          <w:lang w:val="es-ES_tradnl" w:eastAsia="en-US"/>
        </w:rPr>
        <w:t xml:space="preserve"> es amplio</w:t>
      </w:r>
      <w:r w:rsidR="00912AC9">
        <w:rPr>
          <w:rFonts w:ascii="Arial" w:eastAsia="Calibri" w:hAnsi="Arial" w:cs="Arial"/>
          <w:bCs/>
          <w:color w:val="000000"/>
          <w:sz w:val="22"/>
          <w:szCs w:val="22"/>
          <w:lang w:val="es-ES_tradnl" w:eastAsia="en-US"/>
        </w:rPr>
        <w:t>,</w:t>
      </w:r>
      <w:r w:rsidR="00836197" w:rsidRPr="00332A15">
        <w:rPr>
          <w:rFonts w:ascii="Arial" w:eastAsia="Calibri" w:hAnsi="Arial" w:cs="Arial"/>
          <w:bCs/>
          <w:color w:val="000000"/>
          <w:sz w:val="22"/>
          <w:szCs w:val="22"/>
          <w:lang w:val="es-ES_tradnl" w:eastAsia="en-US"/>
        </w:rPr>
        <w:t xml:space="preserve"> pues enmarca las actividades que se desarrollan en el mercado, para vender, suministrar o prestar bienes o servicios</w:t>
      </w:r>
      <w:r w:rsidR="00836197" w:rsidRPr="00332A15">
        <w:rPr>
          <w:rStyle w:val="Refdenotaalpie"/>
          <w:rFonts w:ascii="Arial" w:eastAsia="Calibri" w:hAnsi="Arial" w:cs="Arial"/>
          <w:bCs/>
          <w:color w:val="000000"/>
          <w:sz w:val="22"/>
          <w:szCs w:val="22"/>
          <w:lang w:val="es-ES_tradnl" w:eastAsia="en-US"/>
        </w:rPr>
        <w:footnoteReference w:id="15"/>
      </w:r>
      <w:r w:rsidR="00836197" w:rsidRPr="00332A15">
        <w:rPr>
          <w:rFonts w:ascii="Arial" w:eastAsia="Calibri" w:hAnsi="Arial" w:cs="Arial"/>
          <w:bCs/>
          <w:color w:val="000000"/>
          <w:sz w:val="22"/>
          <w:szCs w:val="22"/>
          <w:lang w:val="es-ES_tradnl" w:eastAsia="en-US"/>
        </w:rPr>
        <w:t xml:space="preserve">. Esto significa que se puede ser proveedor de bienes o servicios, en calidad de trabajador o como contratista independiente. El supervisor o interventor, según el caso, debe constatar, entonces, durante la ejecución </w:t>
      </w:r>
      <w:r w:rsidR="00836197" w:rsidRPr="00332A15">
        <w:rPr>
          <w:rFonts w:ascii="Arial" w:eastAsia="Calibri" w:hAnsi="Arial" w:cs="Arial"/>
          <w:bCs/>
          <w:color w:val="000000"/>
          <w:sz w:val="22"/>
          <w:szCs w:val="22"/>
          <w:lang w:val="es-ES_tradnl" w:eastAsia="en-US"/>
        </w:rPr>
        <w:lastRenderedPageBreak/>
        <w:t>del contrato, que la provisión de los bienes o servicios, en el porcentaje indicado por la entidad estatal, se realice por parte de los sujetos de especial protección constitucional, independientemente de la naturaleza del contrato suscrito entre ellos y el contratista.</w:t>
      </w:r>
    </w:p>
    <w:p w14:paraId="69532C5D" w14:textId="041C52F4" w:rsidR="009228C0" w:rsidRPr="009228C0" w:rsidRDefault="000F1B9B" w:rsidP="009228C0">
      <w:pPr>
        <w:spacing w:before="120" w:line="276" w:lineRule="auto"/>
        <w:ind w:firstLine="709"/>
        <w:jc w:val="both"/>
        <w:rPr>
          <w:rFonts w:ascii="Arial" w:eastAsia="Calibri" w:hAnsi="Arial" w:cs="Arial"/>
          <w:bCs/>
          <w:color w:val="000000"/>
          <w:sz w:val="22"/>
          <w:szCs w:val="22"/>
          <w:lang w:eastAsia="en-US"/>
        </w:rPr>
      </w:pPr>
      <w:r>
        <w:rPr>
          <w:rFonts w:ascii="Arial" w:eastAsia="Calibri" w:hAnsi="Arial" w:cs="Arial"/>
          <w:bCs/>
          <w:color w:val="000000"/>
          <w:sz w:val="22"/>
          <w:szCs w:val="22"/>
          <w:lang w:eastAsia="en-US"/>
        </w:rPr>
        <w:t>Por su parte, e</w:t>
      </w:r>
      <w:r w:rsidR="009228C0" w:rsidRPr="009228C0">
        <w:rPr>
          <w:rFonts w:ascii="Arial" w:eastAsia="Calibri" w:hAnsi="Arial" w:cs="Arial"/>
          <w:bCs/>
          <w:color w:val="000000"/>
          <w:sz w:val="22"/>
          <w:szCs w:val="22"/>
          <w:lang w:eastAsia="en-US"/>
        </w:rPr>
        <w:t xml:space="preserve">l parágrafo 1 del artículo 2.2.1.2.4.2.16 del Decreto 1082 de 2015 define los sujetos de especial protección constitucional, señalando que su acreditación se realizará en las condiciones que disponga la ley o el reglamento, aplicando en lo pertinente lo indicado en el artículo 2.2.1.2.4.2.17 del Decreto 1082 de 2015. En ausencia de una condición especial prevista en la normativa vigente, se acreditará en los términos que </w:t>
      </w:r>
      <w:r w:rsidR="001B747F">
        <w:rPr>
          <w:rFonts w:ascii="Arial" w:eastAsia="Calibri" w:hAnsi="Arial" w:cs="Arial"/>
          <w:bCs/>
          <w:color w:val="000000"/>
          <w:sz w:val="22"/>
          <w:szCs w:val="22"/>
          <w:lang w:eastAsia="en-US"/>
        </w:rPr>
        <w:t>señale</w:t>
      </w:r>
      <w:r w:rsidR="001B747F" w:rsidRPr="009228C0">
        <w:rPr>
          <w:rFonts w:ascii="Arial" w:eastAsia="Calibri" w:hAnsi="Arial" w:cs="Arial"/>
          <w:bCs/>
          <w:color w:val="000000"/>
          <w:sz w:val="22"/>
          <w:szCs w:val="22"/>
          <w:lang w:eastAsia="en-US"/>
        </w:rPr>
        <w:t xml:space="preserve"> </w:t>
      </w:r>
      <w:r w:rsidR="009228C0" w:rsidRPr="009228C0">
        <w:rPr>
          <w:rFonts w:ascii="Arial" w:eastAsia="Calibri" w:hAnsi="Arial" w:cs="Arial"/>
          <w:bCs/>
          <w:color w:val="000000"/>
          <w:sz w:val="22"/>
          <w:szCs w:val="22"/>
          <w:lang w:eastAsia="en-US"/>
        </w:rPr>
        <w:t xml:space="preserve">el pliego de condiciones o documento equivalente. </w:t>
      </w:r>
      <w:r w:rsidR="009228C0">
        <w:rPr>
          <w:rFonts w:ascii="Arial" w:eastAsia="Calibri" w:hAnsi="Arial" w:cs="Arial"/>
          <w:bCs/>
          <w:color w:val="000000"/>
          <w:sz w:val="22"/>
          <w:szCs w:val="22"/>
          <w:lang w:eastAsia="en-US"/>
        </w:rPr>
        <w:t xml:space="preserve">De esta manera, para determinar </w:t>
      </w:r>
      <w:r w:rsidR="009228C0">
        <w:rPr>
          <w:rFonts w:ascii="Arial" w:eastAsia="Calibri" w:hAnsi="Arial" w:cs="Arial"/>
          <w:bCs/>
          <w:color w:val="000000"/>
          <w:sz w:val="22"/>
          <w:szCs w:val="22"/>
          <w:lang w:val="es-ES_tradnl" w:eastAsia="en-US"/>
        </w:rPr>
        <w:t>la forma como se debe acreditar el carácter de sujeto de especial protección constitucional</w:t>
      </w:r>
      <w:r w:rsidR="00EC68A5">
        <w:rPr>
          <w:rFonts w:ascii="Arial" w:eastAsia="Calibri" w:hAnsi="Arial" w:cs="Arial"/>
          <w:bCs/>
          <w:color w:val="000000"/>
          <w:sz w:val="22"/>
          <w:szCs w:val="22"/>
          <w:lang w:val="es-ES_tradnl" w:eastAsia="en-US"/>
        </w:rPr>
        <w:t xml:space="preserve"> </w:t>
      </w:r>
      <w:r w:rsidR="009228C0">
        <w:rPr>
          <w:rFonts w:ascii="Arial" w:eastAsia="Calibri" w:hAnsi="Arial" w:cs="Arial"/>
          <w:bCs/>
          <w:color w:val="000000"/>
          <w:sz w:val="22"/>
          <w:szCs w:val="22"/>
          <w:lang w:val="es-ES_tradnl" w:eastAsia="en-US"/>
        </w:rPr>
        <w:t xml:space="preserve">se debe remitir al artículo </w:t>
      </w:r>
      <w:r w:rsidR="009228C0" w:rsidRPr="009228C0">
        <w:rPr>
          <w:rFonts w:ascii="Arial" w:eastAsia="Calibri" w:hAnsi="Arial" w:cs="Arial"/>
          <w:bCs/>
          <w:color w:val="000000"/>
          <w:sz w:val="22"/>
          <w:szCs w:val="22"/>
          <w:lang w:eastAsia="en-US"/>
        </w:rPr>
        <w:t>2.2.1.2.4.2.17 del Decreto 1082 de 2015</w:t>
      </w:r>
      <w:r w:rsidR="00EC68A5">
        <w:rPr>
          <w:rFonts w:ascii="Arial" w:eastAsia="Calibri" w:hAnsi="Arial" w:cs="Arial"/>
          <w:bCs/>
          <w:color w:val="000000"/>
          <w:sz w:val="22"/>
          <w:szCs w:val="22"/>
          <w:lang w:eastAsia="en-US"/>
        </w:rPr>
        <w:t xml:space="preserve"> </w:t>
      </w:r>
      <w:r w:rsidR="009228C0">
        <w:rPr>
          <w:rFonts w:ascii="Arial" w:eastAsia="Calibri" w:hAnsi="Arial" w:cs="Arial"/>
          <w:bCs/>
          <w:color w:val="000000"/>
          <w:sz w:val="22"/>
          <w:szCs w:val="22"/>
          <w:lang w:eastAsia="en-US"/>
        </w:rPr>
        <w:t xml:space="preserve">y en los </w:t>
      </w:r>
      <w:r w:rsidR="00EC68A5">
        <w:rPr>
          <w:rFonts w:ascii="Arial" w:eastAsia="Calibri" w:hAnsi="Arial" w:cs="Arial"/>
          <w:bCs/>
          <w:color w:val="000000"/>
          <w:sz w:val="22"/>
          <w:szCs w:val="22"/>
          <w:lang w:eastAsia="en-US"/>
        </w:rPr>
        <w:t xml:space="preserve">eventos que no estén </w:t>
      </w:r>
      <w:r w:rsidR="00D5497A">
        <w:rPr>
          <w:rFonts w:ascii="Arial" w:eastAsia="Calibri" w:hAnsi="Arial" w:cs="Arial"/>
          <w:bCs/>
          <w:color w:val="000000"/>
          <w:sz w:val="22"/>
          <w:szCs w:val="22"/>
          <w:lang w:eastAsia="en-US"/>
        </w:rPr>
        <w:t xml:space="preserve">contemplados en la normativa vigente </w:t>
      </w:r>
      <w:r w:rsidR="009228C0">
        <w:rPr>
          <w:rFonts w:ascii="Arial" w:eastAsia="Calibri" w:hAnsi="Arial" w:cs="Arial"/>
          <w:bCs/>
          <w:color w:val="000000"/>
          <w:sz w:val="22"/>
          <w:szCs w:val="22"/>
          <w:lang w:val="es-ES_tradnl" w:eastAsia="en-US"/>
        </w:rPr>
        <w:t>la entidad</w:t>
      </w:r>
      <w:r w:rsidR="00F3547C">
        <w:rPr>
          <w:rFonts w:ascii="Arial" w:eastAsia="Calibri" w:hAnsi="Arial" w:cs="Arial"/>
          <w:bCs/>
          <w:color w:val="000000"/>
          <w:sz w:val="22"/>
          <w:szCs w:val="22"/>
          <w:lang w:val="es-ES_tradnl" w:eastAsia="en-US"/>
        </w:rPr>
        <w:t xml:space="preserve"> </w:t>
      </w:r>
      <w:r w:rsidR="009228C0">
        <w:rPr>
          <w:rFonts w:ascii="Arial" w:eastAsia="Calibri" w:hAnsi="Arial" w:cs="Arial"/>
          <w:bCs/>
          <w:color w:val="000000"/>
          <w:sz w:val="22"/>
          <w:szCs w:val="22"/>
          <w:lang w:val="es-ES_tradnl" w:eastAsia="en-US"/>
        </w:rPr>
        <w:t>estata</w:t>
      </w:r>
      <w:r w:rsidR="00F3547C">
        <w:rPr>
          <w:rFonts w:ascii="Arial" w:eastAsia="Calibri" w:hAnsi="Arial" w:cs="Arial"/>
          <w:bCs/>
          <w:color w:val="000000"/>
          <w:sz w:val="22"/>
          <w:szCs w:val="22"/>
          <w:lang w:val="es-ES_tradnl" w:eastAsia="en-US"/>
        </w:rPr>
        <w:t>l</w:t>
      </w:r>
      <w:r w:rsidR="009228C0">
        <w:rPr>
          <w:rFonts w:ascii="Arial" w:eastAsia="Calibri" w:hAnsi="Arial" w:cs="Arial"/>
          <w:bCs/>
          <w:color w:val="000000"/>
          <w:sz w:val="22"/>
          <w:szCs w:val="22"/>
          <w:lang w:val="es-ES_tradnl" w:eastAsia="en-US"/>
        </w:rPr>
        <w:t xml:space="preserve"> podría</w:t>
      </w:r>
      <w:r w:rsidR="00F3547C">
        <w:rPr>
          <w:rFonts w:ascii="Arial" w:eastAsia="Calibri" w:hAnsi="Arial" w:cs="Arial"/>
          <w:bCs/>
          <w:color w:val="000000"/>
          <w:sz w:val="22"/>
          <w:szCs w:val="22"/>
          <w:lang w:val="es-ES_tradnl" w:eastAsia="en-US"/>
        </w:rPr>
        <w:t xml:space="preserve"> </w:t>
      </w:r>
      <w:r w:rsidR="009228C0">
        <w:rPr>
          <w:rFonts w:ascii="Arial" w:eastAsia="Calibri" w:hAnsi="Arial" w:cs="Arial"/>
          <w:bCs/>
          <w:color w:val="000000"/>
          <w:sz w:val="22"/>
          <w:szCs w:val="22"/>
          <w:lang w:val="es-ES_tradnl" w:eastAsia="en-US"/>
        </w:rPr>
        <w:t>definir en el pliego de condiciones o documento equivalente de qué manera se deben acreditar tales situaciones.</w:t>
      </w:r>
    </w:p>
    <w:p w14:paraId="5C74FDD6" w14:textId="79447183" w:rsidR="00803C65" w:rsidRDefault="002D4FDE" w:rsidP="001E64CE">
      <w:pPr>
        <w:spacing w:before="120" w:line="276" w:lineRule="auto"/>
        <w:ind w:firstLine="709"/>
        <w:jc w:val="both"/>
        <w:rPr>
          <w:rFonts w:ascii="Arial" w:hAnsi="Arial" w:cs="Arial"/>
          <w:sz w:val="22"/>
          <w:lang w:eastAsia="es-MX"/>
        </w:rPr>
      </w:pPr>
      <w:r w:rsidRPr="002D4FDE">
        <w:rPr>
          <w:rFonts w:ascii="Arial" w:hAnsi="Arial" w:cs="Arial"/>
          <w:sz w:val="22"/>
          <w:lang w:eastAsia="es-MX"/>
        </w:rPr>
        <w:t xml:space="preserve">Por último, </w:t>
      </w:r>
      <w:r w:rsidR="00EB3554">
        <w:rPr>
          <w:rFonts w:ascii="Arial" w:hAnsi="Arial" w:cs="Arial"/>
          <w:sz w:val="22"/>
          <w:lang w:eastAsia="es-MX"/>
        </w:rPr>
        <w:t>se considera</w:t>
      </w:r>
      <w:r w:rsidR="00EB3554" w:rsidRPr="002D4FDE">
        <w:rPr>
          <w:rFonts w:ascii="Arial" w:hAnsi="Arial" w:cs="Arial"/>
          <w:sz w:val="22"/>
          <w:lang w:eastAsia="es-MX"/>
        </w:rPr>
        <w:t xml:space="preserve"> </w:t>
      </w:r>
      <w:r w:rsidRPr="002D4FDE">
        <w:rPr>
          <w:rFonts w:ascii="Arial" w:hAnsi="Arial" w:cs="Arial"/>
          <w:sz w:val="22"/>
          <w:lang w:eastAsia="es-MX"/>
        </w:rPr>
        <w:t>importante mencionar</w:t>
      </w:r>
      <w:r w:rsidR="003A6ABF">
        <w:rPr>
          <w:rFonts w:ascii="Arial" w:hAnsi="Arial" w:cs="Arial"/>
          <w:sz w:val="22"/>
          <w:lang w:eastAsia="es-MX"/>
        </w:rPr>
        <w:t xml:space="preserve">, en lo que resta del concepto, que en relación con los </w:t>
      </w:r>
      <w:r w:rsidR="00A84BE1">
        <w:rPr>
          <w:rFonts w:ascii="Arial" w:hAnsi="Arial" w:cs="Arial"/>
          <w:sz w:val="22"/>
          <w:lang w:eastAsia="es-MX"/>
        </w:rPr>
        <w:t>procedimientos de selección regidos</w:t>
      </w:r>
      <w:r w:rsidR="003A6ABF">
        <w:rPr>
          <w:rFonts w:ascii="Arial" w:hAnsi="Arial" w:cs="Arial"/>
          <w:sz w:val="22"/>
          <w:lang w:eastAsia="es-MX"/>
        </w:rPr>
        <w:t xml:space="preserve"> por los </w:t>
      </w:r>
      <w:r w:rsidR="003A6ABF" w:rsidRPr="00ED2C70">
        <w:rPr>
          <w:rFonts w:ascii="Arial" w:hAnsi="Arial" w:cs="Arial"/>
          <w:i/>
          <w:iCs/>
          <w:sz w:val="22"/>
          <w:lang w:eastAsia="es-MX"/>
        </w:rPr>
        <w:t>documentos tipo</w:t>
      </w:r>
      <w:r w:rsidR="003A6ABF">
        <w:rPr>
          <w:rFonts w:ascii="Arial" w:hAnsi="Arial" w:cs="Arial"/>
          <w:sz w:val="22"/>
          <w:lang w:eastAsia="es-MX"/>
        </w:rPr>
        <w:t xml:space="preserve"> </w:t>
      </w:r>
      <w:r w:rsidR="00A84BE1">
        <w:rPr>
          <w:rFonts w:ascii="Arial" w:hAnsi="Arial" w:cs="Arial"/>
          <w:sz w:val="22"/>
          <w:lang w:eastAsia="es-MX"/>
        </w:rPr>
        <w:t>–</w:t>
      </w:r>
      <w:r w:rsidR="003A6ABF">
        <w:rPr>
          <w:rFonts w:ascii="Arial" w:hAnsi="Arial" w:cs="Arial"/>
          <w:sz w:val="22"/>
          <w:lang w:eastAsia="es-MX"/>
        </w:rPr>
        <w:t>de que trata el parágrafo 7 del artículo 2 de la Ley 1150 de 2007, modificado por la Ley 2022 de 2020</w:t>
      </w:r>
      <w:r w:rsidR="00A84BE1">
        <w:rPr>
          <w:rFonts w:ascii="Arial" w:hAnsi="Arial" w:cs="Arial"/>
          <w:sz w:val="22"/>
          <w:lang w:eastAsia="es-MX"/>
        </w:rPr>
        <w:t>–</w:t>
      </w:r>
      <w:r w:rsidR="003A6ABF">
        <w:rPr>
          <w:rFonts w:ascii="Arial" w:hAnsi="Arial" w:cs="Arial"/>
          <w:sz w:val="22"/>
          <w:lang w:eastAsia="es-MX"/>
        </w:rPr>
        <w:t xml:space="preserve"> que e</w:t>
      </w:r>
      <w:r w:rsidRPr="002D4FDE">
        <w:rPr>
          <w:rFonts w:ascii="Arial" w:hAnsi="Arial" w:cs="Arial"/>
          <w:sz w:val="22"/>
          <w:lang w:eastAsia="es-MX"/>
        </w:rPr>
        <w:t xml:space="preserve">l parágrafo 2 </w:t>
      </w:r>
      <w:r w:rsidR="003A6ABF">
        <w:rPr>
          <w:rFonts w:ascii="Arial" w:hAnsi="Arial" w:cs="Arial"/>
          <w:sz w:val="22"/>
          <w:lang w:eastAsia="es-MX"/>
        </w:rPr>
        <w:t xml:space="preserve">del artículo </w:t>
      </w:r>
      <w:r w:rsidR="003A6ABF" w:rsidRPr="00DD197A">
        <w:rPr>
          <w:rFonts w:ascii="Arial" w:eastAsia="Calibri" w:hAnsi="Arial" w:cs="Arial"/>
          <w:sz w:val="21"/>
          <w:szCs w:val="21"/>
          <w:lang w:val="es-ES_tradnl"/>
        </w:rPr>
        <w:t>2.2.1.2.4.2.16.</w:t>
      </w:r>
      <w:r w:rsidR="003A6ABF">
        <w:rPr>
          <w:rFonts w:ascii="Arial" w:eastAsia="Calibri" w:hAnsi="Arial" w:cs="Arial"/>
          <w:sz w:val="21"/>
          <w:szCs w:val="21"/>
          <w:lang w:val="es-ES_tradnl"/>
        </w:rPr>
        <w:t xml:space="preserve"> del Decreto 1082 de 2015,</w:t>
      </w:r>
      <w:r w:rsidRPr="002D4FDE">
        <w:rPr>
          <w:rFonts w:ascii="Arial" w:hAnsi="Arial" w:cs="Arial"/>
          <w:sz w:val="22"/>
          <w:lang w:eastAsia="es-MX"/>
        </w:rPr>
        <w:t xml:space="preserve"> señala que para efectos de </w:t>
      </w:r>
      <w:r w:rsidR="00A84BE1">
        <w:rPr>
          <w:rFonts w:ascii="Arial" w:hAnsi="Arial" w:cs="Arial"/>
          <w:sz w:val="22"/>
          <w:lang w:eastAsia="es-MX"/>
        </w:rPr>
        <w:t>dichos procesos</w:t>
      </w:r>
      <w:r w:rsidRPr="002D4FDE">
        <w:rPr>
          <w:rFonts w:ascii="Arial" w:hAnsi="Arial" w:cs="Arial"/>
          <w:sz w:val="22"/>
          <w:lang w:eastAsia="es-MX"/>
        </w:rPr>
        <w:t xml:space="preserve">, la Agencia Nacional de Contratación Pública </w:t>
      </w:r>
      <w:r w:rsidR="00EB3554">
        <w:rPr>
          <w:rFonts w:ascii="Arial" w:hAnsi="Arial" w:cs="Arial"/>
          <w:sz w:val="22"/>
          <w:lang w:eastAsia="es-MX"/>
        </w:rPr>
        <w:t xml:space="preserve">– </w:t>
      </w:r>
      <w:r w:rsidR="00396923" w:rsidRPr="002D4FDE">
        <w:rPr>
          <w:rFonts w:ascii="Arial" w:hAnsi="Arial" w:cs="Arial"/>
          <w:sz w:val="22"/>
          <w:lang w:eastAsia="es-MX"/>
        </w:rPr>
        <w:t>Colombia</w:t>
      </w:r>
      <w:r w:rsidRPr="002D4FDE">
        <w:rPr>
          <w:rFonts w:ascii="Arial" w:hAnsi="Arial" w:cs="Arial"/>
          <w:sz w:val="22"/>
          <w:lang w:eastAsia="es-MX"/>
        </w:rPr>
        <w:t xml:space="preserve">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 </w:t>
      </w:r>
      <w:r w:rsidR="00803C65">
        <w:rPr>
          <w:rFonts w:ascii="Arial" w:hAnsi="Arial" w:cs="Arial"/>
          <w:sz w:val="22"/>
          <w:lang w:eastAsia="es-MX"/>
        </w:rPr>
        <w:t>En desarrollo de</w:t>
      </w:r>
      <w:r w:rsidRPr="002D4FDE">
        <w:rPr>
          <w:rFonts w:ascii="Arial" w:hAnsi="Arial" w:cs="Arial"/>
          <w:sz w:val="22"/>
          <w:lang w:eastAsia="es-MX"/>
        </w:rPr>
        <w:t xml:space="preserve"> lo anterior, se expidió la Resolución 275 de 2022 </w:t>
      </w:r>
      <w:r w:rsidR="00D26A9D" w:rsidRPr="00C1085E">
        <w:rPr>
          <w:rFonts w:ascii="Arial" w:eastAsia="Calibri" w:hAnsi="Arial" w:cs="Arial"/>
          <w:color w:val="000000" w:themeColor="text1"/>
          <w:sz w:val="22"/>
          <w:lang w:val="es-ES"/>
        </w:rPr>
        <w:t>«</w:t>
      </w:r>
      <w:r w:rsidR="00D26A9D" w:rsidRPr="00C1085E">
        <w:rPr>
          <w:rFonts w:ascii="Arial" w:eastAsia="Calibri" w:hAnsi="Arial" w:cs="Arial"/>
          <w:color w:val="000000" w:themeColor="text1"/>
          <w:sz w:val="22"/>
        </w:rPr>
        <w:t>Por la cual se modifican los documentos tipo adoptados por la Agencia Nacional de Contratación Pública – Colombia Compra Eficiente</w:t>
      </w:r>
      <w:r w:rsidR="00D26A9D" w:rsidRPr="00C1085E">
        <w:rPr>
          <w:rFonts w:ascii="Arial" w:eastAsia="Calibri" w:hAnsi="Arial" w:cs="Arial"/>
          <w:color w:val="000000" w:themeColor="text1"/>
          <w:sz w:val="22"/>
          <w:lang w:val="es-ES"/>
        </w:rPr>
        <w:t>»</w:t>
      </w:r>
      <w:r w:rsidR="001E64CE">
        <w:rPr>
          <w:rFonts w:ascii="Arial" w:eastAsia="Calibri" w:hAnsi="Arial" w:cs="Arial"/>
          <w:color w:val="000000" w:themeColor="text1"/>
          <w:sz w:val="22"/>
          <w:lang w:val="es-ES"/>
        </w:rPr>
        <w:t xml:space="preserve">, </w:t>
      </w:r>
      <w:r w:rsidR="00803C65">
        <w:rPr>
          <w:rFonts w:ascii="Arial" w:hAnsi="Arial" w:cs="Arial"/>
          <w:sz w:val="22"/>
          <w:lang w:eastAsia="es-MX"/>
        </w:rPr>
        <w:t>que</w:t>
      </w:r>
      <w:r w:rsidRPr="002D4FDE">
        <w:rPr>
          <w:rFonts w:ascii="Arial" w:hAnsi="Arial" w:cs="Arial"/>
          <w:sz w:val="22"/>
          <w:lang w:eastAsia="es-MX"/>
        </w:rPr>
        <w:t xml:space="preserve"> se aplicará a los proceso de contratación cuyo aviso de convocatoria se publique a partir del 29 de agosto de 2022</w:t>
      </w:r>
      <w:r w:rsidR="00803C65">
        <w:rPr>
          <w:rFonts w:ascii="Arial" w:hAnsi="Arial" w:cs="Arial"/>
          <w:sz w:val="22"/>
          <w:lang w:eastAsia="es-MX"/>
        </w:rPr>
        <w:t xml:space="preserve">. </w:t>
      </w:r>
    </w:p>
    <w:p w14:paraId="61E0CBBE" w14:textId="3E45ECC7" w:rsidR="00803C65" w:rsidRDefault="00803C65" w:rsidP="000F1B9B">
      <w:pPr>
        <w:spacing w:before="120" w:line="276" w:lineRule="auto"/>
        <w:ind w:firstLine="709"/>
        <w:jc w:val="both"/>
        <w:rPr>
          <w:rFonts w:ascii="Arial" w:hAnsi="Arial" w:cs="Arial"/>
          <w:iCs/>
          <w:sz w:val="22"/>
          <w:lang w:val="es-ES" w:eastAsia="es-MX"/>
        </w:rPr>
      </w:pPr>
      <w:r>
        <w:rPr>
          <w:rFonts w:ascii="Arial" w:hAnsi="Arial" w:cs="Arial"/>
          <w:sz w:val="22"/>
          <w:lang w:eastAsia="es-MX"/>
        </w:rPr>
        <w:t>Esta resolución regula, entre otros aspectos, las reglas de fomento en los documentos tipo</w:t>
      </w:r>
      <w:r w:rsidR="000F1B9B">
        <w:rPr>
          <w:rFonts w:ascii="Arial" w:hAnsi="Arial" w:cs="Arial"/>
          <w:sz w:val="22"/>
          <w:lang w:eastAsia="es-MX"/>
        </w:rPr>
        <w:t xml:space="preserve"> de infraestructura de transporte en las modalidad</w:t>
      </w:r>
      <w:r w:rsidR="008E24A7">
        <w:rPr>
          <w:rFonts w:ascii="Arial" w:hAnsi="Arial" w:cs="Arial"/>
          <w:sz w:val="22"/>
          <w:lang w:eastAsia="es-MX"/>
        </w:rPr>
        <w:t>es</w:t>
      </w:r>
      <w:r w:rsidR="000F1B9B">
        <w:rPr>
          <w:rFonts w:ascii="Arial" w:hAnsi="Arial" w:cs="Arial"/>
          <w:sz w:val="22"/>
          <w:lang w:eastAsia="es-MX"/>
        </w:rPr>
        <w:t xml:space="preserve"> de licitación pública y selección abreviada </w:t>
      </w:r>
      <w:r w:rsidR="00EB3554">
        <w:rPr>
          <w:rFonts w:ascii="Arial" w:hAnsi="Arial" w:cs="Arial"/>
          <w:sz w:val="22"/>
          <w:lang w:eastAsia="es-MX"/>
        </w:rPr>
        <w:t xml:space="preserve">de </w:t>
      </w:r>
      <w:r w:rsidR="000F1B9B">
        <w:rPr>
          <w:rFonts w:ascii="Arial" w:hAnsi="Arial" w:cs="Arial"/>
          <w:sz w:val="22"/>
          <w:lang w:eastAsia="es-MX"/>
        </w:rPr>
        <w:t>menor cuantía,</w:t>
      </w:r>
      <w:r w:rsidR="008E24A7">
        <w:rPr>
          <w:rFonts w:ascii="Arial" w:hAnsi="Arial" w:cs="Arial"/>
          <w:sz w:val="22"/>
          <w:lang w:eastAsia="es-MX"/>
        </w:rPr>
        <w:t xml:space="preserve"> infraestructura de</w:t>
      </w:r>
      <w:r w:rsidR="000F1B9B">
        <w:rPr>
          <w:rFonts w:ascii="Arial" w:hAnsi="Arial" w:cs="Arial"/>
          <w:sz w:val="22"/>
          <w:lang w:eastAsia="es-MX"/>
        </w:rPr>
        <w:t xml:space="preserve"> agua potable y saneamiento básico e infraestructura social. Para estos efectos, </w:t>
      </w:r>
      <w:r w:rsidR="0003535E">
        <w:rPr>
          <w:rFonts w:ascii="Arial" w:hAnsi="Arial" w:cs="Arial"/>
          <w:sz w:val="22"/>
          <w:lang w:eastAsia="es-MX"/>
        </w:rPr>
        <w:t xml:space="preserve">se </w:t>
      </w:r>
      <w:r w:rsidRPr="00803C65">
        <w:rPr>
          <w:rFonts w:ascii="Arial" w:hAnsi="Arial" w:cs="Arial"/>
          <w:sz w:val="22"/>
          <w:lang w:eastAsia="es-MX"/>
        </w:rPr>
        <w:t>establec</w:t>
      </w:r>
      <w:r w:rsidR="000F1B9B">
        <w:rPr>
          <w:rFonts w:ascii="Arial" w:hAnsi="Arial" w:cs="Arial"/>
          <w:sz w:val="22"/>
          <w:lang w:eastAsia="es-MX"/>
        </w:rPr>
        <w:t xml:space="preserve">ió </w:t>
      </w:r>
      <w:r w:rsidR="000F1B9B" w:rsidRPr="00EC68A5">
        <w:rPr>
          <w:rFonts w:ascii="Arial" w:hAnsi="Arial" w:cs="Arial"/>
          <w:sz w:val="22"/>
          <w:lang w:eastAsia="es-MX"/>
        </w:rPr>
        <w:t xml:space="preserve">en la </w:t>
      </w:r>
      <w:r w:rsidR="008E24A7" w:rsidRPr="00EC68A5">
        <w:rPr>
          <w:rFonts w:ascii="Arial" w:hAnsi="Arial" w:cs="Arial"/>
          <w:sz w:val="22"/>
          <w:lang w:eastAsia="es-MX"/>
        </w:rPr>
        <w:t xml:space="preserve">cláusula novena de la </w:t>
      </w:r>
      <w:r w:rsidR="000F1B9B" w:rsidRPr="00EC68A5">
        <w:rPr>
          <w:rFonts w:ascii="Arial" w:hAnsi="Arial" w:cs="Arial"/>
          <w:sz w:val="22"/>
          <w:lang w:eastAsia="es-MX"/>
        </w:rPr>
        <w:t xml:space="preserve">minuta del contrato </w:t>
      </w:r>
      <w:r w:rsidRPr="00EC68A5">
        <w:rPr>
          <w:rFonts w:ascii="Arial" w:hAnsi="Arial" w:cs="Arial"/>
          <w:sz w:val="22"/>
          <w:lang w:eastAsia="es-MX"/>
        </w:rPr>
        <w:t>la obligación de destinar a la ejecución de</w:t>
      </w:r>
      <w:r w:rsidR="00BF18BF" w:rsidRPr="00EC68A5">
        <w:rPr>
          <w:rFonts w:ascii="Arial" w:hAnsi="Arial" w:cs="Arial"/>
          <w:sz w:val="22"/>
          <w:lang w:eastAsia="es-MX"/>
        </w:rPr>
        <w:t xml:space="preserve"> este</w:t>
      </w:r>
      <w:r w:rsidRPr="00EC68A5">
        <w:rPr>
          <w:rFonts w:ascii="Arial" w:hAnsi="Arial" w:cs="Arial"/>
          <w:sz w:val="22"/>
          <w:lang w:eastAsia="es-MX"/>
        </w:rPr>
        <w:t xml:space="preserve"> </w:t>
      </w:r>
      <w:r w:rsidR="00EC68A5" w:rsidRPr="00EC68A5">
        <w:rPr>
          <w:rFonts w:ascii="Arial" w:hAnsi="Arial" w:cs="Arial"/>
          <w:sz w:val="22"/>
          <w:lang w:eastAsia="es-MX"/>
        </w:rPr>
        <w:t xml:space="preserve">en </w:t>
      </w:r>
      <w:r w:rsidRPr="00EC68A5">
        <w:rPr>
          <w:rFonts w:ascii="Arial" w:hAnsi="Arial" w:cs="Arial"/>
          <w:sz w:val="22"/>
          <w:lang w:eastAsia="es-MX"/>
        </w:rPr>
        <w:t>un porcentaje mínimo</w:t>
      </w:r>
      <w:r w:rsidR="00504676">
        <w:rPr>
          <w:rFonts w:ascii="Arial" w:hAnsi="Arial" w:cs="Arial"/>
          <w:sz w:val="22"/>
          <w:lang w:eastAsia="es-MX"/>
        </w:rPr>
        <w:t xml:space="preserve"> </w:t>
      </w:r>
      <w:r w:rsidR="00EB3554">
        <w:rPr>
          <w:rFonts w:ascii="Arial" w:hAnsi="Arial" w:cs="Arial"/>
          <w:sz w:val="22"/>
          <w:lang w:eastAsia="es-MX"/>
        </w:rPr>
        <w:t>–</w:t>
      </w:r>
      <w:r w:rsidR="00504676">
        <w:rPr>
          <w:rFonts w:ascii="Arial" w:hAnsi="Arial" w:cs="Arial"/>
          <w:sz w:val="22"/>
          <w:lang w:eastAsia="es-MX"/>
        </w:rPr>
        <w:t>que se debe establecer</w:t>
      </w:r>
      <w:r w:rsidRPr="00EC68A5">
        <w:rPr>
          <w:rFonts w:ascii="Arial" w:hAnsi="Arial" w:cs="Arial"/>
          <w:sz w:val="22"/>
          <w:lang w:eastAsia="es-MX"/>
        </w:rPr>
        <w:t xml:space="preserve"> dentro del rango del cinco por ciento (5%) al diez por ciento (10%)</w:t>
      </w:r>
      <w:r w:rsidR="00EB3554">
        <w:rPr>
          <w:rFonts w:ascii="Arial" w:hAnsi="Arial" w:cs="Arial"/>
          <w:sz w:val="22"/>
          <w:lang w:eastAsia="es-MX"/>
        </w:rPr>
        <w:t>–</w:t>
      </w:r>
      <w:r w:rsidRPr="00EC68A5">
        <w:rPr>
          <w:rFonts w:ascii="Arial" w:hAnsi="Arial" w:cs="Arial"/>
          <w:sz w:val="22"/>
          <w:lang w:eastAsia="es-MX"/>
        </w:rPr>
        <w:t xml:space="preserve"> la provisión de bienes o servicios por parte de alguno o algunos de los siguientes sujetos: población en pobreza extrema, desplazados por la violencia, personas en proceso de reintegración o reincorporación y sujetos de especial protección constitucional</w:t>
      </w:r>
      <w:r w:rsidRPr="00803C65">
        <w:rPr>
          <w:rFonts w:ascii="Arial" w:hAnsi="Arial" w:cs="Arial"/>
          <w:sz w:val="22"/>
          <w:lang w:eastAsia="es-MX"/>
        </w:rPr>
        <w:t>, entre otros</w:t>
      </w:r>
      <w:r w:rsidRPr="00803C65">
        <w:rPr>
          <w:rFonts w:ascii="Arial" w:hAnsi="Arial" w:cs="Arial"/>
          <w:b/>
          <w:i/>
          <w:iCs/>
          <w:sz w:val="22"/>
          <w:lang w:val="es-ES" w:eastAsia="es-MX"/>
        </w:rPr>
        <w:t xml:space="preserve"> </w:t>
      </w:r>
      <w:r w:rsidRPr="00803C65">
        <w:rPr>
          <w:rFonts w:ascii="Arial" w:hAnsi="Arial" w:cs="Arial"/>
          <w:bCs/>
          <w:sz w:val="22"/>
          <w:lang w:val="es-ES" w:eastAsia="es-MX"/>
        </w:rPr>
        <w:t xml:space="preserve">sujetos identificados por la Ley o la jurisprudencia de esta </w:t>
      </w:r>
      <w:r w:rsidRPr="00803C65">
        <w:rPr>
          <w:rFonts w:ascii="Arial" w:hAnsi="Arial" w:cs="Arial"/>
          <w:bCs/>
          <w:sz w:val="22"/>
          <w:lang w:val="es-ES" w:eastAsia="es-MX"/>
        </w:rPr>
        <w:lastRenderedPageBreak/>
        <w:t>manera</w:t>
      </w:r>
      <w:r w:rsidRPr="00803C65">
        <w:rPr>
          <w:rFonts w:ascii="Arial" w:hAnsi="Arial" w:cs="Arial"/>
          <w:bCs/>
          <w:sz w:val="22"/>
          <w:lang w:eastAsia="es-MX"/>
        </w:rPr>
        <w:t>.</w:t>
      </w:r>
      <w:r w:rsidRPr="00803C65">
        <w:rPr>
          <w:rFonts w:ascii="Arial" w:hAnsi="Arial" w:cs="Arial"/>
          <w:sz w:val="22"/>
          <w:lang w:eastAsia="es-MX"/>
        </w:rPr>
        <w:t xml:space="preserve"> De este modo, </w:t>
      </w:r>
      <w:r w:rsidR="000350E8">
        <w:rPr>
          <w:rFonts w:ascii="Arial" w:hAnsi="Arial" w:cs="Arial"/>
          <w:sz w:val="22"/>
          <w:lang w:eastAsia="es-MX"/>
        </w:rPr>
        <w:t xml:space="preserve">teniendo en cuenta las consideraciones expuestas anteriormente, </w:t>
      </w:r>
      <w:r w:rsidRPr="00803C65">
        <w:rPr>
          <w:rFonts w:ascii="Arial" w:hAnsi="Arial" w:cs="Arial"/>
          <w:sz w:val="22"/>
          <w:lang w:eastAsia="es-MX"/>
        </w:rPr>
        <w:t xml:space="preserve">si producto del análisis de oportunidad y conveniencia la entidad estatal determina la viabilidad de establecer esta obligación, la incorporará dentro de la minuta del contrato y determinará el porcentaje de vinculación teniendo en cuenta el rango previsto por esta Agencia. No obstante, el contratista podrá incluir en la ejecución del contrato un porcentaje superior </w:t>
      </w:r>
      <w:r w:rsidRPr="00803C65">
        <w:rPr>
          <w:rFonts w:ascii="Arial" w:hAnsi="Arial" w:cs="Arial"/>
          <w:iCs/>
          <w:sz w:val="22"/>
          <w:lang w:val="es-ES" w:eastAsia="es-MX"/>
        </w:rPr>
        <w:t xml:space="preserve">al definido por la Entidad. </w:t>
      </w:r>
    </w:p>
    <w:p w14:paraId="5A9CD86C" w14:textId="6E56671F" w:rsidR="00303196" w:rsidRPr="00BF18BF" w:rsidRDefault="00BF18BF" w:rsidP="00BF18BF">
      <w:pPr>
        <w:spacing w:before="120" w:line="276" w:lineRule="auto"/>
        <w:ind w:firstLine="709"/>
        <w:jc w:val="both"/>
        <w:rPr>
          <w:rFonts w:ascii="Arial" w:hAnsi="Arial" w:cs="Arial"/>
          <w:iCs/>
          <w:sz w:val="22"/>
          <w:lang w:eastAsia="es-MX"/>
        </w:rPr>
      </w:pPr>
      <w:r>
        <w:rPr>
          <w:rFonts w:ascii="Arial" w:hAnsi="Arial" w:cs="Arial"/>
          <w:iCs/>
          <w:sz w:val="22"/>
          <w:lang w:eastAsia="es-MX"/>
        </w:rPr>
        <w:t xml:space="preserve">Adicionalmente, en esta obligación </w:t>
      </w:r>
      <w:r w:rsidR="00303196" w:rsidRPr="00303196">
        <w:rPr>
          <w:rFonts w:ascii="Arial" w:hAnsi="Arial" w:cs="Arial"/>
          <w:iCs/>
          <w:sz w:val="22"/>
          <w:lang w:eastAsia="es-MX"/>
        </w:rPr>
        <w:t>se determinan las condiciones para incorporar a los sujetos mencionados en la ejecución del contrato. De esta manera, el contratista deberá presentar la documentación respectiva que acredita la condición de estos sujetos y la forma en la que se destinará su participación durante su desarrollo. En tal sentido, se fomenta que el contratista determine libremente la forma en que participarán estos sujetos en el desarrollo del objeto contractual, siempre que se garantice que los bienes y servicios requeridos sean proveídos por estos y se mantengan durante toda la ejecución del contrato en el porcentaje mínimo establecido, so pena del incumplimiento contractual</w:t>
      </w:r>
    </w:p>
    <w:p w14:paraId="07F518D6" w14:textId="6FE3AD69" w:rsidR="00803C65" w:rsidRPr="00803C65" w:rsidRDefault="008E24A7" w:rsidP="008E24A7">
      <w:pPr>
        <w:spacing w:before="120" w:line="276" w:lineRule="auto"/>
        <w:ind w:firstLine="709"/>
        <w:jc w:val="both"/>
        <w:rPr>
          <w:rFonts w:ascii="Arial" w:hAnsi="Arial" w:cs="Arial"/>
          <w:iCs/>
          <w:sz w:val="22"/>
          <w:lang w:eastAsia="es-MX"/>
        </w:rPr>
      </w:pPr>
      <w:r>
        <w:rPr>
          <w:rFonts w:ascii="Arial" w:hAnsi="Arial" w:cs="Arial"/>
          <w:iCs/>
          <w:sz w:val="22"/>
          <w:lang w:val="es-ES" w:eastAsia="es-MX"/>
        </w:rPr>
        <w:t xml:space="preserve">Asimismo, </w:t>
      </w:r>
      <w:r w:rsidRPr="008E24A7">
        <w:rPr>
          <w:rFonts w:ascii="Arial" w:hAnsi="Arial" w:cs="Arial"/>
          <w:iCs/>
          <w:sz w:val="22"/>
          <w:lang w:eastAsia="es-MX"/>
        </w:rPr>
        <w:t xml:space="preserve">se incluye en la cláusula de multas las consecuencias de incumplir la obligación señalada. Sin embargo, se precisa que la </w:t>
      </w:r>
      <w:r>
        <w:rPr>
          <w:rFonts w:ascii="Arial" w:hAnsi="Arial" w:cs="Arial"/>
          <w:iCs/>
          <w:sz w:val="22"/>
          <w:lang w:eastAsia="es-MX"/>
        </w:rPr>
        <w:t>e</w:t>
      </w:r>
      <w:r w:rsidRPr="008E24A7">
        <w:rPr>
          <w:rFonts w:ascii="Arial" w:hAnsi="Arial" w:cs="Arial"/>
          <w:iCs/>
          <w:sz w:val="22"/>
          <w:lang w:eastAsia="es-MX"/>
        </w:rPr>
        <w:t>ntidad incorporará dicha multa si del análisis de conveniencia y oportunidad decide establecer la obligación relacionada con la provisión de bienes y servicios por parte de los sujetos de especial protección constitucional. En todo caso, es conveniente resaltar que</w:t>
      </w:r>
      <w:r w:rsidR="00504676">
        <w:rPr>
          <w:rFonts w:ascii="Arial" w:hAnsi="Arial" w:cs="Arial"/>
          <w:iCs/>
          <w:sz w:val="22"/>
          <w:lang w:eastAsia="es-MX"/>
        </w:rPr>
        <w:t>, conforme lo señalado en los documentos tipo,</w:t>
      </w:r>
      <w:r w:rsidRPr="008E24A7">
        <w:rPr>
          <w:rFonts w:ascii="Arial" w:hAnsi="Arial" w:cs="Arial"/>
          <w:iCs/>
          <w:sz w:val="22"/>
          <w:lang w:eastAsia="es-MX"/>
        </w:rPr>
        <w:t xml:space="preserve"> </w:t>
      </w:r>
      <w:r w:rsidRPr="008E24A7">
        <w:rPr>
          <w:rFonts w:ascii="Arial" w:hAnsi="Arial" w:cs="Arial"/>
          <w:iCs/>
          <w:sz w:val="22"/>
          <w:lang w:val="es-MX" w:eastAsia="es-MX"/>
        </w:rPr>
        <w:t>la imposición de esta multa no procederá en aquellos casos en que dicha obligación se hace imposible de cumplir o ejecutar por causas no imputables al contratista, situación que deberá probarse debidamente a la entidad estatal</w:t>
      </w:r>
      <w:r>
        <w:rPr>
          <w:rFonts w:ascii="Arial" w:hAnsi="Arial" w:cs="Arial"/>
          <w:iCs/>
          <w:sz w:val="22"/>
          <w:lang w:eastAsia="es-MX"/>
        </w:rPr>
        <w:t>.</w:t>
      </w:r>
      <w:r w:rsidR="003A6ABF">
        <w:rPr>
          <w:rFonts w:ascii="Arial" w:hAnsi="Arial" w:cs="Arial"/>
          <w:iCs/>
          <w:sz w:val="22"/>
          <w:lang w:eastAsia="es-MX"/>
        </w:rPr>
        <w:t xml:space="preserve"> </w:t>
      </w:r>
    </w:p>
    <w:p w14:paraId="4F507BFC" w14:textId="77777777" w:rsidR="00700956" w:rsidRPr="00A51520" w:rsidRDefault="00700956" w:rsidP="00700956">
      <w:pPr>
        <w:spacing w:line="276" w:lineRule="auto"/>
        <w:jc w:val="both"/>
        <w:rPr>
          <w:rFonts w:ascii="Arial" w:hAnsi="Arial" w:cs="Arial"/>
          <w:sz w:val="22"/>
          <w:lang w:eastAsia="es-MX"/>
        </w:rPr>
      </w:pPr>
    </w:p>
    <w:p w14:paraId="37CA9805" w14:textId="7D32B119" w:rsidR="00DD5B04" w:rsidRPr="00A51520" w:rsidRDefault="004177A6" w:rsidP="00510DE9">
      <w:pPr>
        <w:tabs>
          <w:tab w:val="left" w:pos="0"/>
        </w:tabs>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3</w:t>
      </w:r>
      <w:r w:rsidR="00B011A9" w:rsidRPr="00A51520">
        <w:rPr>
          <w:rFonts w:ascii="Arial" w:eastAsia="Calibri" w:hAnsi="Arial" w:cs="Arial"/>
          <w:b/>
          <w:color w:val="000000" w:themeColor="text1"/>
          <w:sz w:val="22"/>
          <w:lang w:val="es-ES_tradnl"/>
        </w:rPr>
        <w:t xml:space="preserve">. </w:t>
      </w:r>
      <w:r w:rsidR="00DD5B04" w:rsidRPr="00A51520">
        <w:rPr>
          <w:rFonts w:ascii="Arial" w:eastAsia="Calibri" w:hAnsi="Arial" w:cs="Arial"/>
          <w:b/>
          <w:color w:val="000000" w:themeColor="text1"/>
          <w:sz w:val="22"/>
          <w:lang w:val="es-ES_tradnl"/>
        </w:rPr>
        <w:t>Respuesta</w:t>
      </w:r>
    </w:p>
    <w:p w14:paraId="49375CFA" w14:textId="77777777" w:rsidR="00D633AC" w:rsidRPr="00A51520" w:rsidRDefault="00D633AC" w:rsidP="00B90E5C">
      <w:pPr>
        <w:spacing w:line="276" w:lineRule="auto"/>
        <w:jc w:val="both"/>
        <w:rPr>
          <w:rFonts w:ascii="Arial" w:hAnsi="Arial" w:cs="Arial"/>
          <w:color w:val="000000" w:themeColor="text1"/>
          <w:sz w:val="22"/>
          <w:lang w:val="es-ES_tradnl"/>
        </w:rPr>
      </w:pPr>
    </w:p>
    <w:p w14:paraId="7F26D947" w14:textId="77777777" w:rsidR="00C97F8B" w:rsidRPr="00ED2C70" w:rsidRDefault="00C97F8B" w:rsidP="00C97F8B">
      <w:pPr>
        <w:ind w:left="709" w:right="709"/>
        <w:jc w:val="both"/>
        <w:rPr>
          <w:rFonts w:ascii="Arial" w:hAnsi="Arial" w:cs="Arial"/>
          <w:sz w:val="21"/>
          <w:szCs w:val="21"/>
          <w:lang w:val="es-ES_tradnl"/>
        </w:rPr>
      </w:pPr>
      <w:r w:rsidRPr="00ED2C70">
        <w:rPr>
          <w:rFonts w:ascii="Arial" w:hAnsi="Arial" w:cs="Arial"/>
          <w:sz w:val="21"/>
          <w:szCs w:val="21"/>
          <w:lang w:val="es-ES_tradnl"/>
        </w:rPr>
        <w:t xml:space="preserve">i) </w:t>
      </w:r>
      <w:r w:rsidRPr="00ED2C70">
        <w:rPr>
          <w:rFonts w:ascii="Arial" w:hAnsi="Arial" w:cs="Arial"/>
          <w:bCs/>
          <w:sz w:val="21"/>
          <w:szCs w:val="21"/>
        </w:rPr>
        <w:t>«es de carácter obligatorio en todos los procesos contractuales aplicar dicha disposición</w:t>
      </w:r>
      <w:r w:rsidRPr="00ED2C70">
        <w:rPr>
          <w:rFonts w:ascii="Arial" w:hAnsi="Arial" w:cs="Arial"/>
          <w:sz w:val="21"/>
          <w:szCs w:val="21"/>
          <w:lang w:val="es-ES_tradnl"/>
        </w:rPr>
        <w:t>»</w:t>
      </w:r>
    </w:p>
    <w:p w14:paraId="0ABF266B" w14:textId="623183AD" w:rsidR="00D91BA7" w:rsidRDefault="00D91BA7" w:rsidP="00D91BA7">
      <w:pPr>
        <w:ind w:right="709"/>
        <w:jc w:val="both"/>
        <w:rPr>
          <w:rFonts w:ascii="Arial" w:hAnsi="Arial" w:cs="Arial"/>
          <w:sz w:val="22"/>
          <w:lang w:val="es-ES_tradnl"/>
        </w:rPr>
      </w:pPr>
    </w:p>
    <w:p w14:paraId="5B4E3AB4" w14:textId="26DF985D" w:rsidR="00364795" w:rsidRDefault="00364795" w:rsidP="00364795">
      <w:pPr>
        <w:spacing w:after="120" w:line="276" w:lineRule="auto"/>
        <w:jc w:val="both"/>
        <w:rPr>
          <w:rFonts w:ascii="Arial" w:hAnsi="Arial" w:cs="Arial"/>
          <w:sz w:val="21"/>
          <w:szCs w:val="21"/>
        </w:rPr>
      </w:pPr>
      <w:r>
        <w:rPr>
          <w:rFonts w:ascii="Arial" w:hAnsi="Arial" w:cs="Arial"/>
          <w:sz w:val="22"/>
          <w:szCs w:val="22"/>
        </w:rPr>
        <w:t xml:space="preserve">Conforme a la interpretación de </w:t>
      </w:r>
      <w:r w:rsidR="00A308C0">
        <w:rPr>
          <w:rFonts w:ascii="Arial" w:hAnsi="Arial" w:cs="Arial"/>
          <w:sz w:val="22"/>
          <w:szCs w:val="22"/>
        </w:rPr>
        <w:t>la normativa analizada</w:t>
      </w:r>
      <w:r>
        <w:rPr>
          <w:rFonts w:ascii="Arial" w:hAnsi="Arial" w:cs="Arial"/>
          <w:sz w:val="22"/>
          <w:szCs w:val="22"/>
        </w:rPr>
        <w:t>, la aplicación d</w:t>
      </w:r>
      <w:r w:rsidRPr="0008479C">
        <w:rPr>
          <w:rFonts w:ascii="Arial" w:hAnsi="Arial" w:cs="Arial"/>
          <w:sz w:val="22"/>
          <w:szCs w:val="22"/>
        </w:rPr>
        <w:t>el artículo 2.2.1.2.4.2.16 del Decreto 1082 de 2015</w:t>
      </w:r>
      <w:r>
        <w:rPr>
          <w:rFonts w:ascii="Arial" w:hAnsi="Arial" w:cs="Arial"/>
          <w:sz w:val="22"/>
          <w:szCs w:val="22"/>
        </w:rPr>
        <w:t xml:space="preserve">, que se traduce en la inclusión de obligaciones a cargo del contratista cuyo incumplimiento podría acarrearle sanciones pecuniarias, no es automática en todos los procesos de </w:t>
      </w:r>
      <w:r w:rsidR="00F82459">
        <w:rPr>
          <w:rFonts w:ascii="Arial" w:hAnsi="Arial" w:cs="Arial"/>
          <w:sz w:val="22"/>
          <w:szCs w:val="22"/>
        </w:rPr>
        <w:t xml:space="preserve">contratación </w:t>
      </w:r>
      <w:r>
        <w:rPr>
          <w:rFonts w:ascii="Arial" w:hAnsi="Arial" w:cs="Arial"/>
          <w:sz w:val="22"/>
          <w:szCs w:val="22"/>
        </w:rPr>
        <w:t>iniciados a partir de la vigencia del Decreto 1860 de 2021. Esto ya que el incentivo, además de garantizar las condiciones de calidad y el cumplimiento adecuado del objeto contractual</w:t>
      </w:r>
      <w:r w:rsidR="00A308C0">
        <w:rPr>
          <w:rFonts w:ascii="Arial" w:hAnsi="Arial" w:cs="Arial"/>
          <w:sz w:val="22"/>
          <w:szCs w:val="22"/>
        </w:rPr>
        <w:t>,</w:t>
      </w:r>
      <w:r>
        <w:rPr>
          <w:rFonts w:ascii="Arial" w:hAnsi="Arial" w:cs="Arial"/>
          <w:sz w:val="22"/>
          <w:szCs w:val="22"/>
        </w:rPr>
        <w:t xml:space="preserve"> sin perjuicio de los acuerdos comerciales suscritos por el Estado colombiano, también está supeditado al análisis previo de oportunidad y </w:t>
      </w:r>
      <w:r w:rsidRPr="00ED2C70">
        <w:rPr>
          <w:rFonts w:ascii="Arial" w:hAnsi="Arial" w:cs="Arial"/>
          <w:i/>
          <w:iCs/>
          <w:sz w:val="22"/>
          <w:szCs w:val="22"/>
        </w:rPr>
        <w:t>conveniencia</w:t>
      </w:r>
      <w:r>
        <w:rPr>
          <w:rFonts w:ascii="Arial" w:hAnsi="Arial" w:cs="Arial"/>
          <w:sz w:val="22"/>
          <w:szCs w:val="22"/>
        </w:rPr>
        <w:t xml:space="preserve"> </w:t>
      </w:r>
      <w:r w:rsidR="00A308C0">
        <w:rPr>
          <w:rFonts w:ascii="Arial" w:hAnsi="Arial" w:cs="Arial"/>
          <w:sz w:val="22"/>
          <w:szCs w:val="22"/>
        </w:rPr>
        <w:t xml:space="preserve">realizado </w:t>
      </w:r>
      <w:r>
        <w:rPr>
          <w:rFonts w:ascii="Arial" w:hAnsi="Arial" w:cs="Arial"/>
          <w:sz w:val="22"/>
          <w:szCs w:val="22"/>
        </w:rPr>
        <w:t xml:space="preserve">en los Documentos del Proceso. </w:t>
      </w:r>
    </w:p>
    <w:p w14:paraId="632EF3B0" w14:textId="77485072" w:rsidR="00364795" w:rsidRDefault="00364795" w:rsidP="00364795">
      <w:pPr>
        <w:spacing w:after="120" w:line="276" w:lineRule="auto"/>
        <w:ind w:firstLine="708"/>
        <w:jc w:val="both"/>
        <w:rPr>
          <w:rFonts w:ascii="Arial" w:eastAsia="Calibri" w:hAnsi="Arial" w:cs="Arial"/>
          <w:sz w:val="22"/>
          <w:szCs w:val="22"/>
          <w:lang w:val="es-ES_tradnl"/>
        </w:rPr>
      </w:pPr>
      <w:r>
        <w:rPr>
          <w:rFonts w:ascii="Arial" w:hAnsi="Arial" w:cs="Arial"/>
          <w:sz w:val="22"/>
          <w:szCs w:val="22"/>
        </w:rPr>
        <w:lastRenderedPageBreak/>
        <w:t xml:space="preserve">En consecuencia, </w:t>
      </w:r>
      <w:r w:rsidR="00A308C0">
        <w:rPr>
          <w:rFonts w:ascii="Arial" w:eastAsia="Calibri" w:hAnsi="Arial" w:cs="Arial"/>
          <w:sz w:val="22"/>
          <w:szCs w:val="22"/>
          <w:lang w:val="es-ES_tradnl"/>
        </w:rPr>
        <w:t>debe concluirse que la aplicación de este incentivo es de naturaleza discrecional,</w:t>
      </w:r>
      <w:r w:rsidR="00A308C0">
        <w:rPr>
          <w:rFonts w:ascii="Arial" w:hAnsi="Arial" w:cs="Arial"/>
          <w:sz w:val="22"/>
          <w:szCs w:val="22"/>
        </w:rPr>
        <w:t xml:space="preserve"> </w:t>
      </w:r>
      <w:r>
        <w:rPr>
          <w:rFonts w:ascii="Arial" w:hAnsi="Arial" w:cs="Arial"/>
          <w:sz w:val="22"/>
          <w:szCs w:val="22"/>
        </w:rPr>
        <w:t>dado</w:t>
      </w:r>
      <w:r>
        <w:rPr>
          <w:rFonts w:ascii="Arial" w:eastAsia="Calibri" w:hAnsi="Arial" w:cs="Arial"/>
          <w:sz w:val="22"/>
          <w:szCs w:val="22"/>
          <w:lang w:val="es-ES_tradnl"/>
        </w:rPr>
        <w:t xml:space="preserve"> que el fomento a la ejecución de contratos estatales con participación de sujetos de especial protección constitucional en la provisión de los bienes y servicios para el cumplimiento del objeto contractual se realizará bajo criterios </w:t>
      </w:r>
      <w:r w:rsidRPr="004118ED">
        <w:rPr>
          <w:rFonts w:ascii="Arial" w:eastAsia="Calibri" w:hAnsi="Arial" w:cs="Arial"/>
          <w:i/>
          <w:iCs/>
          <w:sz w:val="22"/>
          <w:szCs w:val="22"/>
          <w:lang w:val="es-ES_tradnl"/>
        </w:rPr>
        <w:t>de oportunidad y conveniencia</w:t>
      </w:r>
      <w:r>
        <w:rPr>
          <w:rFonts w:ascii="Arial" w:eastAsia="Calibri" w:hAnsi="Arial" w:cs="Arial"/>
          <w:i/>
          <w:iCs/>
          <w:sz w:val="22"/>
          <w:szCs w:val="22"/>
          <w:lang w:val="es-ES_tradnl"/>
        </w:rPr>
        <w:t>, garantizando la calidad y sin poner en riesgo el cumplimiento del contrato</w:t>
      </w:r>
      <w:r>
        <w:rPr>
          <w:rFonts w:ascii="Arial" w:eastAsia="Calibri" w:hAnsi="Arial" w:cs="Arial"/>
          <w:sz w:val="22"/>
          <w:szCs w:val="22"/>
          <w:lang w:val="es-ES_tradnl"/>
        </w:rPr>
        <w:t xml:space="preserve">. </w:t>
      </w:r>
      <w:r w:rsidR="00A308C0">
        <w:rPr>
          <w:rFonts w:ascii="Arial" w:eastAsia="Calibri" w:hAnsi="Arial" w:cs="Arial"/>
          <w:sz w:val="22"/>
          <w:szCs w:val="22"/>
          <w:lang w:val="es-ES_tradnl"/>
        </w:rPr>
        <w:t>Por ello,</w:t>
      </w:r>
      <w:r>
        <w:rPr>
          <w:rFonts w:ascii="Arial" w:eastAsia="Calibri" w:hAnsi="Arial" w:cs="Arial"/>
          <w:sz w:val="22"/>
          <w:szCs w:val="22"/>
          <w:lang w:val="es-ES_tradnl"/>
        </w:rPr>
        <w:t xml:space="preserve"> corresponderá a la entidad contratante, en la etapa de planeación, determinar si es oportuno</w:t>
      </w:r>
      <w:r w:rsidR="009C4A6E">
        <w:rPr>
          <w:rFonts w:ascii="Arial" w:eastAsia="Calibri" w:hAnsi="Arial" w:cs="Arial"/>
          <w:sz w:val="22"/>
          <w:szCs w:val="22"/>
          <w:lang w:val="es-ES_tradnl"/>
        </w:rPr>
        <w:t xml:space="preserve"> y</w:t>
      </w:r>
      <w:r>
        <w:rPr>
          <w:rFonts w:ascii="Arial" w:eastAsia="Calibri" w:hAnsi="Arial" w:cs="Arial"/>
          <w:sz w:val="22"/>
          <w:szCs w:val="22"/>
          <w:lang w:val="es-ES_tradnl"/>
        </w:rPr>
        <w:t xml:space="preserve"> conveniente incluir </w:t>
      </w:r>
      <w:r w:rsidR="00A308C0">
        <w:rPr>
          <w:rFonts w:ascii="Arial" w:eastAsia="Calibri" w:hAnsi="Arial" w:cs="Arial"/>
          <w:sz w:val="22"/>
          <w:szCs w:val="22"/>
          <w:lang w:val="es-ES_tradnl"/>
        </w:rPr>
        <w:t xml:space="preserve">la exigencia de </w:t>
      </w:r>
      <w:r>
        <w:rPr>
          <w:rFonts w:ascii="Arial" w:eastAsia="Calibri" w:hAnsi="Arial" w:cs="Arial"/>
          <w:sz w:val="22"/>
          <w:szCs w:val="22"/>
          <w:lang w:val="es-ES_tradnl"/>
        </w:rPr>
        <w:t>dicha provisión en los pliegos de condiciones o documento equivalente</w:t>
      </w:r>
      <w:r w:rsidR="00F82459">
        <w:rPr>
          <w:rFonts w:ascii="Arial" w:eastAsia="Calibri" w:hAnsi="Arial" w:cs="Arial"/>
          <w:sz w:val="22"/>
          <w:szCs w:val="22"/>
          <w:lang w:val="es-ES_tradnl"/>
        </w:rPr>
        <w:t>.</w:t>
      </w:r>
    </w:p>
    <w:p w14:paraId="1B47A126" w14:textId="6A56980D" w:rsidR="00364795" w:rsidRDefault="00364795" w:rsidP="00364795">
      <w:pPr>
        <w:spacing w:after="120" w:line="276" w:lineRule="auto"/>
        <w:ind w:firstLine="709"/>
        <w:jc w:val="both"/>
        <w:rPr>
          <w:rFonts w:ascii="Arial" w:eastAsia="Calibri" w:hAnsi="Arial" w:cs="Arial"/>
          <w:sz w:val="22"/>
          <w:szCs w:val="22"/>
        </w:rPr>
      </w:pPr>
      <w:r>
        <w:rPr>
          <w:rFonts w:ascii="Arial" w:eastAsia="Calibri" w:hAnsi="Arial" w:cs="Arial"/>
          <w:sz w:val="22"/>
          <w:szCs w:val="22"/>
          <w:lang w:val="es-ES_tradnl"/>
        </w:rPr>
        <w:t>En efecto, el ejercicio de potestades discrecionales comporta valoraciones de conveniencia</w:t>
      </w:r>
      <w:r>
        <w:rPr>
          <w:rFonts w:ascii="Arial" w:eastAsia="Calibri" w:hAnsi="Arial" w:cs="Arial"/>
          <w:sz w:val="22"/>
          <w:szCs w:val="22"/>
        </w:rPr>
        <w:t xml:space="preserve">, ya que la norma no predetermina el contenido de la decisión sino que la deja a la libre consideración del órgano competente. En otras palabras, </w:t>
      </w:r>
      <w:r w:rsidRPr="00D81335">
        <w:rPr>
          <w:rFonts w:ascii="Arial" w:eastAsia="Calibri" w:hAnsi="Arial" w:cs="Arial"/>
          <w:sz w:val="22"/>
          <w:szCs w:val="22"/>
        </w:rPr>
        <w:t>queda a la Administración la facultad de valorar la oportunidad de actuar o dejar de hacerlo</w:t>
      </w:r>
      <w:r>
        <w:rPr>
          <w:rFonts w:ascii="Arial" w:eastAsia="Calibri" w:hAnsi="Arial" w:cs="Arial"/>
          <w:sz w:val="22"/>
          <w:szCs w:val="22"/>
        </w:rPr>
        <w:t xml:space="preserve">. </w:t>
      </w:r>
      <w:r w:rsidRPr="00B93DC6">
        <w:rPr>
          <w:rFonts w:ascii="Arial" w:eastAsia="Calibri" w:hAnsi="Arial" w:cs="Arial"/>
          <w:sz w:val="22"/>
          <w:szCs w:val="22"/>
        </w:rPr>
        <w:t xml:space="preserve">Esa facultad de apreciación del interés público con el fin de decidir la conveniencia o no de la acción administrativa </w:t>
      </w:r>
      <w:r>
        <w:rPr>
          <w:rFonts w:ascii="Arial" w:eastAsia="Calibri" w:hAnsi="Arial" w:cs="Arial"/>
          <w:sz w:val="22"/>
          <w:szCs w:val="22"/>
        </w:rPr>
        <w:t>no corresponde a</w:t>
      </w:r>
      <w:r w:rsidR="00A308C0">
        <w:rPr>
          <w:rFonts w:ascii="Arial" w:eastAsia="Calibri" w:hAnsi="Arial" w:cs="Arial"/>
          <w:sz w:val="22"/>
          <w:szCs w:val="22"/>
        </w:rPr>
        <w:t>l</w:t>
      </w:r>
      <w:r>
        <w:rPr>
          <w:rFonts w:ascii="Arial" w:eastAsia="Calibri" w:hAnsi="Arial" w:cs="Arial"/>
          <w:sz w:val="22"/>
          <w:szCs w:val="22"/>
        </w:rPr>
        <w:t xml:space="preserve"> ejercicio de una potestad reglada. </w:t>
      </w:r>
    </w:p>
    <w:p w14:paraId="25FDEC19" w14:textId="6EAFF083" w:rsidR="00364795" w:rsidRDefault="00364795" w:rsidP="00364795">
      <w:pPr>
        <w:spacing w:line="276" w:lineRule="auto"/>
        <w:ind w:firstLine="708"/>
        <w:jc w:val="both"/>
        <w:rPr>
          <w:rFonts w:ascii="Arial" w:eastAsia="Calibri" w:hAnsi="Arial" w:cs="Arial"/>
          <w:color w:val="000000" w:themeColor="text1"/>
          <w:sz w:val="22"/>
          <w:lang w:val="es-ES_tradnl"/>
        </w:rPr>
      </w:pPr>
      <w:r>
        <w:rPr>
          <w:rFonts w:ascii="Arial" w:eastAsia="Calibri" w:hAnsi="Arial" w:cs="Arial"/>
          <w:sz w:val="22"/>
          <w:szCs w:val="22"/>
          <w:lang w:val="es-ES_tradnl"/>
        </w:rPr>
        <w:t xml:space="preserve">Por tanto, </w:t>
      </w:r>
      <w:r w:rsidR="006E329B">
        <w:rPr>
          <w:rFonts w:ascii="Arial" w:eastAsia="Calibri" w:hAnsi="Arial" w:cs="Arial"/>
          <w:sz w:val="22"/>
          <w:szCs w:val="22"/>
          <w:lang w:val="es-ES_tradnl"/>
        </w:rPr>
        <w:t xml:space="preserve">si previa valoración de la </w:t>
      </w:r>
      <w:r w:rsidR="006E329B" w:rsidRPr="006E329B">
        <w:rPr>
          <w:rFonts w:ascii="Arial" w:eastAsia="Calibri" w:hAnsi="Arial" w:cs="Arial"/>
          <w:i/>
          <w:iCs/>
          <w:sz w:val="22"/>
          <w:szCs w:val="22"/>
          <w:lang w:val="es-ES_tradnl"/>
        </w:rPr>
        <w:t xml:space="preserve">oportunidad </w:t>
      </w:r>
      <w:r w:rsidR="006E329B">
        <w:rPr>
          <w:rFonts w:ascii="Arial" w:eastAsia="Calibri" w:hAnsi="Arial" w:cs="Arial"/>
          <w:sz w:val="22"/>
          <w:szCs w:val="22"/>
          <w:lang w:val="es-ES_tradnl"/>
        </w:rPr>
        <w:t xml:space="preserve">y la </w:t>
      </w:r>
      <w:r w:rsidR="006E329B" w:rsidRPr="006E329B">
        <w:rPr>
          <w:rFonts w:ascii="Arial" w:eastAsia="Calibri" w:hAnsi="Arial" w:cs="Arial"/>
          <w:i/>
          <w:iCs/>
          <w:sz w:val="22"/>
          <w:szCs w:val="22"/>
          <w:lang w:val="es-ES_tradnl"/>
        </w:rPr>
        <w:t xml:space="preserve">conveniencia </w:t>
      </w:r>
      <w:r w:rsidR="006E329B">
        <w:rPr>
          <w:rFonts w:ascii="Arial" w:eastAsia="Calibri" w:hAnsi="Arial" w:cs="Arial"/>
          <w:sz w:val="22"/>
          <w:szCs w:val="22"/>
          <w:lang w:val="es-ES_tradnl"/>
        </w:rPr>
        <w:t xml:space="preserve"> </w:t>
      </w:r>
      <w:r w:rsidR="006E329B" w:rsidRPr="005646AE">
        <w:rPr>
          <w:rFonts w:ascii="Arial" w:eastAsia="Calibri" w:hAnsi="Arial" w:cs="Arial"/>
          <w:sz w:val="22"/>
          <w:szCs w:val="22"/>
          <w:lang w:val="es-ES_tradnl"/>
        </w:rPr>
        <w:t>se concluye</w:t>
      </w:r>
      <w:r w:rsidR="006E329B">
        <w:rPr>
          <w:rFonts w:ascii="Arial" w:eastAsia="Calibri" w:hAnsi="Arial" w:cs="Arial"/>
          <w:sz w:val="22"/>
          <w:szCs w:val="22"/>
          <w:lang w:val="es-ES_tradnl"/>
        </w:rPr>
        <w:t xml:space="preserve"> que el incentivo puede incorporarse y </w:t>
      </w:r>
      <w:r>
        <w:rPr>
          <w:rFonts w:ascii="Arial" w:eastAsia="Calibri" w:hAnsi="Arial" w:cs="Arial"/>
          <w:sz w:val="22"/>
          <w:szCs w:val="22"/>
          <w:lang w:val="es-ES_tradnl"/>
        </w:rPr>
        <w:t>no pone en riesgo las condiciones de calidad, no contraría Acuerdos Comerciales vigentes</w:t>
      </w:r>
      <w:r w:rsidR="00A308C0">
        <w:rPr>
          <w:rFonts w:ascii="Arial" w:eastAsia="Calibri" w:hAnsi="Arial" w:cs="Arial"/>
          <w:sz w:val="22"/>
          <w:szCs w:val="22"/>
          <w:lang w:val="es-ES_tradnl"/>
        </w:rPr>
        <w:t>,</w:t>
      </w:r>
      <w:r>
        <w:rPr>
          <w:rFonts w:ascii="Arial" w:eastAsia="Calibri" w:hAnsi="Arial" w:cs="Arial"/>
          <w:sz w:val="22"/>
          <w:szCs w:val="22"/>
          <w:lang w:val="es-ES_tradnl"/>
        </w:rPr>
        <w:t xml:space="preserve"> ni pone en riesgo la adecuada ejecución del objeto contractual, la entidad contratante</w:t>
      </w:r>
      <w:r w:rsidDel="00150930">
        <w:rPr>
          <w:rFonts w:ascii="Arial" w:eastAsia="Calibri" w:hAnsi="Arial" w:cs="Arial"/>
          <w:sz w:val="22"/>
          <w:szCs w:val="22"/>
          <w:lang w:val="es-ES_tradnl"/>
        </w:rPr>
        <w:t xml:space="preserve"> </w:t>
      </w:r>
      <w:r>
        <w:rPr>
          <w:rFonts w:ascii="Arial" w:eastAsia="Calibri" w:hAnsi="Arial" w:cs="Arial"/>
          <w:sz w:val="22"/>
          <w:szCs w:val="22"/>
          <w:lang w:val="es-ES_tradnl"/>
        </w:rPr>
        <w:t xml:space="preserve">estructurará el pliego de condiciones o documento equivalente exigiendo el porcentaje dentro del rango previsto en la norma en comento y fijando </w:t>
      </w:r>
      <w:r w:rsidR="00A308C0">
        <w:rPr>
          <w:rFonts w:ascii="Arial" w:eastAsia="Calibri" w:hAnsi="Arial" w:cs="Arial"/>
          <w:sz w:val="22"/>
          <w:szCs w:val="22"/>
          <w:lang w:val="es-ES_tradnl"/>
        </w:rPr>
        <w:t xml:space="preserve">en la minuta del contrato </w:t>
      </w:r>
      <w:r>
        <w:rPr>
          <w:rFonts w:ascii="Arial" w:eastAsia="Calibri" w:hAnsi="Arial" w:cs="Arial"/>
          <w:sz w:val="22"/>
          <w:szCs w:val="22"/>
          <w:lang w:val="es-ES_tradnl"/>
        </w:rPr>
        <w:t xml:space="preserve">las sanciones pecuniarias derivadas del incumplimiento injustificado. Por el contrario, si estima que el incentivo no cumple los criterios anteriormente expuestos por las razones que se expresen en los documentos del proceso, no aplicará la regla de fomento del </w:t>
      </w:r>
      <w:r w:rsidRPr="0008479C">
        <w:rPr>
          <w:rFonts w:ascii="Arial" w:hAnsi="Arial" w:cs="Arial"/>
          <w:sz w:val="22"/>
          <w:szCs w:val="22"/>
        </w:rPr>
        <w:t>artículo 2.2.1.2.4.2.16 del Decreto 1082 de 2015</w:t>
      </w:r>
      <w:r>
        <w:rPr>
          <w:rFonts w:ascii="Arial" w:hAnsi="Arial" w:cs="Arial"/>
          <w:sz w:val="22"/>
          <w:szCs w:val="22"/>
        </w:rPr>
        <w:t xml:space="preserve">. </w:t>
      </w:r>
    </w:p>
    <w:p w14:paraId="74FC6310" w14:textId="77777777" w:rsidR="00D91BA7" w:rsidRDefault="00D91BA7" w:rsidP="00D91BA7">
      <w:pPr>
        <w:ind w:right="709"/>
        <w:jc w:val="both"/>
        <w:rPr>
          <w:rFonts w:ascii="Arial" w:hAnsi="Arial" w:cs="Arial"/>
          <w:sz w:val="22"/>
          <w:lang w:val="es-ES_tradnl"/>
        </w:rPr>
      </w:pPr>
    </w:p>
    <w:p w14:paraId="1F882448" w14:textId="04E7BCD9" w:rsidR="00C97F8B" w:rsidRPr="00C6490E" w:rsidRDefault="00C97F8B" w:rsidP="002B6F42">
      <w:pPr>
        <w:ind w:left="709" w:right="709"/>
        <w:jc w:val="both"/>
        <w:rPr>
          <w:rFonts w:ascii="Arial" w:hAnsi="Arial" w:cs="Arial"/>
          <w:sz w:val="21"/>
          <w:szCs w:val="21"/>
          <w:lang w:val="es-ES_tradnl"/>
        </w:rPr>
      </w:pPr>
      <w:r w:rsidRPr="00C6490E">
        <w:rPr>
          <w:rFonts w:ascii="Arial" w:hAnsi="Arial" w:cs="Arial"/>
          <w:sz w:val="21"/>
          <w:szCs w:val="21"/>
          <w:lang w:val="es-ES_tradnl"/>
        </w:rPr>
        <w:t xml:space="preserve"> </w:t>
      </w:r>
      <w:proofErr w:type="spellStart"/>
      <w:r w:rsidRPr="00C6490E">
        <w:rPr>
          <w:rFonts w:ascii="Arial" w:hAnsi="Arial" w:cs="Arial"/>
          <w:sz w:val="21"/>
          <w:szCs w:val="21"/>
          <w:lang w:val="es-ES_tradnl"/>
        </w:rPr>
        <w:t>ii</w:t>
      </w:r>
      <w:proofErr w:type="spellEnd"/>
      <w:r w:rsidRPr="00C6490E">
        <w:rPr>
          <w:rFonts w:ascii="Arial" w:hAnsi="Arial" w:cs="Arial"/>
          <w:sz w:val="21"/>
          <w:szCs w:val="21"/>
          <w:lang w:val="es-ES_tradnl"/>
        </w:rPr>
        <w:t xml:space="preserve">) </w:t>
      </w:r>
      <w:r w:rsidRPr="00C6490E">
        <w:rPr>
          <w:rFonts w:ascii="Arial" w:hAnsi="Arial" w:cs="Arial"/>
          <w:bCs/>
          <w:sz w:val="21"/>
          <w:szCs w:val="21"/>
        </w:rPr>
        <w:t>«cuando se establece la palabra Fomento ha (sic) que se hace referencia</w:t>
      </w:r>
      <w:r w:rsidRPr="00C6490E">
        <w:rPr>
          <w:rFonts w:ascii="Arial" w:hAnsi="Arial" w:cs="Arial"/>
          <w:sz w:val="21"/>
          <w:szCs w:val="21"/>
          <w:lang w:val="es-ES_tradnl"/>
        </w:rPr>
        <w:t>»</w:t>
      </w:r>
    </w:p>
    <w:p w14:paraId="6E37DA64" w14:textId="6FC230ED" w:rsidR="002B6F42" w:rsidRDefault="002B6F42" w:rsidP="00F82459">
      <w:pPr>
        <w:spacing w:line="276" w:lineRule="auto"/>
        <w:ind w:right="709"/>
        <w:jc w:val="both"/>
        <w:rPr>
          <w:rFonts w:ascii="Arial" w:hAnsi="Arial" w:cs="Arial"/>
          <w:sz w:val="22"/>
          <w:lang w:val="es-ES_tradnl"/>
        </w:rPr>
      </w:pPr>
    </w:p>
    <w:p w14:paraId="028C36D6" w14:textId="3501F644" w:rsidR="00113DB3" w:rsidRDefault="0003535E" w:rsidP="00F82459">
      <w:pPr>
        <w:spacing w:line="276" w:lineRule="auto"/>
        <w:jc w:val="both"/>
        <w:rPr>
          <w:rFonts w:ascii="Arial" w:hAnsi="Arial" w:cs="Arial"/>
          <w:sz w:val="22"/>
          <w:lang w:eastAsia="es-MX"/>
        </w:rPr>
      </w:pPr>
      <w:r>
        <w:rPr>
          <w:rFonts w:ascii="Arial" w:hAnsi="Arial" w:cs="Arial"/>
          <w:sz w:val="22"/>
          <w:lang w:eastAsia="es-MX"/>
        </w:rPr>
        <w:t>En la memoria justificativa del proyecto que se convirtió en el Decreto 1860 de 2021 se indica que</w:t>
      </w:r>
      <w:r w:rsidRPr="00066FF0">
        <w:t xml:space="preserve"> </w:t>
      </w:r>
      <w:r w:rsidRPr="00066FF0">
        <w:rPr>
          <w:rFonts w:ascii="Arial" w:hAnsi="Arial" w:cs="Arial"/>
          <w:sz w:val="22"/>
          <w:lang w:eastAsia="es-MX"/>
        </w:rPr>
        <w:t>con</w:t>
      </w:r>
      <w:r>
        <w:rPr>
          <w:rFonts w:ascii="Arial" w:hAnsi="Arial" w:cs="Arial"/>
          <w:sz w:val="22"/>
          <w:lang w:eastAsia="es-MX"/>
        </w:rPr>
        <w:t xml:space="preserve"> este mecanismo </w:t>
      </w:r>
      <w:r w:rsidRPr="00EE341D">
        <w:rPr>
          <w:rFonts w:ascii="Arial" w:eastAsia="Arial" w:hAnsi="Arial" w:cs="Arial"/>
          <w:color w:val="000000"/>
          <w:sz w:val="22"/>
          <w:szCs w:val="22"/>
        </w:rPr>
        <w:t>«</w:t>
      </w:r>
      <w:r w:rsidRPr="00066FF0">
        <w:rPr>
          <w:rFonts w:ascii="Arial" w:hAnsi="Arial" w:cs="Arial"/>
          <w:sz w:val="22"/>
          <w:lang w:eastAsia="es-MX"/>
        </w:rPr>
        <w:t>se incentiva la provisión de bienes y servicios por parte de sujetos de especial protección constitucional, utilizando los contratos estatales, y todos aquellos celebrados con cargo a recursos públicos, como un medio para llevar a cabo tal fin, lo cual se interpreta como una medida de acción afirmativa o un incentivo contractual</w:t>
      </w:r>
      <w:r w:rsidRPr="00EE341D">
        <w:rPr>
          <w:rFonts w:ascii="Arial" w:eastAsia="Arial" w:hAnsi="Arial" w:cs="Arial"/>
          <w:color w:val="000000"/>
          <w:sz w:val="22"/>
          <w:szCs w:val="22"/>
        </w:rPr>
        <w:t>»</w:t>
      </w:r>
      <w:r w:rsidRPr="00066FF0">
        <w:rPr>
          <w:rFonts w:ascii="Arial" w:hAnsi="Arial" w:cs="Arial"/>
          <w:sz w:val="22"/>
          <w:lang w:eastAsia="es-MX"/>
        </w:rPr>
        <w:t>.</w:t>
      </w:r>
      <w:r>
        <w:rPr>
          <w:rFonts w:ascii="Arial" w:hAnsi="Arial" w:cs="Arial"/>
          <w:sz w:val="22"/>
          <w:lang w:eastAsia="es-MX"/>
        </w:rPr>
        <w:t xml:space="preserve"> Así, </w:t>
      </w:r>
      <w:r>
        <w:rPr>
          <w:rFonts w:ascii="Arial" w:hAnsi="Arial" w:cs="Arial"/>
          <w:bCs/>
          <w:sz w:val="22"/>
          <w:lang w:val="es-ES_tradnl" w:eastAsia="es-MX"/>
        </w:rPr>
        <w:t>e</w:t>
      </w:r>
      <w:r w:rsidRPr="00836197">
        <w:rPr>
          <w:rFonts w:ascii="Arial" w:hAnsi="Arial" w:cs="Arial"/>
          <w:bCs/>
          <w:sz w:val="22"/>
          <w:lang w:val="es-ES_tradnl" w:eastAsia="es-MX"/>
        </w:rPr>
        <w:t>n armonía con el artículo 34 de la Ley 2069 de 2020, el espíritu de la norma es promover el desarrollo para las personas que necesiten estas acciones de fomento por parte del Estado</w:t>
      </w:r>
      <w:r w:rsidRPr="00836197">
        <w:rPr>
          <w:rFonts w:ascii="Arial" w:hAnsi="Arial" w:cs="Arial"/>
          <w:sz w:val="22"/>
          <w:lang w:eastAsia="es-MX"/>
        </w:rPr>
        <w:t xml:space="preserve">. </w:t>
      </w:r>
    </w:p>
    <w:p w14:paraId="2B2DD045" w14:textId="3F463D9A" w:rsidR="0003535E" w:rsidRDefault="0003535E" w:rsidP="00113DB3">
      <w:pPr>
        <w:spacing w:before="120" w:line="276" w:lineRule="auto"/>
        <w:ind w:firstLine="709"/>
        <w:jc w:val="both"/>
        <w:rPr>
          <w:rFonts w:ascii="Arial" w:hAnsi="Arial" w:cs="Arial"/>
          <w:sz w:val="22"/>
          <w:lang w:eastAsia="es-MX"/>
        </w:rPr>
      </w:pPr>
      <w:r w:rsidRPr="00836197">
        <w:rPr>
          <w:rFonts w:ascii="Arial" w:hAnsi="Arial" w:cs="Arial"/>
          <w:sz w:val="22"/>
          <w:lang w:eastAsia="es-MX"/>
        </w:rPr>
        <w:t xml:space="preserve">En este contexto, la palabra </w:t>
      </w:r>
      <w:r w:rsidRPr="00836197">
        <w:rPr>
          <w:rFonts w:ascii="Arial" w:hAnsi="Arial" w:cs="Arial"/>
          <w:bCs/>
          <w:sz w:val="22"/>
          <w:lang w:val="es-ES_tradnl" w:eastAsia="es-MX"/>
        </w:rPr>
        <w:t>«</w:t>
      </w:r>
      <w:r w:rsidRPr="00836197">
        <w:rPr>
          <w:rFonts w:ascii="Arial" w:hAnsi="Arial" w:cs="Arial"/>
          <w:sz w:val="22"/>
          <w:lang w:eastAsia="es-MX"/>
        </w:rPr>
        <w:t>Fomento</w:t>
      </w:r>
      <w:r w:rsidRPr="00836197">
        <w:rPr>
          <w:rFonts w:ascii="Arial" w:hAnsi="Arial" w:cs="Arial"/>
          <w:bCs/>
          <w:sz w:val="22"/>
          <w:lang w:val="es-ES_tradnl" w:eastAsia="es-MX"/>
        </w:rPr>
        <w:t>» incorporada en el artículo</w:t>
      </w:r>
      <w:r w:rsidRPr="00836197">
        <w:rPr>
          <w:rFonts w:ascii="Arial" w:hAnsi="Arial" w:cs="Arial"/>
          <w:sz w:val="22"/>
          <w:lang w:eastAsia="es-MX"/>
        </w:rPr>
        <w:t xml:space="preserve"> 2.2.1.2.4.2.16. </w:t>
      </w:r>
      <w:r>
        <w:rPr>
          <w:rFonts w:ascii="Arial" w:hAnsi="Arial" w:cs="Arial"/>
          <w:sz w:val="22"/>
          <w:lang w:eastAsia="es-MX"/>
        </w:rPr>
        <w:t>del</w:t>
      </w:r>
      <w:r w:rsidRPr="00836197">
        <w:rPr>
          <w:rFonts w:ascii="Arial" w:hAnsi="Arial" w:cs="Arial"/>
          <w:sz w:val="22"/>
          <w:lang w:eastAsia="es-MX"/>
        </w:rPr>
        <w:t xml:space="preserve"> Decreto 1082 de 20</w:t>
      </w:r>
      <w:r>
        <w:rPr>
          <w:rFonts w:ascii="Arial" w:hAnsi="Arial" w:cs="Arial"/>
          <w:sz w:val="22"/>
          <w:lang w:eastAsia="es-MX"/>
        </w:rPr>
        <w:t>15</w:t>
      </w:r>
      <w:r w:rsidRPr="00836197">
        <w:rPr>
          <w:rFonts w:ascii="Arial" w:hAnsi="Arial" w:cs="Arial"/>
          <w:sz w:val="22"/>
          <w:lang w:eastAsia="es-MX"/>
        </w:rPr>
        <w:t xml:space="preserve"> debe entenderse según s</w:t>
      </w:r>
      <w:r>
        <w:rPr>
          <w:rFonts w:ascii="Arial" w:hAnsi="Arial" w:cs="Arial"/>
          <w:sz w:val="22"/>
          <w:lang w:eastAsia="es-MX"/>
        </w:rPr>
        <w:t xml:space="preserve">u </w:t>
      </w:r>
      <w:r w:rsidRPr="00836197">
        <w:rPr>
          <w:rFonts w:ascii="Arial" w:hAnsi="Arial" w:cs="Arial"/>
          <w:sz w:val="22"/>
          <w:lang w:eastAsia="es-MX"/>
        </w:rPr>
        <w:t>significado literal</w:t>
      </w:r>
      <w:r w:rsidR="00A308C0">
        <w:rPr>
          <w:rFonts w:ascii="Arial" w:hAnsi="Arial" w:cs="Arial"/>
          <w:sz w:val="22"/>
          <w:lang w:eastAsia="es-MX"/>
        </w:rPr>
        <w:t>,</w:t>
      </w:r>
      <w:r w:rsidRPr="00836197">
        <w:rPr>
          <w:rFonts w:ascii="Arial" w:hAnsi="Arial" w:cs="Arial"/>
          <w:sz w:val="22"/>
          <w:lang w:eastAsia="es-MX"/>
        </w:rPr>
        <w:t xml:space="preserve"> es decir, </w:t>
      </w:r>
      <w:r w:rsidRPr="00836197">
        <w:rPr>
          <w:rFonts w:ascii="Arial" w:hAnsi="Arial" w:cs="Arial"/>
          <w:bCs/>
          <w:sz w:val="22"/>
          <w:lang w:val="es-ES_tradnl" w:eastAsia="es-MX"/>
        </w:rPr>
        <w:lastRenderedPageBreak/>
        <w:t>«</w:t>
      </w:r>
      <w:r w:rsidRPr="00836197">
        <w:rPr>
          <w:rFonts w:ascii="Arial" w:hAnsi="Arial" w:cs="Arial"/>
          <w:sz w:val="22"/>
          <w:lang w:eastAsia="es-MX"/>
        </w:rPr>
        <w:t>promover</w:t>
      </w:r>
      <w:r>
        <w:rPr>
          <w:rFonts w:ascii="Arial" w:hAnsi="Arial" w:cs="Arial"/>
          <w:sz w:val="22"/>
          <w:lang w:eastAsia="es-MX"/>
        </w:rPr>
        <w:t xml:space="preserve">, </w:t>
      </w:r>
      <w:r w:rsidRPr="00836197">
        <w:rPr>
          <w:rFonts w:ascii="Arial" w:hAnsi="Arial" w:cs="Arial"/>
          <w:sz w:val="22"/>
          <w:lang w:eastAsia="es-MX"/>
        </w:rPr>
        <w:t>impulsar</w:t>
      </w:r>
      <w:r>
        <w:rPr>
          <w:rFonts w:ascii="Arial" w:hAnsi="Arial" w:cs="Arial"/>
          <w:sz w:val="22"/>
          <w:lang w:eastAsia="es-MX"/>
        </w:rPr>
        <w:t xml:space="preserve"> o proteger algo</w:t>
      </w:r>
      <w:r w:rsidRPr="00836197">
        <w:rPr>
          <w:rFonts w:ascii="Arial" w:hAnsi="Arial" w:cs="Arial"/>
          <w:bCs/>
          <w:sz w:val="22"/>
          <w:lang w:val="es-ES_tradnl" w:eastAsia="es-MX"/>
        </w:rPr>
        <w:t>»</w:t>
      </w:r>
      <w:r>
        <w:rPr>
          <w:rStyle w:val="Refdenotaalpie"/>
          <w:rFonts w:ascii="Arial" w:hAnsi="Arial" w:cs="Arial"/>
          <w:bCs/>
          <w:sz w:val="22"/>
          <w:lang w:val="es-ES_tradnl" w:eastAsia="es-MX"/>
        </w:rPr>
        <w:footnoteReference w:id="16"/>
      </w:r>
      <w:r>
        <w:rPr>
          <w:rFonts w:ascii="Arial" w:hAnsi="Arial" w:cs="Arial"/>
          <w:sz w:val="22"/>
          <w:lang w:eastAsia="es-MX"/>
        </w:rPr>
        <w:t>, de tal manera que las entidades</w:t>
      </w:r>
      <w:r w:rsidR="009C4A6E">
        <w:rPr>
          <w:rFonts w:ascii="Arial" w:hAnsi="Arial" w:cs="Arial"/>
          <w:sz w:val="22"/>
          <w:lang w:eastAsia="es-MX"/>
        </w:rPr>
        <w:t xml:space="preserve"> a las que est</w:t>
      </w:r>
      <w:r w:rsidR="00A308C0">
        <w:rPr>
          <w:rFonts w:ascii="Arial" w:hAnsi="Arial" w:cs="Arial"/>
          <w:sz w:val="22"/>
          <w:lang w:eastAsia="es-MX"/>
        </w:rPr>
        <w:t>á</w:t>
      </w:r>
      <w:r w:rsidR="009C4A6E">
        <w:rPr>
          <w:rFonts w:ascii="Arial" w:hAnsi="Arial" w:cs="Arial"/>
          <w:sz w:val="22"/>
          <w:lang w:eastAsia="es-MX"/>
        </w:rPr>
        <w:t xml:space="preserve"> dirigida la norma</w:t>
      </w:r>
      <w:r>
        <w:rPr>
          <w:rFonts w:ascii="Arial" w:hAnsi="Arial" w:cs="Arial"/>
          <w:sz w:val="22"/>
          <w:lang w:eastAsia="es-MX"/>
        </w:rPr>
        <w:t xml:space="preserve"> implementen en el pliego de condiciones o documento equivalente mecanismos que promuevan en la ejecución de los contratos estatales la provisión de bienes y servicios por parte de los sujetos mencionados</w:t>
      </w:r>
      <w:r w:rsidR="00113DB3">
        <w:rPr>
          <w:rFonts w:ascii="Arial" w:hAnsi="Arial" w:cs="Arial"/>
          <w:sz w:val="22"/>
          <w:lang w:eastAsia="es-MX"/>
        </w:rPr>
        <w:t xml:space="preserve">, en las condiciones </w:t>
      </w:r>
      <w:r w:rsidR="00A308C0">
        <w:rPr>
          <w:rFonts w:ascii="Arial" w:hAnsi="Arial" w:cs="Arial"/>
          <w:sz w:val="22"/>
          <w:lang w:eastAsia="es-MX"/>
        </w:rPr>
        <w:t>señaladas por el</w:t>
      </w:r>
      <w:r w:rsidR="00113DB3">
        <w:rPr>
          <w:rFonts w:ascii="Arial" w:hAnsi="Arial" w:cs="Arial"/>
          <w:sz w:val="22"/>
          <w:lang w:eastAsia="es-MX"/>
        </w:rPr>
        <w:t xml:space="preserve"> reglamento</w:t>
      </w:r>
      <w:r>
        <w:rPr>
          <w:rFonts w:ascii="Arial" w:hAnsi="Arial" w:cs="Arial"/>
          <w:sz w:val="22"/>
          <w:lang w:eastAsia="es-MX"/>
        </w:rPr>
        <w:t xml:space="preserve">. </w:t>
      </w:r>
      <w:r w:rsidRPr="00836197">
        <w:rPr>
          <w:rFonts w:ascii="Arial" w:hAnsi="Arial" w:cs="Arial"/>
          <w:sz w:val="22"/>
          <w:lang w:eastAsia="es-MX"/>
        </w:rPr>
        <w:t>Lo anterior</w:t>
      </w:r>
      <w:r>
        <w:rPr>
          <w:rFonts w:ascii="Arial" w:hAnsi="Arial" w:cs="Arial"/>
          <w:sz w:val="22"/>
          <w:lang w:eastAsia="es-MX"/>
        </w:rPr>
        <w:t>,</w:t>
      </w:r>
      <w:r w:rsidRPr="00836197">
        <w:rPr>
          <w:rFonts w:ascii="Arial" w:hAnsi="Arial" w:cs="Arial"/>
          <w:sz w:val="22"/>
          <w:lang w:eastAsia="es-MX"/>
        </w:rPr>
        <w:t xml:space="preserve"> en concordancia con el propósito de la ley 2069 de 2020 de </w:t>
      </w:r>
      <w:r w:rsidRPr="00836197">
        <w:rPr>
          <w:rFonts w:ascii="Arial" w:hAnsi="Arial" w:cs="Arial"/>
          <w:bCs/>
          <w:sz w:val="22"/>
          <w:lang w:val="es-ES_tradnl" w:eastAsia="es-MX"/>
        </w:rPr>
        <w:t>generar la reactivación de la economía</w:t>
      </w:r>
      <w:r>
        <w:rPr>
          <w:rFonts w:ascii="Arial" w:hAnsi="Arial" w:cs="Arial"/>
          <w:bCs/>
          <w:sz w:val="22"/>
          <w:lang w:val="es-ES_tradnl" w:eastAsia="es-MX"/>
        </w:rPr>
        <w:t>, impulsar</w:t>
      </w:r>
      <w:r w:rsidRPr="00836197">
        <w:rPr>
          <w:rFonts w:ascii="Arial" w:hAnsi="Arial" w:cs="Arial"/>
          <w:bCs/>
          <w:sz w:val="22"/>
          <w:lang w:val="es-ES_tradnl" w:eastAsia="es-MX"/>
        </w:rPr>
        <w:t xml:space="preserve"> la actividad emprendedora y así propiciar un entorno para ayudar al crecimiento, consolidación y sostenibilidad de esas iniciativas, generando mayor desarrollo social, creación de las empresas y mejoras tanto en la productividad como en la competitividad</w:t>
      </w:r>
      <w:r>
        <w:rPr>
          <w:rFonts w:ascii="Arial" w:hAnsi="Arial" w:cs="Arial"/>
          <w:bCs/>
          <w:sz w:val="22"/>
          <w:lang w:val="es-ES_tradnl" w:eastAsia="es-MX"/>
        </w:rPr>
        <w:t>.</w:t>
      </w:r>
    </w:p>
    <w:p w14:paraId="07DBE505" w14:textId="77777777" w:rsidR="002B6F42" w:rsidRPr="002B6F42" w:rsidRDefault="002B6F42" w:rsidP="002B6F42">
      <w:pPr>
        <w:ind w:right="709"/>
        <w:jc w:val="both"/>
        <w:rPr>
          <w:rFonts w:ascii="Arial" w:hAnsi="Arial" w:cs="Arial"/>
          <w:sz w:val="22"/>
          <w:lang w:val="es-ES_tradnl"/>
        </w:rPr>
      </w:pPr>
    </w:p>
    <w:p w14:paraId="57F69F42" w14:textId="77777777" w:rsidR="00C97F8B" w:rsidRDefault="00C97F8B" w:rsidP="00C97F8B">
      <w:pPr>
        <w:ind w:left="709" w:right="709"/>
        <w:jc w:val="both"/>
        <w:rPr>
          <w:rFonts w:ascii="Arial" w:hAnsi="Arial" w:cs="Arial"/>
          <w:bCs/>
          <w:sz w:val="22"/>
        </w:rPr>
      </w:pPr>
      <w:proofErr w:type="spellStart"/>
      <w:r>
        <w:rPr>
          <w:rFonts w:ascii="Arial" w:hAnsi="Arial" w:cs="Arial"/>
          <w:sz w:val="22"/>
        </w:rPr>
        <w:t>iii</w:t>
      </w:r>
      <w:proofErr w:type="spellEnd"/>
      <w:r>
        <w:rPr>
          <w:rFonts w:ascii="Arial" w:hAnsi="Arial" w:cs="Arial"/>
          <w:sz w:val="22"/>
        </w:rPr>
        <w:t xml:space="preserve">) </w:t>
      </w:r>
      <w:r w:rsidRPr="009E5371">
        <w:rPr>
          <w:rFonts w:ascii="Arial" w:hAnsi="Arial" w:cs="Arial"/>
          <w:bCs/>
          <w:sz w:val="22"/>
        </w:rPr>
        <w:t>«cuál es el alcance de dicha disposición, existe algún criterio jurídico por parte de ustedes</w:t>
      </w:r>
      <w:r w:rsidRPr="009E5371">
        <w:rPr>
          <w:rFonts w:ascii="Arial" w:hAnsi="Arial" w:cs="Arial"/>
          <w:sz w:val="22"/>
          <w:lang w:val="es-ES_tradnl"/>
        </w:rPr>
        <w:t>»</w:t>
      </w:r>
    </w:p>
    <w:p w14:paraId="3FE8013C" w14:textId="77777777" w:rsidR="00954F18" w:rsidRDefault="00954F18" w:rsidP="00954F18">
      <w:pPr>
        <w:ind w:right="709"/>
        <w:jc w:val="both"/>
        <w:rPr>
          <w:rFonts w:ascii="Arial" w:hAnsi="Arial" w:cs="Arial"/>
          <w:bCs/>
          <w:sz w:val="22"/>
        </w:rPr>
      </w:pPr>
    </w:p>
    <w:p w14:paraId="44E49EF8" w14:textId="2B488F47" w:rsidR="00C97F8B" w:rsidRPr="00332A15" w:rsidRDefault="00C97F8B" w:rsidP="00C97F8B">
      <w:pPr>
        <w:ind w:left="709" w:right="709"/>
        <w:jc w:val="both"/>
        <w:rPr>
          <w:rFonts w:ascii="Arial" w:hAnsi="Arial" w:cs="Arial"/>
          <w:color w:val="000000" w:themeColor="text1"/>
          <w:sz w:val="21"/>
          <w:szCs w:val="21"/>
          <w:lang w:val="es-ES_tradnl"/>
        </w:rPr>
      </w:pPr>
      <w:proofErr w:type="spellStart"/>
      <w:r>
        <w:rPr>
          <w:rFonts w:ascii="Arial" w:hAnsi="Arial" w:cs="Arial"/>
          <w:bCs/>
          <w:sz w:val="22"/>
        </w:rPr>
        <w:t>iv</w:t>
      </w:r>
      <w:proofErr w:type="spellEnd"/>
      <w:r>
        <w:rPr>
          <w:rFonts w:ascii="Arial" w:hAnsi="Arial" w:cs="Arial"/>
          <w:bCs/>
          <w:sz w:val="22"/>
        </w:rPr>
        <w:t xml:space="preserve">) </w:t>
      </w:r>
      <w:r w:rsidRPr="009E5371">
        <w:rPr>
          <w:rFonts w:ascii="Arial" w:hAnsi="Arial" w:cs="Arial"/>
          <w:bCs/>
          <w:sz w:val="22"/>
        </w:rPr>
        <w:t>«dicha disposición se puede poner como obligaciones del contrato o solo de especifica en la JOC</w:t>
      </w:r>
      <w:r w:rsidRPr="009E5371">
        <w:rPr>
          <w:rFonts w:ascii="Arial" w:hAnsi="Arial" w:cs="Arial"/>
          <w:sz w:val="22"/>
          <w:lang w:val="es-ES_tradnl"/>
        </w:rPr>
        <w:t>»</w:t>
      </w:r>
      <w:r>
        <w:rPr>
          <w:rFonts w:ascii="Arial" w:hAnsi="Arial" w:cs="Arial"/>
          <w:sz w:val="22"/>
          <w:lang w:val="es-ES_tradnl"/>
        </w:rPr>
        <w:t>.</w:t>
      </w:r>
    </w:p>
    <w:p w14:paraId="216BE8F6" w14:textId="11CB4A78" w:rsidR="008F51DE" w:rsidRDefault="008F51DE" w:rsidP="00C97F8B">
      <w:pPr>
        <w:ind w:right="474"/>
        <w:jc w:val="both"/>
        <w:rPr>
          <w:rFonts w:ascii="Arial" w:eastAsia="Calibri" w:hAnsi="Arial" w:cs="Arial"/>
          <w:bCs/>
          <w:sz w:val="21"/>
          <w:szCs w:val="21"/>
        </w:rPr>
      </w:pPr>
    </w:p>
    <w:p w14:paraId="07FE3CC3" w14:textId="5AB7161E" w:rsidR="00F82459" w:rsidRDefault="00F82459" w:rsidP="00F82459">
      <w:pPr>
        <w:spacing w:line="276" w:lineRule="auto"/>
        <w:jc w:val="both"/>
        <w:rPr>
          <w:rFonts w:ascii="Arial" w:hAnsi="Arial" w:cs="Arial"/>
          <w:sz w:val="22"/>
          <w:lang w:eastAsia="es-MX"/>
        </w:rPr>
      </w:pPr>
      <w:r>
        <w:rPr>
          <w:rFonts w:ascii="Arial" w:hAnsi="Arial" w:cs="Arial"/>
          <w:sz w:val="22"/>
          <w:lang w:eastAsia="es-MX"/>
        </w:rPr>
        <w:t>De conformidad con lo expuesto</w:t>
      </w:r>
      <w:r w:rsidR="00785C8D">
        <w:rPr>
          <w:rFonts w:ascii="Arial" w:hAnsi="Arial" w:cs="Arial"/>
          <w:sz w:val="22"/>
          <w:lang w:eastAsia="es-MX"/>
        </w:rPr>
        <w:t xml:space="preserve"> en este concepto</w:t>
      </w:r>
      <w:r>
        <w:rPr>
          <w:rFonts w:ascii="Arial" w:hAnsi="Arial" w:cs="Arial"/>
          <w:sz w:val="22"/>
          <w:lang w:eastAsia="es-MX"/>
        </w:rPr>
        <w:t>,</w:t>
      </w:r>
      <w:r w:rsidR="00F56AB9">
        <w:rPr>
          <w:rFonts w:ascii="Arial" w:hAnsi="Arial" w:cs="Arial"/>
          <w:sz w:val="22"/>
          <w:lang w:eastAsia="es-MX"/>
        </w:rPr>
        <w:t xml:space="preserve"> en primer lugar,</w:t>
      </w:r>
      <w:r w:rsidRPr="00F82459">
        <w:rPr>
          <w:rFonts w:ascii="Arial" w:hAnsi="Arial" w:cs="Arial"/>
          <w:bCs/>
          <w:sz w:val="22"/>
          <w:lang w:val="es-ES_tradnl" w:eastAsia="es-MX"/>
        </w:rPr>
        <w:t xml:space="preserve"> </w:t>
      </w:r>
      <w:r w:rsidRPr="00836197">
        <w:rPr>
          <w:rFonts w:ascii="Arial" w:hAnsi="Arial" w:cs="Arial"/>
          <w:bCs/>
          <w:sz w:val="22"/>
          <w:lang w:val="es-ES_tradnl" w:eastAsia="es-MX"/>
        </w:rPr>
        <w:t>el artículo</w:t>
      </w:r>
      <w:r w:rsidRPr="00836197">
        <w:rPr>
          <w:rFonts w:ascii="Arial" w:hAnsi="Arial" w:cs="Arial"/>
          <w:sz w:val="22"/>
          <w:lang w:eastAsia="es-MX"/>
        </w:rPr>
        <w:t xml:space="preserve"> 2.2.1.2.4.2.16. </w:t>
      </w:r>
      <w:r>
        <w:rPr>
          <w:rFonts w:ascii="Arial" w:hAnsi="Arial" w:cs="Arial"/>
          <w:sz w:val="22"/>
          <w:lang w:eastAsia="es-MX"/>
        </w:rPr>
        <w:t>del</w:t>
      </w:r>
      <w:r w:rsidRPr="00836197">
        <w:rPr>
          <w:rFonts w:ascii="Arial" w:hAnsi="Arial" w:cs="Arial"/>
          <w:sz w:val="22"/>
          <w:lang w:eastAsia="es-MX"/>
        </w:rPr>
        <w:t xml:space="preserve"> Decreto 1082 de 20</w:t>
      </w:r>
      <w:r>
        <w:rPr>
          <w:rFonts w:ascii="Arial" w:hAnsi="Arial" w:cs="Arial"/>
          <w:sz w:val="22"/>
          <w:lang w:eastAsia="es-MX"/>
        </w:rPr>
        <w:t xml:space="preserve">15 deberá aplicarse no solo por las entidades sometidas al EGCAP sino también por aquellas entidades que cuenten con un régimen exceptuado de contratación, así como por </w:t>
      </w:r>
      <w:r w:rsidRPr="00057226">
        <w:rPr>
          <w:rFonts w:ascii="Arial" w:hAnsi="Arial" w:cs="Arial"/>
          <w:sz w:val="22"/>
          <w:lang w:eastAsia="es-MX"/>
        </w:rPr>
        <w:t>los patrimonios autónomos constituidos por entidades estatales y los particulares que ejecuten recursos públicos</w:t>
      </w:r>
      <w:r>
        <w:rPr>
          <w:rFonts w:ascii="Arial" w:hAnsi="Arial" w:cs="Arial"/>
          <w:sz w:val="22"/>
          <w:lang w:eastAsia="es-MX"/>
        </w:rPr>
        <w:t xml:space="preserve">, en los procesos de contratación que adelanten. </w:t>
      </w:r>
      <w:r w:rsidR="00F56AB9">
        <w:rPr>
          <w:rFonts w:ascii="Arial" w:hAnsi="Arial" w:cs="Arial"/>
          <w:sz w:val="22"/>
          <w:lang w:eastAsia="es-MX"/>
        </w:rPr>
        <w:t xml:space="preserve">En segundo lugar, </w:t>
      </w:r>
      <w:r w:rsidR="00F56AB9">
        <w:rPr>
          <w:rFonts w:ascii="Arial" w:hAnsi="Arial" w:cs="Arial"/>
          <w:sz w:val="22"/>
          <w:szCs w:val="22"/>
        </w:rPr>
        <w:t>l</w:t>
      </w:r>
      <w:r>
        <w:rPr>
          <w:rFonts w:ascii="Arial" w:hAnsi="Arial" w:cs="Arial"/>
          <w:sz w:val="22"/>
          <w:szCs w:val="22"/>
        </w:rPr>
        <w:t xml:space="preserve">a norma </w:t>
      </w:r>
      <w:r w:rsidRPr="009A0D3F">
        <w:rPr>
          <w:rFonts w:ascii="Arial" w:hAnsi="Arial" w:cs="Arial"/>
          <w:sz w:val="22"/>
          <w:lang w:eastAsia="es-MX"/>
        </w:rPr>
        <w:t xml:space="preserve">dispone que en los pliegos de condiciones o documento equivalente deben implementarse mecanismos para que durante la ejecución del contrato estatal participen los </w:t>
      </w:r>
      <w:r w:rsidRPr="009A0D3F">
        <w:rPr>
          <w:rFonts w:ascii="Arial" w:hAnsi="Arial" w:cs="Arial"/>
          <w:i/>
          <w:iCs/>
          <w:sz w:val="22"/>
          <w:lang w:eastAsia="es-MX"/>
        </w:rPr>
        <w:t>sujetos de especial protección constitucional</w:t>
      </w:r>
      <w:r w:rsidRPr="009A0D3F">
        <w:rPr>
          <w:rFonts w:ascii="Arial" w:hAnsi="Arial" w:cs="Arial"/>
          <w:sz w:val="22"/>
          <w:lang w:eastAsia="es-MX"/>
        </w:rPr>
        <w:t xml:space="preserve"> en la provisión de los bienes o servicios.</w:t>
      </w:r>
      <w:r>
        <w:rPr>
          <w:rFonts w:ascii="Arial" w:hAnsi="Arial" w:cs="Arial"/>
          <w:sz w:val="22"/>
          <w:lang w:eastAsia="es-MX"/>
        </w:rPr>
        <w:t xml:space="preserve"> </w:t>
      </w:r>
      <w:r w:rsidRPr="00FA6DF5">
        <w:rPr>
          <w:rFonts w:ascii="Arial" w:hAnsi="Arial" w:cs="Arial"/>
          <w:sz w:val="22"/>
          <w:lang w:eastAsia="es-MX"/>
        </w:rPr>
        <w:t xml:space="preserve">Para tales efectos, la norma </w:t>
      </w:r>
      <w:r>
        <w:rPr>
          <w:rFonts w:ascii="Arial" w:hAnsi="Arial" w:cs="Arial"/>
          <w:sz w:val="22"/>
          <w:lang w:eastAsia="es-MX"/>
        </w:rPr>
        <w:t xml:space="preserve">establece unos límites dentro del cual </w:t>
      </w:r>
      <w:r w:rsidRPr="00F47CF7">
        <w:rPr>
          <w:rFonts w:ascii="Arial" w:hAnsi="Arial" w:cs="Arial"/>
          <w:sz w:val="22"/>
          <w:lang w:eastAsia="es-MX"/>
        </w:rPr>
        <w:t xml:space="preserve">la entidad estatal </w:t>
      </w:r>
      <w:r>
        <w:rPr>
          <w:rFonts w:ascii="Arial" w:hAnsi="Arial" w:cs="Arial"/>
          <w:sz w:val="22"/>
          <w:lang w:eastAsia="es-MX"/>
        </w:rPr>
        <w:t xml:space="preserve">fijará </w:t>
      </w:r>
      <w:r w:rsidRPr="00F47CF7">
        <w:rPr>
          <w:rFonts w:ascii="Arial" w:hAnsi="Arial" w:cs="Arial"/>
          <w:sz w:val="22"/>
          <w:lang w:eastAsia="es-MX"/>
        </w:rPr>
        <w:t xml:space="preserve">en el pliego de condiciones o documento equivalente un porcentaje </w:t>
      </w:r>
      <w:r w:rsidR="009352E0">
        <w:rPr>
          <w:rFonts w:ascii="Arial" w:hAnsi="Arial" w:cs="Arial"/>
          <w:sz w:val="22"/>
          <w:lang w:eastAsia="es-MX"/>
        </w:rPr>
        <w:t xml:space="preserve">mínimo </w:t>
      </w:r>
      <w:r w:rsidRPr="00F47CF7">
        <w:rPr>
          <w:rFonts w:ascii="Arial" w:hAnsi="Arial" w:cs="Arial"/>
          <w:sz w:val="22"/>
          <w:lang w:eastAsia="es-MX"/>
        </w:rPr>
        <w:t>que debe cumplir el contratista para garantizar la provisión de bienes y servicios por parte de</w:t>
      </w:r>
      <w:r>
        <w:rPr>
          <w:rFonts w:ascii="Arial" w:hAnsi="Arial" w:cs="Arial"/>
          <w:sz w:val="22"/>
          <w:lang w:eastAsia="es-MX"/>
        </w:rPr>
        <w:t xml:space="preserve"> los sujetos mencionados. </w:t>
      </w:r>
      <w:r>
        <w:rPr>
          <w:rFonts w:ascii="Arial" w:hAnsi="Arial" w:cs="Arial"/>
          <w:sz w:val="22"/>
          <w:szCs w:val="22"/>
        </w:rPr>
        <w:t xml:space="preserve">De esta manera, la norma regula un parámetro cuantitativo, en la medida que </w:t>
      </w:r>
      <w:r w:rsidR="009352E0">
        <w:rPr>
          <w:rFonts w:ascii="Arial" w:hAnsi="Arial" w:cs="Arial"/>
          <w:sz w:val="22"/>
          <w:szCs w:val="22"/>
        </w:rPr>
        <w:t>la exigencia de dicha</w:t>
      </w:r>
      <w:r w:rsidR="009352E0" w:rsidRPr="00AD1873">
        <w:rPr>
          <w:rFonts w:ascii="Arial" w:hAnsi="Arial" w:cs="Arial"/>
          <w:sz w:val="22"/>
          <w:szCs w:val="22"/>
        </w:rPr>
        <w:t xml:space="preserve"> </w:t>
      </w:r>
      <w:r w:rsidRPr="00AD1873">
        <w:rPr>
          <w:rFonts w:ascii="Arial" w:hAnsi="Arial" w:cs="Arial"/>
          <w:sz w:val="22"/>
          <w:szCs w:val="22"/>
        </w:rPr>
        <w:t>provisión</w:t>
      </w:r>
      <w:r>
        <w:rPr>
          <w:rFonts w:ascii="Arial" w:hAnsi="Arial" w:cs="Arial"/>
          <w:sz w:val="22"/>
          <w:szCs w:val="22"/>
        </w:rPr>
        <w:t xml:space="preserve"> no será </w:t>
      </w:r>
      <w:r w:rsidRPr="00AD1873">
        <w:rPr>
          <w:rFonts w:ascii="Arial" w:hAnsi="Arial" w:cs="Arial"/>
          <w:sz w:val="22"/>
          <w:szCs w:val="22"/>
        </w:rPr>
        <w:t>superior al diez por ciento (10%) ni inferior al cinco por ciento (5%) de los bienes o servicios requeridos para la ejecución del contrato</w:t>
      </w:r>
      <w:r>
        <w:rPr>
          <w:rFonts w:ascii="Arial" w:hAnsi="Arial" w:cs="Arial"/>
          <w:sz w:val="22"/>
          <w:szCs w:val="22"/>
        </w:rPr>
        <w:t xml:space="preserve">. </w:t>
      </w:r>
      <w:r>
        <w:rPr>
          <w:rFonts w:ascii="Arial" w:hAnsi="Arial" w:cs="Arial"/>
          <w:sz w:val="22"/>
          <w:lang w:eastAsia="es-MX"/>
        </w:rPr>
        <w:t>Es decir, que la entidad determinará el porcentaje respectivo siempre que no supere los límites establecidos</w:t>
      </w:r>
      <w:r w:rsidR="009352E0">
        <w:rPr>
          <w:rFonts w:ascii="Arial" w:hAnsi="Arial" w:cs="Arial"/>
          <w:sz w:val="22"/>
          <w:lang w:eastAsia="es-MX"/>
        </w:rPr>
        <w:t>; sin perjuicio de que, en la ejecución del contrato, el contratista, cumpliendo con el mínimo, realice una provisión mayor a la exigida en el pliego de condiciones o documento equivalente</w:t>
      </w:r>
      <w:r>
        <w:rPr>
          <w:rFonts w:ascii="Arial" w:hAnsi="Arial" w:cs="Arial"/>
          <w:sz w:val="22"/>
          <w:lang w:eastAsia="es-MX"/>
        </w:rPr>
        <w:t xml:space="preserve">. </w:t>
      </w:r>
      <w:r w:rsidRPr="00FA6DF5">
        <w:rPr>
          <w:rFonts w:ascii="Arial" w:hAnsi="Arial" w:cs="Arial"/>
          <w:sz w:val="22"/>
          <w:lang w:eastAsia="es-MX"/>
        </w:rPr>
        <w:t xml:space="preserve">Además, la entidad incorporará esta obligación en la minuta del contrato del pliego de condiciones o </w:t>
      </w:r>
      <w:r w:rsidRPr="00FA6DF5">
        <w:rPr>
          <w:rFonts w:ascii="Arial" w:hAnsi="Arial" w:cs="Arial"/>
          <w:sz w:val="22"/>
          <w:lang w:eastAsia="es-MX"/>
        </w:rPr>
        <w:lastRenderedPageBreak/>
        <w:t>documento equivalente, precisando las sanciones pecuniarias producto del incumplimiento injustificado de esta a través de las causales de multa que estime pertinentes.</w:t>
      </w:r>
      <w:r>
        <w:rPr>
          <w:rFonts w:ascii="Arial" w:hAnsi="Arial" w:cs="Arial"/>
          <w:sz w:val="22"/>
          <w:lang w:eastAsia="es-MX"/>
        </w:rPr>
        <w:t xml:space="preserve"> </w:t>
      </w:r>
    </w:p>
    <w:p w14:paraId="33ABBA99" w14:textId="3CD86CEB" w:rsidR="002D6740" w:rsidRDefault="002D6740" w:rsidP="0055223A">
      <w:pPr>
        <w:spacing w:before="120" w:line="276" w:lineRule="auto"/>
        <w:ind w:firstLine="709"/>
        <w:jc w:val="both"/>
        <w:rPr>
          <w:rFonts w:ascii="Arial" w:hAnsi="Arial" w:cs="Arial"/>
          <w:sz w:val="22"/>
          <w:lang w:eastAsia="es-MX"/>
        </w:rPr>
      </w:pPr>
      <w:r>
        <w:rPr>
          <w:rFonts w:ascii="Arial" w:hAnsi="Arial" w:cs="Arial"/>
          <w:sz w:val="22"/>
          <w:lang w:eastAsia="es-MX"/>
        </w:rPr>
        <w:t xml:space="preserve">No obstante, </w:t>
      </w:r>
      <w:r w:rsidR="00BF5E94">
        <w:rPr>
          <w:rFonts w:ascii="Arial" w:hAnsi="Arial" w:cs="Arial"/>
          <w:sz w:val="22"/>
          <w:lang w:val="es-ES_tradnl" w:eastAsia="es-MX"/>
        </w:rPr>
        <w:t>l</w:t>
      </w:r>
      <w:r w:rsidR="00BF5E94" w:rsidRPr="00BF5E94">
        <w:rPr>
          <w:rFonts w:ascii="Arial" w:hAnsi="Arial" w:cs="Arial"/>
          <w:sz w:val="22"/>
          <w:lang w:val="es-ES_tradnl" w:eastAsia="es-MX"/>
        </w:rPr>
        <w:t>a participación de los sujetos mencionados en la ejecución del contrato se fomentará previo análisis de su oportunidad y conveniencia en los Documentos del Proceso, teniendo en cuenta el objeto contractual y el alcance de las obligaciones</w:t>
      </w:r>
      <w:r w:rsidR="00676B9A">
        <w:rPr>
          <w:rFonts w:ascii="Arial" w:hAnsi="Arial" w:cs="Arial"/>
          <w:sz w:val="22"/>
          <w:lang w:val="es-ES_tradnl" w:eastAsia="es-MX"/>
        </w:rPr>
        <w:t>. En tal sentido</w:t>
      </w:r>
      <w:r w:rsidR="00BF5E94">
        <w:rPr>
          <w:rFonts w:ascii="Arial" w:hAnsi="Arial" w:cs="Arial"/>
          <w:sz w:val="22"/>
          <w:lang w:val="es-ES_tradnl" w:eastAsia="es-MX"/>
        </w:rPr>
        <w:t xml:space="preserve">, como </w:t>
      </w:r>
      <w:r>
        <w:rPr>
          <w:rFonts w:ascii="Arial" w:hAnsi="Arial" w:cs="Arial"/>
          <w:sz w:val="22"/>
          <w:lang w:eastAsia="es-MX"/>
        </w:rPr>
        <w:t>se indicó en las consideraciones de este concepto</w:t>
      </w:r>
      <w:r w:rsidR="00BF5E94">
        <w:rPr>
          <w:rFonts w:ascii="Arial" w:hAnsi="Arial" w:cs="Arial"/>
          <w:sz w:val="22"/>
          <w:lang w:eastAsia="es-MX"/>
        </w:rPr>
        <w:t>,</w:t>
      </w:r>
      <w:r>
        <w:rPr>
          <w:rFonts w:ascii="Arial" w:hAnsi="Arial" w:cs="Arial"/>
          <w:sz w:val="22"/>
          <w:lang w:eastAsia="es-MX"/>
        </w:rPr>
        <w:t xml:space="preserve"> </w:t>
      </w:r>
      <w:r w:rsidR="0055223A" w:rsidRPr="0055223A">
        <w:rPr>
          <w:rFonts w:ascii="Arial" w:hAnsi="Arial" w:cs="Arial"/>
          <w:sz w:val="22"/>
          <w:lang w:val="es-ES_tradnl" w:eastAsia="es-MX"/>
        </w:rPr>
        <w:t xml:space="preserve">en la medida que corresponde a la entidad contratante, en la etapa de planeación, determinar si es oportuno </w:t>
      </w:r>
      <w:r w:rsidR="00AF6FAB">
        <w:rPr>
          <w:rFonts w:ascii="Arial" w:hAnsi="Arial" w:cs="Arial"/>
          <w:sz w:val="22"/>
          <w:lang w:val="es-ES_tradnl" w:eastAsia="es-MX"/>
        </w:rPr>
        <w:t xml:space="preserve">y </w:t>
      </w:r>
      <w:r w:rsidR="0055223A" w:rsidRPr="0055223A">
        <w:rPr>
          <w:rFonts w:ascii="Arial" w:hAnsi="Arial" w:cs="Arial"/>
          <w:sz w:val="22"/>
          <w:lang w:val="es-ES_tradnl" w:eastAsia="es-MX"/>
        </w:rPr>
        <w:t xml:space="preserve">conveniente incluir dicha provisión en los pliegos de condiciones o documentos equivalentes, se concluye que la </w:t>
      </w:r>
      <w:r w:rsidR="009352E0">
        <w:rPr>
          <w:rFonts w:ascii="Arial" w:hAnsi="Arial" w:cs="Arial"/>
          <w:sz w:val="22"/>
          <w:lang w:val="es-ES_tradnl" w:eastAsia="es-MX"/>
        </w:rPr>
        <w:t>inclusión</w:t>
      </w:r>
      <w:r w:rsidR="009352E0" w:rsidRPr="0055223A">
        <w:rPr>
          <w:rFonts w:ascii="Arial" w:hAnsi="Arial" w:cs="Arial"/>
          <w:sz w:val="22"/>
          <w:lang w:val="es-ES_tradnl" w:eastAsia="es-MX"/>
        </w:rPr>
        <w:t xml:space="preserve"> </w:t>
      </w:r>
      <w:r w:rsidR="0055223A" w:rsidRPr="0055223A">
        <w:rPr>
          <w:rFonts w:ascii="Arial" w:hAnsi="Arial" w:cs="Arial"/>
          <w:sz w:val="22"/>
          <w:lang w:val="es-ES_tradnl" w:eastAsia="es-MX"/>
        </w:rPr>
        <w:t>de este incentivo es de naturaleza discrecional.</w:t>
      </w:r>
    </w:p>
    <w:p w14:paraId="4D37A089" w14:textId="2AE96F39" w:rsidR="00785C8D" w:rsidRDefault="009352E0" w:rsidP="00785C8D">
      <w:pPr>
        <w:spacing w:before="120" w:line="276" w:lineRule="auto"/>
        <w:ind w:firstLine="709"/>
        <w:jc w:val="both"/>
        <w:rPr>
          <w:rFonts w:ascii="Arial" w:hAnsi="Arial" w:cs="Arial"/>
          <w:sz w:val="22"/>
          <w:lang w:eastAsia="es-MX"/>
        </w:rPr>
      </w:pPr>
      <w:r>
        <w:rPr>
          <w:rFonts w:ascii="Arial" w:hAnsi="Arial" w:cs="Arial"/>
          <w:sz w:val="22"/>
          <w:lang w:eastAsia="es-MX"/>
        </w:rPr>
        <w:t>De otro lado</w:t>
      </w:r>
      <w:r w:rsidR="00F56AB9">
        <w:rPr>
          <w:rFonts w:ascii="Arial" w:hAnsi="Arial" w:cs="Arial"/>
          <w:sz w:val="22"/>
          <w:lang w:eastAsia="es-MX"/>
        </w:rPr>
        <w:t>, e</w:t>
      </w:r>
      <w:r w:rsidR="00F56AB9" w:rsidRPr="002D4FDE">
        <w:rPr>
          <w:rFonts w:ascii="Arial" w:hAnsi="Arial" w:cs="Arial"/>
          <w:sz w:val="22"/>
          <w:lang w:eastAsia="es-MX"/>
        </w:rPr>
        <w:t>s importante mencionar</w:t>
      </w:r>
      <w:r w:rsidR="00BF5E94">
        <w:rPr>
          <w:rFonts w:ascii="Arial" w:hAnsi="Arial" w:cs="Arial"/>
          <w:sz w:val="22"/>
          <w:lang w:eastAsia="es-MX"/>
        </w:rPr>
        <w:t xml:space="preserve"> que</w:t>
      </w:r>
      <w:r w:rsidR="00F56AB9" w:rsidRPr="002D4FDE">
        <w:rPr>
          <w:rFonts w:ascii="Arial" w:hAnsi="Arial" w:cs="Arial"/>
          <w:sz w:val="22"/>
          <w:lang w:eastAsia="es-MX"/>
        </w:rPr>
        <w:t xml:space="preserve"> </w:t>
      </w:r>
      <w:r w:rsidR="00A93B7D">
        <w:rPr>
          <w:rFonts w:ascii="Arial" w:hAnsi="Arial" w:cs="Arial"/>
          <w:sz w:val="22"/>
          <w:lang w:eastAsia="es-MX"/>
        </w:rPr>
        <w:t xml:space="preserve">en relación con los procedimientos de selección regidos por los </w:t>
      </w:r>
      <w:r w:rsidR="00A93B7D" w:rsidRPr="00C11DF6">
        <w:rPr>
          <w:rFonts w:ascii="Arial" w:hAnsi="Arial" w:cs="Arial"/>
          <w:i/>
          <w:iCs/>
          <w:sz w:val="22"/>
          <w:lang w:eastAsia="es-MX"/>
        </w:rPr>
        <w:t>documentos tipo</w:t>
      </w:r>
      <w:r w:rsidR="00A93B7D">
        <w:rPr>
          <w:rFonts w:ascii="Arial" w:hAnsi="Arial" w:cs="Arial"/>
          <w:sz w:val="22"/>
          <w:lang w:eastAsia="es-MX"/>
        </w:rPr>
        <w:t xml:space="preserve"> –de que trata el parágrafo 7 del artículo 2 de la Ley 1150 de 2007, modificado por la Ley 2022 de 2020– que e</w:t>
      </w:r>
      <w:r w:rsidR="00A93B7D" w:rsidRPr="002D4FDE">
        <w:rPr>
          <w:rFonts w:ascii="Arial" w:hAnsi="Arial" w:cs="Arial"/>
          <w:sz w:val="22"/>
          <w:lang w:eastAsia="es-MX"/>
        </w:rPr>
        <w:t xml:space="preserve">l parágrafo 2 </w:t>
      </w:r>
      <w:r w:rsidR="00A93B7D">
        <w:rPr>
          <w:rFonts w:ascii="Arial" w:hAnsi="Arial" w:cs="Arial"/>
          <w:sz w:val="22"/>
          <w:lang w:eastAsia="es-MX"/>
        </w:rPr>
        <w:t xml:space="preserve">del artículo </w:t>
      </w:r>
      <w:r w:rsidR="00A93B7D" w:rsidRPr="00DD197A">
        <w:rPr>
          <w:rFonts w:ascii="Arial" w:eastAsia="Calibri" w:hAnsi="Arial" w:cs="Arial"/>
          <w:sz w:val="21"/>
          <w:szCs w:val="21"/>
          <w:lang w:val="es-ES_tradnl"/>
        </w:rPr>
        <w:t>2.2.1.2.4.2.16.</w:t>
      </w:r>
      <w:r w:rsidR="00A93B7D">
        <w:rPr>
          <w:rFonts w:ascii="Arial" w:eastAsia="Calibri" w:hAnsi="Arial" w:cs="Arial"/>
          <w:sz w:val="21"/>
          <w:szCs w:val="21"/>
          <w:lang w:val="es-ES_tradnl"/>
        </w:rPr>
        <w:t xml:space="preserve"> del Decreto 1082 de 2015,</w:t>
      </w:r>
      <w:r w:rsidR="00A93B7D" w:rsidRPr="002D4FDE">
        <w:rPr>
          <w:rFonts w:ascii="Arial" w:hAnsi="Arial" w:cs="Arial"/>
          <w:sz w:val="22"/>
          <w:lang w:eastAsia="es-MX"/>
        </w:rPr>
        <w:t xml:space="preserve"> señala que para efectos de </w:t>
      </w:r>
      <w:r w:rsidR="00A93B7D">
        <w:rPr>
          <w:rFonts w:ascii="Arial" w:hAnsi="Arial" w:cs="Arial"/>
          <w:sz w:val="22"/>
          <w:lang w:eastAsia="es-MX"/>
        </w:rPr>
        <w:t>dichos procesos</w:t>
      </w:r>
      <w:r w:rsidR="00A93B7D" w:rsidRPr="002D4FDE">
        <w:rPr>
          <w:rFonts w:ascii="Arial" w:hAnsi="Arial" w:cs="Arial"/>
          <w:sz w:val="22"/>
          <w:lang w:eastAsia="es-MX"/>
        </w:rPr>
        <w:t xml:space="preserve">, la Agencia Nacional de Contratación Pública </w:t>
      </w:r>
      <w:r w:rsidR="00A93B7D">
        <w:rPr>
          <w:rFonts w:ascii="Arial" w:hAnsi="Arial" w:cs="Arial"/>
          <w:sz w:val="22"/>
          <w:lang w:eastAsia="es-MX"/>
        </w:rPr>
        <w:t xml:space="preserve">– </w:t>
      </w:r>
      <w:r w:rsidR="00A93B7D" w:rsidRPr="002D4FDE">
        <w:rPr>
          <w:rFonts w:ascii="Arial" w:hAnsi="Arial" w:cs="Arial"/>
          <w:sz w:val="22"/>
          <w:lang w:eastAsia="es-MX"/>
        </w:rPr>
        <w:t xml:space="preserve">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 </w:t>
      </w:r>
      <w:r w:rsidR="00A93B7D">
        <w:rPr>
          <w:rFonts w:ascii="Arial" w:hAnsi="Arial" w:cs="Arial"/>
          <w:sz w:val="22"/>
          <w:lang w:eastAsia="es-MX"/>
        </w:rPr>
        <w:t>En desarrollo de</w:t>
      </w:r>
      <w:r w:rsidR="00A93B7D" w:rsidRPr="002D4FDE">
        <w:rPr>
          <w:rFonts w:ascii="Arial" w:hAnsi="Arial" w:cs="Arial"/>
          <w:sz w:val="22"/>
          <w:lang w:eastAsia="es-MX"/>
        </w:rPr>
        <w:t xml:space="preserve"> lo anterior, se expidió la Resolución 275 de 2022 </w:t>
      </w:r>
      <w:r w:rsidR="00A93B7D" w:rsidRPr="00C1085E">
        <w:rPr>
          <w:rFonts w:ascii="Arial" w:eastAsia="Calibri" w:hAnsi="Arial" w:cs="Arial"/>
          <w:color w:val="000000" w:themeColor="text1"/>
          <w:sz w:val="22"/>
          <w:lang w:val="es-ES"/>
        </w:rPr>
        <w:t>«</w:t>
      </w:r>
      <w:r w:rsidR="00A93B7D" w:rsidRPr="00C1085E">
        <w:rPr>
          <w:rFonts w:ascii="Arial" w:eastAsia="Calibri" w:hAnsi="Arial" w:cs="Arial"/>
          <w:color w:val="000000" w:themeColor="text1"/>
          <w:sz w:val="22"/>
        </w:rPr>
        <w:t>Por la cual se modifican los documentos tipo adoptados por la Agencia Nacional de Contratación Pública – Colombia Compra Eficiente</w:t>
      </w:r>
      <w:r w:rsidR="00A93B7D" w:rsidRPr="00C1085E">
        <w:rPr>
          <w:rFonts w:ascii="Arial" w:eastAsia="Calibri" w:hAnsi="Arial" w:cs="Arial"/>
          <w:color w:val="000000" w:themeColor="text1"/>
          <w:sz w:val="22"/>
          <w:lang w:val="es-ES"/>
        </w:rPr>
        <w:t>»</w:t>
      </w:r>
      <w:r w:rsidR="00A93B7D">
        <w:rPr>
          <w:rFonts w:ascii="Arial" w:eastAsia="Calibri" w:hAnsi="Arial" w:cs="Arial"/>
          <w:color w:val="000000" w:themeColor="text1"/>
          <w:sz w:val="22"/>
          <w:lang w:val="es-ES"/>
        </w:rPr>
        <w:t xml:space="preserve">, </w:t>
      </w:r>
      <w:r w:rsidR="00A93B7D">
        <w:rPr>
          <w:rFonts w:ascii="Arial" w:hAnsi="Arial" w:cs="Arial"/>
          <w:sz w:val="22"/>
          <w:lang w:eastAsia="es-MX"/>
        </w:rPr>
        <w:t>que</w:t>
      </w:r>
      <w:r w:rsidR="00A93B7D" w:rsidRPr="002D4FDE">
        <w:rPr>
          <w:rFonts w:ascii="Arial" w:hAnsi="Arial" w:cs="Arial"/>
          <w:sz w:val="22"/>
          <w:lang w:eastAsia="es-MX"/>
        </w:rPr>
        <w:t xml:space="preserve"> se aplicará a los proceso de contratación cuyo aviso de convocatoria se publique a partir del 29 de agosto de 2022</w:t>
      </w:r>
      <w:r w:rsidR="00A93B7D">
        <w:rPr>
          <w:rFonts w:ascii="Arial" w:hAnsi="Arial" w:cs="Arial"/>
          <w:sz w:val="22"/>
          <w:lang w:eastAsia="es-MX"/>
        </w:rPr>
        <w:t>.</w:t>
      </w:r>
      <w:r w:rsidR="00F56AB9">
        <w:rPr>
          <w:rFonts w:ascii="Arial" w:hAnsi="Arial" w:cs="Arial"/>
          <w:sz w:val="22"/>
          <w:lang w:eastAsia="es-MX"/>
        </w:rPr>
        <w:t xml:space="preserve"> </w:t>
      </w:r>
      <w:r w:rsidR="00785C8D">
        <w:rPr>
          <w:rFonts w:ascii="Arial" w:hAnsi="Arial" w:cs="Arial"/>
          <w:sz w:val="22"/>
          <w:lang w:eastAsia="es-MX"/>
        </w:rPr>
        <w:t xml:space="preserve">Esta resolución regula, entre otros aspectos, las reglas de fomento en los documentos tipo de infraestructura de transporte en las modalidades de licitación pública y selección abreviada </w:t>
      </w:r>
      <w:r w:rsidR="00A93B7D">
        <w:rPr>
          <w:rFonts w:ascii="Arial" w:hAnsi="Arial" w:cs="Arial"/>
          <w:sz w:val="22"/>
          <w:lang w:eastAsia="es-MX"/>
        </w:rPr>
        <w:t xml:space="preserve">de </w:t>
      </w:r>
      <w:r w:rsidR="00785C8D">
        <w:rPr>
          <w:rFonts w:ascii="Arial" w:hAnsi="Arial" w:cs="Arial"/>
          <w:sz w:val="22"/>
          <w:lang w:eastAsia="es-MX"/>
        </w:rPr>
        <w:t xml:space="preserve">menor cuantía, infraestructura de agua potable y saneamiento básico e infraestructura social. </w:t>
      </w:r>
    </w:p>
    <w:p w14:paraId="1FD1BAFF" w14:textId="7761EE62" w:rsidR="00625547" w:rsidRPr="00625547" w:rsidRDefault="00625547" w:rsidP="00625547">
      <w:pPr>
        <w:spacing w:before="120" w:line="276" w:lineRule="auto"/>
        <w:ind w:firstLine="709"/>
        <w:jc w:val="both"/>
        <w:rPr>
          <w:rFonts w:ascii="Arial" w:hAnsi="Arial" w:cs="Arial"/>
          <w:iCs/>
          <w:sz w:val="22"/>
          <w:lang w:val="es-ES" w:eastAsia="es-MX"/>
        </w:rPr>
      </w:pPr>
      <w:r>
        <w:rPr>
          <w:rFonts w:ascii="Arial" w:hAnsi="Arial" w:cs="Arial"/>
          <w:sz w:val="22"/>
          <w:lang w:eastAsia="es-MX"/>
        </w:rPr>
        <w:t xml:space="preserve">Para estos efectos, se </w:t>
      </w:r>
      <w:r w:rsidRPr="00803C65">
        <w:rPr>
          <w:rFonts w:ascii="Arial" w:hAnsi="Arial" w:cs="Arial"/>
          <w:sz w:val="22"/>
          <w:lang w:eastAsia="es-MX"/>
        </w:rPr>
        <w:t>establec</w:t>
      </w:r>
      <w:r>
        <w:rPr>
          <w:rFonts w:ascii="Arial" w:hAnsi="Arial" w:cs="Arial"/>
          <w:sz w:val="22"/>
          <w:lang w:eastAsia="es-MX"/>
        </w:rPr>
        <w:t xml:space="preserve">ió </w:t>
      </w:r>
      <w:r w:rsidRPr="00EC68A5">
        <w:rPr>
          <w:rFonts w:ascii="Arial" w:hAnsi="Arial" w:cs="Arial"/>
          <w:sz w:val="22"/>
          <w:lang w:eastAsia="es-MX"/>
        </w:rPr>
        <w:t>en la cláusula novena de la minuta del contrato la obligación de destinar a la ejecución de este en un porcentaje mínimo</w:t>
      </w:r>
      <w:r>
        <w:rPr>
          <w:rFonts w:ascii="Arial" w:hAnsi="Arial" w:cs="Arial"/>
          <w:sz w:val="22"/>
          <w:lang w:eastAsia="es-MX"/>
        </w:rPr>
        <w:t xml:space="preserve"> </w:t>
      </w:r>
      <w:r w:rsidR="00A93B7D">
        <w:rPr>
          <w:rFonts w:ascii="Arial" w:hAnsi="Arial" w:cs="Arial"/>
          <w:sz w:val="22"/>
          <w:lang w:eastAsia="es-MX"/>
        </w:rPr>
        <w:t>–</w:t>
      </w:r>
      <w:r>
        <w:rPr>
          <w:rFonts w:ascii="Arial" w:hAnsi="Arial" w:cs="Arial"/>
          <w:sz w:val="22"/>
          <w:lang w:eastAsia="es-MX"/>
        </w:rPr>
        <w:t>que se debe establecer</w:t>
      </w:r>
      <w:r w:rsidRPr="00EC68A5">
        <w:rPr>
          <w:rFonts w:ascii="Arial" w:hAnsi="Arial" w:cs="Arial"/>
          <w:sz w:val="22"/>
          <w:lang w:eastAsia="es-MX"/>
        </w:rPr>
        <w:t xml:space="preserve"> dentro del rango del cinco por ciento (5%) al diez por ciento (10%)</w:t>
      </w:r>
      <w:r w:rsidR="00A93B7D">
        <w:rPr>
          <w:rFonts w:ascii="Arial" w:hAnsi="Arial" w:cs="Arial"/>
          <w:sz w:val="22"/>
          <w:lang w:eastAsia="es-MX"/>
        </w:rPr>
        <w:t>–</w:t>
      </w:r>
      <w:r w:rsidRPr="00EC68A5">
        <w:rPr>
          <w:rFonts w:ascii="Arial" w:hAnsi="Arial" w:cs="Arial"/>
          <w:sz w:val="22"/>
          <w:lang w:eastAsia="es-MX"/>
        </w:rPr>
        <w:t xml:space="preserve"> la provisión de bienes o servicios por parte de alguno o algunos de los siguientes sujetos: población en pobreza extrema, desplazados por la violencia, personas en proceso de reintegración o reincorporación y sujetos de especial protección constitucional</w:t>
      </w:r>
      <w:r w:rsidRPr="00803C65">
        <w:rPr>
          <w:rFonts w:ascii="Arial" w:hAnsi="Arial" w:cs="Arial"/>
          <w:sz w:val="22"/>
          <w:lang w:eastAsia="es-MX"/>
        </w:rPr>
        <w:t>, entre otros</w:t>
      </w:r>
      <w:r w:rsidRPr="00803C65">
        <w:rPr>
          <w:rFonts w:ascii="Arial" w:hAnsi="Arial" w:cs="Arial"/>
          <w:b/>
          <w:i/>
          <w:iCs/>
          <w:sz w:val="22"/>
          <w:lang w:val="es-ES" w:eastAsia="es-MX"/>
        </w:rPr>
        <w:t xml:space="preserve"> </w:t>
      </w:r>
      <w:r w:rsidRPr="00803C65">
        <w:rPr>
          <w:rFonts w:ascii="Arial" w:hAnsi="Arial" w:cs="Arial"/>
          <w:bCs/>
          <w:sz w:val="22"/>
          <w:lang w:val="es-ES" w:eastAsia="es-MX"/>
        </w:rPr>
        <w:t>sujetos identificados por la Ley o la jurisprudencia de esta manera</w:t>
      </w:r>
      <w:r w:rsidRPr="00803C65">
        <w:rPr>
          <w:rFonts w:ascii="Arial" w:hAnsi="Arial" w:cs="Arial"/>
          <w:bCs/>
          <w:sz w:val="22"/>
          <w:lang w:eastAsia="es-MX"/>
        </w:rPr>
        <w:t>.</w:t>
      </w:r>
      <w:r w:rsidRPr="00803C65">
        <w:rPr>
          <w:rFonts w:ascii="Arial" w:hAnsi="Arial" w:cs="Arial"/>
          <w:sz w:val="22"/>
          <w:lang w:eastAsia="es-MX"/>
        </w:rPr>
        <w:t xml:space="preserve"> De este modo, si producto del análisis de oportunidad y conveniencia la entidad estatal determina la viabilidad de establecer esta obligación, la incorporará dentro de la minuta del contrato y determinará el porcentaje de vinculación teniendo en cuenta el rango previsto por esta Agencia. No obstante, el contratista podrá incluir en la ejecución del contrato un porcentaje superior </w:t>
      </w:r>
      <w:r w:rsidRPr="00803C65">
        <w:rPr>
          <w:rFonts w:ascii="Arial" w:hAnsi="Arial" w:cs="Arial"/>
          <w:iCs/>
          <w:sz w:val="22"/>
          <w:lang w:val="es-ES" w:eastAsia="es-MX"/>
        </w:rPr>
        <w:t xml:space="preserve">al definido por la Entidad. </w:t>
      </w:r>
    </w:p>
    <w:p w14:paraId="0128BF97" w14:textId="15655CFB" w:rsidR="00873BDE" w:rsidRDefault="00625547" w:rsidP="00625547">
      <w:pPr>
        <w:spacing w:before="120" w:line="276" w:lineRule="auto"/>
        <w:ind w:firstLine="709"/>
        <w:jc w:val="both"/>
        <w:rPr>
          <w:rFonts w:ascii="Arial" w:hAnsi="Arial" w:cs="Arial"/>
          <w:iCs/>
          <w:sz w:val="22"/>
          <w:lang w:eastAsia="es-MX"/>
        </w:rPr>
      </w:pPr>
      <w:r>
        <w:rPr>
          <w:rFonts w:ascii="Arial" w:hAnsi="Arial" w:cs="Arial"/>
          <w:iCs/>
          <w:sz w:val="22"/>
          <w:lang w:val="es-ES" w:eastAsia="es-MX"/>
        </w:rPr>
        <w:lastRenderedPageBreak/>
        <w:t xml:space="preserve">Asimismo, </w:t>
      </w:r>
      <w:r w:rsidR="00A93B7D">
        <w:rPr>
          <w:rFonts w:ascii="Arial" w:hAnsi="Arial" w:cs="Arial"/>
          <w:iCs/>
          <w:sz w:val="22"/>
          <w:lang w:val="es-ES" w:eastAsia="es-MX"/>
        </w:rPr>
        <w:t xml:space="preserve">se </w:t>
      </w:r>
      <w:r w:rsidRPr="00303196">
        <w:rPr>
          <w:rFonts w:ascii="Arial" w:hAnsi="Arial" w:cs="Arial"/>
          <w:iCs/>
          <w:sz w:val="22"/>
          <w:lang w:eastAsia="es-MX"/>
        </w:rPr>
        <w:t>determinan las condiciones para incorporar a los sujetos mencionados en la ejecución del contrato</w:t>
      </w:r>
      <w:r>
        <w:rPr>
          <w:rFonts w:ascii="Arial" w:hAnsi="Arial" w:cs="Arial"/>
          <w:iCs/>
          <w:sz w:val="22"/>
          <w:lang w:eastAsia="es-MX"/>
        </w:rPr>
        <w:t xml:space="preserve">, fomentando que el contratista </w:t>
      </w:r>
      <w:r w:rsidRPr="00303196">
        <w:rPr>
          <w:rFonts w:ascii="Arial" w:hAnsi="Arial" w:cs="Arial"/>
          <w:iCs/>
          <w:sz w:val="22"/>
          <w:lang w:eastAsia="es-MX"/>
        </w:rPr>
        <w:t>determine libremente la forma en que participarán estos sujetos en el desarrollo del objeto contractual, siempre que se garantice que los bienes y servicios requeridos sean proveídos por estos y se mantengan durante toda la ejecución del contrato en el porcentaje mínimo establecido, so pena del incumplimiento contractual</w:t>
      </w:r>
      <w:r>
        <w:rPr>
          <w:rFonts w:ascii="Arial" w:hAnsi="Arial" w:cs="Arial"/>
          <w:iCs/>
          <w:sz w:val="22"/>
          <w:lang w:eastAsia="es-MX"/>
        </w:rPr>
        <w:t>. Por tanto</w:t>
      </w:r>
      <w:r>
        <w:rPr>
          <w:rFonts w:ascii="Arial" w:hAnsi="Arial" w:cs="Arial"/>
          <w:iCs/>
          <w:sz w:val="22"/>
          <w:lang w:val="es-ES" w:eastAsia="es-MX"/>
        </w:rPr>
        <w:t xml:space="preserve">, </w:t>
      </w:r>
      <w:r w:rsidRPr="008E24A7">
        <w:rPr>
          <w:rFonts w:ascii="Arial" w:hAnsi="Arial" w:cs="Arial"/>
          <w:iCs/>
          <w:sz w:val="22"/>
          <w:lang w:eastAsia="es-MX"/>
        </w:rPr>
        <w:t xml:space="preserve">se </w:t>
      </w:r>
      <w:r w:rsidR="00002294">
        <w:rPr>
          <w:rFonts w:ascii="Arial" w:hAnsi="Arial" w:cs="Arial"/>
          <w:iCs/>
          <w:sz w:val="22"/>
          <w:lang w:eastAsia="es-MX"/>
        </w:rPr>
        <w:t xml:space="preserve">incorporó </w:t>
      </w:r>
      <w:r w:rsidRPr="008E24A7">
        <w:rPr>
          <w:rFonts w:ascii="Arial" w:hAnsi="Arial" w:cs="Arial"/>
          <w:iCs/>
          <w:sz w:val="22"/>
          <w:lang w:eastAsia="es-MX"/>
        </w:rPr>
        <w:t>en la cláusula de multas las consecuencias de incumplir la obligación señalada</w:t>
      </w:r>
      <w:r w:rsidR="00002294">
        <w:rPr>
          <w:rFonts w:ascii="Arial" w:hAnsi="Arial" w:cs="Arial"/>
          <w:iCs/>
          <w:sz w:val="22"/>
          <w:lang w:eastAsia="es-MX"/>
        </w:rPr>
        <w:t>,</w:t>
      </w:r>
      <w:r>
        <w:rPr>
          <w:rFonts w:ascii="Arial" w:hAnsi="Arial" w:cs="Arial"/>
          <w:iCs/>
          <w:sz w:val="22"/>
          <w:lang w:eastAsia="es-MX"/>
        </w:rPr>
        <w:t xml:space="preserve"> la cual debe incluirse</w:t>
      </w:r>
      <w:r w:rsidR="00002294">
        <w:rPr>
          <w:rFonts w:ascii="Arial" w:hAnsi="Arial" w:cs="Arial"/>
          <w:iCs/>
          <w:sz w:val="22"/>
          <w:lang w:eastAsia="es-MX"/>
        </w:rPr>
        <w:t xml:space="preserve"> solo </w:t>
      </w:r>
      <w:r>
        <w:rPr>
          <w:rFonts w:ascii="Arial" w:hAnsi="Arial" w:cs="Arial"/>
          <w:iCs/>
          <w:sz w:val="22"/>
          <w:lang w:eastAsia="es-MX"/>
        </w:rPr>
        <w:t>si</w:t>
      </w:r>
      <w:r w:rsidR="00002294">
        <w:rPr>
          <w:rFonts w:ascii="Arial" w:hAnsi="Arial" w:cs="Arial"/>
          <w:iCs/>
          <w:sz w:val="22"/>
          <w:lang w:eastAsia="es-MX"/>
        </w:rPr>
        <w:t>,</w:t>
      </w:r>
      <w:r>
        <w:rPr>
          <w:rFonts w:ascii="Arial" w:hAnsi="Arial" w:cs="Arial"/>
          <w:iCs/>
          <w:sz w:val="22"/>
          <w:lang w:eastAsia="es-MX"/>
        </w:rPr>
        <w:t xml:space="preserve"> </w:t>
      </w:r>
      <w:r w:rsidR="00002294">
        <w:rPr>
          <w:rFonts w:ascii="Arial" w:hAnsi="Arial" w:cs="Arial"/>
          <w:iCs/>
          <w:sz w:val="22"/>
          <w:lang w:eastAsia="es-MX"/>
        </w:rPr>
        <w:t xml:space="preserve">producto </w:t>
      </w:r>
      <w:r w:rsidRPr="008E24A7">
        <w:rPr>
          <w:rFonts w:ascii="Arial" w:hAnsi="Arial" w:cs="Arial"/>
          <w:iCs/>
          <w:sz w:val="22"/>
          <w:lang w:eastAsia="es-MX"/>
        </w:rPr>
        <w:t>del análisis de conveniencia y oportunidad</w:t>
      </w:r>
      <w:r w:rsidR="00002294">
        <w:rPr>
          <w:rFonts w:ascii="Arial" w:hAnsi="Arial" w:cs="Arial"/>
          <w:iCs/>
          <w:sz w:val="22"/>
          <w:lang w:eastAsia="es-MX"/>
        </w:rPr>
        <w:t>,</w:t>
      </w:r>
      <w:r w:rsidRPr="008E24A7">
        <w:rPr>
          <w:rFonts w:ascii="Arial" w:hAnsi="Arial" w:cs="Arial"/>
          <w:iCs/>
          <w:sz w:val="22"/>
          <w:lang w:eastAsia="es-MX"/>
        </w:rPr>
        <w:t xml:space="preserve"> </w:t>
      </w:r>
      <w:r w:rsidR="00002294">
        <w:rPr>
          <w:rFonts w:ascii="Arial" w:hAnsi="Arial" w:cs="Arial"/>
          <w:iCs/>
          <w:sz w:val="22"/>
          <w:lang w:eastAsia="es-MX"/>
        </w:rPr>
        <w:t xml:space="preserve">la entidad </w:t>
      </w:r>
      <w:r w:rsidRPr="008E24A7">
        <w:rPr>
          <w:rFonts w:ascii="Arial" w:hAnsi="Arial" w:cs="Arial"/>
          <w:iCs/>
          <w:sz w:val="22"/>
          <w:lang w:eastAsia="es-MX"/>
        </w:rPr>
        <w:t>decide establecer la obligación relacionada con la provisión de bienes y servicios por parte de los sujetos de especial protección constitucional</w:t>
      </w:r>
      <w:r>
        <w:rPr>
          <w:rFonts w:ascii="Arial" w:hAnsi="Arial" w:cs="Arial"/>
          <w:iCs/>
          <w:sz w:val="22"/>
          <w:lang w:eastAsia="es-MX"/>
        </w:rPr>
        <w:t>.</w:t>
      </w:r>
    </w:p>
    <w:p w14:paraId="4F4EB773" w14:textId="77777777" w:rsidR="00625547" w:rsidRPr="00625547" w:rsidRDefault="00625547" w:rsidP="00625547">
      <w:pPr>
        <w:spacing w:line="276" w:lineRule="auto"/>
        <w:ind w:firstLine="709"/>
        <w:jc w:val="both"/>
        <w:rPr>
          <w:rFonts w:ascii="Arial" w:hAnsi="Arial" w:cs="Arial"/>
          <w:iCs/>
          <w:sz w:val="22"/>
          <w:lang w:eastAsia="es-MX"/>
        </w:rPr>
      </w:pPr>
    </w:p>
    <w:p w14:paraId="056816F7" w14:textId="5C200F74"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7CAF8D25" w14:textId="543E153B" w:rsidR="00002294" w:rsidRPr="00A51520" w:rsidRDefault="005B4B8C" w:rsidP="00002294">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6CC15B69" wp14:editId="50DCC953">
            <wp:extent cx="2993390" cy="116459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75C6C670" w14:textId="77777777" w:rsidR="00002294" w:rsidRPr="00A51520" w:rsidRDefault="00002294" w:rsidP="00002294">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2294" w:rsidRPr="00A51520" w14:paraId="3080275B" w14:textId="77777777" w:rsidTr="001C69CB">
        <w:trPr>
          <w:trHeight w:val="160"/>
        </w:trPr>
        <w:tc>
          <w:tcPr>
            <w:tcW w:w="812" w:type="dxa"/>
            <w:vAlign w:val="center"/>
            <w:hideMark/>
          </w:tcPr>
          <w:p w14:paraId="65B7BC95" w14:textId="77777777" w:rsidR="00002294" w:rsidRPr="00A51520" w:rsidRDefault="00002294" w:rsidP="001C69CB">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4CA90BF" w14:textId="77777777" w:rsidR="00002294" w:rsidRPr="00A51520" w:rsidRDefault="00002294" w:rsidP="001C69CB">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7A1FC973" w14:textId="77777777" w:rsidR="00002294" w:rsidRPr="00A51520" w:rsidRDefault="00002294" w:rsidP="001C69CB">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 de la Subdirección de Gestión Contractual</w:t>
            </w:r>
          </w:p>
        </w:tc>
      </w:tr>
      <w:tr w:rsidR="00002294" w:rsidRPr="00A51520" w14:paraId="207AF0A0" w14:textId="77777777" w:rsidTr="001C69CB">
        <w:trPr>
          <w:trHeight w:val="330"/>
        </w:trPr>
        <w:tc>
          <w:tcPr>
            <w:tcW w:w="812" w:type="dxa"/>
            <w:vAlign w:val="center"/>
            <w:hideMark/>
          </w:tcPr>
          <w:p w14:paraId="3F729B29" w14:textId="77777777" w:rsidR="00002294" w:rsidRPr="00A51520" w:rsidRDefault="00002294" w:rsidP="001C69CB">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B74A37" w14:textId="77777777" w:rsidR="00002294" w:rsidRPr="00A51520" w:rsidRDefault="00002294" w:rsidP="001C69CB">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54A6DD0C" w14:textId="77777777" w:rsidR="00002294" w:rsidRPr="00A51520" w:rsidRDefault="00002294" w:rsidP="001C69CB">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 xml:space="preserve">Contratista </w:t>
            </w:r>
            <w:r w:rsidRPr="00A51520">
              <w:rPr>
                <w:rFonts w:ascii="Arial" w:hAnsi="Arial" w:cs="Arial"/>
                <w:color w:val="000000"/>
                <w:sz w:val="16"/>
                <w:szCs w:val="16"/>
                <w:shd w:val="clear" w:color="auto" w:fill="FFFFFF"/>
              </w:rPr>
              <w:t>de la </w:t>
            </w:r>
            <w:r w:rsidRPr="00A51520">
              <w:rPr>
                <w:rFonts w:ascii="Arial" w:hAnsi="Arial" w:cs="Arial"/>
                <w:color w:val="000000" w:themeColor="text1"/>
                <w:sz w:val="16"/>
                <w:szCs w:val="16"/>
                <w:lang w:val="es-ES" w:eastAsia="es-ES"/>
              </w:rPr>
              <w:t>Subdirección de Gestión Contractual</w:t>
            </w:r>
          </w:p>
        </w:tc>
      </w:tr>
      <w:tr w:rsidR="00002294" w:rsidRPr="00D40F8B" w14:paraId="60BF1858" w14:textId="77777777" w:rsidTr="001C69CB">
        <w:trPr>
          <w:trHeight w:val="300"/>
        </w:trPr>
        <w:tc>
          <w:tcPr>
            <w:tcW w:w="812" w:type="dxa"/>
            <w:vAlign w:val="center"/>
            <w:hideMark/>
          </w:tcPr>
          <w:p w14:paraId="276DE6BE" w14:textId="77777777" w:rsidR="00002294" w:rsidRPr="00A51520" w:rsidRDefault="00002294" w:rsidP="001C69CB">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39DED7" w14:textId="77777777" w:rsidR="00002294" w:rsidRPr="006A06F2" w:rsidRDefault="00002294" w:rsidP="001C69CB">
            <w:r>
              <w:rPr>
                <w:rFonts w:ascii="Arial" w:eastAsia="Arial" w:hAnsi="Arial" w:cs="Arial"/>
                <w:color w:val="000000"/>
                <w:sz w:val="16"/>
                <w:szCs w:val="16"/>
              </w:rPr>
              <w:t>Juan David Marín López</w:t>
            </w:r>
          </w:p>
          <w:p w14:paraId="4D26B373" w14:textId="77777777" w:rsidR="00002294" w:rsidRPr="00D40F8B" w:rsidRDefault="00002294" w:rsidP="001C69CB">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tbl>
    <w:p w14:paraId="1E15D272" w14:textId="77777777" w:rsidR="00002294" w:rsidRDefault="00002294" w:rsidP="00002294">
      <w:pPr>
        <w:jc w:val="both"/>
        <w:rPr>
          <w:rFonts w:ascii="Arial" w:hAnsi="Arial" w:cs="Arial"/>
          <w:lang w:val="es-ES_tradnl"/>
        </w:rPr>
      </w:pPr>
    </w:p>
    <w:bookmarkEnd w:id="3"/>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9938C" w14:textId="77777777" w:rsidR="00B32342" w:rsidRDefault="00B32342">
      <w:r>
        <w:separator/>
      </w:r>
    </w:p>
  </w:endnote>
  <w:endnote w:type="continuationSeparator" w:id="0">
    <w:p w14:paraId="74B69F8A" w14:textId="77777777" w:rsidR="00B32342" w:rsidRDefault="00B32342">
      <w:r>
        <w:continuationSeparator/>
      </w:r>
    </w:p>
  </w:endnote>
  <w:endnote w:type="continuationNotice" w:id="1">
    <w:p w14:paraId="0A830983" w14:textId="77777777" w:rsidR="00B32342" w:rsidRDefault="00B32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4924FAC0" w:rsidR="00E2520A" w:rsidRDefault="005B4B8C" w:rsidP="00FE42ED">
    <w:pPr>
      <w:pStyle w:val="Piedepgina"/>
      <w:jc w:val="right"/>
      <w:rPr>
        <w:rFonts w:ascii="Arial" w:hAnsi="Arial" w:cs="Arial"/>
        <w:color w:val="7F7F7F"/>
        <w:sz w:val="16"/>
        <w:szCs w:val="16"/>
      </w:rPr>
    </w:pPr>
    <w:r>
      <w:rPr>
        <w:noProof/>
      </w:rPr>
      <w:drawing>
        <wp:inline distT="0" distB="0" distL="0" distR="0" wp14:anchorId="6F9A41D2" wp14:editId="0BDC139F">
          <wp:extent cx="5539740" cy="860365"/>
          <wp:effectExtent l="0" t="0" r="3810" b="0"/>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p w14:paraId="2AB476E9" w14:textId="77777777" w:rsidR="005B4B8C" w:rsidRPr="00EC6D8D" w:rsidRDefault="005B4B8C" w:rsidP="00FE42ED">
    <w:pPr>
      <w:pStyle w:val="Piedepgina"/>
      <w:jc w:val="right"/>
      <w:rPr>
        <w:rFonts w:ascii="Arial" w:hAnsi="Arial" w:cs="Arial"/>
        <w:color w:val="7F7F7F"/>
        <w:sz w:val="16"/>
        <w:szCs w:val="16"/>
      </w:rPr>
    </w:pP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419"/>
      <w:gridCol w:w="837"/>
      <w:gridCol w:w="1932"/>
      <w:gridCol w:w="718"/>
      <w:gridCol w:w="1898"/>
      <w:gridCol w:w="1915"/>
    </w:tblGrid>
    <w:tr w:rsidR="005B4B8C" w:rsidRPr="00304B85" w14:paraId="58A45018" w14:textId="77777777" w:rsidTr="00562867">
      <w:trPr>
        <w:trHeight w:val="229"/>
        <w:jc w:val="center"/>
      </w:trPr>
      <w:tc>
        <w:tcPr>
          <w:tcW w:w="995"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4210A9F2" w14:textId="77777777" w:rsidR="005B4B8C" w:rsidRPr="00304B85" w:rsidRDefault="005B4B8C" w:rsidP="005B4B8C">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Versión:</w:t>
          </w:r>
        </w:p>
      </w:tc>
      <w:tc>
        <w:tcPr>
          <w:tcW w:w="419"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454872D" w14:textId="77777777" w:rsidR="005B4B8C" w:rsidRPr="00304B85" w:rsidRDefault="005B4B8C" w:rsidP="005B4B8C">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03</w:t>
          </w:r>
        </w:p>
      </w:tc>
      <w:tc>
        <w:tcPr>
          <w:tcW w:w="837"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9D29029" w14:textId="77777777" w:rsidR="005B4B8C" w:rsidRPr="00304B85" w:rsidRDefault="005B4B8C" w:rsidP="005B4B8C">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Código:</w:t>
          </w:r>
        </w:p>
      </w:tc>
      <w:tc>
        <w:tcPr>
          <w:tcW w:w="1932"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6DF11AF5" w14:textId="77777777" w:rsidR="005B4B8C" w:rsidRPr="00304B85" w:rsidRDefault="005B4B8C" w:rsidP="005B4B8C">
          <w:pPr>
            <w:tabs>
              <w:tab w:val="center" w:pos="4252"/>
              <w:tab w:val="center" w:pos="5400"/>
              <w:tab w:val="right" w:pos="8504"/>
            </w:tabs>
            <w:jc w:val="right"/>
            <w:rPr>
              <w:rFonts w:ascii="Geomanist Light" w:eastAsiaTheme="minorHAnsi" w:hAnsi="Geomanist Light" w:cstheme="minorBidi"/>
              <w:color w:val="404040" w:themeColor="text1" w:themeTint="BF"/>
              <w:sz w:val="18"/>
              <w:szCs w:val="18"/>
              <w:lang w:val="es-MX" w:eastAsia="en-US"/>
            </w:rPr>
          </w:pPr>
          <w:r w:rsidRPr="00304B85">
            <w:rPr>
              <w:rFonts w:ascii="Geomanist Light" w:eastAsiaTheme="minorHAnsi" w:hAnsi="Geomanist Light" w:cstheme="minorBidi"/>
              <w:color w:val="404040" w:themeColor="text1" w:themeTint="BF"/>
              <w:sz w:val="18"/>
              <w:szCs w:val="18"/>
              <w:lang w:val="es-MX" w:eastAsia="en-US"/>
            </w:rPr>
            <w:t>CCE-DES-FM-17</w:t>
          </w:r>
        </w:p>
      </w:tc>
      <w:tc>
        <w:tcPr>
          <w:tcW w:w="718"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55A40D55" w14:textId="77777777" w:rsidR="005B4B8C" w:rsidRPr="00304B85" w:rsidRDefault="005B4B8C" w:rsidP="005B4B8C">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Fecha:</w:t>
          </w:r>
        </w:p>
      </w:tc>
      <w:tc>
        <w:tcPr>
          <w:tcW w:w="189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1A0581D" w14:textId="77777777" w:rsidR="005B4B8C" w:rsidRPr="00304B85" w:rsidRDefault="005B4B8C" w:rsidP="005B4B8C">
          <w:pPr>
            <w:tabs>
              <w:tab w:val="center" w:pos="4419"/>
              <w:tab w:val="right" w:pos="8838"/>
            </w:tabs>
            <w:jc w:val="center"/>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10 de agosto de 2022</w:t>
          </w:r>
        </w:p>
      </w:tc>
      <w:tc>
        <w:tcPr>
          <w:tcW w:w="1915"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4F610908" w14:textId="77777777" w:rsidR="005B4B8C" w:rsidRPr="00304B85" w:rsidRDefault="005B4B8C" w:rsidP="005B4B8C">
          <w:pPr>
            <w:tabs>
              <w:tab w:val="center" w:pos="4419"/>
              <w:tab w:val="right" w:pos="8838"/>
            </w:tabs>
            <w:jc w:val="right"/>
            <w:rPr>
              <w:rFonts w:ascii="Geomanist Light" w:eastAsiaTheme="minorHAnsi" w:hAnsi="Geomanist Light" w:cstheme="minorBidi"/>
              <w:sz w:val="18"/>
              <w:szCs w:val="18"/>
              <w:lang w:val="es-MX" w:eastAsia="en-US"/>
            </w:rPr>
          </w:pPr>
          <w:r w:rsidRPr="00304B85">
            <w:rPr>
              <w:rFonts w:ascii="Geomanist Light" w:eastAsiaTheme="minorHAnsi" w:hAnsi="Geomanist Light" w:cstheme="minorBidi"/>
              <w:sz w:val="18"/>
              <w:szCs w:val="18"/>
              <w:lang w:val="es-MX" w:eastAsia="en-US"/>
            </w:rPr>
            <w:t xml:space="preserve">Página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PAGE  \* Arabic  \* MERGEFORMAT</w:instrText>
          </w:r>
          <w:r w:rsidRPr="00304B85">
            <w:rPr>
              <w:rFonts w:ascii="Geomanist Light" w:eastAsiaTheme="minorHAnsi" w:hAnsi="Geomanist Light" w:cstheme="minorBidi"/>
              <w:b/>
              <w:bCs/>
              <w:sz w:val="18"/>
              <w:szCs w:val="18"/>
              <w:lang w:val="es-MX" w:eastAsia="en-US"/>
            </w:rPr>
            <w:fldChar w:fldCharType="separate"/>
          </w:r>
          <w:r w:rsidRPr="00304B85">
            <w:rPr>
              <w:rFonts w:ascii="Geomanist Light" w:eastAsiaTheme="minorHAnsi" w:hAnsi="Geomanist Light" w:cstheme="minorBidi"/>
              <w:b/>
              <w:bCs/>
              <w:sz w:val="18"/>
              <w:szCs w:val="18"/>
              <w:lang w:val="es-MX" w:eastAsia="en-US"/>
            </w:rPr>
            <w:t>1</w:t>
          </w:r>
          <w:r w:rsidRPr="00304B85">
            <w:rPr>
              <w:rFonts w:ascii="Geomanist Light" w:eastAsiaTheme="minorHAnsi" w:hAnsi="Geomanist Light" w:cstheme="minorBidi"/>
              <w:b/>
              <w:bCs/>
              <w:sz w:val="18"/>
              <w:szCs w:val="18"/>
              <w:lang w:val="es-MX" w:eastAsia="en-US"/>
            </w:rPr>
            <w:fldChar w:fldCharType="end"/>
          </w:r>
          <w:r w:rsidRPr="00304B85">
            <w:rPr>
              <w:rFonts w:ascii="Geomanist Light" w:eastAsiaTheme="minorHAnsi" w:hAnsi="Geomanist Light" w:cstheme="minorBidi"/>
              <w:sz w:val="18"/>
              <w:szCs w:val="18"/>
              <w:lang w:val="es-MX" w:eastAsia="en-US"/>
            </w:rPr>
            <w:t xml:space="preserve"> de </w:t>
          </w:r>
          <w:r w:rsidRPr="00304B85">
            <w:rPr>
              <w:rFonts w:ascii="Geomanist Light" w:eastAsiaTheme="minorHAnsi" w:hAnsi="Geomanist Light" w:cstheme="minorBidi"/>
              <w:b/>
              <w:bCs/>
              <w:sz w:val="18"/>
              <w:szCs w:val="18"/>
              <w:lang w:val="es-MX" w:eastAsia="en-US"/>
            </w:rPr>
            <w:fldChar w:fldCharType="begin"/>
          </w:r>
          <w:r w:rsidRPr="00304B85">
            <w:rPr>
              <w:rFonts w:ascii="Geomanist Light" w:eastAsiaTheme="minorHAnsi" w:hAnsi="Geomanist Light" w:cstheme="minorBidi"/>
              <w:b/>
              <w:bCs/>
              <w:sz w:val="18"/>
              <w:szCs w:val="18"/>
              <w:lang w:val="es-MX" w:eastAsia="en-US"/>
            </w:rPr>
            <w:instrText>NUMPAGES  \* Arabic  \* MERGEFORMAT</w:instrText>
          </w:r>
          <w:r w:rsidRPr="00304B85">
            <w:rPr>
              <w:rFonts w:ascii="Geomanist Light" w:eastAsiaTheme="minorHAnsi" w:hAnsi="Geomanist Light" w:cstheme="minorBidi"/>
              <w:b/>
              <w:bCs/>
              <w:sz w:val="18"/>
              <w:szCs w:val="18"/>
              <w:lang w:val="es-MX" w:eastAsia="en-US"/>
            </w:rPr>
            <w:fldChar w:fldCharType="separate"/>
          </w:r>
          <w:r w:rsidRPr="00304B85">
            <w:rPr>
              <w:rFonts w:ascii="Geomanist Light" w:eastAsiaTheme="minorHAnsi" w:hAnsi="Geomanist Light" w:cstheme="minorBidi"/>
              <w:b/>
              <w:bCs/>
              <w:sz w:val="18"/>
              <w:szCs w:val="18"/>
              <w:lang w:val="es-MX" w:eastAsia="en-US"/>
            </w:rPr>
            <w:t>2</w:t>
          </w:r>
          <w:r w:rsidRPr="00304B85">
            <w:rPr>
              <w:rFonts w:ascii="Geomanist Light" w:eastAsiaTheme="minorHAnsi" w:hAnsi="Geomanist Light" w:cstheme="minorBidi"/>
              <w:b/>
              <w:bCs/>
              <w:sz w:val="18"/>
              <w:szCs w:val="18"/>
              <w:lang w:val="es-MX" w:eastAsia="en-US"/>
            </w:rPr>
            <w:fldChar w:fldCharType="end"/>
          </w:r>
        </w:p>
      </w:tc>
    </w:tr>
  </w:tbl>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FC9F7" w14:textId="77777777" w:rsidR="00B32342" w:rsidRDefault="00B32342">
      <w:r>
        <w:separator/>
      </w:r>
    </w:p>
  </w:footnote>
  <w:footnote w:type="continuationSeparator" w:id="0">
    <w:p w14:paraId="0BC7D71E" w14:textId="77777777" w:rsidR="00B32342" w:rsidRDefault="00B32342">
      <w:r>
        <w:continuationSeparator/>
      </w:r>
    </w:p>
  </w:footnote>
  <w:footnote w:type="continuationNotice" w:id="1">
    <w:p w14:paraId="30B10A51" w14:textId="77777777" w:rsidR="00B32342" w:rsidRDefault="00B32342"/>
  </w:footnote>
  <w:footnote w:id="2">
    <w:p w14:paraId="25E4F92F" w14:textId="21A1A00B" w:rsidR="00E9592E" w:rsidRPr="00E9592E" w:rsidRDefault="00E9592E" w:rsidP="00E9592E">
      <w:pPr>
        <w:pStyle w:val="Textonotapie"/>
        <w:ind w:firstLine="709"/>
        <w:rPr>
          <w:lang w:val="es-CO"/>
        </w:rPr>
      </w:pPr>
      <w:r>
        <w:rPr>
          <w:rStyle w:val="Refdenotaalpie"/>
        </w:rPr>
        <w:footnoteRef/>
      </w:r>
      <w:r>
        <w:t xml:space="preserve"> </w:t>
      </w:r>
      <w:r w:rsidRPr="00E9592E">
        <w:rPr>
          <w:sz w:val="16"/>
          <w:szCs w:val="16"/>
          <w:lang w:val="es-CO"/>
        </w:rPr>
        <w:t>E</w:t>
      </w:r>
      <w:r w:rsidRPr="00E9592E">
        <w:rPr>
          <w:rFonts w:ascii="Arial" w:hAnsi="Arial" w:cs="Arial"/>
          <w:sz w:val="16"/>
          <w:szCs w:val="16"/>
          <w:lang w:val="es-CO"/>
        </w:rPr>
        <w:t>stos conceptos pueden ser consultados en https://relatoria.colombiacompra.gov.co/busqueda/conceptos#</w:t>
      </w:r>
    </w:p>
  </w:footnote>
  <w:footnote w:id="3">
    <w:p w14:paraId="584AA3C5" w14:textId="77777777" w:rsidR="00D50A9F" w:rsidRPr="00B1493D" w:rsidRDefault="00D50A9F" w:rsidP="00D50A9F">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2 al 29.</w:t>
      </w:r>
    </w:p>
    <w:p w14:paraId="42799967" w14:textId="77777777" w:rsidR="00D50A9F" w:rsidRPr="00B1493D" w:rsidRDefault="00D50A9F" w:rsidP="00D50A9F">
      <w:pPr>
        <w:pStyle w:val="Textonotapie"/>
        <w:ind w:firstLine="709"/>
        <w:jc w:val="both"/>
        <w:rPr>
          <w:rFonts w:ascii="Arial" w:hAnsi="Arial" w:cs="Arial"/>
          <w:color w:val="000000"/>
          <w:sz w:val="19"/>
          <w:szCs w:val="19"/>
          <w:lang w:val="es-ES"/>
        </w:rPr>
      </w:pPr>
    </w:p>
  </w:footnote>
  <w:footnote w:id="4">
    <w:p w14:paraId="4DFEE048" w14:textId="77777777" w:rsidR="00D50A9F" w:rsidRPr="00B1493D" w:rsidRDefault="00D50A9F" w:rsidP="00D50A9F">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30 al 36.</w:t>
      </w:r>
    </w:p>
    <w:p w14:paraId="45EEF828" w14:textId="77777777" w:rsidR="00D50A9F" w:rsidRPr="00B1493D" w:rsidRDefault="00D50A9F" w:rsidP="00D50A9F">
      <w:pPr>
        <w:pStyle w:val="Textonotapie"/>
        <w:ind w:firstLine="709"/>
        <w:jc w:val="both"/>
        <w:rPr>
          <w:rFonts w:ascii="Arial" w:hAnsi="Arial" w:cs="Arial"/>
          <w:color w:val="000000"/>
          <w:sz w:val="19"/>
          <w:szCs w:val="19"/>
          <w:lang w:val="es-ES"/>
        </w:rPr>
      </w:pPr>
    </w:p>
  </w:footnote>
  <w:footnote w:id="5">
    <w:p w14:paraId="7BB2F3BD" w14:textId="77777777" w:rsidR="00D50A9F" w:rsidRPr="00B1493D" w:rsidRDefault="00D50A9F" w:rsidP="00D50A9F">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37 al 45.</w:t>
      </w:r>
    </w:p>
    <w:p w14:paraId="1B3D985E" w14:textId="77777777" w:rsidR="00D50A9F" w:rsidRPr="00B1493D" w:rsidRDefault="00D50A9F" w:rsidP="00D50A9F">
      <w:pPr>
        <w:pStyle w:val="Textonotapie"/>
        <w:ind w:firstLine="709"/>
        <w:jc w:val="both"/>
        <w:rPr>
          <w:rFonts w:ascii="Arial" w:hAnsi="Arial" w:cs="Arial"/>
          <w:color w:val="000000"/>
          <w:sz w:val="19"/>
          <w:szCs w:val="19"/>
          <w:lang w:val="es-ES"/>
        </w:rPr>
      </w:pPr>
    </w:p>
  </w:footnote>
  <w:footnote w:id="6">
    <w:p w14:paraId="250B079F" w14:textId="77777777" w:rsidR="00D50A9F" w:rsidRPr="00B1493D" w:rsidRDefault="00D50A9F" w:rsidP="00D50A9F">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46 al 73.</w:t>
      </w:r>
    </w:p>
    <w:p w14:paraId="33301E74" w14:textId="77777777" w:rsidR="00D50A9F" w:rsidRPr="00B1493D" w:rsidRDefault="00D50A9F" w:rsidP="00D50A9F">
      <w:pPr>
        <w:pStyle w:val="Textonotapie"/>
        <w:ind w:firstLine="709"/>
        <w:jc w:val="both"/>
        <w:rPr>
          <w:rFonts w:ascii="Arial" w:hAnsi="Arial" w:cs="Arial"/>
          <w:color w:val="000000"/>
          <w:sz w:val="19"/>
          <w:szCs w:val="19"/>
          <w:lang w:val="es-ES"/>
        </w:rPr>
      </w:pPr>
    </w:p>
  </w:footnote>
  <w:footnote w:id="7">
    <w:p w14:paraId="580D0AC0" w14:textId="77777777" w:rsidR="00D50A9F" w:rsidRPr="00B1493D" w:rsidRDefault="00D50A9F" w:rsidP="00D50A9F">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color w:val="000000"/>
          <w:sz w:val="19"/>
          <w:szCs w:val="19"/>
          <w:lang w:val="es-ES"/>
        </w:rPr>
        <w:t>Artículos 74 al 83.</w:t>
      </w:r>
    </w:p>
    <w:p w14:paraId="076253F3" w14:textId="77777777" w:rsidR="00D50A9F" w:rsidRPr="00B1493D" w:rsidRDefault="00D50A9F" w:rsidP="00D50A9F">
      <w:pPr>
        <w:pStyle w:val="Textonotapie"/>
        <w:ind w:firstLine="709"/>
        <w:jc w:val="both"/>
        <w:rPr>
          <w:rFonts w:ascii="Arial" w:hAnsi="Arial" w:cs="Arial"/>
          <w:color w:val="000000"/>
          <w:sz w:val="19"/>
          <w:szCs w:val="19"/>
          <w:lang w:val="es-ES"/>
        </w:rPr>
      </w:pPr>
    </w:p>
  </w:footnote>
  <w:footnote w:id="8">
    <w:p w14:paraId="623B4FD7" w14:textId="77777777" w:rsidR="00D50A9F" w:rsidRPr="00B1493D" w:rsidRDefault="00D50A9F" w:rsidP="00D50A9F">
      <w:pPr>
        <w:pStyle w:val="Textonotapie"/>
        <w:ind w:firstLine="709"/>
        <w:jc w:val="both"/>
        <w:rPr>
          <w:rFonts w:ascii="Arial" w:hAnsi="Arial" w:cs="Arial"/>
          <w:color w:val="000000"/>
          <w:sz w:val="19"/>
          <w:szCs w:val="19"/>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w:t>
      </w:r>
      <w:r w:rsidRPr="00B1493D">
        <w:rPr>
          <w:rFonts w:ascii="Arial" w:hAnsi="Arial" w:cs="Arial"/>
          <w:bCs/>
          <w:color w:val="000000"/>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B1493D">
        <w:rPr>
          <w:rFonts w:ascii="Arial" w:hAnsi="Arial" w:cs="Arial"/>
          <w:color w:val="000000"/>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B1493D">
          <w:rPr>
            <w:rStyle w:val="Hipervnculo"/>
            <w:rFonts w:ascii="Arial" w:hAnsi="Arial" w:cs="Arial"/>
            <w:color w:val="000000"/>
            <w:sz w:val="19"/>
            <w:szCs w:val="19"/>
          </w:rPr>
          <w:t>https://colaboracion.dnp.gov.co/CDT/Conpes/Econ%C3%B3micos/3956.pdf</w:t>
        </w:r>
      </w:hyperlink>
      <w:r w:rsidRPr="00B1493D">
        <w:rPr>
          <w:rFonts w:ascii="Arial" w:hAnsi="Arial" w:cs="Arial"/>
          <w:color w:val="000000"/>
          <w:sz w:val="19"/>
          <w:szCs w:val="19"/>
        </w:rPr>
        <w:t xml:space="preserve">). </w:t>
      </w:r>
    </w:p>
    <w:p w14:paraId="1872DEA6" w14:textId="77777777" w:rsidR="00D50A9F" w:rsidRPr="00B1493D" w:rsidRDefault="00D50A9F" w:rsidP="00D50A9F">
      <w:pPr>
        <w:pStyle w:val="Textonotapie"/>
        <w:ind w:firstLine="709"/>
        <w:jc w:val="both"/>
        <w:rPr>
          <w:rFonts w:ascii="Arial" w:hAnsi="Arial" w:cs="Arial"/>
          <w:color w:val="000000"/>
          <w:sz w:val="19"/>
          <w:szCs w:val="19"/>
          <w:lang w:val="es-ES"/>
        </w:rPr>
      </w:pPr>
    </w:p>
  </w:footnote>
  <w:footnote w:id="9">
    <w:p w14:paraId="09D43D3B" w14:textId="77777777" w:rsidR="00D50A9F" w:rsidRPr="00B1493D" w:rsidRDefault="00D50A9F" w:rsidP="00D50A9F">
      <w:pPr>
        <w:pStyle w:val="Textonotapie"/>
        <w:ind w:firstLine="709"/>
        <w:jc w:val="both"/>
        <w:rPr>
          <w:rFonts w:ascii="Arial" w:hAnsi="Arial" w:cs="Arial"/>
          <w:color w:val="000000"/>
          <w:sz w:val="19"/>
          <w:szCs w:val="19"/>
          <w:lang w:val="es-ES"/>
        </w:rPr>
      </w:pPr>
      <w:r w:rsidRPr="00B1493D">
        <w:rPr>
          <w:rStyle w:val="Refdenotaalpie"/>
          <w:rFonts w:ascii="Arial" w:hAnsi="Arial" w:cs="Arial"/>
          <w:color w:val="000000"/>
          <w:sz w:val="19"/>
          <w:szCs w:val="19"/>
        </w:rPr>
        <w:footnoteRef/>
      </w:r>
      <w:r w:rsidRPr="00B1493D">
        <w:rPr>
          <w:rFonts w:ascii="Arial" w:hAnsi="Arial" w:cs="Arial"/>
          <w:color w:val="000000"/>
          <w:sz w:val="19"/>
          <w:szCs w:val="19"/>
        </w:rPr>
        <w:t xml:space="preserve"> CONGRESO DE LA REPÚBLICA. Gaceta No. 670 del 11 de agosto de 2020. Exposición de motivos del Proyecto de Ley No. 122 de 2020 Cámara. p. 13. </w:t>
      </w:r>
    </w:p>
  </w:footnote>
  <w:footnote w:id="10">
    <w:p w14:paraId="6E8C75CC" w14:textId="5DE7B618" w:rsidR="0096650B" w:rsidRPr="0096650B" w:rsidRDefault="0096650B" w:rsidP="0096650B">
      <w:pPr>
        <w:pStyle w:val="Textonotapie"/>
        <w:ind w:firstLine="709"/>
        <w:rPr>
          <w:lang w:val="es-CO"/>
        </w:rPr>
      </w:pPr>
      <w:r>
        <w:rPr>
          <w:rStyle w:val="Refdenotaalpie"/>
        </w:rPr>
        <w:footnoteRef/>
      </w:r>
      <w:r>
        <w:t xml:space="preserve"> </w:t>
      </w:r>
      <w:r>
        <w:rPr>
          <w:rFonts w:ascii="Arial" w:hAnsi="Arial" w:cs="Arial"/>
          <w:sz w:val="19"/>
          <w:szCs w:val="19"/>
          <w:lang w:val="es-ES"/>
        </w:rPr>
        <w:t>La memoria justificativa puede consultarse aquí</w:t>
      </w:r>
      <w:r w:rsidRPr="00B355C9">
        <w:rPr>
          <w:rFonts w:ascii="Arial" w:hAnsi="Arial" w:cs="Arial"/>
          <w:color w:val="000000" w:themeColor="text1"/>
          <w:sz w:val="19"/>
          <w:szCs w:val="19"/>
          <w:lang w:val="es-ES"/>
        </w:rPr>
        <w:t xml:space="preserve">: </w:t>
      </w:r>
      <w:hyperlink r:id="rId2" w:history="1">
        <w:r w:rsidRPr="00B355C9">
          <w:rPr>
            <w:rStyle w:val="Hipervnculo"/>
            <w:rFonts w:ascii="Arial" w:hAnsi="Arial" w:cs="Arial"/>
            <w:color w:val="000000" w:themeColor="text1"/>
            <w:sz w:val="19"/>
            <w:szCs w:val="19"/>
            <w:u w:val="none"/>
            <w:lang w:val="es-ES"/>
          </w:rPr>
          <w:t>https://www.dnp.gov.co/Paginas/Proyecto-de-Decreto.aspx</w:t>
        </w:r>
      </w:hyperlink>
    </w:p>
  </w:footnote>
  <w:footnote w:id="11">
    <w:p w14:paraId="59D44E07" w14:textId="77777777" w:rsidR="0096650B" w:rsidRPr="004E0733" w:rsidRDefault="0096650B" w:rsidP="0096650B">
      <w:pPr>
        <w:pStyle w:val="Textonotapie"/>
        <w:ind w:firstLine="709"/>
        <w:rPr>
          <w:lang w:val="es-CO"/>
        </w:rPr>
      </w:pPr>
      <w:r>
        <w:rPr>
          <w:rStyle w:val="Refdenotaalpie"/>
        </w:rPr>
        <w:footnoteRef/>
      </w:r>
      <w:r>
        <w:t xml:space="preserve"> </w:t>
      </w:r>
      <w:r w:rsidRPr="004E0733">
        <w:rPr>
          <w:rFonts w:ascii="Arial" w:hAnsi="Arial" w:cs="Arial"/>
          <w:sz w:val="19"/>
          <w:szCs w:val="19"/>
          <w:lang w:val="es-CO"/>
        </w:rPr>
        <w:t>Definición RAE</w:t>
      </w:r>
      <w:r>
        <w:rPr>
          <w:rFonts w:ascii="Arial" w:hAnsi="Arial" w:cs="Arial"/>
          <w:sz w:val="19"/>
          <w:szCs w:val="19"/>
          <w:lang w:val="es-CO"/>
        </w:rPr>
        <w:t xml:space="preserve"> </w:t>
      </w:r>
      <w:r w:rsidRPr="004E0733">
        <w:rPr>
          <w:rFonts w:ascii="Arial" w:hAnsi="Arial" w:cs="Arial"/>
          <w:sz w:val="19"/>
          <w:szCs w:val="19"/>
          <w:lang w:val="es-CO"/>
        </w:rPr>
        <w:t xml:space="preserve">disponible en: </w:t>
      </w:r>
      <w:hyperlink r:id="rId3" w:history="1">
        <w:r w:rsidRPr="004E0733">
          <w:rPr>
            <w:rStyle w:val="Hipervnculo"/>
            <w:rFonts w:ascii="Arial" w:hAnsi="Arial" w:cs="Arial"/>
            <w:color w:val="000000" w:themeColor="text1"/>
            <w:sz w:val="19"/>
            <w:szCs w:val="19"/>
            <w:lang w:val="es-CO"/>
          </w:rPr>
          <w:t>https://dle.rae.es/fomentar</w:t>
        </w:r>
      </w:hyperlink>
      <w:r>
        <w:rPr>
          <w:lang w:val="es-CO"/>
        </w:rPr>
        <w:t xml:space="preserve"> </w:t>
      </w:r>
    </w:p>
  </w:footnote>
  <w:footnote w:id="12">
    <w:p w14:paraId="556112D0" w14:textId="19EC8311" w:rsidR="00836197" w:rsidRPr="000B021B" w:rsidRDefault="00836197" w:rsidP="00836197">
      <w:pPr>
        <w:pStyle w:val="Textonotapie"/>
        <w:ind w:firstLine="708"/>
        <w:jc w:val="both"/>
        <w:rPr>
          <w:rFonts w:ascii="Arial" w:eastAsia="Times New Roman" w:hAnsi="Arial" w:cs="Arial"/>
          <w:sz w:val="19"/>
          <w:szCs w:val="19"/>
          <w:lang w:val="es-ES" w:eastAsia="es-ES_tradnl"/>
        </w:rPr>
      </w:pPr>
      <w:r>
        <w:rPr>
          <w:rStyle w:val="Refdenotaalpie"/>
        </w:rPr>
        <w:footnoteRef/>
      </w:r>
      <w:r>
        <w:t xml:space="preserve"> </w:t>
      </w:r>
      <w:r w:rsidR="006118F4" w:rsidRPr="00B355C9">
        <w:rPr>
          <w:rFonts w:ascii="Arial" w:hAnsi="Arial" w:cs="Arial"/>
          <w:color w:val="000000" w:themeColor="text1"/>
          <w:sz w:val="19"/>
          <w:szCs w:val="19"/>
          <w:lang w:val="es-ES"/>
        </w:rPr>
        <w:t xml:space="preserve"> </w:t>
      </w:r>
      <w:r w:rsidR="006118F4">
        <w:rPr>
          <w:rFonts w:ascii="Arial" w:hAnsi="Arial" w:cs="Arial"/>
          <w:color w:val="000000" w:themeColor="text1"/>
          <w:sz w:val="19"/>
          <w:szCs w:val="19"/>
          <w:lang w:val="es-ES"/>
        </w:rPr>
        <w:t xml:space="preserve">Memoria justificativa disponible en: </w:t>
      </w:r>
      <w:hyperlink r:id="rId4" w:history="1">
        <w:r w:rsidR="00BB602B" w:rsidRPr="00BB602B">
          <w:rPr>
            <w:rStyle w:val="Hipervnculo"/>
            <w:rFonts w:ascii="Arial" w:hAnsi="Arial" w:cs="Arial"/>
            <w:color w:val="auto"/>
            <w:sz w:val="19"/>
            <w:szCs w:val="19"/>
            <w:lang w:val="es-ES"/>
          </w:rPr>
          <w:t>https://www.dnp.gov.co/Paginas/Proyecto-de-Decreto.aspx</w:t>
        </w:r>
      </w:hyperlink>
    </w:p>
  </w:footnote>
  <w:footnote w:id="13">
    <w:p w14:paraId="081BA00A" w14:textId="77777777" w:rsidR="00836197" w:rsidRPr="00DD21FE" w:rsidRDefault="00836197" w:rsidP="00836197">
      <w:pPr>
        <w:pStyle w:val="Textonotapie"/>
        <w:ind w:firstLine="708"/>
        <w:jc w:val="both"/>
        <w:rPr>
          <w:rFonts w:ascii="Arial" w:hAnsi="Arial" w:cs="Arial"/>
          <w:sz w:val="19"/>
          <w:szCs w:val="19"/>
        </w:rPr>
      </w:pPr>
      <w:r w:rsidRPr="00DD21FE">
        <w:rPr>
          <w:rStyle w:val="Refdenotaalpie"/>
          <w:rFonts w:ascii="Arial" w:hAnsi="Arial" w:cs="Arial"/>
          <w:sz w:val="19"/>
          <w:szCs w:val="19"/>
        </w:rPr>
        <w:footnoteRef/>
      </w:r>
      <w:r w:rsidRPr="00DD21FE">
        <w:rPr>
          <w:rFonts w:ascii="Arial" w:hAnsi="Arial" w:cs="Arial"/>
          <w:sz w:val="19"/>
          <w:szCs w:val="19"/>
        </w:rPr>
        <w:t xml:space="preserve"> </w:t>
      </w:r>
      <w:r>
        <w:rPr>
          <w:rFonts w:ascii="Arial" w:hAnsi="Arial" w:cs="Arial"/>
          <w:sz w:val="19"/>
          <w:szCs w:val="19"/>
        </w:rPr>
        <w:t xml:space="preserve">En efecto, «En el caso de la determinación </w:t>
      </w:r>
      <w:r w:rsidRPr="00DD21FE">
        <w:rPr>
          <w:rFonts w:ascii="Arial" w:hAnsi="Arial" w:cs="Arial"/>
          <w:i/>
          <w:iCs/>
          <w:sz w:val="19"/>
          <w:szCs w:val="19"/>
        </w:rPr>
        <w:t>precisa</w:t>
      </w:r>
      <w:r>
        <w:rPr>
          <w:rFonts w:ascii="Arial" w:hAnsi="Arial" w:cs="Arial"/>
          <w:sz w:val="19"/>
          <w:szCs w:val="19"/>
        </w:rPr>
        <w:t xml:space="preserve"> del interés público, la Administración no tiene potestad alguna de valoración de éste en orden a la oportunidad de actuar o no, por lo que su actividad se llama </w:t>
      </w:r>
      <w:r w:rsidRPr="00DD21FE">
        <w:rPr>
          <w:rFonts w:ascii="Arial" w:hAnsi="Arial" w:cs="Arial"/>
          <w:i/>
          <w:iCs/>
          <w:sz w:val="19"/>
          <w:szCs w:val="19"/>
        </w:rPr>
        <w:t>reglada</w:t>
      </w:r>
      <w:r>
        <w:rPr>
          <w:rFonts w:ascii="Arial" w:hAnsi="Arial" w:cs="Arial"/>
          <w:sz w:val="19"/>
          <w:szCs w:val="19"/>
        </w:rPr>
        <w:t xml:space="preserve">. En cambio, en el caso de determinación </w:t>
      </w:r>
      <w:r w:rsidRPr="00DD21FE">
        <w:rPr>
          <w:rFonts w:ascii="Arial" w:hAnsi="Arial" w:cs="Arial"/>
          <w:i/>
          <w:iCs/>
          <w:sz w:val="19"/>
          <w:szCs w:val="19"/>
        </w:rPr>
        <w:t>imprecisa</w:t>
      </w:r>
      <w:r>
        <w:rPr>
          <w:rFonts w:ascii="Arial" w:hAnsi="Arial" w:cs="Arial"/>
          <w:sz w:val="19"/>
          <w:szCs w:val="19"/>
        </w:rPr>
        <w:t xml:space="preserve">, a la Administración le queda de cualquier modo, la potestad de valorar la oportunidad de actuar o no, potestad que es </w:t>
      </w:r>
      <w:proofErr w:type="spellStart"/>
      <w:r>
        <w:rPr>
          <w:rFonts w:ascii="Arial" w:hAnsi="Arial" w:cs="Arial"/>
          <w:sz w:val="19"/>
          <w:szCs w:val="19"/>
        </w:rPr>
        <w:t>mas</w:t>
      </w:r>
      <w:proofErr w:type="spellEnd"/>
      <w:r>
        <w:rPr>
          <w:rFonts w:ascii="Arial" w:hAnsi="Arial" w:cs="Arial"/>
          <w:sz w:val="19"/>
          <w:szCs w:val="19"/>
        </w:rPr>
        <w:t xml:space="preserve"> o menos amplia según los casos […]. Tal potestad de apreciación del interés público con el fin de decidir la conveniencia o no de la acción administrativa se llama potestad </w:t>
      </w:r>
      <w:r w:rsidRPr="00DD21FE">
        <w:rPr>
          <w:rFonts w:ascii="Arial" w:hAnsi="Arial" w:cs="Arial"/>
          <w:i/>
          <w:iCs/>
          <w:sz w:val="19"/>
          <w:szCs w:val="19"/>
        </w:rPr>
        <w:t>discrecional</w:t>
      </w:r>
      <w:r>
        <w:rPr>
          <w:rFonts w:ascii="Arial" w:hAnsi="Arial" w:cs="Arial"/>
          <w:sz w:val="19"/>
          <w:szCs w:val="19"/>
        </w:rPr>
        <w:t xml:space="preserve"> o </w:t>
      </w:r>
      <w:r w:rsidRPr="00DD21FE">
        <w:rPr>
          <w:rFonts w:ascii="Arial" w:hAnsi="Arial" w:cs="Arial"/>
          <w:i/>
          <w:iCs/>
          <w:sz w:val="19"/>
          <w:szCs w:val="19"/>
        </w:rPr>
        <w:t>discrecionalidad</w:t>
      </w:r>
      <w:r>
        <w:rPr>
          <w:rFonts w:ascii="Arial" w:hAnsi="Arial" w:cs="Arial"/>
          <w:sz w:val="19"/>
          <w:szCs w:val="19"/>
        </w:rPr>
        <w:t xml:space="preserve"> […]» (ALESSI, Renato. Instituciones de derecho administrativo. Tomo I. Tercera Edición. Barcelona: Bosch, 1970.  p. 118. Énfasis dentro del texto)    </w:t>
      </w:r>
    </w:p>
  </w:footnote>
  <w:footnote w:id="14">
    <w:p w14:paraId="26D75762" w14:textId="77777777" w:rsidR="00836197" w:rsidRPr="00DD21FE" w:rsidRDefault="00836197" w:rsidP="00836197">
      <w:pPr>
        <w:pStyle w:val="Textonotapie"/>
        <w:ind w:firstLine="708"/>
        <w:jc w:val="both"/>
        <w:rPr>
          <w:rFonts w:ascii="Arial" w:hAnsi="Arial" w:cs="Arial"/>
          <w:sz w:val="19"/>
          <w:szCs w:val="19"/>
        </w:rPr>
      </w:pPr>
      <w:r w:rsidRPr="00DD21FE">
        <w:rPr>
          <w:rStyle w:val="Refdenotaalpie"/>
          <w:rFonts w:ascii="Arial" w:hAnsi="Arial" w:cs="Arial"/>
          <w:sz w:val="19"/>
          <w:szCs w:val="19"/>
        </w:rPr>
        <w:footnoteRef/>
      </w:r>
      <w:r w:rsidRPr="00DD21FE">
        <w:rPr>
          <w:rFonts w:ascii="Arial" w:hAnsi="Arial" w:cs="Arial"/>
          <w:sz w:val="19"/>
          <w:szCs w:val="19"/>
        </w:rPr>
        <w:t xml:space="preserve"> </w:t>
      </w:r>
      <w:r w:rsidRPr="00E510F8">
        <w:rPr>
          <w:rFonts w:ascii="Arial" w:hAnsi="Arial" w:cs="Arial"/>
          <w:sz w:val="19"/>
          <w:szCs w:val="19"/>
          <w:lang w:val="es-CO"/>
        </w:rPr>
        <w:t>SÁNCHEZ MORÓN</w:t>
      </w:r>
      <w:r>
        <w:rPr>
          <w:rFonts w:ascii="Arial" w:hAnsi="Arial" w:cs="Arial"/>
          <w:sz w:val="19"/>
          <w:szCs w:val="19"/>
          <w:lang w:val="es-CO"/>
        </w:rPr>
        <w:t>, Miguel</w:t>
      </w:r>
      <w:r w:rsidRPr="00E510F8">
        <w:rPr>
          <w:rFonts w:ascii="Arial" w:hAnsi="Arial" w:cs="Arial"/>
          <w:sz w:val="19"/>
          <w:szCs w:val="19"/>
          <w:lang w:val="es-CO"/>
        </w:rPr>
        <w:t>. Discrecionalidad administrativa y control judicial</w:t>
      </w:r>
      <w:r>
        <w:rPr>
          <w:rFonts w:ascii="Arial" w:hAnsi="Arial" w:cs="Arial"/>
          <w:sz w:val="19"/>
          <w:szCs w:val="19"/>
          <w:lang w:val="es-CO"/>
        </w:rPr>
        <w:t>.</w:t>
      </w:r>
      <w:r w:rsidRPr="00E510F8">
        <w:rPr>
          <w:rFonts w:ascii="Arial" w:hAnsi="Arial" w:cs="Arial"/>
          <w:sz w:val="19"/>
          <w:szCs w:val="19"/>
          <w:lang w:val="es-CO"/>
        </w:rPr>
        <w:t xml:space="preserve"> Madrid</w:t>
      </w:r>
      <w:r>
        <w:rPr>
          <w:rFonts w:ascii="Arial" w:hAnsi="Arial" w:cs="Arial"/>
          <w:sz w:val="19"/>
          <w:szCs w:val="19"/>
          <w:lang w:val="es-CO"/>
        </w:rPr>
        <w:t>:</w:t>
      </w:r>
      <w:r w:rsidRPr="00E510F8">
        <w:rPr>
          <w:rFonts w:ascii="Arial" w:hAnsi="Arial" w:cs="Arial"/>
          <w:sz w:val="19"/>
          <w:szCs w:val="19"/>
          <w:lang w:val="es-CO"/>
        </w:rPr>
        <w:t xml:space="preserve"> Tecnos, 1994</w:t>
      </w:r>
      <w:r>
        <w:rPr>
          <w:rFonts w:ascii="Arial" w:hAnsi="Arial" w:cs="Arial"/>
          <w:sz w:val="19"/>
          <w:szCs w:val="19"/>
          <w:lang w:val="es-CO"/>
        </w:rPr>
        <w:t>.</w:t>
      </w:r>
      <w:r w:rsidRPr="00E510F8">
        <w:rPr>
          <w:rFonts w:ascii="Arial" w:hAnsi="Arial" w:cs="Arial"/>
          <w:sz w:val="19"/>
          <w:szCs w:val="19"/>
          <w:lang w:val="es-CO"/>
        </w:rPr>
        <w:t xml:space="preserve"> p. 114.</w:t>
      </w:r>
    </w:p>
  </w:footnote>
  <w:footnote w:id="15">
    <w:p w14:paraId="3A5641F3" w14:textId="26142277" w:rsidR="00836197" w:rsidRPr="0062404E" w:rsidRDefault="00836197" w:rsidP="00836197">
      <w:pPr>
        <w:pStyle w:val="Textonotapie"/>
        <w:ind w:firstLine="709"/>
        <w:jc w:val="both"/>
        <w:rPr>
          <w:rFonts w:ascii="Arial" w:hAnsi="Arial" w:cs="Arial"/>
          <w:sz w:val="19"/>
          <w:szCs w:val="19"/>
          <w:lang w:val="es-CO"/>
        </w:rPr>
      </w:pPr>
      <w:r w:rsidRPr="0062404E">
        <w:rPr>
          <w:rStyle w:val="Refdenotaalpie"/>
          <w:rFonts w:ascii="Arial" w:hAnsi="Arial" w:cs="Arial"/>
          <w:sz w:val="19"/>
          <w:szCs w:val="19"/>
        </w:rPr>
        <w:footnoteRef/>
      </w:r>
      <w:r w:rsidRPr="0062404E">
        <w:rPr>
          <w:rFonts w:ascii="Arial" w:hAnsi="Arial" w:cs="Arial"/>
          <w:sz w:val="19"/>
          <w:szCs w:val="19"/>
        </w:rPr>
        <w:t xml:space="preserve"> </w:t>
      </w:r>
      <w:r w:rsidRPr="0062404E">
        <w:rPr>
          <w:rFonts w:ascii="Arial" w:hAnsi="Arial" w:cs="Arial"/>
          <w:sz w:val="19"/>
          <w:szCs w:val="19"/>
          <w:lang w:val="es-ES"/>
        </w:rPr>
        <w:t xml:space="preserve">La RAE define el verbo «proveer», entre otras acepciones, como «Suministrar o facilitar lo necesario o conveniente para un fin». </w:t>
      </w:r>
      <w:r w:rsidR="00912AC9">
        <w:rPr>
          <w:rFonts w:ascii="Arial" w:hAnsi="Arial" w:cs="Arial"/>
          <w:sz w:val="19"/>
          <w:szCs w:val="19"/>
          <w:lang w:val="es-ES"/>
        </w:rPr>
        <w:t>Disponible e</w:t>
      </w:r>
      <w:r w:rsidRPr="0062404E">
        <w:rPr>
          <w:rFonts w:ascii="Arial" w:hAnsi="Arial" w:cs="Arial"/>
          <w:sz w:val="19"/>
          <w:szCs w:val="19"/>
          <w:lang w:val="es-ES"/>
        </w:rPr>
        <w:t>n: https://dle.rae.es/proveer?m=form</w:t>
      </w:r>
    </w:p>
  </w:footnote>
  <w:footnote w:id="16">
    <w:p w14:paraId="4D24B760" w14:textId="77777777" w:rsidR="0003535E" w:rsidRPr="004E0733" w:rsidRDefault="0003535E" w:rsidP="0003535E">
      <w:pPr>
        <w:pStyle w:val="Textonotapie"/>
        <w:ind w:firstLine="709"/>
        <w:rPr>
          <w:lang w:val="es-CO"/>
        </w:rPr>
      </w:pPr>
      <w:r>
        <w:rPr>
          <w:rStyle w:val="Refdenotaalpie"/>
        </w:rPr>
        <w:footnoteRef/>
      </w:r>
      <w:r>
        <w:t xml:space="preserve"> </w:t>
      </w:r>
      <w:r w:rsidRPr="004E0733">
        <w:rPr>
          <w:rFonts w:ascii="Arial" w:hAnsi="Arial" w:cs="Arial"/>
          <w:sz w:val="19"/>
          <w:szCs w:val="19"/>
          <w:lang w:val="es-CO"/>
        </w:rPr>
        <w:t>Definición RAE</w:t>
      </w:r>
      <w:r>
        <w:rPr>
          <w:rFonts w:ascii="Arial" w:hAnsi="Arial" w:cs="Arial"/>
          <w:sz w:val="19"/>
          <w:szCs w:val="19"/>
          <w:lang w:val="es-CO"/>
        </w:rPr>
        <w:t xml:space="preserve"> </w:t>
      </w:r>
      <w:r w:rsidRPr="004E0733">
        <w:rPr>
          <w:rFonts w:ascii="Arial" w:hAnsi="Arial" w:cs="Arial"/>
          <w:sz w:val="19"/>
          <w:szCs w:val="19"/>
          <w:lang w:val="es-CO"/>
        </w:rPr>
        <w:t xml:space="preserve">disponible en: </w:t>
      </w:r>
      <w:hyperlink r:id="rId5" w:history="1">
        <w:r w:rsidRPr="004E0733">
          <w:rPr>
            <w:rStyle w:val="Hipervnculo"/>
            <w:rFonts w:ascii="Arial" w:hAnsi="Arial" w:cs="Arial"/>
            <w:color w:val="000000" w:themeColor="text1"/>
            <w:sz w:val="19"/>
            <w:szCs w:val="19"/>
            <w:lang w:val="es-CO"/>
          </w:rPr>
          <w:t>https://dle.rae.es/fomentar</w:t>
        </w:r>
      </w:hyperlink>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1EA316FB" w:rsidR="00E2520A" w:rsidRDefault="00E2520A"/>
  <w:p w14:paraId="5DBE9C96" w14:textId="49D7039B" w:rsidR="00E2520A" w:rsidRDefault="005B4B8C" w:rsidP="005B4B8C">
    <w:pPr>
      <w:jc w:val="right"/>
    </w:pPr>
    <w:r>
      <w:rPr>
        <w:noProof/>
      </w:rPr>
      <w:drawing>
        <wp:inline distT="0" distB="0" distL="0" distR="0" wp14:anchorId="27F9BF67" wp14:editId="33308F43">
          <wp:extent cx="1688465" cy="701040"/>
          <wp:effectExtent l="0" t="0" r="6985" b="3810"/>
          <wp:docPr id="6" name="Imagen 6"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8465" cy="701040"/>
                  </a:xfrm>
                  <a:prstGeom prst="rect">
                    <a:avLst/>
                  </a:prstGeom>
                </pic:spPr>
              </pic:pic>
            </a:graphicData>
          </a:graphic>
        </wp:inline>
      </w:drawing>
    </w:r>
  </w:p>
  <w:p w14:paraId="58B23C15" w14:textId="77777777" w:rsidR="005B4B8C" w:rsidRDefault="005B4B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294"/>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5695"/>
    <w:rsid w:val="00015B44"/>
    <w:rsid w:val="00015BD4"/>
    <w:rsid w:val="00016081"/>
    <w:rsid w:val="000163DF"/>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4C0"/>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B3F"/>
    <w:rsid w:val="00034134"/>
    <w:rsid w:val="000341F2"/>
    <w:rsid w:val="00034651"/>
    <w:rsid w:val="000350E8"/>
    <w:rsid w:val="000351F2"/>
    <w:rsid w:val="00035224"/>
    <w:rsid w:val="0003535E"/>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67818"/>
    <w:rsid w:val="00070055"/>
    <w:rsid w:val="00070AF1"/>
    <w:rsid w:val="00070E24"/>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0B35"/>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0D2"/>
    <w:rsid w:val="0008686B"/>
    <w:rsid w:val="00086B2A"/>
    <w:rsid w:val="00086ED2"/>
    <w:rsid w:val="00087019"/>
    <w:rsid w:val="000914D6"/>
    <w:rsid w:val="00091569"/>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9AF"/>
    <w:rsid w:val="000A3B49"/>
    <w:rsid w:val="000A41BA"/>
    <w:rsid w:val="000A446A"/>
    <w:rsid w:val="000A5AAF"/>
    <w:rsid w:val="000A5F97"/>
    <w:rsid w:val="000A648E"/>
    <w:rsid w:val="000A73BB"/>
    <w:rsid w:val="000A7EF4"/>
    <w:rsid w:val="000B09AF"/>
    <w:rsid w:val="000B0A15"/>
    <w:rsid w:val="000B0DF3"/>
    <w:rsid w:val="000B103F"/>
    <w:rsid w:val="000B1437"/>
    <w:rsid w:val="000B1470"/>
    <w:rsid w:val="000B2B86"/>
    <w:rsid w:val="000B3051"/>
    <w:rsid w:val="000B38EB"/>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9B"/>
    <w:rsid w:val="000F1BBD"/>
    <w:rsid w:val="000F2739"/>
    <w:rsid w:val="000F3138"/>
    <w:rsid w:val="000F3D39"/>
    <w:rsid w:val="000F4403"/>
    <w:rsid w:val="000F4C3F"/>
    <w:rsid w:val="000F4E17"/>
    <w:rsid w:val="000F636A"/>
    <w:rsid w:val="000F6578"/>
    <w:rsid w:val="000F6B82"/>
    <w:rsid w:val="000F6B91"/>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DB3"/>
    <w:rsid w:val="00113FEA"/>
    <w:rsid w:val="00114324"/>
    <w:rsid w:val="00114A22"/>
    <w:rsid w:val="00114E9D"/>
    <w:rsid w:val="0011507B"/>
    <w:rsid w:val="00115D13"/>
    <w:rsid w:val="00116328"/>
    <w:rsid w:val="001169FD"/>
    <w:rsid w:val="00116D84"/>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291"/>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13AB"/>
    <w:rsid w:val="001417C5"/>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1F"/>
    <w:rsid w:val="0015448E"/>
    <w:rsid w:val="00154A6F"/>
    <w:rsid w:val="00155D08"/>
    <w:rsid w:val="00156B13"/>
    <w:rsid w:val="00156BE5"/>
    <w:rsid w:val="00156FDB"/>
    <w:rsid w:val="00157232"/>
    <w:rsid w:val="00160401"/>
    <w:rsid w:val="00160D4E"/>
    <w:rsid w:val="001615B9"/>
    <w:rsid w:val="00161E62"/>
    <w:rsid w:val="00161F1C"/>
    <w:rsid w:val="0016200B"/>
    <w:rsid w:val="00163D7A"/>
    <w:rsid w:val="00164281"/>
    <w:rsid w:val="00164AF1"/>
    <w:rsid w:val="001654DF"/>
    <w:rsid w:val="00166476"/>
    <w:rsid w:val="00166C27"/>
    <w:rsid w:val="00167503"/>
    <w:rsid w:val="001676A9"/>
    <w:rsid w:val="00167A15"/>
    <w:rsid w:val="00167A50"/>
    <w:rsid w:val="00167D66"/>
    <w:rsid w:val="00167DF5"/>
    <w:rsid w:val="00170001"/>
    <w:rsid w:val="001709A4"/>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BCE"/>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1B7"/>
    <w:rsid w:val="0019388B"/>
    <w:rsid w:val="00193B9A"/>
    <w:rsid w:val="00193BD1"/>
    <w:rsid w:val="001946AE"/>
    <w:rsid w:val="001946D5"/>
    <w:rsid w:val="00194E8C"/>
    <w:rsid w:val="001962EC"/>
    <w:rsid w:val="001963DD"/>
    <w:rsid w:val="001965DB"/>
    <w:rsid w:val="00196DC9"/>
    <w:rsid w:val="00197AB4"/>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D03"/>
    <w:rsid w:val="001A7DB7"/>
    <w:rsid w:val="001B0366"/>
    <w:rsid w:val="001B0444"/>
    <w:rsid w:val="001B080D"/>
    <w:rsid w:val="001B096B"/>
    <w:rsid w:val="001B0F9F"/>
    <w:rsid w:val="001B123C"/>
    <w:rsid w:val="001B1A0D"/>
    <w:rsid w:val="001B1BF1"/>
    <w:rsid w:val="001B2456"/>
    <w:rsid w:val="001B40C7"/>
    <w:rsid w:val="001B449C"/>
    <w:rsid w:val="001B4AA2"/>
    <w:rsid w:val="001B4ADE"/>
    <w:rsid w:val="001B53A5"/>
    <w:rsid w:val="001B5C86"/>
    <w:rsid w:val="001B5EF8"/>
    <w:rsid w:val="001B6BD3"/>
    <w:rsid w:val="001B6EBB"/>
    <w:rsid w:val="001B747F"/>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5CEA"/>
    <w:rsid w:val="001C600B"/>
    <w:rsid w:val="001C6407"/>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3EAC"/>
    <w:rsid w:val="001E4258"/>
    <w:rsid w:val="001E442F"/>
    <w:rsid w:val="001E4587"/>
    <w:rsid w:val="001E56FF"/>
    <w:rsid w:val="001E5A69"/>
    <w:rsid w:val="001E5B84"/>
    <w:rsid w:val="001E5D6A"/>
    <w:rsid w:val="001E64CE"/>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0E1F"/>
    <w:rsid w:val="002110EB"/>
    <w:rsid w:val="00211338"/>
    <w:rsid w:val="00211342"/>
    <w:rsid w:val="00211388"/>
    <w:rsid w:val="0021148C"/>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21CE"/>
    <w:rsid w:val="00222740"/>
    <w:rsid w:val="00222BE8"/>
    <w:rsid w:val="00223102"/>
    <w:rsid w:val="002232CB"/>
    <w:rsid w:val="00223AA2"/>
    <w:rsid w:val="00224022"/>
    <w:rsid w:val="0022552A"/>
    <w:rsid w:val="00226055"/>
    <w:rsid w:val="0022613F"/>
    <w:rsid w:val="00226236"/>
    <w:rsid w:val="00226DF9"/>
    <w:rsid w:val="002270C9"/>
    <w:rsid w:val="00227710"/>
    <w:rsid w:val="00227A8B"/>
    <w:rsid w:val="0023146B"/>
    <w:rsid w:val="002315A0"/>
    <w:rsid w:val="00231CE0"/>
    <w:rsid w:val="00231DBA"/>
    <w:rsid w:val="00231EC7"/>
    <w:rsid w:val="002324A3"/>
    <w:rsid w:val="00232A6C"/>
    <w:rsid w:val="00232E15"/>
    <w:rsid w:val="00233079"/>
    <w:rsid w:val="0023382C"/>
    <w:rsid w:val="00233977"/>
    <w:rsid w:val="00233C58"/>
    <w:rsid w:val="00233C71"/>
    <w:rsid w:val="002345B6"/>
    <w:rsid w:val="00234B84"/>
    <w:rsid w:val="00236016"/>
    <w:rsid w:val="00236271"/>
    <w:rsid w:val="00237065"/>
    <w:rsid w:val="00237589"/>
    <w:rsid w:val="0023758D"/>
    <w:rsid w:val="002375A7"/>
    <w:rsid w:val="0024019A"/>
    <w:rsid w:val="00240A4A"/>
    <w:rsid w:val="002411DE"/>
    <w:rsid w:val="0024131D"/>
    <w:rsid w:val="002413B5"/>
    <w:rsid w:val="002415B8"/>
    <w:rsid w:val="00241618"/>
    <w:rsid w:val="00242D62"/>
    <w:rsid w:val="00243057"/>
    <w:rsid w:val="002431D7"/>
    <w:rsid w:val="00243257"/>
    <w:rsid w:val="00243434"/>
    <w:rsid w:val="00243EAD"/>
    <w:rsid w:val="00244058"/>
    <w:rsid w:val="00244F9A"/>
    <w:rsid w:val="00245718"/>
    <w:rsid w:val="00245E07"/>
    <w:rsid w:val="0024729C"/>
    <w:rsid w:val="00247712"/>
    <w:rsid w:val="00250EC6"/>
    <w:rsid w:val="00251866"/>
    <w:rsid w:val="00251A9F"/>
    <w:rsid w:val="00251E56"/>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3F7F"/>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147"/>
    <w:rsid w:val="0028428F"/>
    <w:rsid w:val="00284CFC"/>
    <w:rsid w:val="002851C6"/>
    <w:rsid w:val="0028565E"/>
    <w:rsid w:val="00285832"/>
    <w:rsid w:val="00285969"/>
    <w:rsid w:val="0028663B"/>
    <w:rsid w:val="00286CEC"/>
    <w:rsid w:val="002871A9"/>
    <w:rsid w:val="0028750E"/>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E7B"/>
    <w:rsid w:val="002A6AFB"/>
    <w:rsid w:val="002A6E3A"/>
    <w:rsid w:val="002A733D"/>
    <w:rsid w:val="002A774A"/>
    <w:rsid w:val="002A7E5C"/>
    <w:rsid w:val="002A7F6D"/>
    <w:rsid w:val="002B020D"/>
    <w:rsid w:val="002B1342"/>
    <w:rsid w:val="002B27C8"/>
    <w:rsid w:val="002B2A7F"/>
    <w:rsid w:val="002B2E10"/>
    <w:rsid w:val="002B32FF"/>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6F42"/>
    <w:rsid w:val="002B73B0"/>
    <w:rsid w:val="002C1143"/>
    <w:rsid w:val="002C24B4"/>
    <w:rsid w:val="002C2739"/>
    <w:rsid w:val="002C2B3A"/>
    <w:rsid w:val="002C2B87"/>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2C5"/>
    <w:rsid w:val="002D2EF0"/>
    <w:rsid w:val="002D301F"/>
    <w:rsid w:val="002D302A"/>
    <w:rsid w:val="002D36C6"/>
    <w:rsid w:val="002D37C1"/>
    <w:rsid w:val="002D444B"/>
    <w:rsid w:val="002D4A45"/>
    <w:rsid w:val="002D4A73"/>
    <w:rsid w:val="002D4AB1"/>
    <w:rsid w:val="002D4B42"/>
    <w:rsid w:val="002D4DBA"/>
    <w:rsid w:val="002D4FDE"/>
    <w:rsid w:val="002D5A1B"/>
    <w:rsid w:val="002D65BC"/>
    <w:rsid w:val="002D6740"/>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0BF"/>
    <w:rsid w:val="002E74C4"/>
    <w:rsid w:val="002E7847"/>
    <w:rsid w:val="002E7FCF"/>
    <w:rsid w:val="002F0073"/>
    <w:rsid w:val="002F0618"/>
    <w:rsid w:val="002F186C"/>
    <w:rsid w:val="002F1D41"/>
    <w:rsid w:val="002F240B"/>
    <w:rsid w:val="002F2F50"/>
    <w:rsid w:val="002F3601"/>
    <w:rsid w:val="002F37DD"/>
    <w:rsid w:val="002F45F6"/>
    <w:rsid w:val="002F692F"/>
    <w:rsid w:val="002F69BE"/>
    <w:rsid w:val="002F7B66"/>
    <w:rsid w:val="00300CB4"/>
    <w:rsid w:val="00300DE7"/>
    <w:rsid w:val="00300E24"/>
    <w:rsid w:val="0030101C"/>
    <w:rsid w:val="00302B42"/>
    <w:rsid w:val="00303196"/>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881"/>
    <w:rsid w:val="00323B73"/>
    <w:rsid w:val="00324821"/>
    <w:rsid w:val="003254F5"/>
    <w:rsid w:val="00325D98"/>
    <w:rsid w:val="0032682A"/>
    <w:rsid w:val="00327A5C"/>
    <w:rsid w:val="0033092C"/>
    <w:rsid w:val="0033122A"/>
    <w:rsid w:val="003315AC"/>
    <w:rsid w:val="00331932"/>
    <w:rsid w:val="00333A88"/>
    <w:rsid w:val="00333FFB"/>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F8"/>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56BCA"/>
    <w:rsid w:val="003609C4"/>
    <w:rsid w:val="003618D9"/>
    <w:rsid w:val="00361A59"/>
    <w:rsid w:val="0036315A"/>
    <w:rsid w:val="003631CC"/>
    <w:rsid w:val="003632CC"/>
    <w:rsid w:val="00363348"/>
    <w:rsid w:val="00363857"/>
    <w:rsid w:val="00363D59"/>
    <w:rsid w:val="003640F7"/>
    <w:rsid w:val="00364300"/>
    <w:rsid w:val="00364795"/>
    <w:rsid w:val="00364E66"/>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3D49"/>
    <w:rsid w:val="00384CD6"/>
    <w:rsid w:val="00384DF1"/>
    <w:rsid w:val="00384FF3"/>
    <w:rsid w:val="00386456"/>
    <w:rsid w:val="003865A9"/>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923"/>
    <w:rsid w:val="00396A29"/>
    <w:rsid w:val="00397FF0"/>
    <w:rsid w:val="003A0878"/>
    <w:rsid w:val="003A1561"/>
    <w:rsid w:val="003A1D25"/>
    <w:rsid w:val="003A22A2"/>
    <w:rsid w:val="003A2447"/>
    <w:rsid w:val="003A2AA1"/>
    <w:rsid w:val="003A31A5"/>
    <w:rsid w:val="003A3851"/>
    <w:rsid w:val="003A39DD"/>
    <w:rsid w:val="003A4A8E"/>
    <w:rsid w:val="003A532A"/>
    <w:rsid w:val="003A563C"/>
    <w:rsid w:val="003A581E"/>
    <w:rsid w:val="003A6160"/>
    <w:rsid w:val="003A65A5"/>
    <w:rsid w:val="003A6ABF"/>
    <w:rsid w:val="003A72F5"/>
    <w:rsid w:val="003A78E5"/>
    <w:rsid w:val="003B0341"/>
    <w:rsid w:val="003B120F"/>
    <w:rsid w:val="003B1E57"/>
    <w:rsid w:val="003B2885"/>
    <w:rsid w:val="003B2EF3"/>
    <w:rsid w:val="003B3676"/>
    <w:rsid w:val="003B444E"/>
    <w:rsid w:val="003B4B1C"/>
    <w:rsid w:val="003B4CB2"/>
    <w:rsid w:val="003B534F"/>
    <w:rsid w:val="003B5391"/>
    <w:rsid w:val="003B54C7"/>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1CE4"/>
    <w:rsid w:val="003F300D"/>
    <w:rsid w:val="003F391F"/>
    <w:rsid w:val="003F4599"/>
    <w:rsid w:val="003F45E1"/>
    <w:rsid w:val="003F4969"/>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595"/>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4DF"/>
    <w:rsid w:val="0045558D"/>
    <w:rsid w:val="00455811"/>
    <w:rsid w:val="00455DEE"/>
    <w:rsid w:val="00456970"/>
    <w:rsid w:val="00456BB1"/>
    <w:rsid w:val="00456DDB"/>
    <w:rsid w:val="00457166"/>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33"/>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63C"/>
    <w:rsid w:val="0049196E"/>
    <w:rsid w:val="0049241A"/>
    <w:rsid w:val="00492C1F"/>
    <w:rsid w:val="00492E4C"/>
    <w:rsid w:val="00493B2C"/>
    <w:rsid w:val="00493E04"/>
    <w:rsid w:val="004940E3"/>
    <w:rsid w:val="004942DE"/>
    <w:rsid w:val="0049530F"/>
    <w:rsid w:val="00496664"/>
    <w:rsid w:val="00496786"/>
    <w:rsid w:val="0049695B"/>
    <w:rsid w:val="00496D8F"/>
    <w:rsid w:val="00496DF3"/>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73E3"/>
    <w:rsid w:val="004B0F0B"/>
    <w:rsid w:val="004B163F"/>
    <w:rsid w:val="004B2197"/>
    <w:rsid w:val="004B298A"/>
    <w:rsid w:val="004B578D"/>
    <w:rsid w:val="004B5BE7"/>
    <w:rsid w:val="004B5E2D"/>
    <w:rsid w:val="004B5ED5"/>
    <w:rsid w:val="004B6793"/>
    <w:rsid w:val="004B6C07"/>
    <w:rsid w:val="004B70DF"/>
    <w:rsid w:val="004B74D3"/>
    <w:rsid w:val="004B76D3"/>
    <w:rsid w:val="004B788E"/>
    <w:rsid w:val="004B79B3"/>
    <w:rsid w:val="004B7E5D"/>
    <w:rsid w:val="004C0DD8"/>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33"/>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4676"/>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83C"/>
    <w:rsid w:val="00523903"/>
    <w:rsid w:val="005239B6"/>
    <w:rsid w:val="00523C45"/>
    <w:rsid w:val="00524165"/>
    <w:rsid w:val="005242BA"/>
    <w:rsid w:val="005242EC"/>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23A"/>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4B8C"/>
    <w:rsid w:val="005B501D"/>
    <w:rsid w:val="005B54CC"/>
    <w:rsid w:val="005B5B93"/>
    <w:rsid w:val="005B6AE8"/>
    <w:rsid w:val="005B74AD"/>
    <w:rsid w:val="005B7E96"/>
    <w:rsid w:val="005C0429"/>
    <w:rsid w:val="005C084F"/>
    <w:rsid w:val="005C0EE9"/>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2EE"/>
    <w:rsid w:val="005E6EA5"/>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2E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B08"/>
    <w:rsid w:val="00603CC2"/>
    <w:rsid w:val="006047D1"/>
    <w:rsid w:val="00604A55"/>
    <w:rsid w:val="00604D3F"/>
    <w:rsid w:val="00605AC3"/>
    <w:rsid w:val="00606908"/>
    <w:rsid w:val="00607996"/>
    <w:rsid w:val="00607A37"/>
    <w:rsid w:val="00607E9F"/>
    <w:rsid w:val="0061085E"/>
    <w:rsid w:val="00611398"/>
    <w:rsid w:val="006118F4"/>
    <w:rsid w:val="0061204A"/>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281D"/>
    <w:rsid w:val="006231AA"/>
    <w:rsid w:val="00623482"/>
    <w:rsid w:val="00623AC2"/>
    <w:rsid w:val="00623FF7"/>
    <w:rsid w:val="0062471F"/>
    <w:rsid w:val="0062554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1FBD"/>
    <w:rsid w:val="006324C2"/>
    <w:rsid w:val="0063295C"/>
    <w:rsid w:val="00633367"/>
    <w:rsid w:val="00633DBF"/>
    <w:rsid w:val="00634122"/>
    <w:rsid w:val="00634C03"/>
    <w:rsid w:val="006355B6"/>
    <w:rsid w:val="006356AA"/>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2E85"/>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6B9A"/>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4F4C"/>
    <w:rsid w:val="006B5B75"/>
    <w:rsid w:val="006B671C"/>
    <w:rsid w:val="006B67AC"/>
    <w:rsid w:val="006B6A25"/>
    <w:rsid w:val="006B7285"/>
    <w:rsid w:val="006B786A"/>
    <w:rsid w:val="006B7E4E"/>
    <w:rsid w:val="006C003A"/>
    <w:rsid w:val="006C2454"/>
    <w:rsid w:val="006C2551"/>
    <w:rsid w:val="006C3746"/>
    <w:rsid w:val="006C37CA"/>
    <w:rsid w:val="006C40B7"/>
    <w:rsid w:val="006C40D2"/>
    <w:rsid w:val="006C5530"/>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29B"/>
    <w:rsid w:val="006E3452"/>
    <w:rsid w:val="006E348E"/>
    <w:rsid w:val="006E39D1"/>
    <w:rsid w:val="006E437F"/>
    <w:rsid w:val="006E4D5B"/>
    <w:rsid w:val="006E602F"/>
    <w:rsid w:val="006E6720"/>
    <w:rsid w:val="006E68FA"/>
    <w:rsid w:val="006E7275"/>
    <w:rsid w:val="006E77B8"/>
    <w:rsid w:val="006F15CC"/>
    <w:rsid w:val="006F38AD"/>
    <w:rsid w:val="006F3BDD"/>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1CD"/>
    <w:rsid w:val="00717363"/>
    <w:rsid w:val="0071745E"/>
    <w:rsid w:val="00717786"/>
    <w:rsid w:val="00717ACB"/>
    <w:rsid w:val="007219CF"/>
    <w:rsid w:val="00721BFF"/>
    <w:rsid w:val="00722FD8"/>
    <w:rsid w:val="007236C4"/>
    <w:rsid w:val="00723B59"/>
    <w:rsid w:val="0072432C"/>
    <w:rsid w:val="00724635"/>
    <w:rsid w:val="0072554B"/>
    <w:rsid w:val="00725AFD"/>
    <w:rsid w:val="00725F81"/>
    <w:rsid w:val="00726603"/>
    <w:rsid w:val="00727DDC"/>
    <w:rsid w:val="00730CD6"/>
    <w:rsid w:val="00730F74"/>
    <w:rsid w:val="0073114B"/>
    <w:rsid w:val="0073253A"/>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394"/>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3F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5EF"/>
    <w:rsid w:val="007827B0"/>
    <w:rsid w:val="0078286B"/>
    <w:rsid w:val="00782D2C"/>
    <w:rsid w:val="00782FC2"/>
    <w:rsid w:val="00784696"/>
    <w:rsid w:val="00784FC4"/>
    <w:rsid w:val="00785BBB"/>
    <w:rsid w:val="00785C8D"/>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BE"/>
    <w:rsid w:val="007A4766"/>
    <w:rsid w:val="007A5134"/>
    <w:rsid w:val="007A5816"/>
    <w:rsid w:val="007A5947"/>
    <w:rsid w:val="007A6CE7"/>
    <w:rsid w:val="007A6F90"/>
    <w:rsid w:val="007B00D8"/>
    <w:rsid w:val="007B0313"/>
    <w:rsid w:val="007B05FB"/>
    <w:rsid w:val="007B0854"/>
    <w:rsid w:val="007B0E48"/>
    <w:rsid w:val="007B12F1"/>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6339"/>
    <w:rsid w:val="007C6EC5"/>
    <w:rsid w:val="007C6F35"/>
    <w:rsid w:val="007C7C43"/>
    <w:rsid w:val="007C7F0D"/>
    <w:rsid w:val="007D0D03"/>
    <w:rsid w:val="007D1134"/>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368"/>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A62"/>
    <w:rsid w:val="00800E6D"/>
    <w:rsid w:val="008014D9"/>
    <w:rsid w:val="0080150F"/>
    <w:rsid w:val="0080153A"/>
    <w:rsid w:val="00801A2A"/>
    <w:rsid w:val="00802041"/>
    <w:rsid w:val="008022C9"/>
    <w:rsid w:val="00802C0C"/>
    <w:rsid w:val="00802F9E"/>
    <w:rsid w:val="00803700"/>
    <w:rsid w:val="00803C65"/>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1CC4"/>
    <w:rsid w:val="008120C4"/>
    <w:rsid w:val="008124D8"/>
    <w:rsid w:val="0081323E"/>
    <w:rsid w:val="00813A7B"/>
    <w:rsid w:val="00813F04"/>
    <w:rsid w:val="00814B72"/>
    <w:rsid w:val="00814D88"/>
    <w:rsid w:val="00815A07"/>
    <w:rsid w:val="00815DA5"/>
    <w:rsid w:val="00816221"/>
    <w:rsid w:val="00816E1F"/>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3A93"/>
    <w:rsid w:val="008241CE"/>
    <w:rsid w:val="00825240"/>
    <w:rsid w:val="00825B43"/>
    <w:rsid w:val="00825EF8"/>
    <w:rsid w:val="0082629D"/>
    <w:rsid w:val="008263EB"/>
    <w:rsid w:val="00827203"/>
    <w:rsid w:val="0082767A"/>
    <w:rsid w:val="00827CC0"/>
    <w:rsid w:val="00831026"/>
    <w:rsid w:val="0083119B"/>
    <w:rsid w:val="00831654"/>
    <w:rsid w:val="00831BAE"/>
    <w:rsid w:val="00832216"/>
    <w:rsid w:val="00832CD0"/>
    <w:rsid w:val="00833430"/>
    <w:rsid w:val="00834128"/>
    <w:rsid w:val="0083417F"/>
    <w:rsid w:val="00835143"/>
    <w:rsid w:val="008351F8"/>
    <w:rsid w:val="00835741"/>
    <w:rsid w:val="00836197"/>
    <w:rsid w:val="008361C0"/>
    <w:rsid w:val="00836E74"/>
    <w:rsid w:val="00836EAB"/>
    <w:rsid w:val="00837673"/>
    <w:rsid w:val="00837937"/>
    <w:rsid w:val="00837D82"/>
    <w:rsid w:val="0084004C"/>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378"/>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0C4"/>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595"/>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07A"/>
    <w:rsid w:val="008B2268"/>
    <w:rsid w:val="008B23F7"/>
    <w:rsid w:val="008B263F"/>
    <w:rsid w:val="008B47A6"/>
    <w:rsid w:val="008B5761"/>
    <w:rsid w:val="008B6649"/>
    <w:rsid w:val="008B6672"/>
    <w:rsid w:val="008B672C"/>
    <w:rsid w:val="008B7611"/>
    <w:rsid w:val="008C036D"/>
    <w:rsid w:val="008C0743"/>
    <w:rsid w:val="008C0B4C"/>
    <w:rsid w:val="008C0F4F"/>
    <w:rsid w:val="008C11F0"/>
    <w:rsid w:val="008C1DBA"/>
    <w:rsid w:val="008C20B8"/>
    <w:rsid w:val="008C24E7"/>
    <w:rsid w:val="008C2500"/>
    <w:rsid w:val="008C2792"/>
    <w:rsid w:val="008C2CAC"/>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91A"/>
    <w:rsid w:val="008E1C15"/>
    <w:rsid w:val="008E1C9A"/>
    <w:rsid w:val="008E24A7"/>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1DE"/>
    <w:rsid w:val="008F538E"/>
    <w:rsid w:val="008F59B4"/>
    <w:rsid w:val="008F5A20"/>
    <w:rsid w:val="008F5ABA"/>
    <w:rsid w:val="008F6CF9"/>
    <w:rsid w:val="008F7905"/>
    <w:rsid w:val="008F7989"/>
    <w:rsid w:val="00900440"/>
    <w:rsid w:val="0090134A"/>
    <w:rsid w:val="009026AF"/>
    <w:rsid w:val="009028E8"/>
    <w:rsid w:val="00902E5C"/>
    <w:rsid w:val="0090350D"/>
    <w:rsid w:val="009039EB"/>
    <w:rsid w:val="009046E5"/>
    <w:rsid w:val="0090475D"/>
    <w:rsid w:val="009047C5"/>
    <w:rsid w:val="009076DB"/>
    <w:rsid w:val="00910683"/>
    <w:rsid w:val="00910E00"/>
    <w:rsid w:val="009116CE"/>
    <w:rsid w:val="00911714"/>
    <w:rsid w:val="00911A5B"/>
    <w:rsid w:val="00912AC9"/>
    <w:rsid w:val="009136D4"/>
    <w:rsid w:val="00914B9A"/>
    <w:rsid w:val="00914C29"/>
    <w:rsid w:val="00914C3F"/>
    <w:rsid w:val="00914F33"/>
    <w:rsid w:val="009153F6"/>
    <w:rsid w:val="00915FCE"/>
    <w:rsid w:val="00916AFE"/>
    <w:rsid w:val="00916FC8"/>
    <w:rsid w:val="009170D3"/>
    <w:rsid w:val="0091759C"/>
    <w:rsid w:val="00917910"/>
    <w:rsid w:val="00920026"/>
    <w:rsid w:val="0092032F"/>
    <w:rsid w:val="009203E2"/>
    <w:rsid w:val="00920846"/>
    <w:rsid w:val="00921304"/>
    <w:rsid w:val="0092177A"/>
    <w:rsid w:val="00921805"/>
    <w:rsid w:val="00921BA7"/>
    <w:rsid w:val="009228C0"/>
    <w:rsid w:val="00923396"/>
    <w:rsid w:val="00923F56"/>
    <w:rsid w:val="00923FA6"/>
    <w:rsid w:val="009246C4"/>
    <w:rsid w:val="00925743"/>
    <w:rsid w:val="0092579F"/>
    <w:rsid w:val="00927E8D"/>
    <w:rsid w:val="00927F23"/>
    <w:rsid w:val="00930698"/>
    <w:rsid w:val="009307CD"/>
    <w:rsid w:val="00931451"/>
    <w:rsid w:val="00931458"/>
    <w:rsid w:val="009314FA"/>
    <w:rsid w:val="0093194F"/>
    <w:rsid w:val="00931BF3"/>
    <w:rsid w:val="00931C55"/>
    <w:rsid w:val="00933333"/>
    <w:rsid w:val="0093349A"/>
    <w:rsid w:val="009337B2"/>
    <w:rsid w:val="00933AB5"/>
    <w:rsid w:val="00933FCB"/>
    <w:rsid w:val="00934E69"/>
    <w:rsid w:val="009352E0"/>
    <w:rsid w:val="009367D5"/>
    <w:rsid w:val="00937401"/>
    <w:rsid w:val="00937561"/>
    <w:rsid w:val="009376FB"/>
    <w:rsid w:val="00937D6B"/>
    <w:rsid w:val="00940477"/>
    <w:rsid w:val="00940876"/>
    <w:rsid w:val="00940A53"/>
    <w:rsid w:val="00940F3C"/>
    <w:rsid w:val="00940FC1"/>
    <w:rsid w:val="009410E0"/>
    <w:rsid w:val="009440FA"/>
    <w:rsid w:val="009444B4"/>
    <w:rsid w:val="00944644"/>
    <w:rsid w:val="009449F9"/>
    <w:rsid w:val="009451CE"/>
    <w:rsid w:val="009460F9"/>
    <w:rsid w:val="00946A24"/>
    <w:rsid w:val="009470D4"/>
    <w:rsid w:val="00947337"/>
    <w:rsid w:val="00950A5B"/>
    <w:rsid w:val="009512FA"/>
    <w:rsid w:val="00951E57"/>
    <w:rsid w:val="00953018"/>
    <w:rsid w:val="009533E2"/>
    <w:rsid w:val="00953554"/>
    <w:rsid w:val="0095385A"/>
    <w:rsid w:val="00953928"/>
    <w:rsid w:val="009540F0"/>
    <w:rsid w:val="00954F18"/>
    <w:rsid w:val="00955906"/>
    <w:rsid w:val="00955978"/>
    <w:rsid w:val="00956105"/>
    <w:rsid w:val="00957010"/>
    <w:rsid w:val="009574F8"/>
    <w:rsid w:val="0095780A"/>
    <w:rsid w:val="009579E4"/>
    <w:rsid w:val="00957AA4"/>
    <w:rsid w:val="00957ACB"/>
    <w:rsid w:val="00957E21"/>
    <w:rsid w:val="00957F27"/>
    <w:rsid w:val="009609F0"/>
    <w:rsid w:val="00960BDB"/>
    <w:rsid w:val="0096147D"/>
    <w:rsid w:val="00961E5F"/>
    <w:rsid w:val="00962038"/>
    <w:rsid w:val="009625C6"/>
    <w:rsid w:val="009629B5"/>
    <w:rsid w:val="00962A50"/>
    <w:rsid w:val="00962E25"/>
    <w:rsid w:val="00962E33"/>
    <w:rsid w:val="00962F47"/>
    <w:rsid w:val="009631BD"/>
    <w:rsid w:val="00964138"/>
    <w:rsid w:val="00964B3F"/>
    <w:rsid w:val="00964C98"/>
    <w:rsid w:val="00964E0A"/>
    <w:rsid w:val="00966043"/>
    <w:rsid w:val="00966214"/>
    <w:rsid w:val="0096650B"/>
    <w:rsid w:val="00967AA2"/>
    <w:rsid w:val="00971441"/>
    <w:rsid w:val="009715D4"/>
    <w:rsid w:val="00972470"/>
    <w:rsid w:val="009739A9"/>
    <w:rsid w:val="00973AA2"/>
    <w:rsid w:val="0097494E"/>
    <w:rsid w:val="00974B58"/>
    <w:rsid w:val="00975DA3"/>
    <w:rsid w:val="009761ED"/>
    <w:rsid w:val="00976D35"/>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67B"/>
    <w:rsid w:val="0099483A"/>
    <w:rsid w:val="00995119"/>
    <w:rsid w:val="009953AD"/>
    <w:rsid w:val="0099583D"/>
    <w:rsid w:val="00995B7C"/>
    <w:rsid w:val="00996992"/>
    <w:rsid w:val="00996B49"/>
    <w:rsid w:val="00996E1E"/>
    <w:rsid w:val="00997392"/>
    <w:rsid w:val="0099747C"/>
    <w:rsid w:val="0099771C"/>
    <w:rsid w:val="009A01E4"/>
    <w:rsid w:val="009A0917"/>
    <w:rsid w:val="009A0A33"/>
    <w:rsid w:val="009A0A35"/>
    <w:rsid w:val="009A0D3F"/>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4A6E"/>
    <w:rsid w:val="009C523F"/>
    <w:rsid w:val="009C59BF"/>
    <w:rsid w:val="009C5E4F"/>
    <w:rsid w:val="009C5F64"/>
    <w:rsid w:val="009C5F82"/>
    <w:rsid w:val="009C70F8"/>
    <w:rsid w:val="009C725E"/>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22F"/>
    <w:rsid w:val="009E16DA"/>
    <w:rsid w:val="009E1CD4"/>
    <w:rsid w:val="009E20DC"/>
    <w:rsid w:val="009E2391"/>
    <w:rsid w:val="009E476A"/>
    <w:rsid w:val="009E479B"/>
    <w:rsid w:val="009E4E05"/>
    <w:rsid w:val="009E5371"/>
    <w:rsid w:val="009E56FF"/>
    <w:rsid w:val="009E5CB1"/>
    <w:rsid w:val="009E5E56"/>
    <w:rsid w:val="009E61EA"/>
    <w:rsid w:val="009E6990"/>
    <w:rsid w:val="009E6FEE"/>
    <w:rsid w:val="009F060F"/>
    <w:rsid w:val="009F0781"/>
    <w:rsid w:val="009F0850"/>
    <w:rsid w:val="009F11B2"/>
    <w:rsid w:val="009F18A4"/>
    <w:rsid w:val="009F1BDF"/>
    <w:rsid w:val="009F1EAE"/>
    <w:rsid w:val="009F2730"/>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685B"/>
    <w:rsid w:val="00A27F18"/>
    <w:rsid w:val="00A27FB6"/>
    <w:rsid w:val="00A30121"/>
    <w:rsid w:val="00A301D9"/>
    <w:rsid w:val="00A30350"/>
    <w:rsid w:val="00A30368"/>
    <w:rsid w:val="00A3043A"/>
    <w:rsid w:val="00A308C0"/>
    <w:rsid w:val="00A30E02"/>
    <w:rsid w:val="00A30F6A"/>
    <w:rsid w:val="00A31BA2"/>
    <w:rsid w:val="00A31C3E"/>
    <w:rsid w:val="00A34538"/>
    <w:rsid w:val="00A34677"/>
    <w:rsid w:val="00A34BA0"/>
    <w:rsid w:val="00A3518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0623"/>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9AB"/>
    <w:rsid w:val="00A66FA7"/>
    <w:rsid w:val="00A677F6"/>
    <w:rsid w:val="00A67E16"/>
    <w:rsid w:val="00A703CC"/>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43B"/>
    <w:rsid w:val="00A8119D"/>
    <w:rsid w:val="00A81323"/>
    <w:rsid w:val="00A81AC0"/>
    <w:rsid w:val="00A820CB"/>
    <w:rsid w:val="00A82342"/>
    <w:rsid w:val="00A83760"/>
    <w:rsid w:val="00A83BEF"/>
    <w:rsid w:val="00A841E1"/>
    <w:rsid w:val="00A84443"/>
    <w:rsid w:val="00A8487F"/>
    <w:rsid w:val="00A848FC"/>
    <w:rsid w:val="00A849A3"/>
    <w:rsid w:val="00A84A0E"/>
    <w:rsid w:val="00A84BE1"/>
    <w:rsid w:val="00A84D7C"/>
    <w:rsid w:val="00A851FD"/>
    <w:rsid w:val="00A86E0B"/>
    <w:rsid w:val="00A9069B"/>
    <w:rsid w:val="00A90F12"/>
    <w:rsid w:val="00A93101"/>
    <w:rsid w:val="00A93B7D"/>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6FAB"/>
    <w:rsid w:val="00AF736E"/>
    <w:rsid w:val="00AF7796"/>
    <w:rsid w:val="00B011A9"/>
    <w:rsid w:val="00B024ED"/>
    <w:rsid w:val="00B02EB3"/>
    <w:rsid w:val="00B02FCB"/>
    <w:rsid w:val="00B033F8"/>
    <w:rsid w:val="00B03C1E"/>
    <w:rsid w:val="00B04400"/>
    <w:rsid w:val="00B04835"/>
    <w:rsid w:val="00B04D29"/>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4E99"/>
    <w:rsid w:val="00B1557C"/>
    <w:rsid w:val="00B155DC"/>
    <w:rsid w:val="00B15766"/>
    <w:rsid w:val="00B158F6"/>
    <w:rsid w:val="00B159AA"/>
    <w:rsid w:val="00B1666A"/>
    <w:rsid w:val="00B1686D"/>
    <w:rsid w:val="00B17037"/>
    <w:rsid w:val="00B1741D"/>
    <w:rsid w:val="00B17447"/>
    <w:rsid w:val="00B17563"/>
    <w:rsid w:val="00B1771D"/>
    <w:rsid w:val="00B179BC"/>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27FED"/>
    <w:rsid w:val="00B3008D"/>
    <w:rsid w:val="00B309C9"/>
    <w:rsid w:val="00B30E11"/>
    <w:rsid w:val="00B30EEB"/>
    <w:rsid w:val="00B30FD0"/>
    <w:rsid w:val="00B31423"/>
    <w:rsid w:val="00B31710"/>
    <w:rsid w:val="00B32342"/>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851"/>
    <w:rsid w:val="00B56D6E"/>
    <w:rsid w:val="00B572F7"/>
    <w:rsid w:val="00B57B9D"/>
    <w:rsid w:val="00B57DAF"/>
    <w:rsid w:val="00B60094"/>
    <w:rsid w:val="00B6022C"/>
    <w:rsid w:val="00B614E0"/>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E37"/>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72"/>
    <w:rsid w:val="00B81964"/>
    <w:rsid w:val="00B81E6F"/>
    <w:rsid w:val="00B82121"/>
    <w:rsid w:val="00B82123"/>
    <w:rsid w:val="00B8225B"/>
    <w:rsid w:val="00B82BB5"/>
    <w:rsid w:val="00B83182"/>
    <w:rsid w:val="00B833E0"/>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46F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02B"/>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3BA"/>
    <w:rsid w:val="00BD67B2"/>
    <w:rsid w:val="00BD6A07"/>
    <w:rsid w:val="00BD78AB"/>
    <w:rsid w:val="00BD78FE"/>
    <w:rsid w:val="00BD7A91"/>
    <w:rsid w:val="00BE0149"/>
    <w:rsid w:val="00BE0767"/>
    <w:rsid w:val="00BE0F49"/>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750"/>
    <w:rsid w:val="00BF18BF"/>
    <w:rsid w:val="00BF1DD2"/>
    <w:rsid w:val="00BF23A3"/>
    <w:rsid w:val="00BF28DB"/>
    <w:rsid w:val="00BF2A7E"/>
    <w:rsid w:val="00BF3331"/>
    <w:rsid w:val="00BF3A45"/>
    <w:rsid w:val="00BF436F"/>
    <w:rsid w:val="00BF4EC5"/>
    <w:rsid w:val="00BF5723"/>
    <w:rsid w:val="00BF5C05"/>
    <w:rsid w:val="00BF5E94"/>
    <w:rsid w:val="00BF60C8"/>
    <w:rsid w:val="00BF6FC6"/>
    <w:rsid w:val="00BF73E1"/>
    <w:rsid w:val="00BF7C52"/>
    <w:rsid w:val="00BF7F99"/>
    <w:rsid w:val="00C00713"/>
    <w:rsid w:val="00C009A0"/>
    <w:rsid w:val="00C018B2"/>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66FF"/>
    <w:rsid w:val="00C16B1A"/>
    <w:rsid w:val="00C176D5"/>
    <w:rsid w:val="00C2082C"/>
    <w:rsid w:val="00C20832"/>
    <w:rsid w:val="00C20EB0"/>
    <w:rsid w:val="00C21005"/>
    <w:rsid w:val="00C2183B"/>
    <w:rsid w:val="00C220B6"/>
    <w:rsid w:val="00C22D7C"/>
    <w:rsid w:val="00C22DDE"/>
    <w:rsid w:val="00C2338B"/>
    <w:rsid w:val="00C2338D"/>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82"/>
    <w:rsid w:val="00C309E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0E"/>
    <w:rsid w:val="00C649B8"/>
    <w:rsid w:val="00C64A64"/>
    <w:rsid w:val="00C65151"/>
    <w:rsid w:val="00C657F4"/>
    <w:rsid w:val="00C66119"/>
    <w:rsid w:val="00C66243"/>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4CDD"/>
    <w:rsid w:val="00C959BD"/>
    <w:rsid w:val="00C95F44"/>
    <w:rsid w:val="00C96807"/>
    <w:rsid w:val="00C96D1B"/>
    <w:rsid w:val="00C97106"/>
    <w:rsid w:val="00C97684"/>
    <w:rsid w:val="00C97F8B"/>
    <w:rsid w:val="00CA0031"/>
    <w:rsid w:val="00CA0413"/>
    <w:rsid w:val="00CA043A"/>
    <w:rsid w:val="00CA04F8"/>
    <w:rsid w:val="00CA05B7"/>
    <w:rsid w:val="00CA1613"/>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C1"/>
    <w:rsid w:val="00CB52D0"/>
    <w:rsid w:val="00CB5578"/>
    <w:rsid w:val="00CB5671"/>
    <w:rsid w:val="00CB591C"/>
    <w:rsid w:val="00CB5943"/>
    <w:rsid w:val="00CB61B3"/>
    <w:rsid w:val="00CB690C"/>
    <w:rsid w:val="00CB6F83"/>
    <w:rsid w:val="00CB72AE"/>
    <w:rsid w:val="00CB78AD"/>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71A"/>
    <w:rsid w:val="00CD7EFA"/>
    <w:rsid w:val="00CE020E"/>
    <w:rsid w:val="00CE0566"/>
    <w:rsid w:val="00CE10BB"/>
    <w:rsid w:val="00CE16A9"/>
    <w:rsid w:val="00CE1CD4"/>
    <w:rsid w:val="00CE21C4"/>
    <w:rsid w:val="00CE23FE"/>
    <w:rsid w:val="00CE2761"/>
    <w:rsid w:val="00CE2B49"/>
    <w:rsid w:val="00CE314E"/>
    <w:rsid w:val="00CE3D5C"/>
    <w:rsid w:val="00CE3E14"/>
    <w:rsid w:val="00CE44C7"/>
    <w:rsid w:val="00CE4D4D"/>
    <w:rsid w:val="00CE53CC"/>
    <w:rsid w:val="00CE65A7"/>
    <w:rsid w:val="00CE68FE"/>
    <w:rsid w:val="00CE69CC"/>
    <w:rsid w:val="00CE6EC4"/>
    <w:rsid w:val="00CE7A77"/>
    <w:rsid w:val="00CE7D1F"/>
    <w:rsid w:val="00CE7F26"/>
    <w:rsid w:val="00CE7FBF"/>
    <w:rsid w:val="00CF1226"/>
    <w:rsid w:val="00CF148D"/>
    <w:rsid w:val="00CF16C0"/>
    <w:rsid w:val="00CF1ABB"/>
    <w:rsid w:val="00CF1E1D"/>
    <w:rsid w:val="00CF24FE"/>
    <w:rsid w:val="00CF35D0"/>
    <w:rsid w:val="00CF3C1E"/>
    <w:rsid w:val="00CF3DD5"/>
    <w:rsid w:val="00CF41D5"/>
    <w:rsid w:val="00CF4897"/>
    <w:rsid w:val="00CF4A21"/>
    <w:rsid w:val="00CF4AF7"/>
    <w:rsid w:val="00CF4D20"/>
    <w:rsid w:val="00CF55DF"/>
    <w:rsid w:val="00CF6180"/>
    <w:rsid w:val="00CF64F6"/>
    <w:rsid w:val="00CF721C"/>
    <w:rsid w:val="00CF73F8"/>
    <w:rsid w:val="00CF7928"/>
    <w:rsid w:val="00CF7CA2"/>
    <w:rsid w:val="00D00A8E"/>
    <w:rsid w:val="00D00DE0"/>
    <w:rsid w:val="00D00F79"/>
    <w:rsid w:val="00D01121"/>
    <w:rsid w:val="00D012BF"/>
    <w:rsid w:val="00D01760"/>
    <w:rsid w:val="00D0368E"/>
    <w:rsid w:val="00D036B0"/>
    <w:rsid w:val="00D03D2D"/>
    <w:rsid w:val="00D03E7B"/>
    <w:rsid w:val="00D0401A"/>
    <w:rsid w:val="00D047E0"/>
    <w:rsid w:val="00D04B9F"/>
    <w:rsid w:val="00D04FFB"/>
    <w:rsid w:val="00D05153"/>
    <w:rsid w:val="00D058E9"/>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A9D"/>
    <w:rsid w:val="00D26C21"/>
    <w:rsid w:val="00D2742F"/>
    <w:rsid w:val="00D2754F"/>
    <w:rsid w:val="00D27912"/>
    <w:rsid w:val="00D279D9"/>
    <w:rsid w:val="00D27C74"/>
    <w:rsid w:val="00D300FF"/>
    <w:rsid w:val="00D312DC"/>
    <w:rsid w:val="00D31B84"/>
    <w:rsid w:val="00D31C6A"/>
    <w:rsid w:val="00D31EDF"/>
    <w:rsid w:val="00D31FF9"/>
    <w:rsid w:val="00D32149"/>
    <w:rsid w:val="00D32256"/>
    <w:rsid w:val="00D32A27"/>
    <w:rsid w:val="00D32ABC"/>
    <w:rsid w:val="00D33010"/>
    <w:rsid w:val="00D336D3"/>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439F"/>
    <w:rsid w:val="00D4498E"/>
    <w:rsid w:val="00D4515F"/>
    <w:rsid w:val="00D451E8"/>
    <w:rsid w:val="00D4636B"/>
    <w:rsid w:val="00D466C9"/>
    <w:rsid w:val="00D467D8"/>
    <w:rsid w:val="00D47275"/>
    <w:rsid w:val="00D4767B"/>
    <w:rsid w:val="00D50A9F"/>
    <w:rsid w:val="00D50AEF"/>
    <w:rsid w:val="00D50C39"/>
    <w:rsid w:val="00D51E15"/>
    <w:rsid w:val="00D52B7E"/>
    <w:rsid w:val="00D52CC8"/>
    <w:rsid w:val="00D52E2F"/>
    <w:rsid w:val="00D52F59"/>
    <w:rsid w:val="00D53E3E"/>
    <w:rsid w:val="00D5497A"/>
    <w:rsid w:val="00D55904"/>
    <w:rsid w:val="00D5616F"/>
    <w:rsid w:val="00D57940"/>
    <w:rsid w:val="00D60327"/>
    <w:rsid w:val="00D6104D"/>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55"/>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1638"/>
    <w:rsid w:val="00D91BA7"/>
    <w:rsid w:val="00D9261C"/>
    <w:rsid w:val="00D9310B"/>
    <w:rsid w:val="00D93299"/>
    <w:rsid w:val="00D93726"/>
    <w:rsid w:val="00D93DD3"/>
    <w:rsid w:val="00D93F3E"/>
    <w:rsid w:val="00D9405B"/>
    <w:rsid w:val="00D94942"/>
    <w:rsid w:val="00D94A2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661"/>
    <w:rsid w:val="00DA777E"/>
    <w:rsid w:val="00DA7AD0"/>
    <w:rsid w:val="00DB02D7"/>
    <w:rsid w:val="00DB03CC"/>
    <w:rsid w:val="00DB12D4"/>
    <w:rsid w:val="00DB14F0"/>
    <w:rsid w:val="00DB1745"/>
    <w:rsid w:val="00DB1AFF"/>
    <w:rsid w:val="00DB219A"/>
    <w:rsid w:val="00DB2647"/>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2710"/>
    <w:rsid w:val="00DC30B8"/>
    <w:rsid w:val="00DC32C6"/>
    <w:rsid w:val="00DC3720"/>
    <w:rsid w:val="00DC478F"/>
    <w:rsid w:val="00DC62E5"/>
    <w:rsid w:val="00DC6AB9"/>
    <w:rsid w:val="00DC6CA7"/>
    <w:rsid w:val="00DC6F33"/>
    <w:rsid w:val="00DC729E"/>
    <w:rsid w:val="00DC7349"/>
    <w:rsid w:val="00DC7C76"/>
    <w:rsid w:val="00DD005B"/>
    <w:rsid w:val="00DD118B"/>
    <w:rsid w:val="00DD1249"/>
    <w:rsid w:val="00DD14D8"/>
    <w:rsid w:val="00DD1599"/>
    <w:rsid w:val="00DD177F"/>
    <w:rsid w:val="00DD197A"/>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2E2"/>
    <w:rsid w:val="00DE78D1"/>
    <w:rsid w:val="00DF0263"/>
    <w:rsid w:val="00DF098E"/>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3F26"/>
    <w:rsid w:val="00E14622"/>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8C2"/>
    <w:rsid w:val="00E34E6C"/>
    <w:rsid w:val="00E350D8"/>
    <w:rsid w:val="00E353E2"/>
    <w:rsid w:val="00E36345"/>
    <w:rsid w:val="00E363A3"/>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1A8"/>
    <w:rsid w:val="00E54534"/>
    <w:rsid w:val="00E548C3"/>
    <w:rsid w:val="00E54DA0"/>
    <w:rsid w:val="00E54E17"/>
    <w:rsid w:val="00E54F27"/>
    <w:rsid w:val="00E556F5"/>
    <w:rsid w:val="00E55FF1"/>
    <w:rsid w:val="00E56090"/>
    <w:rsid w:val="00E565B9"/>
    <w:rsid w:val="00E5733B"/>
    <w:rsid w:val="00E5756C"/>
    <w:rsid w:val="00E57B34"/>
    <w:rsid w:val="00E601BE"/>
    <w:rsid w:val="00E60B5F"/>
    <w:rsid w:val="00E60D04"/>
    <w:rsid w:val="00E613AE"/>
    <w:rsid w:val="00E61429"/>
    <w:rsid w:val="00E61ABB"/>
    <w:rsid w:val="00E61FD7"/>
    <w:rsid w:val="00E623E6"/>
    <w:rsid w:val="00E62C6F"/>
    <w:rsid w:val="00E630C0"/>
    <w:rsid w:val="00E63107"/>
    <w:rsid w:val="00E634E6"/>
    <w:rsid w:val="00E63DCE"/>
    <w:rsid w:val="00E64700"/>
    <w:rsid w:val="00E64E0B"/>
    <w:rsid w:val="00E65074"/>
    <w:rsid w:val="00E65E70"/>
    <w:rsid w:val="00E65EE9"/>
    <w:rsid w:val="00E66087"/>
    <w:rsid w:val="00E66D79"/>
    <w:rsid w:val="00E66FF9"/>
    <w:rsid w:val="00E673E3"/>
    <w:rsid w:val="00E67856"/>
    <w:rsid w:val="00E679C8"/>
    <w:rsid w:val="00E70314"/>
    <w:rsid w:val="00E70FCD"/>
    <w:rsid w:val="00E718C6"/>
    <w:rsid w:val="00E724E7"/>
    <w:rsid w:val="00E72B41"/>
    <w:rsid w:val="00E7347B"/>
    <w:rsid w:val="00E73D03"/>
    <w:rsid w:val="00E7471C"/>
    <w:rsid w:val="00E7498A"/>
    <w:rsid w:val="00E7514E"/>
    <w:rsid w:val="00E75B34"/>
    <w:rsid w:val="00E77AF5"/>
    <w:rsid w:val="00E8029A"/>
    <w:rsid w:val="00E803A6"/>
    <w:rsid w:val="00E81653"/>
    <w:rsid w:val="00E818B6"/>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357"/>
    <w:rsid w:val="00E906EB"/>
    <w:rsid w:val="00E913F9"/>
    <w:rsid w:val="00E9241E"/>
    <w:rsid w:val="00E92460"/>
    <w:rsid w:val="00E92E62"/>
    <w:rsid w:val="00E92E8B"/>
    <w:rsid w:val="00E93804"/>
    <w:rsid w:val="00E93A86"/>
    <w:rsid w:val="00E941AA"/>
    <w:rsid w:val="00E95434"/>
    <w:rsid w:val="00E9592E"/>
    <w:rsid w:val="00E96467"/>
    <w:rsid w:val="00E966DA"/>
    <w:rsid w:val="00E96948"/>
    <w:rsid w:val="00E9737B"/>
    <w:rsid w:val="00E97A3F"/>
    <w:rsid w:val="00E97F0A"/>
    <w:rsid w:val="00EA0100"/>
    <w:rsid w:val="00EA010D"/>
    <w:rsid w:val="00EA04DC"/>
    <w:rsid w:val="00EA05DD"/>
    <w:rsid w:val="00EA0886"/>
    <w:rsid w:val="00EA0BCE"/>
    <w:rsid w:val="00EA2726"/>
    <w:rsid w:val="00EA2744"/>
    <w:rsid w:val="00EA2937"/>
    <w:rsid w:val="00EA294F"/>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A89"/>
    <w:rsid w:val="00EB0B22"/>
    <w:rsid w:val="00EB1573"/>
    <w:rsid w:val="00EB1650"/>
    <w:rsid w:val="00EB1910"/>
    <w:rsid w:val="00EB1D24"/>
    <w:rsid w:val="00EB1EBB"/>
    <w:rsid w:val="00EB209B"/>
    <w:rsid w:val="00EB2E97"/>
    <w:rsid w:val="00EB3416"/>
    <w:rsid w:val="00EB3554"/>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B48"/>
    <w:rsid w:val="00EC3C94"/>
    <w:rsid w:val="00EC44DF"/>
    <w:rsid w:val="00EC4AB1"/>
    <w:rsid w:val="00EC4EFB"/>
    <w:rsid w:val="00EC4FB9"/>
    <w:rsid w:val="00EC5310"/>
    <w:rsid w:val="00EC5393"/>
    <w:rsid w:val="00EC5741"/>
    <w:rsid w:val="00EC5ACE"/>
    <w:rsid w:val="00EC5DA3"/>
    <w:rsid w:val="00EC6014"/>
    <w:rsid w:val="00EC68A5"/>
    <w:rsid w:val="00EC6B3E"/>
    <w:rsid w:val="00EC6D8D"/>
    <w:rsid w:val="00EC71C7"/>
    <w:rsid w:val="00EC73DE"/>
    <w:rsid w:val="00EC7637"/>
    <w:rsid w:val="00EC7B63"/>
    <w:rsid w:val="00EC7CF2"/>
    <w:rsid w:val="00ED0400"/>
    <w:rsid w:val="00ED046B"/>
    <w:rsid w:val="00ED046C"/>
    <w:rsid w:val="00ED053A"/>
    <w:rsid w:val="00ED070F"/>
    <w:rsid w:val="00ED1F03"/>
    <w:rsid w:val="00ED2C70"/>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54A"/>
    <w:rsid w:val="00F327EF"/>
    <w:rsid w:val="00F32C50"/>
    <w:rsid w:val="00F33980"/>
    <w:rsid w:val="00F3399B"/>
    <w:rsid w:val="00F33C1A"/>
    <w:rsid w:val="00F3461B"/>
    <w:rsid w:val="00F346ED"/>
    <w:rsid w:val="00F34945"/>
    <w:rsid w:val="00F3496F"/>
    <w:rsid w:val="00F34E1E"/>
    <w:rsid w:val="00F351E8"/>
    <w:rsid w:val="00F3547C"/>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F"/>
    <w:rsid w:val="00F45B91"/>
    <w:rsid w:val="00F46639"/>
    <w:rsid w:val="00F46692"/>
    <w:rsid w:val="00F46708"/>
    <w:rsid w:val="00F46782"/>
    <w:rsid w:val="00F47AAA"/>
    <w:rsid w:val="00F47B3B"/>
    <w:rsid w:val="00F47CF7"/>
    <w:rsid w:val="00F50183"/>
    <w:rsid w:val="00F50D92"/>
    <w:rsid w:val="00F51765"/>
    <w:rsid w:val="00F51A51"/>
    <w:rsid w:val="00F51CB4"/>
    <w:rsid w:val="00F52324"/>
    <w:rsid w:val="00F52950"/>
    <w:rsid w:val="00F52C9D"/>
    <w:rsid w:val="00F52E39"/>
    <w:rsid w:val="00F533F1"/>
    <w:rsid w:val="00F53B81"/>
    <w:rsid w:val="00F547CB"/>
    <w:rsid w:val="00F55679"/>
    <w:rsid w:val="00F561E3"/>
    <w:rsid w:val="00F565E6"/>
    <w:rsid w:val="00F56AB9"/>
    <w:rsid w:val="00F56AFA"/>
    <w:rsid w:val="00F5728E"/>
    <w:rsid w:val="00F575E2"/>
    <w:rsid w:val="00F57715"/>
    <w:rsid w:val="00F579FF"/>
    <w:rsid w:val="00F600E0"/>
    <w:rsid w:val="00F600FD"/>
    <w:rsid w:val="00F605EC"/>
    <w:rsid w:val="00F60F60"/>
    <w:rsid w:val="00F612CE"/>
    <w:rsid w:val="00F624A7"/>
    <w:rsid w:val="00F62AB6"/>
    <w:rsid w:val="00F63984"/>
    <w:rsid w:val="00F65A3C"/>
    <w:rsid w:val="00F65A88"/>
    <w:rsid w:val="00F66282"/>
    <w:rsid w:val="00F66AB6"/>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1E1"/>
    <w:rsid w:val="00F76C11"/>
    <w:rsid w:val="00F77021"/>
    <w:rsid w:val="00F775CB"/>
    <w:rsid w:val="00F77B8B"/>
    <w:rsid w:val="00F77E61"/>
    <w:rsid w:val="00F814B2"/>
    <w:rsid w:val="00F815AC"/>
    <w:rsid w:val="00F82459"/>
    <w:rsid w:val="00F83075"/>
    <w:rsid w:val="00F83200"/>
    <w:rsid w:val="00F834EE"/>
    <w:rsid w:val="00F83B33"/>
    <w:rsid w:val="00F83CAE"/>
    <w:rsid w:val="00F840BF"/>
    <w:rsid w:val="00F8415D"/>
    <w:rsid w:val="00F8427A"/>
    <w:rsid w:val="00F842E1"/>
    <w:rsid w:val="00F843DF"/>
    <w:rsid w:val="00F84899"/>
    <w:rsid w:val="00F848AB"/>
    <w:rsid w:val="00F84A0A"/>
    <w:rsid w:val="00F84CF5"/>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B02"/>
    <w:rsid w:val="00F92E3E"/>
    <w:rsid w:val="00F93DBC"/>
    <w:rsid w:val="00F93E41"/>
    <w:rsid w:val="00F94644"/>
    <w:rsid w:val="00F95075"/>
    <w:rsid w:val="00F9537B"/>
    <w:rsid w:val="00F953B8"/>
    <w:rsid w:val="00F95567"/>
    <w:rsid w:val="00F963FC"/>
    <w:rsid w:val="00FA015F"/>
    <w:rsid w:val="00FA0FAC"/>
    <w:rsid w:val="00FA1575"/>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C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0500122">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3156170">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45066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28827332">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https://dle.rae.es/fomentar" TargetMode="External"/><Relationship Id="rId2" Type="http://schemas.openxmlformats.org/officeDocument/2006/relationships/hyperlink" Target="https://www.dnp.gov.co/Paginas/Proyecto-de-Decreto.aspx" TargetMode="External"/><Relationship Id="rId1" Type="http://schemas.openxmlformats.org/officeDocument/2006/relationships/hyperlink" Target="https://colaboracion.dnp.gov.co/CDT/Conpes/Econ%C3%B3micos/3956.pdf" TargetMode="External"/><Relationship Id="rId5" Type="http://schemas.openxmlformats.org/officeDocument/2006/relationships/hyperlink" Target="https://dle.rae.es/fomentar" TargetMode="External"/><Relationship Id="rId4" Type="http://schemas.openxmlformats.org/officeDocument/2006/relationships/hyperlink" Target="https://www.dnp.gov.co/Paginas/Proyecto-de-Decreto.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D9378-E275-46B3-9E0B-A5ECB1EF0DD8}"/>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18</Pages>
  <Words>7119</Words>
  <Characters>39157</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2022-08-29T13:24:00Z</dcterms:created>
  <dcterms:modified xsi:type="dcterms:W3CDTF">2022-08-29T13:45:00Z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