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5297B" w14:textId="77777777" w:rsidR="00EF65B3" w:rsidRDefault="00EF65B3" w:rsidP="00EF65B3">
      <w:pPr>
        <w:spacing w:after="0" w:line="240" w:lineRule="auto"/>
        <w:jc w:val="both"/>
        <w:rPr>
          <w:rFonts w:ascii="Verdana" w:eastAsia="Geomanist Light" w:hAnsi="Verdana" w:cs="Arial"/>
          <w:lang w:val="es-MX"/>
        </w:rPr>
      </w:pPr>
      <w:bookmarkStart w:id="0" w:name="_Hlk143780582"/>
    </w:p>
    <w:p w14:paraId="07E52330" w14:textId="77777777" w:rsidR="00EF65B3" w:rsidRPr="009852D7" w:rsidRDefault="00EF65B3" w:rsidP="00EF65B3">
      <w:pPr>
        <w:spacing w:after="0" w:line="240" w:lineRule="auto"/>
        <w:jc w:val="both"/>
        <w:rPr>
          <w:rFonts w:ascii="Verdana" w:eastAsia="Calibri" w:hAnsi="Verdana" w:cs="Arial"/>
          <w:b/>
          <w:bCs/>
          <w:color w:val="000000"/>
          <w:kern w:val="2"/>
          <w14:ligatures w14:val="standardContextual"/>
        </w:rPr>
      </w:pPr>
      <w:r w:rsidRPr="009852D7">
        <w:rPr>
          <w:rFonts w:ascii="Verdana" w:eastAsia="Calibri" w:hAnsi="Verdana" w:cs="Arial"/>
          <w:b/>
          <w:bCs/>
          <w:color w:val="000000"/>
          <w:kern w:val="2"/>
          <w14:ligatures w14:val="standardContextual"/>
        </w:rPr>
        <w:t xml:space="preserve">INHABILIDADES E INCOMPATIBILIDADES </w:t>
      </w:r>
      <w:r w:rsidRPr="009852D7">
        <w:rPr>
          <w:rFonts w:ascii="Verdana" w:eastAsia="Calibri" w:hAnsi="Verdana" w:cs="Arial"/>
          <w:b/>
          <w:color w:val="000000"/>
          <w:kern w:val="2"/>
          <w14:ligatures w14:val="standardContextual"/>
        </w:rPr>
        <w:t>–</w:t>
      </w:r>
      <w:r w:rsidRPr="009852D7">
        <w:rPr>
          <w:rFonts w:ascii="Verdana" w:eastAsia="Calibri" w:hAnsi="Verdana" w:cs="Arial"/>
          <w:b/>
          <w:bCs/>
          <w:color w:val="000000"/>
          <w:kern w:val="2"/>
          <w14:ligatures w14:val="standardContextual"/>
        </w:rPr>
        <w:t xml:space="preserve"> Concepto </w:t>
      </w:r>
      <w:r w:rsidRPr="009852D7">
        <w:rPr>
          <w:rFonts w:ascii="Verdana" w:eastAsia="Calibri" w:hAnsi="Verdana" w:cs="Arial"/>
          <w:b/>
          <w:color w:val="000000"/>
          <w:kern w:val="2"/>
          <w14:ligatures w14:val="standardContextual"/>
        </w:rPr>
        <w:t xml:space="preserve">– </w:t>
      </w:r>
      <w:r w:rsidRPr="009852D7">
        <w:rPr>
          <w:rFonts w:ascii="Verdana" w:eastAsia="Calibri" w:hAnsi="Verdana" w:cs="Arial"/>
          <w:b/>
          <w:bCs/>
          <w:color w:val="000000"/>
          <w:kern w:val="2"/>
          <w14:ligatures w14:val="standardContextual"/>
        </w:rPr>
        <w:t xml:space="preserve">Principio de legalidad </w:t>
      </w:r>
      <w:r w:rsidRPr="009852D7">
        <w:rPr>
          <w:rFonts w:ascii="Verdana" w:eastAsia="Calibri" w:hAnsi="Verdana" w:cs="Arial"/>
          <w:b/>
          <w:color w:val="000000"/>
          <w:kern w:val="2"/>
          <w14:ligatures w14:val="standardContextual"/>
        </w:rPr>
        <w:t>–</w:t>
      </w:r>
      <w:r w:rsidRPr="009852D7">
        <w:rPr>
          <w:rFonts w:ascii="Verdana" w:eastAsia="Calibri" w:hAnsi="Verdana" w:cs="Arial"/>
          <w:b/>
          <w:bCs/>
          <w:color w:val="000000"/>
          <w:kern w:val="2"/>
          <w14:ligatures w14:val="standardContextual"/>
        </w:rPr>
        <w:t xml:space="preserve"> Interpretación restrictiva</w:t>
      </w:r>
    </w:p>
    <w:p w14:paraId="7C839132" w14:textId="77777777" w:rsidR="00EF65B3" w:rsidRPr="009852D7" w:rsidRDefault="00EF65B3" w:rsidP="00EF65B3">
      <w:pPr>
        <w:spacing w:after="0" w:line="240" w:lineRule="auto"/>
        <w:jc w:val="both"/>
        <w:rPr>
          <w:rFonts w:ascii="Verdana" w:eastAsia="Calibri" w:hAnsi="Verdana" w:cs="Arial"/>
          <w:b/>
          <w:bCs/>
          <w:color w:val="000000"/>
          <w:kern w:val="2"/>
          <w14:ligatures w14:val="standardContextual"/>
        </w:rPr>
      </w:pPr>
    </w:p>
    <w:p w14:paraId="5E66242C" w14:textId="77777777" w:rsidR="00EF65B3" w:rsidRPr="003F4E1D" w:rsidRDefault="00EF65B3" w:rsidP="00EF65B3">
      <w:pPr>
        <w:spacing w:after="0" w:line="240" w:lineRule="auto"/>
        <w:jc w:val="both"/>
        <w:rPr>
          <w:rFonts w:ascii="Verdana" w:eastAsia="Calibri" w:hAnsi="Verdana" w:cs="Arial"/>
          <w:color w:val="000000"/>
          <w:kern w:val="2"/>
          <w:sz w:val="20"/>
          <w:szCs w:val="20"/>
          <w14:ligatures w14:val="standardContextual"/>
        </w:rPr>
      </w:pPr>
      <w:r w:rsidRPr="003F4E1D">
        <w:rPr>
          <w:rFonts w:ascii="Verdana" w:eastAsia="Calibri" w:hAnsi="Verdana" w:cs="Arial"/>
          <w:color w:val="000000"/>
          <w:kern w:val="2"/>
          <w:sz w:val="20"/>
          <w:szCs w:val="20"/>
          <w14:ligatures w14:val="standardContextual"/>
        </w:rPr>
        <w:t xml:space="preserve">Las </w:t>
      </w:r>
      <w:r w:rsidRPr="003F4E1D">
        <w:rPr>
          <w:rFonts w:ascii="Verdana" w:eastAsia="Calibri" w:hAnsi="Verdana" w:cs="Arial"/>
          <w:i/>
          <w:iCs/>
          <w:color w:val="000000"/>
          <w:kern w:val="2"/>
          <w:sz w:val="20"/>
          <w:szCs w:val="20"/>
          <w14:ligatures w14:val="standardContextual"/>
        </w:rPr>
        <w:t>inhabilidades</w:t>
      </w:r>
      <w:r w:rsidRPr="003F4E1D">
        <w:rPr>
          <w:rFonts w:ascii="Verdana" w:eastAsia="Calibri" w:hAnsi="Verdana" w:cs="Arial"/>
          <w:color w:val="000000"/>
          <w:kern w:val="2"/>
          <w:sz w:val="20"/>
          <w:szCs w:val="20"/>
          <w14:ligatures w14:val="standardContextual"/>
        </w:rPr>
        <w:t xml:space="preserve"> son prohibiciones para concurrir a los procedimientos de selección y para contratar con el Estado, que se derivan de:  i) la existencia de comportamientos reprochables o sanciones anteriormente impuestas, </w:t>
      </w:r>
      <w:proofErr w:type="spellStart"/>
      <w:r w:rsidRPr="003F4E1D">
        <w:rPr>
          <w:rFonts w:ascii="Verdana" w:eastAsia="Calibri" w:hAnsi="Verdana" w:cs="Arial"/>
          <w:color w:val="000000"/>
          <w:kern w:val="2"/>
          <w:sz w:val="20"/>
          <w:szCs w:val="20"/>
          <w14:ligatures w14:val="standardContextual"/>
        </w:rPr>
        <w:t>ii</w:t>
      </w:r>
      <w:proofErr w:type="spellEnd"/>
      <w:r w:rsidRPr="003F4E1D">
        <w:rPr>
          <w:rFonts w:ascii="Verdana" w:eastAsia="Calibri" w:hAnsi="Verdana" w:cs="Arial"/>
          <w:color w:val="000000"/>
          <w:kern w:val="2"/>
          <w:sz w:val="20"/>
          <w:szCs w:val="20"/>
          <w14:ligatures w14:val="standardContextual"/>
        </w:rPr>
        <w:t xml:space="preserve">) vínculos personales relativos al parentesco o al estado civil o </w:t>
      </w:r>
      <w:proofErr w:type="spellStart"/>
      <w:r w:rsidRPr="003F4E1D">
        <w:rPr>
          <w:rFonts w:ascii="Verdana" w:eastAsia="Calibri" w:hAnsi="Verdana" w:cs="Arial"/>
          <w:color w:val="000000"/>
          <w:kern w:val="2"/>
          <w:sz w:val="20"/>
          <w:szCs w:val="20"/>
          <w14:ligatures w14:val="standardContextual"/>
        </w:rPr>
        <w:t>iii</w:t>
      </w:r>
      <w:proofErr w:type="spellEnd"/>
      <w:r w:rsidRPr="003F4E1D">
        <w:rPr>
          <w:rFonts w:ascii="Verdana" w:eastAsia="Calibri" w:hAnsi="Verdana" w:cs="Arial"/>
          <w:color w:val="000000"/>
          <w:kern w:val="2"/>
          <w:sz w:val="20"/>
          <w:szCs w:val="20"/>
          <w14:ligatures w14:val="standardContextual"/>
        </w:rPr>
        <w:t xml:space="preserve">) una actividad u oficio que se desempeñó en el pasado. De otro lado, las </w:t>
      </w:r>
      <w:r w:rsidRPr="003F4E1D">
        <w:rPr>
          <w:rFonts w:ascii="Verdana" w:eastAsia="Calibri" w:hAnsi="Verdana" w:cs="Arial"/>
          <w:i/>
          <w:iCs/>
          <w:color w:val="000000"/>
          <w:kern w:val="2"/>
          <w:sz w:val="20"/>
          <w:szCs w:val="20"/>
          <w14:ligatures w14:val="standardContextual"/>
        </w:rPr>
        <w:t>incompatibilidades</w:t>
      </w:r>
      <w:r w:rsidRPr="003F4E1D">
        <w:rPr>
          <w:rFonts w:ascii="Verdana" w:eastAsia="Calibri" w:hAnsi="Verdana" w:cs="Arial"/>
          <w:color w:val="000000"/>
          <w:kern w:val="2"/>
          <w:sz w:val="20"/>
          <w:szCs w:val="20"/>
          <w14:ligatures w14:val="standardContextua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0F869350" w14:textId="77777777" w:rsidR="00EF65B3" w:rsidRPr="003F4E1D" w:rsidRDefault="00EF65B3" w:rsidP="00EF65B3">
      <w:pPr>
        <w:spacing w:after="120" w:line="240" w:lineRule="auto"/>
        <w:jc w:val="both"/>
        <w:rPr>
          <w:rFonts w:ascii="Verdana" w:eastAsia="Calibri" w:hAnsi="Verdana" w:cs="Arial"/>
          <w:color w:val="000000"/>
          <w:kern w:val="2"/>
          <w:sz w:val="20"/>
          <w:szCs w:val="20"/>
          <w14:ligatures w14:val="standardContextual"/>
        </w:rPr>
      </w:pPr>
      <w:r w:rsidRPr="003F4E1D">
        <w:rPr>
          <w:rFonts w:ascii="Verdana" w:eastAsia="Calibri" w:hAnsi="Verdana" w:cs="Arial"/>
          <w:color w:val="000000"/>
          <w:kern w:val="2"/>
          <w:sz w:val="20"/>
          <w:szCs w:val="20"/>
          <w14:ligatures w14:val="standardContextual"/>
        </w:rPr>
        <w:t>[…]</w:t>
      </w:r>
    </w:p>
    <w:p w14:paraId="38CE2A0C" w14:textId="77777777" w:rsidR="00EF65B3" w:rsidRPr="003F4E1D" w:rsidRDefault="00EF65B3" w:rsidP="00EF65B3">
      <w:pPr>
        <w:spacing w:after="0" w:line="240" w:lineRule="auto"/>
        <w:jc w:val="both"/>
        <w:rPr>
          <w:rFonts w:ascii="Verdana" w:eastAsia="Calibri" w:hAnsi="Verdana" w:cs="Arial"/>
          <w:color w:val="000000"/>
          <w:kern w:val="2"/>
          <w:sz w:val="20"/>
          <w:szCs w:val="20"/>
          <w14:ligatures w14:val="standardContextual"/>
        </w:rPr>
      </w:pPr>
      <w:r w:rsidRPr="003F4E1D">
        <w:rPr>
          <w:rFonts w:ascii="Verdana" w:eastAsia="Calibri" w:hAnsi="Verdana" w:cs="Arial"/>
          <w:color w:val="000000"/>
          <w:kern w:val="2"/>
          <w:sz w:val="20"/>
          <w:szCs w:val="20"/>
          <w14:ligatures w14:val="standardContextual"/>
        </w:rPr>
        <w:t>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582FDADC" w14:textId="77777777" w:rsidR="00EF65B3" w:rsidRPr="009852D7" w:rsidRDefault="00EF65B3" w:rsidP="00EF65B3">
      <w:pPr>
        <w:spacing w:after="0" w:line="240" w:lineRule="auto"/>
        <w:jc w:val="both"/>
        <w:rPr>
          <w:rFonts w:ascii="Verdana" w:eastAsia="Calibri" w:hAnsi="Verdana" w:cs="Arial"/>
          <w:color w:val="000000"/>
          <w:kern w:val="2"/>
          <w14:ligatures w14:val="standardContextual"/>
        </w:rPr>
      </w:pPr>
    </w:p>
    <w:p w14:paraId="3EEC1538" w14:textId="77777777" w:rsidR="00EF65B3" w:rsidRPr="009852D7" w:rsidRDefault="00EF65B3" w:rsidP="00EF65B3">
      <w:pPr>
        <w:spacing w:after="0" w:line="240" w:lineRule="auto"/>
        <w:jc w:val="both"/>
        <w:rPr>
          <w:rFonts w:ascii="Verdana" w:hAnsi="Verdana" w:cs="Arial"/>
          <w:b/>
          <w:bCs/>
          <w:lang w:val="es-ES" w:eastAsia="es-ES"/>
        </w:rPr>
      </w:pPr>
      <w:r w:rsidRPr="009852D7">
        <w:rPr>
          <w:rFonts w:ascii="Verdana" w:hAnsi="Verdana" w:cs="Arial"/>
          <w:b/>
          <w:bCs/>
          <w:lang w:val="es-ES" w:eastAsia="es-ES"/>
        </w:rPr>
        <w:t xml:space="preserve">CONFLICTOS DE INTERÉS – Régimen – Objetivo </w:t>
      </w:r>
    </w:p>
    <w:p w14:paraId="01F6E362" w14:textId="77777777" w:rsidR="00EF65B3" w:rsidRPr="009852D7" w:rsidRDefault="00EF65B3" w:rsidP="00EF65B3">
      <w:pPr>
        <w:spacing w:after="0" w:line="240" w:lineRule="auto"/>
        <w:jc w:val="both"/>
        <w:rPr>
          <w:rFonts w:ascii="Verdana" w:hAnsi="Verdana" w:cs="Arial"/>
          <w:b/>
          <w:bCs/>
          <w:lang w:val="es-ES" w:eastAsia="es-ES"/>
        </w:rPr>
      </w:pPr>
    </w:p>
    <w:p w14:paraId="777DD880" w14:textId="77777777" w:rsidR="00EF65B3" w:rsidRPr="003F4E1D" w:rsidRDefault="00EF65B3" w:rsidP="00EF65B3">
      <w:pPr>
        <w:spacing w:after="0" w:line="240" w:lineRule="auto"/>
        <w:jc w:val="both"/>
        <w:rPr>
          <w:rFonts w:ascii="Verdana" w:hAnsi="Verdana" w:cs="Arial"/>
          <w:sz w:val="20"/>
          <w:szCs w:val="20"/>
          <w:lang w:val="es-ES_tradnl" w:eastAsia="es-ES"/>
        </w:rPr>
      </w:pPr>
      <w:r w:rsidRPr="003F4E1D">
        <w:rPr>
          <w:rFonts w:ascii="Verdana" w:hAnsi="Verdana" w:cs="Arial"/>
          <w:sz w:val="20"/>
          <w:szCs w:val="20"/>
          <w:lang w:val="es-ES_tradnl" w:eastAsia="es-ES"/>
        </w:rPr>
        <w:t>[…] el régimen de los conflictos de interés 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ocurrencia de intereses antagónicos que afectan la transparencia de las decisiones, al implicar –en detrimento del interés general– el aprovechamiento personal, familiar o particular.</w:t>
      </w:r>
    </w:p>
    <w:p w14:paraId="31E7A5A8" w14:textId="77777777" w:rsidR="00EF65B3" w:rsidRPr="009852D7" w:rsidRDefault="00EF65B3" w:rsidP="00EF65B3">
      <w:pPr>
        <w:spacing w:after="0" w:line="240" w:lineRule="auto"/>
        <w:jc w:val="both"/>
        <w:rPr>
          <w:rFonts w:ascii="Verdana" w:eastAsia="Calibri" w:hAnsi="Verdana" w:cs="Arial"/>
          <w:b/>
          <w:bCs/>
          <w:color w:val="000000"/>
          <w:kern w:val="2"/>
          <w14:ligatures w14:val="standardContextual"/>
        </w:rPr>
      </w:pPr>
    </w:p>
    <w:p w14:paraId="1ECAF1E1" w14:textId="77777777" w:rsidR="00EF65B3" w:rsidRPr="009852D7" w:rsidRDefault="00EF65B3" w:rsidP="00EF65B3">
      <w:pPr>
        <w:spacing w:after="0" w:line="240" w:lineRule="auto"/>
        <w:jc w:val="both"/>
        <w:rPr>
          <w:rFonts w:ascii="Verdana" w:eastAsia="Calibri" w:hAnsi="Verdana" w:cs="Arial"/>
          <w:b/>
          <w:bCs/>
          <w:color w:val="000000"/>
          <w:kern w:val="2"/>
          <w14:ligatures w14:val="standardContextual"/>
        </w:rPr>
      </w:pPr>
      <w:r w:rsidRPr="009852D7">
        <w:rPr>
          <w:rFonts w:ascii="Verdana" w:eastAsia="Calibri" w:hAnsi="Verdana" w:cs="Arial"/>
          <w:b/>
          <w:bCs/>
          <w:color w:val="000000"/>
          <w:kern w:val="2"/>
          <w14:ligatures w14:val="standardContextual"/>
        </w:rPr>
        <w:t>CONFLICTOS DE INTERES – Verificación de cada caso en concreto</w:t>
      </w:r>
    </w:p>
    <w:p w14:paraId="6AAE0207" w14:textId="77777777" w:rsidR="00EF65B3" w:rsidRPr="009852D7" w:rsidRDefault="00EF65B3" w:rsidP="00EF65B3">
      <w:pPr>
        <w:spacing w:after="0" w:line="240" w:lineRule="auto"/>
        <w:jc w:val="both"/>
        <w:rPr>
          <w:rFonts w:ascii="Verdana" w:eastAsia="Calibri" w:hAnsi="Verdana" w:cs="Arial"/>
          <w:b/>
          <w:bCs/>
          <w:color w:val="000000"/>
          <w:kern w:val="2"/>
          <w14:ligatures w14:val="standardContextual"/>
        </w:rPr>
      </w:pPr>
    </w:p>
    <w:p w14:paraId="3090B6B6" w14:textId="77777777" w:rsidR="00EF65B3" w:rsidRPr="003F4E1D" w:rsidRDefault="00EF65B3" w:rsidP="00EF65B3">
      <w:pPr>
        <w:spacing w:after="0" w:line="240" w:lineRule="auto"/>
        <w:jc w:val="both"/>
        <w:rPr>
          <w:rFonts w:ascii="Verdana" w:eastAsia="Calibri" w:hAnsi="Verdana" w:cs="Arial"/>
          <w:color w:val="000000"/>
          <w:kern w:val="2"/>
          <w:sz w:val="20"/>
          <w:szCs w:val="20"/>
          <w14:ligatures w14:val="standardContextual"/>
        </w:rPr>
      </w:pPr>
      <w:r w:rsidRPr="003F4E1D">
        <w:rPr>
          <w:rFonts w:ascii="Verdana" w:eastAsia="Calibri" w:hAnsi="Verdana" w:cs="Arial"/>
          <w:color w:val="000000"/>
          <w:kern w:val="2"/>
          <w:sz w:val="20"/>
          <w:szCs w:val="20"/>
          <w14:ligatures w14:val="standardContextual"/>
        </w:rPr>
        <w:t>Debe valorarse cada caso en concreto para descartar posibles conflictos de intereses. Es decir, situaciones en las cuales los intereses personales de alguien se opongan a sus deberes. Puede ser el caso de aquellas personas jurídicas que, luego de celebrar un contrato con una entidad estatal, el representante legal de dicha empresa celebre a título personal, en calidad de persona natural, otro contrato con la misma entidad estatal, circunstancia que, aunque no se advierte como una inhabilidad o incompatibilidad en particular, sí podría constituir un conflicto de intereses que afecte el cumplimiento de deberes.</w:t>
      </w:r>
    </w:p>
    <w:p w14:paraId="3ABE3ABC" w14:textId="77777777" w:rsidR="00EF65B3" w:rsidRPr="009852D7" w:rsidRDefault="00EF65B3" w:rsidP="00EF65B3">
      <w:pPr>
        <w:spacing w:after="0" w:line="240" w:lineRule="auto"/>
        <w:jc w:val="both"/>
        <w:rPr>
          <w:rFonts w:ascii="Verdana" w:eastAsia="Calibri" w:hAnsi="Verdana" w:cs="Arial"/>
          <w:color w:val="000000"/>
          <w:kern w:val="2"/>
          <w14:ligatures w14:val="standardContextual"/>
        </w:rPr>
      </w:pPr>
    </w:p>
    <w:p w14:paraId="3BFD5D94" w14:textId="77777777" w:rsidR="00B81E0D" w:rsidRDefault="00B81E0D" w:rsidP="00EF65B3">
      <w:pPr>
        <w:spacing w:after="0" w:line="240" w:lineRule="auto"/>
        <w:jc w:val="both"/>
        <w:rPr>
          <w:rFonts w:ascii="Verdana" w:eastAsia="Calibri" w:hAnsi="Verdana" w:cs="Arial"/>
          <w:color w:val="000000"/>
          <w:kern w:val="2"/>
          <w14:ligatures w14:val="standardContextual"/>
        </w:rPr>
      </w:pPr>
    </w:p>
    <w:p w14:paraId="0188DA34" w14:textId="28A779EE" w:rsidR="00EF65B3" w:rsidRPr="009852D7" w:rsidRDefault="00EF65B3" w:rsidP="00EF65B3">
      <w:pPr>
        <w:spacing w:after="0" w:line="240" w:lineRule="auto"/>
        <w:jc w:val="both"/>
        <w:rPr>
          <w:rFonts w:ascii="Verdana" w:eastAsia="Calibri" w:hAnsi="Verdana" w:cs="Arial"/>
          <w:lang w:val="es-ES"/>
        </w:rPr>
      </w:pPr>
      <w:r w:rsidRPr="009852D7">
        <w:rPr>
          <w:rFonts w:ascii="Verdana" w:eastAsia="Geomanist Light" w:hAnsi="Verdana" w:cs="Arial"/>
        </w:rPr>
        <w:lastRenderedPageBreak/>
        <w:t xml:space="preserve">Bogotá D.C., </w:t>
      </w:r>
      <w:r w:rsidR="00B81E0D">
        <w:rPr>
          <w:rFonts w:ascii="Verdana" w:eastAsia="Geomanist Light" w:hAnsi="Verdana" w:cs="Arial"/>
        </w:rPr>
        <w:t>10</w:t>
      </w:r>
      <w:r w:rsidRPr="009852D7">
        <w:rPr>
          <w:rFonts w:ascii="Verdana" w:eastAsia="Geomanist Light" w:hAnsi="Verdana" w:cs="Arial"/>
        </w:rPr>
        <w:t xml:space="preserve"> de </w:t>
      </w:r>
      <w:r w:rsidR="00B81E0D">
        <w:rPr>
          <w:rFonts w:ascii="Verdana" w:eastAsia="Geomanist Light" w:hAnsi="Verdana" w:cs="Arial"/>
        </w:rPr>
        <w:t>mayo</w:t>
      </w:r>
      <w:r w:rsidRPr="009852D7">
        <w:rPr>
          <w:rFonts w:ascii="Verdana" w:eastAsia="Geomanist Light" w:hAnsi="Verdana" w:cs="Arial"/>
        </w:rPr>
        <w:t xml:space="preserve"> de 2025</w:t>
      </w:r>
    </w:p>
    <w:p w14:paraId="7A27B4DC" w14:textId="40DE7B5A" w:rsidR="00EF65B3" w:rsidRPr="009852D7" w:rsidRDefault="00EF65B3" w:rsidP="00EF65B3">
      <w:pPr>
        <w:spacing w:after="0" w:line="240" w:lineRule="auto"/>
        <w:jc w:val="both"/>
        <w:rPr>
          <w:rFonts w:ascii="Verdana" w:eastAsia="Calibri" w:hAnsi="Verdana" w:cs="Arial"/>
          <w:lang w:val="es-ES" w:eastAsia="es-ES"/>
        </w:rPr>
      </w:pPr>
    </w:p>
    <w:p w14:paraId="6052500F" w14:textId="322F1379" w:rsidR="00EF65B3" w:rsidRPr="009852D7" w:rsidRDefault="00B81E0D" w:rsidP="00EF65B3">
      <w:pPr>
        <w:spacing w:after="0" w:line="240" w:lineRule="auto"/>
        <w:jc w:val="both"/>
        <w:rPr>
          <w:rFonts w:ascii="Verdana" w:eastAsia="Calibri" w:hAnsi="Verdana" w:cs="Arial"/>
          <w:lang w:val="es-ES" w:eastAsia="es-ES"/>
        </w:rPr>
      </w:pPr>
      <w:r w:rsidRPr="00374E23">
        <w:rPr>
          <w:rFonts w:ascii="Verdana" w:eastAsia="Calibri" w:hAnsi="Verdana" w:cs="Arial"/>
          <w:b/>
          <w:noProof/>
          <w:lang w:val="es-ES_tradnl" w:eastAsia="es-ES_tradnl"/>
        </w:rPr>
        <w:drawing>
          <wp:anchor distT="0" distB="0" distL="114300" distR="114300" simplePos="0" relativeHeight="251659264" behindDoc="1" locked="0" layoutInCell="1" allowOverlap="1" wp14:anchorId="5F21D524" wp14:editId="530AD263">
            <wp:simplePos x="0" y="0"/>
            <wp:positionH relativeFrom="margin">
              <wp:align>right</wp:align>
            </wp:positionH>
            <wp:positionV relativeFrom="paragraph">
              <wp:posOffset>8862</wp:posOffset>
            </wp:positionV>
            <wp:extent cx="3220085" cy="969645"/>
            <wp:effectExtent l="0" t="0" r="0" b="1905"/>
            <wp:wrapSquare wrapText="bothSides"/>
            <wp:docPr id="113196701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967016"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20085" cy="969645"/>
                    </a:xfrm>
                    <a:prstGeom prst="rect">
                      <a:avLst/>
                    </a:prstGeom>
                  </pic:spPr>
                </pic:pic>
              </a:graphicData>
            </a:graphic>
            <wp14:sizeRelH relativeFrom="page">
              <wp14:pctWidth>0</wp14:pctWidth>
            </wp14:sizeRelH>
            <wp14:sizeRelV relativeFrom="page">
              <wp14:pctHeight>0</wp14:pctHeight>
            </wp14:sizeRelV>
          </wp:anchor>
        </w:drawing>
      </w:r>
    </w:p>
    <w:p w14:paraId="50D649A8" w14:textId="623C36DA" w:rsidR="00EF65B3" w:rsidRPr="009852D7" w:rsidRDefault="00EF65B3" w:rsidP="00EF65B3">
      <w:pPr>
        <w:spacing w:after="0" w:line="240" w:lineRule="auto"/>
        <w:jc w:val="both"/>
        <w:rPr>
          <w:rFonts w:ascii="Verdana" w:eastAsia="Calibri" w:hAnsi="Verdana" w:cs="Arial"/>
          <w:lang w:val="es-ES" w:eastAsia="es-ES"/>
        </w:rPr>
      </w:pPr>
    </w:p>
    <w:p w14:paraId="47D495B0" w14:textId="3307B0D5" w:rsidR="00EF65B3" w:rsidRPr="009852D7" w:rsidRDefault="00EF65B3" w:rsidP="00EF65B3">
      <w:pPr>
        <w:spacing w:after="0" w:line="240" w:lineRule="auto"/>
        <w:jc w:val="both"/>
        <w:rPr>
          <w:rFonts w:ascii="Verdana" w:eastAsia="Calibri" w:hAnsi="Verdana" w:cs="Arial"/>
          <w:lang w:val="es-ES" w:eastAsia="es-ES"/>
        </w:rPr>
      </w:pPr>
      <w:r w:rsidRPr="009852D7">
        <w:rPr>
          <w:rFonts w:ascii="Verdana" w:eastAsia="Calibri" w:hAnsi="Verdana" w:cs="Arial"/>
          <w:lang w:val="es-ES" w:eastAsia="es-ES"/>
        </w:rPr>
        <w:t>Señor</w:t>
      </w:r>
    </w:p>
    <w:p w14:paraId="417F4ABE" w14:textId="0A9591B9" w:rsidR="00EF65B3" w:rsidRPr="009852D7" w:rsidRDefault="00EF65B3" w:rsidP="00EF65B3">
      <w:pPr>
        <w:spacing w:after="0" w:line="240" w:lineRule="auto"/>
        <w:rPr>
          <w:rFonts w:ascii="Verdana" w:eastAsia="Calibri" w:hAnsi="Verdana" w:cs="Arial"/>
          <w:b/>
          <w:lang w:val="es-ES_tradnl" w:eastAsia="es-ES_tradnl"/>
        </w:rPr>
      </w:pPr>
      <w:r w:rsidRPr="009852D7">
        <w:rPr>
          <w:rFonts w:ascii="Verdana" w:eastAsia="Calibri" w:hAnsi="Verdana" w:cs="Arial"/>
          <w:b/>
          <w:lang w:val="es-ES_tradnl" w:eastAsia="es-ES_tradnl"/>
        </w:rPr>
        <w:t xml:space="preserve">Juan Pablo Bernal Moncada   </w:t>
      </w:r>
    </w:p>
    <w:p w14:paraId="4B6331A4" w14:textId="77777777" w:rsidR="00EF65B3" w:rsidRPr="009852D7" w:rsidRDefault="00EF65B3" w:rsidP="00EF65B3">
      <w:pPr>
        <w:spacing w:after="0" w:line="240" w:lineRule="auto"/>
        <w:rPr>
          <w:rFonts w:ascii="Verdana" w:eastAsia="Calibri" w:hAnsi="Verdana" w:cs="Arial"/>
          <w:u w:val="single"/>
          <w:lang w:val="es-ES" w:eastAsia="es-ES"/>
        </w:rPr>
      </w:pPr>
      <w:r w:rsidRPr="009852D7">
        <w:rPr>
          <w:rFonts w:ascii="Verdana" w:eastAsia="Calibri" w:hAnsi="Verdana" w:cs="Arial"/>
          <w:lang w:val="es-ES" w:eastAsia="es-ES"/>
        </w:rPr>
        <w:t>Objetor4@gmail.com</w:t>
      </w:r>
      <w:r w:rsidRPr="009852D7">
        <w:rPr>
          <w:rFonts w:ascii="Verdana" w:eastAsia="Calibri" w:hAnsi="Verdana" w:cs="Arial"/>
          <w:u w:val="single"/>
          <w:lang w:val="es-ES" w:eastAsia="es-ES"/>
        </w:rPr>
        <w:t xml:space="preserve"> </w:t>
      </w:r>
    </w:p>
    <w:p w14:paraId="37743985" w14:textId="77777777" w:rsidR="00EF65B3" w:rsidRPr="009852D7" w:rsidRDefault="00EF65B3" w:rsidP="00EF65B3">
      <w:pPr>
        <w:spacing w:after="0" w:line="240" w:lineRule="auto"/>
        <w:rPr>
          <w:rFonts w:ascii="Verdana" w:eastAsia="Calibri" w:hAnsi="Verdana" w:cs="Arial"/>
          <w:b/>
          <w:bCs/>
          <w:lang w:val="es-ES" w:eastAsia="es-ES"/>
        </w:rPr>
      </w:pPr>
      <w:r w:rsidRPr="009852D7">
        <w:rPr>
          <w:rFonts w:ascii="Verdana" w:eastAsia="Calibri" w:hAnsi="Verdana" w:cs="Arial"/>
          <w:lang w:val="es-ES" w:eastAsia="es-ES"/>
        </w:rPr>
        <w:t>Fuente de Oro, Meta</w:t>
      </w:r>
    </w:p>
    <w:p w14:paraId="00CF6E19" w14:textId="77777777" w:rsidR="00EF65B3" w:rsidRPr="009852D7" w:rsidRDefault="00EF65B3" w:rsidP="00EF65B3">
      <w:pPr>
        <w:spacing w:after="0" w:line="240" w:lineRule="auto"/>
        <w:rPr>
          <w:rFonts w:ascii="Verdana" w:eastAsia="Calibri" w:hAnsi="Verdana" w:cs="Arial"/>
          <w:b/>
          <w:bCs/>
          <w:lang w:val="es-ES_tradnl" w:eastAsia="es-ES_tradnl"/>
        </w:rPr>
      </w:pPr>
    </w:p>
    <w:p w14:paraId="30BF7333" w14:textId="77777777" w:rsidR="00EF65B3" w:rsidRPr="009852D7" w:rsidRDefault="00EF65B3" w:rsidP="00EF65B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F65B3" w:rsidRPr="009852D7" w14:paraId="7D7B98FD" w14:textId="77777777" w:rsidTr="00C63A15">
        <w:trPr>
          <w:trHeight w:val="204"/>
        </w:trPr>
        <w:tc>
          <w:tcPr>
            <w:tcW w:w="2689" w:type="dxa"/>
          </w:tcPr>
          <w:p w14:paraId="3BB33542" w14:textId="77777777" w:rsidR="00EF65B3" w:rsidRPr="009852D7" w:rsidRDefault="00EF65B3" w:rsidP="00C63A15">
            <w:pPr>
              <w:jc w:val="both"/>
              <w:rPr>
                <w:rFonts w:ascii="Verdana" w:eastAsia="Calibri" w:hAnsi="Verdana" w:cs="Arial"/>
                <w:b/>
                <w:bCs/>
                <w:lang w:val="es-ES_tradnl" w:eastAsia="es-ES_tradnl"/>
              </w:rPr>
            </w:pPr>
          </w:p>
        </w:tc>
        <w:tc>
          <w:tcPr>
            <w:tcW w:w="6100" w:type="dxa"/>
          </w:tcPr>
          <w:p w14:paraId="650F0020" w14:textId="77777777" w:rsidR="00EF65B3" w:rsidRPr="009852D7" w:rsidRDefault="00EF65B3" w:rsidP="00C63A15">
            <w:pPr>
              <w:jc w:val="both"/>
              <w:rPr>
                <w:rFonts w:ascii="Verdana" w:eastAsia="Calibri" w:hAnsi="Verdana" w:cs="Arial"/>
                <w:b/>
                <w:bCs/>
                <w:lang w:val="es-ES" w:eastAsia="es-ES"/>
              </w:rPr>
            </w:pPr>
            <w:r w:rsidRPr="009852D7">
              <w:rPr>
                <w:rFonts w:ascii="Verdana" w:eastAsia="Calibri" w:hAnsi="Verdana" w:cs="Arial"/>
                <w:b/>
                <w:bCs/>
                <w:lang w:val="es-ES" w:eastAsia="es-ES"/>
              </w:rPr>
              <w:t>Concepto C-</w:t>
            </w:r>
            <w:r>
              <w:rPr>
                <w:rFonts w:ascii="Verdana" w:eastAsia="Calibri" w:hAnsi="Verdana" w:cs="Arial"/>
                <w:b/>
                <w:bCs/>
                <w:lang w:val="es-ES" w:eastAsia="es-ES"/>
              </w:rPr>
              <w:t>546</w:t>
            </w:r>
            <w:r w:rsidRPr="009852D7">
              <w:rPr>
                <w:rFonts w:ascii="Verdana" w:eastAsia="Calibri" w:hAnsi="Verdana" w:cs="Arial"/>
                <w:b/>
                <w:bCs/>
                <w:lang w:val="es-ES" w:eastAsia="es-ES"/>
              </w:rPr>
              <w:t xml:space="preserve"> de 2025</w:t>
            </w:r>
          </w:p>
          <w:p w14:paraId="0B84B760" w14:textId="77777777" w:rsidR="00EF65B3" w:rsidRPr="009852D7" w:rsidRDefault="00EF65B3" w:rsidP="00C63A15">
            <w:pPr>
              <w:jc w:val="both"/>
              <w:rPr>
                <w:rFonts w:ascii="Verdana" w:eastAsia="Calibri" w:hAnsi="Verdana" w:cs="Arial"/>
                <w:b/>
                <w:bCs/>
                <w:lang w:val="es-ES" w:eastAsia="es-ES"/>
              </w:rPr>
            </w:pPr>
          </w:p>
        </w:tc>
      </w:tr>
      <w:tr w:rsidR="00EF65B3" w:rsidRPr="009852D7" w14:paraId="3606FED0" w14:textId="77777777" w:rsidTr="00C63A15">
        <w:trPr>
          <w:trHeight w:val="884"/>
        </w:trPr>
        <w:tc>
          <w:tcPr>
            <w:tcW w:w="2689" w:type="dxa"/>
          </w:tcPr>
          <w:p w14:paraId="09A92E2E" w14:textId="77777777" w:rsidR="00EF65B3" w:rsidRPr="009852D7" w:rsidRDefault="00EF65B3" w:rsidP="00C63A15">
            <w:pPr>
              <w:jc w:val="both"/>
              <w:rPr>
                <w:rFonts w:ascii="Verdana" w:eastAsia="Calibri" w:hAnsi="Verdana" w:cs="Arial"/>
                <w:lang w:val="es-ES_tradnl" w:eastAsia="es-ES_tradnl"/>
              </w:rPr>
            </w:pPr>
            <w:r w:rsidRPr="009852D7">
              <w:rPr>
                <w:rFonts w:ascii="Verdana" w:eastAsia="Calibri" w:hAnsi="Verdana" w:cs="Arial"/>
                <w:b/>
                <w:lang w:val="es-ES_tradnl" w:eastAsia="es-ES_tradnl"/>
              </w:rPr>
              <w:t>Temas:</w:t>
            </w:r>
            <w:r w:rsidRPr="009852D7">
              <w:rPr>
                <w:rFonts w:ascii="Verdana" w:eastAsia="Calibri" w:hAnsi="Verdana" w:cs="Arial"/>
                <w:lang w:val="es-ES_tradnl" w:eastAsia="es-ES_tradnl"/>
              </w:rPr>
              <w:t xml:space="preserve">                   </w:t>
            </w:r>
          </w:p>
        </w:tc>
        <w:tc>
          <w:tcPr>
            <w:tcW w:w="6100" w:type="dxa"/>
          </w:tcPr>
          <w:p w14:paraId="28BB570B" w14:textId="71FF985B" w:rsidR="00EF65B3" w:rsidRPr="003F4E1D" w:rsidRDefault="00EF65B3" w:rsidP="00C63A15">
            <w:pPr>
              <w:jc w:val="both"/>
              <w:rPr>
                <w:rFonts w:ascii="Verdana" w:eastAsia="Calibri" w:hAnsi="Verdana" w:cs="Arial"/>
                <w:color w:val="000000"/>
                <w:kern w:val="2"/>
                <w14:ligatures w14:val="standardContextual"/>
              </w:rPr>
            </w:pPr>
            <w:r w:rsidRPr="009852D7">
              <w:rPr>
                <w:rFonts w:ascii="Verdana" w:eastAsia="Calibri" w:hAnsi="Verdana" w:cs="Arial"/>
                <w:color w:val="000000"/>
                <w:kern w:val="2"/>
                <w14:ligatures w14:val="standardContextual"/>
              </w:rPr>
              <w:t>INHABILIDADES E INCOMPATIBILIDADES – Concepto – Principio de legalidad – Interpretación restrictiva / CONFLICTOS DE INTERES – Verificación de cada caso en concreto</w:t>
            </w:r>
          </w:p>
        </w:tc>
      </w:tr>
      <w:tr w:rsidR="00EF65B3" w:rsidRPr="009852D7" w14:paraId="462CC5F2" w14:textId="77777777" w:rsidTr="00C63A15">
        <w:tc>
          <w:tcPr>
            <w:tcW w:w="2689" w:type="dxa"/>
          </w:tcPr>
          <w:p w14:paraId="456A45C8" w14:textId="77777777" w:rsidR="00EF65B3" w:rsidRPr="009852D7" w:rsidRDefault="00EF65B3" w:rsidP="00C63A15">
            <w:pPr>
              <w:jc w:val="both"/>
              <w:rPr>
                <w:rFonts w:ascii="Verdana" w:eastAsia="Calibri" w:hAnsi="Verdana" w:cs="Arial"/>
                <w:b/>
                <w:lang w:val="es-ES_tradnl" w:eastAsia="es-ES_tradnl"/>
              </w:rPr>
            </w:pPr>
            <w:r w:rsidRPr="009852D7">
              <w:rPr>
                <w:rFonts w:ascii="Verdana" w:eastAsia="Calibri" w:hAnsi="Verdana" w:cs="Arial"/>
                <w:b/>
                <w:lang w:val="es-ES_tradnl" w:eastAsia="es-ES_tradnl"/>
              </w:rPr>
              <w:t>Radicación:</w:t>
            </w:r>
            <w:r w:rsidRPr="009852D7">
              <w:rPr>
                <w:rFonts w:ascii="Verdana" w:eastAsia="Calibri" w:hAnsi="Verdana" w:cs="Arial"/>
                <w:lang w:val="es-ES_tradnl" w:eastAsia="es-ES_tradnl"/>
              </w:rPr>
              <w:t xml:space="preserve">               </w:t>
            </w:r>
          </w:p>
        </w:tc>
        <w:tc>
          <w:tcPr>
            <w:tcW w:w="6100" w:type="dxa"/>
          </w:tcPr>
          <w:p w14:paraId="1903E9CB" w14:textId="77777777" w:rsidR="00EF65B3" w:rsidRPr="009852D7" w:rsidRDefault="00EF65B3" w:rsidP="00C63A15">
            <w:pPr>
              <w:jc w:val="both"/>
              <w:rPr>
                <w:rFonts w:ascii="Verdana" w:eastAsia="Calibri" w:hAnsi="Verdana" w:cs="Arial"/>
                <w:lang w:val="es-ES_tradnl" w:eastAsia="es-ES_tradnl"/>
              </w:rPr>
            </w:pPr>
            <w:r w:rsidRPr="009852D7">
              <w:rPr>
                <w:rFonts w:ascii="Verdana" w:eastAsia="Calibri" w:hAnsi="Verdana" w:cs="Arial"/>
                <w:lang w:val="es-ES_tradnl" w:eastAsia="es-ES_tradnl"/>
              </w:rPr>
              <w:t xml:space="preserve">Respuesta a consulta con radicado No. </w:t>
            </w:r>
            <w:r w:rsidRPr="009852D7">
              <w:rPr>
                <w:rFonts w:ascii="Verdana" w:eastAsia="Calibri" w:hAnsi="Verdana" w:cs="Arial"/>
                <w:lang w:eastAsia="es-ES_tradnl"/>
              </w:rPr>
              <w:t>P20250505004232</w:t>
            </w:r>
          </w:p>
        </w:tc>
      </w:tr>
    </w:tbl>
    <w:p w14:paraId="3EB2AD68" w14:textId="77777777" w:rsidR="00EF65B3" w:rsidRPr="009852D7" w:rsidRDefault="00EF65B3" w:rsidP="00EF65B3">
      <w:pPr>
        <w:spacing w:after="0" w:line="240" w:lineRule="auto"/>
        <w:jc w:val="both"/>
        <w:rPr>
          <w:rFonts w:ascii="Verdana" w:eastAsia="Calibri" w:hAnsi="Verdana" w:cs="Arial"/>
          <w:lang w:val="es-ES_tradnl" w:eastAsia="es-ES_tradnl"/>
        </w:rPr>
      </w:pPr>
    </w:p>
    <w:p w14:paraId="67B3361C" w14:textId="77777777" w:rsidR="00EF65B3" w:rsidRPr="009852D7" w:rsidRDefault="00EF65B3" w:rsidP="00EF65B3">
      <w:pPr>
        <w:spacing w:after="0" w:line="240" w:lineRule="auto"/>
        <w:jc w:val="both"/>
        <w:rPr>
          <w:rFonts w:ascii="Verdana" w:eastAsia="Calibri" w:hAnsi="Verdana" w:cs="Arial"/>
          <w:lang w:val="es-ES_tradnl" w:eastAsia="es-ES_tradnl"/>
        </w:rPr>
      </w:pPr>
    </w:p>
    <w:p w14:paraId="612FCD60" w14:textId="77777777" w:rsidR="00EF65B3" w:rsidRPr="009852D7" w:rsidRDefault="00EF65B3" w:rsidP="00EF65B3">
      <w:pPr>
        <w:spacing w:after="0" w:line="276" w:lineRule="auto"/>
        <w:jc w:val="both"/>
        <w:rPr>
          <w:rFonts w:ascii="Verdana" w:eastAsia="Calibri" w:hAnsi="Verdana" w:cs="Arial"/>
          <w:lang w:val="es-ES" w:eastAsia="es-ES"/>
        </w:rPr>
      </w:pPr>
      <w:r w:rsidRPr="009852D7">
        <w:rPr>
          <w:rFonts w:ascii="Verdana" w:eastAsia="Calibri" w:hAnsi="Verdana" w:cs="Arial"/>
          <w:lang w:val="es-ES" w:eastAsia="es-ES"/>
        </w:rPr>
        <w:t xml:space="preserve">Estimado señor Bernal: </w:t>
      </w:r>
    </w:p>
    <w:p w14:paraId="01E6C9B9" w14:textId="77777777" w:rsidR="00EF65B3" w:rsidRPr="009852D7" w:rsidRDefault="00EF65B3" w:rsidP="00EF65B3">
      <w:pPr>
        <w:tabs>
          <w:tab w:val="left" w:pos="3768"/>
        </w:tabs>
        <w:spacing w:after="0" w:line="276" w:lineRule="auto"/>
        <w:jc w:val="both"/>
        <w:rPr>
          <w:rFonts w:ascii="Verdana" w:eastAsia="Calibri" w:hAnsi="Verdana" w:cs="Arial"/>
          <w:lang w:val="es-ES" w:eastAsia="es-ES"/>
        </w:rPr>
      </w:pPr>
      <w:r w:rsidRPr="009852D7">
        <w:rPr>
          <w:rFonts w:ascii="Verdana" w:eastAsia="Calibri" w:hAnsi="Verdana" w:cs="Arial"/>
          <w:lang w:val="es-ES" w:eastAsia="es-ES"/>
        </w:rPr>
        <w:tab/>
      </w:r>
    </w:p>
    <w:p w14:paraId="0DD57CA0" w14:textId="77777777" w:rsidR="00EF65B3" w:rsidRPr="009852D7" w:rsidRDefault="00EF65B3" w:rsidP="00EF65B3">
      <w:pPr>
        <w:spacing w:after="0" w:line="276" w:lineRule="auto"/>
        <w:jc w:val="both"/>
        <w:rPr>
          <w:rFonts w:ascii="Verdana" w:eastAsia="Calibri" w:hAnsi="Verdana" w:cs="Arial"/>
          <w:lang w:val="es-ES" w:eastAsia="es-ES"/>
        </w:rPr>
      </w:pPr>
      <w:r w:rsidRPr="009852D7">
        <w:rPr>
          <w:rFonts w:ascii="Verdana" w:eastAsia="Calibri" w:hAnsi="Verdana" w:cs="Arial"/>
          <w:lang w:val="es-ES" w:eastAsia="es-ES"/>
        </w:rPr>
        <w:t xml:space="preserve">En ejercicio de la competencia otorgada por los </w:t>
      </w:r>
      <w:bookmarkStart w:id="1" w:name="_Hlk197333154"/>
      <w:r w:rsidRPr="009852D7">
        <w:rPr>
          <w:rFonts w:ascii="Verdana" w:eastAsia="Calibri" w:hAnsi="Verdana" w:cs="Arial"/>
          <w:lang w:val="es-ES" w:eastAsia="es-ES"/>
        </w:rPr>
        <w:t>artículos 3, numeral 5º, y 11, numeral 8º</w:t>
      </w:r>
      <w:bookmarkEnd w:id="1"/>
      <w:r w:rsidRPr="009852D7">
        <w:rPr>
          <w:rFonts w:ascii="Verdana" w:eastAsia="Calibri" w:hAnsi="Verdana" w:cs="Arial"/>
          <w:lang w:val="es-ES" w:eastAsia="es-ES"/>
        </w:rPr>
        <w:t xml:space="preserve">, del Decreto </w:t>
      </w:r>
      <w:bookmarkStart w:id="2" w:name="_Hlk197333145"/>
      <w:r w:rsidRPr="009852D7">
        <w:rPr>
          <w:rFonts w:ascii="Verdana" w:eastAsia="Calibri" w:hAnsi="Verdana" w:cs="Arial"/>
          <w:lang w:val="es-ES" w:eastAsia="es-ES"/>
        </w:rPr>
        <w:t>Ley 4170 de 2011</w:t>
      </w:r>
      <w:bookmarkEnd w:id="2"/>
      <w:r w:rsidRPr="009852D7">
        <w:rPr>
          <w:rFonts w:ascii="Verdana" w:eastAsia="Calibri" w:hAnsi="Verdana" w:cs="Arial"/>
          <w:lang w:val="es-ES" w:eastAsia="es-ES"/>
        </w:rPr>
        <w:t>,</w:t>
      </w:r>
      <w:r w:rsidRPr="009852D7">
        <w:rPr>
          <w:rFonts w:ascii="Verdana" w:eastAsia="Arial MT" w:hAnsi="Verdana" w:cs="Arial MT"/>
          <w:lang w:val="es-ES" w:eastAsia="es-ES"/>
        </w:rPr>
        <w:t xml:space="preserve"> </w:t>
      </w:r>
      <w:r w:rsidRPr="009852D7">
        <w:rPr>
          <w:rFonts w:ascii="Verdana" w:hAnsi="Verdana" w:cs="Arial"/>
        </w:rPr>
        <w:t xml:space="preserve">así como lo establecido en el artículo 4 de la Resolución 1707 de 2018 expedida por esta Entidad, </w:t>
      </w:r>
      <w:r w:rsidRPr="009852D7">
        <w:rPr>
          <w:rFonts w:ascii="Verdana" w:eastAsia="Calibri" w:hAnsi="Verdana" w:cs="Arial"/>
          <w:lang w:val="es-ES" w:eastAsia="es-ES"/>
        </w:rPr>
        <w:t>la Agencia Nacional de Contratación Pública – Colombia Compra Eficiente– responde su solicitud de consulta radicada ante el Departamento Administrativo de la Función Pública y remitid</w:t>
      </w:r>
      <w:r>
        <w:rPr>
          <w:rFonts w:ascii="Verdana" w:eastAsia="Calibri" w:hAnsi="Verdana" w:cs="Arial"/>
          <w:lang w:val="es-ES" w:eastAsia="es-ES"/>
        </w:rPr>
        <w:t xml:space="preserve">a </w:t>
      </w:r>
      <w:r w:rsidRPr="009852D7">
        <w:rPr>
          <w:rFonts w:ascii="Verdana" w:eastAsia="Calibri" w:hAnsi="Verdana" w:cs="Arial"/>
          <w:lang w:val="es-ES" w:eastAsia="es-ES"/>
        </w:rPr>
        <w:t xml:space="preserve">por competencia a esta Agencia el 2 de mayo de 2025, en la cual manifiesta lo siguiente: </w:t>
      </w:r>
    </w:p>
    <w:p w14:paraId="521AC55E" w14:textId="77777777" w:rsidR="00EF65B3" w:rsidRPr="009852D7" w:rsidRDefault="00EF65B3" w:rsidP="00EF65B3">
      <w:pPr>
        <w:pStyle w:val="Prrafodelista"/>
        <w:tabs>
          <w:tab w:val="left" w:pos="142"/>
          <w:tab w:val="left" w:pos="284"/>
        </w:tabs>
        <w:spacing w:after="0" w:line="276" w:lineRule="auto"/>
        <w:ind w:left="0"/>
        <w:jc w:val="both"/>
        <w:rPr>
          <w:rFonts w:ascii="Verdana" w:eastAsia="Century Gothic" w:hAnsi="Verdana" w:cs="Century Gothic"/>
          <w:b/>
          <w:bCs/>
        </w:rPr>
      </w:pPr>
    </w:p>
    <w:p w14:paraId="68127D50" w14:textId="77777777" w:rsidR="00EF65B3" w:rsidRPr="009852D7" w:rsidRDefault="00EF65B3" w:rsidP="00EF65B3">
      <w:pPr>
        <w:spacing w:after="0" w:line="240" w:lineRule="auto"/>
        <w:ind w:left="709" w:right="709"/>
        <w:jc w:val="both"/>
        <w:rPr>
          <w:rFonts w:ascii="Verdana" w:eastAsia="Century Gothic" w:hAnsi="Verdana" w:cs="Century Gothic"/>
          <w:sz w:val="20"/>
          <w:szCs w:val="20"/>
        </w:rPr>
      </w:pPr>
      <w:bookmarkStart w:id="3" w:name="_Hlk95313578"/>
      <w:r w:rsidRPr="009852D7">
        <w:rPr>
          <w:rFonts w:ascii="Verdana" w:eastAsia="Century Gothic" w:hAnsi="Verdana" w:cs="Century Gothic"/>
          <w:sz w:val="20"/>
          <w:szCs w:val="20"/>
          <w:lang w:val="es-ES"/>
        </w:rPr>
        <w:t>“</w:t>
      </w:r>
      <w:r w:rsidRPr="009852D7">
        <w:rPr>
          <w:rFonts w:ascii="Verdana" w:eastAsia="Century Gothic" w:hAnsi="Verdana" w:cs="Century Gothic"/>
          <w:sz w:val="20"/>
          <w:szCs w:val="20"/>
        </w:rPr>
        <w:t xml:space="preserve">¿Cuál es la normativa aplicable para resolver los conflictos de intereses de un contratista de prestación de servicios </w:t>
      </w:r>
      <w:proofErr w:type="gramStart"/>
      <w:r w:rsidRPr="009852D7">
        <w:rPr>
          <w:rFonts w:ascii="Verdana" w:eastAsia="Century Gothic" w:hAnsi="Verdana" w:cs="Century Gothic"/>
          <w:sz w:val="20"/>
          <w:szCs w:val="20"/>
        </w:rPr>
        <w:t>profesionales?.</w:t>
      </w:r>
      <w:proofErr w:type="gramEnd"/>
    </w:p>
    <w:p w14:paraId="285E61EC" w14:textId="77777777" w:rsidR="00EF65B3" w:rsidRPr="009852D7" w:rsidRDefault="00EF65B3" w:rsidP="00EF65B3">
      <w:pPr>
        <w:spacing w:after="0" w:line="240" w:lineRule="auto"/>
        <w:ind w:left="709" w:right="709"/>
        <w:jc w:val="both"/>
        <w:rPr>
          <w:rFonts w:ascii="Verdana" w:eastAsia="Century Gothic" w:hAnsi="Verdana" w:cs="Century Gothic"/>
          <w:sz w:val="20"/>
          <w:szCs w:val="20"/>
        </w:rPr>
      </w:pPr>
    </w:p>
    <w:p w14:paraId="47DF57E0" w14:textId="77777777" w:rsidR="00EF65B3" w:rsidRPr="009852D7" w:rsidRDefault="00EF65B3" w:rsidP="00EF65B3">
      <w:pPr>
        <w:spacing w:after="0" w:line="240" w:lineRule="auto"/>
        <w:ind w:left="709" w:right="709"/>
        <w:jc w:val="both"/>
        <w:rPr>
          <w:rFonts w:ascii="Verdana" w:eastAsia="Century Gothic" w:hAnsi="Verdana" w:cs="Century Gothic"/>
          <w:sz w:val="20"/>
          <w:szCs w:val="20"/>
        </w:rPr>
      </w:pPr>
      <w:r w:rsidRPr="009852D7">
        <w:rPr>
          <w:rFonts w:ascii="Verdana" w:eastAsia="Century Gothic" w:hAnsi="Verdana" w:cs="Century Gothic"/>
          <w:sz w:val="20"/>
          <w:szCs w:val="20"/>
        </w:rPr>
        <w:t xml:space="preserve">¿En caso de que un contratista de prestación de servicios profesionales que adelanta la defensa judicial del Municipio declare tener un conflicto de intereses: </w:t>
      </w:r>
    </w:p>
    <w:p w14:paraId="5E3B0E9B" w14:textId="77777777" w:rsidR="00EF65B3" w:rsidRPr="009852D7" w:rsidRDefault="00EF65B3" w:rsidP="00EF65B3">
      <w:pPr>
        <w:spacing w:after="0" w:line="240" w:lineRule="auto"/>
        <w:ind w:left="709" w:right="709"/>
        <w:jc w:val="both"/>
        <w:rPr>
          <w:rFonts w:ascii="Verdana" w:eastAsia="Century Gothic" w:hAnsi="Verdana" w:cs="Century Gothic"/>
          <w:sz w:val="20"/>
          <w:szCs w:val="20"/>
        </w:rPr>
      </w:pPr>
    </w:p>
    <w:p w14:paraId="1AAC2F2C" w14:textId="77777777" w:rsidR="00EF65B3" w:rsidRPr="009852D7" w:rsidRDefault="00EF65B3" w:rsidP="00EF65B3">
      <w:pPr>
        <w:spacing w:after="0" w:line="240" w:lineRule="auto"/>
        <w:ind w:left="709" w:right="709"/>
        <w:jc w:val="both"/>
        <w:rPr>
          <w:rFonts w:ascii="Verdana" w:eastAsia="Century Gothic" w:hAnsi="Verdana" w:cs="Century Gothic"/>
          <w:sz w:val="20"/>
          <w:szCs w:val="20"/>
          <w:lang w:val="es-ES"/>
        </w:rPr>
      </w:pPr>
      <w:r w:rsidRPr="009852D7">
        <w:rPr>
          <w:rFonts w:ascii="Verdana" w:eastAsia="Century Gothic" w:hAnsi="Verdana" w:cs="Century Gothic"/>
          <w:sz w:val="20"/>
          <w:szCs w:val="20"/>
        </w:rPr>
        <w:t xml:space="preserve">¿quién debe resolver el conflicto, el supervisor del contrato, el representante legal del Municipio o el Comité de Defensa y Conciliación? </w:t>
      </w:r>
      <w:r w:rsidRPr="009852D7">
        <w:rPr>
          <w:rFonts w:ascii="Verdana" w:eastAsia="Century Gothic" w:hAnsi="Verdana" w:cs="Century Gothic"/>
          <w:sz w:val="20"/>
          <w:szCs w:val="20"/>
          <w:lang w:val="es-ES"/>
        </w:rPr>
        <w:t xml:space="preserve"> </w:t>
      </w:r>
      <w:r w:rsidRPr="009852D7">
        <w:rPr>
          <w:rStyle w:val="normaltextrun"/>
          <w:rFonts w:ascii="Verdana" w:hAnsi="Verdana" w:cs="Arial"/>
          <w:sz w:val="20"/>
          <w:szCs w:val="20"/>
          <w:shd w:val="clear" w:color="auto" w:fill="FFFFFF"/>
          <w:lang w:val="es-ES"/>
        </w:rPr>
        <w:t>[…]</w:t>
      </w:r>
      <w:r w:rsidRPr="009852D7">
        <w:rPr>
          <w:rFonts w:ascii="Verdana" w:eastAsia="Century Gothic" w:hAnsi="Verdana" w:cs="Century Gothic"/>
          <w:sz w:val="20"/>
          <w:szCs w:val="20"/>
          <w:lang w:val="es-ES"/>
        </w:rPr>
        <w:t>”</w:t>
      </w:r>
      <w:bookmarkEnd w:id="3"/>
      <w:r w:rsidRPr="009852D7">
        <w:rPr>
          <w:rFonts w:ascii="Verdana" w:eastAsia="Century Gothic" w:hAnsi="Verdana" w:cs="Century Gothic"/>
          <w:sz w:val="20"/>
          <w:szCs w:val="20"/>
          <w:lang w:val="es-ES"/>
        </w:rPr>
        <w:t>.</w:t>
      </w:r>
    </w:p>
    <w:p w14:paraId="5A9A5CCF" w14:textId="77777777" w:rsidR="00EF65B3" w:rsidRPr="009852D7" w:rsidRDefault="00EF65B3" w:rsidP="00EF65B3">
      <w:pPr>
        <w:pStyle w:val="Prrafodelista"/>
        <w:tabs>
          <w:tab w:val="left" w:pos="142"/>
          <w:tab w:val="left" w:pos="284"/>
        </w:tabs>
        <w:spacing w:after="0" w:line="276" w:lineRule="auto"/>
        <w:ind w:left="0"/>
        <w:jc w:val="both"/>
        <w:rPr>
          <w:rFonts w:ascii="Verdana" w:eastAsia="Century Gothic" w:hAnsi="Verdana" w:cs="Century Gothic"/>
          <w:b/>
          <w:bCs/>
        </w:rPr>
      </w:pPr>
    </w:p>
    <w:p w14:paraId="6EE76962" w14:textId="77777777" w:rsidR="00EF65B3" w:rsidRPr="009852D7" w:rsidRDefault="00EF65B3" w:rsidP="00EF65B3">
      <w:pPr>
        <w:spacing w:after="120" w:line="276" w:lineRule="auto"/>
        <w:ind w:firstLine="709"/>
        <w:jc w:val="both"/>
        <w:rPr>
          <w:rFonts w:ascii="Verdana" w:eastAsia="Calibri" w:hAnsi="Verdana" w:cs="Arial"/>
          <w:szCs w:val="24"/>
          <w:lang w:val="es-ES_tradnl" w:eastAsia="es-ES_tradnl"/>
        </w:rPr>
      </w:pPr>
      <w:r w:rsidRPr="009852D7">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852D7">
        <w:rPr>
          <w:rFonts w:ascii="Verdana" w:eastAsia="Calibri" w:hAnsi="Verdana" w:cs="Arial"/>
          <w:szCs w:val="24"/>
          <w:lang w:val="es-ES_tradnl" w:eastAsia="es-ES_tradnl"/>
        </w:rPr>
        <w:tab/>
      </w:r>
    </w:p>
    <w:p w14:paraId="3EC2BBEE" w14:textId="77777777" w:rsidR="00EF65B3" w:rsidRPr="009852D7" w:rsidRDefault="00EF65B3" w:rsidP="00EF65B3">
      <w:pPr>
        <w:spacing w:after="0" w:line="276" w:lineRule="auto"/>
        <w:ind w:firstLine="709"/>
        <w:jc w:val="both"/>
        <w:rPr>
          <w:rFonts w:ascii="Verdana" w:eastAsia="Calibri" w:hAnsi="Verdana" w:cs="Arial"/>
          <w:lang w:val="es-ES" w:eastAsia="es-ES"/>
        </w:rPr>
      </w:pPr>
      <w:r w:rsidRPr="009852D7">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4FB05F85" w14:textId="77777777" w:rsidR="00EF65B3" w:rsidRPr="009852D7" w:rsidRDefault="00EF65B3" w:rsidP="00EF65B3">
      <w:pPr>
        <w:spacing w:after="0" w:line="276" w:lineRule="auto"/>
        <w:ind w:firstLine="709"/>
        <w:jc w:val="both"/>
        <w:rPr>
          <w:rFonts w:ascii="Verdana" w:eastAsia="Calibri" w:hAnsi="Verdana" w:cs="Arial"/>
          <w:lang w:val="es-ES" w:eastAsia="es-ES"/>
        </w:rPr>
      </w:pPr>
    </w:p>
    <w:p w14:paraId="3C4D44C9" w14:textId="77777777" w:rsidR="00EF65B3" w:rsidRPr="009852D7" w:rsidRDefault="00EF65B3" w:rsidP="00EF65B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852D7">
        <w:rPr>
          <w:rFonts w:ascii="Verdana" w:eastAsia="Century Gothic" w:hAnsi="Verdana" w:cs="Century Gothic"/>
          <w:b/>
          <w:bCs/>
        </w:rPr>
        <w:t>Problema planteado:</w:t>
      </w:r>
    </w:p>
    <w:p w14:paraId="7B54BA31" w14:textId="77777777" w:rsidR="00EF65B3" w:rsidRPr="009852D7" w:rsidRDefault="00EF65B3" w:rsidP="00EF65B3">
      <w:pPr>
        <w:tabs>
          <w:tab w:val="left" w:pos="426"/>
        </w:tabs>
        <w:spacing w:after="0" w:line="276" w:lineRule="auto"/>
        <w:jc w:val="both"/>
        <w:rPr>
          <w:rFonts w:ascii="Verdana" w:eastAsia="Century Gothic" w:hAnsi="Verdana" w:cs="Century Gothic"/>
          <w:lang w:val="es-ES"/>
        </w:rPr>
      </w:pPr>
    </w:p>
    <w:p w14:paraId="7C77EE92" w14:textId="73656FA6" w:rsidR="00EF65B3" w:rsidRPr="009852D7" w:rsidRDefault="00EF65B3" w:rsidP="00EF65B3">
      <w:pPr>
        <w:jc w:val="both"/>
        <w:rPr>
          <w:rFonts w:ascii="Verdana" w:eastAsia="Century Gothic" w:hAnsi="Verdana" w:cs="Century Gothic"/>
        </w:rPr>
      </w:pPr>
      <w:r w:rsidRPr="009852D7">
        <w:rPr>
          <w:rFonts w:ascii="Verdana" w:eastAsia="Century Gothic" w:hAnsi="Verdana" w:cs="Century Gothic"/>
        </w:rPr>
        <w:t xml:space="preserve">De acuerdo con el contenido de su solicitud, esta Agencia resolverá el siguiente problema jurídico: ¿Cuál es la normativa aplicable y quién es la autoridad competente para identificar, declarar y resolver un conflicto de intereses manifestado por un contratista de servicios profesionales que adelanta la defensa judicial de </w:t>
      </w:r>
      <w:r w:rsidRPr="55FF608C">
        <w:rPr>
          <w:rFonts w:ascii="Verdana" w:eastAsia="Century Gothic" w:hAnsi="Verdana" w:cs="Century Gothic"/>
        </w:rPr>
        <w:t>un</w:t>
      </w:r>
      <w:r w:rsidR="714905AA" w:rsidRPr="55FF608C">
        <w:rPr>
          <w:rFonts w:ascii="Verdana" w:eastAsia="Century Gothic" w:hAnsi="Verdana" w:cs="Century Gothic"/>
        </w:rPr>
        <w:t>a</w:t>
      </w:r>
      <w:r w:rsidRPr="55FF608C">
        <w:rPr>
          <w:rFonts w:ascii="Verdana" w:eastAsia="Century Gothic" w:hAnsi="Verdana" w:cs="Century Gothic"/>
        </w:rPr>
        <w:t xml:space="preserve"> </w:t>
      </w:r>
      <w:r w:rsidR="398EA3DC" w:rsidRPr="55FF608C">
        <w:rPr>
          <w:rFonts w:ascii="Verdana" w:eastAsia="Century Gothic" w:hAnsi="Verdana" w:cs="Century Gothic"/>
        </w:rPr>
        <w:t xml:space="preserve">Entidad </w:t>
      </w:r>
      <w:proofErr w:type="gramStart"/>
      <w:r w:rsidR="398EA3DC" w:rsidRPr="55FF608C">
        <w:rPr>
          <w:rFonts w:ascii="Verdana" w:eastAsia="Century Gothic" w:hAnsi="Verdana" w:cs="Century Gothic"/>
        </w:rPr>
        <w:t>Estatal</w:t>
      </w:r>
      <w:r w:rsidRPr="009852D7">
        <w:rPr>
          <w:rFonts w:ascii="Verdana" w:eastAsia="Century Gothic" w:hAnsi="Verdana" w:cs="Century Gothic"/>
        </w:rPr>
        <w:t>?.</w:t>
      </w:r>
      <w:proofErr w:type="gramEnd"/>
    </w:p>
    <w:p w14:paraId="20085226" w14:textId="77777777" w:rsidR="00EF65B3" w:rsidRPr="009852D7" w:rsidRDefault="00EF65B3" w:rsidP="00EF65B3">
      <w:pPr>
        <w:jc w:val="both"/>
        <w:rPr>
          <w:rFonts w:ascii="Verdana" w:eastAsia="Century Gothic" w:hAnsi="Verdana" w:cs="Century Gothic"/>
        </w:rPr>
      </w:pPr>
    </w:p>
    <w:p w14:paraId="7A444010" w14:textId="77777777" w:rsidR="00EF65B3" w:rsidRPr="009852D7" w:rsidRDefault="00EF65B3" w:rsidP="00EF65B3">
      <w:pPr>
        <w:jc w:val="both"/>
        <w:rPr>
          <w:rFonts w:ascii="Verdana" w:eastAsia="Calibri" w:hAnsi="Verdana" w:cs="Arial"/>
          <w:lang w:val="es-ES"/>
        </w:rPr>
      </w:pPr>
    </w:p>
    <w:p w14:paraId="275A91DC" w14:textId="77777777" w:rsidR="00EF65B3" w:rsidRPr="009852D7" w:rsidRDefault="00EF65B3" w:rsidP="00EF65B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852D7">
        <w:rPr>
          <w:rFonts w:ascii="Verdana" w:eastAsia="Century Gothic" w:hAnsi="Verdana" w:cs="Century Gothic"/>
          <w:b/>
          <w:bCs/>
        </w:rPr>
        <w:t>Respuesta:</w:t>
      </w:r>
    </w:p>
    <w:p w14:paraId="589A7C10" w14:textId="77777777" w:rsidR="00EF65B3" w:rsidRPr="009852D7" w:rsidRDefault="00EF65B3" w:rsidP="00EF65B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F65B3" w:rsidRPr="009852D7" w14:paraId="56A31AF9" w14:textId="77777777" w:rsidTr="00C63A15">
        <w:tc>
          <w:tcPr>
            <w:tcW w:w="8828" w:type="dxa"/>
            <w:shd w:val="clear" w:color="auto" w:fill="auto"/>
          </w:tcPr>
          <w:p w14:paraId="3996552B" w14:textId="77777777" w:rsidR="00EF65B3" w:rsidRPr="009852D7" w:rsidRDefault="00EF65B3" w:rsidP="00C63A15">
            <w:pPr>
              <w:spacing w:after="120" w:line="276" w:lineRule="auto"/>
              <w:jc w:val="both"/>
              <w:rPr>
                <w:rFonts w:ascii="Verdana" w:eastAsia="Calibri" w:hAnsi="Verdana" w:cs="Arial"/>
              </w:rPr>
            </w:pPr>
            <w:r w:rsidRPr="009852D7">
              <w:rPr>
                <w:rFonts w:ascii="Verdana" w:eastAsia="Calibri" w:hAnsi="Verdana" w:cs="Arial"/>
              </w:rPr>
              <w:t xml:space="preserve">Es preciso señalar que el régimen de inhabilidades e incompatibilidades en la contratación estatal está regulado de manera taxativa por la Constitución y la ley, con el propósito de garantizar la moralidad, transparencia, imparcialidad e idoneidad en la función pública y la gestión contractual estatal. Estas restricciones, al afectar derechos fundamentales como el de la igualdad, el </w:t>
            </w:r>
            <w:r w:rsidRPr="009852D7">
              <w:rPr>
                <w:rFonts w:ascii="Verdana" w:eastAsia="Calibri" w:hAnsi="Verdana" w:cs="Arial"/>
              </w:rPr>
              <w:lastRenderedPageBreak/>
              <w:t>debido proceso y la libertad contractual, deben ser interpretadas de forma restrictiva y con sujeción estricta al principio de legalidad.</w:t>
            </w:r>
          </w:p>
          <w:p w14:paraId="574E26EA" w14:textId="77777777" w:rsidR="00EF65B3" w:rsidRPr="009852D7" w:rsidRDefault="00EF65B3" w:rsidP="00C63A15">
            <w:pPr>
              <w:widowControl w:val="0"/>
              <w:autoSpaceDE w:val="0"/>
              <w:autoSpaceDN w:val="0"/>
              <w:spacing w:after="120" w:line="276" w:lineRule="auto"/>
              <w:ind w:firstLine="709"/>
              <w:jc w:val="both"/>
              <w:rPr>
                <w:rFonts w:ascii="Verdana" w:eastAsia="Calibri" w:hAnsi="Verdana" w:cs="Arial"/>
              </w:rPr>
            </w:pPr>
            <w:r w:rsidRPr="009852D7">
              <w:rPr>
                <w:rFonts w:ascii="Verdana" w:eastAsia="Calibri" w:hAnsi="Verdana" w:cs="Arial"/>
              </w:rPr>
              <w:t xml:space="preserve">En el marco de la contratación estatal, las figuras de la incompatibilidad y el conflicto de interés cumplen una función esencial de garantía para la moralidad, la transparencia y la imparcialidad en la gestión pública. Las incompatibilidades son prohibiciones de origen legal que impiden a una persona ejercer simultáneamente ciertos cargos, funciones o contratos, cuando su coexistencia pueda comprometer el interés público. Estas se encuentran reguladas de forma expresa en la Constitución Política, la Ley 80 de 1993, la Ley 734 de 2002 (Código Disciplinario), la Ley 1150 de 2007 y normas complementarias, y su configuración requiere una estricta sujeción al principio de legalidad. Por su parte, el conflicto de </w:t>
            </w:r>
            <w:r>
              <w:rPr>
                <w:rFonts w:ascii="Verdana" w:eastAsia="Calibri" w:hAnsi="Verdana" w:cs="Arial"/>
              </w:rPr>
              <w:t>m</w:t>
            </w:r>
            <w:r>
              <w:rPr>
                <w:rFonts w:eastAsia="Calibri"/>
              </w:rPr>
              <w:t>.</w:t>
            </w:r>
            <w:r w:rsidRPr="009852D7">
              <w:rPr>
                <w:rFonts w:ascii="Verdana" w:eastAsia="Calibri" w:hAnsi="Verdana" w:cs="Arial"/>
              </w:rPr>
              <w:t xml:space="preserve"> no exige una prohibición legal previa, sino que se presenta cuando una persona —ya sea servidor público o contratista— se encuentra en una situación en la que sus intereses personales, familiares o económicos pueden influir o entrar en tensión con el cumplimiento de sus deberes públicos. A diferencia de la incompatibilidad, el conflicto de interés exige un análisis casuístico, enfocado en prevenir que decisiones públicas se vean orientadas por intereses particulares. Si no es gestionado adecuadamente, puede comprometer gravemente principios constitucionales como la moralidad administrativa, la transparencia y la eficiencia. </w:t>
            </w:r>
          </w:p>
          <w:p w14:paraId="6C37C61B" w14:textId="77777777" w:rsidR="00EF65B3" w:rsidRPr="009852D7" w:rsidRDefault="00EF65B3" w:rsidP="00C63A15">
            <w:pPr>
              <w:widowControl w:val="0"/>
              <w:autoSpaceDE w:val="0"/>
              <w:autoSpaceDN w:val="0"/>
              <w:spacing w:after="120" w:line="276" w:lineRule="auto"/>
              <w:ind w:firstLine="709"/>
              <w:jc w:val="both"/>
              <w:rPr>
                <w:rFonts w:ascii="Verdana" w:hAnsi="Verdana"/>
              </w:rPr>
            </w:pPr>
            <w:r w:rsidRPr="009852D7">
              <w:rPr>
                <w:rFonts w:ascii="Verdana" w:hAnsi="Verdana"/>
              </w:rPr>
              <w:t>Ahora bien, La Ley 734 de 2002 (Código Disciplinario Único) y la Ley 1150 de 2007 refuerzan la obligación de probidad y moralidad en la función pública. En este sentido, la identificación y manifestación del conflicto de interés corresponde directamente a la persona que se encuentra en dicha situación, quien debe informar oportunamente a la autoridad competente y abstenerse de intervenir en decisiones relacionadas mientras no se resuelva el conflicto conforme a la ley.</w:t>
            </w:r>
          </w:p>
          <w:p w14:paraId="32B7F79D" w14:textId="77777777" w:rsidR="00EF65B3" w:rsidRPr="009852D7" w:rsidRDefault="00EF65B3" w:rsidP="00C63A15">
            <w:pPr>
              <w:widowControl w:val="0"/>
              <w:autoSpaceDE w:val="0"/>
              <w:autoSpaceDN w:val="0"/>
              <w:spacing w:after="120" w:line="276" w:lineRule="auto"/>
              <w:ind w:firstLine="709"/>
              <w:jc w:val="both"/>
              <w:rPr>
                <w:rFonts w:ascii="Verdana" w:eastAsia="Calibri" w:hAnsi="Verdana" w:cs="Arial"/>
              </w:rPr>
            </w:pPr>
            <w:r w:rsidRPr="009852D7">
              <w:rPr>
                <w:rFonts w:ascii="Verdana" w:hAnsi="Verdana"/>
              </w:rPr>
              <w:t xml:space="preserve"> Respecto a la competencia para resolver un eventual conflicto de intereses, la misma corresponde al servidor público que, de acuerdo con la estructura organizacional de la entidad y lo establecido en su manual de funciones y procedimientos, tenga atribuida dicha facultad. Esta determinación debe adoptarse en armonía con el deber de la entidad contratante de garantizar el cumplimiento de los principios de transparencia, moralidad y probidad en el desarrollo del proceso contractual, conforme a lo dispuesto en </w:t>
            </w:r>
            <w:r w:rsidRPr="009852D7">
              <w:rPr>
                <w:rFonts w:ascii="Verdana" w:hAnsi="Verdana"/>
              </w:rPr>
              <w:lastRenderedPageBreak/>
              <w:t>el ordenamiento jurídico vigente.</w:t>
            </w:r>
          </w:p>
        </w:tc>
      </w:tr>
    </w:tbl>
    <w:p w14:paraId="4A4EB399" w14:textId="77777777" w:rsidR="00EF65B3" w:rsidRPr="009852D7" w:rsidRDefault="00EF65B3" w:rsidP="00EF65B3">
      <w:pPr>
        <w:tabs>
          <w:tab w:val="left" w:pos="142"/>
          <w:tab w:val="left" w:pos="284"/>
        </w:tabs>
        <w:spacing w:after="0" w:line="276" w:lineRule="auto"/>
        <w:jc w:val="both"/>
        <w:rPr>
          <w:rFonts w:ascii="Verdana" w:eastAsia="Century Gothic" w:hAnsi="Verdana" w:cs="Century Gothic"/>
          <w:b/>
          <w:bCs/>
          <w:lang w:val="es-ES"/>
        </w:rPr>
      </w:pPr>
    </w:p>
    <w:p w14:paraId="484CD910" w14:textId="77777777" w:rsidR="00EF65B3" w:rsidRPr="009852D7" w:rsidRDefault="00EF65B3" w:rsidP="00EF65B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852D7">
        <w:rPr>
          <w:rFonts w:ascii="Verdana" w:eastAsia="Century Gothic" w:hAnsi="Verdana" w:cs="Century Gothic"/>
          <w:b/>
          <w:bCs/>
        </w:rPr>
        <w:t>Razones de la respuesta:</w:t>
      </w:r>
    </w:p>
    <w:p w14:paraId="4730048B" w14:textId="77777777" w:rsidR="00EF65B3" w:rsidRPr="009852D7" w:rsidRDefault="00EF65B3" w:rsidP="00EF65B3">
      <w:pPr>
        <w:spacing w:after="0" w:line="276" w:lineRule="auto"/>
        <w:jc w:val="both"/>
        <w:rPr>
          <w:rFonts w:ascii="Verdana" w:eastAsia="Calibri" w:hAnsi="Verdana" w:cs="Arial"/>
          <w:lang w:val="es-ES"/>
        </w:rPr>
      </w:pPr>
    </w:p>
    <w:p w14:paraId="182B1826" w14:textId="77777777" w:rsidR="00EF65B3" w:rsidRPr="009852D7" w:rsidRDefault="00EF65B3" w:rsidP="00EF65B3">
      <w:pPr>
        <w:spacing w:after="0" w:line="276" w:lineRule="auto"/>
        <w:jc w:val="both"/>
        <w:rPr>
          <w:rFonts w:ascii="Verdana" w:eastAsia="Calibri" w:hAnsi="Verdana" w:cs="Arial"/>
          <w:lang w:val="es-ES"/>
        </w:rPr>
      </w:pPr>
      <w:r w:rsidRPr="009852D7">
        <w:rPr>
          <w:rFonts w:ascii="Verdana" w:eastAsia="Calibri" w:hAnsi="Verdana" w:cs="Arial"/>
          <w:lang w:val="es-ES"/>
        </w:rPr>
        <w:t xml:space="preserve">Lo anterior se sustenta en las siguientes consideraciones: </w:t>
      </w:r>
    </w:p>
    <w:p w14:paraId="484A2081" w14:textId="77777777" w:rsidR="00EF65B3" w:rsidRPr="009852D7" w:rsidRDefault="00EF65B3" w:rsidP="00EF65B3">
      <w:pPr>
        <w:spacing w:after="0" w:line="276" w:lineRule="auto"/>
        <w:jc w:val="both"/>
        <w:rPr>
          <w:rFonts w:ascii="Verdana" w:eastAsia="Calibri" w:hAnsi="Verdana" w:cs="Arial"/>
          <w:lang w:val="es-ES"/>
        </w:rPr>
      </w:pPr>
    </w:p>
    <w:p w14:paraId="5ECDBF44" w14:textId="77777777" w:rsidR="00EF65B3" w:rsidRPr="009852D7" w:rsidRDefault="00EF65B3" w:rsidP="00EF65B3">
      <w:pPr>
        <w:widowControl w:val="0"/>
        <w:autoSpaceDE w:val="0"/>
        <w:autoSpaceDN w:val="0"/>
        <w:spacing w:after="0" w:line="276" w:lineRule="auto"/>
        <w:jc w:val="both"/>
        <w:rPr>
          <w:rFonts w:ascii="Verdana" w:eastAsia="Calibri" w:hAnsi="Verdana" w:cs="Arial"/>
          <w:lang w:val="es-ES"/>
        </w:rPr>
      </w:pPr>
      <w:r w:rsidRPr="02F7D507">
        <w:rPr>
          <w:rFonts w:ascii="Verdana" w:eastAsia="Calibri" w:hAnsi="Verdana" w:cs="Arial"/>
          <w:lang w:val="es-ES"/>
        </w:rPr>
        <w:t>En primer lugar, sobre la normativa aplicable para resolver los conflictos de intereses de un contratista de prestación de servicios, es preciso primero abordar lo referente a  las inhabilidades, las cuales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162F7BB5" w14:textId="77777777" w:rsidR="00EF65B3" w:rsidRPr="009852D7" w:rsidRDefault="00EF65B3" w:rsidP="00EF65B3">
      <w:pPr>
        <w:widowControl w:val="0"/>
        <w:autoSpaceDE w:val="0"/>
        <w:autoSpaceDN w:val="0"/>
        <w:spacing w:after="0" w:line="276" w:lineRule="auto"/>
        <w:jc w:val="both"/>
        <w:rPr>
          <w:rFonts w:ascii="Verdana" w:eastAsia="Calibri" w:hAnsi="Verdana" w:cs="Arial"/>
          <w:lang w:val="es-ES_tradnl"/>
        </w:rPr>
      </w:pPr>
    </w:p>
    <w:p w14:paraId="36A986BA" w14:textId="77777777" w:rsidR="00EF65B3" w:rsidRPr="009852D7" w:rsidRDefault="00EF65B3" w:rsidP="00EF65B3">
      <w:pPr>
        <w:widowControl w:val="0"/>
        <w:autoSpaceDE w:val="0"/>
        <w:autoSpaceDN w:val="0"/>
        <w:spacing w:after="0" w:line="276" w:lineRule="auto"/>
        <w:ind w:firstLine="708"/>
        <w:jc w:val="both"/>
        <w:rPr>
          <w:rFonts w:ascii="Verdana" w:eastAsia="Calibri" w:hAnsi="Verdana" w:cs="Arial"/>
          <w:lang w:val="es-ES_tradnl"/>
        </w:rPr>
      </w:pPr>
      <w:r w:rsidRPr="009852D7">
        <w:rPr>
          <w:rFonts w:ascii="Verdana" w:eastAsia="Calibri" w:hAnsi="Verdana" w:cs="Arial"/>
          <w:lang w:val="es-ES_tradnl"/>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9852D7">
        <w:rPr>
          <w:rStyle w:val="Refdenotaalpie"/>
          <w:rFonts w:ascii="Verdana" w:eastAsia="Calibri" w:hAnsi="Verdana" w:cs="Arial"/>
          <w:lang w:val="es-ES_tradnl"/>
        </w:rPr>
        <w:footnoteReference w:id="2"/>
      </w:r>
    </w:p>
    <w:p w14:paraId="20A25B59" w14:textId="77777777" w:rsidR="00EF65B3" w:rsidRPr="009852D7" w:rsidRDefault="00EF65B3" w:rsidP="00EF65B3">
      <w:pPr>
        <w:widowControl w:val="0"/>
        <w:autoSpaceDE w:val="0"/>
        <w:autoSpaceDN w:val="0"/>
        <w:spacing w:after="0" w:line="276" w:lineRule="auto"/>
        <w:jc w:val="both"/>
        <w:rPr>
          <w:rFonts w:ascii="Verdana" w:eastAsia="Calibri" w:hAnsi="Verdana" w:cs="Arial"/>
          <w:lang w:val="es-ES_tradnl"/>
        </w:rPr>
      </w:pPr>
      <w:r w:rsidRPr="009852D7">
        <w:rPr>
          <w:rFonts w:ascii="Verdana" w:eastAsia="Calibri" w:hAnsi="Verdana" w:cs="Arial"/>
          <w:lang w:val="es-ES_tradnl"/>
        </w:rPr>
        <w:t xml:space="preserve"> </w:t>
      </w:r>
    </w:p>
    <w:p w14:paraId="0F972DA4" w14:textId="77777777" w:rsidR="00EF65B3" w:rsidRPr="009852D7" w:rsidRDefault="00EF65B3" w:rsidP="00EF65B3">
      <w:pPr>
        <w:widowControl w:val="0"/>
        <w:autoSpaceDE w:val="0"/>
        <w:autoSpaceDN w:val="0"/>
        <w:spacing w:after="0" w:line="276" w:lineRule="auto"/>
        <w:ind w:firstLine="708"/>
        <w:jc w:val="both"/>
        <w:rPr>
          <w:rFonts w:ascii="Verdana" w:eastAsia="Calibri" w:hAnsi="Verdana" w:cs="Arial"/>
          <w:lang w:val="es-ES_tradnl"/>
        </w:rPr>
      </w:pPr>
      <w:r w:rsidRPr="009852D7">
        <w:rPr>
          <w:rFonts w:ascii="Verdana" w:eastAsia="Calibri" w:hAnsi="Verdana" w:cs="Arial"/>
          <w:lang w:val="es-ES_tradnl"/>
        </w:rPr>
        <w:t xml:space="preserve">La consagración de limitaciones que afectan la capacidad jurídica para contratar desarrolla los principios de la función administrativa consagrados en el </w:t>
      </w:r>
      <w:bookmarkStart w:id="4" w:name="_Hlk197333194"/>
      <w:r w:rsidRPr="009852D7">
        <w:rPr>
          <w:rFonts w:ascii="Verdana" w:eastAsia="Calibri" w:hAnsi="Verdana" w:cs="Arial"/>
          <w:lang w:val="es-ES_tradnl"/>
        </w:rPr>
        <w:t>artículo 209</w:t>
      </w:r>
      <w:bookmarkEnd w:id="4"/>
      <w:r w:rsidRPr="009852D7">
        <w:rPr>
          <w:rFonts w:ascii="Verdana" w:eastAsia="Calibri" w:hAnsi="Verdana" w:cs="Arial"/>
          <w:lang w:val="es-ES_tradnl"/>
        </w:rPr>
        <w:t xml:space="preserve"> de la </w:t>
      </w:r>
      <w:bookmarkStart w:id="5" w:name="_Hlk197333187"/>
      <w:r w:rsidRPr="009852D7">
        <w:rPr>
          <w:rFonts w:ascii="Verdana" w:eastAsia="Calibri" w:hAnsi="Verdana" w:cs="Arial"/>
          <w:lang w:val="es-ES_tradnl"/>
        </w:rPr>
        <w:t>Constitución Política</w:t>
      </w:r>
      <w:bookmarkEnd w:id="5"/>
      <w:r w:rsidRPr="009852D7">
        <w:rPr>
          <w:rFonts w:ascii="Verdana" w:eastAsia="Calibri" w:hAnsi="Verdana" w:cs="Arial"/>
          <w:lang w:val="es-ES_tradnl"/>
        </w:rPr>
        <w:t xml:space="preserve">, con especial énfasis el de moralidad. Así lo entiende el Consejo de Estado: </w:t>
      </w:r>
    </w:p>
    <w:p w14:paraId="35BEAAEB" w14:textId="77777777" w:rsidR="00EF65B3" w:rsidRPr="009852D7" w:rsidRDefault="00EF65B3" w:rsidP="00EF65B3">
      <w:pPr>
        <w:widowControl w:val="0"/>
        <w:autoSpaceDE w:val="0"/>
        <w:autoSpaceDN w:val="0"/>
        <w:spacing w:after="0" w:line="276" w:lineRule="auto"/>
        <w:jc w:val="both"/>
        <w:rPr>
          <w:rFonts w:ascii="Verdana" w:eastAsia="Calibri" w:hAnsi="Verdana" w:cs="Arial"/>
          <w:lang w:val="es-ES_tradnl"/>
        </w:rPr>
      </w:pPr>
    </w:p>
    <w:p w14:paraId="6EAFD801" w14:textId="77777777" w:rsidR="00EF65B3" w:rsidRPr="009852D7" w:rsidRDefault="00EF65B3" w:rsidP="00EF65B3">
      <w:pPr>
        <w:widowControl w:val="0"/>
        <w:autoSpaceDE w:val="0"/>
        <w:autoSpaceDN w:val="0"/>
        <w:spacing w:after="0" w:line="240" w:lineRule="auto"/>
        <w:ind w:left="567" w:right="616"/>
        <w:jc w:val="both"/>
        <w:rPr>
          <w:rFonts w:ascii="Verdana" w:eastAsia="Calibri" w:hAnsi="Verdana" w:cs="Arial"/>
          <w:sz w:val="20"/>
          <w:szCs w:val="20"/>
          <w:lang w:val="es-ES_tradnl"/>
        </w:rPr>
      </w:pPr>
      <w:r w:rsidRPr="009852D7">
        <w:rPr>
          <w:rFonts w:ascii="Verdana" w:eastAsia="Calibri" w:hAnsi="Verdana" w:cs="Arial"/>
          <w:sz w:val="20"/>
          <w:szCs w:val="20"/>
          <w:lang w:val="es-ES_tradnl"/>
        </w:rPr>
        <w:t xml:space="preserve">“De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w:t>
      </w:r>
      <w:r w:rsidRPr="009852D7">
        <w:rPr>
          <w:rFonts w:ascii="Verdana" w:eastAsia="Calibri" w:hAnsi="Verdana" w:cs="Arial"/>
          <w:sz w:val="20"/>
          <w:szCs w:val="20"/>
          <w:lang w:val="es-ES_tradnl"/>
        </w:rPr>
        <w:lastRenderedPageBreak/>
        <w:t>Deber Ser, la Razón de Primer Orden en la cual se inspira, justifica y legitima la existencia de las normas que definen y regulan las inhabilidades e incompatibilidades.</w:t>
      </w:r>
    </w:p>
    <w:p w14:paraId="6AFE8803" w14:textId="77777777" w:rsidR="00EF65B3" w:rsidRPr="009852D7" w:rsidRDefault="00EF65B3" w:rsidP="00EF65B3">
      <w:pPr>
        <w:widowControl w:val="0"/>
        <w:autoSpaceDE w:val="0"/>
        <w:autoSpaceDN w:val="0"/>
        <w:spacing w:after="0" w:line="276" w:lineRule="auto"/>
        <w:ind w:left="567"/>
        <w:jc w:val="both"/>
        <w:rPr>
          <w:rFonts w:ascii="Verdana" w:eastAsia="Calibri" w:hAnsi="Verdana" w:cs="Arial"/>
          <w:lang w:val="es-ES_tradnl"/>
        </w:rPr>
      </w:pPr>
    </w:p>
    <w:p w14:paraId="41B4B96D" w14:textId="77777777" w:rsidR="00EF65B3" w:rsidRPr="009852D7" w:rsidRDefault="00EF65B3" w:rsidP="00EF65B3">
      <w:pPr>
        <w:widowControl w:val="0"/>
        <w:autoSpaceDE w:val="0"/>
        <w:autoSpaceDN w:val="0"/>
        <w:spacing w:after="0" w:line="240" w:lineRule="auto"/>
        <w:ind w:left="567" w:right="616"/>
        <w:jc w:val="both"/>
        <w:rPr>
          <w:rFonts w:ascii="Verdana" w:eastAsia="Calibri" w:hAnsi="Verdana" w:cs="Arial"/>
          <w:sz w:val="20"/>
          <w:szCs w:val="20"/>
          <w:lang w:val="es-ES_tradnl"/>
        </w:rPr>
      </w:pPr>
      <w:r w:rsidRPr="009852D7">
        <w:rPr>
          <w:rFonts w:ascii="Verdana" w:eastAsia="Calibri" w:hAnsi="Verdana" w:cs="Arial"/>
          <w:sz w:val="20"/>
          <w:szCs w:val="20"/>
          <w:lang w:val="es-ES_tradnl"/>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  </w:t>
      </w:r>
      <w:r w:rsidRPr="009852D7">
        <w:rPr>
          <w:rStyle w:val="Refdenotaalpie"/>
          <w:rFonts w:ascii="Verdana" w:eastAsia="Calibri" w:hAnsi="Verdana" w:cs="Arial"/>
          <w:sz w:val="20"/>
          <w:szCs w:val="20"/>
          <w:lang w:val="es-ES_tradnl"/>
        </w:rPr>
        <w:footnoteReference w:id="3"/>
      </w:r>
    </w:p>
    <w:p w14:paraId="4D3A5873" w14:textId="77777777" w:rsidR="00EF65B3" w:rsidRPr="009852D7" w:rsidRDefault="00EF65B3" w:rsidP="00EF65B3">
      <w:pPr>
        <w:widowControl w:val="0"/>
        <w:autoSpaceDE w:val="0"/>
        <w:autoSpaceDN w:val="0"/>
        <w:spacing w:after="0" w:line="276" w:lineRule="auto"/>
        <w:jc w:val="both"/>
        <w:rPr>
          <w:rFonts w:ascii="Verdana" w:eastAsia="Calibri" w:hAnsi="Verdana" w:cs="Arial"/>
          <w:lang w:val="es-ES_tradnl"/>
        </w:rPr>
      </w:pPr>
    </w:p>
    <w:p w14:paraId="5260030D" w14:textId="77777777" w:rsidR="00EF65B3" w:rsidRPr="009852D7" w:rsidRDefault="00EF65B3" w:rsidP="00EF65B3">
      <w:pPr>
        <w:widowControl w:val="0"/>
        <w:autoSpaceDE w:val="0"/>
        <w:autoSpaceDN w:val="0"/>
        <w:spacing w:after="0" w:line="276" w:lineRule="auto"/>
        <w:ind w:firstLine="708"/>
        <w:jc w:val="both"/>
        <w:rPr>
          <w:rFonts w:ascii="Verdana" w:eastAsia="Calibri" w:hAnsi="Verdana" w:cs="Arial"/>
          <w:lang w:val="es-ES_tradnl"/>
        </w:rPr>
      </w:pPr>
      <w:r w:rsidRPr="009852D7">
        <w:rPr>
          <w:rFonts w:ascii="Verdana" w:eastAsia="Calibri" w:hAnsi="Verdana" w:cs="Arial"/>
          <w:lang w:val="es-ES_tradnl"/>
        </w:rPr>
        <w:t xml:space="preserve">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4861EA4E" w14:textId="77777777" w:rsidR="00EF65B3" w:rsidRPr="009852D7" w:rsidRDefault="00EF65B3" w:rsidP="00EF65B3">
      <w:pPr>
        <w:widowControl w:val="0"/>
        <w:autoSpaceDE w:val="0"/>
        <w:autoSpaceDN w:val="0"/>
        <w:spacing w:after="0" w:line="276" w:lineRule="auto"/>
        <w:jc w:val="both"/>
        <w:rPr>
          <w:rFonts w:ascii="Verdana" w:eastAsia="Calibri" w:hAnsi="Verdana" w:cs="Arial"/>
          <w:lang w:val="es-ES_tradnl"/>
        </w:rPr>
      </w:pPr>
    </w:p>
    <w:p w14:paraId="6F669158" w14:textId="77777777" w:rsidR="00EF65B3" w:rsidRPr="009852D7" w:rsidRDefault="00EF65B3" w:rsidP="00EF65B3">
      <w:pPr>
        <w:widowControl w:val="0"/>
        <w:tabs>
          <w:tab w:val="left" w:pos="8647"/>
        </w:tabs>
        <w:autoSpaceDE w:val="0"/>
        <w:autoSpaceDN w:val="0"/>
        <w:spacing w:after="0" w:line="240" w:lineRule="auto"/>
        <w:ind w:left="567" w:right="474"/>
        <w:jc w:val="both"/>
        <w:rPr>
          <w:rFonts w:ascii="Verdana" w:eastAsia="Calibri" w:hAnsi="Verdana" w:cs="Arial"/>
          <w:sz w:val="20"/>
          <w:szCs w:val="20"/>
          <w:lang w:val="es-ES"/>
        </w:rPr>
      </w:pPr>
      <w:r w:rsidRPr="02F7D507">
        <w:rPr>
          <w:rFonts w:ascii="Verdana" w:eastAsia="Calibri" w:hAnsi="Verdana" w:cs="Arial"/>
          <w:sz w:val="20"/>
          <w:szCs w:val="20"/>
          <w:lang w:val="es-ES"/>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2F7D507">
        <w:rPr>
          <w:rFonts w:ascii="Verdana" w:eastAsia="Calibri" w:hAnsi="Verdana" w:cs="Arial"/>
          <w:sz w:val="20"/>
          <w:szCs w:val="20"/>
          <w:lang w:val="es-ES"/>
        </w:rPr>
        <w:t>incompatibilidades,</w:t>
      </w:r>
      <w:proofErr w:type="gramEnd"/>
      <w:r w:rsidRPr="02F7D507">
        <w:rPr>
          <w:rFonts w:ascii="Verdana" w:eastAsia="Calibri" w:hAnsi="Verdana" w:cs="Arial"/>
          <w:sz w:val="20"/>
          <w:szCs w:val="20"/>
          <w:lang w:val="es-ES"/>
        </w:rPr>
        <w:t xml:space="preserve"> se erige en causal de nulidad del contrato celebrado en esas condiciones (ley 80 de 1993, art. 44).</w:t>
      </w:r>
    </w:p>
    <w:p w14:paraId="4CE2C318" w14:textId="77777777" w:rsidR="00EF65B3" w:rsidRPr="009852D7" w:rsidRDefault="00EF65B3" w:rsidP="00EF65B3">
      <w:pPr>
        <w:widowControl w:val="0"/>
        <w:autoSpaceDE w:val="0"/>
        <w:autoSpaceDN w:val="0"/>
        <w:spacing w:after="0" w:line="276" w:lineRule="auto"/>
        <w:ind w:left="567"/>
        <w:jc w:val="both"/>
        <w:rPr>
          <w:rFonts w:ascii="Verdana" w:eastAsia="Calibri" w:hAnsi="Verdana" w:cs="Arial"/>
          <w:lang w:val="es-ES_tradnl"/>
        </w:rPr>
      </w:pPr>
    </w:p>
    <w:p w14:paraId="32635FBD" w14:textId="77777777" w:rsidR="00EF65B3" w:rsidRPr="009852D7" w:rsidRDefault="00EF65B3" w:rsidP="00EF65B3">
      <w:pPr>
        <w:widowControl w:val="0"/>
        <w:autoSpaceDE w:val="0"/>
        <w:autoSpaceDN w:val="0"/>
        <w:spacing w:after="0" w:line="240" w:lineRule="auto"/>
        <w:ind w:left="567" w:right="616"/>
        <w:jc w:val="both"/>
        <w:rPr>
          <w:rFonts w:ascii="Verdana" w:eastAsia="Calibri" w:hAnsi="Verdana" w:cs="Arial"/>
          <w:sz w:val="20"/>
          <w:szCs w:val="20"/>
          <w:lang w:val="es-ES_tradnl"/>
        </w:rPr>
      </w:pPr>
      <w:r w:rsidRPr="009852D7">
        <w:rPr>
          <w:rFonts w:ascii="Verdana" w:eastAsia="Calibri" w:hAnsi="Verdana" w:cs="Arial"/>
          <w:sz w:val="20"/>
          <w:szCs w:val="20"/>
          <w:lang w:val="es-ES_tradnl"/>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w:t>
      </w:r>
      <w:r w:rsidRPr="009852D7">
        <w:rPr>
          <w:rFonts w:ascii="Verdana" w:eastAsia="Calibri" w:hAnsi="Verdana" w:cs="Arial"/>
          <w:sz w:val="20"/>
          <w:szCs w:val="20"/>
          <w:lang w:val="es-ES_tradnl"/>
        </w:rPr>
        <w:lastRenderedPageBreak/>
        <w:t>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9852D7">
        <w:rPr>
          <w:rStyle w:val="Refdenotaalpie"/>
          <w:rFonts w:ascii="Verdana" w:eastAsia="Calibri" w:hAnsi="Verdana" w:cs="Arial"/>
          <w:sz w:val="20"/>
          <w:szCs w:val="20"/>
          <w:lang w:val="es-ES_tradnl"/>
        </w:rPr>
        <w:footnoteReference w:id="4"/>
      </w:r>
    </w:p>
    <w:p w14:paraId="295C9E58" w14:textId="77777777" w:rsidR="00EF65B3" w:rsidRPr="009852D7" w:rsidRDefault="00EF65B3" w:rsidP="00EF65B3">
      <w:pPr>
        <w:widowControl w:val="0"/>
        <w:autoSpaceDE w:val="0"/>
        <w:autoSpaceDN w:val="0"/>
        <w:spacing w:after="0" w:line="276" w:lineRule="auto"/>
        <w:ind w:left="567"/>
        <w:jc w:val="both"/>
        <w:rPr>
          <w:rFonts w:ascii="Verdana" w:eastAsia="Calibri" w:hAnsi="Verdana" w:cs="Arial"/>
          <w:lang w:val="es-ES_tradnl"/>
        </w:rPr>
      </w:pPr>
    </w:p>
    <w:p w14:paraId="613350C9" w14:textId="77777777" w:rsidR="00EF65B3" w:rsidRPr="009852D7" w:rsidRDefault="00EF65B3" w:rsidP="00EF65B3">
      <w:pPr>
        <w:widowControl w:val="0"/>
        <w:autoSpaceDE w:val="0"/>
        <w:autoSpaceDN w:val="0"/>
        <w:spacing w:after="0" w:line="276" w:lineRule="auto"/>
        <w:jc w:val="both"/>
        <w:rPr>
          <w:rFonts w:ascii="Verdana" w:eastAsia="Calibri" w:hAnsi="Verdana" w:cs="Arial"/>
          <w:lang w:val="es-ES_tradnl"/>
        </w:rPr>
      </w:pPr>
      <w:r w:rsidRPr="009852D7">
        <w:rPr>
          <w:rFonts w:ascii="Verdana" w:eastAsia="Calibri" w:hAnsi="Verdana" w:cs="Arial"/>
          <w:lang w:val="es-ES_tradnl"/>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08AF1F6A" w14:textId="77777777" w:rsidR="00EF65B3" w:rsidRPr="009852D7" w:rsidRDefault="00EF65B3" w:rsidP="00EF65B3">
      <w:pPr>
        <w:widowControl w:val="0"/>
        <w:autoSpaceDE w:val="0"/>
        <w:autoSpaceDN w:val="0"/>
        <w:spacing w:after="0" w:line="276" w:lineRule="auto"/>
        <w:jc w:val="both"/>
        <w:rPr>
          <w:rFonts w:ascii="Verdana" w:eastAsia="Calibri" w:hAnsi="Verdana" w:cs="Arial"/>
          <w:lang w:val="es-ES_tradnl"/>
        </w:rPr>
      </w:pPr>
    </w:p>
    <w:p w14:paraId="4154EAAB" w14:textId="77777777" w:rsidR="00EF65B3" w:rsidRPr="009852D7" w:rsidRDefault="00EF65B3" w:rsidP="00EF65B3">
      <w:pPr>
        <w:widowControl w:val="0"/>
        <w:autoSpaceDE w:val="0"/>
        <w:autoSpaceDN w:val="0"/>
        <w:spacing w:after="0" w:line="276" w:lineRule="auto"/>
        <w:ind w:left="567" w:right="616"/>
        <w:jc w:val="both"/>
        <w:rPr>
          <w:rFonts w:ascii="Verdana" w:eastAsia="Calibri" w:hAnsi="Verdana" w:cs="Arial"/>
          <w:sz w:val="20"/>
          <w:szCs w:val="20"/>
          <w:lang w:val="es-ES"/>
        </w:rPr>
      </w:pPr>
      <w:r w:rsidRPr="02F7D507">
        <w:rPr>
          <w:rFonts w:ascii="Verdana" w:eastAsia="Calibri" w:hAnsi="Verdana" w:cs="Arial"/>
          <w:sz w:val="20"/>
          <w:szCs w:val="20"/>
          <w:lang w:val="es-E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libértate, sino el de legalidad, el que ordena que la función pública debe someterse estrictamente a lo que disponga la Constitución y la ley (CP art. 6). </w:t>
      </w:r>
    </w:p>
    <w:p w14:paraId="71BB6EB2" w14:textId="77777777" w:rsidR="00EF65B3" w:rsidRPr="009852D7" w:rsidRDefault="00EF65B3" w:rsidP="00EF65B3">
      <w:pPr>
        <w:widowControl w:val="0"/>
        <w:autoSpaceDE w:val="0"/>
        <w:autoSpaceDN w:val="0"/>
        <w:spacing w:after="0" w:line="276" w:lineRule="auto"/>
        <w:ind w:left="567" w:right="616"/>
        <w:jc w:val="both"/>
        <w:rPr>
          <w:rFonts w:ascii="Verdana" w:eastAsia="Calibri" w:hAnsi="Verdana" w:cs="Arial"/>
          <w:sz w:val="20"/>
          <w:szCs w:val="20"/>
          <w:lang w:val="es-ES_tradnl"/>
        </w:rPr>
      </w:pPr>
      <w:r w:rsidRPr="009852D7">
        <w:rPr>
          <w:rFonts w:ascii="Verdana" w:eastAsia="Calibri" w:hAnsi="Verdana" w:cs="Arial"/>
          <w:sz w:val="20"/>
          <w:szCs w:val="20"/>
          <w:lang w:val="es-ES_tradnl"/>
        </w:rPr>
        <w:t xml:space="preserve">[…] </w:t>
      </w:r>
    </w:p>
    <w:p w14:paraId="3E9294EE" w14:textId="77777777" w:rsidR="00EF65B3" w:rsidRPr="009852D7" w:rsidRDefault="00EF65B3" w:rsidP="00EF65B3">
      <w:pPr>
        <w:widowControl w:val="0"/>
        <w:autoSpaceDE w:val="0"/>
        <w:autoSpaceDN w:val="0"/>
        <w:spacing w:after="0" w:line="276" w:lineRule="auto"/>
        <w:ind w:left="567" w:right="616"/>
        <w:jc w:val="both"/>
        <w:rPr>
          <w:rFonts w:ascii="Verdana" w:eastAsia="Calibri" w:hAnsi="Verdana" w:cs="Arial"/>
          <w:sz w:val="20"/>
          <w:szCs w:val="20"/>
          <w:lang w:val="es-ES"/>
        </w:rPr>
      </w:pPr>
      <w:r w:rsidRPr="02F7D507">
        <w:rPr>
          <w:rFonts w:ascii="Verdana" w:eastAsia="Calibri" w:hAnsi="Verdana" w:cs="Arial"/>
          <w:sz w:val="20"/>
          <w:szCs w:val="20"/>
          <w:lang w:val="es-ES"/>
        </w:rPr>
        <w:t xml:space="preserve">Se comprende con facilidad que el régimen de inhabilidades e </w:t>
      </w:r>
      <w:proofErr w:type="gramStart"/>
      <w:r w:rsidRPr="02F7D507">
        <w:rPr>
          <w:rFonts w:ascii="Verdana" w:eastAsia="Calibri" w:hAnsi="Verdana" w:cs="Arial"/>
          <w:sz w:val="20"/>
          <w:szCs w:val="20"/>
          <w:lang w:val="es-ES"/>
        </w:rPr>
        <w:t>incompatibilidades,</w:t>
      </w:r>
      <w:proofErr w:type="gramEnd"/>
      <w:r w:rsidRPr="02F7D507">
        <w:rPr>
          <w:rFonts w:ascii="Verdana" w:eastAsia="Calibri" w:hAnsi="Verdana" w:cs="Arial"/>
          <w:sz w:val="20"/>
          <w:szCs w:val="20"/>
          <w:lang w:val="es-ES"/>
        </w:rPr>
        <w:t xml:space="preserve"> corresponde a una materia de normal y obligada inclusión en un estatuto contractual. El legislador, a quien se ha confiado expedir el indicado estatuto, tiene, pues, competencia para establecerlo (CP art. 150)”. </w:t>
      </w:r>
      <w:r w:rsidRPr="02F7D507">
        <w:rPr>
          <w:rStyle w:val="Refdenotaalpie"/>
          <w:rFonts w:ascii="Verdana" w:eastAsia="Calibri" w:hAnsi="Verdana" w:cs="Arial"/>
          <w:sz w:val="20"/>
          <w:szCs w:val="20"/>
          <w:lang w:val="es-ES"/>
        </w:rPr>
        <w:footnoteReference w:id="5"/>
      </w:r>
    </w:p>
    <w:p w14:paraId="18684874" w14:textId="77777777" w:rsidR="00EF65B3" w:rsidRPr="009852D7" w:rsidRDefault="00EF65B3" w:rsidP="00EF65B3">
      <w:pPr>
        <w:widowControl w:val="0"/>
        <w:autoSpaceDE w:val="0"/>
        <w:autoSpaceDN w:val="0"/>
        <w:spacing w:after="0" w:line="276" w:lineRule="auto"/>
        <w:ind w:left="851" w:right="616"/>
        <w:jc w:val="both"/>
        <w:rPr>
          <w:rFonts w:ascii="Verdana" w:eastAsia="Calibri" w:hAnsi="Verdana" w:cs="Arial"/>
          <w:sz w:val="20"/>
          <w:szCs w:val="20"/>
          <w:lang w:val="es-ES_tradnl"/>
        </w:rPr>
      </w:pPr>
    </w:p>
    <w:p w14:paraId="73B04362" w14:textId="77777777" w:rsidR="00EF65B3" w:rsidRPr="009852D7" w:rsidRDefault="00EF65B3" w:rsidP="00EF65B3">
      <w:pPr>
        <w:widowControl w:val="0"/>
        <w:autoSpaceDE w:val="0"/>
        <w:autoSpaceDN w:val="0"/>
        <w:spacing w:after="0" w:line="276" w:lineRule="auto"/>
        <w:ind w:left="851" w:right="616"/>
        <w:jc w:val="both"/>
        <w:rPr>
          <w:rFonts w:ascii="Verdana" w:eastAsia="Calibri" w:hAnsi="Verdana" w:cs="Arial"/>
          <w:sz w:val="20"/>
          <w:szCs w:val="20"/>
          <w:lang w:val="es-ES_tradnl"/>
        </w:rPr>
      </w:pPr>
    </w:p>
    <w:p w14:paraId="4C15FE1D" w14:textId="77777777" w:rsidR="00EF65B3" w:rsidRPr="009852D7" w:rsidRDefault="00EF65B3" w:rsidP="00EF65B3">
      <w:pPr>
        <w:widowControl w:val="0"/>
        <w:autoSpaceDE w:val="0"/>
        <w:autoSpaceDN w:val="0"/>
        <w:spacing w:after="0" w:line="276" w:lineRule="auto"/>
        <w:ind w:right="49" w:firstLine="567"/>
        <w:jc w:val="both"/>
        <w:rPr>
          <w:rFonts w:ascii="Verdana" w:eastAsia="Calibri" w:hAnsi="Verdana" w:cs="Arial"/>
        </w:rPr>
      </w:pPr>
      <w:r w:rsidRPr="009852D7">
        <w:rPr>
          <w:rFonts w:ascii="Verdana" w:eastAsia="Calibri" w:hAnsi="Verdana" w:cs="Arial"/>
        </w:rPr>
        <w:t xml:space="preserve">Conforme a lo anterior, la Entidad </w:t>
      </w:r>
      <w:r>
        <w:rPr>
          <w:rFonts w:ascii="Verdana" w:eastAsia="Calibri" w:hAnsi="Verdana" w:cs="Arial"/>
        </w:rPr>
        <w:t xml:space="preserve">deberá </w:t>
      </w:r>
      <w:r w:rsidRPr="009852D7">
        <w:rPr>
          <w:rFonts w:ascii="Verdana" w:eastAsia="Calibri" w:hAnsi="Verdana" w:cs="Arial"/>
        </w:rPr>
        <w:t xml:space="preserve"> determinar si en el caso concreto se está ante una inhabilidad expresamente consagrada en la Constitución o la ley, la cual tiene efectos jurídicos directos y excluyentes en virtud del principio de legalidad y cuya interpretación es restrictiva y taxativa; o si, por el contrario, se trata de un posible conflicto de intereses, que, aunque no se configure como una inhabilidad legal, puede comprometer los principios de moralidad, transparencia e imparcialidad de la función contractual, y por tanto requiere </w:t>
      </w:r>
      <w:r w:rsidRPr="009852D7">
        <w:rPr>
          <w:rFonts w:ascii="Verdana" w:eastAsia="Calibri" w:hAnsi="Verdana" w:cs="Arial"/>
        </w:rPr>
        <w:lastRenderedPageBreak/>
        <w:t>evaluación y gestión por parte de la entidad contratante conforme a sus funciones y estructura interna.</w:t>
      </w:r>
    </w:p>
    <w:p w14:paraId="02C26D97" w14:textId="77777777" w:rsidR="00EF65B3" w:rsidRPr="009852D7" w:rsidRDefault="00EF65B3" w:rsidP="00EF65B3">
      <w:pPr>
        <w:widowControl w:val="0"/>
        <w:autoSpaceDE w:val="0"/>
        <w:autoSpaceDN w:val="0"/>
        <w:spacing w:after="0" w:line="276" w:lineRule="auto"/>
        <w:ind w:right="616"/>
        <w:jc w:val="both"/>
        <w:rPr>
          <w:rFonts w:ascii="Verdana" w:eastAsia="Calibri" w:hAnsi="Verdana" w:cs="Arial"/>
          <w:sz w:val="20"/>
          <w:szCs w:val="20"/>
          <w:lang w:val="es-ES_tradnl"/>
        </w:rPr>
      </w:pPr>
    </w:p>
    <w:p w14:paraId="77F2DF2B" w14:textId="77777777" w:rsidR="00EF65B3" w:rsidRPr="009852D7" w:rsidRDefault="00EF65B3" w:rsidP="00EF65B3">
      <w:pPr>
        <w:spacing w:after="0" w:line="276" w:lineRule="auto"/>
        <w:ind w:firstLine="708"/>
        <w:jc w:val="both"/>
        <w:rPr>
          <w:rFonts w:ascii="Verdana" w:eastAsia="Calibri" w:hAnsi="Verdana" w:cs="Arial"/>
          <w:color w:val="000000" w:themeColor="text1"/>
          <w:lang w:val="es-ES_tradnl"/>
        </w:rPr>
      </w:pPr>
      <w:r w:rsidRPr="009852D7">
        <w:rPr>
          <w:rFonts w:ascii="Verdana" w:eastAsia="Cambria" w:hAnsi="Verdana" w:cs="Arial"/>
          <w:bCs/>
          <w:szCs w:val="20"/>
        </w:rPr>
        <w:t>S</w:t>
      </w:r>
      <w:r w:rsidRPr="009852D7">
        <w:rPr>
          <w:rFonts w:ascii="Verdana" w:eastAsia="Cambria" w:hAnsi="Verdana" w:cs="Arial"/>
          <w:szCs w:val="20"/>
        </w:rPr>
        <w:t>obre el régimen de los conflictos de inter</w:t>
      </w:r>
      <w:r>
        <w:rPr>
          <w:rFonts w:ascii="Verdana" w:eastAsia="Cambria" w:hAnsi="Verdana" w:cs="Arial"/>
          <w:szCs w:val="20"/>
        </w:rPr>
        <w:t>eses</w:t>
      </w:r>
      <w:r w:rsidRPr="009852D7">
        <w:rPr>
          <w:rFonts w:ascii="Verdana" w:eastAsia="Cambria" w:hAnsi="Verdana" w:cs="Arial"/>
          <w:szCs w:val="20"/>
        </w:rPr>
        <w:t xml:space="preserve"> en la contratación estatal</w:t>
      </w:r>
      <w:r w:rsidRPr="009852D7">
        <w:rPr>
          <w:rFonts w:ascii="Verdana" w:eastAsia="Cambria" w:hAnsi="Verdana" w:cs="Arial"/>
          <w:bCs/>
          <w:szCs w:val="20"/>
        </w:rPr>
        <w:t xml:space="preserve"> se ha pronunciado esta Agencia en distintas ocasiones</w:t>
      </w:r>
      <w:r w:rsidRPr="009852D7">
        <w:rPr>
          <w:rFonts w:ascii="Verdana" w:eastAsia="Cambria" w:hAnsi="Verdana" w:cs="Arial"/>
          <w:szCs w:val="20"/>
        </w:rPr>
        <w:t>,</w:t>
      </w:r>
      <w:r w:rsidRPr="009852D7">
        <w:rPr>
          <w:rFonts w:ascii="Verdana" w:eastAsia="Cambria" w:hAnsi="Verdana" w:cs="Arial"/>
          <w:bCs/>
          <w:szCs w:val="20"/>
        </w:rPr>
        <w:t xml:space="preserve"> en los términos que en seguida se explican</w:t>
      </w:r>
      <w:r w:rsidRPr="009852D7">
        <w:rPr>
          <w:rFonts w:eastAsia="Calibri"/>
          <w:color w:val="000000" w:themeColor="text1"/>
          <w:vertAlign w:val="superscript"/>
          <w:lang w:val="es-ES_tradnl"/>
        </w:rPr>
        <w:footnoteReference w:id="6"/>
      </w:r>
      <w:r w:rsidRPr="009852D7">
        <w:rPr>
          <w:rFonts w:ascii="Verdana" w:eastAsia="Calibri" w:hAnsi="Verdana" w:cs="Arial"/>
          <w:color w:val="000000" w:themeColor="text1"/>
          <w:lang w:val="es-ES_tradnl"/>
        </w:rPr>
        <w:t xml:space="preserve">. De acuerdo con el artículo 209 de la Constitución Política de 1991, la función administrativa debe desarrollarse conforme al principio de moralidad, mandato que se concreta en la idea de que </w:t>
      </w:r>
      <w:r w:rsidRPr="009852D7">
        <w:rPr>
          <w:rFonts w:ascii="Verdana" w:eastAsia="Calibri" w:hAnsi="Verdana" w:cs="Arial"/>
          <w:i/>
          <w:color w:val="000000" w:themeColor="text1"/>
          <w:lang w:val="es-ES_tradnl"/>
        </w:rPr>
        <w:t>“[…] todas las personas y los servidores públicos están obligados a actuar con rectitud, lealtad y honestidad en las actuaciones administrativas […]”</w:t>
      </w:r>
      <w:r w:rsidRPr="009852D7">
        <w:rPr>
          <w:rFonts w:ascii="Verdana" w:eastAsia="Calibri" w:hAnsi="Verdana" w:cs="Arial"/>
          <w:color w:val="000000" w:themeColor="text1"/>
          <w:lang w:val="es-ES_tradnl"/>
        </w:rPr>
        <w:t xml:space="preserve"> –numeral 5 del artículo 3 de la Ley 1437 de 2011–. En desarrollo de esta directriz, el régimen de los </w:t>
      </w:r>
      <w:r w:rsidRPr="009852D7">
        <w:rPr>
          <w:rFonts w:ascii="Verdana" w:eastAsia="Calibri" w:hAnsi="Verdana" w:cs="Arial"/>
          <w:i/>
          <w:color w:val="000000" w:themeColor="text1"/>
          <w:lang w:val="es-ES_tradnl"/>
        </w:rPr>
        <w:t xml:space="preserve">conflictos de interés </w:t>
      </w:r>
      <w:r w:rsidRPr="009852D7">
        <w:rPr>
          <w:rFonts w:ascii="Verdana" w:eastAsia="Calibri" w:hAnsi="Verdana" w:cs="Arial"/>
          <w:color w:val="000000" w:themeColor="text1"/>
          <w:lang w:val="es-ES_tradnl"/>
        </w:rPr>
        <w:t>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ocurrencia de intereses antagónicos que afectan la transparencia de las decisiones, al implicar –en detrimento del interés general– el aprovechamiento personal, familiar o particular</w:t>
      </w:r>
      <w:r w:rsidRPr="009852D7">
        <w:rPr>
          <w:rFonts w:eastAsia="Calibri"/>
          <w:color w:val="000000" w:themeColor="text1"/>
          <w:vertAlign w:val="superscript"/>
          <w:lang w:val="es-ES_tradnl"/>
        </w:rPr>
        <w:footnoteReference w:id="7"/>
      </w:r>
      <w:r w:rsidRPr="009852D7">
        <w:rPr>
          <w:rFonts w:ascii="Verdana" w:eastAsia="Calibri" w:hAnsi="Verdana" w:cs="Arial"/>
          <w:color w:val="000000" w:themeColor="text1"/>
          <w:lang w:val="es-ES_tradnl"/>
        </w:rPr>
        <w:t>.</w:t>
      </w:r>
    </w:p>
    <w:p w14:paraId="3B685FFF" w14:textId="77777777" w:rsidR="00EF65B3" w:rsidRPr="009852D7" w:rsidRDefault="00EF65B3" w:rsidP="00EF65B3">
      <w:pPr>
        <w:spacing w:before="120" w:after="0" w:line="276" w:lineRule="auto"/>
        <w:ind w:firstLine="360"/>
        <w:jc w:val="both"/>
        <w:rPr>
          <w:rFonts w:ascii="Verdana" w:eastAsia="Cambria" w:hAnsi="Verdana" w:cs="Arial"/>
          <w:szCs w:val="20"/>
        </w:rPr>
      </w:pPr>
      <w:r w:rsidRPr="009852D7">
        <w:rPr>
          <w:rFonts w:ascii="Verdana" w:eastAsia="Calibri" w:hAnsi="Verdana" w:cs="Arial"/>
          <w:color w:val="000000" w:themeColor="text1"/>
          <w:lang w:val="es-ES_tradnl"/>
        </w:rPr>
        <w:tab/>
      </w:r>
      <w:r w:rsidRPr="009852D7">
        <w:rPr>
          <w:rFonts w:ascii="Verdana" w:eastAsia="Cambria" w:hAnsi="Verdana" w:cs="Arial"/>
          <w:szCs w:val="20"/>
        </w:rPr>
        <w:t>La institución jurídica de los conflictos de inter</w:t>
      </w:r>
      <w:r>
        <w:rPr>
          <w:rFonts w:ascii="Verdana" w:eastAsia="Cambria" w:hAnsi="Verdana" w:cs="Arial"/>
          <w:szCs w:val="20"/>
        </w:rPr>
        <w:t>eses</w:t>
      </w:r>
      <w:r w:rsidRPr="009852D7">
        <w:rPr>
          <w:rFonts w:ascii="Verdana" w:eastAsia="Cambria" w:hAnsi="Verdana" w:cs="Arial"/>
          <w:szCs w:val="20"/>
        </w:rPr>
        <w:t xml:space="preserve"> no está definida con carácter general en el ordenamiento jurídico y tampoco de forma precisa en las normas que regulan la contratación estatal, por lo que es un asunto ausente en el EGCAP. Sin embargo, existen disposiciones especiales como el régimen de los congresistas, de los concejales o el régimen disciplinario de los servidores públicos, donde se define causales de conflictos de interés. En todo caso, la satisfacción del principio de moralidad y el </w:t>
      </w:r>
      <w:r w:rsidRPr="009852D7">
        <w:t>d</w:t>
      </w:r>
      <w:r w:rsidRPr="009852D7">
        <w:rPr>
          <w:rFonts w:ascii="Verdana" w:eastAsia="Cambria" w:hAnsi="Verdana" w:cs="Arial"/>
          <w:szCs w:val="20"/>
        </w:rPr>
        <w:t xml:space="preserve">eber de probidad también se exige a los contratistas. </w:t>
      </w:r>
    </w:p>
    <w:p w14:paraId="2E378F48" w14:textId="77777777" w:rsidR="00EF65B3" w:rsidRPr="009852D7" w:rsidRDefault="00EF65B3" w:rsidP="00EF65B3">
      <w:pPr>
        <w:spacing w:before="120" w:after="0" w:line="276" w:lineRule="auto"/>
        <w:ind w:firstLine="708"/>
        <w:jc w:val="both"/>
        <w:rPr>
          <w:rFonts w:ascii="Verdana" w:eastAsia="Cambria" w:hAnsi="Verdana" w:cs="Arial"/>
          <w:bCs/>
          <w:szCs w:val="20"/>
        </w:rPr>
      </w:pPr>
      <w:r w:rsidRPr="009852D7">
        <w:rPr>
          <w:rFonts w:ascii="Verdana" w:eastAsia="Cambria" w:hAnsi="Verdana" w:cs="Arial"/>
          <w:szCs w:val="20"/>
        </w:rPr>
        <w:t xml:space="preserve">Sobre el particular, el artículo 3 de la Ley 80 de 1993 dispone que la actividad contractual del Estado se dirige tanto al cumplimiento de los fines estatales como a la continua y eficiente prestación de los servicios públicos, precisando que </w:t>
      </w:r>
      <w:r w:rsidRPr="009852D7">
        <w:rPr>
          <w:rFonts w:ascii="Verdana" w:eastAsia="Cambria" w:hAnsi="Verdana" w:cs="Arial"/>
          <w:i/>
          <w:szCs w:val="20"/>
        </w:rPr>
        <w:t>“Los particulares, por su parte, tendrán en cuenta al celebrar y ejecutar contratos con las entidades estatales que colaboran con ellas en el logro de sus fines y cumplen una función social que, como tal, implica obligaciones”.</w:t>
      </w:r>
      <w:r w:rsidRPr="009852D7">
        <w:rPr>
          <w:rFonts w:ascii="Verdana" w:eastAsia="Cambria" w:hAnsi="Verdana" w:cs="Arial"/>
          <w:szCs w:val="20"/>
        </w:rPr>
        <w:t xml:space="preserve"> </w:t>
      </w:r>
      <w:r w:rsidRPr="009852D7">
        <w:rPr>
          <w:rFonts w:ascii="Verdana" w:eastAsia="Cambria" w:hAnsi="Verdana" w:cs="Arial"/>
          <w:szCs w:val="20"/>
        </w:rPr>
        <w:lastRenderedPageBreak/>
        <w:t>De ahí que, el numeral 2 del artículo 5 del EGCAP dispone que estos obrarán con lealtad y buena fe en las distintas etapas contractuales.</w:t>
      </w:r>
    </w:p>
    <w:p w14:paraId="2480883D" w14:textId="77777777" w:rsidR="00EF65B3" w:rsidRDefault="00EF65B3" w:rsidP="00EF65B3">
      <w:pPr>
        <w:spacing w:before="120" w:after="120" w:line="276" w:lineRule="auto"/>
        <w:ind w:firstLine="709"/>
        <w:jc w:val="both"/>
        <w:rPr>
          <w:rFonts w:ascii="Verdana" w:eastAsia="Calibri" w:hAnsi="Verdana" w:cs="Arial"/>
          <w:color w:val="000000" w:themeColor="text1"/>
          <w:lang w:val="es-ES_tradnl"/>
        </w:rPr>
      </w:pPr>
      <w:r w:rsidRPr="009852D7">
        <w:rPr>
          <w:rFonts w:ascii="Verdana" w:eastAsia="Calibri" w:hAnsi="Verdana" w:cs="Arial"/>
          <w:color w:val="000000" w:themeColor="text1"/>
          <w:lang w:val="es-ES_tradnl"/>
        </w:rPr>
        <w:t>Sin perjuicio de lo anterior, el EGCAP no establece una noción o causales particulares de conflictos de inter</w:t>
      </w:r>
      <w:r>
        <w:rPr>
          <w:rFonts w:ascii="Verdana" w:eastAsia="Calibri" w:hAnsi="Verdana" w:cs="Arial"/>
          <w:color w:val="000000" w:themeColor="text1"/>
          <w:lang w:val="es-ES_tradnl"/>
        </w:rPr>
        <w:t>eses</w:t>
      </w:r>
      <w:r w:rsidRPr="009852D7">
        <w:rPr>
          <w:rFonts w:ascii="Verdana" w:eastAsia="Calibri" w:hAnsi="Verdana" w:cs="Arial"/>
          <w:color w:val="000000" w:themeColor="text1"/>
          <w:lang w:val="es-ES_tradnl"/>
        </w:rPr>
        <w:t xml:space="preserve">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destinatarios no son los proponentes o contratistas particulares que participan en el procedimiento de selección o celebran el contrato con la entidad estatal, sino los servidores mencionados. En este sentido, en caso de presentarse alguna de las causales establecidas en el artículo 11 del Código de Procedimiento Administrativo o de lo Contencioso Administrativo, corresponde aplicar el trámite establecido en el artículo 12 de la misma ley</w:t>
      </w:r>
    </w:p>
    <w:p w14:paraId="71F73FC8" w14:textId="77777777" w:rsidR="00EF65B3" w:rsidRPr="00B3216C" w:rsidRDefault="00EF65B3" w:rsidP="00EF65B3">
      <w:pPr>
        <w:spacing w:before="120" w:after="120" w:line="276" w:lineRule="auto"/>
        <w:ind w:firstLine="709"/>
        <w:jc w:val="both"/>
        <w:rPr>
          <w:rFonts w:ascii="Verdana" w:eastAsia="Cambria" w:hAnsi="Verdana" w:cs="Arial"/>
          <w:bCs/>
          <w:szCs w:val="20"/>
        </w:rPr>
      </w:pPr>
      <w:r w:rsidRPr="009852D7">
        <w:rPr>
          <w:rFonts w:ascii="Verdana" w:eastAsia="Calibri" w:hAnsi="Verdana" w:cs="Arial"/>
          <w:color w:val="000000" w:themeColor="text1"/>
          <w:lang w:val="es-ES_tradnl"/>
        </w:rPr>
        <w:t>Sobre este tema la doctrina</w:t>
      </w:r>
      <w:r w:rsidRPr="009852D7">
        <w:rPr>
          <w:rStyle w:val="Refdenotaalpie"/>
          <w:rFonts w:ascii="Verdana" w:eastAsia="Calibri" w:hAnsi="Verdana" w:cs="Arial"/>
          <w:color w:val="000000" w:themeColor="text1"/>
          <w:lang w:val="es-ES_tradnl"/>
        </w:rPr>
        <w:footnoteReference w:id="8"/>
      </w:r>
      <w:r w:rsidRPr="009852D7">
        <w:rPr>
          <w:rFonts w:ascii="Verdana" w:eastAsia="Calibri" w:hAnsi="Verdana" w:cs="Arial"/>
          <w:color w:val="000000" w:themeColor="text1"/>
          <w:lang w:val="es-ES_tradnl"/>
        </w:rPr>
        <w:t xml:space="preserve"> y de forma particular la Sala de Consulta y Servicio Civil del Consejo de Estado</w:t>
      </w:r>
      <w:r w:rsidRPr="009852D7">
        <w:rPr>
          <w:rStyle w:val="Refdenotaalpie"/>
          <w:rFonts w:ascii="Verdana" w:eastAsia="Calibri" w:hAnsi="Verdana" w:cs="Arial"/>
          <w:color w:val="000000" w:themeColor="text1"/>
          <w:lang w:val="es-ES_tradnl"/>
        </w:rPr>
        <w:footnoteReference w:id="9"/>
      </w:r>
      <w:r w:rsidRPr="009852D7">
        <w:rPr>
          <w:rFonts w:ascii="Verdana" w:eastAsia="Calibri" w:hAnsi="Verdana" w:cs="Arial"/>
          <w:color w:val="000000" w:themeColor="text1"/>
          <w:lang w:val="es-ES_tradnl"/>
        </w:rPr>
        <w:t>, han reconocido la posibilidad que tienen las entidades estatales de establecer conflictos de inter</w:t>
      </w:r>
      <w:r>
        <w:rPr>
          <w:rFonts w:ascii="Verdana" w:eastAsia="Calibri" w:hAnsi="Verdana" w:cs="Arial"/>
          <w:color w:val="000000" w:themeColor="text1"/>
          <w:lang w:val="es-ES_tradnl"/>
        </w:rPr>
        <w:t>eses</w:t>
      </w:r>
      <w:r w:rsidRPr="009852D7">
        <w:rPr>
          <w:rFonts w:ascii="Verdana" w:eastAsia="Calibri" w:hAnsi="Verdana" w:cs="Arial"/>
          <w:color w:val="000000" w:themeColor="text1"/>
          <w:lang w:val="es-ES_tradnl"/>
        </w:rPr>
        <w:t xml:space="preserve"> en sus pliegos de condiciones, diferenciando dichas causales y su regulación de las inhabilidades e incompatibilidades consagradas en el Estatuto General de Contratación de la Administración Pública y demás normas complementarias. En tal sentido, se han establecido algunos requisitos y exigencias que deben cumplir dichas causales </w:t>
      </w:r>
      <w:r w:rsidRPr="009852D7">
        <w:rPr>
          <w:rFonts w:ascii="Verdana" w:eastAsia="Calibri" w:hAnsi="Verdana" w:cs="Arial"/>
          <w:color w:val="000000" w:themeColor="text1"/>
          <w:lang w:val="es-ES_tradnl"/>
        </w:rPr>
        <w:lastRenderedPageBreak/>
        <w:t xml:space="preserve">de conflicto de interés y sus consecuencias en los procedimientos de selección de contratistas o para la celebración de contratos, precisándose sus consecuencias. </w:t>
      </w:r>
    </w:p>
    <w:p w14:paraId="3556E1A1" w14:textId="77777777" w:rsidR="00EF65B3" w:rsidRPr="009852D7" w:rsidRDefault="00EF65B3" w:rsidP="00EF65B3">
      <w:pPr>
        <w:widowControl w:val="0"/>
        <w:autoSpaceDE w:val="0"/>
        <w:autoSpaceDN w:val="0"/>
        <w:spacing w:after="120" w:line="276" w:lineRule="auto"/>
        <w:ind w:firstLine="708"/>
        <w:jc w:val="both"/>
        <w:rPr>
          <w:rFonts w:ascii="Verdana" w:eastAsia="Calibri" w:hAnsi="Verdana" w:cs="Arial"/>
          <w:lang w:val="es-ES"/>
        </w:rPr>
      </w:pPr>
      <w:r w:rsidRPr="009852D7">
        <w:rPr>
          <w:rFonts w:ascii="Verdana" w:eastAsia="Calibri" w:hAnsi="Verdana" w:cs="Arial"/>
          <w:lang w:val="es-ES"/>
        </w:rPr>
        <w:t>El fundamento axiológico para la existencia de los conflictos de inter</w:t>
      </w:r>
      <w:r>
        <w:rPr>
          <w:rFonts w:ascii="Verdana" w:eastAsia="Calibri" w:hAnsi="Verdana" w:cs="Arial"/>
          <w:lang w:val="es-ES"/>
        </w:rPr>
        <w:t>eses</w:t>
      </w:r>
      <w:r w:rsidRPr="009852D7">
        <w:rPr>
          <w:rFonts w:ascii="Verdana" w:eastAsia="Calibri" w:hAnsi="Verdana" w:cs="Arial"/>
          <w:lang w:val="es-ES"/>
        </w:rPr>
        <w:t xml:space="preserve"> se encuentra en la garantía del interés público, que podría comprometerse en los supuestos en que determinado contratista pudiera actuar movido por intereses personales, que le impedirían actuar con imparcialidad y probidad en la ejecución de determinado contrato estatal. De esta manera, si bien el legislador establece las casuales de inhabilidad e incompatibilidad de forma general para celebrar contratos con cualquier entidad estatal o con alguna entidad estatal en particular, los conflictos de inter</w:t>
      </w:r>
      <w:r>
        <w:rPr>
          <w:rFonts w:ascii="Verdana" w:eastAsia="Calibri" w:hAnsi="Verdana" w:cs="Arial"/>
          <w:lang w:val="es-ES"/>
        </w:rPr>
        <w:t>eses</w:t>
      </w:r>
      <w:r w:rsidRPr="009852D7">
        <w:rPr>
          <w:rFonts w:ascii="Verdana" w:eastAsia="Calibri" w:hAnsi="Verdana" w:cs="Arial"/>
          <w:lang w:val="es-ES"/>
        </w:rPr>
        <w:t xml:space="preserve"> suelen establecerse frente a sujetos en particular que en razón a la ejecución de una actividad anterior podrían tener una posición privilegiada en determinado procedimiento de selección. A modo de ejemplo se pueden enunciar las siguientes situaciones: i) por participar en la estructuración del mismo procedimiento de selección o proyecto que se va a ejecutar, de manera que se impida su participación para garantizar el principio de igualdad; </w:t>
      </w:r>
      <w:proofErr w:type="spellStart"/>
      <w:r w:rsidRPr="009852D7">
        <w:rPr>
          <w:rFonts w:ascii="Verdana" w:eastAsia="Calibri" w:hAnsi="Verdana" w:cs="Arial"/>
          <w:lang w:val="es-ES"/>
        </w:rPr>
        <w:t>ii</w:t>
      </w:r>
      <w:proofErr w:type="spellEnd"/>
      <w:r w:rsidRPr="009852D7">
        <w:rPr>
          <w:rFonts w:ascii="Verdana" w:eastAsia="Calibri" w:hAnsi="Verdana" w:cs="Arial"/>
          <w:lang w:val="es-ES"/>
        </w:rPr>
        <w:t xml:space="preserve">) cuando la ejecución de un contrato posterior pueda incidir eventualmente frente a la responsabilidad de un contrato ejecutado previamente; o </w:t>
      </w:r>
      <w:proofErr w:type="spellStart"/>
      <w:r w:rsidRPr="009852D7">
        <w:rPr>
          <w:rFonts w:ascii="Verdana" w:eastAsia="Calibri" w:hAnsi="Verdana" w:cs="Arial"/>
          <w:lang w:val="es-ES"/>
        </w:rPr>
        <w:t>iii</w:t>
      </w:r>
      <w:proofErr w:type="spellEnd"/>
      <w:r w:rsidRPr="009852D7">
        <w:rPr>
          <w:rFonts w:ascii="Verdana" w:eastAsia="Calibri" w:hAnsi="Verdana" w:cs="Arial"/>
          <w:lang w:val="es-ES"/>
        </w:rPr>
        <w:t>) cuando entre ambos negocios jurídicos exista alguna relación que conduzca a esta consecuencia. De otro lado, los conflictos de inter</w:t>
      </w:r>
      <w:r>
        <w:rPr>
          <w:rFonts w:ascii="Verdana" w:eastAsia="Calibri" w:hAnsi="Verdana" w:cs="Arial"/>
          <w:lang w:val="es-ES"/>
        </w:rPr>
        <w:t>eses</w:t>
      </w:r>
      <w:r w:rsidRPr="009852D7">
        <w:rPr>
          <w:rFonts w:ascii="Verdana" w:eastAsia="Calibri" w:hAnsi="Verdana" w:cs="Arial"/>
          <w:lang w:val="es-ES"/>
        </w:rPr>
        <w:t xml:space="preserve"> se establecen con la finalidad de evitar alguna relación particular que tengan dos contratistas, quienes estarían vinculados por intereses comunes que podrían dar lugar a algún favorecimiento, en detrimento de la adecuada ejecución del contrato. Si bien los fundamentos anteriores no son exhaustivos ni taxativos, constituyen ejemplos que podrían servir de fundamento para la inclusión de algún conflicto de interés en un pliego de condiciones.</w:t>
      </w:r>
    </w:p>
    <w:p w14:paraId="611AAEA2" w14:textId="77777777" w:rsidR="00EF65B3" w:rsidRDefault="00EF65B3" w:rsidP="00EF65B3">
      <w:pPr>
        <w:widowControl w:val="0"/>
        <w:autoSpaceDE w:val="0"/>
        <w:autoSpaceDN w:val="0"/>
        <w:spacing w:after="120" w:line="276" w:lineRule="auto"/>
        <w:ind w:firstLine="709"/>
        <w:jc w:val="both"/>
        <w:rPr>
          <w:rFonts w:ascii="Verdana" w:eastAsia="Calibri" w:hAnsi="Verdana" w:cs="Arial"/>
        </w:rPr>
      </w:pPr>
      <w:r w:rsidRPr="00B3216C">
        <w:rPr>
          <w:rFonts w:ascii="Verdana" w:eastAsia="Calibri" w:hAnsi="Verdana" w:cs="Arial"/>
        </w:rPr>
        <w:t xml:space="preserve">En conclusión, </w:t>
      </w:r>
      <w:r>
        <w:rPr>
          <w:rFonts w:ascii="Verdana" w:eastAsia="Calibri" w:hAnsi="Verdana" w:cs="Arial"/>
        </w:rPr>
        <w:t xml:space="preserve">en </w:t>
      </w:r>
      <w:r w:rsidRPr="00B3216C">
        <w:rPr>
          <w:rFonts w:ascii="Verdana" w:eastAsia="Calibri" w:hAnsi="Verdana" w:cs="Arial"/>
        </w:rPr>
        <w:t>este documento</w:t>
      </w:r>
      <w:r>
        <w:rPr>
          <w:rFonts w:ascii="Verdana" w:eastAsia="Calibri" w:hAnsi="Verdana" w:cs="Arial"/>
        </w:rPr>
        <w:t xml:space="preserve"> se precisaron</w:t>
      </w:r>
      <w:r w:rsidRPr="00B3216C">
        <w:rPr>
          <w:rFonts w:ascii="Verdana" w:eastAsia="Calibri" w:hAnsi="Verdana" w:cs="Arial"/>
        </w:rPr>
        <w:t xml:space="preserve"> las normas aplicables tanto al régimen de inhabilidades</w:t>
      </w:r>
      <w:r>
        <w:rPr>
          <w:rFonts w:ascii="Verdana" w:eastAsia="Calibri" w:hAnsi="Verdana" w:cs="Arial"/>
        </w:rPr>
        <w:t xml:space="preserve"> e incompatibilidades</w:t>
      </w:r>
      <w:r w:rsidRPr="00B3216C">
        <w:rPr>
          <w:rFonts w:ascii="Verdana" w:eastAsia="Calibri" w:hAnsi="Verdana" w:cs="Arial"/>
        </w:rPr>
        <w:t xml:space="preserve"> como a los conflictos de inter</w:t>
      </w:r>
      <w:r>
        <w:rPr>
          <w:rFonts w:ascii="Verdana" w:eastAsia="Calibri" w:hAnsi="Verdana" w:cs="Arial"/>
        </w:rPr>
        <w:t>eses</w:t>
      </w:r>
      <w:r w:rsidRPr="00B3216C">
        <w:rPr>
          <w:rFonts w:ascii="Verdana" w:eastAsia="Calibri" w:hAnsi="Verdana" w:cs="Arial"/>
        </w:rPr>
        <w:t>. Adicionalmente, se debe señalar que la competencia para resolver un eventual conflicto de intereses recae en el servidor público que, conforme a la estructura organizacional de la entidad y lo previsto en su manual específico de funciones y procedimientos, tenga atribuida expresamente dicha facultad.</w:t>
      </w:r>
    </w:p>
    <w:p w14:paraId="57AA7230" w14:textId="77777777" w:rsidR="00EF65B3" w:rsidRPr="009852D7" w:rsidRDefault="00EF65B3" w:rsidP="00EF65B3">
      <w:pPr>
        <w:widowControl w:val="0"/>
        <w:autoSpaceDE w:val="0"/>
        <w:autoSpaceDN w:val="0"/>
        <w:spacing w:after="120" w:line="276" w:lineRule="auto"/>
        <w:ind w:firstLine="709"/>
        <w:jc w:val="both"/>
        <w:rPr>
          <w:rFonts w:ascii="Verdana" w:eastAsia="Arial MT" w:hAnsi="Verdana" w:cs="Arial"/>
          <w:lang w:eastAsia="es-ES" w:bidi="es-ES"/>
        </w:rPr>
      </w:pPr>
      <w:r w:rsidRPr="009852D7">
        <w:rPr>
          <w:rFonts w:ascii="Verdana" w:eastAsia="Calibri" w:hAnsi="Verdana" w:cs="Arial"/>
          <w:lang w:val="es-ES_tradnl"/>
        </w:rPr>
        <w:t>Bajo estas consideraciones, corresponde a cada entidad pública, en ejercicio de su competencia y previa valoración de los elementos fácticos y jurídicos, determinar la procedencia de una posible solución frente a la situación que se señaló en la consulta.</w:t>
      </w:r>
    </w:p>
    <w:p w14:paraId="40EB8683" w14:textId="77777777" w:rsidR="00EF65B3" w:rsidRPr="00B3216C" w:rsidRDefault="00EF65B3" w:rsidP="00EF65B3">
      <w:pPr>
        <w:widowControl w:val="0"/>
        <w:autoSpaceDE w:val="0"/>
        <w:autoSpaceDN w:val="0"/>
        <w:spacing w:after="0" w:line="276" w:lineRule="auto"/>
        <w:jc w:val="both"/>
        <w:rPr>
          <w:rFonts w:ascii="Verdana" w:eastAsia="Calibri" w:hAnsi="Verdana" w:cs="Arial"/>
          <w:lang w:val="es-ES_tradnl"/>
        </w:rPr>
      </w:pPr>
    </w:p>
    <w:p w14:paraId="269418B9" w14:textId="77777777" w:rsidR="00EF65B3" w:rsidRPr="009852D7" w:rsidRDefault="00EF65B3" w:rsidP="00EF65B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852D7">
        <w:rPr>
          <w:rFonts w:ascii="Verdana" w:eastAsia="Century Gothic" w:hAnsi="Verdana" w:cs="Century Gothic"/>
          <w:b/>
          <w:bCs/>
        </w:rPr>
        <w:t>Referencias normativas, jurisprudenciales y otras fuentes:</w:t>
      </w:r>
    </w:p>
    <w:p w14:paraId="1A852F7A" w14:textId="77777777" w:rsidR="00EF65B3" w:rsidRPr="009852D7" w:rsidRDefault="00EF65B3" w:rsidP="00EF65B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F65B3" w:rsidRPr="009852D7" w14:paraId="3AF646BC" w14:textId="77777777" w:rsidTr="00C63A15">
        <w:trPr>
          <w:trHeight w:val="870"/>
        </w:trPr>
        <w:tc>
          <w:tcPr>
            <w:tcW w:w="8647" w:type="dxa"/>
          </w:tcPr>
          <w:p w14:paraId="027B0CA1" w14:textId="77777777" w:rsidR="00EF65B3" w:rsidRPr="009852D7" w:rsidRDefault="00EF65B3" w:rsidP="00EF65B3">
            <w:pPr>
              <w:pStyle w:val="Prrafodelista"/>
              <w:numPr>
                <w:ilvl w:val="0"/>
                <w:numId w:val="17"/>
              </w:numPr>
            </w:pPr>
            <w:r w:rsidRPr="009852D7">
              <w:rPr>
                <w:rFonts w:ascii="Verdana" w:eastAsia="Calibri" w:hAnsi="Verdana" w:cs="Arial"/>
                <w:lang w:val="es-ES_tradnl"/>
              </w:rPr>
              <w:t>Constitución Política, artículo 6, artículo 29 y artículo 209.</w:t>
            </w:r>
          </w:p>
          <w:p w14:paraId="45A01D88" w14:textId="77777777" w:rsidR="00EF65B3" w:rsidRPr="009852D7" w:rsidRDefault="00EF65B3" w:rsidP="00EF65B3">
            <w:pPr>
              <w:pStyle w:val="Prrafodelista"/>
              <w:numPr>
                <w:ilvl w:val="0"/>
                <w:numId w:val="17"/>
              </w:numPr>
            </w:pPr>
            <w:r w:rsidRPr="009852D7">
              <w:rPr>
                <w:rFonts w:ascii="Verdana" w:eastAsia="Calibri" w:hAnsi="Verdana" w:cs="Arial"/>
                <w:lang w:val="es-ES_tradnl"/>
              </w:rPr>
              <w:t>Ley 80 de 1993, artículo 8, artículo 9, artículo 12, artículo, artículo 25, artículo 30.</w:t>
            </w:r>
          </w:p>
          <w:p w14:paraId="2A99C838" w14:textId="77777777" w:rsidR="00EF65B3" w:rsidRPr="009852D7" w:rsidRDefault="00EF65B3" w:rsidP="00EF65B3">
            <w:pPr>
              <w:pStyle w:val="Prrafodelista"/>
              <w:numPr>
                <w:ilvl w:val="0"/>
                <w:numId w:val="17"/>
              </w:numPr>
            </w:pPr>
            <w:r w:rsidRPr="009852D7">
              <w:rPr>
                <w:rFonts w:ascii="Verdana" w:eastAsia="Calibri" w:hAnsi="Verdana" w:cs="Arial"/>
                <w:lang w:val="es-ES_tradnl"/>
              </w:rPr>
              <w:t xml:space="preserve">Ley 1150 de 2007, artículo 9.  </w:t>
            </w:r>
          </w:p>
          <w:p w14:paraId="68A2E6B5" w14:textId="77777777" w:rsidR="00EF65B3" w:rsidRPr="009852D7" w:rsidRDefault="00EF65B3" w:rsidP="00EF65B3">
            <w:pPr>
              <w:pStyle w:val="Prrafodelista"/>
              <w:numPr>
                <w:ilvl w:val="0"/>
                <w:numId w:val="17"/>
              </w:numPr>
            </w:pPr>
            <w:r w:rsidRPr="009852D7">
              <w:rPr>
                <w:rFonts w:ascii="Verdana" w:eastAsia="Calibri" w:hAnsi="Verdana" w:cs="Arial"/>
                <w:lang w:eastAsia="es-ES"/>
              </w:rPr>
              <w:t>Ley 4170 de 2011, artículos 3, numeral 5º, y 11, numeral 8º.</w:t>
            </w:r>
          </w:p>
          <w:p w14:paraId="4C7989D7" w14:textId="77777777" w:rsidR="00EF65B3" w:rsidRDefault="00EF65B3" w:rsidP="00EF65B3">
            <w:pPr>
              <w:pStyle w:val="Prrafodelista"/>
              <w:widowControl w:val="0"/>
              <w:numPr>
                <w:ilvl w:val="0"/>
                <w:numId w:val="17"/>
              </w:numPr>
              <w:autoSpaceDE w:val="0"/>
              <w:autoSpaceDN w:val="0"/>
              <w:spacing w:after="120"/>
              <w:jc w:val="both"/>
              <w:rPr>
                <w:rFonts w:ascii="Verdana" w:hAnsi="Verdana" w:cs="Arial"/>
              </w:rPr>
            </w:pPr>
            <w:r w:rsidRPr="009852D7">
              <w:rPr>
                <w:rFonts w:ascii="Verdana" w:eastAsia="Calibri" w:hAnsi="Verdana" w:cs="Arial"/>
                <w:lang w:eastAsia="es-ES"/>
              </w:rPr>
              <w:t>Ley 1437 de 2011, artículo 44.</w:t>
            </w:r>
            <w:r w:rsidRPr="009852D7">
              <w:rPr>
                <w:rFonts w:ascii="Verdana" w:hAnsi="Verdana" w:cs="Arial"/>
              </w:rPr>
              <w:t xml:space="preserve"> </w:t>
            </w:r>
          </w:p>
          <w:p w14:paraId="6DA9E002" w14:textId="77777777" w:rsidR="00EF65B3" w:rsidRDefault="00EF65B3" w:rsidP="00EF65B3">
            <w:pPr>
              <w:pStyle w:val="Prrafodelista"/>
              <w:widowControl w:val="0"/>
              <w:numPr>
                <w:ilvl w:val="0"/>
                <w:numId w:val="17"/>
              </w:numPr>
              <w:autoSpaceDE w:val="0"/>
              <w:autoSpaceDN w:val="0"/>
              <w:spacing w:after="120"/>
              <w:jc w:val="both"/>
              <w:rPr>
                <w:rFonts w:ascii="Verdana" w:hAnsi="Verdana" w:cs="Arial"/>
              </w:rPr>
            </w:pPr>
            <w:r>
              <w:rPr>
                <w:rFonts w:ascii="Verdana" w:hAnsi="Verdana" w:cs="Arial"/>
              </w:rPr>
              <w:t>Ley 734 de 2002 artículo 40</w:t>
            </w:r>
          </w:p>
          <w:p w14:paraId="2903A3F0" w14:textId="77777777" w:rsidR="00EF65B3" w:rsidRDefault="00EF65B3" w:rsidP="00EF65B3">
            <w:pPr>
              <w:pStyle w:val="Prrafodelista"/>
              <w:widowControl w:val="0"/>
              <w:numPr>
                <w:ilvl w:val="0"/>
                <w:numId w:val="17"/>
              </w:numPr>
              <w:autoSpaceDE w:val="0"/>
              <w:autoSpaceDN w:val="0"/>
              <w:spacing w:after="120"/>
              <w:jc w:val="both"/>
              <w:rPr>
                <w:rFonts w:ascii="Verdana" w:hAnsi="Verdana" w:cs="Arial"/>
              </w:rPr>
            </w:pPr>
            <w:r w:rsidRPr="00B3216C">
              <w:rPr>
                <w:rFonts w:ascii="Verdana" w:hAnsi="Verdana" w:cs="Arial"/>
              </w:rPr>
              <w:t>CONSEJO DE ESTADO. Sala de Consulta y de Servicio Civil. Concepto del 23 de marzo de 2011. Rad. 2.045. C.P. Enrique José Arboleda Perdomo.</w:t>
            </w:r>
          </w:p>
          <w:p w14:paraId="0BB507BB" w14:textId="77777777" w:rsidR="00EF65B3" w:rsidRPr="00F52DC7" w:rsidRDefault="00EF65B3" w:rsidP="00EF65B3">
            <w:pPr>
              <w:pStyle w:val="Prrafodelista"/>
              <w:numPr>
                <w:ilvl w:val="0"/>
                <w:numId w:val="17"/>
              </w:numPr>
              <w:rPr>
                <w:rFonts w:ascii="Verdana" w:hAnsi="Verdana" w:cs="Arial"/>
              </w:rPr>
            </w:pPr>
            <w:r w:rsidRPr="00B3216C">
              <w:rPr>
                <w:rFonts w:ascii="Verdana" w:hAnsi="Verdana" w:cs="Arial"/>
              </w:rPr>
              <w:t xml:space="preserve">Consejo De Estado. Sección Tercera. Subsección A. Sentencia del 13 de noviembre de 2013. Rad. 25.646. C.P. Mauricio Fajardo Gómez.  </w:t>
            </w:r>
          </w:p>
        </w:tc>
      </w:tr>
    </w:tbl>
    <w:p w14:paraId="15045DCF" w14:textId="77777777" w:rsidR="00EF65B3" w:rsidRPr="009852D7" w:rsidRDefault="00EF65B3" w:rsidP="00EF65B3">
      <w:pPr>
        <w:widowControl w:val="0"/>
        <w:autoSpaceDE w:val="0"/>
        <w:autoSpaceDN w:val="0"/>
        <w:spacing w:after="0" w:line="240" w:lineRule="auto"/>
        <w:jc w:val="both"/>
        <w:rPr>
          <w:rFonts w:ascii="Verdana" w:hAnsi="Verdana" w:cs="Arial"/>
        </w:rPr>
      </w:pPr>
    </w:p>
    <w:p w14:paraId="638F9AED" w14:textId="77777777" w:rsidR="00EF65B3" w:rsidRPr="009852D7" w:rsidRDefault="00EF65B3" w:rsidP="00EF65B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852D7">
        <w:rPr>
          <w:rFonts w:ascii="Verdana" w:eastAsia="Century Gothic" w:hAnsi="Verdana" w:cs="Century Gothic"/>
          <w:b/>
          <w:bCs/>
        </w:rPr>
        <w:t>Doctrina de la Agencia Nacional de Contratación Pública:</w:t>
      </w:r>
    </w:p>
    <w:p w14:paraId="17374FF1" w14:textId="77777777" w:rsidR="00EF65B3" w:rsidRPr="009852D7" w:rsidRDefault="00EF65B3" w:rsidP="00EF65B3">
      <w:pPr>
        <w:widowControl w:val="0"/>
        <w:autoSpaceDE w:val="0"/>
        <w:autoSpaceDN w:val="0"/>
        <w:spacing w:after="0" w:line="276" w:lineRule="auto"/>
        <w:jc w:val="both"/>
        <w:rPr>
          <w:rFonts w:ascii="Verdana" w:hAnsi="Verdana" w:cs="Arial"/>
        </w:rPr>
      </w:pPr>
    </w:p>
    <w:p w14:paraId="40027BDC" w14:textId="77777777" w:rsidR="00EF65B3" w:rsidRPr="009852D7" w:rsidRDefault="00EF65B3" w:rsidP="00EF65B3">
      <w:pPr>
        <w:widowControl w:val="0"/>
        <w:autoSpaceDE w:val="0"/>
        <w:autoSpaceDN w:val="0"/>
        <w:spacing w:after="0" w:line="276" w:lineRule="auto"/>
        <w:jc w:val="both"/>
        <w:rPr>
          <w:rFonts w:ascii="Verdana" w:hAnsi="Verdana" w:cs="Arial"/>
        </w:rPr>
      </w:pPr>
    </w:p>
    <w:p w14:paraId="3A568050" w14:textId="77777777" w:rsidR="00EF65B3" w:rsidRPr="009852D7" w:rsidRDefault="00EF65B3" w:rsidP="00EF65B3">
      <w:pPr>
        <w:widowControl w:val="0"/>
        <w:autoSpaceDE w:val="0"/>
        <w:autoSpaceDN w:val="0"/>
        <w:spacing w:after="120" w:line="276" w:lineRule="auto"/>
        <w:jc w:val="both"/>
        <w:rPr>
          <w:rFonts w:ascii="Verdana" w:hAnsi="Verdana" w:cs="Arial"/>
        </w:rPr>
      </w:pPr>
      <w:r w:rsidRPr="009852D7">
        <w:rPr>
          <w:rFonts w:ascii="Verdana" w:eastAsia="Calibri" w:hAnsi="Verdana" w:cs="Arial"/>
          <w:lang w:val="es-ES_tradnl" w:eastAsia="es-ES_tradnl"/>
        </w:rPr>
        <w:t>Sobre el régimen de inhabilidades e incompatibilidades</w:t>
      </w:r>
      <w:r>
        <w:rPr>
          <w:rFonts w:ascii="Verdana" w:eastAsia="Calibri" w:hAnsi="Verdana" w:cs="Arial"/>
          <w:lang w:val="es-ES_tradnl" w:eastAsia="es-ES_tradnl"/>
        </w:rPr>
        <w:t xml:space="preserve"> y los conflictos de intereses</w:t>
      </w:r>
      <w:r w:rsidRPr="009852D7">
        <w:rPr>
          <w:rFonts w:ascii="Verdana" w:eastAsia="Calibri" w:hAnsi="Verdana" w:cs="Arial"/>
          <w:lang w:val="es-ES_tradnl" w:eastAsia="es-ES_tradnl"/>
        </w:rPr>
        <w:t xml:space="preserve"> se pronunció esta Subdirección en los conceptos </w:t>
      </w:r>
      <w:r w:rsidRPr="009852D7">
        <w:rPr>
          <w:rFonts w:ascii="Verdana" w:eastAsia="Calibri" w:hAnsi="Verdana" w:cs="Arial"/>
          <w:lang w:val="es-MX"/>
        </w:rPr>
        <w:t>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y C-039 del 23 de abril de 2024</w:t>
      </w:r>
      <w:r w:rsidRPr="009852D7">
        <w:rPr>
          <w:rFonts w:ascii="Verdana" w:hAnsi="Verdana" w:cs="Arial"/>
        </w:rPr>
        <w:t xml:space="preserve">. También se ha pronunciado sobre el conflicto de interés en los conceptos C-229 del 16 de abril de 2020, C-815 del 18 de febrero de 2021, C-449 del 31 de agosto de 2021, C-288 del 14 de julio de 2023, C-651 del 22 de </w:t>
      </w:r>
      <w:r w:rsidRPr="009852D7">
        <w:rPr>
          <w:rFonts w:ascii="Verdana" w:hAnsi="Verdana" w:cs="Arial"/>
        </w:rPr>
        <w:lastRenderedPageBreak/>
        <w:t>octubre de 2024, C-680 del 15 de noviembre de 2024, C-693 del 19 de noviembre de 2024 y C-839 del 13 de diciembre de 2024</w:t>
      </w:r>
      <w:r w:rsidRPr="009852D7">
        <w:rPr>
          <w:rFonts w:ascii="Verdana" w:hAnsi="Verdana" w:cs="Arial"/>
          <w:shd w:val="clear" w:color="auto" w:fill="FFFFFF"/>
          <w:lang w:val="es-ES"/>
        </w:rPr>
        <w:t>. Es</w:t>
      </w:r>
      <w:r w:rsidRPr="009852D7">
        <w:rPr>
          <w:rFonts w:ascii="Verdana" w:hAnsi="Verdana"/>
        </w:rPr>
        <w:t>tos y otros conceptos se encuentran disponibles para consulta en el Sistema de relatoría de la Agencia, al cual se puede acceder a través del siguiente enlace:</w:t>
      </w:r>
      <w:r w:rsidRPr="009852D7">
        <w:rPr>
          <w:rFonts w:ascii="Verdana" w:hAnsi="Verdana" w:cs="Arial"/>
          <w:shd w:val="clear" w:color="auto" w:fill="FFFFFF"/>
          <w:lang w:val="es-ES"/>
        </w:rPr>
        <w:t xml:space="preserve"> </w:t>
      </w:r>
      <w:hyperlink r:id="rId11" w:history="1">
        <w:r w:rsidRPr="009852D7">
          <w:rPr>
            <w:rFonts w:ascii="Verdana" w:hAnsi="Verdana" w:cs="Arial"/>
            <w:color w:val="0563C1" w:themeColor="hyperlink"/>
            <w:u w:val="single"/>
            <w:shd w:val="clear" w:color="auto" w:fill="FFFFFF"/>
            <w:lang w:val="es-ES"/>
          </w:rPr>
          <w:t>https://relatoria.colombiacompra.gov.co/busqueda/conceptos</w:t>
        </w:r>
      </w:hyperlink>
      <w:r w:rsidRPr="009852D7">
        <w:rPr>
          <w:rFonts w:ascii="Verdana" w:hAnsi="Verdana" w:cs="Arial"/>
          <w:shd w:val="clear" w:color="auto" w:fill="FFFFFF"/>
          <w:lang w:val="es-ES"/>
        </w:rPr>
        <w:t>.</w:t>
      </w:r>
      <w:r w:rsidRPr="009852D7">
        <w:rPr>
          <w:rFonts w:ascii="Verdana" w:hAnsi="Verdana" w:cs="Arial"/>
          <w:color w:val="FF0000"/>
          <w:shd w:val="clear" w:color="auto" w:fill="FFFFFF"/>
          <w:lang w:val="es-ES"/>
        </w:rPr>
        <w:t xml:space="preserve"> </w:t>
      </w:r>
      <w:r w:rsidRPr="009852D7">
        <w:rPr>
          <w:rFonts w:ascii="Verdana" w:hAnsi="Verdana" w:cs="Arial"/>
          <w:color w:val="000000" w:themeColor="text1"/>
          <w:shd w:val="clear" w:color="auto" w:fill="FFFFFF"/>
        </w:rPr>
        <w:t>  </w:t>
      </w:r>
    </w:p>
    <w:p w14:paraId="23854B4A" w14:textId="77777777" w:rsidR="00EF65B3" w:rsidRPr="009852D7" w:rsidRDefault="00EF65B3" w:rsidP="00EF65B3">
      <w:pPr>
        <w:spacing w:after="0" w:line="276" w:lineRule="auto"/>
        <w:jc w:val="both"/>
        <w:rPr>
          <w:rFonts w:ascii="Verdana" w:hAnsi="Verdana"/>
        </w:rPr>
      </w:pPr>
    </w:p>
    <w:p w14:paraId="4BA621A3" w14:textId="77777777" w:rsidR="00EF65B3" w:rsidRDefault="00EF65B3" w:rsidP="00EF65B3">
      <w:pPr>
        <w:widowControl w:val="0"/>
        <w:autoSpaceDE w:val="0"/>
        <w:autoSpaceDN w:val="0"/>
        <w:spacing w:after="0" w:line="276" w:lineRule="auto"/>
        <w:jc w:val="both"/>
        <w:rPr>
          <w:rFonts w:ascii="Verdana" w:hAnsi="Verdana" w:cs="Arial"/>
          <w:shd w:val="clear" w:color="auto" w:fill="FFFFFF"/>
        </w:rPr>
      </w:pPr>
      <w:r w:rsidRPr="006E0216">
        <w:rPr>
          <w:rFonts w:ascii="Verdana" w:hAnsi="Verdana" w:cs="Arial"/>
          <w:shd w:val="clear" w:color="auto" w:fill="FFFFFF"/>
        </w:rPr>
        <w:t>Te informamos que ya se encuentra disponible la </w:t>
      </w:r>
      <w:r w:rsidRPr="006E0216">
        <w:rPr>
          <w:rFonts w:ascii="Verdana" w:hAnsi="Verdana" w:cs="Arial"/>
          <w:b/>
          <w:bCs/>
          <w:shd w:val="clear" w:color="auto" w:fill="FFFFFF"/>
        </w:rPr>
        <w:t>Cartilla para incentivar y fortalecer el acceso a las compras y contratación pública de los pueblos y comunidades étnicas en Colombia.</w:t>
      </w:r>
      <w:r w:rsidRPr="006E0216">
        <w:rPr>
          <w:rFonts w:ascii="Verdana" w:hAnsi="Verdana" w:cs="Arial"/>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2" w:history="1">
        <w:r w:rsidRPr="00450786">
          <w:rPr>
            <w:rStyle w:val="Hipervnculo"/>
            <w:rFonts w:ascii="Verdana" w:hAnsi="Verdana" w:cs="Arial"/>
            <w:shd w:val="clear" w:color="auto" w:fill="FFFFFF"/>
          </w:rPr>
          <w:t>https://operaciones.colombiacompra.gov.co/sites/cce_public/files/cce_documents/cartilla_compra_eficiente_final_250318_124733.pdf</w:t>
        </w:r>
      </w:hyperlink>
    </w:p>
    <w:p w14:paraId="3F653631" w14:textId="77777777" w:rsidR="00EF65B3" w:rsidRPr="006E0216" w:rsidRDefault="00EF65B3" w:rsidP="00EF65B3">
      <w:pPr>
        <w:widowControl w:val="0"/>
        <w:autoSpaceDE w:val="0"/>
        <w:autoSpaceDN w:val="0"/>
        <w:spacing w:after="0" w:line="276" w:lineRule="auto"/>
        <w:jc w:val="both"/>
        <w:rPr>
          <w:rFonts w:ascii="Verdana" w:hAnsi="Verdana" w:cs="Arial"/>
          <w:shd w:val="clear" w:color="auto" w:fill="FFFFFF"/>
        </w:rPr>
      </w:pPr>
    </w:p>
    <w:p w14:paraId="28DCD6AF" w14:textId="77777777" w:rsidR="00EF65B3" w:rsidRPr="006E0216" w:rsidRDefault="00EF65B3" w:rsidP="00EF65B3">
      <w:pPr>
        <w:widowControl w:val="0"/>
        <w:autoSpaceDE w:val="0"/>
        <w:autoSpaceDN w:val="0"/>
        <w:spacing w:after="0" w:line="276" w:lineRule="auto"/>
        <w:jc w:val="both"/>
        <w:rPr>
          <w:rFonts w:ascii="Verdana" w:hAnsi="Verdana" w:cs="Arial"/>
          <w:shd w:val="clear" w:color="auto" w:fill="FFFFFF"/>
        </w:rPr>
      </w:pPr>
      <w:r w:rsidRPr="006E0216">
        <w:rPr>
          <w:rFonts w:ascii="Verdana" w:hAnsi="Verdana" w:cs="Arial"/>
          <w:shd w:val="clear" w:color="auto" w:fill="FFFFFF"/>
        </w:rPr>
        <w:t> </w:t>
      </w:r>
    </w:p>
    <w:p w14:paraId="3B24CC18" w14:textId="77777777" w:rsidR="00EF65B3" w:rsidRPr="006E0216" w:rsidRDefault="00EF65B3" w:rsidP="00EF65B3">
      <w:pPr>
        <w:widowControl w:val="0"/>
        <w:autoSpaceDE w:val="0"/>
        <w:autoSpaceDN w:val="0"/>
        <w:spacing w:after="0" w:line="276" w:lineRule="auto"/>
        <w:jc w:val="both"/>
        <w:rPr>
          <w:rFonts w:ascii="Verdana" w:hAnsi="Verdana" w:cs="Arial"/>
          <w:shd w:val="clear" w:color="auto" w:fill="FFFFFF"/>
        </w:rPr>
      </w:pPr>
      <w:r w:rsidRPr="006E0216">
        <w:rPr>
          <w:rFonts w:ascii="Verdana" w:hAnsi="Verdana" w:cs="Arial"/>
          <w:shd w:val="clear" w:color="auto" w:fill="FFFFFF"/>
        </w:rPr>
        <w:t>De otra parte, te informamos que, con el objetivo de garantizar un conocimiento adecuado de las </w:t>
      </w:r>
      <w:r w:rsidRPr="006E0216">
        <w:rPr>
          <w:rFonts w:ascii="Verdana" w:hAnsi="Verdana" w:cs="Arial"/>
          <w:b/>
          <w:bCs/>
          <w:shd w:val="clear" w:color="auto" w:fill="FFFFFF"/>
        </w:rPr>
        <w:t>modificaciones y/o actualizaciones realizadas a los Documentos Tipo</w:t>
      </w:r>
      <w:r w:rsidRPr="006E0216">
        <w:rPr>
          <w:rFonts w:ascii="Verdana" w:hAnsi="Verdana" w:cs="Arial"/>
          <w:shd w:val="clear" w:color="auto" w:fill="FFFFFF"/>
        </w:rPr>
        <w:t>, hemos programado una serie de </w:t>
      </w:r>
      <w:r w:rsidRPr="006E0216">
        <w:rPr>
          <w:rFonts w:ascii="Verdana" w:hAnsi="Verdana" w:cs="Arial"/>
          <w:b/>
          <w:bCs/>
          <w:shd w:val="clear" w:color="auto" w:fill="FFFFFF"/>
        </w:rPr>
        <w:t>capacitaciones </w:t>
      </w:r>
      <w:r w:rsidRPr="006E0216">
        <w:rPr>
          <w:rFonts w:ascii="Verdana" w:hAnsi="Verdana" w:cs="Arial"/>
          <w:shd w:val="clear" w:color="auto" w:fill="FFFFFF"/>
        </w:rPr>
        <w:t>dirigidas a todos los actores involucrados en los procesos de selección. Podrás conocer la programación y realizar tu inscripción a estas capacitaciones a través del siguiente enlace: </w:t>
      </w:r>
      <w:hyperlink r:id="rId13" w:tgtFrame="_blank" w:history="1">
        <w:r w:rsidRPr="006E0216">
          <w:rPr>
            <w:rStyle w:val="Hipervnculo"/>
            <w:rFonts w:ascii="Verdana" w:hAnsi="Verdana" w:cs="Arial"/>
            <w:shd w:val="clear" w:color="auto" w:fill="FFFFFF"/>
          </w:rPr>
          <w:t>Calendario | Colombia Compra Eficiente | Agencia Nacional de Contratación Pública</w:t>
        </w:r>
      </w:hyperlink>
      <w:r w:rsidRPr="006E0216">
        <w:rPr>
          <w:rFonts w:ascii="Verdana" w:hAnsi="Verdana" w:cs="Arial"/>
          <w:shd w:val="clear" w:color="auto" w:fill="FFFFFF"/>
        </w:rPr>
        <w:t> </w:t>
      </w:r>
    </w:p>
    <w:p w14:paraId="0DB68A5D" w14:textId="77777777" w:rsidR="00EF65B3" w:rsidRPr="006E0216" w:rsidRDefault="00EF65B3" w:rsidP="00EF65B3">
      <w:pPr>
        <w:widowControl w:val="0"/>
        <w:autoSpaceDE w:val="0"/>
        <w:autoSpaceDN w:val="0"/>
        <w:spacing w:after="0" w:line="276" w:lineRule="auto"/>
        <w:jc w:val="both"/>
        <w:rPr>
          <w:rFonts w:ascii="Verdana" w:hAnsi="Verdana" w:cs="Arial"/>
          <w:shd w:val="clear" w:color="auto" w:fill="FFFFFF"/>
        </w:rPr>
      </w:pPr>
      <w:r w:rsidRPr="006E0216">
        <w:rPr>
          <w:rFonts w:ascii="Verdana" w:hAnsi="Verdana" w:cs="Arial"/>
          <w:shd w:val="clear" w:color="auto" w:fill="FFFFFF"/>
        </w:rPr>
        <w:t> </w:t>
      </w:r>
    </w:p>
    <w:p w14:paraId="2EE6DCDD" w14:textId="77777777" w:rsidR="00EF65B3" w:rsidRPr="006E0216" w:rsidRDefault="00EF65B3" w:rsidP="00EF65B3">
      <w:pPr>
        <w:widowControl w:val="0"/>
        <w:autoSpaceDE w:val="0"/>
        <w:autoSpaceDN w:val="0"/>
        <w:spacing w:after="0" w:line="276" w:lineRule="auto"/>
        <w:jc w:val="both"/>
        <w:rPr>
          <w:rFonts w:ascii="Verdana" w:hAnsi="Verdana" w:cs="Arial"/>
          <w:shd w:val="clear" w:color="auto" w:fill="FFFFFF"/>
        </w:rPr>
      </w:pPr>
      <w:r w:rsidRPr="006E0216">
        <w:rPr>
          <w:rFonts w:ascii="Verdana" w:hAnsi="Verdana" w:cs="Arial"/>
          <w:shd w:val="clear" w:color="auto" w:fill="FFFFFF"/>
        </w:rPr>
        <w:t>También, te contamos que ya publicamos </w:t>
      </w:r>
      <w:r w:rsidRPr="006E0216">
        <w:rPr>
          <w:rFonts w:ascii="Verdana" w:hAnsi="Verdana" w:cs="Arial"/>
          <w:b/>
          <w:bCs/>
          <w:shd w:val="clear" w:color="auto" w:fill="FFFFFF"/>
        </w:rPr>
        <w:t>la nueva Guía de Contratación Pública Sostenible y Socialmente Responsable</w:t>
      </w:r>
      <w:r w:rsidRPr="006E0216">
        <w:rPr>
          <w:rFonts w:ascii="Verdana"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history="1">
        <w:r w:rsidRPr="006E0216">
          <w:rPr>
            <w:rStyle w:val="Hipervnculo"/>
            <w:rFonts w:ascii="Verdana" w:hAnsi="Verdana" w:cs="Arial"/>
            <w:shd w:val="clear" w:color="auto" w:fill="FFFFFF"/>
          </w:rPr>
          <w:t>Guía de Contratación Pública Sostenible y Socialmente Responsable | Colombia Compra Eficiente | Agencia Nacional de Contratación Pública</w:t>
        </w:r>
      </w:hyperlink>
      <w:r w:rsidRPr="006E0216">
        <w:rPr>
          <w:rFonts w:ascii="Verdana" w:hAnsi="Verdana" w:cs="Arial"/>
          <w:shd w:val="clear" w:color="auto" w:fill="FFFFFF"/>
        </w:rPr>
        <w:t>  </w:t>
      </w:r>
      <w:r w:rsidRPr="006E0216">
        <w:rPr>
          <w:rFonts w:ascii="Verdana" w:hAnsi="Verdana" w:cs="Arial"/>
          <w:shd w:val="clear" w:color="auto" w:fill="FFFFFF"/>
          <w:lang w:val="es-ES"/>
        </w:rPr>
        <w:t>  </w:t>
      </w:r>
      <w:r w:rsidRPr="006E0216">
        <w:rPr>
          <w:rFonts w:ascii="Verdana" w:hAnsi="Verdana" w:cs="Arial"/>
          <w:shd w:val="clear" w:color="auto" w:fill="FFFFFF"/>
        </w:rPr>
        <w:t> </w:t>
      </w:r>
    </w:p>
    <w:p w14:paraId="69B3E446" w14:textId="77777777" w:rsidR="00EF65B3" w:rsidRPr="008557D1" w:rsidRDefault="00EF65B3" w:rsidP="00EF65B3">
      <w:pPr>
        <w:widowControl w:val="0"/>
        <w:autoSpaceDE w:val="0"/>
        <w:autoSpaceDN w:val="0"/>
        <w:spacing w:after="0" w:line="276" w:lineRule="auto"/>
        <w:jc w:val="both"/>
        <w:rPr>
          <w:rStyle w:val="normaltextrun"/>
          <w:rFonts w:ascii="Verdana" w:hAnsi="Verdana" w:cs="Arial"/>
          <w:shd w:val="clear" w:color="auto" w:fill="FFFFFF"/>
          <w:lang w:val="es-ES"/>
        </w:rPr>
      </w:pPr>
    </w:p>
    <w:p w14:paraId="3549310A" w14:textId="77777777" w:rsidR="00EF65B3" w:rsidRPr="009852D7" w:rsidRDefault="00EF65B3" w:rsidP="00EF65B3">
      <w:pPr>
        <w:spacing w:after="0" w:line="276" w:lineRule="auto"/>
        <w:jc w:val="both"/>
        <w:rPr>
          <w:rFonts w:ascii="Verdana" w:hAnsi="Verdana"/>
        </w:rPr>
      </w:pPr>
      <w:r w:rsidRPr="009852D7">
        <w:rPr>
          <w:rFonts w:ascii="Verdana" w:hAnsi="Verdana"/>
        </w:rPr>
        <w:t xml:space="preserve">Por último, lo invitamos a seguirnos en las redes sociales en las cuales se difunde información institucional: </w:t>
      </w:r>
    </w:p>
    <w:p w14:paraId="53EB1DC7" w14:textId="77777777" w:rsidR="00EF65B3" w:rsidRPr="009852D7" w:rsidRDefault="00EF65B3" w:rsidP="00EF65B3">
      <w:pPr>
        <w:spacing w:after="0" w:line="276" w:lineRule="auto"/>
        <w:jc w:val="both"/>
        <w:rPr>
          <w:rFonts w:ascii="Verdana" w:hAnsi="Verdana"/>
        </w:rPr>
      </w:pPr>
    </w:p>
    <w:p w14:paraId="7DE250A1" w14:textId="77777777" w:rsidR="00EF65B3" w:rsidRPr="009852D7" w:rsidRDefault="00EF65B3" w:rsidP="00EF65B3">
      <w:pPr>
        <w:spacing w:after="0" w:line="276" w:lineRule="auto"/>
        <w:jc w:val="both"/>
        <w:rPr>
          <w:rFonts w:ascii="Verdana" w:hAnsi="Verdana"/>
        </w:rPr>
      </w:pPr>
      <w:r w:rsidRPr="009852D7">
        <w:rPr>
          <w:rFonts w:ascii="Verdana" w:hAnsi="Verdana"/>
        </w:rPr>
        <w:lastRenderedPageBreak/>
        <w:t xml:space="preserve">Twitter: </w:t>
      </w:r>
      <w:r w:rsidRPr="009852D7">
        <w:rPr>
          <w:rStyle w:val="Hipervnculo"/>
          <w:rFonts w:ascii="Verdana" w:hAnsi="Verdana"/>
        </w:rPr>
        <w:t>@colombiacompra</w:t>
      </w:r>
      <w:r w:rsidRPr="009852D7">
        <w:rPr>
          <w:rFonts w:ascii="Verdana" w:hAnsi="Verdana"/>
        </w:rPr>
        <w:t xml:space="preserve"> </w:t>
      </w:r>
    </w:p>
    <w:p w14:paraId="6E3C1B8F" w14:textId="77777777" w:rsidR="00EF65B3" w:rsidRPr="009852D7" w:rsidRDefault="00EF65B3" w:rsidP="00EF65B3">
      <w:pPr>
        <w:spacing w:after="0" w:line="276" w:lineRule="auto"/>
        <w:jc w:val="both"/>
        <w:rPr>
          <w:rFonts w:ascii="Verdana" w:hAnsi="Verdana"/>
        </w:rPr>
      </w:pPr>
      <w:r w:rsidRPr="009852D7">
        <w:rPr>
          <w:rFonts w:ascii="Verdana" w:hAnsi="Verdana"/>
        </w:rPr>
        <w:t xml:space="preserve">Facebook: </w:t>
      </w:r>
      <w:proofErr w:type="spellStart"/>
      <w:r w:rsidRPr="009852D7">
        <w:rPr>
          <w:rStyle w:val="Hipervnculo"/>
          <w:rFonts w:ascii="Verdana" w:hAnsi="Verdana"/>
        </w:rPr>
        <w:t>ColombiaCompraEficiente</w:t>
      </w:r>
      <w:proofErr w:type="spellEnd"/>
    </w:p>
    <w:p w14:paraId="12FA2C85" w14:textId="77777777" w:rsidR="00EF65B3" w:rsidRPr="009852D7" w:rsidRDefault="00EF65B3" w:rsidP="00EF65B3">
      <w:pPr>
        <w:spacing w:after="0" w:line="276" w:lineRule="auto"/>
        <w:jc w:val="both"/>
        <w:rPr>
          <w:rStyle w:val="Hipervnculo"/>
          <w:rFonts w:ascii="Verdana" w:hAnsi="Verdana"/>
        </w:rPr>
      </w:pPr>
      <w:r w:rsidRPr="009852D7">
        <w:rPr>
          <w:rFonts w:ascii="Verdana" w:hAnsi="Verdana"/>
        </w:rPr>
        <w:t xml:space="preserve">LinkedIn: </w:t>
      </w:r>
      <w:r w:rsidRPr="009852D7">
        <w:rPr>
          <w:rStyle w:val="Hipervnculo"/>
          <w:rFonts w:ascii="Verdana" w:hAnsi="Verdana"/>
        </w:rPr>
        <w:t>Agencia Nacional de Contratación Pública - Colombia Compra Eficiente</w:t>
      </w:r>
      <w:r w:rsidRPr="009852D7">
        <w:rPr>
          <w:rFonts w:ascii="Verdana" w:hAnsi="Verdana"/>
        </w:rPr>
        <w:t xml:space="preserve"> Instagram: </w:t>
      </w:r>
      <w:r w:rsidRPr="009852D7">
        <w:rPr>
          <w:rStyle w:val="Hipervnculo"/>
          <w:rFonts w:ascii="Verdana" w:hAnsi="Verdana"/>
        </w:rPr>
        <w:t>@colombiacompraeficiente_cce</w:t>
      </w:r>
    </w:p>
    <w:p w14:paraId="228AAFA1" w14:textId="77777777" w:rsidR="00EF65B3" w:rsidRPr="009852D7" w:rsidRDefault="00EF65B3" w:rsidP="00EF65B3">
      <w:pPr>
        <w:widowControl w:val="0"/>
        <w:autoSpaceDE w:val="0"/>
        <w:autoSpaceDN w:val="0"/>
        <w:spacing w:after="0" w:line="276" w:lineRule="auto"/>
        <w:jc w:val="both"/>
        <w:rPr>
          <w:rFonts w:ascii="Verdana" w:hAnsi="Verdana" w:cs="Arial"/>
        </w:rPr>
      </w:pPr>
    </w:p>
    <w:p w14:paraId="3D8067A4" w14:textId="77777777" w:rsidR="00EF65B3" w:rsidRPr="009852D7" w:rsidRDefault="00EF65B3" w:rsidP="00EF65B3">
      <w:pPr>
        <w:widowControl w:val="0"/>
        <w:autoSpaceDE w:val="0"/>
        <w:autoSpaceDN w:val="0"/>
        <w:spacing w:after="0" w:line="276" w:lineRule="auto"/>
        <w:jc w:val="both"/>
        <w:rPr>
          <w:rFonts w:ascii="Verdana" w:hAnsi="Verdana" w:cs="Arial"/>
          <w:lang w:val="es-ES_tradnl"/>
        </w:rPr>
      </w:pPr>
      <w:r w:rsidRPr="009852D7">
        <w:rPr>
          <w:rFonts w:ascii="Verdana" w:hAnsi="Verdana" w:cs="Arial"/>
        </w:rPr>
        <w:t xml:space="preserve">Este concepto tiene el alcance previsto en el artículo 28 del Código de Procedimiento Administrativo y de lo Contencioso Administrativo </w:t>
      </w:r>
      <w:r w:rsidRPr="009852D7">
        <w:rPr>
          <w:rFonts w:ascii="Verdana" w:hAnsi="Verdana" w:cs="Arial"/>
          <w:lang w:val="es-ES_tradnl"/>
        </w:rPr>
        <w:t>y las expresiones aquí utilizadas con mayúscula inicial deben ser entendidas con el significado que les otorga el artículo 2.2.1.1.1.3.1. del Decreto 1082 de 2015.</w:t>
      </w:r>
    </w:p>
    <w:p w14:paraId="0214C23E" w14:textId="77777777" w:rsidR="00EF65B3" w:rsidRPr="009852D7" w:rsidRDefault="00EF65B3" w:rsidP="00EF65B3">
      <w:pPr>
        <w:widowControl w:val="0"/>
        <w:autoSpaceDE w:val="0"/>
        <w:autoSpaceDN w:val="0"/>
        <w:spacing w:after="0" w:line="276" w:lineRule="auto"/>
        <w:jc w:val="both"/>
        <w:rPr>
          <w:rFonts w:ascii="Verdana" w:hAnsi="Verdana" w:cs="Arial"/>
        </w:rPr>
      </w:pPr>
    </w:p>
    <w:p w14:paraId="716C78D2" w14:textId="77777777" w:rsidR="00EF65B3" w:rsidRPr="009852D7" w:rsidRDefault="00EF65B3" w:rsidP="00EF65B3">
      <w:pPr>
        <w:widowControl w:val="0"/>
        <w:autoSpaceDE w:val="0"/>
        <w:autoSpaceDN w:val="0"/>
        <w:spacing w:after="0" w:line="276" w:lineRule="auto"/>
        <w:jc w:val="both"/>
        <w:rPr>
          <w:rFonts w:ascii="Verdana" w:hAnsi="Verdana" w:cs="Arial"/>
        </w:rPr>
      </w:pPr>
    </w:p>
    <w:p w14:paraId="69640840" w14:textId="77777777" w:rsidR="00EF65B3" w:rsidRPr="009852D7" w:rsidRDefault="00EF65B3" w:rsidP="00EF65B3">
      <w:pPr>
        <w:spacing w:after="0" w:line="276" w:lineRule="auto"/>
        <w:rPr>
          <w:rFonts w:ascii="Verdana" w:hAnsi="Verdana" w:cs="Arial"/>
          <w:lang w:eastAsia="es-CO"/>
        </w:rPr>
      </w:pPr>
      <w:r w:rsidRPr="009852D7">
        <w:rPr>
          <w:rFonts w:ascii="Verdana" w:eastAsia="Times New Roman" w:hAnsi="Verdana" w:cs="Arial"/>
          <w:lang w:eastAsia="es-CO"/>
        </w:rPr>
        <w:t>Atentamente,</w:t>
      </w:r>
      <w:r w:rsidRPr="009852D7">
        <w:rPr>
          <w:rFonts w:ascii="Verdana" w:hAnsi="Verdana" w:cs="Arial"/>
          <w:lang w:eastAsia="es-CO"/>
        </w:rPr>
        <w:t xml:space="preserve"> </w:t>
      </w:r>
    </w:p>
    <w:p w14:paraId="3D9D68AD" w14:textId="617FAFED" w:rsidR="00EF65B3" w:rsidRPr="009852D7" w:rsidRDefault="00374E23" w:rsidP="00EF65B3">
      <w:pPr>
        <w:spacing w:line="276" w:lineRule="auto"/>
        <w:jc w:val="center"/>
        <w:rPr>
          <w:rFonts w:ascii="Verdana" w:hAnsi="Verdana" w:cs="Arial"/>
          <w:lang w:val="es-ES_tradnl" w:eastAsia="es-CO"/>
        </w:rPr>
      </w:pPr>
      <w:r>
        <w:rPr>
          <w:rFonts w:ascii="Verdana" w:hAnsi="Verdana" w:cs="Arial"/>
          <w:noProof/>
          <w:lang w:val="es-ES_tradnl" w:eastAsia="es-CO"/>
        </w:rPr>
        <w:drawing>
          <wp:inline distT="0" distB="0" distL="0" distR="0" wp14:anchorId="7A8CEFE2" wp14:editId="7ECD0D72">
            <wp:extent cx="3639058" cy="1343212"/>
            <wp:effectExtent l="0" t="0" r="0" b="0"/>
            <wp:docPr id="121402503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025031"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F65B3" w:rsidRPr="009852D7" w14:paraId="6014907A" w14:textId="77777777" w:rsidTr="00C63A15">
        <w:trPr>
          <w:trHeight w:val="315"/>
        </w:trPr>
        <w:tc>
          <w:tcPr>
            <w:tcW w:w="893" w:type="dxa"/>
            <w:vAlign w:val="center"/>
            <w:hideMark/>
          </w:tcPr>
          <w:p w14:paraId="5AC57E20" w14:textId="77777777" w:rsidR="00EF65B3" w:rsidRPr="009852D7" w:rsidRDefault="00EF65B3" w:rsidP="00C63A15">
            <w:pPr>
              <w:contextualSpacing/>
              <w:rPr>
                <w:rFonts w:ascii="Verdana" w:hAnsi="Verdana" w:cs="Arial"/>
                <w:sz w:val="16"/>
                <w:szCs w:val="16"/>
                <w:lang w:val="es-ES" w:eastAsia="es-ES"/>
              </w:rPr>
            </w:pPr>
          </w:p>
          <w:p w14:paraId="65848430" w14:textId="77777777" w:rsidR="00EF65B3" w:rsidRPr="009852D7" w:rsidRDefault="00EF65B3" w:rsidP="00C63A15">
            <w:pPr>
              <w:contextualSpacing/>
              <w:rPr>
                <w:rFonts w:ascii="Verdana" w:hAnsi="Verdana" w:cs="Arial"/>
                <w:sz w:val="16"/>
                <w:szCs w:val="16"/>
                <w:lang w:val="es-ES" w:eastAsia="es-ES"/>
              </w:rPr>
            </w:pPr>
          </w:p>
          <w:p w14:paraId="27D01B3A" w14:textId="77777777" w:rsidR="00EF65B3" w:rsidRPr="009852D7" w:rsidRDefault="00EF65B3" w:rsidP="00C63A15">
            <w:pPr>
              <w:contextualSpacing/>
              <w:rPr>
                <w:rFonts w:ascii="Verdana" w:hAnsi="Verdana" w:cs="Arial"/>
                <w:sz w:val="16"/>
                <w:szCs w:val="16"/>
                <w:lang w:val="es-ES" w:eastAsia="es-ES"/>
              </w:rPr>
            </w:pPr>
          </w:p>
          <w:p w14:paraId="75B14839" w14:textId="77777777" w:rsidR="00EF65B3" w:rsidRPr="009852D7" w:rsidRDefault="00EF65B3" w:rsidP="00C63A15">
            <w:pPr>
              <w:contextualSpacing/>
              <w:rPr>
                <w:rFonts w:ascii="Verdana" w:hAnsi="Verdana" w:cs="Arial"/>
                <w:sz w:val="16"/>
                <w:szCs w:val="16"/>
                <w:lang w:val="es-ES" w:eastAsia="es-ES"/>
              </w:rPr>
            </w:pPr>
            <w:r w:rsidRPr="009852D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E444033" w14:textId="77777777" w:rsidR="00EF65B3" w:rsidRPr="009852D7" w:rsidRDefault="00EF65B3" w:rsidP="00C63A15">
            <w:pPr>
              <w:contextualSpacing/>
              <w:rPr>
                <w:rFonts w:ascii="Verdana" w:eastAsia="Arial" w:hAnsi="Verdana" w:cs="Arial"/>
                <w:sz w:val="16"/>
                <w:szCs w:val="16"/>
              </w:rPr>
            </w:pPr>
            <w:r w:rsidRPr="009852D7">
              <w:rPr>
                <w:rFonts w:ascii="Verdana" w:eastAsia="Arial" w:hAnsi="Verdana" w:cs="Arial"/>
                <w:sz w:val="16"/>
                <w:szCs w:val="16"/>
              </w:rPr>
              <w:t>Gloria Elizabeth Arango Builes</w:t>
            </w:r>
          </w:p>
          <w:p w14:paraId="3B5FAA49" w14:textId="77777777" w:rsidR="00EF65B3" w:rsidRPr="009852D7" w:rsidRDefault="00EF65B3" w:rsidP="00C63A15">
            <w:pPr>
              <w:contextualSpacing/>
              <w:rPr>
                <w:rFonts w:ascii="Verdana" w:eastAsia="Arial" w:hAnsi="Verdana" w:cs="Arial"/>
                <w:sz w:val="16"/>
                <w:szCs w:val="16"/>
              </w:rPr>
            </w:pPr>
            <w:r w:rsidRPr="009852D7">
              <w:rPr>
                <w:rStyle w:val="normaltextrun"/>
                <w:rFonts w:ascii="Verdana" w:eastAsia="Arial" w:hAnsi="Verdana" w:cs="Arial"/>
                <w:sz w:val="16"/>
                <w:szCs w:val="16"/>
              </w:rPr>
              <w:t>Contratista de la Subdirección de Gestión Contractual</w:t>
            </w:r>
          </w:p>
        </w:tc>
      </w:tr>
      <w:tr w:rsidR="00EF65B3" w:rsidRPr="009852D7" w14:paraId="1BA22F1B" w14:textId="77777777" w:rsidTr="00C63A15">
        <w:trPr>
          <w:trHeight w:val="330"/>
        </w:trPr>
        <w:tc>
          <w:tcPr>
            <w:tcW w:w="893" w:type="dxa"/>
            <w:vAlign w:val="center"/>
            <w:hideMark/>
          </w:tcPr>
          <w:p w14:paraId="0FF78FFC" w14:textId="77777777" w:rsidR="00EF65B3" w:rsidRPr="009852D7" w:rsidRDefault="00EF65B3" w:rsidP="00C63A15">
            <w:pPr>
              <w:contextualSpacing/>
              <w:rPr>
                <w:rFonts w:ascii="Verdana" w:hAnsi="Verdana" w:cs="Arial"/>
                <w:sz w:val="16"/>
                <w:szCs w:val="16"/>
                <w:lang w:val="es-ES" w:eastAsia="es-ES"/>
              </w:rPr>
            </w:pPr>
            <w:r w:rsidRPr="009852D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5B6D19" w14:textId="77777777" w:rsidR="00EF65B3" w:rsidRPr="009852D7" w:rsidRDefault="00EF65B3" w:rsidP="00C63A15">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Alejandro Sarmiento Cantillo</w:t>
            </w:r>
          </w:p>
          <w:p w14:paraId="7975148C" w14:textId="77777777" w:rsidR="00EF65B3" w:rsidRPr="009852D7" w:rsidRDefault="00EF65B3" w:rsidP="00C63A15">
            <w:pPr>
              <w:pStyle w:val="paragraph"/>
              <w:spacing w:before="0" w:beforeAutospacing="0" w:after="0" w:afterAutospacing="0"/>
              <w:contextualSpacing/>
              <w:textAlignment w:val="baseline"/>
              <w:rPr>
                <w:rFonts w:ascii="Verdana" w:hAnsi="Verdana" w:cs="Segoe UI"/>
                <w:sz w:val="16"/>
                <w:szCs w:val="16"/>
              </w:rPr>
            </w:pPr>
            <w:r w:rsidRPr="008558D0">
              <w:rPr>
                <w:rFonts w:ascii="Verdana" w:hAnsi="Verdana" w:cs="Arial"/>
                <w:sz w:val="16"/>
                <w:szCs w:val="16"/>
                <w:lang w:val="es-ES"/>
              </w:rPr>
              <w:t>Gestor T1 ‒ 15 de la Subdirección de Gestión Contractual</w:t>
            </w:r>
            <w:r w:rsidRPr="009852D7">
              <w:rPr>
                <w:rStyle w:val="eop"/>
                <w:rFonts w:ascii="Verdana" w:hAnsi="Verdana" w:cs="Arial"/>
                <w:sz w:val="16"/>
                <w:szCs w:val="16"/>
              </w:rPr>
              <w:t> </w:t>
            </w:r>
          </w:p>
        </w:tc>
      </w:tr>
      <w:tr w:rsidR="00EF65B3" w:rsidRPr="00D4693F" w14:paraId="63EEA9A5" w14:textId="77777777" w:rsidTr="00C63A15">
        <w:trPr>
          <w:trHeight w:val="300"/>
        </w:trPr>
        <w:tc>
          <w:tcPr>
            <w:tcW w:w="893" w:type="dxa"/>
            <w:vAlign w:val="center"/>
          </w:tcPr>
          <w:p w14:paraId="37F5D62E" w14:textId="77777777" w:rsidR="00EF65B3" w:rsidRPr="009852D7" w:rsidRDefault="00EF65B3" w:rsidP="00C63A15">
            <w:pPr>
              <w:contextualSpacing/>
              <w:rPr>
                <w:rFonts w:ascii="Verdana" w:hAnsi="Verdana" w:cs="Arial"/>
                <w:sz w:val="16"/>
                <w:szCs w:val="16"/>
                <w:lang w:val="es-ES" w:eastAsia="es-ES"/>
              </w:rPr>
            </w:pPr>
            <w:r w:rsidRPr="009852D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D268577" w14:textId="77777777" w:rsidR="00EF65B3" w:rsidRPr="009852D7" w:rsidRDefault="00EF65B3" w:rsidP="00C63A15">
            <w:pPr>
              <w:contextualSpacing/>
              <w:rPr>
                <w:rFonts w:ascii="Verdana" w:eastAsia="Calibri" w:hAnsi="Verdana" w:cs="Arial"/>
                <w:sz w:val="16"/>
                <w:szCs w:val="16"/>
                <w:lang w:val="pt-BR" w:eastAsia="es-ES"/>
              </w:rPr>
            </w:pPr>
            <w:r w:rsidRPr="009852D7">
              <w:rPr>
                <w:rFonts w:ascii="Verdana" w:eastAsia="Calibri" w:hAnsi="Verdana" w:cs="Arial"/>
                <w:sz w:val="16"/>
                <w:szCs w:val="16"/>
                <w:lang w:val="pt-BR" w:eastAsia="es-ES"/>
              </w:rPr>
              <w:t xml:space="preserve">Carolina Quintero </w:t>
            </w:r>
            <w:proofErr w:type="spellStart"/>
            <w:r w:rsidRPr="009852D7">
              <w:rPr>
                <w:rFonts w:ascii="Verdana" w:eastAsia="Calibri" w:hAnsi="Verdana" w:cs="Arial"/>
                <w:sz w:val="16"/>
                <w:szCs w:val="16"/>
                <w:lang w:val="pt-BR" w:eastAsia="es-ES"/>
              </w:rPr>
              <w:t>Gacharná</w:t>
            </w:r>
            <w:proofErr w:type="spellEnd"/>
          </w:p>
          <w:p w14:paraId="79DB0F80" w14:textId="77777777" w:rsidR="00EF65B3" w:rsidRPr="00D4693F" w:rsidRDefault="00EF65B3" w:rsidP="00C63A15">
            <w:pPr>
              <w:contextualSpacing/>
              <w:rPr>
                <w:rFonts w:ascii="Verdana" w:eastAsia="Calibri" w:hAnsi="Verdana" w:cs="Arial"/>
                <w:sz w:val="16"/>
                <w:szCs w:val="16"/>
                <w:lang w:val="pt-BR" w:eastAsia="es-ES"/>
              </w:rPr>
            </w:pPr>
            <w:r w:rsidRPr="009852D7">
              <w:rPr>
                <w:rFonts w:ascii="Verdana" w:eastAsia="Calibri" w:hAnsi="Verdana" w:cs="Arial"/>
                <w:sz w:val="16"/>
                <w:szCs w:val="16"/>
                <w:lang w:eastAsia="es-ES"/>
              </w:rPr>
              <w:t>Subdirectora</w:t>
            </w:r>
            <w:r w:rsidRPr="009852D7">
              <w:rPr>
                <w:rFonts w:ascii="Verdana" w:eastAsia="Calibri" w:hAnsi="Verdana" w:cs="Arial"/>
                <w:sz w:val="16"/>
                <w:szCs w:val="16"/>
                <w:lang w:val="pt-BR" w:eastAsia="es-ES"/>
              </w:rPr>
              <w:t xml:space="preserve"> de Gestión </w:t>
            </w:r>
            <w:proofErr w:type="spellStart"/>
            <w:r w:rsidRPr="009852D7">
              <w:rPr>
                <w:rFonts w:ascii="Verdana" w:eastAsia="Calibri" w:hAnsi="Verdana" w:cs="Arial"/>
                <w:sz w:val="16"/>
                <w:szCs w:val="16"/>
                <w:lang w:val="pt-BR" w:eastAsia="es-ES"/>
              </w:rPr>
              <w:t>Contractual</w:t>
            </w:r>
            <w:proofErr w:type="spellEnd"/>
            <w:r w:rsidRPr="009852D7">
              <w:rPr>
                <w:rFonts w:ascii="Verdana" w:eastAsia="Calibri" w:hAnsi="Verdana" w:cs="Arial"/>
                <w:sz w:val="16"/>
                <w:szCs w:val="16"/>
                <w:lang w:val="pt-BR" w:eastAsia="es-ES"/>
              </w:rPr>
              <w:t xml:space="preserve"> ANCP – CCE</w:t>
            </w:r>
          </w:p>
        </w:tc>
      </w:tr>
      <w:bookmarkEnd w:id="0"/>
    </w:tbl>
    <w:p w14:paraId="55EEFA6E" w14:textId="77777777" w:rsidR="00EF65B3" w:rsidRPr="00D4693F" w:rsidRDefault="00EF65B3" w:rsidP="00EF65B3">
      <w:pPr>
        <w:spacing w:after="0" w:line="240" w:lineRule="auto"/>
        <w:rPr>
          <w:rFonts w:ascii="Verdana" w:eastAsia="Times New Roman" w:hAnsi="Verdana" w:cs="Arial"/>
          <w:sz w:val="24"/>
          <w:szCs w:val="24"/>
          <w:lang w:eastAsia="es-ES"/>
        </w:rPr>
      </w:pPr>
    </w:p>
    <w:p w14:paraId="4C0A1F7C" w14:textId="77777777" w:rsidR="00EF65B3" w:rsidRDefault="00EF65B3" w:rsidP="00EF65B3"/>
    <w:p w14:paraId="3900974D" w14:textId="77777777" w:rsidR="003D5B0D" w:rsidRPr="00EC31E6" w:rsidRDefault="003D5B0D" w:rsidP="00EC31E6"/>
    <w:sectPr w:rsidR="003D5B0D" w:rsidRPr="00EC31E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E576F" w14:textId="77777777" w:rsidR="001A38E5" w:rsidRDefault="001A38E5" w:rsidP="004A1847">
      <w:pPr>
        <w:spacing w:after="0" w:line="240" w:lineRule="auto"/>
      </w:pPr>
      <w:r>
        <w:separator/>
      </w:r>
    </w:p>
  </w:endnote>
  <w:endnote w:type="continuationSeparator" w:id="0">
    <w:p w14:paraId="300D02CB" w14:textId="77777777" w:rsidR="001A38E5" w:rsidRDefault="001A38E5" w:rsidP="004A1847">
      <w:pPr>
        <w:spacing w:after="0" w:line="240" w:lineRule="auto"/>
      </w:pPr>
      <w:r>
        <w:continuationSeparator/>
      </w:r>
    </w:p>
  </w:endnote>
  <w:endnote w:type="continuationNotice" w:id="1">
    <w:p w14:paraId="38DB2E64" w14:textId="77777777" w:rsidR="001A38E5" w:rsidRDefault="001A38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E53AA" w14:textId="77777777" w:rsidR="001A38E5" w:rsidRDefault="001A38E5" w:rsidP="004A1847">
      <w:pPr>
        <w:spacing w:after="0" w:line="240" w:lineRule="auto"/>
      </w:pPr>
      <w:r>
        <w:separator/>
      </w:r>
    </w:p>
  </w:footnote>
  <w:footnote w:type="continuationSeparator" w:id="0">
    <w:p w14:paraId="1A164F81" w14:textId="77777777" w:rsidR="001A38E5" w:rsidRDefault="001A38E5" w:rsidP="004A1847">
      <w:pPr>
        <w:spacing w:after="0" w:line="240" w:lineRule="auto"/>
      </w:pPr>
      <w:r>
        <w:continuationSeparator/>
      </w:r>
    </w:p>
  </w:footnote>
  <w:footnote w:type="continuationNotice" w:id="1">
    <w:p w14:paraId="1B7ECD62" w14:textId="77777777" w:rsidR="001A38E5" w:rsidRDefault="001A38E5">
      <w:pPr>
        <w:spacing w:after="0" w:line="240" w:lineRule="auto"/>
      </w:pPr>
    </w:p>
  </w:footnote>
  <w:footnote w:id="2">
    <w:p w14:paraId="3D586419" w14:textId="77777777" w:rsidR="00EF65B3" w:rsidRPr="005360B8" w:rsidRDefault="00EF65B3" w:rsidP="00EF65B3">
      <w:pPr>
        <w:pStyle w:val="Textonotapie"/>
        <w:contextualSpacing/>
        <w:jc w:val="both"/>
        <w:rPr>
          <w:rFonts w:ascii="Verdana" w:hAnsi="Verdana" w:cs="Arial"/>
          <w:sz w:val="16"/>
          <w:szCs w:val="16"/>
          <w:lang w:val="pt-BR"/>
        </w:rPr>
      </w:pPr>
      <w:r w:rsidRPr="005360B8">
        <w:rPr>
          <w:rStyle w:val="Refdenotaalpie"/>
          <w:rFonts w:ascii="Verdana" w:hAnsi="Verdana"/>
          <w:sz w:val="16"/>
          <w:szCs w:val="16"/>
        </w:rPr>
        <w:footnoteRef/>
      </w:r>
      <w:r w:rsidRPr="005360B8">
        <w:rPr>
          <w:rFonts w:ascii="Verdana" w:hAnsi="Verdana"/>
          <w:sz w:val="16"/>
          <w:szCs w:val="16"/>
        </w:rPr>
        <w:t xml:space="preserve"> </w:t>
      </w:r>
      <w:r w:rsidRPr="005360B8">
        <w:rPr>
          <w:rFonts w:ascii="Verdana" w:hAnsi="Verdana" w:cs="Arial"/>
          <w:sz w:val="16"/>
          <w:szCs w:val="16"/>
          <w:lang w:val="pt-BR"/>
        </w:rPr>
        <w:t xml:space="preserve">Corte Constitucional. Sentencia C-1016 de 2012. M.P. Jorge Iván Palacio. </w:t>
      </w:r>
    </w:p>
    <w:p w14:paraId="0304E62E" w14:textId="77777777" w:rsidR="00EF65B3" w:rsidRPr="005360B8" w:rsidRDefault="00EF65B3" w:rsidP="00EF65B3">
      <w:pPr>
        <w:pStyle w:val="Textonotapie"/>
        <w:rPr>
          <w:lang w:val="es-ES"/>
        </w:rPr>
      </w:pPr>
    </w:p>
  </w:footnote>
  <w:footnote w:id="3">
    <w:p w14:paraId="6DFF370B" w14:textId="77777777" w:rsidR="00EF65B3" w:rsidRPr="00E333E3" w:rsidRDefault="00EF65B3" w:rsidP="00EF65B3">
      <w:pPr>
        <w:pStyle w:val="Textonotapie"/>
        <w:contextualSpacing/>
        <w:jc w:val="both"/>
        <w:rPr>
          <w:rFonts w:ascii="Verdana" w:hAnsi="Verdana" w:cs="Arial"/>
          <w:sz w:val="16"/>
          <w:szCs w:val="16"/>
          <w:lang w:val="pt-BR"/>
        </w:rPr>
      </w:pPr>
      <w:r w:rsidRPr="00E333E3">
        <w:rPr>
          <w:rStyle w:val="Refdenotaalpie"/>
          <w:rFonts w:ascii="Verdana" w:hAnsi="Verdana"/>
          <w:sz w:val="16"/>
          <w:szCs w:val="16"/>
        </w:rPr>
        <w:footnoteRef/>
      </w:r>
      <w:r w:rsidRPr="00E333E3">
        <w:rPr>
          <w:rFonts w:ascii="Verdana" w:hAnsi="Verdana"/>
          <w:sz w:val="16"/>
          <w:szCs w:val="16"/>
        </w:rPr>
        <w:t xml:space="preserve"> </w:t>
      </w:r>
      <w:r w:rsidRPr="00E333E3">
        <w:rPr>
          <w:rFonts w:ascii="Verdana" w:hAnsi="Verdana" w:cs="Arial"/>
          <w:sz w:val="16"/>
          <w:szCs w:val="16"/>
        </w:rPr>
        <w:t xml:space="preserve">Consejo De Estado. Sección Tercera. Subsección A. Sentencia del 13 de noviembre de 2013. </w:t>
      </w:r>
      <w:r w:rsidRPr="00E333E3">
        <w:rPr>
          <w:rFonts w:ascii="Verdana" w:hAnsi="Verdana" w:cs="Arial"/>
          <w:sz w:val="16"/>
          <w:szCs w:val="16"/>
          <w:lang w:val="pt-BR"/>
        </w:rPr>
        <w:t xml:space="preserve">Rad. 25.646. C.P. Mauricio Fajardo Gómez.  </w:t>
      </w:r>
    </w:p>
    <w:p w14:paraId="72EF9403" w14:textId="77777777" w:rsidR="00EF65B3" w:rsidRPr="00E333E3" w:rsidRDefault="00EF65B3" w:rsidP="00EF65B3">
      <w:pPr>
        <w:pStyle w:val="Textonotapie"/>
        <w:rPr>
          <w:rFonts w:ascii="Verdana" w:hAnsi="Verdana"/>
          <w:sz w:val="16"/>
          <w:szCs w:val="16"/>
          <w:lang w:val="es-ES"/>
        </w:rPr>
      </w:pPr>
    </w:p>
  </w:footnote>
  <w:footnote w:id="4">
    <w:p w14:paraId="6C0E20F6" w14:textId="77777777" w:rsidR="00EF65B3" w:rsidRPr="00E333E3" w:rsidRDefault="00EF65B3" w:rsidP="00EF65B3">
      <w:pPr>
        <w:pStyle w:val="Textonotapie"/>
        <w:rPr>
          <w:rFonts w:ascii="Verdana" w:hAnsi="Verdana"/>
          <w:sz w:val="16"/>
          <w:szCs w:val="16"/>
          <w:lang w:val="es-ES"/>
        </w:rPr>
      </w:pPr>
      <w:r w:rsidRPr="00E333E3">
        <w:rPr>
          <w:rStyle w:val="Refdenotaalpie"/>
          <w:rFonts w:ascii="Verdana" w:hAnsi="Verdana"/>
          <w:sz w:val="16"/>
          <w:szCs w:val="16"/>
        </w:rPr>
        <w:footnoteRef/>
      </w:r>
      <w:r w:rsidRPr="00E333E3">
        <w:rPr>
          <w:rFonts w:ascii="Verdana" w:hAnsi="Verdana"/>
          <w:sz w:val="16"/>
          <w:szCs w:val="16"/>
        </w:rPr>
        <w:t xml:space="preserve"> Corte Constitucional. Sentencia C-415 de 1994. M.P. Eduardo Cifuentes Muñoz.</w:t>
      </w:r>
    </w:p>
  </w:footnote>
  <w:footnote w:id="5">
    <w:p w14:paraId="75137087" w14:textId="77777777" w:rsidR="00EF65B3" w:rsidRPr="004D11CB" w:rsidRDefault="00EF65B3" w:rsidP="00EF65B3">
      <w:pPr>
        <w:pStyle w:val="Textonotapie"/>
        <w:rPr>
          <w:rFonts w:ascii="Verdana" w:hAnsi="Verdana"/>
          <w:sz w:val="16"/>
          <w:szCs w:val="16"/>
          <w:lang w:val="es-ES"/>
        </w:rPr>
      </w:pPr>
      <w:r w:rsidRPr="004D11CB">
        <w:rPr>
          <w:rStyle w:val="Refdenotaalpie"/>
          <w:rFonts w:ascii="Verdana" w:hAnsi="Verdana"/>
          <w:sz w:val="16"/>
          <w:szCs w:val="16"/>
        </w:rPr>
        <w:footnoteRef/>
      </w:r>
      <w:r w:rsidRPr="004D11CB">
        <w:rPr>
          <w:rFonts w:ascii="Verdana" w:hAnsi="Verdana"/>
          <w:sz w:val="16"/>
          <w:szCs w:val="16"/>
        </w:rPr>
        <w:t xml:space="preserve"> </w:t>
      </w:r>
      <w:r w:rsidRPr="004D11CB">
        <w:rPr>
          <w:rFonts w:ascii="Verdana" w:hAnsi="Verdana" w:cs="Arial"/>
          <w:sz w:val="16"/>
          <w:szCs w:val="16"/>
          <w:lang w:val="pt-BR"/>
        </w:rPr>
        <w:t>Ibidem.</w:t>
      </w:r>
    </w:p>
  </w:footnote>
  <w:footnote w:id="6">
    <w:p w14:paraId="05D0F24B" w14:textId="77777777" w:rsidR="00EF65B3" w:rsidRPr="001C570F" w:rsidRDefault="00EF65B3" w:rsidP="00EF65B3">
      <w:pPr>
        <w:pStyle w:val="Textonotapie"/>
        <w:ind w:firstLine="708"/>
        <w:jc w:val="both"/>
        <w:rPr>
          <w:rFonts w:ascii="Verdana" w:hAnsi="Verdana" w:cs="Arial"/>
          <w:color w:val="000000" w:themeColor="text1"/>
          <w:sz w:val="16"/>
          <w:szCs w:val="16"/>
        </w:rPr>
      </w:pPr>
      <w:r w:rsidRPr="001C570F">
        <w:rPr>
          <w:rStyle w:val="Refdenotaalpie"/>
          <w:rFonts w:ascii="Verdana" w:hAnsi="Verdana" w:cs="Arial"/>
          <w:color w:val="000000" w:themeColor="text1"/>
          <w:sz w:val="16"/>
          <w:szCs w:val="16"/>
        </w:rPr>
        <w:footnoteRef/>
      </w:r>
      <w:r w:rsidRPr="001C570F">
        <w:rPr>
          <w:rFonts w:ascii="Verdana" w:hAnsi="Verdana" w:cs="Arial"/>
          <w:color w:val="000000" w:themeColor="text1"/>
          <w:sz w:val="16"/>
          <w:szCs w:val="16"/>
        </w:rPr>
        <w:t xml:space="preserve"> Cfr. Conceptos: C-229 del 16 de abril de 2020, C-815 del 18 de febrero de 2021 y C-449 del 31 de agosto de 2021.</w:t>
      </w:r>
    </w:p>
    <w:p w14:paraId="3BEBD57A" w14:textId="77777777" w:rsidR="00EF65B3" w:rsidRPr="001C570F" w:rsidRDefault="00EF65B3" w:rsidP="00EF65B3">
      <w:pPr>
        <w:pStyle w:val="Textonotapie"/>
        <w:ind w:firstLine="708"/>
        <w:jc w:val="both"/>
        <w:rPr>
          <w:rFonts w:ascii="Verdana" w:hAnsi="Verdana" w:cs="Arial"/>
          <w:color w:val="000000" w:themeColor="text1"/>
          <w:sz w:val="16"/>
          <w:szCs w:val="16"/>
          <w:lang w:val="es-CO"/>
        </w:rPr>
      </w:pPr>
    </w:p>
  </w:footnote>
  <w:footnote w:id="7">
    <w:p w14:paraId="616985EE" w14:textId="77777777" w:rsidR="00EF65B3" w:rsidRPr="001C570F" w:rsidRDefault="00EF65B3" w:rsidP="00EF65B3">
      <w:pPr>
        <w:pStyle w:val="Textonotapie"/>
        <w:ind w:firstLine="708"/>
        <w:jc w:val="both"/>
        <w:rPr>
          <w:rFonts w:ascii="Verdana" w:hAnsi="Verdana" w:cs="Arial"/>
          <w:color w:val="000000" w:themeColor="text1"/>
          <w:sz w:val="16"/>
          <w:szCs w:val="16"/>
        </w:rPr>
      </w:pPr>
      <w:r w:rsidRPr="001C570F">
        <w:rPr>
          <w:rStyle w:val="Refdenotaalpie"/>
          <w:rFonts w:ascii="Verdana" w:hAnsi="Verdana" w:cs="Arial"/>
          <w:color w:val="000000" w:themeColor="text1"/>
          <w:sz w:val="16"/>
          <w:szCs w:val="16"/>
        </w:rPr>
        <w:footnoteRef/>
      </w:r>
      <w:r w:rsidRPr="001C570F">
        <w:rPr>
          <w:rFonts w:ascii="Verdana" w:hAnsi="Verdana" w:cs="Arial"/>
          <w:color w:val="000000" w:themeColor="text1"/>
          <w:sz w:val="16"/>
          <w:szCs w:val="16"/>
        </w:rPr>
        <w:t xml:space="preserve"> CONSEJO DE ESTADO. Sala de Consulta y de Servicio Civil. Concepto del 23 de marzo de 2011. Rad. 2.045. C.P. Enrique José Arboleda Perdomo.</w:t>
      </w:r>
    </w:p>
    <w:p w14:paraId="2843E8C8" w14:textId="77777777" w:rsidR="00EF65B3" w:rsidRPr="007031F2" w:rsidRDefault="00EF65B3" w:rsidP="00EF65B3">
      <w:pPr>
        <w:pStyle w:val="Textonotapie"/>
        <w:ind w:firstLine="708"/>
        <w:jc w:val="both"/>
        <w:rPr>
          <w:rFonts w:ascii="Verdana" w:hAnsi="Verdana" w:cs="Arial"/>
          <w:color w:val="000000" w:themeColor="text1"/>
          <w:sz w:val="11"/>
          <w:szCs w:val="11"/>
        </w:rPr>
      </w:pPr>
    </w:p>
  </w:footnote>
  <w:footnote w:id="8">
    <w:p w14:paraId="50461B05" w14:textId="77777777" w:rsidR="00EF65B3" w:rsidRPr="001C570F" w:rsidRDefault="00EF65B3" w:rsidP="00EF65B3">
      <w:pPr>
        <w:spacing w:after="0" w:line="240" w:lineRule="auto"/>
        <w:ind w:firstLine="709"/>
        <w:jc w:val="both"/>
        <w:rPr>
          <w:rFonts w:ascii="Verdana" w:hAnsi="Verdana" w:cs="Arial"/>
          <w:color w:val="000000" w:themeColor="text1"/>
          <w:sz w:val="16"/>
          <w:szCs w:val="16"/>
        </w:rPr>
      </w:pPr>
      <w:r w:rsidRPr="001C570F">
        <w:rPr>
          <w:rStyle w:val="Refdenotaalpie"/>
          <w:rFonts w:ascii="Verdana" w:hAnsi="Verdana" w:cs="Arial"/>
          <w:color w:val="000000" w:themeColor="text1"/>
          <w:sz w:val="16"/>
          <w:szCs w:val="16"/>
        </w:rPr>
        <w:footnoteRef/>
      </w:r>
      <w:r w:rsidRPr="001C570F">
        <w:rPr>
          <w:rFonts w:ascii="Verdana" w:hAnsi="Verdana" w:cs="Arial"/>
          <w:color w:val="000000" w:themeColor="text1"/>
          <w:sz w:val="16"/>
          <w:szCs w:val="16"/>
        </w:rPr>
        <w:t xml:space="preserve"> </w:t>
      </w:r>
      <w:r w:rsidRPr="001C570F">
        <w:rPr>
          <w:rFonts w:ascii="Verdana" w:eastAsia="Calibri" w:hAnsi="Verdana" w:cs="Arial"/>
          <w:color w:val="000000" w:themeColor="text1"/>
          <w:sz w:val="16"/>
          <w:szCs w:val="16"/>
        </w:rPr>
        <w:t>L</w:t>
      </w:r>
      <w:r w:rsidRPr="001C570F">
        <w:rPr>
          <w:rFonts w:ascii="Verdana" w:eastAsia="Calibri" w:hAnsi="Verdana" w:cs="Arial"/>
          <w:color w:val="000000" w:themeColor="text1"/>
          <w:sz w:val="16"/>
          <w:szCs w:val="16"/>
          <w:lang w:val="es-ES_tradnl"/>
        </w:rPr>
        <w:t>a doctrina ha definido e identificado el origen de los conflictos de interés en los contratos estatales de la siguiente manera:</w:t>
      </w:r>
      <w:r w:rsidRPr="001C570F">
        <w:rPr>
          <w:rFonts w:ascii="Verdana" w:hAnsi="Verdana" w:cs="Arial"/>
          <w:sz w:val="16"/>
          <w:szCs w:val="16"/>
        </w:rPr>
        <w:t>“</w:t>
      </w:r>
      <w:r w:rsidRPr="001C570F">
        <w:rPr>
          <w:rFonts w:ascii="Verdana" w:eastAsia="Calibri" w:hAnsi="Verdana" w:cs="Arial"/>
          <w:sz w:val="16"/>
          <w:szCs w:val="16"/>
          <w:lang w:val="es-ES_tradnl"/>
        </w:rPr>
        <w:t>He sido de la tesis</w:t>
      </w:r>
      <w:r w:rsidRPr="007031F2">
        <w:rPr>
          <w:rFonts w:ascii="Verdana" w:eastAsia="Calibri" w:hAnsi="Verdana" w:cs="Arial"/>
          <w:sz w:val="11"/>
          <w:szCs w:val="11"/>
          <w:lang w:val="es-ES_tradnl"/>
        </w:rPr>
        <w:t xml:space="preserve"> que la </w:t>
      </w:r>
      <w:r w:rsidRPr="001C570F">
        <w:rPr>
          <w:rFonts w:ascii="Verdana" w:eastAsia="Calibri" w:hAnsi="Verdana" w:cs="Arial"/>
          <w:sz w:val="16"/>
          <w:szCs w:val="16"/>
          <w:lang w:val="es-ES_tradnl"/>
        </w:rPr>
        <w:t xml:space="preserve">entidad no puede «inventarse» prohibiciones en los pliegos de condiciones habida consideración que su consagración es eminentemente legal; sin embargo, de tiempo atrás y a raíz de la instauración legal del Conflicto de Interés en el artículo 40 de la Ley 734 de 2002, contentiva del Código Disciplinario Único, se ha venido regulando en los pliegos de condiciones esta figura con el fin de evitar la selección de oferentes que por alguna circunstancia pueda poner en riesgo el adecuado cumplimiento del contrato dadas las relaciones que podría existir con personas directamente involucradas en la actividad concerniente al objeto del contrato. Así mismo las entidades estatales que están por fuera del Estatuto General de Contratación, han consagrado en sus Estatutos Internos de Contratación disposiciones que regulan la materia que por supuesto resultan aplicables a sus procesos de selección, así en los pliegos de condiciones nada se diga. De manera general, habría que decir que se interpreta el conflicto de intereses como la concurrencia de intereses antagónicos, por lo que puede afectarse la transparencia de las decisiones que le competen y lo pueden llevar a adoptar determinaciones de aprovechamiento personal, familiar o particular, en detrimento del interés público”. </w:t>
      </w:r>
      <w:r w:rsidRPr="001C570F">
        <w:rPr>
          <w:rFonts w:ascii="Verdana" w:hAnsi="Verdana" w:cs="Arial"/>
          <w:color w:val="000000" w:themeColor="text1"/>
          <w:sz w:val="16"/>
          <w:szCs w:val="16"/>
        </w:rPr>
        <w:t>DÁVILA VINUEZA, Luis Guillermo. Op. Cit., pp. 149-153.</w:t>
      </w:r>
    </w:p>
    <w:p w14:paraId="2C876AE8" w14:textId="77777777" w:rsidR="00EF65B3" w:rsidRPr="001C570F" w:rsidRDefault="00EF65B3" w:rsidP="00EF65B3">
      <w:pPr>
        <w:pStyle w:val="Textonotapie"/>
        <w:ind w:firstLine="708"/>
        <w:jc w:val="both"/>
        <w:rPr>
          <w:rFonts w:ascii="Verdana" w:hAnsi="Verdana" w:cs="Arial"/>
          <w:color w:val="000000" w:themeColor="text1"/>
          <w:sz w:val="16"/>
          <w:szCs w:val="16"/>
          <w:lang w:val="es-CO"/>
        </w:rPr>
      </w:pPr>
    </w:p>
  </w:footnote>
  <w:footnote w:id="9">
    <w:p w14:paraId="621D02D2" w14:textId="77777777" w:rsidR="00EF65B3" w:rsidRPr="001C570F" w:rsidRDefault="00EF65B3" w:rsidP="00EF65B3">
      <w:pPr>
        <w:pStyle w:val="Textonotapie"/>
        <w:ind w:firstLine="708"/>
        <w:jc w:val="both"/>
        <w:rPr>
          <w:rFonts w:ascii="Verdana" w:hAnsi="Verdana" w:cs="Arial"/>
          <w:color w:val="000000" w:themeColor="text1"/>
          <w:sz w:val="16"/>
          <w:szCs w:val="16"/>
          <w:lang w:val="es-CO"/>
        </w:rPr>
      </w:pPr>
      <w:r w:rsidRPr="001C570F">
        <w:rPr>
          <w:rStyle w:val="Refdenotaalpie"/>
          <w:rFonts w:ascii="Verdana" w:hAnsi="Verdana" w:cs="Arial"/>
          <w:color w:val="000000" w:themeColor="text1"/>
          <w:sz w:val="16"/>
          <w:szCs w:val="16"/>
        </w:rPr>
        <w:footnoteRef/>
      </w:r>
      <w:r w:rsidRPr="001C570F">
        <w:rPr>
          <w:rFonts w:ascii="Verdana" w:hAnsi="Verdana" w:cs="Arial"/>
          <w:color w:val="000000" w:themeColor="text1"/>
          <w:sz w:val="16"/>
          <w:szCs w:val="16"/>
        </w:rPr>
        <w:t xml:space="preserve"> Siendo los pronunciamientos más relevantes el Concepto del 10 de agosto de 2006. Exp. 1.767 –C.P. Luis Fernando Álvarez Jaramillo–, reiterado y complementado en el Concepto del 23 de marzo de 2011. Rad. 2.045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B592D6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8589740" o:spid="_x0000_i1025" type="#_x0000_t75" style="width:11.25pt;height:11.25pt;visibility:visible;mso-wrap-style:square">
            <v:imagedata r:id="rId1" o:title=""/>
          </v:shape>
        </w:pict>
      </mc:Choice>
      <mc:Fallback>
        <w:drawing>
          <wp:inline distT="0" distB="0" distL="0" distR="0" wp14:anchorId="372B0FA5">
            <wp:extent cx="142875" cy="142875"/>
            <wp:effectExtent l="0" t="0" r="0" b="0"/>
            <wp:docPr id="188589740" name="Imagen 188589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DF31B1"/>
    <w:multiLevelType w:val="hybridMultilevel"/>
    <w:tmpl w:val="4434F53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341274352">
    <w:abstractNumId w:val="0"/>
  </w:num>
  <w:num w:numId="17" w16cid:durableId="4109767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7370B"/>
    <w:rsid w:val="001A38E5"/>
    <w:rsid w:val="001B260C"/>
    <w:rsid w:val="001E4177"/>
    <w:rsid w:val="001F41E2"/>
    <w:rsid w:val="001F7DC6"/>
    <w:rsid w:val="002421BB"/>
    <w:rsid w:val="0025796E"/>
    <w:rsid w:val="002707A2"/>
    <w:rsid w:val="00283FF1"/>
    <w:rsid w:val="002951A0"/>
    <w:rsid w:val="002962BC"/>
    <w:rsid w:val="002A093D"/>
    <w:rsid w:val="002A0DD0"/>
    <w:rsid w:val="002A49AC"/>
    <w:rsid w:val="002A64FD"/>
    <w:rsid w:val="002C7A84"/>
    <w:rsid w:val="002E4FD9"/>
    <w:rsid w:val="00322A85"/>
    <w:rsid w:val="00324168"/>
    <w:rsid w:val="003448F4"/>
    <w:rsid w:val="00374E23"/>
    <w:rsid w:val="00374F5E"/>
    <w:rsid w:val="00377E3E"/>
    <w:rsid w:val="00392D93"/>
    <w:rsid w:val="003A779E"/>
    <w:rsid w:val="003D0F4D"/>
    <w:rsid w:val="003D5B0D"/>
    <w:rsid w:val="003E0499"/>
    <w:rsid w:val="003F3941"/>
    <w:rsid w:val="003F4E1D"/>
    <w:rsid w:val="00406575"/>
    <w:rsid w:val="00414C74"/>
    <w:rsid w:val="0042722E"/>
    <w:rsid w:val="0044528D"/>
    <w:rsid w:val="004A1847"/>
    <w:rsid w:val="004A305D"/>
    <w:rsid w:val="004A7440"/>
    <w:rsid w:val="004F21C4"/>
    <w:rsid w:val="004F685F"/>
    <w:rsid w:val="00510FC9"/>
    <w:rsid w:val="0053247D"/>
    <w:rsid w:val="005566E8"/>
    <w:rsid w:val="00574867"/>
    <w:rsid w:val="00591460"/>
    <w:rsid w:val="005A47F2"/>
    <w:rsid w:val="005B3816"/>
    <w:rsid w:val="005C3777"/>
    <w:rsid w:val="005C5CDC"/>
    <w:rsid w:val="005D476C"/>
    <w:rsid w:val="006219F8"/>
    <w:rsid w:val="00665D70"/>
    <w:rsid w:val="006900D9"/>
    <w:rsid w:val="00706C16"/>
    <w:rsid w:val="007539DA"/>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32F5"/>
    <w:rsid w:val="008A446D"/>
    <w:rsid w:val="008D180B"/>
    <w:rsid w:val="008D45B5"/>
    <w:rsid w:val="008F0EA7"/>
    <w:rsid w:val="00921DD5"/>
    <w:rsid w:val="00923EEF"/>
    <w:rsid w:val="00940358"/>
    <w:rsid w:val="009419F9"/>
    <w:rsid w:val="0095685E"/>
    <w:rsid w:val="00961B09"/>
    <w:rsid w:val="00963217"/>
    <w:rsid w:val="00965334"/>
    <w:rsid w:val="0097093E"/>
    <w:rsid w:val="00986AC5"/>
    <w:rsid w:val="009A0DFA"/>
    <w:rsid w:val="009B2D26"/>
    <w:rsid w:val="009C71FA"/>
    <w:rsid w:val="009C72E7"/>
    <w:rsid w:val="009D3058"/>
    <w:rsid w:val="009F3A13"/>
    <w:rsid w:val="00A122D3"/>
    <w:rsid w:val="00A17F13"/>
    <w:rsid w:val="00A20739"/>
    <w:rsid w:val="00A33C78"/>
    <w:rsid w:val="00A33F71"/>
    <w:rsid w:val="00AB0ADB"/>
    <w:rsid w:val="00B01B1A"/>
    <w:rsid w:val="00B66319"/>
    <w:rsid w:val="00B72CD3"/>
    <w:rsid w:val="00B72FFF"/>
    <w:rsid w:val="00B81E0D"/>
    <w:rsid w:val="00BA1B62"/>
    <w:rsid w:val="00BC3D36"/>
    <w:rsid w:val="00BD7F72"/>
    <w:rsid w:val="00C04FB3"/>
    <w:rsid w:val="00C330EB"/>
    <w:rsid w:val="00C41061"/>
    <w:rsid w:val="00C63A15"/>
    <w:rsid w:val="00C754BE"/>
    <w:rsid w:val="00C76B1C"/>
    <w:rsid w:val="00C87CA8"/>
    <w:rsid w:val="00CB6357"/>
    <w:rsid w:val="00CC1B26"/>
    <w:rsid w:val="00D423A2"/>
    <w:rsid w:val="00D520D8"/>
    <w:rsid w:val="00D52D6B"/>
    <w:rsid w:val="00D63AC2"/>
    <w:rsid w:val="00D7383B"/>
    <w:rsid w:val="00DA1916"/>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1E6"/>
    <w:rsid w:val="00EC38A7"/>
    <w:rsid w:val="00ED7384"/>
    <w:rsid w:val="00EE1AA8"/>
    <w:rsid w:val="00EF65B3"/>
    <w:rsid w:val="00F31EDC"/>
    <w:rsid w:val="00F462B3"/>
    <w:rsid w:val="00F5664F"/>
    <w:rsid w:val="00F666C4"/>
    <w:rsid w:val="00F72210"/>
    <w:rsid w:val="00F76AFC"/>
    <w:rsid w:val="00FA47C0"/>
    <w:rsid w:val="00FB5DD1"/>
    <w:rsid w:val="00FC2B5D"/>
    <w:rsid w:val="00FF1449"/>
    <w:rsid w:val="02F7D507"/>
    <w:rsid w:val="070C9C2C"/>
    <w:rsid w:val="165E9519"/>
    <w:rsid w:val="382536D9"/>
    <w:rsid w:val="398EA3DC"/>
    <w:rsid w:val="55FF608C"/>
    <w:rsid w:val="6EFDAB80"/>
    <w:rsid w:val="714905AA"/>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915B6879-F0D6-44BF-8DE5-1812EC9A2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F65B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F65B3"/>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peraciones.colombiacompra.gov.co/sites/cce_public/files/cce_documents/cartilla_compra_eficiente_final_250318_12473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5072589-2809-4C81-97B0-A44B7FF7D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purl.org/dc/elements/1.1/"/>
    <ds:schemaRef ds:uri="9d85dbaf-23eb-4e57-a637-93dcacc8b1a1"/>
    <ds:schemaRef ds:uri="http://schemas.openxmlformats.org/package/2006/metadata/core-properties"/>
    <ds:schemaRef ds:uri="http://schemas.microsoft.com/office/infopath/2007/PartnerControls"/>
    <ds:schemaRef ds:uri="http://purl.org/dc/terms/"/>
    <ds:schemaRef ds:uri="a6cb9e4b-f1d1-4245-83ec-6cad768d538a"/>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4443</Words>
  <Characters>24441</Characters>
  <Application>Microsoft Office Word</Application>
  <DocSecurity>0</DocSecurity>
  <Lines>203</Lines>
  <Paragraphs>57</Paragraphs>
  <ScaleCrop>false</ScaleCrop>
  <Company/>
  <LinksUpToDate>false</LinksUpToDate>
  <CharactersWithSpaces>28827</CharactersWithSpaces>
  <SharedDoc>false</SharedDoc>
  <HLinks>
    <vt:vector size="24" baseType="variant">
      <vt:variant>
        <vt:i4>6291500</vt:i4>
      </vt:variant>
      <vt:variant>
        <vt:i4>9</vt:i4>
      </vt:variant>
      <vt:variant>
        <vt:i4>0</vt:i4>
      </vt:variant>
      <vt:variant>
        <vt:i4>5</vt:i4>
      </vt:variant>
      <vt:variant>
        <vt:lpwstr>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vt:lpwstr>
      </vt:variant>
      <vt:variant>
        <vt:lpwstr/>
      </vt:variant>
      <vt:variant>
        <vt:i4>2490468</vt:i4>
      </vt:variant>
      <vt:variant>
        <vt:i4>6</vt:i4>
      </vt:variant>
      <vt:variant>
        <vt:i4>0</vt:i4>
      </vt:variant>
      <vt:variant>
        <vt:i4>5</vt:i4>
      </vt:variant>
      <vt:variant>
        <vt:lpwstr>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vt:lpwstr>
      </vt:variant>
      <vt:variant>
        <vt:lpwstr/>
      </vt:variant>
      <vt:variant>
        <vt:i4>6946896</vt:i4>
      </vt:variant>
      <vt:variant>
        <vt:i4>3</vt:i4>
      </vt:variant>
      <vt:variant>
        <vt:i4>0</vt:i4>
      </vt:variant>
      <vt:variant>
        <vt:i4>5</vt:i4>
      </vt:variant>
      <vt:variant>
        <vt:lpwstr>https://operaciones.colombiacompra.gov.co/sites/cce_public/files/cce_documents/cartilla_compra_eficiente_final_250318_124733.pdf</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2023-01-11T00:18:00Z</cp:lastPrinted>
  <dcterms:created xsi:type="dcterms:W3CDTF">2025-06-10T21:08:00Z</dcterms:created>
  <dcterms:modified xsi:type="dcterms:W3CDTF">2025-06-10T21:08:00Z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