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DA912" w14:textId="77777777" w:rsidR="00E0159C" w:rsidRPr="00E77002" w:rsidRDefault="00E0159C" w:rsidP="00AA226E">
      <w:pPr>
        <w:spacing w:after="0" w:line="240" w:lineRule="auto"/>
        <w:contextualSpacing/>
        <w:rPr>
          <w:rFonts w:ascii="Arial" w:eastAsia="Calibri" w:hAnsi="Arial" w:cs="Arial"/>
          <w:b/>
          <w:bCs/>
          <w:sz w:val="22"/>
        </w:rPr>
      </w:pPr>
      <w:r w:rsidRPr="00E77002">
        <w:rPr>
          <w:rFonts w:ascii="Arial" w:eastAsia="Calibri" w:hAnsi="Arial" w:cs="Arial"/>
          <w:b/>
          <w:bCs/>
          <w:sz w:val="22"/>
        </w:rPr>
        <w:t>LEY DE GARANTÍAS ELECTORALES – Finalidad</w:t>
      </w:r>
    </w:p>
    <w:p w14:paraId="63BBCF35" w14:textId="77777777" w:rsidR="00E0159C" w:rsidRPr="00AA226E" w:rsidRDefault="00E0159C" w:rsidP="00AA226E">
      <w:pPr>
        <w:spacing w:after="0" w:line="240" w:lineRule="auto"/>
        <w:contextualSpacing/>
        <w:rPr>
          <w:rFonts w:ascii="Arial" w:eastAsia="Calibri" w:hAnsi="Arial" w:cs="Arial"/>
          <w:sz w:val="20"/>
          <w:szCs w:val="20"/>
        </w:rPr>
      </w:pPr>
    </w:p>
    <w:p w14:paraId="370922E2" w14:textId="11361140" w:rsidR="00E0159C" w:rsidRPr="00AA226E" w:rsidRDefault="0035727E" w:rsidP="00AA226E">
      <w:pPr>
        <w:tabs>
          <w:tab w:val="left" w:pos="426"/>
        </w:tabs>
        <w:spacing w:after="0" w:line="240" w:lineRule="auto"/>
        <w:rPr>
          <w:rFonts w:ascii="Arial" w:eastAsia="Calibri" w:hAnsi="Arial" w:cs="Arial"/>
          <w:bCs/>
          <w:sz w:val="20"/>
          <w:szCs w:val="20"/>
          <w:lang w:val="es-CO"/>
        </w:rPr>
      </w:pPr>
      <w:r w:rsidRPr="00AA226E">
        <w:rPr>
          <w:rFonts w:ascii="Arial" w:eastAsia="Calibri" w:hAnsi="Arial" w:cs="Arial"/>
          <w:sz w:val="20"/>
          <w:szCs w:val="20"/>
        </w:rPr>
        <w:t>[…] l</w:t>
      </w:r>
      <w:r w:rsidR="00E0159C" w:rsidRPr="00AA226E">
        <w:rPr>
          <w:rFonts w:ascii="Arial" w:eastAsia="Calibri" w:hAnsi="Arial" w:cs="Arial"/>
          <w:sz w:val="20"/>
          <w:szCs w:val="20"/>
        </w:rPr>
        <w:t xml:space="preserve">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w:t>
      </w:r>
      <w:r w:rsidR="00E0159C" w:rsidRPr="00AA226E">
        <w:rPr>
          <w:rFonts w:ascii="Arial" w:eastAsia="Calibri" w:hAnsi="Arial" w:cs="Arial"/>
          <w:noProof/>
          <w:sz w:val="20"/>
          <w:szCs w:val="20"/>
          <w:lang w:val="es-ES_tradnl"/>
        </w:rPr>
        <w:t xml:space="preserve">[…] </w:t>
      </w:r>
      <w:bookmarkStart w:id="0" w:name="_Hlk77235066"/>
      <w:r w:rsidR="00E0159C" w:rsidRPr="00AA226E">
        <w:rPr>
          <w:rFonts w:ascii="Arial" w:eastAsia="Calibri" w:hAnsi="Arial" w:cs="Arial"/>
          <w:noProof/>
          <w:sz w:val="20"/>
          <w:szCs w:val="20"/>
          <w:lang w:val="es-ES_tradnl"/>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7F29F67C" w14:textId="77777777" w:rsidR="00E0159C" w:rsidRPr="00AA226E" w:rsidRDefault="00E0159C" w:rsidP="00AA226E">
      <w:pPr>
        <w:tabs>
          <w:tab w:val="left" w:pos="426"/>
        </w:tabs>
        <w:spacing w:after="0" w:line="240" w:lineRule="auto"/>
        <w:rPr>
          <w:rFonts w:ascii="Arial" w:hAnsi="Arial" w:cs="Arial"/>
          <w:sz w:val="20"/>
          <w:szCs w:val="20"/>
        </w:rPr>
      </w:pPr>
      <w:bookmarkStart w:id="1" w:name="_Hlk77152637"/>
      <w:bookmarkStart w:id="2" w:name="_Hlk77157066"/>
      <w:bookmarkEnd w:id="0"/>
    </w:p>
    <w:p w14:paraId="07E1FA25" w14:textId="77777777" w:rsidR="00E0159C" w:rsidRPr="00E77002" w:rsidRDefault="00E0159C" w:rsidP="00AA226E">
      <w:pPr>
        <w:tabs>
          <w:tab w:val="left" w:pos="426"/>
        </w:tabs>
        <w:spacing w:after="0" w:line="240" w:lineRule="auto"/>
        <w:rPr>
          <w:rFonts w:ascii="Arial" w:eastAsia="Calibri" w:hAnsi="Arial" w:cs="Arial"/>
          <w:b/>
          <w:bCs/>
          <w:sz w:val="22"/>
        </w:rPr>
      </w:pPr>
      <w:r w:rsidRPr="00E77002">
        <w:rPr>
          <w:rFonts w:ascii="Arial" w:eastAsia="Calibri" w:hAnsi="Arial" w:cs="Arial"/>
          <w:b/>
          <w:bCs/>
          <w:sz w:val="22"/>
        </w:rPr>
        <w:t>LEY DE GARANTÍAS ELECTORALES ‒</w:t>
      </w:r>
      <w:bookmarkEnd w:id="1"/>
      <w:r w:rsidRPr="00E77002">
        <w:rPr>
          <w:rFonts w:ascii="Arial" w:eastAsia="Calibri" w:hAnsi="Arial" w:cs="Arial"/>
          <w:b/>
          <w:bCs/>
          <w:sz w:val="22"/>
        </w:rPr>
        <w:t xml:space="preserve"> Tipos de restricciones </w:t>
      </w:r>
      <w:bookmarkStart w:id="3" w:name="_Hlk77157034"/>
      <w:r w:rsidRPr="00E77002">
        <w:rPr>
          <w:rFonts w:ascii="Arial" w:eastAsia="Calibri" w:hAnsi="Arial" w:cs="Arial"/>
          <w:b/>
          <w:bCs/>
          <w:sz w:val="22"/>
        </w:rPr>
        <w:t xml:space="preserve">‒ </w:t>
      </w:r>
      <w:bookmarkStart w:id="4" w:name="_Hlk77153098"/>
      <w:bookmarkEnd w:id="3"/>
      <w:r w:rsidRPr="00E77002">
        <w:rPr>
          <w:rFonts w:ascii="Arial" w:eastAsia="Calibri" w:hAnsi="Arial" w:cs="Arial"/>
          <w:b/>
          <w:bCs/>
          <w:sz w:val="22"/>
        </w:rPr>
        <w:t xml:space="preserve">Ámbito temporal </w:t>
      </w:r>
      <w:bookmarkEnd w:id="4"/>
    </w:p>
    <w:p w14:paraId="0346241A" w14:textId="77777777" w:rsidR="00E0159C" w:rsidRPr="00AA226E" w:rsidRDefault="00E0159C" w:rsidP="00AA226E">
      <w:pPr>
        <w:tabs>
          <w:tab w:val="left" w:pos="426"/>
        </w:tabs>
        <w:spacing w:after="0" w:line="240" w:lineRule="auto"/>
        <w:rPr>
          <w:rFonts w:ascii="Arial" w:eastAsia="Calibri" w:hAnsi="Arial" w:cs="Arial"/>
          <w:b/>
          <w:bCs/>
          <w:sz w:val="20"/>
          <w:szCs w:val="20"/>
        </w:rPr>
      </w:pPr>
    </w:p>
    <w:bookmarkEnd w:id="2"/>
    <w:p w14:paraId="34E3B7F0" w14:textId="19B1B0F9" w:rsidR="00E0159C" w:rsidRPr="00AA226E" w:rsidRDefault="00E0159C" w:rsidP="00AA226E">
      <w:pPr>
        <w:tabs>
          <w:tab w:val="left" w:pos="426"/>
        </w:tabs>
        <w:spacing w:after="0" w:line="240" w:lineRule="auto"/>
        <w:rPr>
          <w:rFonts w:ascii="Arial" w:eastAsia="Calibri" w:hAnsi="Arial" w:cs="Arial"/>
          <w:noProof/>
          <w:sz w:val="20"/>
          <w:szCs w:val="20"/>
          <w:lang w:val="es-ES_tradnl"/>
        </w:rPr>
      </w:pPr>
      <w:r w:rsidRPr="00AA226E">
        <w:rPr>
          <w:rFonts w:ascii="Arial" w:eastAsia="Calibri" w:hAnsi="Arial" w:cs="Arial"/>
          <w:noProof/>
          <w:sz w:val="20"/>
          <w:szCs w:val="20"/>
          <w:lang w:val="es-ES_tradnl"/>
        </w:rPr>
        <w:t xml:space="preserve">[…] </w:t>
      </w:r>
      <w:r w:rsidR="00AA226E" w:rsidRPr="00AA226E">
        <w:rPr>
          <w:rFonts w:ascii="Arial" w:eastAsia="Arial" w:hAnsi="Arial" w:cs="Arial"/>
          <w:sz w:val="20"/>
          <w:szCs w:val="20"/>
          <w:lang w:val="es-ES" w:eastAsia="es-ES" w:bidi="es-ES"/>
        </w:rPr>
        <w:t xml:space="preserve">la Ley 996 de 2005 establece dos (2) tipos de restricciones en materia de contratación, las cuales coinciden parcialmente. </w:t>
      </w:r>
      <w:r w:rsidR="00AA226E" w:rsidRPr="00AA226E">
        <w:rPr>
          <w:rFonts w:ascii="Arial" w:eastAsia="Arial" w:hAnsi="Arial" w:cs="Arial"/>
          <w:i/>
          <w:iCs/>
          <w:sz w:val="20"/>
          <w:szCs w:val="20"/>
          <w:lang w:val="es-ES" w:eastAsia="es-ES" w:bidi="es-ES"/>
        </w:rPr>
        <w:t>En primer lugar</w:t>
      </w:r>
      <w:r w:rsidR="00AA226E" w:rsidRPr="00AA226E">
        <w:rPr>
          <w:rFonts w:ascii="Arial" w:eastAsia="Arial" w:hAnsi="Arial" w:cs="Arial"/>
          <w:sz w:val="20"/>
          <w:szCs w:val="20"/>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00AA226E" w:rsidRPr="00AA226E">
        <w:rPr>
          <w:rFonts w:ascii="Arial" w:eastAsia="Arial" w:hAnsi="Arial" w:cs="Arial"/>
          <w:i/>
          <w:iCs/>
          <w:sz w:val="20"/>
          <w:szCs w:val="20"/>
          <w:lang w:val="es-ES" w:eastAsia="es-ES" w:bidi="es-ES"/>
        </w:rPr>
        <w:t>En segundo lugar</w:t>
      </w:r>
      <w:r w:rsidR="00AA226E" w:rsidRPr="00AA226E">
        <w:rPr>
          <w:rFonts w:ascii="Arial" w:eastAsia="Arial" w:hAnsi="Arial"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27AF14B" w14:textId="61879253" w:rsidR="00A17023" w:rsidRPr="00AA226E" w:rsidRDefault="00A17023" w:rsidP="00AA226E">
      <w:pPr>
        <w:spacing w:after="0" w:line="240" w:lineRule="auto"/>
        <w:rPr>
          <w:rFonts w:ascii="Arial" w:eastAsia="Times New Roman" w:hAnsi="Arial" w:cs="Arial"/>
          <w:b/>
          <w:bCs/>
          <w:sz w:val="20"/>
          <w:szCs w:val="20"/>
          <w:lang w:val="es-ES_tradnl" w:eastAsia="es-ES"/>
        </w:rPr>
      </w:pPr>
    </w:p>
    <w:p w14:paraId="58F74847" w14:textId="77777777" w:rsidR="00E0159C" w:rsidRPr="00E77002" w:rsidRDefault="00E0159C" w:rsidP="00AA226E">
      <w:pPr>
        <w:tabs>
          <w:tab w:val="left" w:pos="426"/>
        </w:tabs>
        <w:spacing w:after="0" w:line="240" w:lineRule="auto"/>
        <w:rPr>
          <w:rFonts w:ascii="Arial" w:eastAsia="Calibri" w:hAnsi="Arial" w:cs="Arial"/>
          <w:b/>
          <w:bCs/>
          <w:sz w:val="22"/>
        </w:rPr>
      </w:pPr>
      <w:bookmarkStart w:id="5" w:name="_Hlk77165666"/>
      <w:r w:rsidRPr="00E77002">
        <w:rPr>
          <w:rFonts w:ascii="Arial" w:eastAsia="Calibri" w:hAnsi="Arial" w:cs="Arial"/>
          <w:b/>
          <w:bCs/>
          <w:sz w:val="22"/>
        </w:rPr>
        <w:t xml:space="preserve">LEY DE GARANTÍAS ELECTORALES ─ Prohibición artículo 33 ‒ </w:t>
      </w:r>
      <w:bookmarkEnd w:id="5"/>
      <w:r w:rsidRPr="00E77002">
        <w:rPr>
          <w:rFonts w:ascii="Arial" w:eastAsia="Calibri" w:hAnsi="Arial" w:cs="Arial"/>
          <w:b/>
          <w:bCs/>
          <w:sz w:val="22"/>
        </w:rPr>
        <w:t xml:space="preserve">Contratación directa ‒ Alcance </w:t>
      </w:r>
    </w:p>
    <w:p w14:paraId="219CB8BE" w14:textId="77777777" w:rsidR="00E0159C" w:rsidRPr="00AA226E" w:rsidRDefault="00E0159C" w:rsidP="00AA226E">
      <w:pPr>
        <w:tabs>
          <w:tab w:val="left" w:pos="426"/>
        </w:tabs>
        <w:spacing w:after="0" w:line="240" w:lineRule="auto"/>
        <w:rPr>
          <w:rFonts w:ascii="Arial" w:eastAsia="Calibri" w:hAnsi="Arial" w:cs="Arial"/>
          <w:noProof/>
          <w:sz w:val="20"/>
          <w:szCs w:val="20"/>
        </w:rPr>
      </w:pPr>
    </w:p>
    <w:p w14:paraId="14681F8D" w14:textId="6A1AD32B" w:rsidR="00E0159C" w:rsidRPr="00AA226E" w:rsidRDefault="00E0159C" w:rsidP="00AA226E">
      <w:pPr>
        <w:spacing w:after="0" w:line="240" w:lineRule="auto"/>
        <w:rPr>
          <w:rFonts w:ascii="Arial" w:eastAsia="Times New Roman" w:hAnsi="Arial" w:cs="Arial"/>
          <w:bCs/>
          <w:sz w:val="20"/>
          <w:szCs w:val="20"/>
          <w:lang w:eastAsia="x-none"/>
        </w:rPr>
      </w:pPr>
      <w:r w:rsidRPr="00AA226E">
        <w:rPr>
          <w:rFonts w:ascii="Arial" w:eastAsia="Calibri" w:hAnsi="Arial" w:cs="Arial"/>
          <w:noProof/>
          <w:sz w:val="20"/>
          <w:szCs w:val="20"/>
        </w:rPr>
        <w:t xml:space="preserve">[…] </w:t>
      </w:r>
      <w:r w:rsidR="00AA226E" w:rsidRPr="00AA226E">
        <w:rPr>
          <w:rFonts w:ascii="Arial" w:eastAsia="Times New Roman" w:hAnsi="Arial" w:cs="Arial"/>
          <w:bCs/>
          <w:sz w:val="20"/>
          <w:szCs w:val="20"/>
          <w:lang w:eastAsia="x-none"/>
        </w:rPr>
        <w:t>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00AA226E">
        <w:rPr>
          <w:rFonts w:ascii="Arial" w:eastAsia="Times New Roman" w:hAnsi="Arial" w:cs="Arial"/>
          <w:sz w:val="20"/>
          <w:szCs w:val="20"/>
          <w:vertAlign w:val="superscript"/>
          <w:lang w:val="es-CO" w:eastAsia="x-none"/>
        </w:rPr>
        <w:t xml:space="preserve">. </w:t>
      </w:r>
      <w:r w:rsidR="00AA226E" w:rsidRPr="00AA226E">
        <w:rPr>
          <w:rFonts w:ascii="Arial" w:eastAsia="Times New Roman" w:hAnsi="Arial" w:cs="Arial"/>
          <w:bCs/>
          <w:sz w:val="20"/>
          <w:szCs w:val="20"/>
          <w:lang w:eastAsia="x-none"/>
        </w:rPr>
        <w:t>De lo anterior se desprende que la restricción aplica, sin perjuicio de las excepciones establecidas en la misma ley, para celebrar cualquier contrato de forma directa, esto es, sin que exista un proceso abierto y competitivo.</w:t>
      </w:r>
      <w:r w:rsidR="00AA226E" w:rsidRPr="00AA226E">
        <w:rPr>
          <w:rFonts w:ascii="Arial" w:eastAsia="Times New Roman" w:hAnsi="Arial" w:cs="Arial"/>
          <w:sz w:val="20"/>
          <w:szCs w:val="20"/>
          <w:lang w:val="es-CO"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29057051" w14:textId="1DEBAFF6" w:rsidR="00A17023" w:rsidRPr="00AA226E" w:rsidRDefault="00A17023" w:rsidP="00AA226E">
      <w:pPr>
        <w:spacing w:after="0" w:line="240" w:lineRule="auto"/>
        <w:rPr>
          <w:rFonts w:ascii="Arial" w:eastAsia="Times New Roman" w:hAnsi="Arial" w:cs="Arial"/>
          <w:b/>
          <w:bCs/>
          <w:sz w:val="20"/>
          <w:szCs w:val="20"/>
          <w:lang w:eastAsia="es-ES"/>
        </w:rPr>
      </w:pPr>
    </w:p>
    <w:p w14:paraId="6A9C5B4C" w14:textId="50272E48" w:rsidR="00E0159C" w:rsidRPr="00E77002" w:rsidRDefault="00E0159C" w:rsidP="00AA226E">
      <w:pPr>
        <w:shd w:val="clear" w:color="auto" w:fill="FFFFFF"/>
        <w:spacing w:after="0" w:line="240" w:lineRule="auto"/>
        <w:rPr>
          <w:rFonts w:ascii="Arial" w:eastAsia="Times New Roman" w:hAnsi="Arial" w:cs="Arial"/>
          <w:b/>
          <w:bCs/>
          <w:sz w:val="22"/>
          <w:lang w:val="es-CO" w:eastAsia="es-CO"/>
        </w:rPr>
      </w:pPr>
      <w:r w:rsidRPr="00E77002">
        <w:rPr>
          <w:rFonts w:ascii="Arial" w:eastAsia="Times New Roman" w:hAnsi="Arial" w:cs="Arial"/>
          <w:b/>
          <w:bCs/>
          <w:sz w:val="22"/>
          <w:lang w:val="es-CO" w:eastAsia="es-CO"/>
        </w:rPr>
        <w:t xml:space="preserve">LEY DE GARANTÍAS ELECTORALES </w:t>
      </w:r>
      <w:bookmarkStart w:id="6" w:name="_Hlk77022358"/>
      <w:r w:rsidRPr="00E77002">
        <w:rPr>
          <w:rFonts w:ascii="Arial" w:eastAsia="Times New Roman" w:hAnsi="Arial" w:cs="Arial"/>
          <w:b/>
          <w:bCs/>
          <w:sz w:val="22"/>
          <w:lang w:val="es-CO" w:eastAsia="es-CO"/>
        </w:rPr>
        <w:t>‒</w:t>
      </w:r>
      <w:bookmarkEnd w:id="6"/>
      <w:r w:rsidRPr="00E77002">
        <w:rPr>
          <w:rFonts w:ascii="Arial" w:eastAsia="Times New Roman" w:hAnsi="Arial" w:cs="Arial"/>
          <w:b/>
          <w:bCs/>
          <w:sz w:val="22"/>
          <w:lang w:val="es-CO" w:eastAsia="es-CO"/>
        </w:rPr>
        <w:t xml:space="preserve"> </w:t>
      </w:r>
      <w:r w:rsidRPr="00AA226E">
        <w:rPr>
          <w:rFonts w:ascii="Arial" w:eastAsia="Times New Roman" w:hAnsi="Arial" w:cs="Arial"/>
          <w:b/>
          <w:bCs/>
          <w:sz w:val="20"/>
          <w:szCs w:val="20"/>
          <w:lang w:val="es-CO" w:eastAsia="es-CO"/>
        </w:rPr>
        <w:t>Excepciones</w:t>
      </w:r>
      <w:r w:rsidRPr="00AA226E">
        <w:rPr>
          <w:rFonts w:ascii="Arial" w:eastAsia="Times New Roman" w:hAnsi="Arial" w:cs="Arial"/>
          <w:sz w:val="20"/>
          <w:szCs w:val="20"/>
          <w:lang w:val="es-CO" w:eastAsia="es-CO"/>
        </w:rPr>
        <w:t xml:space="preserve"> </w:t>
      </w:r>
    </w:p>
    <w:p w14:paraId="0993EFB6" w14:textId="77777777" w:rsidR="00E77002" w:rsidRPr="00AA226E" w:rsidRDefault="00E77002" w:rsidP="00AA226E">
      <w:pPr>
        <w:shd w:val="clear" w:color="auto" w:fill="FFFFFF"/>
        <w:spacing w:after="0" w:line="240" w:lineRule="auto"/>
        <w:rPr>
          <w:rFonts w:ascii="Arial" w:eastAsia="Times New Roman" w:hAnsi="Arial" w:cs="Arial"/>
          <w:sz w:val="20"/>
          <w:szCs w:val="20"/>
          <w:lang w:val="es-CO" w:eastAsia="es-CO"/>
        </w:rPr>
      </w:pPr>
    </w:p>
    <w:p w14:paraId="0B67627B" w14:textId="71A49FF9" w:rsidR="00E0159C" w:rsidRPr="00AA226E" w:rsidRDefault="00E0159C" w:rsidP="00AA226E">
      <w:pPr>
        <w:tabs>
          <w:tab w:val="left" w:pos="426"/>
        </w:tabs>
        <w:spacing w:after="0" w:line="240" w:lineRule="auto"/>
        <w:rPr>
          <w:rFonts w:ascii="Arial" w:hAnsi="Arial" w:cs="Arial"/>
          <w:sz w:val="20"/>
          <w:szCs w:val="20"/>
        </w:rPr>
      </w:pPr>
      <w:r w:rsidRPr="00AA226E">
        <w:rPr>
          <w:rFonts w:ascii="Arial" w:eastAsia="Times New Roman" w:hAnsi="Arial" w:cs="Arial"/>
          <w:sz w:val="20"/>
          <w:szCs w:val="20"/>
          <w:lang w:val="es-CO" w:eastAsia="x-none"/>
        </w:rPr>
        <w:t xml:space="preserve">[…] </w:t>
      </w:r>
      <w:r w:rsidR="00AA226E" w:rsidRPr="00AA226E">
        <w:rPr>
          <w:rFonts w:ascii="Arial" w:eastAsia="Times New Roman" w:hAnsi="Arial" w:cs="Arial"/>
          <w:bCs/>
          <w:sz w:val="20"/>
          <w:szCs w:val="20"/>
          <w:lang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w:t>
      </w:r>
      <w:r w:rsidR="00AA226E" w:rsidRPr="00AA226E">
        <w:rPr>
          <w:rFonts w:ascii="Arial" w:eastAsia="Times New Roman" w:hAnsi="Arial" w:cs="Arial"/>
          <w:bCs/>
          <w:sz w:val="20"/>
          <w:szCs w:val="20"/>
          <w:lang w:eastAsia="x-none"/>
        </w:rPr>
        <w:lastRenderedPageBreak/>
        <w:t>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1839C36E" w14:textId="77777777" w:rsidR="00E0159C" w:rsidRPr="00AA226E" w:rsidRDefault="00E0159C" w:rsidP="00AA226E">
      <w:pPr>
        <w:tabs>
          <w:tab w:val="left" w:pos="426"/>
        </w:tabs>
        <w:spacing w:after="0" w:line="240" w:lineRule="auto"/>
        <w:rPr>
          <w:rFonts w:ascii="Arial" w:eastAsia="Calibri" w:hAnsi="Arial" w:cs="Arial"/>
          <w:noProof/>
          <w:sz w:val="20"/>
          <w:szCs w:val="20"/>
          <w:lang w:val="es-CO"/>
        </w:rPr>
      </w:pPr>
    </w:p>
    <w:p w14:paraId="7B0B1605" w14:textId="77777777" w:rsidR="00E0159C" w:rsidRPr="00E77002" w:rsidRDefault="00E0159C" w:rsidP="00AA226E">
      <w:pPr>
        <w:spacing w:after="0" w:line="240" w:lineRule="auto"/>
        <w:rPr>
          <w:rFonts w:ascii="Arial" w:eastAsia="Times New Roman" w:hAnsi="Arial" w:cs="Arial"/>
          <w:b/>
          <w:sz w:val="22"/>
          <w:lang w:val="es-ES" w:eastAsia="es-CO"/>
        </w:rPr>
      </w:pPr>
      <w:r w:rsidRPr="00E77002">
        <w:rPr>
          <w:rFonts w:ascii="Arial" w:eastAsia="Times New Roman" w:hAnsi="Arial" w:cs="Arial"/>
          <w:b/>
          <w:bCs/>
          <w:sz w:val="22"/>
          <w:lang w:val="es-CO" w:eastAsia="es-CO"/>
        </w:rPr>
        <w:t xml:space="preserve">LEY DE GARANTÍAS ELECTORALES </w:t>
      </w:r>
      <w:bookmarkStart w:id="7" w:name="_Hlk77166669"/>
      <w:r w:rsidRPr="00E77002">
        <w:rPr>
          <w:rFonts w:ascii="Arial" w:eastAsia="Times New Roman" w:hAnsi="Arial" w:cs="Arial"/>
          <w:b/>
          <w:bCs/>
          <w:sz w:val="22"/>
          <w:lang w:val="es-CO" w:eastAsia="es-CO"/>
        </w:rPr>
        <w:t>‒</w:t>
      </w:r>
      <w:bookmarkEnd w:id="7"/>
      <w:r w:rsidRPr="00E77002">
        <w:rPr>
          <w:rFonts w:ascii="Arial" w:eastAsia="Times New Roman" w:hAnsi="Arial" w:cs="Arial"/>
          <w:b/>
          <w:bCs/>
          <w:sz w:val="22"/>
          <w:lang w:val="es-CO" w:eastAsia="es-CO"/>
        </w:rPr>
        <w:t xml:space="preserve"> </w:t>
      </w:r>
      <w:r w:rsidRPr="00E77002">
        <w:rPr>
          <w:rFonts w:ascii="Arial" w:eastAsia="Times New Roman" w:hAnsi="Arial" w:cs="Arial"/>
          <w:b/>
          <w:sz w:val="22"/>
          <w:lang w:val="es-ES" w:eastAsia="es-CO"/>
        </w:rPr>
        <w:t xml:space="preserve">Prohibición del artículo 33 </w:t>
      </w:r>
      <w:r w:rsidRPr="00E77002">
        <w:rPr>
          <w:rFonts w:ascii="Arial" w:eastAsia="Times New Roman" w:hAnsi="Arial" w:cs="Arial"/>
          <w:b/>
          <w:bCs/>
          <w:sz w:val="22"/>
          <w:lang w:val="es-CO" w:eastAsia="es-CO"/>
        </w:rPr>
        <w:t>‒ Destinatarios</w:t>
      </w:r>
    </w:p>
    <w:p w14:paraId="7358AD75" w14:textId="77777777" w:rsidR="00E0159C" w:rsidRPr="00E77002" w:rsidRDefault="00E0159C" w:rsidP="00AA226E">
      <w:pPr>
        <w:tabs>
          <w:tab w:val="left" w:pos="426"/>
        </w:tabs>
        <w:spacing w:after="0" w:line="240" w:lineRule="auto"/>
        <w:rPr>
          <w:rFonts w:ascii="Arial" w:eastAsia="Calibri" w:hAnsi="Arial" w:cs="Arial"/>
          <w:noProof/>
          <w:sz w:val="22"/>
          <w:lang w:val="es-ES"/>
        </w:rPr>
      </w:pPr>
    </w:p>
    <w:p w14:paraId="16C2C5C8" w14:textId="2C5AB802" w:rsidR="00E0159C" w:rsidRPr="00AA226E" w:rsidRDefault="00AA226E" w:rsidP="00AA226E">
      <w:pPr>
        <w:tabs>
          <w:tab w:val="left" w:pos="426"/>
        </w:tabs>
        <w:spacing w:after="0" w:line="240" w:lineRule="auto"/>
        <w:rPr>
          <w:rFonts w:ascii="Arial" w:eastAsia="Times New Roman" w:hAnsi="Arial" w:cs="Arial"/>
          <w:bCs/>
          <w:sz w:val="20"/>
          <w:szCs w:val="20"/>
          <w:lang w:eastAsia="x-none"/>
        </w:rPr>
      </w:pPr>
      <w:r w:rsidRPr="00AA226E">
        <w:rPr>
          <w:rFonts w:ascii="Arial" w:eastAsia="Times New Roman" w:hAnsi="Arial" w:cs="Arial"/>
          <w:bCs/>
          <w:sz w:val="20"/>
          <w:szCs w:val="20"/>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AA226E">
        <w:rPr>
          <w:sz w:val="20"/>
          <w:szCs w:val="20"/>
        </w:rPr>
        <w:t xml:space="preserve"> </w:t>
      </w:r>
      <w:r w:rsidRPr="00AA226E">
        <w:rPr>
          <w:rFonts w:ascii="Arial" w:eastAsia="Times New Roman" w:hAnsi="Arial" w:cs="Arial"/>
          <w:bCs/>
          <w:sz w:val="20"/>
          <w:szCs w:val="20"/>
          <w:lang w:eastAsia="x-none"/>
        </w:rPr>
        <w:t>En efecto, tal como lo ha sostenido el Consejo de Estado, el vocablo «todos» utilizado por el legislador comprende</w:t>
      </w:r>
      <w:r w:rsidRPr="00AA226E">
        <w:rPr>
          <w:sz w:val="20"/>
          <w:szCs w:val="20"/>
        </w:rPr>
        <w:t xml:space="preserve"> </w:t>
      </w:r>
      <w:r w:rsidRPr="00AA226E">
        <w:rPr>
          <w:rFonts w:ascii="Arial" w:eastAsia="Times New Roman" w:hAnsi="Arial" w:cs="Arial"/>
          <w:bCs/>
          <w:sz w:val="20"/>
          <w:szCs w:val="20"/>
          <w:lang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6E805FF9" w14:textId="4DEEBC35" w:rsidR="00A17023" w:rsidRPr="00AA226E" w:rsidRDefault="00A17023" w:rsidP="00AA226E">
      <w:pPr>
        <w:spacing w:after="0" w:line="240" w:lineRule="auto"/>
        <w:rPr>
          <w:rFonts w:ascii="Arial" w:eastAsia="Times New Roman" w:hAnsi="Arial" w:cs="Arial"/>
          <w:b/>
          <w:bCs/>
          <w:sz w:val="20"/>
          <w:szCs w:val="20"/>
          <w:lang w:val="es-ES_tradnl" w:eastAsia="es-ES"/>
        </w:rPr>
      </w:pPr>
    </w:p>
    <w:p w14:paraId="25BD2A38" w14:textId="4499880A" w:rsidR="00A17023" w:rsidRPr="00E77002" w:rsidRDefault="00E0159C" w:rsidP="00AA226E">
      <w:pPr>
        <w:spacing w:after="0" w:line="240" w:lineRule="auto"/>
        <w:rPr>
          <w:rFonts w:ascii="Arial" w:eastAsia="Times New Roman" w:hAnsi="Arial" w:cs="Arial"/>
          <w:b/>
          <w:bCs/>
          <w:sz w:val="22"/>
          <w:lang w:val="es-ES_tradnl" w:eastAsia="es-ES"/>
        </w:rPr>
      </w:pPr>
      <w:r w:rsidRPr="00E77002">
        <w:rPr>
          <w:rFonts w:ascii="Arial" w:eastAsia="Times New Roman" w:hAnsi="Arial" w:cs="Arial"/>
          <w:b/>
          <w:bCs/>
          <w:sz w:val="22"/>
          <w:lang w:val="es-ES_tradnl" w:eastAsia="es-ES"/>
        </w:rPr>
        <w:t xml:space="preserve">CONTRATACIÓN DIRECTA – </w:t>
      </w:r>
      <w:r w:rsidR="00CB03F8">
        <w:rPr>
          <w:rFonts w:ascii="Arial" w:eastAsia="Times New Roman" w:hAnsi="Arial" w:cs="Arial"/>
          <w:b/>
          <w:bCs/>
          <w:sz w:val="22"/>
          <w:lang w:val="es-ES_tradnl" w:eastAsia="es-ES"/>
        </w:rPr>
        <w:t>C</w:t>
      </w:r>
      <w:r w:rsidRPr="00E77002">
        <w:rPr>
          <w:rFonts w:ascii="Arial" w:eastAsia="Times New Roman" w:hAnsi="Arial" w:cs="Arial"/>
          <w:b/>
          <w:bCs/>
          <w:sz w:val="22"/>
          <w:lang w:val="es-ES_tradnl" w:eastAsia="es-ES"/>
        </w:rPr>
        <w:t>ausales</w:t>
      </w:r>
    </w:p>
    <w:p w14:paraId="7AC68DBE" w14:textId="2E38A5DD" w:rsidR="00E0159C" w:rsidRPr="00AA226E" w:rsidRDefault="00E0159C" w:rsidP="00AA226E">
      <w:pPr>
        <w:spacing w:after="0" w:line="240" w:lineRule="auto"/>
        <w:rPr>
          <w:rFonts w:ascii="Arial" w:eastAsia="Times New Roman" w:hAnsi="Arial" w:cs="Arial"/>
          <w:b/>
          <w:bCs/>
          <w:sz w:val="20"/>
          <w:szCs w:val="20"/>
          <w:lang w:val="es-ES_tradnl" w:eastAsia="es-ES"/>
        </w:rPr>
      </w:pPr>
    </w:p>
    <w:p w14:paraId="6F231894" w14:textId="662D4CE5" w:rsidR="00AA226E" w:rsidRPr="00AA226E" w:rsidRDefault="00AA226E" w:rsidP="00AA226E">
      <w:pPr>
        <w:pStyle w:val="Textoindependiente"/>
        <w:spacing w:after="0" w:line="240" w:lineRule="auto"/>
        <w:rPr>
          <w:sz w:val="20"/>
          <w:szCs w:val="20"/>
        </w:rPr>
      </w:pPr>
      <w:r w:rsidRPr="00AA226E">
        <w:rPr>
          <w:sz w:val="20"/>
          <w:szCs w:val="20"/>
        </w:rPr>
        <w:t xml:space="preserve">El artículo 2 de la Ley 1150 de 2007 establece unos supuestos de hecho, cuya aplicación es de carácter restrictivo, los cuales habilitan a las entidades públicas para recurrir a la modalidad de selección de contratación directa, las cuales son: </w:t>
      </w:r>
      <w:r w:rsidRPr="00AA226E">
        <w:rPr>
          <w:i/>
          <w:iCs/>
          <w:sz w:val="20"/>
          <w:szCs w:val="20"/>
        </w:rPr>
        <w:t>i)</w:t>
      </w:r>
      <w:r w:rsidRPr="00AA226E">
        <w:rPr>
          <w:sz w:val="20"/>
          <w:szCs w:val="20"/>
        </w:rPr>
        <w:t xml:space="preserve"> la urgencia manifiesta; </w:t>
      </w:r>
      <w:r w:rsidRPr="00AA226E">
        <w:rPr>
          <w:i/>
          <w:iCs/>
          <w:sz w:val="20"/>
          <w:szCs w:val="20"/>
        </w:rPr>
        <w:t>ii)</w:t>
      </w:r>
      <w:r w:rsidRPr="00AA226E">
        <w:rPr>
          <w:sz w:val="20"/>
          <w:szCs w:val="20"/>
        </w:rPr>
        <w:t xml:space="preserve"> la contratación de empréstitos; </w:t>
      </w:r>
      <w:r w:rsidRPr="00AA226E">
        <w:rPr>
          <w:i/>
          <w:iCs/>
          <w:sz w:val="20"/>
          <w:szCs w:val="20"/>
        </w:rPr>
        <w:t xml:space="preserve">iii) </w:t>
      </w:r>
      <w:r w:rsidRPr="00AA226E">
        <w:rPr>
          <w:sz w:val="20"/>
          <w:szCs w:val="20"/>
        </w:rPr>
        <w:t>la celebración de contratos interadministrativos</w:t>
      </w:r>
      <w:r w:rsidRPr="00AA226E">
        <w:rPr>
          <w:i/>
          <w:iCs/>
          <w:sz w:val="20"/>
          <w:szCs w:val="20"/>
        </w:rPr>
        <w:t xml:space="preserve">, iv) </w:t>
      </w:r>
      <w:r w:rsidRPr="00AA226E">
        <w:rPr>
          <w:sz w:val="20"/>
          <w:szCs w:val="20"/>
        </w:rPr>
        <w:t>la contratación de bienes y servicios para el sector defensa</w:t>
      </w:r>
      <w:r w:rsidRPr="00AA226E">
        <w:rPr>
          <w:i/>
          <w:iCs/>
          <w:sz w:val="20"/>
          <w:szCs w:val="20"/>
        </w:rPr>
        <w:t>, v)</w:t>
      </w:r>
      <w:r w:rsidRPr="00AA226E">
        <w:rPr>
          <w:sz w:val="20"/>
          <w:szCs w:val="20"/>
        </w:rPr>
        <w:t xml:space="preserve"> los contratos para el desarrollo de actividades científicas y tecnológicas, </w:t>
      </w:r>
      <w:r w:rsidRPr="00AA226E">
        <w:rPr>
          <w:i/>
          <w:iCs/>
          <w:sz w:val="20"/>
          <w:szCs w:val="20"/>
        </w:rPr>
        <w:t>vi)</w:t>
      </w:r>
      <w:r w:rsidRPr="00AA226E">
        <w:rPr>
          <w:sz w:val="20"/>
          <w:szCs w:val="20"/>
        </w:rPr>
        <w:t xml:space="preserve"> la celebración de contratos de encargo fiduciario, </w:t>
      </w:r>
      <w:r w:rsidRPr="00AA226E">
        <w:rPr>
          <w:i/>
          <w:iCs/>
          <w:sz w:val="20"/>
          <w:szCs w:val="20"/>
        </w:rPr>
        <w:t>vii)</w:t>
      </w:r>
      <w:r w:rsidRPr="00AA226E">
        <w:rPr>
          <w:sz w:val="20"/>
          <w:szCs w:val="20"/>
        </w:rPr>
        <w:t xml:space="preserve"> la selección de contratistas cuando no exista pluralidad de oferentes, </w:t>
      </w:r>
      <w:r w:rsidRPr="00AA226E">
        <w:rPr>
          <w:i/>
          <w:iCs/>
          <w:sz w:val="20"/>
          <w:szCs w:val="20"/>
        </w:rPr>
        <w:t>viii)</w:t>
      </w:r>
      <w:r w:rsidRPr="00AA226E">
        <w:rPr>
          <w:sz w:val="20"/>
          <w:szCs w:val="20"/>
        </w:rPr>
        <w:t xml:space="preserve"> la contratación para la prestación de servicios profesionales y de apoyo a la gestión, o la confección de trabajos artísticos que solo pueden ser encomendados a determinadas personas naturales, </w:t>
      </w:r>
      <w:r w:rsidRPr="00AA226E">
        <w:rPr>
          <w:i/>
          <w:iCs/>
          <w:sz w:val="20"/>
          <w:szCs w:val="20"/>
        </w:rPr>
        <w:t>ix),</w:t>
      </w:r>
      <w:r w:rsidRPr="00AA226E">
        <w:rPr>
          <w:sz w:val="20"/>
          <w:szCs w:val="20"/>
        </w:rPr>
        <w:t xml:space="preserve"> el arrendamiento o adquisición de inmuebles, </w:t>
      </w:r>
      <w:r w:rsidRPr="00AA226E">
        <w:rPr>
          <w:i/>
          <w:iCs/>
          <w:sz w:val="20"/>
          <w:szCs w:val="20"/>
        </w:rPr>
        <w:t>x)</w:t>
      </w:r>
      <w:r w:rsidRPr="00AA226E">
        <w:rPr>
          <w:sz w:val="20"/>
          <w:szCs w:val="20"/>
        </w:rPr>
        <w:t xml:space="preserve"> la contratación de bienes y servicios de la Dirección de Nacional de Inteligencia que requieran reserva para su adquisición y, </w:t>
      </w:r>
      <w:r w:rsidRPr="00AA226E">
        <w:rPr>
          <w:i/>
          <w:iCs/>
          <w:sz w:val="20"/>
          <w:szCs w:val="20"/>
        </w:rPr>
        <w:t>xi)</w:t>
      </w:r>
      <w:r w:rsidRPr="00AA226E">
        <w:rPr>
          <w:sz w:val="20"/>
          <w:szCs w:val="20"/>
        </w:rPr>
        <w:t xml:space="preserve"> la selección de peritos expertos o asesores que se requieran para controvertir el dictamen pericial en procesos judiciales. </w:t>
      </w:r>
    </w:p>
    <w:p w14:paraId="4E3FE23B" w14:textId="77777777" w:rsidR="00E0159C" w:rsidRPr="00E0159C" w:rsidRDefault="00E0159C" w:rsidP="00E0159C">
      <w:pPr>
        <w:spacing w:after="0" w:line="240" w:lineRule="auto"/>
        <w:rPr>
          <w:rFonts w:ascii="Arial" w:eastAsia="Times New Roman" w:hAnsi="Arial" w:cs="Arial"/>
          <w:b/>
          <w:bCs/>
          <w:sz w:val="16"/>
          <w:szCs w:val="16"/>
          <w:lang w:val="es-ES" w:eastAsia="es-ES"/>
        </w:rPr>
      </w:pPr>
    </w:p>
    <w:p w14:paraId="4904E45B" w14:textId="788C2C20" w:rsidR="00C72815" w:rsidRDefault="00C72815" w:rsidP="00E0159C">
      <w:pPr>
        <w:spacing w:after="0" w:line="240" w:lineRule="auto"/>
        <w:rPr>
          <w:rFonts w:ascii="Arial" w:eastAsia="Times New Roman" w:hAnsi="Arial" w:cs="Arial"/>
          <w:b/>
          <w:bCs/>
          <w:sz w:val="16"/>
          <w:szCs w:val="16"/>
          <w:lang w:val="es-ES_tradnl" w:eastAsia="es-ES"/>
        </w:rPr>
      </w:pPr>
    </w:p>
    <w:p w14:paraId="3485B193" w14:textId="07FA2840" w:rsidR="00A72E10" w:rsidRDefault="00A72E10" w:rsidP="00E0159C">
      <w:pPr>
        <w:spacing w:after="0" w:line="240" w:lineRule="auto"/>
        <w:rPr>
          <w:rFonts w:ascii="Arial" w:eastAsia="Times New Roman" w:hAnsi="Arial" w:cs="Arial"/>
          <w:b/>
          <w:bCs/>
          <w:sz w:val="16"/>
          <w:szCs w:val="16"/>
          <w:lang w:val="es-ES_tradnl" w:eastAsia="es-ES"/>
        </w:rPr>
      </w:pPr>
    </w:p>
    <w:p w14:paraId="22E6DC8B" w14:textId="0DA78A4E" w:rsidR="00A72E10" w:rsidRDefault="00A72E10" w:rsidP="00E0159C">
      <w:pPr>
        <w:spacing w:after="0" w:line="240" w:lineRule="auto"/>
        <w:rPr>
          <w:rFonts w:ascii="Arial" w:eastAsia="Times New Roman" w:hAnsi="Arial" w:cs="Arial"/>
          <w:b/>
          <w:bCs/>
          <w:sz w:val="16"/>
          <w:szCs w:val="16"/>
          <w:lang w:val="es-ES_tradnl" w:eastAsia="es-ES"/>
        </w:rPr>
      </w:pPr>
    </w:p>
    <w:p w14:paraId="6F718296" w14:textId="70ABB3CB" w:rsidR="00A72E10" w:rsidRDefault="00A72E10" w:rsidP="00E0159C">
      <w:pPr>
        <w:spacing w:after="0" w:line="240" w:lineRule="auto"/>
        <w:rPr>
          <w:rFonts w:ascii="Arial" w:eastAsia="Times New Roman" w:hAnsi="Arial" w:cs="Arial"/>
          <w:b/>
          <w:bCs/>
          <w:sz w:val="16"/>
          <w:szCs w:val="16"/>
          <w:lang w:val="es-ES_tradnl" w:eastAsia="es-ES"/>
        </w:rPr>
      </w:pPr>
    </w:p>
    <w:p w14:paraId="061D63F7" w14:textId="3090BFE4" w:rsidR="00A72E10" w:rsidRDefault="00A72E10" w:rsidP="00E0159C">
      <w:pPr>
        <w:spacing w:after="0" w:line="240" w:lineRule="auto"/>
        <w:rPr>
          <w:rFonts w:ascii="Arial" w:eastAsia="Times New Roman" w:hAnsi="Arial" w:cs="Arial"/>
          <w:b/>
          <w:bCs/>
          <w:sz w:val="16"/>
          <w:szCs w:val="16"/>
          <w:lang w:val="es-ES_tradnl" w:eastAsia="es-ES"/>
        </w:rPr>
      </w:pPr>
    </w:p>
    <w:p w14:paraId="3C1E5A68" w14:textId="737F13AE" w:rsidR="00A72E10" w:rsidRDefault="00A72E10" w:rsidP="00E0159C">
      <w:pPr>
        <w:spacing w:after="0" w:line="240" w:lineRule="auto"/>
        <w:rPr>
          <w:rFonts w:ascii="Arial" w:eastAsia="Times New Roman" w:hAnsi="Arial" w:cs="Arial"/>
          <w:b/>
          <w:bCs/>
          <w:sz w:val="16"/>
          <w:szCs w:val="16"/>
          <w:lang w:val="es-ES_tradnl" w:eastAsia="es-ES"/>
        </w:rPr>
      </w:pPr>
    </w:p>
    <w:p w14:paraId="6D22FA7C" w14:textId="71F0660C" w:rsidR="00A72E10" w:rsidRDefault="00A72E10" w:rsidP="00E0159C">
      <w:pPr>
        <w:spacing w:after="0" w:line="240" w:lineRule="auto"/>
        <w:rPr>
          <w:rFonts w:ascii="Arial" w:eastAsia="Times New Roman" w:hAnsi="Arial" w:cs="Arial"/>
          <w:b/>
          <w:bCs/>
          <w:sz w:val="16"/>
          <w:szCs w:val="16"/>
          <w:lang w:val="es-ES_tradnl" w:eastAsia="es-ES"/>
        </w:rPr>
      </w:pPr>
    </w:p>
    <w:p w14:paraId="2E87D611" w14:textId="2C2C1FD2" w:rsidR="00A72E10" w:rsidRDefault="00A72E10" w:rsidP="00E0159C">
      <w:pPr>
        <w:spacing w:after="0" w:line="240" w:lineRule="auto"/>
        <w:rPr>
          <w:rFonts w:ascii="Arial" w:eastAsia="Times New Roman" w:hAnsi="Arial" w:cs="Arial"/>
          <w:b/>
          <w:bCs/>
          <w:sz w:val="16"/>
          <w:szCs w:val="16"/>
          <w:lang w:val="es-ES_tradnl" w:eastAsia="es-ES"/>
        </w:rPr>
      </w:pPr>
    </w:p>
    <w:p w14:paraId="33CD865E" w14:textId="6EA89E23" w:rsidR="00A72E10" w:rsidRDefault="00A72E10" w:rsidP="00E0159C">
      <w:pPr>
        <w:spacing w:after="0" w:line="240" w:lineRule="auto"/>
        <w:rPr>
          <w:rFonts w:ascii="Arial" w:eastAsia="Times New Roman" w:hAnsi="Arial" w:cs="Arial"/>
          <w:b/>
          <w:bCs/>
          <w:sz w:val="16"/>
          <w:szCs w:val="16"/>
          <w:lang w:val="es-ES_tradnl" w:eastAsia="es-ES"/>
        </w:rPr>
      </w:pPr>
    </w:p>
    <w:p w14:paraId="55C78453" w14:textId="622C354C" w:rsidR="00A72E10" w:rsidRDefault="00A72E10" w:rsidP="00E0159C">
      <w:pPr>
        <w:spacing w:after="0" w:line="240" w:lineRule="auto"/>
        <w:rPr>
          <w:rFonts w:ascii="Arial" w:eastAsia="Times New Roman" w:hAnsi="Arial" w:cs="Arial"/>
          <w:b/>
          <w:bCs/>
          <w:sz w:val="16"/>
          <w:szCs w:val="16"/>
          <w:lang w:val="es-ES_tradnl" w:eastAsia="es-ES"/>
        </w:rPr>
      </w:pPr>
    </w:p>
    <w:p w14:paraId="550599F2" w14:textId="52EFC3FC" w:rsidR="00A72E10" w:rsidRDefault="00A72E10" w:rsidP="00E0159C">
      <w:pPr>
        <w:spacing w:after="0" w:line="240" w:lineRule="auto"/>
        <w:rPr>
          <w:rFonts w:ascii="Arial" w:eastAsia="Times New Roman" w:hAnsi="Arial" w:cs="Arial"/>
          <w:b/>
          <w:bCs/>
          <w:sz w:val="16"/>
          <w:szCs w:val="16"/>
          <w:lang w:val="es-ES_tradnl" w:eastAsia="es-ES"/>
        </w:rPr>
      </w:pPr>
    </w:p>
    <w:p w14:paraId="533E8A0A" w14:textId="21428644" w:rsidR="00A72E10" w:rsidRDefault="00A72E10" w:rsidP="00E0159C">
      <w:pPr>
        <w:spacing w:after="0" w:line="240" w:lineRule="auto"/>
        <w:rPr>
          <w:rFonts w:ascii="Arial" w:eastAsia="Times New Roman" w:hAnsi="Arial" w:cs="Arial"/>
          <w:b/>
          <w:bCs/>
          <w:sz w:val="16"/>
          <w:szCs w:val="16"/>
          <w:lang w:val="es-ES_tradnl" w:eastAsia="es-ES"/>
        </w:rPr>
      </w:pPr>
    </w:p>
    <w:p w14:paraId="10259002" w14:textId="0C126423" w:rsidR="00A72E10" w:rsidRDefault="00A72E10" w:rsidP="00E0159C">
      <w:pPr>
        <w:spacing w:after="0" w:line="240" w:lineRule="auto"/>
        <w:rPr>
          <w:rFonts w:ascii="Arial" w:eastAsia="Times New Roman" w:hAnsi="Arial" w:cs="Arial"/>
          <w:b/>
          <w:bCs/>
          <w:sz w:val="16"/>
          <w:szCs w:val="16"/>
          <w:lang w:val="es-ES_tradnl" w:eastAsia="es-ES"/>
        </w:rPr>
      </w:pPr>
    </w:p>
    <w:p w14:paraId="38984A2A" w14:textId="4561F09E" w:rsidR="00A72E10" w:rsidRDefault="00A72E10" w:rsidP="00E0159C">
      <w:pPr>
        <w:spacing w:after="0" w:line="240" w:lineRule="auto"/>
        <w:rPr>
          <w:rFonts w:ascii="Arial" w:eastAsia="Times New Roman" w:hAnsi="Arial" w:cs="Arial"/>
          <w:b/>
          <w:bCs/>
          <w:sz w:val="16"/>
          <w:szCs w:val="16"/>
          <w:lang w:val="es-ES_tradnl" w:eastAsia="es-ES"/>
        </w:rPr>
      </w:pPr>
    </w:p>
    <w:p w14:paraId="5958C28D" w14:textId="3D2C7D4E" w:rsidR="00A72E10" w:rsidRDefault="00A72E10" w:rsidP="00E0159C">
      <w:pPr>
        <w:spacing w:after="0" w:line="240" w:lineRule="auto"/>
        <w:rPr>
          <w:rFonts w:ascii="Arial" w:eastAsia="Times New Roman" w:hAnsi="Arial" w:cs="Arial"/>
          <w:b/>
          <w:bCs/>
          <w:sz w:val="16"/>
          <w:szCs w:val="16"/>
          <w:lang w:val="es-ES_tradnl" w:eastAsia="es-ES"/>
        </w:rPr>
      </w:pPr>
    </w:p>
    <w:p w14:paraId="6ECFEA42" w14:textId="395AC669" w:rsidR="00A72E10" w:rsidRDefault="00A72E10" w:rsidP="00E0159C">
      <w:pPr>
        <w:spacing w:after="0" w:line="240" w:lineRule="auto"/>
        <w:rPr>
          <w:rFonts w:ascii="Arial" w:eastAsia="Times New Roman" w:hAnsi="Arial" w:cs="Arial"/>
          <w:b/>
          <w:bCs/>
          <w:sz w:val="16"/>
          <w:szCs w:val="16"/>
          <w:lang w:val="es-ES_tradnl" w:eastAsia="es-ES"/>
        </w:rPr>
      </w:pPr>
    </w:p>
    <w:p w14:paraId="6A7A7B4A" w14:textId="77D8BB38" w:rsidR="00A72E10" w:rsidRDefault="00A72E10" w:rsidP="00E0159C">
      <w:pPr>
        <w:spacing w:after="0" w:line="240" w:lineRule="auto"/>
        <w:rPr>
          <w:rFonts w:ascii="Arial" w:eastAsia="Times New Roman" w:hAnsi="Arial" w:cs="Arial"/>
          <w:b/>
          <w:bCs/>
          <w:sz w:val="16"/>
          <w:szCs w:val="16"/>
          <w:lang w:val="es-ES_tradnl" w:eastAsia="es-ES"/>
        </w:rPr>
      </w:pPr>
    </w:p>
    <w:p w14:paraId="50933E6A" w14:textId="3BCE5814" w:rsidR="00A72E10" w:rsidRDefault="00A72E10" w:rsidP="00E0159C">
      <w:pPr>
        <w:spacing w:after="0" w:line="240" w:lineRule="auto"/>
        <w:rPr>
          <w:rFonts w:ascii="Arial" w:eastAsia="Times New Roman" w:hAnsi="Arial" w:cs="Arial"/>
          <w:b/>
          <w:bCs/>
          <w:sz w:val="16"/>
          <w:szCs w:val="16"/>
          <w:lang w:val="es-ES_tradnl" w:eastAsia="es-ES"/>
        </w:rPr>
      </w:pPr>
    </w:p>
    <w:p w14:paraId="7615BC7F" w14:textId="3AED4E0C" w:rsidR="00A72E10" w:rsidRDefault="00A72E10" w:rsidP="00E0159C">
      <w:pPr>
        <w:spacing w:after="0" w:line="240" w:lineRule="auto"/>
        <w:rPr>
          <w:rFonts w:ascii="Arial" w:eastAsia="Times New Roman" w:hAnsi="Arial" w:cs="Arial"/>
          <w:b/>
          <w:bCs/>
          <w:sz w:val="16"/>
          <w:szCs w:val="16"/>
          <w:lang w:val="es-ES_tradnl" w:eastAsia="es-ES"/>
        </w:rPr>
      </w:pPr>
    </w:p>
    <w:p w14:paraId="3CD7EA37" w14:textId="6B7C439A" w:rsidR="00A72E10" w:rsidRDefault="00A72E10" w:rsidP="00A72E10">
      <w:pPr>
        <w:spacing w:after="0" w:line="240" w:lineRule="auto"/>
        <w:jc w:val="right"/>
        <w:rPr>
          <w:rFonts w:ascii="Arial" w:eastAsia="Times New Roman" w:hAnsi="Arial" w:cs="Arial"/>
          <w:b/>
          <w:bCs/>
          <w:sz w:val="16"/>
          <w:szCs w:val="16"/>
          <w:lang w:val="es-ES_tradnl" w:eastAsia="es-ES"/>
        </w:rPr>
      </w:pPr>
      <w:r>
        <w:rPr>
          <w:noProof/>
        </w:rPr>
        <w:drawing>
          <wp:inline distT="0" distB="0" distL="0" distR="0" wp14:anchorId="193A4DEE" wp14:editId="6CCC54FC">
            <wp:extent cx="2914650" cy="1238250"/>
            <wp:effectExtent l="0" t="0" r="0" b="0"/>
            <wp:docPr id="3" name="Imagen 3"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10;&#10;Descripción generada automáticamente"/>
                    <pic:cNvPicPr/>
                  </pic:nvPicPr>
                  <pic:blipFill>
                    <a:blip r:embed="rId11"/>
                    <a:stretch>
                      <a:fillRect/>
                    </a:stretch>
                  </pic:blipFill>
                  <pic:spPr>
                    <a:xfrm>
                      <a:off x="0" y="0"/>
                      <a:ext cx="2914650" cy="1238250"/>
                    </a:xfrm>
                    <a:prstGeom prst="rect">
                      <a:avLst/>
                    </a:prstGeom>
                  </pic:spPr>
                </pic:pic>
              </a:graphicData>
            </a:graphic>
          </wp:inline>
        </w:drawing>
      </w:r>
    </w:p>
    <w:p w14:paraId="794A9F43" w14:textId="77777777" w:rsidR="005F5BE7" w:rsidRPr="003121C9" w:rsidRDefault="005F5BE7" w:rsidP="00285F6C">
      <w:pPr>
        <w:tabs>
          <w:tab w:val="left" w:pos="3374"/>
        </w:tabs>
        <w:spacing w:after="0" w:line="240" w:lineRule="auto"/>
        <w:rPr>
          <w:rFonts w:ascii="Arial" w:hAnsi="Arial" w:cs="Arial"/>
          <w:sz w:val="22"/>
        </w:rPr>
      </w:pPr>
    </w:p>
    <w:p w14:paraId="6960EA26" w14:textId="25D40483" w:rsidR="00D45D43" w:rsidRDefault="00A72E10" w:rsidP="00147343">
      <w:pPr>
        <w:spacing w:after="0" w:line="240" w:lineRule="auto"/>
        <w:rPr>
          <w:rFonts w:ascii="Arial" w:hAnsi="Arial" w:cs="Arial"/>
          <w:sz w:val="22"/>
        </w:rPr>
      </w:pPr>
      <w:r w:rsidRPr="00A72E10">
        <w:rPr>
          <w:rFonts w:ascii="Arial" w:hAnsi="Arial" w:cs="Arial"/>
          <w:sz w:val="22"/>
        </w:rPr>
        <w:t xml:space="preserve">Bogotá, 05 </w:t>
      </w:r>
      <w:proofErr w:type="gramStart"/>
      <w:r w:rsidRPr="00A72E10">
        <w:rPr>
          <w:rFonts w:ascii="Arial" w:hAnsi="Arial" w:cs="Arial"/>
          <w:sz w:val="22"/>
        </w:rPr>
        <w:t>Octubre</w:t>
      </w:r>
      <w:proofErr w:type="gramEnd"/>
      <w:r w:rsidRPr="00A72E10">
        <w:rPr>
          <w:rFonts w:ascii="Arial" w:hAnsi="Arial" w:cs="Arial"/>
          <w:sz w:val="22"/>
        </w:rPr>
        <w:t xml:space="preserve"> 2021</w:t>
      </w:r>
    </w:p>
    <w:p w14:paraId="51BDDFD8" w14:textId="77777777" w:rsidR="00A72E10" w:rsidRPr="00147343" w:rsidRDefault="00A72E10" w:rsidP="00147343">
      <w:pPr>
        <w:spacing w:after="0" w:line="240" w:lineRule="auto"/>
        <w:rPr>
          <w:rFonts w:ascii="Arial" w:eastAsia="Calibri" w:hAnsi="Arial" w:cs="Arial"/>
          <w:noProof/>
          <w:sz w:val="22"/>
          <w:lang w:val="es-ES_tradnl"/>
        </w:rPr>
      </w:pPr>
    </w:p>
    <w:p w14:paraId="171D8267" w14:textId="77777777" w:rsidR="00D45D43" w:rsidRPr="00147343" w:rsidRDefault="00D45D43" w:rsidP="00147343">
      <w:pPr>
        <w:spacing w:after="0" w:line="240" w:lineRule="auto"/>
        <w:rPr>
          <w:rFonts w:ascii="Arial" w:eastAsia="Calibri" w:hAnsi="Arial" w:cs="Arial"/>
          <w:sz w:val="22"/>
          <w:lang w:val="es-CO"/>
        </w:rPr>
      </w:pPr>
    </w:p>
    <w:p w14:paraId="62205C71" w14:textId="6C478FE4" w:rsidR="00D45D43" w:rsidRPr="00147343" w:rsidRDefault="00D45D43" w:rsidP="00147343">
      <w:pPr>
        <w:spacing w:after="0" w:line="240" w:lineRule="auto"/>
        <w:rPr>
          <w:rFonts w:ascii="Arial" w:eastAsia="Calibri" w:hAnsi="Arial" w:cs="Arial"/>
          <w:sz w:val="22"/>
          <w:lang w:val="es-CO"/>
        </w:rPr>
      </w:pPr>
      <w:r w:rsidRPr="00147343">
        <w:rPr>
          <w:rFonts w:ascii="Arial" w:eastAsia="Calibri" w:hAnsi="Arial" w:cs="Arial"/>
          <w:sz w:val="22"/>
          <w:lang w:val="es-CO"/>
        </w:rPr>
        <w:t>Señor</w:t>
      </w:r>
      <w:r w:rsidR="00837415" w:rsidRPr="00147343">
        <w:rPr>
          <w:rFonts w:ascii="Arial" w:eastAsia="Calibri" w:hAnsi="Arial" w:cs="Arial"/>
          <w:sz w:val="22"/>
          <w:lang w:val="es-CO"/>
        </w:rPr>
        <w:t>a</w:t>
      </w:r>
    </w:p>
    <w:p w14:paraId="28CC415F" w14:textId="2C507C2D" w:rsidR="00347E32" w:rsidRPr="00147343" w:rsidRDefault="00E878FA" w:rsidP="00147343">
      <w:pPr>
        <w:spacing w:after="0" w:line="240" w:lineRule="auto"/>
        <w:rPr>
          <w:rFonts w:ascii="Arial" w:eastAsia="Calibri" w:hAnsi="Arial" w:cs="Arial"/>
          <w:b/>
          <w:sz w:val="22"/>
          <w:lang w:val="es-CO"/>
        </w:rPr>
      </w:pPr>
      <w:r w:rsidRPr="00147343">
        <w:rPr>
          <w:rFonts w:ascii="Arial" w:eastAsia="Calibri" w:hAnsi="Arial" w:cs="Arial"/>
          <w:b/>
          <w:sz w:val="22"/>
          <w:lang w:val="es-CO"/>
        </w:rPr>
        <w:t>Katia Cabrales Bechara</w:t>
      </w:r>
    </w:p>
    <w:p w14:paraId="5FE0EF95" w14:textId="342A9326" w:rsidR="005F5BE7" w:rsidRPr="00147343" w:rsidRDefault="00E878FA" w:rsidP="00147343">
      <w:pPr>
        <w:tabs>
          <w:tab w:val="left" w:pos="3374"/>
        </w:tabs>
        <w:spacing w:after="0" w:line="240" w:lineRule="auto"/>
        <w:rPr>
          <w:rFonts w:ascii="Arial" w:eastAsia="Calibri" w:hAnsi="Arial" w:cs="Arial"/>
          <w:noProof/>
          <w:sz w:val="22"/>
          <w:lang w:val="es-ES_tradnl"/>
        </w:rPr>
      </w:pPr>
      <w:r w:rsidRPr="00147343">
        <w:rPr>
          <w:rFonts w:ascii="Arial" w:hAnsi="Arial" w:cs="Arial"/>
          <w:sz w:val="22"/>
        </w:rPr>
        <w:t>Montería, Córdoba</w:t>
      </w:r>
      <w:r w:rsidR="005F5BE7" w:rsidRPr="00147343">
        <w:rPr>
          <w:rFonts w:ascii="Arial" w:hAnsi="Arial" w:cs="Arial"/>
          <w:sz w:val="22"/>
        </w:rPr>
        <w:t xml:space="preserve">. </w:t>
      </w:r>
    </w:p>
    <w:p w14:paraId="057E787C" w14:textId="77777777" w:rsidR="005F5BE7" w:rsidRPr="00147343" w:rsidRDefault="005F5BE7" w:rsidP="00147343">
      <w:pPr>
        <w:spacing w:after="0" w:line="240" w:lineRule="auto"/>
        <w:rPr>
          <w:rFonts w:ascii="Arial" w:eastAsia="Calibri" w:hAnsi="Arial" w:cs="Arial"/>
          <w:b/>
          <w:sz w:val="22"/>
          <w:lang w:val="es-CO"/>
        </w:rPr>
      </w:pPr>
    </w:p>
    <w:p w14:paraId="506DAD6F" w14:textId="77777777" w:rsidR="000C6406" w:rsidRPr="00147343" w:rsidRDefault="000C6406" w:rsidP="00147343">
      <w:pPr>
        <w:spacing w:after="0" w:line="240" w:lineRule="auto"/>
        <w:rPr>
          <w:rFonts w:ascii="Arial" w:eastAsia="Calibri" w:hAnsi="Arial" w:cs="Arial"/>
          <w:sz w:val="22"/>
          <w:lang w:val="es-CO"/>
        </w:rPr>
      </w:pPr>
    </w:p>
    <w:p w14:paraId="425712DB" w14:textId="012D2F37" w:rsidR="00D45D43" w:rsidRPr="00147343" w:rsidRDefault="00D45D43" w:rsidP="00147343">
      <w:pPr>
        <w:spacing w:after="0" w:line="240" w:lineRule="auto"/>
        <w:rPr>
          <w:rFonts w:ascii="Arial" w:hAnsi="Arial" w:cs="Arial"/>
          <w:sz w:val="22"/>
          <w:lang w:val="es-CO"/>
        </w:rPr>
      </w:pPr>
      <w:r w:rsidRPr="00147343">
        <w:rPr>
          <w:rFonts w:ascii="Arial" w:eastAsia="Calibri" w:hAnsi="Arial" w:cs="Arial"/>
          <w:sz w:val="22"/>
          <w:lang w:val="es-CO"/>
        </w:rPr>
        <w:t xml:space="preserve">                                                </w:t>
      </w:r>
      <w:r w:rsidR="000C6406" w:rsidRPr="00147343">
        <w:rPr>
          <w:rFonts w:ascii="Arial" w:eastAsia="Calibri" w:hAnsi="Arial" w:cs="Arial"/>
          <w:sz w:val="22"/>
          <w:lang w:val="es-CO"/>
        </w:rPr>
        <w:t xml:space="preserve"> </w:t>
      </w:r>
      <w:r w:rsidRPr="00147343">
        <w:rPr>
          <w:rFonts w:ascii="Arial" w:eastAsia="Calibri" w:hAnsi="Arial" w:cs="Arial"/>
          <w:b/>
          <w:sz w:val="22"/>
          <w:lang w:val="es-CO"/>
        </w:rPr>
        <w:t>Concepto C</w:t>
      </w:r>
      <w:r w:rsidR="00147343">
        <w:rPr>
          <w:rFonts w:ascii="Arial" w:eastAsia="Calibri" w:hAnsi="Arial" w:cs="Arial"/>
          <w:b/>
          <w:sz w:val="22"/>
          <w:lang w:val="es-CO"/>
        </w:rPr>
        <w:t xml:space="preserve"> – </w:t>
      </w:r>
      <w:r w:rsidR="009C4A25" w:rsidRPr="00147343">
        <w:rPr>
          <w:rFonts w:ascii="Arial" w:eastAsia="Calibri" w:hAnsi="Arial" w:cs="Arial"/>
          <w:b/>
          <w:sz w:val="22"/>
          <w:lang w:val="es-CO"/>
        </w:rPr>
        <w:t>5</w:t>
      </w:r>
      <w:r w:rsidR="00E878FA" w:rsidRPr="00147343">
        <w:rPr>
          <w:rFonts w:ascii="Arial" w:eastAsia="Calibri" w:hAnsi="Arial" w:cs="Arial"/>
          <w:b/>
          <w:sz w:val="22"/>
          <w:lang w:val="es-CO"/>
        </w:rPr>
        <w:t>50</w:t>
      </w:r>
      <w:r w:rsidRPr="00147343">
        <w:rPr>
          <w:rFonts w:ascii="Arial" w:eastAsia="Calibri" w:hAnsi="Arial" w:cs="Arial"/>
          <w:b/>
          <w:sz w:val="22"/>
          <w:lang w:val="es-CO"/>
        </w:rPr>
        <w:t xml:space="preserve"> de 2021</w:t>
      </w:r>
      <w:r w:rsidRPr="00147343">
        <w:rPr>
          <w:rFonts w:ascii="Arial" w:hAnsi="Arial" w:cs="Arial"/>
          <w:sz w:val="22"/>
          <w:lang w:val="es-CO"/>
        </w:rPr>
        <w:t xml:space="preserve"> </w:t>
      </w:r>
    </w:p>
    <w:p w14:paraId="0FD04F51" w14:textId="77777777" w:rsidR="00D45D43" w:rsidRPr="00147343" w:rsidRDefault="00D45D43" w:rsidP="00147343">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5949"/>
      </w:tblGrid>
      <w:tr w:rsidR="00D45D43" w:rsidRPr="00147343" w14:paraId="2F506374" w14:textId="77777777" w:rsidTr="00296985">
        <w:trPr>
          <w:trHeight w:val="1038"/>
        </w:trPr>
        <w:tc>
          <w:tcPr>
            <w:tcW w:w="2977" w:type="dxa"/>
            <w:hideMark/>
          </w:tcPr>
          <w:p w14:paraId="457F7D77" w14:textId="77777777" w:rsidR="00D45D43" w:rsidRPr="00147343" w:rsidRDefault="00D45D43" w:rsidP="00147343">
            <w:pPr>
              <w:spacing w:line="240" w:lineRule="auto"/>
              <w:ind w:left="720"/>
              <w:contextualSpacing/>
              <w:rPr>
                <w:rFonts w:ascii="Arial" w:eastAsia="Calibri" w:hAnsi="Arial" w:cs="Arial"/>
                <w:noProof/>
                <w:lang w:val="es-ES_tradnl"/>
              </w:rPr>
            </w:pPr>
            <w:r w:rsidRPr="00147343">
              <w:rPr>
                <w:rFonts w:ascii="Arial" w:eastAsia="Calibri" w:hAnsi="Arial" w:cs="Arial"/>
                <w:b/>
                <w:noProof/>
                <w:lang w:val="es-ES_tradnl"/>
              </w:rPr>
              <w:t xml:space="preserve">     Temas:</w:t>
            </w:r>
            <w:r w:rsidRPr="00147343">
              <w:rPr>
                <w:rFonts w:ascii="Arial" w:eastAsia="Calibri" w:hAnsi="Arial" w:cs="Arial"/>
                <w:noProof/>
                <w:lang w:val="es-ES_tradnl"/>
              </w:rPr>
              <w:t xml:space="preserve">        </w:t>
            </w:r>
          </w:p>
        </w:tc>
        <w:tc>
          <w:tcPr>
            <w:tcW w:w="5949" w:type="dxa"/>
            <w:hideMark/>
          </w:tcPr>
          <w:p w14:paraId="04A6CBA1" w14:textId="0F920FD1" w:rsidR="00DF1D02" w:rsidRPr="00AA226E" w:rsidRDefault="00DF1D02" w:rsidP="00AA226E">
            <w:pPr>
              <w:spacing w:after="120" w:line="240" w:lineRule="auto"/>
              <w:rPr>
                <w:rFonts w:ascii="Arial" w:eastAsia="Times New Roman" w:hAnsi="Arial" w:cs="Arial"/>
                <w:b/>
                <w:bCs/>
                <w:lang w:val="es-ES_tradnl" w:eastAsia="es-ES"/>
              </w:rPr>
            </w:pPr>
            <w:r w:rsidRPr="00AA226E">
              <w:rPr>
                <w:rFonts w:ascii="Arial" w:eastAsia="Calibri" w:hAnsi="Arial" w:cs="Arial"/>
                <w:sz w:val="24"/>
              </w:rPr>
              <w:t xml:space="preserve">LEY DE GARANTÍAS ELECTORALES – Finalidad / LEY DE GARANTÍAS ELECTORALES ‒ Tipos de restricciones ‒ Ámbito temporal / LEY DE GARANTÍAS ELECTORALES ─ Prohibición artículo 33 ‒ Contratación directa ‒ Alcance / </w:t>
            </w:r>
            <w:r w:rsidRPr="00AA226E">
              <w:rPr>
                <w:rFonts w:ascii="Arial" w:eastAsia="Times New Roman" w:hAnsi="Arial" w:cs="Arial"/>
                <w:sz w:val="24"/>
                <w:lang w:val="es-CO" w:eastAsia="es-CO"/>
              </w:rPr>
              <w:t xml:space="preserve">LEY DE GARANTÍAS ELECTORALES ‒ Excepciones / LEY DE GARANTÍAS ELECTORALES ‒ </w:t>
            </w:r>
            <w:r w:rsidRPr="00AA226E">
              <w:rPr>
                <w:rFonts w:ascii="Arial" w:eastAsia="Times New Roman" w:hAnsi="Arial" w:cs="Arial"/>
                <w:sz w:val="24"/>
                <w:lang w:val="es-ES" w:eastAsia="es-CO"/>
              </w:rPr>
              <w:t xml:space="preserve">Prohibición del artículo 33 </w:t>
            </w:r>
            <w:r w:rsidRPr="00AA226E">
              <w:rPr>
                <w:rFonts w:ascii="Arial" w:eastAsia="Times New Roman" w:hAnsi="Arial" w:cs="Arial"/>
                <w:sz w:val="24"/>
                <w:lang w:val="es-CO" w:eastAsia="es-CO"/>
              </w:rPr>
              <w:t xml:space="preserve">‒ Destinatarios </w:t>
            </w:r>
            <w:r w:rsidRPr="00AA226E">
              <w:rPr>
                <w:rFonts w:ascii="Arial" w:eastAsia="Times New Roman" w:hAnsi="Arial" w:cs="Arial"/>
                <w:sz w:val="24"/>
                <w:lang w:val="es-ES_tradnl" w:eastAsia="es-ES"/>
              </w:rPr>
              <w:t xml:space="preserve"> / CONTRATACIÓN DIRECTA – causales</w:t>
            </w:r>
          </w:p>
          <w:p w14:paraId="7477B464" w14:textId="77777777" w:rsidR="00D45D43" w:rsidRPr="00147343" w:rsidRDefault="00D45D43">
            <w:pPr>
              <w:spacing w:after="0" w:line="240" w:lineRule="auto"/>
              <w:contextualSpacing/>
              <w:rPr>
                <w:rFonts w:ascii="Arial" w:eastAsia="Calibri" w:hAnsi="Arial" w:cs="Arial"/>
                <w:b/>
                <w:highlight w:val="yellow"/>
              </w:rPr>
            </w:pPr>
          </w:p>
        </w:tc>
      </w:tr>
      <w:tr w:rsidR="00D45D43" w:rsidRPr="00147343" w14:paraId="5B6E69F2" w14:textId="77777777" w:rsidTr="00296985">
        <w:trPr>
          <w:trHeight w:val="198"/>
        </w:trPr>
        <w:tc>
          <w:tcPr>
            <w:tcW w:w="2977" w:type="dxa"/>
          </w:tcPr>
          <w:p w14:paraId="3A042E2F" w14:textId="77777777" w:rsidR="00D45D43" w:rsidRPr="00147343" w:rsidRDefault="00D45D43">
            <w:pPr>
              <w:pStyle w:val="Prrafodelista"/>
              <w:spacing w:after="0" w:line="240" w:lineRule="auto"/>
              <w:ind w:left="1080"/>
              <w:rPr>
                <w:rFonts w:ascii="Arial" w:eastAsia="Calibri" w:hAnsi="Arial" w:cs="Arial"/>
                <w:b/>
                <w:noProof/>
                <w:lang w:val="es-ES_tradnl"/>
              </w:rPr>
            </w:pPr>
            <w:r w:rsidRPr="00147343">
              <w:rPr>
                <w:rFonts w:ascii="Arial" w:eastAsia="Calibri" w:hAnsi="Arial" w:cs="Arial"/>
                <w:b/>
                <w:noProof/>
                <w:lang w:val="es-ES_tradnl"/>
              </w:rPr>
              <w:t>Radicación:</w:t>
            </w:r>
            <w:r w:rsidRPr="00147343">
              <w:rPr>
                <w:rFonts w:ascii="Arial" w:eastAsia="Calibri" w:hAnsi="Arial" w:cs="Arial"/>
                <w:noProof/>
                <w:lang w:val="es-ES_tradnl"/>
              </w:rPr>
              <w:t xml:space="preserve">                              </w:t>
            </w:r>
          </w:p>
        </w:tc>
        <w:tc>
          <w:tcPr>
            <w:tcW w:w="5949" w:type="dxa"/>
          </w:tcPr>
          <w:p w14:paraId="4D6CA122" w14:textId="0431563F" w:rsidR="00D45D43" w:rsidRPr="00147343" w:rsidRDefault="00D45D43" w:rsidP="007B7A55">
            <w:pPr>
              <w:spacing w:after="0" w:line="240" w:lineRule="auto"/>
              <w:ind w:right="136"/>
              <w:contextualSpacing/>
              <w:rPr>
                <w:rFonts w:ascii="Arial" w:eastAsia="Calibri" w:hAnsi="Arial" w:cs="Arial"/>
                <w:noProof/>
                <w:highlight w:val="yellow"/>
                <w:lang w:val="es-ES_tradnl"/>
              </w:rPr>
            </w:pPr>
            <w:r w:rsidRPr="00147343">
              <w:rPr>
                <w:rFonts w:ascii="Arial" w:eastAsia="Calibri" w:hAnsi="Arial" w:cs="Arial"/>
                <w:noProof/>
                <w:lang w:val="es-ES_tradnl"/>
              </w:rPr>
              <w:t>Respuesta a consulta</w:t>
            </w:r>
            <w:r w:rsidR="009C4A25" w:rsidRPr="00147343">
              <w:rPr>
                <w:rFonts w:ascii="Arial" w:eastAsia="Calibri" w:hAnsi="Arial" w:cs="Arial"/>
                <w:noProof/>
                <w:lang w:val="es-ES_tradnl"/>
              </w:rPr>
              <w:t xml:space="preserve"> </w:t>
            </w:r>
            <w:r w:rsidR="007B7A55" w:rsidRPr="007B7A55">
              <w:rPr>
                <w:rFonts w:ascii="Arial" w:eastAsia="Calibri" w:hAnsi="Arial" w:cs="Arial"/>
                <w:noProof/>
                <w:lang w:val="es-ES_tradnl"/>
              </w:rPr>
              <w:t>P20210824007620</w:t>
            </w:r>
          </w:p>
        </w:tc>
      </w:tr>
    </w:tbl>
    <w:p w14:paraId="35E34587" w14:textId="77777777" w:rsidR="00D45D43" w:rsidRPr="003121C9" w:rsidRDefault="00D45D43" w:rsidP="00285F6C">
      <w:pPr>
        <w:spacing w:after="0" w:line="240" w:lineRule="auto"/>
        <w:rPr>
          <w:rFonts w:ascii="Arial" w:eastAsia="Calibri" w:hAnsi="Arial" w:cs="Arial"/>
          <w:sz w:val="22"/>
          <w:lang w:val="es-CO"/>
        </w:rPr>
      </w:pPr>
    </w:p>
    <w:p w14:paraId="6AEF12FF" w14:textId="77777777" w:rsidR="00D45D43" w:rsidRPr="003121C9" w:rsidRDefault="00D45D43" w:rsidP="00285F6C">
      <w:pPr>
        <w:spacing w:after="0" w:line="240" w:lineRule="auto"/>
        <w:rPr>
          <w:rFonts w:ascii="Arial" w:eastAsia="Calibri" w:hAnsi="Arial" w:cs="Arial"/>
          <w:sz w:val="22"/>
          <w:lang w:val="es-CO"/>
        </w:rPr>
      </w:pPr>
    </w:p>
    <w:p w14:paraId="70B8C15C" w14:textId="7838CC67" w:rsidR="00D45D43" w:rsidRPr="003121C9" w:rsidRDefault="00D45D43" w:rsidP="00001D47">
      <w:pPr>
        <w:spacing w:after="0"/>
        <w:rPr>
          <w:rFonts w:ascii="Arial" w:eastAsia="Calibri" w:hAnsi="Arial" w:cs="Arial"/>
          <w:sz w:val="22"/>
          <w:lang w:val="es-CO"/>
        </w:rPr>
      </w:pPr>
      <w:r w:rsidRPr="003121C9">
        <w:rPr>
          <w:rFonts w:ascii="Arial" w:eastAsia="Calibri" w:hAnsi="Arial" w:cs="Arial"/>
          <w:sz w:val="22"/>
          <w:lang w:val="es-CO"/>
        </w:rPr>
        <w:t>Estimad</w:t>
      </w:r>
      <w:r w:rsidR="00E878FA" w:rsidRPr="003121C9">
        <w:rPr>
          <w:rFonts w:ascii="Arial" w:eastAsia="Calibri" w:hAnsi="Arial" w:cs="Arial"/>
          <w:sz w:val="22"/>
          <w:lang w:val="es-CO"/>
        </w:rPr>
        <w:t>a</w:t>
      </w:r>
      <w:r w:rsidRPr="003121C9">
        <w:rPr>
          <w:rFonts w:ascii="Arial" w:eastAsia="Calibri" w:hAnsi="Arial" w:cs="Arial"/>
          <w:sz w:val="22"/>
          <w:lang w:val="es-CO"/>
        </w:rPr>
        <w:t xml:space="preserve"> señor</w:t>
      </w:r>
      <w:r w:rsidR="00347E32" w:rsidRPr="003121C9">
        <w:rPr>
          <w:rFonts w:ascii="Arial" w:eastAsia="Calibri" w:hAnsi="Arial" w:cs="Arial"/>
          <w:sz w:val="22"/>
          <w:lang w:val="es-CO"/>
        </w:rPr>
        <w:t>a</w:t>
      </w:r>
      <w:r w:rsidRPr="003121C9">
        <w:rPr>
          <w:rFonts w:ascii="Arial" w:eastAsia="Calibri" w:hAnsi="Arial" w:cs="Arial"/>
          <w:sz w:val="22"/>
          <w:lang w:val="es-CO"/>
        </w:rPr>
        <w:t xml:space="preserve"> </w:t>
      </w:r>
      <w:r w:rsidR="00E878FA" w:rsidRPr="003121C9">
        <w:rPr>
          <w:rFonts w:ascii="Arial" w:eastAsia="Calibri" w:hAnsi="Arial" w:cs="Arial"/>
          <w:sz w:val="22"/>
          <w:lang w:val="es-CO"/>
        </w:rPr>
        <w:t>Cabrales</w:t>
      </w:r>
      <w:r w:rsidRPr="003121C9">
        <w:rPr>
          <w:rFonts w:ascii="Arial" w:eastAsia="Calibri" w:hAnsi="Arial" w:cs="Arial"/>
          <w:sz w:val="22"/>
          <w:lang w:val="es-CO"/>
        </w:rPr>
        <w:t>:</w:t>
      </w:r>
    </w:p>
    <w:p w14:paraId="7ADEE905" w14:textId="77777777" w:rsidR="00D45D43" w:rsidRPr="003121C9" w:rsidRDefault="00D45D43" w:rsidP="00001D47">
      <w:pPr>
        <w:spacing w:after="0"/>
        <w:ind w:firstLine="709"/>
        <w:rPr>
          <w:rFonts w:ascii="Arial" w:eastAsia="Calibri" w:hAnsi="Arial" w:cs="Arial"/>
          <w:sz w:val="22"/>
          <w:lang w:val="es-CO"/>
        </w:rPr>
      </w:pPr>
    </w:p>
    <w:p w14:paraId="549E55BB" w14:textId="73C650AD" w:rsidR="00D45D43" w:rsidRPr="003121C9" w:rsidRDefault="00D45D43" w:rsidP="00001D47">
      <w:pPr>
        <w:spacing w:after="0"/>
        <w:ind w:right="51"/>
        <w:rPr>
          <w:rFonts w:ascii="Arial" w:eastAsia="Calibri" w:hAnsi="Arial" w:cs="Arial"/>
          <w:sz w:val="22"/>
          <w:lang w:val="es-CO"/>
        </w:rPr>
      </w:pPr>
      <w:r w:rsidRPr="003121C9">
        <w:rPr>
          <w:rFonts w:ascii="Arial" w:eastAsia="Calibri" w:hAnsi="Arial" w:cs="Arial"/>
          <w:sz w:val="22"/>
          <w:lang w:val="es-CO"/>
        </w:rPr>
        <w:t>En ejercicio de la función otorgada por el numeral 8 del artículo 11 y el numeral 5 del artículo 3 del Decreto Ley 4170 de 2011, la Agencia Nacional de Contratación Pública – Colombia Compra Eficiente responde la consulta</w:t>
      </w:r>
      <w:r w:rsidR="00347E32" w:rsidRPr="003121C9">
        <w:rPr>
          <w:rFonts w:ascii="Arial" w:eastAsia="Calibri" w:hAnsi="Arial" w:cs="Arial"/>
          <w:sz w:val="22"/>
          <w:lang w:val="es-CO"/>
        </w:rPr>
        <w:t xml:space="preserve"> </w:t>
      </w:r>
      <w:r w:rsidR="005F5BE7" w:rsidRPr="003121C9">
        <w:rPr>
          <w:rFonts w:ascii="Arial" w:eastAsia="Calibri" w:hAnsi="Arial" w:cs="Arial"/>
          <w:sz w:val="22"/>
          <w:lang w:val="es-CO"/>
        </w:rPr>
        <w:t xml:space="preserve">realizada </w:t>
      </w:r>
      <w:r w:rsidRPr="003121C9">
        <w:rPr>
          <w:rFonts w:ascii="Arial" w:eastAsia="Calibri" w:hAnsi="Arial" w:cs="Arial"/>
          <w:sz w:val="22"/>
          <w:lang w:val="es-CO"/>
        </w:rPr>
        <w:t xml:space="preserve">el </w:t>
      </w:r>
      <w:r w:rsidR="00E878FA" w:rsidRPr="003121C9">
        <w:rPr>
          <w:rFonts w:ascii="Arial" w:eastAsia="Calibri" w:hAnsi="Arial" w:cs="Arial"/>
          <w:sz w:val="22"/>
          <w:lang w:val="es-CO"/>
        </w:rPr>
        <w:t>2</w:t>
      </w:r>
      <w:r w:rsidR="007B7A55">
        <w:rPr>
          <w:rFonts w:ascii="Arial" w:eastAsia="Calibri" w:hAnsi="Arial" w:cs="Arial"/>
          <w:sz w:val="22"/>
          <w:lang w:val="es-CO"/>
        </w:rPr>
        <w:t>4</w:t>
      </w:r>
      <w:r w:rsidRPr="003121C9">
        <w:rPr>
          <w:rFonts w:ascii="Arial" w:eastAsia="Calibri" w:hAnsi="Arial" w:cs="Arial"/>
          <w:sz w:val="22"/>
          <w:lang w:val="es-CO"/>
        </w:rPr>
        <w:t xml:space="preserve"> de agosto de 2021.</w:t>
      </w:r>
    </w:p>
    <w:p w14:paraId="594BDCF2" w14:textId="77777777" w:rsidR="00D45D43" w:rsidRPr="003121C9" w:rsidRDefault="00D45D43" w:rsidP="00001D47">
      <w:pPr>
        <w:spacing w:after="0"/>
        <w:rPr>
          <w:rFonts w:ascii="Arial" w:eastAsia="Calibri" w:hAnsi="Arial" w:cs="Arial"/>
          <w:sz w:val="22"/>
          <w:lang w:val="es-CO"/>
        </w:rPr>
      </w:pPr>
    </w:p>
    <w:p w14:paraId="4E680CF9" w14:textId="65D36C0A" w:rsidR="00D45D43" w:rsidRPr="003121C9" w:rsidRDefault="00F80890" w:rsidP="00001D47">
      <w:pPr>
        <w:tabs>
          <w:tab w:val="left" w:pos="284"/>
        </w:tabs>
        <w:spacing w:after="0"/>
        <w:rPr>
          <w:rFonts w:ascii="Arial" w:eastAsia="Calibri" w:hAnsi="Arial" w:cs="Arial"/>
          <w:b/>
          <w:sz w:val="22"/>
          <w:lang w:val="es-CO"/>
        </w:rPr>
      </w:pPr>
      <w:r w:rsidRPr="003121C9">
        <w:rPr>
          <w:rFonts w:ascii="Arial" w:eastAsia="Calibri" w:hAnsi="Arial" w:cs="Arial"/>
          <w:b/>
          <w:sz w:val="22"/>
          <w:lang w:val="es-CO"/>
        </w:rPr>
        <w:t xml:space="preserve">1. </w:t>
      </w:r>
      <w:r w:rsidR="00D45D43" w:rsidRPr="003121C9">
        <w:rPr>
          <w:rFonts w:ascii="Arial" w:eastAsia="Calibri" w:hAnsi="Arial" w:cs="Arial"/>
          <w:b/>
          <w:sz w:val="22"/>
          <w:lang w:val="es-CO"/>
        </w:rPr>
        <w:t xml:space="preserve">Problemas planteados </w:t>
      </w:r>
      <w:bookmarkStart w:id="8" w:name="_Hlk78213421"/>
      <w:bookmarkStart w:id="9" w:name="_Hlk78192084"/>
      <w:bookmarkStart w:id="10" w:name="_Hlk58917991"/>
      <w:bookmarkStart w:id="11" w:name="_Hlk56103000"/>
    </w:p>
    <w:p w14:paraId="7AE4AC66" w14:textId="19C472EF" w:rsidR="005F5BE7" w:rsidRPr="003121C9" w:rsidRDefault="005F5BE7">
      <w:pPr>
        <w:tabs>
          <w:tab w:val="left" w:pos="284"/>
        </w:tabs>
        <w:spacing w:after="0"/>
        <w:rPr>
          <w:rFonts w:ascii="Arial" w:eastAsia="Calibri" w:hAnsi="Arial" w:cs="Arial"/>
          <w:b/>
          <w:sz w:val="22"/>
          <w:lang w:val="es-CO"/>
        </w:rPr>
      </w:pPr>
    </w:p>
    <w:bookmarkEnd w:id="8"/>
    <w:bookmarkEnd w:id="9"/>
    <w:p w14:paraId="639ACAE8" w14:textId="69445052" w:rsidR="00E878FA" w:rsidRPr="003121C9" w:rsidRDefault="00E878FA" w:rsidP="00AA226E">
      <w:pPr>
        <w:pStyle w:val="NormalWeb"/>
        <w:spacing w:before="0" w:beforeAutospacing="0" w:after="0" w:afterAutospacing="0"/>
        <w:rPr>
          <w:rFonts w:ascii="Arial" w:hAnsi="Arial" w:cs="Arial"/>
          <w:sz w:val="22"/>
          <w:szCs w:val="22"/>
          <w:lang w:eastAsia="es-ES_tradnl"/>
        </w:rPr>
      </w:pPr>
      <w:r w:rsidRPr="003121C9">
        <w:rPr>
          <w:rFonts w:ascii="Arial" w:hAnsi="Arial" w:cs="Arial"/>
          <w:sz w:val="22"/>
          <w:szCs w:val="22"/>
        </w:rPr>
        <w:t xml:space="preserve">En su consulta, usted solicita </w:t>
      </w:r>
      <w:r w:rsidR="00147343">
        <w:rPr>
          <w:rFonts w:ascii="Arial" w:hAnsi="Arial" w:cs="Arial"/>
          <w:sz w:val="22"/>
          <w:szCs w:val="22"/>
          <w:shd w:val="clear" w:color="auto" w:fill="FFFFFF"/>
        </w:rPr>
        <w:t xml:space="preserve">aclarar </w:t>
      </w:r>
      <w:r w:rsidRPr="003121C9">
        <w:rPr>
          <w:rFonts w:ascii="Arial" w:hAnsi="Arial" w:cs="Arial"/>
          <w:sz w:val="22"/>
          <w:szCs w:val="22"/>
          <w:shd w:val="clear" w:color="auto" w:fill="FFFFFF"/>
        </w:rPr>
        <w:t>«[…]</w:t>
      </w:r>
      <w:r w:rsidRPr="003121C9">
        <w:rPr>
          <w:rFonts w:ascii="Arial" w:hAnsi="Arial" w:cs="Arial"/>
          <w:sz w:val="22"/>
          <w:szCs w:val="22"/>
          <w:lang w:eastAsia="es-ES_tradnl"/>
        </w:rPr>
        <w:t xml:space="preserve"> si durante la Ley de Garantías comprendida entre el 29 de enero al 29 de mayo de 2022, los Municipios podrán celebrar la contratación </w:t>
      </w:r>
      <w:r w:rsidRPr="003121C9">
        <w:rPr>
          <w:rFonts w:ascii="Arial" w:hAnsi="Arial" w:cs="Arial"/>
          <w:sz w:val="22"/>
          <w:szCs w:val="22"/>
          <w:lang w:eastAsia="es-ES_tradnl"/>
        </w:rPr>
        <w:lastRenderedPageBreak/>
        <w:t xml:space="preserve">directa, de que trata el literal </w:t>
      </w:r>
      <w:r w:rsidRPr="00AA226E">
        <w:rPr>
          <w:rFonts w:ascii="Arial" w:hAnsi="Arial" w:cs="Arial"/>
          <w:sz w:val="22"/>
          <w:szCs w:val="22"/>
          <w:lang w:eastAsia="es-ES_tradnl"/>
        </w:rPr>
        <w:t>h</w:t>
      </w:r>
      <w:r w:rsidRPr="003121C9">
        <w:rPr>
          <w:rFonts w:ascii="Arial" w:hAnsi="Arial" w:cs="Arial"/>
          <w:b/>
          <w:bCs/>
          <w:sz w:val="22"/>
          <w:szCs w:val="22"/>
          <w:lang w:eastAsia="es-ES_tradnl"/>
        </w:rPr>
        <w:t xml:space="preserve"> </w:t>
      </w:r>
      <w:r w:rsidRPr="003121C9">
        <w:rPr>
          <w:rFonts w:ascii="Arial" w:hAnsi="Arial" w:cs="Arial"/>
          <w:sz w:val="22"/>
          <w:szCs w:val="22"/>
          <w:lang w:eastAsia="es-ES_tradnl"/>
        </w:rPr>
        <w:t>del artículo 4</w:t>
      </w:r>
      <w:r w:rsidR="00A802FF">
        <w:rPr>
          <w:rFonts w:ascii="Arial" w:hAnsi="Arial" w:cs="Arial"/>
          <w:sz w:val="22"/>
          <w:szCs w:val="22"/>
          <w:lang w:eastAsia="es-ES_tradnl"/>
        </w:rPr>
        <w:t xml:space="preserve"> (sic)</w:t>
      </w:r>
      <w:r w:rsidRPr="003121C9">
        <w:rPr>
          <w:rFonts w:ascii="Arial" w:hAnsi="Arial" w:cs="Arial"/>
          <w:sz w:val="22"/>
          <w:szCs w:val="22"/>
          <w:lang w:eastAsia="es-ES_tradnl"/>
        </w:rPr>
        <w:t xml:space="preserve"> de la Ley 1150 de 2007, es decir, la referente a la prestación de servicios profesionales y de apoyo a la gestión».</w:t>
      </w:r>
    </w:p>
    <w:p w14:paraId="5D758984" w14:textId="77777777" w:rsidR="00CC7BE8" w:rsidRPr="003121C9" w:rsidRDefault="00CC7BE8" w:rsidP="00AA226E">
      <w:pPr>
        <w:pStyle w:val="NormalWeb"/>
        <w:spacing w:before="0" w:beforeAutospacing="0" w:after="0" w:afterAutospacing="0"/>
        <w:rPr>
          <w:rFonts w:ascii="Arial" w:hAnsi="Arial" w:cs="Arial"/>
          <w:sz w:val="22"/>
          <w:szCs w:val="22"/>
          <w:lang w:eastAsia="es-ES_tradnl"/>
        </w:rPr>
      </w:pPr>
    </w:p>
    <w:bookmarkEnd w:id="10"/>
    <w:bookmarkEnd w:id="11"/>
    <w:p w14:paraId="540AE7E3" w14:textId="1D94A366" w:rsidR="00D45D43" w:rsidRPr="003121C9" w:rsidRDefault="0029475E" w:rsidP="00001D47">
      <w:pPr>
        <w:tabs>
          <w:tab w:val="left" w:pos="284"/>
        </w:tabs>
        <w:spacing w:after="0"/>
        <w:rPr>
          <w:rFonts w:ascii="Arial" w:eastAsia="Calibri" w:hAnsi="Arial" w:cs="Arial"/>
          <w:b/>
          <w:sz w:val="22"/>
          <w:lang w:val="es-CO"/>
        </w:rPr>
      </w:pPr>
      <w:r w:rsidRPr="003121C9">
        <w:rPr>
          <w:rFonts w:ascii="Arial" w:eastAsia="Calibri" w:hAnsi="Arial" w:cs="Arial"/>
          <w:b/>
          <w:sz w:val="22"/>
          <w:lang w:val="es-CO"/>
        </w:rPr>
        <w:t xml:space="preserve">2. </w:t>
      </w:r>
      <w:r w:rsidR="00D45D43" w:rsidRPr="003121C9">
        <w:rPr>
          <w:rFonts w:ascii="Arial" w:eastAsia="Calibri" w:hAnsi="Arial" w:cs="Arial"/>
          <w:b/>
          <w:sz w:val="22"/>
          <w:lang w:val="es-CO"/>
        </w:rPr>
        <w:t>Consideraciones</w:t>
      </w:r>
    </w:p>
    <w:p w14:paraId="416ED36B" w14:textId="77777777" w:rsidR="00D45D43" w:rsidRPr="003121C9" w:rsidRDefault="00D45D43" w:rsidP="00001D47">
      <w:pPr>
        <w:spacing w:after="0"/>
        <w:rPr>
          <w:rFonts w:ascii="Arial" w:eastAsia="Calibri" w:hAnsi="Arial" w:cs="Arial"/>
          <w:bCs/>
          <w:sz w:val="22"/>
          <w:lang w:val="es-CO"/>
        </w:rPr>
      </w:pPr>
    </w:p>
    <w:p w14:paraId="3E569C31" w14:textId="41744555" w:rsidR="00D45D43" w:rsidRPr="003121C9" w:rsidRDefault="00D45D43" w:rsidP="00342484">
      <w:pPr>
        <w:spacing w:after="120"/>
        <w:rPr>
          <w:rFonts w:ascii="Arial" w:eastAsia="Times New Roman" w:hAnsi="Arial" w:cs="Arial"/>
          <w:sz w:val="22"/>
          <w:lang w:val="es-CO" w:eastAsia="es-ES_tradnl"/>
        </w:rPr>
      </w:pPr>
      <w:r w:rsidRPr="003121C9">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29475E" w:rsidRPr="003121C9">
        <w:rPr>
          <w:rFonts w:ascii="Arial" w:eastAsia="Times New Roman" w:hAnsi="Arial" w:cs="Arial"/>
          <w:sz w:val="22"/>
          <w:lang w:val="es-CO" w:eastAsia="es-ES_tradnl"/>
        </w:rPr>
        <w:t xml:space="preserve"> </w:t>
      </w:r>
      <w:r w:rsidRPr="003121C9">
        <w:rPr>
          <w:rFonts w:ascii="Arial" w:eastAsia="Times New Roman" w:hAnsi="Arial" w:cs="Arial"/>
          <w:sz w:val="22"/>
          <w:lang w:val="es-CO" w:eastAsia="es-ES_tradnl"/>
        </w:rPr>
        <w:t>Es necesario tener en cuenta que esta entidad solo tiene competencia para responder solicitudes sobre la aplicación de normas de carácter general en materia de compras y contratación pública</w:t>
      </w:r>
      <w:r w:rsidRPr="003121C9">
        <w:rPr>
          <w:rStyle w:val="Refdenotaalpie"/>
          <w:rFonts w:ascii="Arial" w:hAnsi="Arial" w:cs="Arial"/>
        </w:rPr>
        <w:footnoteReference w:id="1"/>
      </w:r>
      <w:r w:rsidRPr="003121C9">
        <w:rPr>
          <w:rFonts w:ascii="Arial" w:eastAsia="Times New Roman" w:hAnsi="Arial" w:cs="Arial"/>
          <w:sz w:val="22"/>
          <w:lang w:val="es-CO" w:eastAsia="es-ES_tradnl"/>
        </w:rPr>
        <w:t>. Esta se fija con límites claros, con el objeto de evitar que la Agencia actúe como una instancia de validación de las actuaciones de las entidades sujetas a la Ley 80 de 1993 o de los demás participantes de la contratación pública.</w:t>
      </w:r>
    </w:p>
    <w:p w14:paraId="1BB2E2BD" w14:textId="39805002" w:rsidR="00D45D43" w:rsidRPr="003121C9" w:rsidRDefault="00E94F1C" w:rsidP="00AA226E">
      <w:pPr>
        <w:spacing w:after="120"/>
        <w:ind w:firstLine="709"/>
        <w:rPr>
          <w:rFonts w:ascii="Arial" w:eastAsia="Calibri" w:hAnsi="Arial" w:cs="Arial"/>
          <w:b/>
          <w:bCs/>
          <w:sz w:val="22"/>
          <w:lang w:val="es-CO"/>
        </w:rPr>
      </w:pPr>
      <w:r w:rsidRPr="00E94F1C">
        <w:rPr>
          <w:rFonts w:ascii="Arial" w:eastAsia="Times New Roman" w:hAnsi="Arial" w:cs="Arial"/>
          <w:sz w:val="22"/>
          <w:lang w:val="es-CO" w:eastAsia="es-ES_tradnl"/>
        </w:rPr>
        <w:t>Por ello, la Subdirección –dentro de los límites de sus atribuciones– resolverá la consulta conforme a las normas generales en materia de contratación estatal. Con este objetivo se analizarán los siguientes temas: i) definición y finalidad de la Ley de Garantías Electorales, ii) restricciones para elecciones presidenciales, iii) destinatarios de la prohibición del artículo 33 de la Ley 996 de 2005 y iv) restricciones en los comicios de cargos de elección popular</w:t>
      </w:r>
      <w:r w:rsidR="000B5DFC" w:rsidRPr="003121C9">
        <w:rPr>
          <w:rFonts w:ascii="Arial" w:eastAsia="Times New Roman" w:hAnsi="Arial" w:cs="Arial"/>
          <w:sz w:val="22"/>
          <w:lang w:val="es-CO" w:eastAsia="es-ES_tradnl"/>
        </w:rPr>
        <w:t xml:space="preserve">. </w:t>
      </w:r>
    </w:p>
    <w:p w14:paraId="3965D319" w14:textId="1FAF82A1" w:rsidR="000B5DFC" w:rsidRPr="003121C9" w:rsidRDefault="000B5DFC" w:rsidP="000B5DFC">
      <w:pPr>
        <w:tabs>
          <w:tab w:val="left" w:pos="426"/>
        </w:tabs>
        <w:spacing w:after="0"/>
        <w:ind w:firstLine="709"/>
        <w:rPr>
          <w:rFonts w:ascii="Arial" w:eastAsia="Calibri" w:hAnsi="Arial" w:cs="Arial"/>
          <w:bCs/>
          <w:sz w:val="22"/>
          <w:lang w:val="es-CO"/>
        </w:rPr>
      </w:pPr>
      <w:bookmarkStart w:id="12" w:name="_Hlk79772899"/>
      <w:r w:rsidRPr="003121C9">
        <w:rPr>
          <w:rFonts w:ascii="Arial" w:eastAsia="Calibri" w:hAnsi="Arial" w:cs="Arial"/>
          <w:bCs/>
          <w:sz w:val="22"/>
          <w:lang w:val="es-CO"/>
        </w:rPr>
        <w:t>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C-227 de 2021 del 5 de mayo de 2021, C-296 del 22 de junio de 2021</w:t>
      </w:r>
      <w:r w:rsidR="00CC7BE8">
        <w:rPr>
          <w:rFonts w:ascii="Arial" w:eastAsia="Calibri" w:hAnsi="Arial" w:cs="Arial"/>
          <w:bCs/>
          <w:sz w:val="22"/>
          <w:lang w:val="es-CO"/>
        </w:rPr>
        <w:t>,</w:t>
      </w:r>
      <w:r w:rsidRPr="003121C9">
        <w:rPr>
          <w:rFonts w:ascii="Arial" w:eastAsia="Calibri" w:hAnsi="Arial" w:cs="Arial"/>
          <w:bCs/>
          <w:sz w:val="22"/>
          <w:lang w:val="es-CO"/>
        </w:rPr>
        <w:t xml:space="preserve"> C-381 del 2 de </w:t>
      </w:r>
      <w:r w:rsidR="00CC7BE8">
        <w:rPr>
          <w:rFonts w:ascii="Arial" w:eastAsia="Calibri" w:hAnsi="Arial" w:cs="Arial"/>
          <w:bCs/>
          <w:sz w:val="22"/>
          <w:lang w:val="es-CO"/>
        </w:rPr>
        <w:t>agosto</w:t>
      </w:r>
      <w:r w:rsidRPr="003121C9">
        <w:rPr>
          <w:rFonts w:ascii="Arial" w:eastAsia="Calibri" w:hAnsi="Arial" w:cs="Arial"/>
          <w:bCs/>
          <w:sz w:val="22"/>
          <w:lang w:val="es-CO"/>
        </w:rPr>
        <w:t xml:space="preserve"> de 2021</w:t>
      </w:r>
      <w:r w:rsidR="00B94378">
        <w:rPr>
          <w:rFonts w:ascii="Arial" w:eastAsia="Calibri" w:hAnsi="Arial" w:cs="Arial"/>
          <w:bCs/>
          <w:sz w:val="22"/>
          <w:lang w:val="es-CO"/>
        </w:rPr>
        <w:t xml:space="preserve"> y C-499 del 15 de </w:t>
      </w:r>
      <w:r w:rsidR="00B94378">
        <w:rPr>
          <w:rFonts w:ascii="Arial" w:eastAsia="Calibri" w:hAnsi="Arial" w:cs="Arial"/>
          <w:bCs/>
          <w:sz w:val="22"/>
          <w:lang w:val="es-CO"/>
        </w:rPr>
        <w:lastRenderedPageBreak/>
        <w:t>septiembre de 2021</w:t>
      </w:r>
      <w:r w:rsidRPr="003121C9">
        <w:rPr>
          <w:rFonts w:ascii="Arial" w:eastAsia="Calibri" w:hAnsi="Arial" w:cs="Arial"/>
          <w:bCs/>
          <w:sz w:val="22"/>
          <w:lang w:val="es-CO"/>
        </w:rPr>
        <w:t>. La tesis desarrollada en estos conceptos se reiterará y complementará a continuación:</w:t>
      </w:r>
    </w:p>
    <w:p w14:paraId="12602A92" w14:textId="77777777" w:rsidR="000B5DFC" w:rsidRPr="003121C9" w:rsidRDefault="000B5DFC" w:rsidP="000B5DFC">
      <w:pPr>
        <w:tabs>
          <w:tab w:val="left" w:pos="426"/>
        </w:tabs>
        <w:spacing w:after="0"/>
        <w:ind w:firstLine="709"/>
        <w:rPr>
          <w:rFonts w:ascii="Arial" w:eastAsia="Calibri" w:hAnsi="Arial" w:cs="Arial"/>
          <w:b/>
          <w:bCs/>
          <w:sz w:val="22"/>
          <w:lang w:val="es-CO"/>
        </w:rPr>
      </w:pPr>
    </w:p>
    <w:p w14:paraId="5B479802" w14:textId="77777777" w:rsidR="00F00E9D" w:rsidRPr="00446B03" w:rsidRDefault="00F00E9D" w:rsidP="00F00E9D">
      <w:pPr>
        <w:tabs>
          <w:tab w:val="left" w:pos="426"/>
        </w:tabs>
        <w:spacing w:after="0"/>
        <w:rPr>
          <w:rFonts w:ascii="Arial" w:eastAsia="Calibri" w:hAnsi="Arial" w:cs="Arial"/>
          <w:b/>
          <w:bCs/>
          <w:sz w:val="22"/>
          <w:lang w:val="es-CO"/>
        </w:rPr>
      </w:pPr>
      <w:r w:rsidRPr="00446B03">
        <w:rPr>
          <w:rFonts w:ascii="Arial" w:eastAsia="Calibri" w:hAnsi="Arial" w:cs="Arial"/>
          <w:b/>
          <w:bCs/>
          <w:sz w:val="22"/>
          <w:lang w:val="es-CO"/>
        </w:rPr>
        <w:t>2.1. Definición y finalidad de la Ley de Garantías Electorales: alcance de las restricciones</w:t>
      </w:r>
    </w:p>
    <w:p w14:paraId="649F793D" w14:textId="77777777" w:rsidR="00F00E9D" w:rsidRPr="00446B03" w:rsidRDefault="00F00E9D" w:rsidP="00F00E9D">
      <w:pPr>
        <w:tabs>
          <w:tab w:val="left" w:pos="426"/>
        </w:tabs>
        <w:spacing w:after="0"/>
        <w:ind w:firstLine="709"/>
        <w:rPr>
          <w:rFonts w:ascii="Arial" w:eastAsia="Calibri" w:hAnsi="Arial" w:cs="Arial"/>
          <w:bCs/>
          <w:sz w:val="22"/>
          <w:lang w:val="es-CO"/>
        </w:rPr>
      </w:pPr>
    </w:p>
    <w:p w14:paraId="54FB044F" w14:textId="77777777" w:rsidR="00F00E9D" w:rsidRPr="00446B03" w:rsidRDefault="00F00E9D" w:rsidP="00F00E9D">
      <w:pPr>
        <w:tabs>
          <w:tab w:val="left" w:pos="426"/>
        </w:tabs>
        <w:spacing w:after="120"/>
        <w:rPr>
          <w:rFonts w:ascii="Arial" w:eastAsia="Times New Roman" w:hAnsi="Arial" w:cs="Arial"/>
          <w:bCs/>
          <w:sz w:val="22"/>
          <w:lang w:val="es-CO" w:eastAsia="es-CO"/>
        </w:rPr>
      </w:pPr>
      <w:r w:rsidRPr="00446B03">
        <w:rPr>
          <w:rFonts w:ascii="Arial" w:eastAsia="Calibri" w:hAnsi="Arial" w:cs="Arial"/>
          <w:bCs/>
          <w:sz w:val="22"/>
          <w:lang w:val="es-CO"/>
        </w:rPr>
        <w:t>El ordenamiento jurídico colombiano contempla previsiones claras para evitar la obtención de beneficios personales en asuntos propios de la administración pública</w:t>
      </w:r>
      <w:r w:rsidRPr="00446B03">
        <w:rPr>
          <w:rFonts w:ascii="Arial" w:eastAsia="Calibri" w:hAnsi="Arial" w:cs="Arial"/>
          <w:bCs/>
          <w:i/>
          <w:iCs/>
          <w:sz w:val="22"/>
          <w:lang w:val="es-CO"/>
        </w:rPr>
        <w:t xml:space="preserve">. </w:t>
      </w:r>
      <w:r w:rsidRPr="00446B03">
        <w:rPr>
          <w:rFonts w:ascii="Arial" w:eastAsia="Calibri" w:hAnsi="Arial" w:cs="Arial"/>
          <w:bCs/>
          <w:sz w:val="22"/>
          <w:lang w:val="es-CO"/>
        </w:rPr>
        <w:t>Por ejemplo, el artículo 127 de la Constitución Política establece una prohibición contractual a los servidores públicos y en cuanto a aspectos políticos establece restricciones a ciertos empleados del Estado, incluso en época no electoral</w:t>
      </w:r>
      <w:r w:rsidRPr="00446B03">
        <w:rPr>
          <w:rStyle w:val="Refdenotaalpie"/>
          <w:rFonts w:ascii="Arial" w:eastAsia="Calibri" w:hAnsi="Arial" w:cs="Arial"/>
          <w:bCs/>
          <w:sz w:val="22"/>
          <w:lang w:val="es-CO"/>
        </w:rPr>
        <w:footnoteReference w:id="2"/>
      </w:r>
      <w:r w:rsidRPr="00446B03">
        <w:rPr>
          <w:rFonts w:ascii="Arial" w:eastAsia="Calibri" w:hAnsi="Arial" w:cs="Arial"/>
          <w:bCs/>
          <w:sz w:val="22"/>
          <w:lang w:val="es-CO"/>
        </w:rPr>
        <w:t xml:space="preserve">. </w:t>
      </w:r>
    </w:p>
    <w:p w14:paraId="3CE11ACC" w14:textId="77777777" w:rsidR="00F00E9D" w:rsidRPr="00446B03" w:rsidRDefault="00F00E9D" w:rsidP="00F00E9D">
      <w:pPr>
        <w:tabs>
          <w:tab w:val="left" w:pos="426"/>
        </w:tabs>
        <w:spacing w:after="0"/>
        <w:ind w:firstLine="709"/>
        <w:rPr>
          <w:rFonts w:ascii="Arial" w:eastAsia="Times New Roman" w:hAnsi="Arial" w:cs="Arial"/>
          <w:bCs/>
          <w:sz w:val="22"/>
          <w:lang w:eastAsia="es-CO"/>
        </w:rPr>
      </w:pPr>
      <w:r w:rsidRPr="00446B03">
        <w:rPr>
          <w:rFonts w:ascii="Arial" w:eastAsia="Times New Roman" w:hAnsi="Arial" w:cs="Arial"/>
          <w:bCs/>
          <w:sz w:val="22"/>
          <w:lang w:val="es-CO" w:eastAsia="es-CO"/>
        </w:rPr>
        <w:t>En el mismo sentido</w:t>
      </w:r>
      <w:r w:rsidRPr="00446B03">
        <w:rPr>
          <w:rFonts w:ascii="Arial" w:eastAsia="Times New Roman" w:hAnsi="Arial" w:cs="Arial"/>
          <w:bCs/>
          <w:sz w:val="22"/>
          <w:lang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46B03">
        <w:rPr>
          <w:rStyle w:val="Refdenotaalpie"/>
          <w:rFonts w:ascii="Arial" w:eastAsia="Times New Roman" w:hAnsi="Arial" w:cs="Arial"/>
          <w:bCs/>
          <w:sz w:val="22"/>
          <w:lang w:eastAsia="es-CO"/>
        </w:rPr>
        <w:footnoteReference w:id="3"/>
      </w:r>
      <w:r w:rsidRPr="00446B03">
        <w:rPr>
          <w:rFonts w:ascii="Arial" w:eastAsia="Times New Roman"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446B03">
        <w:rPr>
          <w:rFonts w:ascii="Arial" w:eastAsia="Calibri" w:hAnsi="Arial" w:cs="Arial"/>
          <w:noProof/>
          <w:sz w:val="22"/>
          <w:lang w:val="es-ES_tradnl"/>
        </w:rPr>
        <w:t xml:space="preserve"> </w:t>
      </w:r>
      <w:r w:rsidRPr="00446B03">
        <w:rPr>
          <w:rFonts w:ascii="Arial" w:eastAsia="Times New Roman" w:hAnsi="Arial" w:cs="Arial"/>
          <w:bCs/>
          <w:sz w:val="22"/>
          <w:lang w:eastAsia="es-CO"/>
        </w:rPr>
        <w:t>En armonía con lo anterior, la Corte Constitucional ha abordado la definición de la Ley de Garantías Electorales. De esta manera, explica que tiene como propósito:</w:t>
      </w:r>
    </w:p>
    <w:p w14:paraId="22CDE49E" w14:textId="77777777" w:rsidR="00F00E9D" w:rsidRPr="00446B03" w:rsidRDefault="00F00E9D" w:rsidP="00F00E9D">
      <w:pPr>
        <w:spacing w:after="0" w:line="240" w:lineRule="auto"/>
        <w:ind w:right="709"/>
        <w:rPr>
          <w:rFonts w:ascii="Arial" w:eastAsia="Times New Roman" w:hAnsi="Arial" w:cs="Arial"/>
          <w:sz w:val="21"/>
          <w:szCs w:val="21"/>
          <w:lang w:val="es-ES" w:eastAsia="es-CO"/>
        </w:rPr>
      </w:pPr>
    </w:p>
    <w:p w14:paraId="4FC85970" w14:textId="77777777" w:rsidR="00F00E9D" w:rsidRPr="00446B03" w:rsidRDefault="00F00E9D" w:rsidP="00F00E9D">
      <w:pPr>
        <w:spacing w:after="0" w:line="240" w:lineRule="auto"/>
        <w:ind w:left="709" w:right="709"/>
        <w:rPr>
          <w:rFonts w:ascii="Arial" w:eastAsia="Times New Roman" w:hAnsi="Arial" w:cs="Arial"/>
          <w:bCs/>
          <w:sz w:val="21"/>
          <w:szCs w:val="21"/>
          <w:lang w:eastAsia="es-CO"/>
        </w:rPr>
      </w:pPr>
      <w:r w:rsidRPr="00446B03">
        <w:rPr>
          <w:rFonts w:ascii="Arial" w:eastAsia="Times New Roman" w:hAnsi="Arial" w:cs="Arial"/>
          <w:sz w:val="21"/>
          <w:szCs w:val="21"/>
          <w:lang w:val="es-ES" w:eastAsia="es-CO"/>
        </w:rPr>
        <w:t xml:space="preserve">[…] </w:t>
      </w:r>
      <w:r w:rsidRPr="00446B03">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541C07EF" w14:textId="77777777" w:rsidR="00F00E9D" w:rsidRPr="00446B03" w:rsidRDefault="00F00E9D" w:rsidP="00F00E9D">
      <w:pPr>
        <w:spacing w:after="12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 xml:space="preserve">[…] </w:t>
      </w:r>
    </w:p>
    <w:p w14:paraId="52694B64" w14:textId="77777777" w:rsidR="00F00E9D" w:rsidRPr="00446B03" w:rsidRDefault="00F00E9D" w:rsidP="00F00E9D">
      <w:pPr>
        <w:spacing w:after="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w:t>
      </w:r>
      <w:r w:rsidRPr="00446B03">
        <w:rPr>
          <w:rFonts w:ascii="Arial" w:eastAsia="Times New Roman" w:hAnsi="Arial" w:cs="Arial"/>
          <w:bCs/>
          <w:sz w:val="21"/>
          <w:szCs w:val="21"/>
          <w:lang w:eastAsia="es-CO"/>
        </w:rPr>
        <w:lastRenderedPageBreak/>
        <w:t>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46B03">
        <w:rPr>
          <w:rStyle w:val="Refdenotaalpie"/>
          <w:rFonts w:ascii="Arial" w:hAnsi="Arial" w:cs="Arial"/>
          <w:sz w:val="20"/>
          <w:szCs w:val="20"/>
        </w:rPr>
        <w:footnoteReference w:id="4"/>
      </w:r>
    </w:p>
    <w:p w14:paraId="2C7E26ED" w14:textId="77777777" w:rsidR="00F00E9D" w:rsidRPr="00446B03" w:rsidRDefault="00F00E9D" w:rsidP="00F00E9D">
      <w:pPr>
        <w:spacing w:after="0"/>
        <w:ind w:left="709" w:right="709"/>
        <w:rPr>
          <w:rFonts w:ascii="Arial" w:eastAsia="Times New Roman" w:hAnsi="Arial" w:cs="Arial"/>
          <w:bCs/>
          <w:sz w:val="21"/>
          <w:szCs w:val="21"/>
          <w:lang w:eastAsia="es-CO"/>
        </w:rPr>
      </w:pPr>
    </w:p>
    <w:p w14:paraId="7EA825A4" w14:textId="77777777" w:rsidR="00F00E9D" w:rsidRPr="00446B03" w:rsidRDefault="00F00E9D" w:rsidP="00F00E9D">
      <w:pPr>
        <w:spacing w:after="0"/>
        <w:ind w:firstLine="709"/>
        <w:rPr>
          <w:rFonts w:ascii="Arial" w:eastAsia="Times New Roman" w:hAnsi="Arial" w:cs="Arial"/>
          <w:bCs/>
          <w:sz w:val="22"/>
          <w:lang w:eastAsia="es-CO"/>
        </w:rPr>
      </w:pPr>
      <w:bookmarkStart w:id="13" w:name="_Hlk78818186"/>
      <w:r w:rsidRPr="00446B03">
        <w:rPr>
          <w:rFonts w:ascii="Arial" w:eastAsia="Times New Roman" w:hAnsi="Arial" w:cs="Arial"/>
          <w:bCs/>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3"/>
      <w:r w:rsidRPr="00446B03">
        <w:rPr>
          <w:rFonts w:ascii="Arial" w:eastAsia="Times New Roman" w:hAnsi="Arial" w:cs="Arial"/>
          <w:bCs/>
          <w:sz w:val="22"/>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13B8F2BA" w14:textId="77777777" w:rsidR="00F00E9D" w:rsidRPr="00446B03" w:rsidRDefault="00F00E9D" w:rsidP="00F00E9D">
      <w:pPr>
        <w:spacing w:after="0"/>
        <w:ind w:firstLine="709"/>
        <w:rPr>
          <w:rFonts w:ascii="Arial" w:eastAsia="Times New Roman" w:hAnsi="Arial" w:cs="Arial"/>
          <w:bCs/>
          <w:sz w:val="22"/>
          <w:lang w:eastAsia="es-CO"/>
        </w:rPr>
      </w:pPr>
    </w:p>
    <w:p w14:paraId="39447DA5" w14:textId="77777777" w:rsidR="00F00E9D" w:rsidRPr="00446B03" w:rsidRDefault="00F00E9D" w:rsidP="00F00E9D">
      <w:pPr>
        <w:spacing w:after="12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3950600" w14:textId="77777777" w:rsidR="00F00E9D" w:rsidRPr="00446B03" w:rsidRDefault="00F00E9D" w:rsidP="00F00E9D">
      <w:pPr>
        <w:spacing w:after="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La jurisprudencia de la Corte Constitucional</w:t>
      </w:r>
      <w:r w:rsidRPr="00446B03">
        <w:rPr>
          <w:rStyle w:val="Refdenotaalpie"/>
          <w:rFonts w:ascii="Arial" w:eastAsia="Times New Roman" w:hAnsi="Arial" w:cs="Arial"/>
          <w:bCs/>
          <w:sz w:val="21"/>
          <w:szCs w:val="21"/>
          <w:lang w:eastAsia="es-CO"/>
        </w:rPr>
        <w:footnoteReference w:id="5"/>
      </w:r>
      <w:r w:rsidRPr="00446B03">
        <w:rPr>
          <w:rFonts w:ascii="Arial" w:eastAsia="Times New Roman" w:hAnsi="Arial" w:cs="Arial"/>
          <w:bCs/>
          <w:sz w:val="21"/>
          <w:szCs w:val="21"/>
          <w:lang w:eastAsia="es-CO"/>
        </w:rPr>
        <w:t> y del Consejo de Estado</w:t>
      </w:r>
      <w:r w:rsidRPr="00446B03">
        <w:rPr>
          <w:rStyle w:val="Refdenotaalpie"/>
          <w:rFonts w:ascii="Arial" w:eastAsia="Times New Roman" w:hAnsi="Arial" w:cs="Arial"/>
          <w:bCs/>
          <w:sz w:val="21"/>
          <w:szCs w:val="21"/>
          <w:lang w:eastAsia="es-CO"/>
        </w:rPr>
        <w:footnoteReference w:id="6"/>
      </w:r>
      <w:r w:rsidRPr="00446B03">
        <w:rPr>
          <w:rFonts w:ascii="Arial" w:eastAsia="Times New Roman"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w:t>
      </w:r>
      <w:r w:rsidRPr="00446B03">
        <w:rPr>
          <w:rFonts w:ascii="Arial" w:eastAsia="Times New Roman" w:hAnsi="Arial" w:cs="Arial"/>
          <w:bCs/>
          <w:sz w:val="21"/>
          <w:szCs w:val="21"/>
          <w:lang w:eastAsia="es-CO"/>
        </w:rPr>
        <w:lastRenderedPageBreak/>
        <w:t>justificada- a la libertad de actuar o capacidad de obrar, sobrepasar sus precisos términos comporta el desconocimiento de la voluntad del legislador</w:t>
      </w:r>
      <w:r w:rsidRPr="00446B03">
        <w:rPr>
          <w:rStyle w:val="Refdenotaalpie"/>
          <w:rFonts w:ascii="Arial" w:eastAsia="Times New Roman" w:hAnsi="Arial" w:cs="Arial"/>
          <w:bCs/>
          <w:sz w:val="22"/>
          <w:lang w:eastAsia="es-CO"/>
        </w:rPr>
        <w:footnoteReference w:id="7"/>
      </w:r>
      <w:r w:rsidRPr="00446B03">
        <w:rPr>
          <w:rFonts w:ascii="Arial" w:eastAsia="Times New Roman" w:hAnsi="Arial" w:cs="Arial"/>
          <w:bCs/>
          <w:sz w:val="21"/>
          <w:szCs w:val="21"/>
          <w:lang w:eastAsia="es-CO"/>
        </w:rPr>
        <w:t>.</w:t>
      </w:r>
    </w:p>
    <w:p w14:paraId="5713E66C" w14:textId="77777777" w:rsidR="00F00E9D" w:rsidRPr="00446B03" w:rsidRDefault="00F00E9D" w:rsidP="00F00E9D">
      <w:pPr>
        <w:spacing w:after="0" w:line="240" w:lineRule="auto"/>
        <w:ind w:right="709"/>
        <w:rPr>
          <w:rFonts w:ascii="Arial" w:eastAsia="Times New Roman" w:hAnsi="Arial" w:cs="Arial"/>
          <w:bCs/>
          <w:sz w:val="21"/>
          <w:szCs w:val="21"/>
          <w:lang w:eastAsia="es-CO"/>
        </w:rPr>
      </w:pPr>
    </w:p>
    <w:p w14:paraId="317B8E75" w14:textId="77777777" w:rsidR="00F00E9D" w:rsidRPr="00446B03" w:rsidRDefault="00F00E9D" w:rsidP="00F00E9D">
      <w:pPr>
        <w:spacing w:after="120"/>
        <w:rPr>
          <w:rFonts w:ascii="Arial" w:eastAsia="Arial" w:hAnsi="Arial" w:cs="Arial"/>
          <w:sz w:val="22"/>
          <w:lang w:val="es-ES" w:eastAsia="es-ES" w:bidi="es-ES"/>
        </w:rPr>
      </w:pPr>
      <w:r w:rsidRPr="00446B03">
        <w:rPr>
          <w:rFonts w:ascii="Arial" w:eastAsia="Times New Roman" w:hAnsi="Arial" w:cs="Arial"/>
          <w:bCs/>
          <w:sz w:val="22"/>
          <w:lang w:eastAsia="es-CO"/>
        </w:rPr>
        <w:tab/>
        <w:t>De</w:t>
      </w:r>
      <w:r w:rsidRPr="00446B03">
        <w:rPr>
          <w:rFonts w:ascii="Arial" w:eastAsia="Arial" w:hAnsi="Arial" w:cs="Arial"/>
          <w:sz w:val="22"/>
          <w:lang w:val="es-ES" w:eastAsia="es-ES" w:bidi="es-ES"/>
        </w:rPr>
        <w:t xml:space="preserve"> conformidad con lo anterior, </w:t>
      </w:r>
      <w:bookmarkStart w:id="14" w:name="_Hlk77236098"/>
      <w:r w:rsidRPr="00446B03">
        <w:rPr>
          <w:rFonts w:ascii="Arial" w:eastAsia="Arial" w:hAnsi="Arial" w:cs="Arial"/>
          <w:sz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4"/>
    </w:p>
    <w:p w14:paraId="6C14F472" w14:textId="77777777" w:rsidR="00F00E9D" w:rsidRPr="00446B03" w:rsidRDefault="00F00E9D" w:rsidP="00F00E9D">
      <w:pPr>
        <w:spacing w:after="120"/>
        <w:ind w:firstLine="708"/>
        <w:rPr>
          <w:rFonts w:ascii="Arial" w:eastAsia="Calibri" w:hAnsi="Arial" w:cs="Arial"/>
          <w:sz w:val="22"/>
          <w:lang w:val="es-CO"/>
        </w:rPr>
      </w:pPr>
      <w:r w:rsidRPr="00446B03">
        <w:rPr>
          <w:rFonts w:ascii="Arial" w:eastAsia="Calibri" w:hAnsi="Arial" w:cs="Arial"/>
          <w:sz w:val="22"/>
          <w:lang w:val="es-CO"/>
        </w:rPr>
        <w:t xml:space="preserve">Por un lado, el artículo 33 de la Ley 996 de 2005 prohíbe </w:t>
      </w:r>
      <w:r w:rsidRPr="00446B03">
        <w:rPr>
          <w:rFonts w:ascii="Arial" w:eastAsia="Calibri" w:hAnsi="Arial" w:cs="Arial"/>
          <w:bCs/>
          <w:sz w:val="22"/>
          <w:lang w:val="es-CO"/>
        </w:rPr>
        <w:t xml:space="preserve">«[…] </w:t>
      </w:r>
      <w:r w:rsidRPr="00446B03">
        <w:rPr>
          <w:rFonts w:ascii="Arial" w:eastAsia="Calibri" w:hAnsi="Arial" w:cs="Arial"/>
          <w:sz w:val="22"/>
          <w:lang w:val="es-CO"/>
        </w:rPr>
        <w:t>la contratación directa por parte de todos los entes del Estado</w:t>
      </w:r>
      <w:r w:rsidRPr="00446B03">
        <w:rPr>
          <w:rFonts w:ascii="Arial" w:eastAsia="Calibri" w:hAnsi="Arial" w:cs="Arial"/>
          <w:bCs/>
          <w:sz w:val="22"/>
          <w:lang w:val="es-CO"/>
        </w:rPr>
        <w:t>»</w:t>
      </w:r>
      <w:r w:rsidRPr="00446B03">
        <w:rPr>
          <w:rFonts w:ascii="Arial" w:eastAsia="Calibri" w:hAnsi="Arial" w:cs="Arial"/>
          <w:sz w:val="22"/>
          <w:lang w:val="es-CO"/>
        </w:rPr>
        <w:t xml:space="preserve"> durante los cuatro (4) meses anteriores a las elecciones presidenciales, salvo </w:t>
      </w:r>
      <w:r w:rsidRPr="00446B03">
        <w:rPr>
          <w:rFonts w:ascii="Arial" w:eastAsia="Calibri" w:hAnsi="Arial" w:cs="Arial"/>
          <w:bCs/>
          <w:sz w:val="22"/>
          <w:lang w:val="es-CO"/>
        </w:rPr>
        <w:t xml:space="preserve">«[…] </w:t>
      </w:r>
      <w:r w:rsidRPr="00446B03">
        <w:rPr>
          <w:rFonts w:ascii="Arial" w:eastAsia="Calibri" w:hAnsi="Arial" w:cs="Arial"/>
          <w:sz w:val="22"/>
          <w:lang w:val="es-CO"/>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46B03">
        <w:rPr>
          <w:rFonts w:ascii="Arial" w:eastAsia="Calibri" w:hAnsi="Arial" w:cs="Arial"/>
          <w:bCs/>
          <w:sz w:val="22"/>
          <w:lang w:val="es-CO"/>
        </w:rPr>
        <w:t>»</w:t>
      </w:r>
      <w:r w:rsidRPr="00446B03">
        <w:rPr>
          <w:rFonts w:ascii="Arial" w:eastAsia="Calibri" w:hAnsi="Arial" w:cs="Arial"/>
          <w:bCs/>
          <w:sz w:val="22"/>
          <w:vertAlign w:val="superscript"/>
          <w:lang w:val="es-CO"/>
        </w:rPr>
        <w:footnoteReference w:id="8"/>
      </w:r>
      <w:r w:rsidRPr="00446B03">
        <w:rPr>
          <w:rFonts w:ascii="Arial" w:eastAsia="Calibri" w:hAnsi="Arial" w:cs="Arial"/>
          <w:sz w:val="22"/>
          <w:lang w:val="es-CO"/>
        </w:rPr>
        <w:t>.</w:t>
      </w:r>
    </w:p>
    <w:p w14:paraId="7AF2A05D" w14:textId="77777777" w:rsidR="00F00E9D" w:rsidRPr="00446B03" w:rsidRDefault="00F00E9D" w:rsidP="00F00E9D">
      <w:pPr>
        <w:widowControl w:val="0"/>
        <w:autoSpaceDE w:val="0"/>
        <w:autoSpaceDN w:val="0"/>
        <w:spacing w:after="0"/>
        <w:ind w:right="113" w:firstLine="708"/>
        <w:rPr>
          <w:rFonts w:ascii="Arial" w:eastAsia="Arial" w:hAnsi="Arial" w:cs="Arial"/>
          <w:sz w:val="22"/>
          <w:lang w:val="es-ES" w:eastAsia="es-ES" w:bidi="es-ES"/>
        </w:rPr>
      </w:pPr>
      <w:r w:rsidRPr="00446B03">
        <w:rPr>
          <w:rFonts w:ascii="Arial" w:eastAsia="Calibri" w:hAnsi="Arial" w:cs="Arial"/>
          <w:sz w:val="22"/>
          <w:lang w:val="es-CO"/>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46B03">
        <w:rPr>
          <w:rFonts w:ascii="Arial" w:eastAsia="Calibri" w:hAnsi="Arial" w:cs="Arial"/>
          <w:bCs/>
          <w:sz w:val="22"/>
          <w:lang w:val="es-CO"/>
        </w:rPr>
        <w:t xml:space="preserve">«[…] </w:t>
      </w:r>
      <w:r w:rsidRPr="00446B03">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46B03">
        <w:rPr>
          <w:rFonts w:ascii="Arial" w:eastAsia="Calibri" w:hAnsi="Arial" w:cs="Arial"/>
          <w:bCs/>
          <w:sz w:val="19"/>
          <w:szCs w:val="19"/>
          <w:lang w:val="es-CO"/>
        </w:rPr>
        <w:t>»</w:t>
      </w:r>
      <w:r w:rsidRPr="00446B03">
        <w:rPr>
          <w:rFonts w:ascii="Arial" w:eastAsia="Calibri" w:hAnsi="Arial" w:cs="Arial"/>
          <w:bCs/>
          <w:sz w:val="19"/>
          <w:szCs w:val="19"/>
          <w:vertAlign w:val="superscript"/>
          <w:lang w:val="es-CO"/>
        </w:rPr>
        <w:footnoteReference w:id="9"/>
      </w:r>
      <w:r w:rsidRPr="00446B03">
        <w:rPr>
          <w:rFonts w:ascii="Arial" w:eastAsia="Calibri" w:hAnsi="Arial" w:cs="Arial"/>
          <w:sz w:val="22"/>
        </w:rPr>
        <w:t>.</w:t>
      </w:r>
      <w:r w:rsidRPr="00446B03">
        <w:rPr>
          <w:rFonts w:ascii="Arial" w:eastAsia="Arial" w:hAnsi="Arial" w:cs="Arial"/>
          <w:sz w:val="22"/>
          <w:lang w:val="es-ES" w:eastAsia="es-ES" w:bidi="es-ES"/>
        </w:rPr>
        <w:t xml:space="preserve"> La Sala de Consulta y Servicio Civil del Consejo de Estado ha aclarado la </w:t>
      </w:r>
      <w:r w:rsidRPr="00446B03">
        <w:rPr>
          <w:rFonts w:ascii="Arial" w:eastAsia="Arial" w:hAnsi="Arial" w:cs="Arial"/>
          <w:sz w:val="22"/>
          <w:lang w:val="es-ES" w:eastAsia="es-ES" w:bidi="es-ES"/>
        </w:rPr>
        <w:lastRenderedPageBreak/>
        <w:t>distinción en la aplicación de las prohibiciones de la Ley 996 de 2005, dependiendo del tipo de elección que se trate. Al respecto, considera que:</w:t>
      </w:r>
    </w:p>
    <w:p w14:paraId="48FEFFCE" w14:textId="77777777" w:rsidR="00F00E9D" w:rsidRPr="00446B03" w:rsidRDefault="00F00E9D" w:rsidP="00F00E9D">
      <w:pPr>
        <w:widowControl w:val="0"/>
        <w:autoSpaceDE w:val="0"/>
        <w:autoSpaceDN w:val="0"/>
        <w:spacing w:after="0" w:line="240" w:lineRule="auto"/>
        <w:ind w:left="805" w:right="812"/>
        <w:rPr>
          <w:rFonts w:ascii="Arial" w:eastAsia="Arial" w:hAnsi="Arial" w:cs="Arial"/>
          <w:sz w:val="22"/>
          <w:lang w:val="es-ES" w:eastAsia="es-ES" w:bidi="es-ES"/>
        </w:rPr>
      </w:pPr>
    </w:p>
    <w:p w14:paraId="79A84A97" w14:textId="77777777" w:rsidR="00F00E9D" w:rsidRPr="00446B03" w:rsidRDefault="00F00E9D" w:rsidP="00F00E9D">
      <w:pPr>
        <w:widowControl w:val="0"/>
        <w:autoSpaceDE w:val="0"/>
        <w:autoSpaceDN w:val="0"/>
        <w:spacing w:after="0" w:line="240" w:lineRule="auto"/>
        <w:ind w:left="709" w:right="709"/>
        <w:rPr>
          <w:rFonts w:ascii="Arial" w:eastAsia="Arial" w:hAnsi="Arial" w:cs="Arial"/>
          <w:sz w:val="21"/>
          <w:szCs w:val="21"/>
          <w:lang w:val="es-ES" w:eastAsia="es-ES" w:bidi="es-ES"/>
        </w:rPr>
      </w:pPr>
      <w:r w:rsidRPr="00446B03">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7" w:name="_Hlk76109421"/>
      <w:r w:rsidRPr="00446B03">
        <w:rPr>
          <w:rFonts w:ascii="Arial" w:eastAsia="Arial" w:hAnsi="Arial" w:cs="Arial"/>
          <w:sz w:val="21"/>
          <w:szCs w:val="21"/>
          <w:lang w:val="es-ES" w:eastAsia="es-ES" w:bidi="es-ES"/>
        </w:rPr>
        <w:t>se integran parcialmente</w:t>
      </w:r>
      <w:bookmarkEnd w:id="17"/>
      <w:r w:rsidRPr="00446B03">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46B03">
        <w:rPr>
          <w:rFonts w:ascii="Arial" w:eastAsia="Arial" w:hAnsi="Arial" w:cs="Arial"/>
          <w:bCs/>
          <w:sz w:val="21"/>
          <w:szCs w:val="21"/>
          <w:lang w:val="es-ES" w:eastAsia="es-ES" w:bidi="es-ES"/>
        </w:rPr>
        <w:t xml:space="preserve">En cambio, para elecciones en general, excluyendo las correspondientes a </w:t>
      </w:r>
      <w:proofErr w:type="gramStart"/>
      <w:r w:rsidRPr="00446B03">
        <w:rPr>
          <w:rFonts w:ascii="Arial" w:eastAsia="Arial" w:hAnsi="Arial" w:cs="Arial"/>
          <w:bCs/>
          <w:sz w:val="21"/>
          <w:szCs w:val="21"/>
          <w:lang w:val="es-ES" w:eastAsia="es-ES" w:bidi="es-ES"/>
        </w:rPr>
        <w:t>Presidente</w:t>
      </w:r>
      <w:proofErr w:type="gramEnd"/>
      <w:r w:rsidRPr="00446B03">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446B03">
        <w:rPr>
          <w:rFonts w:ascii="Arial" w:eastAsia="Arial" w:hAnsi="Arial" w:cs="Arial"/>
          <w:sz w:val="21"/>
          <w:szCs w:val="21"/>
          <w:lang w:val="es-ES" w:eastAsia="es-ES" w:bidi="es-ES"/>
        </w:rPr>
        <w:t>.</w:t>
      </w:r>
      <w:r w:rsidRPr="00446B03">
        <w:rPr>
          <w:rFonts w:ascii="Arial" w:eastAsia="Arial" w:hAnsi="Arial" w:cs="Arial"/>
          <w:sz w:val="21"/>
          <w:szCs w:val="21"/>
          <w:vertAlign w:val="superscript"/>
          <w:lang w:val="es-ES" w:eastAsia="es-ES" w:bidi="es-ES"/>
        </w:rPr>
        <w:footnoteReference w:id="10"/>
      </w:r>
    </w:p>
    <w:p w14:paraId="48426B01" w14:textId="77777777" w:rsidR="00F00E9D" w:rsidRPr="00446B03" w:rsidRDefault="00F00E9D" w:rsidP="00F00E9D">
      <w:pPr>
        <w:widowControl w:val="0"/>
        <w:autoSpaceDE w:val="0"/>
        <w:autoSpaceDN w:val="0"/>
        <w:spacing w:before="8" w:after="0" w:line="240" w:lineRule="auto"/>
        <w:jc w:val="left"/>
        <w:rPr>
          <w:rFonts w:ascii="Arial" w:eastAsia="Arial" w:hAnsi="Arial" w:cs="Arial"/>
          <w:sz w:val="26"/>
          <w:lang w:val="es-ES" w:eastAsia="es-ES" w:bidi="es-ES"/>
        </w:rPr>
      </w:pPr>
    </w:p>
    <w:p w14:paraId="370FF1C9" w14:textId="77777777" w:rsidR="00F00E9D" w:rsidRPr="00446B03" w:rsidRDefault="00F00E9D" w:rsidP="00F00E9D">
      <w:pPr>
        <w:spacing w:after="120"/>
        <w:ind w:firstLine="709"/>
        <w:rPr>
          <w:rFonts w:ascii="Arial" w:eastAsia="Arial" w:hAnsi="Arial" w:cs="Arial"/>
          <w:sz w:val="22"/>
          <w:lang w:val="es-ES" w:eastAsia="es-ES" w:bidi="es-ES"/>
        </w:rPr>
      </w:pPr>
      <w:r w:rsidRPr="00446B03">
        <w:rPr>
          <w:rFonts w:ascii="Arial" w:eastAsia="Arial" w:hAnsi="Arial" w:cs="Arial"/>
          <w:sz w:val="22"/>
          <w:lang w:val="es-ES" w:eastAsia="es-ES" w:bidi="es-ES"/>
        </w:rPr>
        <w:t xml:space="preserve">De conformidad con lo anterior, </w:t>
      </w:r>
      <w:bookmarkStart w:id="18" w:name="_Hlk77236420"/>
      <w:bookmarkStart w:id="19" w:name="_Hlk78818435"/>
      <w:bookmarkStart w:id="20" w:name="_Hlk75780333"/>
      <w:r w:rsidRPr="00446B03">
        <w:rPr>
          <w:rFonts w:ascii="Arial" w:eastAsia="Arial" w:hAnsi="Arial" w:cs="Arial"/>
          <w:sz w:val="22"/>
          <w:lang w:val="es-ES" w:eastAsia="es-ES" w:bidi="es-ES"/>
        </w:rPr>
        <w:t xml:space="preserve">la Ley 996 de 2005 establece dos (2) tipos de restricciones en materia de contratación, las cuales coinciden parcialmente. </w:t>
      </w:r>
      <w:r w:rsidRPr="00446B03">
        <w:rPr>
          <w:rFonts w:ascii="Arial" w:eastAsia="Arial" w:hAnsi="Arial" w:cs="Arial"/>
          <w:i/>
          <w:iCs/>
          <w:sz w:val="22"/>
          <w:lang w:val="es-ES" w:eastAsia="es-ES" w:bidi="es-ES"/>
        </w:rPr>
        <w:t>En primer lugar</w:t>
      </w:r>
      <w:r w:rsidRPr="00446B03">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46B03">
        <w:rPr>
          <w:rFonts w:ascii="Arial" w:eastAsia="Arial" w:hAnsi="Arial" w:cs="Arial"/>
          <w:i/>
          <w:iCs/>
          <w:sz w:val="22"/>
          <w:lang w:val="es-ES" w:eastAsia="es-ES" w:bidi="es-ES"/>
        </w:rPr>
        <w:t>En segundo lugar</w:t>
      </w:r>
      <w:r w:rsidRPr="00446B03">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8"/>
    </w:p>
    <w:bookmarkEnd w:id="19"/>
    <w:p w14:paraId="79BB7F7D" w14:textId="77777777" w:rsidR="00F00E9D" w:rsidRPr="00446B03" w:rsidRDefault="00F00E9D" w:rsidP="00F00E9D">
      <w:pPr>
        <w:spacing w:after="120"/>
        <w:ind w:firstLine="709"/>
        <w:rPr>
          <w:rFonts w:ascii="Arial" w:eastAsia="Arial" w:hAnsi="Arial" w:cs="Arial"/>
          <w:sz w:val="22"/>
          <w:lang w:val="es-ES" w:eastAsia="es-ES" w:bidi="es-ES"/>
        </w:rPr>
      </w:pPr>
      <w:r w:rsidRPr="00446B03">
        <w:rPr>
          <w:rFonts w:ascii="Arial" w:eastAsia="Arial" w:hAnsi="Arial" w:cs="Arial"/>
          <w:sz w:val="22"/>
          <w:lang w:val="es-ES" w:eastAsia="es-ES" w:bidi="es-ES"/>
        </w:rPr>
        <w:lastRenderedPageBreak/>
        <w:t xml:space="preserve">Ambas restricciones no son excluyentes, lo que permite concluir que en el período preelectoral para elección de </w:t>
      </w:r>
      <w:proofErr w:type="gramStart"/>
      <w:r w:rsidRPr="00446B03">
        <w:rPr>
          <w:rFonts w:ascii="Arial" w:eastAsia="Arial" w:hAnsi="Arial" w:cs="Arial"/>
          <w:sz w:val="22"/>
          <w:lang w:val="es-ES" w:eastAsia="es-ES" w:bidi="es-ES"/>
        </w:rPr>
        <w:t>Presidente</w:t>
      </w:r>
      <w:proofErr w:type="gramEnd"/>
      <w:r w:rsidRPr="00446B03">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46B03">
        <w:rPr>
          <w:rFonts w:ascii="Arial" w:eastAsia="Arial" w:hAnsi="Arial" w:cs="Arial"/>
          <w:sz w:val="22"/>
          <w:lang w:val="es-ES" w:eastAsia="es-ES" w:bidi="es-ES"/>
        </w:rPr>
        <w:t>Presidente</w:t>
      </w:r>
      <w:proofErr w:type="gramEnd"/>
      <w:r w:rsidRPr="00446B03">
        <w:rPr>
          <w:rFonts w:ascii="Arial" w:eastAsia="Arial" w:hAnsi="Arial" w:cs="Arial"/>
          <w:sz w:val="22"/>
          <w:lang w:val="es-ES" w:eastAsia="es-ES" w:bidi="es-ES"/>
        </w:rPr>
        <w:t xml:space="preserve"> de la República, las autoridades allí mencionadas sólo deben aplicar las restricciones contenidas en el parágrafo del artículo 38.</w:t>
      </w:r>
    </w:p>
    <w:bookmarkEnd w:id="20"/>
    <w:p w14:paraId="2916C597" w14:textId="77777777" w:rsidR="00F00E9D" w:rsidRPr="00446B03" w:rsidRDefault="00F00E9D" w:rsidP="00F00E9D">
      <w:pPr>
        <w:spacing w:after="0"/>
        <w:ind w:firstLine="708"/>
        <w:rPr>
          <w:rFonts w:ascii="Arial" w:eastAsia="Arial" w:hAnsi="Arial" w:cs="Arial"/>
          <w:sz w:val="22"/>
          <w:lang w:val="es-ES" w:eastAsia="es-ES" w:bidi="es-ES"/>
        </w:rPr>
      </w:pPr>
      <w:r w:rsidRPr="00446B03">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446B03">
        <w:rPr>
          <w:rFonts w:ascii="Arial" w:eastAsia="Arial" w:hAnsi="Arial" w:cs="Arial"/>
          <w:sz w:val="22"/>
          <w:lang w:val="es-ES" w:eastAsia="es-ES" w:bidi="es-ES"/>
        </w:rPr>
        <w:t>Presidente</w:t>
      </w:r>
      <w:proofErr w:type="gramEnd"/>
      <w:r w:rsidRPr="00446B03">
        <w:rPr>
          <w:rFonts w:ascii="Arial" w:eastAsia="Arial" w:hAnsi="Arial" w:cs="Arial"/>
          <w:sz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69A6E9F9" w14:textId="77777777" w:rsidR="00F00E9D" w:rsidRPr="00446B03" w:rsidRDefault="00F00E9D" w:rsidP="00F00E9D">
      <w:pPr>
        <w:spacing w:after="0"/>
        <w:rPr>
          <w:rFonts w:ascii="Arial" w:eastAsia="Times New Roman" w:hAnsi="Arial" w:cs="Arial"/>
          <w:bCs/>
          <w:sz w:val="22"/>
          <w:lang w:val="es-ES" w:eastAsia="es-CO"/>
        </w:rPr>
      </w:pPr>
    </w:p>
    <w:p w14:paraId="436AF788" w14:textId="77777777" w:rsidR="00F00E9D" w:rsidRPr="00446B03" w:rsidRDefault="00F00E9D" w:rsidP="00F00E9D">
      <w:pPr>
        <w:spacing w:after="0"/>
        <w:rPr>
          <w:rFonts w:ascii="Arial" w:eastAsia="Times New Roman" w:hAnsi="Arial" w:cs="Arial"/>
          <w:b/>
          <w:sz w:val="22"/>
          <w:lang w:val="es-ES" w:eastAsia="es-CO"/>
        </w:rPr>
      </w:pPr>
      <w:r w:rsidRPr="00446B03">
        <w:rPr>
          <w:rFonts w:ascii="Arial" w:eastAsia="Times New Roman" w:hAnsi="Arial" w:cs="Arial"/>
          <w:b/>
          <w:sz w:val="22"/>
          <w:lang w:val="es-ES" w:eastAsia="es-CO"/>
        </w:rPr>
        <w:t xml:space="preserve">2.2. </w:t>
      </w:r>
      <w:r w:rsidRPr="00446B03">
        <w:rPr>
          <w:rFonts w:ascii="Arial" w:eastAsia="Times New Roman" w:hAnsi="Arial" w:cs="Arial"/>
          <w:b/>
          <w:bCs/>
          <w:sz w:val="22"/>
          <w:lang w:eastAsia="es-CO"/>
        </w:rPr>
        <w:t xml:space="preserve">Restricciones en elecciones presidenciales </w:t>
      </w:r>
    </w:p>
    <w:p w14:paraId="79A702D4" w14:textId="77777777" w:rsidR="00F00E9D" w:rsidRPr="00446B03" w:rsidRDefault="00F00E9D" w:rsidP="00F00E9D">
      <w:pPr>
        <w:spacing w:after="0"/>
        <w:rPr>
          <w:rFonts w:ascii="Arial" w:eastAsia="Times New Roman" w:hAnsi="Arial" w:cs="Arial"/>
          <w:bCs/>
          <w:sz w:val="22"/>
          <w:lang w:eastAsia="x-none"/>
        </w:rPr>
      </w:pPr>
    </w:p>
    <w:p w14:paraId="17248AD6" w14:textId="77777777" w:rsidR="00F00E9D" w:rsidRPr="00446B03" w:rsidRDefault="00F00E9D" w:rsidP="00F00E9D">
      <w:pPr>
        <w:spacing w:after="0"/>
        <w:rPr>
          <w:rFonts w:ascii="Arial" w:eastAsia="Times New Roman" w:hAnsi="Arial" w:cs="Arial"/>
          <w:bCs/>
          <w:sz w:val="22"/>
          <w:lang w:eastAsia="es-CO"/>
        </w:rPr>
      </w:pPr>
      <w:r w:rsidRPr="00446B03">
        <w:rPr>
          <w:rFonts w:ascii="Arial" w:eastAsia="Times New Roman" w:hAnsi="Arial" w:cs="Arial"/>
          <w:bCs/>
          <w:sz w:val="22"/>
          <w:lang w:eastAsia="x-none"/>
        </w:rPr>
        <w:t xml:space="preserve">El ámbito material de la prohibición contenida </w:t>
      </w:r>
      <w:bookmarkStart w:id="21" w:name="_Hlk75628761"/>
      <w:r w:rsidRPr="00446B03">
        <w:rPr>
          <w:rFonts w:ascii="Arial" w:eastAsia="Times New Roman" w:hAnsi="Arial" w:cs="Arial"/>
          <w:bCs/>
          <w:sz w:val="22"/>
          <w:lang w:eastAsia="x-none"/>
        </w:rPr>
        <w:t xml:space="preserve">en el artículo 33 de la ley 996 de 2005 </w:t>
      </w:r>
      <w:bookmarkEnd w:id="21"/>
      <w:r w:rsidRPr="00446B03">
        <w:rPr>
          <w:rFonts w:ascii="Arial" w:eastAsia="Times New Roman" w:hAnsi="Arial" w:cs="Arial"/>
          <w:bCs/>
          <w:sz w:val="22"/>
          <w:lang w:eastAsia="x-none"/>
        </w:rPr>
        <w:t xml:space="preserve">está delimitado por la expresión </w:t>
      </w:r>
      <w:r w:rsidRPr="00446B03">
        <w:rPr>
          <w:rFonts w:ascii="Arial" w:eastAsia="Calibri" w:hAnsi="Arial" w:cs="Arial"/>
          <w:bCs/>
          <w:sz w:val="20"/>
          <w:szCs w:val="20"/>
        </w:rPr>
        <w:t>«</w:t>
      </w:r>
      <w:r w:rsidRPr="00446B03">
        <w:rPr>
          <w:rFonts w:ascii="Arial" w:eastAsia="Times New Roman" w:hAnsi="Arial" w:cs="Arial"/>
          <w:bCs/>
          <w:sz w:val="22"/>
          <w:lang w:eastAsia="x-none"/>
        </w:rPr>
        <w:t>queda prohibida la contratación directa</w:t>
      </w:r>
      <w:r w:rsidRPr="00446B03">
        <w:rPr>
          <w:rFonts w:ascii="Arial" w:hAnsi="Arial" w:cs="Arial"/>
          <w:sz w:val="20"/>
          <w:szCs w:val="20"/>
        </w:rPr>
        <w:t>»</w:t>
      </w:r>
      <w:r w:rsidRPr="00446B03">
        <w:rPr>
          <w:rFonts w:ascii="Arial" w:eastAsia="Times New Roman" w:hAnsi="Arial" w:cs="Arial"/>
          <w:bCs/>
          <w:sz w:val="22"/>
          <w:lang w:eastAsia="x-none"/>
        </w:rPr>
        <w:t xml:space="preserve">. </w:t>
      </w:r>
      <w:r w:rsidRPr="00446B03">
        <w:rPr>
          <w:rFonts w:ascii="Arial" w:eastAsia="Times New Roman" w:hAnsi="Arial" w:cs="Arial"/>
          <w:sz w:val="22"/>
          <w:lang w:eastAsia="es-CO"/>
        </w:rPr>
        <w:t xml:space="preserve"> A propósito de </w:t>
      </w:r>
      <w:r w:rsidRPr="00446B03">
        <w:rPr>
          <w:rFonts w:ascii="Arial" w:eastAsia="Times New Roman" w:hAnsi="Arial" w:cs="Arial"/>
          <w:sz w:val="22"/>
          <w:lang w:val="es-CO" w:eastAsia="es-CO"/>
        </w:rPr>
        <w:t>esta restricción de la Ley de Garantías Electorales, la Sala de Consulta y Servicio Civil del Consejo de Estado ha considerado que:</w:t>
      </w:r>
    </w:p>
    <w:p w14:paraId="6FEEE51E" w14:textId="77777777" w:rsidR="00F00E9D" w:rsidRPr="00446B03" w:rsidRDefault="00F00E9D" w:rsidP="00F00E9D">
      <w:pPr>
        <w:spacing w:after="0" w:line="240" w:lineRule="auto"/>
        <w:ind w:left="708" w:right="709"/>
        <w:rPr>
          <w:rFonts w:ascii="Arial" w:hAnsi="Arial" w:cs="Arial"/>
          <w:sz w:val="21"/>
          <w:szCs w:val="21"/>
        </w:rPr>
      </w:pPr>
    </w:p>
    <w:p w14:paraId="3AD8A4A3" w14:textId="77777777" w:rsidR="00F00E9D" w:rsidRPr="00446B03" w:rsidRDefault="00F00E9D" w:rsidP="00F00E9D">
      <w:pPr>
        <w:spacing w:after="120" w:line="240" w:lineRule="auto"/>
        <w:ind w:left="709" w:right="709"/>
        <w:rPr>
          <w:rFonts w:ascii="Arial" w:hAnsi="Arial" w:cs="Arial"/>
          <w:sz w:val="21"/>
          <w:szCs w:val="21"/>
        </w:rPr>
      </w:pPr>
      <w:r w:rsidRPr="00446B03">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46B03">
        <w:rPr>
          <w:rFonts w:ascii="Arial" w:eastAsia="Times New Roman" w:hAnsi="Arial" w:cs="Arial"/>
          <w:sz w:val="22"/>
          <w:vertAlign w:val="superscript"/>
          <w:lang w:val="es-CO" w:eastAsia="es-CO"/>
        </w:rPr>
        <w:footnoteReference w:id="11"/>
      </w:r>
      <w:r w:rsidRPr="00446B03">
        <w:rPr>
          <w:rFonts w:ascii="Arial" w:hAnsi="Arial" w:cs="Arial"/>
          <w:sz w:val="21"/>
          <w:szCs w:val="21"/>
        </w:rPr>
        <w:t>.</w:t>
      </w:r>
    </w:p>
    <w:p w14:paraId="2430DB0E" w14:textId="77777777" w:rsidR="00F00E9D" w:rsidRPr="00446B03" w:rsidRDefault="00F00E9D" w:rsidP="00F00E9D">
      <w:pPr>
        <w:spacing w:after="0" w:line="240" w:lineRule="auto"/>
        <w:ind w:left="708" w:right="709"/>
        <w:rPr>
          <w:rFonts w:ascii="Arial" w:hAnsi="Arial" w:cs="Arial"/>
          <w:sz w:val="21"/>
          <w:szCs w:val="21"/>
        </w:rPr>
      </w:pPr>
      <w:r w:rsidRPr="00446B03">
        <w:rPr>
          <w:rFonts w:ascii="Arial" w:hAnsi="Arial" w:cs="Arial"/>
          <w:sz w:val="21"/>
          <w:szCs w:val="21"/>
        </w:rPr>
        <w:t xml:space="preserve">Esta Sala ha entendido que para los efectos de la ley de garantías, y dada su finalidad, el enunciado ´contratación directa´ es sinónimo </w:t>
      </w:r>
      <w:bookmarkStart w:id="24" w:name="_Hlk75741738"/>
      <w:r w:rsidRPr="00446B03">
        <w:rPr>
          <w:rFonts w:ascii="Arial" w:hAnsi="Arial" w:cs="Arial"/>
          <w:sz w:val="21"/>
          <w:szCs w:val="21"/>
        </w:rPr>
        <w:t xml:space="preserve">de cualquier sistema </w:t>
      </w:r>
      <w:r w:rsidRPr="00446B03">
        <w:rPr>
          <w:rFonts w:ascii="Arial" w:hAnsi="Arial" w:cs="Arial"/>
          <w:sz w:val="21"/>
          <w:szCs w:val="21"/>
        </w:rPr>
        <w:lastRenderedPageBreak/>
        <w:t xml:space="preserve">que no implique convocatoria pública y posibilidad de pluralidad de oferentes, </w:t>
      </w:r>
      <w:bookmarkEnd w:id="24"/>
      <w:r w:rsidRPr="00446B03">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446B03">
        <w:rPr>
          <w:rFonts w:ascii="Arial" w:eastAsia="Times New Roman" w:hAnsi="Arial" w:cs="Arial"/>
          <w:sz w:val="21"/>
          <w:szCs w:val="21"/>
          <w:vertAlign w:val="superscript"/>
        </w:rPr>
        <w:footnoteReference w:id="12"/>
      </w:r>
      <w:r w:rsidRPr="00446B03">
        <w:rPr>
          <w:rFonts w:ascii="Arial" w:eastAsia="Times New Roman" w:hAnsi="Arial" w:cs="Arial"/>
          <w:sz w:val="21"/>
          <w:szCs w:val="21"/>
          <w:vertAlign w:val="superscript"/>
        </w:rPr>
        <w:t>.</w:t>
      </w:r>
      <w:r w:rsidRPr="00446B03">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446B03">
        <w:rPr>
          <w:rFonts w:ascii="Arial" w:eastAsia="Times New Roman" w:hAnsi="Arial" w:cs="Arial"/>
          <w:sz w:val="22"/>
          <w:vertAlign w:val="superscript"/>
          <w:lang w:val="es-CO" w:eastAsia="es-CO"/>
        </w:rPr>
        <w:footnoteReference w:id="13"/>
      </w:r>
      <w:r w:rsidRPr="00446B03">
        <w:rPr>
          <w:rFonts w:ascii="Arial" w:hAnsi="Arial" w:cs="Arial"/>
          <w:sz w:val="21"/>
          <w:szCs w:val="21"/>
        </w:rPr>
        <w:t xml:space="preserve"> .</w:t>
      </w:r>
    </w:p>
    <w:p w14:paraId="015079C3" w14:textId="77777777" w:rsidR="00F00E9D" w:rsidRPr="00446B03" w:rsidRDefault="00F00E9D" w:rsidP="00F00E9D">
      <w:pPr>
        <w:shd w:val="clear" w:color="auto" w:fill="FFFFFF"/>
        <w:spacing w:after="0" w:line="240" w:lineRule="auto"/>
        <w:ind w:firstLine="709"/>
        <w:rPr>
          <w:rFonts w:ascii="Arial" w:eastAsia="Times New Roman" w:hAnsi="Arial" w:cs="Arial"/>
          <w:sz w:val="22"/>
          <w:lang w:val="es-CO" w:eastAsia="x-none"/>
        </w:rPr>
      </w:pPr>
    </w:p>
    <w:p w14:paraId="075BE0DF" w14:textId="77777777" w:rsidR="00F00E9D" w:rsidRPr="00446B03" w:rsidRDefault="00F00E9D" w:rsidP="00F00E9D">
      <w:pPr>
        <w:spacing w:after="120"/>
        <w:ind w:firstLine="708"/>
        <w:rPr>
          <w:rFonts w:ascii="Arial" w:eastAsia="Times New Roman" w:hAnsi="Arial" w:cs="Arial"/>
          <w:bCs/>
          <w:sz w:val="22"/>
          <w:lang w:val="es-CO" w:eastAsia="x-none"/>
        </w:rPr>
      </w:pPr>
      <w:r w:rsidRPr="00446B03">
        <w:rPr>
          <w:rFonts w:ascii="Arial" w:eastAsia="Times New Roman" w:hAnsi="Arial" w:cs="Arial"/>
          <w:sz w:val="22"/>
          <w:lang w:val="es-CO" w:eastAsia="x-none"/>
        </w:rPr>
        <w:t xml:space="preserve">De conformidad con el citado concepto, </w:t>
      </w:r>
      <w:bookmarkStart w:id="26" w:name="_Hlk78818702"/>
      <w:r w:rsidRPr="00446B03">
        <w:rPr>
          <w:rFonts w:ascii="Arial" w:eastAsia="Times New Roman" w:hAnsi="Arial" w:cs="Arial"/>
          <w:sz w:val="22"/>
          <w:lang w:val="es-CO" w:eastAsia="x-none"/>
        </w:rPr>
        <w:t xml:space="preserve">la prohibición del artículo 33 de la Ley de Garantías Electorales se refiere a </w:t>
      </w:r>
      <w:bookmarkStart w:id="27" w:name="_Hlk74294635"/>
      <w:r w:rsidRPr="00446B03">
        <w:rPr>
          <w:rFonts w:ascii="Arial" w:eastAsia="Times New Roman" w:hAnsi="Arial" w:cs="Arial"/>
          <w:sz w:val="19"/>
          <w:szCs w:val="19"/>
          <w:lang w:val="es-CO" w:eastAsia="en-GB"/>
        </w:rPr>
        <w:t>«</w:t>
      </w:r>
      <w:bookmarkEnd w:id="27"/>
      <w:r w:rsidRPr="00446B03">
        <w:rPr>
          <w:rFonts w:ascii="Arial" w:eastAsia="Times New Roman" w:hAnsi="Arial" w:cs="Arial"/>
          <w:sz w:val="22"/>
          <w:lang w:val="es-CO" w:eastAsia="x-none"/>
        </w:rPr>
        <w:t>cualquier sistema que no implique convocatoria pública y posibilidad de pluralidad de oferentes</w:t>
      </w:r>
      <w:bookmarkStart w:id="28" w:name="_Hlk74404754"/>
      <w:r w:rsidRPr="00446B03">
        <w:rPr>
          <w:rFonts w:ascii="Arial" w:eastAsia="Times New Roman" w:hAnsi="Arial" w:cs="Arial"/>
          <w:sz w:val="22"/>
          <w:lang w:val="es-CO" w:eastAsia="en-GB"/>
        </w:rPr>
        <w:t>»</w:t>
      </w:r>
      <w:bookmarkEnd w:id="28"/>
      <w:r w:rsidRPr="00446B03">
        <w:rPr>
          <w:rFonts w:ascii="Arial" w:eastAsia="Times New Roman" w:hAnsi="Arial" w:cs="Arial"/>
          <w:sz w:val="22"/>
          <w:lang w:val="es-CO" w:eastAsia="x-none"/>
        </w:rPr>
        <w:t xml:space="preserve">, por lo que excluye las demás modalidades de contratación previstas en la Ley 1150 de 2007, es decir, la licitación pública, la selección abreviada y el concurso de méritos u otros previstos en normas especiales. </w:t>
      </w:r>
      <w:bookmarkEnd w:id="26"/>
      <w:r w:rsidRPr="00446B03">
        <w:rPr>
          <w:rFonts w:ascii="Arial" w:eastAsia="Times New Roman" w:hAnsi="Arial" w:cs="Arial"/>
          <w:sz w:val="22"/>
          <w:lang w:val="es-CO" w:eastAsia="x-none"/>
        </w:rPr>
        <w:t>Esta posición es congruente con la expedición de la Ley 1150 de 2007 que, entre otras reformas, introdujo la selección abreviada, rediseñó el concurso de méritos</w:t>
      </w:r>
      <w:r w:rsidRPr="00446B03">
        <w:rPr>
          <w:rFonts w:ascii="Arial" w:eastAsia="Times New Roman" w:hAnsi="Arial" w:cs="Arial"/>
          <w:sz w:val="22"/>
          <w:vertAlign w:val="superscript"/>
          <w:lang w:val="en-GB" w:eastAsia="x-none"/>
        </w:rPr>
        <w:footnoteReference w:id="14"/>
      </w:r>
      <w:r w:rsidRPr="00446B03">
        <w:rPr>
          <w:rFonts w:ascii="Arial" w:eastAsia="Times New Roman" w:hAnsi="Arial" w:cs="Arial"/>
          <w:sz w:val="22"/>
          <w:lang w:val="es-CO" w:eastAsia="x-none"/>
        </w:rPr>
        <w:t xml:space="preserve"> y sistematizó las causales de contratación directa</w:t>
      </w:r>
      <w:r w:rsidRPr="00446B03">
        <w:rPr>
          <w:rFonts w:ascii="Arial" w:eastAsia="Times New Roman" w:hAnsi="Arial" w:cs="Arial"/>
          <w:sz w:val="22"/>
          <w:vertAlign w:val="superscript"/>
          <w:lang w:val="en-GB" w:eastAsia="x-none"/>
        </w:rPr>
        <w:footnoteReference w:id="15"/>
      </w:r>
      <w:r w:rsidRPr="00446B03">
        <w:rPr>
          <w:rFonts w:ascii="Arial" w:eastAsia="Times New Roman" w:hAnsi="Arial" w:cs="Arial"/>
          <w:sz w:val="22"/>
          <w:lang w:val="es-CO" w:eastAsia="x-none"/>
        </w:rPr>
        <w:t xml:space="preserve">. </w:t>
      </w:r>
    </w:p>
    <w:p w14:paraId="6ACE72DF" w14:textId="77777777" w:rsidR="00F00E9D" w:rsidRPr="00446B03" w:rsidRDefault="00F00E9D" w:rsidP="00F00E9D">
      <w:pPr>
        <w:spacing w:after="120"/>
        <w:ind w:firstLine="708"/>
        <w:rPr>
          <w:rFonts w:ascii="Arial" w:eastAsia="Times New Roman" w:hAnsi="Arial" w:cs="Arial"/>
          <w:sz w:val="22"/>
          <w:lang w:eastAsia="x-none"/>
        </w:rPr>
      </w:pPr>
      <w:r w:rsidRPr="00446B03">
        <w:rPr>
          <w:rFonts w:ascii="Arial" w:eastAsia="Times New Roman" w:hAnsi="Arial" w:cs="Arial"/>
          <w:sz w:val="22"/>
          <w:lang w:val="es-CO" w:eastAsia="x-none"/>
        </w:rPr>
        <w:t xml:space="preserve">De esta forma, con fundamento en la evolución de la normativa sobre la contratación pública, se ha depurado la noción de </w:t>
      </w:r>
      <w:r w:rsidRPr="00446B03">
        <w:rPr>
          <w:rFonts w:ascii="Arial" w:eastAsia="Times New Roman" w:hAnsi="Arial" w:cs="Arial"/>
          <w:sz w:val="19"/>
          <w:szCs w:val="19"/>
          <w:lang w:val="es-CO" w:eastAsia="en-GB"/>
        </w:rPr>
        <w:t>«</w:t>
      </w:r>
      <w:r w:rsidRPr="00446B03">
        <w:rPr>
          <w:rFonts w:ascii="Arial" w:eastAsia="Times New Roman" w:hAnsi="Arial" w:cs="Arial"/>
          <w:sz w:val="22"/>
          <w:lang w:val="es-CO" w:eastAsia="x-none"/>
        </w:rPr>
        <w:t>contratación directa</w:t>
      </w:r>
      <w:r w:rsidRPr="00446B03">
        <w:rPr>
          <w:rFonts w:ascii="Arial" w:eastAsia="Times New Roman" w:hAnsi="Arial" w:cs="Arial"/>
          <w:sz w:val="22"/>
          <w:lang w:val="es-CO" w:eastAsia="en-GB"/>
        </w:rPr>
        <w:t>»</w:t>
      </w:r>
      <w:r w:rsidRPr="00446B03">
        <w:rPr>
          <w:rFonts w:ascii="Arial" w:eastAsia="Times New Roman" w:hAnsi="Arial" w:cs="Arial"/>
          <w:sz w:val="22"/>
          <w:lang w:val="es-CO"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46B03">
        <w:rPr>
          <w:rFonts w:ascii="Arial" w:eastAsia="Times New Roman" w:hAnsi="Arial" w:cs="Arial"/>
          <w:sz w:val="22"/>
          <w:vertAlign w:val="superscript"/>
          <w:lang w:val="en-GB" w:eastAsia="x-none"/>
        </w:rPr>
        <w:footnoteReference w:id="16"/>
      </w:r>
      <w:r w:rsidRPr="00446B03">
        <w:rPr>
          <w:rFonts w:ascii="Arial" w:eastAsia="Times New Roman" w:hAnsi="Arial" w:cs="Arial"/>
          <w:sz w:val="22"/>
          <w:lang w:val="es-CO" w:eastAsia="x-none"/>
        </w:rPr>
        <w:t>, han establecido sistemas de contratación que implican convocatoria pública y participación de varios oferentes</w:t>
      </w:r>
      <w:r w:rsidRPr="00446B03">
        <w:rPr>
          <w:rFonts w:ascii="Arial" w:eastAsia="Times New Roman" w:hAnsi="Arial" w:cs="Arial"/>
          <w:sz w:val="22"/>
          <w:lang w:val="es-CO" w:eastAsia="en-GB"/>
        </w:rPr>
        <w:t>»</w:t>
      </w:r>
      <w:r w:rsidRPr="00446B03">
        <w:rPr>
          <w:rFonts w:ascii="Arial" w:eastAsia="Times New Roman" w:hAnsi="Arial" w:cs="Arial"/>
          <w:sz w:val="22"/>
          <w:lang w:val="es-CO" w:eastAsia="x-none"/>
        </w:rPr>
        <w:t xml:space="preserve">. </w:t>
      </w:r>
    </w:p>
    <w:p w14:paraId="0D19D2A2" w14:textId="77777777" w:rsidR="00F00E9D" w:rsidRPr="00446B03" w:rsidRDefault="00F00E9D" w:rsidP="00F00E9D">
      <w:pPr>
        <w:spacing w:after="120"/>
        <w:ind w:firstLine="708"/>
        <w:rPr>
          <w:rFonts w:ascii="Arial" w:eastAsia="Times New Roman" w:hAnsi="Arial" w:cs="Arial"/>
          <w:bCs/>
          <w:sz w:val="22"/>
          <w:lang w:eastAsia="es-CO"/>
        </w:rPr>
      </w:pPr>
      <w:r w:rsidRPr="00446B03">
        <w:rPr>
          <w:rFonts w:ascii="Arial" w:eastAsia="Times New Roman" w:hAnsi="Arial" w:cs="Arial"/>
          <w:bCs/>
          <w:sz w:val="22"/>
          <w:lang w:eastAsia="x-none"/>
        </w:rPr>
        <w:t>E</w:t>
      </w:r>
      <w:r w:rsidRPr="00446B03">
        <w:rPr>
          <w:rFonts w:ascii="Arial" w:eastAsia="Times New Roman" w:hAnsi="Arial" w:cs="Arial"/>
          <w:sz w:val="22"/>
          <w:lang w:val="es-CO" w:eastAsia="x-none"/>
        </w:rPr>
        <w:t xml:space="preserve">n efecto, vale la pena mencionar que, </w:t>
      </w:r>
      <w:bookmarkStart w:id="30" w:name="_Hlk75636073"/>
      <w:r w:rsidRPr="00446B03">
        <w:rPr>
          <w:rFonts w:ascii="Arial" w:eastAsia="Times New Roman" w:hAnsi="Arial" w:cs="Arial"/>
          <w:sz w:val="22"/>
          <w:lang w:val="es-CO" w:eastAsia="x-none"/>
        </w:rPr>
        <w:t xml:space="preserve">en algunos sistemas de contratación, utilizados por entidades públicas con regímenes especiales, o sujetas al derecho privado, </w:t>
      </w:r>
      <w:r w:rsidRPr="00446B03">
        <w:rPr>
          <w:rFonts w:ascii="Arial" w:eastAsia="Times New Roman" w:hAnsi="Arial" w:cs="Arial"/>
          <w:sz w:val="22"/>
          <w:lang w:val="es-CO" w:eastAsia="x-none"/>
        </w:rPr>
        <w:lastRenderedPageBreak/>
        <w:t>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0"/>
      <w:r w:rsidRPr="00446B03">
        <w:rPr>
          <w:rFonts w:ascii="Arial" w:eastAsia="Times New Roman" w:hAnsi="Arial" w:cs="Arial"/>
          <w:sz w:val="22"/>
          <w:vertAlign w:val="superscript"/>
          <w:lang w:val="es-CO" w:eastAsia="x-none"/>
        </w:rPr>
        <w:footnoteReference w:id="17"/>
      </w:r>
      <w:r w:rsidRPr="00446B03">
        <w:rPr>
          <w:rFonts w:ascii="Arial" w:eastAsia="Times New Roman" w:hAnsi="Arial" w:cs="Arial"/>
          <w:sz w:val="22"/>
          <w:lang w:val="es-CO" w:eastAsia="x-none"/>
        </w:rPr>
        <w:t xml:space="preserve">. </w:t>
      </w:r>
    </w:p>
    <w:p w14:paraId="32B2453A" w14:textId="77777777" w:rsidR="00F00E9D" w:rsidRPr="00446B03" w:rsidRDefault="00F00E9D" w:rsidP="00F00E9D">
      <w:pPr>
        <w:spacing w:after="120"/>
        <w:ind w:firstLine="708"/>
        <w:rPr>
          <w:rFonts w:ascii="Arial" w:eastAsia="Times New Roman" w:hAnsi="Arial" w:cs="Arial"/>
          <w:bCs/>
          <w:sz w:val="22"/>
          <w:lang w:eastAsia="es-CO"/>
        </w:rPr>
      </w:pPr>
      <w:r w:rsidRPr="00446B03">
        <w:rPr>
          <w:rFonts w:ascii="Arial" w:eastAsia="Times New Roman" w:hAnsi="Arial" w:cs="Arial"/>
          <w:bCs/>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7C169AA2" w14:textId="77777777" w:rsidR="00F00E9D" w:rsidRPr="00446B03" w:rsidRDefault="00F00E9D" w:rsidP="00F00E9D">
      <w:pPr>
        <w:spacing w:after="120"/>
        <w:ind w:firstLine="708"/>
        <w:rPr>
          <w:rFonts w:ascii="Arial" w:eastAsia="Times New Roman" w:hAnsi="Arial" w:cs="Arial"/>
          <w:bCs/>
          <w:sz w:val="22"/>
          <w:lang w:eastAsia="x-none"/>
        </w:rPr>
      </w:pPr>
      <w:bookmarkStart w:id="31" w:name="_Hlk78818796"/>
      <w:r w:rsidRPr="00446B03">
        <w:rPr>
          <w:rFonts w:ascii="Arial" w:eastAsia="Times New Roman" w:hAnsi="Arial" w:cs="Arial"/>
          <w:bCs/>
          <w:sz w:val="22"/>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46B03">
        <w:rPr>
          <w:rFonts w:ascii="Arial" w:eastAsia="Times New Roman" w:hAnsi="Arial" w:cs="Arial"/>
          <w:sz w:val="22"/>
          <w:vertAlign w:val="superscript"/>
          <w:lang w:val="es-CO" w:eastAsia="x-none"/>
        </w:rPr>
        <w:footnoteReference w:id="18"/>
      </w:r>
      <w:r w:rsidRPr="00446B03">
        <w:rPr>
          <w:rFonts w:ascii="Arial" w:eastAsia="Times New Roman" w:hAnsi="Arial" w:cs="Arial"/>
          <w:bCs/>
          <w:sz w:val="22"/>
          <w:lang w:eastAsia="x-none"/>
        </w:rPr>
        <w:t>.</w:t>
      </w:r>
      <w:r w:rsidRPr="00446B03">
        <w:rPr>
          <w:rFonts w:ascii="Arial" w:eastAsia="Times New Roman" w:hAnsi="Arial" w:cs="Arial"/>
          <w:sz w:val="22"/>
          <w:vertAlign w:val="superscript"/>
          <w:lang w:val="es-CO" w:eastAsia="x-none"/>
        </w:rPr>
        <w:t xml:space="preserve"> </w:t>
      </w:r>
    </w:p>
    <w:bookmarkEnd w:id="31"/>
    <w:p w14:paraId="0A372D85" w14:textId="77777777" w:rsidR="00F00E9D" w:rsidRPr="00446B03" w:rsidRDefault="00F00E9D" w:rsidP="00F00E9D">
      <w:pPr>
        <w:spacing w:after="120"/>
        <w:ind w:firstLine="708"/>
        <w:rPr>
          <w:rFonts w:ascii="Arial" w:eastAsia="Times New Roman" w:hAnsi="Arial" w:cs="Arial"/>
          <w:sz w:val="22"/>
          <w:lang w:val="es-CO" w:eastAsia="x-none"/>
        </w:rPr>
      </w:pPr>
      <w:r w:rsidRPr="00446B03">
        <w:rPr>
          <w:rFonts w:ascii="Arial" w:eastAsia="Times New Roman" w:hAnsi="Arial" w:cs="Arial"/>
          <w:bCs/>
          <w:sz w:val="22"/>
          <w:lang w:eastAsia="x-none"/>
        </w:rPr>
        <w:t>De lo anterior se desprende que la restricción aplica, sin perjuicio de las excepciones establecidas en la misma ley, para celebrar cualquier contrato de forma directa, esto es, sin que exista un proceso abierto y competitivo.</w:t>
      </w:r>
      <w:r w:rsidRPr="00446B03">
        <w:rPr>
          <w:rFonts w:ascii="Arial" w:eastAsia="Times New Roman" w:hAnsi="Arial" w:cs="Arial"/>
          <w:sz w:val="22"/>
          <w:lang w:val="es-CO"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01D9F3C1" w14:textId="77777777" w:rsidR="00F00E9D" w:rsidRPr="00446B03" w:rsidRDefault="00F00E9D" w:rsidP="00F00E9D">
      <w:pPr>
        <w:spacing w:after="120"/>
        <w:ind w:firstLine="708"/>
        <w:rPr>
          <w:rFonts w:ascii="Arial" w:eastAsia="Times New Roman" w:hAnsi="Arial" w:cs="Arial"/>
          <w:bCs/>
          <w:sz w:val="22"/>
          <w:lang w:eastAsia="x-none"/>
        </w:rPr>
      </w:pPr>
      <w:bookmarkStart w:id="32" w:name="_Hlk77237094"/>
      <w:r w:rsidRPr="00446B03">
        <w:rPr>
          <w:rFonts w:ascii="Arial" w:eastAsia="Times New Roman" w:hAnsi="Arial" w:cs="Arial"/>
          <w:bCs/>
          <w:sz w:val="22"/>
          <w:lang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2"/>
    </w:p>
    <w:p w14:paraId="2168DB94" w14:textId="77777777" w:rsidR="00F00E9D" w:rsidRPr="00446B03" w:rsidRDefault="00F00E9D" w:rsidP="00F00E9D">
      <w:pPr>
        <w:spacing w:after="120"/>
        <w:ind w:firstLine="708"/>
        <w:rPr>
          <w:rFonts w:ascii="Arial" w:eastAsia="Times New Roman" w:hAnsi="Arial" w:cs="Arial"/>
          <w:bCs/>
          <w:sz w:val="22"/>
          <w:lang w:eastAsia="es-CO"/>
        </w:rPr>
      </w:pPr>
      <w:r w:rsidRPr="00446B03">
        <w:rPr>
          <w:rFonts w:ascii="Arial" w:eastAsia="Times New Roman" w:hAnsi="Arial" w:cs="Arial"/>
          <w:bCs/>
          <w:sz w:val="22"/>
          <w:lang w:eastAsia="x-none"/>
        </w:rPr>
        <w:lastRenderedPageBreak/>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46B03">
        <w:rPr>
          <w:rFonts w:ascii="Arial" w:eastAsia="Times New Roman" w:hAnsi="Arial" w:cs="Arial"/>
          <w:bCs/>
          <w:sz w:val="22"/>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EBC738A" w14:textId="77777777" w:rsidR="00F00E9D" w:rsidRPr="00446B03" w:rsidRDefault="00F00E9D" w:rsidP="00AA226E">
      <w:pPr>
        <w:spacing w:after="120"/>
        <w:ind w:firstLine="709"/>
        <w:rPr>
          <w:rFonts w:ascii="Arial" w:eastAsia="Times New Roman" w:hAnsi="Arial" w:cs="Arial"/>
          <w:bCs/>
          <w:sz w:val="22"/>
          <w:lang w:eastAsia="x-none"/>
        </w:rPr>
      </w:pPr>
      <w:r w:rsidRPr="00446B03">
        <w:rPr>
          <w:rFonts w:ascii="Arial" w:eastAsia="Times New Roman" w:hAnsi="Arial" w:cs="Arial"/>
          <w:bCs/>
          <w:sz w:val="22"/>
          <w:lang w:eastAsia="x-none"/>
        </w:rPr>
        <w:t>En esta labor es importante tener en cuenta, como lo anotó la Corte Constitucional, en Sentencia C-1153 de noviembre 11 de 2005</w:t>
      </w:r>
      <w:r w:rsidRPr="00446B03">
        <w:rPr>
          <w:rStyle w:val="Refdenotaalpie"/>
        </w:rPr>
        <w:t>,</w:t>
      </w:r>
      <w:r w:rsidRPr="00446B03">
        <w:rPr>
          <w:rFonts w:ascii="Arial" w:eastAsia="Times New Roman" w:hAnsi="Arial" w:cs="Arial"/>
          <w:bCs/>
          <w:sz w:val="22"/>
          <w:lang w:eastAsia="x-none"/>
        </w:rPr>
        <w:t xml:space="preserve"> </w:t>
      </w:r>
      <w:bookmarkStart w:id="33" w:name="_Hlk74309042"/>
      <w:r w:rsidRPr="00446B03">
        <w:rPr>
          <w:rFonts w:ascii="Arial" w:eastAsia="Times New Roman" w:hAnsi="Arial" w:cs="Arial"/>
          <w:bCs/>
          <w:sz w:val="22"/>
          <w:lang w:eastAsia="x-none"/>
        </w:rPr>
        <w:t>que «</w:t>
      </w:r>
      <w:bookmarkEnd w:id="33"/>
      <w:r w:rsidRPr="00446B03">
        <w:rPr>
          <w:rFonts w:ascii="Arial" w:eastAsia="Times New Roman" w:hAnsi="Arial" w:cs="Arial"/>
          <w:bCs/>
          <w:sz w:val="22"/>
          <w:lang w:eastAsia="x-none"/>
        </w:rPr>
        <w:t xml:space="preserve">si bien la limitación garantiza la igualdad de condiciones, también es necesario que tal limitación que pretende la igualdad </w:t>
      </w:r>
      <w:bookmarkStart w:id="34" w:name="_Hlk75768308"/>
      <w:r w:rsidRPr="00446B03">
        <w:rPr>
          <w:rFonts w:ascii="Arial" w:eastAsia="Times New Roman" w:hAnsi="Arial" w:cs="Arial"/>
          <w:bCs/>
          <w:sz w:val="22"/>
          <w:lang w:eastAsia="x-none"/>
        </w:rPr>
        <w:t>no termine yendo en detrimento de intereses públicos, cuya garantía está en cabeza del ejecutivo, como son los inmersos en las excepciones para la prohibición de contratación</w:t>
      </w:r>
      <w:bookmarkStart w:id="35" w:name="_Hlk74309060"/>
      <w:r w:rsidRPr="00446B03">
        <w:rPr>
          <w:rFonts w:ascii="Arial" w:eastAsia="Times New Roman" w:hAnsi="Arial" w:cs="Arial"/>
          <w:bCs/>
          <w:sz w:val="22"/>
          <w:lang w:eastAsia="x-none"/>
        </w:rPr>
        <w:t>»</w:t>
      </w:r>
      <w:bookmarkEnd w:id="35"/>
      <w:r w:rsidRPr="00446B03">
        <w:rPr>
          <w:rStyle w:val="Refdenotaalpie"/>
          <w:rFonts w:ascii="Arial" w:hAnsi="Arial" w:cs="Arial"/>
          <w:sz w:val="22"/>
        </w:rPr>
        <w:footnoteReference w:id="19"/>
      </w:r>
      <w:r w:rsidRPr="00446B03">
        <w:rPr>
          <w:rFonts w:ascii="Arial" w:eastAsia="Times New Roman" w:hAnsi="Arial" w:cs="Arial"/>
          <w:bCs/>
          <w:sz w:val="22"/>
          <w:lang w:eastAsia="x-none"/>
        </w:rPr>
        <w:t>. De ahí que la Corte hizo hincapié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36" w:name="_Hlk75783800"/>
      <w:bookmarkEnd w:id="34"/>
    </w:p>
    <w:p w14:paraId="36674FF6" w14:textId="2B331D2D" w:rsidR="00850AEB" w:rsidRDefault="00850AEB" w:rsidP="00AA226E">
      <w:pPr>
        <w:spacing w:after="120"/>
        <w:ind w:firstLine="709"/>
        <w:rPr>
          <w:rFonts w:ascii="Arial" w:eastAsia="Times New Roman" w:hAnsi="Arial" w:cs="Arial"/>
          <w:bCs/>
          <w:sz w:val="22"/>
          <w:lang w:eastAsia="x-none"/>
        </w:rPr>
      </w:pPr>
      <w:r>
        <w:rPr>
          <w:rFonts w:ascii="Arial" w:eastAsia="Times New Roman" w:hAnsi="Arial" w:cs="Arial"/>
          <w:bCs/>
          <w:sz w:val="22"/>
          <w:lang w:eastAsia="x-none"/>
        </w:rPr>
        <w:t xml:space="preserve">Ahora bien, cabe destacar que la restricción dispuesta en el artículo objeto de analisis, no debe confundirse con la prohibición contemplada en el parágrafo del artículo </w:t>
      </w:r>
      <w:r w:rsidR="00406B93">
        <w:rPr>
          <w:rFonts w:ascii="Arial" w:eastAsia="Times New Roman" w:hAnsi="Arial" w:cs="Arial"/>
          <w:bCs/>
          <w:sz w:val="22"/>
          <w:lang w:eastAsia="x-none"/>
        </w:rPr>
        <w:t>38 de la mencionada ley de gar</w:t>
      </w:r>
      <w:r w:rsidR="00246503">
        <w:rPr>
          <w:rFonts w:ascii="Arial" w:eastAsia="Times New Roman" w:hAnsi="Arial" w:cs="Arial"/>
          <w:bCs/>
          <w:sz w:val="22"/>
          <w:lang w:eastAsia="x-none"/>
        </w:rPr>
        <w:t>a</w:t>
      </w:r>
      <w:r w:rsidR="00406B93">
        <w:rPr>
          <w:rFonts w:ascii="Arial" w:eastAsia="Times New Roman" w:hAnsi="Arial" w:cs="Arial"/>
          <w:bCs/>
          <w:sz w:val="22"/>
          <w:lang w:eastAsia="x-none"/>
        </w:rPr>
        <w:t xml:space="preserve">ntías, el cual dispone que </w:t>
      </w:r>
      <w:r w:rsidR="00406B93" w:rsidRPr="00446B03">
        <w:rPr>
          <w:rFonts w:ascii="Arial" w:eastAsia="Calibri" w:hAnsi="Arial" w:cs="Arial"/>
          <w:bCs/>
          <w:sz w:val="22"/>
          <w:lang w:val="es-CO"/>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00406B93" w:rsidRPr="00446B03">
        <w:rPr>
          <w:rFonts w:ascii="Arial" w:eastAsia="Times New Roman" w:hAnsi="Arial" w:cs="Arial"/>
          <w:bCs/>
          <w:iCs/>
          <w:sz w:val="22"/>
          <w:lang w:eastAsia="x-none"/>
        </w:rPr>
        <w:t xml:space="preserve"> </w:t>
      </w:r>
      <w:r w:rsidR="00406B93">
        <w:rPr>
          <w:rFonts w:ascii="Arial" w:eastAsia="Times New Roman" w:hAnsi="Arial" w:cs="Arial"/>
          <w:bCs/>
          <w:iCs/>
          <w:sz w:val="22"/>
          <w:lang w:eastAsia="x-none"/>
        </w:rPr>
        <w:t>Sobre este punto, cabe destacar que l</w:t>
      </w:r>
      <w:r w:rsidR="00406B93" w:rsidRPr="00446B03">
        <w:rPr>
          <w:rFonts w:ascii="Arial" w:eastAsia="Times New Roman" w:hAnsi="Arial" w:cs="Arial"/>
          <w:bCs/>
          <w:iCs/>
          <w:sz w:val="22"/>
          <w:lang w:eastAsia="x-none"/>
        </w:rPr>
        <w:t xml:space="preserve">os convenios o contratos interadministrativos que se restringen en el parágrafo del artículo 38 de la Ley 996 de 2005, son únicamente aquellos en que se dispone la ejecución de recursos públicos, </w:t>
      </w:r>
      <w:r w:rsidR="00406B93" w:rsidRPr="00446B03">
        <w:rPr>
          <w:rFonts w:ascii="Arial" w:eastAsia="Times New Roman" w:hAnsi="Arial" w:cs="Arial"/>
          <w:bCs/>
          <w:iCs/>
          <w:sz w:val="22"/>
          <w:lang w:eastAsia="x-none"/>
        </w:rPr>
        <w:lastRenderedPageBreak/>
        <w:t>para evitar que mediante la suscripción de estos se comprometa el erario con fines políticos o partidistas</w:t>
      </w:r>
      <w:r w:rsidR="00406B93" w:rsidRPr="00446B03">
        <w:rPr>
          <w:rStyle w:val="Refdenotaalpie"/>
          <w:rFonts w:ascii="Arial" w:eastAsia="Times New Roman" w:hAnsi="Arial" w:cs="Arial"/>
          <w:bCs/>
          <w:iCs/>
          <w:sz w:val="22"/>
          <w:lang w:eastAsia="x-none"/>
        </w:rPr>
        <w:footnoteReference w:id="20"/>
      </w:r>
      <w:r w:rsidR="00406B93" w:rsidRPr="00446B03">
        <w:rPr>
          <w:rFonts w:ascii="Arial" w:eastAsia="Times New Roman" w:hAnsi="Arial" w:cs="Arial"/>
          <w:bCs/>
          <w:iCs/>
          <w:sz w:val="22"/>
          <w:lang w:eastAsia="x-none"/>
        </w:rPr>
        <w:t>.</w:t>
      </w:r>
      <w:r w:rsidR="00406B93" w:rsidRPr="00446B03">
        <w:rPr>
          <w:rFonts w:ascii="Arial" w:hAnsi="Arial" w:cs="Arial"/>
        </w:rPr>
        <w:t xml:space="preserve"> </w:t>
      </w:r>
      <w:r w:rsidR="00406B93">
        <w:rPr>
          <w:rFonts w:ascii="Arial" w:eastAsia="Times New Roman" w:hAnsi="Arial" w:cs="Arial"/>
          <w:bCs/>
          <w:sz w:val="22"/>
          <w:lang w:eastAsia="x-none"/>
        </w:rPr>
        <w:t xml:space="preserve"> </w:t>
      </w:r>
    </w:p>
    <w:p w14:paraId="1612D41F" w14:textId="4E6E42AE" w:rsidR="00BC5B2A" w:rsidRDefault="00BC5B2A" w:rsidP="00BC5B2A">
      <w:pPr>
        <w:spacing w:after="0"/>
        <w:ind w:firstLine="708"/>
        <w:rPr>
          <w:rFonts w:ascii="Arial" w:eastAsia="Times New Roman" w:hAnsi="Arial" w:cs="Arial"/>
          <w:bCs/>
          <w:sz w:val="22"/>
          <w:lang w:eastAsia="x-none"/>
        </w:rPr>
      </w:pPr>
      <w:r>
        <w:rPr>
          <w:rFonts w:ascii="Arial" w:eastAsia="Times New Roman" w:hAnsi="Arial" w:cs="Arial"/>
          <w:bCs/>
          <w:sz w:val="22"/>
          <w:lang w:eastAsia="x-none"/>
        </w:rPr>
        <w:t>De</w:t>
      </w:r>
      <w:r w:rsidR="00406B93">
        <w:rPr>
          <w:rFonts w:ascii="Arial" w:eastAsia="Times New Roman" w:hAnsi="Arial" w:cs="Arial"/>
          <w:bCs/>
          <w:sz w:val="22"/>
          <w:lang w:eastAsia="x-none"/>
        </w:rPr>
        <w:t xml:space="preserve"> conformidad con</w:t>
      </w:r>
      <w:r>
        <w:rPr>
          <w:rFonts w:ascii="Arial" w:eastAsia="Times New Roman" w:hAnsi="Arial" w:cs="Arial"/>
          <w:bCs/>
          <w:sz w:val="22"/>
          <w:lang w:eastAsia="x-none"/>
        </w:rPr>
        <w:t xml:space="preserve"> lo expuesto</w:t>
      </w:r>
      <w:r w:rsidR="00406B93">
        <w:rPr>
          <w:rFonts w:ascii="Arial" w:eastAsia="Times New Roman" w:hAnsi="Arial" w:cs="Arial"/>
          <w:bCs/>
          <w:sz w:val="22"/>
          <w:lang w:eastAsia="x-none"/>
        </w:rPr>
        <w:t>,</w:t>
      </w:r>
      <w:r>
        <w:rPr>
          <w:rFonts w:ascii="Arial" w:eastAsia="Times New Roman" w:hAnsi="Arial" w:cs="Arial"/>
          <w:bCs/>
          <w:sz w:val="22"/>
          <w:lang w:eastAsia="x-none"/>
        </w:rPr>
        <w:t xml:space="preserve"> se concluye que durante los</w:t>
      </w:r>
      <w:r w:rsidR="00246503">
        <w:rPr>
          <w:rFonts w:ascii="Arial" w:eastAsia="Times New Roman" w:hAnsi="Arial" w:cs="Arial"/>
          <w:bCs/>
          <w:sz w:val="22"/>
          <w:lang w:eastAsia="x-none"/>
        </w:rPr>
        <w:t xml:space="preserve"> cuatro</w:t>
      </w:r>
      <w:r>
        <w:rPr>
          <w:rFonts w:ascii="Arial" w:eastAsia="Times New Roman" w:hAnsi="Arial" w:cs="Arial"/>
          <w:bCs/>
          <w:sz w:val="22"/>
          <w:lang w:eastAsia="x-none"/>
        </w:rPr>
        <w:t xml:space="preserve"> </w:t>
      </w:r>
      <w:r w:rsidR="00246503">
        <w:rPr>
          <w:rFonts w:ascii="Arial" w:eastAsia="Times New Roman" w:hAnsi="Arial" w:cs="Arial"/>
          <w:bCs/>
          <w:sz w:val="22"/>
          <w:lang w:eastAsia="x-none"/>
        </w:rPr>
        <w:t>(</w:t>
      </w:r>
      <w:r>
        <w:rPr>
          <w:rFonts w:ascii="Arial" w:eastAsia="Times New Roman" w:hAnsi="Arial" w:cs="Arial"/>
          <w:bCs/>
          <w:sz w:val="22"/>
          <w:lang w:eastAsia="x-none"/>
        </w:rPr>
        <w:t>4</w:t>
      </w:r>
      <w:r w:rsidR="00246503">
        <w:rPr>
          <w:rFonts w:ascii="Arial" w:eastAsia="Times New Roman" w:hAnsi="Arial" w:cs="Arial"/>
          <w:bCs/>
          <w:sz w:val="22"/>
          <w:lang w:eastAsia="x-none"/>
        </w:rPr>
        <w:t>)</w:t>
      </w:r>
      <w:r>
        <w:rPr>
          <w:rFonts w:ascii="Arial" w:eastAsia="Times New Roman" w:hAnsi="Arial" w:cs="Arial"/>
          <w:bCs/>
          <w:sz w:val="22"/>
          <w:lang w:eastAsia="x-none"/>
        </w:rPr>
        <w:t xml:space="preserve"> meses anteriores a la elección presidencial y hasta la la realización de la elección en la segunda vuelta, queda prohibida la contratación directa por parte de todos los entes del estado, entendido el término contratación directa como </w:t>
      </w:r>
      <w:r w:rsidRPr="00446B03">
        <w:rPr>
          <w:rFonts w:ascii="Arial" w:eastAsia="Times New Roman" w:hAnsi="Arial" w:cs="Arial"/>
          <w:bCs/>
          <w:sz w:val="22"/>
          <w:lang w:eastAsia="x-none"/>
        </w:rPr>
        <w:t>cualquier sistema de selección o procedimiento de contratación utilizado por las entidades estatales que no incluya la convocatoria pública en alguna de sus etapas, ni permita la participación de una pluralidad de oferentes</w:t>
      </w:r>
      <w:r>
        <w:rPr>
          <w:rFonts w:ascii="Arial" w:eastAsia="Times New Roman" w:hAnsi="Arial" w:cs="Arial"/>
          <w:bCs/>
          <w:sz w:val="22"/>
          <w:lang w:eastAsia="x-none"/>
        </w:rPr>
        <w:t>. Lo anterior, sin perjuicio de las excepciones contempladas en el ordenamiento jurídico.</w:t>
      </w:r>
    </w:p>
    <w:p w14:paraId="29AB72DB" w14:textId="62F31426" w:rsidR="00BC5B2A" w:rsidRPr="00446B03" w:rsidRDefault="00BC5B2A" w:rsidP="00AA226E">
      <w:pPr>
        <w:spacing w:after="0"/>
        <w:rPr>
          <w:rFonts w:ascii="Arial" w:eastAsia="Times New Roman" w:hAnsi="Arial" w:cs="Arial"/>
          <w:bCs/>
          <w:sz w:val="22"/>
          <w:lang w:eastAsia="x-none"/>
        </w:rPr>
      </w:pPr>
      <w:r>
        <w:rPr>
          <w:rFonts w:ascii="Arial" w:eastAsia="Times New Roman" w:hAnsi="Arial" w:cs="Arial"/>
          <w:bCs/>
          <w:sz w:val="22"/>
          <w:lang w:eastAsia="x-none"/>
        </w:rPr>
        <w:t xml:space="preserve"> </w:t>
      </w:r>
    </w:p>
    <w:p w14:paraId="32751F0A" w14:textId="77777777" w:rsidR="00F00E9D" w:rsidRPr="00446B03" w:rsidRDefault="00F00E9D" w:rsidP="00F00E9D">
      <w:pPr>
        <w:spacing w:after="0"/>
        <w:rPr>
          <w:rFonts w:ascii="Arial" w:eastAsia="Times New Roman" w:hAnsi="Arial" w:cs="Arial"/>
          <w:b/>
          <w:sz w:val="22"/>
          <w:lang w:eastAsia="x-none"/>
        </w:rPr>
      </w:pPr>
      <w:r w:rsidRPr="00446B03">
        <w:rPr>
          <w:rFonts w:ascii="Arial" w:eastAsia="Times New Roman" w:hAnsi="Arial" w:cs="Arial"/>
          <w:b/>
          <w:sz w:val="22"/>
          <w:lang w:eastAsia="x-none"/>
        </w:rPr>
        <w:t>2.3.  Destinatarios de la restricción del artículo 33 de la Ley 996 de 2005</w:t>
      </w:r>
    </w:p>
    <w:p w14:paraId="5234A22A" w14:textId="77777777" w:rsidR="00F00E9D" w:rsidRPr="00446B03" w:rsidRDefault="00F00E9D" w:rsidP="00F00E9D">
      <w:pPr>
        <w:spacing w:after="0"/>
        <w:rPr>
          <w:rFonts w:ascii="Arial" w:eastAsia="Times New Roman" w:hAnsi="Arial" w:cs="Arial"/>
          <w:bCs/>
          <w:sz w:val="22"/>
          <w:lang w:eastAsia="x-none"/>
        </w:rPr>
      </w:pPr>
    </w:p>
    <w:p w14:paraId="483E15CD" w14:textId="77777777" w:rsidR="00F00E9D" w:rsidRPr="00446B03" w:rsidRDefault="00F00E9D" w:rsidP="00F00E9D">
      <w:pPr>
        <w:spacing w:after="0"/>
        <w:rPr>
          <w:rFonts w:ascii="Arial" w:eastAsia="Times New Roman" w:hAnsi="Arial" w:cs="Arial"/>
          <w:bCs/>
          <w:sz w:val="22"/>
          <w:lang w:eastAsia="x-none"/>
        </w:rPr>
      </w:pPr>
      <w:r w:rsidRPr="00446B03">
        <w:rPr>
          <w:rFonts w:ascii="Arial" w:eastAsia="Times New Roman" w:hAnsi="Arial" w:cs="Arial"/>
          <w:bCs/>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446B03">
        <w:t xml:space="preserve"> </w:t>
      </w:r>
      <w:r w:rsidRPr="00446B03">
        <w:rPr>
          <w:rFonts w:ascii="Arial" w:eastAsia="Times New Roman" w:hAnsi="Arial" w:cs="Arial"/>
          <w:bCs/>
          <w:sz w:val="22"/>
          <w:lang w:eastAsia="x-none"/>
        </w:rPr>
        <w:t xml:space="preserve">En efecto, tal como lo ha sostenido el Consejo de Estado, el vocablo </w:t>
      </w:r>
      <w:bookmarkStart w:id="37" w:name="_Hlk75632581"/>
      <w:r w:rsidRPr="00446B03">
        <w:rPr>
          <w:rFonts w:ascii="Arial" w:eastAsia="Times New Roman" w:hAnsi="Arial" w:cs="Arial"/>
          <w:bCs/>
          <w:sz w:val="22"/>
          <w:lang w:eastAsia="x-none"/>
        </w:rPr>
        <w:t>«</w:t>
      </w:r>
      <w:bookmarkEnd w:id="37"/>
      <w:r w:rsidRPr="00446B03">
        <w:rPr>
          <w:rFonts w:ascii="Arial" w:eastAsia="Times New Roman" w:hAnsi="Arial" w:cs="Arial"/>
          <w:bCs/>
          <w:sz w:val="22"/>
          <w:lang w:eastAsia="x-none"/>
        </w:rPr>
        <w:t>todos» utilizado por el legislador comprende</w:t>
      </w:r>
      <w:r w:rsidRPr="00446B03">
        <w:t xml:space="preserve"> </w:t>
      </w:r>
      <w:r w:rsidRPr="00446B03">
        <w:rPr>
          <w:rFonts w:ascii="Arial" w:eastAsia="Times New Roman" w:hAnsi="Arial" w:cs="Arial"/>
          <w:bCs/>
          <w:sz w:val="22"/>
          <w:lang w:eastAsia="x-none"/>
        </w:rPr>
        <w:t>a la totalidad de los entes del Estado, sin distinción del régimen jurídico, forma de organización o naturaleza, su pertenencia a una u otra rama del poder público o su autonomía</w:t>
      </w:r>
      <w:bookmarkEnd w:id="36"/>
      <w:r w:rsidRPr="00446B03">
        <w:rPr>
          <w:rFonts w:ascii="Arial" w:eastAsia="Times New Roman" w:hAnsi="Arial" w:cs="Arial"/>
          <w:bCs/>
          <w:sz w:val="22"/>
          <w:lang w:eastAsia="x-none"/>
        </w:rPr>
        <w:t xml:space="preserve">,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10D72C92" w14:textId="77777777" w:rsidR="00F00E9D" w:rsidRPr="00446B03" w:rsidRDefault="00F00E9D" w:rsidP="00F00E9D">
      <w:pPr>
        <w:spacing w:after="0"/>
        <w:ind w:firstLine="708"/>
        <w:rPr>
          <w:rFonts w:ascii="Arial" w:eastAsia="Times New Roman" w:hAnsi="Arial" w:cs="Arial"/>
          <w:bCs/>
          <w:sz w:val="22"/>
          <w:lang w:eastAsia="x-none"/>
        </w:rPr>
      </w:pPr>
    </w:p>
    <w:p w14:paraId="29D5A160" w14:textId="77777777" w:rsidR="00F00E9D" w:rsidRPr="00446B03" w:rsidRDefault="00F00E9D" w:rsidP="00F00E9D">
      <w:pPr>
        <w:spacing w:after="0" w:line="240" w:lineRule="auto"/>
        <w:ind w:left="708" w:right="709"/>
        <w:rPr>
          <w:rFonts w:ascii="Arial" w:eastAsia="Times New Roman" w:hAnsi="Arial" w:cs="Arial"/>
          <w:bCs/>
          <w:sz w:val="21"/>
          <w:szCs w:val="21"/>
          <w:lang w:eastAsia="es-CO"/>
        </w:rPr>
      </w:pPr>
      <w:r w:rsidRPr="00446B03">
        <w:rPr>
          <w:rFonts w:ascii="Arial" w:eastAsia="Times New Roman" w:hAnsi="Arial" w:cs="Arial"/>
          <w:bCs/>
          <w:sz w:val="21"/>
          <w:szCs w:val="21"/>
          <w:lang w:eastAsia="x-none"/>
        </w:rPr>
        <w:t xml:space="preserve">El artículo 33 de la ley 996 de 2005, </w:t>
      </w:r>
      <w:bookmarkStart w:id="38" w:name="_Hlk75787147"/>
      <w:r w:rsidRPr="00446B03">
        <w:rPr>
          <w:rFonts w:ascii="Arial" w:eastAsia="Times New Roman" w:hAnsi="Arial" w:cs="Arial"/>
          <w:bCs/>
          <w:sz w:val="21"/>
          <w:szCs w:val="21"/>
          <w:lang w:eastAsia="x-none"/>
        </w:rPr>
        <w:t xml:space="preserve">efectivamente se aplica </w:t>
      </w:r>
      <w:bookmarkStart w:id="39" w:name="_Hlk76074089"/>
      <w:r w:rsidRPr="00446B03">
        <w:rPr>
          <w:rFonts w:ascii="Arial" w:eastAsia="Times New Roman" w:hAnsi="Arial"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39"/>
      <w:r w:rsidRPr="00446B03">
        <w:rPr>
          <w:rFonts w:ascii="Arial" w:eastAsia="Times New Roman" w:hAnsi="Arial" w:cs="Arial"/>
          <w:bCs/>
          <w:sz w:val="21"/>
          <w:szCs w:val="21"/>
          <w:lang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446B03">
        <w:rPr>
          <w:rStyle w:val="Refdenotaalpie"/>
          <w:rFonts w:ascii="Arial" w:eastAsia="Times New Roman" w:hAnsi="Arial" w:cs="Arial"/>
          <w:bCs/>
          <w:sz w:val="21"/>
          <w:szCs w:val="21"/>
          <w:lang w:eastAsia="x-none"/>
        </w:rPr>
        <w:footnoteReference w:id="21"/>
      </w:r>
      <w:r w:rsidRPr="00446B03">
        <w:rPr>
          <w:rFonts w:ascii="Arial" w:eastAsia="Times New Roman" w:hAnsi="Arial" w:cs="Arial"/>
          <w:bCs/>
          <w:sz w:val="21"/>
          <w:szCs w:val="21"/>
          <w:lang w:eastAsia="x-none"/>
        </w:rPr>
        <w:t>.</w:t>
      </w:r>
      <w:r w:rsidRPr="00446B03">
        <w:rPr>
          <w:rFonts w:ascii="Arial" w:eastAsia="Times New Roman" w:hAnsi="Arial" w:cs="Arial"/>
          <w:bCs/>
          <w:sz w:val="21"/>
          <w:szCs w:val="21"/>
          <w:lang w:eastAsia="es-CO"/>
        </w:rPr>
        <w:t xml:space="preserve"> </w:t>
      </w:r>
    </w:p>
    <w:p w14:paraId="039CAC88" w14:textId="77777777" w:rsidR="00F00E9D" w:rsidRPr="00446B03" w:rsidRDefault="00F00E9D" w:rsidP="00F00E9D">
      <w:pPr>
        <w:spacing w:after="0"/>
        <w:ind w:firstLine="708"/>
        <w:rPr>
          <w:rFonts w:ascii="Arial" w:eastAsia="Times New Roman" w:hAnsi="Arial" w:cs="Arial"/>
          <w:bCs/>
          <w:sz w:val="22"/>
          <w:lang w:eastAsia="es-CO"/>
        </w:rPr>
      </w:pPr>
    </w:p>
    <w:p w14:paraId="2C9389EA" w14:textId="77777777" w:rsidR="00F00E9D" w:rsidRPr="00446B03" w:rsidRDefault="00F00E9D" w:rsidP="00F00E9D">
      <w:pPr>
        <w:spacing w:after="0"/>
        <w:ind w:firstLine="708"/>
        <w:rPr>
          <w:rFonts w:ascii="Arial" w:hAnsi="Arial" w:cs="Arial"/>
          <w:sz w:val="22"/>
        </w:rPr>
      </w:pPr>
      <w:r w:rsidRPr="00446B03">
        <w:rPr>
          <w:rFonts w:ascii="Arial" w:eastAsia="Times New Roman" w:hAnsi="Arial" w:cs="Arial"/>
          <w:bCs/>
          <w:sz w:val="22"/>
          <w:lang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0" w:name="_Hlk75635823"/>
      <w:r w:rsidRPr="00446B03">
        <w:rPr>
          <w:rFonts w:ascii="Arial" w:eastAsia="Times New Roman" w:hAnsi="Arial" w:cs="Arial"/>
          <w:bCs/>
          <w:sz w:val="22"/>
          <w:lang w:eastAsia="x-none"/>
        </w:rPr>
        <w:t>»</w:t>
      </w:r>
      <w:bookmarkStart w:id="41" w:name="_Hlk75758868"/>
      <w:bookmarkStart w:id="42" w:name="_Hlk75741220"/>
      <w:bookmarkEnd w:id="40"/>
      <w:r w:rsidRPr="00446B03">
        <w:rPr>
          <w:rStyle w:val="Refdenotaalpie"/>
          <w:rFonts w:ascii="Arial" w:hAnsi="Arial" w:cs="Arial"/>
        </w:rPr>
        <w:footnoteReference w:id="22"/>
      </w:r>
      <w:bookmarkEnd w:id="41"/>
      <w:bookmarkEnd w:id="42"/>
      <w:r w:rsidRPr="00446B03">
        <w:rPr>
          <w:rFonts w:ascii="Arial" w:eastAsia="Times New Roman" w:hAnsi="Arial" w:cs="Arial"/>
          <w:bCs/>
          <w:sz w:val="22"/>
          <w:lang w:eastAsia="x-none"/>
        </w:rPr>
        <w:t>.</w:t>
      </w:r>
      <w:r w:rsidRPr="00446B03">
        <w:rPr>
          <w:rFonts w:ascii="Arial" w:hAnsi="Arial" w:cs="Arial"/>
          <w:sz w:val="22"/>
        </w:rPr>
        <w:t xml:space="preserve"> Sin embargo, debe precisarse el siguiente aspecto que distinguió la Sala de Consulta y Servicio Civil:</w:t>
      </w:r>
    </w:p>
    <w:p w14:paraId="331EABCD" w14:textId="77777777" w:rsidR="00F00E9D" w:rsidRPr="00446B03" w:rsidRDefault="00F00E9D" w:rsidP="00F00E9D">
      <w:pPr>
        <w:spacing w:after="0"/>
        <w:rPr>
          <w:rFonts w:ascii="Arial" w:hAnsi="Arial" w:cs="Arial"/>
          <w:sz w:val="22"/>
        </w:rPr>
      </w:pPr>
    </w:p>
    <w:p w14:paraId="3AB1B07D" w14:textId="77777777" w:rsidR="00F00E9D" w:rsidRPr="00446B03" w:rsidRDefault="00F00E9D" w:rsidP="00F00E9D">
      <w:pPr>
        <w:spacing w:after="0" w:line="240" w:lineRule="auto"/>
        <w:ind w:left="708" w:right="709"/>
        <w:rPr>
          <w:rFonts w:ascii="Arial" w:hAnsi="Arial" w:cs="Arial"/>
          <w:sz w:val="21"/>
          <w:szCs w:val="21"/>
        </w:rPr>
      </w:pPr>
      <w:bookmarkStart w:id="44" w:name="_Hlk75811446"/>
      <w:r w:rsidRPr="00446B03">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44"/>
      <w:r w:rsidRPr="00446B03">
        <w:rPr>
          <w:rStyle w:val="Refdenotaalpie"/>
          <w:rFonts w:ascii="Arial" w:hAnsi="Arial" w:cs="Arial"/>
        </w:rPr>
        <w:footnoteReference w:id="23"/>
      </w:r>
      <w:r w:rsidRPr="00446B03">
        <w:rPr>
          <w:rFonts w:ascii="Arial" w:eastAsia="Times New Roman" w:hAnsi="Arial" w:cs="Arial"/>
          <w:bCs/>
          <w:sz w:val="22"/>
          <w:lang w:eastAsia="x-none"/>
        </w:rPr>
        <w:t>.</w:t>
      </w:r>
    </w:p>
    <w:p w14:paraId="4DCC7D28" w14:textId="77777777" w:rsidR="00F00E9D" w:rsidRPr="00446B03" w:rsidRDefault="00F00E9D" w:rsidP="00F00E9D">
      <w:pPr>
        <w:spacing w:after="0"/>
        <w:rPr>
          <w:rFonts w:ascii="Arial" w:hAnsi="Arial" w:cs="Arial"/>
          <w:sz w:val="22"/>
        </w:rPr>
      </w:pPr>
    </w:p>
    <w:p w14:paraId="38EA47E4" w14:textId="77777777" w:rsidR="00F00E9D" w:rsidRPr="00446B03" w:rsidRDefault="00F00E9D" w:rsidP="00F00E9D">
      <w:pPr>
        <w:spacing w:after="120"/>
        <w:ind w:firstLine="709"/>
        <w:rPr>
          <w:rFonts w:ascii="Arial" w:eastAsia="Times New Roman" w:hAnsi="Arial" w:cs="Arial"/>
          <w:bCs/>
          <w:sz w:val="22"/>
          <w:lang w:eastAsia="x-none"/>
        </w:rPr>
      </w:pPr>
      <w:r w:rsidRPr="00446B03">
        <w:rPr>
          <w:rFonts w:ascii="Arial" w:hAnsi="Arial" w:cs="Arial"/>
          <w:sz w:val="22"/>
        </w:rPr>
        <w:t>Aplicando este razonamiento,</w:t>
      </w:r>
      <w:bookmarkStart w:id="45" w:name="_Hlk75811096"/>
      <w:r w:rsidRPr="00446B03">
        <w:rPr>
          <w:rFonts w:ascii="Arial" w:hAnsi="Arial" w:cs="Arial"/>
          <w:sz w:val="22"/>
        </w:rPr>
        <w:t xml:space="preserve">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45"/>
      <w:r w:rsidRPr="00446B03">
        <w:rPr>
          <w:rFonts w:ascii="Arial" w:hAnsi="Arial" w:cs="Arial"/>
          <w:sz w:val="22"/>
        </w:rPr>
        <w:t>»</w:t>
      </w:r>
      <w:r w:rsidRPr="00446B03">
        <w:rPr>
          <w:rStyle w:val="Refdenotaalpie"/>
          <w:rFonts w:ascii="Arial" w:hAnsi="Arial" w:cs="Arial"/>
        </w:rPr>
        <w:t xml:space="preserve"> </w:t>
      </w:r>
      <w:r w:rsidRPr="00446B03">
        <w:rPr>
          <w:rStyle w:val="Refdenotaalpie"/>
          <w:rFonts w:ascii="Arial" w:hAnsi="Arial" w:cs="Arial"/>
          <w:sz w:val="22"/>
        </w:rPr>
        <w:footnoteReference w:id="24"/>
      </w:r>
      <w:r w:rsidRPr="00446B03">
        <w:rPr>
          <w:rFonts w:ascii="Arial" w:hAnsi="Arial" w:cs="Arial"/>
          <w:sz w:val="22"/>
        </w:rPr>
        <w:t>.</w:t>
      </w:r>
    </w:p>
    <w:p w14:paraId="0EEF397E" w14:textId="16A97B5F" w:rsidR="003B3CE7" w:rsidRPr="003121C9" w:rsidRDefault="00F00E9D" w:rsidP="00F00E9D">
      <w:pPr>
        <w:spacing w:after="0"/>
        <w:ind w:firstLine="708"/>
        <w:rPr>
          <w:rFonts w:ascii="Arial" w:eastAsia="Times New Roman" w:hAnsi="Arial" w:cs="Arial"/>
          <w:bCs/>
          <w:sz w:val="22"/>
          <w:lang w:eastAsia="x-none"/>
        </w:rPr>
      </w:pPr>
      <w:bookmarkStart w:id="46" w:name="_Hlk77237229"/>
      <w:bookmarkEnd w:id="38"/>
      <w:r w:rsidRPr="00446B03">
        <w:rPr>
          <w:rFonts w:ascii="Arial" w:hAnsi="Arial" w:cs="Arial"/>
          <w:sz w:val="22"/>
        </w:rPr>
        <w:lastRenderedPageBreak/>
        <w:t>Por lo tanto, la restricción prevista en la Ley 996 de 200</w:t>
      </w:r>
      <w:bookmarkStart w:id="47" w:name="_Hlk75741539"/>
      <w:r w:rsidRPr="00446B03">
        <w:rPr>
          <w:rFonts w:ascii="Arial" w:hAnsi="Arial" w:cs="Arial"/>
          <w:sz w:val="22"/>
        </w:rPr>
        <w:t xml:space="preserve">5, </w:t>
      </w:r>
      <w:r w:rsidRPr="00446B03">
        <w:rPr>
          <w:rFonts w:ascii="Arial" w:eastAsia="Times New Roman"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bookmarkEnd w:id="46"/>
      <w:bookmarkEnd w:id="47"/>
    </w:p>
    <w:p w14:paraId="1EE1A281" w14:textId="77777777" w:rsidR="000B5DFC" w:rsidRPr="003121C9" w:rsidRDefault="000B5DFC" w:rsidP="001F27C8">
      <w:pPr>
        <w:spacing w:after="0"/>
        <w:rPr>
          <w:rFonts w:ascii="Arial" w:hAnsi="Arial" w:cs="Arial"/>
          <w:sz w:val="22"/>
        </w:rPr>
      </w:pPr>
    </w:p>
    <w:p w14:paraId="16A862C4" w14:textId="177EF2CB" w:rsidR="00BC5B2A" w:rsidRDefault="000B5DFC" w:rsidP="00BC5B2A">
      <w:pPr>
        <w:spacing w:after="0"/>
        <w:rPr>
          <w:rFonts w:ascii="Arial" w:eastAsia="Times New Roman" w:hAnsi="Arial" w:cs="Arial"/>
          <w:b/>
          <w:bCs/>
          <w:sz w:val="22"/>
          <w:lang w:eastAsia="es-CO"/>
        </w:rPr>
      </w:pPr>
      <w:bookmarkStart w:id="48" w:name="_Hlk75784645"/>
      <w:r w:rsidRPr="003121C9">
        <w:rPr>
          <w:rFonts w:ascii="Arial" w:hAnsi="Arial" w:cs="Arial"/>
          <w:b/>
          <w:bCs/>
          <w:sz w:val="22"/>
        </w:rPr>
        <w:t>2.4.</w:t>
      </w:r>
      <w:r w:rsidR="00BC5B2A">
        <w:rPr>
          <w:rFonts w:ascii="Arial" w:hAnsi="Arial" w:cs="Arial"/>
          <w:b/>
          <w:bCs/>
          <w:sz w:val="22"/>
        </w:rPr>
        <w:t xml:space="preserve"> Contratos de Prestación de Servicios y de apoyo a la Gestión</w:t>
      </w:r>
      <w:bookmarkStart w:id="49" w:name="_Hlk77153296"/>
      <w:bookmarkStart w:id="50" w:name="_Hlk75643279"/>
    </w:p>
    <w:bookmarkEnd w:id="49"/>
    <w:bookmarkEnd w:id="50"/>
    <w:p w14:paraId="043FE47F" w14:textId="4A6474EB" w:rsidR="001F27C8" w:rsidRPr="003121C9" w:rsidRDefault="001F27C8" w:rsidP="00AA226E">
      <w:pPr>
        <w:spacing w:after="0"/>
      </w:pPr>
    </w:p>
    <w:p w14:paraId="4C853E6A" w14:textId="1AFC5341" w:rsidR="00BA39A8" w:rsidRPr="003121C9" w:rsidRDefault="001F27C8" w:rsidP="00AA226E">
      <w:pPr>
        <w:pStyle w:val="Textoindependiente"/>
        <w:spacing w:after="120"/>
      </w:pPr>
      <w:r w:rsidRPr="003121C9">
        <w:t xml:space="preserve">El artículo 2 de la Ley 1150 de 2007 establece </w:t>
      </w:r>
      <w:r w:rsidR="00850AEB">
        <w:t xml:space="preserve">unos supuestos de hecho, </w:t>
      </w:r>
      <w:r w:rsidR="00406B93">
        <w:t>cu</w:t>
      </w:r>
      <w:r w:rsidR="00850AEB">
        <w:t>ya aplicación es de carácter restrictivo, los cuales habilitan a las entidades públicas para recurrir a la modalidad de selección de contratación directa</w:t>
      </w:r>
      <w:r w:rsidR="00850AEB" w:rsidRPr="003121C9">
        <w:rPr>
          <w:rStyle w:val="Refdenotaalpie"/>
        </w:rPr>
        <w:footnoteReference w:id="25"/>
      </w:r>
      <w:r w:rsidR="00850AEB">
        <w:t>, las cuales son</w:t>
      </w:r>
      <w:r w:rsidRPr="003121C9">
        <w:t xml:space="preserve">: </w:t>
      </w:r>
      <w:r w:rsidRPr="003121C9">
        <w:rPr>
          <w:i/>
          <w:iCs/>
        </w:rPr>
        <w:t>i)</w:t>
      </w:r>
      <w:r w:rsidRPr="003121C9">
        <w:t xml:space="preserve"> la urgencia manifiesta; </w:t>
      </w:r>
      <w:r w:rsidRPr="003121C9">
        <w:rPr>
          <w:i/>
          <w:iCs/>
        </w:rPr>
        <w:t>ii)</w:t>
      </w:r>
      <w:r w:rsidRPr="003121C9">
        <w:t xml:space="preserve"> </w:t>
      </w:r>
      <w:r w:rsidR="009E2A24" w:rsidRPr="003121C9">
        <w:t>la contratación de empréstitos</w:t>
      </w:r>
      <w:r w:rsidRPr="003121C9">
        <w:t xml:space="preserve">; </w:t>
      </w:r>
      <w:r w:rsidRPr="003121C9">
        <w:rPr>
          <w:i/>
          <w:iCs/>
        </w:rPr>
        <w:t>iii)</w:t>
      </w:r>
      <w:r w:rsidR="009E2A24" w:rsidRPr="003121C9">
        <w:rPr>
          <w:i/>
          <w:iCs/>
        </w:rPr>
        <w:t xml:space="preserve"> </w:t>
      </w:r>
      <w:r w:rsidR="009E2A24" w:rsidRPr="003121C9">
        <w:t>la celebración de contratos interadministrativos</w:t>
      </w:r>
      <w:r w:rsidR="009E2A24" w:rsidRPr="003121C9">
        <w:rPr>
          <w:i/>
          <w:iCs/>
        </w:rPr>
        <w:t xml:space="preserve">, iv) </w:t>
      </w:r>
      <w:r w:rsidR="009E2A24" w:rsidRPr="003121C9">
        <w:t>la contratación de bienes y servicios para el sector defensa</w:t>
      </w:r>
      <w:r w:rsidR="009E2A24" w:rsidRPr="003121C9">
        <w:rPr>
          <w:i/>
          <w:iCs/>
        </w:rPr>
        <w:t>, v)</w:t>
      </w:r>
      <w:r w:rsidRPr="003121C9">
        <w:t xml:space="preserve"> </w:t>
      </w:r>
      <w:r w:rsidR="009E2A24" w:rsidRPr="003121C9">
        <w:t xml:space="preserve">los contratos para el desarrollo de </w:t>
      </w:r>
      <w:r w:rsidR="00BA39A8" w:rsidRPr="003121C9">
        <w:t xml:space="preserve">actividades científicas y tecnológicas, </w:t>
      </w:r>
      <w:r w:rsidR="00BA39A8" w:rsidRPr="003121C9">
        <w:rPr>
          <w:i/>
          <w:iCs/>
        </w:rPr>
        <w:t>vi)</w:t>
      </w:r>
      <w:r w:rsidR="00BA39A8" w:rsidRPr="003121C9">
        <w:t xml:space="preserve"> la celebración de contratos de encargo fiduciario, </w:t>
      </w:r>
      <w:r w:rsidR="00BA39A8" w:rsidRPr="003121C9">
        <w:rPr>
          <w:i/>
          <w:iCs/>
        </w:rPr>
        <w:t>vii)</w:t>
      </w:r>
      <w:r w:rsidR="00BA39A8" w:rsidRPr="003121C9">
        <w:t xml:space="preserve"> la selección de contratistas cuando no exista pluralidad de oferentes, </w:t>
      </w:r>
      <w:r w:rsidR="00BA39A8" w:rsidRPr="003121C9">
        <w:rPr>
          <w:i/>
          <w:iCs/>
        </w:rPr>
        <w:t>viii)</w:t>
      </w:r>
      <w:r w:rsidR="00BA39A8" w:rsidRPr="003121C9">
        <w:t xml:space="preserve"> la contratación para la prestación de servicios profesionales y de apoyo a la gestión, o la confección de trabajos artísticos que solo pueden ser encomendados a determinadas personas naturales, </w:t>
      </w:r>
      <w:r w:rsidR="00BA39A8" w:rsidRPr="003121C9">
        <w:rPr>
          <w:i/>
          <w:iCs/>
        </w:rPr>
        <w:t>ix),</w:t>
      </w:r>
      <w:r w:rsidR="00BA39A8" w:rsidRPr="003121C9">
        <w:t xml:space="preserve"> el arrendamiento o adquisición de inmuebles, </w:t>
      </w:r>
      <w:r w:rsidR="00BA39A8" w:rsidRPr="003121C9">
        <w:rPr>
          <w:i/>
          <w:iCs/>
        </w:rPr>
        <w:t>x)</w:t>
      </w:r>
      <w:r w:rsidR="00BA39A8" w:rsidRPr="003121C9">
        <w:t xml:space="preserve"> la contratación de bienes y servicios de la Dirección de Nacional de Inteligencia que requieran reserva para su adquisición y, </w:t>
      </w:r>
      <w:r w:rsidR="00BA39A8" w:rsidRPr="003121C9">
        <w:rPr>
          <w:i/>
          <w:iCs/>
        </w:rPr>
        <w:t>xi)</w:t>
      </w:r>
      <w:r w:rsidR="00BA39A8" w:rsidRPr="003121C9">
        <w:t xml:space="preserve"> la selección de peritos expertos o asesores que se requieran para controvertir el dictamen pericial en procesos judiciales. </w:t>
      </w:r>
    </w:p>
    <w:p w14:paraId="41AAAD23" w14:textId="631262EE" w:rsidR="00850AEB" w:rsidRDefault="00BA39A8" w:rsidP="00246503">
      <w:pPr>
        <w:pStyle w:val="Textoindependiente"/>
        <w:spacing w:after="120"/>
        <w:ind w:firstLine="709"/>
      </w:pPr>
      <w:r w:rsidRPr="003121C9">
        <w:t xml:space="preserve">Como se </w:t>
      </w:r>
      <w:r w:rsidR="00E77242">
        <w:t>observa</w:t>
      </w:r>
      <w:r w:rsidRPr="003121C9">
        <w:t xml:space="preserve">, las causales de contratación directa, </w:t>
      </w:r>
      <w:r w:rsidR="00850AEB">
        <w:t xml:space="preserve">contempla </w:t>
      </w:r>
      <w:r w:rsidRPr="003121C9">
        <w:t>una variada gama de situaciones que conllevan aplicar la autorización del legislador para prescindir de procesos de selección en los que se exija pluralidad de oferentes. Entre dichas causales, se encuentra la celebración de contratos de prestación de servicios profesionales y de apoyo a la gestión o para la confección de obras artísticas.</w:t>
      </w:r>
      <w:r w:rsidR="00246503">
        <w:t xml:space="preserve"> </w:t>
      </w:r>
      <w:r w:rsidRPr="003121C9">
        <w:t>Bajo ese orden de ideas</w:t>
      </w:r>
      <w:r w:rsidR="001F27C8" w:rsidRPr="003121C9">
        <w:t>,</w:t>
      </w:r>
      <w:r w:rsidRPr="003121C9">
        <w:t xml:space="preserve"> </w:t>
      </w:r>
      <w:r w:rsidR="00850AEB">
        <w:t xml:space="preserve">se </w:t>
      </w:r>
      <w:r w:rsidR="00850AEB">
        <w:lastRenderedPageBreak/>
        <w:t>concluye que</w:t>
      </w:r>
      <w:r w:rsidR="00406B93">
        <w:t xml:space="preserve"> durante </w:t>
      </w:r>
      <w:r w:rsidR="00850AEB">
        <w:rPr>
          <w:rFonts w:eastAsia="Times New Roman"/>
          <w:bCs/>
          <w:lang w:eastAsia="x-none"/>
        </w:rPr>
        <w:t xml:space="preserve">que durante los 4 meses anteriores a la elección presidencial y hasta la realización de la elección en la segunda vuelta, </w:t>
      </w:r>
      <w:r w:rsidR="00406B93">
        <w:rPr>
          <w:rFonts w:eastAsia="Times New Roman"/>
          <w:bCs/>
          <w:lang w:eastAsia="x-none"/>
        </w:rPr>
        <w:t>las entidades públicas no podrán acudir a la modalidad de selección de contratación directa para convenir la prestación de servicios profesionales y de apoyo a la gestión de que trata el literal h) del numeral 4 del artículo 2 de la Ley 1150 de 2007.</w:t>
      </w:r>
    </w:p>
    <w:p w14:paraId="494F3391" w14:textId="77A4CBB0" w:rsidR="00D029D8" w:rsidRDefault="003B3CE7" w:rsidP="00AA226E">
      <w:pPr>
        <w:pStyle w:val="Textoindependiente"/>
        <w:spacing w:after="0"/>
        <w:ind w:firstLine="708"/>
      </w:pPr>
      <w:r w:rsidRPr="003121C9">
        <w:t>Por último,</w:t>
      </w:r>
      <w:r w:rsidR="00E77242">
        <w:t xml:space="preserve"> es necesario tener en cuenta</w:t>
      </w:r>
      <w:r w:rsidRPr="003121C9">
        <w:t xml:space="preserve"> que para el año 2022 se prevé la realización de dos contiendas electorales</w:t>
      </w:r>
      <w:r w:rsidR="00E77242">
        <w:t>. P</w:t>
      </w:r>
      <w:r w:rsidRPr="003121C9">
        <w:t>or un lado, las que pretenden la elección de miembros del Congreso de la República, programada para el 13 de marzo de 2022</w:t>
      </w:r>
      <w:r w:rsidRPr="003121C9">
        <w:rPr>
          <w:rStyle w:val="Refdenotaalpie"/>
        </w:rPr>
        <w:footnoteReference w:id="26"/>
      </w:r>
      <w:r w:rsidRPr="003121C9">
        <w:t xml:space="preserve">, y por otro, las que tienen como objeto la elección del </w:t>
      </w:r>
      <w:proofErr w:type="gramStart"/>
      <w:r w:rsidRPr="003121C9">
        <w:t>Presidente</w:t>
      </w:r>
      <w:proofErr w:type="gramEnd"/>
      <w:r w:rsidRPr="003121C9">
        <w:t xml:space="preserve"> de la República</w:t>
      </w:r>
      <w:r w:rsidR="00EE6006" w:rsidRPr="003121C9">
        <w:t>, de manera tal que los periodos preelectorales, de cuatro meses antes de la respectiva elección, coincidirían parcialmente. Lo anterior implica</w:t>
      </w:r>
      <w:r w:rsidR="00E0159C">
        <w:t xml:space="preserve"> </w:t>
      </w:r>
      <w:r w:rsidR="00EE6006" w:rsidRPr="003121C9">
        <w:t xml:space="preserve">que </w:t>
      </w:r>
      <w:r w:rsidRPr="003121C9">
        <w:t xml:space="preserve">dependiendo de la elección que se trate, se aplicarán las restricciones </w:t>
      </w:r>
      <w:r w:rsidR="00BE2F5F">
        <w:t xml:space="preserve">establecidas </w:t>
      </w:r>
      <w:r w:rsidRPr="003121C9">
        <w:t>por los artículo</w:t>
      </w:r>
      <w:r w:rsidR="00E77242">
        <w:t>s</w:t>
      </w:r>
      <w:r w:rsidRPr="003121C9">
        <w:t xml:space="preserve"> 33 y 38 de la Ley de Garantías Electorales, de acuerdo </w:t>
      </w:r>
      <w:r w:rsidR="00E77242">
        <w:t>con</w:t>
      </w:r>
      <w:r w:rsidRPr="003121C9">
        <w:t xml:space="preserve"> las consideraciones </w:t>
      </w:r>
      <w:r w:rsidR="00BE2F5F">
        <w:t>presentadas</w:t>
      </w:r>
      <w:r w:rsidRPr="003121C9">
        <w:t xml:space="preserve"> dentro del presente concept</w:t>
      </w:r>
      <w:r w:rsidR="00EE6006" w:rsidRPr="003121C9">
        <w:t xml:space="preserve">o, y teniendo en cuenta los periodos prelectorales y las fechas para las cuales está programada la respectiva elección. </w:t>
      </w:r>
      <w:bookmarkEnd w:id="48"/>
    </w:p>
    <w:p w14:paraId="102C45A0" w14:textId="77777777" w:rsidR="0075359B" w:rsidRPr="003121C9" w:rsidRDefault="0075359B" w:rsidP="00AA226E">
      <w:pPr>
        <w:pStyle w:val="Textoindependiente"/>
        <w:spacing w:after="0"/>
        <w:ind w:firstLine="709"/>
      </w:pPr>
    </w:p>
    <w:p w14:paraId="258A59B1" w14:textId="30EDB90B" w:rsidR="004421F5" w:rsidRPr="003121C9" w:rsidRDefault="004421F5" w:rsidP="001F27C8">
      <w:pPr>
        <w:tabs>
          <w:tab w:val="left" w:pos="284"/>
          <w:tab w:val="left" w:pos="7938"/>
        </w:tabs>
        <w:spacing w:after="0"/>
        <w:rPr>
          <w:rFonts w:ascii="Arial" w:eastAsia="Calibri" w:hAnsi="Arial" w:cs="Arial"/>
          <w:b/>
          <w:sz w:val="22"/>
          <w:lang w:val="es-CO"/>
        </w:rPr>
      </w:pPr>
      <w:bookmarkStart w:id="51" w:name="_Hlk57650395"/>
      <w:bookmarkEnd w:id="12"/>
      <w:r w:rsidRPr="003121C9">
        <w:rPr>
          <w:rFonts w:ascii="Arial" w:eastAsia="Calibri" w:hAnsi="Arial" w:cs="Arial"/>
          <w:b/>
          <w:sz w:val="22"/>
          <w:lang w:val="es-CO"/>
        </w:rPr>
        <w:t>3. Respuestas</w:t>
      </w:r>
    </w:p>
    <w:p w14:paraId="2AE0A9F9" w14:textId="77777777" w:rsidR="007C3749" w:rsidRPr="003121C9" w:rsidRDefault="007C3749" w:rsidP="00FE4F4B">
      <w:pPr>
        <w:tabs>
          <w:tab w:val="left" w:pos="284"/>
          <w:tab w:val="left" w:pos="7938"/>
        </w:tabs>
        <w:spacing w:after="0"/>
        <w:rPr>
          <w:rFonts w:ascii="Arial" w:eastAsia="Calibri" w:hAnsi="Arial" w:cs="Arial"/>
          <w:sz w:val="22"/>
          <w:lang w:val="es-CO"/>
        </w:rPr>
      </w:pPr>
    </w:p>
    <w:p w14:paraId="479F961F" w14:textId="3BEB231C" w:rsidR="004421F5" w:rsidRPr="003121C9" w:rsidRDefault="00E77242" w:rsidP="00342484">
      <w:pPr>
        <w:spacing w:after="0" w:line="240" w:lineRule="auto"/>
        <w:ind w:left="708" w:right="709"/>
        <w:rPr>
          <w:rFonts w:ascii="Arial" w:eastAsia="Times New Roman" w:hAnsi="Arial" w:cs="Arial"/>
          <w:sz w:val="22"/>
          <w:lang w:val="es-CO" w:eastAsia="es-ES_tradnl"/>
        </w:rPr>
      </w:pPr>
      <w:r>
        <w:rPr>
          <w:rFonts w:ascii="Arial" w:hAnsi="Arial" w:cs="Arial"/>
          <w:sz w:val="22"/>
        </w:rPr>
        <w:t>S</w:t>
      </w:r>
      <w:r w:rsidRPr="003121C9">
        <w:rPr>
          <w:rFonts w:ascii="Arial" w:hAnsi="Arial" w:cs="Arial"/>
          <w:sz w:val="22"/>
        </w:rPr>
        <w:t xml:space="preserve">olicita </w:t>
      </w:r>
      <w:r>
        <w:rPr>
          <w:rFonts w:ascii="Arial" w:hAnsi="Arial" w:cs="Arial"/>
          <w:sz w:val="22"/>
          <w:shd w:val="clear" w:color="auto" w:fill="FFFFFF"/>
        </w:rPr>
        <w:t xml:space="preserve">aclarar </w:t>
      </w:r>
      <w:r w:rsidR="00D029D8" w:rsidRPr="003121C9">
        <w:rPr>
          <w:rFonts w:ascii="Arial" w:hAnsi="Arial" w:cs="Arial"/>
          <w:sz w:val="22"/>
          <w:shd w:val="clear" w:color="auto" w:fill="FFFFFF"/>
        </w:rPr>
        <w:t>«[…]</w:t>
      </w:r>
      <w:r w:rsidR="00D029D8" w:rsidRPr="003121C9">
        <w:rPr>
          <w:rFonts w:ascii="Arial" w:hAnsi="Arial" w:cs="Arial"/>
          <w:sz w:val="22"/>
          <w:lang w:eastAsia="es-ES_tradnl"/>
        </w:rPr>
        <w:t xml:space="preserve"> si durante la Ley de Garantías comprendida entre el 29 de enero al 29 de mayo de 2022, los Municipios podrán celebrar la contratación directa, de que trata el literal</w:t>
      </w:r>
      <w:r w:rsidR="00D029D8" w:rsidRPr="00DF1D02">
        <w:rPr>
          <w:rFonts w:ascii="Arial" w:hAnsi="Arial" w:cs="Arial"/>
          <w:sz w:val="22"/>
          <w:lang w:eastAsia="es-ES_tradnl"/>
        </w:rPr>
        <w:t xml:space="preserve"> h</w:t>
      </w:r>
      <w:r w:rsidR="00D029D8" w:rsidRPr="003121C9">
        <w:rPr>
          <w:rFonts w:ascii="Arial" w:hAnsi="Arial" w:cs="Arial"/>
          <w:b/>
          <w:bCs/>
          <w:sz w:val="22"/>
          <w:lang w:eastAsia="es-ES_tradnl"/>
        </w:rPr>
        <w:t xml:space="preserve"> </w:t>
      </w:r>
      <w:r w:rsidR="00D029D8" w:rsidRPr="003121C9">
        <w:rPr>
          <w:rFonts w:ascii="Arial" w:hAnsi="Arial" w:cs="Arial"/>
          <w:sz w:val="22"/>
          <w:lang w:eastAsia="es-ES_tradnl"/>
        </w:rPr>
        <w:t>del artículo 4 de la Ley 1150 de 2007, es decir, la referente a la prestación de servicios profesionales y de apoyo a la gestión».</w:t>
      </w:r>
    </w:p>
    <w:p w14:paraId="098C8CC1" w14:textId="77777777" w:rsidR="007C3749" w:rsidRPr="003121C9" w:rsidRDefault="007C3749" w:rsidP="00AA226E">
      <w:pPr>
        <w:spacing w:after="120"/>
        <w:ind w:left="709" w:right="709"/>
        <w:rPr>
          <w:rFonts w:ascii="Arial" w:eastAsia="Times New Roman" w:hAnsi="Arial" w:cs="Arial"/>
          <w:sz w:val="22"/>
          <w:lang w:val="es-CO" w:eastAsia="es-ES_tradnl"/>
        </w:rPr>
      </w:pPr>
    </w:p>
    <w:p w14:paraId="6273194D" w14:textId="0D21EE50" w:rsidR="00BE2F5F" w:rsidRPr="00BE2F5F" w:rsidRDefault="00BE2F5F" w:rsidP="00BE2F5F">
      <w:pPr>
        <w:spacing w:after="120"/>
        <w:rPr>
          <w:rFonts w:ascii="Arial" w:eastAsia="Arial" w:hAnsi="Arial" w:cs="Arial"/>
          <w:sz w:val="22"/>
          <w:lang w:val="es-ES" w:eastAsia="es-ES" w:bidi="es-ES"/>
        </w:rPr>
      </w:pPr>
      <w:r w:rsidRPr="00BE2F5F">
        <w:rPr>
          <w:rFonts w:ascii="Arial" w:eastAsia="Arial" w:hAnsi="Arial" w:cs="Arial"/>
          <w:sz w:val="22"/>
          <w:lang w:val="es-CO" w:eastAsia="es-ES" w:bidi="es-ES"/>
        </w:rPr>
        <w:t>L</w:t>
      </w:r>
      <w:r w:rsidRPr="00BE2F5F">
        <w:rPr>
          <w:rFonts w:ascii="Arial" w:eastAsia="Arial" w:hAnsi="Arial" w:cs="Arial"/>
          <w:sz w:val="22"/>
          <w:lang w:val="es-ES" w:eastAsia="es-ES" w:bidi="es-ES"/>
        </w:rPr>
        <w:t xml:space="preserve">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w:t>
      </w:r>
      <w:r w:rsidR="00E0159C">
        <w:rPr>
          <w:rFonts w:ascii="Arial" w:eastAsia="Arial" w:hAnsi="Arial" w:cs="Arial"/>
          <w:sz w:val="22"/>
          <w:lang w:val="es-ES" w:eastAsia="es-ES" w:bidi="es-ES"/>
        </w:rPr>
        <w:t>excepciones establecidas en la misma norma</w:t>
      </w:r>
      <w:r w:rsidR="00896BB1">
        <w:rPr>
          <w:rFonts w:ascii="Arial" w:eastAsia="Arial" w:hAnsi="Arial" w:cs="Arial"/>
          <w:sz w:val="22"/>
          <w:lang w:val="es-ES" w:eastAsia="es-ES" w:bidi="es-ES"/>
        </w:rPr>
        <w:t>.</w:t>
      </w:r>
      <w:r w:rsidRPr="00BE2F5F">
        <w:rPr>
          <w:rFonts w:ascii="Arial" w:eastAsia="Arial" w:hAnsi="Arial" w:cs="Arial"/>
          <w:sz w:val="22"/>
          <w:lang w:val="es-ES" w:eastAsia="es-ES" w:bidi="es-ES"/>
        </w:rPr>
        <w:t xml:space="preserve">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19DD370" w14:textId="46AECAA7" w:rsidR="00BE2F5F" w:rsidRPr="00BE2F5F" w:rsidRDefault="00BE2F5F" w:rsidP="00AA226E">
      <w:pPr>
        <w:spacing w:after="120"/>
        <w:ind w:firstLine="708"/>
        <w:rPr>
          <w:rFonts w:ascii="Arial" w:eastAsia="Arial" w:hAnsi="Arial" w:cs="Arial"/>
          <w:sz w:val="22"/>
          <w:lang w:val="es-ES" w:eastAsia="es-ES" w:bidi="es-ES"/>
        </w:rPr>
      </w:pPr>
      <w:r w:rsidRPr="00BE2F5F">
        <w:rPr>
          <w:rFonts w:ascii="Arial" w:eastAsia="Arial" w:hAnsi="Arial" w:cs="Arial"/>
          <w:sz w:val="22"/>
          <w:lang w:val="es-ES" w:eastAsia="es-ES" w:bidi="es-ES"/>
        </w:rPr>
        <w:lastRenderedPageBreak/>
        <w:t>En ese sentido, toda vez que para el año 2022 está prevista la realización de dos contiendas electorales, por un lado</w:t>
      </w:r>
      <w:r w:rsidR="00DF1D02">
        <w:rPr>
          <w:rFonts w:ascii="Arial" w:eastAsia="Arial" w:hAnsi="Arial" w:cs="Arial"/>
          <w:sz w:val="22"/>
          <w:lang w:val="es-ES" w:eastAsia="es-ES" w:bidi="es-ES"/>
        </w:rPr>
        <w:t>,</w:t>
      </w:r>
      <w:r w:rsidRPr="00BE2F5F">
        <w:rPr>
          <w:rFonts w:ascii="Arial" w:eastAsia="Arial" w:hAnsi="Arial" w:cs="Arial"/>
          <w:sz w:val="22"/>
          <w:lang w:val="es-ES" w:eastAsia="es-ES" w:bidi="es-ES"/>
        </w:rPr>
        <w:t xml:space="preserve"> la que pretende la elección de miembros del Congreso de la República y, por otro, la elección del Presidente de la República, dentro del periodo preelectoral de esta última deberá</w:t>
      </w:r>
      <w:r w:rsidR="00E77242">
        <w:rPr>
          <w:rFonts w:ascii="Arial" w:eastAsia="Arial" w:hAnsi="Arial" w:cs="Arial"/>
          <w:sz w:val="22"/>
          <w:lang w:val="es-ES" w:eastAsia="es-ES" w:bidi="es-ES"/>
        </w:rPr>
        <w:t>n aplicarse</w:t>
      </w:r>
      <w:r w:rsidRPr="00BE2F5F">
        <w:rPr>
          <w:rFonts w:ascii="Arial" w:eastAsia="Arial" w:hAnsi="Arial" w:cs="Arial"/>
          <w:sz w:val="22"/>
          <w:lang w:val="es-ES" w:eastAsia="es-ES" w:bidi="es-ES"/>
        </w:rPr>
        <w:t xml:space="preserve"> las restricciones </w:t>
      </w:r>
      <w:r w:rsidR="004A00C6">
        <w:rPr>
          <w:rFonts w:ascii="Arial" w:eastAsia="Arial" w:hAnsi="Arial" w:cs="Arial"/>
          <w:sz w:val="22"/>
          <w:lang w:val="es-ES" w:eastAsia="es-ES" w:bidi="es-ES"/>
        </w:rPr>
        <w:t>previstas para</w:t>
      </w:r>
      <w:r w:rsidRPr="00BE2F5F">
        <w:rPr>
          <w:rFonts w:ascii="Arial" w:eastAsia="Arial" w:hAnsi="Arial" w:cs="Arial"/>
          <w:sz w:val="22"/>
          <w:lang w:val="es-ES" w:eastAsia="es-ES" w:bidi="es-ES"/>
        </w:rPr>
        <w:t xml:space="preserve"> la contratación directa dentro del artículo 33 de la Ley de Garantías Electorales</w:t>
      </w:r>
      <w:r w:rsidR="00DF1D02">
        <w:rPr>
          <w:rFonts w:ascii="Arial" w:eastAsia="Arial" w:hAnsi="Arial" w:cs="Arial"/>
          <w:sz w:val="22"/>
          <w:lang w:val="es-ES" w:eastAsia="es-ES" w:bidi="es-ES"/>
        </w:rPr>
        <w:t>, entre ellas</w:t>
      </w:r>
      <w:r w:rsidRPr="00BE2F5F">
        <w:rPr>
          <w:rFonts w:ascii="Arial" w:eastAsia="Arial" w:hAnsi="Arial" w:cs="Arial"/>
          <w:sz w:val="22"/>
          <w:lang w:val="es-ES" w:eastAsia="es-ES" w:bidi="es-ES"/>
        </w:rPr>
        <w:t xml:space="preserve">, la concerniente a la contratación directa para la prestación de servicios profesionales y de apoyo a la gestión o de trabajos artísticos, </w:t>
      </w:r>
      <w:r w:rsidR="00DF1D02">
        <w:rPr>
          <w:rFonts w:ascii="Arial" w:eastAsia="Arial" w:hAnsi="Arial" w:cs="Arial"/>
          <w:sz w:val="22"/>
          <w:lang w:val="es-ES" w:eastAsia="es-ES" w:bidi="es-ES"/>
        </w:rPr>
        <w:t xml:space="preserve">salvo las excepciones previstas en </w:t>
      </w:r>
      <w:r w:rsidR="004A00C6">
        <w:rPr>
          <w:rFonts w:ascii="Arial" w:eastAsia="Arial" w:hAnsi="Arial" w:cs="Arial"/>
          <w:sz w:val="22"/>
          <w:lang w:val="es-ES" w:eastAsia="es-ES" w:bidi="es-ES"/>
        </w:rPr>
        <w:t>la</w:t>
      </w:r>
      <w:r w:rsidR="00DF1D02">
        <w:rPr>
          <w:rFonts w:ascii="Arial" w:eastAsia="Arial" w:hAnsi="Arial" w:cs="Arial"/>
          <w:sz w:val="22"/>
          <w:lang w:val="es-ES" w:eastAsia="es-ES" w:bidi="es-ES"/>
        </w:rPr>
        <w:t xml:space="preserve"> ley, </w:t>
      </w:r>
      <w:r w:rsidR="00E0159C">
        <w:rPr>
          <w:rFonts w:ascii="Arial" w:eastAsia="Arial" w:hAnsi="Arial" w:cs="Arial"/>
          <w:sz w:val="22"/>
          <w:lang w:val="es-ES" w:eastAsia="es-ES" w:bidi="es-ES"/>
        </w:rPr>
        <w:t>de acuerdo a lo expuesto dentro de este concepto</w:t>
      </w:r>
      <w:r w:rsidRPr="00BE2F5F">
        <w:rPr>
          <w:rFonts w:ascii="Arial" w:eastAsia="Arial" w:hAnsi="Arial" w:cs="Arial"/>
          <w:sz w:val="22"/>
          <w:lang w:val="es-ES" w:eastAsia="es-ES" w:bidi="es-ES"/>
        </w:rPr>
        <w:t xml:space="preserve">. </w:t>
      </w:r>
    </w:p>
    <w:p w14:paraId="55BCE752" w14:textId="77777777" w:rsidR="003121C9" w:rsidRPr="00BE2F5F" w:rsidRDefault="003121C9" w:rsidP="00001D47">
      <w:pPr>
        <w:spacing w:after="0"/>
        <w:rPr>
          <w:rFonts w:ascii="Arial" w:eastAsia="Calibri" w:hAnsi="Arial" w:cs="Arial"/>
          <w:sz w:val="22"/>
          <w:lang w:val="es-ES"/>
        </w:rPr>
      </w:pPr>
    </w:p>
    <w:p w14:paraId="2222029F" w14:textId="4EDED5CD" w:rsidR="00D45D43" w:rsidRPr="003121C9" w:rsidRDefault="00D45D43" w:rsidP="00001D47">
      <w:pPr>
        <w:spacing w:after="0"/>
        <w:rPr>
          <w:rFonts w:ascii="Arial" w:eastAsia="Calibri" w:hAnsi="Arial" w:cs="Arial"/>
          <w:sz w:val="22"/>
          <w:lang w:val="es-CO"/>
        </w:rPr>
      </w:pPr>
      <w:r w:rsidRPr="003121C9">
        <w:rPr>
          <w:rFonts w:ascii="Arial" w:eastAsia="Calibri" w:hAnsi="Arial" w:cs="Arial"/>
          <w:sz w:val="22"/>
          <w:lang w:val="es-CO"/>
        </w:rPr>
        <w:t>Este concepto tiene el alcance previsto en el artículo 28 del Código de Procedimiento Administrativo y de lo Contencioso Administrativo.</w:t>
      </w:r>
    </w:p>
    <w:p w14:paraId="0DCB5B04" w14:textId="77777777" w:rsidR="00D45D43" w:rsidRPr="003121C9" w:rsidRDefault="00D45D43" w:rsidP="00001D47">
      <w:pPr>
        <w:spacing w:after="0"/>
        <w:jc w:val="left"/>
        <w:rPr>
          <w:rFonts w:ascii="Arial" w:eastAsia="Times New Roman" w:hAnsi="Arial" w:cs="Arial"/>
          <w:sz w:val="22"/>
          <w:lang w:val="es-CO" w:eastAsia="es-CO"/>
        </w:rPr>
      </w:pPr>
    </w:p>
    <w:p w14:paraId="4D6F6658" w14:textId="77777777" w:rsidR="00D45D43" w:rsidRPr="003121C9" w:rsidRDefault="00D45D43" w:rsidP="00001D47">
      <w:pPr>
        <w:spacing w:after="0"/>
        <w:jc w:val="left"/>
        <w:rPr>
          <w:rFonts w:ascii="Arial" w:eastAsia="Times New Roman" w:hAnsi="Arial" w:cs="Arial"/>
          <w:sz w:val="22"/>
          <w:lang w:val="es-CO" w:eastAsia="es-CO"/>
        </w:rPr>
      </w:pPr>
      <w:r w:rsidRPr="003121C9">
        <w:rPr>
          <w:rFonts w:ascii="Arial" w:eastAsia="Times New Roman" w:hAnsi="Arial" w:cs="Arial"/>
          <w:sz w:val="22"/>
          <w:lang w:val="es-CO" w:eastAsia="es-CO"/>
        </w:rPr>
        <w:t>Atentamente,</w:t>
      </w:r>
    </w:p>
    <w:p w14:paraId="45B61928" w14:textId="17C91186" w:rsidR="00D45D43" w:rsidRPr="003121C9" w:rsidRDefault="00BE20CF" w:rsidP="00A72E10">
      <w:pPr>
        <w:spacing w:after="0"/>
        <w:jc w:val="center"/>
        <w:rPr>
          <w:rFonts w:ascii="Arial" w:eastAsia="Times New Roman" w:hAnsi="Arial" w:cs="Arial"/>
          <w:sz w:val="22"/>
          <w:lang w:val="es-CO" w:eastAsia="es-CO"/>
        </w:rPr>
      </w:pPr>
      <w:r>
        <w:rPr>
          <w:rFonts w:ascii="Arial" w:eastAsia="Times New Roman" w:hAnsi="Arial" w:cs="Arial"/>
          <w:noProof/>
          <w:sz w:val="22"/>
          <w:lang w:val="es-CO" w:eastAsia="es-CO"/>
        </w:rPr>
        <w:drawing>
          <wp:inline distT="0" distB="0" distL="0" distR="0" wp14:anchorId="7DBAD5CB" wp14:editId="6E2B8CE5">
            <wp:extent cx="2533650" cy="98107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pic:spPr>
                </pic:pic>
              </a:graphicData>
            </a:graphic>
          </wp:inline>
        </w:drawing>
      </w:r>
    </w:p>
    <w:p w14:paraId="10C58370" w14:textId="4FE3AC91" w:rsidR="00D45D43" w:rsidRPr="003121C9" w:rsidRDefault="00D45D43">
      <w:pPr>
        <w:spacing w:after="0"/>
        <w:jc w:val="center"/>
        <w:rPr>
          <w:rFonts w:ascii="Arial" w:eastAsia="Times New Roman" w:hAnsi="Arial" w:cs="Arial"/>
          <w:sz w:val="18"/>
          <w:szCs w:val="20"/>
          <w:lang w:val="es-CO" w:eastAsia="es-CO"/>
        </w:rPr>
      </w:pPr>
    </w:p>
    <w:tbl>
      <w:tblPr>
        <w:tblStyle w:val="Tablaconcuadrcula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45D43" w:rsidRPr="003121C9" w14:paraId="1F740260" w14:textId="77777777" w:rsidTr="00296985">
        <w:trPr>
          <w:trHeight w:val="315"/>
        </w:trPr>
        <w:tc>
          <w:tcPr>
            <w:tcW w:w="488" w:type="dxa"/>
            <w:vAlign w:val="center"/>
            <w:hideMark/>
          </w:tcPr>
          <w:p w14:paraId="04500E5F" w14:textId="77777777" w:rsidR="00D45D43" w:rsidRPr="003121C9" w:rsidRDefault="00D45D43" w:rsidP="00001D47">
            <w:pPr>
              <w:spacing w:after="0"/>
              <w:rPr>
                <w:rFonts w:ascii="Arial" w:hAnsi="Arial" w:cs="Arial"/>
                <w:sz w:val="16"/>
                <w:szCs w:val="16"/>
                <w:lang w:val="es-CO" w:eastAsia="es-ES"/>
              </w:rPr>
            </w:pPr>
            <w:r w:rsidRPr="003121C9">
              <w:rPr>
                <w:rFonts w:ascii="Arial"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0E440C36" w14:textId="77777777" w:rsidR="00D45D43" w:rsidRPr="003121C9" w:rsidRDefault="00D45D43" w:rsidP="00001D47">
            <w:pPr>
              <w:spacing w:after="0"/>
              <w:rPr>
                <w:rFonts w:ascii="Arial" w:hAnsi="Arial" w:cs="Arial"/>
                <w:sz w:val="16"/>
                <w:szCs w:val="16"/>
                <w:lang w:val="es-CO" w:eastAsia="es-ES"/>
              </w:rPr>
            </w:pPr>
          </w:p>
          <w:p w14:paraId="639521D9" w14:textId="77777777" w:rsidR="00D45D43" w:rsidRPr="003121C9" w:rsidRDefault="00D45D43" w:rsidP="00001D47">
            <w:pPr>
              <w:spacing w:after="0"/>
              <w:rPr>
                <w:rFonts w:ascii="Arial" w:hAnsi="Arial" w:cs="Arial"/>
                <w:color w:val="000000" w:themeColor="text1"/>
                <w:sz w:val="16"/>
                <w:szCs w:val="16"/>
                <w:lang w:val="es-CO" w:eastAsia="es-ES"/>
              </w:rPr>
            </w:pPr>
            <w:r w:rsidRPr="003121C9">
              <w:rPr>
                <w:rFonts w:ascii="Arial" w:hAnsi="Arial" w:cs="Arial"/>
                <w:color w:val="000000" w:themeColor="text1"/>
                <w:sz w:val="16"/>
                <w:szCs w:val="16"/>
                <w:lang w:val="es-CO" w:eastAsia="es-ES"/>
              </w:rPr>
              <w:t>Diego Enrique Franco Victoria</w:t>
            </w:r>
          </w:p>
          <w:p w14:paraId="6B405E71" w14:textId="77777777" w:rsidR="00D45D43" w:rsidRPr="003121C9" w:rsidRDefault="00D45D43" w:rsidP="00001D47">
            <w:pPr>
              <w:spacing w:after="0"/>
              <w:rPr>
                <w:rFonts w:ascii="Arial" w:hAnsi="Arial" w:cs="Arial"/>
                <w:sz w:val="16"/>
                <w:szCs w:val="16"/>
                <w:lang w:val="es-CO" w:eastAsia="es-ES"/>
              </w:rPr>
            </w:pPr>
            <w:r w:rsidRPr="003121C9">
              <w:rPr>
                <w:rFonts w:ascii="Arial" w:hAnsi="Arial" w:cs="Arial"/>
                <w:color w:val="000000" w:themeColor="text1"/>
                <w:sz w:val="16"/>
                <w:szCs w:val="16"/>
                <w:lang w:val="es-CO" w:eastAsia="es-ES"/>
              </w:rPr>
              <w:t>Contratista de la Subdirección de Gestión Contractual</w:t>
            </w:r>
          </w:p>
        </w:tc>
      </w:tr>
      <w:tr w:rsidR="00D45D43" w:rsidRPr="003121C9" w14:paraId="603F1EFA" w14:textId="77777777" w:rsidTr="00296985">
        <w:trPr>
          <w:trHeight w:val="330"/>
        </w:trPr>
        <w:tc>
          <w:tcPr>
            <w:tcW w:w="488" w:type="dxa"/>
            <w:vAlign w:val="center"/>
            <w:hideMark/>
          </w:tcPr>
          <w:p w14:paraId="408BD0F3" w14:textId="77777777" w:rsidR="00D45D43" w:rsidRPr="003121C9" w:rsidRDefault="00D45D43" w:rsidP="00001D47">
            <w:pPr>
              <w:spacing w:after="0"/>
              <w:rPr>
                <w:rFonts w:ascii="Arial" w:hAnsi="Arial" w:cs="Arial"/>
                <w:sz w:val="16"/>
                <w:szCs w:val="16"/>
                <w:lang w:val="es-CO" w:eastAsia="es-ES"/>
              </w:rPr>
            </w:pPr>
            <w:r w:rsidRPr="003121C9">
              <w:rPr>
                <w:rFonts w:ascii="Arial"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DBDD55" w14:textId="77777777" w:rsidR="00D45D43" w:rsidRPr="003121C9" w:rsidRDefault="00D45D43" w:rsidP="00001D47">
            <w:pPr>
              <w:spacing w:after="0"/>
              <w:rPr>
                <w:rFonts w:ascii="Arial" w:hAnsi="Arial" w:cs="Arial"/>
                <w:sz w:val="16"/>
                <w:szCs w:val="16"/>
                <w:lang w:val="es-CO" w:eastAsia="es-ES"/>
              </w:rPr>
            </w:pPr>
            <w:r w:rsidRPr="003121C9">
              <w:rPr>
                <w:rFonts w:ascii="Arial" w:hAnsi="Arial" w:cs="Arial"/>
                <w:sz w:val="16"/>
                <w:szCs w:val="16"/>
                <w:lang w:val="es-CO" w:eastAsia="es-ES"/>
              </w:rPr>
              <w:t xml:space="preserve">Juan David Montoya Penagos </w:t>
            </w:r>
          </w:p>
          <w:p w14:paraId="63C6E4A9" w14:textId="77777777" w:rsidR="00D45D43" w:rsidRPr="003121C9" w:rsidRDefault="00D45D43" w:rsidP="00001D47">
            <w:pPr>
              <w:spacing w:after="0"/>
              <w:rPr>
                <w:rFonts w:ascii="Arial" w:hAnsi="Arial" w:cs="Arial"/>
                <w:sz w:val="14"/>
                <w:szCs w:val="14"/>
                <w:lang w:eastAsia="es-ES"/>
              </w:rPr>
            </w:pPr>
            <w:r w:rsidRPr="003121C9">
              <w:rPr>
                <w:rFonts w:ascii="Arial" w:hAnsi="Arial" w:cs="Arial"/>
                <w:sz w:val="16"/>
                <w:szCs w:val="16"/>
                <w:lang w:val="es-CO" w:eastAsia="es-ES"/>
              </w:rPr>
              <w:t xml:space="preserve">Gestor T1-15 de la Subdirección de Gestión Contractual </w:t>
            </w:r>
          </w:p>
        </w:tc>
      </w:tr>
      <w:tr w:rsidR="00D45D43" w:rsidRPr="003121C9" w14:paraId="3A3731EA" w14:textId="77777777" w:rsidTr="00296985">
        <w:trPr>
          <w:trHeight w:val="300"/>
        </w:trPr>
        <w:tc>
          <w:tcPr>
            <w:tcW w:w="488" w:type="dxa"/>
            <w:vAlign w:val="center"/>
            <w:hideMark/>
          </w:tcPr>
          <w:p w14:paraId="70945920" w14:textId="77777777" w:rsidR="00D45D43" w:rsidRPr="003121C9" w:rsidRDefault="00D45D43" w:rsidP="00001D47">
            <w:pPr>
              <w:spacing w:after="0"/>
              <w:rPr>
                <w:rFonts w:ascii="Arial" w:hAnsi="Arial" w:cs="Arial"/>
                <w:sz w:val="16"/>
                <w:szCs w:val="16"/>
                <w:lang w:val="es-CO" w:eastAsia="es-ES"/>
              </w:rPr>
            </w:pPr>
            <w:r w:rsidRPr="003121C9">
              <w:rPr>
                <w:rFonts w:ascii="Arial"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62C0795" w14:textId="6FD25757" w:rsidR="00D45D43" w:rsidRPr="003121C9" w:rsidRDefault="002D0F3A" w:rsidP="00001D47">
            <w:pPr>
              <w:spacing w:after="0"/>
              <w:rPr>
                <w:rFonts w:ascii="Arial" w:hAnsi="Arial" w:cs="Arial"/>
                <w:sz w:val="16"/>
                <w:szCs w:val="16"/>
                <w:lang w:val="es-CO" w:eastAsia="es-ES"/>
              </w:rPr>
            </w:pPr>
            <w:r w:rsidRPr="003121C9">
              <w:rPr>
                <w:rFonts w:ascii="Arial" w:hAnsi="Arial" w:cs="Arial"/>
                <w:sz w:val="16"/>
                <w:szCs w:val="16"/>
                <w:lang w:val="es-CO" w:eastAsia="es-ES"/>
              </w:rPr>
              <w:t>Juan David M</w:t>
            </w:r>
            <w:r>
              <w:rPr>
                <w:rFonts w:ascii="Arial" w:hAnsi="Arial" w:cs="Arial"/>
                <w:sz w:val="16"/>
                <w:szCs w:val="16"/>
                <w:lang w:val="es-CO" w:eastAsia="es-ES"/>
              </w:rPr>
              <w:t>arín López</w:t>
            </w:r>
          </w:p>
          <w:p w14:paraId="622B826B" w14:textId="2A56F4EB" w:rsidR="00D45D43" w:rsidRPr="003121C9" w:rsidRDefault="00D45D43" w:rsidP="00001D47">
            <w:pPr>
              <w:spacing w:after="0"/>
              <w:rPr>
                <w:rFonts w:ascii="Arial" w:hAnsi="Arial" w:cs="Arial"/>
                <w:sz w:val="16"/>
                <w:szCs w:val="16"/>
                <w:lang w:val="es-CO" w:eastAsia="es-ES"/>
              </w:rPr>
            </w:pPr>
            <w:r w:rsidRPr="003121C9">
              <w:rPr>
                <w:rFonts w:ascii="Arial" w:hAnsi="Arial" w:cs="Arial"/>
                <w:sz w:val="16"/>
                <w:szCs w:val="16"/>
                <w:lang w:val="es-CO" w:eastAsia="es-ES"/>
              </w:rPr>
              <w:t>Subdirector de Gestión Contractual ANCP – CCE</w:t>
            </w:r>
            <w:r w:rsidR="002D0F3A">
              <w:rPr>
                <w:rFonts w:ascii="Arial" w:hAnsi="Arial" w:cs="Arial"/>
                <w:sz w:val="16"/>
                <w:szCs w:val="16"/>
                <w:lang w:val="es-CO" w:eastAsia="es-ES"/>
              </w:rPr>
              <w:t xml:space="preserve"> (E)</w:t>
            </w:r>
          </w:p>
        </w:tc>
      </w:tr>
    </w:tbl>
    <w:p w14:paraId="5F0DA489" w14:textId="7312908E" w:rsidR="00C14ADB" w:rsidRDefault="00D45D43" w:rsidP="002C4226">
      <w:pPr>
        <w:spacing w:after="0"/>
        <w:rPr>
          <w:rFonts w:ascii="Arial" w:eastAsia="Times New Roman" w:hAnsi="Arial" w:cs="Arial"/>
          <w:sz w:val="22"/>
          <w:lang w:val="es-CO" w:eastAsia="es-CO"/>
        </w:rPr>
      </w:pPr>
      <w:r w:rsidRPr="003121C9">
        <w:rPr>
          <w:rFonts w:ascii="Arial" w:hAnsi="Arial" w:cs="Arial"/>
          <w:noProof/>
          <w:sz w:val="22"/>
          <w:lang w:val="es-CO" w:eastAsia="es-CO"/>
        </w:rPr>
        <mc:AlternateContent>
          <mc:Choice Requires="wps">
            <w:drawing>
              <wp:anchor distT="0" distB="0" distL="114300" distR="114300" simplePos="0" relativeHeight="251659264" behindDoc="0" locked="0" layoutInCell="1" allowOverlap="1" wp14:anchorId="250721BB" wp14:editId="1DA5DB94">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1B42AD9"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bookmarkEnd w:id="51"/>
    </w:p>
    <w:p w14:paraId="2A408A9A" w14:textId="091208E5" w:rsidR="00BE20CF" w:rsidRPr="00BE20CF" w:rsidRDefault="00BE20CF" w:rsidP="00BE20CF">
      <w:pPr>
        <w:rPr>
          <w:rFonts w:ascii="Arial" w:eastAsia="Times New Roman" w:hAnsi="Arial" w:cs="Arial"/>
          <w:sz w:val="22"/>
          <w:lang w:val="es-CO" w:eastAsia="es-CO"/>
        </w:rPr>
      </w:pPr>
    </w:p>
    <w:p w14:paraId="13EBEF98" w14:textId="5D5348BF" w:rsidR="00BE20CF" w:rsidRDefault="00BE20CF" w:rsidP="00BE20CF">
      <w:pPr>
        <w:rPr>
          <w:rFonts w:ascii="Arial" w:eastAsia="Times New Roman" w:hAnsi="Arial" w:cs="Arial"/>
          <w:sz w:val="22"/>
          <w:lang w:val="es-CO" w:eastAsia="es-CO"/>
        </w:rPr>
      </w:pPr>
    </w:p>
    <w:p w14:paraId="5F1ABFDF" w14:textId="203FAADA" w:rsidR="00BE20CF" w:rsidRPr="00BE20CF" w:rsidRDefault="00BE20CF" w:rsidP="00BE20CF">
      <w:pPr>
        <w:tabs>
          <w:tab w:val="left" w:pos="5805"/>
        </w:tabs>
        <w:rPr>
          <w:rFonts w:ascii="Arial" w:eastAsia="Times New Roman" w:hAnsi="Arial" w:cs="Arial"/>
          <w:sz w:val="22"/>
          <w:lang w:val="es-CO" w:eastAsia="es-CO"/>
        </w:rPr>
      </w:pPr>
      <w:r>
        <w:rPr>
          <w:rFonts w:ascii="Arial" w:eastAsia="Times New Roman" w:hAnsi="Arial" w:cs="Arial"/>
          <w:sz w:val="22"/>
          <w:lang w:val="es-CO" w:eastAsia="es-CO"/>
        </w:rPr>
        <w:tab/>
      </w:r>
    </w:p>
    <w:sectPr w:rsidR="00BE20CF" w:rsidRPr="00BE20CF" w:rsidSect="00FE0395">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4DE71" w14:textId="77777777" w:rsidR="00B431EB" w:rsidRDefault="00B431EB" w:rsidP="00D45D43">
      <w:pPr>
        <w:spacing w:after="0" w:line="240" w:lineRule="auto"/>
      </w:pPr>
      <w:r>
        <w:separator/>
      </w:r>
    </w:p>
  </w:endnote>
  <w:endnote w:type="continuationSeparator" w:id="0">
    <w:p w14:paraId="2199DC9B" w14:textId="77777777" w:rsidR="00B431EB" w:rsidRDefault="00B431EB" w:rsidP="00D45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E41C0" w14:textId="77777777" w:rsidR="00412132" w:rsidRDefault="00EA2F39" w:rsidP="00B6444C">
    <w:pPr>
      <w:pStyle w:val="Sinespaciado"/>
      <w:rPr>
        <w:rFonts w:ascii="Arial" w:hAnsi="Arial" w:cs="Arial"/>
        <w:sz w:val="18"/>
        <w:szCs w:val="18"/>
      </w:rPr>
    </w:pPr>
  </w:p>
  <w:p w14:paraId="781D3A30" w14:textId="77777777" w:rsidR="00412132" w:rsidRDefault="00EA2F39" w:rsidP="00B6444C">
    <w:pPr>
      <w:pStyle w:val="Sinespaciado"/>
      <w:rPr>
        <w:rFonts w:ascii="Arial" w:hAnsi="Arial" w:cs="Arial"/>
        <w:sz w:val="18"/>
        <w:szCs w:val="18"/>
      </w:rPr>
    </w:pPr>
  </w:p>
  <w:p w14:paraId="144E42AB" w14:textId="77777777" w:rsidR="00412132" w:rsidRPr="005A79FE" w:rsidRDefault="00367C5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19605E15" w14:textId="77777777" w:rsidR="00412132" w:rsidRDefault="00367C52" w:rsidP="007B0854">
    <w:pPr>
      <w:pStyle w:val="Piedepgina"/>
      <w:jc w:val="center"/>
      <w:rPr>
        <w:lang w:val="es-ES"/>
      </w:rPr>
    </w:pPr>
    <w:r>
      <w:rPr>
        <w:noProof/>
        <w:lang w:val="es-CO" w:eastAsia="es-CO"/>
      </w:rPr>
      <w:drawing>
        <wp:inline distT="0" distB="0" distL="0" distR="0" wp14:anchorId="2669E843" wp14:editId="480006B7">
          <wp:extent cx="4241994" cy="595165"/>
          <wp:effectExtent l="0" t="0" r="6350" b="0"/>
          <wp:docPr id="1833779586" name="Imagen 1833779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1061BCE" w14:textId="77777777" w:rsidR="00412132" w:rsidRDefault="00EA2F39" w:rsidP="007B0854">
    <w:pPr>
      <w:pStyle w:val="Piedepgina"/>
      <w:jc w:val="center"/>
      <w:rPr>
        <w:lang w:val="es-ES"/>
      </w:rPr>
    </w:pPr>
  </w:p>
  <w:p w14:paraId="02656EF4" w14:textId="77777777" w:rsidR="00412132" w:rsidRPr="007B0854" w:rsidRDefault="00EA2F39"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DFCF5" w14:textId="77777777" w:rsidR="00B431EB" w:rsidRDefault="00B431EB" w:rsidP="00D45D43">
      <w:pPr>
        <w:spacing w:after="0" w:line="240" w:lineRule="auto"/>
      </w:pPr>
      <w:r>
        <w:separator/>
      </w:r>
    </w:p>
  </w:footnote>
  <w:footnote w:type="continuationSeparator" w:id="0">
    <w:p w14:paraId="7DAB4D8A" w14:textId="77777777" w:rsidR="00B431EB" w:rsidRDefault="00B431EB" w:rsidP="00D45D43">
      <w:pPr>
        <w:spacing w:after="0" w:line="240" w:lineRule="auto"/>
      </w:pPr>
      <w:r>
        <w:continuationSeparator/>
      </w:r>
    </w:p>
  </w:footnote>
  <w:footnote w:id="1">
    <w:p w14:paraId="440E730C" w14:textId="77777777" w:rsidR="00D45D43" w:rsidRPr="00BE20CF" w:rsidRDefault="00D45D43" w:rsidP="00DF1D02">
      <w:pPr>
        <w:pStyle w:val="Textonotapie"/>
        <w:spacing w:after="0" w:line="240" w:lineRule="auto"/>
        <w:rPr>
          <w:rFonts w:ascii="Arial" w:hAnsi="Arial" w:cs="Arial"/>
          <w:color w:val="000000" w:themeColor="text1"/>
          <w:sz w:val="16"/>
          <w:szCs w:val="16"/>
          <w:lang w:val="es-ES"/>
        </w:rPr>
      </w:pPr>
      <w:r w:rsidRPr="00BE20CF">
        <w:rPr>
          <w:rStyle w:val="Refdenotaalpie"/>
          <w:rFonts w:ascii="Arial" w:hAnsi="Arial" w:cs="Arial"/>
          <w:color w:val="000000" w:themeColor="text1"/>
          <w:sz w:val="16"/>
          <w:szCs w:val="16"/>
        </w:rPr>
        <w:footnoteRef/>
      </w:r>
      <w:r w:rsidRPr="00BE20CF">
        <w:rPr>
          <w:rFonts w:ascii="Arial" w:hAnsi="Arial" w:cs="Arial"/>
          <w:color w:val="000000" w:themeColor="text1"/>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E20CF">
        <w:rPr>
          <w:rFonts w:ascii="Arial" w:hAnsi="Arial" w:cs="Arial"/>
          <w:i/>
          <w:iCs/>
          <w:color w:val="000000" w:themeColor="text1"/>
          <w:sz w:val="16"/>
          <w:szCs w:val="16"/>
        </w:rPr>
        <w:t xml:space="preserve">ibidem </w:t>
      </w:r>
      <w:r w:rsidRPr="00BE20CF">
        <w:rPr>
          <w:rFonts w:ascii="Arial" w:hAnsi="Arial" w:cs="Arial"/>
          <w:color w:val="000000" w:themeColor="text1"/>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12D3FFF4" w14:textId="77777777" w:rsidR="00F00E9D" w:rsidRPr="00BE20CF" w:rsidRDefault="00F00E9D" w:rsidP="00F00E9D">
      <w:pPr>
        <w:pStyle w:val="Textonotapie"/>
        <w:spacing w:after="0" w:line="240" w:lineRule="auto"/>
        <w:ind w:firstLine="709"/>
        <w:rPr>
          <w:rFonts w:ascii="Arial"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A0EFC18" w14:textId="77777777" w:rsidR="00F00E9D" w:rsidRPr="00BE20CF" w:rsidRDefault="00F00E9D" w:rsidP="00F00E9D">
      <w:pPr>
        <w:pStyle w:val="Textonotapie"/>
        <w:spacing w:after="0" w:line="240" w:lineRule="auto"/>
        <w:ind w:firstLine="709"/>
        <w:rPr>
          <w:rFonts w:ascii="Arial" w:hAnsi="Arial" w:cs="Arial"/>
          <w:sz w:val="16"/>
          <w:szCs w:val="16"/>
        </w:rPr>
      </w:pPr>
      <w:proofErr w:type="gramStart"/>
      <w:r w:rsidRPr="00BE20CF">
        <w:rPr>
          <w:rFonts w:ascii="Arial" w:hAnsi="Arial" w:cs="Arial"/>
          <w:sz w:val="16"/>
          <w:szCs w:val="16"/>
        </w:rPr>
        <w:t>»A</w:t>
      </w:r>
      <w:proofErr w:type="gramEnd"/>
      <w:r w:rsidRPr="00BE20CF">
        <w:rPr>
          <w:rFonts w:ascii="Arial" w:hAnsi="Arial" w:cs="Arial"/>
          <w:sz w:val="16"/>
          <w:szCs w:val="16"/>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5BEA175C" w14:textId="77777777" w:rsidR="00F00E9D" w:rsidRPr="00BE20CF" w:rsidRDefault="00F00E9D" w:rsidP="00F00E9D">
      <w:pPr>
        <w:pStyle w:val="Textonotapie"/>
        <w:ind w:firstLine="709"/>
        <w:rPr>
          <w:sz w:val="16"/>
          <w:szCs w:val="16"/>
          <w:lang w:val="es-CO"/>
        </w:rPr>
      </w:pPr>
      <w:r w:rsidRPr="00BE20CF">
        <w:rPr>
          <w:rStyle w:val="Refdenotaalpie"/>
          <w:sz w:val="16"/>
          <w:szCs w:val="16"/>
        </w:rPr>
        <w:footnoteRef/>
      </w:r>
      <w:r w:rsidRPr="00BE20CF">
        <w:rPr>
          <w:sz w:val="16"/>
          <w:szCs w:val="16"/>
        </w:rPr>
        <w:t xml:space="preserve"> Gaceta del Congreso de la República No. 71 del 2005.</w:t>
      </w:r>
    </w:p>
  </w:footnote>
  <w:footnote w:id="4">
    <w:p w14:paraId="3E8EFAD1" w14:textId="77777777" w:rsidR="00F00E9D" w:rsidRPr="00BE20CF" w:rsidRDefault="00F00E9D" w:rsidP="00F00E9D">
      <w:pPr>
        <w:pStyle w:val="Textonotapie"/>
        <w:ind w:firstLine="709"/>
        <w:rPr>
          <w:rFonts w:ascii="Arial"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Corte Constitucional, Sentencia C- 1153 de 2005, M.P. Marco Gerardo Monroy Cabra.</w:t>
      </w:r>
    </w:p>
  </w:footnote>
  <w:footnote w:id="5">
    <w:p w14:paraId="0E38E7F7" w14:textId="77777777" w:rsidR="00F00E9D" w:rsidRPr="00BE20CF" w:rsidRDefault="00F00E9D" w:rsidP="00F00E9D">
      <w:pPr>
        <w:pStyle w:val="Textonotapie"/>
        <w:spacing w:after="0" w:line="240" w:lineRule="auto"/>
        <w:ind w:firstLine="709"/>
        <w:rPr>
          <w:rFonts w:ascii="Arial"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38279F82" w14:textId="77777777" w:rsidR="00F00E9D" w:rsidRPr="00BE20CF" w:rsidRDefault="00F00E9D" w:rsidP="00F00E9D">
      <w:pPr>
        <w:pStyle w:val="Textonotapie"/>
        <w:spacing w:after="0" w:line="240" w:lineRule="auto"/>
        <w:ind w:firstLine="709"/>
        <w:rPr>
          <w:rFonts w:ascii="Arial" w:hAnsi="Arial" w:cs="Arial"/>
          <w:sz w:val="16"/>
          <w:szCs w:val="16"/>
        </w:rPr>
      </w:pPr>
    </w:p>
  </w:footnote>
  <w:footnote w:id="6">
    <w:p w14:paraId="631F2194" w14:textId="77777777" w:rsidR="00F00E9D" w:rsidRPr="00BE20CF" w:rsidRDefault="00F00E9D" w:rsidP="00F00E9D">
      <w:pPr>
        <w:pStyle w:val="Textonotapie"/>
        <w:spacing w:after="0" w:line="240" w:lineRule="auto"/>
        <w:ind w:firstLine="709"/>
        <w:rPr>
          <w:rFonts w:ascii="Arial" w:hAnsi="Arial" w:cs="Arial"/>
          <w:sz w:val="16"/>
          <w:szCs w:val="16"/>
          <w:lang w:val="es-CO"/>
        </w:rPr>
      </w:pPr>
      <w:r w:rsidRPr="00BE20CF">
        <w:rPr>
          <w:rStyle w:val="Refdenotaalpie"/>
          <w:rFonts w:ascii="Arial" w:hAnsi="Arial" w:cs="Arial"/>
          <w:sz w:val="16"/>
          <w:szCs w:val="16"/>
        </w:rPr>
        <w:footnoteRef/>
      </w:r>
      <w:r w:rsidRPr="00BE20CF">
        <w:rPr>
          <w:rFonts w:ascii="Arial" w:hAnsi="Arial"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3C58256C" w14:textId="77777777" w:rsidR="00F00E9D" w:rsidRPr="00BE20CF" w:rsidRDefault="00F00E9D" w:rsidP="00F00E9D">
      <w:pPr>
        <w:pStyle w:val="Textonotapie"/>
        <w:spacing w:after="0" w:line="240" w:lineRule="auto"/>
        <w:ind w:firstLine="709"/>
        <w:rPr>
          <w:rFonts w:ascii="Arial" w:hAnsi="Arial" w:cs="Arial"/>
          <w:sz w:val="16"/>
          <w:szCs w:val="16"/>
          <w:lang w:val="es-CO"/>
        </w:rPr>
      </w:pPr>
    </w:p>
  </w:footnote>
  <w:footnote w:id="7">
    <w:p w14:paraId="1CA08757" w14:textId="77777777" w:rsidR="00F00E9D" w:rsidRPr="00BE20CF" w:rsidRDefault="00F00E9D" w:rsidP="00F00E9D">
      <w:pPr>
        <w:pStyle w:val="Textonotapie"/>
        <w:spacing w:after="0" w:line="240" w:lineRule="auto"/>
        <w:ind w:firstLine="709"/>
        <w:rPr>
          <w:rFonts w:ascii="Arial"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Consejo de Estado, Sala de Consulta y Servicio Civil de fecha 24 de julio de 2013, radicado 2166, </w:t>
      </w:r>
      <w:proofErr w:type="gramStart"/>
      <w:r w:rsidRPr="00BE20CF">
        <w:rPr>
          <w:rFonts w:ascii="Arial" w:hAnsi="Arial" w:cs="Arial"/>
          <w:sz w:val="16"/>
          <w:szCs w:val="16"/>
        </w:rPr>
        <w:t>Consejero</w:t>
      </w:r>
      <w:proofErr w:type="gramEnd"/>
      <w:r w:rsidRPr="00BE20CF">
        <w:rPr>
          <w:rFonts w:ascii="Arial" w:hAnsi="Arial" w:cs="Arial"/>
          <w:sz w:val="16"/>
          <w:szCs w:val="16"/>
        </w:rPr>
        <w:t xml:space="preserve"> Ponente: Álvaro Namén Vargas.  </w:t>
      </w:r>
    </w:p>
  </w:footnote>
  <w:footnote w:id="8">
    <w:p w14:paraId="5574C5AF" w14:textId="77777777" w:rsidR="00F00E9D" w:rsidRPr="00BE20CF" w:rsidRDefault="00F00E9D" w:rsidP="00F00E9D">
      <w:pPr>
        <w:spacing w:after="0" w:line="240" w:lineRule="auto"/>
        <w:ind w:firstLine="709"/>
        <w:rPr>
          <w:rFonts w:ascii="Arial" w:eastAsia="Times New Roman"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w:t>
      </w:r>
      <w:bookmarkStart w:id="15" w:name="33"/>
      <w:r w:rsidRPr="00BE20CF">
        <w:rPr>
          <w:rFonts w:ascii="Arial" w:eastAsia="Calibri" w:hAnsi="Arial" w:cs="Arial"/>
          <w:bCs/>
          <w:color w:val="000000"/>
          <w:sz w:val="16"/>
          <w:szCs w:val="16"/>
        </w:rPr>
        <w:t>«</w:t>
      </w:r>
      <w:r w:rsidRPr="00BE20CF">
        <w:rPr>
          <w:rFonts w:ascii="Arial" w:eastAsia="Times New Roman" w:hAnsi="Arial" w:cs="Arial"/>
          <w:sz w:val="16"/>
          <w:szCs w:val="16"/>
        </w:rPr>
        <w:t>Artículo 33. Restricciones a la contratación pública.</w:t>
      </w:r>
      <w:bookmarkEnd w:id="15"/>
      <w:r w:rsidRPr="00BE20CF">
        <w:rPr>
          <w:rFonts w:ascii="Arial" w:eastAsia="Times New Roman" w:hAnsi="Arial"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7BD0A370" w14:textId="77777777" w:rsidR="00F00E9D" w:rsidRPr="00BE20CF" w:rsidRDefault="00F00E9D" w:rsidP="00F00E9D">
      <w:pPr>
        <w:spacing w:after="0" w:line="240" w:lineRule="auto"/>
        <w:ind w:firstLine="709"/>
        <w:rPr>
          <w:rFonts w:ascii="Arial" w:eastAsia="Times New Roman" w:hAnsi="Arial" w:cs="Arial"/>
          <w:sz w:val="16"/>
          <w:szCs w:val="16"/>
        </w:rPr>
      </w:pPr>
      <w:r w:rsidRPr="00BE20CF">
        <w:rPr>
          <w:rFonts w:ascii="Arial" w:eastAsia="Calibri" w:hAnsi="Arial" w:cs="Arial"/>
          <w:bCs/>
          <w:color w:val="000000"/>
          <w:sz w:val="16"/>
          <w:szCs w:val="16"/>
        </w:rPr>
        <w:t>»</w:t>
      </w:r>
      <w:r w:rsidRPr="00BE20CF">
        <w:rPr>
          <w:rFonts w:ascii="Arial" w:eastAsia="Times New Roman" w:hAnsi="Arial" w:cs="Arial"/>
          <w:sz w:val="16"/>
          <w:szCs w:val="16"/>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E20CF">
        <w:rPr>
          <w:rFonts w:ascii="Arial" w:eastAsia="Calibri" w:hAnsi="Arial" w:cs="Arial"/>
          <w:bCs/>
          <w:color w:val="000000"/>
          <w:sz w:val="16"/>
          <w:szCs w:val="16"/>
        </w:rPr>
        <w:t>»</w:t>
      </w:r>
      <w:r w:rsidRPr="00BE20CF">
        <w:rPr>
          <w:rFonts w:ascii="Arial" w:eastAsia="Times New Roman" w:hAnsi="Arial" w:cs="Arial"/>
          <w:sz w:val="16"/>
          <w:szCs w:val="16"/>
        </w:rPr>
        <w:t>.</w:t>
      </w:r>
    </w:p>
  </w:footnote>
  <w:footnote w:id="9">
    <w:p w14:paraId="0E1AE9DD" w14:textId="77777777" w:rsidR="00F00E9D" w:rsidRPr="00BE20CF" w:rsidRDefault="00F00E9D" w:rsidP="00F00E9D">
      <w:pPr>
        <w:pStyle w:val="NormalWeb"/>
        <w:spacing w:before="0" w:beforeAutospacing="0" w:after="0" w:afterAutospacing="0" w:line="240" w:lineRule="auto"/>
        <w:ind w:firstLine="709"/>
        <w:rPr>
          <w:rFonts w:ascii="Arial" w:hAnsi="Arial" w:cs="Arial"/>
          <w:sz w:val="16"/>
          <w:szCs w:val="16"/>
          <w:lang w:val="es-MX"/>
        </w:rPr>
      </w:pPr>
      <w:r w:rsidRPr="00BE20CF">
        <w:rPr>
          <w:rStyle w:val="Refdenotaalpie"/>
          <w:rFonts w:ascii="Arial" w:hAnsi="Arial" w:cs="Arial"/>
          <w:sz w:val="16"/>
          <w:szCs w:val="16"/>
        </w:rPr>
        <w:footnoteRef/>
      </w:r>
      <w:r w:rsidRPr="00BE20CF">
        <w:rPr>
          <w:rFonts w:ascii="Arial" w:hAnsi="Arial" w:cs="Arial"/>
          <w:sz w:val="16"/>
          <w:szCs w:val="16"/>
        </w:rPr>
        <w:t xml:space="preserve"> </w:t>
      </w:r>
      <w:bookmarkStart w:id="16" w:name="38"/>
      <w:r w:rsidRPr="00BE20CF">
        <w:rPr>
          <w:rFonts w:ascii="Arial" w:eastAsia="Calibri" w:hAnsi="Arial" w:cs="Arial"/>
          <w:bCs/>
          <w:color w:val="000000"/>
          <w:sz w:val="16"/>
          <w:szCs w:val="16"/>
        </w:rPr>
        <w:t>«</w:t>
      </w:r>
      <w:r w:rsidRPr="00BE20CF">
        <w:rPr>
          <w:rFonts w:ascii="Arial" w:hAnsi="Arial" w:cs="Arial"/>
          <w:sz w:val="16"/>
          <w:szCs w:val="16"/>
          <w:lang w:val="es-MX"/>
        </w:rPr>
        <w:t>Artículo 38. Prohibiciones para los servidores públicos. A los empleados del Estado les está prohibido:</w:t>
      </w:r>
      <w:bookmarkEnd w:id="16"/>
    </w:p>
    <w:p w14:paraId="398A8599" w14:textId="77777777" w:rsidR="00F00E9D" w:rsidRPr="00BE20CF" w:rsidRDefault="00F00E9D" w:rsidP="00F00E9D">
      <w:pPr>
        <w:pStyle w:val="NormalWeb"/>
        <w:spacing w:before="0" w:beforeAutospacing="0" w:after="0" w:afterAutospacing="0" w:line="240" w:lineRule="auto"/>
        <w:ind w:firstLine="709"/>
        <w:rPr>
          <w:rFonts w:ascii="Arial" w:hAnsi="Arial" w:cs="Arial"/>
          <w:sz w:val="16"/>
          <w:szCs w:val="16"/>
          <w:lang w:val="es-MX"/>
        </w:rPr>
      </w:pPr>
      <w:r w:rsidRPr="00BE20CF">
        <w:rPr>
          <w:rFonts w:ascii="Arial" w:eastAsia="Calibri" w:hAnsi="Arial" w:cs="Arial"/>
          <w:bCs/>
          <w:color w:val="000000"/>
          <w:sz w:val="16"/>
          <w:szCs w:val="16"/>
        </w:rPr>
        <w:t>»</w:t>
      </w:r>
      <w:r w:rsidRPr="00BE20CF">
        <w:rPr>
          <w:rFonts w:ascii="Arial" w:hAnsi="Arial" w:cs="Arial"/>
          <w:sz w:val="16"/>
          <w:szCs w:val="16"/>
          <w:lang w:val="es-MX"/>
        </w:rPr>
        <w:t xml:space="preserve"> […]</w:t>
      </w:r>
    </w:p>
    <w:p w14:paraId="12340EE9" w14:textId="77777777" w:rsidR="00F00E9D" w:rsidRPr="00BE20CF" w:rsidRDefault="00F00E9D" w:rsidP="00F00E9D">
      <w:pPr>
        <w:pStyle w:val="NormalWeb"/>
        <w:spacing w:before="0" w:beforeAutospacing="0" w:after="0" w:afterAutospacing="0" w:line="240" w:lineRule="auto"/>
        <w:ind w:firstLine="709"/>
        <w:rPr>
          <w:rFonts w:ascii="Arial" w:hAnsi="Arial" w:cs="Arial"/>
          <w:sz w:val="16"/>
          <w:szCs w:val="16"/>
          <w:lang w:val="es-MX"/>
        </w:rPr>
      </w:pPr>
      <w:r w:rsidRPr="00BE20CF">
        <w:rPr>
          <w:rFonts w:ascii="Arial" w:eastAsia="Calibri" w:hAnsi="Arial" w:cs="Arial"/>
          <w:bCs/>
          <w:color w:val="000000"/>
          <w:sz w:val="16"/>
          <w:szCs w:val="16"/>
        </w:rPr>
        <w:t>»</w:t>
      </w:r>
      <w:r w:rsidRPr="00BE20CF">
        <w:rPr>
          <w:rStyle w:val="baj"/>
          <w:rFonts w:ascii="Arial" w:hAnsi="Arial" w:cs="Arial"/>
          <w:sz w:val="16"/>
          <w:szCs w:val="16"/>
          <w:lang w:val="es-MX"/>
        </w:rPr>
        <w:t xml:space="preserve"> Parágrafo.</w:t>
      </w:r>
      <w:r w:rsidRPr="00BE20CF">
        <w:rPr>
          <w:rFonts w:ascii="Arial" w:hAnsi="Arial"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E20CF">
        <w:rPr>
          <w:rFonts w:ascii="Arial" w:eastAsia="Calibri" w:hAnsi="Arial" w:cs="Arial"/>
          <w:bCs/>
          <w:color w:val="000000"/>
          <w:sz w:val="16"/>
          <w:szCs w:val="16"/>
        </w:rPr>
        <w:t>»</w:t>
      </w:r>
      <w:r w:rsidRPr="00BE20CF">
        <w:rPr>
          <w:rFonts w:ascii="Arial" w:hAnsi="Arial" w:cs="Arial"/>
          <w:sz w:val="16"/>
          <w:szCs w:val="16"/>
          <w:lang w:val="es-MX"/>
        </w:rPr>
        <w:t>.</w:t>
      </w:r>
    </w:p>
    <w:p w14:paraId="722CA954" w14:textId="77777777" w:rsidR="00F00E9D" w:rsidRPr="00BE20CF" w:rsidRDefault="00F00E9D" w:rsidP="00F00E9D">
      <w:pPr>
        <w:pStyle w:val="Textonotapie"/>
        <w:spacing w:after="0" w:line="240" w:lineRule="auto"/>
        <w:ind w:firstLine="709"/>
        <w:rPr>
          <w:rFonts w:ascii="Arial" w:hAnsi="Arial" w:cs="Arial"/>
          <w:sz w:val="16"/>
          <w:szCs w:val="16"/>
          <w:lang w:val="es-CO"/>
        </w:rPr>
      </w:pPr>
    </w:p>
  </w:footnote>
  <w:footnote w:id="10">
    <w:p w14:paraId="3668ED8F" w14:textId="77777777" w:rsidR="00F00E9D" w:rsidRPr="00BE20CF" w:rsidRDefault="00F00E9D" w:rsidP="00F00E9D">
      <w:pPr>
        <w:spacing w:after="0" w:line="240" w:lineRule="auto"/>
        <w:ind w:left="100" w:right="244" w:firstLine="709"/>
        <w:rPr>
          <w:rFonts w:ascii="Arial" w:hAnsi="Arial" w:cs="Arial"/>
          <w:sz w:val="16"/>
          <w:szCs w:val="16"/>
          <w:lang w:val="es-ES"/>
        </w:rPr>
      </w:pPr>
      <w:r w:rsidRPr="00BE20CF">
        <w:rPr>
          <w:rStyle w:val="Refdenotaalpie"/>
          <w:rFonts w:ascii="Arial" w:hAnsi="Arial" w:cs="Arial"/>
          <w:sz w:val="16"/>
          <w:szCs w:val="16"/>
        </w:rPr>
        <w:footnoteRef/>
      </w:r>
      <w:r w:rsidRPr="00BE20CF">
        <w:rPr>
          <w:rFonts w:ascii="Arial" w:hAnsi="Arial" w:cs="Arial"/>
          <w:sz w:val="16"/>
          <w:szCs w:val="16"/>
        </w:rPr>
        <w:t xml:space="preserve"> Consejo de Estado. Sala de Consulta y Servicio Civil. Concepto del 17 de febrero de 2015. C.P. William Zambrano Cetina. Radicación No. 11001-03-06-000-2015-00164-00(2269).</w:t>
      </w:r>
    </w:p>
    <w:p w14:paraId="726E4C1B" w14:textId="77777777" w:rsidR="00F00E9D" w:rsidRPr="00BE20CF" w:rsidRDefault="00F00E9D" w:rsidP="00F00E9D">
      <w:pPr>
        <w:pStyle w:val="Textonotapie"/>
        <w:spacing w:after="0" w:line="240" w:lineRule="auto"/>
        <w:ind w:firstLine="709"/>
        <w:rPr>
          <w:rFonts w:ascii="Arial" w:hAnsi="Arial" w:cs="Arial"/>
          <w:sz w:val="16"/>
          <w:szCs w:val="16"/>
          <w:lang w:val="es-CO"/>
        </w:rPr>
      </w:pPr>
    </w:p>
  </w:footnote>
  <w:footnote w:id="11">
    <w:p w14:paraId="0C6A9AC1" w14:textId="77777777" w:rsidR="00F00E9D" w:rsidRPr="00BE20CF" w:rsidRDefault="00F00E9D" w:rsidP="00F00E9D">
      <w:pPr>
        <w:pStyle w:val="Textonotapie"/>
        <w:spacing w:after="0" w:line="240" w:lineRule="auto"/>
        <w:ind w:right="51" w:firstLine="709"/>
        <w:rPr>
          <w:rFonts w:ascii="Arial"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w:t>
      </w:r>
      <w:bookmarkStart w:id="22" w:name="_Hlk74272731"/>
      <w:r w:rsidRPr="00BE20CF">
        <w:rPr>
          <w:rFonts w:ascii="Arial" w:hAnsi="Arial" w:cs="Arial"/>
          <w:sz w:val="16"/>
          <w:szCs w:val="16"/>
        </w:rPr>
        <w:t>«</w:t>
      </w:r>
      <w:bookmarkEnd w:id="22"/>
      <w:r w:rsidRPr="00BE20CF">
        <w:rPr>
          <w:rFonts w:ascii="Arial" w:hAnsi="Arial" w:cs="Arial"/>
          <w:sz w:val="16"/>
          <w:szCs w:val="16"/>
          <w:lang w:val="es-ES"/>
        </w:rPr>
        <w:t xml:space="preserve">[25] </w:t>
      </w:r>
      <w:r w:rsidRPr="00BE20CF">
        <w:rPr>
          <w:rFonts w:ascii="Arial" w:hAnsi="Arial" w:cs="Arial"/>
          <w:sz w:val="16"/>
          <w:szCs w:val="16"/>
        </w:rPr>
        <w:t>Cfr. Consejo de Estado. Sección Tercera. Sentencia de 3 de diciembre de 2007. Radicados: 24.715, 25.206, 25.409, 24.524, 27.834, 25.410, 26.105, 28.244, 31.447 -acumulados-</w:t>
      </w:r>
      <w:bookmarkStart w:id="23" w:name="_Hlk74271358"/>
      <w:r w:rsidRPr="00BE20CF">
        <w:rPr>
          <w:rFonts w:ascii="Arial" w:hAnsi="Arial" w:cs="Arial"/>
          <w:sz w:val="16"/>
          <w:szCs w:val="16"/>
        </w:rPr>
        <w:t>»</w:t>
      </w:r>
      <w:bookmarkEnd w:id="23"/>
      <w:r w:rsidRPr="00BE20CF">
        <w:rPr>
          <w:rFonts w:ascii="Arial" w:hAnsi="Arial" w:cs="Arial"/>
          <w:sz w:val="16"/>
          <w:szCs w:val="16"/>
        </w:rPr>
        <w:t>.</w:t>
      </w:r>
    </w:p>
    <w:p w14:paraId="70BF83CD" w14:textId="77777777" w:rsidR="00F00E9D" w:rsidRPr="00BE20CF" w:rsidRDefault="00F00E9D" w:rsidP="00F00E9D">
      <w:pPr>
        <w:pStyle w:val="Textonotapie"/>
        <w:spacing w:after="0" w:line="240" w:lineRule="auto"/>
        <w:ind w:right="51" w:firstLine="709"/>
        <w:rPr>
          <w:rFonts w:ascii="Arial" w:hAnsi="Arial" w:cs="Arial"/>
          <w:sz w:val="16"/>
          <w:szCs w:val="16"/>
        </w:rPr>
      </w:pPr>
    </w:p>
  </w:footnote>
  <w:footnote w:id="12">
    <w:p w14:paraId="7E303752" w14:textId="77777777" w:rsidR="00F00E9D" w:rsidRPr="00BE20CF" w:rsidRDefault="00F00E9D" w:rsidP="00F00E9D">
      <w:pPr>
        <w:pStyle w:val="Textonotapie"/>
        <w:spacing w:after="0" w:line="240" w:lineRule="auto"/>
        <w:ind w:right="51" w:firstLine="709"/>
        <w:rPr>
          <w:rFonts w:ascii="Arial"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w:t>
      </w:r>
      <w:bookmarkStart w:id="25" w:name="_Hlk74294506"/>
      <w:r w:rsidRPr="00BE20CF">
        <w:rPr>
          <w:rFonts w:ascii="Arial" w:hAnsi="Arial" w:cs="Arial"/>
          <w:sz w:val="16"/>
          <w:szCs w:val="16"/>
        </w:rPr>
        <w:t>«</w:t>
      </w:r>
      <w:r w:rsidRPr="00BE20CF">
        <w:rPr>
          <w:rFonts w:ascii="Arial" w:hAnsi="Arial" w:cs="Arial"/>
          <w:sz w:val="16"/>
          <w:szCs w:val="16"/>
          <w:lang w:val="es-ES"/>
        </w:rPr>
        <w:t xml:space="preserve">[26] </w:t>
      </w:r>
      <w:bookmarkEnd w:id="25"/>
      <w:r w:rsidRPr="00BE20CF">
        <w:rPr>
          <w:rFonts w:ascii="Arial" w:hAnsi="Arial" w:cs="Arial"/>
          <w:sz w:val="16"/>
          <w:szCs w:val="16"/>
        </w:rPr>
        <w:t>Al respecto ver el concepto 1712 de 2 de febrero de 2006. Consejo de Estado Sala de Consulta y Servicio Civil».</w:t>
      </w:r>
    </w:p>
    <w:p w14:paraId="1AC73BB4" w14:textId="77777777" w:rsidR="00F00E9D" w:rsidRPr="00BE20CF" w:rsidRDefault="00F00E9D" w:rsidP="00F00E9D">
      <w:pPr>
        <w:pStyle w:val="Textonotapie"/>
        <w:spacing w:after="0" w:line="240" w:lineRule="auto"/>
        <w:ind w:right="51" w:firstLine="709"/>
        <w:rPr>
          <w:rFonts w:ascii="Arial" w:hAnsi="Arial" w:cs="Arial"/>
          <w:sz w:val="16"/>
          <w:szCs w:val="16"/>
        </w:rPr>
      </w:pPr>
    </w:p>
  </w:footnote>
  <w:footnote w:id="13">
    <w:p w14:paraId="684A260E" w14:textId="77777777" w:rsidR="00F00E9D" w:rsidRPr="00BE20CF" w:rsidRDefault="00F00E9D" w:rsidP="00F00E9D">
      <w:pPr>
        <w:pStyle w:val="Textonotapie"/>
        <w:spacing w:after="0" w:line="240" w:lineRule="auto"/>
        <w:ind w:firstLine="709"/>
        <w:rPr>
          <w:rFonts w:ascii="Arial"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Consejo de Estado. Sala de Consulta y Servicio Civil. Concepto del 2 de septiembre de 2013. Radicación número: 11001-03-06-000-2013-00412-00 (2168). Consejero Ponente: Álvaro Namén Vargas.</w:t>
      </w:r>
    </w:p>
  </w:footnote>
  <w:footnote w:id="14">
    <w:p w14:paraId="7FA2D3BA" w14:textId="77777777" w:rsidR="00F00E9D" w:rsidRPr="00BE20CF" w:rsidRDefault="00F00E9D" w:rsidP="00F00E9D">
      <w:pPr>
        <w:pStyle w:val="Textonotapie"/>
        <w:spacing w:after="0" w:line="240" w:lineRule="auto"/>
        <w:ind w:firstLine="709"/>
        <w:rPr>
          <w:rFonts w:ascii="Arial" w:hAnsi="Arial" w:cs="Arial"/>
          <w:sz w:val="16"/>
          <w:szCs w:val="16"/>
          <w:lang w:val="es-ES"/>
        </w:rPr>
      </w:pPr>
      <w:r w:rsidRPr="00BE20CF">
        <w:rPr>
          <w:rStyle w:val="Refdenotaalpie"/>
          <w:rFonts w:ascii="Arial" w:hAnsi="Arial" w:cs="Arial"/>
          <w:sz w:val="16"/>
          <w:szCs w:val="16"/>
        </w:rPr>
        <w:footnoteRef/>
      </w:r>
      <w:r w:rsidRPr="00BE20CF">
        <w:rPr>
          <w:rFonts w:ascii="Arial" w:hAnsi="Arial" w:cs="Arial"/>
          <w:sz w:val="16"/>
          <w:szCs w:val="16"/>
        </w:rPr>
        <w:t xml:space="preserve"> </w:t>
      </w:r>
      <w:r w:rsidRPr="00BE20CF">
        <w:rPr>
          <w:rFonts w:ascii="Arial" w:hAnsi="Arial" w:cs="Arial"/>
          <w:sz w:val="16"/>
          <w:szCs w:val="16"/>
          <w:lang w:val="es-ES"/>
        </w:rPr>
        <w:t xml:space="preserve">Artículo 2. </w:t>
      </w:r>
    </w:p>
    <w:p w14:paraId="24A19550" w14:textId="77777777" w:rsidR="00F00E9D" w:rsidRPr="00BE20CF" w:rsidRDefault="00F00E9D" w:rsidP="00F00E9D">
      <w:pPr>
        <w:pStyle w:val="Textonotapie"/>
        <w:spacing w:after="0" w:line="240" w:lineRule="auto"/>
        <w:ind w:firstLine="709"/>
        <w:rPr>
          <w:rFonts w:ascii="Arial" w:hAnsi="Arial" w:cs="Arial"/>
          <w:sz w:val="16"/>
          <w:szCs w:val="16"/>
          <w:lang w:val="es-ES"/>
        </w:rPr>
      </w:pPr>
    </w:p>
  </w:footnote>
  <w:footnote w:id="15">
    <w:p w14:paraId="65E9D296" w14:textId="77777777" w:rsidR="00F00E9D" w:rsidRPr="00BE20CF" w:rsidRDefault="00F00E9D" w:rsidP="00F00E9D">
      <w:pPr>
        <w:pStyle w:val="Textonotapie"/>
        <w:spacing w:after="0" w:line="240" w:lineRule="auto"/>
        <w:ind w:firstLine="709"/>
        <w:rPr>
          <w:rFonts w:ascii="Arial" w:hAnsi="Arial" w:cs="Arial"/>
          <w:sz w:val="16"/>
          <w:szCs w:val="16"/>
          <w:lang w:val="es-ES"/>
        </w:rPr>
      </w:pPr>
      <w:r w:rsidRPr="00BE20CF">
        <w:rPr>
          <w:rStyle w:val="Refdenotaalpie"/>
          <w:rFonts w:ascii="Arial" w:hAnsi="Arial" w:cs="Arial"/>
          <w:sz w:val="16"/>
          <w:szCs w:val="16"/>
        </w:rPr>
        <w:footnoteRef/>
      </w:r>
      <w:r w:rsidRPr="00BE20CF">
        <w:rPr>
          <w:rFonts w:ascii="Arial" w:hAnsi="Arial" w:cs="Arial"/>
          <w:sz w:val="16"/>
          <w:szCs w:val="16"/>
        </w:rPr>
        <w:t xml:space="preserve"> </w:t>
      </w:r>
      <w:r w:rsidRPr="00BE20CF">
        <w:rPr>
          <w:rFonts w:ascii="Arial" w:hAnsi="Arial" w:cs="Arial"/>
          <w:i/>
          <w:sz w:val="16"/>
          <w:szCs w:val="16"/>
          <w:lang w:val="es-ES"/>
        </w:rPr>
        <w:t>Ídem</w:t>
      </w:r>
      <w:r w:rsidRPr="00BE20CF">
        <w:rPr>
          <w:rFonts w:ascii="Arial" w:hAnsi="Arial" w:cs="Arial"/>
          <w:sz w:val="16"/>
          <w:szCs w:val="16"/>
          <w:lang w:val="es-ES"/>
        </w:rPr>
        <w:t>.</w:t>
      </w:r>
    </w:p>
    <w:p w14:paraId="5640AAFE" w14:textId="77777777" w:rsidR="00F00E9D" w:rsidRPr="00BE20CF" w:rsidRDefault="00F00E9D" w:rsidP="00F00E9D">
      <w:pPr>
        <w:pStyle w:val="Textonotapie"/>
        <w:spacing w:after="0" w:line="240" w:lineRule="auto"/>
        <w:ind w:firstLine="709"/>
        <w:rPr>
          <w:rFonts w:ascii="Arial" w:hAnsi="Arial" w:cs="Arial"/>
          <w:sz w:val="16"/>
          <w:szCs w:val="16"/>
          <w:lang w:val="es-ES"/>
        </w:rPr>
      </w:pPr>
    </w:p>
  </w:footnote>
  <w:footnote w:id="16">
    <w:p w14:paraId="09ECBEB3" w14:textId="77777777" w:rsidR="00F00E9D" w:rsidRPr="00BE20CF" w:rsidRDefault="00F00E9D" w:rsidP="00F00E9D">
      <w:pPr>
        <w:pStyle w:val="Textonotapie"/>
        <w:spacing w:after="0" w:line="240" w:lineRule="auto"/>
        <w:ind w:firstLine="709"/>
        <w:rPr>
          <w:rFonts w:ascii="Arial" w:hAnsi="Arial" w:cs="Arial"/>
          <w:sz w:val="16"/>
          <w:szCs w:val="16"/>
          <w:lang w:val="es-ES"/>
        </w:rPr>
      </w:pPr>
      <w:r w:rsidRPr="00BE20CF">
        <w:rPr>
          <w:rStyle w:val="Refdenotaalpie"/>
          <w:rFonts w:ascii="Arial" w:hAnsi="Arial" w:cs="Arial"/>
          <w:sz w:val="16"/>
          <w:szCs w:val="16"/>
        </w:rPr>
        <w:footnoteRef/>
      </w:r>
      <w:r w:rsidRPr="00BE20CF">
        <w:rPr>
          <w:rStyle w:val="Refdenotaalpie"/>
          <w:rFonts w:ascii="Arial" w:hAnsi="Arial" w:cs="Arial"/>
          <w:sz w:val="16"/>
          <w:szCs w:val="16"/>
        </w:rPr>
        <w:t xml:space="preserve"> </w:t>
      </w:r>
      <w:bookmarkStart w:id="29" w:name="_Hlk74297130"/>
      <w:r w:rsidRPr="00BE20CF">
        <w:rPr>
          <w:rFonts w:ascii="Arial" w:hAnsi="Arial" w:cs="Arial"/>
          <w:sz w:val="16"/>
          <w:szCs w:val="16"/>
          <w:lang w:val="es-ES"/>
        </w:rPr>
        <w:t>«</w:t>
      </w:r>
      <w:bookmarkEnd w:id="29"/>
      <w:r w:rsidRPr="00BE20CF">
        <w:rPr>
          <w:rFonts w:ascii="Arial" w:hAnsi="Arial" w:cs="Arial"/>
          <w:sz w:val="16"/>
          <w:szCs w:val="16"/>
          <w:lang w:val="es-ES"/>
        </w:rPr>
        <w:t xml:space="preserve">[…] A este respecto, cabe recordar que el artículo 860 del Código de Comercio regula la licitación en el derecho privado». </w:t>
      </w:r>
    </w:p>
    <w:p w14:paraId="5A5C8622" w14:textId="77777777" w:rsidR="00F00E9D" w:rsidRPr="00BE20CF" w:rsidRDefault="00F00E9D" w:rsidP="00F00E9D">
      <w:pPr>
        <w:pStyle w:val="Textonotapie"/>
        <w:spacing w:after="0" w:line="240" w:lineRule="auto"/>
        <w:ind w:firstLine="709"/>
        <w:rPr>
          <w:rFonts w:ascii="Arial" w:hAnsi="Arial" w:cs="Arial"/>
          <w:sz w:val="16"/>
          <w:szCs w:val="16"/>
          <w:lang w:val="es-ES"/>
        </w:rPr>
      </w:pPr>
    </w:p>
  </w:footnote>
  <w:footnote w:id="17">
    <w:p w14:paraId="2A92AD88" w14:textId="77777777" w:rsidR="00F00E9D" w:rsidRPr="00BE20CF" w:rsidRDefault="00F00E9D" w:rsidP="00F00E9D">
      <w:pPr>
        <w:shd w:val="clear" w:color="auto" w:fill="FFFFFF"/>
        <w:spacing w:after="0" w:line="240" w:lineRule="auto"/>
        <w:ind w:firstLine="709"/>
        <w:rPr>
          <w:rFonts w:ascii="Arial" w:hAnsi="Arial" w:cs="Arial"/>
          <w:sz w:val="16"/>
          <w:szCs w:val="16"/>
          <w:lang w:val="es-ES"/>
        </w:rPr>
      </w:pPr>
      <w:r w:rsidRPr="00BE20CF">
        <w:rPr>
          <w:rStyle w:val="Refdenotaalpie"/>
          <w:rFonts w:ascii="Arial" w:hAnsi="Arial" w:cs="Arial"/>
          <w:sz w:val="16"/>
          <w:szCs w:val="16"/>
        </w:rPr>
        <w:footnoteRef/>
      </w:r>
      <w:r w:rsidRPr="00BE20CF">
        <w:rPr>
          <w:rStyle w:val="Refdenotaalpie"/>
          <w:rFonts w:ascii="Arial" w:hAnsi="Arial" w:cs="Arial"/>
          <w:sz w:val="16"/>
          <w:szCs w:val="16"/>
        </w:rPr>
        <w:t xml:space="preserve"> </w:t>
      </w:r>
      <w:r w:rsidRPr="00BE20CF">
        <w:rPr>
          <w:rFonts w:ascii="Arial" w:hAnsi="Arial" w:cs="Arial"/>
          <w:sz w:val="16"/>
          <w:szCs w:val="16"/>
          <w:lang w:val="es-ES"/>
        </w:rPr>
        <w:t xml:space="preserve">Consejo de Estado. Sala de Consulta y Servicio Civil, Concepto de 8 de mayo de 2018. Radicación Número: 11001-03-06-000-2018-00095-00(2382). Consejero Ponente: Álvaro </w:t>
      </w:r>
      <w:proofErr w:type="spellStart"/>
      <w:r w:rsidRPr="00BE20CF">
        <w:rPr>
          <w:rFonts w:ascii="Arial" w:hAnsi="Arial" w:cs="Arial"/>
          <w:sz w:val="16"/>
          <w:szCs w:val="16"/>
          <w:lang w:val="es-ES"/>
        </w:rPr>
        <w:t>Namén</w:t>
      </w:r>
      <w:proofErr w:type="spellEnd"/>
      <w:r w:rsidRPr="00BE20CF">
        <w:rPr>
          <w:rFonts w:ascii="Arial" w:hAnsi="Arial" w:cs="Arial"/>
          <w:sz w:val="16"/>
          <w:szCs w:val="16"/>
          <w:lang w:val="es-ES"/>
        </w:rPr>
        <w:t xml:space="preserve"> Vargas.</w:t>
      </w:r>
    </w:p>
    <w:p w14:paraId="5817F274" w14:textId="77777777" w:rsidR="00F00E9D" w:rsidRPr="00BE20CF" w:rsidRDefault="00F00E9D" w:rsidP="00F00E9D">
      <w:pPr>
        <w:shd w:val="clear" w:color="auto" w:fill="FFFFFF"/>
        <w:spacing w:after="0" w:line="240" w:lineRule="auto"/>
        <w:ind w:firstLine="709"/>
        <w:rPr>
          <w:rFonts w:ascii="Arial" w:hAnsi="Arial" w:cs="Arial"/>
          <w:sz w:val="16"/>
          <w:szCs w:val="16"/>
          <w:lang w:val="es-ES"/>
        </w:rPr>
      </w:pPr>
    </w:p>
  </w:footnote>
  <w:footnote w:id="18">
    <w:p w14:paraId="29BD20E3" w14:textId="77777777" w:rsidR="00F00E9D" w:rsidRPr="00BE20CF" w:rsidRDefault="00F00E9D" w:rsidP="00F00E9D">
      <w:pPr>
        <w:pStyle w:val="Textonotapie"/>
        <w:spacing w:after="0" w:line="240" w:lineRule="auto"/>
        <w:ind w:firstLine="709"/>
        <w:rPr>
          <w:rFonts w:ascii="Arial"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Consejo de Estado. Sala de Consulta y Servicio Civil. Concepto del 08 de mayo de 2018. Exp. 2.382. C.P. Álvaro Namén Vargas.</w:t>
      </w:r>
    </w:p>
  </w:footnote>
  <w:footnote w:id="19">
    <w:p w14:paraId="57A368A6" w14:textId="77777777" w:rsidR="00F00E9D" w:rsidRPr="00BE20CF" w:rsidRDefault="00F00E9D" w:rsidP="00F00E9D">
      <w:pPr>
        <w:pStyle w:val="Textonotapie"/>
        <w:spacing w:after="0" w:line="240" w:lineRule="auto"/>
        <w:ind w:firstLine="709"/>
        <w:rPr>
          <w:rFonts w:ascii="Arial"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5CBD3397" w14:textId="77777777" w:rsidR="00406B93" w:rsidRPr="00BE20CF" w:rsidRDefault="00406B93" w:rsidP="00406B93">
      <w:pPr>
        <w:pStyle w:val="Textonotapie"/>
        <w:spacing w:after="0" w:line="240" w:lineRule="auto"/>
        <w:ind w:firstLine="709"/>
        <w:rPr>
          <w:rFonts w:ascii="Arial"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Consejo de Estado. Sala de Consulta y Servicio Civil. Concepto de 20 de febrero de2006. Radicación 11001-03-06-000-2006-00023-00(1724). Consejero Ponente: Flavio Augusto Rodríguez Arce.</w:t>
      </w:r>
    </w:p>
    <w:p w14:paraId="61711FAA" w14:textId="77777777" w:rsidR="00406B93" w:rsidRPr="00BE20CF" w:rsidRDefault="00406B93" w:rsidP="00406B93">
      <w:pPr>
        <w:pStyle w:val="Textonotapie"/>
        <w:spacing w:after="0" w:line="240" w:lineRule="auto"/>
        <w:ind w:firstLine="709"/>
        <w:rPr>
          <w:rFonts w:ascii="Arial" w:hAnsi="Arial" w:cs="Arial"/>
          <w:sz w:val="16"/>
          <w:szCs w:val="16"/>
        </w:rPr>
      </w:pPr>
    </w:p>
  </w:footnote>
  <w:footnote w:id="21">
    <w:p w14:paraId="32F28D62" w14:textId="77777777" w:rsidR="00F00E9D" w:rsidRPr="00BE20CF" w:rsidRDefault="00F00E9D" w:rsidP="00F00E9D">
      <w:pPr>
        <w:spacing w:after="0" w:line="240" w:lineRule="auto"/>
        <w:ind w:firstLine="709"/>
        <w:rPr>
          <w:rFonts w:ascii="Arial"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1E26C3B7" w14:textId="77777777" w:rsidR="00F00E9D" w:rsidRPr="00BE20CF" w:rsidRDefault="00F00E9D" w:rsidP="00F00E9D">
      <w:pPr>
        <w:spacing w:after="0" w:line="240" w:lineRule="auto"/>
        <w:ind w:firstLine="709"/>
        <w:rPr>
          <w:rFonts w:ascii="Arial" w:hAnsi="Arial" w:cs="Arial"/>
          <w:sz w:val="16"/>
          <w:szCs w:val="16"/>
        </w:rPr>
      </w:pPr>
    </w:p>
  </w:footnote>
  <w:footnote w:id="22">
    <w:p w14:paraId="502F1886" w14:textId="77777777" w:rsidR="00F00E9D" w:rsidRPr="00BE20CF" w:rsidRDefault="00F00E9D" w:rsidP="00F00E9D">
      <w:pPr>
        <w:pStyle w:val="Textonotapie"/>
        <w:spacing w:after="0" w:line="240" w:lineRule="auto"/>
        <w:ind w:right="51" w:firstLine="709"/>
        <w:rPr>
          <w:rFonts w:ascii="Arial"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w:t>
      </w:r>
      <w:bookmarkStart w:id="43" w:name="_Hlk75633115"/>
      <w:r w:rsidRPr="00BE20CF">
        <w:rPr>
          <w:rFonts w:ascii="Arial" w:hAnsi="Arial" w:cs="Arial"/>
          <w:sz w:val="16"/>
          <w:szCs w:val="16"/>
        </w:rPr>
        <w:t xml:space="preserve">Consejo de Estado. Sala de Consulta y Servicio Civil. Concepto </w:t>
      </w:r>
      <w:bookmarkEnd w:id="43"/>
      <w:r w:rsidRPr="00BE20CF">
        <w:rPr>
          <w:rFonts w:ascii="Arial" w:hAnsi="Arial" w:cs="Arial"/>
          <w:sz w:val="16"/>
          <w:szCs w:val="16"/>
        </w:rPr>
        <w:t>de 6 de abril de 2006. Radicación Número: 11001-03-06-000-2006-00038-00(1738). Consejero Ponente: Enrique José Arboleda Perdomo:</w:t>
      </w:r>
      <w:r w:rsidRPr="00BE20CF">
        <w:rPr>
          <w:rFonts w:ascii="Arial" w:eastAsia="Times New Roman" w:hAnsi="Arial" w:cs="Arial"/>
          <w:bCs/>
          <w:sz w:val="16"/>
          <w:szCs w:val="16"/>
          <w:lang w:eastAsia="x-none"/>
        </w:rPr>
        <w:t xml:space="preserve"> «</w:t>
      </w:r>
      <w:r w:rsidRPr="00BE20CF">
        <w:rPr>
          <w:rFonts w:ascii="Arial" w:hAnsi="Arial"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BE20CF">
        <w:rPr>
          <w:rFonts w:ascii="Arial" w:eastAsia="Times New Roman" w:hAnsi="Arial" w:cs="Arial"/>
          <w:bCs/>
          <w:sz w:val="16"/>
          <w:szCs w:val="16"/>
          <w:lang w:eastAsia="x-none"/>
        </w:rPr>
        <w:t>».</w:t>
      </w:r>
    </w:p>
  </w:footnote>
  <w:footnote w:id="23">
    <w:p w14:paraId="7C0BA340" w14:textId="4C255B50" w:rsidR="00F00E9D" w:rsidRPr="00BE20CF" w:rsidRDefault="00F00E9D">
      <w:pPr>
        <w:pStyle w:val="Textonotapie"/>
        <w:spacing w:after="0" w:line="240" w:lineRule="auto"/>
        <w:ind w:right="51" w:firstLine="709"/>
        <w:rPr>
          <w:rFonts w:ascii="Arial"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Consejo de Estado. Sala de Consulta y Servicio Civil. Concepto de 6 de abril de 2006. Radicación Número: 11001-03-06-000-2006-00038-00(1738). Consejero Ponente: Enrique José Arboleda Perdomo</w:t>
      </w:r>
    </w:p>
  </w:footnote>
  <w:footnote w:id="24">
    <w:p w14:paraId="6582D139" w14:textId="77777777" w:rsidR="00F00E9D" w:rsidRPr="00BE20CF" w:rsidRDefault="00F00E9D" w:rsidP="00F00E9D">
      <w:pPr>
        <w:pStyle w:val="Textonotapie"/>
        <w:spacing w:after="0" w:line="240" w:lineRule="auto"/>
        <w:ind w:right="51" w:firstLine="709"/>
        <w:rPr>
          <w:rFonts w:ascii="Arial"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Consejo de Estado. Sala de Consulta y Servicio Civil, ídem.</w:t>
      </w:r>
    </w:p>
  </w:footnote>
  <w:footnote w:id="25">
    <w:p w14:paraId="1A9778C4" w14:textId="77777777" w:rsidR="00850AEB" w:rsidRPr="00BE20CF" w:rsidRDefault="00850AEB" w:rsidP="00850AEB">
      <w:pPr>
        <w:spacing w:after="0" w:line="240" w:lineRule="auto"/>
        <w:ind w:left="300" w:right="306" w:firstLine="707"/>
        <w:rPr>
          <w:rFonts w:ascii="Arial" w:hAnsi="Arial" w:cs="Arial"/>
          <w:sz w:val="16"/>
          <w:szCs w:val="16"/>
        </w:rPr>
      </w:pPr>
      <w:r w:rsidRPr="00BE20CF">
        <w:rPr>
          <w:rStyle w:val="Refdenotaalpie"/>
          <w:rFonts w:ascii="Arial" w:hAnsi="Arial" w:cs="Arial"/>
          <w:sz w:val="16"/>
          <w:szCs w:val="16"/>
        </w:rPr>
        <w:footnoteRef/>
      </w:r>
      <w:r w:rsidRPr="00BE20CF">
        <w:rPr>
          <w:rFonts w:ascii="Arial" w:hAnsi="Arial" w:cs="Arial"/>
          <w:sz w:val="16"/>
          <w:szCs w:val="16"/>
        </w:rPr>
        <w:t xml:space="preserve"> Ley 1150 de 2007, artículo 2: La escogencia del contratista se efectuará con arreglo a las modalidades de selección de licitación pública, selección abreviada, concurso de méritos y contratación directa, con base en las siguientes reglas:</w:t>
      </w:r>
    </w:p>
    <w:p w14:paraId="4000A522" w14:textId="77777777" w:rsidR="00850AEB" w:rsidRPr="00BE20CF" w:rsidRDefault="00850AEB" w:rsidP="00850AEB">
      <w:pPr>
        <w:spacing w:after="0" w:line="240" w:lineRule="auto"/>
        <w:ind w:left="300" w:right="306"/>
        <w:rPr>
          <w:rFonts w:ascii="Arial" w:hAnsi="Arial" w:cs="Arial"/>
          <w:sz w:val="16"/>
          <w:szCs w:val="16"/>
        </w:rPr>
      </w:pPr>
      <w:r w:rsidRPr="00BE20CF">
        <w:rPr>
          <w:rFonts w:ascii="Arial" w:hAnsi="Arial" w:cs="Arial"/>
          <w:sz w:val="16"/>
          <w:szCs w:val="16"/>
        </w:rPr>
        <w:t>(…)</w:t>
      </w:r>
    </w:p>
    <w:p w14:paraId="73CBF073" w14:textId="77777777" w:rsidR="00850AEB" w:rsidRPr="00BE20CF" w:rsidRDefault="00850AEB" w:rsidP="00850AEB">
      <w:pPr>
        <w:spacing w:after="0" w:line="240" w:lineRule="auto"/>
        <w:ind w:left="300" w:right="306"/>
        <w:rPr>
          <w:rFonts w:ascii="Arial" w:hAnsi="Arial" w:cs="Arial"/>
          <w:sz w:val="16"/>
          <w:szCs w:val="16"/>
        </w:rPr>
      </w:pPr>
      <w:r w:rsidRPr="00BE20CF">
        <w:rPr>
          <w:rFonts w:ascii="Arial" w:hAnsi="Arial" w:cs="Arial"/>
          <w:sz w:val="16"/>
          <w:szCs w:val="16"/>
        </w:rPr>
        <w:t>“4. Contratación directa. La modalidad de selección de contratación directa, solamente procederá en los siguientes casos:</w:t>
      </w:r>
    </w:p>
    <w:p w14:paraId="71D46994" w14:textId="77777777" w:rsidR="00850AEB" w:rsidRPr="00BE20CF" w:rsidRDefault="00850AEB" w:rsidP="00850AEB">
      <w:pPr>
        <w:spacing w:after="0" w:line="240" w:lineRule="auto"/>
        <w:ind w:left="300" w:right="306"/>
        <w:rPr>
          <w:rFonts w:ascii="Arial" w:hAnsi="Arial" w:cs="Arial"/>
          <w:sz w:val="16"/>
          <w:szCs w:val="16"/>
        </w:rPr>
      </w:pPr>
      <w:r w:rsidRPr="00BE20CF">
        <w:rPr>
          <w:rFonts w:ascii="Arial" w:hAnsi="Arial" w:cs="Arial"/>
          <w:sz w:val="16"/>
          <w:szCs w:val="16"/>
        </w:rPr>
        <w:t>(…)</w:t>
      </w:r>
    </w:p>
    <w:p w14:paraId="7CE35211" w14:textId="77777777" w:rsidR="00850AEB" w:rsidRPr="00BE20CF" w:rsidRDefault="00850AEB" w:rsidP="00850AEB">
      <w:pPr>
        <w:spacing w:after="0" w:line="240" w:lineRule="auto"/>
        <w:ind w:left="300" w:right="306"/>
        <w:rPr>
          <w:rFonts w:ascii="Arial" w:hAnsi="Arial" w:cs="Arial"/>
          <w:sz w:val="16"/>
          <w:szCs w:val="16"/>
        </w:rPr>
      </w:pPr>
      <w:r w:rsidRPr="00BE20CF">
        <w:rPr>
          <w:rFonts w:ascii="Arial" w:hAnsi="Arial" w:cs="Arial"/>
          <w:sz w:val="16"/>
          <w:szCs w:val="16"/>
        </w:rPr>
        <w:t>“h) Para la prestación de servicios profesionales y de apoyo a la gestión, o para la ejecución de trabajos artísticos que sólo puedan encomendarse a determinadas personas naturales”.</w:t>
      </w:r>
    </w:p>
  </w:footnote>
  <w:footnote w:id="26">
    <w:p w14:paraId="1F1E6447" w14:textId="61B63A57" w:rsidR="003B3CE7" w:rsidRPr="00BE20CF" w:rsidRDefault="003B3CE7" w:rsidP="003B3CE7">
      <w:pPr>
        <w:pStyle w:val="Textonotapie"/>
        <w:spacing w:after="0" w:line="240" w:lineRule="auto"/>
        <w:rPr>
          <w:rFonts w:ascii="Arial" w:hAnsi="Arial" w:cs="Arial"/>
          <w:sz w:val="16"/>
          <w:szCs w:val="16"/>
          <w:lang w:val="es-ES"/>
        </w:rPr>
      </w:pPr>
      <w:r w:rsidRPr="00BE20CF">
        <w:rPr>
          <w:rStyle w:val="Refdenotaalpie"/>
          <w:rFonts w:ascii="Arial" w:hAnsi="Arial" w:cs="Arial"/>
          <w:sz w:val="16"/>
          <w:szCs w:val="16"/>
        </w:rPr>
        <w:footnoteRef/>
      </w:r>
      <w:r w:rsidRPr="00BE20CF">
        <w:rPr>
          <w:rFonts w:ascii="Arial" w:hAnsi="Arial" w:cs="Arial"/>
          <w:sz w:val="16"/>
          <w:szCs w:val="16"/>
        </w:rPr>
        <w:t xml:space="preserve"> </w:t>
      </w:r>
      <w:r w:rsidRPr="00BE20CF">
        <w:rPr>
          <w:rFonts w:ascii="Arial" w:hAnsi="Arial" w:cs="Arial"/>
          <w:sz w:val="16"/>
          <w:szCs w:val="16"/>
          <w:lang w:val="es-ES"/>
        </w:rPr>
        <w:t xml:space="preserve">Registraduría Nacional del Estado Civil, Resolución 2098 del 12 de marzo de 2021, por medio de la cual se fija el calendario electoral para las elecciones de Congreso de la República del año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AA9E8" w14:textId="77777777" w:rsidR="00412132" w:rsidRDefault="00367C52">
    <w:pPr>
      <w:pStyle w:val="Encabezado"/>
    </w:pPr>
    <w:r>
      <w:rPr>
        <w:noProof/>
        <w:lang w:val="es-CO" w:eastAsia="es-CO"/>
      </w:rPr>
      <w:drawing>
        <wp:anchor distT="0" distB="0" distL="114300" distR="114300" simplePos="0" relativeHeight="251659264" behindDoc="1" locked="0" layoutInCell="1" allowOverlap="1" wp14:anchorId="635FBE0F" wp14:editId="6B0B2A7D">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83377958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A4E6DF" w14:textId="77777777" w:rsidR="00FE0395" w:rsidRDefault="00EA2F39" w:rsidP="00FE0395">
    <w:pPr>
      <w:pStyle w:val="Encabezado"/>
      <w:spacing w:after="0"/>
    </w:pPr>
  </w:p>
  <w:p w14:paraId="6A39F5AE" w14:textId="77777777" w:rsidR="00412132" w:rsidRDefault="00EA2F3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1" w15:restartNumberingAfterBreak="0">
    <w:nsid w:val="5CD47B2C"/>
    <w:multiLevelType w:val="hybridMultilevel"/>
    <w:tmpl w:val="C3C28908"/>
    <w:lvl w:ilvl="0" w:tplc="240A000F">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 w15:restartNumberingAfterBreak="0">
    <w:nsid w:val="6DBC24E2"/>
    <w:multiLevelType w:val="hybridMultilevel"/>
    <w:tmpl w:val="57EC4A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D43"/>
    <w:rsid w:val="00001152"/>
    <w:rsid w:val="00001D47"/>
    <w:rsid w:val="0000769C"/>
    <w:rsid w:val="0005235E"/>
    <w:rsid w:val="00061F84"/>
    <w:rsid w:val="0006334E"/>
    <w:rsid w:val="0006713C"/>
    <w:rsid w:val="000740E8"/>
    <w:rsid w:val="000752BE"/>
    <w:rsid w:val="00082FD6"/>
    <w:rsid w:val="0009437D"/>
    <w:rsid w:val="000955F5"/>
    <w:rsid w:val="000A0A23"/>
    <w:rsid w:val="000B5DFC"/>
    <w:rsid w:val="000B66C7"/>
    <w:rsid w:val="000C6406"/>
    <w:rsid w:val="000D03EB"/>
    <w:rsid w:val="000D3D99"/>
    <w:rsid w:val="000E556B"/>
    <w:rsid w:val="000E5820"/>
    <w:rsid w:val="00112375"/>
    <w:rsid w:val="00115A90"/>
    <w:rsid w:val="00117662"/>
    <w:rsid w:val="00120434"/>
    <w:rsid w:val="00125910"/>
    <w:rsid w:val="001320B2"/>
    <w:rsid w:val="00136512"/>
    <w:rsid w:val="0014071B"/>
    <w:rsid w:val="001415A7"/>
    <w:rsid w:val="00144243"/>
    <w:rsid w:val="00147343"/>
    <w:rsid w:val="00164CF3"/>
    <w:rsid w:val="001652E2"/>
    <w:rsid w:val="0017144B"/>
    <w:rsid w:val="00172A79"/>
    <w:rsid w:val="0018051D"/>
    <w:rsid w:val="0018539D"/>
    <w:rsid w:val="00190FE6"/>
    <w:rsid w:val="001947D5"/>
    <w:rsid w:val="001A1340"/>
    <w:rsid w:val="001C3078"/>
    <w:rsid w:val="001C3288"/>
    <w:rsid w:val="001D5E31"/>
    <w:rsid w:val="001F27C8"/>
    <w:rsid w:val="00214628"/>
    <w:rsid w:val="00223B9C"/>
    <w:rsid w:val="00234466"/>
    <w:rsid w:val="00237BD3"/>
    <w:rsid w:val="00246503"/>
    <w:rsid w:val="00252671"/>
    <w:rsid w:val="00252ED9"/>
    <w:rsid w:val="002551B3"/>
    <w:rsid w:val="00264455"/>
    <w:rsid w:val="00265070"/>
    <w:rsid w:val="00277DCE"/>
    <w:rsid w:val="0028591C"/>
    <w:rsid w:val="00285F6C"/>
    <w:rsid w:val="00286968"/>
    <w:rsid w:val="002902CF"/>
    <w:rsid w:val="0029475E"/>
    <w:rsid w:val="00297D7E"/>
    <w:rsid w:val="002A389C"/>
    <w:rsid w:val="002B50EE"/>
    <w:rsid w:val="002C3ABC"/>
    <w:rsid w:val="002C4226"/>
    <w:rsid w:val="002C4841"/>
    <w:rsid w:val="002D00B0"/>
    <w:rsid w:val="002D0F3A"/>
    <w:rsid w:val="002D1482"/>
    <w:rsid w:val="002E1739"/>
    <w:rsid w:val="002E2F17"/>
    <w:rsid w:val="002E4608"/>
    <w:rsid w:val="002F02C5"/>
    <w:rsid w:val="003057FF"/>
    <w:rsid w:val="003121C9"/>
    <w:rsid w:val="00316A0E"/>
    <w:rsid w:val="00327A09"/>
    <w:rsid w:val="00330E29"/>
    <w:rsid w:val="00332296"/>
    <w:rsid w:val="00333356"/>
    <w:rsid w:val="00333616"/>
    <w:rsid w:val="00335655"/>
    <w:rsid w:val="00342095"/>
    <w:rsid w:val="00342484"/>
    <w:rsid w:val="00347E32"/>
    <w:rsid w:val="003517EC"/>
    <w:rsid w:val="0035727E"/>
    <w:rsid w:val="0035778A"/>
    <w:rsid w:val="00365B44"/>
    <w:rsid w:val="00367C52"/>
    <w:rsid w:val="0037705A"/>
    <w:rsid w:val="0038098C"/>
    <w:rsid w:val="00381B55"/>
    <w:rsid w:val="00383D7D"/>
    <w:rsid w:val="00387A85"/>
    <w:rsid w:val="00396E90"/>
    <w:rsid w:val="003A5FCB"/>
    <w:rsid w:val="003B3CE7"/>
    <w:rsid w:val="003C665A"/>
    <w:rsid w:val="003D2622"/>
    <w:rsid w:val="003D6A9A"/>
    <w:rsid w:val="003E46BF"/>
    <w:rsid w:val="003F1F9B"/>
    <w:rsid w:val="003F3764"/>
    <w:rsid w:val="003F7D27"/>
    <w:rsid w:val="004002A8"/>
    <w:rsid w:val="00406B93"/>
    <w:rsid w:val="00411C70"/>
    <w:rsid w:val="0041299F"/>
    <w:rsid w:val="0041408F"/>
    <w:rsid w:val="004155BC"/>
    <w:rsid w:val="004179D7"/>
    <w:rsid w:val="004233D9"/>
    <w:rsid w:val="00430256"/>
    <w:rsid w:val="00430E2C"/>
    <w:rsid w:val="00434DB0"/>
    <w:rsid w:val="004421F5"/>
    <w:rsid w:val="0045086D"/>
    <w:rsid w:val="004579B5"/>
    <w:rsid w:val="00463BCC"/>
    <w:rsid w:val="00466C99"/>
    <w:rsid w:val="00473C55"/>
    <w:rsid w:val="00485D5A"/>
    <w:rsid w:val="00490E33"/>
    <w:rsid w:val="004A00C6"/>
    <w:rsid w:val="004A1545"/>
    <w:rsid w:val="004A474B"/>
    <w:rsid w:val="004A7C05"/>
    <w:rsid w:val="004B0934"/>
    <w:rsid w:val="004C68E6"/>
    <w:rsid w:val="004D5343"/>
    <w:rsid w:val="004D7EB6"/>
    <w:rsid w:val="004E0658"/>
    <w:rsid w:val="004F202C"/>
    <w:rsid w:val="0050115F"/>
    <w:rsid w:val="00520F82"/>
    <w:rsid w:val="005242A5"/>
    <w:rsid w:val="005259AF"/>
    <w:rsid w:val="00527407"/>
    <w:rsid w:val="0053097C"/>
    <w:rsid w:val="005334FB"/>
    <w:rsid w:val="005462D4"/>
    <w:rsid w:val="00551FF8"/>
    <w:rsid w:val="00552FD3"/>
    <w:rsid w:val="00576925"/>
    <w:rsid w:val="005839B5"/>
    <w:rsid w:val="00592F86"/>
    <w:rsid w:val="00594602"/>
    <w:rsid w:val="005B61A8"/>
    <w:rsid w:val="005C48BE"/>
    <w:rsid w:val="005D0331"/>
    <w:rsid w:val="005D7794"/>
    <w:rsid w:val="005E2148"/>
    <w:rsid w:val="005E35AB"/>
    <w:rsid w:val="005E7A82"/>
    <w:rsid w:val="005F5BE7"/>
    <w:rsid w:val="005F7C5D"/>
    <w:rsid w:val="006014CD"/>
    <w:rsid w:val="006057D6"/>
    <w:rsid w:val="006308D1"/>
    <w:rsid w:val="00656299"/>
    <w:rsid w:val="00662FCA"/>
    <w:rsid w:val="00663A1D"/>
    <w:rsid w:val="00672D92"/>
    <w:rsid w:val="006745A0"/>
    <w:rsid w:val="00675729"/>
    <w:rsid w:val="006802F9"/>
    <w:rsid w:val="006874C7"/>
    <w:rsid w:val="0069144A"/>
    <w:rsid w:val="00691659"/>
    <w:rsid w:val="00697707"/>
    <w:rsid w:val="006A4522"/>
    <w:rsid w:val="006A5049"/>
    <w:rsid w:val="006A5F68"/>
    <w:rsid w:val="006B42C6"/>
    <w:rsid w:val="006D0FFB"/>
    <w:rsid w:val="006D19D9"/>
    <w:rsid w:val="006E1DD2"/>
    <w:rsid w:val="006F39CA"/>
    <w:rsid w:val="00704D80"/>
    <w:rsid w:val="00712A56"/>
    <w:rsid w:val="00722501"/>
    <w:rsid w:val="007321BB"/>
    <w:rsid w:val="0074681A"/>
    <w:rsid w:val="007506DE"/>
    <w:rsid w:val="00751407"/>
    <w:rsid w:val="0075359B"/>
    <w:rsid w:val="00757332"/>
    <w:rsid w:val="0075740E"/>
    <w:rsid w:val="00757F7C"/>
    <w:rsid w:val="00765C29"/>
    <w:rsid w:val="007745D8"/>
    <w:rsid w:val="007821B1"/>
    <w:rsid w:val="007849CA"/>
    <w:rsid w:val="00786573"/>
    <w:rsid w:val="007907E3"/>
    <w:rsid w:val="007B7A55"/>
    <w:rsid w:val="007C3749"/>
    <w:rsid w:val="007C43AE"/>
    <w:rsid w:val="007D335D"/>
    <w:rsid w:val="007E7B2E"/>
    <w:rsid w:val="00824CF1"/>
    <w:rsid w:val="00831238"/>
    <w:rsid w:val="00837415"/>
    <w:rsid w:val="0084203B"/>
    <w:rsid w:val="008440E5"/>
    <w:rsid w:val="0084589F"/>
    <w:rsid w:val="00850AEB"/>
    <w:rsid w:val="008522FB"/>
    <w:rsid w:val="00854406"/>
    <w:rsid w:val="008725E6"/>
    <w:rsid w:val="008749B5"/>
    <w:rsid w:val="008850F7"/>
    <w:rsid w:val="00885679"/>
    <w:rsid w:val="00896BB1"/>
    <w:rsid w:val="00896F3D"/>
    <w:rsid w:val="008A170A"/>
    <w:rsid w:val="008A17E7"/>
    <w:rsid w:val="008A56B4"/>
    <w:rsid w:val="008A63F9"/>
    <w:rsid w:val="008B2A8B"/>
    <w:rsid w:val="008D0729"/>
    <w:rsid w:val="008D3A8D"/>
    <w:rsid w:val="008F749D"/>
    <w:rsid w:val="00902026"/>
    <w:rsid w:val="00905D16"/>
    <w:rsid w:val="00911064"/>
    <w:rsid w:val="00923D1E"/>
    <w:rsid w:val="00933E9F"/>
    <w:rsid w:val="009346F3"/>
    <w:rsid w:val="00947768"/>
    <w:rsid w:val="00947B81"/>
    <w:rsid w:val="00961AF7"/>
    <w:rsid w:val="009643F1"/>
    <w:rsid w:val="00976F6C"/>
    <w:rsid w:val="009802EE"/>
    <w:rsid w:val="0099060E"/>
    <w:rsid w:val="009942E8"/>
    <w:rsid w:val="009B6F4F"/>
    <w:rsid w:val="009C1A87"/>
    <w:rsid w:val="009C4A25"/>
    <w:rsid w:val="009E2A24"/>
    <w:rsid w:val="009E5F14"/>
    <w:rsid w:val="009F01BD"/>
    <w:rsid w:val="00A07454"/>
    <w:rsid w:val="00A1283E"/>
    <w:rsid w:val="00A17023"/>
    <w:rsid w:val="00A22383"/>
    <w:rsid w:val="00A2394C"/>
    <w:rsid w:val="00A27B09"/>
    <w:rsid w:val="00A3664B"/>
    <w:rsid w:val="00A439FD"/>
    <w:rsid w:val="00A47A72"/>
    <w:rsid w:val="00A549F6"/>
    <w:rsid w:val="00A55B08"/>
    <w:rsid w:val="00A6332F"/>
    <w:rsid w:val="00A72E10"/>
    <w:rsid w:val="00A7357C"/>
    <w:rsid w:val="00A747EA"/>
    <w:rsid w:val="00A802FF"/>
    <w:rsid w:val="00AA226E"/>
    <w:rsid w:val="00AA3585"/>
    <w:rsid w:val="00AA779C"/>
    <w:rsid w:val="00AB03C4"/>
    <w:rsid w:val="00AB5A7A"/>
    <w:rsid w:val="00AB7AA8"/>
    <w:rsid w:val="00AB7FF2"/>
    <w:rsid w:val="00AC438C"/>
    <w:rsid w:val="00AC5A6B"/>
    <w:rsid w:val="00AD4FCE"/>
    <w:rsid w:val="00AE51FD"/>
    <w:rsid w:val="00AF0C15"/>
    <w:rsid w:val="00B11830"/>
    <w:rsid w:val="00B12980"/>
    <w:rsid w:val="00B1389F"/>
    <w:rsid w:val="00B14A09"/>
    <w:rsid w:val="00B15845"/>
    <w:rsid w:val="00B22291"/>
    <w:rsid w:val="00B27BB9"/>
    <w:rsid w:val="00B32100"/>
    <w:rsid w:val="00B430D3"/>
    <w:rsid w:val="00B431EB"/>
    <w:rsid w:val="00B64F61"/>
    <w:rsid w:val="00B85AB1"/>
    <w:rsid w:val="00B86149"/>
    <w:rsid w:val="00B928AD"/>
    <w:rsid w:val="00B94378"/>
    <w:rsid w:val="00BA12AF"/>
    <w:rsid w:val="00BA24FE"/>
    <w:rsid w:val="00BA39A8"/>
    <w:rsid w:val="00BA6364"/>
    <w:rsid w:val="00BA6E69"/>
    <w:rsid w:val="00BB31D5"/>
    <w:rsid w:val="00BB5B21"/>
    <w:rsid w:val="00BB7F60"/>
    <w:rsid w:val="00BC4F98"/>
    <w:rsid w:val="00BC5B2A"/>
    <w:rsid w:val="00BD0D6B"/>
    <w:rsid w:val="00BD3DEC"/>
    <w:rsid w:val="00BD622A"/>
    <w:rsid w:val="00BE20CF"/>
    <w:rsid w:val="00BE2F5F"/>
    <w:rsid w:val="00BE34E9"/>
    <w:rsid w:val="00BE5307"/>
    <w:rsid w:val="00BF2A86"/>
    <w:rsid w:val="00BF3FDA"/>
    <w:rsid w:val="00C019FC"/>
    <w:rsid w:val="00C029E4"/>
    <w:rsid w:val="00C06E62"/>
    <w:rsid w:val="00C13E6B"/>
    <w:rsid w:val="00C14ADB"/>
    <w:rsid w:val="00C23EF3"/>
    <w:rsid w:val="00C2467B"/>
    <w:rsid w:val="00C25104"/>
    <w:rsid w:val="00C3484F"/>
    <w:rsid w:val="00C72815"/>
    <w:rsid w:val="00C92590"/>
    <w:rsid w:val="00C94FA0"/>
    <w:rsid w:val="00CB03F8"/>
    <w:rsid w:val="00CB6E6A"/>
    <w:rsid w:val="00CC3E2D"/>
    <w:rsid w:val="00CC7311"/>
    <w:rsid w:val="00CC7BE8"/>
    <w:rsid w:val="00CC7F27"/>
    <w:rsid w:val="00CD20F2"/>
    <w:rsid w:val="00CE1E80"/>
    <w:rsid w:val="00CE1F7A"/>
    <w:rsid w:val="00CE4AF8"/>
    <w:rsid w:val="00CE63A1"/>
    <w:rsid w:val="00CF70C8"/>
    <w:rsid w:val="00D029D8"/>
    <w:rsid w:val="00D04BB1"/>
    <w:rsid w:val="00D05B78"/>
    <w:rsid w:val="00D0611C"/>
    <w:rsid w:val="00D14B2B"/>
    <w:rsid w:val="00D15E32"/>
    <w:rsid w:val="00D213E0"/>
    <w:rsid w:val="00D24D69"/>
    <w:rsid w:val="00D32DAB"/>
    <w:rsid w:val="00D456A2"/>
    <w:rsid w:val="00D45D43"/>
    <w:rsid w:val="00D66E08"/>
    <w:rsid w:val="00D8401B"/>
    <w:rsid w:val="00D84526"/>
    <w:rsid w:val="00D93B8D"/>
    <w:rsid w:val="00D942B1"/>
    <w:rsid w:val="00DA492D"/>
    <w:rsid w:val="00DB035D"/>
    <w:rsid w:val="00DB04F8"/>
    <w:rsid w:val="00DB7DB1"/>
    <w:rsid w:val="00DD13CF"/>
    <w:rsid w:val="00DD541E"/>
    <w:rsid w:val="00DD7EBE"/>
    <w:rsid w:val="00DE3E1D"/>
    <w:rsid w:val="00DE58F7"/>
    <w:rsid w:val="00DF1D02"/>
    <w:rsid w:val="00DF5C33"/>
    <w:rsid w:val="00DF7D94"/>
    <w:rsid w:val="00E0159C"/>
    <w:rsid w:val="00E047BF"/>
    <w:rsid w:val="00E04B8F"/>
    <w:rsid w:val="00E22843"/>
    <w:rsid w:val="00E23478"/>
    <w:rsid w:val="00E26B85"/>
    <w:rsid w:val="00E35C0F"/>
    <w:rsid w:val="00E368A5"/>
    <w:rsid w:val="00E40B67"/>
    <w:rsid w:val="00E45D92"/>
    <w:rsid w:val="00E53482"/>
    <w:rsid w:val="00E60A27"/>
    <w:rsid w:val="00E62FA2"/>
    <w:rsid w:val="00E64A80"/>
    <w:rsid w:val="00E66C4D"/>
    <w:rsid w:val="00E77002"/>
    <w:rsid w:val="00E77242"/>
    <w:rsid w:val="00E878FA"/>
    <w:rsid w:val="00E94F1C"/>
    <w:rsid w:val="00E96E99"/>
    <w:rsid w:val="00EA263E"/>
    <w:rsid w:val="00EB07E8"/>
    <w:rsid w:val="00EB20C9"/>
    <w:rsid w:val="00EB373C"/>
    <w:rsid w:val="00EB451D"/>
    <w:rsid w:val="00EB58B9"/>
    <w:rsid w:val="00EC38CD"/>
    <w:rsid w:val="00EC604F"/>
    <w:rsid w:val="00ED20FF"/>
    <w:rsid w:val="00EE583F"/>
    <w:rsid w:val="00EE6006"/>
    <w:rsid w:val="00EF0EC3"/>
    <w:rsid w:val="00F002AE"/>
    <w:rsid w:val="00F00E9D"/>
    <w:rsid w:val="00F110C3"/>
    <w:rsid w:val="00F234AD"/>
    <w:rsid w:val="00F24BFC"/>
    <w:rsid w:val="00F31D08"/>
    <w:rsid w:val="00F40183"/>
    <w:rsid w:val="00F409C5"/>
    <w:rsid w:val="00F46DC3"/>
    <w:rsid w:val="00F54D63"/>
    <w:rsid w:val="00F611D3"/>
    <w:rsid w:val="00F80890"/>
    <w:rsid w:val="00F824DD"/>
    <w:rsid w:val="00F949C3"/>
    <w:rsid w:val="00FA1604"/>
    <w:rsid w:val="00FA2713"/>
    <w:rsid w:val="00FA5EB5"/>
    <w:rsid w:val="00FB12C8"/>
    <w:rsid w:val="00FB5BB4"/>
    <w:rsid w:val="00FC652D"/>
    <w:rsid w:val="00FD1DFE"/>
    <w:rsid w:val="00FD440D"/>
    <w:rsid w:val="00FD5C58"/>
    <w:rsid w:val="00FD6BFD"/>
    <w:rsid w:val="00FE03F5"/>
    <w:rsid w:val="00FE19BD"/>
    <w:rsid w:val="00FE26E0"/>
    <w:rsid w:val="00FE4F4B"/>
    <w:rsid w:val="00FE5670"/>
    <w:rsid w:val="00FF584B"/>
    <w:rsid w:val="00FF71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25F42"/>
  <w15:chartTrackingRefBased/>
  <w15:docId w15:val="{D91078B7-35F4-7D41-890A-84269CFAF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D43"/>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45D4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D45D43"/>
    <w:rPr>
      <w:sz w:val="20"/>
      <w:szCs w:val="20"/>
    </w:rPr>
  </w:style>
  <w:style w:type="character" w:customStyle="1" w:styleId="TextonotapieCar1">
    <w:name w:val="Texto nota pie Car1"/>
    <w:basedOn w:val="Fuentedeprrafopredeter"/>
    <w:uiPriority w:val="99"/>
    <w:semiHidden/>
    <w:rsid w:val="00D45D43"/>
    <w:rPr>
      <w:sz w:val="20"/>
      <w:szCs w:val="20"/>
      <w:lang w:val="es-ES_tradnl"/>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D45D43"/>
    <w:rPr>
      <w:vertAlign w:val="superscript"/>
    </w:rPr>
  </w:style>
  <w:style w:type="paragraph" w:customStyle="1" w:styleId="Appelnotedebasde">
    <w:name w:val="Appel note de bas de..."/>
    <w:basedOn w:val="Normal"/>
    <w:link w:val="Refdenotaalpie"/>
    <w:uiPriority w:val="99"/>
    <w:rsid w:val="00D45D43"/>
    <w:pPr>
      <w:spacing w:after="160" w:line="240" w:lineRule="exact"/>
    </w:pPr>
    <w:rPr>
      <w:vertAlign w:val="superscript"/>
      <w:lang w:val="es-CO"/>
    </w:rPr>
  </w:style>
  <w:style w:type="paragraph" w:styleId="Piedepgina">
    <w:name w:val="footer"/>
    <w:basedOn w:val="Normal"/>
    <w:link w:val="PiedepginaCar"/>
    <w:uiPriority w:val="99"/>
    <w:unhideWhenUsed/>
    <w:rsid w:val="00D45D43"/>
    <w:pPr>
      <w:tabs>
        <w:tab w:val="center" w:pos="4419"/>
        <w:tab w:val="right" w:pos="8838"/>
      </w:tabs>
    </w:pPr>
  </w:style>
  <w:style w:type="character" w:customStyle="1" w:styleId="PiedepginaCar">
    <w:name w:val="Pie de página Car"/>
    <w:basedOn w:val="Fuentedeprrafopredeter"/>
    <w:link w:val="Piedepgina"/>
    <w:uiPriority w:val="99"/>
    <w:rsid w:val="00D45D43"/>
    <w:rPr>
      <w:szCs w:val="22"/>
      <w:lang w:val="es-MX"/>
    </w:rPr>
  </w:style>
  <w:style w:type="paragraph" w:styleId="Encabezado">
    <w:name w:val="header"/>
    <w:basedOn w:val="Normal"/>
    <w:link w:val="EncabezadoCar"/>
    <w:uiPriority w:val="99"/>
    <w:unhideWhenUsed/>
    <w:rsid w:val="00D45D43"/>
    <w:pPr>
      <w:tabs>
        <w:tab w:val="center" w:pos="4252"/>
        <w:tab w:val="right" w:pos="8504"/>
      </w:tabs>
    </w:pPr>
  </w:style>
  <w:style w:type="character" w:customStyle="1" w:styleId="EncabezadoCar">
    <w:name w:val="Encabezado Car"/>
    <w:basedOn w:val="Fuentedeprrafopredeter"/>
    <w:link w:val="Encabezado"/>
    <w:uiPriority w:val="99"/>
    <w:rsid w:val="00D45D43"/>
    <w:rPr>
      <w:szCs w:val="22"/>
      <w:lang w:val="es-MX"/>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D45D43"/>
    <w:pPr>
      <w:ind w:left="720"/>
      <w:contextualSpacing/>
    </w:pPr>
  </w:style>
  <w:style w:type="paragraph" w:styleId="NormalWeb">
    <w:name w:val="Normal (Web)"/>
    <w:basedOn w:val="Normal"/>
    <w:link w:val="NormalWebCar"/>
    <w:uiPriority w:val="99"/>
    <w:unhideWhenUsed/>
    <w:rsid w:val="00D45D4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D45D43"/>
    <w:pPr>
      <w:jc w:val="both"/>
    </w:pPr>
    <w:rPr>
      <w:szCs w:val="22"/>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45D43"/>
    <w:rPr>
      <w:szCs w:val="22"/>
      <w:lang w:val="es-MX"/>
    </w:rPr>
  </w:style>
  <w:style w:type="character" w:customStyle="1" w:styleId="NormalWebCar">
    <w:name w:val="Normal (Web) Car"/>
    <w:link w:val="NormalWeb"/>
    <w:uiPriority w:val="99"/>
    <w:locked/>
    <w:rsid w:val="00D45D43"/>
    <w:rPr>
      <w:rFonts w:ascii="Times New Roman" w:eastAsia="Times New Roman" w:hAnsi="Times New Roman" w:cs="Times New Roman"/>
      <w:lang w:eastAsia="es-CO"/>
    </w:rPr>
  </w:style>
  <w:style w:type="paragraph" w:styleId="Textoindependiente">
    <w:name w:val="Body Text"/>
    <w:basedOn w:val="Normal"/>
    <w:link w:val="TextoindependienteCar"/>
    <w:uiPriority w:val="1"/>
    <w:qFormat/>
    <w:rsid w:val="00D45D43"/>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D45D43"/>
    <w:rPr>
      <w:rFonts w:ascii="Arial" w:eastAsia="Arial" w:hAnsi="Arial" w:cs="Arial"/>
      <w:sz w:val="22"/>
      <w:szCs w:val="22"/>
      <w:lang w:val="es-ES" w:eastAsia="es-ES" w:bidi="es-ES"/>
    </w:rPr>
  </w:style>
  <w:style w:type="table" w:customStyle="1" w:styleId="Tablaconcuadrcula1">
    <w:name w:val="Tabla con cuadrícula1"/>
    <w:basedOn w:val="Tablanormal"/>
    <w:next w:val="Tablaconcuadrcula"/>
    <w:uiPriority w:val="39"/>
    <w:rsid w:val="00D45D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45D43"/>
    <w:pPr>
      <w:autoSpaceDE w:val="0"/>
      <w:autoSpaceDN w:val="0"/>
      <w:adjustRightInd w:val="0"/>
    </w:pPr>
    <w:rPr>
      <w:rFonts w:ascii="Arial" w:hAnsi="Arial" w:cs="Arial"/>
      <w:color w:val="000000"/>
      <w:lang w:val="es-ES"/>
    </w:rPr>
  </w:style>
  <w:style w:type="table" w:customStyle="1" w:styleId="Tablaconcuadrcula21">
    <w:name w:val="Tabla con cuadrícula21"/>
    <w:basedOn w:val="Tablanormal"/>
    <w:next w:val="Tablaconcuadrcula"/>
    <w:uiPriority w:val="59"/>
    <w:rsid w:val="00D45D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D45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75729"/>
    <w:rPr>
      <w:sz w:val="16"/>
      <w:szCs w:val="16"/>
    </w:rPr>
  </w:style>
  <w:style w:type="paragraph" w:styleId="Textocomentario">
    <w:name w:val="annotation text"/>
    <w:basedOn w:val="Normal"/>
    <w:link w:val="TextocomentarioCar"/>
    <w:uiPriority w:val="99"/>
    <w:semiHidden/>
    <w:unhideWhenUsed/>
    <w:rsid w:val="0067572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75729"/>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75729"/>
    <w:rPr>
      <w:b/>
      <w:bCs/>
    </w:rPr>
  </w:style>
  <w:style w:type="character" w:customStyle="1" w:styleId="AsuntodelcomentarioCar">
    <w:name w:val="Asunto del comentario Car"/>
    <w:basedOn w:val="TextocomentarioCar"/>
    <w:link w:val="Asuntodelcomentario"/>
    <w:uiPriority w:val="99"/>
    <w:semiHidden/>
    <w:rsid w:val="00675729"/>
    <w:rPr>
      <w:b/>
      <w:bCs/>
      <w:sz w:val="20"/>
      <w:szCs w:val="20"/>
      <w:lang w:val="es-MX"/>
    </w:rPr>
  </w:style>
  <w:style w:type="paragraph" w:styleId="Revisin">
    <w:name w:val="Revision"/>
    <w:hidden/>
    <w:uiPriority w:val="99"/>
    <w:semiHidden/>
    <w:rsid w:val="000B66C7"/>
    <w:rPr>
      <w:szCs w:val="22"/>
      <w:lang w:val="es-MX"/>
    </w:rPr>
  </w:style>
  <w:style w:type="character" w:customStyle="1" w:styleId="apple-converted-space">
    <w:name w:val="apple-converted-space"/>
    <w:basedOn w:val="Fuentedeprrafopredeter"/>
    <w:rsid w:val="000B66C7"/>
  </w:style>
  <w:style w:type="character" w:customStyle="1" w:styleId="baj">
    <w:name w:val="b_aj"/>
    <w:basedOn w:val="Fuentedeprrafopredeter"/>
    <w:rsid w:val="00E23478"/>
  </w:style>
  <w:style w:type="character" w:styleId="nfasis">
    <w:name w:val="Emphasis"/>
    <w:basedOn w:val="Fuentedeprrafopredeter"/>
    <w:uiPriority w:val="20"/>
    <w:qFormat/>
    <w:rsid w:val="007849CA"/>
    <w:rPr>
      <w:i/>
      <w:iCs/>
    </w:rPr>
  </w:style>
  <w:style w:type="character" w:styleId="Hipervnculo">
    <w:name w:val="Hyperlink"/>
    <w:basedOn w:val="Fuentedeprrafopredeter"/>
    <w:uiPriority w:val="99"/>
    <w:unhideWhenUsed/>
    <w:rsid w:val="00332296"/>
    <w:rPr>
      <w:color w:val="0563C1" w:themeColor="hyperlink"/>
      <w:u w:val="single"/>
    </w:rPr>
  </w:style>
  <w:style w:type="character" w:styleId="Textoennegrita">
    <w:name w:val="Strong"/>
    <w:basedOn w:val="Fuentedeprrafopredeter"/>
    <w:uiPriority w:val="22"/>
    <w:qFormat/>
    <w:rsid w:val="003322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85074">
      <w:bodyDiv w:val="1"/>
      <w:marLeft w:val="0"/>
      <w:marRight w:val="0"/>
      <w:marTop w:val="0"/>
      <w:marBottom w:val="0"/>
      <w:divBdr>
        <w:top w:val="none" w:sz="0" w:space="0" w:color="auto"/>
        <w:left w:val="none" w:sz="0" w:space="0" w:color="auto"/>
        <w:bottom w:val="none" w:sz="0" w:space="0" w:color="auto"/>
        <w:right w:val="none" w:sz="0" w:space="0" w:color="auto"/>
      </w:divBdr>
      <w:divsChild>
        <w:div w:id="599142097">
          <w:marLeft w:val="0"/>
          <w:marRight w:val="0"/>
          <w:marTop w:val="0"/>
          <w:marBottom w:val="0"/>
          <w:divBdr>
            <w:top w:val="none" w:sz="0" w:space="0" w:color="auto"/>
            <w:left w:val="none" w:sz="0" w:space="0" w:color="auto"/>
            <w:bottom w:val="none" w:sz="0" w:space="0" w:color="auto"/>
            <w:right w:val="none" w:sz="0" w:space="0" w:color="auto"/>
          </w:divBdr>
          <w:divsChild>
            <w:div w:id="1430857898">
              <w:marLeft w:val="0"/>
              <w:marRight w:val="0"/>
              <w:marTop w:val="0"/>
              <w:marBottom w:val="0"/>
              <w:divBdr>
                <w:top w:val="none" w:sz="0" w:space="0" w:color="auto"/>
                <w:left w:val="none" w:sz="0" w:space="0" w:color="auto"/>
                <w:bottom w:val="none" w:sz="0" w:space="0" w:color="auto"/>
                <w:right w:val="none" w:sz="0" w:space="0" w:color="auto"/>
              </w:divBdr>
              <w:divsChild>
                <w:div w:id="104152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3777">
      <w:bodyDiv w:val="1"/>
      <w:marLeft w:val="0"/>
      <w:marRight w:val="0"/>
      <w:marTop w:val="0"/>
      <w:marBottom w:val="0"/>
      <w:divBdr>
        <w:top w:val="none" w:sz="0" w:space="0" w:color="auto"/>
        <w:left w:val="none" w:sz="0" w:space="0" w:color="auto"/>
        <w:bottom w:val="none" w:sz="0" w:space="0" w:color="auto"/>
        <w:right w:val="none" w:sz="0" w:space="0" w:color="auto"/>
      </w:divBdr>
      <w:divsChild>
        <w:div w:id="491986679">
          <w:marLeft w:val="0"/>
          <w:marRight w:val="0"/>
          <w:marTop w:val="0"/>
          <w:marBottom w:val="0"/>
          <w:divBdr>
            <w:top w:val="none" w:sz="0" w:space="0" w:color="auto"/>
            <w:left w:val="none" w:sz="0" w:space="0" w:color="auto"/>
            <w:bottom w:val="none" w:sz="0" w:space="0" w:color="auto"/>
            <w:right w:val="none" w:sz="0" w:space="0" w:color="auto"/>
          </w:divBdr>
          <w:divsChild>
            <w:div w:id="410664515">
              <w:marLeft w:val="0"/>
              <w:marRight w:val="0"/>
              <w:marTop w:val="0"/>
              <w:marBottom w:val="0"/>
              <w:divBdr>
                <w:top w:val="none" w:sz="0" w:space="0" w:color="auto"/>
                <w:left w:val="none" w:sz="0" w:space="0" w:color="auto"/>
                <w:bottom w:val="none" w:sz="0" w:space="0" w:color="auto"/>
                <w:right w:val="none" w:sz="0" w:space="0" w:color="auto"/>
              </w:divBdr>
              <w:divsChild>
                <w:div w:id="120548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536031">
      <w:bodyDiv w:val="1"/>
      <w:marLeft w:val="0"/>
      <w:marRight w:val="0"/>
      <w:marTop w:val="0"/>
      <w:marBottom w:val="0"/>
      <w:divBdr>
        <w:top w:val="none" w:sz="0" w:space="0" w:color="auto"/>
        <w:left w:val="none" w:sz="0" w:space="0" w:color="auto"/>
        <w:bottom w:val="none" w:sz="0" w:space="0" w:color="auto"/>
        <w:right w:val="none" w:sz="0" w:space="0" w:color="auto"/>
      </w:divBdr>
      <w:divsChild>
        <w:div w:id="1073426639">
          <w:marLeft w:val="0"/>
          <w:marRight w:val="0"/>
          <w:marTop w:val="0"/>
          <w:marBottom w:val="0"/>
          <w:divBdr>
            <w:top w:val="none" w:sz="0" w:space="0" w:color="auto"/>
            <w:left w:val="none" w:sz="0" w:space="0" w:color="auto"/>
            <w:bottom w:val="none" w:sz="0" w:space="0" w:color="auto"/>
            <w:right w:val="none" w:sz="0" w:space="0" w:color="auto"/>
          </w:divBdr>
          <w:divsChild>
            <w:div w:id="2028217608">
              <w:marLeft w:val="0"/>
              <w:marRight w:val="0"/>
              <w:marTop w:val="0"/>
              <w:marBottom w:val="0"/>
              <w:divBdr>
                <w:top w:val="none" w:sz="0" w:space="0" w:color="auto"/>
                <w:left w:val="none" w:sz="0" w:space="0" w:color="auto"/>
                <w:bottom w:val="none" w:sz="0" w:space="0" w:color="auto"/>
                <w:right w:val="none" w:sz="0" w:space="0" w:color="auto"/>
              </w:divBdr>
              <w:divsChild>
                <w:div w:id="14915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524156">
      <w:bodyDiv w:val="1"/>
      <w:marLeft w:val="0"/>
      <w:marRight w:val="0"/>
      <w:marTop w:val="0"/>
      <w:marBottom w:val="0"/>
      <w:divBdr>
        <w:top w:val="none" w:sz="0" w:space="0" w:color="auto"/>
        <w:left w:val="none" w:sz="0" w:space="0" w:color="auto"/>
        <w:bottom w:val="none" w:sz="0" w:space="0" w:color="auto"/>
        <w:right w:val="none" w:sz="0" w:space="0" w:color="auto"/>
      </w:divBdr>
    </w:div>
    <w:div w:id="452793827">
      <w:bodyDiv w:val="1"/>
      <w:marLeft w:val="0"/>
      <w:marRight w:val="0"/>
      <w:marTop w:val="0"/>
      <w:marBottom w:val="0"/>
      <w:divBdr>
        <w:top w:val="none" w:sz="0" w:space="0" w:color="auto"/>
        <w:left w:val="none" w:sz="0" w:space="0" w:color="auto"/>
        <w:bottom w:val="none" w:sz="0" w:space="0" w:color="auto"/>
        <w:right w:val="none" w:sz="0" w:space="0" w:color="auto"/>
      </w:divBdr>
    </w:div>
    <w:div w:id="770050356">
      <w:bodyDiv w:val="1"/>
      <w:marLeft w:val="0"/>
      <w:marRight w:val="0"/>
      <w:marTop w:val="0"/>
      <w:marBottom w:val="0"/>
      <w:divBdr>
        <w:top w:val="none" w:sz="0" w:space="0" w:color="auto"/>
        <w:left w:val="none" w:sz="0" w:space="0" w:color="auto"/>
        <w:bottom w:val="none" w:sz="0" w:space="0" w:color="auto"/>
        <w:right w:val="none" w:sz="0" w:space="0" w:color="auto"/>
      </w:divBdr>
      <w:divsChild>
        <w:div w:id="29302283">
          <w:marLeft w:val="0"/>
          <w:marRight w:val="0"/>
          <w:marTop w:val="0"/>
          <w:marBottom w:val="0"/>
          <w:divBdr>
            <w:top w:val="none" w:sz="0" w:space="0" w:color="auto"/>
            <w:left w:val="none" w:sz="0" w:space="0" w:color="auto"/>
            <w:bottom w:val="none" w:sz="0" w:space="0" w:color="auto"/>
            <w:right w:val="none" w:sz="0" w:space="0" w:color="auto"/>
          </w:divBdr>
          <w:divsChild>
            <w:div w:id="2031566832">
              <w:marLeft w:val="0"/>
              <w:marRight w:val="0"/>
              <w:marTop w:val="0"/>
              <w:marBottom w:val="0"/>
              <w:divBdr>
                <w:top w:val="none" w:sz="0" w:space="0" w:color="auto"/>
                <w:left w:val="none" w:sz="0" w:space="0" w:color="auto"/>
                <w:bottom w:val="none" w:sz="0" w:space="0" w:color="auto"/>
                <w:right w:val="none" w:sz="0" w:space="0" w:color="auto"/>
              </w:divBdr>
              <w:divsChild>
                <w:div w:id="106386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43982">
      <w:bodyDiv w:val="1"/>
      <w:marLeft w:val="0"/>
      <w:marRight w:val="0"/>
      <w:marTop w:val="0"/>
      <w:marBottom w:val="0"/>
      <w:divBdr>
        <w:top w:val="none" w:sz="0" w:space="0" w:color="auto"/>
        <w:left w:val="none" w:sz="0" w:space="0" w:color="auto"/>
        <w:bottom w:val="none" w:sz="0" w:space="0" w:color="auto"/>
        <w:right w:val="none" w:sz="0" w:space="0" w:color="auto"/>
      </w:divBdr>
    </w:div>
    <w:div w:id="1473667715">
      <w:bodyDiv w:val="1"/>
      <w:marLeft w:val="0"/>
      <w:marRight w:val="0"/>
      <w:marTop w:val="0"/>
      <w:marBottom w:val="0"/>
      <w:divBdr>
        <w:top w:val="none" w:sz="0" w:space="0" w:color="auto"/>
        <w:left w:val="none" w:sz="0" w:space="0" w:color="auto"/>
        <w:bottom w:val="none" w:sz="0" w:space="0" w:color="auto"/>
        <w:right w:val="none" w:sz="0" w:space="0" w:color="auto"/>
      </w:divBdr>
    </w:div>
    <w:div w:id="1566602613">
      <w:bodyDiv w:val="1"/>
      <w:marLeft w:val="0"/>
      <w:marRight w:val="0"/>
      <w:marTop w:val="0"/>
      <w:marBottom w:val="0"/>
      <w:divBdr>
        <w:top w:val="none" w:sz="0" w:space="0" w:color="auto"/>
        <w:left w:val="none" w:sz="0" w:space="0" w:color="auto"/>
        <w:bottom w:val="none" w:sz="0" w:space="0" w:color="auto"/>
        <w:right w:val="none" w:sz="0" w:space="0" w:color="auto"/>
      </w:divBdr>
      <w:divsChild>
        <w:div w:id="798307354">
          <w:marLeft w:val="0"/>
          <w:marRight w:val="0"/>
          <w:marTop w:val="0"/>
          <w:marBottom w:val="0"/>
          <w:divBdr>
            <w:top w:val="none" w:sz="0" w:space="0" w:color="auto"/>
            <w:left w:val="none" w:sz="0" w:space="0" w:color="auto"/>
            <w:bottom w:val="none" w:sz="0" w:space="0" w:color="auto"/>
            <w:right w:val="none" w:sz="0" w:space="0" w:color="auto"/>
          </w:divBdr>
          <w:divsChild>
            <w:div w:id="945424519">
              <w:marLeft w:val="0"/>
              <w:marRight w:val="0"/>
              <w:marTop w:val="0"/>
              <w:marBottom w:val="0"/>
              <w:divBdr>
                <w:top w:val="none" w:sz="0" w:space="0" w:color="auto"/>
                <w:left w:val="none" w:sz="0" w:space="0" w:color="auto"/>
                <w:bottom w:val="none" w:sz="0" w:space="0" w:color="auto"/>
                <w:right w:val="none" w:sz="0" w:space="0" w:color="auto"/>
              </w:divBdr>
              <w:divsChild>
                <w:div w:id="103338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281901">
      <w:bodyDiv w:val="1"/>
      <w:marLeft w:val="0"/>
      <w:marRight w:val="0"/>
      <w:marTop w:val="0"/>
      <w:marBottom w:val="0"/>
      <w:divBdr>
        <w:top w:val="none" w:sz="0" w:space="0" w:color="auto"/>
        <w:left w:val="none" w:sz="0" w:space="0" w:color="auto"/>
        <w:bottom w:val="none" w:sz="0" w:space="0" w:color="auto"/>
        <w:right w:val="none" w:sz="0" w:space="0" w:color="auto"/>
      </w:divBdr>
      <w:divsChild>
        <w:div w:id="3243830">
          <w:marLeft w:val="0"/>
          <w:marRight w:val="0"/>
          <w:marTop w:val="0"/>
          <w:marBottom w:val="0"/>
          <w:divBdr>
            <w:top w:val="none" w:sz="0" w:space="0" w:color="auto"/>
            <w:left w:val="none" w:sz="0" w:space="0" w:color="auto"/>
            <w:bottom w:val="none" w:sz="0" w:space="0" w:color="auto"/>
            <w:right w:val="none" w:sz="0" w:space="0" w:color="auto"/>
          </w:divBdr>
          <w:divsChild>
            <w:div w:id="1584878951">
              <w:marLeft w:val="0"/>
              <w:marRight w:val="0"/>
              <w:marTop w:val="0"/>
              <w:marBottom w:val="0"/>
              <w:divBdr>
                <w:top w:val="none" w:sz="0" w:space="0" w:color="auto"/>
                <w:left w:val="none" w:sz="0" w:space="0" w:color="auto"/>
                <w:bottom w:val="none" w:sz="0" w:space="0" w:color="auto"/>
                <w:right w:val="none" w:sz="0" w:space="0" w:color="auto"/>
              </w:divBdr>
              <w:divsChild>
                <w:div w:id="15114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596927">
      <w:bodyDiv w:val="1"/>
      <w:marLeft w:val="0"/>
      <w:marRight w:val="0"/>
      <w:marTop w:val="0"/>
      <w:marBottom w:val="0"/>
      <w:divBdr>
        <w:top w:val="none" w:sz="0" w:space="0" w:color="auto"/>
        <w:left w:val="none" w:sz="0" w:space="0" w:color="auto"/>
        <w:bottom w:val="none" w:sz="0" w:space="0" w:color="auto"/>
        <w:right w:val="none" w:sz="0" w:space="0" w:color="auto"/>
      </w:divBdr>
    </w:div>
    <w:div w:id="1674645434">
      <w:bodyDiv w:val="1"/>
      <w:marLeft w:val="0"/>
      <w:marRight w:val="0"/>
      <w:marTop w:val="0"/>
      <w:marBottom w:val="0"/>
      <w:divBdr>
        <w:top w:val="none" w:sz="0" w:space="0" w:color="auto"/>
        <w:left w:val="none" w:sz="0" w:space="0" w:color="auto"/>
        <w:bottom w:val="none" w:sz="0" w:space="0" w:color="auto"/>
        <w:right w:val="none" w:sz="0" w:space="0" w:color="auto"/>
      </w:divBdr>
      <w:divsChild>
        <w:div w:id="670333152">
          <w:marLeft w:val="0"/>
          <w:marRight w:val="0"/>
          <w:marTop w:val="0"/>
          <w:marBottom w:val="0"/>
          <w:divBdr>
            <w:top w:val="none" w:sz="0" w:space="0" w:color="auto"/>
            <w:left w:val="none" w:sz="0" w:space="0" w:color="auto"/>
            <w:bottom w:val="none" w:sz="0" w:space="0" w:color="auto"/>
            <w:right w:val="none" w:sz="0" w:space="0" w:color="auto"/>
          </w:divBdr>
          <w:divsChild>
            <w:div w:id="1936473720">
              <w:marLeft w:val="0"/>
              <w:marRight w:val="0"/>
              <w:marTop w:val="0"/>
              <w:marBottom w:val="0"/>
              <w:divBdr>
                <w:top w:val="none" w:sz="0" w:space="0" w:color="auto"/>
                <w:left w:val="none" w:sz="0" w:space="0" w:color="auto"/>
                <w:bottom w:val="none" w:sz="0" w:space="0" w:color="auto"/>
                <w:right w:val="none" w:sz="0" w:space="0" w:color="auto"/>
              </w:divBdr>
              <w:divsChild>
                <w:div w:id="155997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935045">
      <w:bodyDiv w:val="1"/>
      <w:marLeft w:val="0"/>
      <w:marRight w:val="0"/>
      <w:marTop w:val="0"/>
      <w:marBottom w:val="0"/>
      <w:divBdr>
        <w:top w:val="none" w:sz="0" w:space="0" w:color="auto"/>
        <w:left w:val="none" w:sz="0" w:space="0" w:color="auto"/>
        <w:bottom w:val="none" w:sz="0" w:space="0" w:color="auto"/>
        <w:right w:val="none" w:sz="0" w:space="0" w:color="auto"/>
      </w:divBdr>
    </w:div>
    <w:div w:id="1763188218">
      <w:bodyDiv w:val="1"/>
      <w:marLeft w:val="0"/>
      <w:marRight w:val="0"/>
      <w:marTop w:val="0"/>
      <w:marBottom w:val="0"/>
      <w:divBdr>
        <w:top w:val="none" w:sz="0" w:space="0" w:color="auto"/>
        <w:left w:val="none" w:sz="0" w:space="0" w:color="auto"/>
        <w:bottom w:val="none" w:sz="0" w:space="0" w:color="auto"/>
        <w:right w:val="none" w:sz="0" w:space="0" w:color="auto"/>
      </w:divBdr>
    </w:div>
    <w:div w:id="1974288461">
      <w:bodyDiv w:val="1"/>
      <w:marLeft w:val="0"/>
      <w:marRight w:val="0"/>
      <w:marTop w:val="0"/>
      <w:marBottom w:val="0"/>
      <w:divBdr>
        <w:top w:val="none" w:sz="0" w:space="0" w:color="auto"/>
        <w:left w:val="none" w:sz="0" w:space="0" w:color="auto"/>
        <w:bottom w:val="none" w:sz="0" w:space="0" w:color="auto"/>
        <w:right w:val="none" w:sz="0" w:space="0" w:color="auto"/>
      </w:divBdr>
      <w:divsChild>
        <w:div w:id="1081565477">
          <w:marLeft w:val="0"/>
          <w:marRight w:val="0"/>
          <w:marTop w:val="0"/>
          <w:marBottom w:val="0"/>
          <w:divBdr>
            <w:top w:val="none" w:sz="0" w:space="0" w:color="auto"/>
            <w:left w:val="none" w:sz="0" w:space="0" w:color="auto"/>
            <w:bottom w:val="none" w:sz="0" w:space="0" w:color="auto"/>
            <w:right w:val="none" w:sz="0" w:space="0" w:color="auto"/>
          </w:divBdr>
          <w:divsChild>
            <w:div w:id="1117526183">
              <w:marLeft w:val="0"/>
              <w:marRight w:val="0"/>
              <w:marTop w:val="0"/>
              <w:marBottom w:val="0"/>
              <w:divBdr>
                <w:top w:val="none" w:sz="0" w:space="0" w:color="auto"/>
                <w:left w:val="none" w:sz="0" w:space="0" w:color="auto"/>
                <w:bottom w:val="none" w:sz="0" w:space="0" w:color="auto"/>
                <w:right w:val="none" w:sz="0" w:space="0" w:color="auto"/>
              </w:divBdr>
              <w:divsChild>
                <w:div w:id="204374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09701">
      <w:bodyDiv w:val="1"/>
      <w:marLeft w:val="0"/>
      <w:marRight w:val="0"/>
      <w:marTop w:val="0"/>
      <w:marBottom w:val="0"/>
      <w:divBdr>
        <w:top w:val="none" w:sz="0" w:space="0" w:color="auto"/>
        <w:left w:val="none" w:sz="0" w:space="0" w:color="auto"/>
        <w:bottom w:val="none" w:sz="0" w:space="0" w:color="auto"/>
        <w:right w:val="none" w:sz="0" w:space="0" w:color="auto"/>
      </w:divBdr>
    </w:div>
    <w:div w:id="2142265913">
      <w:bodyDiv w:val="1"/>
      <w:marLeft w:val="0"/>
      <w:marRight w:val="0"/>
      <w:marTop w:val="0"/>
      <w:marBottom w:val="0"/>
      <w:divBdr>
        <w:top w:val="none" w:sz="0" w:space="0" w:color="auto"/>
        <w:left w:val="none" w:sz="0" w:space="0" w:color="auto"/>
        <w:bottom w:val="none" w:sz="0" w:space="0" w:color="auto"/>
        <w:right w:val="none" w:sz="0" w:space="0" w:color="auto"/>
      </w:divBdr>
      <w:divsChild>
        <w:div w:id="1202282846">
          <w:marLeft w:val="0"/>
          <w:marRight w:val="0"/>
          <w:marTop w:val="0"/>
          <w:marBottom w:val="0"/>
          <w:divBdr>
            <w:top w:val="none" w:sz="0" w:space="0" w:color="auto"/>
            <w:left w:val="none" w:sz="0" w:space="0" w:color="auto"/>
            <w:bottom w:val="none" w:sz="0" w:space="0" w:color="auto"/>
            <w:right w:val="none" w:sz="0" w:space="0" w:color="auto"/>
          </w:divBdr>
          <w:divsChild>
            <w:div w:id="1681082985">
              <w:marLeft w:val="0"/>
              <w:marRight w:val="0"/>
              <w:marTop w:val="0"/>
              <w:marBottom w:val="0"/>
              <w:divBdr>
                <w:top w:val="none" w:sz="0" w:space="0" w:color="auto"/>
                <w:left w:val="none" w:sz="0" w:space="0" w:color="auto"/>
                <w:bottom w:val="none" w:sz="0" w:space="0" w:color="auto"/>
                <w:right w:val="none" w:sz="0" w:space="0" w:color="auto"/>
              </w:divBdr>
              <w:divsChild>
                <w:div w:id="88757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928A5-097E-457F-A7D9-4ED06A24ABF9}">
  <ds:schemaRefs>
    <ds:schemaRef ds:uri="http://schemas.microsoft.com/sharepoint/v3/contenttype/forms"/>
  </ds:schemaRefs>
</ds:datastoreItem>
</file>

<file path=customXml/itemProps2.xml><?xml version="1.0" encoding="utf-8"?>
<ds:datastoreItem xmlns:ds="http://schemas.openxmlformats.org/officeDocument/2006/customXml" ds:itemID="{38EB3E81-A261-4C8A-ADA7-F2CE2119A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E5611C-16CD-4A60-9221-12010E5EAA36}">
  <ds:schemaRefs>
    <ds:schemaRef ds:uri="http://schemas.microsoft.com/office/2006/documentManagement/types"/>
    <ds:schemaRef ds:uri="a6cb9e4b-f1d1-4245-83ec-6cad768d538a"/>
    <ds:schemaRef ds:uri="http://schemas.microsoft.com/office/infopath/2007/PartnerControls"/>
    <ds:schemaRef ds:uri="http://schemas.microsoft.com/office/2006/metadata/properties"/>
    <ds:schemaRef ds:uri="9d85dbaf-23eb-4e57-a637-93dcacc8b1a1"/>
    <ds:schemaRef ds:uri="http://schemas.openxmlformats.org/package/2006/metadata/core-properties"/>
    <ds:schemaRef ds:uri="http://purl.org/dc/dcmitype/"/>
    <ds:schemaRef ds:uri="http://www.w3.org/XML/1998/namespace"/>
    <ds:schemaRef ds:uri="http://purl.org/dc/terms/"/>
    <ds:schemaRef ds:uri="http://purl.org/dc/elements/1.1/"/>
  </ds:schemaRefs>
</ds:datastoreItem>
</file>

<file path=customXml/itemProps4.xml><?xml version="1.0" encoding="utf-8"?>
<ds:datastoreItem xmlns:ds="http://schemas.openxmlformats.org/officeDocument/2006/customXml" ds:itemID="{596D384E-B399-4884-B6EC-E67404D3D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5954</Words>
  <Characters>32750</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Carolina Montes Bustos</dc:creator>
  <cp:keywords/>
  <dc:description/>
  <cp:lastModifiedBy>Nasly Rivas</cp:lastModifiedBy>
  <cp:revision>2</cp:revision>
  <dcterms:created xsi:type="dcterms:W3CDTF">2021-10-14T20:26:00Z</dcterms:created>
  <dcterms:modified xsi:type="dcterms:W3CDTF">2021-10-14T20:26:00Z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