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26DB5C98" w:rsidR="005204A7" w:rsidRDefault="00AF3236" w:rsidP="005204A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CESIÓN DEL CONTRATO ESTATAL – Clasificación – Fundamento </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7A416A87" w14:textId="278FBB7C" w:rsidR="005204A7" w:rsidRPr="006C15D5" w:rsidRDefault="008543FB" w:rsidP="00AF3236">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AF3236" w:rsidRPr="00AF3236">
        <w:rPr>
          <w:rFonts w:ascii="Arial" w:eastAsia="Calibri" w:hAnsi="Arial" w:cs="Arial"/>
          <w:bCs/>
          <w:color w:val="000000" w:themeColor="text1"/>
          <w:sz w:val="20"/>
          <w:szCs w:val="20"/>
        </w:rPr>
        <w:t>existen dos (2) formas de ceder el contrato estatal: una bilateral y otra unilateral. La primera se fundamenta en el artículo 41, inciso tercero, de la Ley 80 de 1993, que –en concordancia con los artículos 887 y siguientes del Código de Comercio– requiere la celebración de un contrato previa autorización escrita de la entidad contratante. La segunda se fundamenta en los parágrafos primero y segundo del artículo 9 del Estatuto General de Contratación, adicionados por el artículo 6 de la Ley 2014 de 2019, y requiere la expedición de un acto administrativo</w:t>
      </w:r>
      <w:r w:rsidRPr="008543FB">
        <w:rPr>
          <w:rFonts w:ascii="Arial" w:eastAsia="Calibri" w:hAnsi="Arial" w:cs="Arial"/>
          <w:bCs/>
          <w:color w:val="000000" w:themeColor="text1"/>
          <w:sz w:val="20"/>
          <w:szCs w:val="20"/>
        </w:rPr>
        <w:t>.</w:t>
      </w:r>
      <w:r w:rsidR="00AF3236">
        <w:rPr>
          <w:rFonts w:ascii="Arial" w:eastAsia="Calibri" w:hAnsi="Arial" w:cs="Arial"/>
          <w:bCs/>
          <w:color w:val="000000" w:themeColor="text1"/>
          <w:sz w:val="20"/>
          <w:szCs w:val="20"/>
        </w:rPr>
        <w:t xml:space="preserve"> </w:t>
      </w:r>
      <w:r w:rsidR="00AF3236" w:rsidRPr="00AF3236">
        <w:rPr>
          <w:rFonts w:ascii="Arial" w:eastAsia="Calibri" w:hAnsi="Arial" w:cs="Arial"/>
          <w:bCs/>
          <w:color w:val="000000" w:themeColor="text1"/>
          <w:sz w:val="20"/>
          <w:szCs w:val="20"/>
        </w:rPr>
        <w:t xml:space="preserve">De esta manera, en el marco de las garantías del debido proceso reguladas en el artículo 29 constitucional, </w:t>
      </w:r>
      <w:r w:rsidR="00AF3236">
        <w:rPr>
          <w:rFonts w:ascii="Arial" w:eastAsia="Calibri" w:hAnsi="Arial" w:cs="Arial"/>
          <w:bCs/>
          <w:color w:val="000000" w:themeColor="text1"/>
          <w:sz w:val="20"/>
          <w:szCs w:val="20"/>
        </w:rPr>
        <w:t>[…]</w:t>
      </w:r>
      <w:r w:rsidR="00AF3236" w:rsidRPr="00AF3236">
        <w:rPr>
          <w:rFonts w:ascii="Arial" w:eastAsia="Calibri" w:hAnsi="Arial" w:cs="Arial"/>
          <w:bCs/>
          <w:color w:val="000000" w:themeColor="text1"/>
          <w:sz w:val="20"/>
          <w:szCs w:val="20"/>
        </w:rPr>
        <w:t xml:space="preserve"> se analizará el procedimiento para la </w:t>
      </w:r>
      <w:r w:rsidR="00D003E0">
        <w:rPr>
          <w:rFonts w:ascii="Arial" w:eastAsia="Calibri" w:hAnsi="Arial" w:cs="Arial"/>
          <w:bCs/>
          <w:color w:val="000000" w:themeColor="text1"/>
          <w:sz w:val="20"/>
          <w:szCs w:val="20"/>
        </w:rPr>
        <w:t>c</w:t>
      </w:r>
      <w:r w:rsidR="00AF3236" w:rsidRPr="00AF3236">
        <w:rPr>
          <w:rFonts w:ascii="Arial" w:eastAsia="Calibri" w:hAnsi="Arial" w:cs="Arial"/>
          <w:bCs/>
          <w:color w:val="000000" w:themeColor="text1"/>
          <w:sz w:val="20"/>
          <w:szCs w:val="20"/>
        </w:rPr>
        <w:t>esión unilateral del contrato estatal.</w:t>
      </w:r>
      <w:r w:rsidR="005204A7"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6971B54D" w:rsidR="005204A7" w:rsidRDefault="00DB3513" w:rsidP="005204A7">
      <w:pPr>
        <w:jc w:val="both"/>
        <w:rPr>
          <w:rFonts w:ascii="Arial" w:eastAsia="Calibri" w:hAnsi="Arial" w:cs="Arial"/>
          <w:b/>
          <w:color w:val="000000" w:themeColor="text1"/>
          <w:sz w:val="22"/>
        </w:rPr>
      </w:pPr>
      <w:r>
        <w:rPr>
          <w:rFonts w:ascii="Arial" w:eastAsia="Calibri" w:hAnsi="Arial" w:cs="Arial"/>
          <w:b/>
          <w:color w:val="000000" w:themeColor="text1"/>
          <w:sz w:val="22"/>
        </w:rPr>
        <w:t>CESIÓN UNILATERAL – Tesis de la aplicación directa – Tesis de la reglamentación</w:t>
      </w:r>
      <w:r w:rsidR="00C8308A">
        <w:rPr>
          <w:rFonts w:ascii="Arial" w:eastAsia="Calibri" w:hAnsi="Arial" w:cs="Arial"/>
          <w:b/>
          <w:color w:val="000000" w:themeColor="text1"/>
          <w:sz w:val="22"/>
        </w:rPr>
        <w:t xml:space="preserve"> – Diferencias</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0411506E" w14:textId="1BBDCD88" w:rsidR="00295636" w:rsidRPr="00C8308A" w:rsidRDefault="00C8308A" w:rsidP="00546A42">
      <w:pPr>
        <w:jc w:val="both"/>
        <w:rPr>
          <w:rFonts w:ascii="Arial" w:eastAsia="Calibri" w:hAnsi="Arial" w:cs="Arial"/>
          <w:bCs/>
          <w:color w:val="000000" w:themeColor="text1"/>
          <w:sz w:val="20"/>
          <w:szCs w:val="20"/>
        </w:rPr>
      </w:pPr>
      <w:r w:rsidRPr="00C8308A">
        <w:rPr>
          <w:rFonts w:ascii="Arial" w:eastAsia="Calibri" w:hAnsi="Arial" w:cs="Arial"/>
          <w:bCs/>
          <w:color w:val="000000" w:themeColor="text1"/>
          <w:sz w:val="20"/>
          <w:szCs w:val="20"/>
        </w:rPr>
        <w:t xml:space="preserve">Dado que a la fecha no se ha reglamentado el procedimiento especial del artículo 6 de la Ley 2014 de 2019, la respuesta a la inquietud planteada </w:t>
      </w:r>
      <w:r w:rsidR="00D003E0">
        <w:rPr>
          <w:rFonts w:ascii="Arial" w:eastAsia="Calibri" w:hAnsi="Arial" w:cs="Arial"/>
          <w:bCs/>
          <w:color w:val="000000" w:themeColor="text1"/>
          <w:sz w:val="20"/>
          <w:szCs w:val="20"/>
        </w:rPr>
        <w:t xml:space="preserve">en </w:t>
      </w:r>
      <w:r w:rsidRPr="00C8308A">
        <w:rPr>
          <w:rFonts w:ascii="Arial" w:eastAsia="Calibri" w:hAnsi="Arial" w:cs="Arial"/>
          <w:bCs/>
          <w:color w:val="000000" w:themeColor="text1"/>
          <w:sz w:val="20"/>
          <w:szCs w:val="20"/>
        </w:rPr>
        <w:t xml:space="preserve">el párrafo precedente es transcendental por los efectos prácticos de ambas posturas. Por un lado, quien opte por la </w:t>
      </w:r>
      <w:r w:rsidRPr="00C8308A">
        <w:rPr>
          <w:rFonts w:ascii="Arial" w:eastAsia="Calibri" w:hAnsi="Arial" w:cs="Arial"/>
          <w:bCs/>
          <w:i/>
          <w:iCs/>
          <w:color w:val="000000" w:themeColor="text1"/>
          <w:sz w:val="20"/>
          <w:szCs w:val="20"/>
        </w:rPr>
        <w:t>tesis de la aplicación directa</w:t>
      </w:r>
      <w:r w:rsidRPr="00C8308A">
        <w:rPr>
          <w:rFonts w:ascii="Arial" w:eastAsia="Calibri" w:hAnsi="Arial" w:cs="Arial"/>
          <w:bCs/>
          <w:color w:val="000000" w:themeColor="text1"/>
          <w:sz w:val="20"/>
          <w:szCs w:val="20"/>
        </w:rPr>
        <w:t xml:space="preserve"> debe acudir a las normas del procedimiento administrativo general de la Ley 1437 de 2011. Esta solución se fundamentaría en el artículo 2, inciso final, del Código de Procedimiento Administrativo y Contencioso Administrativo, el cual se aplicaría también en virtud de la remisión prevista en el artículo 77 del Estatuto General de Contratación de la Administración Pública. Por el contrario, quien sostenga la </w:t>
      </w:r>
      <w:r w:rsidRPr="00C8308A">
        <w:rPr>
          <w:rFonts w:ascii="Arial" w:eastAsia="Calibri" w:hAnsi="Arial" w:cs="Arial"/>
          <w:bCs/>
          <w:i/>
          <w:iCs/>
          <w:color w:val="000000" w:themeColor="text1"/>
          <w:sz w:val="20"/>
          <w:szCs w:val="20"/>
        </w:rPr>
        <w:t>tesis de la reglamentación</w:t>
      </w:r>
      <w:r w:rsidRPr="00C8308A">
        <w:rPr>
          <w:rFonts w:ascii="Arial" w:eastAsia="Calibri" w:hAnsi="Arial" w:cs="Arial"/>
          <w:bCs/>
          <w:color w:val="000000" w:themeColor="text1"/>
          <w:sz w:val="20"/>
          <w:szCs w:val="20"/>
        </w:rPr>
        <w:t xml:space="preserve"> no podría llenar el vacío con las normas anteriormente citadas, ya que en esta postura la expedición del decreto correspondiente es una condición necesaria para la cesión unilateral del contrato. Naturalmente, estas dos (2) tesis presuponen un modelo de relación entre la ley y el reglamento</w:t>
      </w:r>
      <w:r w:rsidR="0028617E">
        <w:rPr>
          <w:rFonts w:ascii="Arial" w:eastAsia="Calibri" w:hAnsi="Arial" w:cs="Arial"/>
          <w:color w:val="000000" w:themeColor="text1"/>
          <w:sz w:val="20"/>
          <w:szCs w:val="20"/>
        </w:rPr>
        <w:t>.</w:t>
      </w:r>
    </w:p>
    <w:p w14:paraId="0195D622" w14:textId="77777777" w:rsidR="005204A7" w:rsidRPr="006C15D5" w:rsidRDefault="005204A7" w:rsidP="005204A7">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1CDB5685" w14:textId="69CB748F" w:rsidR="005204A7" w:rsidRDefault="00C8308A" w:rsidP="005204A7">
      <w:pPr>
        <w:jc w:val="both"/>
        <w:rPr>
          <w:rFonts w:ascii="Arial" w:eastAsia="Calibri" w:hAnsi="Arial" w:cs="Arial"/>
          <w:b/>
          <w:color w:val="000000" w:themeColor="text1"/>
          <w:sz w:val="22"/>
        </w:rPr>
      </w:pPr>
      <w:r>
        <w:rPr>
          <w:rFonts w:ascii="Arial" w:eastAsia="Calibri" w:hAnsi="Arial" w:cs="Arial"/>
          <w:b/>
          <w:color w:val="000000" w:themeColor="text1"/>
          <w:sz w:val="22"/>
        </w:rPr>
        <w:t>REGLAMENTACIÓN PREVIA – Cesión unilateral – Ley 2014 de 2019</w:t>
      </w:r>
    </w:p>
    <w:p w14:paraId="6327B2C6" w14:textId="77777777" w:rsidR="0028617E" w:rsidRDefault="0028617E" w:rsidP="005204A7">
      <w:pPr>
        <w:jc w:val="both"/>
        <w:rPr>
          <w:rFonts w:ascii="Arial" w:eastAsia="Calibri" w:hAnsi="Arial" w:cs="Arial"/>
          <w:b/>
          <w:color w:val="000000" w:themeColor="text1"/>
          <w:sz w:val="20"/>
          <w:szCs w:val="20"/>
        </w:rPr>
      </w:pPr>
    </w:p>
    <w:p w14:paraId="2104C66B" w14:textId="14DBA331" w:rsidR="00C8308A" w:rsidRPr="00C8308A" w:rsidRDefault="009961B3" w:rsidP="00C8308A">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
        </w:rPr>
        <w:t xml:space="preserve">[…] </w:t>
      </w:r>
      <w:r w:rsidR="00C8308A" w:rsidRPr="00C8308A">
        <w:rPr>
          <w:rFonts w:ascii="Arial" w:eastAsia="Calibri" w:hAnsi="Arial" w:cs="Arial"/>
          <w:bCs/>
          <w:color w:val="000000" w:themeColor="text1"/>
          <w:sz w:val="20"/>
          <w:szCs w:val="20"/>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 En este tipo de situaciones, «[…] las autoridades no tienen -ni tuvieron- la posibilidad de escoger entre expedir el acto o dejar de hacerlo. Es decir, se trata de una potestad reglada, desde el punto de vista de la necesidad de la actuación».</w:t>
      </w:r>
    </w:p>
    <w:p w14:paraId="3F60EF7C" w14:textId="00DF8403" w:rsidR="004F31BC" w:rsidRPr="00546A42" w:rsidRDefault="00C8308A" w:rsidP="005F42ED">
      <w:pPr>
        <w:jc w:val="both"/>
        <w:rPr>
          <w:rFonts w:ascii="Arial" w:eastAsia="Calibri" w:hAnsi="Arial" w:cs="Arial"/>
          <w:bCs/>
          <w:color w:val="000000" w:themeColor="text1"/>
          <w:sz w:val="20"/>
          <w:szCs w:val="20"/>
          <w:lang w:val="es-ES"/>
        </w:rPr>
      </w:pPr>
      <w:r w:rsidRPr="00C8308A">
        <w:rPr>
          <w:rFonts w:ascii="Arial" w:eastAsia="Calibri" w:hAnsi="Arial" w:cs="Arial"/>
          <w:bCs/>
          <w:color w:val="000000" w:themeColor="text1"/>
          <w:sz w:val="20"/>
          <w:szCs w:val="20"/>
        </w:rPr>
        <w:t xml:space="preserve">En ese orden de ideas, es posible afirmar que el legislador reconoce, en el artículo 6, la necesidad de un reglamento para el efectivo cumplimiento de la Ley 2014 de 2019, lo que demuestra, para el caso concreto, una vigencia sometida a condición para el procedimiento de cesión unilateral del contrato estatal conforme al parágrafo 2 </w:t>
      </w:r>
      <w:r w:rsidRPr="00C8308A">
        <w:rPr>
          <w:rFonts w:ascii="Arial" w:eastAsia="Calibri" w:hAnsi="Arial" w:cs="Arial"/>
          <w:bCs/>
          <w:i/>
          <w:iCs/>
          <w:color w:val="000000" w:themeColor="text1"/>
          <w:sz w:val="20"/>
          <w:szCs w:val="20"/>
        </w:rPr>
        <w:t>ibidem</w:t>
      </w:r>
      <w:r w:rsidRPr="00C8308A">
        <w:rPr>
          <w:rFonts w:ascii="Arial" w:eastAsia="Calibri" w:hAnsi="Arial" w:cs="Arial"/>
          <w:bCs/>
          <w:color w:val="000000" w:themeColor="text1"/>
          <w:sz w:val="20"/>
          <w:szCs w:val="20"/>
        </w:rPr>
        <w:t>. Es decir, nos encontramos frente a un caso donde la norma condicionó el procedimiento a la expedición de un reglamento, pues así se infiere de su contenido y antecedentes legislativos. Esta conclusión se ajusta a la necesidad de claridad que debe introducir el reglamento, en relación con el trámite para la selección del cesionario</w:t>
      </w:r>
      <w:r w:rsidR="00546A42" w:rsidRPr="00546A42">
        <w:rPr>
          <w:rFonts w:ascii="Arial" w:eastAsia="Calibri" w:hAnsi="Arial" w:cs="Arial"/>
          <w:bCs/>
          <w:color w:val="000000" w:themeColor="text1"/>
          <w:sz w:val="20"/>
          <w:szCs w:val="20"/>
          <w:lang w:val="es-ES"/>
        </w:rPr>
        <w:t>.</w:t>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03256DB6" w14:textId="0C547B70" w:rsidR="008F51F6" w:rsidRPr="006C15D5" w:rsidRDefault="008F51F6" w:rsidP="008F51F6">
      <w:pPr>
        <w:rPr>
          <w:rFonts w:ascii="Arial" w:hAnsi="Arial" w:cs="Arial"/>
          <w:b/>
          <w:color w:val="000000" w:themeColor="text1"/>
          <w:sz w:val="22"/>
        </w:rPr>
      </w:pPr>
      <w:r w:rsidRPr="006C15D5">
        <w:rPr>
          <w:rFonts w:ascii="Arial" w:hAnsi="Arial" w:cs="Arial"/>
          <w:color w:val="000000" w:themeColor="text1"/>
          <w:sz w:val="22"/>
        </w:rPr>
        <w:t xml:space="preserve">Bogotá D.C., </w:t>
      </w:r>
      <w:r w:rsidR="00F24BD9" w:rsidRPr="00F24BD9">
        <w:rPr>
          <w:rFonts w:ascii="Arial" w:hAnsi="Arial" w:cs="Arial"/>
          <w:b/>
          <w:color w:val="000000" w:themeColor="text1"/>
          <w:sz w:val="22"/>
        </w:rPr>
        <w:t>24/09/2020 Hora 18:50:55s</w:t>
      </w:r>
    </w:p>
    <w:p w14:paraId="4DEE97D6" w14:textId="77777777" w:rsidR="008F51F6" w:rsidRDefault="008F51F6" w:rsidP="008F51F6">
      <w:pPr>
        <w:jc w:val="right"/>
        <w:rPr>
          <w:rFonts w:ascii="Arial" w:hAnsi="Arial" w:cs="Arial"/>
          <w:b/>
          <w:color w:val="000000" w:themeColor="text1"/>
          <w:sz w:val="22"/>
        </w:rPr>
      </w:pPr>
    </w:p>
    <w:p w14:paraId="5543D9D7" w14:textId="2F795288" w:rsidR="008F51F6" w:rsidRPr="006C15D5" w:rsidRDefault="008F51F6" w:rsidP="008F51F6">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00F24BD9" w:rsidRPr="00F24BD9">
        <w:rPr>
          <w:rFonts w:ascii="Arial" w:hAnsi="Arial" w:cs="Arial"/>
          <w:b/>
          <w:color w:val="000000" w:themeColor="text1"/>
          <w:sz w:val="22"/>
        </w:rPr>
        <w:t>2202013000009167</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D579B17"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215BF0F8" w14:textId="7AA2F824" w:rsidR="00CF282F" w:rsidRDefault="001D59C7" w:rsidP="00BE1E33">
      <w:pPr>
        <w:rPr>
          <w:rFonts w:ascii="Arial" w:eastAsia="Calibri" w:hAnsi="Arial" w:cs="Arial"/>
          <w:b/>
          <w:color w:val="000000" w:themeColor="text1"/>
          <w:sz w:val="22"/>
        </w:rPr>
      </w:pPr>
      <w:r w:rsidRPr="001D59C7">
        <w:rPr>
          <w:rFonts w:ascii="Arial" w:eastAsia="Calibri" w:hAnsi="Arial" w:cs="Arial"/>
          <w:b/>
          <w:color w:val="000000" w:themeColor="text1"/>
          <w:sz w:val="22"/>
        </w:rPr>
        <w:t>Jeffrey León Balcero</w:t>
      </w:r>
    </w:p>
    <w:p w14:paraId="04EF8353" w14:textId="058A7E31" w:rsidR="00BE1E33" w:rsidRPr="006C15D5" w:rsidRDefault="001D59C7"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224D5C">
        <w:rPr>
          <w:rFonts w:ascii="Arial" w:eastAsia="Calibri" w:hAnsi="Arial" w:cs="Arial"/>
          <w:color w:val="000000" w:themeColor="text1"/>
          <w:sz w:val="22"/>
        </w:rPr>
        <w:t xml:space="preserve"> </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1CA4811B"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7F1B9C">
        <w:rPr>
          <w:rFonts w:ascii="Arial" w:eastAsia="Calibri" w:hAnsi="Arial" w:cs="Arial"/>
          <w:b/>
          <w:color w:val="000000" w:themeColor="text1"/>
          <w:sz w:val="22"/>
        </w:rPr>
        <w:t>5</w:t>
      </w:r>
      <w:r w:rsidR="001D59C7">
        <w:rPr>
          <w:rFonts w:ascii="Arial" w:eastAsia="Calibri" w:hAnsi="Arial" w:cs="Arial"/>
          <w:b/>
          <w:color w:val="000000" w:themeColor="text1"/>
          <w:sz w:val="22"/>
        </w:rPr>
        <w:t>51</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43715234" w:rsidR="00BE1E33" w:rsidRPr="006C15D5" w:rsidRDefault="00C8308A">
            <w:pPr>
              <w:jc w:val="both"/>
              <w:rPr>
                <w:rFonts w:ascii="Arial" w:eastAsia="Calibri" w:hAnsi="Arial" w:cs="Arial"/>
                <w:color w:val="000000" w:themeColor="text1"/>
                <w:sz w:val="22"/>
              </w:rPr>
            </w:pPr>
            <w:r w:rsidRPr="00C8308A">
              <w:rPr>
                <w:rFonts w:ascii="Arial" w:eastAsia="Calibri" w:hAnsi="Arial" w:cs="Arial"/>
                <w:color w:val="000000" w:themeColor="text1"/>
                <w:sz w:val="22"/>
              </w:rPr>
              <w:t>CESIÓN DEL CONTRATO ESTATAL – Clasificación – Fundamento</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C8308A">
              <w:rPr>
                <w:rFonts w:ascii="Arial" w:eastAsia="Calibri" w:hAnsi="Arial" w:cs="Arial"/>
                <w:color w:val="000000" w:themeColor="text1"/>
                <w:sz w:val="22"/>
              </w:rPr>
              <w:t>CESIÓN UNILATERAL – Tesis de la aplicación directa – Tesis de la reglamentación – Diferencias</w:t>
            </w:r>
            <w:r>
              <w:rPr>
                <w:rFonts w:ascii="Arial" w:eastAsia="Calibri" w:hAnsi="Arial" w:cs="Arial"/>
                <w:color w:val="000000" w:themeColor="text1"/>
                <w:sz w:val="22"/>
              </w:rPr>
              <w:t xml:space="preserve"> / </w:t>
            </w:r>
            <w:r w:rsidRPr="00C8308A">
              <w:rPr>
                <w:rFonts w:ascii="Arial" w:eastAsia="Calibri" w:hAnsi="Arial" w:cs="Arial"/>
                <w:color w:val="000000" w:themeColor="text1"/>
                <w:sz w:val="22"/>
              </w:rPr>
              <w:t>REGLAMENTACIÓN PREVIA – Cesión unilateral – Ley 2014 de 2019</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4E4F05E2"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F0556F" w:rsidRPr="00F0556F">
              <w:rPr>
                <w:rFonts w:ascii="Arial" w:eastAsia="Calibri" w:hAnsi="Arial" w:cs="Arial"/>
                <w:color w:val="000000" w:themeColor="text1"/>
                <w:sz w:val="22"/>
              </w:rPr>
              <w:t>4202013000007057</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4D958E2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6005BB">
        <w:rPr>
          <w:rFonts w:ascii="Arial" w:eastAsia="Calibri" w:hAnsi="Arial" w:cs="Arial"/>
          <w:color w:val="000000" w:themeColor="text1"/>
          <w:sz w:val="22"/>
        </w:rPr>
        <w:t xml:space="preserve"> </w:t>
      </w:r>
      <w:r w:rsidR="001D59C7">
        <w:rPr>
          <w:rFonts w:ascii="Arial" w:eastAsia="Calibri" w:hAnsi="Arial" w:cs="Arial"/>
          <w:color w:val="000000" w:themeColor="text1"/>
          <w:sz w:val="22"/>
        </w:rPr>
        <w:t>Balcero</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24D27648"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 consulta realiza</w:t>
      </w:r>
      <w:r w:rsidR="007D6205">
        <w:rPr>
          <w:rFonts w:ascii="Arial" w:eastAsia="Calibri" w:hAnsi="Arial" w:cs="Arial"/>
          <w:color w:val="000000" w:themeColor="text1"/>
          <w:sz w:val="22"/>
        </w:rPr>
        <w:t>da</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1D59C7">
        <w:rPr>
          <w:rFonts w:ascii="Arial" w:eastAsia="Calibri" w:hAnsi="Arial" w:cs="Arial"/>
          <w:color w:val="000000" w:themeColor="text1"/>
          <w:sz w:val="22"/>
        </w:rPr>
        <w:t>18 de agosto</w:t>
      </w:r>
      <w:r w:rsidR="006005BB">
        <w:rPr>
          <w:rFonts w:ascii="Arial" w:eastAsia="Calibri" w:hAnsi="Arial" w:cs="Arial"/>
          <w:color w:val="000000" w:themeColor="text1"/>
          <w:sz w:val="22"/>
        </w:rPr>
        <w:t xml:space="preserve"> de 2020</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1EBED483" w14:textId="1690FB6A" w:rsidR="00185441" w:rsidRDefault="006005BB" w:rsidP="001D59C7">
      <w:pPr>
        <w:tabs>
          <w:tab w:val="left" w:pos="426"/>
        </w:tabs>
        <w:spacing w:line="276" w:lineRule="auto"/>
        <w:jc w:val="both"/>
        <w:rPr>
          <w:rFonts w:ascii="Arial" w:eastAsia="Calibri" w:hAnsi="Arial" w:cs="Arial"/>
          <w:color w:val="000000" w:themeColor="text1"/>
          <w:sz w:val="22"/>
        </w:rPr>
      </w:pPr>
      <w:bookmarkStart w:id="2" w:name="_Hlk49352499"/>
      <w:bookmarkStart w:id="3" w:name="_Hlk41142281"/>
      <w:bookmarkStart w:id="4" w:name="_Hlk41043439"/>
      <w:r>
        <w:rPr>
          <w:rFonts w:ascii="Arial" w:eastAsia="Calibri" w:hAnsi="Arial" w:cs="Arial"/>
          <w:color w:val="000000" w:themeColor="text1"/>
          <w:sz w:val="22"/>
        </w:rPr>
        <w:t>U</w:t>
      </w:r>
      <w:r w:rsidR="00950763">
        <w:rPr>
          <w:rFonts w:ascii="Arial" w:eastAsia="Calibri" w:hAnsi="Arial" w:cs="Arial"/>
          <w:color w:val="000000" w:themeColor="text1"/>
          <w:sz w:val="22"/>
        </w:rPr>
        <w:t xml:space="preserve">sted realiza las siguientes preguntas: </w:t>
      </w:r>
      <w:bookmarkStart w:id="5" w:name="_Hlk50895484"/>
      <w:bookmarkStart w:id="6" w:name="_Hlk51498984"/>
      <w:r w:rsidR="00950763">
        <w:rPr>
          <w:rFonts w:ascii="Arial" w:eastAsia="Calibri" w:hAnsi="Arial" w:cs="Arial"/>
          <w:color w:val="000000" w:themeColor="text1"/>
          <w:sz w:val="22"/>
        </w:rPr>
        <w:t>i)</w:t>
      </w:r>
      <w:bookmarkEnd w:id="2"/>
      <w:r w:rsidR="00346ACB">
        <w:rPr>
          <w:rFonts w:ascii="Arial" w:eastAsia="Calibri" w:hAnsi="Arial" w:cs="Arial"/>
          <w:color w:val="000000" w:themeColor="text1"/>
          <w:sz w:val="22"/>
        </w:rPr>
        <w:t xml:space="preserve"> </w:t>
      </w:r>
      <w:bookmarkEnd w:id="3"/>
      <w:bookmarkEnd w:id="4"/>
      <w:bookmarkEnd w:id="5"/>
      <w:r w:rsidR="001D59C7">
        <w:rPr>
          <w:rFonts w:ascii="Arial" w:eastAsia="Calibri" w:hAnsi="Arial" w:cs="Arial"/>
          <w:color w:val="000000" w:themeColor="text1"/>
          <w:sz w:val="22"/>
        </w:rPr>
        <w:t>«</w:t>
      </w:r>
      <w:r w:rsidR="001D59C7" w:rsidRPr="001D59C7">
        <w:rPr>
          <w:rFonts w:ascii="Arial" w:eastAsia="Calibri" w:hAnsi="Arial" w:cs="Arial"/>
          <w:color w:val="000000" w:themeColor="text1"/>
          <w:sz w:val="22"/>
        </w:rPr>
        <w:t>¿Cuál es la reglamentación del procedimiento que debe seguir una entidad estatal para determinar el</w:t>
      </w:r>
      <w:r w:rsidR="001D59C7">
        <w:rPr>
          <w:rFonts w:ascii="Arial" w:eastAsia="Calibri" w:hAnsi="Arial" w:cs="Arial"/>
          <w:color w:val="000000" w:themeColor="text1"/>
          <w:sz w:val="22"/>
        </w:rPr>
        <w:t xml:space="preserve"> </w:t>
      </w:r>
      <w:r w:rsidR="001D59C7" w:rsidRPr="001D59C7">
        <w:rPr>
          <w:rFonts w:ascii="Arial" w:eastAsia="Calibri" w:hAnsi="Arial" w:cs="Arial"/>
          <w:color w:val="000000" w:themeColor="text1"/>
          <w:sz w:val="22"/>
        </w:rPr>
        <w:t>cesionario del contrato, en el marco de la figura de la cesión unilateral obligatoria del contrato, prevista</w:t>
      </w:r>
      <w:r w:rsidR="001D59C7">
        <w:rPr>
          <w:rFonts w:ascii="Arial" w:eastAsia="Calibri" w:hAnsi="Arial" w:cs="Arial"/>
          <w:color w:val="000000" w:themeColor="text1"/>
          <w:sz w:val="22"/>
        </w:rPr>
        <w:t xml:space="preserve"> </w:t>
      </w:r>
      <w:r w:rsidR="001D59C7" w:rsidRPr="001D59C7">
        <w:rPr>
          <w:rFonts w:ascii="Arial" w:eastAsia="Calibri" w:hAnsi="Arial" w:cs="Arial"/>
          <w:color w:val="000000" w:themeColor="text1"/>
          <w:sz w:val="22"/>
        </w:rPr>
        <w:t>por el artículo 6, parágrafo 1 de la Ley 2014 de 2019?</w:t>
      </w:r>
      <w:r w:rsidR="001D59C7">
        <w:rPr>
          <w:rFonts w:ascii="Arial" w:eastAsia="Calibri" w:hAnsi="Arial" w:cs="Arial"/>
          <w:color w:val="000000" w:themeColor="text1"/>
          <w:sz w:val="22"/>
        </w:rPr>
        <w:t xml:space="preserve"> […]»</w:t>
      </w:r>
      <w:bookmarkEnd w:id="6"/>
      <w:r w:rsidR="001D59C7">
        <w:rPr>
          <w:rFonts w:ascii="Arial" w:eastAsia="Calibri" w:hAnsi="Arial" w:cs="Arial"/>
          <w:color w:val="000000" w:themeColor="text1"/>
          <w:sz w:val="22"/>
        </w:rPr>
        <w:t xml:space="preserve"> y </w:t>
      </w:r>
      <w:bookmarkStart w:id="7" w:name="_Hlk51499004"/>
      <w:r w:rsidR="001D59C7">
        <w:rPr>
          <w:rFonts w:ascii="Arial" w:eastAsia="Calibri" w:hAnsi="Arial" w:cs="Arial"/>
          <w:color w:val="000000" w:themeColor="text1"/>
          <w:sz w:val="22"/>
        </w:rPr>
        <w:t>ii) «</w:t>
      </w:r>
      <w:r w:rsidR="001D59C7" w:rsidRPr="001D59C7">
        <w:rPr>
          <w:rFonts w:ascii="Arial" w:eastAsia="Calibri" w:hAnsi="Arial" w:cs="Arial"/>
          <w:color w:val="000000" w:themeColor="text1"/>
          <w:sz w:val="22"/>
        </w:rPr>
        <w:t>En caso que no exista una reglamentación al respecto ¿cuál es el procedimiento administrativo que</w:t>
      </w:r>
      <w:r w:rsidR="001D59C7">
        <w:rPr>
          <w:rFonts w:ascii="Arial" w:eastAsia="Calibri" w:hAnsi="Arial" w:cs="Arial"/>
          <w:color w:val="000000" w:themeColor="text1"/>
          <w:sz w:val="22"/>
        </w:rPr>
        <w:t xml:space="preserve"> </w:t>
      </w:r>
      <w:r w:rsidR="001D59C7" w:rsidRPr="001D59C7">
        <w:rPr>
          <w:rFonts w:ascii="Arial" w:eastAsia="Calibri" w:hAnsi="Arial" w:cs="Arial"/>
          <w:color w:val="000000" w:themeColor="text1"/>
          <w:sz w:val="22"/>
        </w:rPr>
        <w:t>debe aplicar la entidad estatal para determinar el cesionario?</w:t>
      </w:r>
      <w:r w:rsidR="001D59C7">
        <w:rPr>
          <w:rFonts w:ascii="Arial" w:eastAsia="Calibri" w:hAnsi="Arial" w:cs="Arial"/>
          <w:color w:val="000000" w:themeColor="text1"/>
          <w:sz w:val="22"/>
        </w:rPr>
        <w:t>»</w:t>
      </w:r>
      <w:bookmarkEnd w:id="7"/>
      <w:r w:rsidR="001D59C7">
        <w:rPr>
          <w:rFonts w:ascii="Arial" w:eastAsia="Calibri" w:hAnsi="Arial" w:cs="Arial"/>
          <w:color w:val="000000" w:themeColor="text1"/>
          <w:sz w:val="22"/>
        </w:rPr>
        <w:t>.</w:t>
      </w:r>
    </w:p>
    <w:p w14:paraId="199B2883" w14:textId="77777777" w:rsidR="00F103DC" w:rsidRPr="006C15D5" w:rsidRDefault="00F103DC" w:rsidP="00F103DC">
      <w:pPr>
        <w:tabs>
          <w:tab w:val="left" w:pos="709"/>
        </w:tabs>
        <w:spacing w:line="276" w:lineRule="auto"/>
        <w:jc w:val="both"/>
        <w:rPr>
          <w:rFonts w:ascii="Arial" w:eastAsia="Calibri" w:hAnsi="Arial" w:cs="Arial"/>
          <w:color w:val="000000" w:themeColor="text1"/>
          <w:sz w:val="22"/>
        </w:rPr>
      </w:pPr>
    </w:p>
    <w:p w14:paraId="4FA382BE" w14:textId="3E67759C" w:rsidR="001D59C7"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2217C81A" w14:textId="77777777" w:rsidR="001D59C7" w:rsidRPr="001D59C7" w:rsidRDefault="001D59C7" w:rsidP="001D59C7">
      <w:pPr>
        <w:tabs>
          <w:tab w:val="left" w:pos="426"/>
        </w:tabs>
        <w:spacing w:line="276" w:lineRule="auto"/>
        <w:jc w:val="both"/>
        <w:rPr>
          <w:rFonts w:ascii="Arial" w:eastAsia="Calibri" w:hAnsi="Arial" w:cs="Arial"/>
          <w:bCs/>
          <w:color w:val="000000" w:themeColor="text1"/>
          <w:sz w:val="22"/>
        </w:rPr>
      </w:pPr>
    </w:p>
    <w:p w14:paraId="61868583" w14:textId="501845AF" w:rsidR="001D59C7" w:rsidRPr="001D59C7" w:rsidRDefault="001D59C7" w:rsidP="001D59C7">
      <w:pPr>
        <w:tabs>
          <w:tab w:val="left" w:pos="426"/>
        </w:tabs>
        <w:spacing w:after="120" w:line="276" w:lineRule="auto"/>
        <w:jc w:val="both"/>
        <w:rPr>
          <w:rFonts w:ascii="Arial" w:eastAsia="Calibri" w:hAnsi="Arial" w:cs="Arial"/>
          <w:bCs/>
          <w:color w:val="000000" w:themeColor="text1"/>
          <w:sz w:val="22"/>
        </w:rPr>
      </w:pPr>
      <w:r w:rsidRPr="001D59C7">
        <w:rPr>
          <w:rFonts w:ascii="Arial" w:eastAsia="Calibri" w:hAnsi="Arial" w:cs="Arial"/>
          <w:bCs/>
          <w:color w:val="000000" w:themeColor="text1"/>
          <w:sz w:val="22"/>
        </w:rPr>
        <w:t xml:space="preserve">Para resolver las inquietudes planteadas, en primer lugar, se analizará </w:t>
      </w:r>
      <w:r w:rsidR="009646AE">
        <w:rPr>
          <w:rFonts w:ascii="Arial" w:eastAsia="Calibri" w:hAnsi="Arial" w:cs="Arial"/>
          <w:bCs/>
          <w:color w:val="000000" w:themeColor="text1"/>
          <w:sz w:val="22"/>
        </w:rPr>
        <w:t xml:space="preserve">la figura de la cesión del contrato estatal </w:t>
      </w:r>
      <w:r w:rsidRPr="001D59C7">
        <w:rPr>
          <w:rFonts w:ascii="Arial" w:eastAsia="Calibri" w:hAnsi="Arial" w:cs="Arial"/>
          <w:bCs/>
          <w:color w:val="000000" w:themeColor="text1"/>
          <w:sz w:val="22"/>
        </w:rPr>
        <w:t>y, en segundo lugar, se explicará</w:t>
      </w:r>
      <w:r w:rsidR="009646AE">
        <w:rPr>
          <w:rFonts w:ascii="Arial" w:eastAsia="Calibri" w:hAnsi="Arial" w:cs="Arial"/>
          <w:bCs/>
          <w:color w:val="000000" w:themeColor="text1"/>
          <w:sz w:val="22"/>
        </w:rPr>
        <w:t xml:space="preserve"> la necesidad de la reglamentación previa para efectos del procedimiento de cesión unilateral del contrato que se regula en el artículo 9 de la Ley 80 de 1993, modificado por el artículo 6 de la Ley 2014 de 2019. </w:t>
      </w:r>
    </w:p>
    <w:p w14:paraId="0BE4A8AA" w14:textId="3BD9F8E3" w:rsidR="00787284" w:rsidRDefault="009646AE" w:rsidP="00A148CF">
      <w:pPr>
        <w:tabs>
          <w:tab w:val="left" w:pos="426"/>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Pr>
          <w:rFonts w:ascii="Arial" w:eastAsia="Calibri" w:hAnsi="Arial" w:cs="Arial"/>
          <w:bCs/>
          <w:color w:val="000000" w:themeColor="text1"/>
          <w:sz w:val="22"/>
        </w:rPr>
        <w:tab/>
      </w:r>
      <w:r w:rsidR="001D59C7" w:rsidRPr="001D59C7">
        <w:rPr>
          <w:rFonts w:ascii="Arial" w:eastAsia="Calibri" w:hAnsi="Arial" w:cs="Arial"/>
          <w:bCs/>
          <w:color w:val="000000" w:themeColor="text1"/>
          <w:sz w:val="22"/>
        </w:rPr>
        <w:t xml:space="preserve">La Agencia Nacional de Contratación Pública – Colombia Compra Eficiente, en los Conceptos </w:t>
      </w:r>
      <w:r w:rsidR="00183A65" w:rsidRPr="00183A65">
        <w:rPr>
          <w:rFonts w:ascii="Arial" w:eastAsia="Calibri" w:hAnsi="Arial" w:cs="Arial"/>
          <w:bCs/>
          <w:color w:val="000000" w:themeColor="text1"/>
          <w:sz w:val="22"/>
        </w:rPr>
        <w:t>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514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516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535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537 del 26 de agosto de 2020, C-538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lastRenderedPageBreak/>
        <w:t>568 del 26 de agosto de 2020, C</w:t>
      </w:r>
      <w:r w:rsidR="00183A65">
        <w:rPr>
          <w:rFonts w:ascii="Arial" w:eastAsia="Calibri" w:hAnsi="Arial" w:cs="Arial"/>
          <w:bCs/>
          <w:color w:val="000000" w:themeColor="text1"/>
          <w:sz w:val="22"/>
        </w:rPr>
        <w:t>-</w:t>
      </w:r>
      <w:r w:rsidR="00183A65" w:rsidRPr="00183A65">
        <w:rPr>
          <w:rFonts w:ascii="Arial" w:eastAsia="Calibri" w:hAnsi="Arial" w:cs="Arial"/>
          <w:bCs/>
          <w:color w:val="000000" w:themeColor="text1"/>
          <w:sz w:val="22"/>
        </w:rPr>
        <w:t>572 del 27 de agosto de 2020</w:t>
      </w:r>
      <w:r w:rsidR="00823927">
        <w:rPr>
          <w:rFonts w:ascii="Arial" w:eastAsia="Calibri" w:hAnsi="Arial" w:cs="Arial"/>
          <w:bCs/>
          <w:color w:val="000000" w:themeColor="text1"/>
          <w:sz w:val="22"/>
        </w:rPr>
        <w:t xml:space="preserve"> y </w:t>
      </w:r>
      <w:r w:rsidR="00183A65" w:rsidRPr="00183A65">
        <w:rPr>
          <w:rFonts w:ascii="Arial" w:eastAsia="Calibri" w:hAnsi="Arial" w:cs="Arial"/>
          <w:bCs/>
          <w:color w:val="000000" w:themeColor="text1"/>
          <w:sz w:val="22"/>
        </w:rPr>
        <w:t>C-582 del 28 de agosto de 2020</w:t>
      </w:r>
      <w:r w:rsidR="001D59C7" w:rsidRPr="001D59C7">
        <w:rPr>
          <w:rFonts w:ascii="Arial" w:eastAsia="Calibri" w:hAnsi="Arial" w:cs="Arial"/>
          <w:bCs/>
          <w:color w:val="000000" w:themeColor="text1"/>
          <w:sz w:val="22"/>
        </w:rPr>
        <w:t xml:space="preserve">, explicó la </w:t>
      </w:r>
      <w:r w:rsidR="00823927">
        <w:rPr>
          <w:rFonts w:ascii="Arial" w:eastAsia="Calibri" w:hAnsi="Arial" w:cs="Arial"/>
          <w:bCs/>
          <w:color w:val="000000" w:themeColor="text1"/>
          <w:sz w:val="22"/>
        </w:rPr>
        <w:t>relación entre la ley y el reglamento, de manera que si bien</w:t>
      </w:r>
      <w:r w:rsidR="00104D9B">
        <w:rPr>
          <w:rFonts w:ascii="Arial" w:eastAsia="Calibri" w:hAnsi="Arial" w:cs="Arial"/>
          <w:bCs/>
          <w:color w:val="000000" w:themeColor="text1"/>
          <w:sz w:val="22"/>
        </w:rPr>
        <w:t>,</w:t>
      </w:r>
      <w:r w:rsidR="00823927">
        <w:rPr>
          <w:rFonts w:ascii="Arial" w:eastAsia="Calibri" w:hAnsi="Arial" w:cs="Arial"/>
          <w:bCs/>
          <w:color w:val="000000" w:themeColor="text1"/>
          <w:sz w:val="22"/>
        </w:rPr>
        <w:t xml:space="preserve"> por regla general</w:t>
      </w:r>
      <w:r w:rsidR="00104D9B">
        <w:rPr>
          <w:rFonts w:ascii="Arial" w:eastAsia="Calibri" w:hAnsi="Arial" w:cs="Arial"/>
          <w:bCs/>
          <w:color w:val="000000" w:themeColor="text1"/>
          <w:sz w:val="22"/>
        </w:rPr>
        <w:t>,</w:t>
      </w:r>
      <w:r w:rsidR="00823927">
        <w:rPr>
          <w:rFonts w:ascii="Arial" w:eastAsia="Calibri" w:hAnsi="Arial" w:cs="Arial"/>
          <w:bCs/>
          <w:color w:val="000000" w:themeColor="text1"/>
          <w:sz w:val="22"/>
        </w:rPr>
        <w:t xml:space="preserve"> la primera rige a partir de su promulgación, excepcionalmente esta requiere desarrollo reglamentario como una condición previa para su aplicación</w:t>
      </w:r>
      <w:r w:rsidR="001D59C7" w:rsidRPr="001D59C7">
        <w:rPr>
          <w:rFonts w:ascii="Arial" w:eastAsia="Calibri" w:hAnsi="Arial" w:cs="Arial"/>
          <w:bCs/>
          <w:color w:val="000000" w:themeColor="text1"/>
          <w:sz w:val="22"/>
        </w:rPr>
        <w:t xml:space="preserve">. </w:t>
      </w:r>
      <w:r w:rsidR="00823927">
        <w:rPr>
          <w:rFonts w:ascii="Arial" w:eastAsia="Calibri" w:hAnsi="Arial" w:cs="Arial"/>
          <w:bCs/>
          <w:color w:val="000000" w:themeColor="text1"/>
          <w:sz w:val="22"/>
        </w:rPr>
        <w:t>En lo perti</w:t>
      </w:r>
      <w:r w:rsidR="00A148CF">
        <w:rPr>
          <w:rFonts w:ascii="Arial" w:eastAsia="Calibri" w:hAnsi="Arial" w:cs="Arial"/>
          <w:bCs/>
          <w:color w:val="000000" w:themeColor="text1"/>
          <w:sz w:val="22"/>
        </w:rPr>
        <w:t>n</w:t>
      </w:r>
      <w:r w:rsidR="00823927">
        <w:rPr>
          <w:rFonts w:ascii="Arial" w:eastAsia="Calibri" w:hAnsi="Arial" w:cs="Arial"/>
          <w:bCs/>
          <w:color w:val="000000" w:themeColor="text1"/>
          <w:sz w:val="22"/>
        </w:rPr>
        <w:t>ente, l</w:t>
      </w:r>
      <w:r w:rsidR="001D59C7" w:rsidRPr="001D59C7">
        <w:rPr>
          <w:rFonts w:ascii="Arial" w:eastAsia="Calibri" w:hAnsi="Arial" w:cs="Arial"/>
          <w:bCs/>
          <w:color w:val="000000" w:themeColor="text1"/>
          <w:sz w:val="22"/>
        </w:rPr>
        <w:t>a tesis desarrollada en estos conceptos se reitera a continuación:</w:t>
      </w:r>
    </w:p>
    <w:p w14:paraId="79EC5C11" w14:textId="77777777" w:rsidR="00710FD2" w:rsidRDefault="00710FD2" w:rsidP="00A148CF">
      <w:pPr>
        <w:tabs>
          <w:tab w:val="left" w:pos="426"/>
        </w:tabs>
        <w:spacing w:line="276" w:lineRule="auto"/>
        <w:jc w:val="both"/>
        <w:rPr>
          <w:rFonts w:ascii="Arial" w:eastAsia="Calibri" w:hAnsi="Arial" w:cs="Arial"/>
          <w:bCs/>
          <w:color w:val="000000" w:themeColor="text1"/>
          <w:sz w:val="22"/>
        </w:rPr>
      </w:pPr>
    </w:p>
    <w:p w14:paraId="3B46707D" w14:textId="7D17DADA" w:rsidR="00A148CF" w:rsidRDefault="00A148CF" w:rsidP="00A148CF">
      <w:pPr>
        <w:tabs>
          <w:tab w:val="left" w:pos="426"/>
        </w:tabs>
        <w:spacing w:line="276" w:lineRule="auto"/>
        <w:jc w:val="both"/>
        <w:rPr>
          <w:rFonts w:ascii="Arial" w:eastAsia="Calibri" w:hAnsi="Arial" w:cs="Arial"/>
          <w:b/>
          <w:color w:val="000000" w:themeColor="text1"/>
          <w:sz w:val="22"/>
        </w:rPr>
      </w:pPr>
      <w:r w:rsidRPr="00A148CF">
        <w:rPr>
          <w:rFonts w:ascii="Arial" w:eastAsia="Calibri" w:hAnsi="Arial" w:cs="Arial"/>
          <w:b/>
          <w:color w:val="000000" w:themeColor="text1"/>
          <w:sz w:val="22"/>
        </w:rPr>
        <w:t>2.1. Cesión bilateral y unilateral del contrato estatal</w:t>
      </w:r>
    </w:p>
    <w:p w14:paraId="1733D190" w14:textId="39FB383C" w:rsidR="00407B6E" w:rsidRDefault="00407B6E" w:rsidP="00A148CF">
      <w:pPr>
        <w:tabs>
          <w:tab w:val="left" w:pos="426"/>
        </w:tabs>
        <w:spacing w:line="276" w:lineRule="auto"/>
        <w:jc w:val="both"/>
        <w:rPr>
          <w:rFonts w:ascii="Arial" w:eastAsia="Calibri" w:hAnsi="Arial" w:cs="Arial"/>
          <w:b/>
          <w:color w:val="000000" w:themeColor="text1"/>
          <w:sz w:val="22"/>
        </w:rPr>
      </w:pPr>
    </w:p>
    <w:p w14:paraId="182950E1" w14:textId="77777777" w:rsidR="00D51312" w:rsidRDefault="0029247F" w:rsidP="00D51312">
      <w:pPr>
        <w:tabs>
          <w:tab w:val="left" w:pos="426"/>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Conforme a lo previsto en los artículos 887 y siguientes del Código de Comercio</w:t>
      </w:r>
      <w:r w:rsidR="00664EDD">
        <w:rPr>
          <w:rFonts w:ascii="Arial" w:eastAsia="Calibri" w:hAnsi="Arial" w:cs="Arial"/>
          <w:bCs/>
          <w:color w:val="000000" w:themeColor="text1"/>
          <w:sz w:val="22"/>
        </w:rPr>
        <w:t>, l</w:t>
      </w:r>
      <w:r w:rsidR="00407B6E">
        <w:rPr>
          <w:rFonts w:ascii="Arial" w:eastAsia="Calibri" w:hAnsi="Arial" w:cs="Arial"/>
          <w:bCs/>
          <w:color w:val="000000" w:themeColor="text1"/>
          <w:sz w:val="22"/>
        </w:rPr>
        <w:t>a cesión de los contratos juega un papel importante en la gestión de los intereses patrimoniales</w:t>
      </w:r>
      <w:r>
        <w:rPr>
          <w:rFonts w:ascii="Arial" w:eastAsia="Calibri" w:hAnsi="Arial" w:cs="Arial"/>
          <w:bCs/>
          <w:color w:val="000000" w:themeColor="text1"/>
          <w:sz w:val="22"/>
        </w:rPr>
        <w:t xml:space="preserve"> de los sujetos de derecho privado</w:t>
      </w:r>
      <w:r w:rsidR="00407B6E">
        <w:rPr>
          <w:rFonts w:ascii="Arial" w:eastAsia="Calibri" w:hAnsi="Arial" w:cs="Arial"/>
          <w:bCs/>
          <w:color w:val="000000" w:themeColor="text1"/>
          <w:sz w:val="22"/>
        </w:rPr>
        <w:t xml:space="preserve">, ya que –a diferencia de la regulada en los artículos 1959 y siguientes del Código Civil– facilita el tráfico </w:t>
      </w:r>
      <w:r w:rsidR="00664EDD">
        <w:rPr>
          <w:rFonts w:ascii="Arial" w:eastAsia="Calibri" w:hAnsi="Arial" w:cs="Arial"/>
          <w:bCs/>
          <w:color w:val="000000" w:themeColor="text1"/>
          <w:sz w:val="22"/>
        </w:rPr>
        <w:t>jurídico tanto de los derechos como de las obligaciones</w:t>
      </w:r>
      <w:r w:rsidR="00407B6E">
        <w:rPr>
          <w:rFonts w:ascii="Arial" w:eastAsia="Calibri" w:hAnsi="Arial" w:cs="Arial"/>
          <w:bCs/>
          <w:color w:val="000000" w:themeColor="text1"/>
          <w:sz w:val="22"/>
        </w:rPr>
        <w:t xml:space="preserve"> surgidos con ocasión del acuerdo de voluntades, lo que permite su transferencia total o parcial </w:t>
      </w:r>
      <w:r w:rsidR="00664EDD">
        <w:rPr>
          <w:rFonts w:ascii="Arial" w:eastAsia="Calibri" w:hAnsi="Arial" w:cs="Arial"/>
          <w:bCs/>
          <w:color w:val="000000" w:themeColor="text1"/>
          <w:sz w:val="22"/>
        </w:rPr>
        <w:t xml:space="preserve">a terceros </w:t>
      </w:r>
      <w:r w:rsidR="00407B6E">
        <w:rPr>
          <w:rFonts w:ascii="Arial" w:eastAsia="Calibri" w:hAnsi="Arial" w:cs="Arial"/>
          <w:bCs/>
          <w:color w:val="000000" w:themeColor="text1"/>
          <w:sz w:val="22"/>
        </w:rPr>
        <w:t>como negocio generador de riqueza</w:t>
      </w:r>
      <w:r>
        <w:rPr>
          <w:rStyle w:val="Refdenotaalpie"/>
          <w:rFonts w:ascii="Arial" w:eastAsia="Calibri" w:hAnsi="Arial" w:cs="Arial"/>
          <w:bCs/>
          <w:color w:val="000000" w:themeColor="text1"/>
          <w:sz w:val="22"/>
        </w:rPr>
        <w:footnoteReference w:id="1"/>
      </w:r>
      <w:r w:rsidR="00664EDD">
        <w:rPr>
          <w:rFonts w:ascii="Arial" w:eastAsia="Calibri" w:hAnsi="Arial" w:cs="Arial"/>
          <w:bCs/>
          <w:color w:val="000000" w:themeColor="text1"/>
          <w:sz w:val="22"/>
        </w:rPr>
        <w:t>.</w:t>
      </w:r>
      <w:r>
        <w:rPr>
          <w:rFonts w:ascii="Arial" w:eastAsia="Calibri" w:hAnsi="Arial" w:cs="Arial"/>
          <w:bCs/>
          <w:color w:val="000000" w:themeColor="text1"/>
          <w:sz w:val="22"/>
        </w:rPr>
        <w:t xml:space="preserve"> </w:t>
      </w:r>
    </w:p>
    <w:p w14:paraId="75A9351A" w14:textId="07BE12BD" w:rsidR="00407B6E" w:rsidRDefault="00D51312" w:rsidP="005268CB">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A12DBA">
        <w:rPr>
          <w:rFonts w:ascii="Arial" w:eastAsia="Calibri" w:hAnsi="Arial" w:cs="Arial"/>
          <w:bCs/>
          <w:color w:val="000000" w:themeColor="text1"/>
          <w:sz w:val="22"/>
        </w:rPr>
        <w:t>Al respecto</w:t>
      </w:r>
      <w:r w:rsidR="0029247F">
        <w:rPr>
          <w:rFonts w:ascii="Arial" w:eastAsia="Calibri" w:hAnsi="Arial" w:cs="Arial"/>
          <w:bCs/>
          <w:color w:val="000000" w:themeColor="text1"/>
          <w:sz w:val="22"/>
        </w:rPr>
        <w:t xml:space="preserve">, </w:t>
      </w:r>
      <w:r>
        <w:rPr>
          <w:rFonts w:ascii="Arial" w:eastAsia="Calibri" w:hAnsi="Arial" w:cs="Arial"/>
          <w:bCs/>
          <w:color w:val="000000" w:themeColor="text1"/>
          <w:sz w:val="22"/>
        </w:rPr>
        <w:t>la cesión puede entenderse como un acto y como un efecto. Por un lado, «[…]</w:t>
      </w:r>
      <w:r w:rsidRPr="00D51312">
        <w:rPr>
          <w:rFonts w:ascii="Arial" w:eastAsia="Calibri" w:hAnsi="Arial" w:cs="Arial"/>
          <w:bCs/>
          <w:color w:val="000000" w:themeColor="text1"/>
          <w:sz w:val="22"/>
        </w:rPr>
        <w:t xml:space="preserve"> es el contrato con el cual el cedente,</w:t>
      </w:r>
      <w:r>
        <w:rPr>
          <w:rFonts w:ascii="Arial" w:eastAsia="Calibri" w:hAnsi="Arial" w:cs="Arial"/>
          <w:bCs/>
          <w:color w:val="000000" w:themeColor="text1"/>
          <w:sz w:val="22"/>
        </w:rPr>
        <w:t xml:space="preserve"> </w:t>
      </w:r>
      <w:r w:rsidRPr="00D51312">
        <w:rPr>
          <w:rFonts w:ascii="Arial" w:eastAsia="Calibri" w:hAnsi="Arial" w:cs="Arial"/>
          <w:bCs/>
          <w:color w:val="000000" w:themeColor="text1"/>
          <w:sz w:val="22"/>
        </w:rPr>
        <w:t>parte de otro contrato ya en curso con otro sujeto (cedido), transfiere la</w:t>
      </w:r>
      <w:r>
        <w:rPr>
          <w:rFonts w:ascii="Arial" w:eastAsia="Calibri" w:hAnsi="Arial" w:cs="Arial"/>
          <w:bCs/>
          <w:color w:val="000000" w:themeColor="text1"/>
          <w:sz w:val="22"/>
        </w:rPr>
        <w:t xml:space="preserve"> </w:t>
      </w:r>
      <w:r w:rsidRPr="00D51312">
        <w:rPr>
          <w:rFonts w:ascii="Arial" w:eastAsia="Calibri" w:hAnsi="Arial" w:cs="Arial"/>
          <w:bCs/>
          <w:color w:val="000000" w:themeColor="text1"/>
          <w:sz w:val="22"/>
        </w:rPr>
        <w:t>relativa posición contractual (en sus componentes activos y pasivos) al</w:t>
      </w:r>
      <w:r>
        <w:rPr>
          <w:rFonts w:ascii="Arial" w:eastAsia="Calibri" w:hAnsi="Arial" w:cs="Arial"/>
          <w:bCs/>
          <w:color w:val="000000" w:themeColor="text1"/>
          <w:sz w:val="22"/>
        </w:rPr>
        <w:t xml:space="preserve"> </w:t>
      </w:r>
      <w:r w:rsidRPr="00D51312">
        <w:rPr>
          <w:rFonts w:ascii="Arial" w:eastAsia="Calibri" w:hAnsi="Arial" w:cs="Arial"/>
          <w:bCs/>
          <w:color w:val="000000" w:themeColor="text1"/>
          <w:sz w:val="22"/>
        </w:rPr>
        <w:t>cesionario, el cual le subentra</w:t>
      </w:r>
      <w:r>
        <w:rPr>
          <w:rFonts w:ascii="Arial" w:eastAsia="Calibri" w:hAnsi="Arial" w:cs="Arial"/>
          <w:bCs/>
          <w:color w:val="000000" w:themeColor="text1"/>
          <w:sz w:val="22"/>
        </w:rPr>
        <w:t xml:space="preserve"> (sic)</w:t>
      </w:r>
      <w:r w:rsidRPr="00D51312">
        <w:rPr>
          <w:rFonts w:ascii="Arial" w:eastAsia="Calibri" w:hAnsi="Arial" w:cs="Arial"/>
          <w:bCs/>
          <w:color w:val="000000" w:themeColor="text1"/>
          <w:sz w:val="22"/>
        </w:rPr>
        <w:t xml:space="preserve"> en la relación con el cedido</w:t>
      </w:r>
      <w:r>
        <w:rPr>
          <w:rFonts w:ascii="Arial" w:eastAsia="Calibri" w:hAnsi="Arial" w:cs="Arial"/>
          <w:bCs/>
          <w:color w:val="000000" w:themeColor="text1"/>
          <w:sz w:val="22"/>
        </w:rPr>
        <w:t xml:space="preserve"> […]»</w:t>
      </w:r>
      <w:r>
        <w:rPr>
          <w:rStyle w:val="Refdenotaalpie"/>
          <w:rFonts w:ascii="Arial" w:eastAsia="Calibri" w:hAnsi="Arial" w:cs="Arial"/>
          <w:bCs/>
          <w:color w:val="000000" w:themeColor="text1"/>
          <w:sz w:val="22"/>
        </w:rPr>
        <w:footnoteReference w:id="2"/>
      </w:r>
      <w:r>
        <w:rPr>
          <w:rFonts w:ascii="Arial" w:eastAsia="Calibri" w:hAnsi="Arial" w:cs="Arial"/>
          <w:bCs/>
          <w:color w:val="000000" w:themeColor="text1"/>
          <w:sz w:val="22"/>
        </w:rPr>
        <w:t xml:space="preserve">. Por otro, «[…] </w:t>
      </w:r>
      <w:r w:rsidRPr="00D51312">
        <w:rPr>
          <w:rFonts w:ascii="Arial" w:eastAsia="Calibri" w:hAnsi="Arial" w:cs="Arial"/>
          <w:bCs/>
          <w:color w:val="000000" w:themeColor="text1"/>
          <w:sz w:val="22"/>
        </w:rPr>
        <w:t>es la transferencia de la posición</w:t>
      </w:r>
      <w:r>
        <w:rPr>
          <w:rFonts w:ascii="Arial" w:eastAsia="Calibri" w:hAnsi="Arial" w:cs="Arial"/>
          <w:bCs/>
          <w:color w:val="000000" w:themeColor="text1"/>
          <w:sz w:val="22"/>
        </w:rPr>
        <w:t xml:space="preserve"> </w:t>
      </w:r>
      <w:r w:rsidRPr="00D51312">
        <w:rPr>
          <w:rFonts w:ascii="Arial" w:eastAsia="Calibri" w:hAnsi="Arial" w:cs="Arial"/>
          <w:bCs/>
          <w:color w:val="000000" w:themeColor="text1"/>
          <w:sz w:val="22"/>
        </w:rPr>
        <w:t>contractual de un contratante a otro sujeto, que le subentra</w:t>
      </w:r>
      <w:r>
        <w:rPr>
          <w:rFonts w:ascii="Arial" w:eastAsia="Calibri" w:hAnsi="Arial" w:cs="Arial"/>
          <w:bCs/>
          <w:color w:val="000000" w:themeColor="text1"/>
          <w:sz w:val="22"/>
        </w:rPr>
        <w:t xml:space="preserve"> (sic)</w:t>
      </w:r>
      <w:r w:rsidRPr="00D51312">
        <w:rPr>
          <w:rFonts w:ascii="Arial" w:eastAsia="Calibri" w:hAnsi="Arial" w:cs="Arial"/>
          <w:bCs/>
          <w:color w:val="000000" w:themeColor="text1"/>
          <w:sz w:val="22"/>
        </w:rPr>
        <w:t xml:space="preserve"> en la relación</w:t>
      </w:r>
      <w:r>
        <w:rPr>
          <w:rFonts w:ascii="Arial" w:eastAsia="Calibri" w:hAnsi="Arial" w:cs="Arial"/>
          <w:bCs/>
          <w:color w:val="000000" w:themeColor="text1"/>
          <w:sz w:val="22"/>
        </w:rPr>
        <w:t xml:space="preserve"> </w:t>
      </w:r>
      <w:r w:rsidRPr="00D51312">
        <w:rPr>
          <w:rFonts w:ascii="Arial" w:eastAsia="Calibri" w:hAnsi="Arial" w:cs="Arial"/>
          <w:bCs/>
          <w:color w:val="000000" w:themeColor="text1"/>
          <w:sz w:val="22"/>
        </w:rPr>
        <w:t>con la contraparte</w:t>
      </w:r>
      <w:r>
        <w:rPr>
          <w:rFonts w:ascii="Arial" w:eastAsia="Calibri" w:hAnsi="Arial" w:cs="Arial"/>
          <w:bCs/>
          <w:color w:val="000000" w:themeColor="text1"/>
          <w:sz w:val="22"/>
        </w:rPr>
        <w:t xml:space="preserve"> […]»</w:t>
      </w:r>
      <w:r>
        <w:rPr>
          <w:rStyle w:val="Refdenotaalpie"/>
          <w:rFonts w:ascii="Arial" w:eastAsia="Calibri" w:hAnsi="Arial" w:cs="Arial"/>
          <w:bCs/>
          <w:color w:val="000000" w:themeColor="text1"/>
          <w:sz w:val="22"/>
        </w:rPr>
        <w:footnoteReference w:id="3"/>
      </w:r>
      <w:r>
        <w:rPr>
          <w:rFonts w:ascii="Arial" w:eastAsia="Calibri" w:hAnsi="Arial" w:cs="Arial"/>
          <w:bCs/>
          <w:color w:val="000000" w:themeColor="text1"/>
          <w:sz w:val="22"/>
        </w:rPr>
        <w:t xml:space="preserve">.  </w:t>
      </w:r>
      <w:r w:rsidR="008B66F0">
        <w:rPr>
          <w:rFonts w:ascii="Arial" w:eastAsia="Calibri" w:hAnsi="Arial" w:cs="Arial"/>
          <w:bCs/>
          <w:color w:val="000000" w:themeColor="text1"/>
          <w:sz w:val="22"/>
        </w:rPr>
        <w:t>Por tanto</w:t>
      </w:r>
      <w:r w:rsidR="008B66F0" w:rsidRPr="008B66F0">
        <w:rPr>
          <w:rFonts w:ascii="Arial" w:eastAsia="Calibri" w:hAnsi="Arial" w:cs="Arial"/>
          <w:bCs/>
          <w:color w:val="000000" w:themeColor="text1"/>
          <w:sz w:val="22"/>
        </w:rPr>
        <w:t xml:space="preserve">, </w:t>
      </w:r>
      <w:r w:rsidR="008B66F0">
        <w:rPr>
          <w:rFonts w:ascii="Arial" w:eastAsia="Calibri" w:hAnsi="Arial" w:cs="Arial"/>
          <w:bCs/>
          <w:color w:val="000000" w:themeColor="text1"/>
          <w:sz w:val="22"/>
        </w:rPr>
        <w:t xml:space="preserve">la </w:t>
      </w:r>
      <w:r w:rsidR="008B66F0" w:rsidRPr="008B66F0">
        <w:rPr>
          <w:rFonts w:ascii="Arial" w:eastAsia="Calibri" w:hAnsi="Arial" w:cs="Arial"/>
          <w:bCs/>
          <w:color w:val="000000" w:themeColor="text1"/>
          <w:sz w:val="22"/>
        </w:rPr>
        <w:t>cesión</w:t>
      </w:r>
      <w:r w:rsidR="008B66F0">
        <w:rPr>
          <w:rFonts w:ascii="Arial" w:eastAsia="Calibri" w:hAnsi="Arial" w:cs="Arial"/>
          <w:bCs/>
          <w:color w:val="000000" w:themeColor="text1"/>
          <w:sz w:val="22"/>
        </w:rPr>
        <w:t xml:space="preserve"> de una posición contractual</w:t>
      </w:r>
      <w:r w:rsidR="008B66F0" w:rsidRPr="008B66F0">
        <w:rPr>
          <w:rFonts w:ascii="Arial" w:eastAsia="Calibri" w:hAnsi="Arial" w:cs="Arial"/>
          <w:bCs/>
          <w:color w:val="000000" w:themeColor="text1"/>
          <w:sz w:val="22"/>
        </w:rPr>
        <w:t xml:space="preserve"> es una figura jurídica que permite que</w:t>
      </w:r>
      <w:r w:rsidR="008B66F0">
        <w:rPr>
          <w:rFonts w:ascii="Arial" w:eastAsia="Calibri" w:hAnsi="Arial" w:cs="Arial"/>
          <w:bCs/>
          <w:color w:val="000000" w:themeColor="text1"/>
          <w:sz w:val="22"/>
        </w:rPr>
        <w:t xml:space="preserve"> </w:t>
      </w:r>
      <w:r w:rsidR="008B66F0" w:rsidRPr="008B66F0">
        <w:rPr>
          <w:rFonts w:ascii="Arial" w:eastAsia="Calibri" w:hAnsi="Arial" w:cs="Arial"/>
          <w:bCs/>
          <w:color w:val="000000" w:themeColor="text1"/>
          <w:sz w:val="22"/>
        </w:rPr>
        <w:t>terceros ajenos a los contratantes</w:t>
      </w:r>
      <w:r w:rsidR="008B66F0">
        <w:rPr>
          <w:rFonts w:ascii="Arial" w:eastAsia="Calibri" w:hAnsi="Arial" w:cs="Arial"/>
          <w:bCs/>
          <w:color w:val="000000" w:themeColor="text1"/>
          <w:sz w:val="22"/>
        </w:rPr>
        <w:t xml:space="preserve"> iniciales</w:t>
      </w:r>
      <w:r w:rsidR="008B66F0" w:rsidRPr="008B66F0">
        <w:rPr>
          <w:rFonts w:ascii="Arial" w:eastAsia="Calibri" w:hAnsi="Arial" w:cs="Arial"/>
          <w:bCs/>
          <w:color w:val="000000" w:themeColor="text1"/>
          <w:sz w:val="22"/>
        </w:rPr>
        <w:t xml:space="preserve"> </w:t>
      </w:r>
      <w:r w:rsidR="008B66F0">
        <w:rPr>
          <w:rFonts w:ascii="Arial" w:eastAsia="Calibri" w:hAnsi="Arial" w:cs="Arial"/>
          <w:bCs/>
          <w:color w:val="000000" w:themeColor="text1"/>
          <w:sz w:val="22"/>
        </w:rPr>
        <w:t>participen</w:t>
      </w:r>
      <w:r w:rsidR="008B66F0" w:rsidRPr="008B66F0">
        <w:rPr>
          <w:rFonts w:ascii="Arial" w:eastAsia="Calibri" w:hAnsi="Arial" w:cs="Arial"/>
          <w:bCs/>
          <w:color w:val="000000" w:themeColor="text1"/>
          <w:sz w:val="22"/>
        </w:rPr>
        <w:t xml:space="preserve"> en negocios</w:t>
      </w:r>
      <w:r w:rsidR="008B66F0">
        <w:rPr>
          <w:rFonts w:ascii="Arial" w:eastAsia="Calibri" w:hAnsi="Arial" w:cs="Arial"/>
          <w:bCs/>
          <w:color w:val="000000" w:themeColor="text1"/>
          <w:sz w:val="22"/>
        </w:rPr>
        <w:t xml:space="preserve"> </w:t>
      </w:r>
      <w:r w:rsidR="008B66F0" w:rsidRPr="008B66F0">
        <w:rPr>
          <w:rFonts w:ascii="Arial" w:eastAsia="Calibri" w:hAnsi="Arial" w:cs="Arial"/>
          <w:bCs/>
          <w:color w:val="000000" w:themeColor="text1"/>
          <w:sz w:val="22"/>
        </w:rPr>
        <w:t xml:space="preserve">que se están </w:t>
      </w:r>
      <w:r w:rsidR="008B66F0">
        <w:rPr>
          <w:rFonts w:ascii="Arial" w:eastAsia="Calibri" w:hAnsi="Arial" w:cs="Arial"/>
          <w:bCs/>
          <w:color w:val="000000" w:themeColor="text1"/>
          <w:sz w:val="22"/>
        </w:rPr>
        <w:t>ejecutando</w:t>
      </w:r>
      <w:r w:rsidR="008B66F0" w:rsidRPr="008B66F0">
        <w:rPr>
          <w:rFonts w:ascii="Arial" w:eastAsia="Calibri" w:hAnsi="Arial" w:cs="Arial"/>
          <w:bCs/>
          <w:color w:val="000000" w:themeColor="text1"/>
          <w:sz w:val="22"/>
        </w:rPr>
        <w:t xml:space="preserve"> cuando no se hayan cumplido </w:t>
      </w:r>
      <w:r w:rsidR="008B66F0">
        <w:rPr>
          <w:rFonts w:ascii="Arial" w:eastAsia="Calibri" w:hAnsi="Arial" w:cs="Arial"/>
          <w:bCs/>
          <w:color w:val="000000" w:themeColor="text1"/>
          <w:sz w:val="22"/>
        </w:rPr>
        <w:t>la totalidad de</w:t>
      </w:r>
      <w:r w:rsidR="008B66F0" w:rsidRPr="008B66F0">
        <w:rPr>
          <w:rFonts w:ascii="Arial" w:eastAsia="Calibri" w:hAnsi="Arial" w:cs="Arial"/>
          <w:bCs/>
          <w:color w:val="000000" w:themeColor="text1"/>
          <w:sz w:val="22"/>
        </w:rPr>
        <w:t xml:space="preserve"> las</w:t>
      </w:r>
      <w:r w:rsidR="008B66F0">
        <w:rPr>
          <w:rFonts w:ascii="Arial" w:eastAsia="Calibri" w:hAnsi="Arial" w:cs="Arial"/>
          <w:bCs/>
          <w:color w:val="000000" w:themeColor="text1"/>
          <w:sz w:val="22"/>
        </w:rPr>
        <w:t xml:space="preserve"> </w:t>
      </w:r>
      <w:r w:rsidR="008B66F0" w:rsidRPr="008B66F0">
        <w:rPr>
          <w:rFonts w:ascii="Arial" w:eastAsia="Calibri" w:hAnsi="Arial" w:cs="Arial"/>
          <w:bCs/>
          <w:color w:val="000000" w:themeColor="text1"/>
          <w:sz w:val="22"/>
        </w:rPr>
        <w:t>obligaciones, permitiendo que sea este tercero el que</w:t>
      </w:r>
      <w:r w:rsidR="008B66F0">
        <w:rPr>
          <w:rFonts w:ascii="Arial" w:eastAsia="Calibri" w:hAnsi="Arial" w:cs="Arial"/>
          <w:bCs/>
          <w:color w:val="000000" w:themeColor="text1"/>
          <w:sz w:val="22"/>
        </w:rPr>
        <w:t xml:space="preserve"> </w:t>
      </w:r>
      <w:r w:rsidR="008B66F0" w:rsidRPr="008B66F0">
        <w:rPr>
          <w:rFonts w:ascii="Arial" w:eastAsia="Calibri" w:hAnsi="Arial" w:cs="Arial"/>
          <w:bCs/>
          <w:color w:val="000000" w:themeColor="text1"/>
          <w:sz w:val="22"/>
        </w:rPr>
        <w:t xml:space="preserve">cumpla las obligaciones contractuales </w:t>
      </w:r>
      <w:r w:rsidR="008B66F0">
        <w:rPr>
          <w:rFonts w:ascii="Arial" w:eastAsia="Calibri" w:hAnsi="Arial" w:cs="Arial"/>
          <w:bCs/>
          <w:color w:val="000000" w:themeColor="text1"/>
          <w:sz w:val="22"/>
        </w:rPr>
        <w:t>faltantes</w:t>
      </w:r>
      <w:r w:rsidR="005268CB">
        <w:rPr>
          <w:rFonts w:ascii="Arial" w:eastAsia="Calibri" w:hAnsi="Arial" w:cs="Arial"/>
          <w:bCs/>
          <w:color w:val="000000" w:themeColor="text1"/>
          <w:sz w:val="22"/>
        </w:rPr>
        <w:t>. En efecto:</w:t>
      </w:r>
    </w:p>
    <w:p w14:paraId="777B04E5" w14:textId="77777777" w:rsidR="005268CB" w:rsidRDefault="005268CB" w:rsidP="005268CB">
      <w:pPr>
        <w:tabs>
          <w:tab w:val="left" w:pos="709"/>
        </w:tabs>
        <w:spacing w:line="276" w:lineRule="auto"/>
        <w:jc w:val="both"/>
        <w:rPr>
          <w:rFonts w:ascii="Arial" w:eastAsia="Calibri" w:hAnsi="Arial" w:cs="Arial"/>
          <w:bCs/>
          <w:color w:val="000000" w:themeColor="text1"/>
          <w:sz w:val="22"/>
        </w:rPr>
      </w:pPr>
    </w:p>
    <w:p w14:paraId="55D041C0" w14:textId="4CF8F4D8" w:rsidR="005268CB" w:rsidRDefault="005268CB" w:rsidP="005268CB">
      <w:pPr>
        <w:tabs>
          <w:tab w:val="left" w:pos="709"/>
        </w:tabs>
        <w:ind w:left="709" w:right="709"/>
        <w:jc w:val="both"/>
        <w:rPr>
          <w:rFonts w:ascii="Arial" w:eastAsia="Calibri" w:hAnsi="Arial" w:cs="Arial"/>
          <w:bCs/>
          <w:color w:val="000000" w:themeColor="text1"/>
          <w:sz w:val="21"/>
          <w:szCs w:val="21"/>
        </w:rPr>
      </w:pPr>
      <w:r w:rsidRPr="005268CB">
        <w:rPr>
          <w:rFonts w:ascii="Arial" w:eastAsia="Calibri" w:hAnsi="Arial" w:cs="Arial"/>
          <w:bCs/>
          <w:color w:val="000000" w:themeColor="text1"/>
          <w:sz w:val="21"/>
          <w:szCs w:val="21"/>
        </w:rPr>
        <w:lastRenderedPageBreak/>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Pr>
          <w:rStyle w:val="Refdenotaalpie"/>
          <w:rFonts w:ascii="Arial" w:eastAsia="Calibri" w:hAnsi="Arial" w:cs="Arial"/>
          <w:bCs/>
          <w:color w:val="000000" w:themeColor="text1"/>
          <w:sz w:val="21"/>
          <w:szCs w:val="21"/>
        </w:rPr>
        <w:footnoteReference w:id="4"/>
      </w:r>
      <w:r w:rsidR="00926B22">
        <w:rPr>
          <w:rFonts w:ascii="Arial" w:eastAsia="Calibri" w:hAnsi="Arial" w:cs="Arial"/>
          <w:bCs/>
          <w:color w:val="000000" w:themeColor="text1"/>
          <w:sz w:val="21"/>
          <w:szCs w:val="21"/>
        </w:rPr>
        <w:t>.</w:t>
      </w:r>
    </w:p>
    <w:p w14:paraId="61FE64EC" w14:textId="77777777" w:rsidR="005268CB" w:rsidRPr="00EE6AAE" w:rsidRDefault="005268CB" w:rsidP="005268CB">
      <w:pPr>
        <w:tabs>
          <w:tab w:val="left" w:pos="709"/>
        </w:tabs>
        <w:ind w:left="709" w:right="709"/>
        <w:jc w:val="both"/>
        <w:rPr>
          <w:rFonts w:ascii="Arial" w:eastAsia="Calibri" w:hAnsi="Arial" w:cs="Arial"/>
          <w:bCs/>
          <w:color w:val="000000" w:themeColor="text1"/>
          <w:sz w:val="22"/>
        </w:rPr>
      </w:pPr>
    </w:p>
    <w:p w14:paraId="65F24335" w14:textId="77777777" w:rsidR="006A7E26" w:rsidRDefault="008B66F0" w:rsidP="008B66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No obstante, para efectos de los contratos celebrados con el Estado, la cesión tiene una sustantividad propia, pues el artículo 41, inciso tercero, de la Ley 80 de 1993 dispone que «</w:t>
      </w:r>
      <w:r w:rsidRPr="008B66F0">
        <w:rPr>
          <w:rFonts w:ascii="Arial" w:eastAsia="Calibri" w:hAnsi="Arial" w:cs="Arial"/>
          <w:bCs/>
          <w:color w:val="000000" w:themeColor="text1"/>
          <w:sz w:val="22"/>
        </w:rPr>
        <w:t xml:space="preserve">Los contratos estatales son </w:t>
      </w:r>
      <w:r w:rsidRPr="008B66F0">
        <w:rPr>
          <w:rFonts w:ascii="Arial" w:eastAsia="Calibri" w:hAnsi="Arial" w:cs="Arial"/>
          <w:bCs/>
          <w:i/>
          <w:iCs/>
          <w:color w:val="000000" w:themeColor="text1"/>
          <w:sz w:val="22"/>
        </w:rPr>
        <w:t>intuito personae</w:t>
      </w:r>
      <w:r w:rsidRPr="008B66F0">
        <w:rPr>
          <w:rFonts w:ascii="Arial" w:eastAsia="Calibri" w:hAnsi="Arial" w:cs="Arial"/>
          <w:bCs/>
          <w:color w:val="000000" w:themeColor="text1"/>
          <w:sz w:val="22"/>
        </w:rPr>
        <w:t xml:space="preserve"> y, en consecuencia, una vez celebrados no podrán cederse sin previa autorización escrita de la entidad contratante</w:t>
      </w:r>
      <w:r>
        <w:rPr>
          <w:rFonts w:ascii="Arial" w:eastAsia="Calibri" w:hAnsi="Arial" w:cs="Arial"/>
          <w:bCs/>
          <w:color w:val="000000" w:themeColor="text1"/>
          <w:sz w:val="22"/>
        </w:rPr>
        <w:t>»</w:t>
      </w:r>
      <w:r w:rsidRPr="008B66F0">
        <w:rPr>
          <w:rFonts w:ascii="Arial" w:eastAsia="Calibri" w:hAnsi="Arial" w:cs="Arial"/>
          <w:bCs/>
          <w:color w:val="000000" w:themeColor="text1"/>
          <w:sz w:val="22"/>
        </w:rPr>
        <w:t>.</w:t>
      </w:r>
      <w:r w:rsidR="00F735C8">
        <w:rPr>
          <w:rFonts w:ascii="Arial" w:eastAsia="Calibri" w:hAnsi="Arial" w:cs="Arial"/>
          <w:bCs/>
          <w:color w:val="000000" w:themeColor="text1"/>
          <w:sz w:val="22"/>
        </w:rPr>
        <w:t xml:space="preserve"> Esta norma contiene una prohibición general –</w:t>
      </w:r>
      <w:r w:rsidR="00F735C8" w:rsidRPr="006A7E26">
        <w:rPr>
          <w:rFonts w:ascii="Arial" w:eastAsia="Calibri" w:hAnsi="Arial" w:cs="Arial"/>
          <w:bCs/>
          <w:i/>
          <w:iCs/>
          <w:color w:val="000000" w:themeColor="text1"/>
          <w:sz w:val="22"/>
        </w:rPr>
        <w:t>faceta negativa</w:t>
      </w:r>
      <w:r w:rsidR="00F735C8">
        <w:rPr>
          <w:rFonts w:ascii="Arial" w:eastAsia="Calibri" w:hAnsi="Arial" w:cs="Arial"/>
          <w:bCs/>
          <w:color w:val="000000" w:themeColor="text1"/>
          <w:sz w:val="22"/>
        </w:rPr>
        <w:t>– y una autorización excepcional –</w:t>
      </w:r>
      <w:r w:rsidR="00F735C8" w:rsidRPr="006A7E26">
        <w:rPr>
          <w:rFonts w:ascii="Arial" w:eastAsia="Calibri" w:hAnsi="Arial" w:cs="Arial"/>
          <w:bCs/>
          <w:i/>
          <w:iCs/>
          <w:color w:val="000000" w:themeColor="text1"/>
          <w:sz w:val="22"/>
        </w:rPr>
        <w:t>faceta positiva</w:t>
      </w:r>
      <w:r w:rsidR="00F735C8">
        <w:rPr>
          <w:rFonts w:ascii="Arial" w:eastAsia="Calibri" w:hAnsi="Arial" w:cs="Arial"/>
          <w:bCs/>
          <w:color w:val="000000" w:themeColor="text1"/>
          <w:sz w:val="22"/>
        </w:rPr>
        <w:t xml:space="preserve">–. </w:t>
      </w:r>
    </w:p>
    <w:p w14:paraId="26928BCC" w14:textId="5DDC9040" w:rsidR="001D1277" w:rsidRDefault="006A7E26" w:rsidP="008B66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1D1277" w:rsidRPr="001D1277">
        <w:rPr>
          <w:rFonts w:ascii="Arial" w:eastAsia="Calibri" w:hAnsi="Arial" w:cs="Arial"/>
          <w:bCs/>
          <w:color w:val="000000" w:themeColor="text1"/>
          <w:sz w:val="22"/>
        </w:rPr>
        <w:t xml:space="preserve">En lo que respecta a la </w:t>
      </w:r>
      <w:r w:rsidR="001D1277" w:rsidRPr="005D284B">
        <w:rPr>
          <w:rFonts w:ascii="Arial" w:eastAsia="Calibri" w:hAnsi="Arial" w:cs="Arial"/>
          <w:bCs/>
          <w:i/>
          <w:iCs/>
          <w:color w:val="000000" w:themeColor="text1"/>
          <w:sz w:val="22"/>
        </w:rPr>
        <w:t>faceta negativa</w:t>
      </w:r>
      <w:r w:rsidR="001D1277" w:rsidRPr="001D1277">
        <w:rPr>
          <w:rFonts w:ascii="Arial" w:eastAsia="Calibri" w:hAnsi="Arial" w:cs="Arial"/>
          <w:bCs/>
          <w:color w:val="000000" w:themeColor="text1"/>
          <w:sz w:val="22"/>
        </w:rPr>
        <w:t xml:space="preserve">, el artículo 41 del Estatuto General ordena que el contrato se ejecute con </w:t>
      </w:r>
      <w:r w:rsidR="007A7657">
        <w:rPr>
          <w:rFonts w:ascii="Arial" w:eastAsia="Calibri" w:hAnsi="Arial" w:cs="Arial"/>
          <w:bCs/>
          <w:color w:val="000000" w:themeColor="text1"/>
          <w:sz w:val="22"/>
        </w:rPr>
        <w:t>quien</w:t>
      </w:r>
      <w:r w:rsidR="001D1277" w:rsidRPr="001D1277">
        <w:rPr>
          <w:rFonts w:ascii="Arial" w:eastAsia="Calibri" w:hAnsi="Arial" w:cs="Arial"/>
          <w:bCs/>
          <w:color w:val="000000" w:themeColor="text1"/>
          <w:sz w:val="22"/>
        </w:rPr>
        <w:t xml:space="preserve"> inicialmente se celebró el acuerdo de voluntades, pues es </w:t>
      </w:r>
      <w:r w:rsidR="007A7657">
        <w:rPr>
          <w:rFonts w:ascii="Arial" w:eastAsia="Calibri" w:hAnsi="Arial" w:cs="Arial"/>
          <w:bCs/>
          <w:color w:val="000000" w:themeColor="text1"/>
          <w:sz w:val="22"/>
        </w:rPr>
        <w:t>la persona que</w:t>
      </w:r>
      <w:r w:rsidR="001D1277" w:rsidRPr="001D1277">
        <w:rPr>
          <w:rFonts w:ascii="Arial" w:eastAsia="Calibri" w:hAnsi="Arial" w:cs="Arial"/>
          <w:bCs/>
          <w:color w:val="000000" w:themeColor="text1"/>
          <w:sz w:val="22"/>
        </w:rPr>
        <w:t xml:space="preserve"> –de acuerdo a los criterios definidos por la entidad para la selección del contratista– resulta idónea para cumplir con las obligaciones</w:t>
      </w:r>
      <w:r>
        <w:rPr>
          <w:rFonts w:ascii="Arial" w:eastAsia="Calibri" w:hAnsi="Arial" w:cs="Arial"/>
          <w:bCs/>
          <w:color w:val="000000" w:themeColor="text1"/>
          <w:sz w:val="22"/>
        </w:rPr>
        <w:t>.</w:t>
      </w:r>
      <w:r w:rsidR="00A12DBA">
        <w:rPr>
          <w:rFonts w:ascii="Arial" w:eastAsia="Calibri" w:hAnsi="Arial" w:cs="Arial"/>
          <w:bCs/>
          <w:color w:val="000000" w:themeColor="text1"/>
          <w:sz w:val="22"/>
        </w:rPr>
        <w:t xml:space="preserve"> </w:t>
      </w:r>
      <w:r w:rsidR="006E20AA">
        <w:rPr>
          <w:rFonts w:ascii="Arial" w:eastAsia="Calibri" w:hAnsi="Arial" w:cs="Arial"/>
          <w:bCs/>
          <w:color w:val="000000" w:themeColor="text1"/>
          <w:sz w:val="22"/>
        </w:rPr>
        <w:t>De esta manera, la prohibición contenida en la norma citada e</w:t>
      </w:r>
      <w:r w:rsidR="00E64D49">
        <w:rPr>
          <w:rFonts w:ascii="Arial" w:eastAsia="Calibri" w:hAnsi="Arial" w:cs="Arial"/>
          <w:bCs/>
          <w:color w:val="000000" w:themeColor="text1"/>
          <w:sz w:val="22"/>
        </w:rPr>
        <w:t>s</w:t>
      </w:r>
      <w:r w:rsidR="006E20AA">
        <w:rPr>
          <w:rFonts w:ascii="Arial" w:eastAsia="Calibri" w:hAnsi="Arial" w:cs="Arial"/>
          <w:bCs/>
          <w:color w:val="000000" w:themeColor="text1"/>
          <w:sz w:val="22"/>
        </w:rPr>
        <w:t xml:space="preserve"> un</w:t>
      </w:r>
      <w:r w:rsidR="00C40139">
        <w:rPr>
          <w:rFonts w:ascii="Arial" w:eastAsia="Calibri" w:hAnsi="Arial" w:cs="Arial"/>
          <w:bCs/>
          <w:color w:val="000000" w:themeColor="text1"/>
          <w:sz w:val="22"/>
        </w:rPr>
        <w:t>o de los</w:t>
      </w:r>
      <w:r w:rsidR="006E20AA">
        <w:rPr>
          <w:rFonts w:ascii="Arial" w:eastAsia="Calibri" w:hAnsi="Arial" w:cs="Arial"/>
          <w:bCs/>
          <w:color w:val="000000" w:themeColor="text1"/>
          <w:sz w:val="22"/>
        </w:rPr>
        <w:t xml:space="preserve"> elemento</w:t>
      </w:r>
      <w:r w:rsidR="00C40139">
        <w:rPr>
          <w:rFonts w:ascii="Arial" w:eastAsia="Calibri" w:hAnsi="Arial" w:cs="Arial"/>
          <w:bCs/>
          <w:color w:val="000000" w:themeColor="text1"/>
          <w:sz w:val="22"/>
        </w:rPr>
        <w:t>s</w:t>
      </w:r>
      <w:r w:rsidR="006E20AA">
        <w:rPr>
          <w:rFonts w:ascii="Arial" w:eastAsia="Calibri" w:hAnsi="Arial" w:cs="Arial"/>
          <w:bCs/>
          <w:color w:val="000000" w:themeColor="text1"/>
          <w:sz w:val="22"/>
        </w:rPr>
        <w:t xml:space="preserve"> de la naturaleza del contrato estatal</w:t>
      </w:r>
      <w:r w:rsidR="00CF1F1E">
        <w:rPr>
          <w:rFonts w:ascii="Arial" w:eastAsia="Calibri" w:hAnsi="Arial" w:cs="Arial"/>
          <w:bCs/>
          <w:color w:val="000000" w:themeColor="text1"/>
          <w:sz w:val="22"/>
        </w:rPr>
        <w:t xml:space="preserve">, pues –conforme a lo previsto en el artículo 1501 del Código Civil– es de aquellos «[…] </w:t>
      </w:r>
      <w:r w:rsidR="00CF1F1E" w:rsidRPr="00CF1F1E">
        <w:rPr>
          <w:rFonts w:ascii="Arial" w:eastAsia="Calibri" w:hAnsi="Arial" w:cs="Arial"/>
          <w:bCs/>
          <w:color w:val="000000" w:themeColor="text1"/>
          <w:sz w:val="22"/>
        </w:rPr>
        <w:t>que no siendo esenciales en él, se entienden pertenecerle, sin necesidad de una cláusula especial</w:t>
      </w:r>
      <w:r w:rsidR="00CF1F1E">
        <w:rPr>
          <w:rFonts w:ascii="Arial" w:eastAsia="Calibri" w:hAnsi="Arial" w:cs="Arial"/>
          <w:bCs/>
          <w:color w:val="000000" w:themeColor="text1"/>
          <w:sz w:val="22"/>
        </w:rPr>
        <w:t xml:space="preserve"> […]»</w:t>
      </w:r>
      <w:r w:rsidR="00CF1F1E">
        <w:rPr>
          <w:rStyle w:val="Refdenotaalpie"/>
          <w:rFonts w:ascii="Arial" w:eastAsia="Calibri" w:hAnsi="Arial" w:cs="Arial"/>
          <w:bCs/>
          <w:color w:val="000000" w:themeColor="text1"/>
          <w:sz w:val="22"/>
        </w:rPr>
        <w:footnoteReference w:id="5"/>
      </w:r>
      <w:r w:rsidR="00CF1F1E">
        <w:rPr>
          <w:rFonts w:ascii="Arial" w:eastAsia="Calibri" w:hAnsi="Arial" w:cs="Arial"/>
          <w:bCs/>
          <w:color w:val="000000" w:themeColor="text1"/>
          <w:sz w:val="22"/>
        </w:rPr>
        <w:t>.</w:t>
      </w:r>
      <w:r w:rsidR="006E20AA">
        <w:rPr>
          <w:rFonts w:ascii="Arial" w:eastAsia="Calibri" w:hAnsi="Arial" w:cs="Arial"/>
          <w:bCs/>
          <w:color w:val="000000" w:themeColor="text1"/>
          <w:sz w:val="22"/>
        </w:rPr>
        <w:t xml:space="preserve">  </w:t>
      </w:r>
    </w:p>
    <w:p w14:paraId="59C08168" w14:textId="6EFB0759" w:rsidR="00645FCF" w:rsidRDefault="00645FCF" w:rsidP="008B66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C40139">
        <w:rPr>
          <w:rFonts w:ascii="Arial" w:eastAsia="Calibri" w:hAnsi="Arial" w:cs="Arial"/>
          <w:bCs/>
          <w:color w:val="000000" w:themeColor="text1"/>
          <w:sz w:val="22"/>
        </w:rPr>
        <w:t xml:space="preserve">En su </w:t>
      </w:r>
      <w:r w:rsidR="00C40139" w:rsidRPr="00C40139">
        <w:rPr>
          <w:rFonts w:ascii="Arial" w:eastAsia="Calibri" w:hAnsi="Arial" w:cs="Arial"/>
          <w:bCs/>
          <w:i/>
          <w:iCs/>
          <w:color w:val="000000" w:themeColor="text1"/>
          <w:sz w:val="22"/>
        </w:rPr>
        <w:t>faceta positiva</w:t>
      </w:r>
      <w:r w:rsidR="00C40139">
        <w:rPr>
          <w:rFonts w:ascii="Arial" w:eastAsia="Calibri" w:hAnsi="Arial" w:cs="Arial"/>
          <w:bCs/>
          <w:color w:val="000000" w:themeColor="text1"/>
          <w:sz w:val="22"/>
        </w:rPr>
        <w:t xml:space="preserve">, la Ley 80 de 1993 permite excepcionalmente la cesión del contrato estatal siempre que exista autorización previa escrita de la entidad contratante. </w:t>
      </w:r>
      <w:r w:rsidR="00552C4D">
        <w:rPr>
          <w:rFonts w:ascii="Arial" w:eastAsia="Calibri" w:hAnsi="Arial" w:cs="Arial"/>
          <w:bCs/>
          <w:color w:val="000000" w:themeColor="text1"/>
          <w:sz w:val="22"/>
        </w:rPr>
        <w:t xml:space="preserve">Por ello, «[…] </w:t>
      </w:r>
      <w:r w:rsidR="00552C4D" w:rsidRPr="00552C4D">
        <w:rPr>
          <w:rFonts w:ascii="Arial" w:eastAsia="Calibri" w:hAnsi="Arial" w:cs="Arial"/>
          <w:bCs/>
          <w:color w:val="000000" w:themeColor="text1"/>
          <w:sz w:val="22"/>
        </w:rPr>
        <w:t>El cocontratante que "ceda" el contrato sin estar autorizado para ello incurre en grave responsabilidad: su actitud implica "incumplimiento" del contrato; de ahí que esa cesión ilícita no resulte oponible a la Administración Pública</w:t>
      </w:r>
      <w:r w:rsidR="00552C4D">
        <w:rPr>
          <w:rFonts w:ascii="Arial" w:eastAsia="Calibri" w:hAnsi="Arial" w:cs="Arial"/>
          <w:bCs/>
          <w:color w:val="000000" w:themeColor="text1"/>
          <w:sz w:val="22"/>
        </w:rPr>
        <w:t xml:space="preserve"> […]»</w:t>
      </w:r>
      <w:r w:rsidR="00552C4D">
        <w:rPr>
          <w:rStyle w:val="Refdenotaalpie"/>
          <w:rFonts w:ascii="Arial" w:eastAsia="Calibri" w:hAnsi="Arial" w:cs="Arial"/>
          <w:bCs/>
          <w:color w:val="000000" w:themeColor="text1"/>
          <w:sz w:val="22"/>
        </w:rPr>
        <w:footnoteReference w:id="6"/>
      </w:r>
      <w:r w:rsidR="00552C4D">
        <w:rPr>
          <w:rFonts w:ascii="Arial" w:eastAsia="Calibri" w:hAnsi="Arial" w:cs="Arial"/>
          <w:bCs/>
          <w:color w:val="000000" w:themeColor="text1"/>
          <w:sz w:val="22"/>
        </w:rPr>
        <w:t xml:space="preserve">. </w:t>
      </w:r>
      <w:r w:rsidR="00C40139">
        <w:rPr>
          <w:rFonts w:ascii="Arial" w:eastAsia="Calibri" w:hAnsi="Arial" w:cs="Arial"/>
          <w:bCs/>
          <w:color w:val="000000" w:themeColor="text1"/>
          <w:sz w:val="22"/>
        </w:rPr>
        <w:t xml:space="preserve">Este requisito introduce </w:t>
      </w:r>
      <w:r w:rsidR="00C40139">
        <w:rPr>
          <w:rFonts w:ascii="Arial" w:eastAsia="Calibri" w:hAnsi="Arial" w:cs="Arial"/>
          <w:bCs/>
          <w:color w:val="000000" w:themeColor="text1"/>
          <w:sz w:val="22"/>
        </w:rPr>
        <w:lastRenderedPageBreak/>
        <w:t xml:space="preserve">un elemento especial que no está previsto en el Código de Comercio, pues en el derecho privado –salvo </w:t>
      </w:r>
      <w:r w:rsidR="001F7005">
        <w:rPr>
          <w:rFonts w:ascii="Arial" w:eastAsia="Calibri" w:hAnsi="Arial" w:cs="Arial"/>
          <w:bCs/>
          <w:color w:val="000000" w:themeColor="text1"/>
          <w:sz w:val="22"/>
        </w:rPr>
        <w:t>las excepciones previstas en la ley</w:t>
      </w:r>
      <w:r w:rsidR="00C40139">
        <w:rPr>
          <w:rFonts w:ascii="Arial" w:eastAsia="Calibri" w:hAnsi="Arial" w:cs="Arial"/>
          <w:bCs/>
          <w:color w:val="000000" w:themeColor="text1"/>
          <w:sz w:val="22"/>
        </w:rPr>
        <w:t>– la cesión requiere el acuerdo de voluntades entre el cedente y el cesionario</w:t>
      </w:r>
      <w:r w:rsidR="001F7005">
        <w:rPr>
          <w:rFonts w:ascii="Arial" w:eastAsia="Calibri" w:hAnsi="Arial" w:cs="Arial"/>
          <w:bCs/>
          <w:color w:val="000000" w:themeColor="text1"/>
          <w:sz w:val="22"/>
        </w:rPr>
        <w:t>, sin que medie la aceptación del contratante cedido</w:t>
      </w:r>
      <w:r w:rsidR="00552C4D">
        <w:rPr>
          <w:rFonts w:ascii="Arial" w:eastAsia="Calibri" w:hAnsi="Arial" w:cs="Arial"/>
          <w:bCs/>
          <w:color w:val="000000" w:themeColor="text1"/>
          <w:sz w:val="22"/>
        </w:rPr>
        <w:t>.</w:t>
      </w:r>
      <w:r w:rsidR="006A7E26">
        <w:rPr>
          <w:rFonts w:ascii="Arial" w:eastAsia="Calibri" w:hAnsi="Arial" w:cs="Arial"/>
          <w:bCs/>
          <w:color w:val="000000" w:themeColor="text1"/>
          <w:sz w:val="22"/>
        </w:rPr>
        <w:t xml:space="preserve"> </w:t>
      </w:r>
      <w:r w:rsidR="00F735C8">
        <w:rPr>
          <w:rFonts w:ascii="Arial" w:eastAsia="Calibri" w:hAnsi="Arial" w:cs="Arial"/>
          <w:bCs/>
          <w:color w:val="000000" w:themeColor="text1"/>
          <w:sz w:val="22"/>
        </w:rPr>
        <w:t xml:space="preserve">  </w:t>
      </w:r>
    </w:p>
    <w:p w14:paraId="6A20740B" w14:textId="0ECC406C" w:rsidR="005727F6" w:rsidRDefault="00645FCF" w:rsidP="005727F6">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9F2933">
        <w:rPr>
          <w:rFonts w:ascii="Arial" w:eastAsia="Calibri" w:hAnsi="Arial" w:cs="Arial"/>
          <w:bCs/>
          <w:color w:val="000000" w:themeColor="text1"/>
          <w:sz w:val="22"/>
        </w:rPr>
        <w:t>A</w:t>
      </w:r>
      <w:r>
        <w:rPr>
          <w:rFonts w:ascii="Arial" w:eastAsia="Calibri" w:hAnsi="Arial" w:cs="Arial"/>
          <w:bCs/>
          <w:color w:val="000000" w:themeColor="text1"/>
          <w:sz w:val="22"/>
        </w:rPr>
        <w:t xml:space="preserve">utorizada previamente por la entidad cedida, </w:t>
      </w:r>
      <w:r w:rsidR="009F2933">
        <w:rPr>
          <w:rFonts w:ascii="Arial" w:eastAsia="Calibri" w:hAnsi="Arial" w:cs="Arial"/>
          <w:bCs/>
          <w:color w:val="000000" w:themeColor="text1"/>
          <w:sz w:val="22"/>
        </w:rPr>
        <w:t xml:space="preserve">esta forma de cesión </w:t>
      </w:r>
      <w:r>
        <w:rPr>
          <w:rFonts w:ascii="Arial" w:eastAsia="Calibri" w:hAnsi="Arial" w:cs="Arial"/>
          <w:bCs/>
          <w:color w:val="000000" w:themeColor="text1"/>
          <w:sz w:val="22"/>
        </w:rPr>
        <w:t xml:space="preserve">requiere la suscripción de un contrato entre el cedente y el cesionario, por lo que </w:t>
      </w:r>
      <w:r w:rsidR="009F2933">
        <w:rPr>
          <w:rFonts w:ascii="Arial" w:eastAsia="Calibri" w:hAnsi="Arial" w:cs="Arial"/>
          <w:bCs/>
          <w:color w:val="000000" w:themeColor="text1"/>
          <w:sz w:val="22"/>
        </w:rPr>
        <w:t xml:space="preserve">es bilateral en la medida </w:t>
      </w:r>
      <w:r w:rsidR="00B82606">
        <w:rPr>
          <w:rFonts w:ascii="Arial" w:eastAsia="Calibri" w:hAnsi="Arial" w:cs="Arial"/>
          <w:bCs/>
          <w:color w:val="000000" w:themeColor="text1"/>
          <w:sz w:val="22"/>
        </w:rPr>
        <w:t xml:space="preserve">en </w:t>
      </w:r>
      <w:r w:rsidR="009F2933">
        <w:rPr>
          <w:rFonts w:ascii="Arial" w:eastAsia="Calibri" w:hAnsi="Arial" w:cs="Arial"/>
          <w:bCs/>
          <w:color w:val="000000" w:themeColor="text1"/>
          <w:sz w:val="22"/>
        </w:rPr>
        <w:t>que requiere un acuerdo voluntades. Con fundamento en el mismo, el cesionario reemplaza –en todo o en parte– al contratista cedente en la ejecución del contrato estatal, respondiendo por el cumplimiento de las obligaciones frente a la Administración</w:t>
      </w:r>
      <w:r w:rsidR="005727F6">
        <w:rPr>
          <w:rFonts w:ascii="Arial" w:eastAsia="Calibri" w:hAnsi="Arial" w:cs="Arial"/>
          <w:bCs/>
          <w:color w:val="000000" w:themeColor="text1"/>
          <w:sz w:val="22"/>
        </w:rPr>
        <w:t xml:space="preserve">. Sin embargo, el </w:t>
      </w:r>
      <w:r w:rsidR="001C1354">
        <w:rPr>
          <w:rFonts w:ascii="Arial" w:eastAsia="Calibri" w:hAnsi="Arial" w:cs="Arial"/>
          <w:bCs/>
          <w:color w:val="000000" w:themeColor="text1"/>
          <w:sz w:val="22"/>
        </w:rPr>
        <w:t xml:space="preserve">artículo </w:t>
      </w:r>
      <w:r w:rsidR="005727F6">
        <w:rPr>
          <w:rFonts w:ascii="Arial" w:eastAsia="Calibri" w:hAnsi="Arial" w:cs="Arial"/>
          <w:bCs/>
          <w:color w:val="000000" w:themeColor="text1"/>
          <w:sz w:val="22"/>
        </w:rPr>
        <w:t>6 de la Ley 2014 de 2019 –</w:t>
      </w:r>
      <w:r w:rsidR="003D591F">
        <w:rPr>
          <w:rFonts w:ascii="Arial" w:eastAsia="Calibri" w:hAnsi="Arial" w:cs="Arial"/>
          <w:bCs/>
          <w:color w:val="000000" w:themeColor="text1"/>
          <w:sz w:val="22"/>
        </w:rPr>
        <w:t xml:space="preserve">que modificó </w:t>
      </w:r>
      <w:r w:rsidR="005727F6">
        <w:rPr>
          <w:rFonts w:ascii="Arial" w:eastAsia="Calibri" w:hAnsi="Arial" w:cs="Arial"/>
          <w:bCs/>
          <w:color w:val="000000" w:themeColor="text1"/>
          <w:sz w:val="22"/>
        </w:rPr>
        <w:t xml:space="preserve">el artículo </w:t>
      </w:r>
      <w:r w:rsidR="001C1354">
        <w:rPr>
          <w:rFonts w:ascii="Arial" w:eastAsia="Calibri" w:hAnsi="Arial" w:cs="Arial"/>
          <w:bCs/>
          <w:color w:val="000000" w:themeColor="text1"/>
          <w:sz w:val="22"/>
        </w:rPr>
        <w:t>9</w:t>
      </w:r>
      <w:r w:rsidR="005727F6">
        <w:rPr>
          <w:rFonts w:ascii="Arial" w:eastAsia="Calibri" w:hAnsi="Arial" w:cs="Arial"/>
          <w:bCs/>
          <w:color w:val="000000" w:themeColor="text1"/>
          <w:sz w:val="22"/>
        </w:rPr>
        <w:t xml:space="preserve"> de la Ley 80 de 1993</w:t>
      </w:r>
      <w:r w:rsidR="003D591F">
        <w:rPr>
          <w:rFonts w:ascii="Arial" w:eastAsia="Calibri" w:hAnsi="Arial" w:cs="Arial"/>
          <w:bCs/>
          <w:color w:val="000000" w:themeColor="text1"/>
          <w:sz w:val="22"/>
        </w:rPr>
        <w:t>,</w:t>
      </w:r>
      <w:r w:rsidR="005727F6">
        <w:rPr>
          <w:rFonts w:ascii="Arial" w:eastAsia="Calibri" w:hAnsi="Arial" w:cs="Arial"/>
          <w:bCs/>
          <w:color w:val="000000" w:themeColor="text1"/>
          <w:sz w:val="22"/>
        </w:rPr>
        <w:t xml:space="preserve"> sobre inhabilidades sobrevinientes– dispone una forma de cesión unilateral del contrato. Para estos efectos, la norma dispone lo siguiente:</w:t>
      </w:r>
    </w:p>
    <w:p w14:paraId="2022DD46" w14:textId="77777777" w:rsidR="005727F6" w:rsidRDefault="005727F6" w:rsidP="005727F6">
      <w:pPr>
        <w:tabs>
          <w:tab w:val="left" w:pos="709"/>
        </w:tabs>
        <w:spacing w:line="276" w:lineRule="auto"/>
        <w:jc w:val="both"/>
        <w:rPr>
          <w:rFonts w:ascii="Arial" w:eastAsia="Calibri" w:hAnsi="Arial" w:cs="Arial"/>
          <w:bCs/>
          <w:color w:val="000000" w:themeColor="text1"/>
          <w:sz w:val="22"/>
        </w:rPr>
      </w:pPr>
    </w:p>
    <w:p w14:paraId="0F96A6F5" w14:textId="7AAB0591" w:rsidR="005727F6" w:rsidRPr="005727F6" w:rsidRDefault="005727F6" w:rsidP="005727F6">
      <w:pPr>
        <w:tabs>
          <w:tab w:val="left" w:pos="709"/>
        </w:tabs>
        <w:spacing w:after="120"/>
        <w:ind w:left="709" w:right="879"/>
        <w:jc w:val="both"/>
        <w:rPr>
          <w:rFonts w:ascii="Arial" w:eastAsia="Calibri" w:hAnsi="Arial" w:cs="Arial"/>
          <w:bCs/>
          <w:color w:val="000000" w:themeColor="text1"/>
          <w:sz w:val="21"/>
          <w:szCs w:val="21"/>
        </w:rPr>
      </w:pPr>
      <w:r w:rsidRPr="005727F6">
        <w:rPr>
          <w:rFonts w:ascii="Arial" w:eastAsia="Calibri" w:hAnsi="Arial" w:cs="Arial"/>
          <w:bCs/>
          <w:color w:val="000000" w:themeColor="text1"/>
          <w:sz w:val="21"/>
          <w:szCs w:val="21"/>
        </w:rPr>
        <w:t>Si llegare a sobrevenir inhabilidad o incompatibilidad en el contratista, este cederá el contrato previa autorización escrita de la entidad contratante o, si ello no fuere posible, renunciará a su ejecución.</w:t>
      </w:r>
    </w:p>
    <w:p w14:paraId="6F1DBAFF" w14:textId="4F302EE6" w:rsidR="005727F6" w:rsidRPr="005727F6" w:rsidRDefault="005727F6" w:rsidP="005727F6">
      <w:pPr>
        <w:tabs>
          <w:tab w:val="left" w:pos="709"/>
        </w:tabs>
        <w:spacing w:after="120"/>
        <w:ind w:left="709" w:right="879"/>
        <w:jc w:val="both"/>
        <w:rPr>
          <w:rFonts w:ascii="Arial" w:eastAsia="Calibri" w:hAnsi="Arial" w:cs="Arial"/>
          <w:bCs/>
          <w:color w:val="000000" w:themeColor="text1"/>
          <w:sz w:val="21"/>
          <w:szCs w:val="21"/>
        </w:rPr>
      </w:pPr>
      <w:r w:rsidRPr="005727F6">
        <w:rPr>
          <w:rFonts w:ascii="Arial" w:eastAsia="Calibri" w:hAnsi="Arial" w:cs="Arial"/>
          <w:bCs/>
          <w:color w:val="000000" w:themeColor="text1"/>
          <w:sz w:val="21"/>
          <w:szCs w:val="21"/>
        </w:rPr>
        <w:t>Cuando la inhabilidad o incompatibilidad sobrevenga en un proponente dentro de un proceso de selección, se entenderá que renuncia a la participación en el proceso de selección y a los derechos surgidos del mismo.</w:t>
      </w:r>
    </w:p>
    <w:p w14:paraId="447C9698" w14:textId="7228B6A4" w:rsidR="005727F6" w:rsidRPr="005727F6" w:rsidRDefault="005727F6" w:rsidP="005727F6">
      <w:pPr>
        <w:tabs>
          <w:tab w:val="left" w:pos="709"/>
        </w:tabs>
        <w:spacing w:after="120"/>
        <w:ind w:left="709" w:right="879"/>
        <w:jc w:val="both"/>
        <w:rPr>
          <w:rFonts w:ascii="Arial" w:eastAsia="Calibri" w:hAnsi="Arial" w:cs="Arial"/>
          <w:bCs/>
          <w:color w:val="000000" w:themeColor="text1"/>
          <w:sz w:val="21"/>
          <w:szCs w:val="21"/>
        </w:rPr>
      </w:pPr>
      <w:r w:rsidRPr="005727F6">
        <w:rPr>
          <w:rFonts w:ascii="Arial" w:eastAsia="Calibri" w:hAnsi="Arial" w:cs="Arial"/>
          <w:bCs/>
          <w:color w:val="000000" w:themeColor="text1"/>
          <w:sz w:val="21"/>
          <w:szCs w:val="21"/>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75DB6771" w14:textId="7C4861F0" w:rsidR="005727F6" w:rsidRPr="005727F6" w:rsidRDefault="005727F6" w:rsidP="005727F6">
      <w:pPr>
        <w:tabs>
          <w:tab w:val="left" w:pos="709"/>
        </w:tabs>
        <w:spacing w:after="120"/>
        <w:ind w:left="709" w:right="879"/>
        <w:jc w:val="both"/>
        <w:rPr>
          <w:rFonts w:ascii="Arial" w:eastAsia="Calibri" w:hAnsi="Arial" w:cs="Arial"/>
          <w:bCs/>
          <w:color w:val="000000" w:themeColor="text1"/>
          <w:sz w:val="21"/>
          <w:szCs w:val="21"/>
        </w:rPr>
      </w:pPr>
      <w:r w:rsidRPr="005727F6">
        <w:rPr>
          <w:rFonts w:ascii="Arial" w:eastAsia="Calibri" w:hAnsi="Arial" w:cs="Arial"/>
          <w:bCs/>
          <w:color w:val="000000" w:themeColor="text1"/>
          <w:sz w:val="21"/>
          <w:szCs w:val="21"/>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569F3925" w14:textId="1CC6C2CD" w:rsidR="005727F6" w:rsidRPr="005727F6" w:rsidRDefault="005727F6" w:rsidP="005727F6">
      <w:pPr>
        <w:tabs>
          <w:tab w:val="left" w:pos="709"/>
        </w:tabs>
        <w:spacing w:after="120"/>
        <w:ind w:left="709" w:right="879"/>
        <w:jc w:val="both"/>
        <w:rPr>
          <w:rFonts w:ascii="Arial" w:eastAsia="Calibri" w:hAnsi="Arial" w:cs="Arial"/>
          <w:bCs/>
          <w:color w:val="000000" w:themeColor="text1"/>
          <w:sz w:val="21"/>
          <w:szCs w:val="21"/>
        </w:rPr>
      </w:pPr>
      <w:r w:rsidRPr="005727F6">
        <w:rPr>
          <w:rFonts w:ascii="Arial" w:eastAsia="Calibri" w:hAnsi="Arial" w:cs="Arial"/>
          <w:bCs/>
          <w:color w:val="000000" w:themeColor="text1"/>
          <w:sz w:val="21"/>
          <w:szCs w:val="21"/>
        </w:rPr>
        <w:t>Para el caso de cesión, será la entidad contratante la encargada de determinar el cesionario del contrato.</w:t>
      </w:r>
    </w:p>
    <w:p w14:paraId="7F524ABF" w14:textId="77777777" w:rsidR="005727F6" w:rsidRDefault="005727F6" w:rsidP="005727F6">
      <w:pPr>
        <w:tabs>
          <w:tab w:val="left" w:pos="709"/>
        </w:tabs>
        <w:ind w:left="709" w:right="879"/>
        <w:jc w:val="both"/>
        <w:rPr>
          <w:rFonts w:ascii="Arial" w:eastAsia="Calibri" w:hAnsi="Arial" w:cs="Arial"/>
          <w:bCs/>
          <w:color w:val="000000" w:themeColor="text1"/>
          <w:sz w:val="22"/>
        </w:rPr>
      </w:pPr>
      <w:r w:rsidRPr="005727F6">
        <w:rPr>
          <w:rFonts w:ascii="Arial" w:eastAsia="Calibri" w:hAnsi="Arial" w:cs="Arial"/>
          <w:bCs/>
          <w:color w:val="000000" w:themeColor="text1"/>
          <w:sz w:val="21"/>
          <w:szCs w:val="21"/>
        </w:rPr>
        <w:t>Parágrafo 2º. El Gobierno nacional reglamentará el procedimiento de la cesión del contrato de que trata este artículo, en término no mayor a seis (6) meses.</w:t>
      </w:r>
      <w:r>
        <w:rPr>
          <w:rFonts w:ascii="Arial" w:eastAsia="Calibri" w:hAnsi="Arial" w:cs="Arial"/>
          <w:bCs/>
          <w:color w:val="000000" w:themeColor="text1"/>
          <w:sz w:val="22"/>
        </w:rPr>
        <w:t xml:space="preserve"> </w:t>
      </w:r>
    </w:p>
    <w:p w14:paraId="0D5E078E" w14:textId="77777777" w:rsidR="005727F6" w:rsidRDefault="005727F6" w:rsidP="005727F6">
      <w:pPr>
        <w:tabs>
          <w:tab w:val="left" w:pos="709"/>
        </w:tabs>
        <w:spacing w:line="276" w:lineRule="auto"/>
        <w:jc w:val="both"/>
        <w:rPr>
          <w:rFonts w:ascii="Arial" w:eastAsia="Calibri" w:hAnsi="Arial" w:cs="Arial"/>
          <w:bCs/>
          <w:color w:val="000000" w:themeColor="text1"/>
          <w:sz w:val="22"/>
        </w:rPr>
      </w:pPr>
    </w:p>
    <w:p w14:paraId="3F48CA45" w14:textId="7F61F510" w:rsidR="00645FCF" w:rsidRPr="00870E92" w:rsidRDefault="005727F6" w:rsidP="005727F6">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870E92">
        <w:rPr>
          <w:rFonts w:ascii="Arial" w:eastAsia="Calibri" w:hAnsi="Arial" w:cs="Arial"/>
          <w:bCs/>
          <w:color w:val="000000" w:themeColor="text1"/>
          <w:sz w:val="22"/>
        </w:rPr>
        <w:t>Como dispone</w:t>
      </w:r>
      <w:r w:rsidR="00B425E4" w:rsidRPr="00870E92">
        <w:rPr>
          <w:rFonts w:ascii="Arial" w:eastAsia="Calibri" w:hAnsi="Arial" w:cs="Arial"/>
          <w:bCs/>
          <w:color w:val="000000" w:themeColor="text1"/>
          <w:sz w:val="22"/>
        </w:rPr>
        <w:t>n</w:t>
      </w:r>
      <w:r w:rsidRPr="00870E92">
        <w:rPr>
          <w:rFonts w:ascii="Arial" w:eastAsia="Calibri" w:hAnsi="Arial" w:cs="Arial"/>
          <w:bCs/>
          <w:color w:val="000000" w:themeColor="text1"/>
          <w:sz w:val="22"/>
        </w:rPr>
        <w:t xml:space="preserve"> </w:t>
      </w:r>
      <w:r w:rsidR="00153913">
        <w:rPr>
          <w:rFonts w:ascii="Arial" w:eastAsia="Calibri" w:hAnsi="Arial" w:cs="Arial"/>
          <w:bCs/>
          <w:color w:val="000000" w:themeColor="text1"/>
          <w:sz w:val="22"/>
        </w:rPr>
        <w:t xml:space="preserve">los </w:t>
      </w:r>
      <w:r w:rsidR="00B425E4" w:rsidRPr="00870E92">
        <w:rPr>
          <w:rFonts w:ascii="Arial" w:eastAsia="Calibri" w:hAnsi="Arial" w:cs="Arial"/>
          <w:bCs/>
          <w:color w:val="000000" w:themeColor="text1"/>
          <w:sz w:val="22"/>
        </w:rPr>
        <w:t>parágrafos de</w:t>
      </w:r>
      <w:r w:rsidRPr="00870E92">
        <w:rPr>
          <w:rFonts w:ascii="Arial" w:eastAsia="Calibri" w:hAnsi="Arial" w:cs="Arial"/>
          <w:bCs/>
          <w:color w:val="000000" w:themeColor="text1"/>
          <w:sz w:val="22"/>
        </w:rPr>
        <w:t xml:space="preserve"> la disposición citada</w:t>
      </w:r>
      <w:r w:rsidR="002057A7" w:rsidRPr="00870E92">
        <w:rPr>
          <w:rFonts w:ascii="Arial" w:eastAsia="Calibri" w:hAnsi="Arial" w:cs="Arial"/>
          <w:bCs/>
          <w:color w:val="000000" w:themeColor="text1"/>
          <w:sz w:val="22"/>
        </w:rPr>
        <w:t xml:space="preserve">, la cesión unilateral del contrato supone la configuración sobreviniente de la inhabilidad prevista en </w:t>
      </w:r>
      <w:bookmarkStart w:id="8" w:name="_Hlk51514368"/>
      <w:r w:rsidR="002057A7" w:rsidRPr="00870E92">
        <w:rPr>
          <w:rFonts w:ascii="Arial" w:eastAsia="Calibri" w:hAnsi="Arial" w:cs="Arial"/>
          <w:bCs/>
          <w:color w:val="000000" w:themeColor="text1"/>
          <w:sz w:val="22"/>
        </w:rPr>
        <w:t>el artículo 8, literal j) del numeral 1, de la Ley 80 de 1993</w:t>
      </w:r>
      <w:bookmarkEnd w:id="8"/>
      <w:r w:rsidR="002057A7" w:rsidRPr="00870E92">
        <w:rPr>
          <w:rFonts w:ascii="Arial" w:eastAsia="Calibri" w:hAnsi="Arial" w:cs="Arial"/>
          <w:bCs/>
          <w:color w:val="000000" w:themeColor="text1"/>
          <w:sz w:val="22"/>
        </w:rPr>
        <w:t xml:space="preserve"> o que el contratista sea sancionado </w:t>
      </w:r>
      <w:r w:rsidR="002057A7" w:rsidRPr="00870E92">
        <w:rPr>
          <w:rFonts w:ascii="Arial" w:eastAsia="Calibri" w:hAnsi="Arial" w:cs="Arial"/>
          <w:bCs/>
          <w:color w:val="000000" w:themeColor="text1"/>
          <w:sz w:val="22"/>
        </w:rPr>
        <w:lastRenderedPageBreak/>
        <w:t xml:space="preserve">administrativamente por actos de corrupción, </w:t>
      </w:r>
      <w:r w:rsidR="00B425E4" w:rsidRPr="00870E92">
        <w:rPr>
          <w:rFonts w:ascii="Arial" w:eastAsia="Calibri" w:hAnsi="Arial" w:cs="Arial"/>
          <w:bCs/>
          <w:color w:val="000000" w:themeColor="text1"/>
          <w:sz w:val="22"/>
        </w:rPr>
        <w:t>situaciones</w:t>
      </w:r>
      <w:r w:rsidR="002057A7" w:rsidRPr="00870E92">
        <w:rPr>
          <w:rFonts w:ascii="Arial" w:eastAsia="Calibri" w:hAnsi="Arial" w:cs="Arial"/>
          <w:bCs/>
          <w:color w:val="000000" w:themeColor="text1"/>
          <w:sz w:val="22"/>
        </w:rPr>
        <w:t xml:space="preserve"> en los que la Administración escoge al cesionario conforme al trámite </w:t>
      </w:r>
      <w:r w:rsidR="006276B8" w:rsidRPr="00870E92">
        <w:rPr>
          <w:rFonts w:ascii="Arial" w:eastAsia="Calibri" w:hAnsi="Arial" w:cs="Arial"/>
          <w:bCs/>
          <w:color w:val="000000" w:themeColor="text1"/>
          <w:sz w:val="22"/>
        </w:rPr>
        <w:t>dispuesto en</w:t>
      </w:r>
      <w:r w:rsidR="002057A7" w:rsidRPr="00870E92">
        <w:rPr>
          <w:rFonts w:ascii="Arial" w:eastAsia="Calibri" w:hAnsi="Arial" w:cs="Arial"/>
          <w:bCs/>
          <w:color w:val="000000" w:themeColor="text1"/>
          <w:sz w:val="22"/>
        </w:rPr>
        <w:t xml:space="preserve"> el reglamento</w:t>
      </w:r>
      <w:r w:rsidR="00B425E4" w:rsidRPr="00870E92">
        <w:rPr>
          <w:rStyle w:val="Refdenotaalpie"/>
          <w:rFonts w:ascii="Arial" w:eastAsia="Calibri" w:hAnsi="Arial" w:cs="Arial"/>
          <w:bCs/>
          <w:color w:val="000000" w:themeColor="text1"/>
          <w:sz w:val="22"/>
        </w:rPr>
        <w:footnoteReference w:id="7"/>
      </w:r>
      <w:r w:rsidR="00B425E4" w:rsidRPr="00870E92">
        <w:rPr>
          <w:rFonts w:ascii="Arial" w:eastAsia="Calibri" w:hAnsi="Arial" w:cs="Arial"/>
          <w:bCs/>
          <w:color w:val="000000" w:themeColor="text1"/>
          <w:sz w:val="22"/>
        </w:rPr>
        <w:t>.</w:t>
      </w:r>
    </w:p>
    <w:p w14:paraId="0F9477EB" w14:textId="77777777" w:rsidR="00256893" w:rsidRDefault="006276B8" w:rsidP="00256893">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1"/>
          <w:szCs w:val="21"/>
        </w:rPr>
        <w:tab/>
      </w:r>
      <w:r w:rsidR="009B65A2" w:rsidRPr="00870E92">
        <w:rPr>
          <w:rFonts w:ascii="Arial" w:eastAsia="Calibri" w:hAnsi="Arial" w:cs="Arial"/>
          <w:bCs/>
          <w:color w:val="000000" w:themeColor="text1"/>
          <w:sz w:val="22"/>
        </w:rPr>
        <w:t>Por su parte, l</w:t>
      </w:r>
      <w:r w:rsidRPr="00870E92">
        <w:rPr>
          <w:rFonts w:ascii="Arial" w:eastAsia="Calibri" w:hAnsi="Arial" w:cs="Arial"/>
          <w:bCs/>
          <w:color w:val="000000" w:themeColor="text1"/>
          <w:sz w:val="22"/>
        </w:rPr>
        <w:t>os tres (3) primeros incisos de la norma citada</w:t>
      </w:r>
      <w:r w:rsidR="009B65A2" w:rsidRPr="00870E92">
        <w:rPr>
          <w:rFonts w:ascii="Arial" w:eastAsia="Calibri" w:hAnsi="Arial" w:cs="Arial"/>
          <w:bCs/>
          <w:color w:val="000000" w:themeColor="text1"/>
          <w:sz w:val="22"/>
        </w:rPr>
        <w:t xml:space="preserve"> conservan la redacción inicial de la Ley 80 de 1993. De hecho,</w:t>
      </w:r>
      <w:r w:rsidRPr="00870E92">
        <w:rPr>
          <w:rFonts w:ascii="Arial" w:eastAsia="Calibri" w:hAnsi="Arial" w:cs="Arial"/>
          <w:bCs/>
          <w:color w:val="000000" w:themeColor="text1"/>
          <w:sz w:val="22"/>
        </w:rPr>
        <w:t xml:space="preserve"> la regulación de las inhabilidades</w:t>
      </w:r>
      <w:r w:rsidR="00870E92">
        <w:rPr>
          <w:rFonts w:ascii="Arial" w:eastAsia="Calibri" w:hAnsi="Arial" w:cs="Arial"/>
          <w:bCs/>
          <w:color w:val="000000" w:themeColor="text1"/>
          <w:sz w:val="22"/>
        </w:rPr>
        <w:t xml:space="preserve"> e incompatibilidades</w:t>
      </w:r>
      <w:r w:rsidRPr="00870E92">
        <w:rPr>
          <w:rFonts w:ascii="Arial" w:eastAsia="Calibri" w:hAnsi="Arial" w:cs="Arial"/>
          <w:bCs/>
          <w:color w:val="000000" w:themeColor="text1"/>
          <w:sz w:val="22"/>
        </w:rPr>
        <w:t xml:space="preserve"> sobrevinientes fue una innovación del Estatuto General de Contratación de la Administración Pública, pues el tema no fue abordado en los Decretos Leyes 150 de 1976 y 222 de 1983. Naturalmente, no se trata de </w:t>
      </w:r>
      <w:r w:rsidR="00870E92">
        <w:rPr>
          <w:rFonts w:ascii="Arial" w:eastAsia="Calibri" w:hAnsi="Arial" w:cs="Arial"/>
          <w:bCs/>
          <w:color w:val="000000" w:themeColor="text1"/>
          <w:sz w:val="22"/>
        </w:rPr>
        <w:t>causales</w:t>
      </w:r>
      <w:r w:rsidRPr="00870E92">
        <w:rPr>
          <w:rFonts w:ascii="Arial" w:eastAsia="Calibri" w:hAnsi="Arial" w:cs="Arial"/>
          <w:bCs/>
          <w:color w:val="000000" w:themeColor="text1"/>
          <w:sz w:val="22"/>
        </w:rPr>
        <w:t xml:space="preserve"> nuevas, sino de su configuración posterior </w:t>
      </w:r>
      <w:r w:rsidR="009B65A2" w:rsidRPr="00870E92">
        <w:rPr>
          <w:rFonts w:ascii="Arial" w:eastAsia="Calibri" w:hAnsi="Arial" w:cs="Arial"/>
          <w:bCs/>
          <w:color w:val="000000" w:themeColor="text1"/>
          <w:sz w:val="22"/>
        </w:rPr>
        <w:t xml:space="preserve">antes de que finalice el procedimiento de selección o después de perfeccionado el contrato. En efecto, si </w:t>
      </w:r>
      <w:r w:rsidR="00CB3684" w:rsidRPr="00870E92">
        <w:rPr>
          <w:rFonts w:ascii="Arial" w:eastAsia="Calibri" w:hAnsi="Arial" w:cs="Arial"/>
          <w:bCs/>
          <w:color w:val="000000" w:themeColor="text1"/>
          <w:sz w:val="22"/>
        </w:rPr>
        <w:t xml:space="preserve">el </w:t>
      </w:r>
      <w:r w:rsidR="00870E92" w:rsidRPr="00870E92">
        <w:rPr>
          <w:rFonts w:ascii="Arial" w:eastAsia="Calibri" w:hAnsi="Arial" w:cs="Arial"/>
          <w:bCs/>
          <w:color w:val="000000" w:themeColor="text1"/>
          <w:sz w:val="22"/>
        </w:rPr>
        <w:t xml:space="preserve">acuerdo </w:t>
      </w:r>
      <w:r w:rsidR="00CB3684" w:rsidRPr="00870E92">
        <w:rPr>
          <w:rFonts w:ascii="Arial" w:eastAsia="Calibri" w:hAnsi="Arial" w:cs="Arial"/>
          <w:bCs/>
          <w:color w:val="000000" w:themeColor="text1"/>
          <w:sz w:val="22"/>
        </w:rPr>
        <w:t xml:space="preserve">se celebra con personas </w:t>
      </w:r>
      <w:r w:rsidR="00870E92">
        <w:rPr>
          <w:rFonts w:ascii="Arial" w:eastAsia="Calibri" w:hAnsi="Arial" w:cs="Arial"/>
          <w:bCs/>
          <w:color w:val="000000" w:themeColor="text1"/>
          <w:sz w:val="22"/>
        </w:rPr>
        <w:t>en situación de inhabilidad o incompatibilidad</w:t>
      </w:r>
      <w:r w:rsidR="00870E92" w:rsidRPr="00870E92">
        <w:rPr>
          <w:rFonts w:ascii="Arial" w:eastAsia="Calibri" w:hAnsi="Arial" w:cs="Arial"/>
          <w:bCs/>
          <w:color w:val="000000" w:themeColor="text1"/>
          <w:sz w:val="22"/>
        </w:rPr>
        <w:t xml:space="preserve">, este surge a la vida jurídica viciado de nulidad absoluta. En contraste, </w:t>
      </w:r>
      <w:r w:rsidR="00870E92">
        <w:rPr>
          <w:rFonts w:ascii="Arial" w:eastAsia="Calibri" w:hAnsi="Arial" w:cs="Arial"/>
          <w:bCs/>
          <w:color w:val="000000" w:themeColor="text1"/>
          <w:sz w:val="22"/>
        </w:rPr>
        <w:t>si se generan en forma</w:t>
      </w:r>
      <w:r w:rsidR="00870E92" w:rsidRPr="00870E92">
        <w:rPr>
          <w:rFonts w:ascii="Arial" w:eastAsia="Calibri" w:hAnsi="Arial" w:cs="Arial"/>
          <w:bCs/>
          <w:color w:val="000000" w:themeColor="text1"/>
          <w:sz w:val="22"/>
        </w:rPr>
        <w:t xml:space="preserve"> sobreviniente, el contrato no es inválido porque se perfeccionó de forma lícita; pero conforme al principio de moralidad administrativa, se producen las consecuencias dispuestas por el legislador. </w:t>
      </w:r>
    </w:p>
    <w:p w14:paraId="56EDB91E" w14:textId="77777777" w:rsidR="00193074" w:rsidRDefault="00256893" w:rsidP="00256893">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Por un lado, s</w:t>
      </w:r>
      <w:r w:rsidR="00870E92" w:rsidRPr="00870E92">
        <w:rPr>
          <w:rFonts w:ascii="Arial" w:eastAsia="Calibri" w:hAnsi="Arial" w:cs="Arial"/>
          <w:bCs/>
          <w:color w:val="000000" w:themeColor="text1"/>
          <w:sz w:val="22"/>
        </w:rPr>
        <w:t>i l</w:t>
      </w:r>
      <w:r w:rsidR="00870E92">
        <w:rPr>
          <w:rFonts w:ascii="Arial" w:eastAsia="Calibri" w:hAnsi="Arial" w:cs="Arial"/>
          <w:bCs/>
          <w:color w:val="000000" w:themeColor="text1"/>
          <w:sz w:val="22"/>
        </w:rPr>
        <w:t>a inhabilidad o incompatibilidad se configura después del perfeccionamiento del contrato</w:t>
      </w:r>
      <w:r>
        <w:rPr>
          <w:rFonts w:ascii="Arial" w:eastAsia="Calibri" w:hAnsi="Arial" w:cs="Arial"/>
          <w:bCs/>
          <w:color w:val="000000" w:themeColor="text1"/>
          <w:sz w:val="22"/>
        </w:rPr>
        <w:t xml:space="preserve">, el contratista cederá el contrato a un tercero previa autorización escrita de la entidad contratante; pero si esto es posible, está obligado a renunciar a la ejecución. Por otra parte, si la inhabilidad o incompatibilidad sobreviene en un procedimiento de selección, se entiende que el proponente renuncia a la participación y a los derechos surgidos del mismo. </w:t>
      </w:r>
      <w:r w:rsidR="00ED3526">
        <w:rPr>
          <w:rFonts w:ascii="Arial" w:eastAsia="Calibri" w:hAnsi="Arial" w:cs="Arial"/>
          <w:bCs/>
          <w:color w:val="000000" w:themeColor="text1"/>
          <w:sz w:val="22"/>
        </w:rPr>
        <w:t>Finalmente</w:t>
      </w:r>
      <w:r>
        <w:rPr>
          <w:rFonts w:ascii="Arial" w:eastAsia="Calibri" w:hAnsi="Arial" w:cs="Arial"/>
          <w:bCs/>
          <w:color w:val="000000" w:themeColor="text1"/>
          <w:sz w:val="22"/>
        </w:rPr>
        <w:t xml:space="preserve">, si la inhabilidad o incompatibilidad sobreviene en uno de los integrantes de un proponente plural, </w:t>
      </w:r>
      <w:r w:rsidR="001C1354">
        <w:rPr>
          <w:rFonts w:ascii="Arial" w:eastAsia="Calibri" w:hAnsi="Arial" w:cs="Arial"/>
          <w:bCs/>
          <w:color w:val="000000" w:themeColor="text1"/>
          <w:sz w:val="22"/>
        </w:rPr>
        <w:t>este debe ceder su participación con la autorización escrita del contratante, con la restricción de que el cesionario no puede ser alguno de los demás integrantes del consorcio o la unión temporal</w:t>
      </w:r>
      <w:r w:rsidR="007F63BA">
        <w:rPr>
          <w:rStyle w:val="Refdenotaalpie"/>
          <w:rFonts w:ascii="Arial" w:eastAsia="Calibri" w:hAnsi="Arial" w:cs="Arial"/>
          <w:bCs/>
          <w:color w:val="000000" w:themeColor="text1"/>
          <w:sz w:val="22"/>
        </w:rPr>
        <w:footnoteReference w:id="8"/>
      </w:r>
      <w:r w:rsidR="001C1354">
        <w:rPr>
          <w:rFonts w:ascii="Arial" w:eastAsia="Calibri" w:hAnsi="Arial" w:cs="Arial"/>
          <w:bCs/>
          <w:color w:val="000000" w:themeColor="text1"/>
          <w:sz w:val="22"/>
        </w:rPr>
        <w:t>.</w:t>
      </w:r>
      <w:r w:rsidR="00ED3526">
        <w:rPr>
          <w:rFonts w:ascii="Arial" w:eastAsia="Calibri" w:hAnsi="Arial" w:cs="Arial"/>
          <w:bCs/>
          <w:color w:val="000000" w:themeColor="text1"/>
          <w:sz w:val="22"/>
        </w:rPr>
        <w:t xml:space="preserve"> </w:t>
      </w:r>
    </w:p>
    <w:p w14:paraId="3FFD0862" w14:textId="05D783C7" w:rsidR="00787284" w:rsidRDefault="00193074" w:rsidP="00787284">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ED3526">
        <w:rPr>
          <w:rFonts w:ascii="Arial" w:eastAsia="Calibri" w:hAnsi="Arial" w:cs="Arial"/>
          <w:bCs/>
          <w:color w:val="000000" w:themeColor="text1"/>
          <w:sz w:val="22"/>
        </w:rPr>
        <w:t xml:space="preserve">Esta precisión </w:t>
      </w:r>
      <w:r w:rsidR="001C1354">
        <w:rPr>
          <w:rFonts w:ascii="Arial" w:eastAsia="Calibri" w:hAnsi="Arial" w:cs="Arial"/>
          <w:bCs/>
          <w:color w:val="000000" w:themeColor="text1"/>
          <w:sz w:val="22"/>
        </w:rPr>
        <w:t xml:space="preserve">es importante, porque en ausencia de los parágrafos introducidos </w:t>
      </w:r>
      <w:r w:rsidR="00ED3526">
        <w:rPr>
          <w:rFonts w:ascii="Arial" w:eastAsia="Calibri" w:hAnsi="Arial" w:cs="Arial"/>
          <w:bCs/>
          <w:color w:val="000000" w:themeColor="text1"/>
          <w:sz w:val="22"/>
        </w:rPr>
        <w:t>por el artículo 6 de la Ley 2014 de 2019, cualquier inhabilidad sobreviniente que afecte al contratista se regiría por el inciso primero de la norma citada, que corresponde a la redacción inicial de la Ley 80 de 1993. Sin embargo</w:t>
      </w:r>
      <w:r w:rsidR="00E13FDD">
        <w:rPr>
          <w:rFonts w:ascii="Arial" w:eastAsia="Calibri" w:hAnsi="Arial" w:cs="Arial"/>
          <w:bCs/>
          <w:color w:val="000000" w:themeColor="text1"/>
          <w:sz w:val="22"/>
        </w:rPr>
        <w:t>,</w:t>
      </w:r>
      <w:r>
        <w:rPr>
          <w:rFonts w:ascii="Arial" w:eastAsia="Calibri" w:hAnsi="Arial" w:cs="Arial"/>
          <w:bCs/>
          <w:color w:val="000000" w:themeColor="text1"/>
          <w:sz w:val="22"/>
        </w:rPr>
        <w:t xml:space="preserve"> el legislador buscaba un efecto distinto para los contratistas en los que se</w:t>
      </w:r>
      <w:r w:rsidRPr="00870E92">
        <w:rPr>
          <w:rFonts w:ascii="Arial" w:eastAsia="Calibri" w:hAnsi="Arial" w:cs="Arial"/>
          <w:bCs/>
          <w:color w:val="000000" w:themeColor="text1"/>
          <w:sz w:val="22"/>
        </w:rPr>
        <w:t xml:space="preserve"> config</w:t>
      </w:r>
      <w:r>
        <w:rPr>
          <w:rFonts w:ascii="Arial" w:eastAsia="Calibri" w:hAnsi="Arial" w:cs="Arial"/>
          <w:bCs/>
          <w:color w:val="000000" w:themeColor="text1"/>
          <w:sz w:val="22"/>
        </w:rPr>
        <w:t>urara</w:t>
      </w:r>
      <w:r w:rsidR="00140285">
        <w:rPr>
          <w:rFonts w:ascii="Arial" w:eastAsia="Calibri" w:hAnsi="Arial" w:cs="Arial"/>
          <w:bCs/>
          <w:color w:val="000000" w:themeColor="text1"/>
          <w:sz w:val="22"/>
        </w:rPr>
        <w:t xml:space="preserve"> </w:t>
      </w:r>
      <w:r w:rsidRPr="00870E92">
        <w:rPr>
          <w:rFonts w:ascii="Arial" w:eastAsia="Calibri" w:hAnsi="Arial" w:cs="Arial"/>
          <w:bCs/>
          <w:color w:val="000000" w:themeColor="text1"/>
          <w:sz w:val="22"/>
        </w:rPr>
        <w:t xml:space="preserve">la inhabilidad </w:t>
      </w:r>
      <w:r w:rsidR="00140285">
        <w:rPr>
          <w:rFonts w:ascii="Arial" w:eastAsia="Calibri" w:hAnsi="Arial" w:cs="Arial"/>
          <w:bCs/>
          <w:color w:val="000000" w:themeColor="text1"/>
          <w:sz w:val="22"/>
        </w:rPr>
        <w:t>d</w:t>
      </w:r>
      <w:r w:rsidRPr="00870E92">
        <w:rPr>
          <w:rFonts w:ascii="Arial" w:eastAsia="Calibri" w:hAnsi="Arial" w:cs="Arial"/>
          <w:bCs/>
          <w:color w:val="000000" w:themeColor="text1"/>
          <w:sz w:val="22"/>
        </w:rPr>
        <w:t xml:space="preserve">el artículo 8, literal j) del numeral 1, de la Ley 80 de 1993 o que </w:t>
      </w:r>
      <w:r>
        <w:rPr>
          <w:rFonts w:ascii="Arial" w:eastAsia="Calibri" w:hAnsi="Arial" w:cs="Arial"/>
          <w:bCs/>
          <w:color w:val="000000" w:themeColor="text1"/>
          <w:sz w:val="22"/>
        </w:rPr>
        <w:t xml:space="preserve">fueran </w:t>
      </w:r>
      <w:r w:rsidRPr="00870E92">
        <w:rPr>
          <w:rFonts w:ascii="Arial" w:eastAsia="Calibri" w:hAnsi="Arial" w:cs="Arial"/>
          <w:bCs/>
          <w:color w:val="000000" w:themeColor="text1"/>
          <w:sz w:val="22"/>
        </w:rPr>
        <w:t>sancionado</w:t>
      </w:r>
      <w:r>
        <w:rPr>
          <w:rFonts w:ascii="Arial" w:eastAsia="Calibri" w:hAnsi="Arial" w:cs="Arial"/>
          <w:bCs/>
          <w:color w:val="000000" w:themeColor="text1"/>
          <w:sz w:val="22"/>
        </w:rPr>
        <w:t>s</w:t>
      </w:r>
      <w:r w:rsidRPr="00870E92">
        <w:rPr>
          <w:rFonts w:ascii="Arial" w:eastAsia="Calibri" w:hAnsi="Arial" w:cs="Arial"/>
          <w:bCs/>
          <w:color w:val="000000" w:themeColor="text1"/>
          <w:sz w:val="22"/>
        </w:rPr>
        <w:t xml:space="preserve"> administrativamente por actos de corrupción</w:t>
      </w:r>
      <w:r w:rsidR="00E13FDD">
        <w:rPr>
          <w:rFonts w:ascii="Arial" w:eastAsia="Calibri" w:hAnsi="Arial" w:cs="Arial"/>
          <w:bCs/>
          <w:color w:val="000000" w:themeColor="text1"/>
          <w:sz w:val="22"/>
        </w:rPr>
        <w:t xml:space="preserve">, pues estos casos no son procedentes la cesión bilateral del contrato ni la renuncia a la ejecución. Todo lo contrario, el cumplimiento de las obligaciones continuará </w:t>
      </w:r>
      <w:r w:rsidR="00E13FDD">
        <w:rPr>
          <w:rFonts w:ascii="Arial" w:eastAsia="Calibri" w:hAnsi="Arial" w:cs="Arial"/>
          <w:bCs/>
          <w:color w:val="000000" w:themeColor="text1"/>
          <w:sz w:val="22"/>
        </w:rPr>
        <w:lastRenderedPageBreak/>
        <w:t xml:space="preserve">con el cesionario que la Administración escoja unilateralmente. </w:t>
      </w:r>
      <w:r w:rsidR="00C04114">
        <w:rPr>
          <w:rFonts w:ascii="Arial" w:eastAsia="Calibri" w:hAnsi="Arial" w:cs="Arial"/>
          <w:bCs/>
          <w:color w:val="000000" w:themeColor="text1"/>
          <w:sz w:val="22"/>
        </w:rPr>
        <w:t xml:space="preserve">Por ello, en la exposición de motivos del proyecto </w:t>
      </w:r>
      <w:r w:rsidR="001C6E3F">
        <w:rPr>
          <w:rFonts w:ascii="Arial" w:eastAsia="Calibri" w:hAnsi="Arial" w:cs="Arial"/>
          <w:bCs/>
          <w:color w:val="000000" w:themeColor="text1"/>
          <w:sz w:val="22"/>
        </w:rPr>
        <w:t xml:space="preserve">que originó la Ley 2014 de 2019, la Cámara de Representantes explicaba que </w:t>
      </w:r>
      <w:r w:rsidR="00787284">
        <w:rPr>
          <w:rFonts w:ascii="Arial" w:eastAsia="Calibri" w:hAnsi="Arial" w:cs="Arial"/>
          <w:bCs/>
          <w:color w:val="000000" w:themeColor="text1"/>
          <w:sz w:val="22"/>
        </w:rPr>
        <w:t>conforme a l</w:t>
      </w:r>
      <w:r w:rsidR="001C6E3F">
        <w:rPr>
          <w:rFonts w:ascii="Arial" w:eastAsia="Calibri" w:hAnsi="Arial" w:cs="Arial"/>
          <w:bCs/>
          <w:color w:val="000000" w:themeColor="text1"/>
          <w:sz w:val="22"/>
        </w:rPr>
        <w:t xml:space="preserve">a redacción inicial del artículo 9 de la Ley 80 de 1993: </w:t>
      </w:r>
    </w:p>
    <w:p w14:paraId="37E70F82" w14:textId="77777777" w:rsidR="00787284" w:rsidRDefault="00787284" w:rsidP="00787284">
      <w:pPr>
        <w:tabs>
          <w:tab w:val="left" w:pos="709"/>
        </w:tabs>
        <w:spacing w:line="276" w:lineRule="auto"/>
        <w:jc w:val="both"/>
        <w:rPr>
          <w:rFonts w:ascii="Arial" w:eastAsia="Calibri" w:hAnsi="Arial" w:cs="Arial"/>
          <w:bCs/>
          <w:color w:val="000000" w:themeColor="text1"/>
          <w:sz w:val="22"/>
        </w:rPr>
      </w:pPr>
    </w:p>
    <w:p w14:paraId="1D330C75" w14:textId="38B313C3" w:rsidR="00787284" w:rsidRPr="00787284" w:rsidRDefault="00787284" w:rsidP="00787284">
      <w:pPr>
        <w:tabs>
          <w:tab w:val="left" w:pos="709"/>
        </w:tabs>
        <w:spacing w:after="120"/>
        <w:ind w:left="709" w:right="709"/>
        <w:jc w:val="both"/>
        <w:rPr>
          <w:rFonts w:ascii="Arial" w:eastAsia="Calibri" w:hAnsi="Arial" w:cs="Arial"/>
          <w:bCs/>
          <w:color w:val="000000" w:themeColor="text1"/>
          <w:sz w:val="21"/>
          <w:szCs w:val="21"/>
        </w:rPr>
      </w:pPr>
      <w:r w:rsidRPr="00787284">
        <w:rPr>
          <w:rFonts w:ascii="Arial" w:eastAsia="Calibri" w:hAnsi="Arial" w:cs="Arial"/>
          <w:bCs/>
          <w:color w:val="000000" w:themeColor="text1"/>
          <w:sz w:val="21"/>
          <w:szCs w:val="21"/>
        </w:rPr>
        <w:t>[…] cuando una persona es condenada por peculado, concusión, cohecho, celebración indebida de contratos, tráfico de influencias, enriquecimiento ilícito, prevaricato, abuso de autoridad o usurpación y abuso de funciones públicas, le corresponde ceder el contrato o renunciar a su ejecución si lo primero no es posible.</w:t>
      </w:r>
    </w:p>
    <w:p w14:paraId="7ABD8CE1" w14:textId="15465A38" w:rsidR="00787284" w:rsidRPr="00787284" w:rsidRDefault="00787284" w:rsidP="00787284">
      <w:pPr>
        <w:tabs>
          <w:tab w:val="left" w:pos="709"/>
        </w:tabs>
        <w:spacing w:after="120"/>
        <w:ind w:left="709" w:right="709"/>
        <w:jc w:val="both"/>
        <w:rPr>
          <w:rFonts w:ascii="Arial" w:eastAsia="Calibri" w:hAnsi="Arial" w:cs="Arial"/>
          <w:bCs/>
          <w:color w:val="000000" w:themeColor="text1"/>
          <w:sz w:val="21"/>
          <w:szCs w:val="21"/>
        </w:rPr>
      </w:pPr>
      <w:r w:rsidRPr="00787284">
        <w:rPr>
          <w:rFonts w:ascii="Arial" w:eastAsia="Calibri" w:hAnsi="Arial" w:cs="Arial"/>
          <w:bCs/>
          <w:color w:val="000000" w:themeColor="text1"/>
          <w:sz w:val="21"/>
          <w:szCs w:val="21"/>
        </w:rPr>
        <w:t>Sin embargo, lo anterior no garantiza la verdadera separación del corrupto y los contratos estatales, porque cuando la entidad decide no aceptar la cesión se enfrenta a un dilema jurídico para aplicar la “renuncia a la ejecución” que debe hacer el contratista.</w:t>
      </w:r>
    </w:p>
    <w:p w14:paraId="29ADCA95" w14:textId="5BA6E0D0" w:rsidR="00787284" w:rsidRPr="00787284" w:rsidRDefault="00787284" w:rsidP="00787284">
      <w:pPr>
        <w:tabs>
          <w:tab w:val="left" w:pos="709"/>
        </w:tabs>
        <w:ind w:left="709" w:right="709"/>
        <w:jc w:val="both"/>
        <w:rPr>
          <w:rFonts w:ascii="Arial" w:eastAsia="Calibri" w:hAnsi="Arial" w:cs="Arial"/>
          <w:bCs/>
          <w:color w:val="000000" w:themeColor="text1"/>
          <w:sz w:val="21"/>
          <w:szCs w:val="21"/>
        </w:rPr>
      </w:pPr>
      <w:r w:rsidRPr="00787284">
        <w:rPr>
          <w:rFonts w:ascii="Arial" w:eastAsia="Calibri" w:hAnsi="Arial" w:cs="Arial"/>
          <w:bCs/>
          <w:color w:val="000000" w:themeColor="text1"/>
          <w:sz w:val="21"/>
          <w:szCs w:val="21"/>
        </w:rPr>
        <w:t>De manera práctica, la renuncia implicaría la terminación unilateral del contrato. No obstante, esta no es una de las causales señaladas en el artículo 17 de la Ley 80 de 1993, por lo que las entidades no la aplican por temor a incurrir en prevaricato</w:t>
      </w:r>
      <w:r w:rsidRPr="00787284">
        <w:rPr>
          <w:rStyle w:val="Refdenotaalpie"/>
          <w:rFonts w:ascii="Arial" w:eastAsia="Calibri" w:hAnsi="Arial" w:cs="Arial"/>
          <w:bCs/>
          <w:color w:val="000000" w:themeColor="text1"/>
          <w:sz w:val="21"/>
          <w:szCs w:val="21"/>
        </w:rPr>
        <w:footnoteReference w:id="9"/>
      </w:r>
      <w:r w:rsidRPr="00787284">
        <w:rPr>
          <w:rFonts w:ascii="Arial" w:eastAsia="Calibri" w:hAnsi="Arial" w:cs="Arial"/>
          <w:bCs/>
          <w:color w:val="000000" w:themeColor="text1"/>
          <w:sz w:val="21"/>
          <w:szCs w:val="21"/>
        </w:rPr>
        <w:t>.</w:t>
      </w:r>
    </w:p>
    <w:p w14:paraId="2C0B760A" w14:textId="77777777" w:rsidR="00787284" w:rsidRDefault="00787284" w:rsidP="00787284">
      <w:pPr>
        <w:tabs>
          <w:tab w:val="left" w:pos="709"/>
        </w:tabs>
        <w:spacing w:line="276" w:lineRule="auto"/>
        <w:jc w:val="both"/>
        <w:rPr>
          <w:rFonts w:ascii="Arial" w:eastAsia="Calibri" w:hAnsi="Arial" w:cs="Arial"/>
          <w:bCs/>
          <w:color w:val="000000" w:themeColor="text1"/>
          <w:sz w:val="22"/>
        </w:rPr>
      </w:pPr>
    </w:p>
    <w:p w14:paraId="4948E2D1" w14:textId="1C12FC4D" w:rsidR="00787284" w:rsidRDefault="00787284" w:rsidP="00787284">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Si bien </w:t>
      </w:r>
      <w:r w:rsidR="00B82DA0">
        <w:rPr>
          <w:rFonts w:ascii="Arial" w:eastAsia="Calibri" w:hAnsi="Arial" w:cs="Arial"/>
          <w:bCs/>
          <w:color w:val="000000" w:themeColor="text1"/>
          <w:sz w:val="22"/>
        </w:rPr>
        <w:t xml:space="preserve">el </w:t>
      </w:r>
      <w:r>
        <w:rPr>
          <w:rFonts w:ascii="Arial" w:eastAsia="Calibri" w:hAnsi="Arial" w:cs="Arial"/>
          <w:bCs/>
          <w:color w:val="000000" w:themeColor="text1"/>
          <w:sz w:val="22"/>
        </w:rPr>
        <w:t xml:space="preserve">articulado del proyecto inicial incorporaba </w:t>
      </w:r>
      <w:r w:rsidR="0003601F">
        <w:rPr>
          <w:rFonts w:ascii="Arial" w:eastAsia="Calibri" w:hAnsi="Arial" w:cs="Arial"/>
          <w:bCs/>
          <w:color w:val="000000" w:themeColor="text1"/>
          <w:sz w:val="22"/>
        </w:rPr>
        <w:t xml:space="preserve">la configuración </w:t>
      </w:r>
      <w:r w:rsidR="0003601F" w:rsidRPr="00870E92">
        <w:rPr>
          <w:rFonts w:ascii="Arial" w:eastAsia="Calibri" w:hAnsi="Arial" w:cs="Arial"/>
          <w:bCs/>
          <w:color w:val="000000" w:themeColor="text1"/>
          <w:sz w:val="22"/>
        </w:rPr>
        <w:t xml:space="preserve">la inhabilidad </w:t>
      </w:r>
      <w:r w:rsidR="0003601F">
        <w:rPr>
          <w:rFonts w:ascii="Arial" w:eastAsia="Calibri" w:hAnsi="Arial" w:cs="Arial"/>
          <w:bCs/>
          <w:color w:val="000000" w:themeColor="text1"/>
          <w:sz w:val="22"/>
        </w:rPr>
        <w:t>d</w:t>
      </w:r>
      <w:r w:rsidR="0003601F" w:rsidRPr="00870E92">
        <w:rPr>
          <w:rFonts w:ascii="Arial" w:eastAsia="Calibri" w:hAnsi="Arial" w:cs="Arial"/>
          <w:bCs/>
          <w:color w:val="000000" w:themeColor="text1"/>
          <w:sz w:val="22"/>
        </w:rPr>
        <w:t>el artículo 8, literal j) del numeral 1, de la Ley 80 de 1993</w:t>
      </w:r>
      <w:r w:rsidR="0003601F">
        <w:rPr>
          <w:rFonts w:ascii="Arial" w:eastAsia="Calibri" w:hAnsi="Arial" w:cs="Arial"/>
          <w:bCs/>
          <w:color w:val="000000" w:themeColor="text1"/>
          <w:sz w:val="22"/>
        </w:rPr>
        <w:t xml:space="preserve"> como una causal de terminación unilateral, a partir </w:t>
      </w:r>
      <w:r w:rsidR="00A04A6A">
        <w:rPr>
          <w:rFonts w:ascii="Arial" w:eastAsia="Calibri" w:hAnsi="Arial" w:cs="Arial"/>
          <w:bCs/>
          <w:color w:val="000000" w:themeColor="text1"/>
          <w:sz w:val="22"/>
        </w:rPr>
        <w:t>de la plenaria se optó únicamente por la cesión unilateral del contrato conforme al texto definitivo aprobado, el cual no tuvo cambios durante el trámite de conciliación</w:t>
      </w:r>
      <w:r w:rsidR="00A04A6A">
        <w:rPr>
          <w:rStyle w:val="Refdenotaalpie"/>
          <w:rFonts w:ascii="Arial" w:eastAsia="Calibri" w:hAnsi="Arial" w:cs="Arial"/>
          <w:bCs/>
          <w:color w:val="000000" w:themeColor="text1"/>
          <w:sz w:val="22"/>
        </w:rPr>
        <w:footnoteReference w:id="10"/>
      </w:r>
      <w:r w:rsidR="00A04A6A">
        <w:rPr>
          <w:rFonts w:ascii="Arial" w:eastAsia="Calibri" w:hAnsi="Arial" w:cs="Arial"/>
          <w:bCs/>
          <w:color w:val="000000" w:themeColor="text1"/>
          <w:sz w:val="22"/>
        </w:rPr>
        <w:t xml:space="preserve">. </w:t>
      </w:r>
    </w:p>
    <w:p w14:paraId="6AEB2E01" w14:textId="4CD0378A" w:rsidR="006E7418" w:rsidRDefault="00710FD2" w:rsidP="000D6C6D">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Conforme a la explicación precedente, </w:t>
      </w:r>
      <w:bookmarkStart w:id="10" w:name="_Hlk51667726"/>
      <w:r>
        <w:rPr>
          <w:rFonts w:ascii="Arial" w:eastAsia="Calibri" w:hAnsi="Arial" w:cs="Arial"/>
          <w:bCs/>
          <w:color w:val="000000" w:themeColor="text1"/>
          <w:sz w:val="22"/>
        </w:rPr>
        <w:t xml:space="preserve">existen dos (2) formas de ceder el contrato estatal: una bilateral y otra unilateral. La primera se fundamenta en el artículo 41, inciso tercero, de la Ley 80 de 1993, que –en concordancia con los artículos 887 y siguientes del </w:t>
      </w:r>
      <w:r>
        <w:rPr>
          <w:rFonts w:ascii="Arial" w:eastAsia="Calibri" w:hAnsi="Arial" w:cs="Arial"/>
          <w:bCs/>
          <w:color w:val="000000" w:themeColor="text1"/>
          <w:sz w:val="22"/>
        </w:rPr>
        <w:lastRenderedPageBreak/>
        <w:t>Código de Comercio– requiere la celebración de un contrato</w:t>
      </w:r>
      <w:r w:rsidR="00A15390">
        <w:rPr>
          <w:rFonts w:ascii="Arial" w:eastAsia="Calibri" w:hAnsi="Arial" w:cs="Arial"/>
          <w:bCs/>
          <w:color w:val="000000" w:themeColor="text1"/>
          <w:sz w:val="22"/>
        </w:rPr>
        <w:t>,</w:t>
      </w:r>
      <w:r>
        <w:rPr>
          <w:rFonts w:ascii="Arial" w:eastAsia="Calibri" w:hAnsi="Arial" w:cs="Arial"/>
          <w:bCs/>
          <w:color w:val="000000" w:themeColor="text1"/>
          <w:sz w:val="22"/>
        </w:rPr>
        <w:t xml:space="preserve"> previa autorización escrita de la entidad contratante. La segunda se fundamenta en los parágrafos primero y segundo del artículo 9 del Estatuto General de Contratación</w:t>
      </w:r>
      <w:r w:rsidR="00A15390">
        <w:rPr>
          <w:rFonts w:ascii="Arial" w:eastAsia="Calibri" w:hAnsi="Arial" w:cs="Arial"/>
          <w:bCs/>
          <w:color w:val="000000" w:themeColor="text1"/>
          <w:sz w:val="22"/>
        </w:rPr>
        <w:t xml:space="preserve"> de la Administración Pública</w:t>
      </w:r>
      <w:r>
        <w:rPr>
          <w:rFonts w:ascii="Arial" w:eastAsia="Calibri" w:hAnsi="Arial" w:cs="Arial"/>
          <w:bCs/>
          <w:color w:val="000000" w:themeColor="text1"/>
          <w:sz w:val="22"/>
        </w:rPr>
        <w:t>, adicionados por el artículo 6 de la Ley 2014 de 2019, y requiere la expedición de un acto administrativo</w:t>
      </w:r>
      <w:bookmarkEnd w:id="10"/>
      <w:r>
        <w:rPr>
          <w:rFonts w:ascii="Arial" w:eastAsia="Calibri" w:hAnsi="Arial" w:cs="Arial"/>
          <w:bCs/>
          <w:color w:val="000000" w:themeColor="text1"/>
          <w:sz w:val="22"/>
        </w:rPr>
        <w:t xml:space="preserve">. </w:t>
      </w:r>
      <w:bookmarkStart w:id="11" w:name="_Hlk51667806"/>
      <w:r>
        <w:rPr>
          <w:rFonts w:ascii="Arial" w:eastAsia="Calibri" w:hAnsi="Arial" w:cs="Arial"/>
          <w:bCs/>
          <w:color w:val="000000" w:themeColor="text1"/>
          <w:sz w:val="22"/>
        </w:rPr>
        <w:t xml:space="preserve">De esta manera, en el marco de las garantías del debido proceso reguladas en el artículo 29 constitucional, en el siguiente apartado se analizará el procedimiento para la </w:t>
      </w:r>
      <w:r w:rsidR="00D7248C">
        <w:rPr>
          <w:rFonts w:ascii="Arial" w:eastAsia="Calibri" w:hAnsi="Arial" w:cs="Arial"/>
          <w:bCs/>
          <w:color w:val="000000" w:themeColor="text1"/>
          <w:sz w:val="22"/>
        </w:rPr>
        <w:t>c</w:t>
      </w:r>
      <w:r>
        <w:rPr>
          <w:rFonts w:ascii="Arial" w:eastAsia="Calibri" w:hAnsi="Arial" w:cs="Arial"/>
          <w:bCs/>
          <w:color w:val="000000" w:themeColor="text1"/>
          <w:sz w:val="22"/>
        </w:rPr>
        <w:t>esión unilateral del contrato estatal</w:t>
      </w:r>
      <w:r w:rsidR="0040085D">
        <w:rPr>
          <w:rFonts w:ascii="Arial" w:eastAsia="Calibri" w:hAnsi="Arial" w:cs="Arial"/>
          <w:bCs/>
          <w:color w:val="000000" w:themeColor="text1"/>
          <w:sz w:val="22"/>
        </w:rPr>
        <w:t>.</w:t>
      </w:r>
      <w:bookmarkEnd w:id="11"/>
    </w:p>
    <w:p w14:paraId="3A3BCE2A" w14:textId="77777777" w:rsidR="0040085D" w:rsidRDefault="0040085D" w:rsidP="000D6C6D">
      <w:pPr>
        <w:tabs>
          <w:tab w:val="left" w:pos="709"/>
        </w:tabs>
        <w:spacing w:line="276" w:lineRule="auto"/>
        <w:jc w:val="both"/>
        <w:rPr>
          <w:rFonts w:ascii="Arial" w:eastAsia="Calibri" w:hAnsi="Arial" w:cs="Arial"/>
          <w:bCs/>
          <w:color w:val="000000" w:themeColor="text1"/>
          <w:sz w:val="22"/>
        </w:rPr>
      </w:pPr>
    </w:p>
    <w:p w14:paraId="6CE68610" w14:textId="475A5C1D" w:rsidR="000D6C6D" w:rsidRDefault="000D6C6D" w:rsidP="005000FC">
      <w:pPr>
        <w:tabs>
          <w:tab w:val="left" w:pos="709"/>
        </w:tabs>
        <w:spacing w:line="276" w:lineRule="auto"/>
        <w:jc w:val="both"/>
        <w:rPr>
          <w:rFonts w:ascii="Arial" w:eastAsia="Calibri" w:hAnsi="Arial" w:cs="Arial"/>
          <w:b/>
          <w:color w:val="000000" w:themeColor="text1"/>
          <w:sz w:val="22"/>
        </w:rPr>
      </w:pPr>
      <w:r w:rsidRPr="000D6C6D">
        <w:rPr>
          <w:rFonts w:ascii="Arial" w:eastAsia="Calibri" w:hAnsi="Arial" w:cs="Arial"/>
          <w:b/>
          <w:color w:val="000000" w:themeColor="text1"/>
          <w:sz w:val="22"/>
        </w:rPr>
        <w:t>2.2. Procedimiento para la cesión unilateral</w:t>
      </w:r>
      <w:r>
        <w:rPr>
          <w:rFonts w:ascii="Arial" w:eastAsia="Calibri" w:hAnsi="Arial" w:cs="Arial"/>
          <w:b/>
          <w:color w:val="000000" w:themeColor="text1"/>
          <w:sz w:val="22"/>
        </w:rPr>
        <w:t xml:space="preserve"> del contrato estatal</w:t>
      </w:r>
      <w:r w:rsidRPr="000D6C6D">
        <w:rPr>
          <w:rFonts w:ascii="Arial" w:eastAsia="Calibri" w:hAnsi="Arial" w:cs="Arial"/>
          <w:b/>
          <w:color w:val="000000" w:themeColor="text1"/>
          <w:sz w:val="22"/>
        </w:rPr>
        <w:t>: intervención necesaria del reglamento</w:t>
      </w:r>
      <w:r w:rsidR="00EC52AE">
        <w:rPr>
          <w:rFonts w:ascii="Arial" w:eastAsia="Calibri" w:hAnsi="Arial" w:cs="Arial"/>
          <w:b/>
          <w:color w:val="000000" w:themeColor="text1"/>
          <w:sz w:val="22"/>
        </w:rPr>
        <w:t xml:space="preserve"> para su efectividad</w:t>
      </w:r>
    </w:p>
    <w:p w14:paraId="5D4D2A29" w14:textId="77777777" w:rsidR="005000FC" w:rsidRDefault="005000FC" w:rsidP="005000FC">
      <w:pPr>
        <w:tabs>
          <w:tab w:val="left" w:pos="709"/>
        </w:tabs>
        <w:spacing w:line="276" w:lineRule="auto"/>
        <w:jc w:val="both"/>
        <w:rPr>
          <w:rFonts w:ascii="Arial" w:eastAsia="Calibri" w:hAnsi="Arial" w:cs="Arial"/>
          <w:bCs/>
          <w:color w:val="000000" w:themeColor="text1"/>
          <w:sz w:val="22"/>
        </w:rPr>
      </w:pPr>
    </w:p>
    <w:p w14:paraId="3A896D62" w14:textId="2A3D319A" w:rsidR="000C5D09" w:rsidRDefault="005000FC" w:rsidP="008B66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Considerando que</w:t>
      </w:r>
      <w:r w:rsidR="00B85AB7">
        <w:rPr>
          <w:rFonts w:ascii="Arial" w:eastAsia="Calibri" w:hAnsi="Arial" w:cs="Arial"/>
          <w:bCs/>
          <w:color w:val="000000" w:themeColor="text1"/>
          <w:sz w:val="22"/>
        </w:rPr>
        <w:t xml:space="preserve"> el artículo 9, parágrafo 2, de la Ley 80 de 1993 dispone que el </w:t>
      </w:r>
      <w:r w:rsidR="00D7248C">
        <w:rPr>
          <w:rFonts w:ascii="Arial" w:eastAsia="Calibri" w:hAnsi="Arial" w:cs="Arial"/>
          <w:bCs/>
          <w:color w:val="000000" w:themeColor="text1"/>
          <w:sz w:val="22"/>
        </w:rPr>
        <w:t>g</w:t>
      </w:r>
      <w:r w:rsidR="00B85AB7">
        <w:rPr>
          <w:rFonts w:ascii="Arial" w:eastAsia="Calibri" w:hAnsi="Arial" w:cs="Arial"/>
          <w:bCs/>
          <w:color w:val="000000" w:themeColor="text1"/>
          <w:sz w:val="22"/>
        </w:rPr>
        <w:t xml:space="preserve">obierno </w:t>
      </w:r>
      <w:r w:rsidR="00D7248C">
        <w:rPr>
          <w:rFonts w:ascii="Arial" w:eastAsia="Calibri" w:hAnsi="Arial" w:cs="Arial"/>
          <w:bCs/>
          <w:color w:val="000000" w:themeColor="text1"/>
          <w:sz w:val="22"/>
        </w:rPr>
        <w:t>n</w:t>
      </w:r>
      <w:r w:rsidR="00B85AB7">
        <w:rPr>
          <w:rFonts w:ascii="Arial" w:eastAsia="Calibri" w:hAnsi="Arial" w:cs="Arial"/>
          <w:bCs/>
          <w:color w:val="000000" w:themeColor="text1"/>
          <w:sz w:val="22"/>
        </w:rPr>
        <w:t>acional reglamentará el procedimiento de cesión del contrato</w:t>
      </w:r>
      <w:r w:rsidR="00D7248C">
        <w:rPr>
          <w:rFonts w:ascii="Arial" w:eastAsia="Calibri" w:hAnsi="Arial" w:cs="Arial"/>
          <w:bCs/>
          <w:color w:val="000000" w:themeColor="text1"/>
          <w:sz w:val="22"/>
        </w:rPr>
        <w:t>,</w:t>
      </w:r>
      <w:r w:rsidR="00B85AB7">
        <w:rPr>
          <w:rFonts w:ascii="Arial" w:eastAsia="Calibri" w:hAnsi="Arial" w:cs="Arial"/>
          <w:bCs/>
          <w:color w:val="000000" w:themeColor="text1"/>
          <w:sz w:val="22"/>
        </w:rPr>
        <w:t xml:space="preserve"> </w:t>
      </w:r>
      <w:r w:rsidR="00202680">
        <w:rPr>
          <w:rFonts w:ascii="Arial" w:eastAsia="Calibri" w:hAnsi="Arial" w:cs="Arial"/>
          <w:bCs/>
          <w:color w:val="000000" w:themeColor="text1"/>
          <w:sz w:val="22"/>
        </w:rPr>
        <w:t>en un término no mayor de seis (6) meses desde la entrada en vigencia de la Ley 2014 de 2019, es necesario analizar</w:t>
      </w:r>
      <w:r w:rsidR="0051290F">
        <w:rPr>
          <w:rFonts w:ascii="Arial" w:eastAsia="Calibri" w:hAnsi="Arial" w:cs="Arial"/>
          <w:bCs/>
          <w:color w:val="000000" w:themeColor="text1"/>
          <w:sz w:val="22"/>
        </w:rPr>
        <w:t>:</w:t>
      </w:r>
      <w:r w:rsidR="00202680">
        <w:rPr>
          <w:rFonts w:ascii="Arial" w:eastAsia="Calibri" w:hAnsi="Arial" w:cs="Arial"/>
          <w:bCs/>
          <w:color w:val="000000" w:themeColor="text1"/>
          <w:sz w:val="22"/>
        </w:rPr>
        <w:t xml:space="preserve"> </w:t>
      </w:r>
      <w:r w:rsidR="002930DB">
        <w:rPr>
          <w:rFonts w:ascii="Arial" w:eastAsia="Calibri" w:hAnsi="Arial" w:cs="Arial"/>
          <w:bCs/>
          <w:color w:val="000000" w:themeColor="text1"/>
          <w:sz w:val="22"/>
        </w:rPr>
        <w:t xml:space="preserve">i) </w:t>
      </w:r>
      <w:r w:rsidR="00202680">
        <w:rPr>
          <w:rFonts w:ascii="Arial" w:eastAsia="Calibri" w:hAnsi="Arial" w:cs="Arial"/>
          <w:bCs/>
          <w:color w:val="000000" w:themeColor="text1"/>
          <w:sz w:val="22"/>
        </w:rPr>
        <w:t xml:space="preserve">si la cesión unilateral adicionada por </w:t>
      </w:r>
      <w:r w:rsidR="00202680" w:rsidRPr="00202680">
        <w:rPr>
          <w:rFonts w:ascii="Arial" w:eastAsia="Calibri" w:hAnsi="Arial" w:cs="Arial"/>
          <w:bCs/>
          <w:color w:val="000000" w:themeColor="text1"/>
          <w:sz w:val="22"/>
        </w:rPr>
        <w:t xml:space="preserve">el artículo 6 </w:t>
      </w:r>
      <w:r w:rsidR="00202680">
        <w:rPr>
          <w:rFonts w:ascii="Arial" w:eastAsia="Calibri" w:hAnsi="Arial" w:cs="Arial"/>
          <w:bCs/>
          <w:color w:val="000000" w:themeColor="text1"/>
          <w:sz w:val="22"/>
        </w:rPr>
        <w:t xml:space="preserve">de la ley citada aplica directamente o, por el contrario, </w:t>
      </w:r>
      <w:r w:rsidR="002930DB">
        <w:rPr>
          <w:rFonts w:ascii="Arial" w:eastAsia="Calibri" w:hAnsi="Arial" w:cs="Arial"/>
          <w:bCs/>
          <w:color w:val="000000" w:themeColor="text1"/>
          <w:sz w:val="22"/>
        </w:rPr>
        <w:t xml:space="preserve">ii) </w:t>
      </w:r>
      <w:r w:rsidR="00202680">
        <w:rPr>
          <w:rFonts w:ascii="Arial" w:eastAsia="Calibri" w:hAnsi="Arial" w:cs="Arial"/>
          <w:bCs/>
          <w:color w:val="000000" w:themeColor="text1"/>
          <w:sz w:val="22"/>
        </w:rPr>
        <w:t xml:space="preserve">si su efectividad está condicionada </w:t>
      </w:r>
      <w:r w:rsidR="000C5D09">
        <w:rPr>
          <w:rFonts w:ascii="Arial" w:eastAsia="Calibri" w:hAnsi="Arial" w:cs="Arial"/>
          <w:bCs/>
          <w:color w:val="000000" w:themeColor="text1"/>
          <w:sz w:val="22"/>
        </w:rPr>
        <w:t>a</w:t>
      </w:r>
      <w:r w:rsidR="00202680">
        <w:rPr>
          <w:rFonts w:ascii="Arial" w:eastAsia="Calibri" w:hAnsi="Arial" w:cs="Arial"/>
          <w:bCs/>
          <w:color w:val="000000" w:themeColor="text1"/>
          <w:sz w:val="22"/>
        </w:rPr>
        <w:t xml:space="preserve"> la expedición </w:t>
      </w:r>
      <w:r w:rsidR="000C5D09">
        <w:rPr>
          <w:rFonts w:ascii="Arial" w:eastAsia="Calibri" w:hAnsi="Arial" w:cs="Arial"/>
          <w:bCs/>
          <w:color w:val="000000" w:themeColor="text1"/>
          <w:sz w:val="22"/>
        </w:rPr>
        <w:t>reglamento</w:t>
      </w:r>
      <w:r w:rsidR="00202680">
        <w:rPr>
          <w:rFonts w:ascii="Arial" w:eastAsia="Calibri" w:hAnsi="Arial" w:cs="Arial"/>
          <w:bCs/>
          <w:color w:val="000000" w:themeColor="text1"/>
          <w:sz w:val="22"/>
        </w:rPr>
        <w:t xml:space="preserve"> correspondiente. </w:t>
      </w:r>
    </w:p>
    <w:p w14:paraId="7C9FACF8" w14:textId="46E5FB12" w:rsidR="002D00EA" w:rsidRDefault="000C5D09" w:rsidP="008B66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AF3236">
        <w:rPr>
          <w:rFonts w:ascii="Arial" w:eastAsia="Calibri" w:hAnsi="Arial" w:cs="Arial"/>
          <w:bCs/>
          <w:color w:val="000000" w:themeColor="text1"/>
          <w:sz w:val="22"/>
        </w:rPr>
        <w:t>Dado</w:t>
      </w:r>
      <w:r w:rsidR="002930DB">
        <w:rPr>
          <w:rFonts w:ascii="Arial" w:eastAsia="Calibri" w:hAnsi="Arial" w:cs="Arial"/>
          <w:bCs/>
          <w:color w:val="000000" w:themeColor="text1"/>
          <w:sz w:val="22"/>
        </w:rPr>
        <w:t xml:space="preserve"> que a la fecha no se ha reglamentado el</w:t>
      </w:r>
      <w:r w:rsidR="00EC52AE">
        <w:rPr>
          <w:rFonts w:ascii="Arial" w:eastAsia="Calibri" w:hAnsi="Arial" w:cs="Arial"/>
          <w:bCs/>
          <w:color w:val="000000" w:themeColor="text1"/>
          <w:sz w:val="22"/>
        </w:rPr>
        <w:t xml:space="preserve"> procedimiento especial del</w:t>
      </w:r>
      <w:r w:rsidR="002930DB">
        <w:rPr>
          <w:rFonts w:ascii="Arial" w:eastAsia="Calibri" w:hAnsi="Arial" w:cs="Arial"/>
          <w:bCs/>
          <w:color w:val="000000" w:themeColor="text1"/>
          <w:sz w:val="22"/>
        </w:rPr>
        <w:t xml:space="preserve"> </w:t>
      </w:r>
      <w:r w:rsidR="002930DB" w:rsidRPr="00202680">
        <w:rPr>
          <w:rFonts w:ascii="Arial" w:eastAsia="Calibri" w:hAnsi="Arial" w:cs="Arial"/>
          <w:bCs/>
          <w:color w:val="000000" w:themeColor="text1"/>
          <w:sz w:val="22"/>
        </w:rPr>
        <w:t>artículo 6</w:t>
      </w:r>
      <w:r w:rsidR="002930DB">
        <w:rPr>
          <w:rFonts w:ascii="Arial" w:eastAsia="Calibri" w:hAnsi="Arial" w:cs="Arial"/>
          <w:bCs/>
          <w:color w:val="000000" w:themeColor="text1"/>
          <w:sz w:val="22"/>
        </w:rPr>
        <w:t xml:space="preserve"> de la Ley 2014 de 2019, l</w:t>
      </w:r>
      <w:r w:rsidR="00202680">
        <w:rPr>
          <w:rFonts w:ascii="Arial" w:eastAsia="Calibri" w:hAnsi="Arial" w:cs="Arial"/>
          <w:bCs/>
          <w:color w:val="000000" w:themeColor="text1"/>
          <w:sz w:val="22"/>
        </w:rPr>
        <w:t xml:space="preserve">a respuesta </w:t>
      </w:r>
      <w:r>
        <w:rPr>
          <w:rFonts w:ascii="Arial" w:eastAsia="Calibri" w:hAnsi="Arial" w:cs="Arial"/>
          <w:bCs/>
          <w:color w:val="000000" w:themeColor="text1"/>
          <w:sz w:val="22"/>
        </w:rPr>
        <w:t>a</w:t>
      </w:r>
      <w:r w:rsidR="00202680">
        <w:rPr>
          <w:rFonts w:ascii="Arial" w:eastAsia="Calibri" w:hAnsi="Arial" w:cs="Arial"/>
          <w:bCs/>
          <w:color w:val="000000" w:themeColor="text1"/>
          <w:sz w:val="22"/>
        </w:rPr>
        <w:t xml:space="preserve"> </w:t>
      </w:r>
      <w:r w:rsidR="002930DB">
        <w:rPr>
          <w:rFonts w:ascii="Arial" w:eastAsia="Calibri" w:hAnsi="Arial" w:cs="Arial"/>
          <w:bCs/>
          <w:color w:val="000000" w:themeColor="text1"/>
          <w:sz w:val="22"/>
        </w:rPr>
        <w:t>la</w:t>
      </w:r>
      <w:r w:rsidR="00202680">
        <w:rPr>
          <w:rFonts w:ascii="Arial" w:eastAsia="Calibri" w:hAnsi="Arial" w:cs="Arial"/>
          <w:bCs/>
          <w:color w:val="000000" w:themeColor="text1"/>
          <w:sz w:val="22"/>
        </w:rPr>
        <w:t xml:space="preserve"> inquietud </w:t>
      </w:r>
      <w:r w:rsidR="002930DB">
        <w:rPr>
          <w:rFonts w:ascii="Arial" w:eastAsia="Calibri" w:hAnsi="Arial" w:cs="Arial"/>
          <w:bCs/>
          <w:color w:val="000000" w:themeColor="text1"/>
          <w:sz w:val="22"/>
        </w:rPr>
        <w:t xml:space="preserve">planteada </w:t>
      </w:r>
      <w:r w:rsidR="00726DD0">
        <w:rPr>
          <w:rFonts w:ascii="Arial" w:eastAsia="Calibri" w:hAnsi="Arial" w:cs="Arial"/>
          <w:bCs/>
          <w:color w:val="000000" w:themeColor="text1"/>
          <w:sz w:val="22"/>
        </w:rPr>
        <w:t xml:space="preserve">en </w:t>
      </w:r>
      <w:r w:rsidR="002930DB">
        <w:rPr>
          <w:rFonts w:ascii="Arial" w:eastAsia="Calibri" w:hAnsi="Arial" w:cs="Arial"/>
          <w:bCs/>
          <w:color w:val="000000" w:themeColor="text1"/>
          <w:sz w:val="22"/>
        </w:rPr>
        <w:t xml:space="preserve">el párrafo precedente </w:t>
      </w:r>
      <w:r w:rsidR="00202680">
        <w:rPr>
          <w:rFonts w:ascii="Arial" w:eastAsia="Calibri" w:hAnsi="Arial" w:cs="Arial"/>
          <w:bCs/>
          <w:color w:val="000000" w:themeColor="text1"/>
          <w:sz w:val="22"/>
        </w:rPr>
        <w:t>es transcend</w:t>
      </w:r>
      <w:r>
        <w:rPr>
          <w:rFonts w:ascii="Arial" w:eastAsia="Calibri" w:hAnsi="Arial" w:cs="Arial"/>
          <w:bCs/>
          <w:color w:val="000000" w:themeColor="text1"/>
          <w:sz w:val="22"/>
        </w:rPr>
        <w:t xml:space="preserve">ental </w:t>
      </w:r>
      <w:r w:rsidR="002930DB">
        <w:rPr>
          <w:rFonts w:ascii="Arial" w:eastAsia="Calibri" w:hAnsi="Arial" w:cs="Arial"/>
          <w:bCs/>
          <w:color w:val="000000" w:themeColor="text1"/>
          <w:sz w:val="22"/>
        </w:rPr>
        <w:t>por</w:t>
      </w:r>
      <w:r>
        <w:rPr>
          <w:rFonts w:ascii="Arial" w:eastAsia="Calibri" w:hAnsi="Arial" w:cs="Arial"/>
          <w:bCs/>
          <w:color w:val="000000" w:themeColor="text1"/>
          <w:sz w:val="22"/>
        </w:rPr>
        <w:t xml:space="preserve"> los efectos prácticos de ambas posturas. </w:t>
      </w:r>
      <w:r w:rsidR="002930DB">
        <w:rPr>
          <w:rFonts w:ascii="Arial" w:eastAsia="Calibri" w:hAnsi="Arial" w:cs="Arial"/>
          <w:bCs/>
          <w:color w:val="000000" w:themeColor="text1"/>
          <w:sz w:val="22"/>
        </w:rPr>
        <w:t>Por un lado</w:t>
      </w:r>
      <w:r>
        <w:rPr>
          <w:rFonts w:ascii="Arial" w:eastAsia="Calibri" w:hAnsi="Arial" w:cs="Arial"/>
          <w:bCs/>
          <w:color w:val="000000" w:themeColor="text1"/>
          <w:sz w:val="22"/>
        </w:rPr>
        <w:t xml:space="preserve">, quien opte por la </w:t>
      </w:r>
      <w:r w:rsidRPr="000C5D09">
        <w:rPr>
          <w:rFonts w:ascii="Arial" w:eastAsia="Calibri" w:hAnsi="Arial" w:cs="Arial"/>
          <w:bCs/>
          <w:i/>
          <w:iCs/>
          <w:color w:val="000000" w:themeColor="text1"/>
          <w:sz w:val="22"/>
        </w:rPr>
        <w:t>tesis de la aplicación directa</w:t>
      </w:r>
      <w:r>
        <w:rPr>
          <w:rFonts w:ascii="Arial" w:eastAsia="Calibri" w:hAnsi="Arial" w:cs="Arial"/>
          <w:bCs/>
          <w:color w:val="000000" w:themeColor="text1"/>
          <w:sz w:val="22"/>
        </w:rPr>
        <w:t xml:space="preserve"> </w:t>
      </w:r>
      <w:r w:rsidR="00B96020">
        <w:rPr>
          <w:rFonts w:ascii="Arial" w:eastAsia="Calibri" w:hAnsi="Arial" w:cs="Arial"/>
          <w:bCs/>
          <w:color w:val="000000" w:themeColor="text1"/>
          <w:sz w:val="22"/>
        </w:rPr>
        <w:t xml:space="preserve">debe </w:t>
      </w:r>
      <w:r w:rsidR="002930DB">
        <w:rPr>
          <w:rFonts w:ascii="Arial" w:eastAsia="Calibri" w:hAnsi="Arial" w:cs="Arial"/>
          <w:bCs/>
          <w:color w:val="000000" w:themeColor="text1"/>
          <w:sz w:val="22"/>
        </w:rPr>
        <w:t>acudir a</w:t>
      </w:r>
      <w:r w:rsidR="00B96020">
        <w:rPr>
          <w:rFonts w:ascii="Arial" w:eastAsia="Calibri" w:hAnsi="Arial" w:cs="Arial"/>
          <w:bCs/>
          <w:color w:val="000000" w:themeColor="text1"/>
          <w:sz w:val="22"/>
        </w:rPr>
        <w:t xml:space="preserve"> las normas del procedimiento administrativo general </w:t>
      </w:r>
      <w:r w:rsidR="002930DB">
        <w:rPr>
          <w:rFonts w:ascii="Arial" w:eastAsia="Calibri" w:hAnsi="Arial" w:cs="Arial"/>
          <w:bCs/>
          <w:color w:val="000000" w:themeColor="text1"/>
          <w:sz w:val="22"/>
        </w:rPr>
        <w:t>de</w:t>
      </w:r>
      <w:r w:rsidR="00B96020">
        <w:rPr>
          <w:rFonts w:ascii="Arial" w:eastAsia="Calibri" w:hAnsi="Arial" w:cs="Arial"/>
          <w:bCs/>
          <w:color w:val="000000" w:themeColor="text1"/>
          <w:sz w:val="22"/>
        </w:rPr>
        <w:t xml:space="preserve"> la Ley 1437 de 2011. Esta solución se </w:t>
      </w:r>
      <w:r w:rsidR="00EC52AE">
        <w:rPr>
          <w:rFonts w:ascii="Arial" w:eastAsia="Calibri" w:hAnsi="Arial" w:cs="Arial"/>
          <w:bCs/>
          <w:color w:val="000000" w:themeColor="text1"/>
          <w:sz w:val="22"/>
        </w:rPr>
        <w:t>fundamentaría</w:t>
      </w:r>
      <w:r w:rsidR="00B96020">
        <w:rPr>
          <w:rFonts w:ascii="Arial" w:eastAsia="Calibri" w:hAnsi="Arial" w:cs="Arial"/>
          <w:bCs/>
          <w:color w:val="000000" w:themeColor="text1"/>
          <w:sz w:val="22"/>
        </w:rPr>
        <w:t xml:space="preserve"> </w:t>
      </w:r>
      <w:r w:rsidR="00026A6E">
        <w:rPr>
          <w:rFonts w:ascii="Arial" w:eastAsia="Calibri" w:hAnsi="Arial" w:cs="Arial"/>
          <w:bCs/>
          <w:color w:val="000000" w:themeColor="text1"/>
          <w:sz w:val="22"/>
        </w:rPr>
        <w:t xml:space="preserve">en el artículo </w:t>
      </w:r>
      <w:r w:rsidR="00EC52AE">
        <w:rPr>
          <w:rFonts w:ascii="Arial" w:eastAsia="Calibri" w:hAnsi="Arial" w:cs="Arial"/>
          <w:bCs/>
          <w:color w:val="000000" w:themeColor="text1"/>
          <w:sz w:val="22"/>
        </w:rPr>
        <w:t xml:space="preserve">2, inciso final, del Código de Procedimiento Administrativo y Contencioso Administrativo, el cual se aplicaría </w:t>
      </w:r>
      <w:r w:rsidR="00312164">
        <w:rPr>
          <w:rFonts w:ascii="Arial" w:eastAsia="Calibri" w:hAnsi="Arial" w:cs="Arial"/>
          <w:bCs/>
          <w:color w:val="000000" w:themeColor="text1"/>
          <w:sz w:val="22"/>
        </w:rPr>
        <w:t xml:space="preserve">también </w:t>
      </w:r>
      <w:r w:rsidR="00EC52AE">
        <w:rPr>
          <w:rFonts w:ascii="Arial" w:eastAsia="Calibri" w:hAnsi="Arial" w:cs="Arial"/>
          <w:bCs/>
          <w:color w:val="000000" w:themeColor="text1"/>
          <w:sz w:val="22"/>
        </w:rPr>
        <w:t>en virtud de la remisión prevista en el artículo 77 del Estatuto General de Contratación de la Administración Pública</w:t>
      </w:r>
      <w:r w:rsidR="00EC52AE">
        <w:rPr>
          <w:rStyle w:val="Refdenotaalpie"/>
          <w:rFonts w:ascii="Arial" w:eastAsia="Calibri" w:hAnsi="Arial" w:cs="Arial"/>
          <w:bCs/>
          <w:color w:val="000000" w:themeColor="text1"/>
          <w:sz w:val="22"/>
        </w:rPr>
        <w:footnoteReference w:id="11"/>
      </w:r>
      <w:r w:rsidR="00EC52AE">
        <w:rPr>
          <w:rFonts w:ascii="Arial" w:eastAsia="Calibri" w:hAnsi="Arial" w:cs="Arial"/>
          <w:bCs/>
          <w:color w:val="000000" w:themeColor="text1"/>
          <w:sz w:val="22"/>
        </w:rPr>
        <w:t xml:space="preserve">. Por el contrario, quien sostenga la </w:t>
      </w:r>
      <w:r w:rsidR="00EC52AE" w:rsidRPr="00EC52AE">
        <w:rPr>
          <w:rFonts w:ascii="Arial" w:eastAsia="Calibri" w:hAnsi="Arial" w:cs="Arial"/>
          <w:bCs/>
          <w:i/>
          <w:iCs/>
          <w:color w:val="000000" w:themeColor="text1"/>
          <w:sz w:val="22"/>
        </w:rPr>
        <w:t>tesis de la reglamentación</w:t>
      </w:r>
      <w:r w:rsidR="00EC52AE">
        <w:rPr>
          <w:rFonts w:ascii="Arial" w:eastAsia="Calibri" w:hAnsi="Arial" w:cs="Arial"/>
          <w:bCs/>
          <w:color w:val="000000" w:themeColor="text1"/>
          <w:sz w:val="22"/>
        </w:rPr>
        <w:t xml:space="preserve"> no podría llenar el vacío con las normas anteriormente citadas</w:t>
      </w:r>
      <w:r w:rsidR="00312164">
        <w:rPr>
          <w:rFonts w:ascii="Arial" w:eastAsia="Calibri" w:hAnsi="Arial" w:cs="Arial"/>
          <w:bCs/>
          <w:color w:val="000000" w:themeColor="text1"/>
          <w:sz w:val="22"/>
        </w:rPr>
        <w:t>, ya que en esta postura la expedición del decreto correspondiente es una condición</w:t>
      </w:r>
      <w:r w:rsidR="00083BE1">
        <w:rPr>
          <w:rFonts w:ascii="Arial" w:eastAsia="Calibri" w:hAnsi="Arial" w:cs="Arial"/>
          <w:bCs/>
          <w:color w:val="000000" w:themeColor="text1"/>
          <w:sz w:val="22"/>
        </w:rPr>
        <w:t xml:space="preserve"> necesaria para la cesión unilateral del contrato. Naturalmente, estas dos (2) tesis presuponen un modelo de relación entre la ley y el reglamento</w:t>
      </w:r>
      <w:r w:rsidR="002D00EA">
        <w:rPr>
          <w:rFonts w:ascii="Arial" w:eastAsia="Calibri" w:hAnsi="Arial" w:cs="Arial"/>
          <w:bCs/>
          <w:color w:val="000000" w:themeColor="text1"/>
          <w:sz w:val="22"/>
        </w:rPr>
        <w:t>.</w:t>
      </w:r>
    </w:p>
    <w:p w14:paraId="367148D0" w14:textId="29A0AA42" w:rsidR="00DB2A4B" w:rsidRDefault="002D00EA" w:rsidP="00DB2A4B">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B04C69">
        <w:rPr>
          <w:rFonts w:ascii="Arial" w:eastAsia="Calibri" w:hAnsi="Arial" w:cs="Arial"/>
          <w:bCs/>
          <w:color w:val="000000" w:themeColor="text1"/>
          <w:sz w:val="22"/>
        </w:rPr>
        <w:t>Tratándose</w:t>
      </w:r>
      <w:r>
        <w:rPr>
          <w:rFonts w:ascii="Arial" w:eastAsia="Calibri" w:hAnsi="Arial" w:cs="Arial"/>
          <w:bCs/>
          <w:color w:val="000000" w:themeColor="text1"/>
          <w:sz w:val="22"/>
        </w:rPr>
        <w:t xml:space="preserve"> de la </w:t>
      </w:r>
      <w:r w:rsidRPr="00B04C69">
        <w:rPr>
          <w:rFonts w:ascii="Arial" w:eastAsia="Calibri" w:hAnsi="Arial" w:cs="Arial"/>
          <w:bCs/>
          <w:i/>
          <w:iCs/>
          <w:color w:val="000000" w:themeColor="text1"/>
          <w:sz w:val="22"/>
        </w:rPr>
        <w:t>tesis de la aplicación directa</w:t>
      </w:r>
      <w:r w:rsidR="00B04C69">
        <w:rPr>
          <w:rFonts w:ascii="Arial" w:eastAsia="Calibri" w:hAnsi="Arial" w:cs="Arial"/>
          <w:bCs/>
          <w:color w:val="000000" w:themeColor="text1"/>
          <w:sz w:val="22"/>
        </w:rPr>
        <w:t>, la intervención del reglamento es accesoria, no necesaria</w:t>
      </w:r>
      <w:r w:rsidR="006C375B">
        <w:rPr>
          <w:rFonts w:ascii="Arial" w:eastAsia="Calibri" w:hAnsi="Arial" w:cs="Arial"/>
          <w:bCs/>
          <w:color w:val="000000" w:themeColor="text1"/>
          <w:sz w:val="22"/>
        </w:rPr>
        <w:t xml:space="preserve">: </w:t>
      </w:r>
      <w:r w:rsidR="00B04C69">
        <w:rPr>
          <w:rFonts w:ascii="Arial" w:eastAsia="Calibri" w:hAnsi="Arial" w:cs="Arial"/>
          <w:bCs/>
          <w:color w:val="000000" w:themeColor="text1"/>
          <w:sz w:val="22"/>
        </w:rPr>
        <w:t>el Congreso de la República ejerce su competencia para la expedición de la</w:t>
      </w:r>
      <w:r w:rsidR="00967BCD">
        <w:rPr>
          <w:rFonts w:ascii="Arial" w:eastAsia="Calibri" w:hAnsi="Arial" w:cs="Arial"/>
          <w:bCs/>
          <w:color w:val="000000" w:themeColor="text1"/>
          <w:sz w:val="22"/>
        </w:rPr>
        <w:t>s</w:t>
      </w:r>
      <w:r w:rsidR="00B04C69">
        <w:rPr>
          <w:rFonts w:ascii="Arial" w:eastAsia="Calibri" w:hAnsi="Arial" w:cs="Arial"/>
          <w:bCs/>
          <w:color w:val="000000" w:themeColor="text1"/>
          <w:sz w:val="22"/>
        </w:rPr>
        <w:t xml:space="preserve"> leyes sin que normas de inferior jerarquía condicionen </w:t>
      </w:r>
      <w:r w:rsidR="00967BCD">
        <w:rPr>
          <w:rFonts w:ascii="Arial" w:eastAsia="Calibri" w:hAnsi="Arial" w:cs="Arial"/>
          <w:bCs/>
          <w:color w:val="000000" w:themeColor="text1"/>
          <w:sz w:val="22"/>
        </w:rPr>
        <w:t xml:space="preserve">su vigencia o </w:t>
      </w:r>
      <w:r w:rsidR="00967BCD">
        <w:rPr>
          <w:rFonts w:ascii="Arial" w:eastAsia="Calibri" w:hAnsi="Arial" w:cs="Arial"/>
          <w:bCs/>
          <w:color w:val="000000" w:themeColor="text1"/>
          <w:sz w:val="22"/>
        </w:rPr>
        <w:lastRenderedPageBreak/>
        <w:t>aplicación. En este contexto, cualquier espacio abierto de decisión –siempre que no esté sometido a reserva– habilita el ejercicio de potestades discrecionales por parte de las entidades públicas, salvo que el reglamento eventualmente los limite. De esta manera, a menor precisión de la ley, mayor es el campo de acción del reglamento</w:t>
      </w:r>
      <w:r w:rsidR="006F248F">
        <w:rPr>
          <w:rFonts w:ascii="Arial" w:eastAsia="Calibri" w:hAnsi="Arial" w:cs="Arial"/>
          <w:bCs/>
          <w:color w:val="000000" w:themeColor="text1"/>
          <w:sz w:val="22"/>
        </w:rPr>
        <w:t>: en este el</w:t>
      </w:r>
      <w:r w:rsidR="00967BCD">
        <w:rPr>
          <w:rFonts w:ascii="Arial" w:eastAsia="Calibri" w:hAnsi="Arial" w:cs="Arial"/>
          <w:bCs/>
          <w:color w:val="000000" w:themeColor="text1"/>
          <w:sz w:val="22"/>
        </w:rPr>
        <w:t xml:space="preserve"> funcionario competente </w:t>
      </w:r>
      <w:r w:rsidR="006F248F">
        <w:rPr>
          <w:rFonts w:ascii="Arial" w:eastAsia="Calibri" w:hAnsi="Arial" w:cs="Arial"/>
          <w:bCs/>
          <w:color w:val="000000" w:themeColor="text1"/>
          <w:sz w:val="22"/>
        </w:rPr>
        <w:t xml:space="preserve">tiene libertad para expedir o no las normas correspondientes. Por ello, </w:t>
      </w:r>
      <w:r w:rsidR="00A24DBA">
        <w:rPr>
          <w:rFonts w:ascii="Arial" w:eastAsia="Calibri" w:hAnsi="Arial" w:cs="Arial"/>
          <w:bCs/>
          <w:color w:val="000000" w:themeColor="text1"/>
          <w:sz w:val="22"/>
        </w:rPr>
        <w:t xml:space="preserve">la </w:t>
      </w:r>
      <w:r w:rsidR="00A57F88">
        <w:rPr>
          <w:rFonts w:ascii="Arial" w:eastAsia="Calibri" w:hAnsi="Arial" w:cs="Arial"/>
          <w:bCs/>
          <w:color w:val="000000" w:themeColor="text1"/>
          <w:sz w:val="22"/>
        </w:rPr>
        <w:t>jurisprudencia</w:t>
      </w:r>
      <w:r w:rsidR="006F248F">
        <w:rPr>
          <w:rFonts w:ascii="Arial" w:eastAsia="Calibri" w:hAnsi="Arial" w:cs="Arial"/>
          <w:bCs/>
          <w:color w:val="000000" w:themeColor="text1"/>
          <w:sz w:val="22"/>
        </w:rPr>
        <w:t xml:space="preserve"> explica que la competencia reglamentaria prevista en el artículo 189.11 superior </w:t>
      </w:r>
      <w:r w:rsidR="006C375B">
        <w:rPr>
          <w:rFonts w:ascii="Arial" w:eastAsia="Calibri" w:hAnsi="Arial" w:cs="Arial"/>
          <w:bCs/>
          <w:color w:val="000000" w:themeColor="text1"/>
          <w:sz w:val="22"/>
        </w:rPr>
        <w:t xml:space="preserve">también </w:t>
      </w:r>
      <w:r w:rsidR="006E0BE4">
        <w:rPr>
          <w:rFonts w:ascii="Arial" w:eastAsia="Calibri" w:hAnsi="Arial" w:cs="Arial"/>
          <w:bCs/>
          <w:color w:val="000000" w:themeColor="text1"/>
          <w:sz w:val="22"/>
        </w:rPr>
        <w:t xml:space="preserve">corresponde </w:t>
      </w:r>
      <w:r w:rsidR="006C375B">
        <w:rPr>
          <w:rFonts w:ascii="Arial" w:eastAsia="Calibri" w:hAnsi="Arial" w:cs="Arial"/>
          <w:bCs/>
          <w:color w:val="000000" w:themeColor="text1"/>
          <w:sz w:val="22"/>
        </w:rPr>
        <w:t>a un poder</w:t>
      </w:r>
      <w:r w:rsidR="006F248F">
        <w:rPr>
          <w:rFonts w:ascii="Arial" w:eastAsia="Calibri" w:hAnsi="Arial" w:cs="Arial"/>
          <w:bCs/>
          <w:color w:val="000000" w:themeColor="text1"/>
          <w:sz w:val="22"/>
        </w:rPr>
        <w:t xml:space="preserve"> discrecional</w:t>
      </w:r>
      <w:r w:rsidR="00614771">
        <w:rPr>
          <w:rStyle w:val="Refdenotaalpie"/>
          <w:rFonts w:ascii="Arial" w:eastAsia="Calibri" w:hAnsi="Arial" w:cs="Arial"/>
          <w:bCs/>
          <w:color w:val="000000" w:themeColor="text1"/>
          <w:sz w:val="22"/>
        </w:rPr>
        <w:footnoteReference w:id="12"/>
      </w:r>
      <w:r w:rsidR="006E0BE4">
        <w:rPr>
          <w:rFonts w:ascii="Arial" w:eastAsia="Calibri" w:hAnsi="Arial" w:cs="Arial"/>
          <w:bCs/>
          <w:color w:val="000000" w:themeColor="text1"/>
          <w:sz w:val="22"/>
        </w:rPr>
        <w:t xml:space="preserve">. Al respecto, </w:t>
      </w:r>
      <w:r w:rsidR="00502EBB">
        <w:rPr>
          <w:rFonts w:ascii="Arial" w:eastAsia="Calibri" w:hAnsi="Arial" w:cs="Arial"/>
          <w:bCs/>
          <w:color w:val="000000" w:themeColor="text1"/>
          <w:sz w:val="22"/>
        </w:rPr>
        <w:t>agrega</w:t>
      </w:r>
      <w:r w:rsidR="006E0BE4">
        <w:rPr>
          <w:rFonts w:ascii="Arial" w:eastAsia="Calibri" w:hAnsi="Arial" w:cs="Arial"/>
          <w:bCs/>
          <w:color w:val="000000" w:themeColor="text1"/>
          <w:sz w:val="22"/>
        </w:rPr>
        <w:t xml:space="preserve"> que:</w:t>
      </w:r>
    </w:p>
    <w:p w14:paraId="3A19EC2C" w14:textId="1DC55597" w:rsidR="00A57F88" w:rsidRDefault="006F248F" w:rsidP="00DB2A4B">
      <w:pPr>
        <w:tabs>
          <w:tab w:val="left" w:pos="709"/>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p>
    <w:p w14:paraId="1F21830D" w14:textId="1D9C3FF1" w:rsidR="00A57F88" w:rsidRPr="00DB2A4B" w:rsidRDefault="00A57F88" w:rsidP="00DB2A4B">
      <w:pPr>
        <w:tabs>
          <w:tab w:val="left" w:pos="1418"/>
        </w:tabs>
        <w:spacing w:after="120"/>
        <w:ind w:left="709" w:right="709"/>
        <w:jc w:val="both"/>
        <w:rPr>
          <w:rFonts w:ascii="Arial" w:eastAsia="Calibri" w:hAnsi="Arial" w:cs="Arial"/>
          <w:bCs/>
          <w:color w:val="000000" w:themeColor="text1"/>
          <w:sz w:val="21"/>
          <w:szCs w:val="21"/>
        </w:rPr>
      </w:pPr>
      <w:r w:rsidRPr="00DB2A4B">
        <w:rPr>
          <w:rFonts w:ascii="Arial" w:eastAsia="Calibri" w:hAnsi="Arial" w:cs="Arial"/>
          <w:bCs/>
          <w:color w:val="000000" w:themeColor="text1"/>
          <w:sz w:val="21"/>
          <w:szCs w:val="21"/>
        </w:rPr>
        <w:t>Se trata de una atribución conferida por el constituyente al Presidente de la República en su calidad de Suprema Autoridad Administrativa, la cual le permite expedir actos administrativos de carácter general, impersonal y abstracto, con la finalidad de reglamentar las leyes para su cumplida ejecución.</w:t>
      </w:r>
    </w:p>
    <w:p w14:paraId="6017935D" w14:textId="68310E22" w:rsidR="00DB2A4B" w:rsidRPr="00DB2A4B" w:rsidRDefault="00A57F88" w:rsidP="00DB2A4B">
      <w:pPr>
        <w:tabs>
          <w:tab w:val="left" w:pos="1418"/>
        </w:tabs>
        <w:ind w:left="709" w:right="709"/>
        <w:jc w:val="both"/>
        <w:rPr>
          <w:rFonts w:ascii="Arial" w:eastAsia="Calibri" w:hAnsi="Arial" w:cs="Arial"/>
          <w:bCs/>
          <w:color w:val="000000" w:themeColor="text1"/>
          <w:sz w:val="21"/>
          <w:szCs w:val="21"/>
        </w:rPr>
      </w:pPr>
      <w:r w:rsidRPr="00DB2A4B">
        <w:rPr>
          <w:rFonts w:ascii="Arial" w:eastAsia="Calibri" w:hAnsi="Arial" w:cs="Arial"/>
          <w:bCs/>
          <w:color w:val="000000" w:themeColor="text1"/>
          <w:sz w:val="21"/>
          <w:szCs w:val="21"/>
        </w:rPr>
        <w:t>De la potestad reglamentaria también puede decirse que fue concebida con carácter intemporal, de suerte que ante la necesidad de reglamentar una ley por el Presidente de la República, éste en su condición de Suprema Autoridad Administrativa puede hacerlo en cualquier tiempo, siempre y cuando se mantenga vigente la ley objeto de reglamentación; incluso, puede el Presidente de la República modificar y hasta derogar los decretos que previamente haya expedido en ejercicio de dicha función, como una especie de facultad discrecional que puede activar al ser encargado de la conducción de los destinos públicos, funcionario que además determina la conveniencia y oportunidad con que ello debe realizarse</w:t>
      </w:r>
      <w:r w:rsidR="00502EBB">
        <w:rPr>
          <w:rStyle w:val="Refdenotaalpie"/>
          <w:rFonts w:ascii="Arial" w:eastAsia="Calibri" w:hAnsi="Arial" w:cs="Arial"/>
          <w:bCs/>
          <w:color w:val="000000" w:themeColor="text1"/>
          <w:sz w:val="21"/>
          <w:szCs w:val="21"/>
        </w:rPr>
        <w:footnoteReference w:id="13"/>
      </w:r>
      <w:r w:rsidRPr="00DB2A4B">
        <w:rPr>
          <w:rFonts w:ascii="Arial" w:eastAsia="Calibri" w:hAnsi="Arial" w:cs="Arial"/>
          <w:bCs/>
          <w:color w:val="000000" w:themeColor="text1"/>
          <w:sz w:val="21"/>
          <w:szCs w:val="21"/>
        </w:rPr>
        <w:t>.</w:t>
      </w:r>
      <w:r w:rsidR="00967BCD" w:rsidRPr="00DB2A4B">
        <w:rPr>
          <w:rFonts w:ascii="Arial" w:eastAsia="Calibri" w:hAnsi="Arial" w:cs="Arial"/>
          <w:bCs/>
          <w:color w:val="000000" w:themeColor="text1"/>
          <w:sz w:val="21"/>
          <w:szCs w:val="21"/>
        </w:rPr>
        <w:t xml:space="preserve"> </w:t>
      </w:r>
    </w:p>
    <w:p w14:paraId="1C05B930" w14:textId="77777777" w:rsidR="00DB2A4B" w:rsidRDefault="00DB2A4B" w:rsidP="00DB2A4B">
      <w:pPr>
        <w:tabs>
          <w:tab w:val="left" w:pos="709"/>
        </w:tabs>
        <w:spacing w:line="276" w:lineRule="auto"/>
        <w:jc w:val="both"/>
        <w:rPr>
          <w:rFonts w:ascii="Arial" w:eastAsia="Calibri" w:hAnsi="Arial" w:cs="Arial"/>
          <w:bCs/>
          <w:color w:val="000000" w:themeColor="text1"/>
          <w:sz w:val="22"/>
        </w:rPr>
      </w:pPr>
    </w:p>
    <w:p w14:paraId="51360663" w14:textId="2E90E862" w:rsidR="005C0309" w:rsidRDefault="00DB2A4B"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En este contexto, si la </w:t>
      </w:r>
      <w:r w:rsidR="00746876">
        <w:rPr>
          <w:rFonts w:ascii="Arial" w:eastAsia="Calibri" w:hAnsi="Arial" w:cs="Arial"/>
          <w:bCs/>
          <w:color w:val="000000" w:themeColor="text1"/>
          <w:sz w:val="22"/>
        </w:rPr>
        <w:t>expedición de reglamentos no es obligatoria</w:t>
      </w:r>
      <w:r>
        <w:rPr>
          <w:rFonts w:ascii="Arial" w:eastAsia="Calibri" w:hAnsi="Arial" w:cs="Arial"/>
          <w:bCs/>
          <w:color w:val="000000" w:themeColor="text1"/>
          <w:sz w:val="22"/>
        </w:rPr>
        <w:t>,</w:t>
      </w:r>
      <w:r w:rsidR="00502EBB">
        <w:rPr>
          <w:rFonts w:ascii="Arial" w:eastAsia="Calibri" w:hAnsi="Arial" w:cs="Arial"/>
          <w:bCs/>
          <w:color w:val="000000" w:themeColor="text1"/>
          <w:sz w:val="22"/>
        </w:rPr>
        <w:t xml:space="preserve"> la ausencia </w:t>
      </w:r>
      <w:r w:rsidR="00CB55CF">
        <w:rPr>
          <w:rFonts w:ascii="Arial" w:eastAsia="Calibri" w:hAnsi="Arial" w:cs="Arial"/>
          <w:bCs/>
          <w:color w:val="000000" w:themeColor="text1"/>
          <w:sz w:val="22"/>
        </w:rPr>
        <w:t xml:space="preserve">de estos </w:t>
      </w:r>
      <w:r w:rsidR="00502EBB">
        <w:rPr>
          <w:rFonts w:ascii="Arial" w:eastAsia="Calibri" w:hAnsi="Arial" w:cs="Arial"/>
          <w:bCs/>
          <w:color w:val="000000" w:themeColor="text1"/>
          <w:sz w:val="22"/>
        </w:rPr>
        <w:t>no excusa</w:t>
      </w:r>
      <w:r w:rsidR="00746876">
        <w:rPr>
          <w:rFonts w:ascii="Arial" w:eastAsia="Calibri" w:hAnsi="Arial" w:cs="Arial"/>
          <w:bCs/>
          <w:color w:val="000000" w:themeColor="text1"/>
          <w:sz w:val="22"/>
        </w:rPr>
        <w:t xml:space="preserve"> </w:t>
      </w:r>
      <w:r w:rsidR="00502EBB">
        <w:rPr>
          <w:rFonts w:ascii="Arial" w:eastAsia="Calibri" w:hAnsi="Arial" w:cs="Arial"/>
          <w:bCs/>
          <w:color w:val="000000" w:themeColor="text1"/>
          <w:sz w:val="22"/>
        </w:rPr>
        <w:t xml:space="preserve">la </w:t>
      </w:r>
      <w:r w:rsidR="00746876">
        <w:rPr>
          <w:rFonts w:ascii="Arial" w:eastAsia="Calibri" w:hAnsi="Arial" w:cs="Arial"/>
          <w:bCs/>
          <w:color w:val="000000" w:themeColor="text1"/>
          <w:sz w:val="22"/>
        </w:rPr>
        <w:t>in</w:t>
      </w:r>
      <w:r w:rsidR="00502EBB">
        <w:rPr>
          <w:rFonts w:ascii="Arial" w:eastAsia="Calibri" w:hAnsi="Arial" w:cs="Arial"/>
          <w:bCs/>
          <w:color w:val="000000" w:themeColor="text1"/>
          <w:sz w:val="22"/>
        </w:rPr>
        <w:t>aplicación de la ley, pues</w:t>
      </w:r>
      <w:r w:rsidR="00746876">
        <w:rPr>
          <w:rFonts w:ascii="Arial" w:eastAsia="Calibri" w:hAnsi="Arial" w:cs="Arial"/>
          <w:bCs/>
          <w:color w:val="000000" w:themeColor="text1"/>
          <w:sz w:val="22"/>
        </w:rPr>
        <w:t xml:space="preserve"> contienen unos elementos mínimos que vinculan directamente a los destinatarios. </w:t>
      </w:r>
      <w:r w:rsidR="00A262AF">
        <w:rPr>
          <w:rFonts w:ascii="Arial" w:eastAsia="Calibri" w:hAnsi="Arial" w:cs="Arial"/>
          <w:bCs/>
          <w:color w:val="000000" w:themeColor="text1"/>
          <w:sz w:val="22"/>
        </w:rPr>
        <w:t xml:space="preserve">No obstante, </w:t>
      </w:r>
      <w:r w:rsidR="00E66B43">
        <w:rPr>
          <w:rFonts w:ascii="Arial" w:eastAsia="Calibri" w:hAnsi="Arial" w:cs="Arial"/>
          <w:bCs/>
          <w:color w:val="000000" w:themeColor="text1"/>
          <w:sz w:val="22"/>
        </w:rPr>
        <w:t xml:space="preserve">es importante precisar que </w:t>
      </w:r>
      <w:r w:rsidR="00A262AF">
        <w:rPr>
          <w:rFonts w:ascii="Arial" w:eastAsia="Calibri" w:hAnsi="Arial" w:cs="Arial"/>
          <w:bCs/>
          <w:color w:val="000000" w:themeColor="text1"/>
          <w:sz w:val="22"/>
        </w:rPr>
        <w:t>tratándose del procedimiento administrativo para la cesión</w:t>
      </w:r>
      <w:r w:rsidR="00E66B43">
        <w:rPr>
          <w:rFonts w:ascii="Arial" w:eastAsia="Calibri" w:hAnsi="Arial" w:cs="Arial"/>
          <w:bCs/>
          <w:color w:val="000000" w:themeColor="text1"/>
          <w:sz w:val="22"/>
        </w:rPr>
        <w:t xml:space="preserve"> unilateral</w:t>
      </w:r>
      <w:r w:rsidR="00A262AF">
        <w:rPr>
          <w:rFonts w:ascii="Arial" w:eastAsia="Calibri" w:hAnsi="Arial" w:cs="Arial"/>
          <w:bCs/>
          <w:color w:val="000000" w:themeColor="text1"/>
          <w:sz w:val="22"/>
        </w:rPr>
        <w:t xml:space="preserve"> del contrato</w:t>
      </w:r>
      <w:r w:rsidR="00E66B43">
        <w:rPr>
          <w:rFonts w:ascii="Arial" w:eastAsia="Calibri" w:hAnsi="Arial" w:cs="Arial"/>
          <w:bCs/>
          <w:color w:val="000000" w:themeColor="text1"/>
          <w:sz w:val="22"/>
        </w:rPr>
        <w:t xml:space="preserve">, la falta de reglamentación no autoriza a las entidades para realizar un trámite </w:t>
      </w:r>
      <w:r w:rsidR="00E66B43">
        <w:rPr>
          <w:rFonts w:ascii="Arial" w:eastAsia="Calibri" w:hAnsi="Arial" w:cs="Arial"/>
          <w:bCs/>
          <w:i/>
          <w:iCs/>
          <w:color w:val="000000" w:themeColor="text1"/>
          <w:sz w:val="22"/>
        </w:rPr>
        <w:t>ad</w:t>
      </w:r>
      <w:r w:rsidR="00E66B43" w:rsidRPr="00E66B43">
        <w:rPr>
          <w:rFonts w:ascii="Arial" w:eastAsia="Calibri" w:hAnsi="Arial" w:cs="Arial"/>
          <w:bCs/>
          <w:i/>
          <w:iCs/>
          <w:color w:val="000000" w:themeColor="text1"/>
          <w:sz w:val="22"/>
        </w:rPr>
        <w:t xml:space="preserve"> hoc</w:t>
      </w:r>
      <w:r w:rsidR="00E66B43">
        <w:rPr>
          <w:rFonts w:ascii="Arial" w:eastAsia="Calibri" w:hAnsi="Arial" w:cs="Arial"/>
          <w:bCs/>
          <w:color w:val="000000" w:themeColor="text1"/>
          <w:sz w:val="22"/>
        </w:rPr>
        <w:t>. Todo lo contrario, en la medida que los procedimientos administrativos –conforme al artículo</w:t>
      </w:r>
      <w:r w:rsidR="00882A05">
        <w:rPr>
          <w:rFonts w:ascii="Arial" w:eastAsia="Calibri" w:hAnsi="Arial" w:cs="Arial"/>
          <w:bCs/>
          <w:color w:val="000000" w:themeColor="text1"/>
          <w:sz w:val="22"/>
        </w:rPr>
        <w:t xml:space="preserve"> 29 superior–</w:t>
      </w:r>
      <w:r w:rsidR="00E66B43">
        <w:rPr>
          <w:rFonts w:ascii="Arial" w:eastAsia="Calibri" w:hAnsi="Arial" w:cs="Arial"/>
          <w:bCs/>
          <w:color w:val="000000" w:themeColor="text1"/>
          <w:sz w:val="22"/>
        </w:rPr>
        <w:t xml:space="preserve"> son una manifestación de </w:t>
      </w:r>
      <w:r w:rsidR="00882A05">
        <w:rPr>
          <w:rFonts w:ascii="Arial" w:eastAsia="Calibri" w:hAnsi="Arial" w:cs="Arial"/>
          <w:bCs/>
          <w:color w:val="000000" w:themeColor="text1"/>
          <w:sz w:val="22"/>
        </w:rPr>
        <w:t>las</w:t>
      </w:r>
      <w:r w:rsidR="00E66B43">
        <w:rPr>
          <w:rFonts w:ascii="Arial" w:eastAsia="Calibri" w:hAnsi="Arial" w:cs="Arial"/>
          <w:bCs/>
          <w:color w:val="000000" w:themeColor="text1"/>
          <w:sz w:val="22"/>
        </w:rPr>
        <w:t xml:space="preserve"> </w:t>
      </w:r>
      <w:r w:rsidR="00882A05">
        <w:rPr>
          <w:rFonts w:ascii="Arial" w:eastAsia="Calibri" w:hAnsi="Arial" w:cs="Arial"/>
          <w:bCs/>
          <w:color w:val="000000" w:themeColor="text1"/>
          <w:sz w:val="22"/>
        </w:rPr>
        <w:t>«</w:t>
      </w:r>
      <w:r w:rsidR="00E66B43">
        <w:rPr>
          <w:rFonts w:ascii="Arial" w:eastAsia="Calibri" w:hAnsi="Arial" w:cs="Arial"/>
          <w:bCs/>
          <w:color w:val="000000" w:themeColor="text1"/>
          <w:sz w:val="22"/>
        </w:rPr>
        <w:t xml:space="preserve">formas propias de cada </w:t>
      </w:r>
      <w:r w:rsidR="00882A05">
        <w:rPr>
          <w:rFonts w:ascii="Arial" w:eastAsia="Calibri" w:hAnsi="Arial" w:cs="Arial"/>
          <w:bCs/>
          <w:color w:val="000000" w:themeColor="text1"/>
          <w:sz w:val="22"/>
        </w:rPr>
        <w:t>juicio</w:t>
      </w:r>
      <w:r w:rsidR="00E66B43">
        <w:rPr>
          <w:rFonts w:ascii="Arial" w:eastAsia="Calibri" w:hAnsi="Arial" w:cs="Arial"/>
          <w:bCs/>
          <w:color w:val="000000" w:themeColor="text1"/>
          <w:sz w:val="22"/>
        </w:rPr>
        <w:t>»</w:t>
      </w:r>
      <w:r w:rsidR="00882A05">
        <w:rPr>
          <w:rFonts w:ascii="Arial" w:eastAsia="Calibri" w:hAnsi="Arial" w:cs="Arial"/>
          <w:bCs/>
          <w:color w:val="000000" w:themeColor="text1"/>
          <w:sz w:val="22"/>
        </w:rPr>
        <w:t>, sería necesario aplicar la remisión a las normas del Código de Procedimiento Administrativo conforme al artículo 2, inciso final, de la Ley 1437 y el artículo 77 de la Ley 80 de 1993.</w:t>
      </w:r>
      <w:r w:rsidR="00E66B43">
        <w:rPr>
          <w:rFonts w:ascii="Arial" w:eastAsia="Calibri" w:hAnsi="Arial" w:cs="Arial"/>
          <w:bCs/>
          <w:color w:val="000000" w:themeColor="text1"/>
          <w:sz w:val="22"/>
        </w:rPr>
        <w:t xml:space="preserve"> </w:t>
      </w:r>
    </w:p>
    <w:p w14:paraId="4ED705FD" w14:textId="77777777" w:rsidR="00132DBE" w:rsidRDefault="00882A05"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Por su parte, la relación entr</w:t>
      </w:r>
      <w:r w:rsidR="00BB1223">
        <w:rPr>
          <w:rFonts w:ascii="Arial" w:eastAsia="Calibri" w:hAnsi="Arial" w:cs="Arial"/>
          <w:bCs/>
          <w:color w:val="000000" w:themeColor="text1"/>
          <w:sz w:val="22"/>
        </w:rPr>
        <w:t>e</w:t>
      </w:r>
      <w:r>
        <w:rPr>
          <w:rFonts w:ascii="Arial" w:eastAsia="Calibri" w:hAnsi="Arial" w:cs="Arial"/>
          <w:bCs/>
          <w:color w:val="000000" w:themeColor="text1"/>
          <w:sz w:val="22"/>
        </w:rPr>
        <w:t xml:space="preserve"> </w:t>
      </w:r>
      <w:r w:rsidR="0054595C">
        <w:rPr>
          <w:rFonts w:ascii="Arial" w:eastAsia="Calibri" w:hAnsi="Arial" w:cs="Arial"/>
          <w:bCs/>
          <w:color w:val="000000" w:themeColor="text1"/>
          <w:sz w:val="22"/>
        </w:rPr>
        <w:t>estas dos (2) fuentes del derecho</w:t>
      </w:r>
      <w:r>
        <w:rPr>
          <w:rFonts w:ascii="Arial" w:eastAsia="Calibri" w:hAnsi="Arial" w:cs="Arial"/>
          <w:bCs/>
          <w:color w:val="000000" w:themeColor="text1"/>
          <w:sz w:val="22"/>
        </w:rPr>
        <w:t xml:space="preserve"> es</w:t>
      </w:r>
      <w:r w:rsidR="0054595C">
        <w:rPr>
          <w:rFonts w:ascii="Arial" w:eastAsia="Calibri" w:hAnsi="Arial" w:cs="Arial"/>
          <w:bCs/>
          <w:color w:val="000000" w:themeColor="text1"/>
          <w:sz w:val="22"/>
        </w:rPr>
        <w:t xml:space="preserve"> totalmente</w:t>
      </w:r>
      <w:r>
        <w:rPr>
          <w:rFonts w:ascii="Arial" w:eastAsia="Calibri" w:hAnsi="Arial" w:cs="Arial"/>
          <w:bCs/>
          <w:color w:val="000000" w:themeColor="text1"/>
          <w:sz w:val="22"/>
        </w:rPr>
        <w:t xml:space="preserve"> </w:t>
      </w:r>
      <w:r w:rsidR="00BB1223">
        <w:rPr>
          <w:rFonts w:ascii="Arial" w:eastAsia="Calibri" w:hAnsi="Arial" w:cs="Arial"/>
          <w:bCs/>
          <w:color w:val="000000" w:themeColor="text1"/>
          <w:sz w:val="22"/>
        </w:rPr>
        <w:t xml:space="preserve">diferente en la </w:t>
      </w:r>
      <w:r w:rsidR="00BB1223" w:rsidRPr="00BB1223">
        <w:rPr>
          <w:rFonts w:ascii="Arial" w:eastAsia="Calibri" w:hAnsi="Arial" w:cs="Arial"/>
          <w:bCs/>
          <w:i/>
          <w:iCs/>
          <w:color w:val="000000" w:themeColor="text1"/>
          <w:sz w:val="22"/>
        </w:rPr>
        <w:t>tesis de la reglamentación</w:t>
      </w:r>
      <w:r w:rsidR="00BB1223">
        <w:rPr>
          <w:rFonts w:ascii="Arial" w:eastAsia="Calibri" w:hAnsi="Arial" w:cs="Arial"/>
          <w:bCs/>
          <w:color w:val="000000" w:themeColor="text1"/>
          <w:sz w:val="22"/>
        </w:rPr>
        <w:t xml:space="preserve">. </w:t>
      </w:r>
      <w:r w:rsidR="0054595C">
        <w:rPr>
          <w:rFonts w:ascii="Arial" w:eastAsia="Calibri" w:hAnsi="Arial" w:cs="Arial"/>
          <w:bCs/>
          <w:color w:val="000000" w:themeColor="text1"/>
          <w:sz w:val="22"/>
        </w:rPr>
        <w:t xml:space="preserve">Para estos efectos, si bien el Congreso de la República conserva la cláusula general de competencia normativa para la expedición de las leyes, sujeta su aplicación a una norma de menor jerarquía que regule aspectos de </w:t>
      </w:r>
      <w:r w:rsidR="0054595C">
        <w:rPr>
          <w:rFonts w:ascii="Arial" w:eastAsia="Calibri" w:hAnsi="Arial" w:cs="Arial"/>
          <w:bCs/>
          <w:color w:val="000000" w:themeColor="text1"/>
          <w:sz w:val="22"/>
        </w:rPr>
        <w:lastRenderedPageBreak/>
        <w:t>detalle</w:t>
      </w:r>
      <w:r w:rsidR="000A2BEF">
        <w:rPr>
          <w:rFonts w:ascii="Arial" w:eastAsia="Calibri" w:hAnsi="Arial" w:cs="Arial"/>
          <w:bCs/>
          <w:color w:val="000000" w:themeColor="text1"/>
          <w:sz w:val="22"/>
        </w:rPr>
        <w:t xml:space="preserve">, por lo que exige </w:t>
      </w:r>
      <w:r w:rsidR="0054595C">
        <w:rPr>
          <w:rFonts w:ascii="Arial" w:eastAsia="Calibri" w:hAnsi="Arial" w:cs="Arial"/>
          <w:bCs/>
          <w:color w:val="000000" w:themeColor="text1"/>
          <w:sz w:val="22"/>
        </w:rPr>
        <w:t xml:space="preserve">la </w:t>
      </w:r>
      <w:r w:rsidR="000A2BEF">
        <w:rPr>
          <w:rFonts w:ascii="Arial" w:eastAsia="Calibri" w:hAnsi="Arial" w:cs="Arial"/>
          <w:bCs/>
          <w:color w:val="000000" w:themeColor="text1"/>
          <w:sz w:val="22"/>
        </w:rPr>
        <w:t xml:space="preserve">expedición del decreto reglamentario correspondiente. Este el caso del </w:t>
      </w:r>
      <w:r w:rsidR="000A2BEF" w:rsidRPr="00202680">
        <w:rPr>
          <w:rFonts w:ascii="Arial" w:eastAsia="Calibri" w:hAnsi="Arial" w:cs="Arial"/>
          <w:bCs/>
          <w:color w:val="000000" w:themeColor="text1"/>
          <w:sz w:val="22"/>
        </w:rPr>
        <w:t>artículo 6</w:t>
      </w:r>
      <w:r w:rsidR="000A2BEF">
        <w:rPr>
          <w:rFonts w:ascii="Arial" w:eastAsia="Calibri" w:hAnsi="Arial" w:cs="Arial"/>
          <w:bCs/>
          <w:color w:val="000000" w:themeColor="text1"/>
          <w:sz w:val="22"/>
        </w:rPr>
        <w:t>, parágrafo 2, de la Ley 2014 de 2019, pues dispone que «</w:t>
      </w:r>
      <w:r w:rsidR="005C0309" w:rsidRPr="005C0309">
        <w:rPr>
          <w:rFonts w:ascii="Arial" w:eastAsia="Calibri" w:hAnsi="Arial" w:cs="Arial"/>
          <w:bCs/>
          <w:color w:val="000000" w:themeColor="text1"/>
          <w:sz w:val="22"/>
        </w:rPr>
        <w:t xml:space="preserve">El Gobierno nacional reglamentará el procedimiento de la cesión del contrato </w:t>
      </w:r>
      <w:r w:rsidR="005C0309">
        <w:rPr>
          <w:rFonts w:ascii="Arial" w:eastAsia="Calibri" w:hAnsi="Arial" w:cs="Arial"/>
          <w:bCs/>
          <w:color w:val="000000" w:themeColor="text1"/>
          <w:sz w:val="22"/>
        </w:rPr>
        <w:t>[…]</w:t>
      </w:r>
      <w:r w:rsidR="005C0309" w:rsidRPr="005C0309">
        <w:rPr>
          <w:rFonts w:ascii="Arial" w:eastAsia="Calibri" w:hAnsi="Arial" w:cs="Arial"/>
          <w:bCs/>
          <w:color w:val="000000" w:themeColor="text1"/>
          <w:sz w:val="22"/>
        </w:rPr>
        <w:t>, en término no mayor a seis (6) meses</w:t>
      </w:r>
      <w:r w:rsidR="005C0309">
        <w:rPr>
          <w:rFonts w:ascii="Arial" w:eastAsia="Calibri" w:hAnsi="Arial" w:cs="Arial"/>
          <w:bCs/>
          <w:color w:val="000000" w:themeColor="text1"/>
          <w:sz w:val="22"/>
        </w:rPr>
        <w:t xml:space="preserve">». </w:t>
      </w:r>
    </w:p>
    <w:p w14:paraId="15626209" w14:textId="274C25D7" w:rsidR="000D6C6D" w:rsidRDefault="00132DBE"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5C0309">
        <w:rPr>
          <w:rFonts w:ascii="Arial" w:eastAsia="Calibri" w:hAnsi="Arial" w:cs="Arial"/>
          <w:bCs/>
          <w:color w:val="000000" w:themeColor="text1"/>
          <w:sz w:val="22"/>
        </w:rPr>
        <w:t xml:space="preserve">Desde el punto de vista del acatamiento de las normas superiores, el decreto no </w:t>
      </w:r>
      <w:r w:rsidR="00DE5D1A">
        <w:rPr>
          <w:rFonts w:ascii="Arial" w:eastAsia="Calibri" w:hAnsi="Arial" w:cs="Arial"/>
          <w:bCs/>
          <w:color w:val="000000" w:themeColor="text1"/>
          <w:sz w:val="22"/>
        </w:rPr>
        <w:t>quedaría viciado de nulidad</w:t>
      </w:r>
      <w:r w:rsidR="005C0309">
        <w:rPr>
          <w:rFonts w:ascii="Arial" w:eastAsia="Calibri" w:hAnsi="Arial" w:cs="Arial"/>
          <w:bCs/>
          <w:color w:val="000000" w:themeColor="text1"/>
          <w:sz w:val="22"/>
        </w:rPr>
        <w:t xml:space="preserve"> si se ejerce la potestad reglamentaria después del plazo previsto en la ley, pues la competencia del artículo 189.11 de la Constitución Política de 1991 es</w:t>
      </w:r>
      <w:r w:rsidR="00DE5D1A">
        <w:rPr>
          <w:rFonts w:ascii="Arial" w:eastAsia="Calibri" w:hAnsi="Arial" w:cs="Arial"/>
          <w:bCs/>
          <w:color w:val="000000" w:themeColor="text1"/>
          <w:sz w:val="22"/>
        </w:rPr>
        <w:t>, en principio,</w:t>
      </w:r>
      <w:r w:rsidR="005C0309">
        <w:rPr>
          <w:rFonts w:ascii="Arial" w:eastAsia="Calibri" w:hAnsi="Arial" w:cs="Arial"/>
          <w:bCs/>
          <w:color w:val="000000" w:themeColor="text1"/>
          <w:sz w:val="22"/>
        </w:rPr>
        <w:t xml:space="preserve"> intemporal. No obstante, contiene un mandato de reglamentación que debe acatar el </w:t>
      </w:r>
      <w:r w:rsidR="00DE5D1A">
        <w:rPr>
          <w:rFonts w:ascii="Arial" w:eastAsia="Calibri" w:hAnsi="Arial" w:cs="Arial"/>
          <w:bCs/>
          <w:color w:val="000000" w:themeColor="text1"/>
          <w:sz w:val="22"/>
        </w:rPr>
        <w:t>g</w:t>
      </w:r>
      <w:r w:rsidR="005C0309">
        <w:rPr>
          <w:rFonts w:ascii="Arial" w:eastAsia="Calibri" w:hAnsi="Arial" w:cs="Arial"/>
          <w:bCs/>
          <w:color w:val="000000" w:themeColor="text1"/>
          <w:sz w:val="22"/>
        </w:rPr>
        <w:t xml:space="preserve">obierno </w:t>
      </w:r>
      <w:r w:rsidR="00DE5D1A">
        <w:rPr>
          <w:rFonts w:ascii="Arial" w:eastAsia="Calibri" w:hAnsi="Arial" w:cs="Arial"/>
          <w:bCs/>
          <w:color w:val="000000" w:themeColor="text1"/>
          <w:sz w:val="22"/>
        </w:rPr>
        <w:t>n</w:t>
      </w:r>
      <w:r w:rsidR="005C0309">
        <w:rPr>
          <w:rFonts w:ascii="Arial" w:eastAsia="Calibri" w:hAnsi="Arial" w:cs="Arial"/>
          <w:bCs/>
          <w:color w:val="000000" w:themeColor="text1"/>
          <w:sz w:val="22"/>
        </w:rPr>
        <w:t>aciona</w:t>
      </w:r>
      <w:r w:rsidR="00BE35F3">
        <w:rPr>
          <w:rFonts w:ascii="Arial" w:eastAsia="Calibri" w:hAnsi="Arial" w:cs="Arial"/>
          <w:bCs/>
          <w:color w:val="000000" w:themeColor="text1"/>
          <w:sz w:val="22"/>
        </w:rPr>
        <w:t>l</w:t>
      </w:r>
      <w:r w:rsidR="00BE35F3">
        <w:rPr>
          <w:rStyle w:val="Refdenotaalpie"/>
          <w:rFonts w:ascii="Arial" w:eastAsia="Calibri" w:hAnsi="Arial" w:cs="Arial"/>
          <w:bCs/>
          <w:color w:val="000000" w:themeColor="text1"/>
          <w:sz w:val="22"/>
        </w:rPr>
        <w:footnoteReference w:id="14"/>
      </w:r>
      <w:r w:rsidR="005C0309">
        <w:rPr>
          <w:rFonts w:ascii="Arial" w:eastAsia="Calibri" w:hAnsi="Arial" w:cs="Arial"/>
          <w:bCs/>
          <w:color w:val="000000" w:themeColor="text1"/>
          <w:sz w:val="22"/>
        </w:rPr>
        <w:t xml:space="preserve">. </w:t>
      </w:r>
      <w:r>
        <w:rPr>
          <w:rFonts w:ascii="Arial" w:eastAsia="Calibri" w:hAnsi="Arial" w:cs="Arial"/>
          <w:bCs/>
          <w:color w:val="000000" w:themeColor="text1"/>
          <w:sz w:val="22"/>
        </w:rPr>
        <w:t>Sin el decreto la ley es inaplicable</w:t>
      </w:r>
      <w:r w:rsidR="00BE4E3F">
        <w:rPr>
          <w:rFonts w:ascii="Arial" w:eastAsia="Calibri" w:hAnsi="Arial" w:cs="Arial"/>
          <w:bCs/>
          <w:color w:val="000000" w:themeColor="text1"/>
          <w:sz w:val="22"/>
        </w:rPr>
        <w:t>,</w:t>
      </w:r>
      <w:r>
        <w:rPr>
          <w:rFonts w:ascii="Arial" w:eastAsia="Calibri" w:hAnsi="Arial" w:cs="Arial"/>
          <w:bCs/>
          <w:color w:val="000000" w:themeColor="text1"/>
          <w:sz w:val="22"/>
        </w:rPr>
        <w:t xml:space="preserve"> porque delega en una fuente de inferior jerarquía la definición de los aspectos relevantes para efectividad de los mandatos contenidos en</w:t>
      </w:r>
      <w:r w:rsidR="00BE4E3F">
        <w:rPr>
          <w:rFonts w:ascii="Arial" w:eastAsia="Calibri" w:hAnsi="Arial" w:cs="Arial"/>
          <w:bCs/>
          <w:color w:val="000000" w:themeColor="text1"/>
          <w:sz w:val="22"/>
        </w:rPr>
        <w:t xml:space="preserve"> la misma. En estos casos, la omisión reglamentaria genera una </w:t>
      </w:r>
      <w:r w:rsidR="00BE4E3F" w:rsidRPr="00BE4E3F">
        <w:rPr>
          <w:rFonts w:ascii="Arial" w:eastAsia="Calibri" w:hAnsi="Arial" w:cs="Arial"/>
          <w:bCs/>
          <w:i/>
          <w:iCs/>
          <w:color w:val="000000" w:themeColor="text1"/>
          <w:sz w:val="22"/>
        </w:rPr>
        <w:t>laguna técnica</w:t>
      </w:r>
      <w:r w:rsidR="00BE4E3F">
        <w:rPr>
          <w:rFonts w:ascii="Arial" w:eastAsia="Calibri" w:hAnsi="Arial" w:cs="Arial"/>
          <w:bCs/>
          <w:color w:val="000000" w:themeColor="text1"/>
          <w:sz w:val="22"/>
        </w:rPr>
        <w:t xml:space="preserve">, </w:t>
      </w:r>
      <w:r w:rsidR="00363D0D">
        <w:rPr>
          <w:rFonts w:ascii="Arial" w:eastAsia="Calibri" w:hAnsi="Arial" w:cs="Arial"/>
          <w:bCs/>
          <w:color w:val="000000" w:themeColor="text1"/>
          <w:sz w:val="22"/>
        </w:rPr>
        <w:t xml:space="preserve">la cual se produce </w:t>
      </w:r>
      <w:r w:rsidR="001A2D72">
        <w:rPr>
          <w:rFonts w:ascii="Arial" w:eastAsia="Calibri" w:hAnsi="Arial" w:cs="Arial"/>
          <w:bCs/>
          <w:color w:val="000000" w:themeColor="text1"/>
          <w:sz w:val="22"/>
        </w:rPr>
        <w:t xml:space="preserve">«[…] cuando falta en [el ordenamiento] una norma cuya existencia </w:t>
      </w:r>
      <w:r w:rsidR="0053325A">
        <w:rPr>
          <w:rFonts w:ascii="Arial" w:eastAsia="Calibri" w:hAnsi="Arial" w:cs="Arial"/>
          <w:bCs/>
          <w:color w:val="000000" w:themeColor="text1"/>
          <w:sz w:val="22"/>
        </w:rPr>
        <w:t>es condición necesaria para la eficacia (y/o para la efectividad) de otra norma. Sucede por tanto que una norma no puede producir efectos jurídicos (y/o no puede ser obedecida o aplicada) en ausencia de otras normas que […] la concreten» (Corchetes fuera de texto)</w:t>
      </w:r>
      <w:r w:rsidR="0053325A">
        <w:rPr>
          <w:rStyle w:val="Refdenotaalpie"/>
          <w:rFonts w:ascii="Arial" w:eastAsia="Calibri" w:hAnsi="Arial" w:cs="Arial"/>
          <w:bCs/>
          <w:color w:val="000000" w:themeColor="text1"/>
          <w:sz w:val="22"/>
        </w:rPr>
        <w:footnoteReference w:id="15"/>
      </w:r>
      <w:r w:rsidR="0053325A">
        <w:rPr>
          <w:rFonts w:ascii="Arial" w:eastAsia="Calibri" w:hAnsi="Arial" w:cs="Arial"/>
          <w:bCs/>
          <w:color w:val="000000" w:themeColor="text1"/>
          <w:sz w:val="22"/>
        </w:rPr>
        <w:t>.</w:t>
      </w:r>
    </w:p>
    <w:p w14:paraId="59DF8FF2" w14:textId="6E739934" w:rsidR="00122311" w:rsidRDefault="00122311" w:rsidP="00A57F88">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Este tipo de lagunas no es ajeno </w:t>
      </w:r>
      <w:r w:rsidR="002F6EF8">
        <w:rPr>
          <w:rFonts w:ascii="Arial" w:eastAsia="Calibri" w:hAnsi="Arial" w:cs="Arial"/>
          <w:bCs/>
          <w:color w:val="000000" w:themeColor="text1"/>
          <w:sz w:val="22"/>
        </w:rPr>
        <w:t>a la contratación estatal, ya que</w:t>
      </w:r>
      <w:r w:rsidR="0081329F">
        <w:rPr>
          <w:rFonts w:ascii="Arial" w:eastAsia="Calibri" w:hAnsi="Arial" w:cs="Arial"/>
          <w:bCs/>
          <w:color w:val="000000" w:themeColor="text1"/>
          <w:sz w:val="22"/>
        </w:rPr>
        <w:t xml:space="preserve"> –conforme a los antecedentes de la consulta–</w:t>
      </w:r>
      <w:r w:rsidR="002F6EF8">
        <w:rPr>
          <w:rFonts w:ascii="Arial" w:eastAsia="Calibri" w:hAnsi="Arial" w:cs="Arial"/>
          <w:bCs/>
          <w:color w:val="000000" w:themeColor="text1"/>
          <w:sz w:val="22"/>
        </w:rPr>
        <w:t xml:space="preserve"> </w:t>
      </w:r>
      <w:r w:rsidR="00CD5B4D">
        <w:rPr>
          <w:rFonts w:ascii="Arial" w:eastAsia="Calibri" w:hAnsi="Arial" w:cs="Arial"/>
          <w:bCs/>
          <w:color w:val="000000" w:themeColor="text1"/>
          <w:sz w:val="22"/>
        </w:rPr>
        <w:t>la aplicación d</w:t>
      </w:r>
      <w:r w:rsidR="0081329F">
        <w:rPr>
          <w:rFonts w:ascii="Arial" w:eastAsia="Calibri" w:hAnsi="Arial" w:cs="Arial"/>
          <w:bCs/>
          <w:color w:val="000000" w:themeColor="text1"/>
          <w:sz w:val="22"/>
        </w:rPr>
        <w:t xml:space="preserve">el factor de desempate </w:t>
      </w:r>
      <w:r w:rsidR="00CD5B4D" w:rsidRPr="00CD5B4D">
        <w:rPr>
          <w:rFonts w:ascii="Arial" w:eastAsia="Calibri" w:hAnsi="Arial" w:cs="Arial"/>
          <w:bCs/>
          <w:color w:val="000000" w:themeColor="text1"/>
          <w:sz w:val="22"/>
        </w:rPr>
        <w:t>del artículo 3 de la Ley 2040 de 2020</w:t>
      </w:r>
      <w:r w:rsidR="00CD5B4D">
        <w:rPr>
          <w:rFonts w:ascii="Arial" w:eastAsia="Calibri" w:hAnsi="Arial" w:cs="Arial"/>
          <w:bCs/>
          <w:color w:val="000000" w:themeColor="text1"/>
          <w:sz w:val="22"/>
        </w:rPr>
        <w:t xml:space="preserve"> también está condicionada por su reglamentación previa en los términos del artículo 4 </w:t>
      </w:r>
      <w:r w:rsidR="00CD5B4D" w:rsidRPr="00CD5B4D">
        <w:rPr>
          <w:rFonts w:ascii="Arial" w:eastAsia="Calibri" w:hAnsi="Arial" w:cs="Arial"/>
          <w:bCs/>
          <w:i/>
          <w:iCs/>
          <w:color w:val="000000" w:themeColor="text1"/>
          <w:sz w:val="22"/>
        </w:rPr>
        <w:t>ibidem</w:t>
      </w:r>
      <w:r w:rsidR="00903844">
        <w:rPr>
          <w:rFonts w:ascii="Arial" w:eastAsia="Calibri" w:hAnsi="Arial" w:cs="Arial"/>
          <w:bCs/>
          <w:color w:val="000000" w:themeColor="text1"/>
          <w:sz w:val="22"/>
        </w:rPr>
        <w:t xml:space="preserve">. Para llegar a esta conclusión, es necesario tener en cuenta que </w:t>
      </w:r>
      <w:r w:rsidR="00903844" w:rsidRPr="00903844">
        <w:rPr>
          <w:rFonts w:ascii="Arial" w:eastAsia="Calibri" w:hAnsi="Arial" w:cs="Arial"/>
          <w:bCs/>
          <w:color w:val="000000" w:themeColor="text1"/>
          <w:sz w:val="22"/>
        </w:rPr>
        <w:t xml:space="preserve">las normas jurídicas, por regla general, producen efectos a partir de su promulgación o </w:t>
      </w:r>
      <w:r w:rsidR="00903844" w:rsidRPr="00903844">
        <w:rPr>
          <w:rFonts w:ascii="Arial" w:eastAsia="Calibri" w:hAnsi="Arial" w:cs="Arial"/>
          <w:bCs/>
          <w:color w:val="000000" w:themeColor="text1"/>
          <w:sz w:val="22"/>
        </w:rPr>
        <w:lastRenderedPageBreak/>
        <w:t>publicación. De allí se derivan principios tales como la irretroactividad de la ley y su efecto general inmediato</w:t>
      </w:r>
      <w:r w:rsidR="0040085D">
        <w:rPr>
          <w:rStyle w:val="Refdenotaalpie"/>
          <w:rFonts w:ascii="Arial" w:eastAsia="Calibri" w:hAnsi="Arial" w:cs="Arial"/>
          <w:bCs/>
          <w:color w:val="000000" w:themeColor="text1"/>
          <w:sz w:val="22"/>
        </w:rPr>
        <w:footnoteReference w:id="16"/>
      </w:r>
      <w:r w:rsidR="0040085D">
        <w:rPr>
          <w:rFonts w:ascii="Arial" w:eastAsia="Calibri" w:hAnsi="Arial" w:cs="Arial"/>
          <w:bCs/>
          <w:color w:val="000000" w:themeColor="text1"/>
          <w:sz w:val="22"/>
        </w:rPr>
        <w:t xml:space="preserve">. </w:t>
      </w:r>
    </w:p>
    <w:p w14:paraId="05778DE3" w14:textId="69D3864B" w:rsidR="0040085D" w:rsidRDefault="0040085D" w:rsidP="0040085D">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w:t>
      </w:r>
      <w:r>
        <w:rPr>
          <w:rFonts w:ascii="Arial" w:eastAsia="Calibri" w:hAnsi="Arial" w:cs="Arial"/>
          <w:color w:val="000000" w:themeColor="text1"/>
          <w:sz w:val="22"/>
          <w:lang w:val="es-ES"/>
        </w:rPr>
        <w:t>norma</w:t>
      </w:r>
      <w:r w:rsidRPr="00D85403">
        <w:rPr>
          <w:rFonts w:ascii="Arial" w:eastAsia="Calibri" w:hAnsi="Arial" w:cs="Arial"/>
          <w:color w:val="000000" w:themeColor="text1"/>
          <w:sz w:val="22"/>
          <w:lang w:val="es-ES"/>
        </w:rPr>
        <w:t xml:space="preserve"> que establece un plazo es la</w:t>
      </w:r>
      <w:r>
        <w:rPr>
          <w:rFonts w:ascii="Arial" w:eastAsia="Calibri" w:hAnsi="Arial" w:cs="Arial"/>
          <w:color w:val="000000" w:themeColor="text1"/>
          <w:sz w:val="22"/>
          <w:lang w:val="es-ES"/>
        </w:rPr>
        <w:t xml:space="preserve"> Ley</w:t>
      </w:r>
      <w:r w:rsidRPr="00D85403">
        <w:rPr>
          <w:rFonts w:ascii="Arial" w:eastAsia="Calibri" w:hAnsi="Arial" w:cs="Arial"/>
          <w:color w:val="000000" w:themeColor="text1"/>
          <w:sz w:val="22"/>
          <w:lang w:val="es-ES"/>
        </w:rPr>
        <w:t xml:space="preserve"> 1952 de 2019, por medio de la cual se expide el Código Disciplinario Único, cuyo artículo 265 disponía «la presente ley entrará a regir cuatro meses después de su sanción y publicación». El artículo 140 de la Ley 1955 de 2019 prorrogó este plazo hasta el 1 de julio de 2021.</w:t>
      </w:r>
      <w:r>
        <w:rPr>
          <w:rFonts w:ascii="Arial" w:eastAsia="Calibri" w:hAnsi="Arial" w:cs="Arial"/>
          <w:color w:val="000000" w:themeColor="text1"/>
          <w:sz w:val="22"/>
          <w:lang w:val="es-ES"/>
        </w:rPr>
        <w:t xml:space="preserve"> </w:t>
      </w:r>
    </w:p>
    <w:p w14:paraId="3827E870" w14:textId="7833127F" w:rsidR="00E007E6" w:rsidRDefault="0040085D" w:rsidP="00E007E6">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w:t>
      </w:r>
      <w:r w:rsidRPr="005A0749">
        <w:rPr>
          <w:rFonts w:ascii="Arial" w:eastAsia="Calibri" w:hAnsi="Arial" w:cs="Arial"/>
          <w:color w:val="000000" w:themeColor="text1"/>
          <w:sz w:val="22"/>
          <w:lang w:val="es-ES"/>
        </w:rPr>
        <w:t>2007 estableció «</w:t>
      </w:r>
      <w:r>
        <w:rPr>
          <w:rFonts w:ascii="Arial" w:eastAsia="Calibri" w:hAnsi="Arial" w:cs="Arial"/>
          <w:color w:val="000000" w:themeColor="text1"/>
          <w:sz w:val="22"/>
          <w:lang w:val="es-ES"/>
        </w:rPr>
        <w:t>H</w:t>
      </w:r>
      <w:r w:rsidRPr="005A0749">
        <w:rPr>
          <w:rFonts w:ascii="Arial" w:eastAsia="Calibri" w:hAnsi="Arial" w:cs="Arial"/>
          <w:color w:val="000000" w:themeColor="text1"/>
          <w:sz w:val="22"/>
          <w:lang w:val="es-ES"/>
        </w:rPr>
        <w:t>asta tanto el Gobierno Nacional no expidiere el reglamento respectivo, no se podrá hacer uso de la selección abreviada como modalidad de selección».</w:t>
      </w:r>
      <w:r>
        <w:rPr>
          <w:rFonts w:ascii="Arial" w:eastAsia="Calibri" w:hAnsi="Arial" w:cs="Arial"/>
          <w:color w:val="000000" w:themeColor="text1"/>
          <w:sz w:val="22"/>
          <w:lang w:val="es-ES"/>
        </w:rPr>
        <w:t xml:space="preserve"> La ley creó una modalidad de selección, la selección abreviada, sin embargo, esas normas no podían aplicarse hasta que no se cumpliera la condición: expedir el reglamento</w:t>
      </w:r>
      <w:r w:rsidR="00E007E6">
        <w:rPr>
          <w:rFonts w:ascii="Arial" w:eastAsia="Calibri" w:hAnsi="Arial" w:cs="Arial"/>
          <w:color w:val="000000" w:themeColor="text1"/>
          <w:sz w:val="22"/>
          <w:lang w:val="es-ES"/>
        </w:rPr>
        <w:t xml:space="preserve">. Sobre este asunto, es preciso llamar la atención sobre la jurisprudencia. Al respecto, el Consejo de Estado considera que: </w:t>
      </w:r>
    </w:p>
    <w:p w14:paraId="6E0CF04B" w14:textId="77777777" w:rsidR="00E007E6" w:rsidRDefault="00E007E6" w:rsidP="00E007E6">
      <w:pPr>
        <w:shd w:val="clear" w:color="auto" w:fill="FFFFFF"/>
        <w:ind w:left="709" w:right="760"/>
        <w:jc w:val="both"/>
        <w:rPr>
          <w:rFonts w:ascii="Arial" w:eastAsia="Calibri" w:hAnsi="Arial" w:cs="Arial"/>
          <w:color w:val="000000" w:themeColor="text1"/>
          <w:sz w:val="21"/>
          <w:szCs w:val="21"/>
          <w:lang w:val="es-ES"/>
        </w:rPr>
      </w:pPr>
    </w:p>
    <w:p w14:paraId="016B64C3" w14:textId="4765F63D" w:rsidR="00E007E6" w:rsidRDefault="00E007E6" w:rsidP="00E007E6">
      <w:pPr>
        <w:shd w:val="clear" w:color="auto" w:fill="FFFFFF"/>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Pr="004151E0">
        <w:rPr>
          <w:rFonts w:ascii="Arial" w:eastAsia="Calibri" w:hAnsi="Arial" w:cs="Arial"/>
          <w:color w:val="000000" w:themeColor="text1"/>
          <w:sz w:val="21"/>
          <w:szCs w:val="21"/>
          <w:lang w:val="es-ES"/>
        </w:rPr>
        <w:t xml:space="preserve"> el Presidente de la República no requiere autorización por parte del Legislador para el ejercicio de su facultad reglamentaria, de manera que </w:t>
      </w:r>
      <w:r w:rsidRPr="00427833">
        <w:rPr>
          <w:rFonts w:ascii="Arial" w:eastAsia="Calibri" w:hAnsi="Arial" w:cs="Arial"/>
          <w:color w:val="000000" w:themeColor="text1"/>
          <w:sz w:val="21"/>
          <w:szCs w:val="21"/>
          <w:lang w:val="es-ES"/>
        </w:rPr>
        <w:t>si éste establece en la ley que el mismo reglamentará la materia, dicha indicación debe entenderse simplemente como el reconocimiento de que para su efectivo cumplimiento es necesaria la expedición de una reglamentación,</w:t>
      </w:r>
      <w:r w:rsidRPr="004151E0">
        <w:rPr>
          <w:rFonts w:ascii="Arial" w:eastAsia="Calibri" w:hAnsi="Arial" w:cs="Arial"/>
          <w:color w:val="000000" w:themeColor="text1"/>
          <w:sz w:val="21"/>
          <w:szCs w:val="21"/>
          <w:lang w:val="es-ES"/>
        </w:rPr>
        <w:t xml:space="preserve">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7"/>
      </w:r>
      <w:r w:rsidRPr="004151E0">
        <w:rPr>
          <w:rFonts w:ascii="Arial" w:eastAsia="Calibri" w:hAnsi="Arial" w:cs="Arial"/>
          <w:color w:val="000000" w:themeColor="text1"/>
          <w:sz w:val="21"/>
          <w:szCs w:val="21"/>
          <w:lang w:val="es-ES"/>
        </w:rPr>
        <w:t>.</w:t>
      </w:r>
    </w:p>
    <w:p w14:paraId="10053587" w14:textId="77777777" w:rsidR="00E007E6" w:rsidRPr="00BF0FC8" w:rsidRDefault="00E007E6" w:rsidP="00E007E6">
      <w:pPr>
        <w:shd w:val="clear" w:color="auto" w:fill="FFFFFF"/>
        <w:ind w:left="709" w:right="760"/>
        <w:jc w:val="both"/>
        <w:rPr>
          <w:rFonts w:ascii="Arial" w:eastAsia="Calibri" w:hAnsi="Arial" w:cs="Arial"/>
          <w:color w:val="000000" w:themeColor="text1"/>
          <w:sz w:val="21"/>
          <w:szCs w:val="21"/>
          <w:lang w:val="es-ES"/>
        </w:rPr>
      </w:pPr>
    </w:p>
    <w:p w14:paraId="096F1A71" w14:textId="3D08AECB" w:rsidR="00F53D1E" w:rsidRDefault="00E007E6" w:rsidP="00E007E6">
      <w:pPr>
        <w:shd w:val="clear" w:color="auto" w:fill="FFFFFF"/>
        <w:spacing w:after="120" w:line="276" w:lineRule="auto"/>
        <w:ind w:right="51"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referencia hecha en una ley a que el Gobierno Nacional reglamentará la materia es un reconocimiento de que</w:t>
      </w:r>
      <w:r w:rsidRPr="00A13B2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el reglamento es indispensable para el cumplimiento de la misma. </w:t>
      </w:r>
      <w:r w:rsidR="006E7418">
        <w:rPr>
          <w:rFonts w:ascii="Arial" w:eastAsia="Calibri" w:hAnsi="Arial" w:cs="Arial"/>
          <w:color w:val="000000" w:themeColor="text1"/>
          <w:sz w:val="22"/>
          <w:lang w:val="es-ES"/>
        </w:rPr>
        <w:t>Naturalmente, este</w:t>
      </w:r>
      <w:r>
        <w:rPr>
          <w:rFonts w:ascii="Arial" w:eastAsia="Calibri" w:hAnsi="Arial" w:cs="Arial"/>
          <w:color w:val="000000" w:themeColor="text1"/>
          <w:sz w:val="22"/>
          <w:lang w:val="es-ES"/>
        </w:rPr>
        <w:t xml:space="preserve"> reconocimiento no siempre implica que la ley </w:t>
      </w:r>
      <w:r w:rsidR="006E7418">
        <w:rPr>
          <w:rFonts w:ascii="Arial" w:eastAsia="Calibri" w:hAnsi="Arial" w:cs="Arial"/>
          <w:color w:val="000000" w:themeColor="text1"/>
          <w:sz w:val="22"/>
          <w:lang w:val="es-ES"/>
        </w:rPr>
        <w:t>está</w:t>
      </w:r>
      <w:r>
        <w:rPr>
          <w:rFonts w:ascii="Arial" w:eastAsia="Calibri" w:hAnsi="Arial" w:cs="Arial"/>
          <w:color w:val="000000" w:themeColor="text1"/>
          <w:sz w:val="22"/>
          <w:lang w:val="es-ES"/>
        </w:rPr>
        <w:t xml:space="preserve"> sometida a condición para entrar </w:t>
      </w:r>
      <w:r w:rsidR="006E7418">
        <w:rPr>
          <w:rFonts w:ascii="Arial" w:eastAsia="Calibri" w:hAnsi="Arial" w:cs="Arial"/>
          <w:color w:val="000000" w:themeColor="text1"/>
          <w:sz w:val="22"/>
          <w:lang w:val="es-ES"/>
        </w:rPr>
        <w:t>en vigencia</w:t>
      </w:r>
      <w:r>
        <w:rPr>
          <w:rFonts w:ascii="Arial" w:eastAsia="Calibri" w:hAnsi="Arial" w:cs="Arial"/>
          <w:color w:val="000000" w:themeColor="text1"/>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p w14:paraId="023D601B" w14:textId="5CDAE9E0" w:rsidR="001972D2" w:rsidRDefault="00C67E1B" w:rsidP="001972D2">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color w:val="000000" w:themeColor="text1"/>
          <w:sz w:val="22"/>
          <w:lang w:val="es-ES"/>
        </w:rPr>
        <w:t>Para</w:t>
      </w:r>
      <w:r w:rsidR="000156B3">
        <w:rPr>
          <w:rFonts w:ascii="Arial" w:eastAsia="Calibri" w:hAnsi="Arial" w:cs="Arial"/>
          <w:color w:val="000000" w:themeColor="text1"/>
          <w:sz w:val="22"/>
          <w:lang w:val="es-ES"/>
        </w:rPr>
        <w:t xml:space="preserve"> la</w:t>
      </w:r>
      <w:r>
        <w:rPr>
          <w:rFonts w:ascii="Arial" w:eastAsia="Calibri" w:hAnsi="Arial" w:cs="Arial"/>
          <w:color w:val="000000" w:themeColor="text1"/>
          <w:sz w:val="22"/>
          <w:lang w:val="es-ES"/>
        </w:rPr>
        <w:t xml:space="preserve"> Subdirección de Gestión Contractual, l</w:t>
      </w:r>
      <w:r w:rsidR="00F53D1E">
        <w:rPr>
          <w:rFonts w:ascii="Arial" w:eastAsia="Calibri" w:hAnsi="Arial" w:cs="Arial"/>
          <w:color w:val="000000" w:themeColor="text1"/>
          <w:sz w:val="22"/>
          <w:lang w:val="es-ES"/>
        </w:rPr>
        <w:t xml:space="preserve">as consideraciones de los párrafos precedentes también son aplicables al tema objeto de consulta, ya que el Congreso de la República dispuso la expedición de un decreto reglamentario para regular el procedimiento </w:t>
      </w:r>
      <w:r w:rsidR="00F53D1E">
        <w:rPr>
          <w:rFonts w:ascii="Arial" w:eastAsia="Calibri" w:hAnsi="Arial" w:cs="Arial"/>
          <w:color w:val="000000" w:themeColor="text1"/>
          <w:sz w:val="22"/>
          <w:lang w:val="es-ES"/>
        </w:rPr>
        <w:lastRenderedPageBreak/>
        <w:t xml:space="preserve">de la cesión del contrato estatal, por lo que no son aplicables las disposiciones legales subsidiarias </w:t>
      </w:r>
      <w:r>
        <w:rPr>
          <w:rFonts w:ascii="Arial" w:eastAsia="Calibri" w:hAnsi="Arial" w:cs="Arial"/>
          <w:color w:val="000000" w:themeColor="text1"/>
          <w:sz w:val="22"/>
          <w:lang w:val="es-ES"/>
        </w:rPr>
        <w:t xml:space="preserve">de la Ley 1437 de 2011, sino las contenidas en el reglamento correspondiente. Por ello, en ausencia de este último existe una </w:t>
      </w:r>
      <w:r w:rsidRPr="00C67E1B">
        <w:rPr>
          <w:rFonts w:ascii="Arial" w:eastAsia="Calibri" w:hAnsi="Arial" w:cs="Arial"/>
          <w:i/>
          <w:iCs/>
          <w:color w:val="000000" w:themeColor="text1"/>
          <w:sz w:val="22"/>
          <w:lang w:val="es-ES"/>
        </w:rPr>
        <w:t>laguna técnica</w:t>
      </w:r>
      <w:r>
        <w:rPr>
          <w:rFonts w:ascii="Arial" w:eastAsia="Calibri" w:hAnsi="Arial" w:cs="Arial"/>
          <w:color w:val="000000" w:themeColor="text1"/>
          <w:sz w:val="22"/>
          <w:lang w:val="es-ES"/>
        </w:rPr>
        <w:t xml:space="preserve"> que impide desarrollar un </w:t>
      </w:r>
      <w:r w:rsidR="00256337">
        <w:rPr>
          <w:rFonts w:ascii="Arial" w:eastAsia="Calibri" w:hAnsi="Arial" w:cs="Arial"/>
          <w:color w:val="000000" w:themeColor="text1"/>
          <w:sz w:val="22"/>
          <w:lang w:val="es-ES"/>
        </w:rPr>
        <w:t>trámite</w:t>
      </w:r>
      <w:r>
        <w:rPr>
          <w:rFonts w:ascii="Arial" w:eastAsia="Calibri" w:hAnsi="Arial" w:cs="Arial"/>
          <w:color w:val="000000" w:themeColor="text1"/>
          <w:sz w:val="22"/>
          <w:lang w:val="es-ES"/>
        </w:rPr>
        <w:t xml:space="preserve"> </w:t>
      </w:r>
      <w:r w:rsidRPr="00C67E1B">
        <w:rPr>
          <w:rFonts w:ascii="Arial" w:eastAsia="Calibri" w:hAnsi="Arial" w:cs="Arial"/>
          <w:i/>
          <w:iCs/>
          <w:color w:val="000000" w:themeColor="text1"/>
          <w:sz w:val="22"/>
          <w:lang w:val="es-ES"/>
        </w:rPr>
        <w:t>ad hoc</w:t>
      </w:r>
      <w:r>
        <w:rPr>
          <w:rFonts w:ascii="Arial" w:eastAsia="Calibri" w:hAnsi="Arial" w:cs="Arial"/>
          <w:color w:val="000000" w:themeColor="text1"/>
          <w:sz w:val="22"/>
          <w:lang w:val="es-ES"/>
        </w:rPr>
        <w:t xml:space="preserve"> para la cesión unilateral </w:t>
      </w:r>
      <w:r w:rsidR="00256337">
        <w:rPr>
          <w:rFonts w:ascii="Arial" w:eastAsia="Calibri" w:hAnsi="Arial" w:cs="Arial"/>
          <w:color w:val="000000" w:themeColor="text1"/>
          <w:sz w:val="22"/>
          <w:lang w:val="es-ES"/>
        </w:rPr>
        <w:t>d</w:t>
      </w:r>
      <w:r>
        <w:rPr>
          <w:rFonts w:ascii="Arial" w:eastAsia="Calibri" w:hAnsi="Arial" w:cs="Arial"/>
          <w:color w:val="000000" w:themeColor="text1"/>
          <w:sz w:val="22"/>
          <w:lang w:val="es-ES"/>
        </w:rPr>
        <w:t xml:space="preserve">el </w:t>
      </w:r>
      <w:r>
        <w:rPr>
          <w:rFonts w:ascii="Arial" w:eastAsia="Calibri" w:hAnsi="Arial" w:cs="Arial"/>
          <w:bCs/>
          <w:color w:val="000000" w:themeColor="text1"/>
          <w:sz w:val="22"/>
        </w:rPr>
        <w:t>artículo 6 de la Ley 2014 de 2019</w:t>
      </w:r>
      <w:r w:rsidR="00256337">
        <w:rPr>
          <w:rFonts w:ascii="Arial" w:eastAsia="Calibri" w:hAnsi="Arial" w:cs="Arial"/>
          <w:bCs/>
          <w:color w:val="000000" w:themeColor="text1"/>
          <w:sz w:val="22"/>
        </w:rPr>
        <w:t>.</w:t>
      </w:r>
      <w:r w:rsidR="001972D2">
        <w:rPr>
          <w:rFonts w:ascii="Arial" w:eastAsia="Calibri" w:hAnsi="Arial" w:cs="Arial"/>
          <w:bCs/>
          <w:color w:val="000000" w:themeColor="text1"/>
          <w:sz w:val="22"/>
        </w:rPr>
        <w:t xml:space="preserve"> </w:t>
      </w:r>
    </w:p>
    <w:p w14:paraId="75DC2BFE" w14:textId="77777777" w:rsidR="003637C4" w:rsidRDefault="001972D2" w:rsidP="001972D2">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bCs/>
          <w:color w:val="000000" w:themeColor="text1"/>
          <w:sz w:val="22"/>
        </w:rPr>
        <w:t xml:space="preserve">En este caso, la necesidad de la reglamentación previa también deriva de los antecedentes legislativos. En lo pertinente, </w:t>
      </w:r>
      <w:r w:rsidRPr="001972D2">
        <w:rPr>
          <w:rFonts w:ascii="Arial" w:eastAsia="Calibri" w:hAnsi="Arial" w:cs="Arial"/>
          <w:bCs/>
          <w:color w:val="000000" w:themeColor="text1"/>
          <w:sz w:val="22"/>
        </w:rPr>
        <w:t>el texto inicial del artículo 4 del Proyecto de Ley No. 163 de 2018 disponía que</w:t>
      </w:r>
      <w:r>
        <w:rPr>
          <w:rFonts w:ascii="Arial" w:eastAsia="Calibri" w:hAnsi="Arial" w:cs="Arial"/>
          <w:bCs/>
          <w:color w:val="000000" w:themeColor="text1"/>
          <w:sz w:val="22"/>
        </w:rPr>
        <w:t xml:space="preserve"> «</w:t>
      </w:r>
      <w:r w:rsidRPr="001972D2">
        <w:rPr>
          <w:rFonts w:ascii="Arial" w:eastAsia="Calibri" w:hAnsi="Arial" w:cs="Arial"/>
          <w:bCs/>
          <w:color w:val="000000" w:themeColor="text1"/>
          <w:sz w:val="22"/>
        </w:rPr>
        <w:t>Para el caso de cesión, será la entidad contratante la encargada de determinar el cesionario del contrato</w:t>
      </w:r>
      <w:r>
        <w:rPr>
          <w:rFonts w:ascii="Arial" w:eastAsia="Calibri" w:hAnsi="Arial" w:cs="Arial"/>
          <w:bCs/>
          <w:color w:val="000000" w:themeColor="text1"/>
          <w:sz w:val="22"/>
        </w:rPr>
        <w:t xml:space="preserve"> […].</w:t>
      </w:r>
      <w:r w:rsidRPr="001972D2">
        <w:rPr>
          <w:rFonts w:ascii="Arial" w:eastAsia="Calibri" w:hAnsi="Arial" w:cs="Arial"/>
          <w:bCs/>
          <w:color w:val="000000" w:themeColor="text1"/>
          <w:sz w:val="22"/>
        </w:rPr>
        <w:t xml:space="preserve"> En este caso la Agencia Nacional de Contratación Pública - Colombia Compra Eficiente, deberá expedir en un término de 6 meses la reglamentación correspondiente para definir el procedimiento más efectivo en el marco de la cesión del contrato, contemplada en este parágrafo según cada modalidad de selección de contratista</w:t>
      </w:r>
      <w:r>
        <w:rPr>
          <w:rFonts w:ascii="Arial" w:eastAsia="Calibri" w:hAnsi="Arial" w:cs="Arial"/>
          <w:bCs/>
          <w:color w:val="000000" w:themeColor="text1"/>
          <w:sz w:val="22"/>
        </w:rPr>
        <w:t>»</w:t>
      </w:r>
      <w:r w:rsidR="005716A8">
        <w:rPr>
          <w:rStyle w:val="Refdenotaalpie"/>
          <w:rFonts w:ascii="Arial" w:eastAsia="Calibri" w:hAnsi="Arial" w:cs="Arial"/>
          <w:bCs/>
          <w:color w:val="000000" w:themeColor="text1"/>
          <w:sz w:val="22"/>
        </w:rPr>
        <w:footnoteReference w:id="18"/>
      </w:r>
      <w:r>
        <w:rPr>
          <w:rFonts w:ascii="Arial" w:eastAsia="Calibri" w:hAnsi="Arial" w:cs="Arial"/>
          <w:bCs/>
          <w:color w:val="000000" w:themeColor="text1"/>
          <w:sz w:val="22"/>
        </w:rPr>
        <w:t>.</w:t>
      </w:r>
      <w:r w:rsidR="005716A8">
        <w:rPr>
          <w:rFonts w:ascii="Arial" w:eastAsia="Calibri" w:hAnsi="Arial" w:cs="Arial"/>
          <w:bCs/>
          <w:color w:val="000000" w:themeColor="text1"/>
          <w:sz w:val="22"/>
        </w:rPr>
        <w:t xml:space="preserve"> No obstante, aunque en el primer debate de Cámara y Senado existía la duda sobre si la reglamentación sería competencia de Colombia Compra Eficiente o del Gobierno Nacional, a partir del segundo debate –como constan en las Gacetas del Congreso 517 del 12 de junio de 2019 y 1171 del 2 de diciembre de 2019– la atribución se encomendaría a este último.  </w:t>
      </w:r>
    </w:p>
    <w:p w14:paraId="41569066" w14:textId="2F546A25" w:rsidR="003A5040" w:rsidRDefault="003637C4" w:rsidP="001972D2">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bCs/>
          <w:color w:val="000000" w:themeColor="text1"/>
          <w:sz w:val="22"/>
        </w:rPr>
        <w:t xml:space="preserve">Especialmente, tratándose de la cesión unilateral del contrato la remisión al reglamento es razonable y está justificada. De hecho, si eventualmente se aplicaran las normas generales del Código de Procedimiento Administrativo y Contencioso Administrativo, uno de los primeros obstáculos prácticos es si la cesión se realiza a través del procedimiento administrativo sancionador –art. </w:t>
      </w:r>
      <w:r w:rsidR="008665FF">
        <w:rPr>
          <w:rFonts w:ascii="Arial" w:eastAsia="Calibri" w:hAnsi="Arial" w:cs="Arial"/>
          <w:bCs/>
          <w:color w:val="000000" w:themeColor="text1"/>
          <w:sz w:val="22"/>
        </w:rPr>
        <w:t>47 y siguientes de la Ley 1437 de 2011–</w:t>
      </w:r>
      <w:r>
        <w:rPr>
          <w:rFonts w:ascii="Arial" w:eastAsia="Calibri" w:hAnsi="Arial" w:cs="Arial"/>
          <w:bCs/>
          <w:color w:val="000000" w:themeColor="text1"/>
          <w:sz w:val="22"/>
        </w:rPr>
        <w:t xml:space="preserve"> o no sancionador</w:t>
      </w:r>
      <w:r w:rsidR="008665FF">
        <w:rPr>
          <w:rFonts w:ascii="Arial" w:eastAsia="Calibri" w:hAnsi="Arial" w:cs="Arial"/>
          <w:bCs/>
          <w:color w:val="000000" w:themeColor="text1"/>
          <w:sz w:val="22"/>
        </w:rPr>
        <w:t xml:space="preserve"> –art. 34 y siguientes </w:t>
      </w:r>
      <w:r w:rsidR="008665FF" w:rsidRPr="008665FF">
        <w:rPr>
          <w:rFonts w:ascii="Arial" w:eastAsia="Calibri" w:hAnsi="Arial" w:cs="Arial"/>
          <w:bCs/>
          <w:i/>
          <w:iCs/>
          <w:color w:val="000000" w:themeColor="text1"/>
          <w:sz w:val="22"/>
        </w:rPr>
        <w:t>ibidem</w:t>
      </w:r>
      <w:r w:rsidR="008665FF">
        <w:rPr>
          <w:rFonts w:ascii="Arial" w:eastAsia="Calibri" w:hAnsi="Arial" w:cs="Arial"/>
          <w:bCs/>
          <w:color w:val="000000" w:themeColor="text1"/>
          <w:sz w:val="22"/>
        </w:rPr>
        <w:t>–. E</w:t>
      </w:r>
      <w:r w:rsidR="008665FF">
        <w:rPr>
          <w:rFonts w:ascii="Arial" w:eastAsia="Calibri" w:hAnsi="Arial" w:cs="Arial"/>
          <w:color w:val="000000" w:themeColor="text1"/>
          <w:sz w:val="22"/>
          <w:lang w:val="es-ES"/>
        </w:rPr>
        <w:t xml:space="preserve">l </w:t>
      </w:r>
      <w:r w:rsidR="008665FF">
        <w:rPr>
          <w:rFonts w:ascii="Arial" w:eastAsia="Calibri" w:hAnsi="Arial" w:cs="Arial"/>
          <w:bCs/>
          <w:color w:val="000000" w:themeColor="text1"/>
          <w:sz w:val="22"/>
        </w:rPr>
        <w:t>artículo 6 de la Ley 2014 de 2019 no definió la naturaleza jurídica de la actuación, y est</w:t>
      </w:r>
      <w:r w:rsidR="005C5CFB">
        <w:rPr>
          <w:rFonts w:ascii="Arial" w:eastAsia="Calibri" w:hAnsi="Arial" w:cs="Arial"/>
          <w:bCs/>
          <w:color w:val="000000" w:themeColor="text1"/>
          <w:sz w:val="22"/>
        </w:rPr>
        <w:t>a</w:t>
      </w:r>
      <w:r w:rsidR="008665FF">
        <w:rPr>
          <w:rFonts w:ascii="Arial" w:eastAsia="Calibri" w:hAnsi="Arial" w:cs="Arial"/>
          <w:bCs/>
          <w:color w:val="000000" w:themeColor="text1"/>
          <w:sz w:val="22"/>
        </w:rPr>
        <w:t xml:space="preserve"> </w:t>
      </w:r>
      <w:r w:rsidR="001A535A">
        <w:rPr>
          <w:rFonts w:ascii="Arial" w:eastAsia="Calibri" w:hAnsi="Arial" w:cs="Arial"/>
          <w:bCs/>
          <w:color w:val="000000" w:themeColor="text1"/>
          <w:sz w:val="22"/>
        </w:rPr>
        <w:t>determina</w:t>
      </w:r>
      <w:r w:rsidR="008665FF">
        <w:rPr>
          <w:rFonts w:ascii="Arial" w:eastAsia="Calibri" w:hAnsi="Arial" w:cs="Arial"/>
          <w:bCs/>
          <w:color w:val="000000" w:themeColor="text1"/>
          <w:sz w:val="22"/>
        </w:rPr>
        <w:t xml:space="preserve"> tanto las </w:t>
      </w:r>
      <w:r w:rsidR="001A535A">
        <w:rPr>
          <w:rFonts w:ascii="Arial" w:eastAsia="Calibri" w:hAnsi="Arial" w:cs="Arial"/>
          <w:bCs/>
          <w:color w:val="000000" w:themeColor="text1"/>
          <w:sz w:val="22"/>
        </w:rPr>
        <w:t xml:space="preserve">etapas como los plazos del trámite. Por otra parte, las normas generales tampoco definen si el procedimiento se adelanta únicamente con el contratista cedente o si, además, es necesario vincular al cesionario como tercero interesado. Lo más importante es que las normas generales no definen la forma de escoger el cesionario. En este caso, ¿podrá seleccionar a quien ocupe el segundo lugar del procedimiento de selección? ¿debe aplicar un procedimiento especial para seleccionar al cesionario de una pluralidad de posibles aspirantes? ¿podrá hacerlo directamente? </w:t>
      </w:r>
      <w:r w:rsidR="00ED047B">
        <w:rPr>
          <w:rFonts w:ascii="Arial" w:eastAsia="Calibri" w:hAnsi="Arial" w:cs="Arial"/>
          <w:bCs/>
          <w:color w:val="000000" w:themeColor="text1"/>
          <w:sz w:val="22"/>
        </w:rPr>
        <w:t>Estas y otras inquietudes son las que debe solucionar el reglamento,</w:t>
      </w:r>
      <w:r w:rsidR="00150DA3">
        <w:rPr>
          <w:rFonts w:ascii="Arial" w:eastAsia="Calibri" w:hAnsi="Arial" w:cs="Arial"/>
          <w:bCs/>
          <w:color w:val="000000" w:themeColor="text1"/>
          <w:sz w:val="22"/>
        </w:rPr>
        <w:t xml:space="preserve"> lo que redunda en la necesidad de su </w:t>
      </w:r>
      <w:r w:rsidR="00202ECA">
        <w:rPr>
          <w:rFonts w:ascii="Arial" w:eastAsia="Calibri" w:hAnsi="Arial" w:cs="Arial"/>
          <w:bCs/>
          <w:color w:val="000000" w:themeColor="text1"/>
          <w:sz w:val="22"/>
        </w:rPr>
        <w:t>expedición</w:t>
      </w:r>
      <w:r w:rsidR="00ED047B">
        <w:rPr>
          <w:rFonts w:ascii="Arial" w:eastAsia="Calibri" w:hAnsi="Arial" w:cs="Arial"/>
          <w:bCs/>
          <w:color w:val="000000" w:themeColor="text1"/>
          <w:sz w:val="22"/>
        </w:rPr>
        <w:t xml:space="preserve">.  </w:t>
      </w:r>
    </w:p>
    <w:p w14:paraId="569B55B5" w14:textId="77777777" w:rsidR="002B3689" w:rsidRDefault="003A5040" w:rsidP="001972D2">
      <w:pPr>
        <w:shd w:val="clear" w:color="auto" w:fill="FFFFFF"/>
        <w:spacing w:after="120" w:line="276" w:lineRule="auto"/>
        <w:ind w:right="51" w:firstLine="709"/>
        <w:jc w:val="both"/>
        <w:rPr>
          <w:rFonts w:ascii="Arial" w:eastAsia="Calibri" w:hAnsi="Arial" w:cs="Arial"/>
          <w:bCs/>
          <w:color w:val="000000" w:themeColor="text1"/>
          <w:sz w:val="22"/>
        </w:rPr>
      </w:pPr>
      <w:r>
        <w:rPr>
          <w:rFonts w:ascii="Arial" w:eastAsia="Calibri" w:hAnsi="Arial" w:cs="Arial"/>
          <w:bCs/>
          <w:color w:val="000000" w:themeColor="text1"/>
          <w:sz w:val="22"/>
        </w:rPr>
        <w:t xml:space="preserve">Desde esta perspectiva, </w:t>
      </w:r>
      <w:bookmarkStart w:id="12" w:name="_Hlk51668471"/>
      <w:r>
        <w:rPr>
          <w:rFonts w:ascii="Arial" w:eastAsia="Calibri" w:hAnsi="Arial" w:cs="Arial"/>
          <w:bCs/>
          <w:color w:val="000000" w:themeColor="text1"/>
          <w:sz w:val="22"/>
        </w:rPr>
        <w:t>si bien en principio el ejercicio de la potestad reglamentaria es discrecional, esta puede ser excepcionalmente obligatoria</w:t>
      </w:r>
      <w:r w:rsidR="002B3689">
        <w:rPr>
          <w:rFonts w:ascii="Arial" w:eastAsia="Calibri" w:hAnsi="Arial" w:cs="Arial"/>
          <w:bCs/>
          <w:color w:val="000000" w:themeColor="text1"/>
          <w:sz w:val="22"/>
        </w:rPr>
        <w:t xml:space="preserve"> para efectividad de la ley</w:t>
      </w:r>
      <w:r>
        <w:rPr>
          <w:rFonts w:ascii="Arial" w:eastAsia="Calibri" w:hAnsi="Arial" w:cs="Arial"/>
          <w:bCs/>
          <w:color w:val="000000" w:themeColor="text1"/>
          <w:sz w:val="22"/>
        </w:rPr>
        <w:t>. Por ejemplo,</w:t>
      </w:r>
      <w:r w:rsidR="00AC3DCF">
        <w:rPr>
          <w:rFonts w:ascii="Arial" w:eastAsia="Calibri" w:hAnsi="Arial" w:cs="Arial"/>
          <w:bCs/>
          <w:color w:val="000000" w:themeColor="text1"/>
          <w:sz w:val="22"/>
        </w:rPr>
        <w:t xml:space="preserve"> para la doctrina</w:t>
      </w:r>
      <w:r>
        <w:rPr>
          <w:rFonts w:ascii="Arial" w:eastAsia="Calibri" w:hAnsi="Arial" w:cs="Arial"/>
          <w:bCs/>
          <w:color w:val="000000" w:themeColor="text1"/>
          <w:sz w:val="22"/>
        </w:rPr>
        <w:t xml:space="preserve"> esto último sucede cuando «[…] la necesidad del reglamento es inminente, y así nace desde la norma que confiere la potestad reglamentaria</w:t>
      </w:r>
      <w:r w:rsidR="00AC3DCF">
        <w:rPr>
          <w:rFonts w:ascii="Arial" w:eastAsia="Calibri" w:hAnsi="Arial" w:cs="Arial"/>
          <w:bCs/>
          <w:color w:val="000000" w:themeColor="text1"/>
          <w:sz w:val="22"/>
        </w:rPr>
        <w:t xml:space="preserve"> […]»</w:t>
      </w:r>
      <w:r w:rsidR="00AC3DCF">
        <w:rPr>
          <w:rStyle w:val="Refdenotaalpie"/>
          <w:rFonts w:ascii="Arial" w:eastAsia="Calibri" w:hAnsi="Arial" w:cs="Arial"/>
          <w:bCs/>
          <w:color w:val="000000" w:themeColor="text1"/>
          <w:sz w:val="22"/>
        </w:rPr>
        <w:footnoteReference w:id="19"/>
      </w:r>
      <w:r w:rsidR="00AC3DCF">
        <w:rPr>
          <w:rFonts w:ascii="Arial" w:eastAsia="Calibri" w:hAnsi="Arial" w:cs="Arial"/>
          <w:bCs/>
          <w:color w:val="000000" w:themeColor="text1"/>
          <w:sz w:val="22"/>
        </w:rPr>
        <w:t xml:space="preserve">. En </w:t>
      </w:r>
      <w:r w:rsidR="00AC3DCF">
        <w:rPr>
          <w:rFonts w:ascii="Arial" w:eastAsia="Calibri" w:hAnsi="Arial" w:cs="Arial"/>
          <w:bCs/>
          <w:color w:val="000000" w:themeColor="text1"/>
          <w:sz w:val="22"/>
        </w:rPr>
        <w:lastRenderedPageBreak/>
        <w:t>este tipo de situaciones, «[…] las autoridades no tienen -ni tuvieron- la posibilidad de escoger entre expedir el acto o dejar de hacerlo. Es decir, se trata de una potestad reglada, desde el punto de vista de la necesidad de la actuación»</w:t>
      </w:r>
      <w:r w:rsidR="00AC3DCF">
        <w:rPr>
          <w:rStyle w:val="Refdenotaalpie"/>
          <w:rFonts w:ascii="Arial" w:eastAsia="Calibri" w:hAnsi="Arial" w:cs="Arial"/>
          <w:bCs/>
          <w:color w:val="000000" w:themeColor="text1"/>
          <w:sz w:val="22"/>
        </w:rPr>
        <w:footnoteReference w:id="20"/>
      </w:r>
      <w:r w:rsidR="00AC3DCF">
        <w:rPr>
          <w:rFonts w:ascii="Arial" w:eastAsia="Calibri" w:hAnsi="Arial" w:cs="Arial"/>
          <w:bCs/>
          <w:color w:val="000000" w:themeColor="text1"/>
          <w:sz w:val="22"/>
        </w:rPr>
        <w:t>.</w:t>
      </w:r>
    </w:p>
    <w:p w14:paraId="4231D579" w14:textId="0F14FB35" w:rsidR="00A148CF" w:rsidRDefault="002B3689" w:rsidP="002B3689">
      <w:pPr>
        <w:shd w:val="clear" w:color="auto" w:fill="FFFFFF"/>
        <w:spacing w:line="276" w:lineRule="auto"/>
        <w:ind w:right="51" w:firstLine="709"/>
        <w:jc w:val="both"/>
        <w:rPr>
          <w:rFonts w:ascii="Arial" w:eastAsia="Calibri" w:hAnsi="Arial" w:cs="Arial"/>
          <w:bCs/>
          <w:color w:val="000000" w:themeColor="text1"/>
          <w:sz w:val="22"/>
        </w:rPr>
      </w:pPr>
      <w:r w:rsidRPr="002B3689">
        <w:rPr>
          <w:rFonts w:ascii="Arial" w:eastAsia="Calibri" w:hAnsi="Arial" w:cs="Arial"/>
          <w:bCs/>
          <w:color w:val="000000" w:themeColor="text1"/>
          <w:sz w:val="22"/>
        </w:rPr>
        <w:t xml:space="preserve">En ese orden de ideas, es posible afirmar que el legislador reconoce, en el artículo </w:t>
      </w:r>
      <w:r>
        <w:rPr>
          <w:rFonts w:ascii="Arial" w:eastAsia="Calibri" w:hAnsi="Arial" w:cs="Arial"/>
          <w:bCs/>
          <w:color w:val="000000" w:themeColor="text1"/>
          <w:sz w:val="22"/>
        </w:rPr>
        <w:t>6</w:t>
      </w:r>
      <w:r w:rsidRPr="002B3689">
        <w:rPr>
          <w:rFonts w:ascii="Arial" w:eastAsia="Calibri" w:hAnsi="Arial" w:cs="Arial"/>
          <w:bCs/>
          <w:color w:val="000000" w:themeColor="text1"/>
          <w:sz w:val="22"/>
        </w:rPr>
        <w:t xml:space="preserve">, la necesidad de un reglamento para el efectivo cumplimiento de la </w:t>
      </w:r>
      <w:r>
        <w:rPr>
          <w:rFonts w:ascii="Arial" w:eastAsia="Calibri" w:hAnsi="Arial" w:cs="Arial"/>
          <w:bCs/>
          <w:color w:val="000000" w:themeColor="text1"/>
          <w:sz w:val="22"/>
        </w:rPr>
        <w:t>L</w:t>
      </w:r>
      <w:r w:rsidRPr="002B3689">
        <w:rPr>
          <w:rFonts w:ascii="Arial" w:eastAsia="Calibri" w:hAnsi="Arial" w:cs="Arial"/>
          <w:bCs/>
          <w:color w:val="000000" w:themeColor="text1"/>
          <w:sz w:val="22"/>
        </w:rPr>
        <w:t xml:space="preserve">ey </w:t>
      </w:r>
      <w:r>
        <w:rPr>
          <w:rFonts w:ascii="Arial" w:eastAsia="Calibri" w:hAnsi="Arial" w:cs="Arial"/>
          <w:bCs/>
          <w:color w:val="000000" w:themeColor="text1"/>
          <w:sz w:val="22"/>
        </w:rPr>
        <w:t>2014 de 2019</w:t>
      </w:r>
      <w:r w:rsidRPr="002B3689">
        <w:rPr>
          <w:rFonts w:ascii="Arial" w:eastAsia="Calibri" w:hAnsi="Arial" w:cs="Arial"/>
          <w:bCs/>
          <w:color w:val="000000" w:themeColor="text1"/>
          <w:sz w:val="22"/>
        </w:rPr>
        <w:t xml:space="preserve">, lo que demuestra, para el caso concreto, una vigencia sometida a condición para el </w:t>
      </w:r>
      <w:r>
        <w:rPr>
          <w:rFonts w:ascii="Arial" w:eastAsia="Calibri" w:hAnsi="Arial" w:cs="Arial"/>
          <w:bCs/>
          <w:color w:val="000000" w:themeColor="text1"/>
          <w:sz w:val="22"/>
        </w:rPr>
        <w:t xml:space="preserve">procedimiento de cesión unilateral del contrato estatal conforme al parágrafo 2 </w:t>
      </w:r>
      <w:r w:rsidRPr="002B3689">
        <w:rPr>
          <w:rFonts w:ascii="Arial" w:eastAsia="Calibri" w:hAnsi="Arial" w:cs="Arial"/>
          <w:bCs/>
          <w:i/>
          <w:iCs/>
          <w:color w:val="000000" w:themeColor="text1"/>
          <w:sz w:val="22"/>
        </w:rPr>
        <w:t>ibidem</w:t>
      </w:r>
      <w:r w:rsidRPr="002B3689">
        <w:rPr>
          <w:rFonts w:ascii="Arial" w:eastAsia="Calibri" w:hAnsi="Arial" w:cs="Arial"/>
          <w:bCs/>
          <w:color w:val="000000" w:themeColor="text1"/>
          <w:sz w:val="22"/>
        </w:rPr>
        <w:t xml:space="preserve">. Es decir, nos encontramos frente a un caso donde la norma </w:t>
      </w:r>
      <w:r>
        <w:rPr>
          <w:rFonts w:ascii="Arial" w:eastAsia="Calibri" w:hAnsi="Arial" w:cs="Arial"/>
          <w:bCs/>
          <w:color w:val="000000" w:themeColor="text1"/>
          <w:sz w:val="22"/>
        </w:rPr>
        <w:t>condicionó el procedimiento</w:t>
      </w:r>
      <w:r w:rsidRPr="002B3689">
        <w:rPr>
          <w:rFonts w:ascii="Arial" w:eastAsia="Calibri" w:hAnsi="Arial" w:cs="Arial"/>
          <w:bCs/>
          <w:color w:val="000000" w:themeColor="text1"/>
          <w:sz w:val="22"/>
        </w:rPr>
        <w:t xml:space="preserve"> a la expedición de un reglamento, pues así se infiere de su contenido y antecedentes legislativos. Esta conclusión se ajusta a la necesidad de claridad que debe introducir el reglamento, en relación con </w:t>
      </w:r>
      <w:r>
        <w:rPr>
          <w:rFonts w:ascii="Arial" w:eastAsia="Calibri" w:hAnsi="Arial" w:cs="Arial"/>
          <w:bCs/>
          <w:color w:val="000000" w:themeColor="text1"/>
          <w:sz w:val="22"/>
        </w:rPr>
        <w:t>el trámite para la selección del cesionario</w:t>
      </w:r>
      <w:r w:rsidRPr="002B3689">
        <w:rPr>
          <w:rFonts w:ascii="Arial" w:eastAsia="Calibri" w:hAnsi="Arial" w:cs="Arial"/>
          <w:bCs/>
          <w:color w:val="000000" w:themeColor="text1"/>
          <w:sz w:val="22"/>
        </w:rPr>
        <w:t xml:space="preserve">. </w:t>
      </w:r>
      <w:bookmarkEnd w:id="12"/>
    </w:p>
    <w:p w14:paraId="395A8832" w14:textId="77777777" w:rsidR="002B3689" w:rsidRPr="00A148CF" w:rsidRDefault="002B3689" w:rsidP="002B3689">
      <w:pPr>
        <w:shd w:val="clear" w:color="auto" w:fill="FFFFFF"/>
        <w:spacing w:line="276" w:lineRule="auto"/>
        <w:ind w:right="51" w:firstLine="709"/>
        <w:jc w:val="both"/>
        <w:rPr>
          <w:rFonts w:ascii="Arial" w:eastAsia="Calibri" w:hAnsi="Arial" w:cs="Arial"/>
          <w:bCs/>
          <w:color w:val="000000" w:themeColor="text1"/>
          <w:sz w:val="22"/>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2C352C" w:rsidRDefault="00BE1E33" w:rsidP="00BE1E33">
      <w:pPr>
        <w:spacing w:line="276" w:lineRule="auto"/>
        <w:ind w:right="709"/>
        <w:jc w:val="both"/>
        <w:rPr>
          <w:rFonts w:ascii="Arial" w:hAnsi="Arial" w:cs="Arial"/>
          <w:color w:val="000000" w:themeColor="text1"/>
          <w:sz w:val="22"/>
          <w:lang w:val="es-CO"/>
        </w:rPr>
      </w:pPr>
    </w:p>
    <w:p w14:paraId="545792A9" w14:textId="66455B3A" w:rsidR="00315AB7" w:rsidRPr="00315AB7" w:rsidRDefault="001D59C7" w:rsidP="00315AB7">
      <w:pPr>
        <w:spacing w:after="120"/>
        <w:ind w:left="709" w:right="709"/>
        <w:jc w:val="both"/>
        <w:rPr>
          <w:rFonts w:ascii="Arial" w:eastAsia="Calibri" w:hAnsi="Arial" w:cs="Arial"/>
          <w:color w:val="000000" w:themeColor="text1"/>
          <w:sz w:val="21"/>
          <w:szCs w:val="21"/>
        </w:rPr>
      </w:pPr>
      <w:r w:rsidRPr="001D59C7">
        <w:rPr>
          <w:rFonts w:ascii="Arial" w:eastAsia="Calibri" w:hAnsi="Arial" w:cs="Arial"/>
          <w:color w:val="000000" w:themeColor="text1"/>
          <w:sz w:val="21"/>
          <w:szCs w:val="21"/>
        </w:rPr>
        <w:t>i) «¿Cuál es la reglamentación del procedimiento que debe seguir una entidad estatal para determinar el cesionario del contrato, en el marco de la figura de la cesión unilateral obligatoria del contrato, prevista por el artículo 6, parágrafo 1 de la Ley 2014 de 2019? […]»</w:t>
      </w:r>
      <w:r w:rsidR="003D50C3" w:rsidRPr="007D6D97">
        <w:rPr>
          <w:rFonts w:ascii="Arial" w:eastAsia="Calibri" w:hAnsi="Arial" w:cs="Arial"/>
          <w:color w:val="000000" w:themeColor="text1"/>
          <w:sz w:val="21"/>
          <w:szCs w:val="21"/>
        </w:rPr>
        <w:t>.</w:t>
      </w:r>
    </w:p>
    <w:p w14:paraId="7DEC95C8" w14:textId="29F5A789" w:rsidR="00A13B60" w:rsidRDefault="001D59C7" w:rsidP="00A13B60">
      <w:pPr>
        <w:ind w:left="709" w:right="709"/>
        <w:jc w:val="both"/>
        <w:rPr>
          <w:rFonts w:ascii="Arial" w:eastAsia="Calibri" w:hAnsi="Arial" w:cs="Arial"/>
          <w:color w:val="000000" w:themeColor="text1"/>
          <w:sz w:val="21"/>
          <w:szCs w:val="21"/>
        </w:rPr>
      </w:pPr>
      <w:r w:rsidRPr="001D59C7">
        <w:rPr>
          <w:rFonts w:ascii="Arial" w:eastAsia="Calibri" w:hAnsi="Arial" w:cs="Arial"/>
          <w:color w:val="000000" w:themeColor="text1"/>
          <w:sz w:val="21"/>
          <w:szCs w:val="21"/>
        </w:rPr>
        <w:t>ii) «En caso que no exista una reglamentación al respecto ¿cuál es el procedimiento administrativo que debe aplicar la entidad estatal para determinar el cesionario?»</w:t>
      </w:r>
      <w:r w:rsidR="00563974" w:rsidRPr="007D6D97">
        <w:rPr>
          <w:rFonts w:ascii="Arial" w:eastAsia="Calibri" w:hAnsi="Arial" w:cs="Arial"/>
          <w:color w:val="000000" w:themeColor="text1"/>
          <w:sz w:val="21"/>
          <w:szCs w:val="21"/>
        </w:rPr>
        <w:t>.</w:t>
      </w:r>
    </w:p>
    <w:p w14:paraId="54A2DF66" w14:textId="77777777" w:rsidR="00A13B60" w:rsidRPr="002C352C" w:rsidRDefault="00A13B60" w:rsidP="002C352C">
      <w:pPr>
        <w:spacing w:line="276" w:lineRule="auto"/>
        <w:ind w:left="709" w:right="709"/>
        <w:jc w:val="both"/>
        <w:rPr>
          <w:rFonts w:ascii="Arial" w:eastAsia="Calibri" w:hAnsi="Arial" w:cs="Arial"/>
          <w:color w:val="000000" w:themeColor="text1"/>
          <w:sz w:val="22"/>
        </w:rPr>
      </w:pPr>
    </w:p>
    <w:p w14:paraId="146937CF" w14:textId="5478DA64" w:rsidR="00A62588" w:rsidRDefault="00315AB7" w:rsidP="006B67E2">
      <w:pPr>
        <w:spacing w:after="120" w:line="276" w:lineRule="auto"/>
        <w:jc w:val="both"/>
        <w:rPr>
          <w:rFonts w:ascii="Arial" w:hAnsi="Arial" w:cs="Arial"/>
          <w:sz w:val="22"/>
        </w:rPr>
      </w:pPr>
      <w:r>
        <w:rPr>
          <w:rFonts w:ascii="Arial" w:eastAsia="Calibri" w:hAnsi="Arial" w:cs="Arial"/>
          <w:color w:val="000000" w:themeColor="text1"/>
          <w:sz w:val="22"/>
        </w:rPr>
        <w:t xml:space="preserve">Conforme a lo explicado en el presente concepto, a la fecha no se ha expedido </w:t>
      </w:r>
      <w:r w:rsidR="00A62588">
        <w:rPr>
          <w:rFonts w:ascii="Arial" w:eastAsia="Calibri" w:hAnsi="Arial" w:cs="Arial"/>
          <w:color w:val="000000" w:themeColor="text1"/>
          <w:sz w:val="22"/>
        </w:rPr>
        <w:t>el decreto reglamentario</w:t>
      </w:r>
      <w:r>
        <w:rPr>
          <w:rFonts w:ascii="Arial" w:eastAsia="Calibri" w:hAnsi="Arial" w:cs="Arial"/>
          <w:color w:val="000000" w:themeColor="text1"/>
          <w:sz w:val="22"/>
        </w:rPr>
        <w:t xml:space="preserve"> del artículo 6, parágrafo 2, de la </w:t>
      </w:r>
      <w:r w:rsidRPr="002B3689">
        <w:rPr>
          <w:rFonts w:ascii="Arial" w:eastAsia="Calibri" w:hAnsi="Arial" w:cs="Arial"/>
          <w:bCs/>
          <w:color w:val="000000" w:themeColor="text1"/>
          <w:sz w:val="22"/>
        </w:rPr>
        <w:t xml:space="preserve">de </w:t>
      </w:r>
      <w:bookmarkStart w:id="13" w:name="_Hlk51665582"/>
      <w:r w:rsidRPr="002B3689">
        <w:rPr>
          <w:rFonts w:ascii="Arial" w:eastAsia="Calibri" w:hAnsi="Arial" w:cs="Arial"/>
          <w:bCs/>
          <w:color w:val="000000" w:themeColor="text1"/>
          <w:sz w:val="22"/>
        </w:rPr>
        <w:t xml:space="preserve">la </w:t>
      </w:r>
      <w:r>
        <w:rPr>
          <w:rFonts w:ascii="Arial" w:eastAsia="Calibri" w:hAnsi="Arial" w:cs="Arial"/>
          <w:bCs/>
          <w:color w:val="000000" w:themeColor="text1"/>
          <w:sz w:val="22"/>
        </w:rPr>
        <w:t>L</w:t>
      </w:r>
      <w:r w:rsidRPr="002B3689">
        <w:rPr>
          <w:rFonts w:ascii="Arial" w:eastAsia="Calibri" w:hAnsi="Arial" w:cs="Arial"/>
          <w:bCs/>
          <w:color w:val="000000" w:themeColor="text1"/>
          <w:sz w:val="22"/>
        </w:rPr>
        <w:t xml:space="preserve">ey </w:t>
      </w:r>
      <w:r>
        <w:rPr>
          <w:rFonts w:ascii="Arial" w:eastAsia="Calibri" w:hAnsi="Arial" w:cs="Arial"/>
          <w:bCs/>
          <w:color w:val="000000" w:themeColor="text1"/>
          <w:sz w:val="22"/>
        </w:rPr>
        <w:t>2014 de 2019</w:t>
      </w:r>
      <w:bookmarkEnd w:id="13"/>
      <w:r w:rsidR="00673E73">
        <w:rPr>
          <w:rFonts w:ascii="Arial" w:hAnsi="Arial" w:cs="Arial"/>
          <w:sz w:val="22"/>
        </w:rPr>
        <w:t>.</w:t>
      </w:r>
      <w:r>
        <w:rPr>
          <w:rFonts w:ascii="Arial" w:hAnsi="Arial" w:cs="Arial"/>
          <w:sz w:val="22"/>
        </w:rPr>
        <w:t xml:space="preserve"> Frente </w:t>
      </w:r>
      <w:r w:rsidR="00A62588">
        <w:rPr>
          <w:rFonts w:ascii="Arial" w:hAnsi="Arial" w:cs="Arial"/>
          <w:sz w:val="22"/>
        </w:rPr>
        <w:t xml:space="preserve">a la ausencia de esta norma </w:t>
      </w:r>
      <w:r>
        <w:rPr>
          <w:rFonts w:ascii="Arial" w:hAnsi="Arial" w:cs="Arial"/>
          <w:sz w:val="22"/>
        </w:rPr>
        <w:t xml:space="preserve">existe una </w:t>
      </w:r>
      <w:r w:rsidRPr="00315AB7">
        <w:rPr>
          <w:rFonts w:ascii="Arial" w:hAnsi="Arial" w:cs="Arial"/>
          <w:i/>
          <w:iCs/>
          <w:sz w:val="22"/>
        </w:rPr>
        <w:t>laguna técnica</w:t>
      </w:r>
      <w:r>
        <w:rPr>
          <w:rFonts w:ascii="Arial" w:hAnsi="Arial" w:cs="Arial"/>
          <w:sz w:val="22"/>
        </w:rPr>
        <w:t xml:space="preserve"> </w:t>
      </w:r>
      <w:r w:rsidR="00A62588">
        <w:rPr>
          <w:rFonts w:ascii="Arial" w:hAnsi="Arial" w:cs="Arial"/>
          <w:sz w:val="22"/>
        </w:rPr>
        <w:t>que impide aplicar el procedimiento para la cesión unilateral del contrato.</w:t>
      </w:r>
    </w:p>
    <w:p w14:paraId="065991AE" w14:textId="1531B260" w:rsidR="009B2E1A" w:rsidRDefault="00A62588" w:rsidP="006B67E2">
      <w:pPr>
        <w:spacing w:after="120" w:line="276" w:lineRule="auto"/>
        <w:jc w:val="both"/>
        <w:rPr>
          <w:rFonts w:ascii="Arial" w:hAnsi="Arial" w:cs="Arial"/>
          <w:sz w:val="22"/>
        </w:rPr>
      </w:pPr>
      <w:r>
        <w:rPr>
          <w:rFonts w:ascii="Arial" w:hAnsi="Arial" w:cs="Arial"/>
          <w:sz w:val="22"/>
        </w:rPr>
        <w:tab/>
      </w:r>
      <w:r w:rsidR="009B2E1A">
        <w:rPr>
          <w:rFonts w:ascii="Arial" w:hAnsi="Arial" w:cs="Arial"/>
          <w:sz w:val="22"/>
        </w:rPr>
        <w:t>Al respecto,</w:t>
      </w:r>
      <w:r>
        <w:rPr>
          <w:rFonts w:ascii="Arial" w:hAnsi="Arial" w:cs="Arial"/>
          <w:sz w:val="22"/>
        </w:rPr>
        <w:t xml:space="preserve"> la aplicación de la</w:t>
      </w:r>
      <w:r w:rsidR="009B2E1A">
        <w:rPr>
          <w:rFonts w:ascii="Arial" w:hAnsi="Arial" w:cs="Arial"/>
          <w:sz w:val="22"/>
        </w:rPr>
        <w:t>s</w:t>
      </w:r>
      <w:r>
        <w:rPr>
          <w:rFonts w:ascii="Arial" w:hAnsi="Arial" w:cs="Arial"/>
          <w:sz w:val="22"/>
        </w:rPr>
        <w:t xml:space="preserve"> normas generales del procedimiento </w:t>
      </w:r>
      <w:r w:rsidR="009B2E1A">
        <w:rPr>
          <w:rFonts w:ascii="Arial" w:hAnsi="Arial" w:cs="Arial"/>
          <w:sz w:val="22"/>
        </w:rPr>
        <w:t>administrativo es insuficiente, porque –además de que la</w:t>
      </w:r>
      <w:r w:rsidR="009B2E1A" w:rsidRPr="009B2E1A">
        <w:rPr>
          <w:rFonts w:ascii="Arial" w:hAnsi="Arial" w:cs="Arial"/>
          <w:sz w:val="22"/>
        </w:rPr>
        <w:t xml:space="preserve"> Ley 2014 de 2019</w:t>
      </w:r>
      <w:r w:rsidR="009B2E1A">
        <w:rPr>
          <w:rFonts w:ascii="Arial" w:hAnsi="Arial" w:cs="Arial"/>
          <w:sz w:val="22"/>
        </w:rPr>
        <w:t xml:space="preserve"> no define si la actuación es sancionadora o no sancionadora para efectos de las etapas y plazos del trámite– la Ley 1437 de 2011 no dispone la forma </w:t>
      </w:r>
      <w:r w:rsidR="00E95436">
        <w:rPr>
          <w:rFonts w:ascii="Arial" w:hAnsi="Arial" w:cs="Arial"/>
          <w:sz w:val="22"/>
        </w:rPr>
        <w:t xml:space="preserve">de </w:t>
      </w:r>
      <w:r w:rsidR="009B2E1A">
        <w:rPr>
          <w:rFonts w:ascii="Arial" w:hAnsi="Arial" w:cs="Arial"/>
          <w:sz w:val="22"/>
        </w:rPr>
        <w:t xml:space="preserve">seleccionar al cesionario. En estas circunstancias, conforme a la garantía del debido proceso previsto en el artículo 29 superior, las entidades no pueden adoptar procedimientos </w:t>
      </w:r>
      <w:r w:rsidR="009B2E1A" w:rsidRPr="009B2E1A">
        <w:rPr>
          <w:rFonts w:ascii="Arial" w:hAnsi="Arial" w:cs="Arial"/>
          <w:i/>
          <w:iCs/>
          <w:sz w:val="22"/>
        </w:rPr>
        <w:t>ad hoc</w:t>
      </w:r>
      <w:r w:rsidR="009B2E1A">
        <w:rPr>
          <w:rFonts w:ascii="Arial" w:hAnsi="Arial" w:cs="Arial"/>
          <w:sz w:val="22"/>
        </w:rPr>
        <w:t xml:space="preserve">.  </w:t>
      </w:r>
    </w:p>
    <w:p w14:paraId="0DF54EFE" w14:textId="36BBB2CB" w:rsidR="00673E73" w:rsidRDefault="00697056" w:rsidP="009B2E1A">
      <w:pPr>
        <w:spacing w:after="120" w:line="276" w:lineRule="auto"/>
        <w:ind w:firstLine="708"/>
        <w:jc w:val="both"/>
        <w:rPr>
          <w:rFonts w:ascii="Arial" w:eastAsia="Calibri" w:hAnsi="Arial" w:cs="Arial"/>
          <w:color w:val="000000" w:themeColor="text1"/>
          <w:sz w:val="22"/>
        </w:rPr>
      </w:pPr>
      <w:r>
        <w:rPr>
          <w:rFonts w:ascii="Arial" w:eastAsia="Calibri" w:hAnsi="Arial" w:cs="Arial"/>
          <w:bCs/>
          <w:color w:val="000000" w:themeColor="text1"/>
          <w:sz w:val="22"/>
        </w:rPr>
        <w:t>Por tanto</w:t>
      </w:r>
      <w:r w:rsidR="009B2E1A" w:rsidRPr="002B3689">
        <w:rPr>
          <w:rFonts w:ascii="Arial" w:eastAsia="Calibri" w:hAnsi="Arial" w:cs="Arial"/>
          <w:bCs/>
          <w:color w:val="000000" w:themeColor="text1"/>
          <w:sz w:val="22"/>
        </w:rPr>
        <w:t xml:space="preserve">, el legislador reconoce, en el artículo </w:t>
      </w:r>
      <w:r w:rsidR="009B2E1A">
        <w:rPr>
          <w:rFonts w:ascii="Arial" w:eastAsia="Calibri" w:hAnsi="Arial" w:cs="Arial"/>
          <w:bCs/>
          <w:color w:val="000000" w:themeColor="text1"/>
          <w:sz w:val="22"/>
        </w:rPr>
        <w:t>6</w:t>
      </w:r>
      <w:r w:rsidR="009B2E1A" w:rsidRPr="002B3689">
        <w:rPr>
          <w:rFonts w:ascii="Arial" w:eastAsia="Calibri" w:hAnsi="Arial" w:cs="Arial"/>
          <w:bCs/>
          <w:color w:val="000000" w:themeColor="text1"/>
          <w:sz w:val="22"/>
        </w:rPr>
        <w:t xml:space="preserve">, la necesidad de un reglamento para el efectivo cumplimiento de la </w:t>
      </w:r>
      <w:r w:rsidR="009B2E1A">
        <w:rPr>
          <w:rFonts w:ascii="Arial" w:eastAsia="Calibri" w:hAnsi="Arial" w:cs="Arial"/>
          <w:bCs/>
          <w:color w:val="000000" w:themeColor="text1"/>
          <w:sz w:val="22"/>
        </w:rPr>
        <w:t>L</w:t>
      </w:r>
      <w:r w:rsidR="009B2E1A" w:rsidRPr="002B3689">
        <w:rPr>
          <w:rFonts w:ascii="Arial" w:eastAsia="Calibri" w:hAnsi="Arial" w:cs="Arial"/>
          <w:bCs/>
          <w:color w:val="000000" w:themeColor="text1"/>
          <w:sz w:val="22"/>
        </w:rPr>
        <w:t xml:space="preserve">ey </w:t>
      </w:r>
      <w:r w:rsidR="009B2E1A">
        <w:rPr>
          <w:rFonts w:ascii="Arial" w:eastAsia="Calibri" w:hAnsi="Arial" w:cs="Arial"/>
          <w:bCs/>
          <w:color w:val="000000" w:themeColor="text1"/>
          <w:sz w:val="22"/>
        </w:rPr>
        <w:t>2014 de 2019</w:t>
      </w:r>
      <w:r w:rsidR="009B2E1A" w:rsidRPr="002B3689">
        <w:rPr>
          <w:rFonts w:ascii="Arial" w:eastAsia="Calibri" w:hAnsi="Arial" w:cs="Arial"/>
          <w:bCs/>
          <w:color w:val="000000" w:themeColor="text1"/>
          <w:sz w:val="22"/>
        </w:rPr>
        <w:t>, lo que demuestra</w:t>
      </w:r>
      <w:r w:rsidR="009B2E1A">
        <w:rPr>
          <w:rFonts w:ascii="Arial" w:eastAsia="Calibri" w:hAnsi="Arial" w:cs="Arial"/>
          <w:bCs/>
          <w:color w:val="000000" w:themeColor="text1"/>
          <w:sz w:val="22"/>
        </w:rPr>
        <w:t xml:space="preserve"> </w:t>
      </w:r>
      <w:r w:rsidR="009B2E1A" w:rsidRPr="002B3689">
        <w:rPr>
          <w:rFonts w:ascii="Arial" w:eastAsia="Calibri" w:hAnsi="Arial" w:cs="Arial"/>
          <w:bCs/>
          <w:color w:val="000000" w:themeColor="text1"/>
          <w:sz w:val="22"/>
        </w:rPr>
        <w:t xml:space="preserve">una vigencia sometida a condición para el </w:t>
      </w:r>
      <w:r w:rsidR="009B2E1A">
        <w:rPr>
          <w:rFonts w:ascii="Arial" w:eastAsia="Calibri" w:hAnsi="Arial" w:cs="Arial"/>
          <w:bCs/>
          <w:color w:val="000000" w:themeColor="text1"/>
          <w:sz w:val="22"/>
        </w:rPr>
        <w:t xml:space="preserve">procedimiento de cesión unilateral del contrato estatal conforme al parágrafo 2 </w:t>
      </w:r>
      <w:r w:rsidR="009B2E1A" w:rsidRPr="002B3689">
        <w:rPr>
          <w:rFonts w:ascii="Arial" w:eastAsia="Calibri" w:hAnsi="Arial" w:cs="Arial"/>
          <w:bCs/>
          <w:i/>
          <w:iCs/>
          <w:color w:val="000000" w:themeColor="text1"/>
          <w:sz w:val="22"/>
        </w:rPr>
        <w:t>ibidem</w:t>
      </w:r>
      <w:r w:rsidR="009B2E1A" w:rsidRPr="002B3689">
        <w:rPr>
          <w:rFonts w:ascii="Arial" w:eastAsia="Calibri" w:hAnsi="Arial" w:cs="Arial"/>
          <w:bCs/>
          <w:color w:val="000000" w:themeColor="text1"/>
          <w:sz w:val="22"/>
        </w:rPr>
        <w:t xml:space="preserve">. Es decir, nos encontramos frente a un caso donde la norma </w:t>
      </w:r>
      <w:r w:rsidR="009B2E1A">
        <w:rPr>
          <w:rFonts w:ascii="Arial" w:eastAsia="Calibri" w:hAnsi="Arial" w:cs="Arial"/>
          <w:bCs/>
          <w:color w:val="000000" w:themeColor="text1"/>
          <w:sz w:val="22"/>
        </w:rPr>
        <w:t>condicionó el procedimiento</w:t>
      </w:r>
      <w:r w:rsidR="009B2E1A" w:rsidRPr="002B3689">
        <w:rPr>
          <w:rFonts w:ascii="Arial" w:eastAsia="Calibri" w:hAnsi="Arial" w:cs="Arial"/>
          <w:bCs/>
          <w:color w:val="000000" w:themeColor="text1"/>
          <w:sz w:val="22"/>
        </w:rPr>
        <w:t xml:space="preserve"> a la expedición de un reglamento, pues así se infiere de su </w:t>
      </w:r>
      <w:r w:rsidR="009B2E1A" w:rsidRPr="002B3689">
        <w:rPr>
          <w:rFonts w:ascii="Arial" w:eastAsia="Calibri" w:hAnsi="Arial" w:cs="Arial"/>
          <w:bCs/>
          <w:color w:val="000000" w:themeColor="text1"/>
          <w:sz w:val="22"/>
        </w:rPr>
        <w:lastRenderedPageBreak/>
        <w:t xml:space="preserve">contenido y antecedentes legislativos. Esta conclusión se ajusta a la necesidad de claridad que debe introducir el reglamento, en relación con </w:t>
      </w:r>
      <w:r w:rsidR="009B2E1A">
        <w:rPr>
          <w:rFonts w:ascii="Arial" w:eastAsia="Calibri" w:hAnsi="Arial" w:cs="Arial"/>
          <w:bCs/>
          <w:color w:val="000000" w:themeColor="text1"/>
          <w:sz w:val="22"/>
        </w:rPr>
        <w:t>el trámite para la selección del cesionario.</w:t>
      </w:r>
      <w:r w:rsidR="009B2E1A">
        <w:rPr>
          <w:rFonts w:ascii="Arial" w:hAnsi="Arial" w:cs="Arial"/>
          <w:sz w:val="22"/>
        </w:rPr>
        <w:t xml:space="preserve"> </w:t>
      </w:r>
      <w:r w:rsidR="00315AB7">
        <w:rPr>
          <w:rFonts w:ascii="Arial" w:hAnsi="Arial" w:cs="Arial"/>
          <w:sz w:val="22"/>
        </w:rPr>
        <w:t xml:space="preserve">  </w:t>
      </w:r>
    </w:p>
    <w:p w14:paraId="5B0B1E86" w14:textId="7F086B1F" w:rsidR="00185441" w:rsidRPr="00D14450" w:rsidRDefault="00185441" w:rsidP="001D2BDC">
      <w:pPr>
        <w:spacing w:line="276" w:lineRule="auto"/>
        <w:jc w:val="both"/>
        <w:rPr>
          <w:rFonts w:ascii="Arial" w:eastAsia="Calibri" w:hAnsi="Arial" w:cs="Arial"/>
          <w:color w:val="000000" w:themeColor="text1"/>
          <w:sz w:val="22"/>
          <w:lang w:val="es-ES"/>
        </w:rPr>
      </w:pP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50F96D53" w:rsidR="00BE1E33" w:rsidRDefault="00F24BD9" w:rsidP="00BE1E33">
      <w:pPr>
        <w:jc w:val="center"/>
        <w:rPr>
          <w:rFonts w:ascii="Arial" w:eastAsia="Times New Roman" w:hAnsi="Arial" w:cs="Arial"/>
          <w:color w:val="000000" w:themeColor="text1"/>
          <w:sz w:val="18"/>
          <w:szCs w:val="20"/>
          <w:lang w:eastAsia="es-CO"/>
        </w:rPr>
      </w:pPr>
      <w:r>
        <w:rPr>
          <w:noProof/>
        </w:rPr>
        <w:drawing>
          <wp:inline distT="0" distB="0" distL="0" distR="0" wp14:anchorId="3B92F298" wp14:editId="0F718BF6">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4DCC427A" w:rsidR="00982E99" w:rsidRPr="006C15D5" w:rsidRDefault="00B85B0A" w:rsidP="00AC43E7">
            <w:pPr>
              <w:rPr>
                <w:rFonts w:ascii="Arial" w:eastAsia="Times New Roman" w:hAnsi="Arial" w:cs="Arial"/>
                <w:color w:val="000000" w:themeColor="text1"/>
                <w:sz w:val="16"/>
                <w:szCs w:val="16"/>
                <w:lang w:eastAsia="es-ES"/>
              </w:rPr>
            </w:pPr>
            <w:r w:rsidRPr="00B85B0A">
              <w:rPr>
                <w:rFonts w:ascii="Arial" w:eastAsia="Times New Roman" w:hAnsi="Arial" w:cs="Arial"/>
                <w:color w:val="000000" w:themeColor="text1"/>
                <w:sz w:val="16"/>
                <w:szCs w:val="16"/>
                <w:lang w:eastAsia="es-ES"/>
              </w:rPr>
              <w:t>Gestor T1-15</w:t>
            </w:r>
          </w:p>
        </w:tc>
      </w:tr>
      <w:tr w:rsidR="00DE1E41" w:rsidRPr="003F6D32" w14:paraId="092BCD16" w14:textId="77777777" w:rsidTr="00AC43E7">
        <w:trPr>
          <w:trHeight w:val="330"/>
        </w:trPr>
        <w:tc>
          <w:tcPr>
            <w:tcW w:w="812" w:type="dxa"/>
            <w:vAlign w:val="center"/>
            <w:hideMark/>
          </w:tcPr>
          <w:p w14:paraId="463B4DD3" w14:textId="77777777"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28FF74" w14:textId="3B5F1D13" w:rsidR="001D59C7" w:rsidRPr="006C15D5" w:rsidRDefault="00A67EB8" w:rsidP="001D59C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3A4C1D22" w:rsidR="00DE1E41" w:rsidRPr="006C15D5" w:rsidRDefault="00906DB5" w:rsidP="001D59C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de la </w:t>
            </w:r>
            <w:r w:rsidR="001D59C7"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1D59C7" w:rsidRPr="006C15D5">
              <w:rPr>
                <w:rFonts w:ascii="Arial" w:eastAsia="Times New Roman" w:hAnsi="Arial" w:cs="Arial"/>
                <w:color w:val="000000" w:themeColor="text1"/>
                <w:sz w:val="16"/>
                <w:szCs w:val="16"/>
                <w:lang w:eastAsia="es-ES"/>
              </w:rPr>
              <w:t xml:space="preserve"> de Gestión Contractual</w:t>
            </w:r>
          </w:p>
        </w:tc>
      </w:tr>
      <w:tr w:rsidR="00DE1E41" w:rsidRPr="003F6D32" w14:paraId="57DAFEF9" w14:textId="77777777" w:rsidTr="00AC43E7">
        <w:trPr>
          <w:trHeight w:val="300"/>
        </w:trPr>
        <w:tc>
          <w:tcPr>
            <w:tcW w:w="812" w:type="dxa"/>
            <w:vAlign w:val="center"/>
            <w:hideMark/>
          </w:tcPr>
          <w:p w14:paraId="70677013" w14:textId="77777777"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4783587" w:rsidR="00DE1E41" w:rsidRPr="006C15D5" w:rsidRDefault="00DE1E41" w:rsidP="00DE1E4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Andrés Ricardo Mancipe González </w:t>
            </w:r>
          </w:p>
          <w:p w14:paraId="75BC677C" w14:textId="36CA41DD"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r>
              <w:rPr>
                <w:rFonts w:ascii="Arial" w:eastAsia="Times New Roman" w:hAnsi="Arial" w:cs="Arial"/>
                <w:color w:val="000000" w:themeColor="text1"/>
                <w:sz w:val="16"/>
                <w:szCs w:val="16"/>
                <w:lang w:eastAsia="es-ES"/>
              </w:rPr>
              <w:t xml:space="preserve"> (E)</w:t>
            </w:r>
          </w:p>
        </w:tc>
      </w:tr>
    </w:tbl>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A6BF6" w14:textId="77777777" w:rsidR="009565F3" w:rsidRDefault="009565F3" w:rsidP="008C487C">
      <w:r>
        <w:separator/>
      </w:r>
    </w:p>
  </w:endnote>
  <w:endnote w:type="continuationSeparator" w:id="0">
    <w:p w14:paraId="020652B0" w14:textId="77777777" w:rsidR="009565F3" w:rsidRDefault="009565F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ED3526" w:rsidRDefault="00ED3526" w:rsidP="00AC43E7">
    <w:pPr>
      <w:pStyle w:val="Sinespaciado"/>
      <w:jc w:val="right"/>
      <w:rPr>
        <w:rFonts w:ascii="Arial" w:hAnsi="Arial" w:cs="Arial"/>
        <w:sz w:val="18"/>
        <w:szCs w:val="18"/>
      </w:rPr>
    </w:pPr>
  </w:p>
  <w:p w14:paraId="709352A1" w14:textId="77777777" w:rsidR="00ED3526" w:rsidRDefault="00ED3526" w:rsidP="00AC43E7">
    <w:pPr>
      <w:pStyle w:val="Sinespaciado"/>
      <w:jc w:val="right"/>
      <w:rPr>
        <w:rFonts w:ascii="Arial" w:hAnsi="Arial" w:cs="Arial"/>
        <w:sz w:val="18"/>
        <w:szCs w:val="18"/>
      </w:rPr>
    </w:pPr>
  </w:p>
  <w:p w14:paraId="3D3EB348" w14:textId="77777777" w:rsidR="00ED3526" w:rsidRPr="008217B7" w:rsidRDefault="00ED3526"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ED3526" w:rsidRDefault="00ED3526"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ED3526" w:rsidRPr="00E756AC" w:rsidRDefault="00ED3526" w:rsidP="00AC43E7">
    <w:pPr>
      <w:pStyle w:val="Piedepgina"/>
      <w:jc w:val="center"/>
      <w:rPr>
        <w:sz w:val="18"/>
        <w:szCs w:val="18"/>
        <w:lang w:val="es-ES"/>
      </w:rPr>
    </w:pPr>
  </w:p>
  <w:p w14:paraId="428179B1" w14:textId="77777777" w:rsidR="00ED3526" w:rsidRPr="00E756AC" w:rsidRDefault="00ED3526"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36EB19" w14:textId="77777777" w:rsidR="009565F3" w:rsidRDefault="009565F3" w:rsidP="008C487C">
      <w:r>
        <w:separator/>
      </w:r>
    </w:p>
  </w:footnote>
  <w:footnote w:type="continuationSeparator" w:id="0">
    <w:p w14:paraId="0AA6B06A" w14:textId="77777777" w:rsidR="009565F3" w:rsidRDefault="009565F3" w:rsidP="008C487C">
      <w:r>
        <w:continuationSeparator/>
      </w:r>
    </w:p>
  </w:footnote>
  <w:footnote w:id="1">
    <w:p w14:paraId="7CB9B5FA" w14:textId="113EF7AC" w:rsidR="00ED3526" w:rsidRPr="0029247F" w:rsidRDefault="00ED3526" w:rsidP="0029247F">
      <w:pPr>
        <w:pStyle w:val="Textonotapie"/>
        <w:ind w:firstLine="708"/>
        <w:jc w:val="both"/>
        <w:rPr>
          <w:rFonts w:ascii="Arial" w:hAnsi="Arial" w:cs="Arial"/>
          <w:sz w:val="19"/>
          <w:szCs w:val="19"/>
        </w:rPr>
      </w:pPr>
      <w:r w:rsidRPr="0029247F">
        <w:rPr>
          <w:rStyle w:val="Refdenotaalpie"/>
          <w:rFonts w:ascii="Arial" w:hAnsi="Arial" w:cs="Arial"/>
          <w:sz w:val="19"/>
          <w:szCs w:val="19"/>
        </w:rPr>
        <w:footnoteRef/>
      </w:r>
      <w:r w:rsidRPr="0029247F">
        <w:rPr>
          <w:rFonts w:ascii="Arial" w:hAnsi="Arial" w:cs="Arial"/>
          <w:sz w:val="19"/>
          <w:szCs w:val="19"/>
        </w:rPr>
        <w:t xml:space="preserve"> Al respecto, </w:t>
      </w:r>
      <w:r>
        <w:rPr>
          <w:rFonts w:ascii="Arial" w:hAnsi="Arial" w:cs="Arial"/>
          <w:sz w:val="19"/>
          <w:szCs w:val="19"/>
        </w:rPr>
        <w:t>el artículo 887 del Código de Comercio dispone lo siguiente: «</w:t>
      </w:r>
      <w:r w:rsidRPr="0029247F">
        <w:rPr>
          <w:rFonts w:ascii="Arial" w:hAnsi="Arial" w:cs="Arial"/>
          <w:sz w:val="19"/>
          <w:szCs w:val="19"/>
        </w:rPr>
        <w:t>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713E7674" w14:textId="79588CCC" w:rsidR="00ED3526" w:rsidRDefault="00ED3526" w:rsidP="0029247F">
      <w:pPr>
        <w:pStyle w:val="Textonotapie"/>
        <w:ind w:firstLine="708"/>
        <w:jc w:val="both"/>
        <w:rPr>
          <w:rFonts w:ascii="Arial" w:hAnsi="Arial" w:cs="Arial"/>
          <w:sz w:val="19"/>
          <w:szCs w:val="19"/>
        </w:rPr>
      </w:pPr>
      <w:r>
        <w:rPr>
          <w:rFonts w:ascii="Arial" w:hAnsi="Arial" w:cs="Arial"/>
          <w:sz w:val="19"/>
          <w:szCs w:val="19"/>
        </w:rPr>
        <w:t>»</w:t>
      </w:r>
      <w:r w:rsidRPr="0029247F">
        <w:rPr>
          <w:rFonts w:ascii="Arial" w:hAnsi="Arial" w:cs="Arial"/>
          <w:sz w:val="19"/>
          <w:szCs w:val="19"/>
        </w:rPr>
        <w:t xml:space="preserve">La misma sustitución podrá hacerse en los contratos mercantiles de ejecución instantánea que aún no hayan sido cumplidos en todo o en parte, y en los celebrados </w:t>
      </w:r>
      <w:r w:rsidRPr="0029247F">
        <w:rPr>
          <w:rFonts w:ascii="Arial" w:hAnsi="Arial" w:cs="Arial"/>
          <w:i/>
          <w:iCs/>
          <w:sz w:val="19"/>
          <w:szCs w:val="19"/>
        </w:rPr>
        <w:t>intuitu personae</w:t>
      </w:r>
      <w:r w:rsidRPr="0029247F">
        <w:rPr>
          <w:rFonts w:ascii="Arial" w:hAnsi="Arial" w:cs="Arial"/>
          <w:sz w:val="19"/>
          <w:szCs w:val="19"/>
        </w:rPr>
        <w:t>, pero en estos casos será necesaria la aceptación del contratante cedido</w:t>
      </w:r>
      <w:r>
        <w:rPr>
          <w:rFonts w:ascii="Arial" w:hAnsi="Arial" w:cs="Arial"/>
          <w:sz w:val="19"/>
          <w:szCs w:val="19"/>
        </w:rPr>
        <w:t>»</w:t>
      </w:r>
      <w:r w:rsidRPr="0029247F">
        <w:rPr>
          <w:rFonts w:ascii="Arial" w:hAnsi="Arial" w:cs="Arial"/>
          <w:sz w:val="19"/>
          <w:szCs w:val="19"/>
        </w:rPr>
        <w:t>.</w:t>
      </w:r>
    </w:p>
    <w:p w14:paraId="7E28F052" w14:textId="20190BEE" w:rsidR="00ED3526" w:rsidRDefault="00ED3526" w:rsidP="0029247F">
      <w:pPr>
        <w:pStyle w:val="Textonotapie"/>
        <w:ind w:firstLine="708"/>
        <w:jc w:val="both"/>
        <w:rPr>
          <w:rFonts w:ascii="Arial" w:hAnsi="Arial" w:cs="Arial"/>
          <w:sz w:val="19"/>
          <w:szCs w:val="19"/>
        </w:rPr>
      </w:pPr>
      <w:r>
        <w:rPr>
          <w:rFonts w:ascii="Arial" w:hAnsi="Arial" w:cs="Arial"/>
          <w:sz w:val="19"/>
          <w:szCs w:val="19"/>
        </w:rPr>
        <w:t>En contraste, el artículo 1959 del Código Civil prescribe que «</w:t>
      </w:r>
      <w:r w:rsidRPr="0029247F">
        <w:rPr>
          <w:rFonts w:ascii="Arial" w:hAnsi="Arial" w:cs="Arial"/>
          <w:sz w:val="19"/>
          <w:szCs w:val="19"/>
        </w:rPr>
        <w:t>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r>
        <w:rPr>
          <w:rFonts w:ascii="Arial" w:hAnsi="Arial" w:cs="Arial"/>
          <w:sz w:val="19"/>
          <w:szCs w:val="19"/>
        </w:rPr>
        <w:t>»</w:t>
      </w:r>
      <w:r w:rsidRPr="0029247F">
        <w:rPr>
          <w:rFonts w:ascii="Arial" w:hAnsi="Arial" w:cs="Arial"/>
          <w:sz w:val="19"/>
          <w:szCs w:val="19"/>
        </w:rPr>
        <w:t>.</w:t>
      </w:r>
    </w:p>
    <w:p w14:paraId="7BEB7476" w14:textId="77777777" w:rsidR="00ED3526" w:rsidRPr="0029247F" w:rsidRDefault="00ED3526" w:rsidP="0029247F">
      <w:pPr>
        <w:pStyle w:val="Textonotapie"/>
        <w:ind w:firstLine="708"/>
        <w:jc w:val="both"/>
        <w:rPr>
          <w:rFonts w:ascii="Arial" w:hAnsi="Arial" w:cs="Arial"/>
          <w:sz w:val="19"/>
          <w:szCs w:val="19"/>
          <w:lang w:val="es-ES"/>
        </w:rPr>
      </w:pPr>
    </w:p>
  </w:footnote>
  <w:footnote w:id="2">
    <w:p w14:paraId="55DD5A14" w14:textId="3D89B973" w:rsidR="00ED3526" w:rsidRDefault="00ED3526" w:rsidP="00710FD2">
      <w:pPr>
        <w:pStyle w:val="Textonotapie"/>
        <w:ind w:firstLine="708"/>
        <w:jc w:val="both"/>
        <w:rPr>
          <w:rFonts w:ascii="Arial" w:hAnsi="Arial" w:cs="Arial"/>
          <w:sz w:val="19"/>
          <w:szCs w:val="19"/>
        </w:rPr>
      </w:pPr>
      <w:r w:rsidRPr="00D51312">
        <w:rPr>
          <w:rStyle w:val="Refdenotaalpie"/>
          <w:rFonts w:ascii="Arial" w:hAnsi="Arial" w:cs="Arial"/>
          <w:sz w:val="19"/>
          <w:szCs w:val="19"/>
        </w:rPr>
        <w:footnoteRef/>
      </w:r>
      <w:r w:rsidRPr="00D51312">
        <w:rPr>
          <w:rFonts w:ascii="Arial" w:hAnsi="Arial" w:cs="Arial"/>
          <w:sz w:val="19"/>
          <w:szCs w:val="19"/>
        </w:rPr>
        <w:t xml:space="preserve"> </w:t>
      </w:r>
      <w:r>
        <w:rPr>
          <w:rFonts w:ascii="Arial" w:hAnsi="Arial" w:cs="Arial"/>
          <w:sz w:val="19"/>
          <w:szCs w:val="19"/>
        </w:rPr>
        <w:t>ROPPO, Vincenzo. El contrato. Lima: Gaceta Jurídica, 2009. p. 547.</w:t>
      </w:r>
    </w:p>
    <w:p w14:paraId="679C5867" w14:textId="77777777" w:rsidR="007B29A8" w:rsidRPr="00710FD2" w:rsidRDefault="007B29A8" w:rsidP="00710FD2">
      <w:pPr>
        <w:pStyle w:val="Textonotapie"/>
        <w:ind w:firstLine="708"/>
        <w:jc w:val="both"/>
        <w:rPr>
          <w:rFonts w:ascii="Arial" w:hAnsi="Arial" w:cs="Arial"/>
          <w:sz w:val="19"/>
          <w:szCs w:val="19"/>
        </w:rPr>
      </w:pPr>
    </w:p>
  </w:footnote>
  <w:footnote w:id="3">
    <w:p w14:paraId="70B3443D" w14:textId="49ADC614" w:rsidR="00ED3526" w:rsidRDefault="00ED3526" w:rsidP="00D51312">
      <w:pPr>
        <w:pStyle w:val="Textonotapie"/>
        <w:ind w:firstLine="708"/>
        <w:jc w:val="both"/>
        <w:rPr>
          <w:rFonts w:ascii="Arial" w:hAnsi="Arial" w:cs="Arial"/>
          <w:sz w:val="19"/>
          <w:szCs w:val="19"/>
        </w:rPr>
      </w:pPr>
      <w:r w:rsidRPr="00D51312">
        <w:rPr>
          <w:rStyle w:val="Refdenotaalpie"/>
          <w:rFonts w:ascii="Arial" w:hAnsi="Arial" w:cs="Arial"/>
          <w:sz w:val="19"/>
          <w:szCs w:val="19"/>
        </w:rPr>
        <w:footnoteRef/>
      </w:r>
      <w:r w:rsidRPr="00D51312">
        <w:rPr>
          <w:rFonts w:ascii="Arial" w:hAnsi="Arial" w:cs="Arial"/>
          <w:sz w:val="19"/>
          <w:szCs w:val="19"/>
        </w:rPr>
        <w:t xml:space="preserve"> </w:t>
      </w:r>
      <w:r w:rsidRPr="00D51312">
        <w:rPr>
          <w:rFonts w:ascii="Arial" w:hAnsi="Arial" w:cs="Arial"/>
          <w:i/>
          <w:iCs/>
          <w:sz w:val="19"/>
          <w:szCs w:val="19"/>
        </w:rPr>
        <w:t>Ibidem</w:t>
      </w:r>
      <w:r>
        <w:rPr>
          <w:rFonts w:ascii="Arial" w:hAnsi="Arial" w:cs="Arial"/>
          <w:sz w:val="19"/>
          <w:szCs w:val="19"/>
        </w:rPr>
        <w:t>.</w:t>
      </w:r>
    </w:p>
    <w:p w14:paraId="2A94B712" w14:textId="77777777" w:rsidR="00710FD2" w:rsidRPr="00D51312" w:rsidRDefault="00710FD2" w:rsidP="00D51312">
      <w:pPr>
        <w:pStyle w:val="Textonotapie"/>
        <w:ind w:firstLine="708"/>
        <w:jc w:val="both"/>
        <w:rPr>
          <w:rFonts w:ascii="Arial" w:hAnsi="Arial" w:cs="Arial"/>
          <w:sz w:val="19"/>
          <w:szCs w:val="19"/>
          <w:lang w:val="es-ES"/>
        </w:rPr>
      </w:pPr>
    </w:p>
  </w:footnote>
  <w:footnote w:id="4">
    <w:p w14:paraId="018F2A80" w14:textId="70762EB5" w:rsidR="00ED3526" w:rsidRDefault="00ED3526" w:rsidP="005268CB">
      <w:pPr>
        <w:pStyle w:val="Textonotapie"/>
        <w:ind w:firstLine="708"/>
        <w:jc w:val="both"/>
        <w:rPr>
          <w:rFonts w:ascii="Arial" w:hAnsi="Arial" w:cs="Arial"/>
          <w:sz w:val="19"/>
          <w:szCs w:val="19"/>
        </w:rPr>
      </w:pPr>
      <w:r w:rsidRPr="005268CB">
        <w:rPr>
          <w:rStyle w:val="Refdenotaalpie"/>
          <w:rFonts w:ascii="Arial" w:hAnsi="Arial" w:cs="Arial"/>
          <w:sz w:val="19"/>
          <w:szCs w:val="19"/>
        </w:rPr>
        <w:footnoteRef/>
      </w:r>
      <w:r w:rsidRPr="005268CB">
        <w:rPr>
          <w:rFonts w:ascii="Arial" w:hAnsi="Arial" w:cs="Arial"/>
          <w:sz w:val="19"/>
          <w:szCs w:val="19"/>
        </w:rPr>
        <w:t xml:space="preserve"> HINESTROSA</w:t>
      </w:r>
      <w:r>
        <w:rPr>
          <w:rFonts w:ascii="Arial" w:hAnsi="Arial" w:cs="Arial"/>
          <w:sz w:val="19"/>
          <w:szCs w:val="19"/>
        </w:rPr>
        <w:t>, Fernando. Tratado de las obligaciones: concepto, estructura y vicisitudes. Segunda Edición. Bogotá: Universidad Externado de Colombia, 2003. p.</w:t>
      </w:r>
      <w:r w:rsidR="008C3FB6">
        <w:rPr>
          <w:rFonts w:ascii="Arial" w:hAnsi="Arial" w:cs="Arial"/>
          <w:sz w:val="19"/>
          <w:szCs w:val="19"/>
        </w:rPr>
        <w:t xml:space="preserve"> </w:t>
      </w:r>
      <w:r>
        <w:rPr>
          <w:rFonts w:ascii="Arial" w:hAnsi="Arial" w:cs="Arial"/>
          <w:sz w:val="19"/>
          <w:szCs w:val="19"/>
        </w:rPr>
        <w:t xml:space="preserve">357.    </w:t>
      </w:r>
    </w:p>
    <w:p w14:paraId="5D653909" w14:textId="77777777" w:rsidR="00ED3526" w:rsidRPr="005268CB" w:rsidRDefault="00ED3526" w:rsidP="005268CB">
      <w:pPr>
        <w:pStyle w:val="Textonotapie"/>
        <w:ind w:firstLine="708"/>
        <w:jc w:val="both"/>
        <w:rPr>
          <w:rFonts w:ascii="Arial" w:hAnsi="Arial" w:cs="Arial"/>
          <w:sz w:val="19"/>
          <w:szCs w:val="19"/>
          <w:lang w:val="es-ES"/>
        </w:rPr>
      </w:pPr>
    </w:p>
  </w:footnote>
  <w:footnote w:id="5">
    <w:p w14:paraId="7418C09C" w14:textId="47C106D5" w:rsidR="00ED3526" w:rsidRDefault="00ED3526" w:rsidP="00CF1F1E">
      <w:pPr>
        <w:pStyle w:val="Textonotapie"/>
        <w:ind w:firstLine="708"/>
        <w:jc w:val="both"/>
        <w:rPr>
          <w:rFonts w:ascii="Arial" w:hAnsi="Arial" w:cs="Arial"/>
          <w:sz w:val="19"/>
          <w:szCs w:val="19"/>
        </w:rPr>
      </w:pPr>
      <w:r w:rsidRPr="00CF1F1E">
        <w:rPr>
          <w:rStyle w:val="Refdenotaalpie"/>
          <w:rFonts w:ascii="Arial" w:hAnsi="Arial" w:cs="Arial"/>
          <w:sz w:val="19"/>
          <w:szCs w:val="19"/>
        </w:rPr>
        <w:footnoteRef/>
      </w:r>
      <w:r w:rsidRPr="00CF1F1E">
        <w:rPr>
          <w:rFonts w:ascii="Arial" w:hAnsi="Arial" w:cs="Arial"/>
          <w:sz w:val="19"/>
          <w:szCs w:val="19"/>
        </w:rPr>
        <w:t xml:space="preserve"> </w:t>
      </w:r>
      <w:r>
        <w:rPr>
          <w:rFonts w:ascii="Arial" w:hAnsi="Arial" w:cs="Arial"/>
          <w:sz w:val="19"/>
          <w:szCs w:val="19"/>
        </w:rPr>
        <w:t>No en vano, «</w:t>
      </w:r>
      <w:r w:rsidRPr="00CF1F1E">
        <w:rPr>
          <w:rFonts w:ascii="Arial" w:hAnsi="Arial" w:cs="Arial"/>
          <w:sz w:val="19"/>
          <w:szCs w:val="19"/>
        </w:rPr>
        <w:t>Quien contrata con la administración debe reunir condiciones previas, acreditadas</w:t>
      </w:r>
      <w:r>
        <w:rPr>
          <w:rFonts w:ascii="Arial" w:hAnsi="Arial" w:cs="Arial"/>
          <w:sz w:val="19"/>
          <w:szCs w:val="19"/>
        </w:rPr>
        <w:t xml:space="preserve"> </w:t>
      </w:r>
      <w:r w:rsidRPr="00CF1F1E">
        <w:rPr>
          <w:rFonts w:ascii="Arial" w:hAnsi="Arial" w:cs="Arial"/>
          <w:sz w:val="19"/>
          <w:szCs w:val="19"/>
        </w:rPr>
        <w:t>por muy distintos medios, relativas a su capacidad técnica, financiera e incluso moral. De</w:t>
      </w:r>
      <w:r>
        <w:rPr>
          <w:rFonts w:ascii="Arial" w:hAnsi="Arial" w:cs="Arial"/>
          <w:sz w:val="19"/>
          <w:szCs w:val="19"/>
        </w:rPr>
        <w:t xml:space="preserve"> </w:t>
      </w:r>
      <w:r w:rsidRPr="00CF1F1E">
        <w:rPr>
          <w:rFonts w:ascii="Arial" w:hAnsi="Arial" w:cs="Arial"/>
          <w:sz w:val="19"/>
          <w:szCs w:val="19"/>
        </w:rPr>
        <w:t>esas personas se ha seleccionado aquella que resulta la más</w:t>
      </w:r>
      <w:r>
        <w:rPr>
          <w:rFonts w:ascii="Arial" w:hAnsi="Arial" w:cs="Arial"/>
          <w:sz w:val="19"/>
          <w:szCs w:val="19"/>
        </w:rPr>
        <w:t xml:space="preserve"> </w:t>
      </w:r>
      <w:r w:rsidRPr="00CF1F1E">
        <w:rPr>
          <w:rFonts w:ascii="Arial" w:hAnsi="Arial" w:cs="Arial"/>
          <w:sz w:val="19"/>
          <w:szCs w:val="19"/>
        </w:rPr>
        <w:t>convenien</w:t>
      </w:r>
      <w:r>
        <w:rPr>
          <w:rFonts w:ascii="Arial" w:hAnsi="Arial" w:cs="Arial"/>
          <w:sz w:val="19"/>
          <w:szCs w:val="19"/>
        </w:rPr>
        <w:t>te</w:t>
      </w:r>
      <w:r w:rsidRPr="00CF1F1E">
        <w:rPr>
          <w:rFonts w:ascii="Arial" w:hAnsi="Arial" w:cs="Arial"/>
          <w:sz w:val="19"/>
          <w:szCs w:val="19"/>
        </w:rPr>
        <w:t xml:space="preserve"> para el caso, y esa persona no puede ser reemplazada por otra, por la sola decisión de ese cocontratante</w:t>
      </w:r>
      <w:r>
        <w:rPr>
          <w:rFonts w:ascii="Arial" w:hAnsi="Arial" w:cs="Arial"/>
          <w:sz w:val="19"/>
          <w:szCs w:val="19"/>
        </w:rPr>
        <w:t>.</w:t>
      </w:r>
    </w:p>
    <w:p w14:paraId="6E3CC86C" w14:textId="09BE7A74" w:rsidR="00ED3526" w:rsidRDefault="00ED3526" w:rsidP="00CF1F1E">
      <w:pPr>
        <w:pStyle w:val="Textonotapie"/>
        <w:ind w:firstLine="708"/>
        <w:jc w:val="both"/>
        <w:rPr>
          <w:rFonts w:ascii="Arial" w:hAnsi="Arial" w:cs="Arial"/>
          <w:sz w:val="19"/>
          <w:szCs w:val="19"/>
        </w:rPr>
      </w:pPr>
      <w:r>
        <w:rPr>
          <w:rFonts w:ascii="Arial" w:hAnsi="Arial" w:cs="Arial"/>
          <w:sz w:val="19"/>
          <w:szCs w:val="19"/>
        </w:rPr>
        <w:t>»</w:t>
      </w:r>
      <w:r w:rsidRPr="00CF1F1E">
        <w:rPr>
          <w:rFonts w:ascii="Arial" w:hAnsi="Arial" w:cs="Arial"/>
          <w:sz w:val="19"/>
          <w:szCs w:val="19"/>
        </w:rPr>
        <w:t>De ahí que el principio del cumplimiento personal de</w:t>
      </w:r>
      <w:r>
        <w:rPr>
          <w:rFonts w:ascii="Arial" w:hAnsi="Arial" w:cs="Arial"/>
          <w:sz w:val="19"/>
          <w:szCs w:val="19"/>
        </w:rPr>
        <w:t xml:space="preserve"> </w:t>
      </w:r>
      <w:r w:rsidRPr="00CF1F1E">
        <w:rPr>
          <w:rFonts w:ascii="Arial" w:hAnsi="Arial" w:cs="Arial"/>
          <w:sz w:val="19"/>
          <w:szCs w:val="19"/>
        </w:rPr>
        <w:t>sus obligaciones por el cocontratante particular es una</w:t>
      </w:r>
      <w:r>
        <w:rPr>
          <w:rFonts w:ascii="Arial" w:hAnsi="Arial" w:cs="Arial"/>
          <w:sz w:val="19"/>
          <w:szCs w:val="19"/>
        </w:rPr>
        <w:t xml:space="preserve"> </w:t>
      </w:r>
      <w:r w:rsidRPr="00CF1F1E">
        <w:rPr>
          <w:rFonts w:ascii="Arial" w:hAnsi="Arial" w:cs="Arial"/>
          <w:sz w:val="19"/>
          <w:szCs w:val="19"/>
        </w:rPr>
        <w:t>exigencia del contrato administrativo que resulta de su naturaleza, por lo que su aplicación es ineludible, aun en los</w:t>
      </w:r>
      <w:r>
        <w:rPr>
          <w:rFonts w:ascii="Arial" w:hAnsi="Arial" w:cs="Arial"/>
          <w:sz w:val="19"/>
          <w:szCs w:val="19"/>
        </w:rPr>
        <w:t xml:space="preserve"> </w:t>
      </w:r>
      <w:r w:rsidRPr="00CF1F1E">
        <w:rPr>
          <w:rFonts w:ascii="Arial" w:hAnsi="Arial" w:cs="Arial"/>
          <w:sz w:val="19"/>
          <w:szCs w:val="19"/>
        </w:rPr>
        <w:t>casos en que no existen cláusulas expresas que impongan</w:t>
      </w:r>
      <w:r>
        <w:rPr>
          <w:rFonts w:ascii="Arial" w:hAnsi="Arial" w:cs="Arial"/>
          <w:sz w:val="19"/>
          <w:szCs w:val="19"/>
        </w:rPr>
        <w:t xml:space="preserve"> </w:t>
      </w:r>
      <w:r w:rsidRPr="00CF1F1E">
        <w:rPr>
          <w:rFonts w:ascii="Arial" w:hAnsi="Arial" w:cs="Arial"/>
          <w:sz w:val="19"/>
          <w:szCs w:val="19"/>
        </w:rPr>
        <w:t>esa prestación personal o que prohíban la cesión o trasferencia del contrato o la subcontratación</w:t>
      </w:r>
      <w:r>
        <w:rPr>
          <w:rFonts w:ascii="Arial" w:hAnsi="Arial" w:cs="Arial"/>
          <w:sz w:val="19"/>
          <w:szCs w:val="19"/>
        </w:rPr>
        <w:t xml:space="preserve">» (ESCOLA, Jorge. </w:t>
      </w:r>
      <w:r w:rsidRPr="00C40139">
        <w:rPr>
          <w:rFonts w:ascii="Arial" w:hAnsi="Arial" w:cs="Arial"/>
          <w:sz w:val="19"/>
          <w:szCs w:val="19"/>
        </w:rPr>
        <w:t xml:space="preserve">Tratado integral de los contratos administrativos. Volumen I. Buenos Aires: Depalma, 2012. p. </w:t>
      </w:r>
      <w:r>
        <w:rPr>
          <w:rFonts w:ascii="Arial" w:hAnsi="Arial" w:cs="Arial"/>
          <w:sz w:val="19"/>
          <w:szCs w:val="19"/>
        </w:rPr>
        <w:t>424)</w:t>
      </w:r>
      <w:r w:rsidRPr="00C40139">
        <w:rPr>
          <w:rFonts w:ascii="Arial" w:hAnsi="Arial" w:cs="Arial"/>
          <w:sz w:val="19"/>
          <w:szCs w:val="19"/>
        </w:rPr>
        <w:t>.</w:t>
      </w:r>
    </w:p>
    <w:p w14:paraId="6B6C581B" w14:textId="77777777" w:rsidR="00E64D49" w:rsidRPr="00CF1F1E" w:rsidRDefault="00E64D49" w:rsidP="00CF1F1E">
      <w:pPr>
        <w:pStyle w:val="Textonotapie"/>
        <w:ind w:firstLine="708"/>
        <w:jc w:val="both"/>
        <w:rPr>
          <w:rFonts w:ascii="Arial" w:hAnsi="Arial" w:cs="Arial"/>
          <w:sz w:val="19"/>
          <w:szCs w:val="19"/>
        </w:rPr>
      </w:pPr>
    </w:p>
  </w:footnote>
  <w:footnote w:id="6">
    <w:p w14:paraId="7278D3E5" w14:textId="5567E06C" w:rsidR="00ED3526" w:rsidRPr="006253B7" w:rsidRDefault="00ED3526" w:rsidP="006253B7">
      <w:pPr>
        <w:pStyle w:val="Textonotapie"/>
        <w:ind w:firstLine="708"/>
        <w:jc w:val="both"/>
        <w:rPr>
          <w:rFonts w:ascii="Arial" w:hAnsi="Arial" w:cs="Arial"/>
          <w:sz w:val="19"/>
          <w:szCs w:val="19"/>
          <w:lang w:val="es-ES"/>
        </w:rPr>
      </w:pPr>
      <w:r w:rsidRPr="006253B7">
        <w:rPr>
          <w:rStyle w:val="Refdenotaalpie"/>
          <w:rFonts w:ascii="Arial" w:hAnsi="Arial" w:cs="Arial"/>
          <w:sz w:val="19"/>
          <w:szCs w:val="19"/>
        </w:rPr>
        <w:footnoteRef/>
      </w:r>
      <w:r w:rsidRPr="006253B7">
        <w:rPr>
          <w:rFonts w:ascii="Arial" w:hAnsi="Arial" w:cs="Arial"/>
          <w:sz w:val="19"/>
          <w:szCs w:val="19"/>
        </w:rPr>
        <w:t xml:space="preserve"> MARIENHOFF, Miguel S</w:t>
      </w:r>
      <w:r>
        <w:rPr>
          <w:rFonts w:ascii="Arial" w:hAnsi="Arial" w:cs="Arial"/>
          <w:sz w:val="19"/>
          <w:szCs w:val="19"/>
        </w:rPr>
        <w:t xml:space="preserve">. </w:t>
      </w:r>
      <w:r w:rsidRPr="006253B7">
        <w:rPr>
          <w:rFonts w:ascii="Arial" w:hAnsi="Arial" w:cs="Arial"/>
          <w:sz w:val="19"/>
          <w:szCs w:val="19"/>
        </w:rPr>
        <w:t>Tratado de derecho administrativo</w:t>
      </w:r>
      <w:r>
        <w:rPr>
          <w:rFonts w:ascii="Arial" w:hAnsi="Arial" w:cs="Arial"/>
          <w:sz w:val="19"/>
          <w:szCs w:val="19"/>
        </w:rPr>
        <w:t>. Tomo IIIA. Buenos Aires:</w:t>
      </w:r>
      <w:r w:rsidRPr="006253B7">
        <w:rPr>
          <w:rFonts w:ascii="Arial" w:hAnsi="Arial" w:cs="Arial"/>
          <w:sz w:val="19"/>
          <w:szCs w:val="19"/>
        </w:rPr>
        <w:t xml:space="preserve"> Abeledo Perrot, 1965</w:t>
      </w:r>
      <w:r>
        <w:rPr>
          <w:rFonts w:ascii="Arial" w:hAnsi="Arial" w:cs="Arial"/>
          <w:sz w:val="19"/>
          <w:szCs w:val="19"/>
        </w:rPr>
        <w:t>. p. 116.</w:t>
      </w:r>
    </w:p>
  </w:footnote>
  <w:footnote w:id="7">
    <w:p w14:paraId="01904629" w14:textId="7B9503C4" w:rsidR="00ED3526" w:rsidRDefault="00ED3526" w:rsidP="00B425E4">
      <w:pPr>
        <w:pStyle w:val="Textonotapie"/>
        <w:ind w:firstLine="708"/>
        <w:jc w:val="both"/>
        <w:rPr>
          <w:rFonts w:ascii="Arial" w:hAnsi="Arial" w:cs="Arial"/>
          <w:sz w:val="19"/>
          <w:szCs w:val="19"/>
        </w:rPr>
      </w:pPr>
      <w:r w:rsidRPr="00B425E4">
        <w:rPr>
          <w:rStyle w:val="Refdenotaalpie"/>
          <w:rFonts w:ascii="Arial" w:hAnsi="Arial" w:cs="Arial"/>
          <w:sz w:val="19"/>
          <w:szCs w:val="19"/>
        </w:rPr>
        <w:footnoteRef/>
      </w:r>
      <w:r w:rsidRPr="00B425E4">
        <w:rPr>
          <w:rFonts w:ascii="Arial" w:hAnsi="Arial" w:cs="Arial"/>
          <w:sz w:val="19"/>
          <w:szCs w:val="19"/>
        </w:rPr>
        <w:t xml:space="preserve"> </w:t>
      </w:r>
      <w:r>
        <w:rPr>
          <w:rFonts w:ascii="Arial" w:hAnsi="Arial" w:cs="Arial"/>
          <w:sz w:val="19"/>
          <w:szCs w:val="19"/>
        </w:rPr>
        <w:t xml:space="preserve">Es necesario tener en cuenta que el artículo 2 de la Ley 2014 de 2019 también modificó </w:t>
      </w:r>
      <w:r w:rsidRPr="00B425E4">
        <w:rPr>
          <w:rFonts w:ascii="Arial" w:hAnsi="Arial" w:cs="Arial"/>
          <w:sz w:val="19"/>
          <w:szCs w:val="19"/>
        </w:rPr>
        <w:t>el artículo 8, literal j) del numeral 1, de la Ley 80 de 1993</w:t>
      </w:r>
      <w:r>
        <w:rPr>
          <w:rFonts w:ascii="Arial" w:hAnsi="Arial" w:cs="Arial"/>
          <w:sz w:val="19"/>
          <w:szCs w:val="19"/>
        </w:rPr>
        <w:t xml:space="preserve">. </w:t>
      </w:r>
    </w:p>
    <w:p w14:paraId="1EBE5F54" w14:textId="77777777" w:rsidR="00710FD2" w:rsidRPr="00B425E4" w:rsidRDefault="00710FD2" w:rsidP="00B425E4">
      <w:pPr>
        <w:pStyle w:val="Textonotapie"/>
        <w:ind w:firstLine="708"/>
        <w:jc w:val="both"/>
        <w:rPr>
          <w:rFonts w:ascii="Arial" w:hAnsi="Arial" w:cs="Arial"/>
          <w:sz w:val="19"/>
          <w:szCs w:val="19"/>
          <w:lang w:val="es-ES"/>
        </w:rPr>
      </w:pPr>
    </w:p>
  </w:footnote>
  <w:footnote w:id="8">
    <w:p w14:paraId="7B00504E" w14:textId="59B263DC" w:rsidR="00ED3526" w:rsidRPr="007F63BA" w:rsidRDefault="00ED3526" w:rsidP="007F63BA">
      <w:pPr>
        <w:pStyle w:val="Textonotapie"/>
        <w:ind w:firstLine="708"/>
        <w:jc w:val="both"/>
        <w:rPr>
          <w:rFonts w:ascii="Arial" w:hAnsi="Arial" w:cs="Arial"/>
          <w:sz w:val="19"/>
          <w:szCs w:val="19"/>
          <w:lang w:val="es-ES"/>
        </w:rPr>
      </w:pPr>
      <w:r w:rsidRPr="007F63BA">
        <w:rPr>
          <w:rStyle w:val="Refdenotaalpie"/>
          <w:rFonts w:ascii="Arial" w:hAnsi="Arial" w:cs="Arial"/>
          <w:sz w:val="19"/>
          <w:szCs w:val="19"/>
        </w:rPr>
        <w:footnoteRef/>
      </w:r>
      <w:r w:rsidRPr="007F63BA">
        <w:rPr>
          <w:rFonts w:ascii="Arial" w:hAnsi="Arial" w:cs="Arial"/>
          <w:sz w:val="19"/>
          <w:szCs w:val="19"/>
        </w:rPr>
        <w:t xml:space="preserve"> </w:t>
      </w:r>
      <w:r>
        <w:rPr>
          <w:rFonts w:ascii="Arial" w:hAnsi="Arial" w:cs="Arial"/>
          <w:sz w:val="19"/>
          <w:szCs w:val="19"/>
        </w:rPr>
        <w:t xml:space="preserve">Aunque el artículo 9 de la Ley 80 de 1993 no regula el tema de las inhabilidades e incompatibilidades sobrevinientes entre la adjudicación del contrato y su perfeccionamiento, es necesario tener en cuenta que el artículo 9, inciso cuarto, de la Ley 1150 de 2007 dispone que «[…] </w:t>
      </w:r>
      <w:r w:rsidRPr="007F63BA">
        <w:rPr>
          <w:rFonts w:ascii="Arial" w:hAnsi="Arial" w:cs="Arial"/>
          <w:sz w:val="19"/>
          <w:szCs w:val="19"/>
        </w:rPr>
        <w:t xml:space="preserve">si dentro del plazo comprendido entre la adjudicación del contrato y la suscripción del mismo, sobreviene una inhabilidad o incompatibilidad o si se demuestra que el acto se obtuvo por medios ilegales, </w:t>
      </w:r>
      <w:r>
        <w:rPr>
          <w:rFonts w:ascii="Arial" w:hAnsi="Arial" w:cs="Arial"/>
          <w:sz w:val="19"/>
          <w:szCs w:val="19"/>
        </w:rPr>
        <w:t>[el acto de adjudicación]</w:t>
      </w:r>
      <w:r w:rsidRPr="007F63BA">
        <w:rPr>
          <w:rFonts w:ascii="Arial" w:hAnsi="Arial" w:cs="Arial"/>
          <w:sz w:val="19"/>
          <w:szCs w:val="19"/>
        </w:rPr>
        <w:t xml:space="preserve"> podrá ser revocado, caso en el cual, la entidad podrá aplicar lo previsto en el inciso final del numeral 12 del artículo 30 de la Ley 80 de 1993</w:t>
      </w:r>
      <w:r>
        <w:rPr>
          <w:rFonts w:ascii="Arial" w:hAnsi="Arial" w:cs="Arial"/>
          <w:sz w:val="19"/>
          <w:szCs w:val="19"/>
        </w:rPr>
        <w:t>» (Corchetes fuera de texto)</w:t>
      </w:r>
      <w:r w:rsidRPr="007F63BA">
        <w:rPr>
          <w:rFonts w:ascii="Arial" w:hAnsi="Arial" w:cs="Arial"/>
          <w:sz w:val="19"/>
          <w:szCs w:val="19"/>
        </w:rPr>
        <w:t>.</w:t>
      </w:r>
    </w:p>
  </w:footnote>
  <w:footnote w:id="9">
    <w:p w14:paraId="2020FCC2" w14:textId="18AB2EF0" w:rsidR="00787284" w:rsidRDefault="00787284" w:rsidP="00787284">
      <w:pPr>
        <w:pStyle w:val="Textonotapie"/>
        <w:ind w:firstLine="708"/>
        <w:jc w:val="both"/>
        <w:rPr>
          <w:rFonts w:ascii="Arial" w:hAnsi="Arial" w:cs="Arial"/>
          <w:sz w:val="19"/>
          <w:szCs w:val="19"/>
        </w:rPr>
      </w:pPr>
      <w:r w:rsidRPr="00787284">
        <w:rPr>
          <w:rStyle w:val="Refdenotaalpie"/>
          <w:rFonts w:ascii="Arial" w:hAnsi="Arial" w:cs="Arial"/>
          <w:sz w:val="19"/>
          <w:szCs w:val="19"/>
        </w:rPr>
        <w:footnoteRef/>
      </w:r>
      <w:r w:rsidRPr="00787284">
        <w:rPr>
          <w:rFonts w:ascii="Arial" w:hAnsi="Arial" w:cs="Arial"/>
          <w:sz w:val="19"/>
          <w:szCs w:val="19"/>
        </w:rPr>
        <w:t xml:space="preserve"> </w:t>
      </w:r>
      <w:r>
        <w:rPr>
          <w:rFonts w:ascii="Arial" w:hAnsi="Arial" w:cs="Arial"/>
          <w:sz w:val="19"/>
          <w:szCs w:val="19"/>
        </w:rPr>
        <w:t xml:space="preserve">CONGRESO DE LA REPÚBLICA. Exposición de motivos del Proyecto de Ley No. 163 de 2018. Gaceta No. 736 del 20 de septiembre de 2018. p. 22. </w:t>
      </w:r>
    </w:p>
    <w:p w14:paraId="7A345CC4" w14:textId="77777777" w:rsidR="00A04A6A" w:rsidRPr="00787284" w:rsidRDefault="00A04A6A" w:rsidP="00787284">
      <w:pPr>
        <w:pStyle w:val="Textonotapie"/>
        <w:ind w:firstLine="708"/>
        <w:jc w:val="both"/>
        <w:rPr>
          <w:rFonts w:ascii="Arial" w:hAnsi="Arial" w:cs="Arial"/>
          <w:sz w:val="19"/>
          <w:szCs w:val="19"/>
          <w:lang w:val="es-ES"/>
        </w:rPr>
      </w:pPr>
    </w:p>
  </w:footnote>
  <w:footnote w:id="10">
    <w:p w14:paraId="20B24575" w14:textId="77777777" w:rsidR="00A04A6A" w:rsidRDefault="00A04A6A" w:rsidP="00A04A6A">
      <w:pPr>
        <w:pStyle w:val="Textonotapie"/>
        <w:ind w:firstLine="708"/>
        <w:jc w:val="both"/>
        <w:rPr>
          <w:rFonts w:ascii="Arial" w:hAnsi="Arial" w:cs="Arial"/>
          <w:sz w:val="19"/>
          <w:szCs w:val="19"/>
        </w:rPr>
      </w:pPr>
      <w:r w:rsidRPr="00A04A6A">
        <w:rPr>
          <w:rStyle w:val="Refdenotaalpie"/>
          <w:rFonts w:ascii="Arial" w:hAnsi="Arial" w:cs="Arial"/>
          <w:sz w:val="19"/>
          <w:szCs w:val="19"/>
        </w:rPr>
        <w:footnoteRef/>
      </w:r>
      <w:r>
        <w:rPr>
          <w:rFonts w:ascii="Arial" w:hAnsi="Arial" w:cs="Arial"/>
          <w:sz w:val="19"/>
          <w:szCs w:val="19"/>
        </w:rPr>
        <w:t xml:space="preserve"> CONGRESO DE LA REPÚBLICA. T</w:t>
      </w:r>
      <w:r w:rsidRPr="00A04A6A">
        <w:rPr>
          <w:rFonts w:ascii="Arial" w:hAnsi="Arial" w:cs="Arial"/>
          <w:sz w:val="19"/>
          <w:szCs w:val="19"/>
        </w:rPr>
        <w:t>exto definitivo aprobado</w:t>
      </w:r>
      <w:r>
        <w:rPr>
          <w:rFonts w:ascii="Arial" w:hAnsi="Arial" w:cs="Arial"/>
          <w:sz w:val="19"/>
          <w:szCs w:val="19"/>
        </w:rPr>
        <w:t xml:space="preserve"> </w:t>
      </w:r>
      <w:r w:rsidRPr="00A04A6A">
        <w:rPr>
          <w:rFonts w:ascii="Arial" w:hAnsi="Arial" w:cs="Arial"/>
          <w:sz w:val="19"/>
          <w:szCs w:val="19"/>
        </w:rPr>
        <w:t>en Sesión Plenaria el día 16 de</w:t>
      </w:r>
      <w:r>
        <w:rPr>
          <w:rFonts w:ascii="Arial" w:hAnsi="Arial" w:cs="Arial"/>
          <w:sz w:val="19"/>
          <w:szCs w:val="19"/>
        </w:rPr>
        <w:t xml:space="preserve"> </w:t>
      </w:r>
      <w:r w:rsidRPr="00A04A6A">
        <w:rPr>
          <w:rFonts w:ascii="Arial" w:hAnsi="Arial" w:cs="Arial"/>
          <w:sz w:val="19"/>
          <w:szCs w:val="19"/>
        </w:rPr>
        <w:t xml:space="preserve">diciembre de 2019 al Proyecto </w:t>
      </w:r>
      <w:r>
        <w:rPr>
          <w:rFonts w:ascii="Arial" w:hAnsi="Arial" w:cs="Arial"/>
          <w:sz w:val="19"/>
          <w:szCs w:val="19"/>
        </w:rPr>
        <w:t>d</w:t>
      </w:r>
      <w:r w:rsidRPr="00A04A6A">
        <w:rPr>
          <w:rFonts w:ascii="Arial" w:hAnsi="Arial" w:cs="Arial"/>
          <w:sz w:val="19"/>
          <w:szCs w:val="19"/>
        </w:rPr>
        <w:t>e</w:t>
      </w:r>
      <w:r>
        <w:rPr>
          <w:rFonts w:ascii="Arial" w:hAnsi="Arial" w:cs="Arial"/>
          <w:sz w:val="19"/>
          <w:szCs w:val="19"/>
        </w:rPr>
        <w:t xml:space="preserve"> </w:t>
      </w:r>
      <w:r w:rsidRPr="00A04A6A">
        <w:rPr>
          <w:rFonts w:ascii="Arial" w:hAnsi="Arial" w:cs="Arial"/>
          <w:sz w:val="19"/>
          <w:szCs w:val="19"/>
        </w:rPr>
        <w:t>Ley</w:t>
      </w:r>
      <w:r>
        <w:rPr>
          <w:rFonts w:ascii="Arial" w:hAnsi="Arial" w:cs="Arial"/>
          <w:sz w:val="19"/>
          <w:szCs w:val="19"/>
        </w:rPr>
        <w:t xml:space="preserve"> No.</w:t>
      </w:r>
      <w:r w:rsidRPr="00A04A6A">
        <w:rPr>
          <w:rFonts w:ascii="Arial" w:hAnsi="Arial" w:cs="Arial"/>
          <w:sz w:val="19"/>
          <w:szCs w:val="19"/>
        </w:rPr>
        <w:t xml:space="preserve"> 119 de 2019 </w:t>
      </w:r>
      <w:r>
        <w:rPr>
          <w:rFonts w:ascii="Arial" w:hAnsi="Arial" w:cs="Arial"/>
          <w:sz w:val="19"/>
          <w:szCs w:val="19"/>
        </w:rPr>
        <w:t>S</w:t>
      </w:r>
      <w:r w:rsidRPr="00A04A6A">
        <w:rPr>
          <w:rFonts w:ascii="Arial" w:hAnsi="Arial" w:cs="Arial"/>
          <w:sz w:val="19"/>
          <w:szCs w:val="19"/>
        </w:rPr>
        <w:t>enado, 163 de</w:t>
      </w:r>
      <w:r>
        <w:rPr>
          <w:rFonts w:ascii="Arial" w:hAnsi="Arial" w:cs="Arial"/>
          <w:sz w:val="19"/>
          <w:szCs w:val="19"/>
        </w:rPr>
        <w:t xml:space="preserve"> </w:t>
      </w:r>
      <w:r w:rsidRPr="00A04A6A">
        <w:rPr>
          <w:rFonts w:ascii="Arial" w:hAnsi="Arial" w:cs="Arial"/>
          <w:sz w:val="19"/>
          <w:szCs w:val="19"/>
        </w:rPr>
        <w:t xml:space="preserve">2018 </w:t>
      </w:r>
      <w:r>
        <w:rPr>
          <w:rFonts w:ascii="Arial" w:hAnsi="Arial" w:cs="Arial"/>
          <w:sz w:val="19"/>
          <w:szCs w:val="19"/>
        </w:rPr>
        <w:t>C</w:t>
      </w:r>
      <w:r w:rsidRPr="00A04A6A">
        <w:rPr>
          <w:rFonts w:ascii="Arial" w:hAnsi="Arial" w:cs="Arial"/>
          <w:sz w:val="19"/>
          <w:szCs w:val="19"/>
        </w:rPr>
        <w:t>ámara</w:t>
      </w:r>
      <w:r>
        <w:rPr>
          <w:rFonts w:ascii="Arial" w:hAnsi="Arial" w:cs="Arial"/>
          <w:sz w:val="19"/>
          <w:szCs w:val="19"/>
        </w:rPr>
        <w:t xml:space="preserve">. Gaceta No. 1231 del 17 de diciembre de 2019. p. 5 y ss. </w:t>
      </w:r>
    </w:p>
    <w:p w14:paraId="044E668D" w14:textId="15066504" w:rsidR="00A04A6A" w:rsidRDefault="00A04A6A" w:rsidP="00A04A6A">
      <w:pPr>
        <w:pStyle w:val="Textonotapie"/>
        <w:ind w:firstLine="708"/>
        <w:jc w:val="both"/>
        <w:rPr>
          <w:rFonts w:ascii="Arial" w:hAnsi="Arial" w:cs="Arial"/>
          <w:sz w:val="19"/>
          <w:szCs w:val="19"/>
        </w:rPr>
      </w:pPr>
      <w:r>
        <w:rPr>
          <w:rFonts w:ascii="Arial" w:hAnsi="Arial" w:cs="Arial"/>
          <w:sz w:val="19"/>
          <w:szCs w:val="19"/>
        </w:rPr>
        <w:t>En contraste, el texto inicial del artículo 4 del Proyecto de Ley No. 163 de 2018 disponía</w:t>
      </w:r>
      <w:r w:rsidR="00233653">
        <w:rPr>
          <w:rFonts w:ascii="Arial" w:hAnsi="Arial" w:cs="Arial"/>
          <w:sz w:val="19"/>
          <w:szCs w:val="19"/>
        </w:rPr>
        <w:t xml:space="preserve">: </w:t>
      </w:r>
      <w:r w:rsidRPr="00A04A6A">
        <w:rPr>
          <w:rFonts w:ascii="Arial" w:hAnsi="Arial" w:cs="Arial"/>
          <w:sz w:val="19"/>
          <w:szCs w:val="19"/>
        </w:rPr>
        <w:t xml:space="preserve">«Adiciónese el siguiente parágrafo al artículo 9 de la Ley 80 de 1993, el cual quedará así: </w:t>
      </w:r>
    </w:p>
    <w:p w14:paraId="6AD9AA71" w14:textId="77777777" w:rsidR="00A04A6A" w:rsidRDefault="00A04A6A" w:rsidP="00A04A6A">
      <w:pPr>
        <w:pStyle w:val="Textonotapie"/>
        <w:ind w:firstLine="708"/>
        <w:jc w:val="both"/>
        <w:rPr>
          <w:rFonts w:ascii="Arial" w:hAnsi="Arial" w:cs="Arial"/>
          <w:sz w:val="19"/>
          <w:szCs w:val="19"/>
        </w:rPr>
      </w:pPr>
      <w:r>
        <w:rPr>
          <w:rFonts w:ascii="Arial" w:hAnsi="Arial" w:cs="Arial"/>
          <w:sz w:val="19"/>
          <w:szCs w:val="19"/>
        </w:rPr>
        <w:t>»</w:t>
      </w:r>
      <w:r w:rsidRPr="00A04A6A">
        <w:rPr>
          <w:rFonts w:ascii="Arial" w:hAnsi="Arial" w:cs="Arial"/>
          <w:sz w:val="19"/>
          <w:szCs w:val="19"/>
        </w:rPr>
        <w:t>“Parágrafo. Cuando la inhabilidad sobreviniente sea la contemplada en el literal j) del numeral 1 del artículo 8° de la Ley 80 de 1993, no procederá la renuncia del contrato a la que se refiere este artículo. En este caso, es obligación de la entidad estatal, en acto administrativo debidamente motivado, disponer de la terminación anticipada y unilateral del contrato, sin que haya lugar a indemnización alguna</w:t>
      </w:r>
      <w:r>
        <w:rPr>
          <w:rFonts w:ascii="Arial" w:hAnsi="Arial" w:cs="Arial"/>
          <w:sz w:val="19"/>
          <w:szCs w:val="19"/>
        </w:rPr>
        <w:t>»</w:t>
      </w:r>
      <w:r w:rsidRPr="00A04A6A">
        <w:rPr>
          <w:rFonts w:ascii="Arial" w:hAnsi="Arial" w:cs="Arial"/>
          <w:sz w:val="19"/>
          <w:szCs w:val="19"/>
        </w:rPr>
        <w:t xml:space="preserve">. </w:t>
      </w:r>
    </w:p>
    <w:p w14:paraId="683F6757" w14:textId="4F01F406" w:rsidR="00A04A6A" w:rsidRPr="00A04A6A" w:rsidRDefault="00A04A6A" w:rsidP="00A04A6A">
      <w:pPr>
        <w:pStyle w:val="Textonotapie"/>
        <w:ind w:firstLine="708"/>
        <w:jc w:val="both"/>
        <w:rPr>
          <w:rFonts w:ascii="Arial" w:hAnsi="Arial" w:cs="Arial"/>
          <w:sz w:val="19"/>
          <w:szCs w:val="19"/>
        </w:rPr>
      </w:pPr>
      <w:r>
        <w:rPr>
          <w:rFonts w:ascii="Arial" w:hAnsi="Arial" w:cs="Arial"/>
          <w:sz w:val="19"/>
          <w:szCs w:val="19"/>
        </w:rPr>
        <w:t>»</w:t>
      </w:r>
      <w:bookmarkStart w:id="9" w:name="_Hlk51659540"/>
      <w:r w:rsidRPr="00A04A6A">
        <w:rPr>
          <w:rFonts w:ascii="Arial" w:hAnsi="Arial" w:cs="Arial"/>
          <w:sz w:val="19"/>
          <w:szCs w:val="19"/>
        </w:rPr>
        <w:t>Para el caso de cesión, será la entidad contratante la encargada de determinar el cesionario del contrato, respetando las normas de la modalidad de selección de contratista correspondiente. En este caso la Agencia Nacional de Contratación Pública - Colombia Compra Eficiente, deberá expedir en un término de 6 meses la reglamentación correspondiente para definir el procedimiento más efectivo en el marco de la cesión del contrato, contemplada en este parágrafo según cada modalidad de selección de contratista</w:t>
      </w:r>
      <w:bookmarkEnd w:id="9"/>
      <w:r w:rsidRPr="00A04A6A">
        <w:rPr>
          <w:rFonts w:ascii="Arial" w:hAnsi="Arial" w:cs="Arial"/>
          <w:sz w:val="19"/>
          <w:szCs w:val="19"/>
        </w:rPr>
        <w:t>”</w:t>
      </w:r>
      <w:r>
        <w:rPr>
          <w:rFonts w:ascii="Arial" w:hAnsi="Arial" w:cs="Arial"/>
          <w:sz w:val="19"/>
          <w:szCs w:val="19"/>
        </w:rPr>
        <w:t>»</w:t>
      </w:r>
      <w:r w:rsidRPr="00A04A6A">
        <w:rPr>
          <w:rFonts w:ascii="Arial" w:hAnsi="Arial" w:cs="Arial"/>
          <w:sz w:val="19"/>
          <w:szCs w:val="19"/>
        </w:rPr>
        <w:t xml:space="preserve">.  </w:t>
      </w:r>
    </w:p>
  </w:footnote>
  <w:footnote w:id="11">
    <w:p w14:paraId="1814BA90" w14:textId="77777777" w:rsidR="00EC52AE" w:rsidRDefault="00EC52AE" w:rsidP="00EC52AE">
      <w:pPr>
        <w:pStyle w:val="Textonotapie"/>
        <w:ind w:firstLine="708"/>
        <w:jc w:val="both"/>
        <w:rPr>
          <w:rFonts w:ascii="Arial" w:hAnsi="Arial" w:cs="Arial"/>
          <w:sz w:val="19"/>
          <w:szCs w:val="19"/>
        </w:rPr>
      </w:pPr>
      <w:r w:rsidRPr="00EC52AE">
        <w:rPr>
          <w:rStyle w:val="Refdenotaalpie"/>
          <w:rFonts w:ascii="Arial" w:hAnsi="Arial" w:cs="Arial"/>
          <w:sz w:val="19"/>
          <w:szCs w:val="19"/>
        </w:rPr>
        <w:footnoteRef/>
      </w:r>
      <w:r w:rsidRPr="00EC52AE">
        <w:rPr>
          <w:rFonts w:ascii="Arial" w:hAnsi="Arial" w:cs="Arial"/>
          <w:sz w:val="19"/>
          <w:szCs w:val="19"/>
        </w:rPr>
        <w:t xml:space="preserve"> </w:t>
      </w:r>
      <w:r>
        <w:rPr>
          <w:rFonts w:ascii="Arial" w:hAnsi="Arial" w:cs="Arial"/>
          <w:sz w:val="19"/>
          <w:szCs w:val="19"/>
        </w:rPr>
        <w:t>El inciso final del artículo 2 de la Ley 1437 de 2011 dispone que «</w:t>
      </w:r>
      <w:r w:rsidRPr="00EC52AE">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r>
        <w:rPr>
          <w:rFonts w:ascii="Arial" w:hAnsi="Arial" w:cs="Arial"/>
          <w:sz w:val="19"/>
          <w:szCs w:val="19"/>
        </w:rPr>
        <w:t>»</w:t>
      </w:r>
      <w:r w:rsidRPr="00EC52AE">
        <w:rPr>
          <w:rFonts w:ascii="Arial" w:hAnsi="Arial" w:cs="Arial"/>
          <w:sz w:val="19"/>
          <w:szCs w:val="19"/>
        </w:rPr>
        <w:t>.</w:t>
      </w:r>
      <w:r>
        <w:rPr>
          <w:rFonts w:ascii="Arial" w:hAnsi="Arial" w:cs="Arial"/>
          <w:sz w:val="19"/>
          <w:szCs w:val="19"/>
        </w:rPr>
        <w:t xml:space="preserve"> </w:t>
      </w:r>
    </w:p>
    <w:p w14:paraId="2E98CC49" w14:textId="3DCDB7E6" w:rsidR="00EC52AE" w:rsidRPr="00EC52AE" w:rsidRDefault="00EC52AE" w:rsidP="00EC52AE">
      <w:pPr>
        <w:pStyle w:val="Textonotapie"/>
        <w:ind w:firstLine="708"/>
        <w:jc w:val="both"/>
        <w:rPr>
          <w:rFonts w:ascii="Arial" w:hAnsi="Arial" w:cs="Arial"/>
          <w:sz w:val="19"/>
          <w:szCs w:val="19"/>
          <w:lang w:val="es-ES"/>
        </w:rPr>
      </w:pPr>
      <w:r>
        <w:rPr>
          <w:rFonts w:ascii="Arial" w:hAnsi="Arial" w:cs="Arial"/>
          <w:sz w:val="19"/>
          <w:szCs w:val="19"/>
        </w:rPr>
        <w:t>Además, el artículo 77 de la Ley 80 de 1993 prescribe lo siguiente: «</w:t>
      </w:r>
      <w:r w:rsidRPr="00EC52AE">
        <w:rPr>
          <w:rFonts w:ascii="Arial" w:hAnsi="Arial" w:cs="Arial"/>
          <w:sz w:val="19"/>
          <w:szCs w:val="19"/>
        </w:rPr>
        <w:t>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r>
        <w:rPr>
          <w:rFonts w:ascii="Arial" w:hAnsi="Arial" w:cs="Arial"/>
          <w:sz w:val="19"/>
          <w:szCs w:val="19"/>
        </w:rPr>
        <w:t>».</w:t>
      </w:r>
    </w:p>
  </w:footnote>
  <w:footnote w:id="12">
    <w:p w14:paraId="67A43FAA" w14:textId="18C266FE" w:rsidR="00614771" w:rsidRDefault="00614771" w:rsidP="00614771">
      <w:pPr>
        <w:pStyle w:val="Textonotapie"/>
        <w:ind w:firstLine="708"/>
        <w:jc w:val="both"/>
        <w:rPr>
          <w:rFonts w:ascii="Arial" w:hAnsi="Arial" w:cs="Arial"/>
          <w:sz w:val="19"/>
          <w:szCs w:val="19"/>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El artículo 189.11 de la Constitución Política de 1991 dispone que corresponde al 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p w14:paraId="74F5EC46" w14:textId="77777777" w:rsidR="00502EBB" w:rsidRPr="00614771" w:rsidRDefault="00502EBB" w:rsidP="00614771">
      <w:pPr>
        <w:pStyle w:val="Textonotapie"/>
        <w:ind w:firstLine="708"/>
        <w:jc w:val="both"/>
        <w:rPr>
          <w:rFonts w:ascii="Arial" w:hAnsi="Arial" w:cs="Arial"/>
          <w:sz w:val="19"/>
          <w:szCs w:val="19"/>
          <w:lang w:val="es-ES"/>
        </w:rPr>
      </w:pPr>
    </w:p>
  </w:footnote>
  <w:footnote w:id="13">
    <w:p w14:paraId="3CF8299C" w14:textId="70ECA862" w:rsidR="00502EBB" w:rsidRPr="00502EBB" w:rsidRDefault="00502EBB" w:rsidP="00502EBB">
      <w:pPr>
        <w:pStyle w:val="Textonotapie"/>
        <w:ind w:firstLine="708"/>
        <w:jc w:val="both"/>
        <w:rPr>
          <w:rFonts w:ascii="Arial" w:hAnsi="Arial" w:cs="Arial"/>
          <w:sz w:val="19"/>
          <w:szCs w:val="19"/>
          <w:lang w:val="es-ES"/>
        </w:rPr>
      </w:pPr>
      <w:r w:rsidRPr="00502EBB">
        <w:rPr>
          <w:rStyle w:val="Refdenotaalpie"/>
          <w:rFonts w:ascii="Arial" w:hAnsi="Arial" w:cs="Arial"/>
          <w:sz w:val="19"/>
          <w:szCs w:val="19"/>
        </w:rPr>
        <w:footnoteRef/>
      </w:r>
      <w:r w:rsidRPr="00502EBB">
        <w:rPr>
          <w:rFonts w:ascii="Arial" w:hAnsi="Arial" w:cs="Arial"/>
          <w:sz w:val="19"/>
          <w:szCs w:val="19"/>
        </w:rPr>
        <w:t xml:space="preserve"> </w:t>
      </w:r>
      <w:r>
        <w:rPr>
          <w:rFonts w:ascii="Arial" w:hAnsi="Arial" w:cs="Arial"/>
          <w:sz w:val="19"/>
          <w:szCs w:val="19"/>
        </w:rPr>
        <w:t xml:space="preserve">CONSEJO DE ESTADO. Sección </w:t>
      </w:r>
      <w:r w:rsidR="00746876">
        <w:rPr>
          <w:rFonts w:ascii="Arial" w:hAnsi="Arial" w:cs="Arial"/>
          <w:sz w:val="19"/>
          <w:szCs w:val="19"/>
        </w:rPr>
        <w:t xml:space="preserve">Quinta. Sentencia del 9 de junio de 2011. Rad. </w:t>
      </w:r>
      <w:r w:rsidR="00746876" w:rsidRPr="00746876">
        <w:rPr>
          <w:rFonts w:ascii="Arial" w:hAnsi="Arial" w:cs="Arial"/>
          <w:sz w:val="19"/>
          <w:szCs w:val="19"/>
        </w:rPr>
        <w:t>25000232400020100062901(ACU)</w:t>
      </w:r>
      <w:r w:rsidR="00746876">
        <w:rPr>
          <w:rFonts w:ascii="Arial" w:hAnsi="Arial" w:cs="Arial"/>
          <w:sz w:val="19"/>
          <w:szCs w:val="19"/>
        </w:rPr>
        <w:t xml:space="preserve">. C.P. </w:t>
      </w:r>
      <w:r w:rsidR="00746876" w:rsidRPr="00746876">
        <w:rPr>
          <w:rFonts w:ascii="Arial" w:hAnsi="Arial" w:cs="Arial"/>
          <w:sz w:val="19"/>
          <w:szCs w:val="19"/>
        </w:rPr>
        <w:t>Susana Buitrago Valencia</w:t>
      </w:r>
      <w:r w:rsidR="00746876">
        <w:rPr>
          <w:rFonts w:ascii="Arial" w:hAnsi="Arial" w:cs="Arial"/>
          <w:sz w:val="19"/>
          <w:szCs w:val="19"/>
        </w:rPr>
        <w:t>.</w:t>
      </w:r>
    </w:p>
  </w:footnote>
  <w:footnote w:id="14">
    <w:p w14:paraId="2F2BD17E" w14:textId="1C6F14D1" w:rsidR="00BE35F3" w:rsidRDefault="00BE35F3" w:rsidP="00DA1F59">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00DA1F59" w:rsidRPr="00DA1F59">
        <w:rPr>
          <w:rFonts w:ascii="Arial" w:hAnsi="Arial" w:cs="Arial"/>
          <w:sz w:val="19"/>
          <w:szCs w:val="19"/>
        </w:rPr>
        <w:t xml:space="preserve"> No en vano, la Corte Constitucional explica que</w:t>
      </w:r>
      <w:r w:rsidR="00DA1F59">
        <w:rPr>
          <w:rFonts w:ascii="Arial" w:hAnsi="Arial" w:cs="Arial"/>
          <w:sz w:val="19"/>
          <w:szCs w:val="19"/>
        </w:rPr>
        <w:t xml:space="preserve"> estos casos la potestad reglamentaria</w:t>
      </w:r>
      <w:r w:rsidR="00DA1F59" w:rsidRPr="00DA1F59">
        <w:rPr>
          <w:rFonts w:ascii="Arial" w:hAnsi="Arial" w:cs="Arial"/>
          <w:sz w:val="19"/>
          <w:szCs w:val="19"/>
        </w:rPr>
        <w:t xml:space="preserve"> «[…] puede ejercerse por </w:t>
      </w:r>
      <w:r w:rsidR="00132DBE">
        <w:rPr>
          <w:rFonts w:ascii="Arial" w:hAnsi="Arial" w:cs="Arial"/>
          <w:sz w:val="19"/>
          <w:szCs w:val="19"/>
        </w:rPr>
        <w:t>[el Gobierno Nacional]</w:t>
      </w:r>
      <w:r w:rsidR="00DA1F59"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sidR="00132DBE">
        <w:rPr>
          <w:rFonts w:ascii="Arial" w:hAnsi="Arial" w:cs="Arial"/>
          <w:sz w:val="19"/>
          <w:szCs w:val="19"/>
        </w:rPr>
        <w:t xml:space="preserve">. </w:t>
      </w:r>
      <w:r w:rsidR="00132DBE" w:rsidRPr="00132DBE">
        <w:rPr>
          <w:rFonts w:ascii="Arial" w:hAnsi="Arial" w:cs="Arial"/>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00132DBE"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sidR="00132DBE">
        <w:rPr>
          <w:rFonts w:ascii="Arial" w:hAnsi="Arial" w:cs="Arial"/>
          <w:sz w:val="19"/>
          <w:szCs w:val="19"/>
        </w:rPr>
        <w:t>» (CORTE CONSTITUCIONAL. Sentencia C-805 de 2001. M.P. Rodrigo Escobar Gil. Corchetes y énfasis fuera de texto).</w:t>
      </w:r>
      <w:r w:rsidR="00DA1F59" w:rsidRPr="00DA1F59">
        <w:rPr>
          <w:rFonts w:ascii="Arial" w:hAnsi="Arial" w:cs="Arial"/>
          <w:sz w:val="19"/>
          <w:szCs w:val="19"/>
        </w:rPr>
        <w:t xml:space="preserve"> </w:t>
      </w:r>
      <w:r w:rsidRPr="00DA1F59">
        <w:rPr>
          <w:rFonts w:ascii="Arial" w:hAnsi="Arial" w:cs="Arial"/>
          <w:sz w:val="19"/>
          <w:szCs w:val="19"/>
        </w:rPr>
        <w:t xml:space="preserve"> </w:t>
      </w:r>
    </w:p>
    <w:p w14:paraId="6C7E4547" w14:textId="77777777" w:rsidR="0053325A" w:rsidRPr="00DA1F59" w:rsidRDefault="0053325A" w:rsidP="00DA1F59">
      <w:pPr>
        <w:pStyle w:val="Textonotapie"/>
        <w:ind w:firstLine="708"/>
        <w:jc w:val="both"/>
        <w:rPr>
          <w:rFonts w:ascii="Arial" w:hAnsi="Arial" w:cs="Arial"/>
          <w:sz w:val="19"/>
          <w:szCs w:val="19"/>
          <w:lang w:val="es-ES"/>
        </w:rPr>
      </w:pPr>
    </w:p>
  </w:footnote>
  <w:footnote w:id="15">
    <w:p w14:paraId="21967874" w14:textId="77777777" w:rsidR="0040085D" w:rsidRDefault="0053325A" w:rsidP="00122311">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Riccardo. Interpretar y argumentar. Madrid: Centro de Estudios </w:t>
      </w:r>
      <w:r w:rsidR="00122311">
        <w:rPr>
          <w:rFonts w:ascii="Arial" w:hAnsi="Arial" w:cs="Arial"/>
          <w:sz w:val="19"/>
          <w:szCs w:val="19"/>
        </w:rPr>
        <w:t>Políticos</w:t>
      </w:r>
      <w:r>
        <w:rPr>
          <w:rFonts w:ascii="Arial" w:hAnsi="Arial" w:cs="Arial"/>
          <w:sz w:val="19"/>
          <w:szCs w:val="19"/>
        </w:rPr>
        <w:t xml:space="preserve"> </w:t>
      </w:r>
      <w:r w:rsidR="00122311">
        <w:rPr>
          <w:rFonts w:ascii="Arial" w:hAnsi="Arial" w:cs="Arial"/>
          <w:sz w:val="19"/>
          <w:szCs w:val="19"/>
        </w:rPr>
        <w:t xml:space="preserve">y </w:t>
      </w:r>
      <w:r>
        <w:rPr>
          <w:rFonts w:ascii="Arial" w:hAnsi="Arial" w:cs="Arial"/>
          <w:sz w:val="19"/>
          <w:szCs w:val="19"/>
        </w:rPr>
        <w:t>Constitucionales</w:t>
      </w:r>
      <w:r w:rsidR="00122311">
        <w:rPr>
          <w:rFonts w:ascii="Arial" w:hAnsi="Arial" w:cs="Arial"/>
          <w:sz w:val="19"/>
          <w:szCs w:val="19"/>
        </w:rPr>
        <w:t xml:space="preserve">, 2014. p. 145. El autor también propone los siguientes ejemplos de </w:t>
      </w:r>
      <w:r w:rsidR="00122311" w:rsidRPr="00122311">
        <w:rPr>
          <w:rFonts w:ascii="Arial" w:hAnsi="Arial" w:cs="Arial"/>
          <w:i/>
          <w:iCs/>
          <w:sz w:val="19"/>
          <w:szCs w:val="19"/>
        </w:rPr>
        <w:t>lagunas técnicas</w:t>
      </w:r>
      <w:r w:rsidR="00122311">
        <w:rPr>
          <w:rFonts w:ascii="Arial" w:hAnsi="Arial" w:cs="Arial"/>
          <w:sz w:val="19"/>
          <w:szCs w:val="19"/>
        </w:rPr>
        <w:t xml:space="preserve">: «[…] </w:t>
      </w:r>
      <w:r w:rsidR="00122311" w:rsidRPr="00122311">
        <w:rPr>
          <w:rFonts w:ascii="Arial" w:hAnsi="Arial" w:cs="Arial"/>
          <w:sz w:val="19"/>
          <w:szCs w:val="19"/>
        </w:rPr>
        <w:t>una norma prescribe la periódica convocatoria de un</w:t>
      </w:r>
      <w:r w:rsidR="00122311">
        <w:rPr>
          <w:rFonts w:ascii="Arial" w:hAnsi="Arial" w:cs="Arial"/>
          <w:sz w:val="19"/>
          <w:szCs w:val="19"/>
        </w:rPr>
        <w:t xml:space="preserve"> </w:t>
      </w:r>
      <w:r w:rsidR="00122311" w:rsidRPr="00122311">
        <w:rPr>
          <w:rFonts w:ascii="Arial" w:hAnsi="Arial" w:cs="Arial"/>
          <w:sz w:val="19"/>
          <w:szCs w:val="19"/>
        </w:rPr>
        <w:t>órgano; pero ninguna norma determina qué sujeto es el competente para</w:t>
      </w:r>
      <w:r w:rsidR="00122311">
        <w:rPr>
          <w:rFonts w:ascii="Arial" w:hAnsi="Arial" w:cs="Arial"/>
          <w:sz w:val="19"/>
          <w:szCs w:val="19"/>
        </w:rPr>
        <w:t xml:space="preserve"> </w:t>
      </w:r>
      <w:r w:rsidR="00122311" w:rsidRPr="00122311">
        <w:rPr>
          <w:rFonts w:ascii="Arial" w:hAnsi="Arial" w:cs="Arial"/>
          <w:sz w:val="19"/>
          <w:szCs w:val="19"/>
        </w:rPr>
        <w:t>convocarlo; una norma instituye cierto órgano electivo, pero ninguna</w:t>
      </w:r>
      <w:r w:rsidR="00122311">
        <w:rPr>
          <w:rFonts w:ascii="Arial" w:hAnsi="Arial" w:cs="Arial"/>
          <w:sz w:val="19"/>
          <w:szCs w:val="19"/>
        </w:rPr>
        <w:t xml:space="preserve"> </w:t>
      </w:r>
      <w:r w:rsidR="00122311" w:rsidRPr="00122311">
        <w:rPr>
          <w:rFonts w:ascii="Arial" w:hAnsi="Arial" w:cs="Arial"/>
          <w:sz w:val="19"/>
          <w:szCs w:val="19"/>
        </w:rPr>
        <w:t>norma establece qué sistema electoral debe adoptarse; una norma recomienda perseguir cierto fin, pero ninguna norma establece qué medios</w:t>
      </w:r>
      <w:r w:rsidR="00122311">
        <w:rPr>
          <w:rFonts w:ascii="Arial" w:hAnsi="Arial" w:cs="Arial"/>
          <w:sz w:val="19"/>
          <w:szCs w:val="19"/>
        </w:rPr>
        <w:t xml:space="preserve"> </w:t>
      </w:r>
      <w:r w:rsidR="00122311" w:rsidRPr="00122311">
        <w:rPr>
          <w:rFonts w:ascii="Arial" w:hAnsi="Arial" w:cs="Arial"/>
          <w:sz w:val="19"/>
          <w:szCs w:val="19"/>
        </w:rPr>
        <w:t>deben utilizarse; etc</w:t>
      </w:r>
      <w:r w:rsidR="00122311">
        <w:rPr>
          <w:rFonts w:ascii="Arial" w:hAnsi="Arial" w:cs="Arial"/>
          <w:sz w:val="19"/>
          <w:szCs w:val="19"/>
        </w:rPr>
        <w:t>.» (</w:t>
      </w:r>
      <w:r w:rsidR="00122311" w:rsidRPr="0040085D">
        <w:rPr>
          <w:rFonts w:ascii="Arial" w:hAnsi="Arial" w:cs="Arial"/>
          <w:i/>
          <w:iCs/>
          <w:sz w:val="19"/>
          <w:szCs w:val="19"/>
        </w:rPr>
        <w:t>Ibidem</w:t>
      </w:r>
      <w:r w:rsidR="00122311">
        <w:rPr>
          <w:rFonts w:ascii="Arial" w:hAnsi="Arial" w:cs="Arial"/>
          <w:sz w:val="19"/>
          <w:szCs w:val="19"/>
        </w:rPr>
        <w:t xml:space="preserve">). </w:t>
      </w:r>
      <w:r>
        <w:rPr>
          <w:rFonts w:ascii="Arial" w:hAnsi="Arial" w:cs="Arial"/>
          <w:sz w:val="19"/>
          <w:szCs w:val="19"/>
        </w:rPr>
        <w:t xml:space="preserve"> </w:t>
      </w:r>
    </w:p>
    <w:p w14:paraId="4267F02A" w14:textId="336AC1B8" w:rsidR="0053325A" w:rsidRPr="00122311" w:rsidRDefault="0053325A" w:rsidP="00122311">
      <w:pPr>
        <w:pStyle w:val="Textonotapie"/>
        <w:ind w:firstLine="708"/>
        <w:jc w:val="both"/>
        <w:rPr>
          <w:rFonts w:ascii="Arial" w:hAnsi="Arial" w:cs="Arial"/>
          <w:sz w:val="19"/>
          <w:szCs w:val="19"/>
        </w:rPr>
      </w:pPr>
      <w:r>
        <w:rPr>
          <w:rFonts w:ascii="Arial" w:hAnsi="Arial" w:cs="Arial"/>
          <w:sz w:val="19"/>
          <w:szCs w:val="19"/>
        </w:rPr>
        <w:t xml:space="preserve">  </w:t>
      </w:r>
    </w:p>
  </w:footnote>
  <w:footnote w:id="16">
    <w:p w14:paraId="717FF8E0" w14:textId="02A99EEC" w:rsidR="0040085D" w:rsidRPr="0040085D" w:rsidRDefault="0040085D" w:rsidP="0040085D">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7">
    <w:p w14:paraId="3615E422" w14:textId="77777777" w:rsidR="00E007E6" w:rsidRPr="00002995" w:rsidRDefault="00E007E6" w:rsidP="00E007E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 w:id="18">
    <w:p w14:paraId="34075E68" w14:textId="03CAAD05" w:rsidR="005716A8" w:rsidRDefault="005716A8" w:rsidP="005716A8">
      <w:pPr>
        <w:pStyle w:val="Textonotapie"/>
        <w:ind w:firstLine="708"/>
        <w:jc w:val="both"/>
        <w:rPr>
          <w:rFonts w:ascii="Arial" w:hAnsi="Arial" w:cs="Arial"/>
          <w:sz w:val="19"/>
          <w:szCs w:val="19"/>
        </w:rPr>
      </w:pPr>
      <w:r w:rsidRPr="005716A8">
        <w:rPr>
          <w:rStyle w:val="Refdenotaalpie"/>
          <w:rFonts w:ascii="Arial" w:hAnsi="Arial" w:cs="Arial"/>
          <w:sz w:val="19"/>
          <w:szCs w:val="19"/>
        </w:rPr>
        <w:footnoteRef/>
      </w:r>
      <w:r w:rsidRPr="005716A8">
        <w:rPr>
          <w:rFonts w:ascii="Arial" w:hAnsi="Arial" w:cs="Arial"/>
          <w:sz w:val="19"/>
          <w:szCs w:val="19"/>
        </w:rPr>
        <w:t xml:space="preserve"> </w:t>
      </w:r>
      <w:r>
        <w:rPr>
          <w:rFonts w:ascii="Arial" w:hAnsi="Arial" w:cs="Arial"/>
          <w:sz w:val="19"/>
          <w:szCs w:val="19"/>
        </w:rPr>
        <w:t xml:space="preserve">Cfr. pie de página No. 10 </w:t>
      </w:r>
      <w:r w:rsidRPr="005716A8">
        <w:rPr>
          <w:rFonts w:ascii="Arial" w:hAnsi="Arial" w:cs="Arial"/>
          <w:i/>
          <w:iCs/>
          <w:sz w:val="19"/>
          <w:szCs w:val="19"/>
        </w:rPr>
        <w:t>ut supra</w:t>
      </w:r>
      <w:r>
        <w:rPr>
          <w:rFonts w:ascii="Arial" w:hAnsi="Arial" w:cs="Arial"/>
          <w:sz w:val="19"/>
          <w:szCs w:val="19"/>
        </w:rPr>
        <w:t>.</w:t>
      </w:r>
    </w:p>
    <w:p w14:paraId="115C4FD1" w14:textId="77777777" w:rsidR="00013C14" w:rsidRPr="005716A8" w:rsidRDefault="00013C14" w:rsidP="005716A8">
      <w:pPr>
        <w:pStyle w:val="Textonotapie"/>
        <w:ind w:firstLine="708"/>
        <w:jc w:val="both"/>
        <w:rPr>
          <w:rFonts w:ascii="Arial" w:hAnsi="Arial" w:cs="Arial"/>
          <w:sz w:val="19"/>
          <w:szCs w:val="19"/>
          <w:lang w:val="es-ES"/>
        </w:rPr>
      </w:pPr>
    </w:p>
  </w:footnote>
  <w:footnote w:id="19">
    <w:p w14:paraId="3F26FFE4" w14:textId="4E53E61E" w:rsidR="00AC3DCF" w:rsidRDefault="00AC3DCF" w:rsidP="00AC3DCF">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sidR="005B77BE">
        <w:rPr>
          <w:rFonts w:ascii="Arial" w:hAnsi="Arial" w:cs="Arial"/>
          <w:sz w:val="19"/>
          <w:szCs w:val="19"/>
        </w:rPr>
        <w:t xml:space="preserve">MARÍN CORTÉS, Fabián Gonzalo. El reglamento, como fuente del derecho administrativo. En: las fuentes del derecho administrativo. </w:t>
      </w:r>
      <w:r w:rsidR="002B3689">
        <w:rPr>
          <w:rFonts w:ascii="Arial" w:hAnsi="Arial" w:cs="Arial"/>
          <w:sz w:val="19"/>
          <w:szCs w:val="19"/>
        </w:rPr>
        <w:t>Texto inédito. p</w:t>
      </w:r>
      <w:r w:rsidR="00612D4B">
        <w:rPr>
          <w:rFonts w:ascii="Arial" w:hAnsi="Arial" w:cs="Arial"/>
          <w:sz w:val="19"/>
          <w:szCs w:val="19"/>
        </w:rPr>
        <w:t>. 203.</w:t>
      </w:r>
    </w:p>
    <w:p w14:paraId="03AFE039" w14:textId="77777777" w:rsidR="002B3689" w:rsidRPr="00AC3DCF" w:rsidRDefault="002B3689" w:rsidP="00AC3DCF">
      <w:pPr>
        <w:pStyle w:val="Textonotapie"/>
        <w:ind w:firstLine="708"/>
        <w:jc w:val="both"/>
        <w:rPr>
          <w:rFonts w:ascii="Arial" w:hAnsi="Arial" w:cs="Arial"/>
          <w:sz w:val="19"/>
          <w:szCs w:val="19"/>
          <w:lang w:val="es-ES"/>
        </w:rPr>
      </w:pPr>
    </w:p>
  </w:footnote>
  <w:footnote w:id="20">
    <w:p w14:paraId="706AFF3A" w14:textId="10C8ADFE" w:rsidR="00AC3DCF" w:rsidRPr="00AC3DCF" w:rsidRDefault="00AC3DCF" w:rsidP="00AC3DCF">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002B3689" w:rsidRPr="002B3689">
        <w:rPr>
          <w:rFonts w:ascii="Arial" w:hAnsi="Arial" w:cs="Arial"/>
          <w:i/>
          <w:iCs/>
          <w:sz w:val="19"/>
          <w:szCs w:val="19"/>
        </w:rPr>
        <w:t>Ibidem</w:t>
      </w:r>
      <w:r w:rsidR="002B368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ED3526" w:rsidRDefault="00ED3526">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31FE"/>
    <w:rsid w:val="000047EA"/>
    <w:rsid w:val="000072CE"/>
    <w:rsid w:val="000100E8"/>
    <w:rsid w:val="00010A06"/>
    <w:rsid w:val="00010D30"/>
    <w:rsid w:val="00013780"/>
    <w:rsid w:val="000137A9"/>
    <w:rsid w:val="00013C14"/>
    <w:rsid w:val="000156B3"/>
    <w:rsid w:val="00021180"/>
    <w:rsid w:val="00023057"/>
    <w:rsid w:val="00024771"/>
    <w:rsid w:val="00026A6E"/>
    <w:rsid w:val="0003091B"/>
    <w:rsid w:val="000324C9"/>
    <w:rsid w:val="000333A2"/>
    <w:rsid w:val="00034108"/>
    <w:rsid w:val="00034853"/>
    <w:rsid w:val="0003601F"/>
    <w:rsid w:val="0003625C"/>
    <w:rsid w:val="00036E73"/>
    <w:rsid w:val="00037414"/>
    <w:rsid w:val="00040C88"/>
    <w:rsid w:val="00040D6E"/>
    <w:rsid w:val="00042C0C"/>
    <w:rsid w:val="000439E9"/>
    <w:rsid w:val="00043A4D"/>
    <w:rsid w:val="000445B5"/>
    <w:rsid w:val="00044FF2"/>
    <w:rsid w:val="000466AB"/>
    <w:rsid w:val="000466AC"/>
    <w:rsid w:val="00047050"/>
    <w:rsid w:val="00051D31"/>
    <w:rsid w:val="00053D7E"/>
    <w:rsid w:val="00054B43"/>
    <w:rsid w:val="00054E9A"/>
    <w:rsid w:val="000563ED"/>
    <w:rsid w:val="00056B40"/>
    <w:rsid w:val="00057B7C"/>
    <w:rsid w:val="00061E34"/>
    <w:rsid w:val="00061EE4"/>
    <w:rsid w:val="00062512"/>
    <w:rsid w:val="00062B0D"/>
    <w:rsid w:val="0006519B"/>
    <w:rsid w:val="00070FE3"/>
    <w:rsid w:val="00072EB9"/>
    <w:rsid w:val="000757B4"/>
    <w:rsid w:val="000763E2"/>
    <w:rsid w:val="00076F69"/>
    <w:rsid w:val="00083BE1"/>
    <w:rsid w:val="00086A16"/>
    <w:rsid w:val="00091039"/>
    <w:rsid w:val="00091570"/>
    <w:rsid w:val="0009161E"/>
    <w:rsid w:val="00091D8F"/>
    <w:rsid w:val="00091F2D"/>
    <w:rsid w:val="000929DE"/>
    <w:rsid w:val="00093E58"/>
    <w:rsid w:val="00095C76"/>
    <w:rsid w:val="00097CD6"/>
    <w:rsid w:val="000A1DBA"/>
    <w:rsid w:val="000A2BEF"/>
    <w:rsid w:val="000A3B96"/>
    <w:rsid w:val="000A4C83"/>
    <w:rsid w:val="000A6338"/>
    <w:rsid w:val="000A6B6F"/>
    <w:rsid w:val="000A70D5"/>
    <w:rsid w:val="000B4A19"/>
    <w:rsid w:val="000C0E39"/>
    <w:rsid w:val="000C3BD4"/>
    <w:rsid w:val="000C3D66"/>
    <w:rsid w:val="000C4A2C"/>
    <w:rsid w:val="000C51AF"/>
    <w:rsid w:val="000C5830"/>
    <w:rsid w:val="000C5C37"/>
    <w:rsid w:val="000C5D09"/>
    <w:rsid w:val="000C79F1"/>
    <w:rsid w:val="000D088F"/>
    <w:rsid w:val="000D1766"/>
    <w:rsid w:val="000D6C6D"/>
    <w:rsid w:val="000E0AB3"/>
    <w:rsid w:val="000E284C"/>
    <w:rsid w:val="000E4925"/>
    <w:rsid w:val="000E4A3C"/>
    <w:rsid w:val="000E57DB"/>
    <w:rsid w:val="000E5BB2"/>
    <w:rsid w:val="000E6867"/>
    <w:rsid w:val="000E68C2"/>
    <w:rsid w:val="000F1B34"/>
    <w:rsid w:val="000F1E3D"/>
    <w:rsid w:val="000F211E"/>
    <w:rsid w:val="000F5340"/>
    <w:rsid w:val="00100AEC"/>
    <w:rsid w:val="00103CA7"/>
    <w:rsid w:val="00104D9B"/>
    <w:rsid w:val="001056C0"/>
    <w:rsid w:val="00105A2E"/>
    <w:rsid w:val="00107607"/>
    <w:rsid w:val="00110B59"/>
    <w:rsid w:val="00112597"/>
    <w:rsid w:val="00114431"/>
    <w:rsid w:val="0011538C"/>
    <w:rsid w:val="0011544E"/>
    <w:rsid w:val="0012074A"/>
    <w:rsid w:val="00120C8D"/>
    <w:rsid w:val="0012181C"/>
    <w:rsid w:val="00122311"/>
    <w:rsid w:val="00123543"/>
    <w:rsid w:val="001240CD"/>
    <w:rsid w:val="00127F76"/>
    <w:rsid w:val="001321AB"/>
    <w:rsid w:val="0013282D"/>
    <w:rsid w:val="00132DBE"/>
    <w:rsid w:val="0013709F"/>
    <w:rsid w:val="00140285"/>
    <w:rsid w:val="00140E57"/>
    <w:rsid w:val="00141B19"/>
    <w:rsid w:val="00141C64"/>
    <w:rsid w:val="001427B1"/>
    <w:rsid w:val="001427E8"/>
    <w:rsid w:val="00142E4E"/>
    <w:rsid w:val="00143498"/>
    <w:rsid w:val="0014462B"/>
    <w:rsid w:val="0014660B"/>
    <w:rsid w:val="00146D5B"/>
    <w:rsid w:val="001501ED"/>
    <w:rsid w:val="00150DA3"/>
    <w:rsid w:val="00151596"/>
    <w:rsid w:val="00152F17"/>
    <w:rsid w:val="00153913"/>
    <w:rsid w:val="0015466A"/>
    <w:rsid w:val="00154EC0"/>
    <w:rsid w:val="001573F8"/>
    <w:rsid w:val="00162BA0"/>
    <w:rsid w:val="00163EED"/>
    <w:rsid w:val="00164E79"/>
    <w:rsid w:val="00166C81"/>
    <w:rsid w:val="0017603D"/>
    <w:rsid w:val="001764B9"/>
    <w:rsid w:val="00181A3E"/>
    <w:rsid w:val="00183447"/>
    <w:rsid w:val="00183A65"/>
    <w:rsid w:val="00185441"/>
    <w:rsid w:val="001865DB"/>
    <w:rsid w:val="00193074"/>
    <w:rsid w:val="00193C83"/>
    <w:rsid w:val="00194C50"/>
    <w:rsid w:val="00196FB5"/>
    <w:rsid w:val="001972D2"/>
    <w:rsid w:val="001A0AEB"/>
    <w:rsid w:val="001A2D72"/>
    <w:rsid w:val="001A496D"/>
    <w:rsid w:val="001A535A"/>
    <w:rsid w:val="001B0364"/>
    <w:rsid w:val="001B2E5D"/>
    <w:rsid w:val="001B4977"/>
    <w:rsid w:val="001B53BD"/>
    <w:rsid w:val="001B5E36"/>
    <w:rsid w:val="001C1354"/>
    <w:rsid w:val="001C1D25"/>
    <w:rsid w:val="001C2AE5"/>
    <w:rsid w:val="001C6E3F"/>
    <w:rsid w:val="001D1277"/>
    <w:rsid w:val="001D2BDC"/>
    <w:rsid w:val="001D38A0"/>
    <w:rsid w:val="001D59C7"/>
    <w:rsid w:val="001D5ECE"/>
    <w:rsid w:val="001D7073"/>
    <w:rsid w:val="001D7420"/>
    <w:rsid w:val="001D7FD4"/>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4A8"/>
    <w:rsid w:val="001F40B2"/>
    <w:rsid w:val="001F4B99"/>
    <w:rsid w:val="001F680B"/>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7339"/>
    <w:rsid w:val="00222204"/>
    <w:rsid w:val="0022306C"/>
    <w:rsid w:val="002239B4"/>
    <w:rsid w:val="00224D5C"/>
    <w:rsid w:val="00227C2D"/>
    <w:rsid w:val="00227D08"/>
    <w:rsid w:val="0023008F"/>
    <w:rsid w:val="0023180C"/>
    <w:rsid w:val="00233653"/>
    <w:rsid w:val="00234C6C"/>
    <w:rsid w:val="0023576D"/>
    <w:rsid w:val="0023728A"/>
    <w:rsid w:val="00237522"/>
    <w:rsid w:val="002430D1"/>
    <w:rsid w:val="00244A28"/>
    <w:rsid w:val="002466F4"/>
    <w:rsid w:val="00247EBA"/>
    <w:rsid w:val="0025095A"/>
    <w:rsid w:val="00250A60"/>
    <w:rsid w:val="00251547"/>
    <w:rsid w:val="00251997"/>
    <w:rsid w:val="002532DE"/>
    <w:rsid w:val="00254030"/>
    <w:rsid w:val="00256337"/>
    <w:rsid w:val="00256893"/>
    <w:rsid w:val="00265031"/>
    <w:rsid w:val="0026520C"/>
    <w:rsid w:val="00266277"/>
    <w:rsid w:val="00270009"/>
    <w:rsid w:val="002711ED"/>
    <w:rsid w:val="002723C7"/>
    <w:rsid w:val="00273277"/>
    <w:rsid w:val="00273DA3"/>
    <w:rsid w:val="002764BA"/>
    <w:rsid w:val="002807AD"/>
    <w:rsid w:val="00282D8F"/>
    <w:rsid w:val="00283163"/>
    <w:rsid w:val="0028403E"/>
    <w:rsid w:val="00284C12"/>
    <w:rsid w:val="0028617E"/>
    <w:rsid w:val="00286834"/>
    <w:rsid w:val="00286FAD"/>
    <w:rsid w:val="0029247F"/>
    <w:rsid w:val="002930DB"/>
    <w:rsid w:val="00295636"/>
    <w:rsid w:val="002969F8"/>
    <w:rsid w:val="00296DBA"/>
    <w:rsid w:val="00297358"/>
    <w:rsid w:val="002A153A"/>
    <w:rsid w:val="002A29CE"/>
    <w:rsid w:val="002A2A80"/>
    <w:rsid w:val="002A6417"/>
    <w:rsid w:val="002A6631"/>
    <w:rsid w:val="002B282F"/>
    <w:rsid w:val="002B3689"/>
    <w:rsid w:val="002B45AD"/>
    <w:rsid w:val="002B4B30"/>
    <w:rsid w:val="002B4F96"/>
    <w:rsid w:val="002B56DF"/>
    <w:rsid w:val="002B79E1"/>
    <w:rsid w:val="002B7D1F"/>
    <w:rsid w:val="002C004E"/>
    <w:rsid w:val="002C1969"/>
    <w:rsid w:val="002C352C"/>
    <w:rsid w:val="002C3CAC"/>
    <w:rsid w:val="002C441F"/>
    <w:rsid w:val="002C4D8A"/>
    <w:rsid w:val="002C7A63"/>
    <w:rsid w:val="002D00EA"/>
    <w:rsid w:val="002D06BB"/>
    <w:rsid w:val="002D2B71"/>
    <w:rsid w:val="002D413A"/>
    <w:rsid w:val="002D6514"/>
    <w:rsid w:val="002D7211"/>
    <w:rsid w:val="002E320B"/>
    <w:rsid w:val="002E4348"/>
    <w:rsid w:val="002E5AEA"/>
    <w:rsid w:val="002E67C5"/>
    <w:rsid w:val="002E7BC2"/>
    <w:rsid w:val="002F1C33"/>
    <w:rsid w:val="002F2416"/>
    <w:rsid w:val="002F2DB4"/>
    <w:rsid w:val="002F47DB"/>
    <w:rsid w:val="002F63BB"/>
    <w:rsid w:val="002F6C10"/>
    <w:rsid w:val="002F6DBB"/>
    <w:rsid w:val="002F6EF8"/>
    <w:rsid w:val="002F701E"/>
    <w:rsid w:val="003001AC"/>
    <w:rsid w:val="00302F9F"/>
    <w:rsid w:val="00303EC5"/>
    <w:rsid w:val="00304386"/>
    <w:rsid w:val="00307469"/>
    <w:rsid w:val="00312164"/>
    <w:rsid w:val="00312203"/>
    <w:rsid w:val="00312A01"/>
    <w:rsid w:val="00312B8F"/>
    <w:rsid w:val="00315AB7"/>
    <w:rsid w:val="00322FD9"/>
    <w:rsid w:val="00326B54"/>
    <w:rsid w:val="00331B41"/>
    <w:rsid w:val="0033366E"/>
    <w:rsid w:val="00334E97"/>
    <w:rsid w:val="0033718D"/>
    <w:rsid w:val="003373C2"/>
    <w:rsid w:val="003401FE"/>
    <w:rsid w:val="00340A7A"/>
    <w:rsid w:val="003417F0"/>
    <w:rsid w:val="00341835"/>
    <w:rsid w:val="00341ECA"/>
    <w:rsid w:val="003445AA"/>
    <w:rsid w:val="003446E3"/>
    <w:rsid w:val="00344791"/>
    <w:rsid w:val="00346ACB"/>
    <w:rsid w:val="00350A47"/>
    <w:rsid w:val="003535D2"/>
    <w:rsid w:val="00356B57"/>
    <w:rsid w:val="0036125C"/>
    <w:rsid w:val="003637C4"/>
    <w:rsid w:val="00363D0D"/>
    <w:rsid w:val="00377CD3"/>
    <w:rsid w:val="00381DFA"/>
    <w:rsid w:val="003825A4"/>
    <w:rsid w:val="00387D0F"/>
    <w:rsid w:val="00390DCF"/>
    <w:rsid w:val="00396821"/>
    <w:rsid w:val="003A06BB"/>
    <w:rsid w:val="003A2944"/>
    <w:rsid w:val="003A5040"/>
    <w:rsid w:val="003B0DEF"/>
    <w:rsid w:val="003B712F"/>
    <w:rsid w:val="003B7185"/>
    <w:rsid w:val="003C01B5"/>
    <w:rsid w:val="003C12E6"/>
    <w:rsid w:val="003C2074"/>
    <w:rsid w:val="003C2C44"/>
    <w:rsid w:val="003C335A"/>
    <w:rsid w:val="003C3ADB"/>
    <w:rsid w:val="003C4F6C"/>
    <w:rsid w:val="003C611C"/>
    <w:rsid w:val="003C6749"/>
    <w:rsid w:val="003C6AE8"/>
    <w:rsid w:val="003C702D"/>
    <w:rsid w:val="003C7207"/>
    <w:rsid w:val="003D0670"/>
    <w:rsid w:val="003D0E4A"/>
    <w:rsid w:val="003D0E7D"/>
    <w:rsid w:val="003D11B5"/>
    <w:rsid w:val="003D134C"/>
    <w:rsid w:val="003D4164"/>
    <w:rsid w:val="003D4BD3"/>
    <w:rsid w:val="003D50C3"/>
    <w:rsid w:val="003D591F"/>
    <w:rsid w:val="003D69A5"/>
    <w:rsid w:val="003D6FFB"/>
    <w:rsid w:val="003E14F9"/>
    <w:rsid w:val="003F17D5"/>
    <w:rsid w:val="003F309F"/>
    <w:rsid w:val="003F3119"/>
    <w:rsid w:val="003F4E8A"/>
    <w:rsid w:val="003F6D32"/>
    <w:rsid w:val="0040085D"/>
    <w:rsid w:val="004077AE"/>
    <w:rsid w:val="00407B6E"/>
    <w:rsid w:val="00411760"/>
    <w:rsid w:val="004161D4"/>
    <w:rsid w:val="0041633C"/>
    <w:rsid w:val="00417723"/>
    <w:rsid w:val="0041784E"/>
    <w:rsid w:val="00417922"/>
    <w:rsid w:val="00417F88"/>
    <w:rsid w:val="004208F0"/>
    <w:rsid w:val="00421EA9"/>
    <w:rsid w:val="00424512"/>
    <w:rsid w:val="004266E5"/>
    <w:rsid w:val="0042703E"/>
    <w:rsid w:val="00430B5A"/>
    <w:rsid w:val="00431C20"/>
    <w:rsid w:val="004344F0"/>
    <w:rsid w:val="00434F58"/>
    <w:rsid w:val="0044207D"/>
    <w:rsid w:val="004429ED"/>
    <w:rsid w:val="004439E2"/>
    <w:rsid w:val="00447FE5"/>
    <w:rsid w:val="00451231"/>
    <w:rsid w:val="004526D3"/>
    <w:rsid w:val="00452E90"/>
    <w:rsid w:val="00456D35"/>
    <w:rsid w:val="00457CF2"/>
    <w:rsid w:val="004604D7"/>
    <w:rsid w:val="00460FAC"/>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90DBF"/>
    <w:rsid w:val="004910BB"/>
    <w:rsid w:val="00491C25"/>
    <w:rsid w:val="00491F16"/>
    <w:rsid w:val="0049357E"/>
    <w:rsid w:val="00494840"/>
    <w:rsid w:val="0049739C"/>
    <w:rsid w:val="004A128C"/>
    <w:rsid w:val="004A1C13"/>
    <w:rsid w:val="004A1DD4"/>
    <w:rsid w:val="004A5E72"/>
    <w:rsid w:val="004A6EE1"/>
    <w:rsid w:val="004B0107"/>
    <w:rsid w:val="004B07EC"/>
    <w:rsid w:val="004B1BEC"/>
    <w:rsid w:val="004B1BEE"/>
    <w:rsid w:val="004B2AB8"/>
    <w:rsid w:val="004B5B9E"/>
    <w:rsid w:val="004C0E5D"/>
    <w:rsid w:val="004C3F61"/>
    <w:rsid w:val="004D05B1"/>
    <w:rsid w:val="004D1293"/>
    <w:rsid w:val="004D1ADE"/>
    <w:rsid w:val="004D770C"/>
    <w:rsid w:val="004E0D21"/>
    <w:rsid w:val="004E1A93"/>
    <w:rsid w:val="004E370E"/>
    <w:rsid w:val="004E7442"/>
    <w:rsid w:val="004E7EAE"/>
    <w:rsid w:val="004F2563"/>
    <w:rsid w:val="004F31BC"/>
    <w:rsid w:val="004F4387"/>
    <w:rsid w:val="004F5D59"/>
    <w:rsid w:val="004F6F82"/>
    <w:rsid w:val="005000FC"/>
    <w:rsid w:val="00502EBB"/>
    <w:rsid w:val="00510BF5"/>
    <w:rsid w:val="00510EDC"/>
    <w:rsid w:val="0051290F"/>
    <w:rsid w:val="00513233"/>
    <w:rsid w:val="005148D1"/>
    <w:rsid w:val="00515597"/>
    <w:rsid w:val="005204A7"/>
    <w:rsid w:val="00521BA7"/>
    <w:rsid w:val="005227FC"/>
    <w:rsid w:val="005237BA"/>
    <w:rsid w:val="00524924"/>
    <w:rsid w:val="005252E2"/>
    <w:rsid w:val="005268CB"/>
    <w:rsid w:val="00530C01"/>
    <w:rsid w:val="0053325A"/>
    <w:rsid w:val="00535C6F"/>
    <w:rsid w:val="00535D5D"/>
    <w:rsid w:val="005379AD"/>
    <w:rsid w:val="0054595C"/>
    <w:rsid w:val="00546341"/>
    <w:rsid w:val="00546920"/>
    <w:rsid w:val="00546A42"/>
    <w:rsid w:val="0054785D"/>
    <w:rsid w:val="005505C3"/>
    <w:rsid w:val="005511D5"/>
    <w:rsid w:val="00552A39"/>
    <w:rsid w:val="00552C4D"/>
    <w:rsid w:val="0055492B"/>
    <w:rsid w:val="00554A31"/>
    <w:rsid w:val="005609D5"/>
    <w:rsid w:val="00563974"/>
    <w:rsid w:val="005678B1"/>
    <w:rsid w:val="005716A8"/>
    <w:rsid w:val="005725CA"/>
    <w:rsid w:val="005727F6"/>
    <w:rsid w:val="00575DC6"/>
    <w:rsid w:val="00575FF2"/>
    <w:rsid w:val="005760C8"/>
    <w:rsid w:val="00577CD4"/>
    <w:rsid w:val="005820AB"/>
    <w:rsid w:val="00585FB5"/>
    <w:rsid w:val="00590EE1"/>
    <w:rsid w:val="00591586"/>
    <w:rsid w:val="005929DC"/>
    <w:rsid w:val="00592DB1"/>
    <w:rsid w:val="00595363"/>
    <w:rsid w:val="00595A2B"/>
    <w:rsid w:val="005A006F"/>
    <w:rsid w:val="005A17D2"/>
    <w:rsid w:val="005A3C39"/>
    <w:rsid w:val="005A5E4A"/>
    <w:rsid w:val="005A7787"/>
    <w:rsid w:val="005A7E8F"/>
    <w:rsid w:val="005B04FB"/>
    <w:rsid w:val="005B5766"/>
    <w:rsid w:val="005B7357"/>
    <w:rsid w:val="005B77BE"/>
    <w:rsid w:val="005C0309"/>
    <w:rsid w:val="005C1D36"/>
    <w:rsid w:val="005C5055"/>
    <w:rsid w:val="005C5B7C"/>
    <w:rsid w:val="005C5CFB"/>
    <w:rsid w:val="005C673B"/>
    <w:rsid w:val="005D1E09"/>
    <w:rsid w:val="005D284B"/>
    <w:rsid w:val="005D4CDB"/>
    <w:rsid w:val="005D5105"/>
    <w:rsid w:val="005E247C"/>
    <w:rsid w:val="005E2E13"/>
    <w:rsid w:val="005E3D4F"/>
    <w:rsid w:val="005E7BBC"/>
    <w:rsid w:val="005F029C"/>
    <w:rsid w:val="005F08FA"/>
    <w:rsid w:val="005F12C4"/>
    <w:rsid w:val="005F16DD"/>
    <w:rsid w:val="005F19B1"/>
    <w:rsid w:val="005F3319"/>
    <w:rsid w:val="005F42ED"/>
    <w:rsid w:val="005F4324"/>
    <w:rsid w:val="005F5D19"/>
    <w:rsid w:val="005F65B9"/>
    <w:rsid w:val="005F6CBF"/>
    <w:rsid w:val="006005BB"/>
    <w:rsid w:val="006005DC"/>
    <w:rsid w:val="00600E42"/>
    <w:rsid w:val="0060138D"/>
    <w:rsid w:val="006018AA"/>
    <w:rsid w:val="00603C7F"/>
    <w:rsid w:val="00604CF2"/>
    <w:rsid w:val="006100F4"/>
    <w:rsid w:val="00611C06"/>
    <w:rsid w:val="00612D14"/>
    <w:rsid w:val="00612D4B"/>
    <w:rsid w:val="006135E6"/>
    <w:rsid w:val="00614771"/>
    <w:rsid w:val="0061747D"/>
    <w:rsid w:val="006253B7"/>
    <w:rsid w:val="006276B8"/>
    <w:rsid w:val="00632E10"/>
    <w:rsid w:val="00632EA5"/>
    <w:rsid w:val="00635CBC"/>
    <w:rsid w:val="00637F5E"/>
    <w:rsid w:val="00644F52"/>
    <w:rsid w:val="00645FCF"/>
    <w:rsid w:val="006517C3"/>
    <w:rsid w:val="006520A9"/>
    <w:rsid w:val="006525FD"/>
    <w:rsid w:val="00653B17"/>
    <w:rsid w:val="00654483"/>
    <w:rsid w:val="00655EAE"/>
    <w:rsid w:val="006563B5"/>
    <w:rsid w:val="0065701C"/>
    <w:rsid w:val="006604A6"/>
    <w:rsid w:val="00662792"/>
    <w:rsid w:val="00664620"/>
    <w:rsid w:val="00664EDD"/>
    <w:rsid w:val="00667868"/>
    <w:rsid w:val="00671B54"/>
    <w:rsid w:val="0067265E"/>
    <w:rsid w:val="00673DB8"/>
    <w:rsid w:val="00673E73"/>
    <w:rsid w:val="00674F46"/>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4209"/>
    <w:rsid w:val="00697056"/>
    <w:rsid w:val="00697718"/>
    <w:rsid w:val="00697A99"/>
    <w:rsid w:val="006A1226"/>
    <w:rsid w:val="006A172E"/>
    <w:rsid w:val="006A2035"/>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75B"/>
    <w:rsid w:val="006C3D0C"/>
    <w:rsid w:val="006C53D0"/>
    <w:rsid w:val="006C5955"/>
    <w:rsid w:val="006C5EBD"/>
    <w:rsid w:val="006D0131"/>
    <w:rsid w:val="006D12BD"/>
    <w:rsid w:val="006D1375"/>
    <w:rsid w:val="006D2335"/>
    <w:rsid w:val="006D2BE9"/>
    <w:rsid w:val="006D3570"/>
    <w:rsid w:val="006D3624"/>
    <w:rsid w:val="006D39A8"/>
    <w:rsid w:val="006D4391"/>
    <w:rsid w:val="006D519D"/>
    <w:rsid w:val="006D71C0"/>
    <w:rsid w:val="006E0BE4"/>
    <w:rsid w:val="006E13EF"/>
    <w:rsid w:val="006E20AA"/>
    <w:rsid w:val="006E4EE7"/>
    <w:rsid w:val="006E65C2"/>
    <w:rsid w:val="006E7418"/>
    <w:rsid w:val="006F248F"/>
    <w:rsid w:val="006F31BC"/>
    <w:rsid w:val="006F3802"/>
    <w:rsid w:val="006F39D0"/>
    <w:rsid w:val="006F3B66"/>
    <w:rsid w:val="006F4E05"/>
    <w:rsid w:val="006F4E88"/>
    <w:rsid w:val="006F64D1"/>
    <w:rsid w:val="006F661B"/>
    <w:rsid w:val="006F7746"/>
    <w:rsid w:val="00700E33"/>
    <w:rsid w:val="00702DAA"/>
    <w:rsid w:val="0070582B"/>
    <w:rsid w:val="007066FB"/>
    <w:rsid w:val="00707A9D"/>
    <w:rsid w:val="00710FD2"/>
    <w:rsid w:val="00711157"/>
    <w:rsid w:val="007119E2"/>
    <w:rsid w:val="00714800"/>
    <w:rsid w:val="00715B7E"/>
    <w:rsid w:val="00715F0D"/>
    <w:rsid w:val="00717930"/>
    <w:rsid w:val="00720A28"/>
    <w:rsid w:val="0072152F"/>
    <w:rsid w:val="00721C21"/>
    <w:rsid w:val="007229FD"/>
    <w:rsid w:val="00726DD0"/>
    <w:rsid w:val="00730CDB"/>
    <w:rsid w:val="007323E9"/>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63652"/>
    <w:rsid w:val="00763A36"/>
    <w:rsid w:val="00764602"/>
    <w:rsid w:val="00764BF7"/>
    <w:rsid w:val="00764EA5"/>
    <w:rsid w:val="007650D8"/>
    <w:rsid w:val="00766030"/>
    <w:rsid w:val="00766CBE"/>
    <w:rsid w:val="00767B80"/>
    <w:rsid w:val="00770D7D"/>
    <w:rsid w:val="00770E2C"/>
    <w:rsid w:val="00771030"/>
    <w:rsid w:val="00772497"/>
    <w:rsid w:val="007745AE"/>
    <w:rsid w:val="007754C3"/>
    <w:rsid w:val="0077638E"/>
    <w:rsid w:val="007768FE"/>
    <w:rsid w:val="00780C18"/>
    <w:rsid w:val="00787284"/>
    <w:rsid w:val="007902C3"/>
    <w:rsid w:val="00790BB8"/>
    <w:rsid w:val="00791377"/>
    <w:rsid w:val="007915BB"/>
    <w:rsid w:val="00795C86"/>
    <w:rsid w:val="007A01A1"/>
    <w:rsid w:val="007A0B25"/>
    <w:rsid w:val="007A45E7"/>
    <w:rsid w:val="007A5D42"/>
    <w:rsid w:val="007A7263"/>
    <w:rsid w:val="007A73BE"/>
    <w:rsid w:val="007A7657"/>
    <w:rsid w:val="007B1754"/>
    <w:rsid w:val="007B29A8"/>
    <w:rsid w:val="007B4AAA"/>
    <w:rsid w:val="007C6431"/>
    <w:rsid w:val="007C6894"/>
    <w:rsid w:val="007D02F0"/>
    <w:rsid w:val="007D3035"/>
    <w:rsid w:val="007D35C4"/>
    <w:rsid w:val="007D3B8C"/>
    <w:rsid w:val="007D5652"/>
    <w:rsid w:val="007D57EF"/>
    <w:rsid w:val="007D6205"/>
    <w:rsid w:val="007D62C7"/>
    <w:rsid w:val="007D6B53"/>
    <w:rsid w:val="007D6D97"/>
    <w:rsid w:val="007E001D"/>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F60"/>
    <w:rsid w:val="00814330"/>
    <w:rsid w:val="0082266E"/>
    <w:rsid w:val="008234E2"/>
    <w:rsid w:val="00823927"/>
    <w:rsid w:val="00824361"/>
    <w:rsid w:val="008250B0"/>
    <w:rsid w:val="00825FD3"/>
    <w:rsid w:val="00826793"/>
    <w:rsid w:val="0083146F"/>
    <w:rsid w:val="008327EE"/>
    <w:rsid w:val="00833F8E"/>
    <w:rsid w:val="0083539E"/>
    <w:rsid w:val="00836E22"/>
    <w:rsid w:val="00836E71"/>
    <w:rsid w:val="00837EBE"/>
    <w:rsid w:val="00842E74"/>
    <w:rsid w:val="00843BE5"/>
    <w:rsid w:val="00844E88"/>
    <w:rsid w:val="008532D8"/>
    <w:rsid w:val="008535C9"/>
    <w:rsid w:val="008543FB"/>
    <w:rsid w:val="008546FE"/>
    <w:rsid w:val="008561E0"/>
    <w:rsid w:val="00856B64"/>
    <w:rsid w:val="00860A39"/>
    <w:rsid w:val="0086177D"/>
    <w:rsid w:val="00862463"/>
    <w:rsid w:val="00863DD9"/>
    <w:rsid w:val="00865960"/>
    <w:rsid w:val="00866446"/>
    <w:rsid w:val="008665FF"/>
    <w:rsid w:val="0086741B"/>
    <w:rsid w:val="00870933"/>
    <w:rsid w:val="00870B16"/>
    <w:rsid w:val="00870E92"/>
    <w:rsid w:val="00871568"/>
    <w:rsid w:val="00872D25"/>
    <w:rsid w:val="00874E17"/>
    <w:rsid w:val="0087510D"/>
    <w:rsid w:val="00876A87"/>
    <w:rsid w:val="0087712D"/>
    <w:rsid w:val="00881CD2"/>
    <w:rsid w:val="00882A05"/>
    <w:rsid w:val="00884103"/>
    <w:rsid w:val="00885C88"/>
    <w:rsid w:val="00886E66"/>
    <w:rsid w:val="00886F29"/>
    <w:rsid w:val="00887704"/>
    <w:rsid w:val="00887A55"/>
    <w:rsid w:val="00887AE5"/>
    <w:rsid w:val="00890B23"/>
    <w:rsid w:val="008917A3"/>
    <w:rsid w:val="00891A49"/>
    <w:rsid w:val="00892CC1"/>
    <w:rsid w:val="0089319F"/>
    <w:rsid w:val="00897DAB"/>
    <w:rsid w:val="008A0633"/>
    <w:rsid w:val="008A275F"/>
    <w:rsid w:val="008A3386"/>
    <w:rsid w:val="008A53F2"/>
    <w:rsid w:val="008A5766"/>
    <w:rsid w:val="008B09B1"/>
    <w:rsid w:val="008B6430"/>
    <w:rsid w:val="008B66F0"/>
    <w:rsid w:val="008B727C"/>
    <w:rsid w:val="008B7A53"/>
    <w:rsid w:val="008C24B6"/>
    <w:rsid w:val="008C3ACC"/>
    <w:rsid w:val="008C3FB6"/>
    <w:rsid w:val="008C487C"/>
    <w:rsid w:val="008C4C28"/>
    <w:rsid w:val="008D11E3"/>
    <w:rsid w:val="008D28AD"/>
    <w:rsid w:val="008D3473"/>
    <w:rsid w:val="008D539C"/>
    <w:rsid w:val="008D575A"/>
    <w:rsid w:val="008D7A9D"/>
    <w:rsid w:val="008E034E"/>
    <w:rsid w:val="008E0FCC"/>
    <w:rsid w:val="008E21A3"/>
    <w:rsid w:val="008E2FE3"/>
    <w:rsid w:val="008E3012"/>
    <w:rsid w:val="008E5698"/>
    <w:rsid w:val="008E5F34"/>
    <w:rsid w:val="008E63A1"/>
    <w:rsid w:val="008E6B88"/>
    <w:rsid w:val="008E7D3F"/>
    <w:rsid w:val="008F00CF"/>
    <w:rsid w:val="008F0E10"/>
    <w:rsid w:val="008F2267"/>
    <w:rsid w:val="008F2F63"/>
    <w:rsid w:val="008F3EE2"/>
    <w:rsid w:val="008F4B08"/>
    <w:rsid w:val="008F51F6"/>
    <w:rsid w:val="008F5D4C"/>
    <w:rsid w:val="008F6030"/>
    <w:rsid w:val="008F67FD"/>
    <w:rsid w:val="008F6D40"/>
    <w:rsid w:val="009008B3"/>
    <w:rsid w:val="00903844"/>
    <w:rsid w:val="00903E02"/>
    <w:rsid w:val="00904226"/>
    <w:rsid w:val="00905A7E"/>
    <w:rsid w:val="00905B18"/>
    <w:rsid w:val="00905B2F"/>
    <w:rsid w:val="00906DB5"/>
    <w:rsid w:val="009211CB"/>
    <w:rsid w:val="009231E0"/>
    <w:rsid w:val="00923548"/>
    <w:rsid w:val="00923B70"/>
    <w:rsid w:val="00925293"/>
    <w:rsid w:val="00926241"/>
    <w:rsid w:val="00926B0D"/>
    <w:rsid w:val="00926B22"/>
    <w:rsid w:val="00930B6C"/>
    <w:rsid w:val="00930E4B"/>
    <w:rsid w:val="00931485"/>
    <w:rsid w:val="00942C91"/>
    <w:rsid w:val="009436DA"/>
    <w:rsid w:val="00943862"/>
    <w:rsid w:val="0094508D"/>
    <w:rsid w:val="00945F32"/>
    <w:rsid w:val="00946E85"/>
    <w:rsid w:val="0094787E"/>
    <w:rsid w:val="00947C5C"/>
    <w:rsid w:val="009506A7"/>
    <w:rsid w:val="00950763"/>
    <w:rsid w:val="0095113A"/>
    <w:rsid w:val="00952E50"/>
    <w:rsid w:val="00954CF5"/>
    <w:rsid w:val="00955D20"/>
    <w:rsid w:val="009565F3"/>
    <w:rsid w:val="00956630"/>
    <w:rsid w:val="009605FA"/>
    <w:rsid w:val="0096368F"/>
    <w:rsid w:val="009646AE"/>
    <w:rsid w:val="00964883"/>
    <w:rsid w:val="0096646C"/>
    <w:rsid w:val="00967230"/>
    <w:rsid w:val="00967BCD"/>
    <w:rsid w:val="00970176"/>
    <w:rsid w:val="00972087"/>
    <w:rsid w:val="00972C13"/>
    <w:rsid w:val="0097420F"/>
    <w:rsid w:val="0097456D"/>
    <w:rsid w:val="00974A47"/>
    <w:rsid w:val="00976BF4"/>
    <w:rsid w:val="00980920"/>
    <w:rsid w:val="009812D7"/>
    <w:rsid w:val="00982E99"/>
    <w:rsid w:val="009841EF"/>
    <w:rsid w:val="00990391"/>
    <w:rsid w:val="00992151"/>
    <w:rsid w:val="009947D1"/>
    <w:rsid w:val="00994B40"/>
    <w:rsid w:val="00996159"/>
    <w:rsid w:val="009961B3"/>
    <w:rsid w:val="009A12B9"/>
    <w:rsid w:val="009A3AC9"/>
    <w:rsid w:val="009A3C25"/>
    <w:rsid w:val="009A4BF0"/>
    <w:rsid w:val="009A5714"/>
    <w:rsid w:val="009A5DA7"/>
    <w:rsid w:val="009B1AEC"/>
    <w:rsid w:val="009B2E1A"/>
    <w:rsid w:val="009B326F"/>
    <w:rsid w:val="009B4506"/>
    <w:rsid w:val="009B65A2"/>
    <w:rsid w:val="009B7329"/>
    <w:rsid w:val="009B78F8"/>
    <w:rsid w:val="009C0F6B"/>
    <w:rsid w:val="009C1FFE"/>
    <w:rsid w:val="009C27A9"/>
    <w:rsid w:val="009C3485"/>
    <w:rsid w:val="009C68EF"/>
    <w:rsid w:val="009C6F83"/>
    <w:rsid w:val="009D11B7"/>
    <w:rsid w:val="009D16ED"/>
    <w:rsid w:val="009D1D57"/>
    <w:rsid w:val="009D4F8F"/>
    <w:rsid w:val="009D79AA"/>
    <w:rsid w:val="009E2544"/>
    <w:rsid w:val="009E2770"/>
    <w:rsid w:val="009E467C"/>
    <w:rsid w:val="009E4710"/>
    <w:rsid w:val="009E4A43"/>
    <w:rsid w:val="009E6225"/>
    <w:rsid w:val="009F0069"/>
    <w:rsid w:val="009F2261"/>
    <w:rsid w:val="009F2933"/>
    <w:rsid w:val="009F3537"/>
    <w:rsid w:val="009F6ADC"/>
    <w:rsid w:val="009F78A4"/>
    <w:rsid w:val="009F796E"/>
    <w:rsid w:val="00A00D59"/>
    <w:rsid w:val="00A019A5"/>
    <w:rsid w:val="00A032F8"/>
    <w:rsid w:val="00A04A6A"/>
    <w:rsid w:val="00A10347"/>
    <w:rsid w:val="00A12DBA"/>
    <w:rsid w:val="00A13B60"/>
    <w:rsid w:val="00A148CF"/>
    <w:rsid w:val="00A14C36"/>
    <w:rsid w:val="00A15390"/>
    <w:rsid w:val="00A158AB"/>
    <w:rsid w:val="00A24DBA"/>
    <w:rsid w:val="00A24F53"/>
    <w:rsid w:val="00A25657"/>
    <w:rsid w:val="00A262AF"/>
    <w:rsid w:val="00A304BE"/>
    <w:rsid w:val="00A329B6"/>
    <w:rsid w:val="00A367A1"/>
    <w:rsid w:val="00A40178"/>
    <w:rsid w:val="00A415D2"/>
    <w:rsid w:val="00A44EF8"/>
    <w:rsid w:val="00A460BA"/>
    <w:rsid w:val="00A46CF8"/>
    <w:rsid w:val="00A46FE1"/>
    <w:rsid w:val="00A510F6"/>
    <w:rsid w:val="00A54828"/>
    <w:rsid w:val="00A57F74"/>
    <w:rsid w:val="00A57F88"/>
    <w:rsid w:val="00A61A04"/>
    <w:rsid w:val="00A62588"/>
    <w:rsid w:val="00A627B3"/>
    <w:rsid w:val="00A648E0"/>
    <w:rsid w:val="00A651C9"/>
    <w:rsid w:val="00A67D0F"/>
    <w:rsid w:val="00A67EB8"/>
    <w:rsid w:val="00A70E2D"/>
    <w:rsid w:val="00A73161"/>
    <w:rsid w:val="00A740E7"/>
    <w:rsid w:val="00A74621"/>
    <w:rsid w:val="00A80739"/>
    <w:rsid w:val="00A83829"/>
    <w:rsid w:val="00A862C0"/>
    <w:rsid w:val="00A862CB"/>
    <w:rsid w:val="00A87EE1"/>
    <w:rsid w:val="00A9000F"/>
    <w:rsid w:val="00A906FE"/>
    <w:rsid w:val="00A91A20"/>
    <w:rsid w:val="00A9229F"/>
    <w:rsid w:val="00A944AC"/>
    <w:rsid w:val="00A94D81"/>
    <w:rsid w:val="00A95100"/>
    <w:rsid w:val="00A97A15"/>
    <w:rsid w:val="00AA0652"/>
    <w:rsid w:val="00AA1162"/>
    <w:rsid w:val="00AA2A39"/>
    <w:rsid w:val="00AA2C16"/>
    <w:rsid w:val="00AA501F"/>
    <w:rsid w:val="00AA5AEE"/>
    <w:rsid w:val="00AA615B"/>
    <w:rsid w:val="00AA6272"/>
    <w:rsid w:val="00AB0DED"/>
    <w:rsid w:val="00AB14AB"/>
    <w:rsid w:val="00AB45BD"/>
    <w:rsid w:val="00AB5263"/>
    <w:rsid w:val="00AC0C81"/>
    <w:rsid w:val="00AC1B48"/>
    <w:rsid w:val="00AC29D6"/>
    <w:rsid w:val="00AC3DCF"/>
    <w:rsid w:val="00AC43E7"/>
    <w:rsid w:val="00AC69F6"/>
    <w:rsid w:val="00AD1E1B"/>
    <w:rsid w:val="00AD2C29"/>
    <w:rsid w:val="00AD4BD5"/>
    <w:rsid w:val="00AD54C3"/>
    <w:rsid w:val="00AD6339"/>
    <w:rsid w:val="00AD7725"/>
    <w:rsid w:val="00AE0018"/>
    <w:rsid w:val="00AE00EC"/>
    <w:rsid w:val="00AE0522"/>
    <w:rsid w:val="00AE668A"/>
    <w:rsid w:val="00AE6858"/>
    <w:rsid w:val="00AE7EF0"/>
    <w:rsid w:val="00AF0A55"/>
    <w:rsid w:val="00AF2EFF"/>
    <w:rsid w:val="00AF3236"/>
    <w:rsid w:val="00AF387F"/>
    <w:rsid w:val="00AF41B6"/>
    <w:rsid w:val="00AF497F"/>
    <w:rsid w:val="00AF5C62"/>
    <w:rsid w:val="00AF643C"/>
    <w:rsid w:val="00AF6B2F"/>
    <w:rsid w:val="00AF7270"/>
    <w:rsid w:val="00AF727E"/>
    <w:rsid w:val="00B00055"/>
    <w:rsid w:val="00B04C69"/>
    <w:rsid w:val="00B07013"/>
    <w:rsid w:val="00B1075A"/>
    <w:rsid w:val="00B11F92"/>
    <w:rsid w:val="00B120A7"/>
    <w:rsid w:val="00B13C71"/>
    <w:rsid w:val="00B14450"/>
    <w:rsid w:val="00B1586E"/>
    <w:rsid w:val="00B16AAC"/>
    <w:rsid w:val="00B17BC5"/>
    <w:rsid w:val="00B2045A"/>
    <w:rsid w:val="00B20582"/>
    <w:rsid w:val="00B2158C"/>
    <w:rsid w:val="00B217CA"/>
    <w:rsid w:val="00B24E57"/>
    <w:rsid w:val="00B26584"/>
    <w:rsid w:val="00B30A67"/>
    <w:rsid w:val="00B30D96"/>
    <w:rsid w:val="00B336AC"/>
    <w:rsid w:val="00B34281"/>
    <w:rsid w:val="00B3678E"/>
    <w:rsid w:val="00B3795F"/>
    <w:rsid w:val="00B4135D"/>
    <w:rsid w:val="00B42262"/>
    <w:rsid w:val="00B425E4"/>
    <w:rsid w:val="00B42B2C"/>
    <w:rsid w:val="00B5123E"/>
    <w:rsid w:val="00B51B58"/>
    <w:rsid w:val="00B522C4"/>
    <w:rsid w:val="00B52B0E"/>
    <w:rsid w:val="00B52FDB"/>
    <w:rsid w:val="00B5337D"/>
    <w:rsid w:val="00B533F4"/>
    <w:rsid w:val="00B54444"/>
    <w:rsid w:val="00B566A4"/>
    <w:rsid w:val="00B57FC4"/>
    <w:rsid w:val="00B600E1"/>
    <w:rsid w:val="00B604F8"/>
    <w:rsid w:val="00B62BEA"/>
    <w:rsid w:val="00B63732"/>
    <w:rsid w:val="00B64B90"/>
    <w:rsid w:val="00B65290"/>
    <w:rsid w:val="00B70E26"/>
    <w:rsid w:val="00B71364"/>
    <w:rsid w:val="00B726D5"/>
    <w:rsid w:val="00B72758"/>
    <w:rsid w:val="00B7319C"/>
    <w:rsid w:val="00B7517F"/>
    <w:rsid w:val="00B80E36"/>
    <w:rsid w:val="00B82606"/>
    <w:rsid w:val="00B82DA0"/>
    <w:rsid w:val="00B85AB7"/>
    <w:rsid w:val="00B85B0A"/>
    <w:rsid w:val="00B861DA"/>
    <w:rsid w:val="00B86CB5"/>
    <w:rsid w:val="00B86D58"/>
    <w:rsid w:val="00B8744D"/>
    <w:rsid w:val="00B8745F"/>
    <w:rsid w:val="00B9066A"/>
    <w:rsid w:val="00B90754"/>
    <w:rsid w:val="00B90BBE"/>
    <w:rsid w:val="00B91B78"/>
    <w:rsid w:val="00B93013"/>
    <w:rsid w:val="00B936F7"/>
    <w:rsid w:val="00B9416B"/>
    <w:rsid w:val="00B9572C"/>
    <w:rsid w:val="00B95A93"/>
    <w:rsid w:val="00B96020"/>
    <w:rsid w:val="00B9782C"/>
    <w:rsid w:val="00B97D95"/>
    <w:rsid w:val="00B97E3C"/>
    <w:rsid w:val="00BA0158"/>
    <w:rsid w:val="00BA04F9"/>
    <w:rsid w:val="00BA7E78"/>
    <w:rsid w:val="00BB0833"/>
    <w:rsid w:val="00BB0EA7"/>
    <w:rsid w:val="00BB1223"/>
    <w:rsid w:val="00BB3527"/>
    <w:rsid w:val="00BB3CAB"/>
    <w:rsid w:val="00BB4CDF"/>
    <w:rsid w:val="00BB595B"/>
    <w:rsid w:val="00BB59F9"/>
    <w:rsid w:val="00BB5B0E"/>
    <w:rsid w:val="00BC15B8"/>
    <w:rsid w:val="00BC5279"/>
    <w:rsid w:val="00BC6C4E"/>
    <w:rsid w:val="00BC7B6A"/>
    <w:rsid w:val="00BD0EAC"/>
    <w:rsid w:val="00BD31AB"/>
    <w:rsid w:val="00BD49D0"/>
    <w:rsid w:val="00BD4AA0"/>
    <w:rsid w:val="00BD58A7"/>
    <w:rsid w:val="00BD6EE4"/>
    <w:rsid w:val="00BE1E33"/>
    <w:rsid w:val="00BE2AD3"/>
    <w:rsid w:val="00BE35F3"/>
    <w:rsid w:val="00BE36F7"/>
    <w:rsid w:val="00BE4E3F"/>
    <w:rsid w:val="00BE65AD"/>
    <w:rsid w:val="00BF19F3"/>
    <w:rsid w:val="00BF2443"/>
    <w:rsid w:val="00BF34FD"/>
    <w:rsid w:val="00BF39E3"/>
    <w:rsid w:val="00C01BC4"/>
    <w:rsid w:val="00C04114"/>
    <w:rsid w:val="00C0550E"/>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30E1E"/>
    <w:rsid w:val="00C31412"/>
    <w:rsid w:val="00C3189D"/>
    <w:rsid w:val="00C362A0"/>
    <w:rsid w:val="00C365AF"/>
    <w:rsid w:val="00C367CD"/>
    <w:rsid w:val="00C40139"/>
    <w:rsid w:val="00C42740"/>
    <w:rsid w:val="00C43C6C"/>
    <w:rsid w:val="00C4526C"/>
    <w:rsid w:val="00C50B1B"/>
    <w:rsid w:val="00C50C99"/>
    <w:rsid w:val="00C52801"/>
    <w:rsid w:val="00C5395E"/>
    <w:rsid w:val="00C53B7D"/>
    <w:rsid w:val="00C60C0C"/>
    <w:rsid w:val="00C61C54"/>
    <w:rsid w:val="00C6210F"/>
    <w:rsid w:val="00C631DC"/>
    <w:rsid w:val="00C67E1B"/>
    <w:rsid w:val="00C703AD"/>
    <w:rsid w:val="00C745C6"/>
    <w:rsid w:val="00C750BA"/>
    <w:rsid w:val="00C75839"/>
    <w:rsid w:val="00C7706E"/>
    <w:rsid w:val="00C77811"/>
    <w:rsid w:val="00C81AB7"/>
    <w:rsid w:val="00C826EF"/>
    <w:rsid w:val="00C8308A"/>
    <w:rsid w:val="00C83E36"/>
    <w:rsid w:val="00C8442D"/>
    <w:rsid w:val="00C85287"/>
    <w:rsid w:val="00C85FA6"/>
    <w:rsid w:val="00C868B5"/>
    <w:rsid w:val="00C9170B"/>
    <w:rsid w:val="00C95AC9"/>
    <w:rsid w:val="00C964DE"/>
    <w:rsid w:val="00C969C2"/>
    <w:rsid w:val="00C96F18"/>
    <w:rsid w:val="00CA270A"/>
    <w:rsid w:val="00CA304F"/>
    <w:rsid w:val="00CA4545"/>
    <w:rsid w:val="00CA51AC"/>
    <w:rsid w:val="00CA51DE"/>
    <w:rsid w:val="00CA5790"/>
    <w:rsid w:val="00CA634C"/>
    <w:rsid w:val="00CA652B"/>
    <w:rsid w:val="00CA75F5"/>
    <w:rsid w:val="00CA7BFF"/>
    <w:rsid w:val="00CB003C"/>
    <w:rsid w:val="00CB0C4E"/>
    <w:rsid w:val="00CB12E5"/>
    <w:rsid w:val="00CB3684"/>
    <w:rsid w:val="00CB55CF"/>
    <w:rsid w:val="00CB59D4"/>
    <w:rsid w:val="00CC0C56"/>
    <w:rsid w:val="00CC11B6"/>
    <w:rsid w:val="00CC4245"/>
    <w:rsid w:val="00CC6782"/>
    <w:rsid w:val="00CD23FE"/>
    <w:rsid w:val="00CD319D"/>
    <w:rsid w:val="00CD33C1"/>
    <w:rsid w:val="00CD5B4D"/>
    <w:rsid w:val="00CE15BE"/>
    <w:rsid w:val="00CE35D5"/>
    <w:rsid w:val="00CE530A"/>
    <w:rsid w:val="00CE6E64"/>
    <w:rsid w:val="00CF0665"/>
    <w:rsid w:val="00CF09D9"/>
    <w:rsid w:val="00CF182A"/>
    <w:rsid w:val="00CF1BF9"/>
    <w:rsid w:val="00CF1F1E"/>
    <w:rsid w:val="00CF282F"/>
    <w:rsid w:val="00CF326B"/>
    <w:rsid w:val="00CF5CC1"/>
    <w:rsid w:val="00CF5FDD"/>
    <w:rsid w:val="00CF7D98"/>
    <w:rsid w:val="00D003E0"/>
    <w:rsid w:val="00D029D8"/>
    <w:rsid w:val="00D02A84"/>
    <w:rsid w:val="00D0300E"/>
    <w:rsid w:val="00D04CE5"/>
    <w:rsid w:val="00D054B2"/>
    <w:rsid w:val="00D0763E"/>
    <w:rsid w:val="00D11186"/>
    <w:rsid w:val="00D122AA"/>
    <w:rsid w:val="00D12644"/>
    <w:rsid w:val="00D134CC"/>
    <w:rsid w:val="00D142E0"/>
    <w:rsid w:val="00D14450"/>
    <w:rsid w:val="00D14C1E"/>
    <w:rsid w:val="00D20C1D"/>
    <w:rsid w:val="00D24682"/>
    <w:rsid w:val="00D24F06"/>
    <w:rsid w:val="00D25AEF"/>
    <w:rsid w:val="00D279FE"/>
    <w:rsid w:val="00D31785"/>
    <w:rsid w:val="00D32391"/>
    <w:rsid w:val="00D349EE"/>
    <w:rsid w:val="00D35298"/>
    <w:rsid w:val="00D36296"/>
    <w:rsid w:val="00D36DC3"/>
    <w:rsid w:val="00D4126F"/>
    <w:rsid w:val="00D418AD"/>
    <w:rsid w:val="00D42C1B"/>
    <w:rsid w:val="00D44227"/>
    <w:rsid w:val="00D46629"/>
    <w:rsid w:val="00D51312"/>
    <w:rsid w:val="00D51D54"/>
    <w:rsid w:val="00D527DA"/>
    <w:rsid w:val="00D54DF5"/>
    <w:rsid w:val="00D554BA"/>
    <w:rsid w:val="00D56D47"/>
    <w:rsid w:val="00D57835"/>
    <w:rsid w:val="00D60CF3"/>
    <w:rsid w:val="00D613F3"/>
    <w:rsid w:val="00D655FB"/>
    <w:rsid w:val="00D70FB4"/>
    <w:rsid w:val="00D7248C"/>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F59"/>
    <w:rsid w:val="00DA2FA3"/>
    <w:rsid w:val="00DA546F"/>
    <w:rsid w:val="00DA65B2"/>
    <w:rsid w:val="00DA7875"/>
    <w:rsid w:val="00DB0AD7"/>
    <w:rsid w:val="00DB2A4B"/>
    <w:rsid w:val="00DB3513"/>
    <w:rsid w:val="00DB751D"/>
    <w:rsid w:val="00DC09BD"/>
    <w:rsid w:val="00DC133D"/>
    <w:rsid w:val="00DC162E"/>
    <w:rsid w:val="00DC35CE"/>
    <w:rsid w:val="00DC3B1E"/>
    <w:rsid w:val="00DC432A"/>
    <w:rsid w:val="00DC4C93"/>
    <w:rsid w:val="00DC679E"/>
    <w:rsid w:val="00DD0E98"/>
    <w:rsid w:val="00DD14BC"/>
    <w:rsid w:val="00DD259F"/>
    <w:rsid w:val="00DD4D47"/>
    <w:rsid w:val="00DD565E"/>
    <w:rsid w:val="00DD76AF"/>
    <w:rsid w:val="00DE1E41"/>
    <w:rsid w:val="00DE3F87"/>
    <w:rsid w:val="00DE5013"/>
    <w:rsid w:val="00DE54BD"/>
    <w:rsid w:val="00DE57DA"/>
    <w:rsid w:val="00DE5D1A"/>
    <w:rsid w:val="00DE64DE"/>
    <w:rsid w:val="00DE73B4"/>
    <w:rsid w:val="00DE787B"/>
    <w:rsid w:val="00DE7AB4"/>
    <w:rsid w:val="00DF2E8B"/>
    <w:rsid w:val="00DF4D86"/>
    <w:rsid w:val="00DF63E3"/>
    <w:rsid w:val="00DF6B09"/>
    <w:rsid w:val="00E007E6"/>
    <w:rsid w:val="00E00B41"/>
    <w:rsid w:val="00E01D84"/>
    <w:rsid w:val="00E048AB"/>
    <w:rsid w:val="00E052D3"/>
    <w:rsid w:val="00E05344"/>
    <w:rsid w:val="00E05DA1"/>
    <w:rsid w:val="00E104CD"/>
    <w:rsid w:val="00E1067F"/>
    <w:rsid w:val="00E111AA"/>
    <w:rsid w:val="00E11BD1"/>
    <w:rsid w:val="00E137BB"/>
    <w:rsid w:val="00E13FDD"/>
    <w:rsid w:val="00E15A72"/>
    <w:rsid w:val="00E20266"/>
    <w:rsid w:val="00E205F2"/>
    <w:rsid w:val="00E235DD"/>
    <w:rsid w:val="00E23B80"/>
    <w:rsid w:val="00E261CD"/>
    <w:rsid w:val="00E26266"/>
    <w:rsid w:val="00E30356"/>
    <w:rsid w:val="00E3199C"/>
    <w:rsid w:val="00E3352E"/>
    <w:rsid w:val="00E34732"/>
    <w:rsid w:val="00E40987"/>
    <w:rsid w:val="00E41E74"/>
    <w:rsid w:val="00E42D0B"/>
    <w:rsid w:val="00E43A1A"/>
    <w:rsid w:val="00E441BF"/>
    <w:rsid w:val="00E5029D"/>
    <w:rsid w:val="00E51679"/>
    <w:rsid w:val="00E528C8"/>
    <w:rsid w:val="00E5311A"/>
    <w:rsid w:val="00E54CD1"/>
    <w:rsid w:val="00E56980"/>
    <w:rsid w:val="00E56B59"/>
    <w:rsid w:val="00E61551"/>
    <w:rsid w:val="00E6266E"/>
    <w:rsid w:val="00E62D29"/>
    <w:rsid w:val="00E64988"/>
    <w:rsid w:val="00E64A38"/>
    <w:rsid w:val="00E64D49"/>
    <w:rsid w:val="00E66B43"/>
    <w:rsid w:val="00E66FFF"/>
    <w:rsid w:val="00E719F6"/>
    <w:rsid w:val="00E725EE"/>
    <w:rsid w:val="00E72ACE"/>
    <w:rsid w:val="00E7345E"/>
    <w:rsid w:val="00E756AC"/>
    <w:rsid w:val="00E777CB"/>
    <w:rsid w:val="00E77EDC"/>
    <w:rsid w:val="00E80334"/>
    <w:rsid w:val="00E8168D"/>
    <w:rsid w:val="00E8381A"/>
    <w:rsid w:val="00E847F2"/>
    <w:rsid w:val="00E86FB8"/>
    <w:rsid w:val="00E87596"/>
    <w:rsid w:val="00E87794"/>
    <w:rsid w:val="00E9480E"/>
    <w:rsid w:val="00E95436"/>
    <w:rsid w:val="00E96422"/>
    <w:rsid w:val="00E97B21"/>
    <w:rsid w:val="00EA5A59"/>
    <w:rsid w:val="00EA62F1"/>
    <w:rsid w:val="00EA6693"/>
    <w:rsid w:val="00EB331D"/>
    <w:rsid w:val="00EB34E7"/>
    <w:rsid w:val="00EB3D8F"/>
    <w:rsid w:val="00EB6BD3"/>
    <w:rsid w:val="00EC3B89"/>
    <w:rsid w:val="00EC52AE"/>
    <w:rsid w:val="00EC634C"/>
    <w:rsid w:val="00ED047B"/>
    <w:rsid w:val="00ED0FE3"/>
    <w:rsid w:val="00ED1DBA"/>
    <w:rsid w:val="00ED2910"/>
    <w:rsid w:val="00ED3482"/>
    <w:rsid w:val="00ED3526"/>
    <w:rsid w:val="00ED3F7E"/>
    <w:rsid w:val="00ED4715"/>
    <w:rsid w:val="00ED47DC"/>
    <w:rsid w:val="00ED7ACF"/>
    <w:rsid w:val="00EE3B97"/>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8A4"/>
    <w:rsid w:val="00F134F9"/>
    <w:rsid w:val="00F1524D"/>
    <w:rsid w:val="00F157AD"/>
    <w:rsid w:val="00F20979"/>
    <w:rsid w:val="00F21D1D"/>
    <w:rsid w:val="00F232CF"/>
    <w:rsid w:val="00F2461C"/>
    <w:rsid w:val="00F24BD9"/>
    <w:rsid w:val="00F24C62"/>
    <w:rsid w:val="00F24FC8"/>
    <w:rsid w:val="00F2664F"/>
    <w:rsid w:val="00F26D0F"/>
    <w:rsid w:val="00F30C1E"/>
    <w:rsid w:val="00F331F0"/>
    <w:rsid w:val="00F34138"/>
    <w:rsid w:val="00F35E57"/>
    <w:rsid w:val="00F36F83"/>
    <w:rsid w:val="00F44566"/>
    <w:rsid w:val="00F460A6"/>
    <w:rsid w:val="00F4673F"/>
    <w:rsid w:val="00F47ACE"/>
    <w:rsid w:val="00F47FCE"/>
    <w:rsid w:val="00F501D2"/>
    <w:rsid w:val="00F518BA"/>
    <w:rsid w:val="00F5266F"/>
    <w:rsid w:val="00F52BC9"/>
    <w:rsid w:val="00F533C0"/>
    <w:rsid w:val="00F53D1E"/>
    <w:rsid w:val="00F557C0"/>
    <w:rsid w:val="00F56447"/>
    <w:rsid w:val="00F56A1D"/>
    <w:rsid w:val="00F5798C"/>
    <w:rsid w:val="00F61A04"/>
    <w:rsid w:val="00F625EB"/>
    <w:rsid w:val="00F64055"/>
    <w:rsid w:val="00F6564C"/>
    <w:rsid w:val="00F65D1F"/>
    <w:rsid w:val="00F710C6"/>
    <w:rsid w:val="00F7142A"/>
    <w:rsid w:val="00F71E7D"/>
    <w:rsid w:val="00F722BD"/>
    <w:rsid w:val="00F72873"/>
    <w:rsid w:val="00F735C8"/>
    <w:rsid w:val="00F73620"/>
    <w:rsid w:val="00F758ED"/>
    <w:rsid w:val="00F81854"/>
    <w:rsid w:val="00F82ED9"/>
    <w:rsid w:val="00F83C51"/>
    <w:rsid w:val="00F87415"/>
    <w:rsid w:val="00F91CF0"/>
    <w:rsid w:val="00F9481A"/>
    <w:rsid w:val="00F956D1"/>
    <w:rsid w:val="00F95742"/>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386C"/>
    <w:rsid w:val="00FD3922"/>
    <w:rsid w:val="00FD6452"/>
    <w:rsid w:val="00FE2B90"/>
    <w:rsid w:val="00FF0A4E"/>
    <w:rsid w:val="00FF14A6"/>
    <w:rsid w:val="00FF285D"/>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8316</TotalTime>
  <Pages>14</Pages>
  <Words>4891</Words>
  <Characters>26902</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1057</cp:revision>
  <cp:lastPrinted>2020-03-17T17:42:00Z</cp:lastPrinted>
  <dcterms:created xsi:type="dcterms:W3CDTF">2020-03-17T17:21:00Z</dcterms:created>
  <dcterms:modified xsi:type="dcterms:W3CDTF">2020-09-24T23:54:00Z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