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4BC53" w14:textId="77777777" w:rsidR="00206495" w:rsidRPr="00AF1555" w:rsidRDefault="00206495" w:rsidP="00206495">
      <w:pPr>
        <w:tabs>
          <w:tab w:val="left" w:pos="709"/>
        </w:tabs>
        <w:spacing w:after="0" w:line="240" w:lineRule="auto"/>
        <w:jc w:val="both"/>
        <w:rPr>
          <w:rFonts w:ascii="Verdana" w:eastAsia="Calibri" w:hAnsi="Verdana" w:cs="Arial"/>
          <w:bCs/>
          <w:sz w:val="20"/>
          <w:szCs w:val="20"/>
          <w:lang w:val="es-ES_tradnl" w:eastAsia="es-ES_tradnl"/>
        </w:rPr>
      </w:pPr>
    </w:p>
    <w:p w14:paraId="4D59A760" w14:textId="77777777" w:rsidR="00206495" w:rsidRPr="00AF1555" w:rsidRDefault="00206495" w:rsidP="00206495">
      <w:pPr>
        <w:spacing w:after="0" w:line="240" w:lineRule="auto"/>
        <w:jc w:val="both"/>
        <w:rPr>
          <w:rFonts w:ascii="Verdana" w:eastAsia="Calibri" w:hAnsi="Verdana" w:cs="Arial"/>
          <w:b/>
          <w:color w:val="000000" w:themeColor="text1"/>
          <w:lang w:val="es-ES"/>
        </w:rPr>
      </w:pPr>
      <w:r>
        <w:rPr>
          <w:rFonts w:ascii="Verdana" w:eastAsia="Calibri" w:hAnsi="Verdana" w:cs="Arial"/>
          <w:b/>
          <w:color w:val="000000" w:themeColor="text1"/>
          <w:lang w:val="es-ES"/>
        </w:rPr>
        <w:t>LIMITACIÓN A MIPYMES</w:t>
      </w:r>
      <w:r w:rsidRPr="000B5B4A">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Fundamento normativo</w:t>
      </w:r>
      <w:r w:rsidRPr="00AF1555">
        <w:rPr>
          <w:rFonts w:ascii="Verdana" w:eastAsia="Calibri" w:hAnsi="Verdana" w:cs="Arial"/>
          <w:b/>
          <w:color w:val="000000" w:themeColor="text1"/>
          <w:lang w:val="es-ES"/>
        </w:rPr>
        <w:t xml:space="preserve"> </w:t>
      </w:r>
    </w:p>
    <w:p w14:paraId="0376E4F2" w14:textId="77777777" w:rsidR="00206495" w:rsidRPr="00AF1555" w:rsidRDefault="00206495" w:rsidP="00206495">
      <w:pPr>
        <w:spacing w:after="0" w:line="240" w:lineRule="auto"/>
        <w:jc w:val="both"/>
        <w:rPr>
          <w:rFonts w:ascii="Verdana" w:eastAsia="Calibri" w:hAnsi="Verdana" w:cs="Arial"/>
          <w:bCs/>
          <w:color w:val="000000" w:themeColor="text1"/>
          <w:sz w:val="20"/>
          <w:szCs w:val="20"/>
          <w:lang w:val="es-ES"/>
        </w:rPr>
      </w:pPr>
    </w:p>
    <w:p w14:paraId="0339CDF1" w14:textId="77777777" w:rsidR="00206495" w:rsidRPr="00EB0B5F" w:rsidRDefault="00206495" w:rsidP="00206495">
      <w:pPr>
        <w:spacing w:after="0" w:line="240" w:lineRule="auto"/>
        <w:jc w:val="both"/>
        <w:rPr>
          <w:rFonts w:ascii="Verdana" w:eastAsia="Calibri" w:hAnsi="Verdana" w:cs="Arial"/>
          <w:iCs/>
          <w:color w:val="000000" w:themeColor="text1"/>
          <w:sz w:val="20"/>
          <w:szCs w:val="20"/>
          <w:lang w:eastAsia="es-ES_tradnl"/>
        </w:rPr>
      </w:pPr>
      <w:r w:rsidRPr="00D372CB">
        <w:rPr>
          <w:rFonts w:ascii="Verdana" w:eastAsia="Calibri" w:hAnsi="Verdana" w:cs="Arial"/>
          <w:bCs/>
          <w:color w:val="000000" w:themeColor="text1"/>
          <w:sz w:val="20"/>
          <w:szCs w:val="20"/>
          <w:lang w:val="es-ES" w:eastAsia="es-ES_tradnl"/>
        </w:rPr>
        <w:t xml:space="preserve">En desarrollo del artículo 34 de la Ley de Emprendimiento, el artículo 2.2.1.2.4.2.2 del Decreto 1082 de 2015 –modificado por el Decreto 1860 de 2021– establece los requisitos que se deben acreditar en las “convocatorias limitadas a </w:t>
      </w:r>
      <w:proofErr w:type="spellStart"/>
      <w:r w:rsidRPr="00D372CB">
        <w:rPr>
          <w:rFonts w:ascii="Verdana" w:eastAsia="Calibri" w:hAnsi="Verdana" w:cs="Arial"/>
          <w:bCs/>
          <w:color w:val="000000" w:themeColor="text1"/>
          <w:sz w:val="20"/>
          <w:szCs w:val="20"/>
          <w:lang w:val="es-ES" w:eastAsia="es-ES_tradnl"/>
        </w:rPr>
        <w:t>Mipymes</w:t>
      </w:r>
      <w:proofErr w:type="spellEnd"/>
      <w:r w:rsidRPr="00D372CB">
        <w:rPr>
          <w:rFonts w:ascii="Verdana" w:eastAsia="Calibri" w:hAnsi="Verdana" w:cs="Arial"/>
          <w:bCs/>
          <w:color w:val="000000" w:themeColor="text1"/>
          <w:sz w:val="20"/>
          <w:szCs w:val="20"/>
          <w:lang w:val="es-ES" w:eastAsia="es-ES_tradnl"/>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Pr="00D372CB">
        <w:rPr>
          <w:rFonts w:ascii="Verdana" w:eastAsia="Calibri" w:hAnsi="Verdana" w:cs="Arial"/>
          <w:bCs/>
          <w:color w:val="000000" w:themeColor="text1"/>
          <w:sz w:val="20"/>
          <w:szCs w:val="20"/>
          <w:lang w:val="es-ES" w:eastAsia="es-ES_tradnl"/>
        </w:rPr>
        <w:t>Mipyme</w:t>
      </w:r>
      <w:proofErr w:type="spellEnd"/>
      <w:r w:rsidRPr="00D372CB">
        <w:rPr>
          <w:rFonts w:ascii="Verdana" w:eastAsia="Calibri" w:hAnsi="Verdana" w:cs="Arial"/>
          <w:bCs/>
          <w:color w:val="000000" w:themeColor="text1"/>
          <w:sz w:val="20"/>
          <w:szCs w:val="20"/>
          <w:lang w:val="es-ES" w:eastAsia="es-ES_tradnl"/>
        </w:rPr>
        <w:t xml:space="preserve"> colombianas con mínimo un (1) año de existencia, siempre que se cumplan los requisitos señalados allí</w:t>
      </w:r>
      <w:r w:rsidRPr="000B5B4A">
        <w:rPr>
          <w:rFonts w:ascii="Verdana" w:eastAsia="Calibri" w:hAnsi="Verdana" w:cs="Arial"/>
          <w:bCs/>
          <w:color w:val="000000" w:themeColor="text1"/>
          <w:sz w:val="20"/>
          <w:szCs w:val="20"/>
          <w:lang w:val="es-ES" w:eastAsia="es-ES_tradnl"/>
        </w:rPr>
        <w:t>.</w:t>
      </w:r>
    </w:p>
    <w:p w14:paraId="5B9E489A" w14:textId="77777777" w:rsidR="00206495" w:rsidRPr="00AF1555" w:rsidRDefault="00206495" w:rsidP="00206495">
      <w:pPr>
        <w:spacing w:after="0" w:line="240" w:lineRule="auto"/>
        <w:rPr>
          <w:rFonts w:ascii="Verdana" w:eastAsia="Geomanist Light" w:hAnsi="Verdana" w:cs="Arial"/>
          <w:color w:val="000000" w:themeColor="text1"/>
          <w:sz w:val="20"/>
          <w:szCs w:val="20"/>
          <w:lang w:val="es-ES_tradnl"/>
        </w:rPr>
      </w:pPr>
    </w:p>
    <w:p w14:paraId="625422AC" w14:textId="77777777" w:rsidR="00206495" w:rsidRPr="00AF1555" w:rsidRDefault="00206495" w:rsidP="00206495">
      <w:pPr>
        <w:spacing w:after="0" w:line="240" w:lineRule="auto"/>
        <w:jc w:val="both"/>
        <w:rPr>
          <w:rFonts w:ascii="Verdana" w:eastAsia="Calibri" w:hAnsi="Verdana" w:cs="Arial"/>
          <w:b/>
          <w:sz w:val="20"/>
          <w:szCs w:val="20"/>
          <w:lang w:val="es-ES"/>
        </w:rPr>
      </w:pPr>
      <w:r>
        <w:rPr>
          <w:rFonts w:ascii="Verdana" w:eastAsia="Calibri" w:hAnsi="Verdana" w:cs="Arial"/>
          <w:b/>
          <w:color w:val="000000" w:themeColor="text1"/>
          <w:lang w:val="es-ES"/>
        </w:rPr>
        <w:t>LIMITACIÓN A MIPYMES</w:t>
      </w:r>
      <w:r w:rsidRPr="000B5B4A">
        <w:rPr>
          <w:rFonts w:ascii="Verdana" w:eastAsia="Calibri" w:hAnsi="Verdana" w:cs="Arial"/>
          <w:b/>
          <w:lang w:val="es-ES"/>
        </w:rPr>
        <w:t xml:space="preserve"> – </w:t>
      </w:r>
      <w:r>
        <w:rPr>
          <w:rFonts w:ascii="Verdana" w:eastAsia="Calibri" w:hAnsi="Verdana" w:cs="Arial"/>
          <w:b/>
          <w:lang w:val="es-ES"/>
        </w:rPr>
        <w:t xml:space="preserve">Requisitos – Decreto 1082 de 2015 – Art. </w:t>
      </w:r>
      <w:r w:rsidRPr="00D372CB">
        <w:rPr>
          <w:rFonts w:ascii="Verdana" w:eastAsia="Calibri" w:hAnsi="Verdana" w:cs="Arial"/>
          <w:b/>
          <w:lang w:val="es-ES"/>
        </w:rPr>
        <w:t>2.2.1.2.4.2.2</w:t>
      </w:r>
      <w:r>
        <w:rPr>
          <w:rFonts w:ascii="Verdana" w:eastAsia="Calibri" w:hAnsi="Verdana" w:cs="Arial"/>
          <w:b/>
          <w:lang w:val="es-ES"/>
        </w:rPr>
        <w:t xml:space="preserve"> </w:t>
      </w:r>
    </w:p>
    <w:p w14:paraId="50C31273" w14:textId="77777777" w:rsidR="00206495" w:rsidRDefault="00206495" w:rsidP="00206495">
      <w:pPr>
        <w:spacing w:after="0" w:line="240" w:lineRule="auto"/>
        <w:jc w:val="both"/>
        <w:rPr>
          <w:rFonts w:ascii="Verdana" w:eastAsia="Calibri" w:hAnsi="Verdana" w:cs="Arial"/>
          <w:bCs/>
          <w:sz w:val="20"/>
          <w:szCs w:val="20"/>
          <w:lang w:val="es-ES"/>
        </w:rPr>
      </w:pPr>
    </w:p>
    <w:p w14:paraId="66A7AA2E" w14:textId="77777777" w:rsidR="00206495" w:rsidRDefault="00206495" w:rsidP="00206495">
      <w:pPr>
        <w:spacing w:after="0" w:line="240" w:lineRule="auto"/>
        <w:jc w:val="both"/>
        <w:rPr>
          <w:rFonts w:ascii="Verdana" w:eastAsia="Calibri" w:hAnsi="Verdana" w:cs="Arial"/>
          <w:bCs/>
          <w:sz w:val="20"/>
          <w:szCs w:val="20"/>
          <w:lang w:val="es-ES"/>
        </w:rPr>
      </w:pPr>
      <w:r>
        <w:rPr>
          <w:rFonts w:ascii="Verdana" w:eastAsia="Calibri" w:hAnsi="Verdana" w:cs="Arial"/>
          <w:bCs/>
          <w:sz w:val="20"/>
          <w:szCs w:val="20"/>
          <w:lang w:val="es-ES"/>
        </w:rPr>
        <w:t>E</w:t>
      </w:r>
      <w:r w:rsidRPr="00D372CB">
        <w:rPr>
          <w:rFonts w:ascii="Verdana" w:eastAsia="Calibri" w:hAnsi="Verdana" w:cs="Arial"/>
          <w:bCs/>
          <w:sz w:val="20"/>
          <w:szCs w:val="20"/>
          <w:lang w:val="es-ES"/>
        </w:rPr>
        <w:t xml:space="preserve">l numeral primero limita cuantitativamente los procesos contractuales para las convocatorias limitadas a </w:t>
      </w:r>
      <w:proofErr w:type="spellStart"/>
      <w:r w:rsidRPr="00D372CB">
        <w:rPr>
          <w:rFonts w:ascii="Verdana" w:eastAsia="Calibri" w:hAnsi="Verdana" w:cs="Arial"/>
          <w:bCs/>
          <w:sz w:val="20"/>
          <w:szCs w:val="20"/>
          <w:lang w:val="es-ES"/>
        </w:rPr>
        <w:t>Mipyme</w:t>
      </w:r>
      <w:proofErr w:type="spellEnd"/>
      <w:r w:rsidRPr="00D372CB">
        <w:rPr>
          <w:rFonts w:ascii="Verdana" w:eastAsia="Calibri" w:hAnsi="Verdana" w:cs="Arial"/>
          <w:bCs/>
          <w:sz w:val="20"/>
          <w:szCs w:val="20"/>
          <w:lang w:val="es-ES"/>
        </w:rPr>
        <w:t xml:space="preserve">, puesto que el valor del proceso de contratación debe ser “menor a ciento veinticinco mil dólares de los Estados Unidos de América”. Esto acuerdo con la tasa que determine cada dos años el Ministerio de Comercio, Industria y Turismo. Por su parte, el numeral segundo establece que al menos dos (2) </w:t>
      </w:r>
      <w:proofErr w:type="spellStart"/>
      <w:r w:rsidRPr="00D372CB">
        <w:rPr>
          <w:rFonts w:ascii="Verdana" w:eastAsia="Calibri" w:hAnsi="Verdana" w:cs="Arial"/>
          <w:bCs/>
          <w:sz w:val="20"/>
          <w:szCs w:val="20"/>
          <w:lang w:val="es-ES"/>
        </w:rPr>
        <w:t>Mipymes</w:t>
      </w:r>
      <w:proofErr w:type="spellEnd"/>
      <w:r w:rsidRPr="00D372CB">
        <w:rPr>
          <w:rFonts w:ascii="Verdana" w:eastAsia="Calibri" w:hAnsi="Verdana" w:cs="Arial"/>
          <w:bCs/>
          <w:sz w:val="20"/>
          <w:szCs w:val="20"/>
          <w:lang w:val="es-ES"/>
        </w:rPr>
        <w:t xml:space="preserve"> colombianas presenten a la entidad la solicitud de limitar el proceso contractual y, por el otro, que hagan la solicitud por lo menos un día (1) hábil antes de la expedición del acto administrativo de apertura o el que haga sus veces de acuerdo con la normativa aplicable a cada Proceso de Contratación. Asimismo, la norma señala que, tratándose de personas jurídicas, las solicitudes solo las podrán realizar </w:t>
      </w:r>
      <w:proofErr w:type="spellStart"/>
      <w:r w:rsidRPr="00D372CB">
        <w:rPr>
          <w:rFonts w:ascii="Verdana" w:eastAsia="Calibri" w:hAnsi="Verdana" w:cs="Arial"/>
          <w:bCs/>
          <w:sz w:val="20"/>
          <w:szCs w:val="20"/>
          <w:lang w:val="es-ES"/>
        </w:rPr>
        <w:t>Mipyme</w:t>
      </w:r>
      <w:proofErr w:type="spellEnd"/>
      <w:r w:rsidRPr="00D372CB">
        <w:rPr>
          <w:rFonts w:ascii="Verdana" w:eastAsia="Calibri" w:hAnsi="Verdana" w:cs="Arial"/>
          <w:bCs/>
          <w:sz w:val="20"/>
          <w:szCs w:val="20"/>
          <w:lang w:val="es-ES"/>
        </w:rPr>
        <w:t xml:space="preserve">, cuyo objeto social les permita ejecutar el contrato relacionado con el proceso contractual. Por lo demás, este artículo incluye a las cooperativas y demás entidades de economía solidaria dentro de los sujetos que pueden solicitar y participar en las convocatorias limitadas a </w:t>
      </w:r>
      <w:proofErr w:type="spellStart"/>
      <w:r w:rsidRPr="00D372CB">
        <w:rPr>
          <w:rFonts w:ascii="Verdana" w:eastAsia="Calibri" w:hAnsi="Verdana" w:cs="Arial"/>
          <w:bCs/>
          <w:sz w:val="20"/>
          <w:szCs w:val="20"/>
          <w:lang w:val="es-ES"/>
        </w:rPr>
        <w:t>Mipyme</w:t>
      </w:r>
      <w:proofErr w:type="spellEnd"/>
      <w:r w:rsidRPr="00D372CB">
        <w:rPr>
          <w:rFonts w:ascii="Verdana" w:eastAsia="Calibri" w:hAnsi="Verdana" w:cs="Arial"/>
          <w:bCs/>
          <w:sz w:val="20"/>
          <w:szCs w:val="20"/>
          <w:lang w:val="es-ES"/>
        </w:rPr>
        <w:t xml:space="preserve">, siempre que estas cumplan con las condiciones señaladas en el artículo. </w:t>
      </w:r>
    </w:p>
    <w:p w14:paraId="49388FD6" w14:textId="77777777" w:rsidR="00206495" w:rsidRPr="00D372CB" w:rsidRDefault="00206495" w:rsidP="00206495">
      <w:pPr>
        <w:spacing w:after="0" w:line="240" w:lineRule="auto"/>
        <w:jc w:val="both"/>
        <w:rPr>
          <w:rFonts w:ascii="Verdana" w:eastAsia="Calibri" w:hAnsi="Verdana" w:cs="Arial"/>
          <w:bCs/>
          <w:sz w:val="20"/>
          <w:szCs w:val="20"/>
          <w:lang w:val="es-ES"/>
        </w:rPr>
      </w:pPr>
    </w:p>
    <w:p w14:paraId="19F2D884" w14:textId="77777777" w:rsidR="00206495" w:rsidRPr="00683260" w:rsidRDefault="00206495" w:rsidP="00206495">
      <w:pPr>
        <w:spacing w:after="0" w:line="240" w:lineRule="auto"/>
        <w:jc w:val="both"/>
        <w:rPr>
          <w:rFonts w:ascii="Verdana" w:eastAsia="Calibri" w:hAnsi="Verdana" w:cs="Arial"/>
          <w:bCs/>
          <w:sz w:val="20"/>
          <w:szCs w:val="20"/>
          <w:lang w:val="es-ES"/>
        </w:rPr>
      </w:pPr>
      <w:r w:rsidRPr="00D372CB">
        <w:rPr>
          <w:rFonts w:ascii="Verdana" w:eastAsia="Calibri" w:hAnsi="Verdana" w:cs="Arial"/>
          <w:bCs/>
          <w:sz w:val="20"/>
          <w:szCs w:val="20"/>
          <w:lang w:val="es-ES"/>
        </w:rPr>
        <w:t xml:space="preserve">En este contexto, las entidades estatales están obligadas a aplicar el incentivo de convocatorias limitadas a </w:t>
      </w:r>
      <w:proofErr w:type="spellStart"/>
      <w:r w:rsidRPr="00D372CB">
        <w:rPr>
          <w:rFonts w:ascii="Verdana" w:eastAsia="Calibri" w:hAnsi="Verdana" w:cs="Arial"/>
          <w:bCs/>
          <w:sz w:val="20"/>
          <w:szCs w:val="20"/>
          <w:lang w:val="es-ES"/>
        </w:rPr>
        <w:t>Mipyme</w:t>
      </w:r>
      <w:proofErr w:type="spellEnd"/>
      <w:r w:rsidRPr="00D372CB">
        <w:rPr>
          <w:rFonts w:ascii="Verdana" w:eastAsia="Calibri" w:hAnsi="Verdana" w:cs="Arial"/>
          <w:bCs/>
          <w:sz w:val="20"/>
          <w:szCs w:val="20"/>
          <w:lang w:val="es-ES"/>
        </w:rPr>
        <w:t xml:space="preserve"> cuando se reúnan los requisitos establecidos en el artículo 2.2.1.2.4.2.2 del Decreto 1082 de 2015, sin importar el objeto del contrato. Para que proceda la convocatoria limitada a </w:t>
      </w:r>
      <w:proofErr w:type="spellStart"/>
      <w:r w:rsidRPr="00D372CB">
        <w:rPr>
          <w:rFonts w:ascii="Verdana" w:eastAsia="Calibri" w:hAnsi="Verdana" w:cs="Arial"/>
          <w:bCs/>
          <w:sz w:val="20"/>
          <w:szCs w:val="20"/>
          <w:lang w:val="es-ES"/>
        </w:rPr>
        <w:t>Mipyme</w:t>
      </w:r>
      <w:proofErr w:type="spellEnd"/>
      <w:r w:rsidRPr="00D372CB">
        <w:rPr>
          <w:rFonts w:ascii="Verdana" w:eastAsia="Calibri" w:hAnsi="Verdana" w:cs="Arial"/>
          <w:bCs/>
          <w:sz w:val="20"/>
          <w:szCs w:val="20"/>
          <w:lang w:val="es-ES"/>
        </w:rPr>
        <w:t xml:space="preserve"> es necesario que el valor del proceso de contratación sea menor a US$125.000, esto se cumple cuando no se generen erogaciones presupuestales o cuando la cuantía del Proceso de Contratación sea cero (0).</w:t>
      </w:r>
    </w:p>
    <w:p w14:paraId="1468F647" w14:textId="77777777" w:rsidR="00206495" w:rsidRPr="00AF1555" w:rsidRDefault="00206495" w:rsidP="00206495">
      <w:pPr>
        <w:spacing w:after="0" w:line="240" w:lineRule="auto"/>
        <w:rPr>
          <w:rFonts w:ascii="Verdana" w:eastAsia="Geomanist Light" w:hAnsi="Verdana" w:cs="Arial"/>
          <w:color w:val="000000" w:themeColor="text1"/>
          <w:sz w:val="20"/>
          <w:szCs w:val="20"/>
          <w:lang w:val="es-ES_tradnl"/>
        </w:rPr>
      </w:pPr>
    </w:p>
    <w:p w14:paraId="19BCCFB9" w14:textId="77777777" w:rsidR="00206495" w:rsidRPr="00AF1555" w:rsidRDefault="00206495" w:rsidP="00206495">
      <w:pPr>
        <w:tabs>
          <w:tab w:val="left" w:pos="426"/>
        </w:tabs>
        <w:spacing w:after="0" w:line="240" w:lineRule="auto"/>
        <w:jc w:val="both"/>
        <w:rPr>
          <w:rFonts w:ascii="Verdana" w:hAnsi="Verdana" w:cs="Arial"/>
          <w:b/>
          <w:lang w:eastAsia="es-CO"/>
        </w:rPr>
      </w:pPr>
      <w:r>
        <w:rPr>
          <w:rFonts w:ascii="Verdana" w:hAnsi="Verdana" w:cs="Arial"/>
          <w:b/>
          <w:lang w:eastAsia="es-CO"/>
        </w:rPr>
        <w:t>LIMITACIONES TERRITORIALES – Carácter facultativo</w:t>
      </w:r>
    </w:p>
    <w:p w14:paraId="7B799C15" w14:textId="77777777" w:rsidR="00206495" w:rsidRPr="00AF1555" w:rsidRDefault="00206495" w:rsidP="00206495">
      <w:pPr>
        <w:tabs>
          <w:tab w:val="left" w:pos="426"/>
        </w:tabs>
        <w:spacing w:after="0" w:line="240" w:lineRule="auto"/>
        <w:jc w:val="both"/>
        <w:rPr>
          <w:rFonts w:ascii="Verdana" w:hAnsi="Verdana" w:cs="Arial"/>
          <w:b/>
          <w:sz w:val="20"/>
          <w:szCs w:val="20"/>
          <w:lang w:eastAsia="es-CO"/>
        </w:rPr>
      </w:pPr>
    </w:p>
    <w:p w14:paraId="0365D475" w14:textId="77777777" w:rsidR="00206495" w:rsidRDefault="00206495" w:rsidP="00206495">
      <w:pPr>
        <w:spacing w:after="0" w:line="240" w:lineRule="auto"/>
        <w:jc w:val="both"/>
        <w:rPr>
          <w:rFonts w:ascii="Verdana" w:hAnsi="Verdana" w:cs="Arial"/>
          <w:bCs/>
          <w:sz w:val="20"/>
          <w:szCs w:val="20"/>
          <w:lang w:val="es-ES" w:eastAsia="es-CO"/>
        </w:rPr>
      </w:pPr>
      <w:r w:rsidRPr="00F35776">
        <w:rPr>
          <w:rFonts w:ascii="Verdana" w:hAnsi="Verdana" w:cs="Arial"/>
          <w:bCs/>
          <w:sz w:val="20"/>
          <w:szCs w:val="20"/>
          <w:lang w:val="es-ES" w:eastAsia="es-CO"/>
        </w:rPr>
        <w:t xml:space="preserve">Colombia Compra Eficiente ha sostenido que la decisión de limitar territorialmente una convocatoria a </w:t>
      </w:r>
      <w:proofErr w:type="spellStart"/>
      <w:r w:rsidRPr="00F35776">
        <w:rPr>
          <w:rFonts w:ascii="Verdana" w:hAnsi="Verdana" w:cs="Arial"/>
          <w:bCs/>
          <w:sz w:val="20"/>
          <w:szCs w:val="20"/>
          <w:lang w:val="es-ES" w:eastAsia="es-CO"/>
        </w:rPr>
        <w:t>Mipyme</w:t>
      </w:r>
      <w:proofErr w:type="spellEnd"/>
      <w:r w:rsidRPr="00F35776">
        <w:rPr>
          <w:rFonts w:ascii="Verdana" w:hAnsi="Verdana" w:cs="Arial"/>
          <w:bCs/>
          <w:sz w:val="20"/>
          <w:szCs w:val="20"/>
          <w:lang w:val="es-ES" w:eastAsia="es-CO"/>
        </w:rPr>
        <w:t xml:space="preserve"> es discrecional, y ha precisado que, de todos modos, esta debe justificarse con fundamento en los correspondientes “estudios del sector”. Así lo consideró en la consulta No. 216130003241, resuelta el 30 de junio de 2016. Igualmente, en la consulta resuelta en el radicado No. 2201813000008184 del 7 de septiembre de 2019, se explicó que, de acuerdo con el artículo 2.2.1.2.4.2.3 del Decreto 1082 de 2015, las </w:t>
      </w:r>
      <w:proofErr w:type="spellStart"/>
      <w:r w:rsidRPr="00F35776">
        <w:rPr>
          <w:rFonts w:ascii="Verdana" w:hAnsi="Verdana" w:cs="Arial"/>
          <w:bCs/>
          <w:sz w:val="20"/>
          <w:szCs w:val="20"/>
          <w:lang w:val="es-ES" w:eastAsia="es-CO"/>
        </w:rPr>
        <w:t>Mipyme</w:t>
      </w:r>
      <w:proofErr w:type="spellEnd"/>
      <w:r w:rsidRPr="00F35776">
        <w:rPr>
          <w:rFonts w:ascii="Verdana" w:hAnsi="Verdana" w:cs="Arial"/>
          <w:bCs/>
          <w:sz w:val="20"/>
          <w:szCs w:val="20"/>
          <w:lang w:val="es-ES" w:eastAsia="es-CO"/>
        </w:rPr>
        <w:t xml:space="preserve"> beneficiadas deben tener su domicilio principal en el municipio </w:t>
      </w:r>
      <w:r w:rsidRPr="00F35776">
        <w:rPr>
          <w:rFonts w:ascii="Verdana" w:hAnsi="Verdana" w:cs="Arial"/>
          <w:bCs/>
          <w:sz w:val="20"/>
          <w:szCs w:val="20"/>
          <w:lang w:val="es-ES" w:eastAsia="es-CO"/>
        </w:rPr>
        <w:lastRenderedPageBreak/>
        <w:t>o departamento donde se ejecutará el contrato para participar en una convocatoria limitada territorialmente. Esta tesis sigue vigente, puesto que el nuevo contenido del artículo 2.2.1.2.4.2.3 del Decreto 1082 de 2015, modificado por el artículo 5 del Decreto 1860 de 2021, mantiene la facultad de la Administración para limitar territorialmente la convocatoria teniendo en cuenta el domicilio de ejecución del contrato, lo cual es congruente como el verbo “podrán” del parágrafo primero del artículo 34 de la Ley de Emprendimiento.</w:t>
      </w:r>
    </w:p>
    <w:p w14:paraId="74944585" w14:textId="77777777" w:rsidR="00206495" w:rsidRPr="00F35776" w:rsidRDefault="00206495" w:rsidP="00206495">
      <w:pPr>
        <w:spacing w:after="0" w:line="240" w:lineRule="auto"/>
        <w:jc w:val="both"/>
        <w:rPr>
          <w:rFonts w:ascii="Verdana" w:hAnsi="Verdana" w:cs="Arial"/>
          <w:bCs/>
          <w:sz w:val="20"/>
          <w:szCs w:val="20"/>
          <w:lang w:val="es-ES" w:eastAsia="es-CO"/>
        </w:rPr>
      </w:pPr>
    </w:p>
    <w:p w14:paraId="773C0848" w14:textId="77777777" w:rsidR="00206495" w:rsidRPr="002D6F96" w:rsidRDefault="00206495" w:rsidP="00206495">
      <w:pPr>
        <w:spacing w:after="0" w:line="240" w:lineRule="auto"/>
        <w:jc w:val="both"/>
        <w:rPr>
          <w:rFonts w:ascii="Verdana" w:hAnsi="Verdana" w:cs="Arial"/>
          <w:bCs/>
          <w:sz w:val="20"/>
          <w:szCs w:val="20"/>
          <w:lang w:eastAsia="es-CO"/>
        </w:rPr>
      </w:pPr>
      <w:r w:rsidRPr="00F35776">
        <w:rPr>
          <w:rFonts w:ascii="Verdana" w:hAnsi="Verdana" w:cs="Arial"/>
          <w:bCs/>
          <w:sz w:val="20"/>
          <w:szCs w:val="20"/>
          <w:lang w:val="es-ES" w:eastAsia="es-CO"/>
        </w:rPr>
        <w:t xml:space="preserve">En tal sentido, lo que debe adoptarse obligatoriamente es la limitación a </w:t>
      </w:r>
      <w:proofErr w:type="spellStart"/>
      <w:r w:rsidRPr="00F35776">
        <w:rPr>
          <w:rFonts w:ascii="Verdana" w:hAnsi="Verdana" w:cs="Arial"/>
          <w:bCs/>
          <w:sz w:val="20"/>
          <w:szCs w:val="20"/>
          <w:lang w:val="es-ES" w:eastAsia="es-CO"/>
        </w:rPr>
        <w:t>Mipymes</w:t>
      </w:r>
      <w:proofErr w:type="spellEnd"/>
      <w:r w:rsidRPr="00F35776">
        <w:rPr>
          <w:rFonts w:ascii="Verdana" w:hAnsi="Verdana" w:cs="Arial"/>
          <w:bCs/>
          <w:sz w:val="20"/>
          <w:szCs w:val="20"/>
          <w:lang w:val="es-ES" w:eastAsia="es-CO"/>
        </w:rPr>
        <w:t xml:space="preserve"> colombianas siempre que se cumplan las condiciones del artículo 2.2.1.2.4.2.2 del Decreto 1082 de 2015, pero no la “limitación territorial” referida en el artículo 2.2.1.2.4.2.3 </w:t>
      </w:r>
      <w:proofErr w:type="spellStart"/>
      <w:r w:rsidRPr="00F35776">
        <w:rPr>
          <w:rFonts w:ascii="Verdana" w:hAnsi="Verdana" w:cs="Arial"/>
          <w:bCs/>
          <w:sz w:val="20"/>
          <w:szCs w:val="20"/>
          <w:lang w:val="es-ES" w:eastAsia="es-CO"/>
        </w:rPr>
        <w:t>ibídem</w:t>
      </w:r>
      <w:proofErr w:type="spellEnd"/>
      <w:r w:rsidRPr="00F35776">
        <w:rPr>
          <w:rFonts w:ascii="Verdana" w:hAnsi="Verdana" w:cs="Arial"/>
          <w:bCs/>
          <w:sz w:val="20"/>
          <w:szCs w:val="20"/>
          <w:lang w:val="es-ES" w:eastAsia="es-CO"/>
        </w:rPr>
        <w:t xml:space="preserve">, pues esta es facultativa para la entidad. Las únicas exigencias son que la convocatoria esté limitada a las </w:t>
      </w:r>
      <w:proofErr w:type="spellStart"/>
      <w:r w:rsidRPr="00F35776">
        <w:rPr>
          <w:rFonts w:ascii="Verdana" w:hAnsi="Verdana" w:cs="Arial"/>
          <w:bCs/>
          <w:sz w:val="20"/>
          <w:szCs w:val="20"/>
          <w:lang w:val="es-ES" w:eastAsia="es-CO"/>
        </w:rPr>
        <w:t>Mipyme</w:t>
      </w:r>
      <w:proofErr w:type="spellEnd"/>
      <w:r w:rsidRPr="00F35776">
        <w:rPr>
          <w:rFonts w:ascii="Verdana" w:hAnsi="Verdana" w:cs="Arial"/>
          <w:bCs/>
          <w:sz w:val="20"/>
          <w:szCs w:val="20"/>
          <w:lang w:val="es-ES" w:eastAsia="es-CO"/>
        </w:rPr>
        <w:t xml:space="preserve"> colombianas “domiciliadas en los departamentos o municipios en donde se va a ejecutar el contrato” y que la entidad justifique su decisión con base en los “estudios del sector”. No es procedente, entonces, que sean las </w:t>
      </w:r>
      <w:proofErr w:type="spellStart"/>
      <w:r w:rsidRPr="00F35776">
        <w:rPr>
          <w:rFonts w:ascii="Verdana" w:hAnsi="Verdana" w:cs="Arial"/>
          <w:bCs/>
          <w:sz w:val="20"/>
          <w:szCs w:val="20"/>
          <w:lang w:val="es-ES" w:eastAsia="es-CO"/>
        </w:rPr>
        <w:t>Mipymes</w:t>
      </w:r>
      <w:proofErr w:type="spellEnd"/>
      <w:r w:rsidRPr="00F35776">
        <w:rPr>
          <w:rFonts w:ascii="Verdana" w:hAnsi="Verdana" w:cs="Arial"/>
          <w:bCs/>
          <w:sz w:val="20"/>
          <w:szCs w:val="20"/>
          <w:lang w:val="es-ES" w:eastAsia="es-CO"/>
        </w:rPr>
        <w:t xml:space="preserve"> las que soliciten la “limitación territorial” a la que se refiere el artículo 2.2.1.2.4.2.3 del Decreto 1082 de 2015.</w:t>
      </w:r>
    </w:p>
    <w:p w14:paraId="3945CE24" w14:textId="77777777" w:rsidR="00206495" w:rsidRPr="00206495" w:rsidRDefault="00206495" w:rsidP="00E7156E">
      <w:pPr>
        <w:spacing w:after="0" w:line="240" w:lineRule="auto"/>
        <w:rPr>
          <w:rFonts w:ascii="Verdana" w:eastAsia="Geomanist Light" w:hAnsi="Verdana" w:cs="Arial"/>
          <w:color w:val="000000" w:themeColor="text1"/>
        </w:rPr>
      </w:pPr>
    </w:p>
    <w:p w14:paraId="5942747F" w14:textId="77777777" w:rsidR="00206495" w:rsidRDefault="00206495" w:rsidP="00E7156E">
      <w:pPr>
        <w:spacing w:after="0" w:line="240" w:lineRule="auto"/>
        <w:rPr>
          <w:rFonts w:ascii="Verdana" w:eastAsia="Geomanist Light" w:hAnsi="Verdana" w:cs="Arial"/>
          <w:color w:val="000000" w:themeColor="text1"/>
          <w:lang w:val="es-MX"/>
        </w:rPr>
      </w:pPr>
    </w:p>
    <w:p w14:paraId="08BE0592" w14:textId="77777777" w:rsidR="00206495" w:rsidRDefault="00206495" w:rsidP="00E7156E">
      <w:pPr>
        <w:spacing w:after="0" w:line="240" w:lineRule="auto"/>
        <w:rPr>
          <w:rFonts w:ascii="Verdana" w:eastAsia="Geomanist Light" w:hAnsi="Verdana" w:cs="Arial"/>
          <w:color w:val="000000" w:themeColor="text1"/>
          <w:lang w:val="es-MX"/>
        </w:rPr>
      </w:pPr>
    </w:p>
    <w:p w14:paraId="7818A6D1" w14:textId="77777777" w:rsidR="00206495" w:rsidRDefault="00206495" w:rsidP="00E7156E">
      <w:pPr>
        <w:spacing w:after="0" w:line="240" w:lineRule="auto"/>
        <w:rPr>
          <w:rFonts w:ascii="Verdana" w:eastAsia="Geomanist Light" w:hAnsi="Verdana" w:cs="Arial"/>
          <w:color w:val="000000" w:themeColor="text1"/>
          <w:lang w:val="es-MX"/>
        </w:rPr>
      </w:pPr>
    </w:p>
    <w:p w14:paraId="62D60B0C" w14:textId="77777777" w:rsidR="00206495" w:rsidRDefault="00206495" w:rsidP="00E7156E">
      <w:pPr>
        <w:spacing w:after="0" w:line="240" w:lineRule="auto"/>
        <w:rPr>
          <w:rFonts w:ascii="Verdana" w:eastAsia="Geomanist Light" w:hAnsi="Verdana" w:cs="Arial"/>
          <w:color w:val="000000" w:themeColor="text1"/>
          <w:lang w:val="es-MX"/>
        </w:rPr>
      </w:pPr>
    </w:p>
    <w:p w14:paraId="75F8507E" w14:textId="77777777" w:rsidR="00206495" w:rsidRDefault="00206495" w:rsidP="00E7156E">
      <w:pPr>
        <w:spacing w:after="0" w:line="240" w:lineRule="auto"/>
        <w:rPr>
          <w:rFonts w:ascii="Verdana" w:eastAsia="Geomanist Light" w:hAnsi="Verdana" w:cs="Arial"/>
          <w:color w:val="000000" w:themeColor="text1"/>
          <w:lang w:val="es-MX"/>
        </w:rPr>
      </w:pPr>
    </w:p>
    <w:p w14:paraId="519BD35E" w14:textId="77777777" w:rsidR="00206495" w:rsidRDefault="00206495" w:rsidP="00E7156E">
      <w:pPr>
        <w:spacing w:after="0" w:line="240" w:lineRule="auto"/>
        <w:rPr>
          <w:rFonts w:ascii="Verdana" w:eastAsia="Geomanist Light" w:hAnsi="Verdana" w:cs="Arial"/>
          <w:color w:val="000000" w:themeColor="text1"/>
          <w:lang w:val="es-MX"/>
        </w:rPr>
      </w:pPr>
    </w:p>
    <w:p w14:paraId="7D72E6A4" w14:textId="77777777" w:rsidR="00206495" w:rsidRDefault="00206495" w:rsidP="00E7156E">
      <w:pPr>
        <w:spacing w:after="0" w:line="240" w:lineRule="auto"/>
        <w:rPr>
          <w:rFonts w:ascii="Verdana" w:eastAsia="Geomanist Light" w:hAnsi="Verdana" w:cs="Arial"/>
          <w:color w:val="000000" w:themeColor="text1"/>
          <w:lang w:val="es-MX"/>
        </w:rPr>
      </w:pPr>
    </w:p>
    <w:p w14:paraId="77B9320F" w14:textId="77777777" w:rsidR="00206495" w:rsidRDefault="00206495" w:rsidP="00E7156E">
      <w:pPr>
        <w:spacing w:after="0" w:line="240" w:lineRule="auto"/>
        <w:rPr>
          <w:rFonts w:ascii="Verdana" w:eastAsia="Geomanist Light" w:hAnsi="Verdana" w:cs="Arial"/>
          <w:color w:val="000000" w:themeColor="text1"/>
          <w:lang w:val="es-MX"/>
        </w:rPr>
      </w:pPr>
    </w:p>
    <w:p w14:paraId="3ACF23AD" w14:textId="77777777" w:rsidR="00206495" w:rsidRDefault="00206495" w:rsidP="00E7156E">
      <w:pPr>
        <w:spacing w:after="0" w:line="240" w:lineRule="auto"/>
        <w:rPr>
          <w:rFonts w:ascii="Verdana" w:eastAsia="Geomanist Light" w:hAnsi="Verdana" w:cs="Arial"/>
          <w:color w:val="000000" w:themeColor="text1"/>
          <w:lang w:val="es-MX"/>
        </w:rPr>
      </w:pPr>
    </w:p>
    <w:p w14:paraId="718D69EC" w14:textId="77777777" w:rsidR="00206495" w:rsidRDefault="00206495" w:rsidP="00E7156E">
      <w:pPr>
        <w:spacing w:after="0" w:line="240" w:lineRule="auto"/>
        <w:rPr>
          <w:rFonts w:ascii="Verdana" w:eastAsia="Geomanist Light" w:hAnsi="Verdana" w:cs="Arial"/>
          <w:color w:val="000000" w:themeColor="text1"/>
          <w:lang w:val="es-MX"/>
        </w:rPr>
      </w:pPr>
    </w:p>
    <w:p w14:paraId="0FDD9A33" w14:textId="77777777" w:rsidR="00206495" w:rsidRDefault="00206495" w:rsidP="00E7156E">
      <w:pPr>
        <w:spacing w:after="0" w:line="240" w:lineRule="auto"/>
        <w:rPr>
          <w:rFonts w:ascii="Verdana" w:eastAsia="Geomanist Light" w:hAnsi="Verdana" w:cs="Arial"/>
          <w:color w:val="000000" w:themeColor="text1"/>
          <w:lang w:val="es-MX"/>
        </w:rPr>
      </w:pPr>
    </w:p>
    <w:p w14:paraId="6AFD47DF" w14:textId="77777777" w:rsidR="00206495" w:rsidRDefault="00206495" w:rsidP="00E7156E">
      <w:pPr>
        <w:spacing w:after="0" w:line="240" w:lineRule="auto"/>
        <w:rPr>
          <w:rFonts w:ascii="Verdana" w:eastAsia="Geomanist Light" w:hAnsi="Verdana" w:cs="Arial"/>
          <w:color w:val="000000" w:themeColor="text1"/>
          <w:lang w:val="es-MX"/>
        </w:rPr>
      </w:pPr>
    </w:p>
    <w:p w14:paraId="5321EFEC" w14:textId="77777777" w:rsidR="00206495" w:rsidRDefault="00206495" w:rsidP="00E7156E">
      <w:pPr>
        <w:spacing w:after="0" w:line="240" w:lineRule="auto"/>
        <w:rPr>
          <w:rFonts w:ascii="Verdana" w:eastAsia="Geomanist Light" w:hAnsi="Verdana" w:cs="Arial"/>
          <w:color w:val="000000" w:themeColor="text1"/>
          <w:lang w:val="es-MX"/>
        </w:rPr>
      </w:pPr>
    </w:p>
    <w:p w14:paraId="4A863CF1" w14:textId="77777777" w:rsidR="00206495" w:rsidRDefault="00206495" w:rsidP="00E7156E">
      <w:pPr>
        <w:spacing w:after="0" w:line="240" w:lineRule="auto"/>
        <w:rPr>
          <w:rFonts w:ascii="Verdana" w:eastAsia="Geomanist Light" w:hAnsi="Verdana" w:cs="Arial"/>
          <w:color w:val="000000" w:themeColor="text1"/>
          <w:lang w:val="es-MX"/>
        </w:rPr>
      </w:pPr>
    </w:p>
    <w:p w14:paraId="220447B8" w14:textId="77777777" w:rsidR="00206495" w:rsidRDefault="00206495" w:rsidP="00E7156E">
      <w:pPr>
        <w:spacing w:after="0" w:line="240" w:lineRule="auto"/>
        <w:rPr>
          <w:rFonts w:ascii="Verdana" w:eastAsia="Geomanist Light" w:hAnsi="Verdana" w:cs="Arial"/>
          <w:color w:val="000000" w:themeColor="text1"/>
          <w:lang w:val="es-MX"/>
        </w:rPr>
      </w:pPr>
    </w:p>
    <w:p w14:paraId="4B4C984B" w14:textId="77777777" w:rsidR="00206495" w:rsidRDefault="00206495" w:rsidP="00E7156E">
      <w:pPr>
        <w:spacing w:after="0" w:line="240" w:lineRule="auto"/>
        <w:rPr>
          <w:rFonts w:ascii="Verdana" w:eastAsia="Geomanist Light" w:hAnsi="Verdana" w:cs="Arial"/>
          <w:color w:val="000000" w:themeColor="text1"/>
          <w:lang w:val="es-MX"/>
        </w:rPr>
      </w:pPr>
    </w:p>
    <w:p w14:paraId="1CCECB8D" w14:textId="77777777" w:rsidR="00206495" w:rsidRDefault="00206495" w:rsidP="00E7156E">
      <w:pPr>
        <w:spacing w:after="0" w:line="240" w:lineRule="auto"/>
        <w:rPr>
          <w:rFonts w:ascii="Verdana" w:eastAsia="Geomanist Light" w:hAnsi="Verdana" w:cs="Arial"/>
          <w:color w:val="000000" w:themeColor="text1"/>
          <w:lang w:val="es-MX"/>
        </w:rPr>
      </w:pPr>
    </w:p>
    <w:p w14:paraId="3C0EE139" w14:textId="77777777" w:rsidR="00206495" w:rsidRDefault="00206495" w:rsidP="00E7156E">
      <w:pPr>
        <w:spacing w:after="0" w:line="240" w:lineRule="auto"/>
        <w:rPr>
          <w:rFonts w:ascii="Verdana" w:eastAsia="Geomanist Light" w:hAnsi="Verdana" w:cs="Arial"/>
          <w:color w:val="000000" w:themeColor="text1"/>
          <w:lang w:val="es-MX"/>
        </w:rPr>
      </w:pPr>
    </w:p>
    <w:p w14:paraId="23315686" w14:textId="77777777" w:rsidR="00206495" w:rsidRDefault="00206495" w:rsidP="00E7156E">
      <w:pPr>
        <w:spacing w:after="0" w:line="240" w:lineRule="auto"/>
        <w:rPr>
          <w:rFonts w:ascii="Verdana" w:eastAsia="Geomanist Light" w:hAnsi="Verdana" w:cs="Arial"/>
          <w:color w:val="000000" w:themeColor="text1"/>
          <w:lang w:val="es-MX"/>
        </w:rPr>
      </w:pPr>
    </w:p>
    <w:p w14:paraId="0D085125" w14:textId="77777777" w:rsidR="00206495" w:rsidRDefault="00206495" w:rsidP="00E7156E">
      <w:pPr>
        <w:spacing w:after="0" w:line="240" w:lineRule="auto"/>
        <w:rPr>
          <w:rFonts w:ascii="Verdana" w:eastAsia="Geomanist Light" w:hAnsi="Verdana" w:cs="Arial"/>
          <w:color w:val="000000" w:themeColor="text1"/>
          <w:lang w:val="es-MX"/>
        </w:rPr>
      </w:pPr>
    </w:p>
    <w:p w14:paraId="75253EDC" w14:textId="77777777" w:rsidR="00206495" w:rsidRDefault="00206495" w:rsidP="00E7156E">
      <w:pPr>
        <w:spacing w:after="0" w:line="240" w:lineRule="auto"/>
        <w:rPr>
          <w:rFonts w:ascii="Verdana" w:eastAsia="Geomanist Light" w:hAnsi="Verdana" w:cs="Arial"/>
          <w:color w:val="000000" w:themeColor="text1"/>
          <w:lang w:val="es-MX"/>
        </w:rPr>
      </w:pPr>
    </w:p>
    <w:p w14:paraId="04EC6D97" w14:textId="77777777" w:rsidR="00206495" w:rsidRDefault="00206495" w:rsidP="00E7156E">
      <w:pPr>
        <w:spacing w:after="0" w:line="240" w:lineRule="auto"/>
        <w:rPr>
          <w:rFonts w:ascii="Verdana" w:eastAsia="Geomanist Light" w:hAnsi="Verdana" w:cs="Arial"/>
          <w:color w:val="000000" w:themeColor="text1"/>
          <w:lang w:val="es-MX"/>
        </w:rPr>
      </w:pPr>
    </w:p>
    <w:p w14:paraId="732B3FEB" w14:textId="77777777" w:rsidR="00206495" w:rsidRDefault="00206495" w:rsidP="00E7156E">
      <w:pPr>
        <w:spacing w:after="0" w:line="240" w:lineRule="auto"/>
        <w:rPr>
          <w:rFonts w:ascii="Verdana" w:eastAsia="Geomanist Light" w:hAnsi="Verdana" w:cs="Arial"/>
          <w:color w:val="000000" w:themeColor="text1"/>
          <w:lang w:val="es-MX"/>
        </w:rPr>
      </w:pPr>
    </w:p>
    <w:p w14:paraId="7D48A22A" w14:textId="77777777" w:rsidR="00206495" w:rsidRDefault="00206495" w:rsidP="00E7156E">
      <w:pPr>
        <w:spacing w:after="0" w:line="240" w:lineRule="auto"/>
        <w:rPr>
          <w:rFonts w:ascii="Verdana" w:eastAsia="Geomanist Light" w:hAnsi="Verdana" w:cs="Arial"/>
          <w:color w:val="000000" w:themeColor="text1"/>
          <w:lang w:val="es-MX"/>
        </w:rPr>
      </w:pPr>
    </w:p>
    <w:p w14:paraId="2B903E45" w14:textId="77777777" w:rsidR="00206495" w:rsidRDefault="00206495" w:rsidP="00E7156E">
      <w:pPr>
        <w:spacing w:after="0" w:line="240" w:lineRule="auto"/>
        <w:rPr>
          <w:rFonts w:ascii="Verdana" w:eastAsia="Geomanist Light" w:hAnsi="Verdana" w:cs="Arial"/>
          <w:color w:val="000000" w:themeColor="text1"/>
          <w:lang w:val="es-MX"/>
        </w:rPr>
      </w:pPr>
    </w:p>
    <w:p w14:paraId="57A8D51E" w14:textId="77777777" w:rsidR="00206495" w:rsidRDefault="00206495" w:rsidP="00E7156E">
      <w:pPr>
        <w:spacing w:after="0" w:line="240" w:lineRule="auto"/>
        <w:rPr>
          <w:rFonts w:ascii="Verdana" w:eastAsia="Geomanist Light" w:hAnsi="Verdana" w:cs="Arial"/>
          <w:color w:val="000000" w:themeColor="text1"/>
          <w:lang w:val="es-MX"/>
        </w:rPr>
      </w:pPr>
    </w:p>
    <w:p w14:paraId="0D19763A" w14:textId="57B1B63B" w:rsidR="00E7156E" w:rsidRPr="00593A5F" w:rsidRDefault="00E7156E" w:rsidP="00E7156E">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3D097D" w:rsidRPr="003D097D">
        <w:rPr>
          <w:rFonts w:ascii="Verdana" w:eastAsia="Geomanist Light" w:hAnsi="Verdana" w:cs="Arial"/>
          <w:color w:val="201F1E"/>
          <w:lang w:val="es-MX"/>
        </w:rPr>
        <w:t>18 de Junio de 2025</w:t>
      </w:r>
    </w:p>
    <w:p w14:paraId="24D94E50" w14:textId="77777777" w:rsidR="00E7156E" w:rsidRDefault="00E7156E" w:rsidP="00E7156E">
      <w:pPr>
        <w:spacing w:after="0" w:line="240" w:lineRule="auto"/>
        <w:jc w:val="both"/>
        <w:rPr>
          <w:rFonts w:ascii="Verdana" w:eastAsia="Calibri" w:hAnsi="Verdana" w:cs="Arial"/>
          <w:color w:val="000000"/>
          <w:lang w:val="es-ES"/>
        </w:rPr>
      </w:pPr>
    </w:p>
    <w:p w14:paraId="3F9E123A" w14:textId="0B9F7480" w:rsidR="00E7156E" w:rsidRDefault="003D097D" w:rsidP="003D097D">
      <w:pPr>
        <w:spacing w:after="0" w:line="240" w:lineRule="auto"/>
        <w:jc w:val="right"/>
        <w:rPr>
          <w:rFonts w:ascii="Verdana" w:eastAsia="Calibri" w:hAnsi="Verdana" w:cs="Arial"/>
          <w:color w:val="000000"/>
          <w:lang w:val="es-ES"/>
        </w:rPr>
      </w:pPr>
      <w:r w:rsidRPr="003D097D">
        <w:rPr>
          <w:rFonts w:ascii="Verdana" w:eastAsia="Calibri" w:hAnsi="Verdana" w:cs="Arial"/>
          <w:noProof/>
          <w:color w:val="000000"/>
          <w:lang w:val="es-ES"/>
        </w:rPr>
        <w:drawing>
          <wp:inline distT="0" distB="0" distL="0" distR="0" wp14:anchorId="7F451482" wp14:editId="1830C068">
            <wp:extent cx="2400300" cy="622300"/>
            <wp:effectExtent l="0" t="0" r="0" b="0"/>
            <wp:docPr id="19991799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179998" name=""/>
                    <pic:cNvPicPr/>
                  </pic:nvPicPr>
                  <pic:blipFill>
                    <a:blip r:embed="rId10"/>
                    <a:stretch>
                      <a:fillRect/>
                    </a:stretch>
                  </pic:blipFill>
                  <pic:spPr>
                    <a:xfrm>
                      <a:off x="0" y="0"/>
                      <a:ext cx="2400300" cy="622300"/>
                    </a:xfrm>
                    <a:prstGeom prst="rect">
                      <a:avLst/>
                    </a:prstGeom>
                  </pic:spPr>
                </pic:pic>
              </a:graphicData>
            </a:graphic>
          </wp:inline>
        </w:drawing>
      </w:r>
    </w:p>
    <w:p w14:paraId="67DDA500" w14:textId="77777777" w:rsidR="003D097D" w:rsidRPr="00593A5F" w:rsidRDefault="003D097D" w:rsidP="00E7156E">
      <w:pPr>
        <w:spacing w:after="0" w:line="240" w:lineRule="auto"/>
        <w:jc w:val="both"/>
        <w:rPr>
          <w:rFonts w:ascii="Verdana" w:eastAsia="Calibri" w:hAnsi="Verdana" w:cs="Arial"/>
          <w:color w:val="000000"/>
          <w:lang w:val="es-ES"/>
        </w:rPr>
      </w:pPr>
    </w:p>
    <w:p w14:paraId="2E2E19A2" w14:textId="77777777" w:rsidR="00E7156E" w:rsidRPr="00B96799" w:rsidRDefault="00E7156E" w:rsidP="00E7156E">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r>
        <w:rPr>
          <w:rFonts w:ascii="Verdana" w:eastAsia="Calibri" w:hAnsi="Verdana" w:cs="Arial"/>
          <w:lang w:val="es-ES" w:eastAsia="es-ES"/>
        </w:rPr>
        <w:t>a</w:t>
      </w:r>
    </w:p>
    <w:p w14:paraId="399A182B" w14:textId="77777777" w:rsidR="00E7156E" w:rsidRPr="00350FE1" w:rsidRDefault="00E7156E" w:rsidP="00E7156E">
      <w:pPr>
        <w:spacing w:after="0" w:line="240" w:lineRule="auto"/>
        <w:rPr>
          <w:rFonts w:ascii="Verdana" w:eastAsia="Calibri" w:hAnsi="Verdana" w:cs="Arial"/>
          <w:b/>
          <w:lang w:val="es-ES_tradnl" w:eastAsia="es-ES_tradnl"/>
        </w:rPr>
      </w:pPr>
      <w:r w:rsidRPr="00350FE1">
        <w:rPr>
          <w:rFonts w:ascii="Verdana" w:eastAsia="Calibri" w:hAnsi="Verdana" w:cs="Arial"/>
          <w:b/>
          <w:lang w:val="es-ES_tradnl" w:eastAsia="es-ES_tradnl"/>
        </w:rPr>
        <w:t>Olga Constanza Serrano Quintero</w:t>
      </w:r>
    </w:p>
    <w:p w14:paraId="679E0BED" w14:textId="77777777" w:rsidR="00E7156E" w:rsidRPr="00350FE1" w:rsidRDefault="00E7156E" w:rsidP="00E7156E">
      <w:pPr>
        <w:spacing w:after="0" w:line="240" w:lineRule="auto"/>
        <w:rPr>
          <w:rFonts w:ascii="Verdana" w:eastAsia="Calibri" w:hAnsi="Verdana" w:cs="Arial"/>
          <w:bCs/>
          <w:lang w:val="es-ES_tradnl" w:eastAsia="es-ES_tradnl"/>
        </w:rPr>
      </w:pPr>
      <w:hyperlink r:id="rId11" w:history="1">
        <w:r w:rsidRPr="00350FE1">
          <w:rPr>
            <w:rStyle w:val="Hipervnculo"/>
            <w:rFonts w:ascii="Verdana" w:eastAsia="Calibri" w:hAnsi="Verdana" w:cs="Arial"/>
            <w:bCs/>
            <w:lang w:val="es-ES_tradnl" w:eastAsia="es-ES_tradnl"/>
          </w:rPr>
          <w:t>oserrano@idiger.gov.co</w:t>
        </w:r>
      </w:hyperlink>
    </w:p>
    <w:p w14:paraId="353C68ED" w14:textId="77777777" w:rsidR="00E7156E" w:rsidRDefault="00E7156E" w:rsidP="00E7156E">
      <w:pPr>
        <w:spacing w:after="0" w:line="240" w:lineRule="auto"/>
        <w:rPr>
          <w:rFonts w:ascii="Verdana" w:eastAsia="Calibri" w:hAnsi="Verdana" w:cs="Arial"/>
          <w:lang w:val="es-ES" w:eastAsia="es-ES"/>
        </w:rPr>
      </w:pPr>
      <w:r>
        <w:rPr>
          <w:rFonts w:ascii="Verdana" w:eastAsia="Calibri" w:hAnsi="Verdana" w:cs="Arial"/>
          <w:lang w:val="es-ES" w:eastAsia="es-ES"/>
        </w:rPr>
        <w:t xml:space="preserve">Chía, Cundinamarca </w:t>
      </w:r>
    </w:p>
    <w:p w14:paraId="6992202A" w14:textId="77777777" w:rsidR="00E7156E" w:rsidRPr="00593A5F" w:rsidRDefault="00E7156E" w:rsidP="00E7156E">
      <w:pPr>
        <w:spacing w:after="0" w:line="240" w:lineRule="auto"/>
        <w:rPr>
          <w:rFonts w:ascii="Verdana" w:eastAsia="Calibri" w:hAnsi="Verdana" w:cs="Arial"/>
          <w:b/>
          <w:bCs/>
          <w:color w:val="000000"/>
          <w:lang w:val="es-ES_tradnl" w:eastAsia="es-ES_tradnl"/>
        </w:rPr>
      </w:pPr>
    </w:p>
    <w:p w14:paraId="25E8E3D2" w14:textId="77777777" w:rsidR="00E7156E" w:rsidRPr="00593A5F" w:rsidRDefault="00E7156E" w:rsidP="00E7156E">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7156E" w:rsidRPr="00593A5F" w14:paraId="5588104C" w14:textId="77777777" w:rsidTr="00167DF7">
        <w:trPr>
          <w:trHeight w:val="884"/>
        </w:trPr>
        <w:tc>
          <w:tcPr>
            <w:tcW w:w="2689" w:type="dxa"/>
          </w:tcPr>
          <w:p w14:paraId="7278ACBA" w14:textId="77777777" w:rsidR="00E7156E" w:rsidRPr="00C00976" w:rsidRDefault="00E7156E" w:rsidP="00167DF7">
            <w:pPr>
              <w:jc w:val="both"/>
              <w:rPr>
                <w:rFonts w:ascii="Verdana" w:eastAsia="Calibri" w:hAnsi="Verdana" w:cs="Arial"/>
                <w:b/>
                <w:bCs/>
                <w:color w:val="7030A0"/>
                <w:lang w:val="es-ES_tradnl" w:eastAsia="es-ES_tradnl"/>
              </w:rPr>
            </w:pPr>
          </w:p>
        </w:tc>
        <w:tc>
          <w:tcPr>
            <w:tcW w:w="6100" w:type="dxa"/>
          </w:tcPr>
          <w:p w14:paraId="1A8759AD" w14:textId="2E418E55" w:rsidR="00E7156E" w:rsidRPr="00C00976" w:rsidRDefault="00E7156E" w:rsidP="00167DF7">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sidR="004E13E7">
              <w:rPr>
                <w:rFonts w:ascii="Verdana" w:eastAsia="Calibri" w:hAnsi="Verdana" w:cs="Arial"/>
                <w:b/>
                <w:bCs/>
                <w:lang w:val="es-ES" w:eastAsia="es-ES"/>
              </w:rPr>
              <w:t>5</w:t>
            </w:r>
            <w:r w:rsidR="002C15B1">
              <w:rPr>
                <w:rFonts w:ascii="Verdana" w:eastAsia="Calibri" w:hAnsi="Verdana" w:cs="Arial"/>
                <w:b/>
                <w:bCs/>
                <w:lang w:val="es-ES" w:eastAsia="es-ES"/>
              </w:rPr>
              <w:t>51</w:t>
            </w:r>
            <w:r w:rsidRPr="008E6AD9">
              <w:rPr>
                <w:rFonts w:ascii="Verdana" w:eastAsia="Calibri" w:hAnsi="Verdana" w:cs="Arial"/>
                <w:b/>
                <w:bCs/>
                <w:lang w:val="es-ES" w:eastAsia="es-ES"/>
              </w:rPr>
              <w:t xml:space="preserve"> de 202</w:t>
            </w:r>
            <w:r>
              <w:rPr>
                <w:rFonts w:ascii="Verdana" w:eastAsia="Calibri" w:hAnsi="Verdana" w:cs="Arial"/>
                <w:b/>
                <w:bCs/>
                <w:lang w:val="es-ES" w:eastAsia="es-ES"/>
              </w:rPr>
              <w:t>5</w:t>
            </w:r>
          </w:p>
        </w:tc>
      </w:tr>
      <w:tr w:rsidR="00E7156E" w:rsidRPr="00593A5F" w14:paraId="1616D94D" w14:textId="77777777" w:rsidTr="00167DF7">
        <w:trPr>
          <w:trHeight w:val="884"/>
        </w:trPr>
        <w:tc>
          <w:tcPr>
            <w:tcW w:w="2689" w:type="dxa"/>
          </w:tcPr>
          <w:p w14:paraId="5FE61444" w14:textId="77777777" w:rsidR="00E7156E" w:rsidRPr="00593A5F" w:rsidRDefault="00E7156E" w:rsidP="00167DF7">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18A45AAF" w14:textId="77777777" w:rsidR="00E7156E" w:rsidRPr="00A11406" w:rsidRDefault="00E7156E" w:rsidP="00167DF7">
            <w:pPr>
              <w:spacing w:line="276" w:lineRule="auto"/>
              <w:jc w:val="both"/>
              <w:rPr>
                <w:rFonts w:ascii="Verdana" w:eastAsia="Calibri" w:hAnsi="Verdana" w:cs="Arial"/>
                <w:lang w:val="es-ES" w:eastAsia="es-ES"/>
              </w:rPr>
            </w:pPr>
            <w:r w:rsidRPr="00F35776">
              <w:rPr>
                <w:rFonts w:ascii="Verdana" w:eastAsia="Calibri" w:hAnsi="Verdana" w:cs="Arial"/>
                <w:lang w:val="es-ES" w:eastAsia="es-ES"/>
              </w:rPr>
              <w:t>LIMITACIÓN A MIPYMES – Fundamento normativo</w:t>
            </w:r>
            <w:r>
              <w:rPr>
                <w:rFonts w:ascii="Verdana" w:eastAsia="Calibri" w:hAnsi="Verdana" w:cs="Arial"/>
                <w:lang w:val="es-ES" w:eastAsia="es-ES"/>
              </w:rPr>
              <w:t xml:space="preserve"> / </w:t>
            </w:r>
            <w:r w:rsidRPr="00F35776">
              <w:rPr>
                <w:rFonts w:ascii="Verdana" w:eastAsia="Calibri" w:hAnsi="Verdana" w:cs="Arial"/>
                <w:lang w:val="es-ES" w:eastAsia="es-ES"/>
              </w:rPr>
              <w:t>LIMITACIÓN A MIPYMES – Requisitos – Decreto 1082 de 2015 – Art. 2.2.1.2.4.2.2</w:t>
            </w:r>
            <w:r>
              <w:rPr>
                <w:rFonts w:ascii="Verdana" w:eastAsia="Calibri" w:hAnsi="Verdana" w:cs="Arial"/>
                <w:lang w:val="es-ES" w:eastAsia="es-ES"/>
              </w:rPr>
              <w:t xml:space="preserve"> / </w:t>
            </w:r>
            <w:r w:rsidRPr="00F35776">
              <w:rPr>
                <w:rFonts w:ascii="Verdana" w:eastAsia="Calibri" w:hAnsi="Verdana" w:cs="Arial"/>
                <w:lang w:val="es-ES" w:eastAsia="es-ES"/>
              </w:rPr>
              <w:t>LIMITACIONES TERRITORIALES – Carácter facultativo</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7437A737" w14:textId="77777777" w:rsidR="00E7156E" w:rsidRPr="00593A5F" w:rsidRDefault="00E7156E" w:rsidP="00167DF7">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E7156E" w:rsidRPr="008E6AD9" w14:paraId="439D806C" w14:textId="77777777" w:rsidTr="00167DF7">
        <w:tc>
          <w:tcPr>
            <w:tcW w:w="2689" w:type="dxa"/>
          </w:tcPr>
          <w:p w14:paraId="059B1D3E" w14:textId="77777777" w:rsidR="00E7156E" w:rsidRPr="008E6AD9" w:rsidRDefault="00E7156E" w:rsidP="00167DF7">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2ABD84D4" w14:textId="77777777" w:rsidR="00E7156E" w:rsidRPr="008E6AD9" w:rsidRDefault="00E7156E" w:rsidP="00167DF7">
            <w:pPr>
              <w:spacing w:line="276" w:lineRule="auto"/>
              <w:jc w:val="both"/>
              <w:rPr>
                <w:rFonts w:ascii="Verdana" w:eastAsia="Calibri" w:hAnsi="Verdana" w:cs="Arial"/>
                <w:lang w:eastAsia="es-ES_tradnl"/>
              </w:rPr>
            </w:pPr>
            <w:r w:rsidRPr="006D13B2">
              <w:rPr>
                <w:rFonts w:ascii="Verdana" w:eastAsia="Calibri" w:hAnsi="Verdana" w:cs="Arial"/>
                <w:lang w:val="es-ES_tradnl" w:eastAsia="es-ES_tradnl"/>
              </w:rPr>
              <w:t xml:space="preserve">Respuesta a la consulta con radicado No. </w:t>
            </w:r>
            <w:r w:rsidRPr="00227C88">
              <w:rPr>
                <w:rFonts w:ascii="Verdana" w:eastAsia="Calibri" w:hAnsi="Verdana" w:cs="Arial"/>
                <w:lang w:val="es-ES_tradnl" w:eastAsia="es-ES_tradnl"/>
              </w:rPr>
              <w:t>P20250506004300</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0C548D0C" w14:textId="77777777" w:rsidR="00E7156E" w:rsidRPr="00593A5F" w:rsidRDefault="00E7156E" w:rsidP="00E7156E">
      <w:pPr>
        <w:spacing w:after="0" w:line="240" w:lineRule="auto"/>
        <w:jc w:val="both"/>
        <w:rPr>
          <w:rFonts w:ascii="Verdana" w:eastAsia="Calibri" w:hAnsi="Verdana" w:cs="Arial"/>
          <w:color w:val="000000"/>
          <w:lang w:val="es-ES_tradnl" w:eastAsia="es-ES_tradnl"/>
        </w:rPr>
      </w:pPr>
    </w:p>
    <w:p w14:paraId="22B3C8B9" w14:textId="77777777" w:rsidR="00E7156E" w:rsidRPr="00593A5F" w:rsidRDefault="00E7156E" w:rsidP="00E7156E">
      <w:pPr>
        <w:spacing w:after="0" w:line="240" w:lineRule="auto"/>
        <w:jc w:val="both"/>
        <w:rPr>
          <w:rFonts w:ascii="Verdana" w:eastAsia="Calibri" w:hAnsi="Verdana" w:cs="Arial"/>
          <w:color w:val="000000"/>
          <w:lang w:val="es-ES_tradnl" w:eastAsia="es-ES_tradnl"/>
        </w:rPr>
      </w:pPr>
    </w:p>
    <w:p w14:paraId="66281FFF" w14:textId="77777777" w:rsidR="00E7156E" w:rsidRPr="008E6AD9" w:rsidRDefault="00E7156E" w:rsidP="00E7156E">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señor</w:t>
      </w:r>
      <w:r>
        <w:rPr>
          <w:rFonts w:ascii="Verdana" w:eastAsia="Calibri" w:hAnsi="Verdana" w:cs="Arial"/>
          <w:lang w:val="es-ES" w:eastAsia="es-ES"/>
        </w:rPr>
        <w:t>a</w:t>
      </w:r>
      <w:r w:rsidRPr="008E6AD9">
        <w:rPr>
          <w:rFonts w:ascii="Verdana" w:eastAsia="Calibri" w:hAnsi="Verdana" w:cs="Arial"/>
          <w:lang w:val="es-ES" w:eastAsia="es-ES"/>
        </w:rPr>
        <w:t xml:space="preserve"> </w:t>
      </w:r>
      <w:r w:rsidRPr="00227C88">
        <w:rPr>
          <w:rFonts w:ascii="Verdana" w:eastAsia="Calibri" w:hAnsi="Verdana" w:cs="Arial"/>
          <w:lang w:val="es-ES" w:eastAsia="es-ES"/>
        </w:rPr>
        <w:t>Serrano Quintero</w:t>
      </w:r>
      <w:r w:rsidRPr="008E6AD9">
        <w:rPr>
          <w:rFonts w:ascii="Verdana" w:eastAsia="Calibri" w:hAnsi="Verdana" w:cs="Arial"/>
          <w:lang w:val="es-ES" w:eastAsia="es-ES"/>
        </w:rPr>
        <w:t xml:space="preserve">: </w:t>
      </w:r>
    </w:p>
    <w:p w14:paraId="2C605BB8" w14:textId="77777777" w:rsidR="00E7156E" w:rsidRDefault="00E7156E" w:rsidP="00E7156E">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07AB72C5" w14:textId="77777777" w:rsidR="00E7156E" w:rsidRPr="00593A5F" w:rsidRDefault="00E7156E" w:rsidP="00E7156E">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6 de mayo de 2025</w:t>
      </w:r>
      <w:r w:rsidRPr="008E6AD9">
        <w:rPr>
          <w:rFonts w:ascii="Verdana" w:eastAsia="Calibri" w:hAnsi="Verdana" w:cs="Arial"/>
          <w:lang w:val="es-ES" w:eastAsia="es-ES"/>
        </w:rPr>
        <w:t>,</w:t>
      </w:r>
      <w:r>
        <w:rPr>
          <w:rFonts w:ascii="Verdana" w:eastAsia="Calibri" w:hAnsi="Verdana" w:cs="Arial"/>
          <w:lang w:val="es-ES" w:eastAsia="es-ES"/>
        </w:rPr>
        <w:t xml:space="preserve"> </w:t>
      </w:r>
      <w:r w:rsidRPr="008E6AD9">
        <w:rPr>
          <w:rFonts w:ascii="Verdana" w:eastAsia="Calibri" w:hAnsi="Verdana" w:cs="Arial"/>
          <w:lang w:val="es-ES" w:eastAsia="es-ES"/>
        </w:rPr>
        <w:t>en la cua</w:t>
      </w:r>
      <w:r>
        <w:rPr>
          <w:rFonts w:ascii="Verdana" w:eastAsia="Calibri" w:hAnsi="Verdana" w:cs="Arial"/>
          <w:lang w:val="es-ES" w:eastAsia="es-ES"/>
        </w:rPr>
        <w:t>l</w:t>
      </w:r>
      <w:r w:rsidRPr="00AB219D">
        <w:rPr>
          <w:rFonts w:ascii="Verdana" w:eastAsia="Calibri" w:hAnsi="Verdana" w:cs="Arial"/>
          <w:lang w:val="es-ES" w:eastAsia="es-ES"/>
        </w:rPr>
        <w:t xml:space="preserve"> </w:t>
      </w:r>
      <w:r>
        <w:rPr>
          <w:rFonts w:ascii="Verdana" w:eastAsia="Calibri" w:hAnsi="Verdana" w:cs="Arial"/>
          <w:lang w:val="es-ES" w:eastAsia="es-ES"/>
        </w:rPr>
        <w:t>pregunta lo siguiente</w:t>
      </w:r>
      <w:r w:rsidRPr="008E6AD9">
        <w:rPr>
          <w:rFonts w:ascii="Verdana" w:eastAsia="Calibri" w:hAnsi="Verdana" w:cs="Arial"/>
          <w:lang w:val="es-ES" w:eastAsia="es-ES"/>
        </w:rPr>
        <w:t xml:space="preserve">: </w:t>
      </w:r>
    </w:p>
    <w:p w14:paraId="63E365BD" w14:textId="77777777" w:rsidR="00ED46AA" w:rsidRPr="00272A7B" w:rsidRDefault="00ED46AA" w:rsidP="00ED46AA">
      <w:pPr>
        <w:pStyle w:val="Prrafodelista"/>
        <w:tabs>
          <w:tab w:val="left" w:pos="142"/>
          <w:tab w:val="left" w:pos="284"/>
        </w:tabs>
        <w:spacing w:after="0" w:line="276" w:lineRule="auto"/>
        <w:ind w:left="0"/>
        <w:jc w:val="both"/>
        <w:rPr>
          <w:rFonts w:ascii="Verdana" w:eastAsia="Century Gothic" w:hAnsi="Verdana" w:cs="Century Gothic"/>
          <w:b/>
          <w:bCs/>
        </w:rPr>
      </w:pPr>
    </w:p>
    <w:p w14:paraId="659EA349" w14:textId="058665E5" w:rsidR="00E7156E" w:rsidRDefault="00E7156E" w:rsidP="00E7156E">
      <w:pPr>
        <w:spacing w:after="120" w:line="240" w:lineRule="auto"/>
        <w:ind w:left="709" w:right="709"/>
        <w:jc w:val="both"/>
        <w:rPr>
          <w:rFonts w:ascii="Verdana" w:eastAsia="Century Gothic" w:hAnsi="Verdana" w:cs="Century Gothic"/>
          <w:sz w:val="21"/>
          <w:szCs w:val="21"/>
          <w:lang w:val="es-ES"/>
        </w:rPr>
      </w:pPr>
      <w:bookmarkStart w:id="0" w:name="_Hlk95313578"/>
      <w:r w:rsidRPr="006040CE">
        <w:rPr>
          <w:rFonts w:ascii="Verdana" w:eastAsia="Century Gothic" w:hAnsi="Verdana" w:cs="Century Gothic"/>
          <w:sz w:val="21"/>
          <w:szCs w:val="21"/>
          <w:lang w:val="es-ES"/>
        </w:rPr>
        <w:t>“</w:t>
      </w:r>
      <w:bookmarkEnd w:id="0"/>
      <w:r w:rsidRPr="00227C88">
        <w:rPr>
          <w:rFonts w:ascii="Verdana" w:eastAsia="Century Gothic" w:hAnsi="Verdana" w:cs="Century Gothic"/>
          <w:sz w:val="21"/>
          <w:szCs w:val="21"/>
          <w:lang w:val="es-ES"/>
        </w:rPr>
        <w:t xml:space="preserve">Solicito de manera respetuosa copia del concepto de Colombia Compra Eficiente No 2201813000007858 del 29 de agosto de 2018, que señala: </w:t>
      </w:r>
      <w:r>
        <w:rPr>
          <w:rFonts w:ascii="Verdana" w:eastAsia="Century Gothic" w:hAnsi="Verdana" w:cs="Century Gothic"/>
          <w:sz w:val="21"/>
          <w:szCs w:val="21"/>
          <w:lang w:val="es-ES"/>
        </w:rPr>
        <w:t>‘</w:t>
      </w:r>
      <w:r w:rsidRPr="00227C88">
        <w:rPr>
          <w:rFonts w:ascii="Verdana" w:eastAsia="Century Gothic" w:hAnsi="Verdana" w:cs="Century Gothic"/>
          <w:sz w:val="21"/>
          <w:szCs w:val="21"/>
          <w:lang w:val="es-ES"/>
        </w:rPr>
        <w:t>La norma no establece excepciones para los Procesos de Contratación que no tengan erogación presupuestal, por lo tanto, estos Procesos con valor $0 también son sujetos de limitación</w:t>
      </w:r>
      <w:r>
        <w:rPr>
          <w:rFonts w:ascii="Verdana" w:eastAsia="Century Gothic" w:hAnsi="Verdana" w:cs="Century Gothic"/>
          <w:sz w:val="21"/>
          <w:szCs w:val="21"/>
          <w:lang w:val="es-ES"/>
        </w:rPr>
        <w:t>’ ‘</w:t>
      </w:r>
      <w:r w:rsidRPr="00227C88">
        <w:rPr>
          <w:rFonts w:ascii="Verdana" w:eastAsia="Century Gothic" w:hAnsi="Verdana" w:cs="Century Gothic"/>
          <w:sz w:val="21"/>
          <w:szCs w:val="21"/>
          <w:lang w:val="es-ES"/>
        </w:rPr>
        <w:t xml:space="preserve">En conclusión, cuando se pretenda contratar una intermediación de seguros y se cumpla con los requisitos del artículo 2.2.1.2.4.2.2 del </w:t>
      </w:r>
      <w:r w:rsidRPr="00227C88">
        <w:rPr>
          <w:rFonts w:ascii="Verdana" w:eastAsia="Century Gothic" w:hAnsi="Verdana" w:cs="Century Gothic"/>
          <w:sz w:val="21"/>
          <w:szCs w:val="21"/>
          <w:lang w:val="es-ES"/>
        </w:rPr>
        <w:lastRenderedPageBreak/>
        <w:t xml:space="preserve">Decreto 1082 de 2015, la Entidad Estatal está obligada a limitar el Proceso de Contratación a </w:t>
      </w:r>
      <w:proofErr w:type="spellStart"/>
      <w:r w:rsidRPr="00227C88">
        <w:rPr>
          <w:rFonts w:ascii="Verdana" w:eastAsia="Century Gothic" w:hAnsi="Verdana" w:cs="Century Gothic"/>
          <w:sz w:val="21"/>
          <w:szCs w:val="21"/>
          <w:lang w:val="es-ES"/>
        </w:rPr>
        <w:t>Mipyme</w:t>
      </w:r>
      <w:proofErr w:type="spellEnd"/>
      <w:r>
        <w:rPr>
          <w:rFonts w:ascii="Verdana" w:eastAsia="Century Gothic" w:hAnsi="Verdana" w:cs="Century Gothic"/>
          <w:sz w:val="21"/>
          <w:szCs w:val="21"/>
          <w:lang w:val="es-ES"/>
        </w:rPr>
        <w:t>’ […].</w:t>
      </w:r>
    </w:p>
    <w:p w14:paraId="11EB15E4" w14:textId="77777777" w:rsidR="00E7156E" w:rsidRPr="008145ED" w:rsidRDefault="00E7156E" w:rsidP="00E7156E">
      <w:pPr>
        <w:spacing w:after="0" w:line="240" w:lineRule="auto"/>
        <w:ind w:left="709" w:right="709"/>
        <w:jc w:val="both"/>
        <w:rPr>
          <w:rFonts w:ascii="Verdana" w:eastAsia="Century Gothic" w:hAnsi="Verdana" w:cs="Century Gothic"/>
          <w:sz w:val="21"/>
          <w:szCs w:val="21"/>
          <w:lang w:val="es-ES"/>
        </w:rPr>
      </w:pPr>
      <w:r w:rsidRPr="00227C88">
        <w:rPr>
          <w:rFonts w:ascii="Verdana" w:eastAsia="Century Gothic" w:hAnsi="Verdana" w:cs="Century Gothic"/>
          <w:sz w:val="21"/>
          <w:szCs w:val="21"/>
          <w:lang w:val="es-ES"/>
        </w:rPr>
        <w:t>Quisiera igualmente saber su concepto actualizado sobre este tema, procede o no la limitación para el caso de procesos de corredores de seguros</w:t>
      </w:r>
      <w:r w:rsidRPr="006040CE">
        <w:rPr>
          <w:rFonts w:ascii="Verdana" w:eastAsia="Century Gothic" w:hAnsi="Verdana" w:cs="Century Gothic"/>
          <w:sz w:val="21"/>
          <w:szCs w:val="21"/>
          <w:lang w:val="es-ES"/>
        </w:rPr>
        <w:t>”.</w:t>
      </w:r>
      <w:r>
        <w:rPr>
          <w:rFonts w:ascii="Verdana" w:eastAsia="Century Gothic" w:hAnsi="Verdana" w:cs="Century Gothic"/>
          <w:sz w:val="20"/>
          <w:szCs w:val="20"/>
          <w:lang w:val="es-ES"/>
        </w:rPr>
        <w:t xml:space="preserve"> </w:t>
      </w:r>
    </w:p>
    <w:p w14:paraId="02B394AA" w14:textId="77777777" w:rsidR="00E7156E" w:rsidRPr="008E6AD9" w:rsidRDefault="00E7156E" w:rsidP="00ED46AA">
      <w:pPr>
        <w:pStyle w:val="Prrafodelista"/>
        <w:tabs>
          <w:tab w:val="left" w:pos="142"/>
          <w:tab w:val="left" w:pos="284"/>
        </w:tabs>
        <w:spacing w:after="0" w:line="276" w:lineRule="auto"/>
        <w:ind w:left="0"/>
        <w:jc w:val="both"/>
        <w:rPr>
          <w:rFonts w:ascii="Verdana" w:eastAsia="Century Gothic" w:hAnsi="Verdana" w:cs="Century Gothic"/>
          <w:b/>
          <w:bCs/>
        </w:rPr>
      </w:pPr>
    </w:p>
    <w:p w14:paraId="3E5AE026" w14:textId="77777777" w:rsidR="00E7156E" w:rsidRPr="00A652FF" w:rsidRDefault="00E7156E" w:rsidP="00E7156E">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F55F9F5" w14:textId="77777777" w:rsidR="00E7156E" w:rsidRDefault="00E7156E" w:rsidP="00E7156E">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 que menciona en la solicitud</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606308EA" w14:textId="77777777" w:rsidR="00E7156E" w:rsidRPr="00593A5F" w:rsidRDefault="00E7156E" w:rsidP="00E7156E">
      <w:pPr>
        <w:spacing w:after="0" w:line="276" w:lineRule="auto"/>
        <w:ind w:firstLine="709"/>
        <w:jc w:val="both"/>
        <w:rPr>
          <w:rFonts w:ascii="Verdana" w:eastAsia="Calibri" w:hAnsi="Verdana" w:cs="Arial"/>
          <w:color w:val="000000"/>
          <w:lang w:val="es-ES" w:eastAsia="es-ES"/>
        </w:rPr>
      </w:pPr>
    </w:p>
    <w:p w14:paraId="5259DBD6" w14:textId="77777777" w:rsidR="00E7156E" w:rsidRPr="00593A5F" w:rsidRDefault="00E7156E" w:rsidP="00E7156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5C5390FC" w14:textId="77777777" w:rsidR="00E7156E" w:rsidRPr="00593A5F" w:rsidRDefault="00E7156E" w:rsidP="00E7156E">
      <w:pPr>
        <w:tabs>
          <w:tab w:val="left" w:pos="426"/>
        </w:tabs>
        <w:spacing w:after="0" w:line="276" w:lineRule="auto"/>
        <w:jc w:val="both"/>
        <w:rPr>
          <w:rFonts w:ascii="Verdana" w:eastAsia="Century Gothic" w:hAnsi="Verdana" w:cs="Century Gothic"/>
          <w:lang w:val="es-ES"/>
        </w:rPr>
      </w:pPr>
    </w:p>
    <w:p w14:paraId="0CEDF123" w14:textId="5F6D985A" w:rsidR="00E7156E" w:rsidRPr="00593A5F" w:rsidRDefault="00E7156E" w:rsidP="00E7156E">
      <w:pPr>
        <w:spacing w:after="0" w:line="276" w:lineRule="auto"/>
        <w:jc w:val="both"/>
        <w:rPr>
          <w:rFonts w:ascii="Verdana" w:eastAsia="Century Gothic" w:hAnsi="Verdana" w:cs="Century Gothic"/>
        </w:rPr>
      </w:pPr>
      <w:r w:rsidRPr="005C5B58">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¿cuál es el marco normativo de las convocatorias limitadas a </w:t>
      </w:r>
      <w:r w:rsidR="00257478">
        <w:rPr>
          <w:rFonts w:ascii="Verdana" w:eastAsia="Century Gothic" w:hAnsi="Verdana" w:cs="Century Gothic"/>
        </w:rPr>
        <w:t>MiPymes</w:t>
      </w:r>
      <w:r>
        <w:rPr>
          <w:rFonts w:ascii="Verdana" w:eastAsia="Century Gothic" w:hAnsi="Verdana" w:cs="Century Gothic"/>
        </w:rPr>
        <w:t xml:space="preserve"> en el sistema de compras públicas?  </w:t>
      </w:r>
      <w:r w:rsidRPr="00593A5F">
        <w:rPr>
          <w:rFonts w:ascii="Verdana" w:eastAsia="Century Gothic" w:hAnsi="Verdana" w:cs="Century Gothic"/>
        </w:rPr>
        <w:t xml:space="preserve"> </w:t>
      </w:r>
    </w:p>
    <w:p w14:paraId="1F487A2C" w14:textId="77777777" w:rsidR="00E7156E" w:rsidRPr="004B140F" w:rsidRDefault="00E7156E" w:rsidP="00E7156E">
      <w:pPr>
        <w:spacing w:after="0" w:line="276" w:lineRule="auto"/>
        <w:jc w:val="both"/>
        <w:rPr>
          <w:rFonts w:ascii="Verdana" w:eastAsia="Calibri" w:hAnsi="Verdana" w:cs="Arial"/>
          <w:color w:val="7030A0"/>
        </w:rPr>
      </w:pPr>
    </w:p>
    <w:p w14:paraId="3A83B523" w14:textId="77777777" w:rsidR="00E7156E" w:rsidRPr="00593A5F" w:rsidRDefault="00E7156E" w:rsidP="00E7156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69C8E0AB" w14:textId="77777777" w:rsidR="00E7156E" w:rsidRPr="00593A5F" w:rsidRDefault="00E7156E" w:rsidP="00E7156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7156E" w:rsidRPr="00593A5F" w14:paraId="0B45F9B0" w14:textId="77777777" w:rsidTr="00167DF7">
        <w:trPr>
          <w:jc w:val="center"/>
        </w:trPr>
        <w:tc>
          <w:tcPr>
            <w:tcW w:w="8828" w:type="dxa"/>
            <w:shd w:val="clear" w:color="auto" w:fill="auto"/>
          </w:tcPr>
          <w:p w14:paraId="5A6001F8" w14:textId="1245D175" w:rsidR="00E7156E" w:rsidRPr="00812DD1" w:rsidRDefault="00E7156E" w:rsidP="00167DF7">
            <w:pPr>
              <w:spacing w:after="120" w:line="276" w:lineRule="auto"/>
              <w:jc w:val="both"/>
              <w:rPr>
                <w:rFonts w:ascii="Verdana" w:eastAsia="Arial" w:hAnsi="Verdana" w:cs="Arial"/>
                <w:color w:val="000000"/>
                <w:lang w:val="es-ES_tradnl"/>
              </w:rPr>
            </w:pPr>
            <w:bookmarkStart w:id="1" w:name="_Hlk171694685"/>
            <w:r>
              <w:rPr>
                <w:rFonts w:ascii="Verdana" w:eastAsia="Times New Roman" w:hAnsi="Verdana" w:cs="Arial"/>
                <w:color w:val="000000"/>
                <w:lang w:val="es-ES_tradnl" w:eastAsia="es-ES_tradnl"/>
              </w:rPr>
              <w:t xml:space="preserve">Se remite el concepto solicitado como documento anexo al presente oficio. Igualmente, de acuerdo con el artículo 34 de la Ley de Emprendimiento, </w:t>
            </w:r>
            <w:r>
              <w:rPr>
                <w:rFonts w:ascii="Verdana" w:eastAsia="Arial" w:hAnsi="Verdana" w:cs="Arial"/>
                <w:color w:val="000000"/>
                <w:lang w:val="es-ES_tradnl"/>
              </w:rPr>
              <w:t>l</w:t>
            </w:r>
            <w:r w:rsidRPr="00FC5438">
              <w:rPr>
                <w:rFonts w:ascii="Verdana" w:eastAsia="Arial" w:hAnsi="Verdana" w:cs="Arial"/>
                <w:color w:val="000000"/>
                <w:lang w:val="es-ES_tradnl"/>
              </w:rPr>
              <w:t>a</w:t>
            </w:r>
            <w:r>
              <w:rPr>
                <w:rFonts w:ascii="Verdana" w:eastAsia="Arial" w:hAnsi="Verdana" w:cs="Arial"/>
                <w:color w:val="000000"/>
                <w:lang w:val="es-ES_tradnl"/>
              </w:rPr>
              <w:t>s</w:t>
            </w:r>
            <w:r w:rsidRPr="00FC5438">
              <w:rPr>
                <w:rFonts w:ascii="Verdana" w:eastAsia="Arial" w:hAnsi="Verdana" w:cs="Arial"/>
                <w:color w:val="000000"/>
                <w:lang w:val="es-ES_tradnl"/>
              </w:rPr>
              <w:t xml:space="preserve"> </w:t>
            </w:r>
            <w:r>
              <w:rPr>
                <w:rFonts w:ascii="Verdana" w:eastAsia="Arial" w:hAnsi="Verdana" w:cs="Arial"/>
                <w:color w:val="000000"/>
                <w:lang w:val="es-ES_tradnl"/>
              </w:rPr>
              <w:t>e</w:t>
            </w:r>
            <w:r w:rsidRPr="00FC5438">
              <w:rPr>
                <w:rFonts w:ascii="Verdana" w:eastAsia="Arial" w:hAnsi="Verdana" w:cs="Arial"/>
                <w:color w:val="000000"/>
                <w:lang w:val="es-ES_tradnl"/>
              </w:rPr>
              <w:t xml:space="preserve">ntidades </w:t>
            </w:r>
            <w:r>
              <w:rPr>
                <w:rFonts w:ascii="Verdana" w:eastAsia="Arial" w:hAnsi="Verdana" w:cs="Arial"/>
                <w:color w:val="000000"/>
                <w:lang w:val="es-ES_tradnl"/>
              </w:rPr>
              <w:t>e</w:t>
            </w:r>
            <w:r w:rsidRPr="00FC5438">
              <w:rPr>
                <w:rFonts w:ascii="Verdana" w:eastAsia="Arial" w:hAnsi="Verdana" w:cs="Arial"/>
                <w:color w:val="000000"/>
                <w:lang w:val="es-ES_tradnl"/>
              </w:rPr>
              <w:t xml:space="preserve">statales están obligadas a aplicar el incentivo de convocatorias limitadas a </w:t>
            </w:r>
            <w:r w:rsidR="006E369B" w:rsidRPr="00FC5438">
              <w:rPr>
                <w:rFonts w:ascii="Verdana" w:eastAsia="Arial" w:hAnsi="Verdana" w:cs="Arial"/>
                <w:color w:val="000000"/>
                <w:lang w:val="es-ES_tradnl"/>
              </w:rPr>
              <w:t>MiPymes</w:t>
            </w:r>
            <w:r w:rsidRPr="00FC5438">
              <w:rPr>
                <w:rFonts w:ascii="Verdana" w:eastAsia="Arial" w:hAnsi="Verdana" w:cs="Arial"/>
                <w:color w:val="000000"/>
                <w:lang w:val="es-ES_tradnl"/>
              </w:rPr>
              <w:t xml:space="preserve"> cuando se reúnan los requisitos establecidos en el artículo 2.2.1.2.4.2.2</w:t>
            </w:r>
            <w:r>
              <w:rPr>
                <w:rFonts w:ascii="Verdana" w:eastAsia="Arial" w:hAnsi="Verdana" w:cs="Arial"/>
                <w:color w:val="000000"/>
                <w:lang w:val="es-ES_tradnl"/>
              </w:rPr>
              <w:t xml:space="preserve"> del Decreto 1082 de 2015</w:t>
            </w:r>
            <w:r w:rsidRPr="00FC5438">
              <w:rPr>
                <w:rFonts w:ascii="Verdana" w:eastAsia="Arial" w:hAnsi="Verdana" w:cs="Arial"/>
                <w:color w:val="000000"/>
                <w:lang w:val="es-ES_tradnl"/>
              </w:rPr>
              <w:t>, sin importar el objeto del contrato.</w:t>
            </w:r>
            <w:r>
              <w:rPr>
                <w:rFonts w:ascii="Verdana" w:eastAsia="Arial" w:hAnsi="Verdana" w:cs="Arial"/>
                <w:color w:val="000000"/>
                <w:lang w:val="es-ES_tradnl"/>
              </w:rPr>
              <w:t xml:space="preserve"> </w:t>
            </w:r>
            <w:r w:rsidRPr="00FC5438">
              <w:rPr>
                <w:rFonts w:ascii="Verdana" w:eastAsia="Arial" w:hAnsi="Verdana" w:cs="Arial"/>
                <w:color w:val="000000"/>
                <w:lang w:val="es-ES_tradnl"/>
              </w:rPr>
              <w:lastRenderedPageBreak/>
              <w:t xml:space="preserve">Para que proceda la convocatoria limitada a </w:t>
            </w:r>
            <w:r w:rsidR="006E369B" w:rsidRPr="00FC5438">
              <w:rPr>
                <w:rFonts w:ascii="Verdana" w:eastAsia="Arial" w:hAnsi="Verdana" w:cs="Arial"/>
                <w:color w:val="000000"/>
                <w:lang w:val="es-ES_tradnl"/>
              </w:rPr>
              <w:t>MiPymes</w:t>
            </w:r>
            <w:r w:rsidRPr="00FC5438">
              <w:rPr>
                <w:rFonts w:ascii="Verdana" w:eastAsia="Arial" w:hAnsi="Verdana" w:cs="Arial"/>
                <w:color w:val="000000"/>
                <w:lang w:val="es-ES_tradnl"/>
              </w:rPr>
              <w:t xml:space="preserve"> es necesario que el valor del </w:t>
            </w:r>
            <w:r>
              <w:rPr>
                <w:rFonts w:ascii="Verdana" w:eastAsia="Arial" w:hAnsi="Verdana" w:cs="Arial"/>
                <w:color w:val="000000"/>
                <w:lang w:val="es-ES_tradnl"/>
              </w:rPr>
              <w:t>p</w:t>
            </w:r>
            <w:r w:rsidRPr="00FC5438">
              <w:rPr>
                <w:rFonts w:ascii="Verdana" w:eastAsia="Arial" w:hAnsi="Verdana" w:cs="Arial"/>
                <w:color w:val="000000"/>
                <w:lang w:val="es-ES_tradnl"/>
              </w:rPr>
              <w:t xml:space="preserve">roceso de </w:t>
            </w:r>
            <w:r>
              <w:rPr>
                <w:rFonts w:ascii="Verdana" w:eastAsia="Arial" w:hAnsi="Verdana" w:cs="Arial"/>
                <w:color w:val="000000"/>
                <w:lang w:val="es-ES_tradnl"/>
              </w:rPr>
              <w:t>c</w:t>
            </w:r>
            <w:r w:rsidRPr="00FC5438">
              <w:rPr>
                <w:rFonts w:ascii="Verdana" w:eastAsia="Arial" w:hAnsi="Verdana" w:cs="Arial"/>
                <w:color w:val="000000"/>
                <w:lang w:val="es-ES_tradnl"/>
              </w:rPr>
              <w:t>ontratación sea menor a US$125.000, esto se cumple cuando no se generen erogaciones presupuestales o cuando la cuantía del Proceso de Contratación sea cero (0)</w:t>
            </w:r>
            <w:r>
              <w:rPr>
                <w:rFonts w:ascii="Verdana" w:eastAsia="Arial" w:hAnsi="Verdana" w:cs="Arial"/>
                <w:color w:val="000000"/>
                <w:lang w:val="es-ES_tradnl"/>
              </w:rPr>
              <w:t xml:space="preserve">. </w:t>
            </w:r>
            <w:r>
              <w:rPr>
                <w:rFonts w:ascii="Verdana" w:hAnsi="Verdana" w:cs="Arial"/>
                <w:lang w:val="es-ES"/>
              </w:rPr>
              <w:t xml:space="preserve">Lo anterior conforme a la directriz interpretativa del artículo 31 del Código Civil, según la cual </w:t>
            </w:r>
            <w:r w:rsidRPr="005D7CD5">
              <w:rPr>
                <w:rFonts w:ascii="Verdana" w:hAnsi="Verdana" w:cs="Arial"/>
                <w:lang w:val="es-ES"/>
              </w:rPr>
              <w:t>“Lo favorable u odioso de una disposición no se tomará en cuenta para ampliar o restringir su interpretació</w:t>
            </w:r>
            <w:r>
              <w:rPr>
                <w:rFonts w:ascii="Verdana" w:hAnsi="Verdana" w:cs="Arial"/>
                <w:lang w:val="es-ES"/>
              </w:rPr>
              <w:t xml:space="preserve">n. </w:t>
            </w:r>
            <w:r w:rsidRPr="00E51648">
              <w:rPr>
                <w:rFonts w:ascii="Verdana" w:hAnsi="Verdana" w:cs="Arial"/>
                <w:lang w:val="es-ES"/>
              </w:rPr>
              <w:t>La extensión que deba darse a toda ley se determinará por su genuino sentido</w:t>
            </w:r>
            <w:r>
              <w:rPr>
                <w:rFonts w:ascii="Verdana" w:hAnsi="Verdana" w:cs="Arial"/>
                <w:lang w:val="es-ES"/>
              </w:rPr>
              <w:t xml:space="preserve"> […]”.</w:t>
            </w:r>
            <w:r>
              <w:rPr>
                <w:rFonts w:ascii="Verdana" w:eastAsia="Times New Roman" w:hAnsi="Verdana" w:cs="Arial"/>
                <w:color w:val="000000"/>
                <w:lang w:val="es-ES_tradnl" w:eastAsia="es-ES_tradnl"/>
              </w:rPr>
              <w:t xml:space="preserve"> </w:t>
            </w:r>
            <w:r w:rsidRPr="007D48B0">
              <w:rPr>
                <w:rFonts w:ascii="Verdana" w:eastAsia="Calibri" w:hAnsi="Verdana" w:cs="Arial"/>
                <w:lang w:val="es-MX"/>
              </w:rPr>
              <w:t xml:space="preserve"> </w:t>
            </w:r>
          </w:p>
          <w:p w14:paraId="30387EFB" w14:textId="31EF079F" w:rsidR="00E7156E" w:rsidRDefault="00E7156E" w:rsidP="00167DF7">
            <w:pPr>
              <w:spacing w:after="120" w:line="276" w:lineRule="auto"/>
              <w:ind w:firstLine="731"/>
              <w:jc w:val="both"/>
              <w:rPr>
                <w:rFonts w:ascii="Verdana" w:eastAsia="Calibri" w:hAnsi="Verdana" w:cs="Arial"/>
                <w:lang w:val="es-MX"/>
              </w:rPr>
            </w:pPr>
            <w:r>
              <w:rPr>
                <w:rFonts w:ascii="Verdana" w:eastAsia="Calibri" w:hAnsi="Verdana" w:cs="Arial"/>
                <w:lang w:val="es-MX"/>
              </w:rPr>
              <w:t xml:space="preserve">Por lo demás, </w:t>
            </w:r>
            <w:r w:rsidRPr="00FC5438">
              <w:rPr>
                <w:rFonts w:ascii="Verdana" w:eastAsia="Calibri" w:hAnsi="Verdana" w:cs="Arial"/>
                <w:color w:val="000000" w:themeColor="text1"/>
              </w:rPr>
              <w:t>lo que debe adoptarse obligatoriamente es la</w:t>
            </w:r>
            <w:r w:rsidRPr="00FC5438">
              <w:rPr>
                <w:rFonts w:ascii="Verdana" w:hAnsi="Verdana" w:cs="Arial"/>
                <w:color w:val="000000" w:themeColor="text1"/>
              </w:rPr>
              <w:t xml:space="preserve"> limitación a </w:t>
            </w:r>
            <w:r w:rsidR="009A7EFF" w:rsidRPr="00FC5438">
              <w:rPr>
                <w:rFonts w:ascii="Verdana" w:hAnsi="Verdana" w:cs="Arial"/>
                <w:color w:val="000000" w:themeColor="text1"/>
              </w:rPr>
              <w:t>MiPymes</w:t>
            </w:r>
            <w:r w:rsidRPr="00FC5438">
              <w:rPr>
                <w:rFonts w:ascii="Verdana" w:hAnsi="Verdana" w:cs="Arial"/>
                <w:color w:val="000000" w:themeColor="text1"/>
              </w:rPr>
              <w:t xml:space="preserve"> colombianas</w:t>
            </w:r>
            <w:r w:rsidRPr="00FC5438">
              <w:rPr>
                <w:rFonts w:ascii="Verdana" w:eastAsia="Calibri" w:hAnsi="Verdana" w:cs="Arial"/>
                <w:color w:val="000000" w:themeColor="text1"/>
              </w:rPr>
              <w:t xml:space="preserve"> siempre que se cumplan las condiciones del artículo 2.2.1.2.4.2.2 del Decreto 1082 de 2015, pero no la “limitación territorial” referida en el artículo 2.2.1.2.4.2.3 </w:t>
            </w:r>
            <w:r w:rsidR="009A7EFF" w:rsidRPr="00FC5438">
              <w:rPr>
                <w:rFonts w:ascii="Verdana" w:eastAsia="Calibri" w:hAnsi="Verdana" w:cs="Arial"/>
                <w:i/>
                <w:iCs/>
                <w:color w:val="000000" w:themeColor="text1"/>
              </w:rPr>
              <w:t>Ibidem</w:t>
            </w:r>
            <w:r w:rsidRPr="00FC5438">
              <w:rPr>
                <w:rFonts w:ascii="Verdana" w:eastAsia="Calibri" w:hAnsi="Verdana" w:cs="Arial"/>
                <w:color w:val="000000" w:themeColor="text1"/>
              </w:rPr>
              <w:t>, pues esta es facultativa para la entidad. Las únicas exigencias son que la convocatoria esté l</w:t>
            </w:r>
            <w:r w:rsidRPr="00FC5438">
              <w:rPr>
                <w:rFonts w:ascii="Verdana" w:hAnsi="Verdana" w:cs="Arial"/>
                <w:color w:val="000000" w:themeColor="text1"/>
              </w:rPr>
              <w:t xml:space="preserve">imitada a las </w:t>
            </w:r>
            <w:r w:rsidR="009A7EFF" w:rsidRPr="00FC5438">
              <w:rPr>
                <w:rFonts w:ascii="Verdana" w:hAnsi="Verdana" w:cs="Arial"/>
                <w:color w:val="000000" w:themeColor="text1"/>
              </w:rPr>
              <w:t>MiPymes</w:t>
            </w:r>
            <w:r w:rsidRPr="00FC5438">
              <w:rPr>
                <w:rFonts w:ascii="Verdana" w:hAnsi="Verdana" w:cs="Arial"/>
                <w:color w:val="000000" w:themeColor="text1"/>
              </w:rPr>
              <w:t xml:space="preserve"> colombianas</w:t>
            </w:r>
            <w:r w:rsidRPr="00FC5438">
              <w:rPr>
                <w:rFonts w:ascii="Verdana" w:eastAsia="Calibri" w:hAnsi="Verdana" w:cs="Arial"/>
                <w:color w:val="000000" w:themeColor="text1"/>
              </w:rPr>
              <w:t xml:space="preserve"> “domiciliadas en los departamentos o municipios en donde se va a ejecutar el contrato” y que la entidad justifique su decisión con base en los “estudios del sector”</w:t>
            </w:r>
            <w:r>
              <w:rPr>
                <w:rFonts w:ascii="Verdana" w:eastAsia="Calibri" w:hAnsi="Verdana" w:cs="Arial"/>
                <w:color w:val="000000" w:themeColor="text1"/>
              </w:rPr>
              <w:t>.</w:t>
            </w:r>
          </w:p>
          <w:p w14:paraId="026C2EA4" w14:textId="77777777" w:rsidR="00E7156E" w:rsidRPr="00B83801" w:rsidRDefault="00E7156E" w:rsidP="00167DF7">
            <w:pPr>
              <w:spacing w:line="276" w:lineRule="auto"/>
              <w:ind w:firstLine="731"/>
              <w:jc w:val="both"/>
              <w:rPr>
                <w:rFonts w:ascii="Verdana" w:hAnsi="Verdana" w:cs="Arial"/>
                <w:lang w:eastAsia="es-ES"/>
              </w:rPr>
            </w:pPr>
            <w:r w:rsidRPr="00C81543">
              <w:rPr>
                <w:rFonts w:ascii="Verdana" w:hAnsi="Verdana" w:cs="Arial"/>
                <w:lang w:eastAsia="es-ES"/>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16887995" w14:textId="77777777" w:rsidR="00E7156E" w:rsidRPr="00593A5F" w:rsidRDefault="00E7156E" w:rsidP="00E7156E">
      <w:pPr>
        <w:tabs>
          <w:tab w:val="left" w:pos="142"/>
          <w:tab w:val="left" w:pos="284"/>
        </w:tabs>
        <w:spacing w:after="0" w:line="276" w:lineRule="auto"/>
        <w:jc w:val="both"/>
        <w:rPr>
          <w:rFonts w:ascii="Verdana" w:eastAsia="Century Gothic" w:hAnsi="Verdana" w:cs="Century Gothic"/>
          <w:b/>
          <w:bCs/>
          <w:lang w:val="es-ES"/>
        </w:rPr>
      </w:pPr>
    </w:p>
    <w:bookmarkEnd w:id="1"/>
    <w:p w14:paraId="0CAD0CC9" w14:textId="77777777" w:rsidR="00E7156E" w:rsidRPr="00593A5F" w:rsidRDefault="00E7156E" w:rsidP="00E7156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65D02012" w14:textId="77777777" w:rsidR="00E7156E" w:rsidRPr="00593A5F" w:rsidRDefault="00E7156E" w:rsidP="00E7156E">
      <w:pPr>
        <w:spacing w:after="0" w:line="276" w:lineRule="auto"/>
        <w:jc w:val="both"/>
        <w:rPr>
          <w:rFonts w:ascii="Verdana" w:eastAsia="Calibri" w:hAnsi="Verdana" w:cs="Arial"/>
          <w:color w:val="7030A0"/>
          <w:lang w:val="es-ES"/>
        </w:rPr>
      </w:pPr>
    </w:p>
    <w:p w14:paraId="7C6B38B3" w14:textId="77777777" w:rsidR="00E7156E" w:rsidRDefault="00E7156E" w:rsidP="00E7156E">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386B31AD" w14:textId="77777777" w:rsidR="00E7156E" w:rsidRDefault="00E7156E" w:rsidP="00E7156E">
      <w:pPr>
        <w:spacing w:after="0" w:line="276" w:lineRule="auto"/>
        <w:jc w:val="both"/>
        <w:rPr>
          <w:rFonts w:ascii="Verdana" w:eastAsia="Calibri" w:hAnsi="Verdana" w:cs="Arial"/>
          <w:lang w:val="es-ES"/>
        </w:rPr>
      </w:pPr>
    </w:p>
    <w:p w14:paraId="035D7D10" w14:textId="77777777" w:rsidR="00E7156E" w:rsidRPr="00FC5438" w:rsidRDefault="00E7156E" w:rsidP="00E7156E">
      <w:pPr>
        <w:spacing w:after="0" w:line="276" w:lineRule="auto"/>
        <w:jc w:val="both"/>
        <w:rPr>
          <w:rFonts w:ascii="Verdana" w:eastAsia="Arial" w:hAnsi="Verdana" w:cs="Arial"/>
          <w:color w:val="000000"/>
        </w:rPr>
      </w:pPr>
      <w:r w:rsidRPr="00FC5438">
        <w:rPr>
          <w:rFonts w:ascii="Verdana" w:eastAsia="Arial" w:hAnsi="Verdana" w:cs="Arial"/>
          <w:color w:val="000000"/>
        </w:rPr>
        <w:t xml:space="preserve">En desarrollo del artículo 34 de la Ley de Emprendimiento, el artículo 2.2.1.2.4.2.2 del Decreto 1082 de 2015 –modificado por el Decreto 1860 de 2021– establece los requisitos que se deben acreditar en las “convocatorias limitadas a Mipymes”. El inciso primero de la referida norma exige que las entidades estatales independientemente de su régimen de contratación, los patrimonios autónomos constituidos por entidades estatales y los particulares </w:t>
      </w:r>
      <w:r w:rsidRPr="00FC5438">
        <w:rPr>
          <w:rFonts w:ascii="Verdana" w:eastAsia="Arial" w:hAnsi="Verdana" w:cs="Arial"/>
          <w:color w:val="000000"/>
        </w:rPr>
        <w:lastRenderedPageBreak/>
        <w:t xml:space="preserve">que ejecuten recursos públicos, limiten las convocatorias de los procesos de contratación a las </w:t>
      </w:r>
      <w:proofErr w:type="spellStart"/>
      <w:r w:rsidRPr="00FC5438">
        <w:rPr>
          <w:rFonts w:ascii="Verdana" w:eastAsia="Arial" w:hAnsi="Verdana" w:cs="Arial"/>
          <w:color w:val="000000"/>
        </w:rPr>
        <w:t>Mipyme</w:t>
      </w:r>
      <w:proofErr w:type="spellEnd"/>
      <w:r w:rsidRPr="00FC5438">
        <w:rPr>
          <w:rFonts w:ascii="Verdana" w:eastAsia="Arial" w:hAnsi="Verdana" w:cs="Arial"/>
          <w:color w:val="000000"/>
        </w:rPr>
        <w:t xml:space="preserve"> colombianas con mínimo un (1) año de existencia, siempre que se cumplan los requisitos señalados allí. Al respecto indica lo siguiente: </w:t>
      </w:r>
    </w:p>
    <w:p w14:paraId="34937FAB" w14:textId="77777777" w:rsidR="00E7156E" w:rsidRPr="00FC5438" w:rsidRDefault="00E7156E" w:rsidP="00E7156E">
      <w:pPr>
        <w:spacing w:after="0" w:line="276" w:lineRule="auto"/>
        <w:ind w:firstLine="709"/>
        <w:jc w:val="both"/>
        <w:rPr>
          <w:rFonts w:ascii="Verdana" w:eastAsia="Arial" w:hAnsi="Verdana" w:cs="Arial"/>
          <w:color w:val="000000"/>
        </w:rPr>
      </w:pPr>
    </w:p>
    <w:p w14:paraId="19958715" w14:textId="77777777" w:rsidR="00E7156E" w:rsidRPr="00FC5438" w:rsidRDefault="00E7156E" w:rsidP="00E7156E">
      <w:pPr>
        <w:spacing w:after="0" w:line="240" w:lineRule="auto"/>
        <w:ind w:left="709" w:right="709"/>
        <w:jc w:val="both"/>
        <w:rPr>
          <w:rFonts w:ascii="Verdana" w:eastAsia="Calibri" w:hAnsi="Verdana" w:cs="Arial"/>
          <w:sz w:val="21"/>
          <w:szCs w:val="21"/>
          <w:lang w:val="es-ES"/>
        </w:rPr>
      </w:pPr>
      <w:r w:rsidRPr="4B3F5FD1">
        <w:rPr>
          <w:rFonts w:ascii="Verdana" w:eastAsia="Calibri" w:hAnsi="Verdana" w:cs="Arial"/>
          <w:sz w:val="21"/>
          <w:szCs w:val="21"/>
          <w:lang w:val="es-ES"/>
        </w:rPr>
        <w:t xml:space="preserve">“Artículo 2.2.1.2.4.2.2. Convocatorias Imitadas a </w:t>
      </w:r>
      <w:proofErr w:type="spellStart"/>
      <w:r w:rsidRPr="4B3F5FD1">
        <w:rPr>
          <w:rFonts w:ascii="Verdana" w:eastAsia="Calibri" w:hAnsi="Verdana" w:cs="Arial"/>
          <w:sz w:val="21"/>
          <w:szCs w:val="21"/>
          <w:lang w:val="es-ES"/>
        </w:rPr>
        <w:t>Mipyme</w:t>
      </w:r>
      <w:proofErr w:type="spellEnd"/>
      <w:r w:rsidRPr="4B3F5FD1">
        <w:rPr>
          <w:rFonts w:ascii="Verdana" w:eastAsia="Calibri" w:hAnsi="Verdana" w:cs="Arial"/>
          <w:sz w:val="21"/>
          <w:szCs w:val="21"/>
          <w:lang w:val="es-ES"/>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4B3F5FD1">
        <w:rPr>
          <w:rFonts w:ascii="Verdana" w:eastAsia="Calibri" w:hAnsi="Verdana" w:cs="Arial"/>
          <w:sz w:val="21"/>
          <w:szCs w:val="21"/>
          <w:lang w:val="es-ES"/>
        </w:rPr>
        <w:t>Mipyme</w:t>
      </w:r>
      <w:proofErr w:type="spellEnd"/>
      <w:r w:rsidRPr="4B3F5FD1">
        <w:rPr>
          <w:rFonts w:ascii="Verdana" w:eastAsia="Calibri" w:hAnsi="Verdana" w:cs="Arial"/>
          <w:sz w:val="21"/>
          <w:szCs w:val="21"/>
          <w:lang w:val="es-ES"/>
        </w:rPr>
        <w:t xml:space="preserve"> colombianas con mínimo un (1) año de existencia, cuando concurran los siguientes requisitos: </w:t>
      </w:r>
    </w:p>
    <w:p w14:paraId="186C00CE" w14:textId="77777777" w:rsidR="00E7156E" w:rsidRPr="00FC5438" w:rsidRDefault="00E7156E" w:rsidP="00E7156E">
      <w:pPr>
        <w:spacing w:after="0" w:line="240" w:lineRule="auto"/>
        <w:ind w:left="709" w:right="709"/>
        <w:jc w:val="both"/>
        <w:rPr>
          <w:rFonts w:ascii="Verdana" w:eastAsia="Calibri" w:hAnsi="Verdana" w:cs="Arial"/>
          <w:sz w:val="21"/>
          <w:szCs w:val="21"/>
          <w:lang w:val="es-ES_tradnl"/>
        </w:rPr>
      </w:pPr>
    </w:p>
    <w:p w14:paraId="02679FF4" w14:textId="77777777" w:rsidR="00E7156E" w:rsidRPr="00FC5438" w:rsidRDefault="00E7156E" w:rsidP="00E7156E">
      <w:pPr>
        <w:spacing w:after="120" w:line="240" w:lineRule="auto"/>
        <w:ind w:left="709" w:right="709"/>
        <w:jc w:val="both"/>
        <w:rPr>
          <w:rFonts w:ascii="Verdana" w:eastAsia="Calibri" w:hAnsi="Verdana" w:cs="Arial"/>
          <w:sz w:val="21"/>
          <w:szCs w:val="21"/>
          <w:lang w:val="es-ES_tradnl"/>
        </w:rPr>
      </w:pPr>
      <w:r w:rsidRPr="00FC5438">
        <w:rPr>
          <w:rFonts w:ascii="Verdana" w:eastAsia="Calibri" w:hAnsi="Verdana" w:cs="Arial"/>
          <w:sz w:val="21"/>
          <w:szCs w:val="21"/>
          <w:lang w:val="es-ES_tradnl"/>
        </w:rPr>
        <w:t>1. El valor del Proceso de Contratación sea menor a ciento veinticinco mil dólares de los Estados Unidos de América (US$125.000), liquidados con la tasa de cambio que para el efecto determina cada dos años el Ministerio de Comercio, Industria y Turismo.</w:t>
      </w:r>
    </w:p>
    <w:p w14:paraId="5C700132" w14:textId="77777777" w:rsidR="00E7156E" w:rsidRPr="00FC5438" w:rsidRDefault="00E7156E" w:rsidP="00E7156E">
      <w:pPr>
        <w:spacing w:after="0" w:line="240" w:lineRule="auto"/>
        <w:ind w:left="709" w:right="709"/>
        <w:jc w:val="both"/>
        <w:rPr>
          <w:rFonts w:ascii="Verdana" w:eastAsia="Calibri" w:hAnsi="Verdana" w:cs="Arial"/>
          <w:sz w:val="21"/>
          <w:szCs w:val="21"/>
          <w:lang w:val="es-ES"/>
        </w:rPr>
      </w:pPr>
      <w:r w:rsidRPr="4B3F5FD1">
        <w:rPr>
          <w:rFonts w:ascii="Verdana" w:eastAsia="Calibri" w:hAnsi="Verdana" w:cs="Arial"/>
          <w:sz w:val="21"/>
          <w:szCs w:val="21"/>
          <w:lang w:val="es-ES"/>
        </w:rPr>
        <w:t xml:space="preserve">2. Se hayan recibido solicitudes de por lo menos dos (2) </w:t>
      </w:r>
      <w:proofErr w:type="spellStart"/>
      <w:r w:rsidRPr="4B3F5FD1">
        <w:rPr>
          <w:rFonts w:ascii="Verdana" w:eastAsia="Calibri" w:hAnsi="Verdana" w:cs="Arial"/>
          <w:sz w:val="21"/>
          <w:szCs w:val="21"/>
          <w:lang w:val="es-ES"/>
        </w:rPr>
        <w:t>Mipyme</w:t>
      </w:r>
      <w:proofErr w:type="spellEnd"/>
      <w:r w:rsidRPr="4B3F5FD1">
        <w:rPr>
          <w:rFonts w:ascii="Verdana" w:eastAsia="Calibri" w:hAnsi="Verdana" w:cs="Arial"/>
          <w:sz w:val="21"/>
          <w:szCs w:val="21"/>
          <w:lang w:val="es-ES"/>
        </w:rPr>
        <w:t xml:space="preserve"> colombianas para limitar la convocatoria a </w:t>
      </w:r>
      <w:proofErr w:type="spellStart"/>
      <w:r w:rsidRPr="4B3F5FD1">
        <w:rPr>
          <w:rFonts w:ascii="Verdana" w:eastAsia="Calibri" w:hAnsi="Verdana" w:cs="Arial"/>
          <w:sz w:val="21"/>
          <w:szCs w:val="21"/>
          <w:lang w:val="es-ES"/>
        </w:rPr>
        <w:t>Mipyme</w:t>
      </w:r>
      <w:proofErr w:type="spellEnd"/>
      <w:r w:rsidRPr="4B3F5FD1">
        <w:rPr>
          <w:rFonts w:ascii="Verdana" w:eastAsia="Calibri" w:hAnsi="Verdana" w:cs="Arial"/>
          <w:sz w:val="21"/>
          <w:szCs w:val="21"/>
          <w:lang w:val="es-ES"/>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w:t>
      </w:r>
      <w:proofErr w:type="spellStart"/>
      <w:r w:rsidRPr="4B3F5FD1">
        <w:rPr>
          <w:rFonts w:ascii="Verdana" w:eastAsia="Calibri" w:hAnsi="Verdana" w:cs="Arial"/>
          <w:sz w:val="21"/>
          <w:szCs w:val="21"/>
          <w:lang w:val="es-ES"/>
        </w:rPr>
        <w:t>Mipyme</w:t>
      </w:r>
      <w:proofErr w:type="spellEnd"/>
      <w:r w:rsidRPr="4B3F5FD1">
        <w:rPr>
          <w:rFonts w:ascii="Verdana" w:eastAsia="Calibri" w:hAnsi="Verdana" w:cs="Arial"/>
          <w:sz w:val="21"/>
          <w:szCs w:val="21"/>
          <w:lang w:val="es-ES"/>
        </w:rPr>
        <w:t>, cuyo objeto social les permita ejecutar el contrato relacionado con el proceso contractual.</w:t>
      </w:r>
    </w:p>
    <w:p w14:paraId="4FEAC5CA" w14:textId="77777777" w:rsidR="00E7156E" w:rsidRPr="00FC5438" w:rsidRDefault="00E7156E" w:rsidP="00E7156E">
      <w:pPr>
        <w:spacing w:after="0" w:line="240" w:lineRule="auto"/>
        <w:ind w:left="709" w:right="709"/>
        <w:jc w:val="both"/>
        <w:rPr>
          <w:rFonts w:ascii="Verdana" w:eastAsia="Calibri" w:hAnsi="Verdana" w:cs="Arial"/>
          <w:sz w:val="21"/>
          <w:szCs w:val="21"/>
          <w:lang w:val="es-ES_tradnl"/>
        </w:rPr>
      </w:pPr>
    </w:p>
    <w:p w14:paraId="7CB2B311" w14:textId="77777777" w:rsidR="00E7156E" w:rsidRPr="00FC5438" w:rsidRDefault="00E7156E" w:rsidP="00E7156E">
      <w:pPr>
        <w:spacing w:after="0" w:line="240" w:lineRule="auto"/>
        <w:ind w:left="709" w:right="709"/>
        <w:jc w:val="both"/>
        <w:rPr>
          <w:rFonts w:ascii="Verdana" w:eastAsia="Calibri" w:hAnsi="Verdana" w:cs="Arial"/>
          <w:sz w:val="21"/>
          <w:szCs w:val="21"/>
          <w:lang w:val="es-ES"/>
        </w:rPr>
      </w:pPr>
      <w:r w:rsidRPr="4B3F5FD1">
        <w:rPr>
          <w:rFonts w:ascii="Verdana" w:eastAsia="Calibri" w:hAnsi="Verdana" w:cs="Arial"/>
          <w:sz w:val="21"/>
          <w:szCs w:val="21"/>
          <w:lang w:val="es-ES"/>
        </w:rPr>
        <w:t xml:space="preserve">Parágrafo. Las cooperativas y demás entidades de economía solidaria, siempre que tengan la calidad de </w:t>
      </w:r>
      <w:proofErr w:type="spellStart"/>
      <w:r w:rsidRPr="4B3F5FD1">
        <w:rPr>
          <w:rFonts w:ascii="Verdana" w:eastAsia="Calibri" w:hAnsi="Verdana" w:cs="Arial"/>
          <w:sz w:val="21"/>
          <w:szCs w:val="21"/>
          <w:lang w:val="es-ES"/>
        </w:rPr>
        <w:t>Mipyme</w:t>
      </w:r>
      <w:proofErr w:type="spellEnd"/>
      <w:r w:rsidRPr="4B3F5FD1">
        <w:rPr>
          <w:rFonts w:ascii="Verdana" w:eastAsia="Calibri" w:hAnsi="Verdana" w:cs="Arial"/>
          <w:sz w:val="21"/>
          <w:szCs w:val="21"/>
          <w:lang w:val="es-ES"/>
        </w:rPr>
        <w:t>, podrán solicitar y participar en las convocatorias limitadas en las mismas condiciones dispuestas en el presente artículo”.</w:t>
      </w:r>
    </w:p>
    <w:p w14:paraId="6E8C8776" w14:textId="77777777" w:rsidR="00E7156E" w:rsidRPr="00FC5438" w:rsidRDefault="00E7156E" w:rsidP="00E7156E">
      <w:pPr>
        <w:spacing w:after="0" w:line="276" w:lineRule="auto"/>
        <w:ind w:firstLine="709"/>
        <w:jc w:val="both"/>
        <w:rPr>
          <w:rFonts w:ascii="Verdana" w:eastAsia="Arial" w:hAnsi="Verdana" w:cs="Arial"/>
          <w:color w:val="000000"/>
        </w:rPr>
      </w:pPr>
    </w:p>
    <w:p w14:paraId="2035B67A" w14:textId="77777777" w:rsidR="00E7156E" w:rsidRDefault="00E7156E" w:rsidP="00E7156E">
      <w:pPr>
        <w:spacing w:after="120" w:line="276" w:lineRule="auto"/>
        <w:ind w:firstLine="709"/>
        <w:jc w:val="both"/>
        <w:rPr>
          <w:rFonts w:ascii="Verdana" w:eastAsia="Arial" w:hAnsi="Verdana" w:cs="Arial"/>
          <w:color w:val="000000"/>
          <w:lang w:val="es-ES_tradnl"/>
        </w:rPr>
      </w:pPr>
      <w:r w:rsidRPr="00FC5438">
        <w:rPr>
          <w:rFonts w:ascii="Verdana" w:eastAsia="Arial" w:hAnsi="Verdana" w:cs="Arial"/>
          <w:color w:val="000000"/>
        </w:rPr>
        <w:t xml:space="preserve">Según se evidencia, el numeral primero limita cuantitativamente los procesos contractuales para las convocatorias limitadas a </w:t>
      </w:r>
      <w:proofErr w:type="spellStart"/>
      <w:r w:rsidRPr="00FC5438">
        <w:rPr>
          <w:rFonts w:ascii="Verdana" w:eastAsia="Arial" w:hAnsi="Verdana" w:cs="Arial"/>
          <w:color w:val="000000"/>
        </w:rPr>
        <w:t>Mipyme</w:t>
      </w:r>
      <w:proofErr w:type="spellEnd"/>
      <w:r w:rsidRPr="00FC5438">
        <w:rPr>
          <w:rFonts w:ascii="Verdana" w:eastAsia="Arial" w:hAnsi="Verdana" w:cs="Arial"/>
          <w:color w:val="000000"/>
        </w:rPr>
        <w:t xml:space="preserve">, puesto que el valor del proceso de contratación debe ser “menor a ciento veinticinco mil dólares de los Estados Unidos de América”. Esto acuerdo con la tasa que determine cada dos años el Ministerio de Comercio, Industria y Turismo. Por su parte, el numeral segundo establece que al menos dos (2) Mipymes colombianas presenten a la entidad la solicitud de limitar el proceso contractual y, por el otro, que hagan la solicitud por lo menos un día (1) hábil antes de la expedición del </w:t>
      </w:r>
      <w:r w:rsidRPr="00FC5438">
        <w:rPr>
          <w:rFonts w:ascii="Verdana" w:eastAsia="Arial" w:hAnsi="Verdana" w:cs="Arial"/>
          <w:color w:val="000000"/>
        </w:rPr>
        <w:lastRenderedPageBreak/>
        <w:t xml:space="preserve">acto administrativo de apertura </w:t>
      </w:r>
      <w:r w:rsidRPr="00FC5438">
        <w:rPr>
          <w:rFonts w:ascii="Verdana" w:eastAsia="Arial" w:hAnsi="Verdana" w:cs="Arial"/>
          <w:color w:val="000000"/>
          <w:lang w:val="es-ES_tradnl"/>
        </w:rPr>
        <w:t>o el que haga sus veces de acuerdo con la normativa aplicable a cada Proceso de Contratación</w:t>
      </w:r>
      <w:r w:rsidRPr="00FC5438">
        <w:rPr>
          <w:rFonts w:ascii="Verdana" w:eastAsia="Arial" w:hAnsi="Verdana" w:cs="Arial"/>
          <w:color w:val="000000"/>
        </w:rPr>
        <w:t xml:space="preserve">. Asimismo, la norma señala que, </w:t>
      </w:r>
      <w:r w:rsidRPr="00FC5438">
        <w:rPr>
          <w:rFonts w:ascii="Verdana" w:eastAsia="Arial" w:hAnsi="Verdana" w:cs="Arial"/>
          <w:color w:val="000000"/>
          <w:lang w:val="es-ES_tradnl"/>
        </w:rPr>
        <w:t xml:space="preserve">tratándose de personas jurídicas, las solicitudes solo las podrán realizar </w:t>
      </w:r>
      <w:proofErr w:type="spellStart"/>
      <w:r w:rsidRPr="00FC5438">
        <w:rPr>
          <w:rFonts w:ascii="Verdana" w:eastAsia="Arial" w:hAnsi="Verdana" w:cs="Arial"/>
          <w:color w:val="000000"/>
          <w:lang w:val="es-ES_tradnl"/>
        </w:rPr>
        <w:t>Mipyme</w:t>
      </w:r>
      <w:proofErr w:type="spellEnd"/>
      <w:r w:rsidRPr="00FC5438">
        <w:rPr>
          <w:rFonts w:ascii="Verdana" w:eastAsia="Arial" w:hAnsi="Verdana" w:cs="Arial"/>
          <w:color w:val="000000"/>
          <w:lang w:val="es-ES_tradnl"/>
        </w:rPr>
        <w:t xml:space="preserve">, cuyo objeto social les permita ejecutar el contrato relacionado con el proceso contractual. Por lo demás, este artículo incluye a las cooperativas y demás entidades de economía solidaria dentro de los sujetos que pueden solicitar y participar en las convocatorias limitadas a </w:t>
      </w:r>
      <w:proofErr w:type="spellStart"/>
      <w:r w:rsidRPr="00FC5438">
        <w:rPr>
          <w:rFonts w:ascii="Verdana" w:eastAsia="Arial" w:hAnsi="Verdana" w:cs="Arial"/>
          <w:color w:val="000000"/>
          <w:lang w:val="es-ES_tradnl"/>
        </w:rPr>
        <w:t>Mipyme</w:t>
      </w:r>
      <w:proofErr w:type="spellEnd"/>
      <w:r w:rsidRPr="00FC5438">
        <w:rPr>
          <w:rFonts w:ascii="Verdana" w:eastAsia="Arial" w:hAnsi="Verdana" w:cs="Arial"/>
          <w:color w:val="000000"/>
          <w:lang w:val="es-ES_tradnl"/>
        </w:rPr>
        <w:t xml:space="preserve">, siempre que estas cumplan con las condiciones señaladas en el artículo. </w:t>
      </w:r>
    </w:p>
    <w:p w14:paraId="47A61C7E" w14:textId="77777777" w:rsidR="00E7156E" w:rsidRPr="00FC5438" w:rsidRDefault="00E7156E" w:rsidP="00E7156E">
      <w:pPr>
        <w:spacing w:after="120" w:line="276" w:lineRule="auto"/>
        <w:ind w:firstLine="709"/>
        <w:jc w:val="both"/>
        <w:rPr>
          <w:rFonts w:ascii="Verdana" w:eastAsia="Arial" w:hAnsi="Verdana" w:cs="Arial"/>
          <w:color w:val="000000"/>
          <w:lang w:val="es-ES_tradnl"/>
        </w:rPr>
      </w:pPr>
      <w:r>
        <w:rPr>
          <w:rFonts w:ascii="Verdana" w:eastAsia="Arial" w:hAnsi="Verdana" w:cs="Arial"/>
          <w:color w:val="000000"/>
          <w:lang w:val="es-ES_tradnl"/>
        </w:rPr>
        <w:t>En este contexto, l</w:t>
      </w:r>
      <w:r w:rsidRPr="00FC5438">
        <w:rPr>
          <w:rFonts w:ascii="Verdana" w:eastAsia="Arial" w:hAnsi="Verdana" w:cs="Arial"/>
          <w:color w:val="000000"/>
          <w:lang w:val="es-ES_tradnl"/>
        </w:rPr>
        <w:t>a</w:t>
      </w:r>
      <w:r>
        <w:rPr>
          <w:rFonts w:ascii="Verdana" w:eastAsia="Arial" w:hAnsi="Verdana" w:cs="Arial"/>
          <w:color w:val="000000"/>
          <w:lang w:val="es-ES_tradnl"/>
        </w:rPr>
        <w:t>s</w:t>
      </w:r>
      <w:r w:rsidRPr="00FC5438">
        <w:rPr>
          <w:rFonts w:ascii="Verdana" w:eastAsia="Arial" w:hAnsi="Verdana" w:cs="Arial"/>
          <w:color w:val="000000"/>
          <w:lang w:val="es-ES_tradnl"/>
        </w:rPr>
        <w:t xml:space="preserve"> </w:t>
      </w:r>
      <w:r>
        <w:rPr>
          <w:rFonts w:ascii="Verdana" w:eastAsia="Arial" w:hAnsi="Verdana" w:cs="Arial"/>
          <w:color w:val="000000"/>
          <w:lang w:val="es-ES_tradnl"/>
        </w:rPr>
        <w:t>e</w:t>
      </w:r>
      <w:r w:rsidRPr="00FC5438">
        <w:rPr>
          <w:rFonts w:ascii="Verdana" w:eastAsia="Arial" w:hAnsi="Verdana" w:cs="Arial"/>
          <w:color w:val="000000"/>
          <w:lang w:val="es-ES_tradnl"/>
        </w:rPr>
        <w:t xml:space="preserve">ntidades </w:t>
      </w:r>
      <w:r>
        <w:rPr>
          <w:rFonts w:ascii="Verdana" w:eastAsia="Arial" w:hAnsi="Verdana" w:cs="Arial"/>
          <w:color w:val="000000"/>
          <w:lang w:val="es-ES_tradnl"/>
        </w:rPr>
        <w:t>e</w:t>
      </w:r>
      <w:r w:rsidRPr="00FC5438">
        <w:rPr>
          <w:rFonts w:ascii="Verdana" w:eastAsia="Arial" w:hAnsi="Verdana" w:cs="Arial"/>
          <w:color w:val="000000"/>
          <w:lang w:val="es-ES_tradnl"/>
        </w:rPr>
        <w:t xml:space="preserve">statales están obligadas a aplicar el incentivo de convocatorias limitadas a </w:t>
      </w:r>
      <w:proofErr w:type="spellStart"/>
      <w:r w:rsidRPr="00FC5438">
        <w:rPr>
          <w:rFonts w:ascii="Verdana" w:eastAsia="Arial" w:hAnsi="Verdana" w:cs="Arial"/>
          <w:color w:val="000000"/>
          <w:lang w:val="es-ES_tradnl"/>
        </w:rPr>
        <w:t>Mipyme</w:t>
      </w:r>
      <w:proofErr w:type="spellEnd"/>
      <w:r w:rsidRPr="00FC5438">
        <w:rPr>
          <w:rFonts w:ascii="Verdana" w:eastAsia="Arial" w:hAnsi="Verdana" w:cs="Arial"/>
          <w:color w:val="000000"/>
          <w:lang w:val="es-ES_tradnl"/>
        </w:rPr>
        <w:t xml:space="preserve"> cuando se reúnan los requisitos establecidos en el artículo 2.2.1.2.4.2.2</w:t>
      </w:r>
      <w:r>
        <w:rPr>
          <w:rFonts w:ascii="Verdana" w:eastAsia="Arial" w:hAnsi="Verdana" w:cs="Arial"/>
          <w:color w:val="000000"/>
          <w:lang w:val="es-ES_tradnl"/>
        </w:rPr>
        <w:t xml:space="preserve"> del Decreto 1082 de 2015</w:t>
      </w:r>
      <w:r w:rsidRPr="00FC5438">
        <w:rPr>
          <w:rFonts w:ascii="Verdana" w:eastAsia="Arial" w:hAnsi="Verdana" w:cs="Arial"/>
          <w:color w:val="000000"/>
          <w:lang w:val="es-ES_tradnl"/>
        </w:rPr>
        <w:t>, sin importar el objeto del contrato.</w:t>
      </w:r>
      <w:r>
        <w:rPr>
          <w:rFonts w:ascii="Verdana" w:eastAsia="Arial" w:hAnsi="Verdana" w:cs="Arial"/>
          <w:color w:val="000000"/>
          <w:lang w:val="es-ES_tradnl"/>
        </w:rPr>
        <w:t xml:space="preserve"> </w:t>
      </w:r>
      <w:r w:rsidRPr="00FC5438">
        <w:rPr>
          <w:rFonts w:ascii="Verdana" w:eastAsia="Arial" w:hAnsi="Verdana" w:cs="Arial"/>
          <w:color w:val="000000"/>
          <w:lang w:val="es-ES_tradnl"/>
        </w:rPr>
        <w:t xml:space="preserve">Para que proceda la convocatoria limitada a </w:t>
      </w:r>
      <w:proofErr w:type="spellStart"/>
      <w:r w:rsidRPr="00FC5438">
        <w:rPr>
          <w:rFonts w:ascii="Verdana" w:eastAsia="Arial" w:hAnsi="Verdana" w:cs="Arial"/>
          <w:color w:val="000000"/>
          <w:lang w:val="es-ES_tradnl"/>
        </w:rPr>
        <w:t>Mipyme</w:t>
      </w:r>
      <w:proofErr w:type="spellEnd"/>
      <w:r w:rsidRPr="00FC5438">
        <w:rPr>
          <w:rFonts w:ascii="Verdana" w:eastAsia="Arial" w:hAnsi="Verdana" w:cs="Arial"/>
          <w:color w:val="000000"/>
          <w:lang w:val="es-ES_tradnl"/>
        </w:rPr>
        <w:t xml:space="preserve"> es necesario que el valor del </w:t>
      </w:r>
      <w:r>
        <w:rPr>
          <w:rFonts w:ascii="Verdana" w:eastAsia="Arial" w:hAnsi="Verdana" w:cs="Arial"/>
          <w:color w:val="000000"/>
          <w:lang w:val="es-ES_tradnl"/>
        </w:rPr>
        <w:t>p</w:t>
      </w:r>
      <w:r w:rsidRPr="00FC5438">
        <w:rPr>
          <w:rFonts w:ascii="Verdana" w:eastAsia="Arial" w:hAnsi="Verdana" w:cs="Arial"/>
          <w:color w:val="000000"/>
          <w:lang w:val="es-ES_tradnl"/>
        </w:rPr>
        <w:t xml:space="preserve">roceso de </w:t>
      </w:r>
      <w:r>
        <w:rPr>
          <w:rFonts w:ascii="Verdana" w:eastAsia="Arial" w:hAnsi="Verdana" w:cs="Arial"/>
          <w:color w:val="000000"/>
          <w:lang w:val="es-ES_tradnl"/>
        </w:rPr>
        <w:t>c</w:t>
      </w:r>
      <w:r w:rsidRPr="00FC5438">
        <w:rPr>
          <w:rFonts w:ascii="Verdana" w:eastAsia="Arial" w:hAnsi="Verdana" w:cs="Arial"/>
          <w:color w:val="000000"/>
          <w:lang w:val="es-ES_tradnl"/>
        </w:rPr>
        <w:t>ontratación sea menor a US$125.000, esto se cumple cuando no se generen erogaciones presupuestales o cuando la cuantía del Proceso de Contratación sea cero (0)</w:t>
      </w:r>
      <w:r>
        <w:rPr>
          <w:rFonts w:ascii="Verdana" w:eastAsia="Arial" w:hAnsi="Verdana" w:cs="Arial"/>
          <w:color w:val="000000"/>
          <w:lang w:val="es-ES_tradnl"/>
        </w:rPr>
        <w:t xml:space="preserve">. </w:t>
      </w:r>
      <w:r>
        <w:rPr>
          <w:rFonts w:ascii="Verdana" w:hAnsi="Verdana" w:cs="Arial"/>
          <w:lang w:val="es-ES"/>
        </w:rPr>
        <w:t xml:space="preserve">Lo anterior conforme a la directriz interpretativa del artículo 31 del Código Civil, según la cual </w:t>
      </w:r>
      <w:r w:rsidRPr="005D7CD5">
        <w:rPr>
          <w:rFonts w:ascii="Verdana" w:hAnsi="Verdana" w:cs="Arial"/>
          <w:lang w:val="es-ES"/>
        </w:rPr>
        <w:t>“Lo favorable u odioso de una disposición no se tomará en cuenta para ampliar o restringir su interpretació</w:t>
      </w:r>
      <w:r>
        <w:rPr>
          <w:rFonts w:ascii="Verdana" w:hAnsi="Verdana" w:cs="Arial"/>
          <w:lang w:val="es-ES"/>
        </w:rPr>
        <w:t xml:space="preserve">n. </w:t>
      </w:r>
      <w:r w:rsidRPr="00E51648">
        <w:rPr>
          <w:rFonts w:ascii="Verdana" w:hAnsi="Verdana" w:cs="Arial"/>
          <w:lang w:val="es-ES"/>
        </w:rPr>
        <w:t>La extensión que deba darse a toda ley se determinará por su genuino sentido</w:t>
      </w:r>
      <w:r>
        <w:rPr>
          <w:rFonts w:ascii="Verdana" w:hAnsi="Verdana" w:cs="Arial"/>
          <w:lang w:val="es-ES"/>
        </w:rPr>
        <w:t xml:space="preserve"> […]”</w:t>
      </w:r>
      <w:r>
        <w:rPr>
          <w:rStyle w:val="Refdenotaalpie"/>
          <w:rFonts w:ascii="Verdana" w:hAnsi="Verdana" w:cs="Arial"/>
          <w:lang w:val="es-ES"/>
        </w:rPr>
        <w:footnoteReference w:id="2"/>
      </w:r>
      <w:r>
        <w:rPr>
          <w:rFonts w:ascii="Verdana" w:hAnsi="Verdana" w:cs="Arial"/>
          <w:lang w:val="es-ES"/>
        </w:rPr>
        <w:t>.</w:t>
      </w:r>
    </w:p>
    <w:p w14:paraId="4A9FF420" w14:textId="77777777" w:rsidR="00E7156E" w:rsidRPr="00FC5438" w:rsidRDefault="00E7156E" w:rsidP="00E7156E">
      <w:pPr>
        <w:spacing w:after="0" w:line="276" w:lineRule="auto"/>
        <w:ind w:firstLine="709"/>
        <w:jc w:val="both"/>
        <w:rPr>
          <w:rFonts w:ascii="Verdana" w:eastAsia="Calibri" w:hAnsi="Verdana" w:cs="Arial"/>
          <w:lang w:val="es-ES"/>
        </w:rPr>
      </w:pPr>
      <w:r w:rsidRPr="4B3F5FD1">
        <w:rPr>
          <w:rFonts w:ascii="Verdana" w:eastAsia="Calibri" w:hAnsi="Verdana" w:cs="Arial"/>
          <w:lang w:val="es-ES"/>
        </w:rPr>
        <w:t>En relación con las limitaciones territorial</w:t>
      </w:r>
      <w:r w:rsidRPr="4B3F5FD1">
        <w:rPr>
          <w:rFonts w:ascii="Verdana" w:hAnsi="Verdana" w:cs="Arial"/>
          <w:lang w:val="es-ES"/>
        </w:rPr>
        <w:t xml:space="preserve">es de las convocatorias a </w:t>
      </w:r>
      <w:proofErr w:type="spellStart"/>
      <w:r w:rsidRPr="4B3F5FD1">
        <w:rPr>
          <w:rFonts w:ascii="Verdana" w:hAnsi="Verdana" w:cs="Arial"/>
          <w:lang w:val="es-ES"/>
        </w:rPr>
        <w:t>Mipyme</w:t>
      </w:r>
      <w:proofErr w:type="spellEnd"/>
      <w:r w:rsidRPr="4B3F5FD1">
        <w:rPr>
          <w:rFonts w:ascii="Verdana" w:hAnsi="Verdana" w:cs="Arial"/>
          <w:lang w:val="es-ES"/>
        </w:rPr>
        <w:t xml:space="preserve">, </w:t>
      </w:r>
      <w:r w:rsidRPr="4B3F5FD1">
        <w:rPr>
          <w:rFonts w:ascii="Verdana" w:eastAsia="Calibri" w:hAnsi="Verdana" w:cs="Arial"/>
          <w:lang w:val="es-ES"/>
        </w:rPr>
        <w:t xml:space="preserve"> a la luz del antiguo artículo 2.2.1.2.4.2.3 del Decreto 1082 de 2015, esta Agencia –</w:t>
      </w:r>
      <w:r w:rsidRPr="4B3F5FD1">
        <w:rPr>
          <w:rFonts w:ascii="Verdana" w:hAnsi="Verdana" w:cs="Arial"/>
          <w:lang w:val="es-ES"/>
        </w:rPr>
        <w:t>en los Conceptos 4201714000006924 del 29 de enero de 2018,</w:t>
      </w:r>
      <w:r w:rsidRPr="4B3F5FD1">
        <w:rPr>
          <w:rFonts w:ascii="Verdana" w:eastAsia="Calibri" w:hAnsi="Verdana" w:cs="Arial"/>
          <w:lang w:val="es-ES"/>
        </w:rPr>
        <w:t xml:space="preserve"> C-045 del 17 de marzo de 2020, C-162 del 16 de abril de 2020, C-214 del 21 de abril de 2020, C-258 del 17 de abril de 2020, C-364 del 4 de junio de 2020, C-413 del 30 de junio de 2020</w:t>
      </w:r>
      <w:r w:rsidRPr="4B3F5FD1">
        <w:rPr>
          <w:rFonts w:ascii="Verdana" w:hAnsi="Verdana" w:cs="Arial"/>
          <w:lang w:val="es-ES"/>
        </w:rPr>
        <w:t xml:space="preserve">, </w:t>
      </w:r>
      <w:r w:rsidRPr="4B3F5FD1">
        <w:rPr>
          <w:rFonts w:ascii="Verdana" w:eastAsia="Calibri" w:hAnsi="Verdana" w:cs="Arial"/>
          <w:lang w:val="es-ES"/>
        </w:rPr>
        <w:t xml:space="preserve">C-492 del 24 de julio de 2020, C-523 del 11 de agosto de 2020, C-610 del 14 de septiembre de 2020 y C-700 de 1 de diciembre de 2020– había sostenido que, para que se permitiera la participación de una </w:t>
      </w:r>
      <w:proofErr w:type="spellStart"/>
      <w:r w:rsidRPr="4B3F5FD1">
        <w:rPr>
          <w:rFonts w:ascii="Verdana" w:eastAsia="Calibri" w:hAnsi="Verdana" w:cs="Arial"/>
          <w:lang w:val="es-ES"/>
        </w:rPr>
        <w:lastRenderedPageBreak/>
        <w:t>Mipyme</w:t>
      </w:r>
      <w:proofErr w:type="spellEnd"/>
      <w:r w:rsidRPr="4B3F5FD1">
        <w:rPr>
          <w:rFonts w:ascii="Verdana" w:eastAsia="Calibri" w:hAnsi="Verdana" w:cs="Arial"/>
          <w:lang w:val="es-ES"/>
        </w:rPr>
        <w:t xml:space="preserve"> en uno de estos procesos, era necesario que esta demostrara estar domiciliada en el municipio o departamento en el que se ejecutaría el contrato. La tesis se expuso en los siguientes términos: </w:t>
      </w:r>
    </w:p>
    <w:p w14:paraId="75654E1B" w14:textId="77777777" w:rsidR="00E7156E" w:rsidRPr="00FC5438" w:rsidRDefault="00E7156E" w:rsidP="00E7156E">
      <w:pPr>
        <w:spacing w:after="0" w:line="276" w:lineRule="auto"/>
        <w:ind w:firstLine="709"/>
        <w:jc w:val="both"/>
        <w:rPr>
          <w:rFonts w:ascii="Verdana" w:eastAsia="Calibri" w:hAnsi="Verdana" w:cs="Arial"/>
          <w:lang w:val="es-ES_tradnl"/>
        </w:rPr>
      </w:pPr>
    </w:p>
    <w:p w14:paraId="4A7263E2" w14:textId="77777777" w:rsidR="00E7156E" w:rsidRPr="00FC5438" w:rsidRDefault="00E7156E" w:rsidP="00E7156E">
      <w:pPr>
        <w:spacing w:after="120" w:line="240" w:lineRule="auto"/>
        <w:ind w:left="709" w:right="709"/>
        <w:jc w:val="both"/>
        <w:rPr>
          <w:rFonts w:ascii="Verdana" w:hAnsi="Verdana" w:cs="Arial"/>
          <w:sz w:val="21"/>
          <w:szCs w:val="21"/>
          <w:lang w:val="es-ES"/>
        </w:rPr>
      </w:pPr>
      <w:r w:rsidRPr="4B3F5FD1">
        <w:rPr>
          <w:rFonts w:ascii="Verdana" w:hAnsi="Verdana" w:cs="Arial"/>
          <w:sz w:val="21"/>
          <w:szCs w:val="21"/>
          <w:lang w:val="es-ES"/>
        </w:rPr>
        <w:t xml:space="preserve">“Es de resaltar que </w:t>
      </w:r>
      <w:r w:rsidRPr="4B3F5FD1">
        <w:rPr>
          <w:rFonts w:ascii="Verdana" w:hAnsi="Verdana" w:cs="Arial"/>
          <w:i/>
          <w:sz w:val="21"/>
          <w:szCs w:val="21"/>
          <w:lang w:val="es-ES"/>
        </w:rPr>
        <w:t xml:space="preserve">estas normas se refieren a las </w:t>
      </w:r>
      <w:proofErr w:type="spellStart"/>
      <w:r w:rsidRPr="4B3F5FD1">
        <w:rPr>
          <w:rFonts w:ascii="Verdana" w:hAnsi="Verdana" w:cs="Arial"/>
          <w:i/>
          <w:sz w:val="21"/>
          <w:szCs w:val="21"/>
          <w:lang w:val="es-ES"/>
        </w:rPr>
        <w:t>Mipymes</w:t>
      </w:r>
      <w:proofErr w:type="spellEnd"/>
      <w:r w:rsidRPr="4B3F5FD1">
        <w:rPr>
          <w:rFonts w:ascii="Verdana" w:hAnsi="Verdana" w:cs="Arial"/>
          <w:i/>
          <w:sz w:val="21"/>
          <w:szCs w:val="21"/>
          <w:lang w:val="es-ES"/>
        </w:rPr>
        <w:t xml:space="preserve"> nacionales genéricamente y, particularmente, a las </w:t>
      </w:r>
      <w:proofErr w:type="spellStart"/>
      <w:r w:rsidRPr="4B3F5FD1">
        <w:rPr>
          <w:rFonts w:ascii="Verdana" w:hAnsi="Verdana" w:cs="Arial"/>
          <w:i/>
          <w:sz w:val="21"/>
          <w:szCs w:val="21"/>
          <w:lang w:val="es-ES"/>
        </w:rPr>
        <w:t>Mipymes</w:t>
      </w:r>
      <w:proofErr w:type="spellEnd"/>
      <w:r w:rsidRPr="4B3F5FD1">
        <w:rPr>
          <w:rFonts w:ascii="Verdana" w:hAnsi="Verdana" w:cs="Arial"/>
          <w:i/>
          <w:sz w:val="21"/>
          <w:szCs w:val="21"/>
          <w:lang w:val="es-ES"/>
        </w:rPr>
        <w:t xml:space="preserve"> nacionales ‘domiciliadas en los departamentos o municipios en donde se va a ejecutar el contrato’.</w:t>
      </w:r>
      <w:r w:rsidRPr="4B3F5FD1">
        <w:rPr>
          <w:rFonts w:ascii="Verdana" w:hAnsi="Verdana" w:cs="Arial"/>
          <w:sz w:val="21"/>
          <w:szCs w:val="21"/>
          <w:lang w:val="es-ES"/>
        </w:rPr>
        <w:t xml:space="preserve"> En ambos casos se refiere a </w:t>
      </w:r>
      <w:proofErr w:type="spellStart"/>
      <w:r w:rsidRPr="4B3F5FD1">
        <w:rPr>
          <w:rFonts w:ascii="Verdana" w:hAnsi="Verdana" w:cs="Arial"/>
          <w:sz w:val="21"/>
          <w:szCs w:val="21"/>
          <w:lang w:val="es-ES"/>
        </w:rPr>
        <w:t>Mipymes</w:t>
      </w:r>
      <w:proofErr w:type="spellEnd"/>
      <w:r w:rsidRPr="4B3F5FD1">
        <w:rPr>
          <w:rFonts w:ascii="Verdana" w:hAnsi="Verdana" w:cs="Arial"/>
          <w:sz w:val="21"/>
          <w:szCs w:val="21"/>
          <w:lang w:val="es-ES"/>
        </w:rPr>
        <w:t xml:space="preserve"> nacionales, distinguiéndolas de las empresas extranjeras. Del artículo 2.2.1.2.4.2.3 del Decreto 1082 de 2015 no se deriva que existan </w:t>
      </w:r>
      <w:proofErr w:type="spellStart"/>
      <w:r w:rsidRPr="4B3F5FD1">
        <w:rPr>
          <w:rFonts w:ascii="Verdana" w:hAnsi="Verdana" w:cs="Arial"/>
          <w:sz w:val="21"/>
          <w:szCs w:val="21"/>
          <w:lang w:val="es-ES"/>
        </w:rPr>
        <w:t>Mipymes</w:t>
      </w:r>
      <w:proofErr w:type="spellEnd"/>
      <w:r w:rsidRPr="4B3F5FD1">
        <w:rPr>
          <w:rFonts w:ascii="Verdana" w:hAnsi="Verdana" w:cs="Arial"/>
          <w:sz w:val="21"/>
          <w:szCs w:val="21"/>
          <w:lang w:val="es-ES"/>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4B3F5FD1">
        <w:rPr>
          <w:rFonts w:ascii="Verdana" w:hAnsi="Verdana" w:cs="Arial"/>
          <w:sz w:val="21"/>
          <w:szCs w:val="21"/>
          <w:lang w:val="es-ES"/>
        </w:rPr>
        <w:t>Mipymes</w:t>
      </w:r>
      <w:proofErr w:type="spellEnd"/>
      <w:r w:rsidRPr="4B3F5FD1">
        <w:rPr>
          <w:rFonts w:ascii="Verdana" w:hAnsi="Verdana" w:cs="Arial"/>
          <w:sz w:val="21"/>
          <w:szCs w:val="21"/>
          <w:lang w:val="es-ES"/>
        </w:rPr>
        <w:t xml:space="preserve"> del orden nacional. Otra cosa es que las normas de contratación permitan que las </w:t>
      </w:r>
      <w:proofErr w:type="spellStart"/>
      <w:r w:rsidRPr="4B3F5FD1">
        <w:rPr>
          <w:rFonts w:ascii="Verdana" w:hAnsi="Verdana" w:cs="Arial"/>
          <w:sz w:val="21"/>
          <w:szCs w:val="21"/>
          <w:lang w:val="es-ES"/>
        </w:rPr>
        <w:t>Mipymes</w:t>
      </w:r>
      <w:proofErr w:type="spellEnd"/>
      <w:r w:rsidRPr="4B3F5FD1">
        <w:rPr>
          <w:rFonts w:ascii="Verdana" w:hAnsi="Verdana" w:cs="Arial"/>
          <w:sz w:val="21"/>
          <w:szCs w:val="21"/>
          <w:lang w:val="es-ES"/>
        </w:rPr>
        <w:t xml:space="preserve"> nacionales con ‘domicilio’ en un municipio o departamento puedan beneficiarse en la ejecución de un contrato dentro de la entidad territorial en la que tienen su ‘domicilio’. De todos modos, las </w:t>
      </w:r>
      <w:proofErr w:type="spellStart"/>
      <w:r w:rsidRPr="4B3F5FD1">
        <w:rPr>
          <w:rFonts w:ascii="Verdana" w:hAnsi="Verdana" w:cs="Arial"/>
          <w:sz w:val="21"/>
          <w:szCs w:val="21"/>
          <w:lang w:val="es-ES"/>
        </w:rPr>
        <w:t>Mipymes</w:t>
      </w:r>
      <w:proofErr w:type="spellEnd"/>
      <w:r w:rsidRPr="4B3F5FD1">
        <w:rPr>
          <w:rFonts w:ascii="Verdana" w:hAnsi="Verdana" w:cs="Arial"/>
          <w:sz w:val="21"/>
          <w:szCs w:val="21"/>
          <w:lang w:val="es-ES"/>
        </w:rPr>
        <w:t xml:space="preserve"> domiciliadas en un municipio o departamento son </w:t>
      </w:r>
      <w:proofErr w:type="spellStart"/>
      <w:r w:rsidRPr="4B3F5FD1">
        <w:rPr>
          <w:rFonts w:ascii="Verdana" w:hAnsi="Verdana" w:cs="Arial"/>
          <w:sz w:val="21"/>
          <w:szCs w:val="21"/>
          <w:lang w:val="es-ES"/>
        </w:rPr>
        <w:t>Mipymes</w:t>
      </w:r>
      <w:proofErr w:type="spellEnd"/>
      <w:r w:rsidRPr="4B3F5FD1">
        <w:rPr>
          <w:rFonts w:ascii="Verdana" w:hAnsi="Verdana" w:cs="Arial"/>
          <w:sz w:val="21"/>
          <w:szCs w:val="21"/>
          <w:lang w:val="es-ES"/>
        </w:rPr>
        <w:t xml:space="preserve"> nacionales. En consecuencia, no es procedente distinguir entre </w:t>
      </w:r>
      <w:proofErr w:type="spellStart"/>
      <w:r w:rsidRPr="4B3F5FD1">
        <w:rPr>
          <w:rFonts w:ascii="Verdana" w:hAnsi="Verdana" w:cs="Arial"/>
          <w:sz w:val="21"/>
          <w:szCs w:val="21"/>
          <w:lang w:val="es-ES"/>
        </w:rPr>
        <w:t>Mipymes</w:t>
      </w:r>
      <w:proofErr w:type="spellEnd"/>
      <w:r w:rsidRPr="4B3F5FD1">
        <w:rPr>
          <w:rFonts w:ascii="Verdana" w:hAnsi="Verdana" w:cs="Arial"/>
          <w:sz w:val="21"/>
          <w:szCs w:val="21"/>
          <w:lang w:val="es-ES"/>
        </w:rPr>
        <w:t xml:space="preserve"> nacionales y </w:t>
      </w:r>
      <w:proofErr w:type="spellStart"/>
      <w:r w:rsidRPr="4B3F5FD1">
        <w:rPr>
          <w:rFonts w:ascii="Verdana" w:hAnsi="Verdana" w:cs="Arial"/>
          <w:sz w:val="21"/>
          <w:szCs w:val="21"/>
          <w:lang w:val="es-ES"/>
        </w:rPr>
        <w:t>Mipymes</w:t>
      </w:r>
      <w:proofErr w:type="spellEnd"/>
      <w:r w:rsidRPr="4B3F5FD1">
        <w:rPr>
          <w:rFonts w:ascii="Verdana" w:hAnsi="Verdana" w:cs="Arial"/>
          <w:sz w:val="21"/>
          <w:szCs w:val="21"/>
          <w:lang w:val="es-ES"/>
        </w:rPr>
        <w:t xml:space="preserve"> municipales o departamentales, habida cuenta que estas últimas no existen como categoría dentro del ordenamiento normativo.</w:t>
      </w:r>
    </w:p>
    <w:p w14:paraId="216EBB88" w14:textId="77777777" w:rsidR="00E7156E" w:rsidRPr="00FC5438" w:rsidRDefault="00E7156E" w:rsidP="00E7156E">
      <w:pPr>
        <w:spacing w:after="0" w:line="240" w:lineRule="auto"/>
        <w:ind w:left="709" w:right="709"/>
        <w:jc w:val="both"/>
        <w:rPr>
          <w:rFonts w:ascii="Verdana" w:hAnsi="Verdana" w:cs="Arial"/>
          <w:sz w:val="21"/>
          <w:szCs w:val="21"/>
          <w:lang w:val="es-ES"/>
        </w:rPr>
      </w:pPr>
      <w:r w:rsidRPr="4B3F5FD1">
        <w:rPr>
          <w:rFonts w:ascii="Verdana" w:hAnsi="Verdana" w:cs="Arial"/>
          <w:sz w:val="21"/>
          <w:szCs w:val="21"/>
          <w:lang w:val="es-ES"/>
        </w:rPr>
        <w:t xml:space="preserve">Igualmente, se debe precisar que </w:t>
      </w:r>
      <w:r w:rsidRPr="4B3F5FD1">
        <w:rPr>
          <w:rFonts w:ascii="Verdana" w:hAnsi="Verdana" w:cs="Arial"/>
          <w:i/>
          <w:sz w:val="21"/>
          <w:szCs w:val="21"/>
          <w:lang w:val="es-ES"/>
        </w:rPr>
        <w:t>el artículo 2.2.1.2.4.2.3 del Decreto 1082 de 2015 se refiere a las ‘</w:t>
      </w:r>
      <w:proofErr w:type="spellStart"/>
      <w:r w:rsidRPr="4B3F5FD1">
        <w:rPr>
          <w:rFonts w:ascii="Verdana" w:hAnsi="Verdana" w:cs="Arial"/>
          <w:i/>
          <w:sz w:val="21"/>
          <w:szCs w:val="21"/>
          <w:lang w:val="es-ES"/>
        </w:rPr>
        <w:t>Mipyme</w:t>
      </w:r>
      <w:proofErr w:type="spellEnd"/>
      <w:r w:rsidRPr="4B3F5FD1">
        <w:rPr>
          <w:rFonts w:ascii="Verdana" w:hAnsi="Verdana" w:cs="Arial"/>
          <w:i/>
          <w:sz w:val="21"/>
          <w:szCs w:val="21"/>
          <w:lang w:val="es-ES"/>
        </w:rPr>
        <w:t xml:space="preserve"> nacionales domiciliadas en los departamentos o municipios en donde se va a ejecutar el contrato’ ‘cursivas propias’, esto es, al ‘domicilio’ y no a las ‘sucursales’. Esta distinción es importante porque el beneficio normativo únicamente aplica en el lugar en el que la </w:t>
      </w:r>
      <w:proofErr w:type="spellStart"/>
      <w:r w:rsidRPr="4B3F5FD1">
        <w:rPr>
          <w:rFonts w:ascii="Verdana" w:hAnsi="Verdana" w:cs="Arial"/>
          <w:i/>
          <w:sz w:val="21"/>
          <w:szCs w:val="21"/>
          <w:lang w:val="es-ES"/>
        </w:rPr>
        <w:t>Mipyme</w:t>
      </w:r>
      <w:proofErr w:type="spellEnd"/>
      <w:r w:rsidRPr="4B3F5FD1">
        <w:rPr>
          <w:rFonts w:ascii="Verdana" w:hAnsi="Verdana" w:cs="Arial"/>
          <w:i/>
          <w:sz w:val="21"/>
          <w:szCs w:val="21"/>
          <w:lang w:val="es-ES"/>
        </w:rPr>
        <w:t xml:space="preserve"> tiene su ‘domicilio’, y no en donde tiene sucursales</w:t>
      </w:r>
      <w:r w:rsidRPr="4B3F5FD1">
        <w:rPr>
          <w:rFonts w:ascii="Verdana" w:hAnsi="Verdana" w:cs="Arial"/>
          <w:sz w:val="21"/>
          <w:szCs w:val="21"/>
          <w:lang w:val="es-ES"/>
        </w:rPr>
        <w:t>”</w:t>
      </w:r>
      <w:r w:rsidRPr="4B3F5FD1">
        <w:rPr>
          <w:rStyle w:val="Refdenotaalpie"/>
          <w:rFonts w:ascii="Verdana" w:hAnsi="Verdana" w:cs="Arial"/>
          <w:sz w:val="21"/>
          <w:szCs w:val="21"/>
          <w:lang w:val="es-ES"/>
        </w:rPr>
        <w:footnoteReference w:id="3"/>
      </w:r>
      <w:r w:rsidRPr="4B3F5FD1">
        <w:rPr>
          <w:rFonts w:ascii="Verdana" w:hAnsi="Verdana" w:cs="Arial"/>
          <w:sz w:val="21"/>
          <w:szCs w:val="21"/>
          <w:lang w:val="es-ES"/>
        </w:rPr>
        <w:t>. (Énfasis fuera de texto)</w:t>
      </w:r>
    </w:p>
    <w:p w14:paraId="301D0F7F" w14:textId="77777777" w:rsidR="00E7156E" w:rsidRPr="00FC5438" w:rsidRDefault="00E7156E" w:rsidP="00E7156E">
      <w:pPr>
        <w:spacing w:after="0" w:line="276" w:lineRule="auto"/>
        <w:ind w:left="709" w:right="709"/>
        <w:jc w:val="both"/>
        <w:rPr>
          <w:rFonts w:ascii="Verdana" w:hAnsi="Verdana" w:cs="Arial"/>
          <w:lang w:val="es-ES_tradnl"/>
        </w:rPr>
      </w:pPr>
    </w:p>
    <w:p w14:paraId="65E852BA" w14:textId="77777777" w:rsidR="00E7156E" w:rsidRPr="00FC5438" w:rsidRDefault="00E7156E" w:rsidP="00E7156E">
      <w:pPr>
        <w:spacing w:after="120" w:line="276" w:lineRule="auto"/>
        <w:ind w:firstLine="709"/>
        <w:jc w:val="both"/>
        <w:rPr>
          <w:rFonts w:ascii="Verdana" w:eastAsia="Calibri" w:hAnsi="Verdana" w:cs="Arial"/>
          <w:lang w:val="es-ES"/>
        </w:rPr>
      </w:pPr>
      <w:r w:rsidRPr="4B3F5FD1">
        <w:rPr>
          <w:rFonts w:ascii="Verdana" w:hAnsi="Verdana" w:cs="Arial"/>
          <w:lang w:val="es-ES"/>
        </w:rPr>
        <w:t xml:space="preserve">Como se aprecia, la postura sostenida por esta Agencia en vigencia del artículo </w:t>
      </w:r>
      <w:r w:rsidRPr="4B3F5FD1">
        <w:rPr>
          <w:rFonts w:ascii="Verdana" w:eastAsia="Calibri" w:hAnsi="Verdana" w:cs="Arial"/>
          <w:lang w:val="es-ES"/>
        </w:rPr>
        <w:t xml:space="preserve">2.2.1.2.4.2.3 del Decreto 1082 de 2015 no contemplaba la posibilidad de que una </w:t>
      </w:r>
      <w:proofErr w:type="spellStart"/>
      <w:r w:rsidRPr="4B3F5FD1">
        <w:rPr>
          <w:rFonts w:ascii="Verdana" w:eastAsia="Calibri" w:hAnsi="Verdana" w:cs="Arial"/>
          <w:lang w:val="es-ES"/>
        </w:rPr>
        <w:t>Mipyme</w:t>
      </w:r>
      <w:proofErr w:type="spellEnd"/>
      <w:r w:rsidRPr="4B3F5FD1">
        <w:rPr>
          <w:rFonts w:ascii="Verdana" w:eastAsia="Calibri" w:hAnsi="Verdana" w:cs="Arial"/>
          <w:lang w:val="es-ES"/>
        </w:rPr>
        <w:t xml:space="preserve"> domiciliada en un departamento o municipio diferentes al lugar de ejecución del contrato, en atención al cual se realiza la limitación territorial, participara en un proceso de selección por el hecho de tener una sucursal en este, puesto que lo relevante es el domicilio de la </w:t>
      </w:r>
      <w:proofErr w:type="spellStart"/>
      <w:r w:rsidRPr="4B3F5FD1">
        <w:rPr>
          <w:rFonts w:ascii="Verdana" w:eastAsia="Calibri" w:hAnsi="Verdana" w:cs="Arial"/>
          <w:lang w:val="es-ES"/>
        </w:rPr>
        <w:t>Mipyme</w:t>
      </w:r>
      <w:proofErr w:type="spellEnd"/>
      <w:r w:rsidRPr="4B3F5FD1">
        <w:rPr>
          <w:rFonts w:ascii="Verdana" w:eastAsia="Calibri" w:hAnsi="Verdana" w:cs="Arial"/>
          <w:lang w:val="es-ES"/>
        </w:rPr>
        <w:t xml:space="preserve">. </w:t>
      </w:r>
    </w:p>
    <w:p w14:paraId="1CBA9060" w14:textId="77777777" w:rsidR="00E7156E" w:rsidRPr="00FC5438" w:rsidRDefault="00E7156E" w:rsidP="00E7156E">
      <w:pPr>
        <w:spacing w:after="0" w:line="276" w:lineRule="auto"/>
        <w:ind w:firstLine="709"/>
        <w:jc w:val="both"/>
        <w:rPr>
          <w:rFonts w:ascii="Verdana" w:eastAsia="Calibri" w:hAnsi="Verdana" w:cs="Arial"/>
          <w:lang w:val="es-ES"/>
        </w:rPr>
      </w:pPr>
      <w:r w:rsidRPr="4B3F5FD1">
        <w:rPr>
          <w:rFonts w:ascii="Verdana" w:eastAsia="Calibri" w:hAnsi="Verdana" w:cs="Arial"/>
          <w:lang w:val="es-ES"/>
        </w:rPr>
        <w:lastRenderedPageBreak/>
        <w:t xml:space="preserve">Ahora bien, el texto del actual artículo 2.2.1.2.4.2.3, modificado por el artículo 5 del Decreto 1860 de 2021, no cambia la tesis adoptada en conceptos anteriores de Colombia Compra Eficiente. Lo anterior en la medida en que, respecto al domicilio de las </w:t>
      </w:r>
      <w:proofErr w:type="spellStart"/>
      <w:r w:rsidRPr="4B3F5FD1">
        <w:rPr>
          <w:rFonts w:ascii="Verdana" w:eastAsia="Calibri" w:hAnsi="Verdana" w:cs="Arial"/>
          <w:lang w:val="es-ES"/>
        </w:rPr>
        <w:t>Mipyme</w:t>
      </w:r>
      <w:proofErr w:type="spellEnd"/>
      <w:r w:rsidRPr="4B3F5FD1">
        <w:rPr>
          <w:rFonts w:ascii="Verdana" w:eastAsia="Calibri" w:hAnsi="Verdana" w:cs="Arial"/>
          <w:lang w:val="es-ES"/>
        </w:rPr>
        <w:t xml:space="preserve"> en el departamento o municipio donde se ejecuta el contrato, la reglamentación no tuvo cambios; razón por la cual, las sucursales –como establecimientos de comercio en los términos del artículo 263 del Código de Comercio, independientemente de que pertenezcan a sociedad nacional o extranjera– no tienen la naturaleza de </w:t>
      </w:r>
      <w:proofErr w:type="spellStart"/>
      <w:r w:rsidRPr="4B3F5FD1">
        <w:rPr>
          <w:rFonts w:ascii="Verdana" w:eastAsia="Calibri" w:hAnsi="Verdana" w:cs="Arial"/>
          <w:lang w:val="es-ES"/>
        </w:rPr>
        <w:t>Mipymes</w:t>
      </w:r>
      <w:proofErr w:type="spellEnd"/>
      <w:r w:rsidRPr="4B3F5FD1">
        <w:rPr>
          <w:rFonts w:ascii="Verdana" w:eastAsia="Calibri" w:hAnsi="Verdana" w:cs="Arial"/>
          <w:lang w:val="es-ES"/>
        </w:rPr>
        <w:t xml:space="preserve"> ni son beneficiarias de las convocatorias limitadas. Así se desprende del texto de la norma que es del siguiente tenor: </w:t>
      </w:r>
    </w:p>
    <w:p w14:paraId="3C416E72" w14:textId="77777777" w:rsidR="00E7156E" w:rsidRPr="00FC5438" w:rsidRDefault="00E7156E" w:rsidP="00E7156E">
      <w:pPr>
        <w:spacing w:after="0"/>
        <w:ind w:right="709"/>
        <w:jc w:val="both"/>
        <w:rPr>
          <w:rFonts w:ascii="Verdana" w:hAnsi="Verdana" w:cs="Arial"/>
          <w:sz w:val="21"/>
          <w:szCs w:val="21"/>
          <w:lang w:val="es-ES_tradnl"/>
        </w:rPr>
      </w:pPr>
    </w:p>
    <w:p w14:paraId="3536CE67" w14:textId="77777777" w:rsidR="00E7156E" w:rsidRPr="00FC5438" w:rsidRDefault="00E7156E" w:rsidP="00E7156E">
      <w:pPr>
        <w:spacing w:after="0" w:line="240" w:lineRule="auto"/>
        <w:ind w:left="709" w:right="709"/>
        <w:jc w:val="both"/>
        <w:rPr>
          <w:rFonts w:ascii="Verdana" w:hAnsi="Verdana" w:cs="Arial"/>
          <w:sz w:val="21"/>
          <w:szCs w:val="21"/>
          <w:lang w:val="es-ES_tradnl"/>
        </w:rPr>
      </w:pPr>
      <w:r w:rsidRPr="00FC5438">
        <w:rPr>
          <w:rFonts w:ascii="Verdana" w:hAnsi="Verdana" w:cs="Arial"/>
          <w:sz w:val="21"/>
          <w:szCs w:val="21"/>
          <w:lang w:val="es-ES_tradnl"/>
        </w:rPr>
        <w:t>ARTÍCULO  5. Modificaci</w:t>
      </w:r>
      <w:r w:rsidRPr="00FC5438">
        <w:rPr>
          <w:rFonts w:ascii="Verdana" w:hAnsi="Verdana" w:cs="Century Gothic"/>
          <w:sz w:val="21"/>
          <w:szCs w:val="21"/>
          <w:lang w:val="es-ES_tradnl"/>
        </w:rPr>
        <w:t>ó</w:t>
      </w:r>
      <w:r w:rsidRPr="00FC5438">
        <w:rPr>
          <w:rFonts w:ascii="Verdana" w:hAnsi="Verdana" w:cs="Arial"/>
          <w:sz w:val="21"/>
          <w:szCs w:val="21"/>
          <w:lang w:val="es-ES_tradnl"/>
        </w:rPr>
        <w:t>n de la Subsecci</w:t>
      </w:r>
      <w:r w:rsidRPr="00FC5438">
        <w:rPr>
          <w:rFonts w:ascii="Verdana" w:hAnsi="Verdana" w:cs="Century Gothic"/>
          <w:sz w:val="21"/>
          <w:szCs w:val="21"/>
          <w:lang w:val="es-ES_tradnl"/>
        </w:rPr>
        <w:t>ó</w:t>
      </w:r>
      <w:r w:rsidRPr="00FC5438">
        <w:rPr>
          <w:rFonts w:ascii="Verdana" w:hAnsi="Verdana" w:cs="Arial"/>
          <w:sz w:val="21"/>
          <w:szCs w:val="21"/>
          <w:lang w:val="es-ES_tradnl"/>
        </w:rPr>
        <w:t>n 2 de la Secci</w:t>
      </w:r>
      <w:r w:rsidRPr="00FC5438">
        <w:rPr>
          <w:rFonts w:ascii="Verdana" w:hAnsi="Verdana" w:cs="Century Gothic"/>
          <w:sz w:val="21"/>
          <w:szCs w:val="21"/>
          <w:lang w:val="es-ES_tradnl"/>
        </w:rPr>
        <w:t>ó</w:t>
      </w:r>
      <w:r w:rsidRPr="00FC5438">
        <w:rPr>
          <w:rFonts w:ascii="Verdana" w:hAnsi="Verdana" w:cs="Arial"/>
          <w:sz w:val="21"/>
          <w:szCs w:val="21"/>
          <w:lang w:val="es-ES_tradnl"/>
        </w:rPr>
        <w:t>n 4 del Cap</w:t>
      </w:r>
      <w:r w:rsidRPr="00FC5438">
        <w:rPr>
          <w:rFonts w:ascii="Verdana" w:hAnsi="Verdana" w:cs="Century Gothic"/>
          <w:sz w:val="21"/>
          <w:szCs w:val="21"/>
          <w:lang w:val="es-ES_tradnl"/>
        </w:rPr>
        <w:t>í</w:t>
      </w:r>
      <w:r w:rsidRPr="00FC5438">
        <w:rPr>
          <w:rFonts w:ascii="Verdana" w:hAnsi="Verdana" w:cs="Arial"/>
          <w:sz w:val="21"/>
          <w:szCs w:val="21"/>
          <w:lang w:val="es-ES_tradnl"/>
        </w:rPr>
        <w:t>tulo 2 del T</w:t>
      </w:r>
      <w:r w:rsidRPr="00FC5438">
        <w:rPr>
          <w:rFonts w:ascii="Verdana" w:hAnsi="Verdana" w:cs="Century Gothic"/>
          <w:sz w:val="21"/>
          <w:szCs w:val="21"/>
          <w:lang w:val="es-ES_tradnl"/>
        </w:rPr>
        <w:t>í</w:t>
      </w:r>
      <w:r w:rsidRPr="00FC5438">
        <w:rPr>
          <w:rFonts w:ascii="Verdana" w:hAnsi="Verdana" w:cs="Arial"/>
          <w:sz w:val="21"/>
          <w:szCs w:val="21"/>
          <w:lang w:val="es-ES_tradnl"/>
        </w:rPr>
        <w:t>tulo 1 de la Parte 2 del Libro 2 del Decreto 1082 de 2015. Modif</w:t>
      </w:r>
      <w:r w:rsidRPr="00FC5438">
        <w:rPr>
          <w:rFonts w:ascii="Verdana" w:hAnsi="Verdana" w:cs="Century Gothic"/>
          <w:sz w:val="21"/>
          <w:szCs w:val="21"/>
          <w:lang w:val="es-ES_tradnl"/>
        </w:rPr>
        <w:t>í</w:t>
      </w:r>
      <w:r w:rsidRPr="00FC5438">
        <w:rPr>
          <w:rFonts w:ascii="Verdana" w:hAnsi="Verdana" w:cs="Arial"/>
          <w:sz w:val="21"/>
          <w:szCs w:val="21"/>
          <w:lang w:val="es-ES_tradnl"/>
        </w:rPr>
        <w:t>quense los art</w:t>
      </w:r>
      <w:r w:rsidRPr="00FC5438">
        <w:rPr>
          <w:rFonts w:ascii="Verdana" w:hAnsi="Verdana" w:cs="Century Gothic"/>
          <w:sz w:val="21"/>
          <w:szCs w:val="21"/>
          <w:lang w:val="es-ES_tradnl"/>
        </w:rPr>
        <w:t>í</w:t>
      </w:r>
      <w:r w:rsidRPr="00FC5438">
        <w:rPr>
          <w:rFonts w:ascii="Verdana" w:hAnsi="Verdana" w:cs="Arial"/>
          <w:sz w:val="21"/>
          <w:szCs w:val="21"/>
          <w:lang w:val="es-ES_tradnl"/>
        </w:rPr>
        <w:t>culos 2.2.1.2.4.2.2., 2.2.1.2.4.2.3. y 2.2.1.2.4.2.4. de la Subsecci</w:t>
      </w:r>
      <w:r w:rsidRPr="00FC5438">
        <w:rPr>
          <w:rFonts w:ascii="Verdana" w:hAnsi="Verdana" w:cs="Century Gothic"/>
          <w:sz w:val="21"/>
          <w:szCs w:val="21"/>
          <w:lang w:val="es-ES_tradnl"/>
        </w:rPr>
        <w:t>ó</w:t>
      </w:r>
      <w:r w:rsidRPr="00FC5438">
        <w:rPr>
          <w:rFonts w:ascii="Verdana" w:hAnsi="Verdana" w:cs="Arial"/>
          <w:sz w:val="21"/>
          <w:szCs w:val="21"/>
          <w:lang w:val="es-ES_tradnl"/>
        </w:rPr>
        <w:t>n 2 de la Secci</w:t>
      </w:r>
      <w:r w:rsidRPr="00FC5438">
        <w:rPr>
          <w:rFonts w:ascii="Verdana" w:hAnsi="Verdana" w:cs="Century Gothic"/>
          <w:sz w:val="21"/>
          <w:szCs w:val="21"/>
          <w:lang w:val="es-ES_tradnl"/>
        </w:rPr>
        <w:t>ó</w:t>
      </w:r>
      <w:r w:rsidRPr="00FC5438">
        <w:rPr>
          <w:rFonts w:ascii="Verdana" w:hAnsi="Verdana" w:cs="Arial"/>
          <w:sz w:val="21"/>
          <w:szCs w:val="21"/>
          <w:lang w:val="es-ES_tradnl"/>
        </w:rPr>
        <w:t>n 4 del Cap</w:t>
      </w:r>
      <w:r w:rsidRPr="00FC5438">
        <w:rPr>
          <w:rFonts w:ascii="Verdana" w:hAnsi="Verdana" w:cs="Century Gothic"/>
          <w:sz w:val="21"/>
          <w:szCs w:val="21"/>
          <w:lang w:val="es-ES_tradnl"/>
        </w:rPr>
        <w:t>í</w:t>
      </w:r>
      <w:r w:rsidRPr="00FC5438">
        <w:rPr>
          <w:rFonts w:ascii="Verdana" w:hAnsi="Verdana" w:cs="Arial"/>
          <w:sz w:val="21"/>
          <w:szCs w:val="21"/>
          <w:lang w:val="es-ES_tradnl"/>
        </w:rPr>
        <w:t>tulo 2 del T</w:t>
      </w:r>
      <w:r w:rsidRPr="00FC5438">
        <w:rPr>
          <w:rFonts w:ascii="Verdana" w:hAnsi="Verdana" w:cs="Century Gothic"/>
          <w:sz w:val="21"/>
          <w:szCs w:val="21"/>
          <w:lang w:val="es-ES_tradnl"/>
        </w:rPr>
        <w:t>í</w:t>
      </w:r>
      <w:r w:rsidRPr="00FC5438">
        <w:rPr>
          <w:rFonts w:ascii="Verdana" w:hAnsi="Verdana" w:cs="Arial"/>
          <w:sz w:val="21"/>
          <w:szCs w:val="21"/>
          <w:lang w:val="es-ES_tradnl"/>
        </w:rPr>
        <w:t>tulo 1 de la Parte 2 del Libro 2 del Decreto 1082 de 2015, los cuales quedar</w:t>
      </w:r>
      <w:r w:rsidRPr="00FC5438">
        <w:rPr>
          <w:rFonts w:ascii="Verdana" w:hAnsi="Verdana" w:cs="Century Gothic"/>
          <w:sz w:val="21"/>
          <w:szCs w:val="21"/>
          <w:lang w:val="es-ES_tradnl"/>
        </w:rPr>
        <w:t>á</w:t>
      </w:r>
      <w:r w:rsidRPr="00FC5438">
        <w:rPr>
          <w:rFonts w:ascii="Verdana" w:hAnsi="Verdana" w:cs="Arial"/>
          <w:sz w:val="21"/>
          <w:szCs w:val="21"/>
          <w:lang w:val="es-ES_tradnl"/>
        </w:rPr>
        <w:t>n as</w:t>
      </w:r>
      <w:r w:rsidRPr="00FC5438">
        <w:rPr>
          <w:rFonts w:ascii="Verdana" w:hAnsi="Verdana" w:cs="Century Gothic"/>
          <w:sz w:val="21"/>
          <w:szCs w:val="21"/>
          <w:lang w:val="es-ES_tradnl"/>
        </w:rPr>
        <w:t>í</w:t>
      </w:r>
      <w:r w:rsidRPr="00FC5438">
        <w:rPr>
          <w:rFonts w:ascii="Verdana" w:hAnsi="Verdana" w:cs="Arial"/>
          <w:sz w:val="21"/>
          <w:szCs w:val="21"/>
          <w:lang w:val="es-ES_tradnl"/>
        </w:rPr>
        <w:t>:</w:t>
      </w:r>
    </w:p>
    <w:p w14:paraId="129907BC" w14:textId="77777777" w:rsidR="00E7156E" w:rsidRPr="00FC5438" w:rsidRDefault="00E7156E" w:rsidP="00E7156E">
      <w:pPr>
        <w:spacing w:after="120" w:line="240" w:lineRule="auto"/>
        <w:ind w:left="709" w:right="709"/>
        <w:jc w:val="both"/>
        <w:rPr>
          <w:rFonts w:ascii="Verdana" w:hAnsi="Verdana" w:cs="Arial"/>
          <w:sz w:val="21"/>
          <w:szCs w:val="21"/>
          <w:lang w:val="es-ES_tradnl"/>
        </w:rPr>
      </w:pPr>
      <w:r w:rsidRPr="00FC5438">
        <w:rPr>
          <w:rFonts w:ascii="Verdana" w:hAnsi="Verdana" w:cs="Arial"/>
          <w:sz w:val="21"/>
          <w:szCs w:val="21"/>
          <w:lang w:val="es-ES_tradnl"/>
        </w:rPr>
        <w:t>[…]</w:t>
      </w:r>
    </w:p>
    <w:p w14:paraId="13CA6142" w14:textId="77777777" w:rsidR="00E7156E" w:rsidRPr="00FC5438" w:rsidRDefault="00E7156E" w:rsidP="00E7156E">
      <w:pPr>
        <w:spacing w:after="0" w:line="240" w:lineRule="auto"/>
        <w:ind w:left="709" w:right="709"/>
        <w:jc w:val="both"/>
        <w:rPr>
          <w:rFonts w:ascii="Verdana" w:eastAsia="Calibri" w:hAnsi="Verdana" w:cs="Arial"/>
          <w:lang w:val="es-ES"/>
        </w:rPr>
      </w:pPr>
      <w:r w:rsidRPr="4B3F5FD1">
        <w:rPr>
          <w:rFonts w:ascii="Verdana" w:hAnsi="Verdana" w:cs="Arial"/>
          <w:sz w:val="21"/>
          <w:szCs w:val="21"/>
          <w:lang w:val="es-ES"/>
        </w:rPr>
        <w:t>ARTÍCULO 2.2.1.2.4.2.3. Limitaciones territoriales. De conformidad con el par</w:t>
      </w:r>
      <w:r w:rsidRPr="4B3F5FD1">
        <w:rPr>
          <w:rFonts w:ascii="Verdana" w:hAnsi="Verdana" w:cs="Century Gothic"/>
          <w:sz w:val="21"/>
          <w:szCs w:val="21"/>
          <w:lang w:val="es-ES"/>
        </w:rPr>
        <w:t>á</w:t>
      </w:r>
      <w:r w:rsidRPr="4B3F5FD1">
        <w:rPr>
          <w:rFonts w:ascii="Verdana" w:hAnsi="Verdana" w:cs="Arial"/>
          <w:sz w:val="21"/>
          <w:szCs w:val="21"/>
          <w:lang w:val="es-ES"/>
        </w:rPr>
        <w:t>grafo 1 del art</w:t>
      </w:r>
      <w:r w:rsidRPr="4B3F5FD1">
        <w:rPr>
          <w:rFonts w:ascii="Verdana" w:hAnsi="Verdana" w:cs="Century Gothic"/>
          <w:sz w:val="21"/>
          <w:szCs w:val="21"/>
          <w:lang w:val="es-ES"/>
        </w:rPr>
        <w:t>í</w:t>
      </w:r>
      <w:r w:rsidRPr="4B3F5FD1">
        <w:rPr>
          <w:rFonts w:ascii="Verdana" w:hAnsi="Verdana" w:cs="Arial"/>
          <w:sz w:val="21"/>
          <w:szCs w:val="21"/>
          <w:lang w:val="es-ES"/>
        </w:rPr>
        <w:t>culo 12 de la Ley 1150 de 2007, las Entidades Estatales, independientemente de su r</w:t>
      </w:r>
      <w:r w:rsidRPr="4B3F5FD1">
        <w:rPr>
          <w:rFonts w:ascii="Verdana" w:hAnsi="Verdana" w:cs="Century Gothic"/>
          <w:sz w:val="21"/>
          <w:szCs w:val="21"/>
          <w:lang w:val="es-ES"/>
        </w:rPr>
        <w:t>é</w:t>
      </w:r>
      <w:r w:rsidRPr="4B3F5FD1">
        <w:rPr>
          <w:rFonts w:ascii="Verdana" w:hAnsi="Verdana" w:cs="Arial"/>
          <w:sz w:val="21"/>
          <w:szCs w:val="21"/>
          <w:lang w:val="es-ES"/>
        </w:rPr>
        <w:t>gimen de contrataci</w:t>
      </w:r>
      <w:r w:rsidRPr="4B3F5FD1">
        <w:rPr>
          <w:rFonts w:ascii="Verdana" w:hAnsi="Verdana" w:cs="Century Gothic"/>
          <w:sz w:val="21"/>
          <w:szCs w:val="21"/>
          <w:lang w:val="es-ES"/>
        </w:rPr>
        <w:t>ó</w:t>
      </w:r>
      <w:r w:rsidRPr="4B3F5FD1">
        <w:rPr>
          <w:rFonts w:ascii="Verdana" w:hAnsi="Verdana" w:cs="Arial"/>
          <w:sz w:val="21"/>
          <w:szCs w:val="21"/>
          <w:lang w:val="es-ES"/>
        </w:rPr>
        <w:t>n, los patrimonios aut</w:t>
      </w:r>
      <w:r w:rsidRPr="4B3F5FD1">
        <w:rPr>
          <w:rFonts w:ascii="Verdana" w:hAnsi="Verdana" w:cs="Century Gothic"/>
          <w:sz w:val="21"/>
          <w:szCs w:val="21"/>
          <w:lang w:val="es-ES"/>
        </w:rPr>
        <w:t>ó</w:t>
      </w:r>
      <w:r w:rsidRPr="4B3F5FD1">
        <w:rPr>
          <w:rFonts w:ascii="Verdana" w:hAnsi="Verdana" w:cs="Arial"/>
          <w:sz w:val="21"/>
          <w:szCs w:val="21"/>
          <w:lang w:val="es-ES"/>
        </w:rPr>
        <w:t xml:space="preserve">nomos constituidos por Entidades Estatales y los particulares que ejecuten recursos públicos, pueden realizar convocatorias limitadas a </w:t>
      </w:r>
      <w:proofErr w:type="spellStart"/>
      <w:r w:rsidRPr="4B3F5FD1">
        <w:rPr>
          <w:rFonts w:ascii="Verdana" w:hAnsi="Verdana" w:cs="Arial"/>
          <w:sz w:val="21"/>
          <w:szCs w:val="21"/>
          <w:lang w:val="es-ES"/>
        </w:rPr>
        <w:t>Mipyme</w:t>
      </w:r>
      <w:proofErr w:type="spellEnd"/>
      <w:r w:rsidRPr="4B3F5FD1">
        <w:rPr>
          <w:rFonts w:ascii="Verdana" w:hAnsi="Verdana" w:cs="Arial"/>
          <w:sz w:val="21"/>
          <w:szCs w:val="21"/>
          <w:lang w:val="es-ES"/>
        </w:rPr>
        <w:t xml:space="preserve"> colombianas que tengan domicilio en los departamentos o municipios en donde se va a ejecutar el contrato. Cada </w:t>
      </w:r>
      <w:proofErr w:type="spellStart"/>
      <w:r w:rsidRPr="4B3F5FD1">
        <w:rPr>
          <w:rFonts w:ascii="Verdana" w:hAnsi="Verdana" w:cs="Arial"/>
          <w:sz w:val="21"/>
          <w:szCs w:val="21"/>
          <w:lang w:val="es-ES"/>
        </w:rPr>
        <w:t>Mipyme</w:t>
      </w:r>
      <w:proofErr w:type="spellEnd"/>
      <w:r w:rsidRPr="4B3F5FD1">
        <w:rPr>
          <w:rFonts w:ascii="Verdana" w:hAnsi="Verdana" w:cs="Arial"/>
          <w:sz w:val="21"/>
          <w:szCs w:val="21"/>
          <w:lang w:val="es-ES"/>
        </w:rPr>
        <w:t xml:space="preserve"> deberá acreditar su domicilio con los documentos a los que se refiere el siguiente artículo. </w:t>
      </w:r>
    </w:p>
    <w:p w14:paraId="5601F006" w14:textId="77777777" w:rsidR="00E7156E" w:rsidRPr="00FC5438" w:rsidRDefault="00E7156E" w:rsidP="00E7156E">
      <w:pPr>
        <w:spacing w:after="0" w:line="276" w:lineRule="auto"/>
        <w:ind w:left="709" w:right="709"/>
        <w:jc w:val="both"/>
        <w:rPr>
          <w:rFonts w:ascii="Verdana" w:eastAsia="Calibri" w:hAnsi="Verdana" w:cs="Arial"/>
          <w:lang w:val="es-ES_tradnl"/>
        </w:rPr>
      </w:pPr>
    </w:p>
    <w:p w14:paraId="23620839" w14:textId="77777777" w:rsidR="00E7156E" w:rsidRPr="00FC5438" w:rsidRDefault="00E7156E" w:rsidP="00E7156E">
      <w:pPr>
        <w:spacing w:after="120" w:line="276" w:lineRule="auto"/>
        <w:ind w:firstLine="709"/>
        <w:jc w:val="both"/>
        <w:rPr>
          <w:rFonts w:ascii="Verdana" w:eastAsia="Calibri" w:hAnsi="Verdana" w:cs="Arial"/>
          <w:lang w:val="es-ES"/>
        </w:rPr>
      </w:pPr>
      <w:r w:rsidRPr="4B3F5FD1">
        <w:rPr>
          <w:rFonts w:ascii="Verdana" w:eastAsia="Calibri" w:hAnsi="Verdana" w:cs="Arial"/>
          <w:lang w:val="es-ES"/>
        </w:rPr>
        <w:t xml:space="preserve">La norma reglamentaria coincide con la redacción del parágrafo 1 del artículo 34 de la Ley 2069 de 2020, según el cual, “En los procesos de selección que se desarrollen con base en el primer inciso, las entidades podrán realizar las convocatorias limitadas que beneficien a las </w:t>
      </w:r>
      <w:proofErr w:type="spellStart"/>
      <w:r w:rsidRPr="4B3F5FD1">
        <w:rPr>
          <w:rFonts w:ascii="Verdana" w:eastAsia="Calibri" w:hAnsi="Verdana" w:cs="Arial"/>
          <w:lang w:val="es-ES"/>
        </w:rPr>
        <w:t>Mipymes</w:t>
      </w:r>
      <w:proofErr w:type="spellEnd"/>
      <w:r w:rsidRPr="4B3F5FD1">
        <w:rPr>
          <w:rFonts w:ascii="Verdana" w:eastAsia="Calibri" w:hAnsi="Verdana" w:cs="Arial"/>
          <w:lang w:val="es-ES"/>
        </w:rPr>
        <w:t xml:space="preserve"> del ámbito municipal o departamental correspondiente al de la ejecución del contrato”. En tales términos, la norma citada solo contempla la posibilidad de limitar convocatorias a </w:t>
      </w:r>
      <w:proofErr w:type="spellStart"/>
      <w:r w:rsidRPr="4B3F5FD1">
        <w:rPr>
          <w:rFonts w:ascii="Verdana" w:eastAsia="Calibri" w:hAnsi="Verdana" w:cs="Arial"/>
          <w:lang w:val="es-ES"/>
        </w:rPr>
        <w:t>Mipymes</w:t>
      </w:r>
      <w:proofErr w:type="spellEnd"/>
      <w:r w:rsidRPr="4B3F5FD1">
        <w:rPr>
          <w:rFonts w:ascii="Verdana" w:eastAsia="Calibri" w:hAnsi="Verdana" w:cs="Arial"/>
          <w:lang w:val="es-ES"/>
        </w:rPr>
        <w:t xml:space="preserve"> con domicilio en esos dos tipos de entidades territoriales. </w:t>
      </w:r>
    </w:p>
    <w:p w14:paraId="02E237B8" w14:textId="77777777" w:rsidR="00E7156E" w:rsidRPr="00FC5438" w:rsidRDefault="00E7156E" w:rsidP="00E7156E">
      <w:pPr>
        <w:spacing w:after="120" w:line="276" w:lineRule="auto"/>
        <w:ind w:firstLine="709"/>
        <w:jc w:val="both"/>
        <w:rPr>
          <w:rFonts w:ascii="Verdana" w:eastAsia="Arial" w:hAnsi="Verdana" w:cs="Arial"/>
          <w:color w:val="000000"/>
          <w:lang w:val="es-ES"/>
        </w:rPr>
      </w:pPr>
      <w:r w:rsidRPr="4B3F5FD1">
        <w:rPr>
          <w:rFonts w:ascii="Verdana" w:eastAsia="Arial" w:hAnsi="Verdana" w:cs="Arial"/>
          <w:color w:val="000000" w:themeColor="text1"/>
          <w:lang w:val="es-ES"/>
        </w:rPr>
        <w:t xml:space="preserve">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4B3F5FD1">
        <w:rPr>
          <w:rFonts w:ascii="Verdana" w:eastAsia="Arial" w:hAnsi="Verdana" w:cs="Arial"/>
          <w:color w:val="000000" w:themeColor="text1"/>
          <w:lang w:val="es-ES"/>
        </w:rPr>
        <w:t>Mipyme</w:t>
      </w:r>
      <w:proofErr w:type="spellEnd"/>
      <w:r w:rsidRPr="4B3F5FD1">
        <w:rPr>
          <w:rFonts w:ascii="Verdana" w:eastAsia="Arial" w:hAnsi="Verdana" w:cs="Arial"/>
          <w:color w:val="000000" w:themeColor="text1"/>
          <w:lang w:val="es-ES"/>
        </w:rPr>
        <w:t xml:space="preserve"> nacional. Además, las normas de contratación permiten que </w:t>
      </w:r>
      <w:r w:rsidRPr="4B3F5FD1">
        <w:rPr>
          <w:rFonts w:ascii="Verdana" w:eastAsia="Arial" w:hAnsi="Verdana" w:cs="Arial"/>
          <w:color w:val="000000" w:themeColor="text1"/>
          <w:lang w:val="es-ES"/>
        </w:rPr>
        <w:lastRenderedPageBreak/>
        <w:t xml:space="preserve">las </w:t>
      </w:r>
      <w:proofErr w:type="spellStart"/>
      <w:r w:rsidRPr="4B3F5FD1">
        <w:rPr>
          <w:rFonts w:ascii="Verdana" w:eastAsia="Arial" w:hAnsi="Verdana" w:cs="Arial"/>
          <w:color w:val="000000" w:themeColor="text1"/>
          <w:lang w:val="es-ES"/>
        </w:rPr>
        <w:t>Mipyme</w:t>
      </w:r>
      <w:proofErr w:type="spellEnd"/>
      <w:r w:rsidRPr="4B3F5FD1">
        <w:rPr>
          <w:rFonts w:ascii="Verdana" w:eastAsia="Arial" w:hAnsi="Verdana" w:cs="Arial"/>
          <w:color w:val="000000" w:themeColor="text1"/>
          <w:lang w:val="es-ES"/>
        </w:rPr>
        <w:t xml:space="preserve"> nacionales puedan beneficiarse de la ejecución de un contrato dentro de la entidad territorial en la que tienen su “domicilio”. </w:t>
      </w:r>
    </w:p>
    <w:p w14:paraId="3B804C7C" w14:textId="77777777" w:rsidR="00E7156E" w:rsidRPr="00FC5438" w:rsidRDefault="00E7156E" w:rsidP="00E7156E">
      <w:pPr>
        <w:spacing w:after="120" w:line="276" w:lineRule="auto"/>
        <w:ind w:firstLine="709"/>
        <w:jc w:val="both"/>
        <w:rPr>
          <w:rFonts w:ascii="Verdana" w:eastAsia="Arial" w:hAnsi="Verdana" w:cs="Arial"/>
          <w:color w:val="000000"/>
          <w:lang w:val="es-ES"/>
        </w:rPr>
      </w:pPr>
      <w:r w:rsidRPr="4B3F5FD1">
        <w:rPr>
          <w:rFonts w:ascii="Verdana" w:eastAsia="Arial" w:hAnsi="Verdana" w:cs="Arial"/>
          <w:color w:val="000000" w:themeColor="text1"/>
          <w:lang w:val="es-ES"/>
        </w:rPr>
        <w:t xml:space="preserve">No puede perderse de vista que la decisión de limitar “a </w:t>
      </w:r>
      <w:proofErr w:type="spellStart"/>
      <w:r w:rsidRPr="4B3F5FD1">
        <w:rPr>
          <w:rFonts w:ascii="Verdana" w:eastAsia="Arial" w:hAnsi="Verdana" w:cs="Arial"/>
          <w:color w:val="000000" w:themeColor="text1"/>
          <w:lang w:val="es-ES"/>
        </w:rPr>
        <w:t>Mipyme</w:t>
      </w:r>
      <w:proofErr w:type="spellEnd"/>
      <w:r w:rsidRPr="4B3F5FD1">
        <w:rPr>
          <w:rFonts w:ascii="Verdana" w:eastAsia="Arial" w:hAnsi="Verdana" w:cs="Arial"/>
          <w:color w:val="000000" w:themeColor="text1"/>
          <w:lang w:val="es-ES"/>
        </w:rPr>
        <w:t xml:space="preserve"> colombianas que tengan domicilio en los departamentos o municipios en donde se va a ejecutar el contrato”, aunque es facultativa de la entidad, está supeditada a que se verifiquen los requisitos establecidos en los numerales 1 y 2 del precitado artículo 2.2.1.2.4.2.2 del Decreto 1082 de 2015, modificado por el Decreto 1860 de 2021. En ese sentido, si la entidad no recibió las solicitudes para limitar la convocatoria a </w:t>
      </w:r>
      <w:proofErr w:type="spellStart"/>
      <w:r w:rsidRPr="4B3F5FD1">
        <w:rPr>
          <w:rFonts w:ascii="Verdana" w:eastAsia="Arial" w:hAnsi="Verdana" w:cs="Arial"/>
          <w:color w:val="000000" w:themeColor="text1"/>
          <w:lang w:val="es-ES"/>
        </w:rPr>
        <w:t>Mipyme</w:t>
      </w:r>
      <w:proofErr w:type="spellEnd"/>
      <w:r w:rsidRPr="4B3F5FD1">
        <w:rPr>
          <w:rFonts w:ascii="Verdana" w:eastAsia="Arial" w:hAnsi="Verdana" w:cs="Arial"/>
          <w:color w:val="000000" w:themeColor="text1"/>
          <w:lang w:val="es-ES"/>
        </w:rPr>
        <w:t xml:space="preserve">, no puede </w:t>
      </w:r>
      <w:r w:rsidRPr="4B3F5FD1">
        <w:rPr>
          <w:rFonts w:ascii="Verdana" w:eastAsia="Arial" w:hAnsi="Verdana" w:cs="Arial"/>
          <w:i/>
          <w:color w:val="000000" w:themeColor="text1"/>
          <w:lang w:val="es-ES"/>
        </w:rPr>
        <w:t xml:space="preserve">motu proprio </w:t>
      </w:r>
      <w:r w:rsidRPr="4B3F5FD1">
        <w:rPr>
          <w:rFonts w:ascii="Verdana" w:eastAsia="Arial" w:hAnsi="Verdana" w:cs="Arial"/>
          <w:color w:val="000000" w:themeColor="text1"/>
          <w:lang w:val="es-ES"/>
        </w:rPr>
        <w:t xml:space="preserve">proceder con la “limitación territorial” de que trata el artículo 2.2.1.2.4.2.3 del Decreto 1082 de 2015. Esto debido a que el ejercicio de esta facultad solo puede darse ante la “limitación a </w:t>
      </w:r>
      <w:proofErr w:type="spellStart"/>
      <w:r w:rsidRPr="4B3F5FD1">
        <w:rPr>
          <w:rFonts w:ascii="Verdana" w:eastAsia="Arial" w:hAnsi="Verdana" w:cs="Arial"/>
          <w:color w:val="000000" w:themeColor="text1"/>
          <w:lang w:val="es-ES"/>
        </w:rPr>
        <w:t>Mipymes</w:t>
      </w:r>
      <w:proofErr w:type="spellEnd"/>
      <w:r w:rsidRPr="4B3F5FD1">
        <w:rPr>
          <w:rFonts w:ascii="Verdana" w:eastAsia="Arial" w:hAnsi="Verdana" w:cs="Arial"/>
          <w:color w:val="000000" w:themeColor="text1"/>
          <w:lang w:val="es-ES"/>
        </w:rPr>
        <w:t xml:space="preserve"> colombianas”, lo cual supone verificar los supuestos legales establecidos en los mencionados numerales.</w:t>
      </w:r>
    </w:p>
    <w:p w14:paraId="44030532" w14:textId="77777777" w:rsidR="00E7156E" w:rsidRPr="00FC5438" w:rsidRDefault="00E7156E" w:rsidP="00E7156E">
      <w:pPr>
        <w:spacing w:after="120" w:line="276" w:lineRule="auto"/>
        <w:ind w:firstLine="708"/>
        <w:jc w:val="both"/>
        <w:rPr>
          <w:rFonts w:ascii="Verdana" w:hAnsi="Verdana" w:cs="Arial"/>
          <w:color w:val="000000" w:themeColor="text1"/>
        </w:rPr>
      </w:pPr>
      <w:r w:rsidRPr="00FC5438">
        <w:rPr>
          <w:rFonts w:ascii="Verdana" w:hAnsi="Verdana" w:cs="Arial"/>
          <w:color w:val="000000" w:themeColor="text1"/>
        </w:rPr>
        <w:t xml:space="preserve">Cumplidos los dos requisitos del artículo 2.2.1.2.4.2.2 </w:t>
      </w:r>
      <w:proofErr w:type="spellStart"/>
      <w:r w:rsidRPr="00FC5438">
        <w:rPr>
          <w:rFonts w:ascii="Verdana" w:hAnsi="Verdana" w:cs="Arial"/>
          <w:i/>
          <w:iCs/>
          <w:color w:val="000000" w:themeColor="text1"/>
        </w:rPr>
        <w:t>ibídem</w:t>
      </w:r>
      <w:proofErr w:type="spellEnd"/>
      <w:r w:rsidRPr="00FC5438">
        <w:rPr>
          <w:rFonts w:ascii="Verdana" w:hAnsi="Verdana" w:cs="Arial"/>
          <w:color w:val="000000" w:themeColor="text1"/>
        </w:rPr>
        <w:t xml:space="preserve">, la entidad estatal, independientemente de su régimen de contratación, los patrimonios autónomos constituidos por entidades estatales y los particulares que ejecuten recursos públicos, pueden ─sin estar obligadas─ decidir si limitan la convocatoria a las </w:t>
      </w:r>
      <w:proofErr w:type="spellStart"/>
      <w:r w:rsidRPr="00FC5438">
        <w:rPr>
          <w:rFonts w:ascii="Verdana" w:hAnsi="Verdana" w:cs="Arial"/>
          <w:color w:val="000000" w:themeColor="text1"/>
        </w:rPr>
        <w:t>Mipyme</w:t>
      </w:r>
      <w:proofErr w:type="spellEnd"/>
      <w:r w:rsidRPr="00FC5438">
        <w:rPr>
          <w:rFonts w:ascii="Verdana" w:hAnsi="Verdana" w:cs="Arial"/>
          <w:color w:val="000000" w:themeColor="text1"/>
        </w:rPr>
        <w:t xml:space="preserve"> colombianas domiciliadas en el municipio o departamento en el que se ejecutará el contrato. Esto de acuerdo con el artículo 2.2.1.2.4.2.3 del Decreto 1082 de 2015 </w:t>
      </w:r>
      <w:r w:rsidRPr="00FC5438">
        <w:rPr>
          <w:rFonts w:ascii="Verdana" w:eastAsia="Arial" w:hAnsi="Verdana" w:cs="Arial"/>
          <w:color w:val="000000"/>
          <w:lang w:val="es-ES_tradnl"/>
        </w:rPr>
        <w:t>modificado por el Decreto 1860 de 2021</w:t>
      </w:r>
      <w:r w:rsidRPr="00FC5438">
        <w:rPr>
          <w:rFonts w:ascii="Verdana" w:hAnsi="Verdana" w:cs="Arial"/>
          <w:color w:val="000000" w:themeColor="text1"/>
        </w:rPr>
        <w:t xml:space="preserve">, norma que se refiere a la facultad de la administración con el verbo infinitivo “poder”, no “deber”. </w:t>
      </w:r>
    </w:p>
    <w:p w14:paraId="42EB18F8" w14:textId="77777777" w:rsidR="00E7156E" w:rsidRPr="00FC5438" w:rsidRDefault="00E7156E" w:rsidP="00E7156E">
      <w:pPr>
        <w:spacing w:after="120" w:line="276" w:lineRule="auto"/>
        <w:ind w:firstLine="709"/>
        <w:jc w:val="both"/>
        <w:rPr>
          <w:rFonts w:ascii="Verdana" w:eastAsia="Calibri" w:hAnsi="Verdana" w:cs="Arial"/>
          <w:color w:val="000000" w:themeColor="text1"/>
        </w:rPr>
      </w:pPr>
      <w:r w:rsidRPr="00FC5438">
        <w:rPr>
          <w:rFonts w:ascii="Verdana" w:eastAsia="Calibri" w:hAnsi="Verdana" w:cs="Arial"/>
          <w:color w:val="000000" w:themeColor="text1"/>
        </w:rPr>
        <w:t>Colombia Compra Eficiente ha sostenido que la decisión de limitar territorialmente un</w:t>
      </w:r>
      <w:r w:rsidRPr="00FC5438">
        <w:rPr>
          <w:rFonts w:ascii="Verdana" w:hAnsi="Verdana" w:cs="Arial"/>
          <w:color w:val="000000" w:themeColor="text1"/>
        </w:rPr>
        <w:t xml:space="preserve">a convocatoria a </w:t>
      </w:r>
      <w:proofErr w:type="spellStart"/>
      <w:r w:rsidRPr="00FC5438">
        <w:rPr>
          <w:rFonts w:ascii="Verdana" w:hAnsi="Verdana" w:cs="Arial"/>
          <w:color w:val="000000" w:themeColor="text1"/>
        </w:rPr>
        <w:t>Mipyme</w:t>
      </w:r>
      <w:proofErr w:type="spellEnd"/>
      <w:r w:rsidRPr="00FC5438">
        <w:rPr>
          <w:rFonts w:ascii="Verdana" w:hAnsi="Verdana" w:cs="Arial"/>
          <w:color w:val="000000" w:themeColor="text1"/>
        </w:rPr>
        <w:t xml:space="preserve"> </w:t>
      </w:r>
      <w:r w:rsidRPr="00FC5438">
        <w:rPr>
          <w:rFonts w:ascii="Verdana" w:eastAsia="Calibri" w:hAnsi="Verdana" w:cs="Arial"/>
          <w:color w:val="000000" w:themeColor="text1"/>
        </w:rPr>
        <w:t xml:space="preserve">es discrecional, y ha precisado que, de todos modos, esta debe justificarse con fundamento en los correspondientes “estudios del sector”. Así lo consideró en la consulta No. 216130003241, resuelta el 30 de junio de 2016. Igualmente, en la consulta resuelta en el radicado No. 2201813000008184 del 7 de septiembre de 2019, se explicó que, de acuerdo con el </w:t>
      </w:r>
      <w:r w:rsidRPr="00FC5438">
        <w:rPr>
          <w:rFonts w:ascii="Verdana" w:hAnsi="Verdana" w:cs="Arial"/>
          <w:color w:val="000000" w:themeColor="text1"/>
        </w:rPr>
        <w:t xml:space="preserve">artículo 2.2.1.2.4.2.3 del Decreto 1082 de 2015, las </w:t>
      </w:r>
      <w:proofErr w:type="spellStart"/>
      <w:r w:rsidRPr="00FC5438">
        <w:rPr>
          <w:rFonts w:ascii="Verdana" w:hAnsi="Verdana" w:cs="Arial"/>
          <w:color w:val="000000" w:themeColor="text1"/>
        </w:rPr>
        <w:t>Mipyme</w:t>
      </w:r>
      <w:proofErr w:type="spellEnd"/>
      <w:r w:rsidRPr="00FC5438">
        <w:rPr>
          <w:rFonts w:ascii="Verdana" w:eastAsia="Calibri" w:hAnsi="Verdana" w:cs="Arial"/>
          <w:color w:val="000000" w:themeColor="text1"/>
        </w:rPr>
        <w:t xml:space="preserve"> beneficiadas deben tener su domicilio principal en el municipio o departamento donde se ejecutará el contrato para participar en una convocatoria limitada territorialmente.</w:t>
      </w:r>
      <w:r w:rsidRPr="00FC5438">
        <w:rPr>
          <w:rFonts w:ascii="Verdana" w:hAnsi="Verdana" w:cs="Arial"/>
          <w:color w:val="000000" w:themeColor="text1"/>
        </w:rPr>
        <w:t xml:space="preserve"> Esta tesis sigue vigente, puesto que el nuevo contenido del artículo 2.2.1.2.4.2.3 del Decreto 1082 de 2015, modificado por el artículo 5 del Decreto 1860 de 2021, mantiene la facultad de la Administración para limitar territorialmente la convocatoria teniendo en cuenta el domicilio de ejecución del </w:t>
      </w:r>
      <w:r w:rsidRPr="00FC5438">
        <w:rPr>
          <w:rFonts w:ascii="Verdana" w:hAnsi="Verdana" w:cs="Arial"/>
          <w:color w:val="000000" w:themeColor="text1"/>
        </w:rPr>
        <w:lastRenderedPageBreak/>
        <w:t>contrato, lo cual es congruente como el verbo “podrán” del parágrafo primero del artículo 34 de la Ley de Emprendimiento.</w:t>
      </w:r>
    </w:p>
    <w:p w14:paraId="5029B8B6" w14:textId="77777777" w:rsidR="00E7156E" w:rsidRPr="00FC5438" w:rsidRDefault="00E7156E" w:rsidP="00E7156E">
      <w:pPr>
        <w:spacing w:after="120" w:line="276" w:lineRule="auto"/>
        <w:ind w:firstLine="709"/>
        <w:jc w:val="both"/>
        <w:rPr>
          <w:rFonts w:ascii="Verdana" w:eastAsia="Calibri" w:hAnsi="Verdana" w:cs="Arial"/>
          <w:color w:val="000000" w:themeColor="text1"/>
        </w:rPr>
      </w:pPr>
      <w:r w:rsidRPr="00FC5438">
        <w:rPr>
          <w:rFonts w:ascii="Verdana" w:hAnsi="Verdana" w:cs="Arial"/>
          <w:color w:val="000000" w:themeColor="text1"/>
        </w:rPr>
        <w:t xml:space="preserve">En tal sentido, </w:t>
      </w:r>
      <w:r w:rsidRPr="00FC5438">
        <w:rPr>
          <w:rFonts w:ascii="Verdana" w:eastAsia="Calibri" w:hAnsi="Verdana" w:cs="Arial"/>
          <w:color w:val="000000" w:themeColor="text1"/>
        </w:rPr>
        <w:t>lo que debe adoptarse obligatoriamente es la</w:t>
      </w:r>
      <w:r w:rsidRPr="00FC5438">
        <w:rPr>
          <w:rFonts w:ascii="Verdana" w:hAnsi="Verdana" w:cs="Arial"/>
          <w:color w:val="000000" w:themeColor="text1"/>
        </w:rPr>
        <w:t xml:space="preserve"> limitación a Mipymes colombianas</w:t>
      </w:r>
      <w:r w:rsidRPr="00FC5438">
        <w:rPr>
          <w:rFonts w:ascii="Verdana" w:eastAsia="Calibri" w:hAnsi="Verdana" w:cs="Arial"/>
          <w:color w:val="000000" w:themeColor="text1"/>
        </w:rPr>
        <w:t xml:space="preserve"> siempre que se cumplan las condiciones del artículo 2.2.1.2.4.2.2 del Decreto 1082 de 2015, pero no la “limitación territorial” referida en el artículo 2.2.1.2.4.2.3 </w:t>
      </w:r>
      <w:proofErr w:type="spellStart"/>
      <w:r w:rsidRPr="00FC5438">
        <w:rPr>
          <w:rFonts w:ascii="Verdana" w:eastAsia="Calibri" w:hAnsi="Verdana" w:cs="Arial"/>
          <w:i/>
          <w:iCs/>
          <w:color w:val="000000" w:themeColor="text1"/>
        </w:rPr>
        <w:t>ibídem</w:t>
      </w:r>
      <w:proofErr w:type="spellEnd"/>
      <w:r w:rsidRPr="00FC5438">
        <w:rPr>
          <w:rFonts w:ascii="Verdana" w:eastAsia="Calibri" w:hAnsi="Verdana" w:cs="Arial"/>
          <w:color w:val="000000" w:themeColor="text1"/>
        </w:rPr>
        <w:t>, pues esta es facultativa para la entidad. Las únicas exigencias son que la convocatoria esté l</w:t>
      </w:r>
      <w:r w:rsidRPr="00FC5438">
        <w:rPr>
          <w:rFonts w:ascii="Verdana" w:hAnsi="Verdana" w:cs="Arial"/>
          <w:color w:val="000000" w:themeColor="text1"/>
        </w:rPr>
        <w:t xml:space="preserve">imitada a las </w:t>
      </w:r>
      <w:proofErr w:type="spellStart"/>
      <w:r w:rsidRPr="00FC5438">
        <w:rPr>
          <w:rFonts w:ascii="Verdana" w:hAnsi="Verdana" w:cs="Arial"/>
          <w:color w:val="000000" w:themeColor="text1"/>
        </w:rPr>
        <w:t>Mipyme</w:t>
      </w:r>
      <w:proofErr w:type="spellEnd"/>
      <w:r w:rsidRPr="00FC5438">
        <w:rPr>
          <w:rFonts w:ascii="Verdana" w:hAnsi="Verdana" w:cs="Arial"/>
          <w:color w:val="000000" w:themeColor="text1"/>
        </w:rPr>
        <w:t xml:space="preserve"> colombianas</w:t>
      </w:r>
      <w:r w:rsidRPr="00FC5438">
        <w:rPr>
          <w:rFonts w:ascii="Verdana" w:eastAsia="Calibri" w:hAnsi="Verdana" w:cs="Arial"/>
          <w:color w:val="000000" w:themeColor="text1"/>
        </w:rPr>
        <w:t xml:space="preserve"> “domiciliadas en los departamentos o municipios en donde se va a ejecutar el contrato” y que la entidad justifique su decisión con base en los “estudios del sector”</w:t>
      </w:r>
      <w:r w:rsidRPr="00FC5438">
        <w:rPr>
          <w:rStyle w:val="Refdenotaalpie"/>
          <w:rFonts w:ascii="Verdana" w:eastAsia="Calibri" w:hAnsi="Verdana" w:cs="Arial"/>
          <w:color w:val="000000" w:themeColor="text1"/>
        </w:rPr>
        <w:footnoteReference w:id="4"/>
      </w:r>
      <w:r w:rsidRPr="00FC5438">
        <w:rPr>
          <w:rFonts w:ascii="Verdana" w:eastAsia="Calibri" w:hAnsi="Verdana" w:cs="Arial"/>
          <w:color w:val="000000" w:themeColor="text1"/>
        </w:rPr>
        <w:t xml:space="preserve">. No es procedente, entonces, que sean las Mipymes las que soliciten la “limitación territorial” a la que se refiere el artículo 2.2.1.2.4.2.3 del Decreto 1082 de 2015. </w:t>
      </w:r>
    </w:p>
    <w:p w14:paraId="6B9FF70E" w14:textId="77777777" w:rsidR="00E7156E" w:rsidRPr="00FC5438" w:rsidRDefault="00E7156E" w:rsidP="00E7156E">
      <w:pPr>
        <w:spacing w:after="120" w:line="276" w:lineRule="auto"/>
        <w:ind w:firstLine="709"/>
        <w:jc w:val="both"/>
        <w:rPr>
          <w:rFonts w:ascii="Verdana" w:eastAsia="Calibri" w:hAnsi="Verdana" w:cs="Arial"/>
          <w:color w:val="000000" w:themeColor="text1"/>
        </w:rPr>
      </w:pPr>
      <w:r w:rsidRPr="00FC5438">
        <w:rPr>
          <w:rFonts w:ascii="Verdana" w:eastAsia="Calibri" w:hAnsi="Verdana" w:cs="Arial"/>
          <w:color w:val="000000" w:themeColor="text1"/>
        </w:rPr>
        <w:t>E</w:t>
      </w:r>
      <w:r w:rsidRPr="00FC5438">
        <w:rPr>
          <w:rFonts w:ascii="Verdana" w:hAnsi="Verdana" w:cs="Arial"/>
          <w:color w:val="000000" w:themeColor="text1"/>
        </w:rPr>
        <w:t xml:space="preserve">l origen de las </w:t>
      </w:r>
      <w:proofErr w:type="spellStart"/>
      <w:r w:rsidRPr="00FC5438">
        <w:rPr>
          <w:rFonts w:ascii="Verdana" w:hAnsi="Verdana" w:cs="Arial"/>
          <w:color w:val="000000" w:themeColor="text1"/>
        </w:rPr>
        <w:t>Mipyme</w:t>
      </w:r>
      <w:proofErr w:type="spellEnd"/>
      <w:r w:rsidRPr="00FC5438">
        <w:rPr>
          <w:rFonts w:ascii="Verdana" w:eastAsia="Calibri" w:hAnsi="Verdana" w:cs="Arial"/>
          <w:color w:val="000000" w:themeColor="text1"/>
        </w:rPr>
        <w:t xml:space="preserve"> que solicitan la “limitación territorial” no es relevante frente a dicha decisión por dos razo</w:t>
      </w:r>
      <w:r w:rsidRPr="00FC5438">
        <w:rPr>
          <w:rFonts w:ascii="Verdana" w:hAnsi="Verdana" w:cs="Arial"/>
          <w:color w:val="000000" w:themeColor="text1"/>
        </w:rPr>
        <w:t xml:space="preserve">nes: primero, porque las </w:t>
      </w:r>
      <w:proofErr w:type="spellStart"/>
      <w:r w:rsidRPr="00FC5438">
        <w:rPr>
          <w:rFonts w:ascii="Verdana" w:hAnsi="Verdana" w:cs="Arial"/>
          <w:color w:val="000000" w:themeColor="text1"/>
        </w:rPr>
        <w:t>Mipyme</w:t>
      </w:r>
      <w:proofErr w:type="spellEnd"/>
      <w:r w:rsidRPr="00FC5438">
        <w:rPr>
          <w:rFonts w:ascii="Verdana" w:eastAsia="Calibri" w:hAnsi="Verdana" w:cs="Arial"/>
          <w:color w:val="000000" w:themeColor="text1"/>
        </w:rPr>
        <w:t xml:space="preserve"> no están habilitadas para pedir la “limitación territorial”, lo están para pedir la “convocatoria limitada a Mipymes”, y, segundo, porque el único criterio para tener en cuenta, una vez se ha decidido justificadamente limitar territorialmente la convocatori</w:t>
      </w:r>
      <w:r w:rsidRPr="00FC5438">
        <w:rPr>
          <w:rFonts w:ascii="Verdana" w:hAnsi="Verdana" w:cs="Arial"/>
          <w:color w:val="000000" w:themeColor="text1"/>
        </w:rPr>
        <w:t xml:space="preserve">a previamente limitada a </w:t>
      </w:r>
      <w:proofErr w:type="spellStart"/>
      <w:r w:rsidRPr="00FC5438">
        <w:rPr>
          <w:rFonts w:ascii="Verdana" w:hAnsi="Verdana" w:cs="Arial"/>
          <w:color w:val="000000" w:themeColor="text1"/>
        </w:rPr>
        <w:t>Mipyme</w:t>
      </w:r>
      <w:proofErr w:type="spellEnd"/>
      <w:r w:rsidRPr="00FC5438">
        <w:rPr>
          <w:rFonts w:ascii="Verdana" w:eastAsia="Calibri" w:hAnsi="Verdana" w:cs="Arial"/>
          <w:color w:val="000000" w:themeColor="text1"/>
        </w:rPr>
        <w:t>, es el lugar donde se va a ejecutar el contrato.</w:t>
      </w:r>
    </w:p>
    <w:p w14:paraId="72D5C53A" w14:textId="77777777" w:rsidR="00E7156E" w:rsidRPr="00FC5438" w:rsidRDefault="00E7156E" w:rsidP="00E7156E">
      <w:pPr>
        <w:spacing w:after="120" w:line="276" w:lineRule="auto"/>
        <w:ind w:firstLine="709"/>
        <w:jc w:val="both"/>
        <w:rPr>
          <w:rFonts w:ascii="Verdana" w:eastAsia="Arial" w:hAnsi="Verdana" w:cs="Arial"/>
          <w:color w:val="000000"/>
        </w:rPr>
      </w:pPr>
      <w:r w:rsidRPr="00FC5438">
        <w:rPr>
          <w:rFonts w:ascii="Verdana" w:eastAsia="Calibri" w:hAnsi="Verdana" w:cs="Arial"/>
          <w:color w:val="000000" w:themeColor="text1"/>
        </w:rPr>
        <w:t>En resumen, la decisión de limitar o no territorialmente una convocatoria limitada a Mipymes nacionales es una facultad discrecional, de manera que</w:t>
      </w:r>
      <w:r w:rsidRPr="00FC5438">
        <w:rPr>
          <w:rFonts w:ascii="Verdana" w:eastAsia="Arial" w:hAnsi="Verdana" w:cs="Arial"/>
          <w:color w:val="000000"/>
        </w:rPr>
        <w:t xml:space="preserve"> la </w:t>
      </w:r>
      <w:r w:rsidRPr="00FC5438">
        <w:rPr>
          <w:rFonts w:ascii="Verdana" w:eastAsia="Arial" w:hAnsi="Verdana" w:cs="Arial"/>
          <w:color w:val="000000"/>
        </w:rPr>
        <w:lastRenderedPageBreak/>
        <w:t>entidad contratante valorará si es oportuno y conveniente adoptarla</w:t>
      </w:r>
      <w:r w:rsidRPr="00FC5438">
        <w:rPr>
          <w:rStyle w:val="Refdenotaalpie"/>
          <w:rFonts w:ascii="Verdana" w:eastAsia="Arial" w:hAnsi="Verdana" w:cs="Arial"/>
          <w:color w:val="000000"/>
        </w:rPr>
        <w:footnoteReference w:id="5"/>
      </w:r>
      <w:r w:rsidRPr="00FC5438">
        <w:rPr>
          <w:rFonts w:ascii="Verdana" w:eastAsia="Arial" w:hAnsi="Verdana" w:cs="Arial"/>
          <w:color w:val="000000"/>
        </w:rPr>
        <w:t>. Sin embargo, aunque la discrecionalidad implica una elección administrativa, no puede ser una decisión irracional o arbitraria. Por ello, el ordenamiento impone una carga de motivación en el ejercicio de este tipo de facultades, pues –teniendo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ser adecuada a los fines de la norma que la autoriza, y proporcional a los hechos que le sirven de causa”.</w:t>
      </w:r>
    </w:p>
    <w:p w14:paraId="0DFC268D" w14:textId="77777777" w:rsidR="00E7156E" w:rsidRPr="00301910" w:rsidRDefault="00E7156E" w:rsidP="00E7156E">
      <w:pPr>
        <w:spacing w:after="0" w:line="276" w:lineRule="auto"/>
        <w:ind w:firstLine="708"/>
        <w:jc w:val="both"/>
        <w:rPr>
          <w:rFonts w:ascii="Verdana" w:hAnsi="Verdana" w:cs="Arial"/>
          <w:lang w:eastAsia="es-ES"/>
        </w:rPr>
      </w:pP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la gestión contractual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 De esta manera, las afirmaciones aquí realizadas</w:t>
      </w:r>
      <w:r>
        <w:rPr>
          <w:rFonts w:ascii="Verdana" w:hAnsi="Verdana" w:cs="Arial"/>
          <w:lang w:eastAsia="es-ES"/>
        </w:rPr>
        <w:t xml:space="preserve"> </w:t>
      </w:r>
      <w:r w:rsidRPr="00301910">
        <w:rPr>
          <w:rFonts w:ascii="Verdana" w:hAnsi="Verdana" w:cs="Arial"/>
          <w:lang w:eastAsia="es-ES"/>
        </w:rPr>
        <w:t>no</w:t>
      </w:r>
      <w:r>
        <w:rPr>
          <w:rFonts w:ascii="Verdana" w:hAnsi="Verdana" w:cs="Arial"/>
          <w:lang w:eastAsia="es-ES"/>
        </w:rPr>
        <w:t xml:space="preserve"> </w:t>
      </w:r>
      <w:r w:rsidRPr="00301910">
        <w:rPr>
          <w:rFonts w:ascii="Verdana" w:hAnsi="Verdana" w:cs="Arial"/>
          <w:lang w:eastAsia="es-ES"/>
        </w:rPr>
        <w:t>pueden ser interpretadas como juicios de valor sobre circunstancias</w:t>
      </w:r>
      <w:r>
        <w:rPr>
          <w:rFonts w:ascii="Verdana" w:hAnsi="Verdana" w:cs="Arial"/>
          <w:lang w:eastAsia="es-ES"/>
        </w:rPr>
        <w:t xml:space="preserve"> </w:t>
      </w:r>
      <w:r w:rsidRPr="00301910">
        <w:rPr>
          <w:rFonts w:ascii="Verdana" w:hAnsi="Verdana" w:cs="Arial"/>
          <w:lang w:eastAsia="es-ES"/>
        </w:rPr>
        <w:t>concretas</w:t>
      </w:r>
      <w:r>
        <w:rPr>
          <w:rFonts w:ascii="Verdana" w:hAnsi="Verdana" w:cs="Arial"/>
          <w:lang w:eastAsia="es-ES"/>
        </w:rPr>
        <w:t xml:space="preserve"> </w:t>
      </w:r>
      <w:r w:rsidRPr="00301910">
        <w:rPr>
          <w:rFonts w:ascii="Verdana" w:hAnsi="Verdana" w:cs="Arial"/>
          <w:lang w:eastAsia="es-ES"/>
        </w:rPr>
        <w:t>relacionadas con los hechos que motivan la</w:t>
      </w:r>
      <w:r>
        <w:rPr>
          <w:rFonts w:ascii="Verdana" w:hAnsi="Verdana" w:cs="Arial"/>
          <w:lang w:eastAsia="es-ES"/>
        </w:rPr>
        <w:t xml:space="preserve"> </w:t>
      </w:r>
      <w:r w:rsidRPr="00301910">
        <w:rPr>
          <w:rFonts w:ascii="Verdana" w:hAnsi="Verdana" w:cs="Arial"/>
          <w:lang w:eastAsia="es-ES"/>
        </w:rPr>
        <w:t>consulta.</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p>
    <w:p w14:paraId="1D5FB908" w14:textId="77777777" w:rsidR="00E7156E" w:rsidRPr="00301910" w:rsidRDefault="00E7156E" w:rsidP="00E7156E">
      <w:pPr>
        <w:spacing w:before="120" w:after="0" w:line="276" w:lineRule="auto"/>
        <w:ind w:firstLine="709"/>
        <w:jc w:val="both"/>
        <w:rPr>
          <w:rFonts w:ascii="Verdana" w:hAnsi="Verdana" w:cs="Arial"/>
          <w:lang w:eastAsia="es-ES"/>
        </w:rPr>
      </w:pPr>
      <w:r w:rsidRPr="00301910">
        <w:rPr>
          <w:rFonts w:ascii="Verdana" w:hAnsi="Verdana" w:cs="Arial"/>
          <w:lang w:eastAsia="es-ES"/>
        </w:rPr>
        <w:t>Dentro de este marco, la entidad contratante definirá en cada caso concreto lo</w:t>
      </w:r>
      <w:r>
        <w:rPr>
          <w:rFonts w:ascii="Verdana" w:hAnsi="Verdana" w:cs="Arial"/>
          <w:lang w:eastAsia="es-ES"/>
        </w:rPr>
        <w:t xml:space="preserve"> </w:t>
      </w:r>
      <w:r w:rsidRPr="00301910">
        <w:rPr>
          <w:rFonts w:ascii="Verdana" w:hAnsi="Verdana" w:cs="Arial"/>
          <w:lang w:eastAsia="es-ES"/>
        </w:rPr>
        <w:t>relacionado con el tema objeto de consulta. Al tratarse de un análisis</w:t>
      </w:r>
      <w:r>
        <w:rPr>
          <w:rFonts w:ascii="Verdana" w:hAnsi="Verdana" w:cs="Arial"/>
          <w:lang w:eastAsia="es-ES"/>
        </w:rPr>
        <w:t xml:space="preserve"> </w:t>
      </w:r>
      <w:r w:rsidRPr="00301910">
        <w:rPr>
          <w:rFonts w:ascii="Verdana" w:hAnsi="Verdana" w:cs="Arial"/>
          <w:lang w:eastAsia="es-ES"/>
        </w:rPr>
        <w:t>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p w14:paraId="7C4A1828" w14:textId="77777777" w:rsidR="00E7156E" w:rsidRPr="004A56BA" w:rsidRDefault="00E7156E" w:rsidP="00E7156E">
      <w:pPr>
        <w:spacing w:after="0" w:line="276" w:lineRule="auto"/>
        <w:jc w:val="both"/>
        <w:rPr>
          <w:rFonts w:ascii="Verdana" w:eastAsia="Times New Roman" w:hAnsi="Verdana" w:cs="Arial"/>
          <w:color w:val="000000" w:themeColor="text1"/>
          <w:lang w:eastAsia="es-CO"/>
        </w:rPr>
      </w:pPr>
    </w:p>
    <w:p w14:paraId="418DB5D6" w14:textId="77777777" w:rsidR="00E7156E" w:rsidRPr="00593A5F" w:rsidRDefault="00E7156E" w:rsidP="00E7156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lastRenderedPageBreak/>
        <w:t>Referencias normativas:</w:t>
      </w:r>
    </w:p>
    <w:p w14:paraId="74859D98" w14:textId="77777777" w:rsidR="00E7156E" w:rsidRPr="00593A5F" w:rsidRDefault="00E7156E" w:rsidP="00E7156E">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7156E" w:rsidRPr="002407CE" w14:paraId="2E83B548" w14:textId="77777777" w:rsidTr="00167DF7">
        <w:trPr>
          <w:trHeight w:val="404"/>
          <w:jc w:val="center"/>
        </w:trPr>
        <w:tc>
          <w:tcPr>
            <w:tcW w:w="8647" w:type="dxa"/>
          </w:tcPr>
          <w:p w14:paraId="44FBBBAA" w14:textId="77777777" w:rsidR="00E7156E" w:rsidRDefault="00E7156E" w:rsidP="00E7156E">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Ley 80 de 1993, artículo 77.</w:t>
            </w:r>
          </w:p>
          <w:p w14:paraId="085B54BC" w14:textId="77777777" w:rsidR="00E7156E" w:rsidRPr="00C427E4" w:rsidRDefault="00E7156E" w:rsidP="00167DF7">
            <w:pPr>
              <w:pStyle w:val="Prrafodelista"/>
              <w:widowControl w:val="0"/>
              <w:autoSpaceDE w:val="0"/>
              <w:autoSpaceDN w:val="0"/>
              <w:spacing w:line="276" w:lineRule="auto"/>
              <w:jc w:val="both"/>
              <w:rPr>
                <w:rFonts w:ascii="Verdana" w:hAnsi="Verdana" w:cs="Arial"/>
                <w:sz w:val="12"/>
                <w:szCs w:val="12"/>
              </w:rPr>
            </w:pPr>
          </w:p>
          <w:p w14:paraId="32CE59F5" w14:textId="77777777" w:rsidR="00E7156E" w:rsidRDefault="00E7156E" w:rsidP="00E7156E">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Ley 1437 de 2011, artículo 44.</w:t>
            </w:r>
          </w:p>
          <w:p w14:paraId="315DE58B" w14:textId="77777777" w:rsidR="00E7156E" w:rsidRPr="00C427E4" w:rsidRDefault="00E7156E" w:rsidP="00167DF7">
            <w:pPr>
              <w:widowControl w:val="0"/>
              <w:autoSpaceDE w:val="0"/>
              <w:autoSpaceDN w:val="0"/>
              <w:spacing w:line="276" w:lineRule="auto"/>
              <w:jc w:val="both"/>
              <w:rPr>
                <w:rFonts w:ascii="Verdana" w:hAnsi="Verdana" w:cs="Arial"/>
                <w:sz w:val="12"/>
                <w:szCs w:val="12"/>
              </w:rPr>
            </w:pPr>
          </w:p>
          <w:p w14:paraId="7A3BE1A8" w14:textId="77777777" w:rsidR="00E7156E" w:rsidRDefault="00E7156E" w:rsidP="00E7156E">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Ley 2069 de 2020</w:t>
            </w:r>
            <w:r w:rsidRPr="009E31D5">
              <w:rPr>
                <w:rFonts w:ascii="Verdana" w:hAnsi="Verdana" w:cs="Arial"/>
              </w:rPr>
              <w:t xml:space="preserve">, artículo </w:t>
            </w:r>
            <w:r>
              <w:rPr>
                <w:rFonts w:ascii="Verdana" w:hAnsi="Verdana" w:cs="Arial"/>
              </w:rPr>
              <w:t>34</w:t>
            </w:r>
            <w:r w:rsidRPr="009E31D5">
              <w:rPr>
                <w:rFonts w:ascii="Verdana" w:hAnsi="Verdana" w:cs="Arial"/>
              </w:rPr>
              <w:t>.</w:t>
            </w:r>
          </w:p>
          <w:p w14:paraId="664CD3E7" w14:textId="77777777" w:rsidR="00E7156E" w:rsidRPr="00C427E4" w:rsidRDefault="00E7156E" w:rsidP="00167DF7">
            <w:pPr>
              <w:widowControl w:val="0"/>
              <w:autoSpaceDE w:val="0"/>
              <w:autoSpaceDN w:val="0"/>
              <w:spacing w:line="276" w:lineRule="auto"/>
              <w:jc w:val="both"/>
              <w:rPr>
                <w:rFonts w:ascii="Verdana" w:hAnsi="Verdana" w:cs="Arial"/>
                <w:sz w:val="12"/>
                <w:szCs w:val="12"/>
              </w:rPr>
            </w:pPr>
          </w:p>
          <w:p w14:paraId="2C6A3816" w14:textId="77777777" w:rsidR="00E7156E" w:rsidRDefault="00E7156E" w:rsidP="00E7156E">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 xml:space="preserve">Decreto 1082 de 2015, artículos </w:t>
            </w:r>
            <w:r w:rsidRPr="00711153">
              <w:rPr>
                <w:rFonts w:ascii="Verdana" w:hAnsi="Verdana" w:cs="Arial"/>
              </w:rPr>
              <w:t>2.2.1.2.4.2.2</w:t>
            </w:r>
            <w:r>
              <w:rPr>
                <w:rFonts w:ascii="Verdana" w:hAnsi="Verdana" w:cs="Arial"/>
              </w:rPr>
              <w:t xml:space="preserve"> y </w:t>
            </w:r>
            <w:r w:rsidRPr="00711153">
              <w:rPr>
                <w:rFonts w:ascii="Verdana" w:hAnsi="Verdana" w:cs="Arial"/>
              </w:rPr>
              <w:t>2.2.1.2.4.2.</w:t>
            </w:r>
            <w:r>
              <w:rPr>
                <w:rFonts w:ascii="Verdana" w:hAnsi="Verdana" w:cs="Arial"/>
              </w:rPr>
              <w:t>3.</w:t>
            </w:r>
          </w:p>
          <w:p w14:paraId="01F65E71" w14:textId="77777777" w:rsidR="00E7156E" w:rsidRPr="00C427E4" w:rsidRDefault="00E7156E" w:rsidP="00167DF7">
            <w:pPr>
              <w:pStyle w:val="Prrafodelista"/>
              <w:spacing w:after="160"/>
              <w:rPr>
                <w:rFonts w:ascii="Verdana" w:hAnsi="Verdana" w:cs="Arial"/>
                <w:sz w:val="12"/>
                <w:szCs w:val="12"/>
              </w:rPr>
            </w:pPr>
          </w:p>
          <w:p w14:paraId="6391BC3D" w14:textId="77777777" w:rsidR="00E7156E" w:rsidRDefault="00E7156E" w:rsidP="00E7156E">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Código de Civil, artículo 31.</w:t>
            </w:r>
          </w:p>
          <w:p w14:paraId="68EF49ED" w14:textId="77777777" w:rsidR="00E7156E" w:rsidRPr="00C427E4" w:rsidRDefault="00E7156E" w:rsidP="00167DF7">
            <w:pPr>
              <w:pStyle w:val="Prrafodelista"/>
              <w:spacing w:after="160"/>
              <w:rPr>
                <w:rFonts w:ascii="Verdana" w:hAnsi="Verdana" w:cs="Arial"/>
                <w:sz w:val="12"/>
                <w:szCs w:val="12"/>
              </w:rPr>
            </w:pPr>
          </w:p>
          <w:p w14:paraId="3EF3EACE" w14:textId="77777777" w:rsidR="00E7156E" w:rsidRPr="00C427E4" w:rsidRDefault="00E7156E" w:rsidP="00E7156E">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Código de Comercio, artículo 263.</w:t>
            </w:r>
          </w:p>
        </w:tc>
      </w:tr>
    </w:tbl>
    <w:p w14:paraId="0DCE59D6" w14:textId="77777777" w:rsidR="00E7156E" w:rsidRPr="002407CE" w:rsidRDefault="00E7156E" w:rsidP="00E7156E">
      <w:pPr>
        <w:widowControl w:val="0"/>
        <w:autoSpaceDE w:val="0"/>
        <w:autoSpaceDN w:val="0"/>
        <w:spacing w:after="0" w:line="276" w:lineRule="auto"/>
        <w:jc w:val="both"/>
        <w:rPr>
          <w:rFonts w:ascii="Verdana" w:hAnsi="Verdana" w:cs="Arial"/>
        </w:rPr>
      </w:pPr>
    </w:p>
    <w:p w14:paraId="40590F94" w14:textId="77777777" w:rsidR="00E7156E" w:rsidRPr="00593A5F" w:rsidRDefault="00E7156E" w:rsidP="00E7156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3B77A62" w14:textId="77777777" w:rsidR="00E7156E" w:rsidRPr="00593A5F" w:rsidRDefault="00E7156E" w:rsidP="00E7156E">
      <w:pPr>
        <w:widowControl w:val="0"/>
        <w:autoSpaceDE w:val="0"/>
        <w:autoSpaceDN w:val="0"/>
        <w:spacing w:after="0" w:line="276" w:lineRule="auto"/>
        <w:jc w:val="both"/>
        <w:rPr>
          <w:rFonts w:ascii="Verdana" w:hAnsi="Verdana" w:cs="Arial"/>
        </w:rPr>
      </w:pPr>
    </w:p>
    <w:p w14:paraId="20DEBE5F" w14:textId="77777777" w:rsidR="00E7156E" w:rsidRPr="00E278D2" w:rsidRDefault="00E7156E" w:rsidP="00E7156E">
      <w:pPr>
        <w:widowControl w:val="0"/>
        <w:autoSpaceDE w:val="0"/>
        <w:autoSpaceDN w:val="0"/>
        <w:spacing w:after="0" w:line="276" w:lineRule="auto"/>
        <w:jc w:val="both"/>
        <w:rPr>
          <w:rStyle w:val="normaltextrun"/>
          <w:rFonts w:ascii="Verdana" w:hAnsi="Verdana" w:cs="Arial"/>
          <w:shd w:val="clear" w:color="auto" w:fill="FFFFFF"/>
        </w:rPr>
      </w:pPr>
      <w:r>
        <w:rPr>
          <w:rStyle w:val="normaltextrun"/>
          <w:rFonts w:ascii="Verdana" w:hAnsi="Verdana" w:cs="Arial"/>
          <w:shd w:val="clear" w:color="auto" w:fill="FFFFFF"/>
        </w:rPr>
        <w:t xml:space="preserve">Esta Subdirección se ha pronunciado sobre las convocatorias limitadas a Mipymes en los Conceptos </w:t>
      </w:r>
      <w:r w:rsidRPr="00460D8E">
        <w:rPr>
          <w:rStyle w:val="normaltextrun"/>
          <w:rFonts w:ascii="Verdana" w:hAnsi="Verdana" w:cs="Arial"/>
          <w:shd w:val="clear" w:color="auto" w:fill="FFFFFF"/>
        </w:rPr>
        <w:t>216130003241 el 30 de junio de 2016, 4201714000006924 del 29 de enero de 2018, 2201813000008184 del 7 de septiembre de 2019, C-045 del 17 de marzo de 2020, C-162 del 16 de abril de 2020, C-214 del 21 de abril de 2020, C-258 del 17 de abril de 2020, C-364 del 4 de junio de 2020, C-413 del 30 de junio de 2020, C-492 del 24 de julio de 2020, C-523 del 11 de agosto de 2020, C-610 del 14 de septiembre de 2020, C-700 de 1 de diciembre de 2020, C-705 del 7 de diciembre de 2020, C-005 del 16 de febrero de 2021, C-037 del 26 de febrero de 2021, C-035 del 02 de marzo de 2021, C-126 del 06 de abril de 2021, C-127 del 06 de abril de 2021, C-144 del 07 de abril de 2021, C-141 del 08 de abril de 2021, C-163 y C-164 del 19 de abril de 2021, C-242 del 25 de mayo de 2021, C-438 del 27 de septiembre de 2021, C-496 del 14 de septiembre de 2021, C-573 de 13 de octubre de 2021, C-001 del 17 de febrero de 2022, C-041 del 2 de marzo de 2022, C-293 del 12 de mayo de 2022, C-340 del 26 de mayo de 2022, C-395 del 17 de junio de 2022, C-539 del 29 de agosto de 2022, C-089 del 28 de abril de 2023, C-159 del 22 de junio de 2023, C-206 del 20 de junio de 2023, C-207 del 20 de junio de 2023, C-269 del 12 de julio de 2023, C-279 del 31 de octubre de 2023, C-295 del 24 de julio de 2023, C-302 del 14 de septiembre de 2023, C-321 del 26 de septiembre de 2023, C-335 del 26 de septiembre de 2023, C-366 del 09 de septiembre de 2023, C-389 del 22 de septiembre de 2023</w:t>
      </w:r>
      <w:r>
        <w:rPr>
          <w:rStyle w:val="normaltextrun"/>
          <w:rFonts w:ascii="Verdana" w:hAnsi="Verdana" w:cs="Arial"/>
          <w:shd w:val="clear" w:color="auto" w:fill="FFFFFF"/>
        </w:rPr>
        <w:t xml:space="preserve">, </w:t>
      </w:r>
      <w:r w:rsidRPr="00460D8E">
        <w:rPr>
          <w:rStyle w:val="normaltextrun"/>
          <w:rFonts w:ascii="Verdana" w:hAnsi="Verdana" w:cs="Arial"/>
          <w:shd w:val="clear" w:color="auto" w:fill="FFFFFF"/>
        </w:rPr>
        <w:t>C-436 del 24 de octubre de 2023</w:t>
      </w:r>
      <w:r>
        <w:rPr>
          <w:rStyle w:val="normaltextrun"/>
          <w:rFonts w:ascii="Verdana" w:hAnsi="Verdana" w:cs="Arial"/>
          <w:shd w:val="clear" w:color="auto" w:fill="FFFFFF"/>
        </w:rPr>
        <w:t xml:space="preserve"> y C-102 del 8 de julio de 2024. </w:t>
      </w:r>
      <w:r w:rsidRPr="00E278D2">
        <w:rPr>
          <w:rStyle w:val="normaltextrun"/>
          <w:rFonts w:ascii="Verdana" w:hAnsi="Verdana" w:cs="Arial"/>
          <w:shd w:val="clear" w:color="auto" w:fill="FFFFFF"/>
        </w:rPr>
        <w:t>Est</w:t>
      </w:r>
      <w:r>
        <w:rPr>
          <w:rStyle w:val="normaltextrun"/>
          <w:rFonts w:ascii="Verdana" w:hAnsi="Verdana" w:cs="Arial"/>
          <w:shd w:val="clear" w:color="auto" w:fill="FFFFFF"/>
        </w:rPr>
        <w:t>os</w:t>
      </w:r>
      <w:r w:rsidRPr="00E278D2">
        <w:rPr>
          <w:rStyle w:val="normaltextrun"/>
          <w:rFonts w:ascii="Verdana" w:hAnsi="Verdana" w:cs="Arial"/>
          <w:shd w:val="clear" w:color="auto" w:fill="FFFFFF"/>
        </w:rPr>
        <w:t xml:space="preserve"> y otros conceptos se encuentran disponibles para consulta en el Sistema de relatoría de la Agencia</w:t>
      </w:r>
      <w:r w:rsidRPr="00A1554D">
        <w:rPr>
          <w:rFonts w:ascii="Verdana" w:hAnsi="Verdana"/>
        </w:rPr>
        <w:t>, al cual puede acceder</w:t>
      </w:r>
      <w:r>
        <w:rPr>
          <w:rFonts w:ascii="Verdana" w:hAnsi="Verdana"/>
        </w:rPr>
        <w:t>se</w:t>
      </w:r>
      <w:r w:rsidRPr="00A1554D">
        <w:rPr>
          <w:rFonts w:ascii="Verdana" w:hAnsi="Verdana"/>
        </w:rPr>
        <w:t xml:space="preserve"> a través del siguiente enlace:</w:t>
      </w:r>
      <w:r w:rsidRPr="00A1554D">
        <w:rPr>
          <w:rStyle w:val="normaltextrun"/>
          <w:rFonts w:ascii="Verdana" w:hAnsi="Verdana" w:cs="Arial"/>
          <w:shd w:val="clear" w:color="auto" w:fill="FFFFFF"/>
          <w:lang w:val="es-ES"/>
        </w:rPr>
        <w:t xml:space="preserve"> </w:t>
      </w:r>
      <w:hyperlink r:id="rId12" w:history="1">
        <w:r w:rsidRPr="00A1554D">
          <w:rPr>
            <w:rStyle w:val="Hipervnculo"/>
            <w:rFonts w:ascii="Verdana" w:hAnsi="Verdana" w:cs="Arial"/>
            <w:shd w:val="clear" w:color="auto" w:fill="FFFFFF"/>
            <w:lang w:val="es-ES"/>
          </w:rPr>
          <w:t>https://relatoria.colombiacompra.gov.co/busqueda/conceptos</w:t>
        </w:r>
      </w:hyperlink>
      <w:r w:rsidRPr="00CD3D06">
        <w:rPr>
          <w:rStyle w:val="normaltextrun"/>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p>
    <w:p w14:paraId="1C3A01E7" w14:textId="77777777" w:rsidR="00E7156E" w:rsidRDefault="00E7156E" w:rsidP="00E7156E">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867C804" w14:textId="77777777" w:rsidR="00E7156E" w:rsidRPr="001205D1" w:rsidRDefault="00E7156E" w:rsidP="00E7156E">
      <w:pPr>
        <w:shd w:val="clear" w:color="auto" w:fill="FFFFFF"/>
        <w:spacing w:after="0" w:line="276" w:lineRule="auto"/>
        <w:jc w:val="both"/>
        <w:rPr>
          <w:rFonts w:ascii="Verdana" w:hAnsi="Verdana"/>
          <w:color w:val="467886"/>
          <w:u w:val="single"/>
        </w:rPr>
      </w:pPr>
      <w:r w:rsidRPr="00B83C56">
        <w:rPr>
          <w:rFonts w:ascii="Verdana" w:hAnsi="Verdana"/>
          <w:color w:val="000000"/>
        </w:rPr>
        <w:t>Te informamos que ya se encuentra disponible la </w:t>
      </w:r>
      <w:r w:rsidRPr="00B83C56">
        <w:rPr>
          <w:rFonts w:ascii="Verdana" w:hAnsi="Verdana"/>
          <w:b/>
          <w:bCs/>
          <w:color w:val="000000"/>
        </w:rPr>
        <w:t>Cartilla para incentivar y fortalecer el acceso a las compras y contratación pública de los pueblos y comunidades étnicas en Colombia.</w:t>
      </w:r>
      <w:r w:rsidRPr="00B83C56">
        <w:rPr>
          <w:rFonts w:ascii="Verdana" w:hAnsi="Verdana"/>
          <w:color w:val="000000"/>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3" w:tooltip="Original URL:&#10;https://www.colombiacompra.gov.co/manuales-guias-y-pliegos-tipo/manuales-y-guias/cartilla-para-incentivar-y-fortalecer-el-acceso-las&#10;&#10;Click to follow link." w:history="1">
        <w:r w:rsidRPr="00B83C56">
          <w:rPr>
            <w:rFonts w:ascii="Verdana" w:hAnsi="Verdana"/>
            <w:color w:val="467886"/>
            <w:u w:val="single"/>
          </w:rPr>
          <w:t>Cartilla para incentivar y fortalecer el acceso a las compras y contratación pública de los pueblos y comunidades étnicas en Colombia | Colombia Compra Eficiente | Agencia Nacional de Contratación Pública</w:t>
        </w:r>
      </w:hyperlink>
    </w:p>
    <w:p w14:paraId="40713E22" w14:textId="77777777" w:rsidR="00E7156E" w:rsidRPr="00B83C56" w:rsidRDefault="00E7156E" w:rsidP="00E7156E">
      <w:pPr>
        <w:shd w:val="clear" w:color="auto" w:fill="FFFFFF"/>
        <w:spacing w:after="0" w:line="276" w:lineRule="auto"/>
        <w:jc w:val="both"/>
        <w:rPr>
          <w:rFonts w:ascii="Verdana" w:hAnsi="Verdana"/>
          <w:color w:val="212121"/>
        </w:rPr>
      </w:pPr>
    </w:p>
    <w:p w14:paraId="536981C8" w14:textId="77777777" w:rsidR="00E7156E" w:rsidRPr="001205D1" w:rsidRDefault="00E7156E" w:rsidP="00E7156E">
      <w:pPr>
        <w:spacing w:after="0" w:line="276" w:lineRule="auto"/>
        <w:jc w:val="both"/>
        <w:rPr>
          <w:rFonts w:ascii="Verdana" w:hAnsi="Verdana"/>
          <w:color w:val="467886"/>
          <w:u w:val="single"/>
        </w:rPr>
      </w:pPr>
      <w:r w:rsidRPr="00B83C56">
        <w:rPr>
          <w:rFonts w:ascii="Verdana" w:hAnsi="Verdana"/>
          <w:color w:val="000000"/>
        </w:rPr>
        <w:t>De otra parte, te informamos que, con el objetivo de garantizar un conocimiento adecuado de las </w:t>
      </w:r>
      <w:r w:rsidRPr="00B83C56">
        <w:rPr>
          <w:rFonts w:ascii="Verdana" w:hAnsi="Verdana"/>
          <w:b/>
          <w:bCs/>
          <w:color w:val="000000"/>
        </w:rPr>
        <w:t>modificaciones y/o actualizaciones realizadas a los Documentos Tipo</w:t>
      </w:r>
      <w:r w:rsidRPr="00B83C56">
        <w:rPr>
          <w:rFonts w:ascii="Verdana" w:hAnsi="Verdana"/>
          <w:color w:val="000000"/>
        </w:rPr>
        <w:t>, hemos programado una serie de </w:t>
      </w:r>
      <w:r w:rsidRPr="00B83C56">
        <w:rPr>
          <w:rFonts w:ascii="Verdana" w:hAnsi="Verdana"/>
          <w:b/>
          <w:bCs/>
          <w:color w:val="000000"/>
        </w:rPr>
        <w:t>capacitaciones </w:t>
      </w:r>
      <w:r w:rsidRPr="00B83C56">
        <w:rPr>
          <w:rFonts w:ascii="Verdana" w:hAnsi="Verdana"/>
          <w:color w:val="000000"/>
        </w:rPr>
        <w:t>dirigidas a todos los actores involucrados en los procesos de selección. Podrás conocer la programación y realizar tu inscripción a estas capacitaciones a través del siguiente enlace: </w:t>
      </w:r>
      <w:hyperlink r:id="rId14" w:tooltip="Original URL:&#10;https://www.colombiacompra.gov.co/ciudadanos/calendario&#10;&#10;Click to follow link." w:history="1">
        <w:r w:rsidRPr="00B83C56">
          <w:rPr>
            <w:rFonts w:ascii="Verdana" w:hAnsi="Verdana"/>
            <w:color w:val="467886"/>
            <w:u w:val="single"/>
          </w:rPr>
          <w:t>Calendario | Colombia Compra Eficiente | Agencia Nacional de Contratación Pública</w:t>
        </w:r>
      </w:hyperlink>
    </w:p>
    <w:p w14:paraId="11A4B0EC" w14:textId="77777777" w:rsidR="00E7156E" w:rsidRPr="00B83C56" w:rsidRDefault="00E7156E" w:rsidP="00E7156E">
      <w:pPr>
        <w:spacing w:after="0" w:line="276" w:lineRule="auto"/>
        <w:jc w:val="both"/>
        <w:rPr>
          <w:rFonts w:ascii="Verdana" w:hAnsi="Verdana"/>
          <w:color w:val="212121"/>
        </w:rPr>
      </w:pPr>
    </w:p>
    <w:p w14:paraId="76240A59" w14:textId="77777777" w:rsidR="00E7156E" w:rsidRDefault="00E7156E" w:rsidP="00E7156E">
      <w:pPr>
        <w:widowControl w:val="0"/>
        <w:autoSpaceDE w:val="0"/>
        <w:autoSpaceDN w:val="0"/>
        <w:spacing w:after="0" w:line="276" w:lineRule="auto"/>
        <w:jc w:val="both"/>
      </w:pPr>
      <w:r w:rsidRPr="00B83C56">
        <w:rPr>
          <w:rFonts w:ascii="Verdana" w:hAnsi="Verdana"/>
          <w:color w:val="000000"/>
        </w:rPr>
        <w:t>También, te contamos que ya publicamos </w:t>
      </w:r>
      <w:r w:rsidRPr="00B83C56">
        <w:rPr>
          <w:rFonts w:ascii="Verdana" w:hAnsi="Verdana"/>
          <w:b/>
          <w:bCs/>
          <w:color w:val="000000"/>
        </w:rPr>
        <w:t>la nueva Guía de Contratación Pública Sostenible y Socialmente Responsable</w:t>
      </w:r>
      <w:r w:rsidRPr="00B83C56">
        <w:rPr>
          <w:rFonts w:ascii="Verdana" w:hAnsi="Verdana"/>
          <w:color w:val="000000"/>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ooltip="Original URL:&#10;https://www.colombiacompra.gov.co/manuales-guias-y-pliegos-tipo/manuales-y-guias/guia-de-contratacion-publica-sostenible-y-socialmente&#10;&#10;Click to follow link." w:history="1">
        <w:r w:rsidRPr="00B83C56">
          <w:rPr>
            <w:rFonts w:ascii="Verdana" w:hAnsi="Verdana"/>
            <w:color w:val="467886"/>
            <w:u w:val="single"/>
          </w:rPr>
          <w:t>Guía de Contratación Pública Sostenible y Socialmente Responsable | Colombia Compra Eficiente | Agencia Nacional de Contratación Pública</w:t>
        </w:r>
      </w:hyperlink>
    </w:p>
    <w:p w14:paraId="5FADF682" w14:textId="77777777" w:rsidR="00E7156E" w:rsidRPr="00E278D2" w:rsidRDefault="00E7156E" w:rsidP="00E7156E">
      <w:pPr>
        <w:widowControl w:val="0"/>
        <w:autoSpaceDE w:val="0"/>
        <w:autoSpaceDN w:val="0"/>
        <w:spacing w:after="0" w:line="276" w:lineRule="auto"/>
        <w:jc w:val="both"/>
        <w:rPr>
          <w:rFonts w:ascii="Verdana" w:hAnsi="Verdana" w:cs="Arial"/>
          <w:color w:val="FF0000"/>
          <w:shd w:val="clear" w:color="auto" w:fill="FFFFFF"/>
          <w:lang w:val="es-MX"/>
        </w:rPr>
      </w:pP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2FD6D4EF" w14:textId="77777777" w:rsidR="00E7156E" w:rsidRPr="00593A5F" w:rsidRDefault="00E7156E" w:rsidP="00E7156E">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5FB3AA64" w14:textId="77777777" w:rsidR="00E7156E" w:rsidRPr="00593A5F" w:rsidRDefault="00E7156E" w:rsidP="00E7156E">
      <w:pPr>
        <w:widowControl w:val="0"/>
        <w:autoSpaceDE w:val="0"/>
        <w:autoSpaceDN w:val="0"/>
        <w:spacing w:after="0" w:line="276" w:lineRule="auto"/>
        <w:jc w:val="both"/>
        <w:rPr>
          <w:rFonts w:ascii="Verdana" w:hAnsi="Verdana" w:cs="Arial"/>
        </w:rPr>
      </w:pPr>
    </w:p>
    <w:p w14:paraId="0A9CA8CE" w14:textId="77777777" w:rsidR="00E7156E" w:rsidRPr="00593A5F" w:rsidRDefault="00E7156E" w:rsidP="00E7156E">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37049E95" w14:textId="7A2C27C3" w:rsidR="00E7156E" w:rsidRPr="00593A5F" w:rsidRDefault="00767495" w:rsidP="00E7156E">
      <w:pPr>
        <w:spacing w:line="276" w:lineRule="auto"/>
        <w:jc w:val="center"/>
        <w:rPr>
          <w:rFonts w:ascii="Verdana" w:hAnsi="Verdana" w:cs="Arial"/>
          <w:color w:val="000000"/>
          <w:lang w:val="es-ES_tradnl" w:eastAsia="es-CO"/>
        </w:rPr>
      </w:pPr>
      <w:r>
        <w:rPr>
          <w:noProof/>
        </w:rPr>
        <w:lastRenderedPageBreak/>
        <w:drawing>
          <wp:inline distT="0" distB="0" distL="0" distR="0" wp14:anchorId="060D83B3" wp14:editId="4F822751">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7156E" w:rsidRPr="00593A5F" w14:paraId="50FC6E0B" w14:textId="77777777" w:rsidTr="00167DF7">
        <w:trPr>
          <w:trHeight w:val="315"/>
        </w:trPr>
        <w:tc>
          <w:tcPr>
            <w:tcW w:w="893" w:type="dxa"/>
            <w:vAlign w:val="center"/>
            <w:hideMark/>
          </w:tcPr>
          <w:p w14:paraId="4744995D" w14:textId="77777777" w:rsidR="00E7156E" w:rsidRPr="003751C7" w:rsidRDefault="00E7156E" w:rsidP="00167DF7">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DBC5975" w14:textId="77777777" w:rsidR="00E7156E" w:rsidRPr="00254A7A" w:rsidRDefault="00E7156E" w:rsidP="00167DF7">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2DC09AB9" w14:textId="77777777" w:rsidR="00E7156E" w:rsidRPr="00254A7A" w:rsidRDefault="00E7156E" w:rsidP="00167DF7">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E7156E" w:rsidRPr="00593A5F" w14:paraId="2CA27B37" w14:textId="77777777" w:rsidTr="00167DF7">
        <w:trPr>
          <w:trHeight w:val="330"/>
        </w:trPr>
        <w:tc>
          <w:tcPr>
            <w:tcW w:w="893" w:type="dxa"/>
            <w:vAlign w:val="center"/>
            <w:hideMark/>
          </w:tcPr>
          <w:p w14:paraId="7F1676BB" w14:textId="77777777" w:rsidR="00E7156E" w:rsidRPr="003751C7" w:rsidRDefault="00E7156E" w:rsidP="00167DF7">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BD5E2DD" w14:textId="77777777" w:rsidR="00E7156E" w:rsidRPr="00254A7A" w:rsidRDefault="00E7156E" w:rsidP="00167DF7">
            <w:pPr>
              <w:pStyle w:val="paragraph"/>
              <w:spacing w:after="0"/>
              <w:contextualSpacing/>
              <w:textAlignment w:val="baseline"/>
              <w:rPr>
                <w:rStyle w:val="normaltextrun"/>
                <w:rFonts w:ascii="Verdana" w:hAnsi="Verdana" w:cs="Arial"/>
                <w:sz w:val="16"/>
                <w:szCs w:val="16"/>
                <w:lang w:val="es-ES"/>
              </w:rPr>
            </w:pPr>
            <w:r w:rsidRPr="00254A7A">
              <w:rPr>
                <w:rStyle w:val="normaltextrun"/>
                <w:rFonts w:ascii="Verdana" w:hAnsi="Verdana" w:cs="Arial"/>
                <w:sz w:val="16"/>
                <w:szCs w:val="16"/>
                <w:lang w:val="es-ES"/>
              </w:rPr>
              <w:t>Alejandro Sarmiento Cantillo</w:t>
            </w:r>
          </w:p>
          <w:p w14:paraId="776D0695" w14:textId="77777777" w:rsidR="00E7156E" w:rsidRPr="00254A7A" w:rsidRDefault="00E7156E" w:rsidP="00167DF7">
            <w:pPr>
              <w:pStyle w:val="paragraph"/>
              <w:spacing w:before="0" w:beforeAutospacing="0" w:after="0" w:afterAutospacing="0"/>
              <w:contextualSpacing/>
              <w:textAlignment w:val="baseline"/>
              <w:rPr>
                <w:rFonts w:ascii="Verdana" w:hAnsi="Verdana" w:cs="Segoe UI"/>
                <w:sz w:val="16"/>
                <w:szCs w:val="16"/>
              </w:rPr>
            </w:pPr>
            <w:r w:rsidRPr="00254A7A">
              <w:rPr>
                <w:rStyle w:val="normaltextrun"/>
                <w:rFonts w:ascii="Verdana" w:hAnsi="Verdana" w:cs="Arial"/>
                <w:sz w:val="16"/>
                <w:szCs w:val="16"/>
                <w:lang w:val="es-ES"/>
              </w:rPr>
              <w:t>Gestor T1 ‒ 15 de la Subdirección de Gestión Contractual</w:t>
            </w:r>
            <w:r w:rsidRPr="00254A7A">
              <w:rPr>
                <w:rStyle w:val="eop"/>
                <w:rFonts w:ascii="Verdana" w:hAnsi="Verdana" w:cs="Arial"/>
                <w:sz w:val="16"/>
                <w:szCs w:val="16"/>
              </w:rPr>
              <w:t> </w:t>
            </w:r>
          </w:p>
        </w:tc>
      </w:tr>
      <w:tr w:rsidR="00E7156E" w:rsidRPr="00593A5F" w14:paraId="6AE0FD09" w14:textId="77777777" w:rsidTr="00167DF7">
        <w:trPr>
          <w:trHeight w:val="300"/>
        </w:trPr>
        <w:tc>
          <w:tcPr>
            <w:tcW w:w="893" w:type="dxa"/>
            <w:vAlign w:val="center"/>
          </w:tcPr>
          <w:p w14:paraId="705DB4D6" w14:textId="77777777" w:rsidR="00E7156E" w:rsidRPr="003751C7" w:rsidRDefault="00E7156E" w:rsidP="00167DF7">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5EF5700" w14:textId="77777777" w:rsidR="00E7156E" w:rsidRPr="003751C7" w:rsidRDefault="00E7156E" w:rsidP="00167DF7">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59E96BFF" w14:textId="77777777" w:rsidR="00E7156E" w:rsidRPr="003751C7" w:rsidRDefault="00E7156E" w:rsidP="00167DF7">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r w:rsidR="00E7156E" w:rsidRPr="00737FF3" w14:paraId="162ECD8F" w14:textId="77777777" w:rsidTr="00167DF7">
        <w:trPr>
          <w:trHeight w:val="300"/>
        </w:trPr>
        <w:tc>
          <w:tcPr>
            <w:tcW w:w="893" w:type="dxa"/>
            <w:vAlign w:val="center"/>
          </w:tcPr>
          <w:p w14:paraId="54583595" w14:textId="77777777" w:rsidR="00E7156E" w:rsidRPr="00737FF3" w:rsidRDefault="00E7156E" w:rsidP="00167DF7">
            <w:pPr>
              <w:contextualSpacing/>
              <w:rPr>
                <w:rFonts w:ascii="Verdana" w:hAnsi="Verdana" w:cs="Arial"/>
                <w:sz w:val="16"/>
                <w:szCs w:val="16"/>
                <w:lang w:val="es-ES" w:eastAsia="es-ES"/>
              </w:rPr>
            </w:pPr>
            <w:r w:rsidRPr="00737FF3">
              <w:rPr>
                <w:rFonts w:ascii="Verdana" w:hAnsi="Verdana" w:cs="Arial"/>
                <w:sz w:val="16"/>
                <w:szCs w:val="16"/>
                <w:lang w:val="es-ES" w:eastAsia="es-ES"/>
              </w:rPr>
              <w:t>A</w:t>
            </w:r>
            <w:r w:rsidRPr="00737FF3">
              <w:rPr>
                <w:rFonts w:ascii="Verdana" w:hAnsi="Verdana"/>
                <w:sz w:val="16"/>
                <w:szCs w:val="16"/>
                <w:lang w:val="es-ES" w:eastAsia="es-ES"/>
              </w:rPr>
              <w:t>nexos</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70C83F2" w14:textId="77777777" w:rsidR="00E7156E" w:rsidRPr="00737FF3" w:rsidRDefault="00E7156E" w:rsidP="00167DF7">
            <w:pPr>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Concepto </w:t>
            </w:r>
            <w:r w:rsidRPr="00737FF3">
              <w:rPr>
                <w:rFonts w:ascii="Verdana" w:eastAsia="Calibri" w:hAnsi="Verdana" w:cs="Arial"/>
                <w:sz w:val="16"/>
                <w:szCs w:val="16"/>
                <w:lang w:val="pt-BR" w:eastAsia="es-ES"/>
              </w:rPr>
              <w:t>2201813000007858 del 29 de agosto de 2018</w:t>
            </w:r>
          </w:p>
        </w:tc>
      </w:tr>
    </w:tbl>
    <w:p w14:paraId="1C9096FB" w14:textId="77777777" w:rsidR="00E7156E" w:rsidRPr="00593A5F" w:rsidRDefault="00E7156E" w:rsidP="00E7156E">
      <w:pPr>
        <w:spacing w:after="0" w:line="240" w:lineRule="auto"/>
        <w:rPr>
          <w:rFonts w:ascii="Verdana" w:eastAsia="Times New Roman" w:hAnsi="Verdana" w:cs="Arial"/>
          <w:sz w:val="24"/>
          <w:szCs w:val="24"/>
          <w:lang w:eastAsia="es-ES"/>
        </w:rPr>
      </w:pPr>
    </w:p>
    <w:p w14:paraId="71FCDF37" w14:textId="77777777" w:rsidR="00E7156E" w:rsidRPr="00593A5F" w:rsidRDefault="00E7156E" w:rsidP="00E7156E">
      <w:pPr>
        <w:spacing w:after="0" w:line="240" w:lineRule="auto"/>
        <w:rPr>
          <w:rFonts w:ascii="Verdana" w:eastAsia="Times New Roman" w:hAnsi="Verdana" w:cs="Arial"/>
          <w:sz w:val="24"/>
          <w:szCs w:val="24"/>
          <w:lang w:eastAsia="es-ES"/>
        </w:rPr>
      </w:pPr>
    </w:p>
    <w:p w14:paraId="3900974D" w14:textId="77777777" w:rsidR="003D5B0D" w:rsidRPr="0031226A" w:rsidRDefault="003D5B0D" w:rsidP="0031226A"/>
    <w:sectPr w:rsidR="003D5B0D" w:rsidRPr="0031226A"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64162" w14:textId="77777777" w:rsidR="00F43A23" w:rsidRDefault="00F43A23" w:rsidP="004A1847">
      <w:pPr>
        <w:spacing w:after="0" w:line="240" w:lineRule="auto"/>
      </w:pPr>
      <w:r>
        <w:separator/>
      </w:r>
    </w:p>
  </w:endnote>
  <w:endnote w:type="continuationSeparator" w:id="0">
    <w:p w14:paraId="74349F38" w14:textId="77777777" w:rsidR="00F43A23" w:rsidRDefault="00F43A23" w:rsidP="004A1847">
      <w:pPr>
        <w:spacing w:after="0" w:line="240" w:lineRule="auto"/>
      </w:pPr>
      <w:r>
        <w:continuationSeparator/>
      </w:r>
    </w:p>
  </w:endnote>
  <w:endnote w:type="continuationNotice" w:id="1">
    <w:p w14:paraId="5242C7C5" w14:textId="77777777" w:rsidR="00F43A23" w:rsidRDefault="00F43A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B9763" w14:textId="77777777" w:rsidR="00F43A23" w:rsidRDefault="00F43A23" w:rsidP="004A1847">
      <w:pPr>
        <w:spacing w:after="0" w:line="240" w:lineRule="auto"/>
      </w:pPr>
      <w:r>
        <w:separator/>
      </w:r>
    </w:p>
  </w:footnote>
  <w:footnote w:type="continuationSeparator" w:id="0">
    <w:p w14:paraId="0D15975E" w14:textId="77777777" w:rsidR="00F43A23" w:rsidRDefault="00F43A23" w:rsidP="004A1847">
      <w:pPr>
        <w:spacing w:after="0" w:line="240" w:lineRule="auto"/>
      </w:pPr>
      <w:r>
        <w:continuationSeparator/>
      </w:r>
    </w:p>
  </w:footnote>
  <w:footnote w:type="continuationNotice" w:id="1">
    <w:p w14:paraId="509C97D6" w14:textId="77777777" w:rsidR="00F43A23" w:rsidRDefault="00F43A23">
      <w:pPr>
        <w:spacing w:after="0" w:line="240" w:lineRule="auto"/>
      </w:pPr>
    </w:p>
  </w:footnote>
  <w:footnote w:id="2">
    <w:p w14:paraId="2BC06996" w14:textId="77777777" w:rsidR="00E7156E" w:rsidRPr="00C9667E" w:rsidRDefault="00E7156E" w:rsidP="00E7156E">
      <w:pPr>
        <w:pStyle w:val="Textonotapie"/>
        <w:ind w:firstLine="708"/>
        <w:jc w:val="both"/>
        <w:rPr>
          <w:rFonts w:ascii="Verdana" w:hAnsi="Verdana"/>
          <w:sz w:val="16"/>
          <w:szCs w:val="16"/>
          <w:lang w:val="es-ES"/>
        </w:rPr>
      </w:pPr>
      <w:r w:rsidRPr="00C9667E">
        <w:rPr>
          <w:rStyle w:val="Refdenotaalpie"/>
          <w:rFonts w:ascii="Verdana" w:hAnsi="Verdana"/>
          <w:sz w:val="16"/>
          <w:szCs w:val="16"/>
        </w:rPr>
        <w:footnoteRef/>
      </w:r>
      <w:r w:rsidRPr="00C9667E">
        <w:rPr>
          <w:rFonts w:ascii="Verdana" w:hAnsi="Verdana"/>
          <w:sz w:val="16"/>
          <w:szCs w:val="16"/>
        </w:rPr>
        <w:t xml:space="preserve"> </w:t>
      </w:r>
      <w:r w:rsidRPr="00C9667E">
        <w:rPr>
          <w:rFonts w:ascii="Verdana" w:hAnsi="Verdana"/>
          <w:sz w:val="16"/>
          <w:szCs w:val="16"/>
          <w:lang w:val="es-ES"/>
        </w:rPr>
        <w:t>La doctrina chilena ilustra su aplicación en los siguientes términos:</w:t>
      </w:r>
      <w:r>
        <w:rPr>
          <w:rFonts w:ascii="Verdana" w:hAnsi="Verdana"/>
          <w:sz w:val="16"/>
          <w:szCs w:val="16"/>
          <w:lang w:val="es-ES"/>
        </w:rPr>
        <w:t xml:space="preserve"> </w:t>
      </w:r>
      <w:r w:rsidRPr="00C9667E">
        <w:rPr>
          <w:rFonts w:ascii="Verdana" w:hAnsi="Verdana"/>
          <w:sz w:val="16"/>
          <w:szCs w:val="16"/>
          <w:lang w:val="es-ES"/>
        </w:rPr>
        <w:t xml:space="preserve">“La ley se ha de entender general e indistintamente. Cuando la ley no hace excepción alguna, pudiendo haberla hecho, no podemos separarnos de su disposición general por medio de una distinción que ella no ha formulado. </w:t>
      </w:r>
      <w:r w:rsidRPr="00C9667E">
        <w:rPr>
          <w:rFonts w:ascii="Verdana" w:hAnsi="Verdana"/>
          <w:i/>
          <w:iCs/>
          <w:sz w:val="16"/>
          <w:szCs w:val="16"/>
          <w:lang w:val="es-ES"/>
        </w:rPr>
        <w:t>Ubi lex non distinguit nec nos distinguere debemus</w:t>
      </w:r>
      <w:r w:rsidRPr="00C9667E">
        <w:rPr>
          <w:rFonts w:ascii="Verdana" w:hAnsi="Verdana"/>
          <w:sz w:val="16"/>
          <w:szCs w:val="16"/>
          <w:lang w:val="es-ES"/>
        </w:rPr>
        <w:t>, ‘donde la ley no distingue no puede el hombre distinguir’. ‘La extensión que deba dársele a la ley se determinará por su genuino sentido y según las reglas de interpretación precedentes’, dice el artículo 23.</w:t>
      </w:r>
    </w:p>
    <w:p w14:paraId="0F9F5C1D" w14:textId="77777777" w:rsidR="00E7156E" w:rsidRPr="00C9667E" w:rsidRDefault="00E7156E" w:rsidP="00E7156E">
      <w:pPr>
        <w:pStyle w:val="Textonotapie"/>
        <w:ind w:firstLine="708"/>
        <w:jc w:val="both"/>
        <w:rPr>
          <w:rFonts w:ascii="Verdana" w:hAnsi="Verdana"/>
          <w:sz w:val="16"/>
          <w:szCs w:val="16"/>
          <w:lang w:val="es-CO"/>
        </w:rPr>
      </w:pPr>
      <w:r w:rsidRPr="00C9667E">
        <w:rPr>
          <w:rFonts w:ascii="Verdana" w:hAnsi="Verdana"/>
          <w:sz w:val="16"/>
          <w:szCs w:val="16"/>
          <w:lang w:val="es-ES"/>
        </w:rPr>
        <w:t xml:space="preserve">En el derecho antiguo y en el derecho canónico se distinguían las leyes en favorables y odiosas, para ampliar o restringir su interpretación. </w:t>
      </w:r>
      <w:r w:rsidRPr="00C9667E">
        <w:rPr>
          <w:rFonts w:ascii="Verdana" w:hAnsi="Verdana"/>
          <w:i/>
          <w:iCs/>
          <w:sz w:val="16"/>
          <w:szCs w:val="16"/>
          <w:lang w:val="es-ES"/>
        </w:rPr>
        <w:t>Odia restringí et favores convenit ampliari</w:t>
      </w:r>
      <w:r w:rsidRPr="00C9667E">
        <w:rPr>
          <w:rFonts w:ascii="Verdana" w:hAnsi="Verdana"/>
          <w:sz w:val="16"/>
          <w:szCs w:val="16"/>
          <w:lang w:val="es-ES"/>
        </w:rPr>
        <w:t>. Según esto se tomaban las palabras en su más amplia y extensa significación en materia favorable y se procuraba limitar en lo posible, en caso de duda, en materia odiosa. Estas reglas de aplicación de las leyes eran contrarias a los principios de una correcta interpretación, que no tiene otro objeto que reconstruir el pensamiento del legislador y llegar por este medio al conocimiento completo de la ley. Por este motivo el Código no las admite […]”</w:t>
      </w:r>
      <w:r>
        <w:rPr>
          <w:rFonts w:ascii="Verdana" w:hAnsi="Verdana"/>
          <w:sz w:val="16"/>
          <w:szCs w:val="16"/>
          <w:lang w:val="es-ES"/>
        </w:rPr>
        <w:t xml:space="preserve"> (Cfr. </w:t>
      </w:r>
      <w:r w:rsidRPr="008A44AC">
        <w:rPr>
          <w:rFonts w:ascii="Verdana" w:hAnsi="Verdana"/>
          <w:sz w:val="16"/>
          <w:szCs w:val="16"/>
        </w:rPr>
        <w:t>CLARO SOLAR, Luis. Explicaciones de derecho civil chileno y comparado. Volumen I. Tomo I. Santiago: Editorial Jurídica de Chile, 2013. p. 11</w:t>
      </w:r>
      <w:r>
        <w:rPr>
          <w:rFonts w:ascii="Verdana" w:hAnsi="Verdana"/>
          <w:sz w:val="16"/>
          <w:szCs w:val="16"/>
        </w:rPr>
        <w:t>9</w:t>
      </w:r>
      <w:r w:rsidRPr="008A44AC">
        <w:rPr>
          <w:rFonts w:ascii="Verdana" w:hAnsi="Verdana"/>
          <w:sz w:val="16"/>
          <w:szCs w:val="16"/>
        </w:rPr>
        <w:t>. Énfasis dentro del texto</w:t>
      </w:r>
      <w:r>
        <w:rPr>
          <w:rFonts w:ascii="Verdana" w:hAnsi="Verdana"/>
          <w:sz w:val="16"/>
          <w:szCs w:val="16"/>
        </w:rPr>
        <w:t>).</w:t>
      </w:r>
    </w:p>
  </w:footnote>
  <w:footnote w:id="3">
    <w:p w14:paraId="6F9D75FC" w14:textId="77777777" w:rsidR="00E7156E" w:rsidRPr="00FC5438" w:rsidRDefault="00E7156E" w:rsidP="00E7156E">
      <w:pPr>
        <w:pStyle w:val="Textonotapie"/>
        <w:ind w:firstLine="709"/>
        <w:jc w:val="both"/>
        <w:rPr>
          <w:rFonts w:ascii="Verdana" w:hAnsi="Verdana" w:cs="Arial"/>
          <w:sz w:val="16"/>
          <w:szCs w:val="16"/>
        </w:rPr>
      </w:pPr>
      <w:r w:rsidRPr="00FC5438">
        <w:rPr>
          <w:rStyle w:val="Refdenotaalpie"/>
          <w:rFonts w:ascii="Verdana" w:hAnsi="Verdana" w:cs="Arial"/>
          <w:sz w:val="16"/>
          <w:szCs w:val="16"/>
        </w:rPr>
        <w:footnoteRef/>
      </w:r>
      <w:r w:rsidRPr="00FC5438">
        <w:rPr>
          <w:rFonts w:ascii="Verdana" w:hAnsi="Verdana" w:cs="Arial"/>
          <w:sz w:val="16"/>
          <w:szCs w:val="16"/>
        </w:rPr>
        <w:t xml:space="preserve">  Agencia Nacional de Contratación Pública – Colombia Compra Eficiente. Concepto C-045 del 17 de marzo de 2020. Radicado de salida No. 2202013000001974.</w:t>
      </w:r>
    </w:p>
  </w:footnote>
  <w:footnote w:id="4">
    <w:p w14:paraId="06C44042" w14:textId="77777777" w:rsidR="00E7156E" w:rsidRPr="00FC5438" w:rsidRDefault="00E7156E" w:rsidP="00E7156E">
      <w:pPr>
        <w:pStyle w:val="Textonotapie"/>
        <w:ind w:firstLine="708"/>
        <w:jc w:val="both"/>
        <w:rPr>
          <w:rFonts w:ascii="Verdana" w:hAnsi="Verdana"/>
          <w:sz w:val="16"/>
          <w:szCs w:val="16"/>
        </w:rPr>
      </w:pPr>
      <w:r w:rsidRPr="00FC5438">
        <w:rPr>
          <w:rStyle w:val="Refdenotaalpie"/>
          <w:rFonts w:ascii="Verdana" w:hAnsi="Verdana"/>
          <w:sz w:val="16"/>
          <w:szCs w:val="16"/>
        </w:rPr>
        <w:footnoteRef/>
      </w:r>
      <w:r w:rsidRPr="00FC5438">
        <w:rPr>
          <w:rFonts w:ascii="Verdana" w:hAnsi="Verdana"/>
          <w:sz w:val="16"/>
          <w:szCs w:val="16"/>
        </w:rPr>
        <w:t xml:space="preserve"> Al respecto, de acuerdo con el Concepto C-089 del 28 de abril de 2023, la Agencia estima que “el debido ejercicio de la referida potestad discrecional exige que converjan unos mínimos presupuestos de adecuación, para que resulte adecuada la decisión de limitar una convocatoria a la participación exclusiva de mipymes. Es por esto por lo que la decisión de limitar territorialmente una convocatoria solo puede resultar razonable si la información recolectada en el marco del análisis del sector indica que en el lugar de ejecución del contrato existe un número significativo de mipymes allí domiciliadas, cuyo objeto social les permitiría desarrollar el contrato o que estén interesadas en participar en el respectivo proceso de contratación. Adicionalmente, se torna relevante determinar que tantas de esas mipymes tendrían la posibilidad de participar en el respectivo proceso de contratación en consideración en atención a las aptitudes e idoneidad requerida.  De acuerdo con lo anterior, difícilmente podría entenderse adecuada la decisión de limitar una convocatoria por el referido factor territorial, si dentro del estudio del sector no se identifican una pluralidad de mipymes que estén en posición de participar en el respectivo proceso.</w:t>
      </w:r>
    </w:p>
    <w:p w14:paraId="31E1D342" w14:textId="77777777" w:rsidR="00E7156E" w:rsidRPr="00FC5438" w:rsidRDefault="00E7156E" w:rsidP="00E7156E">
      <w:pPr>
        <w:pStyle w:val="Textonotapie"/>
        <w:ind w:firstLine="708"/>
        <w:jc w:val="both"/>
        <w:rPr>
          <w:rFonts w:ascii="Verdana" w:hAnsi="Verdana"/>
          <w:sz w:val="16"/>
          <w:szCs w:val="16"/>
        </w:rPr>
      </w:pPr>
      <w:r w:rsidRPr="00FC5438">
        <w:rPr>
          <w:rFonts w:ascii="Verdana" w:hAnsi="Verdana"/>
          <w:sz w:val="16"/>
          <w:szCs w:val="16"/>
        </w:rPr>
        <w:t>En atención a lo anterior, situaciones en las que se presentan un ejercicio de la potestad de limitar a mipymes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footnote>
  <w:footnote w:id="5">
    <w:p w14:paraId="3F72560E" w14:textId="77777777" w:rsidR="00E7156E" w:rsidRPr="00FC5438" w:rsidRDefault="00E7156E" w:rsidP="00E7156E">
      <w:pPr>
        <w:pStyle w:val="Textonotapie"/>
        <w:ind w:firstLine="708"/>
        <w:jc w:val="both"/>
        <w:rPr>
          <w:rFonts w:ascii="Verdana" w:hAnsi="Verdana" w:cs="Arial"/>
          <w:sz w:val="16"/>
          <w:szCs w:val="16"/>
        </w:rPr>
      </w:pPr>
      <w:r w:rsidRPr="00FC5438">
        <w:rPr>
          <w:rStyle w:val="Refdenotaalpie"/>
          <w:rFonts w:ascii="Verdana" w:hAnsi="Verdana" w:cs="Arial"/>
          <w:sz w:val="16"/>
          <w:szCs w:val="16"/>
        </w:rPr>
        <w:footnoteRef/>
      </w:r>
      <w:r w:rsidRPr="00FC5438">
        <w:rPr>
          <w:rFonts w:ascii="Verdana" w:hAnsi="Verdana" w:cs="Arial"/>
          <w:sz w:val="16"/>
          <w:szCs w:val="16"/>
        </w:rPr>
        <w:t xml:space="preserve"> Para estos efectos, la doctrina explica que “[…] la discrecionalidad hace referencia a una decisión o disposición administrativa adoptada dentro un margen de libre apreciación dejado por el ordenamiento jurídico (es decir, hay varias soluciones válidas en Derecho, entre las que la administración puede elegir libremente, aunque justificando su decisión). Cualquiera de las soluciones adoptadas dentro del ámbito de legítima discrecionalidad son igualmente admisibles en Derecho, y todas ellas tienen el mismo valor jurídico. Siempre que no desborde el ámbito de discrecionalidad, la Administración puede decidir utilizando criterios de conveniencia u oportunidad (por lo que la discrecionalidad es la puerta de entrada en la pirámide del ordenamiento de consideraciones de política administrativa o de carácter metajurídico)” (BLANQUER, David. Derecho administrativo: el fin, los medios y el control. Tomo I. Valencia: Tirant lo Blanch, 2010. p. 191).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169D84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244691155" o:spid="_x0000_i1025" type="#_x0000_t75" style="width:11.45pt;height:11.45pt;visibility:visible;mso-wrap-style:square">
            <v:imagedata r:id="rId1" o:title=""/>
          </v:shape>
        </w:pict>
      </mc:Choice>
      <mc:Fallback>
        <w:drawing>
          <wp:inline distT="0" distB="0" distL="0" distR="0" wp14:anchorId="2C5CE75F" wp14:editId="0324F165">
            <wp:extent cx="145415" cy="145415"/>
            <wp:effectExtent l="0" t="0" r="0" b="0"/>
            <wp:docPr id="1244691155" name="Imagen 124469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415" cy="14541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0FCF"/>
    <w:rsid w:val="00061B2A"/>
    <w:rsid w:val="00082362"/>
    <w:rsid w:val="000A683E"/>
    <w:rsid w:val="000B19B9"/>
    <w:rsid w:val="000D0334"/>
    <w:rsid w:val="000F3BDA"/>
    <w:rsid w:val="000F6486"/>
    <w:rsid w:val="00125105"/>
    <w:rsid w:val="00127233"/>
    <w:rsid w:val="001511A0"/>
    <w:rsid w:val="001E4177"/>
    <w:rsid w:val="001F7DC6"/>
    <w:rsid w:val="00206495"/>
    <w:rsid w:val="002404AE"/>
    <w:rsid w:val="002421BB"/>
    <w:rsid w:val="00257478"/>
    <w:rsid w:val="0025796E"/>
    <w:rsid w:val="002707A2"/>
    <w:rsid w:val="002951A0"/>
    <w:rsid w:val="002962BC"/>
    <w:rsid w:val="002A093D"/>
    <w:rsid w:val="002A0DD0"/>
    <w:rsid w:val="002A49AC"/>
    <w:rsid w:val="002A64FD"/>
    <w:rsid w:val="002C15B1"/>
    <w:rsid w:val="002C7A84"/>
    <w:rsid w:val="002E4FD9"/>
    <w:rsid w:val="0031226A"/>
    <w:rsid w:val="00322A85"/>
    <w:rsid w:val="00324168"/>
    <w:rsid w:val="003448F4"/>
    <w:rsid w:val="00374F5E"/>
    <w:rsid w:val="00377E3E"/>
    <w:rsid w:val="003A779E"/>
    <w:rsid w:val="003D097D"/>
    <w:rsid w:val="003D0F4D"/>
    <w:rsid w:val="003D5B0D"/>
    <w:rsid w:val="003E0499"/>
    <w:rsid w:val="003F3941"/>
    <w:rsid w:val="00406575"/>
    <w:rsid w:val="00414C74"/>
    <w:rsid w:val="0042722E"/>
    <w:rsid w:val="0044528D"/>
    <w:rsid w:val="004920F3"/>
    <w:rsid w:val="004A1847"/>
    <w:rsid w:val="004A305D"/>
    <w:rsid w:val="004E13E7"/>
    <w:rsid w:val="004F21C4"/>
    <w:rsid w:val="004F685F"/>
    <w:rsid w:val="005058CF"/>
    <w:rsid w:val="00536AD9"/>
    <w:rsid w:val="005566E8"/>
    <w:rsid w:val="00574867"/>
    <w:rsid w:val="00591460"/>
    <w:rsid w:val="005B182F"/>
    <w:rsid w:val="005B3816"/>
    <w:rsid w:val="005C3777"/>
    <w:rsid w:val="005C5CDC"/>
    <w:rsid w:val="005D476C"/>
    <w:rsid w:val="006219F8"/>
    <w:rsid w:val="006373FD"/>
    <w:rsid w:val="00665D70"/>
    <w:rsid w:val="006900D9"/>
    <w:rsid w:val="006C588B"/>
    <w:rsid w:val="006E369B"/>
    <w:rsid w:val="00706C16"/>
    <w:rsid w:val="00741C9A"/>
    <w:rsid w:val="00756841"/>
    <w:rsid w:val="007649AB"/>
    <w:rsid w:val="00767495"/>
    <w:rsid w:val="00771D0C"/>
    <w:rsid w:val="007833AC"/>
    <w:rsid w:val="007B268C"/>
    <w:rsid w:val="007B7171"/>
    <w:rsid w:val="007C0C0F"/>
    <w:rsid w:val="007C3DC2"/>
    <w:rsid w:val="007E5497"/>
    <w:rsid w:val="00806F5F"/>
    <w:rsid w:val="00820278"/>
    <w:rsid w:val="0083436F"/>
    <w:rsid w:val="00867F95"/>
    <w:rsid w:val="008843B6"/>
    <w:rsid w:val="00891928"/>
    <w:rsid w:val="008A446D"/>
    <w:rsid w:val="008D180B"/>
    <w:rsid w:val="008F0EA7"/>
    <w:rsid w:val="00923EEF"/>
    <w:rsid w:val="009419F9"/>
    <w:rsid w:val="0095685E"/>
    <w:rsid w:val="00961B09"/>
    <w:rsid w:val="00965334"/>
    <w:rsid w:val="0097093E"/>
    <w:rsid w:val="00986AC5"/>
    <w:rsid w:val="0099311D"/>
    <w:rsid w:val="009A0DFA"/>
    <w:rsid w:val="009A4BA4"/>
    <w:rsid w:val="009A7EFF"/>
    <w:rsid w:val="009B2D26"/>
    <w:rsid w:val="009C71FA"/>
    <w:rsid w:val="009C72E7"/>
    <w:rsid w:val="009D3058"/>
    <w:rsid w:val="009F3A13"/>
    <w:rsid w:val="00A122D3"/>
    <w:rsid w:val="00A17F13"/>
    <w:rsid w:val="00A20739"/>
    <w:rsid w:val="00A33C78"/>
    <w:rsid w:val="00AB0ADB"/>
    <w:rsid w:val="00AE779E"/>
    <w:rsid w:val="00B01B1A"/>
    <w:rsid w:val="00B54089"/>
    <w:rsid w:val="00B66319"/>
    <w:rsid w:val="00B72CD3"/>
    <w:rsid w:val="00B72FFF"/>
    <w:rsid w:val="00BC3D36"/>
    <w:rsid w:val="00BD7F72"/>
    <w:rsid w:val="00C04FB3"/>
    <w:rsid w:val="00C330EB"/>
    <w:rsid w:val="00C41061"/>
    <w:rsid w:val="00C754BE"/>
    <w:rsid w:val="00C76B1C"/>
    <w:rsid w:val="00CB6357"/>
    <w:rsid w:val="00CC1B26"/>
    <w:rsid w:val="00D24E3A"/>
    <w:rsid w:val="00D423A2"/>
    <w:rsid w:val="00D520D8"/>
    <w:rsid w:val="00D63AC2"/>
    <w:rsid w:val="00D7383B"/>
    <w:rsid w:val="00D92F7F"/>
    <w:rsid w:val="00DA231B"/>
    <w:rsid w:val="00DB7D04"/>
    <w:rsid w:val="00DC39FC"/>
    <w:rsid w:val="00DF5254"/>
    <w:rsid w:val="00E16408"/>
    <w:rsid w:val="00E20894"/>
    <w:rsid w:val="00E22E3F"/>
    <w:rsid w:val="00E245AB"/>
    <w:rsid w:val="00E2764C"/>
    <w:rsid w:val="00E27F2E"/>
    <w:rsid w:val="00E360F7"/>
    <w:rsid w:val="00E50AFE"/>
    <w:rsid w:val="00E7156E"/>
    <w:rsid w:val="00E75C92"/>
    <w:rsid w:val="00E771DC"/>
    <w:rsid w:val="00E8772A"/>
    <w:rsid w:val="00E90F6B"/>
    <w:rsid w:val="00E92C27"/>
    <w:rsid w:val="00E93961"/>
    <w:rsid w:val="00EA0E3D"/>
    <w:rsid w:val="00EC38A7"/>
    <w:rsid w:val="00ED46AA"/>
    <w:rsid w:val="00ED7384"/>
    <w:rsid w:val="00EE1AA8"/>
    <w:rsid w:val="00F31EDC"/>
    <w:rsid w:val="00F43A23"/>
    <w:rsid w:val="00F462B3"/>
    <w:rsid w:val="00F5664F"/>
    <w:rsid w:val="00F666C4"/>
    <w:rsid w:val="00F76AFC"/>
    <w:rsid w:val="00FA47C0"/>
    <w:rsid w:val="00FB5DD1"/>
    <w:rsid w:val="00FB7A12"/>
    <w:rsid w:val="00FC2B5D"/>
    <w:rsid w:val="00FF1449"/>
    <w:rsid w:val="4B3F5FD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7156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7156E"/>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juan.montoya%40colombiacompra.gov.co%7Ceb0fd05604104aa4d3bc08dd4c4ad35e%7C7b09041e245149d08cb179d5e3d8c1be%7C0%7C0%7C638750606446805443%7CUnknown%7CTWFpbGZsb3d8eyJFbXB0eU1hcGkiOnRydWUsIlYiOiIwLjAuMDAwMCIsIlAiOiJXaW4zMiIsIkFOIjoiTWFpbCIsIldUIjoyfQ%3D%3D%7C0%7C%7C%7C&amp;sdata=aNKgiDSBCbWJOeTv6tQWQstEy2hc8AFY0zDQCYvu25I%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serrano@idiger.gov.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juan.montoya%40colombiacompra.gov.co%7Ceb0fd05604104aa4d3bc08dd4c4ad35e%7C7b09041e245149d08cb179d5e3d8c1be%7C0%7C0%7C638750606446845819%7CUnknown%7CTWFpbGZsb3d8eyJFbXB0eU1hcGkiOnRydWUsIlYiOiIwLjAuMDAwMCIsIlAiOiJXaW4zMiIsIkFOIjoiTWFpbCIsIldUIjoyfQ%3D%3D%7C0%7C%7C%7C&amp;sdata=KytnSM1zbLq%2BmYOhRHdk77F%2Bxj6KqJMZh%2FiXoPvcoW4%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juan.montoya%40colombiacompra.gov.co%7Ceb0fd05604104aa4d3bc08dd4c4ad35e%7C7b09041e245149d08cb179d5e3d8c1be%7C0%7C0%7C638750606446827566%7CUnknown%7CTWFpbGZsb3d8eyJFbXB0eU1hcGkiOnRydWUsIlYiOiIwLjAuMDAwMCIsIlAiOiJXaW4zMiIsIkFOIjoiTWFpbCIsIldUIjoyfQ%3D%3D%7C0%7C%7C%7C&amp;sdata=sjhVaeK%2F2kWlw27KYSrZxbZhdbXyWT7upgntlR76IXE%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1DC76F-C2EF-4619-95AE-5A392B5042C6}"/>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77809766-ac6d-4ce8-98c1-d4e144f8be2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5017</Words>
  <Characters>27594</Characters>
  <Application>Microsoft Office Word</Application>
  <DocSecurity>0</DocSecurity>
  <Lines>229</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8</cp:revision>
  <cp:lastPrinted>2023-01-10T21:18:00Z</cp:lastPrinted>
  <dcterms:created xsi:type="dcterms:W3CDTF">2025-06-18T23:16:00Z</dcterms:created>
  <dcterms:modified xsi:type="dcterms:W3CDTF">2025-06-19T13:48:00Z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