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EE9E05" w14:textId="77777777" w:rsidR="00A52A9A" w:rsidRPr="0047640A" w:rsidRDefault="00A52A9A" w:rsidP="00A52A9A">
      <w:pPr>
        <w:spacing w:after="0" w:line="240" w:lineRule="auto"/>
        <w:jc w:val="both"/>
        <w:rPr>
          <w:rFonts w:ascii="Verdana" w:hAnsi="Verdana" w:cs="Arial"/>
          <w:b/>
          <w:lang w:val="es-ES_tradnl" w:eastAsia="es-ES"/>
        </w:rPr>
      </w:pPr>
      <w:r w:rsidRPr="0047640A">
        <w:rPr>
          <w:rFonts w:ascii="Verdana" w:hAnsi="Verdana" w:cs="Arial"/>
          <w:b/>
          <w:lang w:val="es-ES_tradnl" w:eastAsia="es-ES"/>
        </w:rPr>
        <w:t xml:space="preserve">LIQUIDACIÓN DEL CONTRATO – Definición – Objetivo </w:t>
      </w:r>
    </w:p>
    <w:p w14:paraId="7A30F935" w14:textId="77777777" w:rsidR="00A52A9A" w:rsidRPr="0047640A" w:rsidRDefault="00A52A9A" w:rsidP="00A52A9A">
      <w:pPr>
        <w:spacing w:after="0" w:line="240" w:lineRule="auto"/>
        <w:jc w:val="both"/>
        <w:rPr>
          <w:rFonts w:ascii="Verdana" w:hAnsi="Verdana" w:cs="Arial"/>
          <w:b/>
          <w:sz w:val="16"/>
          <w:szCs w:val="16"/>
          <w:lang w:val="es-ES_tradnl" w:eastAsia="es-ES"/>
        </w:rPr>
      </w:pPr>
    </w:p>
    <w:p w14:paraId="43D56CD3" w14:textId="77777777" w:rsidR="00A52A9A" w:rsidRPr="0047640A" w:rsidRDefault="00A52A9A" w:rsidP="00A52A9A">
      <w:pPr>
        <w:spacing w:after="0" w:line="240" w:lineRule="auto"/>
        <w:jc w:val="both"/>
        <w:rPr>
          <w:rFonts w:ascii="Verdana" w:hAnsi="Verdana" w:cs="Arial"/>
          <w:sz w:val="20"/>
          <w:szCs w:val="20"/>
          <w:lang w:val="es-ES"/>
        </w:rPr>
      </w:pPr>
      <w:r w:rsidRPr="0047640A">
        <w:rPr>
          <w:rFonts w:ascii="Verdana" w:hAnsi="Verdana" w:cs="Arial"/>
          <w:sz w:val="20"/>
          <w:szCs w:val="20"/>
          <w:lang w:val="es-ES"/>
        </w:rPr>
        <w:t xml:space="preserve">La liquidación del contrato estatal es el ajuste de cuentas en el cual se realiza un balance económico, técnico y jurídico del negocio. Así lo manifestó el Consejo de Estado en la sentencia del 20 de octubre de 2014, en la que consideró, por un lado, que </w:t>
      </w:r>
      <w:r w:rsidRPr="0047640A">
        <w:rPr>
          <w:rFonts w:ascii="Verdana" w:hAnsi="Verdana" w:cs="Arial"/>
          <w:i/>
          <w:iCs/>
          <w:sz w:val="20"/>
          <w:szCs w:val="20"/>
          <w:lang w:val="es-ES"/>
        </w:rPr>
        <w:t>liquidar</w:t>
      </w:r>
      <w:r w:rsidRPr="0047640A">
        <w:rPr>
          <w:rFonts w:ascii="Verdana" w:hAnsi="Verdana" w:cs="Arial"/>
          <w:sz w:val="20"/>
          <w:szCs w:val="20"/>
          <w:lang w:val="es-ES"/>
        </w:rPr>
        <w:t xml:space="preserve"> supone un ajuste en relación con las cuentas y el estado de cumplimiento del contrato estatal y, por otro, que la </w:t>
      </w:r>
      <w:r w:rsidRPr="0047640A">
        <w:rPr>
          <w:rFonts w:ascii="Verdana" w:hAnsi="Verdana" w:cs="Arial"/>
          <w:i/>
          <w:iCs/>
          <w:sz w:val="20"/>
          <w:szCs w:val="20"/>
          <w:lang w:val="es-ES"/>
        </w:rPr>
        <w:t>liquidación</w:t>
      </w:r>
      <w:r w:rsidRPr="0047640A">
        <w:rPr>
          <w:rFonts w:ascii="Verdana" w:hAnsi="Verdana" w:cs="Arial"/>
          <w:sz w:val="20"/>
          <w:szCs w:val="20"/>
          <w:lang w:val="es-ES"/>
        </w:rPr>
        <w:t xml:space="preserve"> debe incluir el análisis de las condiciones de calidad y oportunidad en la entrega de los bienes, obras o servicios, así como el balance económico y el comportamiento financiero del negocio.</w:t>
      </w:r>
    </w:p>
    <w:p w14:paraId="6DBCBD2E" w14:textId="77777777" w:rsidR="00A52A9A" w:rsidRPr="0047640A" w:rsidRDefault="00A52A9A" w:rsidP="00A52A9A">
      <w:pPr>
        <w:spacing w:after="0" w:line="240" w:lineRule="auto"/>
        <w:jc w:val="both"/>
        <w:rPr>
          <w:rFonts w:ascii="Verdana" w:hAnsi="Verdana" w:cs="Arial"/>
          <w:sz w:val="20"/>
          <w:szCs w:val="20"/>
          <w:lang w:val="es-ES_tradnl" w:eastAsia="es-ES"/>
        </w:rPr>
      </w:pPr>
    </w:p>
    <w:p w14:paraId="7CB28871" w14:textId="77777777" w:rsidR="00A52A9A" w:rsidRPr="0047640A" w:rsidRDefault="00A52A9A" w:rsidP="00A52A9A">
      <w:pPr>
        <w:spacing w:after="0" w:line="240" w:lineRule="auto"/>
        <w:jc w:val="both"/>
        <w:rPr>
          <w:rFonts w:ascii="Verdana" w:hAnsi="Verdana" w:cs="Arial"/>
          <w:b/>
          <w:lang w:val="es-ES_tradnl" w:eastAsia="es-ES"/>
        </w:rPr>
      </w:pPr>
      <w:r w:rsidRPr="0047640A">
        <w:rPr>
          <w:rFonts w:ascii="Verdana" w:hAnsi="Verdana" w:cs="Arial"/>
          <w:b/>
          <w:lang w:val="es-ES_tradnl" w:eastAsia="es-ES"/>
        </w:rPr>
        <w:t xml:space="preserve">LIQUIDACIÓN DEL CONTRATO – Normativa </w:t>
      </w:r>
    </w:p>
    <w:p w14:paraId="68294545" w14:textId="77777777" w:rsidR="00A52A9A" w:rsidRPr="0047640A" w:rsidRDefault="00A52A9A" w:rsidP="00A52A9A">
      <w:pPr>
        <w:spacing w:after="0" w:line="240" w:lineRule="auto"/>
        <w:jc w:val="both"/>
        <w:rPr>
          <w:rFonts w:ascii="Verdana" w:hAnsi="Verdana" w:cs="Arial"/>
          <w:sz w:val="20"/>
          <w:szCs w:val="20"/>
          <w:lang w:val="es-ES_tradnl" w:eastAsia="es-ES"/>
        </w:rPr>
      </w:pPr>
    </w:p>
    <w:p w14:paraId="12534967" w14:textId="77777777" w:rsidR="00A52A9A" w:rsidRPr="0047640A" w:rsidRDefault="00A52A9A" w:rsidP="00A52A9A">
      <w:pPr>
        <w:spacing w:after="0" w:line="240" w:lineRule="auto"/>
        <w:jc w:val="both"/>
        <w:rPr>
          <w:rFonts w:ascii="Verdana" w:hAnsi="Verdana" w:cs="Arial"/>
          <w:sz w:val="20"/>
          <w:szCs w:val="20"/>
          <w:lang w:val="es-ES" w:eastAsia="es-ES"/>
        </w:rPr>
      </w:pPr>
      <w:r w:rsidRPr="0047640A">
        <w:rPr>
          <w:rFonts w:ascii="Verdana" w:hAnsi="Verdana" w:cs="Arial"/>
          <w:sz w:val="20"/>
          <w:szCs w:val="20"/>
          <w:lang w:val="es-ES" w:eastAsia="es-ES"/>
        </w:rPr>
        <w:t>Las disposiciones legales que regulan la etapa de liquidación de los contratos estatales son: el artículo 60 de la Ley 80 de 1993, modificado por el artículo 217 del Decreto 019 de 2012, y el artículo 11 de la Ley 1150 de 2007. El primero de estos artículos se refiere al alcance sustantivo de la liquidación, mientras que el segundo contiene reglas procedimentales para su realización. De acuerdo con el artículo 60 de la Ley 80 de 1993, los contratos de tracto sucesivo, aquellos cuyo cumplimiento o ejecución se prolongue en el tiempo y los demás que lo requieran «serán objeto de liquidación». El mismo artículo prescribe que no será obligatoria la liquidación en los contratos de prestación de servicios profesionales y de apoyo a la gestión. El artículo 11 de la Ley 1150 de 2007 contiene las reglas de tipo procedimental para liquidar los contratos estatales, […].</w:t>
      </w:r>
    </w:p>
    <w:p w14:paraId="2033A606" w14:textId="77777777" w:rsidR="00A52A9A" w:rsidRPr="0047640A" w:rsidRDefault="00A52A9A" w:rsidP="00A52A9A">
      <w:pPr>
        <w:spacing w:after="0" w:line="240" w:lineRule="auto"/>
        <w:jc w:val="both"/>
        <w:rPr>
          <w:rFonts w:ascii="Verdana" w:hAnsi="Verdana" w:cs="Arial"/>
          <w:b/>
          <w:lang w:val="es-ES_tradnl" w:eastAsia="es-ES"/>
        </w:rPr>
      </w:pPr>
    </w:p>
    <w:p w14:paraId="7874F118" w14:textId="77777777" w:rsidR="00A52A9A" w:rsidRPr="0047640A" w:rsidRDefault="00A52A9A" w:rsidP="00A52A9A">
      <w:pPr>
        <w:spacing w:after="0" w:line="240" w:lineRule="auto"/>
        <w:jc w:val="both"/>
        <w:rPr>
          <w:rFonts w:ascii="Verdana" w:hAnsi="Verdana" w:cs="Arial"/>
          <w:b/>
          <w:lang w:val="es-ES_tradnl" w:eastAsia="es-ES"/>
        </w:rPr>
      </w:pPr>
      <w:r w:rsidRPr="0047640A">
        <w:rPr>
          <w:rFonts w:ascii="Verdana" w:hAnsi="Verdana" w:cs="Arial"/>
          <w:b/>
          <w:lang w:val="es-ES_tradnl" w:eastAsia="es-ES"/>
        </w:rPr>
        <w:t>LIQUIDACIÓN DEL CONTRATO – Tipos – Bilateral – Unilateral – Judicial</w:t>
      </w:r>
    </w:p>
    <w:p w14:paraId="39521969" w14:textId="77777777" w:rsidR="00A52A9A" w:rsidRPr="0047640A" w:rsidRDefault="00A52A9A" w:rsidP="00A52A9A">
      <w:pPr>
        <w:spacing w:after="0" w:line="240" w:lineRule="auto"/>
        <w:jc w:val="both"/>
        <w:rPr>
          <w:rFonts w:ascii="Verdana" w:hAnsi="Verdana" w:cs="Arial"/>
          <w:b/>
          <w:lang w:val="es-ES_tradnl" w:eastAsia="es-ES"/>
        </w:rPr>
      </w:pPr>
    </w:p>
    <w:p w14:paraId="1DA59602" w14:textId="77777777" w:rsidR="00A52A9A" w:rsidRPr="005F05A0" w:rsidRDefault="00A52A9A" w:rsidP="00A52A9A">
      <w:pPr>
        <w:spacing w:after="0" w:line="240" w:lineRule="auto"/>
        <w:jc w:val="both"/>
        <w:rPr>
          <w:rFonts w:ascii="Verdana" w:hAnsi="Verdana" w:cs="Arial"/>
          <w:sz w:val="20"/>
          <w:szCs w:val="20"/>
          <w:lang w:val="es-ES" w:eastAsia="es-ES"/>
        </w:rPr>
      </w:pPr>
      <w:r w:rsidRPr="0047640A">
        <w:rPr>
          <w:rFonts w:ascii="Verdana" w:hAnsi="Verdana" w:cs="Arial"/>
          <w:sz w:val="20"/>
          <w:szCs w:val="20"/>
          <w:lang w:val="es-ES" w:eastAsia="es-ES"/>
        </w:rPr>
        <w:t xml:space="preserve">En suma, de acuerdo con el artículo 11 de la Ley 1150 de 2007, existen tres tipos de liquidación: i) bilateral, </w:t>
      </w:r>
      <w:proofErr w:type="spellStart"/>
      <w:r w:rsidRPr="0047640A">
        <w:rPr>
          <w:rFonts w:ascii="Verdana" w:hAnsi="Verdana" w:cs="Arial"/>
          <w:sz w:val="20"/>
          <w:szCs w:val="20"/>
          <w:lang w:val="es-ES" w:eastAsia="es-ES"/>
        </w:rPr>
        <w:t>ii</w:t>
      </w:r>
      <w:proofErr w:type="spellEnd"/>
      <w:r w:rsidRPr="0047640A">
        <w:rPr>
          <w:rFonts w:ascii="Verdana" w:hAnsi="Verdana" w:cs="Arial"/>
          <w:sz w:val="20"/>
          <w:szCs w:val="20"/>
          <w:lang w:val="es-ES" w:eastAsia="es-ES"/>
        </w:rPr>
        <w:t xml:space="preserve">) unilateral y </w:t>
      </w:r>
      <w:proofErr w:type="spellStart"/>
      <w:r w:rsidRPr="0047640A">
        <w:rPr>
          <w:rFonts w:ascii="Verdana" w:hAnsi="Verdana" w:cs="Arial"/>
          <w:sz w:val="20"/>
          <w:szCs w:val="20"/>
          <w:lang w:val="es-ES" w:eastAsia="es-ES"/>
        </w:rPr>
        <w:t>iii</w:t>
      </w:r>
      <w:proofErr w:type="spellEnd"/>
      <w:r w:rsidRPr="0047640A">
        <w:rPr>
          <w:rFonts w:ascii="Verdana" w:hAnsi="Verdana" w:cs="Arial"/>
          <w:sz w:val="20"/>
          <w:szCs w:val="20"/>
          <w:lang w:val="es-ES" w:eastAsia="es-ES"/>
        </w:rPr>
        <w:t>) judicial. En términos generales, la primera, que puede ser total o parcial, debe hacerse en el término que estipulen las partes o, en su defecto, dentro del término supletivo de cuatro meses. La segunda se debe practicar dentro de los dos meses siguientes al vencimiento del término que acuerden las partes, o ante el silencio de estas, luego de los cuatro meses para realizar la liquidación bilateral, sin que esta se efectúe. Finalmente, la tercera la realiza la Jurisdicción de lo Contencioso Administrativo o un tribunal de arbitramento dentro de un proceso judicial de controversias contractuales, y puede darse con ocasión de una demanda del interesado solicitando dicha liquidación. Para ello, existe un plazo máximo de 2 años contados a partir de los dos meses establecidos en la Ley para realizar la liquidación unilateral, de conformidad con el citado auto de unificación jurisprudencial del Consejo de Estado.</w:t>
      </w:r>
    </w:p>
    <w:p w14:paraId="74787B6D" w14:textId="77777777" w:rsidR="00A52A9A" w:rsidRDefault="00A52A9A" w:rsidP="00A52A9A">
      <w:pPr>
        <w:spacing w:after="0" w:line="240" w:lineRule="auto"/>
        <w:rPr>
          <w:rFonts w:ascii="Verdana" w:hAnsi="Verdana"/>
          <w:lang w:val="es-ES"/>
        </w:rPr>
      </w:pPr>
    </w:p>
    <w:p w14:paraId="4D240759" w14:textId="77777777" w:rsidR="00A52A9A" w:rsidRDefault="00A52A9A" w:rsidP="00A52A9A">
      <w:pPr>
        <w:spacing w:after="0" w:line="240" w:lineRule="auto"/>
        <w:jc w:val="both"/>
        <w:rPr>
          <w:rFonts w:ascii="Verdana" w:hAnsi="Verdana" w:cs="Arial"/>
          <w:b/>
          <w:lang w:val="es-ES_tradnl" w:eastAsia="es-ES"/>
        </w:rPr>
      </w:pPr>
      <w:r w:rsidRPr="002E6E2F">
        <w:rPr>
          <w:rFonts w:ascii="Verdana" w:hAnsi="Verdana" w:cs="Arial"/>
          <w:b/>
          <w:lang w:val="es-ES_tradnl" w:eastAsia="es-ES"/>
        </w:rPr>
        <w:t xml:space="preserve">CADUCIDAD DEL MEDIO DE CONTROL DE CONTROVERSIAS CONTRACTUALES </w:t>
      </w:r>
      <w:r w:rsidRPr="0047640A">
        <w:rPr>
          <w:rFonts w:ascii="Verdana" w:hAnsi="Verdana" w:cs="Arial"/>
          <w:b/>
          <w:lang w:val="es-ES_tradnl" w:eastAsia="es-ES"/>
        </w:rPr>
        <w:t>–</w:t>
      </w:r>
      <w:r>
        <w:rPr>
          <w:rFonts w:ascii="Verdana" w:hAnsi="Verdana" w:cs="Arial"/>
          <w:b/>
          <w:lang w:val="es-ES_tradnl" w:eastAsia="es-ES"/>
        </w:rPr>
        <w:t xml:space="preserve"> Pérdida de</w:t>
      </w:r>
      <w:r w:rsidRPr="002E6E2F">
        <w:rPr>
          <w:rFonts w:ascii="Verdana" w:hAnsi="Verdana" w:cs="Arial"/>
          <w:b/>
          <w:lang w:val="es-ES_tradnl" w:eastAsia="es-ES"/>
        </w:rPr>
        <w:t xml:space="preserve"> </w:t>
      </w:r>
      <w:r>
        <w:rPr>
          <w:rFonts w:ascii="Verdana" w:hAnsi="Verdana" w:cs="Arial"/>
          <w:b/>
          <w:lang w:val="es-ES_tradnl" w:eastAsia="es-ES"/>
        </w:rPr>
        <w:t>c</w:t>
      </w:r>
      <w:r w:rsidRPr="002E6E2F">
        <w:rPr>
          <w:rFonts w:ascii="Verdana" w:hAnsi="Verdana" w:cs="Arial"/>
          <w:b/>
          <w:lang w:val="es-ES_tradnl" w:eastAsia="es-ES"/>
        </w:rPr>
        <w:t>ompetencia para liquidar el contrato</w:t>
      </w:r>
    </w:p>
    <w:p w14:paraId="7A3AB9D2" w14:textId="77777777" w:rsidR="00A52A9A" w:rsidRDefault="00A52A9A" w:rsidP="00A52A9A">
      <w:pPr>
        <w:spacing w:after="0" w:line="240" w:lineRule="auto"/>
        <w:jc w:val="both"/>
        <w:rPr>
          <w:rFonts w:ascii="Verdana" w:hAnsi="Verdana" w:cs="Arial"/>
          <w:b/>
          <w:lang w:val="es-ES_tradnl" w:eastAsia="es-ES"/>
        </w:rPr>
      </w:pPr>
    </w:p>
    <w:p w14:paraId="39F79AFC" w14:textId="77777777" w:rsidR="00A52A9A" w:rsidRPr="00136BCB" w:rsidRDefault="00A52A9A" w:rsidP="00A52A9A">
      <w:pPr>
        <w:spacing w:after="0" w:line="240" w:lineRule="auto"/>
        <w:jc w:val="both"/>
        <w:rPr>
          <w:rFonts w:ascii="Verdana" w:hAnsi="Verdana" w:cs="Arial"/>
          <w:sz w:val="20"/>
          <w:szCs w:val="20"/>
          <w:lang w:val="es-ES" w:eastAsia="es-ES"/>
        </w:rPr>
      </w:pPr>
      <w:r w:rsidRPr="00136BCB">
        <w:rPr>
          <w:rFonts w:ascii="Verdana" w:hAnsi="Verdana" w:cs="Arial"/>
          <w:sz w:val="20"/>
          <w:szCs w:val="20"/>
          <w:lang w:val="es-ES" w:eastAsia="es-ES"/>
        </w:rPr>
        <w:t>[…]</w:t>
      </w:r>
      <w:r>
        <w:rPr>
          <w:rFonts w:ascii="Verdana" w:hAnsi="Verdana" w:cs="Arial"/>
          <w:sz w:val="20"/>
          <w:szCs w:val="20"/>
          <w:lang w:val="es-ES" w:eastAsia="es-ES"/>
        </w:rPr>
        <w:t xml:space="preserve"> </w:t>
      </w:r>
      <w:r w:rsidRPr="00136BCB">
        <w:rPr>
          <w:rFonts w:ascii="Verdana" w:hAnsi="Verdana" w:cs="Arial"/>
          <w:sz w:val="20"/>
          <w:szCs w:val="20"/>
          <w:lang w:val="es-ES" w:eastAsia="es-ES"/>
        </w:rPr>
        <w:t xml:space="preserve">conforme al marco jurídico expuesto, la entidad estatal solo pierde competencia para efectuar la liquidación del contrato una vez opera la caducidad del medio de control de controversias contractuales; es decir, existe un plazo máximo de dos (2) años, contados </w:t>
      </w:r>
      <w:r w:rsidRPr="00136BCB">
        <w:rPr>
          <w:rFonts w:ascii="Verdana" w:hAnsi="Verdana" w:cs="Arial"/>
          <w:sz w:val="20"/>
          <w:szCs w:val="20"/>
          <w:lang w:val="es-ES" w:eastAsia="es-ES"/>
        </w:rPr>
        <w:lastRenderedPageBreak/>
        <w:t xml:space="preserve">a partir de los dos (2) meses establecidos en la ley para realizar la liquidación unilateral, dentro del cual la entidad puede liquidar el contrato de manera bilateral o unilateral </w:t>
      </w:r>
    </w:p>
    <w:p w14:paraId="6B018C63" w14:textId="77777777" w:rsidR="00A52A9A" w:rsidRPr="00425CEB" w:rsidRDefault="00A52A9A" w:rsidP="00A52A9A">
      <w:pPr>
        <w:spacing w:after="0" w:line="240" w:lineRule="auto"/>
        <w:jc w:val="both"/>
        <w:rPr>
          <w:rFonts w:ascii="Verdana" w:hAnsi="Verdana" w:cs="Arial"/>
          <w:sz w:val="20"/>
          <w:szCs w:val="20"/>
          <w:lang w:val="es-ES" w:eastAsia="es-ES"/>
        </w:rPr>
      </w:pPr>
      <w:r w:rsidRPr="00136BCB">
        <w:rPr>
          <w:rFonts w:ascii="Verdana" w:hAnsi="Verdana" w:cs="Arial"/>
          <w:sz w:val="20"/>
          <w:szCs w:val="20"/>
          <w:lang w:val="es-ES" w:eastAsia="es-ES"/>
        </w:rPr>
        <w:t>Bajo ese contexto, la caducidad constituye un límite procesal que extingue la posibilidad de reclamar judicialmente obligaciones derivadas del contrato, y con ello, la competencia de la entidad para efectuar la liquidación. Una vez vencido este término, las obligaciones pendientes se convierten en obligaciones naturales, que no son exigibles ni pueden ser objeto de pago por parte de la administración pública.</w:t>
      </w:r>
    </w:p>
    <w:p w14:paraId="35739FD0" w14:textId="77777777" w:rsidR="00A52A9A" w:rsidRDefault="00A52A9A" w:rsidP="00A52A9A">
      <w:pPr>
        <w:spacing w:after="0" w:line="240" w:lineRule="auto"/>
        <w:rPr>
          <w:rFonts w:ascii="Verdana" w:hAnsi="Verdana"/>
          <w:lang w:val="es-ES"/>
        </w:rPr>
      </w:pPr>
    </w:p>
    <w:p w14:paraId="40EB7B0B" w14:textId="77777777" w:rsidR="0063662B" w:rsidRDefault="0063662B" w:rsidP="00F26D50">
      <w:pPr>
        <w:spacing w:after="0" w:line="240" w:lineRule="auto"/>
        <w:rPr>
          <w:rFonts w:ascii="Verdana" w:hAnsi="Verdana"/>
        </w:rPr>
      </w:pPr>
    </w:p>
    <w:p w14:paraId="189FD26B" w14:textId="77777777" w:rsidR="00A52A9A" w:rsidRDefault="00A52A9A" w:rsidP="00F26D50">
      <w:pPr>
        <w:spacing w:after="0" w:line="240" w:lineRule="auto"/>
        <w:rPr>
          <w:rFonts w:ascii="Verdana" w:hAnsi="Verdana"/>
        </w:rPr>
      </w:pPr>
    </w:p>
    <w:p w14:paraId="39BBF8B8" w14:textId="77777777" w:rsidR="00A52A9A" w:rsidRDefault="00A52A9A" w:rsidP="00F26D50">
      <w:pPr>
        <w:spacing w:after="0" w:line="240" w:lineRule="auto"/>
        <w:rPr>
          <w:rFonts w:ascii="Verdana" w:hAnsi="Verdana"/>
        </w:rPr>
      </w:pPr>
    </w:p>
    <w:p w14:paraId="1CF34F15" w14:textId="77777777" w:rsidR="00A52A9A" w:rsidRDefault="00A52A9A" w:rsidP="00F26D50">
      <w:pPr>
        <w:spacing w:after="0" w:line="240" w:lineRule="auto"/>
        <w:rPr>
          <w:rFonts w:ascii="Verdana" w:hAnsi="Verdana"/>
        </w:rPr>
      </w:pPr>
    </w:p>
    <w:p w14:paraId="1AA0943D" w14:textId="77777777" w:rsidR="00A52A9A" w:rsidRDefault="00A52A9A" w:rsidP="00F26D50">
      <w:pPr>
        <w:spacing w:after="0" w:line="240" w:lineRule="auto"/>
        <w:rPr>
          <w:rFonts w:ascii="Verdana" w:hAnsi="Verdana"/>
        </w:rPr>
      </w:pPr>
    </w:p>
    <w:p w14:paraId="11A14A87" w14:textId="77777777" w:rsidR="00A52A9A" w:rsidRDefault="00A52A9A" w:rsidP="00F26D50">
      <w:pPr>
        <w:spacing w:after="0" w:line="240" w:lineRule="auto"/>
        <w:rPr>
          <w:rFonts w:ascii="Verdana" w:hAnsi="Verdana"/>
        </w:rPr>
      </w:pPr>
    </w:p>
    <w:p w14:paraId="7BCFC30D" w14:textId="77777777" w:rsidR="00A52A9A" w:rsidRDefault="00A52A9A" w:rsidP="00F26D50">
      <w:pPr>
        <w:spacing w:after="0" w:line="240" w:lineRule="auto"/>
        <w:rPr>
          <w:rFonts w:ascii="Verdana" w:hAnsi="Verdana"/>
        </w:rPr>
      </w:pPr>
    </w:p>
    <w:p w14:paraId="3F114A4B" w14:textId="77777777" w:rsidR="00A52A9A" w:rsidRDefault="00A52A9A" w:rsidP="00F26D50">
      <w:pPr>
        <w:spacing w:after="0" w:line="240" w:lineRule="auto"/>
        <w:rPr>
          <w:rFonts w:ascii="Verdana" w:hAnsi="Verdana"/>
        </w:rPr>
      </w:pPr>
    </w:p>
    <w:p w14:paraId="011CB8F3" w14:textId="77777777" w:rsidR="00A52A9A" w:rsidRDefault="00A52A9A" w:rsidP="00F26D50">
      <w:pPr>
        <w:spacing w:after="0" w:line="240" w:lineRule="auto"/>
        <w:rPr>
          <w:rFonts w:ascii="Verdana" w:hAnsi="Verdana"/>
        </w:rPr>
      </w:pPr>
    </w:p>
    <w:p w14:paraId="20778D04" w14:textId="77777777" w:rsidR="00A52A9A" w:rsidRDefault="00A52A9A" w:rsidP="00F26D50">
      <w:pPr>
        <w:spacing w:after="0" w:line="240" w:lineRule="auto"/>
        <w:rPr>
          <w:rFonts w:ascii="Verdana" w:hAnsi="Verdana"/>
        </w:rPr>
      </w:pPr>
    </w:p>
    <w:p w14:paraId="5CDC2647" w14:textId="77777777" w:rsidR="00A52A9A" w:rsidRDefault="00A52A9A" w:rsidP="00F26D50">
      <w:pPr>
        <w:spacing w:after="0" w:line="240" w:lineRule="auto"/>
        <w:rPr>
          <w:rFonts w:ascii="Verdana" w:hAnsi="Verdana"/>
        </w:rPr>
      </w:pPr>
    </w:p>
    <w:p w14:paraId="3BD563FF" w14:textId="77777777" w:rsidR="00A52A9A" w:rsidRDefault="00A52A9A" w:rsidP="00F26D50">
      <w:pPr>
        <w:spacing w:after="0" w:line="240" w:lineRule="auto"/>
        <w:rPr>
          <w:rFonts w:ascii="Verdana" w:hAnsi="Verdana"/>
        </w:rPr>
      </w:pPr>
    </w:p>
    <w:p w14:paraId="71579461" w14:textId="77777777" w:rsidR="00A52A9A" w:rsidRDefault="00A52A9A" w:rsidP="00F26D50">
      <w:pPr>
        <w:spacing w:after="0" w:line="240" w:lineRule="auto"/>
        <w:rPr>
          <w:rFonts w:ascii="Verdana" w:hAnsi="Verdana"/>
        </w:rPr>
      </w:pPr>
    </w:p>
    <w:p w14:paraId="1B2B6902" w14:textId="77777777" w:rsidR="00A52A9A" w:rsidRDefault="00A52A9A" w:rsidP="00F26D50">
      <w:pPr>
        <w:spacing w:after="0" w:line="240" w:lineRule="auto"/>
        <w:rPr>
          <w:rFonts w:ascii="Verdana" w:hAnsi="Verdana"/>
        </w:rPr>
      </w:pPr>
    </w:p>
    <w:p w14:paraId="14F232DE" w14:textId="77777777" w:rsidR="00A52A9A" w:rsidRDefault="00A52A9A" w:rsidP="00F26D50">
      <w:pPr>
        <w:spacing w:after="0" w:line="240" w:lineRule="auto"/>
        <w:rPr>
          <w:rFonts w:ascii="Verdana" w:hAnsi="Verdana"/>
        </w:rPr>
      </w:pPr>
    </w:p>
    <w:p w14:paraId="5EEC9D2C" w14:textId="77777777" w:rsidR="00A52A9A" w:rsidRDefault="00A52A9A" w:rsidP="00F26D50">
      <w:pPr>
        <w:spacing w:after="0" w:line="240" w:lineRule="auto"/>
        <w:rPr>
          <w:rFonts w:ascii="Verdana" w:hAnsi="Verdana"/>
        </w:rPr>
      </w:pPr>
    </w:p>
    <w:p w14:paraId="305C2F2F" w14:textId="77777777" w:rsidR="00A52A9A" w:rsidRDefault="00A52A9A" w:rsidP="00F26D50">
      <w:pPr>
        <w:spacing w:after="0" w:line="240" w:lineRule="auto"/>
        <w:rPr>
          <w:rFonts w:ascii="Verdana" w:hAnsi="Verdana"/>
        </w:rPr>
      </w:pPr>
    </w:p>
    <w:p w14:paraId="7DD9D7BA" w14:textId="77777777" w:rsidR="00A52A9A" w:rsidRDefault="00A52A9A" w:rsidP="00F26D50">
      <w:pPr>
        <w:spacing w:after="0" w:line="240" w:lineRule="auto"/>
        <w:rPr>
          <w:rFonts w:ascii="Verdana" w:hAnsi="Verdana"/>
        </w:rPr>
      </w:pPr>
    </w:p>
    <w:p w14:paraId="17274C93" w14:textId="77777777" w:rsidR="00A52A9A" w:rsidRDefault="00A52A9A" w:rsidP="00F26D50">
      <w:pPr>
        <w:spacing w:after="0" w:line="240" w:lineRule="auto"/>
        <w:rPr>
          <w:rFonts w:ascii="Verdana" w:hAnsi="Verdana"/>
        </w:rPr>
      </w:pPr>
    </w:p>
    <w:p w14:paraId="06C5C03A" w14:textId="77777777" w:rsidR="00A52A9A" w:rsidRDefault="00A52A9A" w:rsidP="00F26D50">
      <w:pPr>
        <w:spacing w:after="0" w:line="240" w:lineRule="auto"/>
        <w:rPr>
          <w:rFonts w:ascii="Verdana" w:hAnsi="Verdana"/>
        </w:rPr>
      </w:pPr>
    </w:p>
    <w:p w14:paraId="3149A36F" w14:textId="77777777" w:rsidR="00A52A9A" w:rsidRDefault="00A52A9A" w:rsidP="00F26D50">
      <w:pPr>
        <w:spacing w:after="0" w:line="240" w:lineRule="auto"/>
        <w:rPr>
          <w:rFonts w:ascii="Verdana" w:hAnsi="Verdana"/>
        </w:rPr>
      </w:pPr>
    </w:p>
    <w:p w14:paraId="0150AFD5" w14:textId="77777777" w:rsidR="00A52A9A" w:rsidRDefault="00A52A9A" w:rsidP="00F26D50">
      <w:pPr>
        <w:spacing w:after="0" w:line="240" w:lineRule="auto"/>
        <w:rPr>
          <w:rFonts w:ascii="Verdana" w:hAnsi="Verdana"/>
        </w:rPr>
      </w:pPr>
    </w:p>
    <w:p w14:paraId="43AB7882" w14:textId="77777777" w:rsidR="00A52A9A" w:rsidRDefault="00A52A9A" w:rsidP="00F26D50">
      <w:pPr>
        <w:spacing w:after="0" w:line="240" w:lineRule="auto"/>
        <w:rPr>
          <w:rFonts w:ascii="Verdana" w:hAnsi="Verdana"/>
        </w:rPr>
      </w:pPr>
    </w:p>
    <w:p w14:paraId="04957C17" w14:textId="77777777" w:rsidR="00A52A9A" w:rsidRDefault="00A52A9A" w:rsidP="00F26D50">
      <w:pPr>
        <w:spacing w:after="0" w:line="240" w:lineRule="auto"/>
        <w:rPr>
          <w:rFonts w:ascii="Verdana" w:hAnsi="Verdana"/>
        </w:rPr>
      </w:pPr>
    </w:p>
    <w:p w14:paraId="501382CF" w14:textId="77777777" w:rsidR="00A52A9A" w:rsidRDefault="00A52A9A" w:rsidP="00F26D50">
      <w:pPr>
        <w:spacing w:after="0" w:line="240" w:lineRule="auto"/>
        <w:rPr>
          <w:rFonts w:ascii="Verdana" w:hAnsi="Verdana"/>
        </w:rPr>
      </w:pPr>
    </w:p>
    <w:p w14:paraId="4140E7DB" w14:textId="77777777" w:rsidR="00A52A9A" w:rsidRDefault="00A52A9A" w:rsidP="00F26D50">
      <w:pPr>
        <w:spacing w:after="0" w:line="240" w:lineRule="auto"/>
        <w:rPr>
          <w:rFonts w:ascii="Verdana" w:hAnsi="Verdana"/>
        </w:rPr>
      </w:pPr>
    </w:p>
    <w:p w14:paraId="432DC65D" w14:textId="77777777" w:rsidR="00A52A9A" w:rsidRDefault="00A52A9A" w:rsidP="00F26D50">
      <w:pPr>
        <w:spacing w:after="0" w:line="240" w:lineRule="auto"/>
        <w:rPr>
          <w:rFonts w:ascii="Verdana" w:hAnsi="Verdana"/>
        </w:rPr>
      </w:pPr>
    </w:p>
    <w:p w14:paraId="304D5863" w14:textId="77777777" w:rsidR="00A52A9A" w:rsidRDefault="00A52A9A" w:rsidP="00F26D50">
      <w:pPr>
        <w:spacing w:after="0" w:line="240" w:lineRule="auto"/>
        <w:rPr>
          <w:rFonts w:ascii="Verdana" w:hAnsi="Verdana"/>
        </w:rPr>
      </w:pPr>
    </w:p>
    <w:p w14:paraId="3C963626" w14:textId="77777777" w:rsidR="00A52A9A" w:rsidRDefault="00A52A9A" w:rsidP="00F26D50">
      <w:pPr>
        <w:spacing w:after="0" w:line="240" w:lineRule="auto"/>
        <w:rPr>
          <w:rFonts w:ascii="Verdana" w:hAnsi="Verdana"/>
        </w:rPr>
      </w:pPr>
    </w:p>
    <w:p w14:paraId="73FEE8DA" w14:textId="77777777" w:rsidR="00A52A9A" w:rsidRDefault="00A52A9A" w:rsidP="00F26D50">
      <w:pPr>
        <w:spacing w:after="0" w:line="240" w:lineRule="auto"/>
        <w:rPr>
          <w:rFonts w:ascii="Verdana" w:hAnsi="Verdana"/>
        </w:rPr>
      </w:pPr>
    </w:p>
    <w:p w14:paraId="1BE0C011" w14:textId="77777777" w:rsidR="00A52A9A" w:rsidRDefault="00A52A9A" w:rsidP="00F26D50">
      <w:pPr>
        <w:spacing w:after="0" w:line="240" w:lineRule="auto"/>
        <w:rPr>
          <w:rFonts w:ascii="Verdana" w:hAnsi="Verdana"/>
        </w:rPr>
      </w:pPr>
    </w:p>
    <w:p w14:paraId="4603C709" w14:textId="77777777" w:rsidR="00A52A9A" w:rsidRDefault="00A52A9A" w:rsidP="00F26D50">
      <w:pPr>
        <w:spacing w:after="0" w:line="240" w:lineRule="auto"/>
        <w:rPr>
          <w:rFonts w:ascii="Verdana" w:hAnsi="Verdana"/>
        </w:rPr>
      </w:pPr>
    </w:p>
    <w:p w14:paraId="4762E1B2" w14:textId="77777777" w:rsidR="00A52A9A" w:rsidRDefault="00A52A9A" w:rsidP="00F26D50">
      <w:pPr>
        <w:spacing w:after="0" w:line="240" w:lineRule="auto"/>
        <w:rPr>
          <w:rFonts w:ascii="Verdana" w:hAnsi="Verdana"/>
        </w:rPr>
      </w:pPr>
    </w:p>
    <w:p w14:paraId="2C234EC1" w14:textId="77777777" w:rsidR="0063662B" w:rsidRDefault="0063662B" w:rsidP="00F26D50">
      <w:pPr>
        <w:spacing w:after="0" w:line="240" w:lineRule="auto"/>
        <w:rPr>
          <w:rFonts w:ascii="Verdana" w:hAnsi="Verdana"/>
        </w:rPr>
      </w:pPr>
    </w:p>
    <w:p w14:paraId="17FC6C12" w14:textId="24DC2279" w:rsidR="00F26D50" w:rsidRPr="005C5519" w:rsidRDefault="00F26D50" w:rsidP="00F26D50">
      <w:pPr>
        <w:spacing w:after="0" w:line="240" w:lineRule="auto"/>
        <w:rPr>
          <w:rFonts w:ascii="Verdana" w:hAnsi="Verdana"/>
        </w:rPr>
      </w:pPr>
      <w:r w:rsidRPr="005C5519">
        <w:rPr>
          <w:rFonts w:ascii="Verdana" w:hAnsi="Verdana"/>
        </w:rPr>
        <w:lastRenderedPageBreak/>
        <w:t xml:space="preserve">Bogotá D.C., </w:t>
      </w:r>
      <w:r w:rsidR="00E76077">
        <w:rPr>
          <w:rFonts w:ascii="Verdana" w:hAnsi="Verdana"/>
        </w:rPr>
        <w:t>19 mayo 2026</w:t>
      </w:r>
      <w:r w:rsidRPr="005C5519">
        <w:rPr>
          <w:rFonts w:ascii="Verdana" w:hAnsi="Verdana"/>
        </w:rPr>
        <w:tab/>
      </w:r>
    </w:p>
    <w:p w14:paraId="49CAB0C7" w14:textId="3E05C51B" w:rsidR="00F26D50" w:rsidRPr="005C5519" w:rsidRDefault="00F26D50" w:rsidP="00F26D50">
      <w:pPr>
        <w:spacing w:after="0" w:line="240" w:lineRule="auto"/>
        <w:jc w:val="right"/>
        <w:rPr>
          <w:rFonts w:ascii="Verdana" w:eastAsia="Times New Roman" w:hAnsi="Verdana" w:cs="Arial"/>
          <w:lang w:eastAsia="es-ES_tradnl"/>
        </w:rPr>
      </w:pPr>
    </w:p>
    <w:p w14:paraId="7FEC8BA5" w14:textId="16966F54" w:rsidR="00F26D50" w:rsidRPr="005C5519" w:rsidRDefault="00E76077" w:rsidP="00F26D50">
      <w:pPr>
        <w:spacing w:after="0" w:line="240" w:lineRule="auto"/>
        <w:jc w:val="both"/>
        <w:rPr>
          <w:rFonts w:ascii="Verdana" w:eastAsia="Calibri" w:hAnsi="Verdana" w:cs="Arial"/>
          <w:lang w:eastAsia="es-ES_tradnl"/>
        </w:rPr>
      </w:pPr>
      <w:r w:rsidRPr="00E76077">
        <w:rPr>
          <w:noProof/>
        </w:rPr>
        <w:drawing>
          <wp:anchor distT="0" distB="0" distL="114300" distR="114300" simplePos="0" relativeHeight="251658240" behindDoc="1" locked="0" layoutInCell="1" allowOverlap="1" wp14:anchorId="6FD4031C" wp14:editId="33C1C11C">
            <wp:simplePos x="0" y="0"/>
            <wp:positionH relativeFrom="margin">
              <wp:posOffset>3111335</wp:posOffset>
            </wp:positionH>
            <wp:positionV relativeFrom="paragraph">
              <wp:posOffset>15587</wp:posOffset>
            </wp:positionV>
            <wp:extent cx="2113280" cy="585470"/>
            <wp:effectExtent l="0" t="0" r="1270" b="5080"/>
            <wp:wrapTight wrapText="bothSides">
              <wp:wrapPolygon edited="0">
                <wp:start x="0" y="0"/>
                <wp:lineTo x="0" y="21085"/>
                <wp:lineTo x="21418" y="21085"/>
                <wp:lineTo x="21418" y="0"/>
                <wp:lineTo x="0" y="0"/>
              </wp:wrapPolygon>
            </wp:wrapTight>
            <wp:docPr id="48636392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13280" cy="5854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26D50" w:rsidRPr="005C5519">
        <w:rPr>
          <w:rFonts w:ascii="Verdana" w:eastAsia="Calibri" w:hAnsi="Verdana" w:cs="Arial"/>
          <w:lang w:eastAsia="es-ES_tradnl"/>
        </w:rPr>
        <w:t>Señora</w:t>
      </w:r>
    </w:p>
    <w:p w14:paraId="30B6327A" w14:textId="7C126FF0" w:rsidR="00F26D50" w:rsidRPr="00620814" w:rsidRDefault="00F26D50" w:rsidP="00F26D50">
      <w:pPr>
        <w:spacing w:after="0" w:line="240" w:lineRule="auto"/>
        <w:rPr>
          <w:rFonts w:ascii="Verdana" w:eastAsia="Calibri" w:hAnsi="Verdana" w:cs="Arial"/>
          <w:b/>
          <w:bCs/>
          <w:lang w:eastAsia="es-ES_tradnl"/>
        </w:rPr>
      </w:pPr>
      <w:r>
        <w:rPr>
          <w:rFonts w:ascii="Verdana" w:eastAsia="Calibri" w:hAnsi="Verdana" w:cs="Arial"/>
          <w:b/>
          <w:bCs/>
          <w:lang w:eastAsia="es-ES_tradnl"/>
        </w:rPr>
        <w:t>Vale</w:t>
      </w:r>
      <w:r w:rsidRPr="00620814">
        <w:rPr>
          <w:rFonts w:ascii="Verdana" w:eastAsia="Calibri" w:hAnsi="Verdana" w:cs="Arial"/>
          <w:b/>
          <w:bCs/>
          <w:lang w:eastAsia="es-ES_tradnl"/>
        </w:rPr>
        <w:t>ntina Páez Borrero</w:t>
      </w:r>
    </w:p>
    <w:p w14:paraId="58BB3DC6" w14:textId="5F8F46A7" w:rsidR="00F26D50" w:rsidRPr="00620814" w:rsidRDefault="00F26D50" w:rsidP="00F26D50">
      <w:pPr>
        <w:spacing w:after="0" w:line="240" w:lineRule="auto"/>
        <w:rPr>
          <w:rFonts w:ascii="Verdana" w:hAnsi="Verdana"/>
        </w:rPr>
      </w:pPr>
      <w:hyperlink r:id="rId8" w:history="1">
        <w:r w:rsidRPr="00620814">
          <w:rPr>
            <w:rStyle w:val="Hipervnculo"/>
            <w:rFonts w:ascii="Verdana" w:hAnsi="Verdana"/>
          </w:rPr>
          <w:t>valentinapaezborrero@gmail.com</w:t>
        </w:r>
      </w:hyperlink>
    </w:p>
    <w:p w14:paraId="223DAB66" w14:textId="77777777" w:rsidR="00F26D50" w:rsidRPr="005C5519" w:rsidRDefault="00F26D50" w:rsidP="00F26D50">
      <w:pPr>
        <w:spacing w:after="0" w:line="240" w:lineRule="auto"/>
        <w:rPr>
          <w:rFonts w:ascii="Verdana" w:eastAsia="Calibri" w:hAnsi="Verdana" w:cs="Arial"/>
          <w:lang w:eastAsia="es-ES_tradnl"/>
        </w:rPr>
      </w:pPr>
      <w:r>
        <w:rPr>
          <w:rFonts w:ascii="Verdana" w:eastAsia="Calibri" w:hAnsi="Verdana" w:cs="Arial"/>
          <w:lang w:eastAsia="es-ES_tradnl"/>
        </w:rPr>
        <w:t>Villavicencio, Meta</w:t>
      </w:r>
    </w:p>
    <w:p w14:paraId="32E5330F" w14:textId="77777777" w:rsidR="00F26D50" w:rsidRPr="005C5519" w:rsidRDefault="00F26D50" w:rsidP="00F26D50">
      <w:pPr>
        <w:spacing w:after="0" w:line="240" w:lineRule="auto"/>
        <w:rPr>
          <w:rFonts w:ascii="Verdana" w:eastAsia="Calibri" w:hAnsi="Verdana" w:cs="Arial"/>
          <w:lang w:eastAsia="es-ES_tradnl"/>
        </w:rPr>
      </w:pPr>
    </w:p>
    <w:p w14:paraId="1DE49979" w14:textId="77777777" w:rsidR="00F26D50" w:rsidRDefault="00F26D50" w:rsidP="00F26D50">
      <w:pPr>
        <w:spacing w:after="0" w:line="240" w:lineRule="auto"/>
        <w:ind w:left="2694"/>
        <w:rPr>
          <w:rFonts w:ascii="Verdana" w:eastAsia="Calibri" w:hAnsi="Verdana" w:cs="Arial"/>
          <w:b/>
          <w:bCs/>
          <w:lang w:eastAsia="es-ES_tradnl"/>
        </w:rPr>
      </w:pPr>
    </w:p>
    <w:p w14:paraId="65E07452" w14:textId="77777777" w:rsidR="00F26D50" w:rsidRPr="005C5519" w:rsidRDefault="00F26D50" w:rsidP="00F26D50">
      <w:pPr>
        <w:spacing w:after="0" w:line="240" w:lineRule="auto"/>
        <w:ind w:left="2694"/>
        <w:rPr>
          <w:rFonts w:ascii="Verdana" w:eastAsia="Calibri" w:hAnsi="Verdana" w:cs="Arial"/>
          <w:b/>
          <w:bCs/>
          <w:lang w:eastAsia="es-ES_tradnl"/>
        </w:rPr>
      </w:pPr>
      <w:r w:rsidRPr="005C5519">
        <w:rPr>
          <w:rFonts w:ascii="Verdana" w:eastAsia="Calibri" w:hAnsi="Verdana" w:cs="Arial"/>
          <w:b/>
          <w:bCs/>
          <w:lang w:eastAsia="es-ES_tradnl"/>
        </w:rPr>
        <w:t>Concepto C-</w:t>
      </w:r>
      <w:r>
        <w:rPr>
          <w:rFonts w:ascii="Verdana" w:eastAsia="Calibri" w:hAnsi="Verdana" w:cs="Arial"/>
          <w:b/>
          <w:bCs/>
          <w:lang w:eastAsia="es-ES_tradnl"/>
        </w:rPr>
        <w:t>555</w:t>
      </w:r>
      <w:r w:rsidRPr="005C5519">
        <w:rPr>
          <w:rFonts w:ascii="Verdana" w:eastAsia="Calibri" w:hAnsi="Verdana" w:cs="Arial"/>
          <w:b/>
          <w:bCs/>
          <w:lang w:eastAsia="es-ES_tradnl"/>
        </w:rPr>
        <w:t xml:space="preserve"> de 202</w:t>
      </w:r>
      <w:r>
        <w:rPr>
          <w:rFonts w:ascii="Verdana" w:eastAsia="Calibri" w:hAnsi="Verdana" w:cs="Arial"/>
          <w:b/>
          <w:bCs/>
          <w:lang w:eastAsia="es-ES_tradnl"/>
        </w:rPr>
        <w:t>6</w:t>
      </w:r>
    </w:p>
    <w:p w14:paraId="6EDB64EC" w14:textId="77777777" w:rsidR="00F26D50" w:rsidRPr="005C5519" w:rsidRDefault="00F26D50" w:rsidP="00F26D50">
      <w:pPr>
        <w:spacing w:after="0" w:line="240" w:lineRule="auto"/>
        <w:jc w:val="both"/>
        <w:rPr>
          <w:rFonts w:ascii="Verdana" w:eastAsia="Calibri" w:hAnsi="Verdana" w:cs="Arial"/>
          <w:lang w:eastAsia="es-ES_tradnl"/>
        </w:rPr>
      </w:pPr>
    </w:p>
    <w:tbl>
      <w:tblPr>
        <w:tblStyle w:val="Tablaconcuadrcula"/>
        <w:tblW w:w="8926"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F26D50" w:rsidRPr="005C5519" w14:paraId="45BDCB2E" w14:textId="77777777" w:rsidTr="006B0FCB">
        <w:trPr>
          <w:jc w:val="right"/>
        </w:trPr>
        <w:tc>
          <w:tcPr>
            <w:tcW w:w="2689" w:type="dxa"/>
          </w:tcPr>
          <w:p w14:paraId="71BBAA97" w14:textId="77777777" w:rsidR="00F26D50" w:rsidRPr="005C5519" w:rsidRDefault="00F26D50" w:rsidP="006B0FCB">
            <w:pPr>
              <w:rPr>
                <w:rFonts w:ascii="Verdana" w:eastAsia="Calibri" w:hAnsi="Verdana" w:cs="Arial"/>
                <w:lang w:eastAsia="es-ES_tradnl"/>
              </w:rPr>
            </w:pPr>
            <w:r w:rsidRPr="005C5519">
              <w:rPr>
                <w:rFonts w:ascii="Verdana" w:eastAsia="Calibri" w:hAnsi="Verdana" w:cs="Arial"/>
                <w:b/>
                <w:lang w:eastAsia="es-ES_tradnl"/>
              </w:rPr>
              <w:t>Temas:</w:t>
            </w:r>
          </w:p>
        </w:tc>
        <w:tc>
          <w:tcPr>
            <w:tcW w:w="6237" w:type="dxa"/>
          </w:tcPr>
          <w:p w14:paraId="478C629C" w14:textId="77777777" w:rsidR="00F26D50" w:rsidRPr="005C5519" w:rsidRDefault="00F26D50" w:rsidP="006B0FCB">
            <w:pPr>
              <w:jc w:val="both"/>
              <w:textAlignment w:val="baseline"/>
              <w:rPr>
                <w:rFonts w:ascii="Verdana" w:eastAsia="Times New Roman" w:hAnsi="Verdana" w:cs="Arial"/>
                <w:lang w:eastAsia="es-ES"/>
              </w:rPr>
            </w:pPr>
            <w:r w:rsidRPr="2993F789">
              <w:rPr>
                <w:rFonts w:ascii="Verdana" w:eastAsia="Times New Roman" w:hAnsi="Verdana" w:cs="Arial"/>
                <w:lang w:eastAsia="es-ES"/>
              </w:rPr>
              <w:t>LIQUIDACIÓN DEL CONTRATO – Definición – Objetivo /</w:t>
            </w:r>
            <w:r w:rsidRPr="2993F789">
              <w:rPr>
                <w:rFonts w:ascii="Verdana" w:hAnsi="Verdana"/>
              </w:rPr>
              <w:t xml:space="preserve"> </w:t>
            </w:r>
            <w:r w:rsidRPr="2993F789">
              <w:rPr>
                <w:rFonts w:ascii="Verdana" w:eastAsia="Times New Roman" w:hAnsi="Verdana" w:cs="Arial"/>
                <w:lang w:eastAsia="es-ES"/>
              </w:rPr>
              <w:t xml:space="preserve">LIQUIDACIÓN DEL CONTRATO – Normativa / LIQUIDACIÓN DEL CONTRATO – Tipos – Bilateral – Unilateral – Judicial / </w:t>
            </w:r>
            <w:r w:rsidRPr="00F65E35">
              <w:rPr>
                <w:rFonts w:ascii="Verdana" w:eastAsia="Times New Roman" w:hAnsi="Verdana" w:cs="Arial"/>
                <w:lang w:eastAsia="es-ES"/>
              </w:rPr>
              <w:t>CADUCIDAD DEL MEDIO DE CONTROL DE CONTROVERSIAS CONTRACTUALES – Pérdida de competencia para liquidar el contrato</w:t>
            </w:r>
          </w:p>
          <w:p w14:paraId="6FAFC8F8" w14:textId="77777777" w:rsidR="00F26D50" w:rsidRPr="005C5519" w:rsidRDefault="00F26D50" w:rsidP="006B0FCB">
            <w:pPr>
              <w:jc w:val="both"/>
              <w:textAlignment w:val="baseline"/>
              <w:rPr>
                <w:rFonts w:ascii="Verdana" w:eastAsia="Times New Roman" w:hAnsi="Verdana" w:cs="Arial"/>
                <w:lang w:eastAsia="es-ES_tradnl"/>
              </w:rPr>
            </w:pPr>
          </w:p>
        </w:tc>
      </w:tr>
      <w:tr w:rsidR="00F26D50" w:rsidRPr="005C5519" w14:paraId="2A7FF3D3" w14:textId="77777777" w:rsidTr="002C62EB">
        <w:trPr>
          <w:trHeight w:val="444"/>
          <w:jc w:val="right"/>
        </w:trPr>
        <w:tc>
          <w:tcPr>
            <w:tcW w:w="2689" w:type="dxa"/>
          </w:tcPr>
          <w:p w14:paraId="1D286B92" w14:textId="77777777" w:rsidR="00F26D50" w:rsidRPr="005C5519" w:rsidRDefault="00F26D50" w:rsidP="006B0FCB">
            <w:pPr>
              <w:rPr>
                <w:rFonts w:ascii="Verdana" w:eastAsia="Calibri" w:hAnsi="Verdana" w:cs="Arial"/>
                <w:b/>
                <w:lang w:eastAsia="es-ES_tradnl"/>
              </w:rPr>
            </w:pPr>
            <w:r w:rsidRPr="005C5519">
              <w:rPr>
                <w:rFonts w:ascii="Verdana" w:eastAsia="Calibri" w:hAnsi="Verdana" w:cs="Arial"/>
                <w:b/>
                <w:lang w:eastAsia="es-ES_tradnl"/>
              </w:rPr>
              <w:t>Radicación:</w:t>
            </w:r>
          </w:p>
        </w:tc>
        <w:tc>
          <w:tcPr>
            <w:tcW w:w="6237" w:type="dxa"/>
          </w:tcPr>
          <w:p w14:paraId="32B37AEF" w14:textId="77777777" w:rsidR="00F26D50" w:rsidRPr="005C5519" w:rsidRDefault="00F26D50" w:rsidP="006B0FCB">
            <w:pPr>
              <w:jc w:val="both"/>
              <w:rPr>
                <w:rFonts w:ascii="Verdana" w:eastAsia="Calibri" w:hAnsi="Verdana" w:cs="Arial"/>
                <w:lang w:eastAsia="es-ES_tradnl"/>
              </w:rPr>
            </w:pPr>
            <w:r w:rsidRPr="005C5519">
              <w:rPr>
                <w:rFonts w:ascii="Verdana" w:eastAsia="Calibri" w:hAnsi="Verdana" w:cs="Arial"/>
                <w:lang w:eastAsia="es-ES_tradnl"/>
              </w:rPr>
              <w:t xml:space="preserve">Respuesta a consulta radicado No. </w:t>
            </w:r>
            <w:r w:rsidRPr="008C1B41">
              <w:rPr>
                <w:rFonts w:ascii="Verdana" w:eastAsia="Times New Roman" w:hAnsi="Verdana" w:cs="Arial"/>
                <w:lang w:eastAsia="es-ES_tradnl"/>
              </w:rPr>
              <w:t>1_2026_04_06_004619</w:t>
            </w:r>
          </w:p>
        </w:tc>
      </w:tr>
    </w:tbl>
    <w:p w14:paraId="09B9A6B2" w14:textId="77777777" w:rsidR="00F26D50" w:rsidRPr="00BE151B" w:rsidRDefault="00F26D50" w:rsidP="00F26D50">
      <w:pPr>
        <w:spacing w:after="0" w:line="276" w:lineRule="auto"/>
        <w:jc w:val="both"/>
        <w:rPr>
          <w:rFonts w:ascii="Verdana" w:eastAsia="Calibri" w:hAnsi="Verdana" w:cs="Arial"/>
          <w:lang w:eastAsia="es-ES_tradnl"/>
        </w:rPr>
      </w:pPr>
    </w:p>
    <w:p w14:paraId="323CA141" w14:textId="77777777" w:rsidR="00F26D50" w:rsidRPr="00BE151B" w:rsidRDefault="00F26D50" w:rsidP="00F26D50">
      <w:pPr>
        <w:spacing w:after="0" w:line="276" w:lineRule="auto"/>
        <w:jc w:val="both"/>
        <w:rPr>
          <w:rFonts w:ascii="Verdana" w:eastAsia="Calibri" w:hAnsi="Verdana" w:cs="Arial"/>
          <w:lang w:eastAsia="es-ES_tradnl"/>
        </w:rPr>
      </w:pPr>
    </w:p>
    <w:p w14:paraId="5B0302FE" w14:textId="77777777" w:rsidR="00F26D50" w:rsidRPr="00BE151B" w:rsidRDefault="00F26D50" w:rsidP="00F26D50">
      <w:pPr>
        <w:spacing w:after="0" w:line="276" w:lineRule="auto"/>
        <w:jc w:val="both"/>
        <w:rPr>
          <w:rFonts w:ascii="Verdana" w:eastAsia="Calibri" w:hAnsi="Verdana" w:cs="Arial"/>
          <w:bCs/>
          <w:lang w:eastAsia="es-ES_tradnl"/>
        </w:rPr>
      </w:pPr>
      <w:r w:rsidRPr="00BE151B">
        <w:rPr>
          <w:rFonts w:ascii="Verdana" w:eastAsia="Calibri" w:hAnsi="Verdana" w:cs="Arial"/>
          <w:lang w:eastAsia="es-ES_tradnl"/>
        </w:rPr>
        <w:t>Estimad</w:t>
      </w:r>
      <w:r>
        <w:rPr>
          <w:rFonts w:ascii="Verdana" w:eastAsia="Calibri" w:hAnsi="Verdana" w:cs="Arial"/>
          <w:lang w:eastAsia="es-ES_tradnl"/>
        </w:rPr>
        <w:t>a señora Valentina</w:t>
      </w:r>
      <w:r>
        <w:rPr>
          <w:rFonts w:ascii="Verdana" w:eastAsia="Calibri" w:hAnsi="Verdana" w:cs="Arial"/>
          <w:bCs/>
          <w:lang w:eastAsia="es-ES_tradnl"/>
        </w:rPr>
        <w:t>,</w:t>
      </w:r>
    </w:p>
    <w:p w14:paraId="1D96B5F3" w14:textId="77777777" w:rsidR="00F26D50" w:rsidRPr="00BE151B" w:rsidRDefault="00F26D50" w:rsidP="00F26D50">
      <w:pPr>
        <w:spacing w:after="0" w:line="276" w:lineRule="auto"/>
        <w:jc w:val="both"/>
        <w:rPr>
          <w:rFonts w:ascii="Verdana" w:eastAsia="Calibri" w:hAnsi="Verdana" w:cs="Arial"/>
          <w:lang w:eastAsia="es-ES_tradnl"/>
        </w:rPr>
      </w:pPr>
    </w:p>
    <w:p w14:paraId="39CEDF6E" w14:textId="77777777" w:rsidR="00F26D50" w:rsidRDefault="00F26D50" w:rsidP="00F26D50">
      <w:pPr>
        <w:spacing w:after="0" w:line="276" w:lineRule="auto"/>
        <w:jc w:val="both"/>
        <w:rPr>
          <w:rFonts w:ascii="Verdana" w:eastAsia="Calibri" w:hAnsi="Verdana" w:cs="Arial"/>
          <w:lang w:eastAsia="es-ES_tradnl"/>
        </w:rPr>
      </w:pPr>
      <w:r w:rsidRPr="00BE151B">
        <w:rPr>
          <w:rFonts w:ascii="Verdana" w:eastAsia="Calibri" w:hAnsi="Verdana" w:cs="Arial"/>
          <w:lang w:eastAsia="es-ES_tradnl"/>
        </w:rPr>
        <w:t xml:space="preserve">En ejercicio de la competencia otorgada por los artículos 3, numeral 5º, y 11, numeral 8º, del Decreto Ley 4170 de 2011, así como lo establecido en el artículo 4 de la Resolución </w:t>
      </w:r>
      <w:r>
        <w:rPr>
          <w:rFonts w:ascii="Verdana" w:eastAsia="Calibri" w:hAnsi="Verdana" w:cs="Arial"/>
          <w:lang w:eastAsia="es-ES_tradnl"/>
        </w:rPr>
        <w:t>469</w:t>
      </w:r>
      <w:r w:rsidRPr="00BE151B">
        <w:rPr>
          <w:rFonts w:ascii="Verdana" w:eastAsia="Calibri" w:hAnsi="Verdana" w:cs="Arial"/>
          <w:lang w:eastAsia="es-ES_tradnl"/>
        </w:rPr>
        <w:t xml:space="preserve"> de 20</w:t>
      </w:r>
      <w:r>
        <w:rPr>
          <w:rFonts w:ascii="Verdana" w:eastAsia="Calibri" w:hAnsi="Verdana" w:cs="Arial"/>
          <w:lang w:eastAsia="es-ES_tradnl"/>
        </w:rPr>
        <w:t>25</w:t>
      </w:r>
      <w:r w:rsidRPr="00BE151B">
        <w:rPr>
          <w:rFonts w:ascii="Verdana" w:eastAsia="Calibri" w:hAnsi="Verdana" w:cs="Arial"/>
          <w:lang w:eastAsia="es-ES_tradnl"/>
        </w:rPr>
        <w:t xml:space="preserve"> expedida por esta Entidad, la Agencia Nacional de Contratación Pública – Colombia Compra Eficiente– responde su solicitud de consulta de fecha </w:t>
      </w:r>
      <w:r>
        <w:rPr>
          <w:rFonts w:ascii="Verdana" w:eastAsia="Calibri" w:hAnsi="Verdana" w:cs="Arial"/>
          <w:lang w:eastAsia="es-ES_tradnl"/>
        </w:rPr>
        <w:t>6 de abril de 2026</w:t>
      </w:r>
      <w:r w:rsidRPr="00BE151B">
        <w:rPr>
          <w:rFonts w:ascii="Verdana" w:eastAsia="Calibri" w:hAnsi="Verdana" w:cs="Arial"/>
          <w:lang w:eastAsia="es-ES_tradnl"/>
        </w:rPr>
        <w:t xml:space="preserve">, en la cual </w:t>
      </w:r>
      <w:r>
        <w:rPr>
          <w:rFonts w:ascii="Verdana" w:eastAsia="Calibri" w:hAnsi="Verdana" w:cs="Arial"/>
          <w:lang w:eastAsia="es-ES_tradnl"/>
        </w:rPr>
        <w:t>consulta</w:t>
      </w:r>
      <w:r w:rsidRPr="00BE151B">
        <w:rPr>
          <w:rFonts w:ascii="Verdana" w:eastAsia="Calibri" w:hAnsi="Verdana" w:cs="Arial"/>
          <w:lang w:eastAsia="es-ES_tradnl"/>
        </w:rPr>
        <w:t xml:space="preserve"> lo siguiente: </w:t>
      </w:r>
    </w:p>
    <w:p w14:paraId="505E429F" w14:textId="77777777" w:rsidR="00F26D50" w:rsidRPr="00BE151B" w:rsidRDefault="00F26D50" w:rsidP="00F26D50">
      <w:pPr>
        <w:spacing w:after="0" w:line="276" w:lineRule="auto"/>
        <w:jc w:val="both"/>
        <w:rPr>
          <w:rFonts w:ascii="Verdana" w:eastAsia="Calibri" w:hAnsi="Verdana" w:cs="Arial"/>
          <w:lang w:eastAsia="es-ES_tradnl"/>
        </w:rPr>
      </w:pPr>
    </w:p>
    <w:p w14:paraId="4B2EA86D" w14:textId="77777777" w:rsidR="00F26D50" w:rsidRPr="00E00E44" w:rsidRDefault="00F26D50" w:rsidP="00F26D50">
      <w:pPr>
        <w:spacing w:after="0" w:line="240" w:lineRule="auto"/>
        <w:ind w:left="709" w:right="709"/>
        <w:jc w:val="both"/>
        <w:rPr>
          <w:rFonts w:ascii="Verdana" w:eastAsia="Times New Roman" w:hAnsi="Verdana" w:cs="Arial"/>
          <w:sz w:val="20"/>
          <w:szCs w:val="20"/>
          <w:lang w:eastAsia="es-ES_tradnl"/>
        </w:rPr>
      </w:pPr>
      <w:r w:rsidRPr="00E00E44">
        <w:rPr>
          <w:rFonts w:ascii="Verdana" w:eastAsia="Times New Roman" w:hAnsi="Verdana" w:cs="Arial"/>
          <w:sz w:val="20"/>
          <w:szCs w:val="20"/>
          <w:lang w:eastAsia="es-ES_tradnl"/>
        </w:rPr>
        <w:t>“</w:t>
      </w:r>
      <w:r w:rsidRPr="00A558DD">
        <w:rPr>
          <w:rFonts w:ascii="Verdana" w:eastAsia="Times New Roman" w:hAnsi="Verdana" w:cs="Arial"/>
          <w:sz w:val="20"/>
          <w:szCs w:val="20"/>
          <w:lang w:eastAsia="es-ES_tradnl"/>
        </w:rPr>
        <w:t xml:space="preserve">Agradezco un concepto de </w:t>
      </w:r>
      <w:proofErr w:type="spellStart"/>
      <w:r w:rsidRPr="00A558DD">
        <w:rPr>
          <w:rFonts w:ascii="Verdana" w:eastAsia="Times New Roman" w:hAnsi="Verdana" w:cs="Arial"/>
          <w:sz w:val="20"/>
          <w:szCs w:val="20"/>
          <w:lang w:eastAsia="es-ES_tradnl"/>
        </w:rPr>
        <w:t>como</w:t>
      </w:r>
      <w:proofErr w:type="spellEnd"/>
      <w:r w:rsidRPr="00A558DD">
        <w:rPr>
          <w:rFonts w:ascii="Verdana" w:eastAsia="Times New Roman" w:hAnsi="Verdana" w:cs="Arial"/>
          <w:sz w:val="20"/>
          <w:szCs w:val="20"/>
          <w:lang w:eastAsia="es-ES_tradnl"/>
        </w:rPr>
        <w:t xml:space="preserve"> se contabiliza el termino de caducidad</w:t>
      </w:r>
      <w:r>
        <w:rPr>
          <w:rFonts w:ascii="Verdana" w:eastAsia="Times New Roman" w:hAnsi="Verdana" w:cs="Arial"/>
          <w:sz w:val="20"/>
          <w:szCs w:val="20"/>
          <w:lang w:eastAsia="es-ES_tradnl"/>
        </w:rPr>
        <w:t xml:space="preserve"> </w:t>
      </w:r>
      <w:r w:rsidRPr="00A558DD">
        <w:rPr>
          <w:rFonts w:ascii="Verdana" w:eastAsia="Times New Roman" w:hAnsi="Verdana" w:cs="Arial"/>
          <w:sz w:val="20"/>
          <w:szCs w:val="20"/>
          <w:lang w:eastAsia="es-ES_tradnl"/>
        </w:rPr>
        <w:t>para demandar en el medio de control de controversias contractuales con</w:t>
      </w:r>
      <w:r>
        <w:rPr>
          <w:rFonts w:ascii="Verdana" w:eastAsia="Times New Roman" w:hAnsi="Verdana" w:cs="Arial"/>
          <w:sz w:val="20"/>
          <w:szCs w:val="20"/>
          <w:lang w:eastAsia="es-ES_tradnl"/>
        </w:rPr>
        <w:t xml:space="preserve"> </w:t>
      </w:r>
      <w:r w:rsidRPr="00A558DD">
        <w:rPr>
          <w:rFonts w:ascii="Verdana" w:eastAsia="Times New Roman" w:hAnsi="Verdana" w:cs="Arial"/>
          <w:sz w:val="20"/>
          <w:szCs w:val="20"/>
          <w:lang w:eastAsia="es-ES_tradnl"/>
        </w:rPr>
        <w:t>el fin de obtener la liquidación judicial del contrato conforme el siguiente</w:t>
      </w:r>
      <w:r>
        <w:rPr>
          <w:rFonts w:ascii="Verdana" w:eastAsia="Times New Roman" w:hAnsi="Verdana" w:cs="Arial"/>
          <w:sz w:val="20"/>
          <w:szCs w:val="20"/>
          <w:lang w:eastAsia="es-ES_tradnl"/>
        </w:rPr>
        <w:t xml:space="preserve"> c</w:t>
      </w:r>
      <w:r w:rsidRPr="00A558DD">
        <w:rPr>
          <w:rFonts w:ascii="Verdana" w:eastAsia="Times New Roman" w:hAnsi="Verdana" w:cs="Arial"/>
          <w:sz w:val="20"/>
          <w:szCs w:val="20"/>
          <w:lang w:eastAsia="es-ES_tradnl"/>
        </w:rPr>
        <w:t>aso: en el año 2013 se suscribió contrato de obra, actualmente el</w:t>
      </w:r>
      <w:r>
        <w:rPr>
          <w:rFonts w:ascii="Verdana" w:eastAsia="Times New Roman" w:hAnsi="Verdana" w:cs="Arial"/>
          <w:sz w:val="20"/>
          <w:szCs w:val="20"/>
          <w:lang w:eastAsia="es-ES_tradnl"/>
        </w:rPr>
        <w:t xml:space="preserve"> </w:t>
      </w:r>
      <w:r w:rsidRPr="00A558DD">
        <w:rPr>
          <w:rFonts w:ascii="Verdana" w:eastAsia="Times New Roman" w:hAnsi="Verdana" w:cs="Arial"/>
          <w:sz w:val="20"/>
          <w:szCs w:val="20"/>
          <w:lang w:eastAsia="es-ES_tradnl"/>
        </w:rPr>
        <w:t>contrato se encuentra suspendida indefinidamente conforme acta de</w:t>
      </w:r>
      <w:r>
        <w:rPr>
          <w:rFonts w:ascii="Verdana" w:eastAsia="Times New Roman" w:hAnsi="Verdana" w:cs="Arial"/>
          <w:sz w:val="20"/>
          <w:szCs w:val="20"/>
          <w:lang w:eastAsia="es-ES_tradnl"/>
        </w:rPr>
        <w:t xml:space="preserve"> </w:t>
      </w:r>
      <w:r w:rsidRPr="00A558DD">
        <w:rPr>
          <w:rFonts w:ascii="Verdana" w:eastAsia="Times New Roman" w:hAnsi="Verdana" w:cs="Arial"/>
          <w:sz w:val="20"/>
          <w:szCs w:val="20"/>
          <w:lang w:eastAsia="es-ES_tradnl"/>
        </w:rPr>
        <w:t>suspensión 7 de fecha 23/11/2015. El demandante radico demanda el</w:t>
      </w:r>
      <w:r>
        <w:rPr>
          <w:rFonts w:ascii="Verdana" w:eastAsia="Times New Roman" w:hAnsi="Verdana" w:cs="Arial"/>
          <w:sz w:val="20"/>
          <w:szCs w:val="20"/>
          <w:lang w:eastAsia="es-ES_tradnl"/>
        </w:rPr>
        <w:t xml:space="preserve"> </w:t>
      </w:r>
      <w:r w:rsidRPr="00A558DD">
        <w:rPr>
          <w:rFonts w:ascii="Verdana" w:eastAsia="Times New Roman" w:hAnsi="Verdana" w:cs="Arial"/>
          <w:sz w:val="20"/>
          <w:szCs w:val="20"/>
          <w:lang w:eastAsia="es-ES_tradnl"/>
        </w:rPr>
        <w:t>26/02/2018 y fue admitida el 26/09/2018. El 20/12/2017, la entidad</w:t>
      </w:r>
      <w:r>
        <w:rPr>
          <w:rFonts w:ascii="Verdana" w:eastAsia="Times New Roman" w:hAnsi="Verdana" w:cs="Arial"/>
          <w:sz w:val="20"/>
          <w:szCs w:val="20"/>
          <w:lang w:eastAsia="es-ES_tradnl"/>
        </w:rPr>
        <w:t xml:space="preserve"> </w:t>
      </w:r>
      <w:r w:rsidRPr="00A558DD">
        <w:rPr>
          <w:rFonts w:ascii="Verdana" w:eastAsia="Times New Roman" w:hAnsi="Verdana" w:cs="Arial"/>
          <w:sz w:val="20"/>
          <w:szCs w:val="20"/>
          <w:lang w:eastAsia="es-ES_tradnl"/>
        </w:rPr>
        <w:t>contratante expidió resolución que declara el incumplimiento del</w:t>
      </w:r>
      <w:r>
        <w:rPr>
          <w:rFonts w:ascii="Verdana" w:eastAsia="Times New Roman" w:hAnsi="Verdana" w:cs="Arial"/>
          <w:sz w:val="20"/>
          <w:szCs w:val="20"/>
          <w:lang w:eastAsia="es-ES_tradnl"/>
        </w:rPr>
        <w:t xml:space="preserve"> </w:t>
      </w:r>
      <w:r w:rsidRPr="00A558DD">
        <w:rPr>
          <w:rFonts w:ascii="Verdana" w:eastAsia="Times New Roman" w:hAnsi="Verdana" w:cs="Arial"/>
          <w:sz w:val="20"/>
          <w:szCs w:val="20"/>
          <w:lang w:eastAsia="es-ES_tradnl"/>
        </w:rPr>
        <w:t>contrato por insatisfacción de ítems constructivos conforme la visita</w:t>
      </w:r>
      <w:r>
        <w:rPr>
          <w:rFonts w:ascii="Verdana" w:eastAsia="Times New Roman" w:hAnsi="Verdana" w:cs="Arial"/>
          <w:sz w:val="20"/>
          <w:szCs w:val="20"/>
          <w:lang w:eastAsia="es-ES_tradnl"/>
        </w:rPr>
        <w:t xml:space="preserve"> </w:t>
      </w:r>
      <w:r w:rsidRPr="00A558DD">
        <w:rPr>
          <w:rFonts w:ascii="Verdana" w:eastAsia="Times New Roman" w:hAnsi="Verdana" w:cs="Arial"/>
          <w:sz w:val="20"/>
          <w:szCs w:val="20"/>
          <w:lang w:eastAsia="es-ES_tradnl"/>
        </w:rPr>
        <w:t>técnica al sitio de obra y el 29/10/2018 liquida unilateralmente el</w:t>
      </w:r>
      <w:r>
        <w:rPr>
          <w:rFonts w:ascii="Verdana" w:eastAsia="Times New Roman" w:hAnsi="Verdana" w:cs="Arial"/>
          <w:sz w:val="20"/>
          <w:szCs w:val="20"/>
          <w:lang w:eastAsia="es-ES_tradnl"/>
        </w:rPr>
        <w:t xml:space="preserve"> </w:t>
      </w:r>
      <w:r w:rsidRPr="00A558DD">
        <w:rPr>
          <w:rFonts w:ascii="Verdana" w:eastAsia="Times New Roman" w:hAnsi="Verdana" w:cs="Arial"/>
          <w:sz w:val="20"/>
          <w:szCs w:val="20"/>
          <w:lang w:eastAsia="es-ES_tradnl"/>
        </w:rPr>
        <w:t>contrato. Conforme lo ha indicado la jurisprudencia del Consejo de</w:t>
      </w:r>
      <w:r>
        <w:rPr>
          <w:rFonts w:ascii="Verdana" w:eastAsia="Times New Roman" w:hAnsi="Verdana" w:cs="Arial"/>
          <w:sz w:val="20"/>
          <w:szCs w:val="20"/>
          <w:lang w:eastAsia="es-ES_tradnl"/>
        </w:rPr>
        <w:t xml:space="preserve"> </w:t>
      </w:r>
      <w:r w:rsidRPr="00A558DD">
        <w:rPr>
          <w:rFonts w:ascii="Verdana" w:eastAsia="Times New Roman" w:hAnsi="Verdana" w:cs="Arial"/>
          <w:sz w:val="20"/>
          <w:szCs w:val="20"/>
          <w:lang w:eastAsia="es-ES_tradnl"/>
        </w:rPr>
        <w:t>Estado, la entidad pierde competencia para liquidar unilateralmente el</w:t>
      </w:r>
      <w:r>
        <w:rPr>
          <w:rFonts w:ascii="Verdana" w:eastAsia="Times New Roman" w:hAnsi="Verdana" w:cs="Arial"/>
          <w:sz w:val="20"/>
          <w:szCs w:val="20"/>
          <w:lang w:eastAsia="es-ES_tradnl"/>
        </w:rPr>
        <w:t xml:space="preserve"> </w:t>
      </w:r>
      <w:r w:rsidRPr="00A558DD">
        <w:rPr>
          <w:rFonts w:ascii="Verdana" w:eastAsia="Times New Roman" w:hAnsi="Verdana" w:cs="Arial"/>
          <w:sz w:val="20"/>
          <w:szCs w:val="20"/>
          <w:lang w:eastAsia="es-ES_tradnl"/>
        </w:rPr>
        <w:t xml:space="preserve">contrato cuando se ha </w:t>
      </w:r>
      <w:r w:rsidRPr="00A558DD">
        <w:rPr>
          <w:rFonts w:ascii="Verdana" w:eastAsia="Times New Roman" w:hAnsi="Verdana" w:cs="Arial"/>
          <w:sz w:val="20"/>
          <w:szCs w:val="20"/>
          <w:lang w:eastAsia="es-ES_tradnl"/>
        </w:rPr>
        <w:lastRenderedPageBreak/>
        <w:t>presentado y admitido la demanda, como ocurrió</w:t>
      </w:r>
      <w:r>
        <w:rPr>
          <w:rFonts w:ascii="Verdana" w:eastAsia="Times New Roman" w:hAnsi="Verdana" w:cs="Arial"/>
          <w:sz w:val="20"/>
          <w:szCs w:val="20"/>
          <w:lang w:eastAsia="es-ES_tradnl"/>
        </w:rPr>
        <w:t xml:space="preserve"> </w:t>
      </w:r>
      <w:r w:rsidRPr="00A558DD">
        <w:rPr>
          <w:rFonts w:ascii="Verdana" w:eastAsia="Times New Roman" w:hAnsi="Verdana" w:cs="Arial"/>
          <w:sz w:val="20"/>
          <w:szCs w:val="20"/>
          <w:lang w:eastAsia="es-ES_tradnl"/>
        </w:rPr>
        <w:t xml:space="preserve">en el presente caso. Una de </w:t>
      </w:r>
      <w:proofErr w:type="spellStart"/>
      <w:r w:rsidRPr="00A558DD">
        <w:rPr>
          <w:rFonts w:ascii="Verdana" w:eastAsia="Times New Roman" w:hAnsi="Verdana" w:cs="Arial"/>
          <w:sz w:val="20"/>
          <w:szCs w:val="20"/>
          <w:lang w:eastAsia="es-ES_tradnl"/>
        </w:rPr>
        <w:t>laspretensiones</w:t>
      </w:r>
      <w:proofErr w:type="spellEnd"/>
      <w:r w:rsidRPr="00A558DD">
        <w:rPr>
          <w:rFonts w:ascii="Verdana" w:eastAsia="Times New Roman" w:hAnsi="Verdana" w:cs="Arial"/>
          <w:sz w:val="20"/>
          <w:szCs w:val="20"/>
          <w:lang w:eastAsia="es-ES_tradnl"/>
        </w:rPr>
        <w:t xml:space="preserve"> de la demanda es liquidar</w:t>
      </w:r>
      <w:r>
        <w:rPr>
          <w:rFonts w:ascii="Verdana" w:eastAsia="Times New Roman" w:hAnsi="Verdana" w:cs="Arial"/>
          <w:sz w:val="20"/>
          <w:szCs w:val="20"/>
          <w:lang w:eastAsia="es-ES_tradnl"/>
        </w:rPr>
        <w:t xml:space="preserve"> </w:t>
      </w:r>
      <w:r w:rsidRPr="00A558DD">
        <w:rPr>
          <w:rFonts w:ascii="Verdana" w:eastAsia="Times New Roman" w:hAnsi="Verdana" w:cs="Arial"/>
          <w:sz w:val="20"/>
          <w:szCs w:val="20"/>
          <w:lang w:eastAsia="es-ES_tradnl"/>
        </w:rPr>
        <w:t xml:space="preserve">judicial. </w:t>
      </w:r>
      <w:proofErr w:type="spellStart"/>
      <w:r w:rsidRPr="00A558DD">
        <w:rPr>
          <w:rFonts w:ascii="Verdana" w:eastAsia="Times New Roman" w:hAnsi="Verdana" w:cs="Arial"/>
          <w:sz w:val="20"/>
          <w:szCs w:val="20"/>
          <w:lang w:eastAsia="es-ES_tradnl"/>
        </w:rPr>
        <w:t>como</w:t>
      </w:r>
      <w:proofErr w:type="spellEnd"/>
      <w:r w:rsidRPr="00A558DD">
        <w:rPr>
          <w:rFonts w:ascii="Verdana" w:eastAsia="Times New Roman" w:hAnsi="Verdana" w:cs="Arial"/>
          <w:sz w:val="20"/>
          <w:szCs w:val="20"/>
          <w:lang w:eastAsia="es-ES_tradnl"/>
        </w:rPr>
        <w:t xml:space="preserve"> se cuenta </w:t>
      </w:r>
      <w:proofErr w:type="spellStart"/>
      <w:r w:rsidRPr="00A558DD">
        <w:rPr>
          <w:rFonts w:ascii="Verdana" w:eastAsia="Times New Roman" w:hAnsi="Verdana" w:cs="Arial"/>
          <w:sz w:val="20"/>
          <w:szCs w:val="20"/>
          <w:lang w:eastAsia="es-ES_tradnl"/>
        </w:rPr>
        <w:t>lacaducidad</w:t>
      </w:r>
      <w:proofErr w:type="spellEnd"/>
      <w:r w:rsidRPr="00A558DD">
        <w:rPr>
          <w:rFonts w:ascii="Verdana" w:eastAsia="Times New Roman" w:hAnsi="Verdana" w:cs="Arial"/>
          <w:sz w:val="20"/>
          <w:szCs w:val="20"/>
          <w:lang w:eastAsia="es-ES_tradnl"/>
        </w:rPr>
        <w:t>:</w:t>
      </w:r>
      <w:r w:rsidRPr="00E00E44">
        <w:rPr>
          <w:rFonts w:ascii="Verdana" w:eastAsia="Times New Roman" w:hAnsi="Verdana" w:cs="Arial"/>
          <w:iCs/>
          <w:sz w:val="20"/>
          <w:szCs w:val="20"/>
          <w:lang w:eastAsia="es-ES_tradnl"/>
        </w:rPr>
        <w:t>”.</w:t>
      </w:r>
    </w:p>
    <w:p w14:paraId="58002F32" w14:textId="77777777" w:rsidR="00F26D50" w:rsidRPr="00BE151B" w:rsidRDefault="00F26D50" w:rsidP="00F26D50">
      <w:pPr>
        <w:spacing w:after="0" w:line="276" w:lineRule="auto"/>
        <w:ind w:left="709" w:right="709"/>
        <w:jc w:val="both"/>
        <w:rPr>
          <w:rFonts w:ascii="Verdana" w:eastAsia="Times New Roman" w:hAnsi="Verdana" w:cs="Arial"/>
          <w:i/>
          <w:lang w:eastAsia="es-ES_tradnl"/>
        </w:rPr>
      </w:pPr>
    </w:p>
    <w:p w14:paraId="1A1F6396" w14:textId="77777777" w:rsidR="00F26D50" w:rsidRDefault="00F26D50" w:rsidP="00F26D50">
      <w:pPr>
        <w:spacing w:after="120" w:line="276" w:lineRule="auto"/>
        <w:ind w:firstLine="709"/>
        <w:jc w:val="both"/>
        <w:rPr>
          <w:rFonts w:ascii="Verdana" w:eastAsia="Calibri" w:hAnsi="Verdana" w:cs="Arial"/>
          <w:color w:val="000000"/>
          <w:szCs w:val="24"/>
          <w:lang w:val="es-ES_tradnl" w:eastAsia="es-ES_tradnl"/>
        </w:rPr>
      </w:pPr>
      <w:r w:rsidRPr="00593A5F">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93A5F">
        <w:rPr>
          <w:rFonts w:ascii="Verdana" w:eastAsia="Calibri" w:hAnsi="Verdana" w:cs="Arial"/>
          <w:color w:val="000000"/>
          <w:szCs w:val="24"/>
          <w:lang w:val="es-ES_tradnl" w:eastAsia="es-ES_tradnl"/>
        </w:rPr>
        <w:tab/>
      </w:r>
    </w:p>
    <w:p w14:paraId="413C43D7" w14:textId="77777777" w:rsidR="00F26D50" w:rsidRPr="00BE151B" w:rsidRDefault="00F26D50" w:rsidP="00F26D50">
      <w:pPr>
        <w:spacing w:after="0" w:line="276" w:lineRule="auto"/>
        <w:ind w:firstLine="709"/>
        <w:jc w:val="both"/>
        <w:rPr>
          <w:rFonts w:ascii="Verdana" w:eastAsia="Calibri" w:hAnsi="Verdana" w:cs="Arial"/>
          <w:lang w:eastAsia="es-ES"/>
        </w:rPr>
      </w:pPr>
      <w:r w:rsidRPr="00593A5F">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w:t>
      </w:r>
      <w:r>
        <w:rPr>
          <w:rFonts w:ascii="Verdana" w:eastAsia="Calibri" w:hAnsi="Verdana" w:cs="Arial"/>
          <w:color w:val="000000"/>
          <w:lang w:val="es-ES" w:eastAsia="es-ES"/>
        </w:rPr>
        <w:t>s circunstancias</w:t>
      </w:r>
      <w:r w:rsidRPr="00593A5F">
        <w:rPr>
          <w:rFonts w:ascii="Verdana" w:eastAsia="Calibri" w:hAnsi="Verdana" w:cs="Arial"/>
          <w:color w:val="000000"/>
          <w:lang w:val="es-ES" w:eastAsia="es-ES"/>
        </w:rPr>
        <w:t xml:space="preserve"> particular</w:t>
      </w:r>
      <w:r>
        <w:rPr>
          <w:rFonts w:ascii="Verdana" w:eastAsia="Calibri" w:hAnsi="Verdana" w:cs="Arial"/>
          <w:color w:val="000000"/>
          <w:lang w:val="es-ES" w:eastAsia="es-ES"/>
        </w:rPr>
        <w:t>es</w:t>
      </w:r>
      <w:r w:rsidRPr="00593A5F">
        <w:rPr>
          <w:rFonts w:ascii="Verdana" w:eastAsia="Calibri" w:hAnsi="Verdana" w:cs="Arial"/>
          <w:color w:val="000000"/>
          <w:lang w:val="es-ES" w:eastAsia="es-ES"/>
        </w:rPr>
        <w:t xml:space="preserve"> y concreta</w:t>
      </w:r>
      <w:r>
        <w:rPr>
          <w:rFonts w:ascii="Verdana" w:eastAsia="Calibri" w:hAnsi="Verdana" w:cs="Arial"/>
          <w:color w:val="000000"/>
          <w:lang w:val="es-ES" w:eastAsia="es-ES"/>
        </w:rPr>
        <w:t>s</w:t>
      </w:r>
      <w:r w:rsidRPr="00593A5F">
        <w:rPr>
          <w:rFonts w:ascii="Verdana" w:eastAsia="Calibri" w:hAnsi="Verdana" w:cs="Arial"/>
          <w:color w:val="000000"/>
          <w:lang w:val="es-ES" w:eastAsia="es-ES"/>
        </w:rPr>
        <w:t xml:space="preserve"> mencionada</w:t>
      </w:r>
      <w:r>
        <w:rPr>
          <w:rFonts w:ascii="Verdana" w:eastAsia="Calibri" w:hAnsi="Verdana" w:cs="Arial"/>
          <w:color w:val="000000"/>
          <w:lang w:val="es-ES" w:eastAsia="es-ES"/>
        </w:rPr>
        <w:t>s</w:t>
      </w:r>
      <w:r w:rsidRPr="00593A5F">
        <w:rPr>
          <w:rFonts w:ascii="Verdana" w:eastAsia="Calibri" w:hAnsi="Verdana" w:cs="Arial"/>
          <w:color w:val="000000"/>
          <w:lang w:val="es-ES" w:eastAsia="es-ES"/>
        </w:rPr>
        <w:t xml:space="preserve"> en su petición, </w:t>
      </w:r>
      <w:r>
        <w:rPr>
          <w:rFonts w:ascii="Verdana" w:eastAsia="Calibri" w:hAnsi="Verdana" w:cs="Arial"/>
          <w:color w:val="000000"/>
          <w:lang w:val="es-ES" w:eastAsia="es-ES"/>
        </w:rPr>
        <w:t xml:space="preserve">pero </w:t>
      </w:r>
      <w:r w:rsidRPr="00BE151B">
        <w:rPr>
          <w:rFonts w:ascii="Verdana" w:eastAsia="Calibri" w:hAnsi="Verdana" w:cs="Arial"/>
          <w:lang w:eastAsia="es-ES"/>
        </w:rPr>
        <w:t xml:space="preserve">haciendo unas consideraciones sobre las normas generales relacionadas con los problemas jurídicos de su consulta. </w:t>
      </w:r>
    </w:p>
    <w:p w14:paraId="40035A7C" w14:textId="77777777" w:rsidR="00F26D50" w:rsidRPr="00BE151B" w:rsidRDefault="00F26D50" w:rsidP="00F26D50">
      <w:pPr>
        <w:spacing w:after="0" w:line="276" w:lineRule="auto"/>
        <w:jc w:val="both"/>
        <w:rPr>
          <w:rFonts w:ascii="Verdana" w:eastAsia="Times New Roman" w:hAnsi="Verdana" w:cs="Arial"/>
          <w:szCs w:val="24"/>
          <w:lang w:eastAsia="es-ES_tradnl"/>
        </w:rPr>
      </w:pPr>
    </w:p>
    <w:p w14:paraId="5BB3168B" w14:textId="77777777" w:rsidR="00F26D50" w:rsidRPr="00BE151B" w:rsidRDefault="00F26D50" w:rsidP="00F26D50">
      <w:pPr>
        <w:tabs>
          <w:tab w:val="left" w:pos="0"/>
          <w:tab w:val="left" w:pos="284"/>
        </w:tabs>
        <w:spacing w:after="0" w:line="276" w:lineRule="auto"/>
        <w:jc w:val="both"/>
        <w:rPr>
          <w:rFonts w:ascii="Verdana" w:eastAsia="Calibri" w:hAnsi="Verdana" w:cs="Arial"/>
          <w:b/>
        </w:rPr>
      </w:pPr>
      <w:r w:rsidRPr="00BE151B">
        <w:rPr>
          <w:rFonts w:ascii="Verdana" w:eastAsia="Calibri" w:hAnsi="Verdana" w:cs="Arial"/>
          <w:b/>
        </w:rPr>
        <w:t>1. Problema planteado:</w:t>
      </w:r>
    </w:p>
    <w:p w14:paraId="0074C7FD" w14:textId="77777777" w:rsidR="00F26D50" w:rsidRPr="00BE151B" w:rsidRDefault="00F26D50" w:rsidP="00F26D50">
      <w:pPr>
        <w:tabs>
          <w:tab w:val="left" w:pos="0"/>
          <w:tab w:val="left" w:pos="284"/>
        </w:tabs>
        <w:spacing w:after="0" w:line="276" w:lineRule="auto"/>
        <w:jc w:val="both"/>
        <w:rPr>
          <w:rFonts w:ascii="Verdana" w:eastAsia="Calibri" w:hAnsi="Verdana" w:cs="Arial"/>
          <w:b/>
        </w:rPr>
      </w:pPr>
    </w:p>
    <w:p w14:paraId="1B28E132" w14:textId="77777777" w:rsidR="00F26D50" w:rsidRPr="005C4A0F" w:rsidRDefault="00F26D50" w:rsidP="00F26D50">
      <w:pPr>
        <w:spacing w:after="0" w:line="276" w:lineRule="auto"/>
        <w:jc w:val="both"/>
        <w:rPr>
          <w:rFonts w:ascii="Verdana" w:eastAsia="Century Gothic" w:hAnsi="Verdana" w:cs="Century Gothic"/>
        </w:rPr>
      </w:pPr>
      <w:r w:rsidRPr="2993F789">
        <w:rPr>
          <w:rFonts w:ascii="Verdana" w:eastAsia="Century Gothic" w:hAnsi="Verdana" w:cs="Century Gothic"/>
        </w:rPr>
        <w:t>De acuerdo con el contenido de su solicitud, esta Agencia resolverá el siguiente problema jurídico: ¿Cuándo se pierde de competencia la entidad estatal para liquidar el contrato estatal?; O ¿la existencia de un proceso sancionatorio en contra del contratista hace perder competencia a la entidad estatal para realizar la liquidación del contrato?</w:t>
      </w:r>
    </w:p>
    <w:p w14:paraId="0A53FC0F" w14:textId="77777777" w:rsidR="00F26D50" w:rsidRPr="005C4A0F" w:rsidRDefault="00F26D50" w:rsidP="00F26D50">
      <w:pPr>
        <w:spacing w:after="0" w:line="276" w:lineRule="auto"/>
        <w:jc w:val="both"/>
        <w:rPr>
          <w:rFonts w:ascii="Verdana" w:eastAsia="Century Gothic" w:hAnsi="Verdana" w:cs="Century Gothic"/>
        </w:rPr>
      </w:pPr>
    </w:p>
    <w:p w14:paraId="52F96F9A" w14:textId="77777777" w:rsidR="00F26D50" w:rsidRDefault="00F26D50" w:rsidP="00F26D50">
      <w:pPr>
        <w:spacing w:after="0" w:line="276" w:lineRule="auto"/>
        <w:jc w:val="both"/>
        <w:rPr>
          <w:rFonts w:ascii="Verdana" w:hAnsi="Verdana"/>
        </w:rPr>
      </w:pPr>
    </w:p>
    <w:p w14:paraId="463B4637" w14:textId="77777777" w:rsidR="00F26D50" w:rsidRPr="00694106" w:rsidRDefault="00F26D50" w:rsidP="00F26D50">
      <w:pPr>
        <w:tabs>
          <w:tab w:val="left" w:pos="0"/>
          <w:tab w:val="left" w:pos="284"/>
        </w:tabs>
        <w:spacing w:after="0" w:line="276" w:lineRule="auto"/>
        <w:jc w:val="both"/>
        <w:rPr>
          <w:rFonts w:ascii="Verdana" w:eastAsia="Calibri" w:hAnsi="Verdana" w:cs="Arial"/>
          <w:b/>
        </w:rPr>
      </w:pPr>
      <w:r w:rsidRPr="00694106">
        <w:rPr>
          <w:rFonts w:ascii="Verdana" w:eastAsia="Calibri" w:hAnsi="Verdana" w:cs="Arial"/>
          <w:b/>
        </w:rPr>
        <w:t>2. Respuesta:</w:t>
      </w:r>
    </w:p>
    <w:p w14:paraId="6B019747" w14:textId="77777777" w:rsidR="00F26D50" w:rsidRPr="00BE151B" w:rsidRDefault="00F26D50" w:rsidP="00F26D50">
      <w:pPr>
        <w:tabs>
          <w:tab w:val="left" w:pos="142"/>
          <w:tab w:val="left" w:pos="284"/>
        </w:tabs>
        <w:spacing w:after="0" w:line="276" w:lineRule="auto"/>
        <w:jc w:val="both"/>
        <w:rPr>
          <w:rFonts w:ascii="Verdana" w:eastAsia="Century Gothic" w:hAnsi="Verdana" w:cs="Century Gothic"/>
          <w:b/>
          <w:bC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F26D50" w:rsidRPr="00BE151B" w14:paraId="4651751C" w14:textId="77777777" w:rsidTr="006B0FCB">
        <w:tc>
          <w:tcPr>
            <w:tcW w:w="8828" w:type="dxa"/>
          </w:tcPr>
          <w:p w14:paraId="37155CD4" w14:textId="77777777" w:rsidR="00F26D50" w:rsidRDefault="00F26D50" w:rsidP="006B0FCB">
            <w:pPr>
              <w:spacing w:after="120" w:line="276" w:lineRule="auto"/>
              <w:jc w:val="both"/>
              <w:rPr>
                <w:rFonts w:ascii="Verdana" w:hAnsi="Verdana" w:cs="Arial"/>
                <w:lang w:val="es-ES"/>
              </w:rPr>
            </w:pPr>
            <w:r w:rsidRPr="2993F789">
              <w:rPr>
                <w:rFonts w:ascii="Verdana" w:hAnsi="Verdana" w:cs="Arial"/>
                <w:lang w:val="es-ES"/>
              </w:rPr>
              <w:t xml:space="preserve">De acuerdo con </w:t>
            </w:r>
            <w:r>
              <w:rPr>
                <w:rFonts w:ascii="Verdana" w:hAnsi="Verdana" w:cs="Arial"/>
                <w:lang w:val="es-ES"/>
              </w:rPr>
              <w:t xml:space="preserve">lo establecido por </w:t>
            </w:r>
            <w:r w:rsidRPr="2993F789">
              <w:rPr>
                <w:rFonts w:ascii="Verdana" w:hAnsi="Verdana" w:cs="Arial"/>
                <w:lang w:val="es-ES"/>
              </w:rPr>
              <w:t>el artículo 11 de la Ley 1150 de 2007, existen tres (3) tipos de liquidación</w:t>
            </w:r>
            <w:r>
              <w:rPr>
                <w:rFonts w:ascii="Verdana" w:hAnsi="Verdana" w:cs="Arial"/>
                <w:lang w:val="es-ES"/>
              </w:rPr>
              <w:t xml:space="preserve"> del contrato</w:t>
            </w:r>
            <w:r w:rsidRPr="2993F789">
              <w:rPr>
                <w:rFonts w:ascii="Verdana" w:hAnsi="Verdana" w:cs="Arial"/>
                <w:lang w:val="es-ES"/>
              </w:rPr>
              <w:t xml:space="preserve">: i) bilateral, </w:t>
            </w:r>
            <w:proofErr w:type="spellStart"/>
            <w:r w:rsidRPr="2993F789">
              <w:rPr>
                <w:rFonts w:ascii="Verdana" w:hAnsi="Verdana" w:cs="Arial"/>
                <w:lang w:val="es-ES"/>
              </w:rPr>
              <w:t>ii</w:t>
            </w:r>
            <w:proofErr w:type="spellEnd"/>
            <w:r w:rsidRPr="2993F789">
              <w:rPr>
                <w:rFonts w:ascii="Verdana" w:hAnsi="Verdana" w:cs="Arial"/>
                <w:lang w:val="es-ES"/>
              </w:rPr>
              <w:t xml:space="preserve">) unilateral y </w:t>
            </w:r>
            <w:proofErr w:type="spellStart"/>
            <w:r w:rsidRPr="2993F789">
              <w:rPr>
                <w:rFonts w:ascii="Verdana" w:hAnsi="Verdana" w:cs="Arial"/>
                <w:lang w:val="es-ES"/>
              </w:rPr>
              <w:t>iii</w:t>
            </w:r>
            <w:proofErr w:type="spellEnd"/>
            <w:r w:rsidRPr="2993F789">
              <w:rPr>
                <w:rFonts w:ascii="Verdana" w:hAnsi="Verdana" w:cs="Arial"/>
                <w:lang w:val="es-ES"/>
              </w:rPr>
              <w:t xml:space="preserve">) </w:t>
            </w:r>
            <w:r w:rsidRPr="2993F789">
              <w:rPr>
                <w:rFonts w:ascii="Verdana" w:hAnsi="Verdana" w:cs="Arial"/>
                <w:lang w:val="es-ES"/>
              </w:rPr>
              <w:lastRenderedPageBreak/>
              <w:t>judicial. En términos generales, la primera, que puede ser total o parcial, debe hacerse en el término que estipulen las partes o, en su defecto, dentro del término supletivo de cuatro (4) meses. La segunda se debe practicar dentro de los dos (2) meses siguientes al vencimiento del término que acuerden las partes, o ante el silencio de estas</w:t>
            </w:r>
            <w:r>
              <w:rPr>
                <w:rFonts w:ascii="Verdana" w:hAnsi="Verdana" w:cs="Arial"/>
                <w:lang w:val="es-ES"/>
              </w:rPr>
              <w:t>;</w:t>
            </w:r>
            <w:r w:rsidRPr="2993F789">
              <w:rPr>
                <w:rFonts w:ascii="Verdana" w:hAnsi="Verdana" w:cs="Arial"/>
                <w:lang w:val="es-ES"/>
              </w:rPr>
              <w:t xml:space="preserve"> luego de los cuatro (4) meses para realizar la liquidación bilateral, sin que esta se efectúe. Finalmente, la tercera la realiza la Jurisdicción de lo Contencioso Administrativo o un tribunal de arbitramento dentro de un proceso judicial de controversias contractuales, y puede darse con ocasión de una demanda del interesado solicitando dicha liquidación. Para ello, existe un plazo máximo de dos (2) años contados a partir de los dos meses establecidos en la Ley para realizar la liquidación unilateral, de conformidad con el citado auto de unificación jurisprudencial del Consejo de Estado.</w:t>
            </w:r>
          </w:p>
          <w:p w14:paraId="4997095B" w14:textId="77777777" w:rsidR="00F26D50" w:rsidRPr="00AF268A" w:rsidRDefault="00F26D50" w:rsidP="006B0FCB">
            <w:pPr>
              <w:spacing w:after="120" w:line="276" w:lineRule="auto"/>
              <w:ind w:firstLine="709"/>
              <w:jc w:val="both"/>
              <w:rPr>
                <w:rFonts w:ascii="Verdana" w:eastAsia="Arial MT" w:hAnsi="Verdana" w:cs="Arial"/>
                <w:lang w:eastAsia="es-ES" w:bidi="es-ES"/>
              </w:rPr>
            </w:pPr>
            <w:r w:rsidRPr="2993F789">
              <w:rPr>
                <w:rFonts w:ascii="Verdana" w:eastAsia="Times New Roman" w:hAnsi="Verdana" w:cs="Calibri"/>
                <w:lang w:val="es-ES"/>
              </w:rPr>
              <w:t>Así las cosas, c</w:t>
            </w:r>
            <w:proofErr w:type="spellStart"/>
            <w:r w:rsidRPr="2993F789">
              <w:rPr>
                <w:rFonts w:ascii="Verdana" w:eastAsia="Arial MT" w:hAnsi="Verdana" w:cs="Arial"/>
                <w:lang w:eastAsia="es-ES" w:bidi="es-ES"/>
              </w:rPr>
              <w:t>onforme</w:t>
            </w:r>
            <w:proofErr w:type="spellEnd"/>
            <w:r w:rsidRPr="2993F789">
              <w:rPr>
                <w:rFonts w:ascii="Verdana" w:eastAsia="Arial MT" w:hAnsi="Verdana" w:cs="Arial"/>
                <w:lang w:eastAsia="es-ES" w:bidi="es-ES"/>
              </w:rPr>
              <w:t xml:space="preserve"> al marco jurídico expuesto, la entidad estatal solo pierde competencia para efectuar la liquidación del contrato una vez opera la caducidad del medio de control de controversias contractuales</w:t>
            </w:r>
            <w:r>
              <w:rPr>
                <w:rFonts w:ascii="Verdana" w:eastAsia="Arial MT" w:hAnsi="Verdana" w:cs="Arial"/>
                <w:lang w:eastAsia="es-ES" w:bidi="es-ES"/>
              </w:rPr>
              <w:t>;</w:t>
            </w:r>
            <w:r w:rsidRPr="2993F789">
              <w:rPr>
                <w:rFonts w:ascii="Verdana" w:eastAsia="Arial MT" w:hAnsi="Verdana" w:cs="Arial"/>
                <w:lang w:eastAsia="es-ES" w:bidi="es-ES"/>
              </w:rPr>
              <w:t xml:space="preserve"> </w:t>
            </w:r>
            <w:r>
              <w:rPr>
                <w:rFonts w:ascii="Verdana" w:eastAsia="Arial MT" w:hAnsi="Verdana" w:cs="Arial"/>
                <w:lang w:eastAsia="es-ES" w:bidi="es-ES"/>
              </w:rPr>
              <w:t>e</w:t>
            </w:r>
            <w:r w:rsidRPr="2993F789">
              <w:rPr>
                <w:rFonts w:ascii="Verdana" w:eastAsia="Arial MT" w:hAnsi="Verdana" w:cs="Arial"/>
                <w:lang w:eastAsia="es-ES" w:bidi="es-ES"/>
              </w:rPr>
              <w:t>s decir, existe un plazo máximo de dos (2) años, contados a partir de los dos (2) meses establecidos en la ley para realizar la liquidación unilateral, dentro del cual la entidad puede liquidar el contrato de manera bilateral o unilateral </w:t>
            </w:r>
          </w:p>
          <w:p w14:paraId="424EC7D1" w14:textId="77777777" w:rsidR="00F26D50" w:rsidRDefault="00F26D50" w:rsidP="006B0FCB">
            <w:pPr>
              <w:spacing w:after="120" w:line="276" w:lineRule="auto"/>
              <w:ind w:firstLine="709"/>
              <w:jc w:val="both"/>
              <w:rPr>
                <w:rFonts w:ascii="Verdana" w:eastAsia="Arial MT" w:hAnsi="Verdana" w:cs="Arial"/>
                <w:lang w:eastAsia="es-ES" w:bidi="es-ES"/>
              </w:rPr>
            </w:pPr>
            <w:r>
              <w:rPr>
                <w:rFonts w:ascii="Verdana" w:eastAsia="Arial MT" w:hAnsi="Verdana" w:cs="Arial"/>
                <w:lang w:eastAsia="es-ES" w:bidi="es-ES"/>
              </w:rPr>
              <w:t>Bajo ese contexto, l</w:t>
            </w:r>
            <w:r w:rsidRPr="2993F789">
              <w:rPr>
                <w:rFonts w:ascii="Verdana" w:eastAsia="Arial MT" w:hAnsi="Verdana" w:cs="Arial"/>
                <w:lang w:eastAsia="es-ES" w:bidi="es-ES"/>
              </w:rPr>
              <w:t xml:space="preserve">a caducidad constituye un límite procesal que extingue la posibilidad de reclamar judicialmente obligaciones derivadas del contrato, y con ello, la competencia de la entidad para efectuar la liquidación. Una vez vencido este término, las obligaciones pendientes se convierten en obligaciones naturales, que no son exigibles ni pueden ser objeto de pago por parte de la administración pública. </w:t>
            </w:r>
          </w:p>
          <w:p w14:paraId="63547C02" w14:textId="77777777" w:rsidR="00F26D50" w:rsidRDefault="00F26D50" w:rsidP="006B0FCB">
            <w:pPr>
              <w:spacing w:after="120" w:line="276" w:lineRule="auto"/>
              <w:ind w:firstLine="709"/>
              <w:jc w:val="both"/>
              <w:rPr>
                <w:rFonts w:ascii="Verdana" w:eastAsia="Arial MT" w:hAnsi="Verdana" w:cs="Arial"/>
                <w:lang w:eastAsia="es-ES" w:bidi="es-ES"/>
              </w:rPr>
            </w:pPr>
            <w:r w:rsidRPr="2993F789">
              <w:rPr>
                <w:rFonts w:ascii="Verdana" w:eastAsia="Arial MT" w:hAnsi="Verdana" w:cs="Arial"/>
                <w:lang w:eastAsia="es-ES" w:bidi="es-ES"/>
              </w:rPr>
              <w:t>Por otro lado, la normativa vigente no contempla la pérdida de competencia para efectuar la liquidación en el evento en que se encuentre pendiente de decisión un proceso sancionatorio contra el contratista. En tal caso, la entidad puede proceder con la liquidación del contrato, sin que el trámite sancionatorio constituya un impedimento legal para ello.</w:t>
            </w:r>
          </w:p>
          <w:p w14:paraId="3B2645D3" w14:textId="77777777" w:rsidR="00F26D50" w:rsidRPr="00D03768" w:rsidRDefault="00F26D50" w:rsidP="006B0FCB">
            <w:pPr>
              <w:spacing w:line="276" w:lineRule="auto"/>
              <w:ind w:firstLine="709"/>
              <w:jc w:val="both"/>
              <w:rPr>
                <w:rFonts w:ascii="Verdana" w:eastAsia="Arial MT" w:hAnsi="Verdana" w:cs="Arial"/>
                <w:lang w:eastAsia="es-ES" w:bidi="es-ES"/>
              </w:rPr>
            </w:pPr>
          </w:p>
        </w:tc>
      </w:tr>
    </w:tbl>
    <w:p w14:paraId="3E069B9F" w14:textId="77777777" w:rsidR="00F26D50" w:rsidRPr="00BE151B" w:rsidRDefault="00F26D50" w:rsidP="00F26D50">
      <w:pPr>
        <w:spacing w:after="0" w:line="276" w:lineRule="auto"/>
        <w:jc w:val="both"/>
        <w:rPr>
          <w:rFonts w:ascii="Verdana" w:eastAsia="Times New Roman" w:hAnsi="Verdana" w:cs="Arial"/>
          <w:lang w:eastAsia="es-ES_tradnl"/>
        </w:rPr>
      </w:pPr>
    </w:p>
    <w:p w14:paraId="1E8D048C" w14:textId="77777777" w:rsidR="00F26D50" w:rsidRPr="00BE151B" w:rsidRDefault="00F26D50" w:rsidP="00F26D50">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r w:rsidRPr="00BE151B">
        <w:rPr>
          <w:rFonts w:ascii="Verdana" w:eastAsia="Century Gothic" w:hAnsi="Verdana" w:cs="Century Gothic"/>
          <w:b/>
          <w:bCs/>
        </w:rPr>
        <w:t>3. Razones de la respuesta:</w:t>
      </w:r>
    </w:p>
    <w:p w14:paraId="22F423E9" w14:textId="77777777" w:rsidR="00F26D50" w:rsidRPr="00BE151B" w:rsidRDefault="00F26D50" w:rsidP="00F26D50">
      <w:pPr>
        <w:spacing w:after="0" w:line="276" w:lineRule="auto"/>
        <w:jc w:val="both"/>
        <w:rPr>
          <w:rFonts w:ascii="Verdana" w:eastAsia="Calibri" w:hAnsi="Verdana" w:cs="Arial"/>
          <w:color w:val="7030A0"/>
        </w:rPr>
      </w:pPr>
    </w:p>
    <w:p w14:paraId="0B126C34" w14:textId="77777777" w:rsidR="00F26D50" w:rsidRPr="00BE151B" w:rsidRDefault="00F26D50" w:rsidP="00F26D50">
      <w:pPr>
        <w:spacing w:after="0" w:line="276" w:lineRule="auto"/>
        <w:jc w:val="both"/>
        <w:rPr>
          <w:rFonts w:ascii="Verdana" w:eastAsia="Calibri" w:hAnsi="Verdana" w:cs="Arial"/>
        </w:rPr>
      </w:pPr>
      <w:r w:rsidRPr="00BE151B">
        <w:rPr>
          <w:rFonts w:ascii="Verdana" w:eastAsia="Calibri" w:hAnsi="Verdana" w:cs="Arial"/>
        </w:rPr>
        <w:t xml:space="preserve">Lo anterior se sustenta en las siguientes consideraciones: </w:t>
      </w:r>
    </w:p>
    <w:p w14:paraId="5CCDB01A" w14:textId="77777777" w:rsidR="00F26D50" w:rsidRDefault="00F26D50" w:rsidP="00F26D50">
      <w:pPr>
        <w:spacing w:after="0" w:line="276" w:lineRule="auto"/>
        <w:ind w:firstLine="709"/>
        <w:jc w:val="both"/>
        <w:rPr>
          <w:rFonts w:ascii="Verdana" w:eastAsia="Calibri" w:hAnsi="Verdana" w:cs="Arial"/>
        </w:rPr>
      </w:pPr>
    </w:p>
    <w:p w14:paraId="59E9AB89" w14:textId="77777777" w:rsidR="00F26D50" w:rsidRPr="00FB5FC4" w:rsidRDefault="00F26D50" w:rsidP="00F26D50">
      <w:pPr>
        <w:spacing w:after="0" w:line="276" w:lineRule="auto"/>
        <w:jc w:val="both"/>
        <w:rPr>
          <w:rFonts w:ascii="Verdana" w:eastAsia="Calibri" w:hAnsi="Verdana" w:cs="Arial"/>
          <w:color w:val="000000"/>
          <w:lang w:val="es-ES"/>
        </w:rPr>
      </w:pPr>
      <w:r w:rsidRPr="2993F789">
        <w:rPr>
          <w:rFonts w:ascii="Verdana" w:eastAsia="Calibri" w:hAnsi="Verdana" w:cs="Arial"/>
          <w:color w:val="000000"/>
          <w:lang w:val="es-ES"/>
        </w:rPr>
        <w:t>La liquidación es el momento en el cual, una vez concluido el contrato estatal, las partes cruzan cuentas respecto de sus obligaciones. Por tanto, su objetivo es determinar si pueden declararse a paz y salvo mutuo o si, por el contrario, existen aún obligaciones por cumplir, para acordar la forma en que deben ser finalizadas</w:t>
      </w:r>
      <w:r w:rsidRPr="2993F789">
        <w:rPr>
          <w:rFonts w:ascii="Verdana" w:eastAsia="Calibri" w:hAnsi="Verdana" w:cs="Arial"/>
          <w:color w:val="000000"/>
          <w:vertAlign w:val="superscript"/>
          <w:lang w:val="es-ES"/>
        </w:rPr>
        <w:footnoteReference w:id="1"/>
      </w:r>
      <w:r w:rsidRPr="2993F789">
        <w:rPr>
          <w:rFonts w:ascii="Verdana" w:eastAsia="Calibri" w:hAnsi="Verdana" w:cs="Arial"/>
          <w:color w:val="000000"/>
          <w:lang w:val="es-ES"/>
        </w:rPr>
        <w:t>. La doctrina ha definido la liquidación de la siguiente manera:</w:t>
      </w:r>
    </w:p>
    <w:p w14:paraId="74669BA8" w14:textId="77777777" w:rsidR="00F26D50" w:rsidRPr="00FB5FC4" w:rsidRDefault="00F26D50" w:rsidP="00F26D50">
      <w:pPr>
        <w:spacing w:after="0" w:line="276" w:lineRule="auto"/>
        <w:jc w:val="both"/>
        <w:rPr>
          <w:rFonts w:ascii="Verdana" w:eastAsia="Calibri" w:hAnsi="Verdana" w:cs="Arial"/>
          <w:color w:val="000000"/>
          <w:lang w:val="es-ES_tradnl"/>
        </w:rPr>
      </w:pPr>
    </w:p>
    <w:p w14:paraId="1F6E63A9" w14:textId="77777777" w:rsidR="00F26D50" w:rsidRPr="00650923" w:rsidRDefault="00F26D50" w:rsidP="00F26D50">
      <w:pPr>
        <w:spacing w:after="0" w:line="240" w:lineRule="auto"/>
        <w:ind w:left="709" w:right="709"/>
        <w:jc w:val="both"/>
        <w:rPr>
          <w:rFonts w:ascii="Verdana" w:eastAsia="Calibri" w:hAnsi="Verdana" w:cs="Arial"/>
          <w:sz w:val="20"/>
          <w:szCs w:val="20"/>
          <w:lang w:val="es-MX"/>
        </w:rPr>
      </w:pPr>
      <w:r w:rsidRPr="2993F789">
        <w:rPr>
          <w:rFonts w:ascii="Verdana" w:eastAsia="Calibri" w:hAnsi="Verdana" w:cs="Arial"/>
          <w:i/>
          <w:iCs/>
          <w:color w:val="000000"/>
          <w:sz w:val="20"/>
          <w:szCs w:val="20"/>
          <w:lang w:val="es-ES"/>
        </w:rPr>
        <w:t>“</w:t>
      </w:r>
      <w:r w:rsidRPr="00650923">
        <w:rPr>
          <w:rFonts w:ascii="Verdana" w:eastAsia="Calibri" w:hAnsi="Verdana" w:cs="Arial"/>
          <w:sz w:val="20"/>
          <w:szCs w:val="20"/>
          <w:lang w:val="es-MX"/>
        </w:rPr>
        <w:t xml:space="preserve">[…] la liquidación del contrato estatal corresponde al arreglo o ajuste económico, técnico y jurídico al que se llega de forma bilateral (por las partes del negocio), unilateralmente (por la administración), por el juez o por el árbitro, según el caso, para determinar el estado final de la relación contractual, no solo en cuento al cumplimiento del objeto acordado y al recibo a satisfacción de los productos contratados (bienes y servicios), sino, además, para definir la situación en la que quedan los contratantes, luego de la ejecución del contrato, en el sentido de disponer cuánto se adeudan, de qué manera y en qué plazos se han de efectuar los pagos pendientes y las condiciones para el establecimiento del respectivo paz y salvo. En otras palabras, la liquidación es el acto jurídico bilateral, administrativo o judicial, en el que se plasma y formaliza la situación financiera y jurídica de las partes, al término de la relación contractual (aspecto subjetivo) y el grado de cumplimiento del objeto contratado (aspecto objetivo); de ahí que pueda hablarse, en términos amplios, de un doble contenido, que debe estar presente en toda liquidación. En efecto, el corte de cuentas realizado en ella tiene un doble alcance: (i) hacer un balance definitivo del negocio, en sus aspectos técnicos, financieros y jurídicos (aspecto objetivo o material) y </w:t>
      </w:r>
      <w:proofErr w:type="spellStart"/>
      <w:r w:rsidRPr="00650923">
        <w:rPr>
          <w:rFonts w:ascii="Verdana" w:eastAsia="Calibri" w:hAnsi="Verdana" w:cs="Arial"/>
          <w:sz w:val="20"/>
          <w:szCs w:val="20"/>
          <w:lang w:val="es-MX"/>
        </w:rPr>
        <w:t>ii</w:t>
      </w:r>
      <w:proofErr w:type="spellEnd"/>
      <w:r w:rsidRPr="00650923">
        <w:rPr>
          <w:rFonts w:ascii="Verdana" w:eastAsia="Calibri" w:hAnsi="Verdana" w:cs="Arial"/>
          <w:sz w:val="20"/>
          <w:szCs w:val="20"/>
          <w:lang w:val="es-MX"/>
        </w:rPr>
        <w:t>) definir la situación jurídica de las partes, estableciendo si pueden constituirse o no a paz y salvo; lo que exige, en la práctica, que los negociantes dialoguen e intenten ponerse de acuerdo (aspecto subjetivo)”</w:t>
      </w:r>
      <w:r w:rsidRPr="00650923">
        <w:rPr>
          <w:rFonts w:ascii="Verdana" w:eastAsia="Calibri" w:hAnsi="Verdana" w:cs="Arial"/>
          <w:sz w:val="20"/>
          <w:szCs w:val="20"/>
          <w:vertAlign w:val="superscript"/>
          <w:lang w:val="es-MX"/>
        </w:rPr>
        <w:footnoteReference w:id="2"/>
      </w:r>
      <w:r w:rsidRPr="00650923">
        <w:rPr>
          <w:rFonts w:ascii="Verdana" w:eastAsia="Calibri" w:hAnsi="Verdana" w:cs="Arial"/>
          <w:sz w:val="20"/>
          <w:szCs w:val="20"/>
          <w:lang w:val="es-MX"/>
        </w:rPr>
        <w:t>.</w:t>
      </w:r>
    </w:p>
    <w:p w14:paraId="68F205F6" w14:textId="77777777" w:rsidR="00F26D50" w:rsidRPr="005C4A0F" w:rsidRDefault="00F26D50" w:rsidP="00F26D50">
      <w:pPr>
        <w:spacing w:after="0" w:line="276" w:lineRule="auto"/>
        <w:jc w:val="both"/>
        <w:rPr>
          <w:rFonts w:ascii="Verdana" w:eastAsia="Calibri" w:hAnsi="Verdana" w:cs="Arial"/>
          <w:lang w:val="es-ES_tradnl"/>
        </w:rPr>
      </w:pPr>
    </w:p>
    <w:p w14:paraId="27DB97B8" w14:textId="77777777" w:rsidR="00F26D50" w:rsidRDefault="00F26D50" w:rsidP="00F26D50">
      <w:pPr>
        <w:spacing w:after="120" w:line="276" w:lineRule="auto"/>
        <w:ind w:firstLine="709"/>
        <w:jc w:val="both"/>
        <w:rPr>
          <w:rFonts w:ascii="Verdana" w:eastAsia="Times New Roman" w:hAnsi="Verdana" w:cs="Arial"/>
          <w:color w:val="000000"/>
          <w:lang w:val="es-ES" w:eastAsia="es-ES"/>
        </w:rPr>
      </w:pPr>
      <w:r w:rsidRPr="2993F789">
        <w:rPr>
          <w:rFonts w:ascii="Verdana" w:eastAsia="Times New Roman" w:hAnsi="Verdana" w:cs="Arial"/>
          <w:color w:val="000000"/>
          <w:lang w:val="es-ES" w:eastAsia="es-ES"/>
        </w:rPr>
        <w:t xml:space="preserve">Según la jurisprudencia, la liquidación es el ajuste de cuentas donde las partes hacen un balance económico, técnico y jurídico del cumplimiento de las obligaciones que tienen a su cargo. Así lo manifestó el Consejo de Estado, en la Sentencia del 20 de octubre de 2014, en la que consideró, por un lado, que </w:t>
      </w:r>
      <w:r w:rsidRPr="2993F789">
        <w:rPr>
          <w:rFonts w:ascii="Verdana" w:eastAsia="Times New Roman" w:hAnsi="Verdana" w:cs="Arial"/>
          <w:i/>
          <w:iCs/>
          <w:color w:val="000000"/>
          <w:lang w:val="es-ES" w:eastAsia="es-ES"/>
        </w:rPr>
        <w:t>liquidar</w:t>
      </w:r>
      <w:r w:rsidRPr="2993F789">
        <w:rPr>
          <w:rFonts w:ascii="Verdana" w:eastAsia="Times New Roman" w:hAnsi="Verdana" w:cs="Arial"/>
          <w:color w:val="000000"/>
          <w:lang w:val="es-ES" w:eastAsia="es-ES"/>
        </w:rPr>
        <w:t xml:space="preserve"> supone un ajuste en relación con las cuentas y el estado de cumplimiento </w:t>
      </w:r>
      <w:r w:rsidRPr="2993F789">
        <w:rPr>
          <w:rFonts w:ascii="Verdana" w:eastAsia="Times New Roman" w:hAnsi="Verdana" w:cs="Arial"/>
          <w:color w:val="000000"/>
          <w:lang w:val="es-ES" w:eastAsia="es-ES"/>
        </w:rPr>
        <w:lastRenderedPageBreak/>
        <w:t xml:space="preserve">del contrato estatal y, por el otro, que la </w:t>
      </w:r>
      <w:r w:rsidRPr="2993F789">
        <w:rPr>
          <w:rFonts w:ascii="Verdana" w:eastAsia="Times New Roman" w:hAnsi="Verdana" w:cs="Arial"/>
          <w:i/>
          <w:iCs/>
          <w:color w:val="000000"/>
          <w:lang w:val="es-ES" w:eastAsia="es-ES"/>
        </w:rPr>
        <w:t>liquidación</w:t>
      </w:r>
      <w:r w:rsidRPr="2993F789">
        <w:rPr>
          <w:rFonts w:ascii="Verdana" w:eastAsia="Times New Roman" w:hAnsi="Verdana" w:cs="Arial"/>
          <w:color w:val="000000"/>
          <w:lang w:val="es-ES" w:eastAsia="es-ES"/>
        </w:rPr>
        <w:t xml:space="preserve"> debe incluir el análisis de las condiciones de calidad y oportunidad en la entrega de los bienes, obras o servicios, así como el balance económico y el comportamiento financiero del negocio</w:t>
      </w:r>
      <w:r w:rsidRPr="2993F789">
        <w:rPr>
          <w:rFonts w:ascii="Verdana" w:eastAsia="Times New Roman" w:hAnsi="Verdana" w:cs="Arial"/>
          <w:color w:val="000000"/>
          <w:vertAlign w:val="superscript"/>
          <w:lang w:val="es-ES" w:eastAsia="es-ES"/>
        </w:rPr>
        <w:footnoteReference w:id="3"/>
      </w:r>
      <w:r w:rsidRPr="2993F789">
        <w:rPr>
          <w:rFonts w:ascii="Verdana" w:eastAsia="Times New Roman" w:hAnsi="Verdana" w:cs="Arial"/>
          <w:color w:val="000000"/>
          <w:lang w:val="es-ES" w:eastAsia="es-ES"/>
        </w:rPr>
        <w:t xml:space="preserve">. </w:t>
      </w:r>
    </w:p>
    <w:p w14:paraId="2E583028" w14:textId="77777777" w:rsidR="00F26D50" w:rsidRPr="00463386" w:rsidRDefault="00F26D50" w:rsidP="00F26D50">
      <w:pPr>
        <w:pStyle w:val="Sinespaciado"/>
        <w:spacing w:after="120" w:line="276" w:lineRule="auto"/>
        <w:ind w:firstLine="709"/>
        <w:jc w:val="both"/>
        <w:rPr>
          <w:rFonts w:ascii="Verdana" w:hAnsi="Verdana" w:cs="Arial"/>
          <w:sz w:val="22"/>
          <w:lang w:val="es-ES"/>
        </w:rPr>
      </w:pPr>
      <w:r w:rsidRPr="2993F789">
        <w:rPr>
          <w:rFonts w:ascii="Verdana" w:hAnsi="Verdana" w:cs="Arial"/>
          <w:sz w:val="22"/>
          <w:lang w:val="es-ES"/>
        </w:rPr>
        <w:t>Las disposiciones normativas que regulan la etapa de liquidación de los contratos estatales son: el artículo 60 de la Ley 80 de 1993, modificado por el artículo 217 del Decreto 019 de 2012, y el artículo 11 de la Ley 1150 de 2007. El primero de estos artículos se refiere al alcance sustantivo de la liquidación, mientras que el segundo contiene reglas procedimentales para su realización. De acuerdo con el artículo 60 de la Ley 80 de 1993, los contratos de tracto sucesivo, aquellos cuyo cumplimiento o ejecución se prolongue en el tiempo y los demás que lo requieran “serán objeto de liquidación”. El mismo artículo prescribe que no será obligatoria la liquidación en los contratos de prestación de servicios profesionales y de apoyo a la gestión. El artículo 11 de la Ley 1150 de 2007</w:t>
      </w:r>
      <w:r w:rsidRPr="2993F789">
        <w:rPr>
          <w:rStyle w:val="Refdenotaalpie"/>
          <w:rFonts w:ascii="Verdana" w:hAnsi="Verdana" w:cs="Arial"/>
          <w:sz w:val="22"/>
          <w:lang w:val="es-ES"/>
        </w:rPr>
        <w:footnoteReference w:id="4"/>
      </w:r>
      <w:r w:rsidRPr="2993F789">
        <w:rPr>
          <w:rFonts w:ascii="Verdana" w:hAnsi="Verdana" w:cs="Arial"/>
          <w:sz w:val="22"/>
          <w:lang w:val="es-ES"/>
        </w:rPr>
        <w:t xml:space="preserve"> contiene las reglas de tipo procedimental para liquidar los contratos estatales, las cuales se pasan a explicar. </w:t>
      </w:r>
    </w:p>
    <w:p w14:paraId="083C3EDC" w14:textId="77777777" w:rsidR="00F26D50" w:rsidRPr="00463386" w:rsidRDefault="00F26D50" w:rsidP="00F26D50">
      <w:pPr>
        <w:spacing w:after="120" w:line="276" w:lineRule="auto"/>
        <w:ind w:firstLine="709"/>
        <w:jc w:val="both"/>
        <w:rPr>
          <w:rFonts w:ascii="Verdana" w:hAnsi="Verdana" w:cs="Arial"/>
          <w:lang w:val="es-ES"/>
        </w:rPr>
      </w:pPr>
      <w:r w:rsidRPr="2993F789">
        <w:rPr>
          <w:rFonts w:ascii="Verdana" w:hAnsi="Verdana" w:cs="Arial"/>
          <w:lang w:val="es-ES"/>
        </w:rPr>
        <w:t xml:space="preserve">En primer lugar, en ejercicio de la autonomía de la voluntad y de conformidad con la naturaleza, el objeto y el plazo del contrato, la entidad estatal puede definir en el pliego de condiciones o el documento equivalente el plazo para efectuar la liquidación de mutuo acuerdo. Al respecto, el artículo 11 de la Ley 1150 de 2007 señala que la liquidación de mutuo acuerdo se deberá realizar dentro del plazo previsto en “los pliegos de condiciones o sus equivalentes, o dentro del que acuerden las partes para el efecto”. De otro lado, cuando el </w:t>
      </w:r>
      <w:r w:rsidRPr="2993F789">
        <w:rPr>
          <w:rFonts w:ascii="Verdana" w:hAnsi="Verdana" w:cs="Arial"/>
          <w:lang w:val="es-ES"/>
        </w:rPr>
        <w:lastRenderedPageBreak/>
        <w:t xml:space="preserve">artículo 11 </w:t>
      </w:r>
      <w:r w:rsidRPr="2993F789">
        <w:rPr>
          <w:rFonts w:ascii="Verdana" w:hAnsi="Verdana" w:cs="Arial"/>
          <w:i/>
          <w:iCs/>
          <w:lang w:val="es-ES"/>
        </w:rPr>
        <w:t>ibidem</w:t>
      </w:r>
      <w:r w:rsidRPr="2993F789">
        <w:rPr>
          <w:rFonts w:ascii="Verdana" w:hAnsi="Verdana" w:cs="Arial"/>
          <w:lang w:val="es-ES"/>
        </w:rPr>
        <w:t xml:space="preserve"> hace referencia al término que “acuerden las partes” para la liquidación de mutuo acuerdo, claramente está habilitando a las partes para que, en ejercicio de la autonomía de la voluntad que les asiste, prevean de común acuerdo un plazo para la liquidación bilateral. Este plazo, en principio, debe estar consignado en el contrato, al ser este el acto jurídico bilateral en el que se consigna originalmente la voluntad de las partes. </w:t>
      </w:r>
    </w:p>
    <w:p w14:paraId="0A44269D" w14:textId="77777777" w:rsidR="00F26D50" w:rsidRDefault="00F26D50" w:rsidP="00F26D50">
      <w:pPr>
        <w:spacing w:after="120" w:line="276" w:lineRule="auto"/>
        <w:ind w:firstLine="709"/>
        <w:jc w:val="both"/>
        <w:rPr>
          <w:rFonts w:ascii="Verdana" w:hAnsi="Verdana" w:cs="Arial"/>
          <w:lang w:val="es-ES"/>
        </w:rPr>
      </w:pPr>
      <w:r w:rsidRPr="2993F789">
        <w:rPr>
          <w:rFonts w:ascii="Verdana" w:hAnsi="Verdana" w:cs="Arial"/>
          <w:lang w:val="es-ES"/>
        </w:rPr>
        <w:t xml:space="preserve">En segundo lugar, en ausencia de pacto, el artículo 11 de la Ley 1150 de 2007 dispone un término supletivo de cuatro (4) meses contados desde: i) el vencimiento del plazo previsto para la ejecución del contrato, </w:t>
      </w:r>
      <w:proofErr w:type="spellStart"/>
      <w:r w:rsidRPr="2993F789">
        <w:rPr>
          <w:rFonts w:ascii="Verdana" w:hAnsi="Verdana" w:cs="Arial"/>
          <w:lang w:val="es-ES"/>
        </w:rPr>
        <w:t>ii</w:t>
      </w:r>
      <w:proofErr w:type="spellEnd"/>
      <w:r w:rsidRPr="2993F789">
        <w:rPr>
          <w:rFonts w:ascii="Verdana" w:hAnsi="Verdana" w:cs="Arial"/>
          <w:lang w:val="es-ES"/>
        </w:rPr>
        <w:t xml:space="preserve">) la expedición del acto administrativo que ordene la terminación del contrato, o </w:t>
      </w:r>
      <w:proofErr w:type="spellStart"/>
      <w:r w:rsidRPr="2993F789">
        <w:rPr>
          <w:rFonts w:ascii="Verdana" w:hAnsi="Verdana" w:cs="Arial"/>
          <w:lang w:val="es-ES"/>
        </w:rPr>
        <w:t>iii</w:t>
      </w:r>
      <w:proofErr w:type="spellEnd"/>
      <w:r w:rsidRPr="2993F789">
        <w:rPr>
          <w:rFonts w:ascii="Verdana" w:hAnsi="Verdana" w:cs="Arial"/>
          <w:lang w:val="es-ES"/>
        </w:rPr>
        <w:t xml:space="preserve">) la fecha del acuerdo que disponga la terminación del contrato. Ahora bien, el término supletivo de cuatro (4) meses previstos en el artículo 11 de la Ley 1150 de 2007 solo resulta aplicable ante la ausencia de regulación </w:t>
      </w:r>
      <w:proofErr w:type="gramStart"/>
      <w:r w:rsidRPr="2993F789">
        <w:rPr>
          <w:rFonts w:ascii="Verdana" w:hAnsi="Verdana" w:cs="Arial"/>
          <w:lang w:val="es-ES"/>
        </w:rPr>
        <w:t>del mismo</w:t>
      </w:r>
      <w:proofErr w:type="gramEnd"/>
      <w:r w:rsidRPr="2993F789">
        <w:rPr>
          <w:rFonts w:ascii="Verdana" w:hAnsi="Verdana" w:cs="Arial"/>
          <w:lang w:val="es-ES"/>
        </w:rPr>
        <w:t xml:space="preserve"> en el pliego de condiciones –documento equivalente– y ante la falta de acuerdo entre las partes en torno al plazo de liquidación bilateral. </w:t>
      </w:r>
    </w:p>
    <w:p w14:paraId="7389FA59" w14:textId="77777777" w:rsidR="00F26D50" w:rsidRDefault="00F26D50" w:rsidP="00F26D50">
      <w:pPr>
        <w:spacing w:after="120" w:line="276" w:lineRule="auto"/>
        <w:ind w:firstLine="709"/>
        <w:jc w:val="both"/>
        <w:rPr>
          <w:rFonts w:ascii="Verdana" w:hAnsi="Verdana" w:cs="Arial"/>
          <w:lang w:val="es-ES"/>
        </w:rPr>
      </w:pPr>
      <w:r w:rsidRPr="00463386">
        <w:rPr>
          <w:rFonts w:ascii="Verdana" w:hAnsi="Verdana" w:cs="Arial"/>
          <w:lang w:val="es-ES"/>
        </w:rPr>
        <w:t>Durante este término</w:t>
      </w:r>
      <w:r>
        <w:rPr>
          <w:rFonts w:ascii="Verdana" w:hAnsi="Verdana" w:cs="Arial"/>
          <w:lang w:val="es-ES"/>
        </w:rPr>
        <w:t xml:space="preserve"> de cuatro (4) meses,</w:t>
      </w:r>
      <w:r w:rsidRPr="00463386">
        <w:rPr>
          <w:rFonts w:ascii="Verdana" w:hAnsi="Verdana" w:cs="Arial"/>
          <w:lang w:val="es-ES"/>
        </w:rPr>
        <w:t xml:space="preserve"> el contratista puede solicitar que se adelante el trámite de liquidación. Sin embargo, es responsabilidad de la entidad estatal convocarlo para adelantar la liquidación de común acuerdo o notificarlo para que se presente a la liquidación</w:t>
      </w:r>
      <w:r w:rsidRPr="00463386">
        <w:rPr>
          <w:rStyle w:val="Refdenotaalpie"/>
          <w:rFonts w:ascii="Verdana" w:hAnsi="Verdana" w:cs="Arial"/>
          <w:lang w:val="es-ES"/>
        </w:rPr>
        <w:footnoteReference w:id="5"/>
      </w:r>
      <w:r w:rsidRPr="00463386">
        <w:rPr>
          <w:rFonts w:ascii="Verdana" w:hAnsi="Verdana" w:cs="Arial"/>
          <w:lang w:val="es-ES"/>
        </w:rPr>
        <w:t>, de manera que el contrato pueda ser liquidado bilateralmente, bien sea en el plazo previsto en el pliego de condiciones, el acordado por las partes, o en los cuatro</w:t>
      </w:r>
      <w:r>
        <w:rPr>
          <w:rFonts w:ascii="Verdana" w:hAnsi="Verdana" w:cs="Arial"/>
          <w:lang w:val="es-ES"/>
        </w:rPr>
        <w:t xml:space="preserve"> (4)</w:t>
      </w:r>
      <w:r w:rsidRPr="00463386">
        <w:rPr>
          <w:rFonts w:ascii="Verdana" w:hAnsi="Verdana" w:cs="Arial"/>
          <w:lang w:val="es-ES"/>
        </w:rPr>
        <w:t xml:space="preserve"> meses señalados en la Ley, según corresponda. Esta liquidación bilateral puede ser total o parcial</w:t>
      </w:r>
      <w:r w:rsidRPr="00463386">
        <w:rPr>
          <w:rStyle w:val="Refdenotaalpie"/>
          <w:rFonts w:ascii="Verdana" w:hAnsi="Verdana" w:cs="Arial"/>
          <w:lang w:val="es-ES"/>
        </w:rPr>
        <w:footnoteReference w:id="6"/>
      </w:r>
      <w:r w:rsidRPr="00463386">
        <w:rPr>
          <w:rFonts w:ascii="Verdana" w:hAnsi="Verdana" w:cs="Arial"/>
          <w:lang w:val="es-ES"/>
        </w:rPr>
        <w:t xml:space="preserve">. </w:t>
      </w:r>
    </w:p>
    <w:p w14:paraId="0F5613B5" w14:textId="77777777" w:rsidR="00F26D50" w:rsidRPr="00463386" w:rsidRDefault="00F26D50" w:rsidP="00F26D50">
      <w:pPr>
        <w:spacing w:after="0" w:line="276" w:lineRule="auto"/>
        <w:ind w:firstLine="709"/>
        <w:jc w:val="both"/>
        <w:rPr>
          <w:rFonts w:ascii="Verdana" w:hAnsi="Verdana" w:cs="Arial"/>
          <w:lang w:val="es-ES"/>
        </w:rPr>
      </w:pPr>
      <w:r w:rsidRPr="2993F789">
        <w:rPr>
          <w:rFonts w:ascii="Verdana" w:hAnsi="Verdana" w:cs="Arial"/>
          <w:lang w:val="es-ES"/>
        </w:rPr>
        <w:t>Si no es posible efectuar la liquidación de manera bilateral en los términos anteriormente explicados, el ordenamiento jurídico prevé una habilitación competencial, de carácter subsidiario, para que la entidad estatal realice la liquidación unilateralmente. Sobre este punto, el Consejo de Estado ha señalado:</w:t>
      </w:r>
    </w:p>
    <w:p w14:paraId="743EC577" w14:textId="77777777" w:rsidR="00F26D50" w:rsidRPr="00D03768" w:rsidRDefault="00F26D50" w:rsidP="00F26D50">
      <w:pPr>
        <w:pStyle w:val="Sinespaciado"/>
        <w:spacing w:line="276" w:lineRule="auto"/>
        <w:ind w:left="709" w:right="760"/>
        <w:jc w:val="both"/>
        <w:rPr>
          <w:rFonts w:ascii="Verdana" w:hAnsi="Verdana" w:cs="Arial"/>
          <w:sz w:val="22"/>
          <w:lang w:val="es-ES"/>
        </w:rPr>
      </w:pPr>
    </w:p>
    <w:p w14:paraId="272A67B5" w14:textId="77777777" w:rsidR="00F26D50" w:rsidRDefault="00F26D50" w:rsidP="00F26D50">
      <w:pPr>
        <w:pStyle w:val="Sinespaciado"/>
        <w:ind w:left="709" w:right="709"/>
        <w:jc w:val="both"/>
        <w:rPr>
          <w:rFonts w:ascii="Verdana" w:hAnsi="Verdana" w:cs="Arial"/>
          <w:sz w:val="20"/>
          <w:szCs w:val="20"/>
          <w:lang w:val="es-ES"/>
        </w:rPr>
      </w:pPr>
      <w:r w:rsidRPr="2993F789">
        <w:rPr>
          <w:rFonts w:ascii="Verdana" w:hAnsi="Verdana" w:cs="Arial"/>
          <w:sz w:val="20"/>
          <w:szCs w:val="20"/>
          <w:lang w:val="es-ES"/>
        </w:rPr>
        <w:t xml:space="preserve">“Al respecto se debe tener en cuenta que la liquidación unilateral es subsidiaria o supletoria frente a la bilateral, dado que el contratista tiene derecho a acordar la liquidación, debidamente reconocido por el ordenamiento jurídico. Para tal efecto, el contratista debe ser convocado </w:t>
      </w:r>
      <w:r w:rsidRPr="2993F789">
        <w:rPr>
          <w:rFonts w:ascii="Verdana" w:hAnsi="Verdana" w:cs="Arial"/>
          <w:sz w:val="20"/>
          <w:szCs w:val="20"/>
          <w:lang w:val="es-ES"/>
        </w:rPr>
        <w:lastRenderedPageBreak/>
        <w:t>o citado por la entidad contratante con el fin de intentar la liquidación bilateral, puesto que en el supuesto caso de que no sea así, la liquidación unilateral posterior que llegase a practicar la administración resultaría inválida, dado que no tendría competencia material para hacerla y por cuanto su adopción con tal omisión vulneraría el derecho del contratista al debido proceso y sus corolarios de defensa y contradicción y, además, configuraría un abuso de poder”</w:t>
      </w:r>
      <w:r w:rsidRPr="2993F789">
        <w:rPr>
          <w:rStyle w:val="Refdenotaalpie"/>
          <w:rFonts w:ascii="Verdana" w:hAnsi="Verdana" w:cs="Arial"/>
          <w:sz w:val="20"/>
          <w:szCs w:val="20"/>
          <w:lang w:val="es-ES"/>
        </w:rPr>
        <w:footnoteReference w:id="7"/>
      </w:r>
      <w:r w:rsidRPr="2993F789">
        <w:rPr>
          <w:rFonts w:ascii="Verdana" w:hAnsi="Verdana" w:cs="Arial"/>
          <w:sz w:val="20"/>
          <w:szCs w:val="20"/>
          <w:lang w:val="es-ES"/>
        </w:rPr>
        <w:t xml:space="preserve">. </w:t>
      </w:r>
    </w:p>
    <w:p w14:paraId="20D95FCD" w14:textId="77777777" w:rsidR="00F26D50" w:rsidRPr="00D03768" w:rsidRDefault="00F26D50" w:rsidP="00F26D50">
      <w:pPr>
        <w:pStyle w:val="Sinespaciado"/>
        <w:spacing w:line="276" w:lineRule="auto"/>
        <w:ind w:left="709" w:right="709"/>
        <w:jc w:val="both"/>
        <w:rPr>
          <w:rFonts w:ascii="Verdana" w:hAnsi="Verdana" w:cs="Arial"/>
          <w:sz w:val="22"/>
          <w:lang w:val="es-ES"/>
        </w:rPr>
      </w:pPr>
    </w:p>
    <w:p w14:paraId="4E3CF52B" w14:textId="77777777" w:rsidR="00F26D50" w:rsidRDefault="00F26D50" w:rsidP="00F26D50">
      <w:pPr>
        <w:pStyle w:val="Sinespaciado"/>
        <w:spacing w:line="276" w:lineRule="auto"/>
        <w:ind w:firstLine="708"/>
        <w:jc w:val="both"/>
        <w:rPr>
          <w:rFonts w:ascii="Verdana" w:hAnsi="Verdana" w:cs="Arial"/>
          <w:sz w:val="22"/>
          <w:lang w:val="es-ES"/>
        </w:rPr>
      </w:pPr>
      <w:r w:rsidRPr="2993F789">
        <w:rPr>
          <w:rFonts w:ascii="Verdana" w:hAnsi="Verdana" w:cs="Arial"/>
          <w:sz w:val="22"/>
          <w:lang w:val="es-ES"/>
        </w:rPr>
        <w:t>Por lo tanto, si no se logra la liquidación bilateral del contrato en el término convencional o subsidiario, la entidad estatal tiene la facultad de liquidarlo unilateralmente durante el término de dos (2) meses contados a partir del vencimiento del plazo que acuerden las partes para liquidar bilateralmente, o ante el silencio de estas, del vencimiento de los cuatro (4) meses establecidos por la ley</w:t>
      </w:r>
      <w:r w:rsidRPr="2993F789">
        <w:rPr>
          <w:rStyle w:val="Refdenotaalpie"/>
          <w:rFonts w:ascii="Verdana" w:hAnsi="Verdana" w:cs="Arial"/>
          <w:sz w:val="22"/>
          <w:lang w:val="es-ES"/>
        </w:rPr>
        <w:footnoteReference w:id="8"/>
      </w:r>
      <w:r w:rsidRPr="2993F789">
        <w:rPr>
          <w:rFonts w:ascii="Verdana" w:hAnsi="Verdana" w:cs="Arial"/>
          <w:sz w:val="22"/>
          <w:lang w:val="es-ES"/>
        </w:rPr>
        <w:t xml:space="preserve">. Finalmente, transcurridos estos dos (2) meses, sin que se haya efectuado, la liquidación podrá realizarse en cualquier tiempo dentro de los dos (2) años siguientes al vencimiento del término legal para la liquidación unilateral. Durante estos dos (2) años la liquidación podrá hacerse de mutuo acuerdo, unilateralmente por la entidad, o podrá ser solicitada judicialmente. En este sentido, en decisión de unificación, el Consejo de Estado dijo: </w:t>
      </w:r>
    </w:p>
    <w:p w14:paraId="13964738" w14:textId="77777777" w:rsidR="00F26D50" w:rsidRPr="00463386" w:rsidRDefault="00F26D50" w:rsidP="00F26D50">
      <w:pPr>
        <w:pStyle w:val="Sinespaciado"/>
        <w:spacing w:line="276" w:lineRule="auto"/>
        <w:ind w:firstLine="708"/>
        <w:jc w:val="both"/>
        <w:rPr>
          <w:rFonts w:ascii="Verdana" w:hAnsi="Verdana" w:cs="Arial"/>
          <w:sz w:val="22"/>
          <w:lang w:val="es-ES"/>
        </w:rPr>
      </w:pPr>
    </w:p>
    <w:p w14:paraId="0736E598" w14:textId="77777777" w:rsidR="00F26D50" w:rsidRPr="00DF38E2" w:rsidRDefault="00F26D50" w:rsidP="00F26D50">
      <w:pPr>
        <w:pStyle w:val="Sinespaciado"/>
        <w:ind w:left="709" w:right="709"/>
        <w:jc w:val="both"/>
        <w:rPr>
          <w:rFonts w:ascii="Verdana" w:hAnsi="Verdana" w:cs="Arial"/>
          <w:sz w:val="20"/>
          <w:szCs w:val="20"/>
          <w:lang w:val="es-ES"/>
        </w:rPr>
      </w:pPr>
      <w:r w:rsidRPr="00DF38E2">
        <w:rPr>
          <w:rFonts w:ascii="Verdana" w:hAnsi="Verdana" w:cs="Arial"/>
          <w:sz w:val="20"/>
          <w:szCs w:val="20"/>
          <w:lang w:val="es-ES"/>
        </w:rPr>
        <w:t xml:space="preserve">Como pudo apreciarse, este precepto legal permite que la liquidación bilateral se acuerde después del vencimiento del término pactado en el contrato o previsto en los documentos antepuestos, o, del término supletorio que para la concertación de la liquidación establece la ley, e  incluso, después de haber pasado los dos meses subsiguientes a dicho vencimiento sin que la administración lo hubiera liquidado unilateralmente, bajo condición de que el acuerdo </w:t>
      </w:r>
      <w:proofErr w:type="spellStart"/>
      <w:r w:rsidRPr="00DF38E2">
        <w:rPr>
          <w:rFonts w:ascii="Verdana" w:hAnsi="Verdana" w:cs="Arial"/>
          <w:sz w:val="20"/>
          <w:szCs w:val="20"/>
          <w:lang w:val="es-ES"/>
        </w:rPr>
        <w:t>liquidatorio</w:t>
      </w:r>
      <w:proofErr w:type="spellEnd"/>
      <w:r w:rsidRPr="00DF38E2">
        <w:rPr>
          <w:rFonts w:ascii="Verdana" w:hAnsi="Verdana" w:cs="Arial"/>
          <w:sz w:val="20"/>
          <w:szCs w:val="20"/>
          <w:lang w:val="es-ES"/>
        </w:rPr>
        <w:t xml:space="preserve"> se logre dentro del lapso de dos años contados a partir del vencimiento del término legalmente conocido para la liquidación unilateral, pues ese es el lapso que el ordenamiento ha fijado para el ejercicio oportuno de la acción</w:t>
      </w:r>
      <w:r w:rsidRPr="00DF38E2">
        <w:rPr>
          <w:rStyle w:val="Refdenotaalpie"/>
          <w:rFonts w:ascii="Verdana" w:hAnsi="Verdana" w:cs="Arial"/>
          <w:sz w:val="20"/>
          <w:szCs w:val="20"/>
          <w:lang w:val="es-ES"/>
        </w:rPr>
        <w:footnoteReference w:id="9"/>
      </w:r>
      <w:r w:rsidRPr="00DF38E2">
        <w:rPr>
          <w:rFonts w:ascii="Verdana" w:hAnsi="Verdana" w:cs="Arial"/>
          <w:sz w:val="20"/>
          <w:szCs w:val="20"/>
          <w:lang w:val="es-ES"/>
        </w:rPr>
        <w:t>.</w:t>
      </w:r>
    </w:p>
    <w:p w14:paraId="6012BF2D" w14:textId="77777777" w:rsidR="00F26D50" w:rsidRPr="00D03768" w:rsidRDefault="00F26D50" w:rsidP="00F26D50">
      <w:pPr>
        <w:pStyle w:val="Sinespaciado"/>
        <w:ind w:right="709" w:firstLine="709"/>
        <w:jc w:val="both"/>
        <w:rPr>
          <w:rFonts w:ascii="Verdana" w:hAnsi="Verdana" w:cs="Arial"/>
          <w:sz w:val="22"/>
          <w:lang w:val="es-ES"/>
        </w:rPr>
      </w:pPr>
    </w:p>
    <w:p w14:paraId="4A3CFBB6" w14:textId="77777777" w:rsidR="00F26D50" w:rsidRPr="005C4A0F" w:rsidRDefault="00F26D50" w:rsidP="00F26D50">
      <w:pPr>
        <w:tabs>
          <w:tab w:val="left" w:pos="709"/>
        </w:tabs>
        <w:spacing w:after="120" w:line="276" w:lineRule="auto"/>
        <w:ind w:firstLine="709"/>
        <w:jc w:val="both"/>
        <w:rPr>
          <w:rFonts w:ascii="Verdana" w:eastAsia="Calibri" w:hAnsi="Verdana" w:cs="Arial"/>
        </w:rPr>
      </w:pPr>
      <w:r w:rsidRPr="4A3FD318">
        <w:rPr>
          <w:rFonts w:ascii="Verdana" w:eastAsia="Calibri" w:hAnsi="Verdana" w:cs="Arial"/>
        </w:rPr>
        <w:t xml:space="preserve">En armonía con lo anterior, se podrá interponer una demanda ante la jurisdicción de lo contencioso administrativo solicitando la liquidación judicial del contrato, mediante el medio de control de controversias contractuales, en los términos del artículo 141 del Código de Procedimiento Administrativo y de lo </w:t>
      </w:r>
      <w:r w:rsidRPr="4A3FD318">
        <w:rPr>
          <w:rFonts w:ascii="Verdana" w:eastAsia="Calibri" w:hAnsi="Verdana" w:cs="Arial"/>
        </w:rPr>
        <w:lastRenderedPageBreak/>
        <w:t>Contencioso Administrativo –CPACA–. La demanda debe ser presentada dentro del término que establece el artículo 164 del CPACA, pues de lo contrario operará el fenómeno de la caducidad, por lo cual no sería posible realizar la liquidación del contrato por ningún medio.</w:t>
      </w:r>
    </w:p>
    <w:p w14:paraId="20915135" w14:textId="77777777" w:rsidR="00F26D50" w:rsidRPr="006D2030" w:rsidRDefault="00F26D50" w:rsidP="00F26D50">
      <w:pPr>
        <w:spacing w:after="120" w:line="276" w:lineRule="auto"/>
        <w:ind w:firstLine="709"/>
        <w:jc w:val="both"/>
        <w:rPr>
          <w:rFonts w:ascii="Verdana" w:eastAsia="Calibri" w:hAnsi="Verdana" w:cs="Arial"/>
          <w:lang w:val="es-ES"/>
        </w:rPr>
      </w:pPr>
      <w:r w:rsidRPr="4A3FD318">
        <w:rPr>
          <w:rFonts w:ascii="Verdana" w:eastAsia="Calibri" w:hAnsi="Verdana" w:cs="Arial"/>
          <w:lang w:val="es-ES"/>
        </w:rPr>
        <w:t>En este punto, es pertinente aclarar que, en relación con el término de caducidad para demandar en aquellos contratos que requieran liquidación, la jurisprudencia unificada del Consejo de Estado ha determinado que, en virtud del artículo 164 de la Ley 1437 de 2011 -CPACA-, la regla general es que los dos (2) años comiencen a correr a partir de la fecha de expedición del acta de liquidación, bien sea unilateral o de mutuo acuerdo. Solo en caso de que no exista liquidación de ningún tipo, el término de dos (2) años comienza a contar a partir de la suma de los seis (6) meses de que trata el artículo 11 de la Ley 1150 de 2011.</w:t>
      </w:r>
    </w:p>
    <w:p w14:paraId="01E51ACD" w14:textId="77777777" w:rsidR="00F26D50" w:rsidRPr="006D2030" w:rsidRDefault="00F26D50" w:rsidP="00F26D50">
      <w:pPr>
        <w:spacing w:after="120" w:line="276" w:lineRule="auto"/>
        <w:ind w:firstLine="709"/>
        <w:jc w:val="both"/>
        <w:rPr>
          <w:rFonts w:ascii="Verdana" w:eastAsia="Calibri" w:hAnsi="Verdana" w:cs="Arial"/>
          <w:lang w:val="es-ES"/>
        </w:rPr>
      </w:pPr>
      <w:r w:rsidRPr="4A3FD318">
        <w:rPr>
          <w:rFonts w:ascii="Verdana" w:eastAsia="Calibri" w:hAnsi="Verdana" w:cs="Arial"/>
          <w:lang w:val="es-ES"/>
        </w:rPr>
        <w:t xml:space="preserve">Así las cosas, es claro que el ordenamiento jurídico vigente permite la liquidación unilateral, bilateral e incluso judicial una vez vencido el plazo establecido por el artículo 11 de la Ley 1150 de 2007. En otras palabras, la liquidación final de los contratos estatales tiene un ámbito temporal que empieza con la terminación del contrato y comprende: i) el periodo contractual pactado por las partes o supletivo legal –de cuatro (4) meses– para la liquidación bilateral; </w:t>
      </w:r>
      <w:proofErr w:type="spellStart"/>
      <w:r w:rsidRPr="4A3FD318">
        <w:rPr>
          <w:rFonts w:ascii="Verdana" w:eastAsia="Calibri" w:hAnsi="Verdana" w:cs="Arial"/>
          <w:lang w:val="es-ES"/>
        </w:rPr>
        <w:t>ii</w:t>
      </w:r>
      <w:proofErr w:type="spellEnd"/>
      <w:r w:rsidRPr="4A3FD318">
        <w:rPr>
          <w:rFonts w:ascii="Verdana" w:eastAsia="Calibri" w:hAnsi="Verdana" w:cs="Arial"/>
          <w:lang w:val="es-ES"/>
        </w:rPr>
        <w:t xml:space="preserve">) más el período legal para la liquidación unilateral –de dos (2) meses–; </w:t>
      </w:r>
      <w:proofErr w:type="spellStart"/>
      <w:r w:rsidRPr="4A3FD318">
        <w:rPr>
          <w:rFonts w:ascii="Verdana" w:eastAsia="Calibri" w:hAnsi="Verdana" w:cs="Arial"/>
          <w:lang w:val="es-ES"/>
        </w:rPr>
        <w:t>iii</w:t>
      </w:r>
      <w:proofErr w:type="spellEnd"/>
      <w:r w:rsidRPr="4A3FD318">
        <w:rPr>
          <w:rFonts w:ascii="Verdana" w:eastAsia="Calibri" w:hAnsi="Verdana" w:cs="Arial"/>
          <w:lang w:val="es-ES"/>
        </w:rPr>
        <w:t>) más el plazo de dos (2) años para hacerlo de mutuo acuerdo o unilateralmente, sin perjuicio de que se solicite la liquidación judicial.</w:t>
      </w:r>
    </w:p>
    <w:p w14:paraId="4D41D4F5" w14:textId="77777777" w:rsidR="00F26D50" w:rsidRDefault="00F26D50" w:rsidP="00F26D50">
      <w:pPr>
        <w:spacing w:after="120" w:line="276" w:lineRule="auto"/>
        <w:ind w:firstLine="709"/>
        <w:jc w:val="both"/>
        <w:rPr>
          <w:rFonts w:ascii="Verdana" w:hAnsi="Verdana" w:cs="Arial"/>
          <w:lang w:val="es-ES"/>
        </w:rPr>
      </w:pPr>
      <w:r w:rsidRPr="4A3FD318">
        <w:rPr>
          <w:rFonts w:ascii="Verdana" w:hAnsi="Verdana" w:cs="Arial"/>
          <w:color w:val="000000" w:themeColor="text1"/>
          <w:lang w:val="es-ES"/>
        </w:rPr>
        <w:t xml:space="preserve">En ese orden de ideas, si se trata de un contrato en el cual no existe pacto sobre el término para la liquidación bilateral, el término supletivo aplicaría, y se podría liquidar el contrato dentro de los cuatro (4) meses siguientes a su terminación de manera bilateral, dentro de los dos (2) meses siguientes a ellos de manera unilateral por la entidad, más un plazo de dos (2) años para la liquidación unilateral, bilateral o judicial. Esto, para un total de dos (2) años y seis (6) meses.  Estos términos pueden verse modificados si las partes acuerdan un plazo mayor o menor para realizar la liquidación de mutuo acuerdo, con lo cual dejaría de estar incluido el término supletivo de la Ley 1150 de 2007. </w:t>
      </w:r>
      <w:r w:rsidRPr="4A3FD318">
        <w:rPr>
          <w:rFonts w:ascii="Verdana" w:hAnsi="Verdana" w:cs="Arial"/>
          <w:lang w:val="es-ES"/>
        </w:rPr>
        <w:t xml:space="preserve"> </w:t>
      </w:r>
    </w:p>
    <w:p w14:paraId="71939478" w14:textId="77777777" w:rsidR="00F26D50" w:rsidRDefault="00F26D50" w:rsidP="00F26D50">
      <w:pPr>
        <w:spacing w:after="120" w:line="276" w:lineRule="auto"/>
        <w:ind w:firstLine="709"/>
        <w:jc w:val="both"/>
        <w:rPr>
          <w:rFonts w:ascii="Verdana" w:hAnsi="Verdana" w:cs="Arial"/>
          <w:lang w:val="es-ES"/>
        </w:rPr>
      </w:pPr>
      <w:r w:rsidRPr="2993F789">
        <w:rPr>
          <w:rFonts w:ascii="Verdana" w:hAnsi="Verdana" w:cs="Arial"/>
          <w:lang w:val="es-ES"/>
        </w:rPr>
        <w:t xml:space="preserve">En suma, de acuerdo con el artículo 11 de la Ley 1150 de 2007, existen tres (3) tipos de liquidación: </w:t>
      </w:r>
    </w:p>
    <w:p w14:paraId="45B3ABCA" w14:textId="77777777" w:rsidR="00F26D50" w:rsidRPr="00D260F1" w:rsidRDefault="00F26D50" w:rsidP="00F26D50">
      <w:pPr>
        <w:numPr>
          <w:ilvl w:val="0"/>
          <w:numId w:val="3"/>
        </w:numPr>
        <w:spacing w:after="120" w:line="276" w:lineRule="auto"/>
        <w:ind w:left="360"/>
        <w:jc w:val="both"/>
        <w:rPr>
          <w:rFonts w:ascii="Verdana" w:hAnsi="Verdana" w:cs="Arial"/>
        </w:rPr>
      </w:pPr>
      <w:r w:rsidRPr="2993F789">
        <w:rPr>
          <w:rFonts w:ascii="Verdana" w:hAnsi="Verdana" w:cs="Arial"/>
          <w:i/>
          <w:iCs/>
        </w:rPr>
        <w:lastRenderedPageBreak/>
        <w:t>Bilateral:</w:t>
      </w:r>
      <w:r w:rsidRPr="2993F789">
        <w:rPr>
          <w:rFonts w:ascii="Verdana" w:hAnsi="Verdana" w:cs="Arial"/>
        </w:rPr>
        <w:t xml:space="preserve"> Puede ser total o parcial, y debe realizarse dentro del término pactado por las partes o, en su defecto, dentro del término supletivo de cuatro (4) meses.</w:t>
      </w:r>
    </w:p>
    <w:p w14:paraId="18D24950" w14:textId="77777777" w:rsidR="00F26D50" w:rsidRPr="00D260F1" w:rsidRDefault="00F26D50" w:rsidP="00F26D50">
      <w:pPr>
        <w:numPr>
          <w:ilvl w:val="0"/>
          <w:numId w:val="3"/>
        </w:numPr>
        <w:spacing w:after="120" w:line="276" w:lineRule="auto"/>
        <w:ind w:left="360"/>
        <w:jc w:val="both"/>
        <w:rPr>
          <w:rFonts w:ascii="Verdana" w:hAnsi="Verdana" w:cs="Arial"/>
        </w:rPr>
      </w:pPr>
      <w:r w:rsidRPr="2993F789">
        <w:rPr>
          <w:rFonts w:ascii="Verdana" w:hAnsi="Verdana" w:cs="Arial"/>
          <w:i/>
          <w:iCs/>
        </w:rPr>
        <w:t>Unilateral:</w:t>
      </w:r>
      <w:r w:rsidRPr="2993F789">
        <w:rPr>
          <w:rFonts w:ascii="Verdana" w:hAnsi="Verdana" w:cs="Arial"/>
        </w:rPr>
        <w:t xml:space="preserve"> Procede dentro de los dos (2) meses siguientes al vencimiento del término pactado o del término supletivo, si no se logró la liquidación bilateral.</w:t>
      </w:r>
    </w:p>
    <w:p w14:paraId="56534F3D" w14:textId="77777777" w:rsidR="00F26D50" w:rsidRPr="00D260F1" w:rsidRDefault="00F26D50" w:rsidP="00F26D50">
      <w:pPr>
        <w:numPr>
          <w:ilvl w:val="0"/>
          <w:numId w:val="3"/>
        </w:numPr>
        <w:spacing w:after="0" w:line="276" w:lineRule="auto"/>
        <w:ind w:left="360"/>
        <w:jc w:val="both"/>
        <w:rPr>
          <w:rFonts w:ascii="Verdana" w:hAnsi="Verdana" w:cs="Arial"/>
        </w:rPr>
      </w:pPr>
      <w:r w:rsidRPr="2993F789">
        <w:rPr>
          <w:rFonts w:ascii="Verdana" w:hAnsi="Verdana" w:cs="Arial"/>
          <w:i/>
          <w:iCs/>
        </w:rPr>
        <w:t>Judicial:</w:t>
      </w:r>
      <w:r w:rsidRPr="2993F789">
        <w:rPr>
          <w:rFonts w:ascii="Verdana" w:hAnsi="Verdana" w:cs="Arial"/>
        </w:rPr>
        <w:t xml:space="preserve"> Puede ser solicitada ante la Jurisdicción de lo Contencioso Administrativo o un tribunal de arbitramento, mediante el medio de control de controversias contractuales. Esta debe interponerse dentro de los dos (2) años siguientes al vencimiento del término para la liquidación unilateral, conforme a la jurisprudencia unificada del Consejo de Estado</w:t>
      </w:r>
    </w:p>
    <w:p w14:paraId="5513B472" w14:textId="77777777" w:rsidR="00F26D50" w:rsidRPr="00D03768" w:rsidRDefault="00F26D50" w:rsidP="00F26D50">
      <w:pPr>
        <w:spacing w:after="0" w:line="276" w:lineRule="auto"/>
        <w:ind w:firstLine="709"/>
        <w:jc w:val="both"/>
        <w:rPr>
          <w:rFonts w:ascii="Verdana" w:hAnsi="Verdana" w:cs="Arial"/>
          <w:lang w:val="es-ES"/>
        </w:rPr>
      </w:pPr>
    </w:p>
    <w:p w14:paraId="6FFE58B8" w14:textId="77777777" w:rsidR="00F26D50" w:rsidRPr="00B64A74" w:rsidRDefault="00F26D50" w:rsidP="00F26D50">
      <w:pPr>
        <w:spacing w:after="120" w:line="276" w:lineRule="auto"/>
        <w:ind w:firstLine="708"/>
        <w:jc w:val="both"/>
        <w:rPr>
          <w:rFonts w:ascii="Verdana" w:eastAsia="Times New Roman" w:hAnsi="Verdana" w:cs="Arial"/>
          <w:color w:val="000000" w:themeColor="text1"/>
          <w:lang w:eastAsia="es-CO"/>
        </w:rPr>
      </w:pPr>
      <w:proofErr w:type="spellStart"/>
      <w:r>
        <w:rPr>
          <w:rFonts w:ascii="Verdana" w:eastAsia="Times New Roman" w:hAnsi="Verdana" w:cs="Calibri"/>
          <w:lang w:val="es-ES"/>
        </w:rPr>
        <w:t>ii</w:t>
      </w:r>
      <w:proofErr w:type="spellEnd"/>
      <w:r>
        <w:rPr>
          <w:rFonts w:ascii="Verdana" w:eastAsia="Times New Roman" w:hAnsi="Verdana" w:cs="Calibri"/>
          <w:lang w:val="es-ES"/>
        </w:rPr>
        <w:t xml:space="preserve">) </w:t>
      </w:r>
      <w:r w:rsidRPr="00B64A74">
        <w:rPr>
          <w:rFonts w:ascii="Verdana" w:eastAsia="Times New Roman" w:hAnsi="Verdana" w:cs="Arial"/>
          <w:color w:val="000000" w:themeColor="text1"/>
          <w:lang w:eastAsia="es-CO"/>
        </w:rPr>
        <w:t>Así las cosas, posterior a los términos referenciados en el párrafo precedente sin que se hubiese liquidado el contrato, ésta no podrá adelantarse dado que los plazos referidos son perentorios. Esto significa que con su vencimiento fenece la oportunidad de efectuarla ante la pérdida de competencia de la entidad para realizar el balance final del acuerdo de voluntades pactado. Esta Subdirección, en el Concepto 4201913000006142 de 7 de octubre de 2019, señaló que con la caducidad del medio de control de controversias contractuales las entidades pierden la competencia para liquidar el contrato, ya que el fenómeno procesal constituía la preclusión de la oportunidad para reclamar las sumas de dinero adeudadas por las partes. Asimismo, la doctrina señala que:</w:t>
      </w:r>
    </w:p>
    <w:p w14:paraId="0B9E8CD9" w14:textId="77777777" w:rsidR="00F26D50" w:rsidRPr="00B64A74" w:rsidRDefault="00F26D50" w:rsidP="00F26D50">
      <w:pPr>
        <w:spacing w:after="0" w:line="240" w:lineRule="auto"/>
        <w:ind w:left="709" w:right="709"/>
        <w:jc w:val="both"/>
        <w:rPr>
          <w:rFonts w:ascii="Verdana" w:eastAsia="Times New Roman" w:hAnsi="Verdana" w:cs="Arial"/>
          <w:color w:val="000000" w:themeColor="text1"/>
          <w:sz w:val="20"/>
          <w:szCs w:val="20"/>
          <w:lang w:eastAsia="es-CO"/>
        </w:rPr>
      </w:pPr>
      <w:r w:rsidRPr="00B64A74">
        <w:rPr>
          <w:rFonts w:ascii="Verdana" w:eastAsia="Times New Roman" w:hAnsi="Verdana" w:cs="Arial"/>
          <w:color w:val="000000" w:themeColor="text1"/>
          <w:sz w:val="20"/>
          <w:szCs w:val="20"/>
          <w:lang w:eastAsia="es-CO"/>
        </w:rPr>
        <w:t>“Suele argüirse, en la práctica, que es factible efectuar la liquidación del contrato, así haya operado la caducidad de la acción, con base en la existencia de una obligación natural, que fundamentaría pagarle al contratista lo que se le debe. Sin embargo, se trata de una posición equivocada, pues si bien el artículo 1527 del Código Civil establece que las obligaciones naturales son ‘las que no confieren derecho para exigir su cumplimiento, pero que cumplidas autorizan para retener lo que se ha dado o pagado, en razón de ellas’, los servidores públicos no puede reconocer acreencias inexigibles, sino cuentan con la competencia expresa para hacerlo, pues estaría desbordando el marco de sus atribuciones constitucionales, legales y reglamentarias. Además, del concepto mismo de obligación natural no se deduce la consagración de la competencia para liquidar el contrato estatal, luego de expirado el término de caducidad del medio de control de controversias contractuales”</w:t>
      </w:r>
      <w:r w:rsidRPr="00B64A74">
        <w:rPr>
          <w:rStyle w:val="Refdenotaalpie"/>
          <w:rFonts w:ascii="Verdana" w:eastAsia="Times New Roman" w:hAnsi="Verdana" w:cs="Arial"/>
          <w:color w:val="000000" w:themeColor="text1"/>
          <w:sz w:val="20"/>
          <w:szCs w:val="20"/>
          <w:lang w:eastAsia="es-CO"/>
        </w:rPr>
        <w:footnoteReference w:id="10"/>
      </w:r>
      <w:r w:rsidRPr="00B64A74">
        <w:rPr>
          <w:rFonts w:ascii="Verdana" w:eastAsia="Times New Roman" w:hAnsi="Verdana" w:cs="Arial"/>
          <w:color w:val="000000" w:themeColor="text1"/>
          <w:sz w:val="20"/>
          <w:szCs w:val="20"/>
          <w:lang w:eastAsia="es-CO"/>
        </w:rPr>
        <w:t xml:space="preserve">.   </w:t>
      </w:r>
    </w:p>
    <w:p w14:paraId="5C8E1A00" w14:textId="77777777" w:rsidR="00F26D50" w:rsidRPr="00B64A74" w:rsidRDefault="00F26D50" w:rsidP="00F26D50">
      <w:pPr>
        <w:tabs>
          <w:tab w:val="left" w:pos="709"/>
        </w:tabs>
        <w:spacing w:after="0" w:line="240" w:lineRule="auto"/>
        <w:jc w:val="both"/>
        <w:rPr>
          <w:rFonts w:ascii="Verdana" w:eastAsia="Times New Roman" w:hAnsi="Verdana" w:cs="Arial"/>
          <w:color w:val="000000"/>
          <w:bdr w:val="none" w:sz="0" w:space="0" w:color="auto" w:frame="1"/>
          <w:shd w:val="clear" w:color="auto" w:fill="FFFFFF"/>
          <w:lang w:eastAsia="es-ES_tradnl"/>
        </w:rPr>
      </w:pPr>
    </w:p>
    <w:p w14:paraId="5288628B" w14:textId="77777777" w:rsidR="00F26D50" w:rsidRDefault="00F26D50" w:rsidP="00F26D50">
      <w:pPr>
        <w:tabs>
          <w:tab w:val="left" w:pos="709"/>
        </w:tabs>
        <w:spacing w:after="120" w:line="276" w:lineRule="auto"/>
        <w:jc w:val="both"/>
        <w:rPr>
          <w:rFonts w:ascii="Verdana" w:eastAsia="Calibri" w:hAnsi="Verdana" w:cs="Arial"/>
          <w:color w:val="000000"/>
          <w:lang w:eastAsia="es-ES"/>
        </w:rPr>
      </w:pPr>
      <w:r w:rsidRPr="00B64A74">
        <w:rPr>
          <w:rFonts w:ascii="Verdana" w:eastAsia="Times New Roman" w:hAnsi="Verdana" w:cs="Arial"/>
          <w:color w:val="000000"/>
          <w:bdr w:val="none" w:sz="0" w:space="0" w:color="auto" w:frame="1"/>
          <w:shd w:val="clear" w:color="auto" w:fill="FFFFFF"/>
          <w:lang w:eastAsia="es-ES_tradnl"/>
        </w:rPr>
        <w:lastRenderedPageBreak/>
        <w:tab/>
      </w:r>
      <w:r w:rsidRPr="00B64A74">
        <w:rPr>
          <w:rFonts w:ascii="Verdana" w:eastAsia="Calibri" w:hAnsi="Verdana" w:cs="Arial"/>
          <w:color w:val="000000"/>
          <w:lang w:eastAsia="es-ES"/>
        </w:rPr>
        <w:t xml:space="preserve">En consecuencia, dentro de los límites previstos en el literal j) del artículo 164 numeral 2 de la Ley 1437 de 2011, es posible liquidar bilateral o unilateralmente siempre que no haya caducado el medio de control de controversias contractuales. Lo anterior, aunque haya pasado el término previsto en los documentos del proceso o el supletivo de cuatro (4) meses –tratándose de la liquidación bilateral–, así como el plazo de dos (2) meses –tratándose de la liquidación unilateral–. Cualquier liquidación efectuada después de la caducidad del medio de control implica la pérdida de competencia temporal, por lo que está viciada de nulidad. </w:t>
      </w:r>
    </w:p>
    <w:p w14:paraId="55394197" w14:textId="77777777" w:rsidR="00F26D50" w:rsidRDefault="00F26D50" w:rsidP="00F26D50">
      <w:pPr>
        <w:spacing w:after="120" w:line="276" w:lineRule="auto"/>
        <w:jc w:val="both"/>
        <w:rPr>
          <w:rFonts w:ascii="Verdana" w:hAnsi="Verdana" w:cs="Arial"/>
          <w:lang w:eastAsia="es-MX"/>
        </w:rPr>
      </w:pPr>
      <w:r w:rsidRPr="2993F789">
        <w:rPr>
          <w:rFonts w:ascii="Verdana" w:hAnsi="Verdana" w:cs="Arial"/>
          <w:lang w:eastAsia="es-MX"/>
        </w:rPr>
        <w:t>Conforme al marco jurídico expuesto, se concluye que la entidad estatal solo pierde competencia para efectuar la liquidación del contrato una vez opera la caducidad del medio de control de controversias contractuales. Es decir, existe un plazo máximo de dos (2) años, contados a partir de los dos (2) meses establecidos en la ley para realizar la liquidación unilateral, dentro del cual la entidad puede liquidar el contrato de manera bilateral o unilateral. La normativa vigente no contempla la pérdida de competencia para efectuar la liquidación en el evento en que se encuentre pendiente de decisión un proceso sancionatorio contra el contratista. En tal caso, la entidad puede proceder con la liquidación del contrato, sin que el trámite sancionatorio constituya un impedimento legal para ello.</w:t>
      </w:r>
    </w:p>
    <w:p w14:paraId="1096288E" w14:textId="77777777" w:rsidR="00F26D50" w:rsidRDefault="00F26D50" w:rsidP="00F26D50">
      <w:pPr>
        <w:widowControl w:val="0"/>
        <w:autoSpaceDE w:val="0"/>
        <w:autoSpaceDN w:val="0"/>
        <w:spacing w:after="120" w:line="276" w:lineRule="auto"/>
        <w:ind w:firstLine="709"/>
        <w:jc w:val="both"/>
        <w:rPr>
          <w:rFonts w:ascii="Verdana" w:hAnsi="Verdana" w:cs="Arial"/>
        </w:rPr>
      </w:pPr>
      <w:r w:rsidRPr="4A3FD318">
        <w:rPr>
          <w:rFonts w:ascii="Verdana" w:hAnsi="Verdana" w:cs="Arial"/>
          <w:color w:val="000000" w:themeColor="text1"/>
        </w:rPr>
        <w:t xml:space="preserve">Finalmente, </w:t>
      </w:r>
      <w:r w:rsidRPr="4A3FD318">
        <w:rPr>
          <w:rFonts w:ascii="Verdana" w:hAnsi="Verdana" w:cs="Arial"/>
        </w:rPr>
        <w:t xml:space="preserve">debe advertirse que el análisis requerido para “[…] tomar decisiones de fondo […]”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  </w:t>
      </w:r>
    </w:p>
    <w:p w14:paraId="6B9E9C3C" w14:textId="77777777" w:rsidR="00F26D50" w:rsidRPr="008A4AEC" w:rsidRDefault="00F26D50" w:rsidP="00F26D50">
      <w:pPr>
        <w:widowControl w:val="0"/>
        <w:autoSpaceDE w:val="0"/>
        <w:autoSpaceDN w:val="0"/>
        <w:spacing w:after="0" w:line="276" w:lineRule="auto"/>
        <w:ind w:firstLine="709"/>
        <w:jc w:val="both"/>
        <w:rPr>
          <w:rFonts w:ascii="Verdana" w:hAnsi="Verdana" w:cs="Arial"/>
        </w:rPr>
      </w:pPr>
      <w:r w:rsidRPr="2993F789">
        <w:rPr>
          <w:rFonts w:ascii="Verdana" w:hAnsi="Verdana" w:cs="Arial"/>
        </w:rPr>
        <w:t xml:space="preserve">Dentro de este marco, la entidad contratante definirá en cada caso concreto lo relacionado con el tema objeto de consulta. Al tratarse de un análisis que debe realizarse en el procedimiento contractual específico, la Agencia sólo brinda elementos de carácter general para que los partícipes del sistema de compras y contratación pública adopten la decisión que corresponda, lo cual es acorde con el principio de juridicidad. De esta manera, cada entidad definirá la </w:t>
      </w:r>
      <w:r w:rsidRPr="2993F789">
        <w:rPr>
          <w:rFonts w:ascii="Verdana" w:hAnsi="Verdana" w:cs="Arial"/>
        </w:rPr>
        <w:lastRenderedPageBreak/>
        <w:t>forma de adelantar su gestión contractual, sin que sea atribución de Colombia Compra Eficiente validar sus actuaciones.</w:t>
      </w:r>
    </w:p>
    <w:p w14:paraId="3EDCA308" w14:textId="77777777" w:rsidR="00F26D50" w:rsidRPr="00AF7840" w:rsidRDefault="00F26D50" w:rsidP="00F26D50">
      <w:pPr>
        <w:spacing w:after="0" w:line="276" w:lineRule="auto"/>
        <w:ind w:firstLine="709"/>
        <w:jc w:val="both"/>
        <w:rPr>
          <w:rFonts w:ascii="Verdana" w:eastAsia="Calibri" w:hAnsi="Verdana" w:cs="Arial"/>
          <w:sz w:val="21"/>
          <w:szCs w:val="21"/>
        </w:rPr>
      </w:pPr>
    </w:p>
    <w:p w14:paraId="31673FDA" w14:textId="77777777" w:rsidR="00F26D50" w:rsidRPr="00AF7840" w:rsidRDefault="00F26D50" w:rsidP="00F26D50">
      <w:pPr>
        <w:tabs>
          <w:tab w:val="left" w:pos="142"/>
          <w:tab w:val="left" w:pos="284"/>
        </w:tabs>
        <w:spacing w:after="0" w:line="276" w:lineRule="auto"/>
        <w:jc w:val="both"/>
        <w:rPr>
          <w:rFonts w:ascii="Verdana" w:eastAsia="Century Gothic" w:hAnsi="Verdana" w:cs="Century Gothic"/>
          <w:b/>
          <w:bCs/>
        </w:rPr>
      </w:pPr>
      <w:r w:rsidRPr="00AF7840">
        <w:rPr>
          <w:rFonts w:ascii="Verdana" w:eastAsia="Century Gothic" w:hAnsi="Verdana" w:cs="Century Gothic"/>
          <w:b/>
          <w:bCs/>
        </w:rPr>
        <w:t>4. Referencias normativas, jurisprudenciales y otras fuentes:</w:t>
      </w:r>
    </w:p>
    <w:p w14:paraId="61094EC8" w14:textId="77777777" w:rsidR="00F26D50" w:rsidRPr="00AF7840" w:rsidRDefault="00F26D50" w:rsidP="00F26D50">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F26D50" w:rsidRPr="00AF7840" w14:paraId="51F0FC02" w14:textId="77777777" w:rsidTr="006B0FCB">
        <w:trPr>
          <w:trHeight w:val="870"/>
        </w:trPr>
        <w:tc>
          <w:tcPr>
            <w:tcW w:w="8647" w:type="dxa"/>
          </w:tcPr>
          <w:p w14:paraId="3D203E86" w14:textId="77777777" w:rsidR="00F26D50" w:rsidRPr="00AF7840" w:rsidRDefault="00F26D50" w:rsidP="00F26D50">
            <w:pPr>
              <w:pStyle w:val="Prrafodelista"/>
              <w:widowControl w:val="0"/>
              <w:numPr>
                <w:ilvl w:val="0"/>
                <w:numId w:val="2"/>
              </w:numPr>
              <w:tabs>
                <w:tab w:val="left" w:pos="8419"/>
              </w:tabs>
              <w:autoSpaceDE w:val="0"/>
              <w:autoSpaceDN w:val="0"/>
              <w:spacing w:line="276" w:lineRule="auto"/>
              <w:jc w:val="both"/>
              <w:rPr>
                <w:rFonts w:ascii="Verdana" w:hAnsi="Verdana" w:cs="Arial"/>
              </w:rPr>
            </w:pPr>
            <w:r w:rsidRPr="2993F789">
              <w:rPr>
                <w:rFonts w:ascii="Verdana" w:hAnsi="Verdana" w:cs="Arial"/>
              </w:rPr>
              <w:t>Ley 80 de 1993, artículo 60.</w:t>
            </w:r>
          </w:p>
          <w:p w14:paraId="190B7BCA" w14:textId="77777777" w:rsidR="00F26D50" w:rsidRPr="00AF7840" w:rsidRDefault="00F26D50" w:rsidP="00F26D50">
            <w:pPr>
              <w:pStyle w:val="Prrafodelista"/>
              <w:widowControl w:val="0"/>
              <w:numPr>
                <w:ilvl w:val="0"/>
                <w:numId w:val="2"/>
              </w:numPr>
              <w:tabs>
                <w:tab w:val="left" w:pos="8419"/>
              </w:tabs>
              <w:autoSpaceDE w:val="0"/>
              <w:autoSpaceDN w:val="0"/>
              <w:spacing w:line="276" w:lineRule="auto"/>
              <w:jc w:val="both"/>
              <w:rPr>
                <w:rFonts w:ascii="Verdana" w:hAnsi="Verdana" w:cs="Arial"/>
              </w:rPr>
            </w:pPr>
            <w:r w:rsidRPr="2993F789">
              <w:rPr>
                <w:rFonts w:ascii="Verdana" w:hAnsi="Verdana" w:cs="Arial"/>
              </w:rPr>
              <w:t xml:space="preserve">Ley 1150 de 2007, </w:t>
            </w:r>
            <w:r w:rsidRPr="2993F789">
              <w:rPr>
                <w:rFonts w:ascii="Verdana" w:eastAsia="Calibri" w:hAnsi="Verdana" w:cs="Arial"/>
                <w:color w:val="000000" w:themeColor="text1"/>
              </w:rPr>
              <w:t>artículo 2, numeral 4, literal c), artículo 11.</w:t>
            </w:r>
          </w:p>
          <w:p w14:paraId="6898B771" w14:textId="77777777" w:rsidR="00F26D50" w:rsidRPr="00AF7840" w:rsidRDefault="00F26D50" w:rsidP="00F26D50">
            <w:pPr>
              <w:pStyle w:val="Prrafodelista"/>
              <w:widowControl w:val="0"/>
              <w:numPr>
                <w:ilvl w:val="0"/>
                <w:numId w:val="2"/>
              </w:numPr>
              <w:tabs>
                <w:tab w:val="left" w:pos="8419"/>
              </w:tabs>
              <w:autoSpaceDE w:val="0"/>
              <w:autoSpaceDN w:val="0"/>
              <w:spacing w:line="276" w:lineRule="auto"/>
              <w:jc w:val="both"/>
              <w:rPr>
                <w:rFonts w:ascii="Verdana" w:hAnsi="Verdana" w:cs="Times New Roman"/>
                <w:color w:val="000000"/>
              </w:rPr>
            </w:pPr>
            <w:r w:rsidRPr="2993F789">
              <w:rPr>
                <w:rFonts w:ascii="Verdana" w:hAnsi="Verdana" w:cs="Times New Roman"/>
                <w:color w:val="000000" w:themeColor="text1"/>
              </w:rPr>
              <w:t>Decreto 1082 de 2015, artículo 2.2.1.1.1.3.1.; artículo 2.2.1.1.2.4.3.</w:t>
            </w:r>
          </w:p>
          <w:p w14:paraId="45C259B2" w14:textId="77777777" w:rsidR="00F26D50" w:rsidRPr="00AF7840" w:rsidRDefault="00F26D50" w:rsidP="00F26D50">
            <w:pPr>
              <w:pStyle w:val="Prrafodelista"/>
              <w:widowControl w:val="0"/>
              <w:numPr>
                <w:ilvl w:val="0"/>
                <w:numId w:val="2"/>
              </w:numPr>
              <w:tabs>
                <w:tab w:val="left" w:pos="8419"/>
              </w:tabs>
              <w:autoSpaceDE w:val="0"/>
              <w:autoSpaceDN w:val="0"/>
              <w:spacing w:line="276" w:lineRule="auto"/>
              <w:jc w:val="both"/>
              <w:rPr>
                <w:rFonts w:ascii="Verdana" w:hAnsi="Verdana" w:cs="Arial"/>
              </w:rPr>
            </w:pPr>
            <w:r w:rsidRPr="2993F789">
              <w:rPr>
                <w:rFonts w:ascii="Verdana" w:hAnsi="Verdana" w:cs="Arial"/>
              </w:rPr>
              <w:t>Consejo de Estado. Sección Tercera. Subsección “C”. Radicado No. 05001-23-31-000-1998-00038-01. Número Interno 27.777. M.P. Enrique Gil Botero.</w:t>
            </w:r>
          </w:p>
          <w:p w14:paraId="4BF7CDDE" w14:textId="77777777" w:rsidR="00F26D50" w:rsidRPr="00AF7840" w:rsidRDefault="00F26D50" w:rsidP="00F26D50">
            <w:pPr>
              <w:pStyle w:val="Prrafodelista"/>
              <w:widowControl w:val="0"/>
              <w:numPr>
                <w:ilvl w:val="0"/>
                <w:numId w:val="2"/>
              </w:numPr>
              <w:tabs>
                <w:tab w:val="left" w:pos="8419"/>
              </w:tabs>
              <w:autoSpaceDE w:val="0"/>
              <w:autoSpaceDN w:val="0"/>
              <w:spacing w:line="276" w:lineRule="auto"/>
              <w:jc w:val="both"/>
              <w:rPr>
                <w:rFonts w:ascii="Verdana" w:hAnsi="Verdana" w:cs="Arial"/>
              </w:rPr>
            </w:pPr>
            <w:r w:rsidRPr="2993F789">
              <w:rPr>
                <w:rFonts w:ascii="Verdana" w:hAnsi="Verdana" w:cs="Arial"/>
              </w:rPr>
              <w:t xml:space="preserve">Consejo de Estado. Sala de Consulta y Servicio Civil. Concepto de 28 de </w:t>
            </w:r>
            <w:proofErr w:type="gramStart"/>
            <w:r w:rsidRPr="2993F789">
              <w:rPr>
                <w:rFonts w:ascii="Verdana" w:hAnsi="Verdana" w:cs="Arial"/>
              </w:rPr>
              <w:t>Junio</w:t>
            </w:r>
            <w:proofErr w:type="gramEnd"/>
            <w:r w:rsidRPr="2993F789">
              <w:rPr>
                <w:rFonts w:ascii="Verdana" w:hAnsi="Verdana" w:cs="Arial"/>
              </w:rPr>
              <w:t xml:space="preserve"> de 2016. Radicación: 2253. C.P. Álvaro Namén Vargas.</w:t>
            </w:r>
          </w:p>
          <w:p w14:paraId="7CA18D12" w14:textId="77777777" w:rsidR="00F26D50" w:rsidRPr="00AF7840" w:rsidRDefault="00F26D50" w:rsidP="00F26D50">
            <w:pPr>
              <w:pStyle w:val="Prrafodelista"/>
              <w:widowControl w:val="0"/>
              <w:numPr>
                <w:ilvl w:val="0"/>
                <w:numId w:val="2"/>
              </w:numPr>
              <w:tabs>
                <w:tab w:val="left" w:pos="8419"/>
              </w:tabs>
              <w:autoSpaceDE w:val="0"/>
              <w:autoSpaceDN w:val="0"/>
              <w:spacing w:line="276" w:lineRule="auto"/>
              <w:jc w:val="both"/>
              <w:rPr>
                <w:rFonts w:ascii="Verdana" w:hAnsi="Verdana" w:cs="Arial"/>
              </w:rPr>
            </w:pPr>
            <w:r w:rsidRPr="2993F789">
              <w:rPr>
                <w:rFonts w:ascii="Verdana" w:hAnsi="Verdana" w:cs="Arial"/>
              </w:rPr>
              <w:t>Consejo de Estado. Sección Tercera. Subsección “C”. Radicado No. 11001-03-26-000-2015-00165-00. Número interno 55.813. M.P. Jaime Orlando Santofimio Gamboa. Sentencia del 10 de octubre de 2016.</w:t>
            </w:r>
          </w:p>
          <w:p w14:paraId="5CADDA0F" w14:textId="77777777" w:rsidR="00F26D50" w:rsidRPr="00AF7840" w:rsidRDefault="00F26D50" w:rsidP="00F26D50">
            <w:pPr>
              <w:pStyle w:val="Prrafodelista"/>
              <w:widowControl w:val="0"/>
              <w:numPr>
                <w:ilvl w:val="0"/>
                <w:numId w:val="2"/>
              </w:numPr>
              <w:tabs>
                <w:tab w:val="left" w:pos="8419"/>
              </w:tabs>
              <w:autoSpaceDE w:val="0"/>
              <w:autoSpaceDN w:val="0"/>
              <w:spacing w:line="276" w:lineRule="auto"/>
              <w:jc w:val="both"/>
              <w:rPr>
                <w:rFonts w:ascii="Verdana" w:hAnsi="Verdana" w:cs="Arial"/>
              </w:rPr>
            </w:pPr>
            <w:r w:rsidRPr="2993F789">
              <w:rPr>
                <w:rFonts w:ascii="Verdana" w:hAnsi="Verdana" w:cs="Arial"/>
              </w:rPr>
              <w:t xml:space="preserve">Consejo de Estado, Sala de Consulta y Servicio Civil. Concepto del 8 de marzo de 2017, radicado No. 2298, y con ponencia del </w:t>
            </w:r>
            <w:proofErr w:type="gramStart"/>
            <w:r w:rsidRPr="2993F789">
              <w:rPr>
                <w:rFonts w:ascii="Verdana" w:hAnsi="Verdana" w:cs="Arial"/>
              </w:rPr>
              <w:t>Consejero</w:t>
            </w:r>
            <w:proofErr w:type="gramEnd"/>
            <w:r w:rsidRPr="2993F789">
              <w:rPr>
                <w:rFonts w:ascii="Verdana" w:hAnsi="Verdana" w:cs="Arial"/>
              </w:rPr>
              <w:t xml:space="preserve"> Édgar González.</w:t>
            </w:r>
          </w:p>
          <w:p w14:paraId="1493484B" w14:textId="77777777" w:rsidR="00F26D50" w:rsidRPr="00AF7840" w:rsidRDefault="00F26D50" w:rsidP="00F26D50">
            <w:pPr>
              <w:pStyle w:val="Prrafodelista"/>
              <w:widowControl w:val="0"/>
              <w:numPr>
                <w:ilvl w:val="0"/>
                <w:numId w:val="2"/>
              </w:numPr>
              <w:tabs>
                <w:tab w:val="left" w:pos="8419"/>
              </w:tabs>
              <w:autoSpaceDE w:val="0"/>
              <w:autoSpaceDN w:val="0"/>
              <w:spacing w:line="276" w:lineRule="auto"/>
              <w:jc w:val="both"/>
              <w:rPr>
                <w:rFonts w:ascii="Verdana" w:hAnsi="Verdana" w:cs="Arial"/>
              </w:rPr>
            </w:pPr>
            <w:r w:rsidRPr="2993F789">
              <w:rPr>
                <w:rFonts w:ascii="Verdana" w:hAnsi="Verdana" w:cs="Arial"/>
              </w:rPr>
              <w:t xml:space="preserve">Consejo de Estado. Sección Tercera. </w:t>
            </w:r>
            <w:r w:rsidRPr="2993F789">
              <w:rPr>
                <w:rFonts w:ascii="Verdana" w:hAnsi="Verdana" w:cs="Arial"/>
                <w:lang w:val="pt-BR"/>
              </w:rPr>
              <w:t xml:space="preserve">Sala Plena. Auto de 1 de agosto de 2019. </w:t>
            </w:r>
            <w:proofErr w:type="spellStart"/>
            <w:r w:rsidRPr="2993F789">
              <w:rPr>
                <w:rFonts w:ascii="Verdana" w:hAnsi="Verdana" w:cs="Arial"/>
              </w:rPr>
              <w:t>Exp</w:t>
            </w:r>
            <w:proofErr w:type="spellEnd"/>
            <w:r w:rsidRPr="2993F789">
              <w:rPr>
                <w:rFonts w:ascii="Verdana" w:hAnsi="Verdana" w:cs="Arial"/>
              </w:rPr>
              <w:t>. 62009. C.P. Jaime Enrique Rodríguez Navas.</w:t>
            </w:r>
          </w:p>
          <w:p w14:paraId="71492CBA" w14:textId="77777777" w:rsidR="00F26D50" w:rsidRPr="00AF7840" w:rsidRDefault="00F26D50" w:rsidP="00F26D50">
            <w:pPr>
              <w:pStyle w:val="Prrafodelista"/>
              <w:widowControl w:val="0"/>
              <w:numPr>
                <w:ilvl w:val="0"/>
                <w:numId w:val="2"/>
              </w:numPr>
              <w:tabs>
                <w:tab w:val="left" w:pos="8419"/>
              </w:tabs>
              <w:autoSpaceDE w:val="0"/>
              <w:autoSpaceDN w:val="0"/>
              <w:spacing w:line="276" w:lineRule="auto"/>
              <w:jc w:val="both"/>
              <w:rPr>
                <w:rFonts w:ascii="Verdana" w:hAnsi="Verdana" w:cs="Arial"/>
              </w:rPr>
            </w:pPr>
            <w:r w:rsidRPr="2993F789">
              <w:rPr>
                <w:rFonts w:ascii="Verdana" w:hAnsi="Verdana" w:cs="Arial"/>
              </w:rPr>
              <w:t>Consejo de Estado. Sección Tercera. Subsección A. Sentencia del 5 de febrero de 2021. Magistrada Ponente: María Adriana Marín. Expediente: 49.792.</w:t>
            </w:r>
          </w:p>
          <w:p w14:paraId="1F45C05A" w14:textId="77777777" w:rsidR="00F26D50" w:rsidRPr="009F2629" w:rsidRDefault="00F26D50" w:rsidP="00F26D50">
            <w:pPr>
              <w:pStyle w:val="Prrafodelista"/>
              <w:widowControl w:val="0"/>
              <w:numPr>
                <w:ilvl w:val="0"/>
                <w:numId w:val="2"/>
              </w:numPr>
              <w:tabs>
                <w:tab w:val="left" w:pos="8419"/>
              </w:tabs>
              <w:autoSpaceDE w:val="0"/>
              <w:autoSpaceDN w:val="0"/>
              <w:spacing w:line="276" w:lineRule="auto"/>
              <w:jc w:val="both"/>
              <w:rPr>
                <w:rFonts w:ascii="Verdana" w:hAnsi="Verdana"/>
              </w:rPr>
            </w:pPr>
            <w:r w:rsidRPr="2993F789">
              <w:rPr>
                <w:rFonts w:ascii="Verdana" w:hAnsi="Verdana" w:cs="Arial"/>
              </w:rPr>
              <w:t xml:space="preserve">Agencia Nacional de Contratación Pública - </w:t>
            </w:r>
            <w:r w:rsidRPr="2993F789">
              <w:rPr>
                <w:rFonts w:ascii="Verdana" w:hAnsi="Verdana"/>
              </w:rPr>
              <w:t xml:space="preserve">Colombia Compra Eficiente. Guía para la Liquidación de los Procesos de Contratación. Disponible en: </w:t>
            </w:r>
            <w:hyperlink r:id="rId9" w:history="1">
              <w:r w:rsidRPr="2993F789">
                <w:rPr>
                  <w:rStyle w:val="Hipervnculo"/>
                  <w:rFonts w:ascii="Verdana" w:hAnsi="Verdana" w:cs="Arial"/>
                </w:rPr>
                <w:t>https://operaciones.colombiacompra.gov.co/sites/cce_public/files/cce_documents/cce_guia_liquidacion_procesos.pdf</w:t>
              </w:r>
            </w:hyperlink>
          </w:p>
        </w:tc>
      </w:tr>
    </w:tbl>
    <w:p w14:paraId="2500C53A" w14:textId="77777777" w:rsidR="00F26D50" w:rsidRPr="00AF7840" w:rsidRDefault="00F26D50" w:rsidP="00F26D50">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299AF626" w14:textId="77777777" w:rsidR="00F26D50" w:rsidRPr="00AF7840" w:rsidRDefault="00F26D50" w:rsidP="00F26D50">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r w:rsidRPr="00AF7840">
        <w:rPr>
          <w:rFonts w:ascii="Verdana" w:eastAsia="Century Gothic" w:hAnsi="Verdana" w:cs="Century Gothic"/>
          <w:b/>
          <w:bCs/>
        </w:rPr>
        <w:t>5. Doctrina de la Agencia Nacional de Contratación Pública:</w:t>
      </w:r>
    </w:p>
    <w:p w14:paraId="38E1CC7F" w14:textId="77777777" w:rsidR="00F26D50" w:rsidRPr="00AF7840" w:rsidRDefault="00F26D50" w:rsidP="00F26D50">
      <w:pPr>
        <w:spacing w:after="0" w:line="276" w:lineRule="auto"/>
        <w:ind w:firstLine="709"/>
        <w:jc w:val="both"/>
        <w:rPr>
          <w:rFonts w:ascii="Verdana" w:eastAsia="Times New Roman" w:hAnsi="Verdana" w:cs="Arial"/>
          <w:szCs w:val="24"/>
          <w:lang w:eastAsia="es-ES_tradnl"/>
        </w:rPr>
      </w:pPr>
    </w:p>
    <w:p w14:paraId="496F02EC" w14:textId="77777777" w:rsidR="00F26D50" w:rsidRPr="00AF7840" w:rsidRDefault="00F26D50" w:rsidP="00F26D50">
      <w:pPr>
        <w:widowControl w:val="0"/>
        <w:autoSpaceDE w:val="0"/>
        <w:autoSpaceDN w:val="0"/>
        <w:spacing w:after="0" w:line="276" w:lineRule="auto"/>
        <w:jc w:val="both"/>
        <w:rPr>
          <w:rFonts w:ascii="Verdana" w:eastAsia="Calibri" w:hAnsi="Verdana" w:cs="Arial"/>
          <w:lang w:eastAsia="es-ES_tradnl"/>
        </w:rPr>
      </w:pPr>
      <w:r w:rsidRPr="4A3FD318">
        <w:rPr>
          <w:rStyle w:val="normaltextrun"/>
          <w:rFonts w:ascii="Verdana" w:hAnsi="Verdana"/>
          <w:color w:val="000000" w:themeColor="text1"/>
        </w:rPr>
        <w:t xml:space="preserve">Además de los conceptos citados en el texto de la presente respuesta, esta Subdirección se ha pronunciado sobre la liquidación en los Conceptos 4201912000004908 del 27 de septiembre de 2019, CU-028 de 25 de febrero de 2020, C-221 de 21 de abril de 2020, C-078 del 17 de marzo de 2021, C-220 del 18 de mayo de 2021, C-444 del 23 de julio de 2021, C-747 del 8 de noviembre </w:t>
      </w:r>
      <w:r w:rsidRPr="4A3FD318">
        <w:rPr>
          <w:rStyle w:val="normaltextrun"/>
          <w:rFonts w:ascii="Verdana" w:hAnsi="Verdana"/>
          <w:color w:val="000000" w:themeColor="text1"/>
        </w:rPr>
        <w:lastRenderedPageBreak/>
        <w:t>de 2022, C-739 de del 29 de noviembre de 2022, C- 176 de 3 de mayo de 2023, C-158 del 6 de junio de 2023, C-326 del 15 de agosto de 2024, C-568 del 18 de octubre de 2024,  C-708 del 21 de noviembre de 2024</w:t>
      </w:r>
      <w:r>
        <w:rPr>
          <w:rStyle w:val="normaltextrun"/>
          <w:rFonts w:ascii="Verdana" w:hAnsi="Verdana"/>
          <w:color w:val="000000" w:themeColor="text1"/>
        </w:rPr>
        <w:t>,</w:t>
      </w:r>
      <w:r w:rsidRPr="4A3FD318">
        <w:rPr>
          <w:rStyle w:val="normaltextrun"/>
          <w:rFonts w:ascii="Verdana" w:hAnsi="Verdana"/>
          <w:color w:val="000000" w:themeColor="text1"/>
        </w:rPr>
        <w:t xml:space="preserve"> C-510 del 4 de junio de 2025</w:t>
      </w:r>
      <w:r>
        <w:rPr>
          <w:rStyle w:val="normaltextrun"/>
          <w:rFonts w:ascii="Verdana" w:hAnsi="Verdana"/>
          <w:color w:val="000000" w:themeColor="text1"/>
        </w:rPr>
        <w:t>, C-198 del 19 de marzo de 2026, entre otros.</w:t>
      </w:r>
      <w:r w:rsidRPr="4A3FD318">
        <w:rPr>
          <w:rStyle w:val="normaltextrun"/>
          <w:rFonts w:ascii="Verdana" w:hAnsi="Verdana"/>
          <w:color w:val="000000" w:themeColor="text1"/>
        </w:rPr>
        <w:t xml:space="preserve"> Estos y otros </w:t>
      </w:r>
      <w:r>
        <w:rPr>
          <w:rStyle w:val="normaltextrun"/>
          <w:rFonts w:ascii="Verdana" w:hAnsi="Verdana"/>
          <w:color w:val="000000" w:themeColor="text1"/>
        </w:rPr>
        <w:t xml:space="preserve">conceptos </w:t>
      </w:r>
      <w:r w:rsidRPr="4A3FD318">
        <w:rPr>
          <w:rStyle w:val="normaltextrun"/>
          <w:rFonts w:ascii="Verdana" w:hAnsi="Verdana"/>
          <w:color w:val="000000" w:themeColor="text1"/>
        </w:rPr>
        <w:t>se encuentran disponibles para consulta en el Sistema de relatoría de la Agencia, al cual puede accederse a través del siguiente enlac</w:t>
      </w:r>
      <w:r>
        <w:rPr>
          <w:rStyle w:val="normaltextrun"/>
          <w:rFonts w:ascii="Verdana" w:hAnsi="Verdana"/>
          <w:color w:val="000000" w:themeColor="text1"/>
        </w:rPr>
        <w:t xml:space="preserve">e </w:t>
      </w:r>
      <w:hyperlink r:id="rId10" w:tooltip="Dirección URL original: https://relatoria.colombiacompra.gov.co/. Haga clic o pulse si confía en este vínculo." w:history="1">
        <w:r w:rsidRPr="00AF7840">
          <w:rPr>
            <w:rStyle w:val="Hipervnculo"/>
            <w:rFonts w:ascii="Verdana" w:eastAsia="Calibri" w:hAnsi="Verdana" w:cs="Arial"/>
            <w:lang w:eastAsia="es-ES_tradnl"/>
          </w:rPr>
          <w:t>https://relatoria.colombiacompra.gov.co/</w:t>
        </w:r>
      </w:hyperlink>
      <w:r w:rsidRPr="00AF7840">
        <w:rPr>
          <w:rFonts w:ascii="Verdana" w:eastAsia="Calibri" w:hAnsi="Verdana" w:cs="Arial"/>
          <w:lang w:eastAsia="es-ES_tradnl"/>
        </w:rPr>
        <w:t> </w:t>
      </w:r>
    </w:p>
    <w:p w14:paraId="42CFE8F5" w14:textId="77777777" w:rsidR="00F26D50" w:rsidRPr="00AF7840" w:rsidRDefault="00F26D50" w:rsidP="00F26D50">
      <w:pPr>
        <w:widowControl w:val="0"/>
        <w:autoSpaceDE w:val="0"/>
        <w:autoSpaceDN w:val="0"/>
        <w:spacing w:after="0" w:line="276" w:lineRule="auto"/>
        <w:jc w:val="both"/>
        <w:rPr>
          <w:rFonts w:ascii="Verdana" w:eastAsia="Calibri" w:hAnsi="Verdana" w:cs="Arial"/>
          <w:lang w:eastAsia="es-ES_tradnl"/>
        </w:rPr>
      </w:pPr>
    </w:p>
    <w:p w14:paraId="3D28D4F2" w14:textId="77777777" w:rsidR="00F26D50" w:rsidRDefault="00F26D50" w:rsidP="00F26D50">
      <w:pPr>
        <w:spacing w:after="120" w:line="276" w:lineRule="auto"/>
        <w:jc w:val="both"/>
      </w:pPr>
      <w:r w:rsidRPr="00B64A74">
        <w:rPr>
          <w:rFonts w:ascii="Verdana" w:hAnsi="Verdana"/>
        </w:rPr>
        <w:t xml:space="preserve">La sostenibilidad no es una opción, es una obligación. Por ello, la Agencia Nacional de Contratación Pública –Colombia Compra Eficiente– te invita a realizar el </w:t>
      </w:r>
      <w:r w:rsidRPr="00B64A74">
        <w:rPr>
          <w:rFonts w:ascii="Verdana" w:hAnsi="Verdana"/>
          <w:b/>
          <w:bCs/>
        </w:rPr>
        <w:t>Curso de Contratación Pública Sostenible y Socialmente Responsable</w:t>
      </w:r>
      <w:r w:rsidRPr="00B64A74">
        <w:rPr>
          <w:rFonts w:ascii="Verdana" w:hAnsi="Verdana"/>
        </w:rPr>
        <w:t>, una herramienta clave para fortalecer las capacidades de todos los compradores públicos, proveedores, servidores públicos v para generar mayor valor público. Accede al curso y aprende como implementar criterios sociales y ambientales en las diferentes etapas del proceso de contratación:</w:t>
      </w:r>
      <w:r w:rsidRPr="00B64A74">
        <w:rPr>
          <w:rFonts w:ascii="Verdana" w:hAnsi="Verdana"/>
        </w:rPr>
        <w:br/>
      </w:r>
      <w:hyperlink r:id="rId11" w:tgtFrame="_new" w:history="1">
        <w:r w:rsidRPr="00B64A74">
          <w:rPr>
            <w:rStyle w:val="Hipervnculo"/>
            <w:rFonts w:ascii="Verdana" w:hAnsi="Verdana"/>
          </w:rPr>
          <w:t>https://formacionvirtual.colombiacompra.gov.co/mod/page/view.php?id=3718</w:t>
        </w:r>
      </w:hyperlink>
    </w:p>
    <w:p w14:paraId="627E2EDD" w14:textId="77777777" w:rsidR="00F26D50" w:rsidRPr="00B64A74" w:rsidRDefault="00F26D50" w:rsidP="00F26D50">
      <w:pPr>
        <w:spacing w:after="120" w:line="276" w:lineRule="auto"/>
        <w:jc w:val="both"/>
        <w:rPr>
          <w:rFonts w:ascii="Verdana" w:hAnsi="Verdana"/>
        </w:rPr>
      </w:pPr>
      <w:r w:rsidRPr="00B64A74">
        <w:rPr>
          <w:rFonts w:ascii="Verdana" w:hAnsi="Verdana"/>
        </w:rPr>
        <w:t xml:space="preserve">De otro lado, te contamos que esta Agencia ha dado un paso decisivo en la estandarización y modernización del </w:t>
      </w:r>
      <w:r w:rsidRPr="00B64A74">
        <w:rPr>
          <w:rFonts w:ascii="Verdana" w:hAnsi="Verdana"/>
          <w:b/>
          <w:bCs/>
        </w:rPr>
        <w:t>sector social</w:t>
      </w:r>
      <w:r w:rsidRPr="00B64A74">
        <w:rPr>
          <w:rFonts w:ascii="Verdana" w:hAnsi="Verdana"/>
        </w:rPr>
        <w:t xml:space="preserve"> con la expedición de las </w:t>
      </w:r>
      <w:r w:rsidRPr="00B64A74">
        <w:rPr>
          <w:rFonts w:ascii="Verdana" w:hAnsi="Verdana"/>
          <w:b/>
          <w:bCs/>
        </w:rPr>
        <w:t>Resoluciones 539, 540, 541, 952 y 953 de 2025</w:t>
      </w:r>
      <w:r w:rsidRPr="00B64A74">
        <w:rPr>
          <w:rFonts w:ascii="Verdana" w:hAnsi="Verdana"/>
        </w:rPr>
        <w:t xml:space="preserve">, </w:t>
      </w:r>
      <w:r w:rsidRPr="00B64A74">
        <w:rPr>
          <w:rFonts w:ascii="Verdana" w:hAnsi="Verdana"/>
          <w:b/>
          <w:bCs/>
        </w:rPr>
        <w:t>mediante las cuales adoptó Documentos Tipo</w:t>
      </w:r>
      <w:r w:rsidRPr="00B64A74">
        <w:rPr>
          <w:rFonts w:ascii="Verdana" w:hAnsi="Verdana"/>
        </w:rPr>
        <w:t xml:space="preserve"> para las modalidades de selección de</w:t>
      </w:r>
      <w:r w:rsidRPr="00B64A74">
        <w:rPr>
          <w:rFonts w:ascii="Verdana" w:hAnsi="Verdana"/>
          <w:b/>
          <w:bCs/>
        </w:rPr>
        <w:t xml:space="preserve"> licitación pública (versión 2), selección abreviada de menor cuantía, mínima cuantía, consultoría e interventoría</w:t>
      </w:r>
      <w:r w:rsidRPr="00B64A74">
        <w:rPr>
          <w:rFonts w:ascii="Verdana" w:hAnsi="Verdana"/>
        </w:rPr>
        <w:t xml:space="preserve">, promoviendo procesos más transparentes, eficientes  competitivos y sostenibles en sectores estratégicos como educación, salud, cultura, recreación, deporte, institucional y vivienda. Consulta y descarga los documentos aquí: </w:t>
      </w:r>
      <w:hyperlink r:id="rId12" w:tgtFrame="_new" w:history="1">
        <w:r w:rsidRPr="00B64A74">
          <w:rPr>
            <w:rStyle w:val="Hipervnculo"/>
            <w:rFonts w:ascii="Verdana" w:hAnsi="Verdana"/>
          </w:rPr>
          <w:t>https://www.colombiacompra.gov.co/normativa-y-relatoria/documentos-tipo</w:t>
        </w:r>
      </w:hyperlink>
    </w:p>
    <w:p w14:paraId="1DD8C428" w14:textId="77777777" w:rsidR="00F26D50" w:rsidRPr="00B64A74" w:rsidRDefault="00F26D50" w:rsidP="00F26D50">
      <w:pPr>
        <w:spacing w:after="120" w:line="276" w:lineRule="auto"/>
        <w:jc w:val="both"/>
        <w:rPr>
          <w:rFonts w:ascii="Verdana" w:hAnsi="Verdana"/>
        </w:rPr>
      </w:pPr>
      <w:r w:rsidRPr="00B64A74">
        <w:rPr>
          <w:rFonts w:ascii="Verdana" w:hAnsi="Verdana"/>
        </w:rPr>
        <w:t xml:space="preserve">Si quieres conocer más sobre la aplicación de Documentos Tipo puedes consultar la última versión de la </w:t>
      </w:r>
      <w:r w:rsidRPr="00B64A74">
        <w:rPr>
          <w:rFonts w:ascii="Verdana" w:hAnsi="Verdana"/>
          <w:b/>
          <w:bCs/>
        </w:rPr>
        <w:t>Guía para la comprensión e implementación de los Documentos Tipo de obra pública de infraestructura de transporte</w:t>
      </w:r>
      <w:r w:rsidRPr="00B64A74">
        <w:rPr>
          <w:rFonts w:ascii="Verdana" w:hAnsi="Verdana"/>
        </w:rPr>
        <w:t>. En esta actualización se incorporaron orientaciones prácticas dirigidas a entidades públicas, proveedores, organismos de control y demás interesados, con el propósito de facilitar la adecuada implementación de estos instrumentos en los procesos contractuales. Además se incluyeron lineamientos que orientan la implementación de los criterios ambientales y sociales incluidos en los documentos tipo: Consulta la guía aquí:</w:t>
      </w:r>
      <w:r w:rsidRPr="00B64A74">
        <w:rPr>
          <w:rFonts w:ascii="Verdana" w:hAnsi="Verdana"/>
        </w:rPr>
        <w:br/>
      </w:r>
      <w:hyperlink r:id="rId13" w:tgtFrame="_new" w:history="1">
        <w:r w:rsidRPr="00B64A74">
          <w:rPr>
            <w:rStyle w:val="Hipervnculo"/>
            <w:rFonts w:ascii="Verdana" w:hAnsi="Verdana"/>
          </w:rPr>
          <w:t>https://www.colombiacompra.gov.co/archivos/manual/guia-para-la-</w:t>
        </w:r>
        <w:r w:rsidRPr="00B64A74">
          <w:rPr>
            <w:rStyle w:val="Hipervnculo"/>
            <w:rFonts w:ascii="Verdana" w:hAnsi="Verdana"/>
          </w:rPr>
          <w:lastRenderedPageBreak/>
          <w:t>comprension-e-implementacion-de-los-documentos-tipo-de-obra-publica-de-infraestructura-de-transporte-bajo-las-diferentes-modalidades-de-contratacion-vigentes</w:t>
        </w:r>
      </w:hyperlink>
    </w:p>
    <w:p w14:paraId="1FE9ED47" w14:textId="77777777" w:rsidR="00F26D50" w:rsidRPr="00B64A74" w:rsidRDefault="00F26D50" w:rsidP="00F26D50">
      <w:pPr>
        <w:widowControl w:val="0"/>
        <w:autoSpaceDE w:val="0"/>
        <w:autoSpaceDN w:val="0"/>
        <w:spacing w:after="120" w:line="276" w:lineRule="auto"/>
        <w:jc w:val="both"/>
        <w:rPr>
          <w:rFonts w:ascii="Verdana" w:hAnsi="Verdana" w:cs="Arial"/>
          <w:highlight w:val="yellow"/>
          <w:shd w:val="clear" w:color="auto" w:fill="FFFFFF"/>
        </w:rPr>
      </w:pPr>
      <w:r w:rsidRPr="00B64A74">
        <w:rPr>
          <w:rFonts w:ascii="Verdana" w:hAnsi="Verdana"/>
        </w:rPr>
        <w:t xml:space="preserve">Por último, aprovechamos la oportunidad de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14:paraId="6C407FDA" w14:textId="77777777" w:rsidR="00F26D50" w:rsidRPr="00B64A74" w:rsidRDefault="00F26D50" w:rsidP="00F26D50">
      <w:pPr>
        <w:pStyle w:val="Prrafodelista"/>
        <w:numPr>
          <w:ilvl w:val="0"/>
          <w:numId w:val="1"/>
        </w:numPr>
        <w:spacing w:after="0" w:line="276" w:lineRule="auto"/>
        <w:jc w:val="both"/>
        <w:rPr>
          <w:rFonts w:ascii="Verdana" w:eastAsia="Verdana" w:hAnsi="Verdana" w:cs="Verdana"/>
          <w:color w:val="156082" w:themeColor="accent1"/>
          <w:u w:val="single"/>
        </w:rPr>
      </w:pPr>
      <w:r w:rsidRPr="00B64A74">
        <w:rPr>
          <w:rFonts w:ascii="Verdana" w:eastAsia="Verdana" w:hAnsi="Verdana" w:cs="Verdana"/>
        </w:rPr>
        <w:t xml:space="preserve">Línea nacional gratuita o servicio a la ciudadanía (Mesa de servicio): </w:t>
      </w:r>
      <w:r w:rsidRPr="00B64A74">
        <w:rPr>
          <w:rStyle w:val="Hipervnculo"/>
          <w:rFonts w:ascii="Verdana" w:hAnsi="Verdana"/>
        </w:rPr>
        <w:t>01800 0520808</w:t>
      </w:r>
    </w:p>
    <w:p w14:paraId="0175BDD8" w14:textId="77777777" w:rsidR="00F26D50" w:rsidRPr="00B64A74" w:rsidRDefault="00F26D50" w:rsidP="00F26D50">
      <w:pPr>
        <w:pStyle w:val="Prrafodelista"/>
        <w:numPr>
          <w:ilvl w:val="0"/>
          <w:numId w:val="1"/>
        </w:numPr>
        <w:spacing w:after="0" w:line="276" w:lineRule="auto"/>
        <w:rPr>
          <w:rFonts w:ascii="Verdana" w:eastAsia="Verdana" w:hAnsi="Verdana" w:cs="Verdana"/>
          <w:color w:val="156082" w:themeColor="accent1"/>
          <w:u w:val="single"/>
        </w:rPr>
      </w:pPr>
      <w:r w:rsidRPr="00B64A74">
        <w:rPr>
          <w:rFonts w:ascii="Verdana" w:eastAsia="Verdana" w:hAnsi="Verdana" w:cs="Verdana"/>
        </w:rPr>
        <w:t>Línea en Bogotá (Mesa de servicio</w:t>
      </w:r>
      <w:proofErr w:type="gramStart"/>
      <w:r w:rsidRPr="00B64A74">
        <w:rPr>
          <w:rFonts w:ascii="Verdana" w:eastAsia="Verdana" w:hAnsi="Verdana" w:cs="Verdana"/>
        </w:rPr>
        <w:t>):</w:t>
      </w:r>
      <w:r w:rsidRPr="00B64A74">
        <w:rPr>
          <w:rStyle w:val="Hipervnculo"/>
          <w:rFonts w:ascii="Verdana" w:hAnsi="Verdana"/>
        </w:rPr>
        <w:t>+</w:t>
      </w:r>
      <w:proofErr w:type="gramEnd"/>
      <w:r w:rsidRPr="00B64A74">
        <w:rPr>
          <w:rStyle w:val="Hipervnculo"/>
          <w:rFonts w:ascii="Verdana" w:hAnsi="Verdana"/>
        </w:rPr>
        <w:t>57 601 7456788</w:t>
      </w:r>
    </w:p>
    <w:p w14:paraId="1D00AD76" w14:textId="77777777" w:rsidR="00F26D50" w:rsidRPr="00B64A74" w:rsidRDefault="00F26D50" w:rsidP="00F26D50">
      <w:pPr>
        <w:pStyle w:val="Prrafodelista"/>
        <w:numPr>
          <w:ilvl w:val="0"/>
          <w:numId w:val="1"/>
        </w:numPr>
        <w:spacing w:after="0" w:line="276" w:lineRule="auto"/>
        <w:rPr>
          <w:rFonts w:ascii="Verdana" w:eastAsia="Verdana" w:hAnsi="Verdana" w:cs="Verdana"/>
          <w:color w:val="0000FF"/>
          <w:u w:val="single"/>
        </w:rPr>
      </w:pPr>
      <w:r w:rsidRPr="00B64A74">
        <w:rPr>
          <w:rFonts w:ascii="Verdana" w:eastAsia="Verdana" w:hAnsi="Verdana" w:cs="Verdana"/>
        </w:rPr>
        <w:t xml:space="preserve">Correo de radicación de correspondencia: </w:t>
      </w:r>
      <w:hyperlink r:id="rId14">
        <w:r w:rsidRPr="00B64A74">
          <w:rPr>
            <w:rStyle w:val="Hipervnculo"/>
            <w:rFonts w:ascii="Verdana" w:eastAsia="Verdana" w:hAnsi="Verdana" w:cs="Verdana"/>
          </w:rPr>
          <w:t>ventanilladeradicacion@colombiacompra.gov.co</w:t>
        </w:r>
      </w:hyperlink>
    </w:p>
    <w:p w14:paraId="3E0B3EDE" w14:textId="77777777" w:rsidR="00F26D50" w:rsidRPr="00B64A74" w:rsidRDefault="00F26D50" w:rsidP="00F26D50">
      <w:pPr>
        <w:pStyle w:val="Prrafodelista"/>
        <w:numPr>
          <w:ilvl w:val="0"/>
          <w:numId w:val="1"/>
        </w:numPr>
        <w:spacing w:after="0" w:line="276" w:lineRule="auto"/>
        <w:rPr>
          <w:rFonts w:ascii="Verdana" w:eastAsia="Verdana" w:hAnsi="Verdana" w:cs="Verdana"/>
          <w:color w:val="0000FF"/>
          <w:u w:val="single"/>
        </w:rPr>
      </w:pPr>
      <w:r w:rsidRPr="00B64A74">
        <w:rPr>
          <w:rFonts w:ascii="Verdana" w:eastAsia="Verdana" w:hAnsi="Verdana" w:cs="Verdana"/>
        </w:rPr>
        <w:t xml:space="preserve">Formulario web para PQRSD: </w:t>
      </w:r>
      <w:hyperlink r:id="rId15">
        <w:r w:rsidRPr="00B64A74">
          <w:rPr>
            <w:rStyle w:val="Hipervnculo"/>
            <w:rFonts w:ascii="Verdana" w:eastAsia="Verdana" w:hAnsi="Verdana" w:cs="Verdana"/>
          </w:rPr>
          <w:t>https://www.colombiacompra.gov.co/pqrsd/informacion-importante-antes-de-formular-una-pqrsd</w:t>
        </w:r>
      </w:hyperlink>
    </w:p>
    <w:p w14:paraId="50779610" w14:textId="77777777" w:rsidR="00F26D50" w:rsidRPr="00B64A74" w:rsidRDefault="00F26D50" w:rsidP="00F26D50">
      <w:pPr>
        <w:spacing w:after="0" w:line="276" w:lineRule="auto"/>
        <w:ind w:left="720"/>
        <w:jc w:val="both"/>
        <w:rPr>
          <w:rFonts w:ascii="Verdana" w:hAnsi="Verdana"/>
        </w:rPr>
      </w:pPr>
    </w:p>
    <w:p w14:paraId="16C4CA04" w14:textId="77777777" w:rsidR="00F26D50" w:rsidRPr="00B64A74" w:rsidRDefault="00F26D50" w:rsidP="00F26D50">
      <w:pPr>
        <w:spacing w:after="120" w:line="276" w:lineRule="auto"/>
        <w:jc w:val="both"/>
        <w:rPr>
          <w:rFonts w:ascii="Verdana" w:hAnsi="Verdana"/>
        </w:rPr>
      </w:pPr>
      <w:r w:rsidRPr="00B64A74">
        <w:rPr>
          <w:rFonts w:ascii="Verdana" w:hAnsi="Verdana"/>
        </w:rPr>
        <w:t xml:space="preserve">Evalúa el servicio que ofrece la Agencia por el canal de atención de PQRSD en el siguiente enlace: </w:t>
      </w:r>
      <w:hyperlink r:id="rId16" w:history="1">
        <w:r w:rsidRPr="00B64A74">
          <w:rPr>
            <w:rStyle w:val="Hipervnculo"/>
            <w:rFonts w:ascii="Verdana" w:eastAsia="Verdana" w:hAnsi="Verdana" w:cs="Verdana"/>
          </w:rPr>
          <w:t>https://forms.office.com/r/pPHyWVs2SZ</w:t>
        </w:r>
      </w:hyperlink>
      <w:r w:rsidRPr="00B64A74">
        <w:rPr>
          <w:rStyle w:val="Hipervnculo"/>
          <w:rFonts w:ascii="Verdana" w:eastAsia="Verdana" w:hAnsi="Verdana" w:cs="Verdana"/>
        </w:rPr>
        <w:t>.</w:t>
      </w:r>
      <w:r w:rsidRPr="00B64A74">
        <w:rPr>
          <w:rFonts w:ascii="Verdana" w:hAnsi="Verdana"/>
        </w:rPr>
        <w:t xml:space="preserve"> ¡Ayúdanos a mejorar porque el compromiso es de todos!</w:t>
      </w:r>
    </w:p>
    <w:p w14:paraId="1686CC01" w14:textId="77777777" w:rsidR="00F26D50" w:rsidRPr="00B64A74" w:rsidRDefault="00F26D50" w:rsidP="00F26D50">
      <w:pPr>
        <w:spacing w:after="120" w:line="276" w:lineRule="auto"/>
        <w:jc w:val="both"/>
        <w:rPr>
          <w:rFonts w:ascii="Verdana" w:hAnsi="Verdana"/>
        </w:rPr>
      </w:pPr>
      <w:r w:rsidRPr="00B64A74">
        <w:rPr>
          <w:rFonts w:ascii="Verdana" w:hAnsi="Verdana"/>
        </w:rPr>
        <w:t xml:space="preserve">Por último, lo invitamos a seguirnos en las redes sociales en las cuales se difunde información institucional: </w:t>
      </w:r>
    </w:p>
    <w:p w14:paraId="4C4CFFF4" w14:textId="77777777" w:rsidR="00F26D50" w:rsidRPr="00B64A74" w:rsidRDefault="00F26D50" w:rsidP="00F26D50">
      <w:pPr>
        <w:spacing w:after="0" w:line="276" w:lineRule="auto"/>
        <w:jc w:val="both"/>
        <w:rPr>
          <w:rFonts w:ascii="Verdana" w:hAnsi="Verdana"/>
        </w:rPr>
      </w:pPr>
      <w:r w:rsidRPr="00B64A74">
        <w:rPr>
          <w:rFonts w:ascii="Verdana" w:hAnsi="Verdana"/>
        </w:rPr>
        <w:t xml:space="preserve">Twitter: </w:t>
      </w:r>
      <w:r w:rsidRPr="00B64A74">
        <w:rPr>
          <w:rStyle w:val="Hipervnculo"/>
          <w:rFonts w:ascii="Verdana" w:hAnsi="Verdana"/>
        </w:rPr>
        <w:t>@colombiacompra</w:t>
      </w:r>
      <w:r w:rsidRPr="00B64A74">
        <w:rPr>
          <w:rFonts w:ascii="Verdana" w:hAnsi="Verdana"/>
        </w:rPr>
        <w:t xml:space="preserve"> </w:t>
      </w:r>
    </w:p>
    <w:p w14:paraId="41041952" w14:textId="77777777" w:rsidR="00F26D50" w:rsidRPr="00B64A74" w:rsidRDefault="00F26D50" w:rsidP="00F26D50">
      <w:pPr>
        <w:spacing w:after="0" w:line="276" w:lineRule="auto"/>
        <w:jc w:val="both"/>
        <w:rPr>
          <w:rFonts w:ascii="Verdana" w:hAnsi="Verdana"/>
        </w:rPr>
      </w:pPr>
      <w:r w:rsidRPr="00B64A74">
        <w:rPr>
          <w:rFonts w:ascii="Verdana" w:hAnsi="Verdana"/>
        </w:rPr>
        <w:t xml:space="preserve">Facebook: </w:t>
      </w:r>
      <w:proofErr w:type="spellStart"/>
      <w:r w:rsidRPr="00B64A74">
        <w:rPr>
          <w:rStyle w:val="Hipervnculo"/>
          <w:rFonts w:ascii="Verdana" w:hAnsi="Verdana"/>
        </w:rPr>
        <w:t>ColombiaCompraEficiente</w:t>
      </w:r>
      <w:proofErr w:type="spellEnd"/>
    </w:p>
    <w:p w14:paraId="554C24EC" w14:textId="77777777" w:rsidR="00F26D50" w:rsidRPr="00B64A74" w:rsidRDefault="00F26D50" w:rsidP="00F26D50">
      <w:pPr>
        <w:spacing w:after="0" w:line="276" w:lineRule="auto"/>
        <w:jc w:val="both"/>
        <w:rPr>
          <w:rFonts w:ascii="Verdana" w:hAnsi="Verdana"/>
        </w:rPr>
      </w:pPr>
      <w:r w:rsidRPr="00B64A74">
        <w:rPr>
          <w:rFonts w:ascii="Verdana" w:hAnsi="Verdana"/>
        </w:rPr>
        <w:t xml:space="preserve">LinkedIn: </w:t>
      </w:r>
      <w:r w:rsidRPr="00B64A74">
        <w:rPr>
          <w:rStyle w:val="Hipervnculo"/>
          <w:rFonts w:ascii="Verdana" w:hAnsi="Verdana"/>
        </w:rPr>
        <w:t>Agencia Nacional de Contratación Pública - Colombia Compra Eficiente</w:t>
      </w:r>
      <w:r w:rsidRPr="00B64A74">
        <w:rPr>
          <w:rFonts w:ascii="Verdana" w:hAnsi="Verdana"/>
        </w:rPr>
        <w:t xml:space="preserve"> Instagram: </w:t>
      </w:r>
      <w:r w:rsidRPr="00B64A74">
        <w:rPr>
          <w:rStyle w:val="Hipervnculo"/>
          <w:rFonts w:ascii="Verdana" w:hAnsi="Verdana"/>
        </w:rPr>
        <w:t>@colombiacompraeficiente_cce</w:t>
      </w:r>
    </w:p>
    <w:p w14:paraId="65314C2C" w14:textId="77777777" w:rsidR="00F26D50" w:rsidRPr="00B64A74" w:rsidRDefault="00F26D50" w:rsidP="00F26D50">
      <w:pPr>
        <w:spacing w:after="0" w:line="276" w:lineRule="auto"/>
        <w:jc w:val="both"/>
        <w:rPr>
          <w:rFonts w:ascii="Verdana" w:hAnsi="Verdana"/>
        </w:rPr>
      </w:pPr>
    </w:p>
    <w:p w14:paraId="2F44170A" w14:textId="77777777" w:rsidR="00F26D50" w:rsidRPr="00B64A74" w:rsidRDefault="00F26D50" w:rsidP="00F26D50">
      <w:pPr>
        <w:spacing w:after="0" w:line="276" w:lineRule="auto"/>
        <w:jc w:val="both"/>
        <w:rPr>
          <w:rFonts w:ascii="Verdana" w:hAnsi="Verdana"/>
        </w:rPr>
      </w:pPr>
      <w:r w:rsidRPr="00B64A74">
        <w:rPr>
          <w:rFonts w:ascii="Verdana" w:hAnsi="Verdana"/>
        </w:rPr>
        <w:t>Cordialmente,</w:t>
      </w:r>
    </w:p>
    <w:p w14:paraId="6B4B25CF" w14:textId="13099452" w:rsidR="0063662B" w:rsidRPr="0063662B" w:rsidRDefault="0063662B" w:rsidP="0063662B">
      <w:pPr>
        <w:pStyle w:val="Sinespaciado"/>
        <w:jc w:val="center"/>
        <w:rPr>
          <w:rFonts w:ascii="Verdana" w:hAnsi="Verdana"/>
        </w:rPr>
      </w:pPr>
      <w:r w:rsidRPr="0063662B">
        <w:rPr>
          <w:rFonts w:ascii="Verdana" w:hAnsi="Verdana"/>
        </w:rPr>
        <w:drawing>
          <wp:inline distT="0" distB="0" distL="0" distR="0" wp14:anchorId="0FCDF560" wp14:editId="6AE0AFB4">
            <wp:extent cx="2952503" cy="1096005"/>
            <wp:effectExtent l="0" t="0" r="635" b="9525"/>
            <wp:docPr id="1468139789"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967584" cy="1101603"/>
                    </a:xfrm>
                    <a:prstGeom prst="rect">
                      <a:avLst/>
                    </a:prstGeom>
                    <a:noFill/>
                    <a:ln>
                      <a:noFill/>
                    </a:ln>
                  </pic:spPr>
                </pic:pic>
              </a:graphicData>
            </a:graphic>
          </wp:inline>
        </w:drawing>
      </w:r>
    </w:p>
    <w:p w14:paraId="6234B96A" w14:textId="595AB4C4" w:rsidR="00F26D50" w:rsidRPr="0072692B" w:rsidRDefault="00F26D50" w:rsidP="00F26D50">
      <w:pPr>
        <w:pStyle w:val="Sinespaciado"/>
        <w:jc w:val="center"/>
        <w:rPr>
          <w:rFonts w:ascii="Verdana" w:hAnsi="Verdana"/>
          <w:lang w:val="es-CO"/>
        </w:rPr>
      </w:pPr>
    </w:p>
    <w:p w14:paraId="1BBA0F19" w14:textId="77777777" w:rsidR="00F26D50" w:rsidRPr="00056D26" w:rsidRDefault="00F26D50" w:rsidP="00F26D50">
      <w:pPr>
        <w:pStyle w:val="Sinespaciado"/>
        <w:jc w:val="center"/>
        <w:rPr>
          <w:rFonts w:ascii="Verdana" w:hAnsi="Verdana"/>
          <w:sz w:val="22"/>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F26D50" w:rsidRPr="007A0E81" w14:paraId="0A4B24DA" w14:textId="77777777" w:rsidTr="006B0FCB">
        <w:trPr>
          <w:trHeight w:val="315"/>
        </w:trPr>
        <w:tc>
          <w:tcPr>
            <w:tcW w:w="893" w:type="dxa"/>
            <w:vAlign w:val="center"/>
            <w:hideMark/>
          </w:tcPr>
          <w:p w14:paraId="4BE1E1A9" w14:textId="77777777" w:rsidR="00F26D50" w:rsidRPr="007A0E81" w:rsidRDefault="00F26D50" w:rsidP="006B0FCB">
            <w:pPr>
              <w:spacing w:line="276" w:lineRule="auto"/>
              <w:rPr>
                <w:rFonts w:ascii="Verdana" w:eastAsia="Times New Roman" w:hAnsi="Verdana" w:cs="Arial"/>
                <w:color w:val="000000"/>
                <w:sz w:val="16"/>
                <w:szCs w:val="16"/>
                <w:lang w:val="es-ES" w:eastAsia="es-ES"/>
              </w:rPr>
            </w:pPr>
            <w:r w:rsidRPr="007A0E81">
              <w:rPr>
                <w:rFonts w:ascii="Verdana" w:eastAsia="Times New Roman" w:hAnsi="Verdana" w:cs="Arial"/>
                <w:color w:val="000000"/>
                <w:sz w:val="16"/>
                <w:szCs w:val="16"/>
                <w:lang w:val="es-ES" w:eastAsia="es-ES"/>
              </w:rPr>
              <w:t>Elaboró:</w:t>
            </w:r>
          </w:p>
        </w:tc>
        <w:tc>
          <w:tcPr>
            <w:tcW w:w="5628" w:type="dxa"/>
            <w:tcBorders>
              <w:top w:val="nil"/>
              <w:left w:val="nil"/>
              <w:bottom w:val="dotted" w:sz="4" w:space="0" w:color="7F7F7F"/>
              <w:right w:val="nil"/>
            </w:tcBorders>
            <w:vAlign w:val="center"/>
            <w:hideMark/>
          </w:tcPr>
          <w:p w14:paraId="339AF759" w14:textId="77777777" w:rsidR="00F26D50" w:rsidRPr="0072692B" w:rsidRDefault="00F26D50" w:rsidP="006B0FCB">
            <w:pPr>
              <w:spacing w:line="276" w:lineRule="auto"/>
              <w:rPr>
                <w:rFonts w:ascii="Verdana" w:eastAsia="Arial" w:hAnsi="Verdana" w:cs="Arial"/>
                <w:color w:val="000000"/>
                <w:sz w:val="16"/>
                <w:szCs w:val="16"/>
              </w:rPr>
            </w:pPr>
            <w:r w:rsidRPr="0072692B">
              <w:rPr>
                <w:rFonts w:ascii="Verdana" w:eastAsia="Times New Roman" w:hAnsi="Verdana" w:cs="Arial"/>
                <w:color w:val="000000"/>
                <w:sz w:val="16"/>
                <w:szCs w:val="16"/>
              </w:rPr>
              <w:t>Natalia Montoya Jiménez</w:t>
            </w:r>
          </w:p>
          <w:p w14:paraId="5B0FDAD6" w14:textId="77777777" w:rsidR="00F26D50" w:rsidRPr="007A0E81" w:rsidRDefault="00F26D50" w:rsidP="006B0FCB">
            <w:pPr>
              <w:spacing w:line="276" w:lineRule="auto"/>
              <w:rPr>
                <w:rFonts w:ascii="Verdana" w:eastAsia="Arial" w:hAnsi="Verdana" w:cs="Arial"/>
                <w:color w:val="000000"/>
                <w:sz w:val="16"/>
                <w:szCs w:val="16"/>
              </w:rPr>
            </w:pPr>
            <w:r>
              <w:rPr>
                <w:rFonts w:ascii="Verdana" w:eastAsia="Arial" w:hAnsi="Verdana" w:cs="Arial"/>
                <w:color w:val="000000"/>
                <w:sz w:val="16"/>
                <w:szCs w:val="16"/>
              </w:rPr>
              <w:t xml:space="preserve">Gestor T1 15 </w:t>
            </w:r>
            <w:r w:rsidRPr="007A0E81">
              <w:rPr>
                <w:rFonts w:ascii="Verdana" w:eastAsia="Arial" w:hAnsi="Verdana" w:cs="Arial"/>
                <w:color w:val="000000"/>
                <w:sz w:val="16"/>
                <w:szCs w:val="16"/>
              </w:rPr>
              <w:t>de la Subdirección de Gestión Contractual</w:t>
            </w:r>
          </w:p>
        </w:tc>
      </w:tr>
      <w:tr w:rsidR="00F26D50" w:rsidRPr="007A0E81" w14:paraId="38A5C2E1" w14:textId="77777777" w:rsidTr="006B0FCB">
        <w:trPr>
          <w:trHeight w:val="330"/>
        </w:trPr>
        <w:tc>
          <w:tcPr>
            <w:tcW w:w="893" w:type="dxa"/>
            <w:vAlign w:val="center"/>
            <w:hideMark/>
          </w:tcPr>
          <w:p w14:paraId="7FD18241" w14:textId="77777777" w:rsidR="00F26D50" w:rsidRPr="007A0E81" w:rsidRDefault="00F26D50" w:rsidP="006B0FCB">
            <w:pPr>
              <w:spacing w:line="276" w:lineRule="auto"/>
              <w:rPr>
                <w:rFonts w:ascii="Verdana" w:eastAsia="Times New Roman" w:hAnsi="Verdana" w:cs="Arial"/>
                <w:color w:val="000000"/>
                <w:sz w:val="16"/>
                <w:szCs w:val="16"/>
                <w:lang w:val="es-ES" w:eastAsia="es-ES"/>
              </w:rPr>
            </w:pPr>
            <w:r w:rsidRPr="007A0E81">
              <w:rPr>
                <w:rFonts w:ascii="Verdana" w:eastAsia="Times New Roman" w:hAnsi="Verdana" w:cs="Arial"/>
                <w:color w:val="000000"/>
                <w:sz w:val="16"/>
                <w:szCs w:val="16"/>
                <w:lang w:val="es-ES" w:eastAsia="es-ES"/>
              </w:rPr>
              <w:t>Revisó:</w:t>
            </w:r>
          </w:p>
        </w:tc>
        <w:tc>
          <w:tcPr>
            <w:tcW w:w="5628" w:type="dxa"/>
            <w:tcBorders>
              <w:top w:val="dotted" w:sz="4" w:space="0" w:color="7F7F7F"/>
              <w:left w:val="nil"/>
              <w:bottom w:val="dotted" w:sz="4" w:space="0" w:color="7F7F7F"/>
              <w:right w:val="nil"/>
            </w:tcBorders>
            <w:vAlign w:val="center"/>
            <w:hideMark/>
          </w:tcPr>
          <w:p w14:paraId="237EE742" w14:textId="77777777" w:rsidR="00F26D50" w:rsidRPr="007A0E81" w:rsidRDefault="00F26D50" w:rsidP="006B0FCB">
            <w:pPr>
              <w:spacing w:line="276" w:lineRule="auto"/>
              <w:rPr>
                <w:rFonts w:ascii="Verdana" w:eastAsia="Times New Roman" w:hAnsi="Verdana" w:cs="Arial"/>
                <w:color w:val="000000"/>
                <w:sz w:val="16"/>
                <w:szCs w:val="16"/>
              </w:rPr>
            </w:pPr>
            <w:r>
              <w:rPr>
                <w:rFonts w:ascii="Verdana" w:eastAsia="Times New Roman" w:hAnsi="Verdana" w:cs="Arial"/>
                <w:color w:val="000000"/>
                <w:sz w:val="16"/>
                <w:szCs w:val="16"/>
              </w:rPr>
              <w:t>Adriana Katherine López Rodriguez</w:t>
            </w:r>
          </w:p>
          <w:p w14:paraId="567A9B54" w14:textId="77777777" w:rsidR="00F26D50" w:rsidRPr="007A0E81" w:rsidRDefault="00F26D50" w:rsidP="006B0FCB">
            <w:pPr>
              <w:spacing w:line="276" w:lineRule="auto"/>
              <w:textAlignment w:val="baseline"/>
              <w:rPr>
                <w:rFonts w:ascii="Verdana" w:eastAsia="Times New Roman" w:hAnsi="Verdana" w:cs="Arial"/>
                <w:color w:val="000000"/>
                <w:sz w:val="16"/>
                <w:szCs w:val="16"/>
              </w:rPr>
            </w:pPr>
            <w:r w:rsidRPr="007A0E81">
              <w:rPr>
                <w:rFonts w:ascii="Verdana" w:eastAsia="Times New Roman" w:hAnsi="Verdana" w:cs="Arial"/>
                <w:color w:val="000000"/>
                <w:sz w:val="16"/>
                <w:szCs w:val="16"/>
              </w:rPr>
              <w:t>Contratista de la Subdirección de Gestión Contractual</w:t>
            </w:r>
          </w:p>
        </w:tc>
      </w:tr>
      <w:tr w:rsidR="00F26D50" w:rsidRPr="007A0E81" w14:paraId="680AAF68" w14:textId="77777777" w:rsidTr="006B0FCB">
        <w:trPr>
          <w:trHeight w:val="300"/>
        </w:trPr>
        <w:tc>
          <w:tcPr>
            <w:tcW w:w="893" w:type="dxa"/>
            <w:vAlign w:val="center"/>
          </w:tcPr>
          <w:p w14:paraId="4A31F1A7" w14:textId="77777777" w:rsidR="00F26D50" w:rsidRPr="007A0E81" w:rsidRDefault="00F26D50" w:rsidP="006B0FCB">
            <w:pPr>
              <w:spacing w:line="276" w:lineRule="auto"/>
              <w:rPr>
                <w:rFonts w:ascii="Verdana" w:eastAsia="Times New Roman" w:hAnsi="Verdana" w:cs="Arial"/>
                <w:color w:val="000000"/>
                <w:sz w:val="16"/>
                <w:szCs w:val="16"/>
                <w:lang w:val="es-ES" w:eastAsia="es-ES"/>
              </w:rPr>
            </w:pPr>
            <w:r w:rsidRPr="007A0E81">
              <w:rPr>
                <w:rFonts w:ascii="Verdana" w:eastAsia="Times New Roman" w:hAnsi="Verdana" w:cs="Arial"/>
                <w:color w:val="000000"/>
                <w:sz w:val="16"/>
                <w:szCs w:val="16"/>
                <w:lang w:val="es-ES" w:eastAsia="es-ES"/>
              </w:rPr>
              <w:t>Aprobó:</w:t>
            </w:r>
          </w:p>
        </w:tc>
        <w:tc>
          <w:tcPr>
            <w:tcW w:w="5628" w:type="dxa"/>
            <w:tcBorders>
              <w:top w:val="dotted" w:sz="4" w:space="0" w:color="7F7F7F"/>
              <w:left w:val="nil"/>
              <w:bottom w:val="dotted" w:sz="4" w:space="0" w:color="7F7F7F"/>
              <w:right w:val="nil"/>
            </w:tcBorders>
            <w:vAlign w:val="center"/>
          </w:tcPr>
          <w:p w14:paraId="79106B2E" w14:textId="77777777" w:rsidR="00F26D50" w:rsidRPr="0074571F" w:rsidRDefault="00F26D50" w:rsidP="006B0FCB">
            <w:pPr>
              <w:pStyle w:val="Sinespaciado"/>
              <w:rPr>
                <w:rFonts w:ascii="Verdana" w:eastAsia="Times New Roman" w:hAnsi="Verdana" w:cs="Arial"/>
                <w:color w:val="000000"/>
                <w:sz w:val="16"/>
                <w:szCs w:val="16"/>
                <w:lang w:val="es-CO"/>
              </w:rPr>
            </w:pPr>
            <w:r>
              <w:rPr>
                <w:rFonts w:ascii="Verdana" w:eastAsia="Times New Roman" w:hAnsi="Verdana" w:cs="Arial"/>
                <w:color w:val="000000"/>
                <w:sz w:val="16"/>
                <w:szCs w:val="16"/>
                <w:lang w:val="es-CO"/>
              </w:rPr>
              <w:t>Carolina Quintero Gacharná</w:t>
            </w:r>
          </w:p>
          <w:p w14:paraId="05ECC9E9" w14:textId="77777777" w:rsidR="00F26D50" w:rsidRPr="007A0E81" w:rsidRDefault="00F26D50" w:rsidP="006B0FCB">
            <w:pPr>
              <w:spacing w:line="276" w:lineRule="auto"/>
              <w:rPr>
                <w:rFonts w:ascii="Verdana" w:eastAsia="Times New Roman" w:hAnsi="Verdana" w:cs="Arial"/>
                <w:color w:val="000000"/>
                <w:sz w:val="16"/>
                <w:szCs w:val="16"/>
              </w:rPr>
            </w:pPr>
            <w:r w:rsidRPr="0074571F">
              <w:rPr>
                <w:rFonts w:ascii="Verdana" w:eastAsia="Times New Roman" w:hAnsi="Verdana" w:cs="Arial"/>
                <w:color w:val="000000"/>
                <w:sz w:val="16"/>
                <w:szCs w:val="16"/>
              </w:rPr>
              <w:t>Subdirectora de Gestión Contractual</w:t>
            </w:r>
            <w:r w:rsidRPr="00E60303">
              <w:rPr>
                <w:rFonts w:ascii="Verdana" w:hAnsi="Verdana"/>
                <w:sz w:val="14"/>
                <w:szCs w:val="14"/>
                <w:lang w:eastAsia="es-ES"/>
              </w:rPr>
              <w:t> </w:t>
            </w:r>
          </w:p>
        </w:tc>
      </w:tr>
    </w:tbl>
    <w:p w14:paraId="7CF818B9" w14:textId="77777777" w:rsidR="00F26D50" w:rsidRPr="0044528D" w:rsidRDefault="00F26D50" w:rsidP="00F26D50">
      <w:pPr>
        <w:spacing w:after="0" w:line="276" w:lineRule="auto"/>
        <w:rPr>
          <w:rFonts w:ascii="Verdana" w:eastAsia="Times New Roman" w:hAnsi="Verdana" w:cs="Segoe UI"/>
          <w:b/>
          <w:bCs/>
          <w:color w:val="46589C"/>
          <w:lang w:eastAsia="es-CO"/>
        </w:rPr>
      </w:pPr>
    </w:p>
    <w:p w14:paraId="54D95948" w14:textId="43EE8610" w:rsidR="00F26D50" w:rsidRPr="00334C87" w:rsidRDefault="00F26D50" w:rsidP="00F26D50"/>
    <w:p w14:paraId="5EDFA5F2" w14:textId="77777777" w:rsidR="002D6822" w:rsidRDefault="002D6822"/>
    <w:sectPr w:rsidR="002D6822" w:rsidSect="00F26D50">
      <w:headerReference w:type="default" r:id="rId18"/>
      <w:footerReference w:type="default" r:id="rId1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5D482F" w14:textId="77777777" w:rsidR="007F1D5F" w:rsidRDefault="007F1D5F" w:rsidP="00F26D50">
      <w:pPr>
        <w:spacing w:after="0" w:line="240" w:lineRule="auto"/>
      </w:pPr>
      <w:r>
        <w:separator/>
      </w:r>
    </w:p>
  </w:endnote>
  <w:endnote w:type="continuationSeparator" w:id="0">
    <w:p w14:paraId="50458313" w14:textId="77777777" w:rsidR="007F1D5F" w:rsidRDefault="007F1D5F" w:rsidP="00F26D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MT">
    <w:altName w:val="Arial"/>
    <w:panose1 w:val="00000000000000000000"/>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622C3C" w14:textId="77777777" w:rsidR="00F26D50" w:rsidRDefault="00F26D50">
    <w:pPr>
      <w:pStyle w:val="Piedepgina"/>
    </w:pPr>
  </w:p>
  <w:p w14:paraId="2A47BD62" w14:textId="77777777" w:rsidR="00F26D50" w:rsidRPr="00174B77" w:rsidRDefault="00F26D50"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Pr="07C73DD1">
      <w:rPr>
        <w:rFonts w:ascii="Verdana" w:eastAsia="Verdana" w:hAnsi="Verdana" w:cs="Verdana"/>
        <w:b/>
        <w:bCs/>
        <w:sz w:val="18"/>
        <w:szCs w:val="18"/>
      </w:rPr>
      <w:fldChar w:fldCharType="begin"/>
    </w:r>
    <w:r w:rsidRPr="07C73DD1">
      <w:rPr>
        <w:rFonts w:ascii="Verdana" w:hAnsi="Verdana"/>
        <w:b/>
        <w:bCs/>
        <w:sz w:val="16"/>
        <w:szCs w:val="16"/>
      </w:rPr>
      <w:instrText>PAGE    \* MERGEFORMAT</w:instrText>
    </w:r>
    <w:r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1D392C4D" w14:textId="77777777" w:rsidR="00F26D50" w:rsidRDefault="00F26D50"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35653554" w14:textId="77777777" w:rsidR="00F26D50" w:rsidRPr="00E41027" w:rsidRDefault="00F26D50"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06BBA991" w14:textId="77777777" w:rsidR="00F26D50" w:rsidRDefault="00F26D50"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E8772F" w14:textId="77777777" w:rsidR="007F1D5F" w:rsidRDefault="007F1D5F" w:rsidP="00F26D50">
      <w:pPr>
        <w:spacing w:after="0" w:line="240" w:lineRule="auto"/>
      </w:pPr>
      <w:r>
        <w:separator/>
      </w:r>
    </w:p>
  </w:footnote>
  <w:footnote w:type="continuationSeparator" w:id="0">
    <w:p w14:paraId="69613939" w14:textId="77777777" w:rsidR="007F1D5F" w:rsidRDefault="007F1D5F" w:rsidP="00F26D50">
      <w:pPr>
        <w:spacing w:after="0" w:line="240" w:lineRule="auto"/>
      </w:pPr>
      <w:r>
        <w:continuationSeparator/>
      </w:r>
    </w:p>
  </w:footnote>
  <w:footnote w:id="1">
    <w:p w14:paraId="4E549E94" w14:textId="77777777" w:rsidR="00F26D50" w:rsidRPr="00D03768" w:rsidRDefault="00F26D50" w:rsidP="00F26D50">
      <w:pPr>
        <w:pStyle w:val="Textonotapie"/>
        <w:ind w:firstLine="709"/>
        <w:jc w:val="both"/>
        <w:rPr>
          <w:rFonts w:ascii="Verdana" w:hAnsi="Verdana" w:cs="Arial"/>
          <w:color w:val="000000"/>
          <w:sz w:val="14"/>
          <w:szCs w:val="14"/>
        </w:rPr>
      </w:pPr>
      <w:r w:rsidRPr="009F2629">
        <w:rPr>
          <w:rStyle w:val="Refdenotaalpie"/>
          <w:rFonts w:ascii="Verdana" w:hAnsi="Verdana" w:cs="Arial"/>
          <w:color w:val="000000"/>
          <w:sz w:val="14"/>
          <w:szCs w:val="14"/>
        </w:rPr>
        <w:footnoteRef/>
      </w:r>
      <w:r w:rsidRPr="009F2629">
        <w:rPr>
          <w:rFonts w:ascii="Verdana" w:hAnsi="Verdana" w:cs="Arial"/>
          <w:color w:val="000000"/>
          <w:sz w:val="14"/>
          <w:szCs w:val="14"/>
        </w:rPr>
        <w:t xml:space="preserve"> “La última formalidad que deben cumplir los contratos de la Administración dentro del marco jurídico de la contratación estatal se refiere a la liquidación, definida, en principio, como un negocio jurídico bilateral cuyo objeto es la realización del corte de cuentas entre las partes contratantes, en el cual queda establecida la relación directa entre las prestaciones ejecutaras, el valor cobrado por las mismas y su cancelación por parte del deudor de estas, sin perjuicio de los descuentos económicos a que haya lugar con motivo de la aplicación de estipulaciones contractuales específicas</w:t>
      </w:r>
      <w:r w:rsidRPr="009F2629">
        <w:rPr>
          <w:rFonts w:ascii="Verdana" w:hAnsi="Verdana" w:cs="Arial"/>
          <w:color w:val="000000"/>
          <w:sz w:val="14"/>
          <w:szCs w:val="14"/>
          <w:shd w:val="clear" w:color="auto" w:fill="FFFFFF"/>
        </w:rPr>
        <w:t>” (</w:t>
      </w:r>
      <w:r w:rsidRPr="009F2629">
        <w:rPr>
          <w:rFonts w:ascii="Verdana" w:hAnsi="Verdana" w:cs="Arial"/>
          <w:color w:val="000000"/>
          <w:sz w:val="14"/>
          <w:szCs w:val="14"/>
        </w:rPr>
        <w:t>EXPOSITO, Juan Carlos. Forma y contenido del contrato estatal. Bogotá: Universidad Externado de Colombia, p. 89 y 90).</w:t>
      </w:r>
    </w:p>
  </w:footnote>
  <w:footnote w:id="2">
    <w:p w14:paraId="1F546690" w14:textId="77777777" w:rsidR="00F26D50" w:rsidRPr="00D03768" w:rsidRDefault="00F26D50" w:rsidP="00F26D50">
      <w:pPr>
        <w:pStyle w:val="Textonotapie"/>
        <w:ind w:firstLine="709"/>
        <w:jc w:val="both"/>
        <w:rPr>
          <w:rFonts w:ascii="Verdana" w:hAnsi="Verdana" w:cs="Arial"/>
          <w:color w:val="000000"/>
          <w:sz w:val="14"/>
          <w:szCs w:val="14"/>
          <w:lang w:val="es-CO"/>
        </w:rPr>
      </w:pPr>
      <w:r w:rsidRPr="009F2629">
        <w:rPr>
          <w:rStyle w:val="Refdenotaalpie"/>
          <w:rFonts w:ascii="Verdana" w:hAnsi="Verdana" w:cs="Arial"/>
          <w:color w:val="000000"/>
          <w:sz w:val="14"/>
          <w:szCs w:val="14"/>
        </w:rPr>
        <w:footnoteRef/>
      </w:r>
      <w:r w:rsidRPr="009F2629">
        <w:rPr>
          <w:rFonts w:ascii="Verdana" w:hAnsi="Verdana" w:cs="Arial"/>
          <w:color w:val="000000"/>
          <w:sz w:val="14"/>
          <w:szCs w:val="14"/>
        </w:rPr>
        <w:t xml:space="preserve"> DÍAZ DÍEZ, Cristian Andrés. La liquidación. Serie: Las Cláusulas del Contrato Estatal. Medellín: Librería Jurídica Sánchez y Centro de Estudios de Derecho Administrativo –CEDA–, 2013, pp. 53-54.</w:t>
      </w:r>
    </w:p>
  </w:footnote>
  <w:footnote w:id="3">
    <w:p w14:paraId="03EF7124" w14:textId="77777777" w:rsidR="00F26D50" w:rsidRPr="00D03768" w:rsidRDefault="00F26D50" w:rsidP="00F26D50">
      <w:pPr>
        <w:spacing w:after="0" w:line="240" w:lineRule="auto"/>
        <w:ind w:firstLine="709"/>
        <w:jc w:val="both"/>
        <w:rPr>
          <w:rFonts w:ascii="Verdana" w:hAnsi="Verdana" w:cs="Arial"/>
          <w:color w:val="000000"/>
          <w:sz w:val="14"/>
          <w:szCs w:val="14"/>
          <w:lang w:val="es-ES"/>
        </w:rPr>
      </w:pPr>
      <w:r w:rsidRPr="009F2629">
        <w:rPr>
          <w:rStyle w:val="Refdenotaalpie"/>
          <w:rFonts w:ascii="Verdana" w:hAnsi="Verdana" w:cs="Arial"/>
          <w:color w:val="000000"/>
          <w:sz w:val="14"/>
          <w:szCs w:val="14"/>
        </w:rPr>
        <w:footnoteRef/>
      </w:r>
      <w:r w:rsidRPr="009F2629">
        <w:rPr>
          <w:rFonts w:ascii="Verdana" w:hAnsi="Verdana" w:cs="Arial"/>
          <w:color w:val="000000"/>
          <w:sz w:val="14"/>
          <w:szCs w:val="14"/>
        </w:rPr>
        <w:t xml:space="preserve"> Consejo de Estado. Sección Tercera. Subsección C. 20 de octubre de 2014, M.P: Enrique Gil Botero. Exp. 27.777. Allí se dijo: “[…] liquidar supone un ajuste expreso y claro sobre las cuentas y el estado de cumplimiento de un contrato, de tal manera que conste el balance tanto técnico como económico de las obligaciones que estuvieron a cargo de las partes. En cuanto a lo primero, la liquidación debe incluir un análisis detallado de las condiciones de calidad y oportunidad en la entrega de los bienes, obras o servicios, y el balance económico dará cuenta del comportamiento financiero del negocio: recursos recibidos, pagos efectuados, estado del crédito o de la deuda de cada parte, entre otros detalles mínimos y necesarios para finiquitar una relación jurídica contractual”.</w:t>
      </w:r>
    </w:p>
  </w:footnote>
  <w:footnote w:id="4">
    <w:p w14:paraId="13D428DB" w14:textId="77777777" w:rsidR="00F26D50" w:rsidRPr="009F2629" w:rsidRDefault="00F26D50" w:rsidP="00F26D50">
      <w:pPr>
        <w:pStyle w:val="Textonotapie"/>
        <w:ind w:firstLine="709"/>
        <w:jc w:val="both"/>
        <w:rPr>
          <w:rFonts w:ascii="Verdana" w:hAnsi="Verdana" w:cs="Arial"/>
          <w:color w:val="000000" w:themeColor="text1"/>
          <w:sz w:val="14"/>
          <w:szCs w:val="14"/>
          <w:lang w:val="es-ES"/>
        </w:rPr>
      </w:pPr>
      <w:r w:rsidRPr="009F2629">
        <w:rPr>
          <w:rStyle w:val="Refdenotaalpie"/>
          <w:rFonts w:ascii="Verdana" w:hAnsi="Verdana" w:cs="Arial"/>
          <w:color w:val="000000" w:themeColor="text1"/>
          <w:sz w:val="14"/>
          <w:szCs w:val="14"/>
        </w:rPr>
        <w:footnoteRef/>
      </w:r>
      <w:r w:rsidRPr="009F2629">
        <w:rPr>
          <w:rFonts w:ascii="Verdana" w:hAnsi="Verdana" w:cs="Arial"/>
          <w:color w:val="000000" w:themeColor="text1"/>
          <w:sz w:val="14"/>
          <w:szCs w:val="14"/>
        </w:rPr>
        <w:t xml:space="preserve"> </w:t>
      </w:r>
      <w:r w:rsidRPr="009F2629">
        <w:rPr>
          <w:rFonts w:ascii="Verdana" w:hAnsi="Verdana" w:cs="Arial"/>
          <w:color w:val="000000" w:themeColor="text1"/>
          <w:sz w:val="14"/>
          <w:szCs w:val="14"/>
          <w:lang w:val="es-ES"/>
        </w:rPr>
        <w:t>El artículo 11 de la Ley 1150 de 2007 prescribe: “Artículo 11. Del plazo para la liquidación de los contratos. La liquidación de los contratos se hará de mutuo acuerdo dentro del término fijado en los pliegos de condiciones o sus equivalentes, o dentro del que acuerden las partes para el efecto. De no existir tal término, la liquidación se realizará dentro de los cuatro (4) meses siguientes a la expiración del término previsto para la ejecución del contrato o a la expedición del acto administrativo que ordene la terminación, o a la fecha del acuerdo que la disponga.</w:t>
      </w:r>
    </w:p>
    <w:p w14:paraId="4D300491" w14:textId="77777777" w:rsidR="00F26D50" w:rsidRPr="009F2629" w:rsidRDefault="00F26D50" w:rsidP="00F26D50">
      <w:pPr>
        <w:pStyle w:val="Textonotapie"/>
        <w:ind w:firstLine="709"/>
        <w:jc w:val="both"/>
        <w:rPr>
          <w:rFonts w:ascii="Verdana" w:hAnsi="Verdana" w:cs="Arial"/>
          <w:color w:val="000000" w:themeColor="text1"/>
          <w:sz w:val="14"/>
          <w:szCs w:val="14"/>
          <w:lang w:val="es-ES"/>
        </w:rPr>
      </w:pPr>
      <w:r w:rsidRPr="009F2629">
        <w:rPr>
          <w:rFonts w:ascii="Verdana" w:hAnsi="Verdana" w:cs="Arial"/>
          <w:color w:val="000000" w:themeColor="text1"/>
          <w:sz w:val="14"/>
          <w:szCs w:val="14"/>
          <w:lang w:val="es-ES"/>
        </w:rPr>
        <w:t>En aquellos casos en que el contratista no se presente a la liquidación previa notificación o convocatoria que le haga la entidad, o las partes no lleguen a un acuerdo sobre su contenido, la entidad tendrá la facultad de liquidar en forma unilateral dentro de los dos (2) meses siguientes, de conformidad con lo dispuesto en el artículo 136 del C. C. A.</w:t>
      </w:r>
    </w:p>
    <w:p w14:paraId="462C128E" w14:textId="77777777" w:rsidR="00F26D50" w:rsidRPr="009F2629" w:rsidRDefault="00F26D50" w:rsidP="00F26D50">
      <w:pPr>
        <w:pStyle w:val="Textonotapie"/>
        <w:ind w:firstLine="709"/>
        <w:jc w:val="both"/>
        <w:rPr>
          <w:rFonts w:ascii="Verdana" w:hAnsi="Verdana" w:cs="Arial"/>
          <w:color w:val="000000" w:themeColor="text1"/>
          <w:sz w:val="14"/>
          <w:szCs w:val="14"/>
          <w:lang w:val="es-ES"/>
        </w:rPr>
      </w:pPr>
      <w:r w:rsidRPr="009F2629">
        <w:rPr>
          <w:rFonts w:ascii="Verdana" w:hAnsi="Verdana" w:cs="Arial"/>
          <w:color w:val="000000" w:themeColor="text1"/>
          <w:sz w:val="14"/>
          <w:szCs w:val="14"/>
          <w:lang w:val="es-ES"/>
        </w:rPr>
        <w:t>Si vencido el plazo anteriormente establecido no se ha realizado la liquidación, la misma podrá ser realizada en cualquier tiempo dentro de los dos años siguientes al vencimiento del término a que se refieren los incisos anteriores, de mutuo acuerdo o unilateralmente, sin perjuicio de lo previsto en el artículo 136 del C. C. A.</w:t>
      </w:r>
    </w:p>
    <w:p w14:paraId="23D0B04C" w14:textId="77777777" w:rsidR="00F26D50" w:rsidRPr="009F2629" w:rsidRDefault="00F26D50" w:rsidP="00F26D50">
      <w:pPr>
        <w:pStyle w:val="Textonotapie"/>
        <w:ind w:firstLine="709"/>
        <w:jc w:val="both"/>
        <w:rPr>
          <w:rFonts w:ascii="Verdana" w:hAnsi="Verdana" w:cs="Arial"/>
          <w:color w:val="000000" w:themeColor="text1"/>
          <w:sz w:val="14"/>
          <w:szCs w:val="14"/>
          <w:lang w:val="es-ES"/>
        </w:rPr>
      </w:pPr>
      <w:r w:rsidRPr="2993F789">
        <w:rPr>
          <w:rFonts w:ascii="Verdana" w:hAnsi="Verdana" w:cs="Arial"/>
          <w:color w:val="000000" w:themeColor="text1"/>
          <w:sz w:val="14"/>
          <w:szCs w:val="14"/>
          <w:lang w:val="es-ES"/>
        </w:rPr>
        <w:t>Los contratistas tendrán derecho a efectuar salvedades a la liquidación por mutuo acuerdo, y en este evento la liquidación unilateral solo procederá en relación con los aspectos que no hayan sido objeto de acuerdo”</w:t>
      </w:r>
    </w:p>
  </w:footnote>
  <w:footnote w:id="5">
    <w:p w14:paraId="18081DDE" w14:textId="77777777" w:rsidR="00F26D50" w:rsidRPr="009F2629" w:rsidDel="009F2629" w:rsidRDefault="00F26D50" w:rsidP="00F26D50">
      <w:pPr>
        <w:pStyle w:val="Textonotapie"/>
        <w:ind w:firstLine="709"/>
        <w:jc w:val="both"/>
        <w:rPr>
          <w:rFonts w:ascii="Verdana" w:hAnsi="Verdana" w:cs="Arial"/>
          <w:color w:val="000000" w:themeColor="text1"/>
          <w:sz w:val="14"/>
          <w:szCs w:val="14"/>
        </w:rPr>
      </w:pPr>
      <w:r w:rsidRPr="009F2629">
        <w:rPr>
          <w:rStyle w:val="Refdenotaalpie"/>
          <w:rFonts w:ascii="Verdana" w:hAnsi="Verdana" w:cs="Arial"/>
          <w:color w:val="000000" w:themeColor="text1"/>
          <w:sz w:val="14"/>
          <w:szCs w:val="14"/>
        </w:rPr>
        <w:footnoteRef/>
      </w:r>
      <w:r w:rsidRPr="009F2629">
        <w:rPr>
          <w:rFonts w:ascii="Verdana" w:hAnsi="Verdana" w:cs="Arial"/>
          <w:color w:val="000000" w:themeColor="text1"/>
          <w:sz w:val="14"/>
          <w:szCs w:val="14"/>
        </w:rPr>
        <w:t xml:space="preserve"> </w:t>
      </w:r>
      <w:r>
        <w:rPr>
          <w:rFonts w:ascii="Verdana" w:hAnsi="Verdana" w:cs="Arial"/>
          <w:color w:val="000000" w:themeColor="text1"/>
          <w:sz w:val="14"/>
          <w:szCs w:val="14"/>
        </w:rPr>
        <w:t xml:space="preserve">Agencia Nacional de Contratación Pública - </w:t>
      </w:r>
      <w:r w:rsidRPr="009F2629">
        <w:rPr>
          <w:rFonts w:ascii="Verdana" w:hAnsi="Verdana" w:cs="Arial"/>
          <w:color w:val="000000" w:themeColor="text1"/>
          <w:sz w:val="14"/>
          <w:szCs w:val="14"/>
        </w:rPr>
        <w:t>Colombia Compra Eficiente. Guía para la Liquidación de los Procesos de Contratación. Página 5, disponible en:</w:t>
      </w:r>
      <w:r>
        <w:rPr>
          <w:rFonts w:ascii="Verdana" w:hAnsi="Verdana"/>
          <w:sz w:val="14"/>
          <w:szCs w:val="14"/>
        </w:rPr>
        <w:t xml:space="preserve"> </w:t>
      </w:r>
      <w:hyperlink r:id="rId1" w:history="1">
        <w:r w:rsidRPr="2993F789">
          <w:rPr>
            <w:rStyle w:val="Hipervnculo"/>
            <w:rFonts w:ascii="Verdana" w:hAnsi="Verdana" w:cs="Arial"/>
            <w:sz w:val="14"/>
            <w:szCs w:val="14"/>
          </w:rPr>
          <w:t>https://www.colombiacompra.gov.co/sites/cce_public/files/cce_documents/cce_guia_liquidacion_procesos.pdf</w:t>
        </w:r>
      </w:hyperlink>
      <w:r w:rsidRPr="2993F789">
        <w:rPr>
          <w:rFonts w:ascii="Verdana" w:hAnsi="Verdana" w:cs="Arial"/>
          <w:color w:val="000000" w:themeColor="text1"/>
          <w:sz w:val="14"/>
          <w:szCs w:val="14"/>
        </w:rPr>
        <w:t xml:space="preserve"> </w:t>
      </w:r>
    </w:p>
  </w:footnote>
  <w:footnote w:id="6">
    <w:p w14:paraId="0A6E815A" w14:textId="77777777" w:rsidR="00F26D50" w:rsidRPr="009F2629" w:rsidDel="009F2629" w:rsidRDefault="00F26D50" w:rsidP="00F26D50">
      <w:pPr>
        <w:pStyle w:val="Textonotapie"/>
        <w:ind w:firstLine="709"/>
        <w:jc w:val="both"/>
        <w:rPr>
          <w:rFonts w:ascii="Verdana" w:hAnsi="Verdana" w:cs="Arial"/>
          <w:color w:val="000000" w:themeColor="text1"/>
          <w:sz w:val="14"/>
          <w:szCs w:val="14"/>
          <w:lang w:val="es-ES"/>
        </w:rPr>
      </w:pPr>
      <w:r w:rsidRPr="009F2629">
        <w:rPr>
          <w:rStyle w:val="Refdenotaalpie"/>
          <w:rFonts w:ascii="Verdana" w:hAnsi="Verdana" w:cs="Arial"/>
          <w:color w:val="000000" w:themeColor="text1"/>
          <w:sz w:val="14"/>
          <w:szCs w:val="14"/>
        </w:rPr>
        <w:footnoteRef/>
      </w:r>
      <w:r w:rsidRPr="009F2629">
        <w:rPr>
          <w:rFonts w:ascii="Verdana" w:hAnsi="Verdana" w:cs="Arial"/>
          <w:color w:val="000000" w:themeColor="text1"/>
          <w:sz w:val="14"/>
          <w:szCs w:val="14"/>
        </w:rPr>
        <w:t xml:space="preserve"> Conviene recordar que es válida la liquidación bilateral parcial, debido a que las partes no logran ponerse de acuerdo en todos los asuntos referentes al contrato. En este evento, se debe hacer uso de las glosas o salvedades, y únicamente sobre tal glosa o salvedad girará el debate judicial que se da con ocasión de la demanda en ejercicio del medio de control de controversias contractuales.</w:t>
      </w:r>
    </w:p>
  </w:footnote>
  <w:footnote w:id="7">
    <w:p w14:paraId="4C6519E9" w14:textId="77777777" w:rsidR="00F26D50" w:rsidRPr="009F2629" w:rsidDel="009F2629" w:rsidRDefault="00F26D50" w:rsidP="00F26D50">
      <w:pPr>
        <w:pStyle w:val="Textonotapie"/>
        <w:ind w:firstLine="709"/>
        <w:jc w:val="both"/>
        <w:rPr>
          <w:rFonts w:ascii="Verdana" w:hAnsi="Verdana" w:cs="Arial"/>
          <w:color w:val="000000" w:themeColor="text1"/>
          <w:sz w:val="14"/>
          <w:szCs w:val="14"/>
          <w:lang w:val="es-ES"/>
        </w:rPr>
      </w:pPr>
      <w:r w:rsidRPr="009F2629">
        <w:rPr>
          <w:rStyle w:val="Refdenotaalpie"/>
          <w:rFonts w:ascii="Verdana" w:hAnsi="Verdana" w:cs="Arial"/>
          <w:color w:val="000000" w:themeColor="text1"/>
          <w:sz w:val="14"/>
          <w:szCs w:val="14"/>
        </w:rPr>
        <w:footnoteRef/>
      </w:r>
      <w:r w:rsidRPr="009F2629">
        <w:rPr>
          <w:rFonts w:ascii="Verdana" w:hAnsi="Verdana" w:cs="Arial"/>
          <w:color w:val="000000" w:themeColor="text1"/>
          <w:sz w:val="14"/>
          <w:szCs w:val="14"/>
        </w:rPr>
        <w:t xml:space="preserve"> Consejo de Estado. Sala de Consulta y Servicio Civil. Concepto de 28 de Junio de 2016. Radicación: 2253. C.P. Álvaro Namén Vargas. </w:t>
      </w:r>
    </w:p>
  </w:footnote>
  <w:footnote w:id="8">
    <w:p w14:paraId="5D9FCCAB" w14:textId="77777777" w:rsidR="00F26D50" w:rsidRPr="009F2629" w:rsidDel="009F2629" w:rsidRDefault="00F26D50" w:rsidP="00F26D50">
      <w:pPr>
        <w:pStyle w:val="Textonotapie"/>
        <w:ind w:firstLine="709"/>
        <w:jc w:val="both"/>
        <w:rPr>
          <w:rFonts w:ascii="Verdana" w:hAnsi="Verdana" w:cs="Arial"/>
          <w:color w:val="000000" w:themeColor="text1"/>
          <w:sz w:val="14"/>
          <w:szCs w:val="14"/>
          <w:lang w:val="es-ES"/>
        </w:rPr>
      </w:pPr>
      <w:r w:rsidRPr="009F2629">
        <w:rPr>
          <w:rStyle w:val="Refdenotaalpie"/>
          <w:rFonts w:ascii="Verdana" w:hAnsi="Verdana" w:cs="Arial"/>
          <w:color w:val="000000" w:themeColor="text1"/>
          <w:sz w:val="14"/>
          <w:szCs w:val="14"/>
        </w:rPr>
        <w:footnoteRef/>
      </w:r>
      <w:r w:rsidRPr="009F2629">
        <w:rPr>
          <w:rFonts w:ascii="Verdana" w:hAnsi="Verdana" w:cs="Arial"/>
          <w:color w:val="000000" w:themeColor="text1"/>
          <w:sz w:val="14"/>
          <w:szCs w:val="14"/>
        </w:rPr>
        <w:t xml:space="preserve"> Es importante advertir que también durante estos dos meses se podrá realizar una liquidación bilateral, esto es, de mutuo acuerdo, lo cual significa que el plazo para hacer la liquidación bilateral no es un término perentorio, sino sencillamente indicativo.</w:t>
      </w:r>
    </w:p>
  </w:footnote>
  <w:footnote w:id="9">
    <w:p w14:paraId="567BB1D5" w14:textId="77777777" w:rsidR="00F26D50" w:rsidRPr="009F2629" w:rsidRDefault="00F26D50" w:rsidP="00F26D50">
      <w:pPr>
        <w:pStyle w:val="Textonotapie"/>
        <w:ind w:firstLine="709"/>
        <w:jc w:val="both"/>
        <w:rPr>
          <w:rFonts w:ascii="Verdana" w:hAnsi="Verdana" w:cs="Arial"/>
          <w:color w:val="000000" w:themeColor="text1"/>
          <w:sz w:val="14"/>
          <w:szCs w:val="14"/>
          <w:lang w:val="pt-BR"/>
        </w:rPr>
      </w:pPr>
      <w:r w:rsidRPr="009F2629">
        <w:rPr>
          <w:rStyle w:val="Refdenotaalpie"/>
          <w:rFonts w:ascii="Verdana" w:hAnsi="Verdana" w:cs="Arial"/>
          <w:color w:val="000000" w:themeColor="text1"/>
          <w:sz w:val="14"/>
          <w:szCs w:val="14"/>
        </w:rPr>
        <w:footnoteRef/>
      </w:r>
      <w:r w:rsidRPr="009F2629">
        <w:rPr>
          <w:rFonts w:ascii="Verdana" w:hAnsi="Verdana" w:cs="Arial"/>
          <w:color w:val="000000" w:themeColor="text1"/>
          <w:sz w:val="14"/>
          <w:szCs w:val="14"/>
        </w:rPr>
        <w:t xml:space="preserve"> Consejo de Estado. Sección Tercera. </w:t>
      </w:r>
      <w:r w:rsidRPr="009F2629">
        <w:rPr>
          <w:rFonts w:ascii="Verdana" w:hAnsi="Verdana" w:cs="Arial"/>
          <w:color w:val="000000" w:themeColor="text1"/>
          <w:sz w:val="14"/>
          <w:szCs w:val="14"/>
          <w:lang w:val="pt-BR"/>
        </w:rPr>
        <w:t xml:space="preserve">Sala Plena. Auto de 1 de agosto de 2019. Exp. 62009. C.P. Jaime Enrique Rodríguez Navas. </w:t>
      </w:r>
    </w:p>
  </w:footnote>
  <w:footnote w:id="10">
    <w:p w14:paraId="62621FEE" w14:textId="77777777" w:rsidR="00F26D50" w:rsidRPr="00B64A74" w:rsidRDefault="00F26D50" w:rsidP="00F26D50">
      <w:pPr>
        <w:pStyle w:val="Textonotapie"/>
        <w:ind w:firstLine="708"/>
        <w:jc w:val="both"/>
        <w:rPr>
          <w:rFonts w:ascii="Verdana" w:hAnsi="Verdana" w:cs="Arial"/>
          <w:sz w:val="14"/>
          <w:szCs w:val="14"/>
        </w:rPr>
      </w:pPr>
      <w:r w:rsidRPr="00B64A74">
        <w:rPr>
          <w:rStyle w:val="Refdenotaalpie"/>
          <w:rFonts w:ascii="Verdana" w:hAnsi="Verdana" w:cs="Arial"/>
          <w:sz w:val="14"/>
          <w:szCs w:val="14"/>
          <w:lang w:val="es-CO"/>
        </w:rPr>
        <w:footnoteRef/>
      </w:r>
      <w:r w:rsidRPr="00B64A74">
        <w:rPr>
          <w:rFonts w:ascii="Verdana" w:hAnsi="Verdana" w:cs="Arial"/>
          <w:sz w:val="14"/>
          <w:szCs w:val="14"/>
          <w:lang w:val="es-CO"/>
        </w:rPr>
        <w:t xml:space="preserve"> </w:t>
      </w:r>
      <w:r w:rsidRPr="00B64A74">
        <w:rPr>
          <w:rFonts w:ascii="Verdana" w:hAnsi="Verdana" w:cs="Arial"/>
          <w:color w:val="000000"/>
          <w:sz w:val="14"/>
          <w:szCs w:val="14"/>
          <w:lang w:val="es-CO"/>
        </w:rPr>
        <w:t>DÍAZ DÍEZ, Cristian Andrés. La liquidación. Serie: Las Cláusulas del Contrato Estatal. Medellín: Librería Jurídica Sánchez y Centro de Estudios de Derecho Administrativo –CEDA–, 2013.</w:t>
      </w:r>
      <w:r w:rsidRPr="00B64A74">
        <w:rPr>
          <w:rFonts w:ascii="Verdana" w:hAnsi="Verdana" w:cs="Arial"/>
          <w:sz w:val="14"/>
          <w:szCs w:val="14"/>
          <w:lang w:val="es-CO"/>
        </w:rPr>
        <w:t xml:space="preserve"> pp. 255-256.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6FC859" w14:textId="77777777" w:rsidR="00F26D50" w:rsidRDefault="00F26D50"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0288" behindDoc="1" locked="0" layoutInCell="1" allowOverlap="1" wp14:anchorId="0E33E595" wp14:editId="77FB2BDD">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79CEB9F6" wp14:editId="0AC11C2A">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0065E4D7" w14:textId="77777777" w:rsidR="00F26D50" w:rsidRDefault="00F26D50">
    <w:pPr>
      <w:pStyle w:val="Encabezado"/>
    </w:pPr>
  </w:p>
  <w:p w14:paraId="6008ABCC" w14:textId="77777777" w:rsidR="00F26D50" w:rsidRPr="004A305D" w:rsidRDefault="00F26D50" w:rsidP="00B01B1A">
    <w:pPr>
      <w:spacing w:after="0" w:line="120" w:lineRule="auto"/>
      <w:rPr>
        <w:rFonts w:ascii="Century Gothic" w:eastAsia="Geo" w:hAnsi="Century Gothic" w:cs="Geo"/>
        <w:sz w:val="16"/>
        <w:szCs w:val="16"/>
        <w:lang w:eastAsia="es-CO"/>
      </w:rPr>
    </w:pPr>
  </w:p>
  <w:p w14:paraId="47B3AAF2" w14:textId="77777777" w:rsidR="00F26D50" w:rsidRDefault="00F26D50" w:rsidP="00844AE9">
    <w:pPr>
      <w:spacing w:after="0" w:line="240" w:lineRule="auto"/>
      <w:rPr>
        <w:rFonts w:ascii="Verdana" w:hAnsi="Verdana"/>
        <w:sz w:val="24"/>
        <w:szCs w:val="24"/>
      </w:rPr>
    </w:pPr>
  </w:p>
  <w:p w14:paraId="52B1D51D" w14:textId="77777777" w:rsidR="00F26D50" w:rsidRPr="00C925AC" w:rsidRDefault="00F26D50" w:rsidP="00844AE9">
    <w:pPr>
      <w:spacing w:after="0" w:line="240" w:lineRule="auto"/>
      <w:rPr>
        <w:rFonts w:ascii="Verdana" w:hAnsi="Verdana"/>
        <w:sz w:val="24"/>
        <w:szCs w:val="24"/>
      </w:rPr>
    </w:pPr>
  </w:p>
  <w:p w14:paraId="0B499327" w14:textId="77777777" w:rsidR="00F26D50" w:rsidRPr="00C925AC" w:rsidRDefault="00F26D50" w:rsidP="000D5DA7">
    <w:pPr>
      <w:spacing w:after="0" w:line="480" w:lineRule="auto"/>
      <w:rPr>
        <w:rFonts w:ascii="Verdana" w:hAnsi="Verdana"/>
        <w:b/>
        <w:bCs/>
        <w:sz w:val="24"/>
        <w:szCs w:val="24"/>
      </w:rPr>
    </w:pPr>
    <w:r w:rsidRPr="00C925AC">
      <w:rPr>
        <w:rFonts w:ascii="Verdana" w:hAnsi="Verdana"/>
        <w:b/>
        <w:bCs/>
        <w:sz w:val="24"/>
        <w:szCs w:val="24"/>
      </w:rPr>
      <w:t>FORMATO</w:t>
    </w:r>
    <w:r>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511A02"/>
    <w:multiLevelType w:val="multilevel"/>
    <w:tmpl w:val="DD5CD0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9D726F5"/>
    <w:multiLevelType w:val="hybridMultilevel"/>
    <w:tmpl w:val="A77E2442"/>
    <w:lvl w:ilvl="0" w:tplc="040A0001">
      <w:start w:val="1"/>
      <w:numFmt w:val="bullet"/>
      <w:lvlText w:val=""/>
      <w:lvlJc w:val="left"/>
      <w:pPr>
        <w:ind w:left="360" w:hanging="360"/>
      </w:pPr>
      <w:rPr>
        <w:rFonts w:ascii="Symbol" w:hAnsi="Symbol" w:hint="default"/>
      </w:rPr>
    </w:lvl>
    <w:lvl w:ilvl="1" w:tplc="040A0003" w:tentative="1">
      <w:start w:val="1"/>
      <w:numFmt w:val="bullet"/>
      <w:lvlText w:val="o"/>
      <w:lvlJc w:val="left"/>
      <w:pPr>
        <w:ind w:left="1080" w:hanging="360"/>
      </w:pPr>
      <w:rPr>
        <w:rFonts w:ascii="Courier New" w:hAnsi="Courier New" w:cs="Courier New" w:hint="default"/>
      </w:rPr>
    </w:lvl>
    <w:lvl w:ilvl="2" w:tplc="040A0005" w:tentative="1">
      <w:start w:val="1"/>
      <w:numFmt w:val="bullet"/>
      <w:lvlText w:val=""/>
      <w:lvlJc w:val="left"/>
      <w:pPr>
        <w:ind w:left="1800" w:hanging="360"/>
      </w:pPr>
      <w:rPr>
        <w:rFonts w:ascii="Wingdings" w:hAnsi="Wingdings" w:hint="default"/>
      </w:rPr>
    </w:lvl>
    <w:lvl w:ilvl="3" w:tplc="040A0001" w:tentative="1">
      <w:start w:val="1"/>
      <w:numFmt w:val="bullet"/>
      <w:lvlText w:val=""/>
      <w:lvlJc w:val="left"/>
      <w:pPr>
        <w:ind w:left="2520" w:hanging="360"/>
      </w:pPr>
      <w:rPr>
        <w:rFonts w:ascii="Symbol" w:hAnsi="Symbol" w:hint="default"/>
      </w:rPr>
    </w:lvl>
    <w:lvl w:ilvl="4" w:tplc="040A0003" w:tentative="1">
      <w:start w:val="1"/>
      <w:numFmt w:val="bullet"/>
      <w:lvlText w:val="o"/>
      <w:lvlJc w:val="left"/>
      <w:pPr>
        <w:ind w:left="3240" w:hanging="360"/>
      </w:pPr>
      <w:rPr>
        <w:rFonts w:ascii="Courier New" w:hAnsi="Courier New" w:cs="Courier New" w:hint="default"/>
      </w:rPr>
    </w:lvl>
    <w:lvl w:ilvl="5" w:tplc="040A0005" w:tentative="1">
      <w:start w:val="1"/>
      <w:numFmt w:val="bullet"/>
      <w:lvlText w:val=""/>
      <w:lvlJc w:val="left"/>
      <w:pPr>
        <w:ind w:left="3960" w:hanging="360"/>
      </w:pPr>
      <w:rPr>
        <w:rFonts w:ascii="Wingdings" w:hAnsi="Wingdings" w:hint="default"/>
      </w:rPr>
    </w:lvl>
    <w:lvl w:ilvl="6" w:tplc="040A0001" w:tentative="1">
      <w:start w:val="1"/>
      <w:numFmt w:val="bullet"/>
      <w:lvlText w:val=""/>
      <w:lvlJc w:val="left"/>
      <w:pPr>
        <w:ind w:left="4680" w:hanging="360"/>
      </w:pPr>
      <w:rPr>
        <w:rFonts w:ascii="Symbol" w:hAnsi="Symbol" w:hint="default"/>
      </w:rPr>
    </w:lvl>
    <w:lvl w:ilvl="7" w:tplc="040A0003" w:tentative="1">
      <w:start w:val="1"/>
      <w:numFmt w:val="bullet"/>
      <w:lvlText w:val="o"/>
      <w:lvlJc w:val="left"/>
      <w:pPr>
        <w:ind w:left="5400" w:hanging="360"/>
      </w:pPr>
      <w:rPr>
        <w:rFonts w:ascii="Courier New" w:hAnsi="Courier New" w:cs="Courier New" w:hint="default"/>
      </w:rPr>
    </w:lvl>
    <w:lvl w:ilvl="8" w:tplc="040A0005" w:tentative="1">
      <w:start w:val="1"/>
      <w:numFmt w:val="bullet"/>
      <w:lvlText w:val=""/>
      <w:lvlJc w:val="left"/>
      <w:pPr>
        <w:ind w:left="6120" w:hanging="360"/>
      </w:pPr>
      <w:rPr>
        <w:rFonts w:ascii="Wingdings" w:hAnsi="Wingdings" w:hint="default"/>
      </w:rPr>
    </w:lvl>
  </w:abstractNum>
  <w:abstractNum w:abstractNumId="2"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num w:numId="1" w16cid:durableId="773329156">
    <w:abstractNumId w:val="2"/>
  </w:num>
  <w:num w:numId="2" w16cid:durableId="1788624516">
    <w:abstractNumId w:val="1"/>
  </w:num>
  <w:num w:numId="3" w16cid:durableId="10916622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6D50"/>
    <w:rsid w:val="000D3D9F"/>
    <w:rsid w:val="002C62EB"/>
    <w:rsid w:val="002D6822"/>
    <w:rsid w:val="005A5C97"/>
    <w:rsid w:val="0063662B"/>
    <w:rsid w:val="007A436C"/>
    <w:rsid w:val="007F1D5F"/>
    <w:rsid w:val="009B4EF6"/>
    <w:rsid w:val="00A52A9A"/>
    <w:rsid w:val="00E76077"/>
    <w:rsid w:val="00F26D50"/>
    <w:rsid w:val="00F53227"/>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9ADA76"/>
  <w15:chartTrackingRefBased/>
  <w15:docId w15:val="{5C826A92-F4DB-4BAF-BD7A-E0A075033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6D50"/>
    <w:pPr>
      <w:spacing w:line="259" w:lineRule="auto"/>
    </w:pPr>
    <w:rPr>
      <w:kern w:val="0"/>
      <w:sz w:val="22"/>
      <w:szCs w:val="22"/>
      <w14:ligatures w14:val="none"/>
    </w:rPr>
  </w:style>
  <w:style w:type="paragraph" w:styleId="Ttulo1">
    <w:name w:val="heading 1"/>
    <w:basedOn w:val="Normal"/>
    <w:next w:val="Normal"/>
    <w:link w:val="Ttulo1Car"/>
    <w:uiPriority w:val="9"/>
    <w:qFormat/>
    <w:rsid w:val="00F26D5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F26D5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F26D50"/>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F26D50"/>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F26D50"/>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F26D50"/>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F26D50"/>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F26D50"/>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F26D50"/>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F26D50"/>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F26D50"/>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F26D50"/>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F26D50"/>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F26D50"/>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F26D50"/>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F26D50"/>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F26D50"/>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F26D50"/>
    <w:rPr>
      <w:rFonts w:eastAsiaTheme="majorEastAsia" w:cstheme="majorBidi"/>
      <w:color w:val="272727" w:themeColor="text1" w:themeTint="D8"/>
    </w:rPr>
  </w:style>
  <w:style w:type="paragraph" w:styleId="Ttulo">
    <w:name w:val="Title"/>
    <w:basedOn w:val="Normal"/>
    <w:next w:val="Normal"/>
    <w:link w:val="TtuloCar"/>
    <w:uiPriority w:val="10"/>
    <w:qFormat/>
    <w:rsid w:val="00F26D5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F26D50"/>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F26D50"/>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F26D50"/>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F26D50"/>
    <w:pPr>
      <w:spacing w:before="160"/>
      <w:jc w:val="center"/>
    </w:pPr>
    <w:rPr>
      <w:i/>
      <w:iCs/>
      <w:color w:val="404040" w:themeColor="text1" w:themeTint="BF"/>
    </w:rPr>
  </w:style>
  <w:style w:type="character" w:customStyle="1" w:styleId="CitaCar">
    <w:name w:val="Cita Car"/>
    <w:basedOn w:val="Fuentedeprrafopredeter"/>
    <w:link w:val="Cita"/>
    <w:uiPriority w:val="29"/>
    <w:rsid w:val="00F26D50"/>
    <w:rPr>
      <w:i/>
      <w:iCs/>
      <w:color w:val="404040" w:themeColor="text1" w:themeTint="BF"/>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List Paragraph"/>
    <w:basedOn w:val="Normal"/>
    <w:link w:val="PrrafodelistaCar"/>
    <w:uiPriority w:val="1"/>
    <w:qFormat/>
    <w:rsid w:val="00F26D50"/>
    <w:pPr>
      <w:ind w:left="720"/>
      <w:contextualSpacing/>
    </w:pPr>
  </w:style>
  <w:style w:type="character" w:styleId="nfasisintenso">
    <w:name w:val="Intense Emphasis"/>
    <w:basedOn w:val="Fuentedeprrafopredeter"/>
    <w:uiPriority w:val="21"/>
    <w:qFormat/>
    <w:rsid w:val="00F26D50"/>
    <w:rPr>
      <w:i/>
      <w:iCs/>
      <w:color w:val="0F4761" w:themeColor="accent1" w:themeShade="BF"/>
    </w:rPr>
  </w:style>
  <w:style w:type="paragraph" w:styleId="Citadestacada">
    <w:name w:val="Intense Quote"/>
    <w:basedOn w:val="Normal"/>
    <w:next w:val="Normal"/>
    <w:link w:val="CitadestacadaCar"/>
    <w:uiPriority w:val="30"/>
    <w:qFormat/>
    <w:rsid w:val="00F26D5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F26D50"/>
    <w:rPr>
      <w:i/>
      <w:iCs/>
      <w:color w:val="0F4761" w:themeColor="accent1" w:themeShade="BF"/>
    </w:rPr>
  </w:style>
  <w:style w:type="character" w:styleId="Referenciaintensa">
    <w:name w:val="Intense Reference"/>
    <w:basedOn w:val="Fuentedeprrafopredeter"/>
    <w:uiPriority w:val="32"/>
    <w:qFormat/>
    <w:rsid w:val="00F26D50"/>
    <w:rPr>
      <w:b/>
      <w:bCs/>
      <w:smallCaps/>
      <w:color w:val="0F4761" w:themeColor="accent1" w:themeShade="BF"/>
      <w:spacing w:val="5"/>
    </w:rPr>
  </w:style>
  <w:style w:type="paragraph" w:styleId="Encabezado">
    <w:name w:val="header"/>
    <w:basedOn w:val="Normal"/>
    <w:link w:val="EncabezadoCar"/>
    <w:uiPriority w:val="99"/>
    <w:unhideWhenUsed/>
    <w:rsid w:val="00F26D5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F26D50"/>
    <w:rPr>
      <w:kern w:val="0"/>
      <w:sz w:val="22"/>
      <w:szCs w:val="22"/>
      <w14:ligatures w14:val="none"/>
    </w:rPr>
  </w:style>
  <w:style w:type="paragraph" w:styleId="Piedepgina">
    <w:name w:val="footer"/>
    <w:basedOn w:val="Normal"/>
    <w:link w:val="PiedepginaCar"/>
    <w:uiPriority w:val="99"/>
    <w:unhideWhenUsed/>
    <w:rsid w:val="00F26D5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F26D50"/>
    <w:rPr>
      <w:kern w:val="0"/>
      <w:sz w:val="22"/>
      <w:szCs w:val="22"/>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qFormat/>
    <w:locked/>
    <w:rsid w:val="00F26D50"/>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nhideWhenUsed/>
    <w:qFormat/>
    <w:rsid w:val="00F26D50"/>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F26D50"/>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F26D50"/>
    <w:rPr>
      <w:vertAlign w:val="superscript"/>
    </w:rPr>
  </w:style>
  <w:style w:type="character" w:customStyle="1" w:styleId="normaltextrun">
    <w:name w:val="normaltextrun"/>
    <w:basedOn w:val="Fuentedeprrafopredeter"/>
    <w:rsid w:val="00F26D50"/>
  </w:style>
  <w:style w:type="table" w:styleId="Tablaconcuadrcula">
    <w:name w:val="Table Grid"/>
    <w:basedOn w:val="Tablanormal"/>
    <w:uiPriority w:val="39"/>
    <w:qFormat/>
    <w:rsid w:val="00F26D5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F26D50"/>
    <w:rPr>
      <w:color w:val="0000FF"/>
      <w:u w:val="single"/>
    </w:rPr>
  </w:style>
  <w:style w:type="paragraph" w:customStyle="1" w:styleId="Appelnotedebasde">
    <w:name w:val="Appel note de bas de..."/>
    <w:basedOn w:val="Normal"/>
    <w:link w:val="Refdenotaalpie"/>
    <w:uiPriority w:val="99"/>
    <w:rsid w:val="00F26D50"/>
    <w:pPr>
      <w:spacing w:line="240" w:lineRule="exact"/>
    </w:pPr>
    <w:rPr>
      <w:kern w:val="2"/>
      <w:sz w:val="24"/>
      <w:szCs w:val="24"/>
      <w:vertAlign w:val="superscript"/>
      <w14:ligatures w14:val="standardContextua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F26D50"/>
  </w:style>
  <w:style w:type="paragraph" w:styleId="Sinespaciado">
    <w:name w:val="No Spacing"/>
    <w:aliases w:val="No Indent"/>
    <w:uiPriority w:val="3"/>
    <w:qFormat/>
    <w:rsid w:val="00F26D50"/>
    <w:pPr>
      <w:spacing w:after="0" w:line="240" w:lineRule="auto"/>
    </w:pPr>
    <w:rPr>
      <w:kern w:val="0"/>
      <w:szCs w:val="22"/>
      <w:lang w:val="es-MX"/>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alentinapaezborrero@gmail.com" TargetMode="External"/><Relationship Id="rId13"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emf"/><Relationship Id="rId12" Type="http://schemas.openxmlformats.org/officeDocument/2006/relationships/hyperlink" Target="https://www.colombiacompra.gov.co/normativa-y-relatoria/documentos-tipo" TargetMode="External"/><Relationship Id="rId17" Type="http://schemas.openxmlformats.org/officeDocument/2006/relationships/image" Target="media/image2.png"/><Relationship Id="rId2" Type="http://schemas.openxmlformats.org/officeDocument/2006/relationships/styles" Target="styles.xml"/><Relationship Id="rId16" Type="http://schemas.openxmlformats.org/officeDocument/2006/relationships/hyperlink" Target="https://forms.office.com/r/pPHyWVs2SZ"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formacionvirtual.colombiacompra.gov.co/mod/page/view.php?id=3718" TargetMode="External"/><Relationship Id="rId24" Type="http://schemas.openxmlformats.org/officeDocument/2006/relationships/customXml" Target="../customXml/item3.xml"/><Relationship Id="rId5" Type="http://schemas.openxmlformats.org/officeDocument/2006/relationships/footnotes" Target="footnotes.xml"/><Relationship Id="rId15" Type="http://schemas.openxmlformats.org/officeDocument/2006/relationships/hyperlink" Target="https://www.colombiacompra.gov.co/pqrsd/informacion-importante-antes-de-formular-una-pqrsd" TargetMode="External"/><Relationship Id="rId23" Type="http://schemas.openxmlformats.org/officeDocument/2006/relationships/customXml" Target="../customXml/item2.xml"/><Relationship Id="rId10" Type="http://schemas.openxmlformats.org/officeDocument/2006/relationships/hyperlink" Target="https://nam02.safelinks.protection.outlook.com/?url=https%3A%2F%2Frelatoria.colombiacompra.gov.co%2F&amp;data=05%7C02%7Csergio.caballero%40colombiacompra.gov.co%7C5aad36a736844ec87b2108dcc1fa4639%7C7b09041e245149d08cb179d5e3d8c1be%7C0%7C0%7C638598527918222614%7CUnknown%7CTWFpbGZsb3d8eyJWIjoiMC4wLjAwMDAiLCJQIjoiV2luMzIiLCJBTiI6Ik1haWwiLCJXVCI6Mn0%3D%7C0%7C%7C%7C&amp;sdata=h8WOGB2loApehe%2F7QeGo2PCeSePiffWRTR4AMN1Rht0%3D&amp;reserved=0"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operaciones.colombiacompra.gov.co/sites/cce_public/files/cce_documents/cce_guia_liquidacion_procesos.pdf" TargetMode="External"/><Relationship Id="rId14" Type="http://schemas.openxmlformats.org/officeDocument/2006/relationships/hyperlink" Target="mailto:ventanilladeradicacion@colombiacompra.gov.co" TargetMode="External"/><Relationship Id="rId22" Type="http://schemas.openxmlformats.org/officeDocument/2006/relationships/customXml" Target="../customXml/item1.xml"/></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sites/cce_public/files/cce_documents/cce_guia_liquidacion_procesos.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C5B9D45-D8DC-40E4-B79A-EC132F76A31C}"/>
</file>

<file path=customXml/itemProps2.xml><?xml version="1.0" encoding="utf-8"?>
<ds:datastoreItem xmlns:ds="http://schemas.openxmlformats.org/officeDocument/2006/customXml" ds:itemID="{BF5E821D-13BC-4D22-8F76-4DF94A81ACD1}"/>
</file>

<file path=customXml/itemProps3.xml><?xml version="1.0" encoding="utf-8"?>
<ds:datastoreItem xmlns:ds="http://schemas.openxmlformats.org/officeDocument/2006/customXml" ds:itemID="{2EE9D2DE-F987-4048-BF1A-2239B5A35AD2}"/>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4</TotalTime>
  <Pages>16</Pages>
  <Words>5104</Words>
  <Characters>28078</Characters>
  <Application>Microsoft Office Word</Application>
  <DocSecurity>0</DocSecurity>
  <Lines>233</Lines>
  <Paragraphs>66</Paragraphs>
  <ScaleCrop>false</ScaleCrop>
  <Company/>
  <LinksUpToDate>false</LinksUpToDate>
  <CharactersWithSpaces>33116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Natalia Montoya Jiménez</dc:creator>
  <cp:keywords/>
  <dc:description/>
  <cp:lastModifiedBy>Natalia Montoya Jiménez</cp:lastModifiedBy>
  <cp:revision>5</cp:revision>
  <dcterms:created xsi:type="dcterms:W3CDTF">2026-05-19T15:57:00Z</dcterms:created>
  <dcterms:modified xsi:type="dcterms:W3CDTF">2026-05-20T16:43:00Z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