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B780FF" w14:textId="77777777" w:rsidR="000A5448" w:rsidRPr="0091437B" w:rsidRDefault="000A5448" w:rsidP="000A5448">
      <w:pPr>
        <w:jc w:val="right"/>
        <w:rPr>
          <w:rFonts w:ascii="Arial" w:hAnsi="Arial" w:cs="Arial"/>
          <w:b/>
          <w:color w:val="161616" w:themeColor="background1" w:themeShade="1A"/>
          <w:sz w:val="16"/>
          <w:szCs w:val="16"/>
          <w:lang w:eastAsia="es-ES"/>
        </w:rPr>
      </w:pPr>
      <w:bookmarkStart w:id="0" w:name="_Hlk34141372"/>
      <w:bookmarkStart w:id="1" w:name="_Hlk28946138"/>
      <w:bookmarkStart w:id="2" w:name="_Hlk29548183"/>
      <w:bookmarkStart w:id="3" w:name="_Hlk29890381"/>
      <w:bookmarkStart w:id="4" w:name="_GoBack"/>
      <w:bookmarkEnd w:id="0"/>
      <w:bookmarkEnd w:id="4"/>
      <w:r w:rsidRPr="0091437B">
        <w:rPr>
          <w:rFonts w:ascii="Arial" w:hAnsi="Arial" w:cs="Arial"/>
          <w:b/>
          <w:color w:val="161616" w:themeColor="background1" w:themeShade="1A"/>
          <w:sz w:val="16"/>
          <w:szCs w:val="16"/>
          <w:lang w:eastAsia="es-ES"/>
        </w:rPr>
        <w:t>CCE-DES-FM-17</w:t>
      </w:r>
    </w:p>
    <w:bookmarkEnd w:id="1"/>
    <w:bookmarkEnd w:id="2"/>
    <w:p w14:paraId="59DCA0F5" w14:textId="77777777" w:rsidR="000A5448" w:rsidRPr="0091437B" w:rsidRDefault="000A5448" w:rsidP="000A5448">
      <w:pPr>
        <w:jc w:val="both"/>
        <w:rPr>
          <w:rFonts w:ascii="Arial" w:eastAsia="Calibri" w:hAnsi="Arial" w:cs="Arial"/>
          <w:color w:val="161616" w:themeColor="background1" w:themeShade="1A"/>
          <w:sz w:val="20"/>
          <w:szCs w:val="20"/>
          <w:highlight w:val="yellow"/>
          <w:lang w:val="es-ES"/>
        </w:rPr>
      </w:pPr>
    </w:p>
    <w:p w14:paraId="0017CD8B" w14:textId="77777777" w:rsidR="000A5448" w:rsidRPr="0091437B" w:rsidRDefault="000A5448" w:rsidP="000A5448">
      <w:pPr>
        <w:spacing w:line="276" w:lineRule="auto"/>
        <w:jc w:val="both"/>
        <w:rPr>
          <w:rFonts w:ascii="Arial" w:eastAsia="Calibri" w:hAnsi="Arial" w:cs="Arial"/>
          <w:b/>
          <w:color w:val="161616" w:themeColor="background1" w:themeShade="1A"/>
          <w:sz w:val="22"/>
        </w:rPr>
      </w:pPr>
      <w:r w:rsidRPr="0091437B">
        <w:rPr>
          <w:rFonts w:ascii="Arial" w:eastAsia="Calibri" w:hAnsi="Arial" w:cs="Arial"/>
          <w:b/>
          <w:color w:val="161616" w:themeColor="background1" w:themeShade="1A"/>
          <w:sz w:val="22"/>
        </w:rPr>
        <w:t xml:space="preserve">SECOP – Publicidad – Entidades de régimen especial </w:t>
      </w:r>
    </w:p>
    <w:p w14:paraId="2C350E9C" w14:textId="77777777" w:rsidR="000A5448" w:rsidRPr="0091437B" w:rsidRDefault="000A5448" w:rsidP="000A5448">
      <w:pPr>
        <w:spacing w:line="276" w:lineRule="auto"/>
        <w:jc w:val="both"/>
        <w:rPr>
          <w:rFonts w:ascii="Arial" w:hAnsi="Arial" w:cs="Arial"/>
          <w:color w:val="161616" w:themeColor="background1" w:themeShade="1A"/>
          <w:sz w:val="20"/>
          <w:szCs w:val="20"/>
        </w:rPr>
      </w:pPr>
    </w:p>
    <w:p w14:paraId="0A7E4A99" w14:textId="0EABA708" w:rsidR="000A5448" w:rsidRPr="0091437B" w:rsidRDefault="00E90D75" w:rsidP="000A5448">
      <w:pPr>
        <w:pStyle w:val="Prrafodelista"/>
        <w:ind w:left="0"/>
        <w:jc w:val="both"/>
        <w:rPr>
          <w:rFonts w:ascii="Arial" w:eastAsia="Calibri" w:hAnsi="Arial" w:cs="Arial"/>
          <w:color w:val="161616" w:themeColor="background1" w:themeShade="1A"/>
          <w:sz w:val="20"/>
          <w:szCs w:val="20"/>
        </w:rPr>
      </w:pPr>
      <w:r w:rsidRPr="00E90D75">
        <w:rPr>
          <w:rFonts w:ascii="Arial" w:eastAsia="Calibri" w:hAnsi="Arial" w:cs="Arial"/>
          <w:color w:val="161616" w:themeColor="background1" w:themeShade="1A"/>
          <w:sz w:val="20"/>
          <w:szCs w:val="20"/>
        </w:rPr>
        <w:t>Sin embargo, 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Este deber no atiende a las condiciones de las entidades excluidas del régimen de contratación estatal, sino ─se reitera─ al hecho de que la contratación implique la ejecución de recursos públicos</w:t>
      </w:r>
      <w:r w:rsidR="000A5448" w:rsidRPr="0091437B">
        <w:rPr>
          <w:rFonts w:ascii="Arial" w:eastAsia="Calibri" w:hAnsi="Arial" w:cs="Arial"/>
          <w:color w:val="161616" w:themeColor="background1" w:themeShade="1A"/>
          <w:sz w:val="20"/>
          <w:szCs w:val="20"/>
        </w:rPr>
        <w:t>.</w:t>
      </w:r>
    </w:p>
    <w:p w14:paraId="2A007B1E" w14:textId="77777777" w:rsidR="000A5448" w:rsidRPr="0091437B" w:rsidRDefault="000A5448" w:rsidP="000A5448">
      <w:pPr>
        <w:pStyle w:val="Prrafodelista"/>
        <w:spacing w:line="276" w:lineRule="auto"/>
        <w:ind w:left="0"/>
        <w:jc w:val="both"/>
        <w:rPr>
          <w:rFonts w:ascii="Arial" w:eastAsia="Calibri" w:hAnsi="Arial" w:cs="Arial"/>
          <w:color w:val="161616" w:themeColor="background1" w:themeShade="1A"/>
          <w:sz w:val="20"/>
          <w:szCs w:val="20"/>
          <w:highlight w:val="yellow"/>
        </w:rPr>
      </w:pPr>
    </w:p>
    <w:p w14:paraId="6F7FF5D4" w14:textId="77777777" w:rsidR="000A5448" w:rsidRPr="0091437B" w:rsidRDefault="000A5448" w:rsidP="000A5448">
      <w:pPr>
        <w:pStyle w:val="Prrafodelista"/>
        <w:spacing w:line="276" w:lineRule="auto"/>
        <w:ind w:left="0"/>
        <w:jc w:val="both"/>
        <w:rPr>
          <w:rFonts w:ascii="Arial" w:eastAsia="Calibri" w:hAnsi="Arial" w:cs="Arial"/>
          <w:b/>
          <w:color w:val="161616" w:themeColor="background1" w:themeShade="1A"/>
          <w:sz w:val="22"/>
          <w:szCs w:val="20"/>
        </w:rPr>
      </w:pPr>
      <w:r w:rsidRPr="0091437B">
        <w:rPr>
          <w:rFonts w:ascii="Arial" w:eastAsia="Calibri" w:hAnsi="Arial" w:cs="Arial"/>
          <w:b/>
          <w:color w:val="161616" w:themeColor="background1" w:themeShade="1A"/>
          <w:sz w:val="22"/>
          <w:szCs w:val="20"/>
        </w:rPr>
        <w:t xml:space="preserve">SECOP – Publicidad </w:t>
      </w:r>
      <w:r w:rsidRPr="0091437B">
        <w:rPr>
          <w:rFonts w:ascii="Arial" w:eastAsia="Calibri" w:hAnsi="Arial" w:cs="Arial"/>
          <w:b/>
          <w:color w:val="161616" w:themeColor="background1" w:themeShade="1A"/>
          <w:sz w:val="22"/>
          <w:szCs w:val="20"/>
        </w:rPr>
        <w:softHyphen/>
        <w:t xml:space="preserve">– Documentos </w:t>
      </w:r>
    </w:p>
    <w:p w14:paraId="1B06AE3E" w14:textId="77777777" w:rsidR="000A5448" w:rsidRPr="0091437B" w:rsidRDefault="000A5448" w:rsidP="000A5448">
      <w:pPr>
        <w:pStyle w:val="Prrafodelista"/>
        <w:spacing w:line="276" w:lineRule="auto"/>
        <w:ind w:left="0"/>
        <w:jc w:val="both"/>
        <w:rPr>
          <w:rFonts w:ascii="Arial" w:eastAsia="Calibri" w:hAnsi="Arial" w:cs="Arial"/>
          <w:color w:val="161616" w:themeColor="background1" w:themeShade="1A"/>
          <w:sz w:val="20"/>
          <w:szCs w:val="20"/>
        </w:rPr>
      </w:pPr>
    </w:p>
    <w:p w14:paraId="68BC447F" w14:textId="77777777" w:rsidR="00E90D75" w:rsidRPr="00E90D75" w:rsidRDefault="00E90D75" w:rsidP="00E90D75">
      <w:pPr>
        <w:jc w:val="both"/>
        <w:rPr>
          <w:rFonts w:ascii="Arial" w:eastAsia="Calibri" w:hAnsi="Arial" w:cs="Arial"/>
          <w:color w:val="161616" w:themeColor="background1" w:themeShade="1A"/>
          <w:sz w:val="20"/>
          <w:szCs w:val="20"/>
        </w:rPr>
      </w:pPr>
      <w:r w:rsidRPr="00E90D75">
        <w:rPr>
          <w:rFonts w:ascii="Arial" w:eastAsia="Calibri" w:hAnsi="Arial" w:cs="Arial"/>
          <w:color w:val="161616" w:themeColor="background1" w:themeShade="1A"/>
          <w:sz w:val="20"/>
          <w:szCs w:val="20"/>
        </w:rPr>
        <w:t xml:space="preserve">De conformidad con lo anterior, el Decreto 103 de 2015 señala que los documentos que deben publicar las entidades estatales, entre estas las empresas de servicios públicos domiciliarios,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0D639CD3" w14:textId="77777777" w:rsidR="00E90D75" w:rsidRDefault="00E90D75" w:rsidP="00E90D75">
      <w:pPr>
        <w:jc w:val="both"/>
        <w:rPr>
          <w:rFonts w:ascii="Arial" w:eastAsia="Calibri" w:hAnsi="Arial" w:cs="Arial"/>
          <w:color w:val="161616" w:themeColor="background1" w:themeShade="1A"/>
          <w:sz w:val="20"/>
          <w:szCs w:val="20"/>
        </w:rPr>
      </w:pPr>
    </w:p>
    <w:p w14:paraId="773503B2" w14:textId="6450DE0E" w:rsidR="000A5448" w:rsidRDefault="00E90D75" w:rsidP="00E90D75">
      <w:pPr>
        <w:jc w:val="both"/>
        <w:rPr>
          <w:rFonts w:ascii="Arial" w:eastAsia="Calibri" w:hAnsi="Arial" w:cs="Arial"/>
          <w:color w:val="161616" w:themeColor="background1" w:themeShade="1A"/>
          <w:sz w:val="20"/>
          <w:szCs w:val="20"/>
        </w:rPr>
      </w:pPr>
      <w:r w:rsidRPr="00E90D75">
        <w:rPr>
          <w:rFonts w:ascii="Arial" w:eastAsia="Calibri" w:hAnsi="Arial" w:cs="Arial"/>
          <w:color w:val="161616" w:themeColor="background1" w:themeShade="1A"/>
          <w:sz w:val="20"/>
          <w:szCs w:val="20"/>
        </w:rPr>
        <w:t>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w:t>
      </w:r>
    </w:p>
    <w:p w14:paraId="7C7309EE" w14:textId="77777777" w:rsidR="00E90D75" w:rsidRPr="0091437B" w:rsidRDefault="00E90D75" w:rsidP="00E90D75">
      <w:pPr>
        <w:jc w:val="both"/>
        <w:rPr>
          <w:rFonts w:ascii="Arial" w:eastAsia="Calibri" w:hAnsi="Arial" w:cs="Arial"/>
          <w:color w:val="161616" w:themeColor="background1" w:themeShade="1A"/>
          <w:sz w:val="20"/>
          <w:szCs w:val="20"/>
        </w:rPr>
      </w:pPr>
    </w:p>
    <w:p w14:paraId="47DBC48A" w14:textId="77777777" w:rsidR="000A5448" w:rsidRPr="0091437B" w:rsidRDefault="000A5448" w:rsidP="000A5448">
      <w:pPr>
        <w:pStyle w:val="Prrafodelista"/>
        <w:spacing w:line="276" w:lineRule="auto"/>
        <w:ind w:left="0"/>
        <w:jc w:val="both"/>
        <w:rPr>
          <w:rFonts w:ascii="Arial" w:eastAsia="Calibri" w:hAnsi="Arial" w:cs="Arial"/>
          <w:b/>
          <w:color w:val="161616" w:themeColor="background1" w:themeShade="1A"/>
          <w:sz w:val="22"/>
          <w:szCs w:val="20"/>
        </w:rPr>
      </w:pPr>
      <w:r w:rsidRPr="0091437B">
        <w:rPr>
          <w:rFonts w:ascii="Arial" w:eastAsia="Calibri" w:hAnsi="Arial" w:cs="Arial"/>
          <w:b/>
          <w:color w:val="161616" w:themeColor="background1" w:themeShade="1A"/>
          <w:sz w:val="22"/>
          <w:szCs w:val="20"/>
        </w:rPr>
        <w:t xml:space="preserve">SECOP – Publicidad </w:t>
      </w:r>
      <w:r w:rsidRPr="0091437B">
        <w:rPr>
          <w:rFonts w:ascii="Arial" w:eastAsia="Calibri" w:hAnsi="Arial" w:cs="Arial"/>
          <w:b/>
          <w:color w:val="161616" w:themeColor="background1" w:themeShade="1A"/>
          <w:sz w:val="22"/>
          <w:szCs w:val="20"/>
        </w:rPr>
        <w:softHyphen/>
        <w:t xml:space="preserve">– Término </w:t>
      </w:r>
    </w:p>
    <w:p w14:paraId="550FCC28" w14:textId="77777777" w:rsidR="000A5448" w:rsidRPr="0091437B" w:rsidRDefault="000A5448" w:rsidP="000A5448">
      <w:pPr>
        <w:jc w:val="both"/>
        <w:rPr>
          <w:rFonts w:ascii="Arial" w:eastAsia="Calibri" w:hAnsi="Arial" w:cs="Arial"/>
          <w:b/>
          <w:color w:val="161616" w:themeColor="background1" w:themeShade="1A"/>
          <w:sz w:val="20"/>
          <w:szCs w:val="20"/>
        </w:rPr>
      </w:pPr>
    </w:p>
    <w:p w14:paraId="2961F691" w14:textId="3D1D2790" w:rsidR="00E90D75" w:rsidRDefault="00E90D75" w:rsidP="00E90D75">
      <w:pPr>
        <w:jc w:val="both"/>
        <w:rPr>
          <w:rFonts w:ascii="Arial" w:eastAsia="Calibri" w:hAnsi="Arial" w:cs="Arial"/>
          <w:color w:val="161616" w:themeColor="background1" w:themeShade="1A"/>
          <w:sz w:val="20"/>
          <w:szCs w:val="20"/>
        </w:rPr>
      </w:pPr>
      <w:r w:rsidRPr="00E90D75">
        <w:rPr>
          <w:rFonts w:ascii="Arial" w:eastAsia="Calibri" w:hAnsi="Arial" w:cs="Arial"/>
          <w:color w:val="161616" w:themeColor="background1" w:themeShade="1A"/>
          <w:sz w:val="20"/>
          <w:szCs w:val="20"/>
        </w:rPr>
        <w:t xml:space="preserve">Si bien, tal y cómo se mencionó en el acápite anterior, el Decreto 1082 de 2015 no aplica a las empresas de servicios públicos domiciliarios, porque su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22839568" w14:textId="77777777" w:rsidR="00E90D75" w:rsidRDefault="00E90D75" w:rsidP="00E90D75">
      <w:pPr>
        <w:jc w:val="both"/>
        <w:rPr>
          <w:rFonts w:ascii="Arial" w:eastAsia="Calibri" w:hAnsi="Arial" w:cs="Arial"/>
          <w:color w:val="161616" w:themeColor="background1" w:themeShade="1A"/>
          <w:sz w:val="20"/>
          <w:szCs w:val="20"/>
        </w:rPr>
      </w:pPr>
    </w:p>
    <w:p w14:paraId="1EEE6F8A" w14:textId="6ECCAD31" w:rsidR="00536968" w:rsidRDefault="00E90D75" w:rsidP="00E90D75">
      <w:pPr>
        <w:jc w:val="both"/>
        <w:rPr>
          <w:rFonts w:ascii="Arial" w:eastAsia="Calibri" w:hAnsi="Arial" w:cs="Arial"/>
          <w:color w:val="161616" w:themeColor="background1" w:themeShade="1A"/>
          <w:sz w:val="20"/>
          <w:szCs w:val="20"/>
        </w:rPr>
      </w:pPr>
      <w:r>
        <w:rPr>
          <w:rFonts w:ascii="Arial" w:eastAsia="Calibri" w:hAnsi="Arial" w:cs="Arial"/>
          <w:color w:val="161616" w:themeColor="background1" w:themeShade="1A"/>
          <w:sz w:val="20"/>
          <w:szCs w:val="20"/>
        </w:rPr>
        <w:t xml:space="preserve">[…] </w:t>
      </w:r>
      <w:r w:rsidRPr="00E90D75">
        <w:rPr>
          <w:rFonts w:ascii="Arial" w:eastAsia="Calibri" w:hAnsi="Arial" w:cs="Arial"/>
          <w:color w:val="161616" w:themeColor="background1" w:themeShade="1A"/>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r>
        <w:rPr>
          <w:rFonts w:ascii="Arial" w:eastAsia="Calibri" w:hAnsi="Arial" w:cs="Arial"/>
          <w:color w:val="161616" w:themeColor="background1" w:themeShade="1A"/>
          <w:sz w:val="20"/>
          <w:szCs w:val="20"/>
        </w:rPr>
        <w:t>.</w:t>
      </w:r>
    </w:p>
    <w:p w14:paraId="3B93B249" w14:textId="77777777" w:rsidR="00E90D75" w:rsidRPr="0091437B" w:rsidRDefault="00E90D75" w:rsidP="00E90D75">
      <w:pPr>
        <w:jc w:val="both"/>
        <w:rPr>
          <w:rFonts w:ascii="Arial" w:eastAsia="Calibri" w:hAnsi="Arial" w:cs="Arial"/>
          <w:color w:val="161616" w:themeColor="background1" w:themeShade="1A"/>
          <w:sz w:val="20"/>
          <w:szCs w:val="20"/>
        </w:rPr>
      </w:pPr>
    </w:p>
    <w:p w14:paraId="7F34566F" w14:textId="77777777" w:rsidR="00536968" w:rsidRPr="0091437B" w:rsidRDefault="00536968" w:rsidP="00536968">
      <w:pPr>
        <w:jc w:val="both"/>
        <w:rPr>
          <w:rFonts w:ascii="Arial" w:eastAsia="Calibri" w:hAnsi="Arial" w:cs="Arial"/>
          <w:b/>
          <w:bCs/>
          <w:color w:val="161616" w:themeColor="background1" w:themeShade="1A"/>
          <w:sz w:val="22"/>
          <w:lang w:val="es-CO"/>
        </w:rPr>
      </w:pPr>
      <w:r w:rsidRPr="0091437B">
        <w:rPr>
          <w:rFonts w:ascii="Arial" w:eastAsia="Calibri" w:hAnsi="Arial" w:cs="Arial"/>
          <w:b/>
          <w:bCs/>
          <w:color w:val="161616" w:themeColor="background1" w:themeShade="1A"/>
          <w:sz w:val="22"/>
          <w:lang w:val="es-CO"/>
        </w:rPr>
        <w:t>EMPRESAS DE SERVICIOS PÚBLICOS – Naturaleza jurídica especial</w:t>
      </w:r>
    </w:p>
    <w:p w14:paraId="15E4ECF8" w14:textId="77777777" w:rsidR="00536968" w:rsidRPr="0091437B" w:rsidRDefault="00536968" w:rsidP="00536968">
      <w:pPr>
        <w:jc w:val="both"/>
        <w:rPr>
          <w:rFonts w:ascii="Arial" w:eastAsia="Calibri" w:hAnsi="Arial" w:cs="Arial"/>
          <w:b/>
          <w:color w:val="161616" w:themeColor="background1" w:themeShade="1A"/>
          <w:sz w:val="20"/>
          <w:szCs w:val="20"/>
          <w:lang w:val="es-CO"/>
        </w:rPr>
      </w:pPr>
    </w:p>
    <w:p w14:paraId="0A639753" w14:textId="77777777" w:rsidR="00536968" w:rsidRPr="0091437B" w:rsidRDefault="00536968" w:rsidP="00536968">
      <w:pPr>
        <w:jc w:val="both"/>
        <w:rPr>
          <w:rFonts w:ascii="Arial" w:hAnsi="Arial" w:cs="Arial"/>
          <w:color w:val="161616" w:themeColor="background1" w:themeShade="1A"/>
          <w:sz w:val="20"/>
          <w:szCs w:val="20"/>
          <w:lang w:val="es-CO"/>
        </w:rPr>
      </w:pPr>
      <w:r w:rsidRPr="0091437B">
        <w:rPr>
          <w:rFonts w:ascii="Arial" w:hAnsi="Arial" w:cs="Arial"/>
          <w:color w:val="161616" w:themeColor="background1" w:themeShade="1A"/>
          <w:sz w:val="20"/>
          <w:szCs w:val="20"/>
          <w:lang w:val="es-CO"/>
        </w:rPr>
        <w:t xml:space="preserve">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29B10B98" w14:textId="31435B45" w:rsidR="00536968" w:rsidRPr="0091437B" w:rsidRDefault="00536968" w:rsidP="00536968">
      <w:pPr>
        <w:jc w:val="both"/>
        <w:rPr>
          <w:rFonts w:ascii="Arial" w:eastAsia="Calibri" w:hAnsi="Arial" w:cs="Arial"/>
          <w:b/>
          <w:color w:val="161616" w:themeColor="background1" w:themeShade="1A"/>
          <w:sz w:val="20"/>
          <w:szCs w:val="20"/>
          <w:lang w:val="es-CO"/>
        </w:rPr>
      </w:pPr>
    </w:p>
    <w:p w14:paraId="7CA0F124" w14:textId="77777777" w:rsidR="00536968" w:rsidRPr="0091437B" w:rsidRDefault="00536968" w:rsidP="00536968">
      <w:pPr>
        <w:jc w:val="both"/>
        <w:rPr>
          <w:rFonts w:ascii="Arial" w:eastAsia="Calibri" w:hAnsi="Arial" w:cs="Arial"/>
          <w:b/>
          <w:color w:val="161616" w:themeColor="background1" w:themeShade="1A"/>
          <w:sz w:val="20"/>
          <w:szCs w:val="20"/>
          <w:lang w:val="es-CO"/>
        </w:rPr>
      </w:pPr>
    </w:p>
    <w:p w14:paraId="081681CA" w14:textId="77777777" w:rsidR="00536968" w:rsidRPr="0091437B" w:rsidRDefault="00536968" w:rsidP="00536968">
      <w:pPr>
        <w:jc w:val="both"/>
        <w:rPr>
          <w:rFonts w:ascii="Arial" w:eastAsia="Calibri" w:hAnsi="Arial" w:cs="Arial"/>
          <w:b/>
          <w:color w:val="161616" w:themeColor="background1" w:themeShade="1A"/>
          <w:sz w:val="22"/>
          <w:lang w:val="es-CO"/>
        </w:rPr>
      </w:pPr>
      <w:r w:rsidRPr="0091437B">
        <w:rPr>
          <w:rFonts w:ascii="Arial" w:eastAsia="Calibri" w:hAnsi="Arial" w:cs="Arial"/>
          <w:b/>
          <w:color w:val="161616" w:themeColor="background1" w:themeShade="1A"/>
          <w:sz w:val="22"/>
          <w:lang w:val="es-CO"/>
        </w:rPr>
        <w:t xml:space="preserve">EMPRESAS DE SERVICIOS PUBLICOS – Régimen contractual </w:t>
      </w:r>
    </w:p>
    <w:p w14:paraId="627DE55E" w14:textId="77777777" w:rsidR="00536968" w:rsidRPr="0091437B" w:rsidRDefault="00536968" w:rsidP="00536968">
      <w:pPr>
        <w:jc w:val="both"/>
        <w:rPr>
          <w:rFonts w:ascii="Arial" w:eastAsia="Calibri" w:hAnsi="Arial" w:cs="Arial"/>
          <w:b/>
          <w:color w:val="161616" w:themeColor="background1" w:themeShade="1A"/>
          <w:sz w:val="20"/>
          <w:szCs w:val="20"/>
          <w:lang w:val="es-CO"/>
        </w:rPr>
      </w:pPr>
    </w:p>
    <w:p w14:paraId="12D52FD4" w14:textId="77777777" w:rsidR="00536968" w:rsidRPr="0091437B" w:rsidRDefault="00536968" w:rsidP="00536968">
      <w:pPr>
        <w:spacing w:after="120"/>
        <w:jc w:val="both"/>
        <w:rPr>
          <w:rFonts w:ascii="Arial" w:hAnsi="Arial" w:cs="Arial"/>
          <w:color w:val="161616" w:themeColor="background1" w:themeShade="1A"/>
          <w:sz w:val="20"/>
          <w:szCs w:val="20"/>
          <w:lang w:val="es-CO"/>
        </w:rPr>
      </w:pPr>
      <w:r w:rsidRPr="0091437B">
        <w:rPr>
          <w:rFonts w:ascii="Arial" w:hAnsi="Arial" w:cs="Arial"/>
          <w:color w:val="161616" w:themeColor="background1" w:themeShade="1A"/>
          <w:sz w:val="20"/>
          <w:szCs w:val="20"/>
          <w:lang w:val="es-CO"/>
        </w:rPr>
        <w:t>Finalmente, en cuanto al régimen jurídico de contratación de las empresas de servicios públicos, el artículo 31 de la Ley 142 de 1994 señala que «los contratos que celebren las entidades estatales que prestan los servicios públicos a los que se refiere esta Ley, y que tengan por objeto la prestación de esos servicios, se regirán por el parágrafo 1 del artículo 32 de la ley 80 de 1993 y por la presente Ley, salvo en lo que la presente Ley disponga otra cosa».</w:t>
      </w:r>
    </w:p>
    <w:p w14:paraId="50BF22DE" w14:textId="28215274" w:rsidR="00536968" w:rsidRPr="0091437B" w:rsidRDefault="002114F7" w:rsidP="00536968">
      <w:pPr>
        <w:jc w:val="both"/>
        <w:rPr>
          <w:rFonts w:ascii="Arial" w:hAnsi="Arial" w:cs="Arial"/>
          <w:color w:val="161616" w:themeColor="background1" w:themeShade="1A"/>
          <w:sz w:val="20"/>
          <w:szCs w:val="20"/>
          <w:lang w:val="es-CO"/>
        </w:rPr>
      </w:pPr>
      <w:r>
        <w:rPr>
          <w:rFonts w:ascii="Arial" w:hAnsi="Arial" w:cs="Arial"/>
          <w:color w:val="161616" w:themeColor="background1" w:themeShade="1A"/>
          <w:sz w:val="20"/>
          <w:szCs w:val="20"/>
          <w:lang w:val="es-CO"/>
        </w:rPr>
        <w:t xml:space="preserve">[…] </w:t>
      </w:r>
      <w:r w:rsidR="00536968" w:rsidRPr="0091437B">
        <w:rPr>
          <w:rFonts w:ascii="Arial" w:hAnsi="Arial" w:cs="Arial"/>
          <w:color w:val="161616" w:themeColor="background1" w:themeShade="1A"/>
          <w:sz w:val="20"/>
          <w:szCs w:val="20"/>
          <w:lang w:val="es-CO"/>
        </w:rPr>
        <w:t xml:space="preserve">Así las cosas, el régimen jurídico aplicable a los contratos que celebren las empresas de servicios públicos, incluso para las oficiales y las mixtas, es el contenido en la Ley 142 de 1994 y en el derecho privado, esto es, no están sometidas al Estatuto General de Contratación Estatal. Sin embargo, como ya se advirtió, eso no las exime del deber de publicar su actividad contractual, cuando ejecuten recursos públicos. </w:t>
      </w:r>
    </w:p>
    <w:p w14:paraId="642650C2" w14:textId="77777777" w:rsidR="000A5448" w:rsidRPr="0091437B" w:rsidRDefault="000A5448" w:rsidP="000A5448">
      <w:pPr>
        <w:jc w:val="both"/>
        <w:rPr>
          <w:rFonts w:ascii="Arial" w:eastAsia="Calibri" w:hAnsi="Arial" w:cs="Arial"/>
          <w:b/>
          <w:bCs/>
          <w:color w:val="161616" w:themeColor="background1" w:themeShade="1A"/>
          <w:sz w:val="22"/>
        </w:rPr>
      </w:pPr>
    </w:p>
    <w:p w14:paraId="2CF51B43" w14:textId="77777777" w:rsidR="000A5448" w:rsidRPr="0091437B" w:rsidRDefault="000A5448" w:rsidP="000A5448">
      <w:pPr>
        <w:jc w:val="both"/>
        <w:rPr>
          <w:rFonts w:ascii="Arial" w:eastAsia="Calibri" w:hAnsi="Arial" w:cs="Arial"/>
          <w:b/>
          <w:bCs/>
          <w:color w:val="161616" w:themeColor="background1" w:themeShade="1A"/>
          <w:sz w:val="22"/>
        </w:rPr>
      </w:pPr>
    </w:p>
    <w:p w14:paraId="409C9A9E" w14:textId="5DB5C8F4" w:rsidR="00EE0282" w:rsidRPr="0091437B" w:rsidRDefault="00EE0282" w:rsidP="00EE0282">
      <w:pPr>
        <w:spacing w:line="276" w:lineRule="auto"/>
        <w:rPr>
          <w:rFonts w:ascii="Arial" w:hAnsi="Arial" w:cs="Arial"/>
          <w:b/>
          <w:color w:val="161616" w:themeColor="background1" w:themeShade="1A"/>
          <w:sz w:val="22"/>
          <w:szCs w:val="20"/>
        </w:rPr>
      </w:pPr>
      <w:r w:rsidRPr="0091437B">
        <w:rPr>
          <w:rFonts w:ascii="Arial" w:hAnsi="Arial" w:cs="Arial"/>
          <w:color w:val="161616" w:themeColor="background1" w:themeShade="1A"/>
          <w:sz w:val="22"/>
          <w:szCs w:val="20"/>
        </w:rPr>
        <w:t xml:space="preserve">Bogotá D.C., </w:t>
      </w:r>
      <w:r w:rsidR="002F5DC4">
        <w:rPr>
          <w:rFonts w:ascii="Arial" w:hAnsi="Arial" w:cs="Arial"/>
          <w:b/>
          <w:color w:val="161616" w:themeColor="background1" w:themeShade="1A"/>
          <w:sz w:val="22"/>
          <w:szCs w:val="20"/>
        </w:rPr>
        <w:t>25/08/2020</w:t>
      </w:r>
    </w:p>
    <w:p w14:paraId="52E46E86" w14:textId="48C0D1C7" w:rsidR="00EE0282" w:rsidRPr="0091437B" w:rsidRDefault="00EE0282" w:rsidP="00EE0282">
      <w:pPr>
        <w:spacing w:line="276" w:lineRule="auto"/>
        <w:jc w:val="right"/>
        <w:rPr>
          <w:rFonts w:ascii="Arial" w:hAnsi="Arial" w:cs="Arial"/>
          <w:b/>
          <w:color w:val="161616" w:themeColor="background1" w:themeShade="1A"/>
          <w:sz w:val="22"/>
          <w:szCs w:val="20"/>
        </w:rPr>
      </w:pPr>
      <w:r w:rsidRPr="0091437B">
        <w:rPr>
          <w:rFonts w:ascii="Arial" w:hAnsi="Arial" w:cs="Arial"/>
          <w:b/>
          <w:color w:val="161616" w:themeColor="background1" w:themeShade="1A"/>
          <w:sz w:val="22"/>
          <w:szCs w:val="20"/>
        </w:rPr>
        <w:t xml:space="preserve">N° Radicado: </w:t>
      </w:r>
      <w:r w:rsidR="002F5DC4" w:rsidRPr="002F5DC4">
        <w:rPr>
          <w:rFonts w:ascii="Arial" w:hAnsi="Arial" w:cs="Arial"/>
          <w:b/>
          <w:color w:val="161616" w:themeColor="background1" w:themeShade="1A"/>
          <w:sz w:val="22"/>
          <w:szCs w:val="20"/>
        </w:rPr>
        <w:t>2202013000007890</w:t>
      </w:r>
    </w:p>
    <w:p w14:paraId="30F5D4ED" w14:textId="77777777" w:rsidR="000A5448" w:rsidRPr="0091437B" w:rsidRDefault="000A5448" w:rsidP="000A5448">
      <w:pPr>
        <w:rPr>
          <w:rFonts w:ascii="Arial" w:eastAsia="Calibri" w:hAnsi="Arial" w:cs="Arial"/>
          <w:color w:val="161616" w:themeColor="background1" w:themeShade="1A"/>
          <w:sz w:val="22"/>
        </w:rPr>
      </w:pPr>
    </w:p>
    <w:p w14:paraId="61F65738" w14:textId="77777777" w:rsidR="000A5448" w:rsidRPr="0091437B" w:rsidRDefault="000A5448" w:rsidP="000A5448">
      <w:pPr>
        <w:rPr>
          <w:rFonts w:ascii="Arial" w:eastAsia="Calibri" w:hAnsi="Arial" w:cs="Arial"/>
          <w:color w:val="161616" w:themeColor="background1" w:themeShade="1A"/>
          <w:sz w:val="22"/>
        </w:rPr>
      </w:pPr>
    </w:p>
    <w:p w14:paraId="427CF85A" w14:textId="77777777" w:rsidR="000A5448" w:rsidRPr="0091437B" w:rsidRDefault="000A5448" w:rsidP="000A5448">
      <w:pPr>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Señora</w:t>
      </w:r>
    </w:p>
    <w:p w14:paraId="4F507BF2" w14:textId="737C8456" w:rsidR="000A5448" w:rsidRPr="0091437B" w:rsidRDefault="00536968" w:rsidP="000A5448">
      <w:pPr>
        <w:rPr>
          <w:rFonts w:ascii="Arial" w:eastAsia="Calibri" w:hAnsi="Arial" w:cs="Arial"/>
          <w:b/>
          <w:color w:val="161616" w:themeColor="background1" w:themeShade="1A"/>
          <w:sz w:val="22"/>
        </w:rPr>
      </w:pPr>
      <w:r w:rsidRPr="0091437B">
        <w:rPr>
          <w:rFonts w:ascii="Arial" w:eastAsia="Calibri" w:hAnsi="Arial" w:cs="Arial"/>
          <w:b/>
          <w:color w:val="161616" w:themeColor="background1" w:themeShade="1A"/>
          <w:sz w:val="22"/>
        </w:rPr>
        <w:t>Andrea Carolina Olivares Linares</w:t>
      </w:r>
    </w:p>
    <w:p w14:paraId="5DAFD84A" w14:textId="5963B925" w:rsidR="000A5448" w:rsidRPr="0091437B" w:rsidRDefault="009D24D3" w:rsidP="000A5448">
      <w:pPr>
        <w:rPr>
          <w:rFonts w:ascii="Arial" w:eastAsia="Calibri" w:hAnsi="Arial" w:cs="Arial"/>
          <w:color w:val="161616" w:themeColor="background1" w:themeShade="1A"/>
          <w:sz w:val="22"/>
        </w:rPr>
      </w:pPr>
      <w:r>
        <w:rPr>
          <w:rFonts w:ascii="Arial" w:eastAsia="Calibri" w:hAnsi="Arial" w:cs="Arial"/>
          <w:color w:val="161616" w:themeColor="background1" w:themeShade="1A"/>
          <w:sz w:val="22"/>
        </w:rPr>
        <w:t>Bogotá D.C.</w:t>
      </w:r>
    </w:p>
    <w:p w14:paraId="3E0985DF" w14:textId="77777777" w:rsidR="000A5448" w:rsidRPr="0091437B" w:rsidRDefault="000A5448" w:rsidP="000A5448">
      <w:pPr>
        <w:rPr>
          <w:rFonts w:ascii="Arial" w:eastAsia="Calibri" w:hAnsi="Arial" w:cs="Arial"/>
          <w:b/>
          <w:bCs/>
          <w:color w:val="161616" w:themeColor="background1" w:themeShade="1A"/>
          <w:sz w:val="22"/>
        </w:rPr>
      </w:pPr>
    </w:p>
    <w:p w14:paraId="0E618093" w14:textId="77777777" w:rsidR="000A5448" w:rsidRPr="0091437B" w:rsidRDefault="000A5448" w:rsidP="000A5448">
      <w:pPr>
        <w:rPr>
          <w:rFonts w:ascii="Arial" w:eastAsia="Calibri" w:hAnsi="Arial" w:cs="Arial"/>
          <w:b/>
          <w:bCs/>
          <w:color w:val="161616" w:themeColor="background1" w:themeShade="1A"/>
          <w:sz w:val="22"/>
        </w:rPr>
      </w:pPr>
    </w:p>
    <w:p w14:paraId="4D8E4298" w14:textId="030E8E70" w:rsidR="000A5448" w:rsidRPr="0091437B" w:rsidRDefault="000A5448" w:rsidP="000A5448">
      <w:pPr>
        <w:rPr>
          <w:rFonts w:ascii="Arial" w:eastAsia="Calibri" w:hAnsi="Arial" w:cs="Arial"/>
          <w:b/>
          <w:bCs/>
          <w:color w:val="161616" w:themeColor="background1" w:themeShade="1A"/>
          <w:sz w:val="22"/>
        </w:rPr>
      </w:pPr>
      <w:r w:rsidRPr="0091437B">
        <w:rPr>
          <w:rFonts w:ascii="Arial" w:eastAsia="Calibri" w:hAnsi="Arial" w:cs="Arial"/>
          <w:b/>
          <w:bCs/>
          <w:color w:val="161616" w:themeColor="background1" w:themeShade="1A"/>
          <w:sz w:val="22"/>
        </w:rPr>
        <w:t xml:space="preserve">                                            Concepto C</w:t>
      </w:r>
      <w:r w:rsidR="00B03933" w:rsidRPr="0091437B">
        <w:rPr>
          <w:rFonts w:ascii="Arial" w:eastAsia="Calibri" w:hAnsi="Arial" w:cs="Arial"/>
          <w:b/>
          <w:bCs/>
          <w:color w:val="161616" w:themeColor="background1" w:themeShade="1A"/>
          <w:sz w:val="22"/>
        </w:rPr>
        <w:t xml:space="preserve"> </w:t>
      </w:r>
      <w:r w:rsidRPr="0091437B">
        <w:rPr>
          <w:rFonts w:ascii="Arial" w:eastAsia="Calibri" w:hAnsi="Arial" w:cs="Arial"/>
          <w:b/>
          <w:bCs/>
          <w:color w:val="161616" w:themeColor="background1" w:themeShade="1A"/>
          <w:sz w:val="22"/>
        </w:rPr>
        <w:t xml:space="preserve">‒ </w:t>
      </w:r>
      <w:r w:rsidR="00EE0282" w:rsidRPr="0091437B">
        <w:rPr>
          <w:rFonts w:ascii="Arial" w:eastAsia="Calibri" w:hAnsi="Arial" w:cs="Arial"/>
          <w:b/>
          <w:bCs/>
          <w:color w:val="161616" w:themeColor="background1" w:themeShade="1A"/>
          <w:sz w:val="22"/>
        </w:rPr>
        <w:t>559</w:t>
      </w:r>
      <w:r w:rsidRPr="0091437B">
        <w:rPr>
          <w:rFonts w:ascii="Arial" w:eastAsia="Calibri" w:hAnsi="Arial" w:cs="Arial"/>
          <w:b/>
          <w:bCs/>
          <w:color w:val="161616" w:themeColor="background1" w:themeShade="1A"/>
          <w:sz w:val="22"/>
        </w:rPr>
        <w:t xml:space="preserve"> de 2020</w:t>
      </w:r>
    </w:p>
    <w:p w14:paraId="659DAE16" w14:textId="77777777" w:rsidR="000A5448" w:rsidRPr="0091437B" w:rsidRDefault="000A5448" w:rsidP="000A5448">
      <w:pPr>
        <w:jc w:val="center"/>
        <w:rPr>
          <w:rFonts w:ascii="Arial" w:eastAsia="Calibri" w:hAnsi="Arial" w:cs="Arial"/>
          <w:b/>
          <w:bCs/>
          <w:color w:val="161616" w:themeColor="background1" w:themeShade="1A"/>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1437B" w:rsidRPr="0091437B" w14:paraId="645B7E8A" w14:textId="77777777" w:rsidTr="000A5448">
        <w:tc>
          <w:tcPr>
            <w:tcW w:w="2689" w:type="dxa"/>
          </w:tcPr>
          <w:p w14:paraId="5F1B6EE1" w14:textId="77777777" w:rsidR="000A5448" w:rsidRPr="0091437B" w:rsidRDefault="000A5448">
            <w:pPr>
              <w:rPr>
                <w:rFonts w:ascii="Arial" w:eastAsia="Calibri" w:hAnsi="Arial" w:cs="Arial"/>
                <w:color w:val="161616" w:themeColor="background1" w:themeShade="1A"/>
                <w:sz w:val="22"/>
              </w:rPr>
            </w:pPr>
            <w:r w:rsidRPr="0091437B">
              <w:rPr>
                <w:rFonts w:ascii="Arial" w:eastAsia="Calibri" w:hAnsi="Arial" w:cs="Arial"/>
                <w:b/>
                <w:color w:val="161616" w:themeColor="background1" w:themeShade="1A"/>
                <w:sz w:val="22"/>
              </w:rPr>
              <w:t>Temas:</w:t>
            </w:r>
            <w:r w:rsidRPr="0091437B">
              <w:rPr>
                <w:rFonts w:ascii="Arial" w:eastAsia="Calibri" w:hAnsi="Arial" w:cs="Arial"/>
                <w:color w:val="161616" w:themeColor="background1" w:themeShade="1A"/>
                <w:sz w:val="22"/>
              </w:rPr>
              <w:t xml:space="preserve">                                      </w:t>
            </w:r>
          </w:p>
        </w:tc>
        <w:tc>
          <w:tcPr>
            <w:tcW w:w="6237" w:type="dxa"/>
            <w:hideMark/>
          </w:tcPr>
          <w:p w14:paraId="3A798E79" w14:textId="44923157" w:rsidR="000A5448" w:rsidRPr="0091437B" w:rsidRDefault="000A5448" w:rsidP="00F41674">
            <w:pPr>
              <w:spacing w:after="120"/>
              <w:jc w:val="both"/>
              <w:rPr>
                <w:rFonts w:ascii="Arial" w:eastAsia="Calibri" w:hAnsi="Arial" w:cs="Arial"/>
                <w:color w:val="161616" w:themeColor="background1" w:themeShade="1A"/>
                <w:sz w:val="22"/>
                <w:highlight w:val="yellow"/>
              </w:rPr>
            </w:pPr>
            <w:r w:rsidRPr="0091437B">
              <w:rPr>
                <w:rFonts w:ascii="Arial" w:eastAsia="Calibri" w:hAnsi="Arial" w:cs="Arial"/>
                <w:color w:val="161616" w:themeColor="background1" w:themeShade="1A"/>
                <w:sz w:val="22"/>
              </w:rPr>
              <w:t>SECOP – Publicidad – Entidades de régimen especial / SECOP – Publicidad – Documentos / SECOP – Publicidad – Término</w:t>
            </w:r>
            <w:r w:rsidR="00536968" w:rsidRPr="0091437B">
              <w:rPr>
                <w:rFonts w:ascii="Arial" w:eastAsia="Calibri" w:hAnsi="Arial" w:cs="Arial"/>
                <w:color w:val="161616" w:themeColor="background1" w:themeShade="1A"/>
                <w:sz w:val="22"/>
              </w:rPr>
              <w:t xml:space="preserve"> / EMPRESAS DE SERVICIOS PÚBLICOS – Naturaleza jurídica especial / EMPRESAS DE SERVICIOS PUBLICOS – Régimen contractual</w:t>
            </w:r>
          </w:p>
        </w:tc>
      </w:tr>
      <w:tr w:rsidR="000A5448" w:rsidRPr="0091437B" w14:paraId="4165F079" w14:textId="77777777" w:rsidTr="000A5448">
        <w:tc>
          <w:tcPr>
            <w:tcW w:w="2689" w:type="dxa"/>
            <w:hideMark/>
          </w:tcPr>
          <w:p w14:paraId="25125205" w14:textId="77777777" w:rsidR="000A5448" w:rsidRPr="0091437B" w:rsidRDefault="000A5448">
            <w:pPr>
              <w:rPr>
                <w:rFonts w:ascii="Arial" w:eastAsia="Calibri" w:hAnsi="Arial" w:cs="Arial"/>
                <w:b/>
                <w:color w:val="161616" w:themeColor="background1" w:themeShade="1A"/>
                <w:sz w:val="22"/>
              </w:rPr>
            </w:pPr>
            <w:r w:rsidRPr="0091437B">
              <w:rPr>
                <w:rFonts w:ascii="Arial" w:eastAsia="Calibri" w:hAnsi="Arial" w:cs="Arial"/>
                <w:b/>
                <w:color w:val="161616" w:themeColor="background1" w:themeShade="1A"/>
                <w:sz w:val="22"/>
              </w:rPr>
              <w:t>Radicación:</w:t>
            </w:r>
            <w:r w:rsidRPr="0091437B">
              <w:rPr>
                <w:rFonts w:ascii="Arial" w:eastAsia="Calibri" w:hAnsi="Arial" w:cs="Arial"/>
                <w:color w:val="161616" w:themeColor="background1" w:themeShade="1A"/>
                <w:sz w:val="22"/>
              </w:rPr>
              <w:t xml:space="preserve">                              </w:t>
            </w:r>
          </w:p>
        </w:tc>
        <w:tc>
          <w:tcPr>
            <w:tcW w:w="6237" w:type="dxa"/>
            <w:hideMark/>
          </w:tcPr>
          <w:p w14:paraId="4AE15425" w14:textId="7195DE04" w:rsidR="000A5448" w:rsidRPr="0091437B" w:rsidRDefault="000A5448">
            <w:pPr>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Respuesta consulta # 420201</w:t>
            </w:r>
            <w:r w:rsidR="00EE0282" w:rsidRPr="0091437B">
              <w:rPr>
                <w:rFonts w:ascii="Arial" w:eastAsia="Calibri" w:hAnsi="Arial" w:cs="Arial"/>
                <w:color w:val="161616" w:themeColor="background1" w:themeShade="1A"/>
                <w:sz w:val="22"/>
              </w:rPr>
              <w:t>3</w:t>
            </w:r>
            <w:r w:rsidRPr="0091437B">
              <w:rPr>
                <w:rFonts w:ascii="Arial" w:eastAsia="Calibri" w:hAnsi="Arial" w:cs="Arial"/>
                <w:color w:val="161616" w:themeColor="background1" w:themeShade="1A"/>
                <w:sz w:val="22"/>
              </w:rPr>
              <w:t>00000</w:t>
            </w:r>
            <w:r w:rsidR="00EE0282" w:rsidRPr="0091437B">
              <w:rPr>
                <w:rFonts w:ascii="Arial" w:eastAsia="Calibri" w:hAnsi="Arial" w:cs="Arial"/>
                <w:color w:val="161616" w:themeColor="background1" w:themeShade="1A"/>
                <w:sz w:val="22"/>
              </w:rPr>
              <w:t>7</w:t>
            </w:r>
            <w:r w:rsidRPr="0091437B">
              <w:rPr>
                <w:rFonts w:ascii="Arial" w:eastAsia="Calibri" w:hAnsi="Arial" w:cs="Arial"/>
                <w:color w:val="161616" w:themeColor="background1" w:themeShade="1A"/>
                <w:sz w:val="22"/>
              </w:rPr>
              <w:t>0</w:t>
            </w:r>
            <w:r w:rsidR="00EE0282" w:rsidRPr="0091437B">
              <w:rPr>
                <w:rFonts w:ascii="Arial" w:eastAsia="Calibri" w:hAnsi="Arial" w:cs="Arial"/>
                <w:color w:val="161616" w:themeColor="background1" w:themeShade="1A"/>
                <w:sz w:val="22"/>
              </w:rPr>
              <w:t>04</w:t>
            </w:r>
          </w:p>
        </w:tc>
      </w:tr>
    </w:tbl>
    <w:p w14:paraId="7EC73469" w14:textId="77777777" w:rsidR="000A5448" w:rsidRPr="0091437B" w:rsidRDefault="000A5448" w:rsidP="000A5448">
      <w:pPr>
        <w:jc w:val="both"/>
        <w:rPr>
          <w:rFonts w:ascii="Arial" w:eastAsia="Calibri" w:hAnsi="Arial" w:cs="Arial"/>
          <w:b/>
          <w:bCs/>
          <w:color w:val="161616" w:themeColor="background1" w:themeShade="1A"/>
          <w:sz w:val="22"/>
        </w:rPr>
      </w:pPr>
    </w:p>
    <w:p w14:paraId="3B3293E9" w14:textId="77777777" w:rsidR="000A5448" w:rsidRPr="0091437B" w:rsidRDefault="000A5448" w:rsidP="000A5448">
      <w:pPr>
        <w:rPr>
          <w:rFonts w:ascii="Arial" w:eastAsia="Calibri" w:hAnsi="Arial" w:cs="Arial"/>
          <w:color w:val="161616" w:themeColor="background1" w:themeShade="1A"/>
          <w:sz w:val="22"/>
        </w:rPr>
      </w:pPr>
    </w:p>
    <w:p w14:paraId="1E611D8D" w14:textId="0BAAC48F" w:rsidR="000A5448" w:rsidRPr="0091437B" w:rsidRDefault="000A5448" w:rsidP="000A5448">
      <w:pPr>
        <w:spacing w:line="276" w:lineRule="auto"/>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Estimada señora </w:t>
      </w:r>
      <w:r w:rsidR="00536968" w:rsidRPr="0091437B">
        <w:rPr>
          <w:rFonts w:ascii="Arial" w:eastAsia="Calibri" w:hAnsi="Arial" w:cs="Arial"/>
          <w:color w:val="161616" w:themeColor="background1" w:themeShade="1A"/>
          <w:sz w:val="22"/>
        </w:rPr>
        <w:t>Olivares</w:t>
      </w:r>
      <w:r w:rsidRPr="0091437B">
        <w:rPr>
          <w:rFonts w:ascii="Arial" w:eastAsia="Calibri" w:hAnsi="Arial" w:cs="Arial"/>
          <w:color w:val="161616" w:themeColor="background1" w:themeShade="1A"/>
          <w:sz w:val="22"/>
        </w:rPr>
        <w:t>:</w:t>
      </w:r>
    </w:p>
    <w:p w14:paraId="0EB75DC7" w14:textId="77777777" w:rsidR="000A5448" w:rsidRPr="0091437B" w:rsidRDefault="000A5448" w:rsidP="000A5448">
      <w:pPr>
        <w:spacing w:line="276" w:lineRule="auto"/>
        <w:jc w:val="both"/>
        <w:rPr>
          <w:rFonts w:ascii="Arial" w:eastAsia="Calibri" w:hAnsi="Arial" w:cs="Arial"/>
          <w:color w:val="161616" w:themeColor="background1" w:themeShade="1A"/>
          <w:sz w:val="22"/>
        </w:rPr>
      </w:pPr>
    </w:p>
    <w:p w14:paraId="2B954D92" w14:textId="39CA67B7" w:rsidR="000A5448" w:rsidRPr="0091437B" w:rsidRDefault="000A5448" w:rsidP="000A5448">
      <w:pPr>
        <w:spacing w:line="276" w:lineRule="auto"/>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En ejercicio de la competencia otorgada por el numeral 8 del artículo 11 y el numeral 5 del artículo 3 del Decreto Ley 4170 de 2011, la Agencia Nacional de Contratación Pública </w:t>
      </w:r>
      <w:r w:rsidR="007F4145">
        <w:rPr>
          <w:rFonts w:ascii="Arial" w:eastAsia="Calibri" w:hAnsi="Arial" w:cs="Arial"/>
          <w:color w:val="161616" w:themeColor="background1" w:themeShade="1A"/>
          <w:sz w:val="22"/>
        </w:rPr>
        <w:t>–</w:t>
      </w:r>
      <w:r w:rsidRPr="0091437B">
        <w:rPr>
          <w:rFonts w:ascii="Arial" w:eastAsia="Calibri" w:hAnsi="Arial" w:cs="Arial"/>
          <w:color w:val="161616" w:themeColor="background1" w:themeShade="1A"/>
          <w:sz w:val="22"/>
        </w:rPr>
        <w:t xml:space="preserve"> Colombia Compra Eficiente responde su consulta </w:t>
      </w:r>
      <w:r w:rsidR="0037392A">
        <w:rPr>
          <w:rFonts w:ascii="Arial" w:eastAsia="Calibri" w:hAnsi="Arial" w:cs="Arial"/>
          <w:color w:val="161616" w:themeColor="background1" w:themeShade="1A"/>
          <w:sz w:val="22"/>
        </w:rPr>
        <w:t xml:space="preserve">remitida </w:t>
      </w:r>
      <w:r w:rsidRPr="0091437B">
        <w:rPr>
          <w:rFonts w:ascii="Arial" w:eastAsia="Calibri" w:hAnsi="Arial" w:cs="Arial"/>
          <w:color w:val="161616" w:themeColor="background1" w:themeShade="1A"/>
          <w:sz w:val="22"/>
        </w:rPr>
        <w:t>el</w:t>
      </w:r>
      <w:r w:rsidR="00EE0282" w:rsidRPr="0091437B">
        <w:rPr>
          <w:rFonts w:ascii="Arial" w:eastAsia="Calibri" w:hAnsi="Arial" w:cs="Arial"/>
          <w:color w:val="161616" w:themeColor="background1" w:themeShade="1A"/>
          <w:sz w:val="22"/>
        </w:rPr>
        <w:t xml:space="preserve"> 1</w:t>
      </w:r>
      <w:r w:rsidR="0037392A">
        <w:rPr>
          <w:rFonts w:ascii="Arial" w:eastAsia="Calibri" w:hAnsi="Arial" w:cs="Arial"/>
          <w:color w:val="161616" w:themeColor="background1" w:themeShade="1A"/>
          <w:sz w:val="22"/>
        </w:rPr>
        <w:t>3</w:t>
      </w:r>
      <w:r w:rsidRPr="0091437B">
        <w:rPr>
          <w:rFonts w:ascii="Arial" w:eastAsia="Calibri" w:hAnsi="Arial" w:cs="Arial"/>
          <w:color w:val="161616" w:themeColor="background1" w:themeShade="1A"/>
          <w:sz w:val="22"/>
        </w:rPr>
        <w:t xml:space="preserve"> de </w:t>
      </w:r>
      <w:r w:rsidR="00EE0282" w:rsidRPr="0091437B">
        <w:rPr>
          <w:rFonts w:ascii="Arial" w:eastAsia="Calibri" w:hAnsi="Arial" w:cs="Arial"/>
          <w:color w:val="161616" w:themeColor="background1" w:themeShade="1A"/>
          <w:sz w:val="22"/>
        </w:rPr>
        <w:t>agosto</w:t>
      </w:r>
      <w:r w:rsidRPr="0091437B">
        <w:rPr>
          <w:rFonts w:ascii="Arial" w:eastAsia="Calibri" w:hAnsi="Arial" w:cs="Arial"/>
          <w:color w:val="161616" w:themeColor="background1" w:themeShade="1A"/>
          <w:sz w:val="22"/>
        </w:rPr>
        <w:t xml:space="preserve"> del 2020</w:t>
      </w:r>
      <w:r w:rsidR="00536968" w:rsidRPr="0091437B">
        <w:rPr>
          <w:rFonts w:ascii="Arial" w:eastAsia="Calibri" w:hAnsi="Arial" w:cs="Arial"/>
          <w:color w:val="161616" w:themeColor="background1" w:themeShade="1A"/>
          <w:sz w:val="22"/>
        </w:rPr>
        <w:t xml:space="preserve"> por la Superintendencia de Servicios Públicos Domiciliarios</w:t>
      </w:r>
      <w:r w:rsidR="0037392A">
        <w:rPr>
          <w:rFonts w:ascii="Arial" w:eastAsia="Calibri" w:hAnsi="Arial" w:cs="Arial"/>
          <w:color w:val="161616" w:themeColor="background1" w:themeShade="1A"/>
          <w:sz w:val="22"/>
        </w:rPr>
        <w:t>,</w:t>
      </w:r>
      <w:r w:rsidR="00536968" w:rsidRPr="0091437B">
        <w:rPr>
          <w:rFonts w:ascii="Arial" w:eastAsia="Calibri" w:hAnsi="Arial" w:cs="Arial"/>
          <w:color w:val="161616" w:themeColor="background1" w:themeShade="1A"/>
          <w:sz w:val="22"/>
        </w:rPr>
        <w:t xml:space="preserve"> mediante oficio No. 20204240013941.</w:t>
      </w:r>
    </w:p>
    <w:p w14:paraId="19CDAF4F" w14:textId="77777777" w:rsidR="000A5448" w:rsidRPr="0091437B" w:rsidRDefault="000A5448" w:rsidP="000A5448">
      <w:pPr>
        <w:spacing w:line="276" w:lineRule="auto"/>
        <w:jc w:val="both"/>
        <w:rPr>
          <w:rFonts w:ascii="Arial" w:eastAsia="Calibri" w:hAnsi="Arial" w:cs="Arial"/>
          <w:b/>
          <w:color w:val="161616" w:themeColor="background1" w:themeShade="1A"/>
          <w:sz w:val="22"/>
        </w:rPr>
      </w:pPr>
    </w:p>
    <w:p w14:paraId="02CB384E" w14:textId="76F418B4" w:rsidR="000A5448" w:rsidRPr="0091437B" w:rsidRDefault="000A5448" w:rsidP="000A5448">
      <w:pPr>
        <w:pStyle w:val="Prrafodelista"/>
        <w:tabs>
          <w:tab w:val="left" w:pos="0"/>
          <w:tab w:val="left" w:pos="142"/>
          <w:tab w:val="left" w:pos="284"/>
        </w:tabs>
        <w:spacing w:line="276" w:lineRule="auto"/>
        <w:ind w:left="0"/>
        <w:jc w:val="both"/>
        <w:rPr>
          <w:rFonts w:ascii="Arial" w:eastAsia="Calibri" w:hAnsi="Arial" w:cs="Arial"/>
          <w:b/>
          <w:color w:val="161616" w:themeColor="background1" w:themeShade="1A"/>
          <w:sz w:val="22"/>
        </w:rPr>
      </w:pPr>
      <w:r w:rsidRPr="0091437B">
        <w:rPr>
          <w:rFonts w:ascii="Arial" w:eastAsia="Calibri" w:hAnsi="Arial" w:cs="Arial"/>
          <w:b/>
          <w:color w:val="161616" w:themeColor="background1" w:themeShade="1A"/>
          <w:sz w:val="22"/>
        </w:rPr>
        <w:t>1. Problema</w:t>
      </w:r>
      <w:r w:rsidR="00536968" w:rsidRPr="0091437B">
        <w:rPr>
          <w:rFonts w:ascii="Arial" w:eastAsia="Calibri" w:hAnsi="Arial" w:cs="Arial"/>
          <w:b/>
          <w:color w:val="161616" w:themeColor="background1" w:themeShade="1A"/>
          <w:sz w:val="22"/>
        </w:rPr>
        <w:t xml:space="preserve"> </w:t>
      </w:r>
      <w:r w:rsidRPr="0091437B">
        <w:rPr>
          <w:rFonts w:ascii="Arial" w:eastAsia="Calibri" w:hAnsi="Arial" w:cs="Arial"/>
          <w:b/>
          <w:color w:val="161616" w:themeColor="background1" w:themeShade="1A"/>
          <w:sz w:val="22"/>
        </w:rPr>
        <w:t>planteado</w:t>
      </w:r>
    </w:p>
    <w:p w14:paraId="493BAA34" w14:textId="77777777" w:rsidR="000A5448" w:rsidRPr="0091437B" w:rsidRDefault="000A5448" w:rsidP="000A5448">
      <w:pPr>
        <w:tabs>
          <w:tab w:val="left" w:pos="426"/>
        </w:tabs>
        <w:spacing w:line="276" w:lineRule="auto"/>
        <w:jc w:val="both"/>
        <w:rPr>
          <w:rFonts w:ascii="Arial" w:eastAsia="Calibri" w:hAnsi="Arial" w:cs="Arial"/>
          <w:b/>
          <w:color w:val="161616" w:themeColor="background1" w:themeShade="1A"/>
          <w:sz w:val="22"/>
        </w:rPr>
      </w:pPr>
    </w:p>
    <w:p w14:paraId="10FD6AA2" w14:textId="377A1596" w:rsidR="000A5448" w:rsidRPr="0091437B" w:rsidRDefault="000A5448" w:rsidP="0037392A">
      <w:pPr>
        <w:tabs>
          <w:tab w:val="left" w:pos="426"/>
        </w:tabs>
        <w:spacing w:line="276" w:lineRule="auto"/>
        <w:jc w:val="both"/>
        <w:rPr>
          <w:rFonts w:ascii="Arial" w:eastAsia="Calibri" w:hAnsi="Arial" w:cs="Arial"/>
          <w:color w:val="161616" w:themeColor="background1" w:themeShade="1A"/>
          <w:sz w:val="22"/>
        </w:rPr>
      </w:pPr>
      <w:bookmarkStart w:id="5" w:name="_Hlk45491920"/>
      <w:r w:rsidRPr="0091437B">
        <w:rPr>
          <w:rFonts w:ascii="Arial" w:eastAsia="Calibri" w:hAnsi="Arial" w:cs="Arial"/>
          <w:color w:val="161616" w:themeColor="background1" w:themeShade="1A"/>
          <w:sz w:val="22"/>
        </w:rPr>
        <w:lastRenderedPageBreak/>
        <w:t>Usted formuló la siguiente pregunta: «</w:t>
      </w:r>
      <w:r w:rsidRPr="0091437B">
        <w:rPr>
          <w:rFonts w:ascii="Arial" w:hAnsi="Arial" w:cs="Arial"/>
          <w:color w:val="161616" w:themeColor="background1" w:themeShade="1A"/>
          <w:sz w:val="22"/>
        </w:rPr>
        <w:t xml:space="preserve">[…] </w:t>
      </w:r>
      <w:r w:rsidR="0091437B" w:rsidRPr="0091437B">
        <w:rPr>
          <w:rFonts w:ascii="Arial" w:eastAsia="Calibri" w:hAnsi="Arial" w:cs="Arial"/>
          <w:color w:val="161616" w:themeColor="background1" w:themeShade="1A"/>
          <w:sz w:val="22"/>
        </w:rPr>
        <w:t>Nosotros CAFUCHES S.A. E.S.P., queremos saber si estamos obligados a reportar nuestra información contractual al SECOP</w:t>
      </w:r>
      <w:r w:rsidR="0037392A">
        <w:rPr>
          <w:rFonts w:ascii="Arial" w:eastAsia="Calibri" w:hAnsi="Arial" w:cs="Arial"/>
          <w:color w:val="161616" w:themeColor="background1" w:themeShade="1A"/>
          <w:sz w:val="22"/>
        </w:rPr>
        <w:t xml:space="preserve">. </w:t>
      </w:r>
      <w:r w:rsidR="0037392A" w:rsidRPr="0037392A">
        <w:rPr>
          <w:rFonts w:ascii="Arial" w:eastAsia="Calibri" w:hAnsi="Arial" w:cs="Arial"/>
          <w:color w:val="161616" w:themeColor="background1" w:themeShade="1A"/>
          <w:sz w:val="22"/>
        </w:rPr>
        <w:t>Estamos ubicados en el municipio de San Martín de los Llanos, y nuestro capital social es 100% público</w:t>
      </w:r>
      <w:r w:rsidRPr="0091437B">
        <w:rPr>
          <w:rFonts w:ascii="Arial" w:eastAsia="Calibri" w:hAnsi="Arial" w:cs="Arial"/>
          <w:color w:val="161616" w:themeColor="background1" w:themeShade="1A"/>
          <w:sz w:val="22"/>
        </w:rPr>
        <w:t xml:space="preserve"> </w:t>
      </w:r>
      <w:r w:rsidRPr="0091437B">
        <w:rPr>
          <w:rFonts w:ascii="Arial" w:hAnsi="Arial" w:cs="Arial"/>
          <w:color w:val="161616" w:themeColor="background1" w:themeShade="1A"/>
          <w:sz w:val="22"/>
        </w:rPr>
        <w:t>[…]»</w:t>
      </w:r>
      <w:bookmarkEnd w:id="5"/>
      <w:r w:rsidRPr="0091437B">
        <w:rPr>
          <w:rFonts w:ascii="Arial" w:eastAsia="Calibri" w:hAnsi="Arial" w:cs="Arial"/>
          <w:color w:val="161616" w:themeColor="background1" w:themeShade="1A"/>
          <w:sz w:val="22"/>
        </w:rPr>
        <w:t>.</w:t>
      </w:r>
    </w:p>
    <w:p w14:paraId="64F075E2" w14:textId="77777777" w:rsidR="000A5448" w:rsidRPr="0091437B" w:rsidRDefault="000A5448" w:rsidP="000A5448">
      <w:pPr>
        <w:tabs>
          <w:tab w:val="left" w:pos="426"/>
        </w:tabs>
        <w:jc w:val="both"/>
        <w:rPr>
          <w:rFonts w:ascii="Arial" w:eastAsia="Calibri" w:hAnsi="Arial" w:cs="Arial"/>
          <w:color w:val="161616" w:themeColor="background1" w:themeShade="1A"/>
          <w:sz w:val="22"/>
        </w:rPr>
      </w:pPr>
    </w:p>
    <w:p w14:paraId="77E73F4E" w14:textId="77777777" w:rsidR="000A5448" w:rsidRPr="0091437B" w:rsidRDefault="000A5448" w:rsidP="000A5448">
      <w:pPr>
        <w:pStyle w:val="Prrafodelista"/>
        <w:tabs>
          <w:tab w:val="left" w:pos="0"/>
          <w:tab w:val="left" w:pos="284"/>
        </w:tabs>
        <w:ind w:left="0"/>
        <w:jc w:val="both"/>
        <w:rPr>
          <w:rFonts w:ascii="Arial" w:eastAsia="Calibri" w:hAnsi="Arial" w:cs="Arial"/>
          <w:b/>
          <w:color w:val="161616" w:themeColor="background1" w:themeShade="1A"/>
          <w:sz w:val="22"/>
        </w:rPr>
      </w:pPr>
      <w:r w:rsidRPr="0091437B">
        <w:rPr>
          <w:rFonts w:ascii="Arial" w:eastAsia="Calibri" w:hAnsi="Arial" w:cs="Arial"/>
          <w:b/>
          <w:color w:val="161616" w:themeColor="background1" w:themeShade="1A"/>
          <w:sz w:val="22"/>
        </w:rPr>
        <w:t>2. Consideraciones</w:t>
      </w:r>
    </w:p>
    <w:p w14:paraId="7D749C3A" w14:textId="77777777" w:rsidR="000A5448" w:rsidRPr="0091437B" w:rsidRDefault="000A5448" w:rsidP="000A5448">
      <w:pPr>
        <w:pStyle w:val="Prrafodelista"/>
        <w:tabs>
          <w:tab w:val="left" w:pos="0"/>
          <w:tab w:val="left" w:pos="284"/>
        </w:tabs>
        <w:ind w:left="0"/>
        <w:jc w:val="both"/>
        <w:rPr>
          <w:rFonts w:ascii="Arial" w:eastAsia="Calibri" w:hAnsi="Arial" w:cs="Arial"/>
          <w:b/>
          <w:color w:val="161616" w:themeColor="background1" w:themeShade="1A"/>
          <w:sz w:val="22"/>
        </w:rPr>
      </w:pPr>
    </w:p>
    <w:p w14:paraId="252A217D" w14:textId="799CD945" w:rsidR="000A5448" w:rsidRPr="0091437B" w:rsidRDefault="000A5448" w:rsidP="00F41674">
      <w:pPr>
        <w:spacing w:line="276" w:lineRule="auto"/>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Para desarrollar </w:t>
      </w:r>
      <w:r w:rsidR="00AB648C">
        <w:rPr>
          <w:rFonts w:ascii="Arial" w:eastAsia="Calibri" w:hAnsi="Arial" w:cs="Arial"/>
          <w:color w:val="161616" w:themeColor="background1" w:themeShade="1A"/>
          <w:sz w:val="22"/>
        </w:rPr>
        <w:t>el</w:t>
      </w:r>
      <w:r w:rsidRPr="0091437B">
        <w:rPr>
          <w:rFonts w:ascii="Arial" w:eastAsia="Calibri" w:hAnsi="Arial" w:cs="Arial"/>
          <w:color w:val="161616" w:themeColor="background1" w:themeShade="1A"/>
          <w:sz w:val="22"/>
        </w:rPr>
        <w:t xml:space="preserve"> problema planteado</w:t>
      </w:r>
      <w:r w:rsidR="00AB648C">
        <w:rPr>
          <w:rFonts w:ascii="Arial" w:eastAsia="Calibri" w:hAnsi="Arial" w:cs="Arial"/>
          <w:color w:val="161616" w:themeColor="background1" w:themeShade="1A"/>
          <w:sz w:val="22"/>
        </w:rPr>
        <w:t>,</w:t>
      </w:r>
      <w:r w:rsidRPr="0091437B">
        <w:rPr>
          <w:rFonts w:ascii="Arial" w:eastAsia="Calibri" w:hAnsi="Arial" w:cs="Arial"/>
          <w:color w:val="161616" w:themeColor="background1" w:themeShade="1A"/>
          <w:sz w:val="22"/>
        </w:rPr>
        <w:t xml:space="preserve"> se explicará</w:t>
      </w:r>
      <w:r w:rsidR="00AB648C">
        <w:rPr>
          <w:rFonts w:ascii="Arial" w:eastAsia="Calibri" w:hAnsi="Arial" w:cs="Arial"/>
          <w:color w:val="161616" w:themeColor="background1" w:themeShade="1A"/>
          <w:sz w:val="22"/>
        </w:rPr>
        <w:t xml:space="preserve"> </w:t>
      </w:r>
      <w:r w:rsidR="00A75258">
        <w:rPr>
          <w:rFonts w:ascii="Arial" w:eastAsia="Calibri" w:hAnsi="Arial" w:cs="Arial"/>
          <w:color w:val="161616" w:themeColor="background1" w:themeShade="1A"/>
          <w:sz w:val="22"/>
        </w:rPr>
        <w:t>la publicidad de la información contractual en el SECOP</w:t>
      </w:r>
      <w:r w:rsidRPr="0091437B">
        <w:rPr>
          <w:rFonts w:ascii="Arial" w:eastAsia="Calibri" w:hAnsi="Arial" w:cs="Arial"/>
          <w:color w:val="161616" w:themeColor="background1" w:themeShade="1A"/>
          <w:sz w:val="22"/>
        </w:rPr>
        <w:t xml:space="preserve">. </w:t>
      </w:r>
      <w:r w:rsidRPr="0091437B">
        <w:rPr>
          <w:rFonts w:ascii="Arial" w:eastAsia="Calibri" w:hAnsi="Arial" w:cs="Arial"/>
          <w:bCs/>
          <w:color w:val="161616" w:themeColor="background1" w:themeShade="1A"/>
          <w:sz w:val="22"/>
        </w:rPr>
        <w:t>La Agencia Nacional de Contratación Pública estudió este tema en la consulta No. 4201913000005397 del 9 de agosto de 2019 y reiteró la posición en l</w:t>
      </w:r>
      <w:r w:rsidR="00D22EAD" w:rsidRPr="0091437B">
        <w:rPr>
          <w:rFonts w:ascii="Arial" w:eastAsia="Calibri" w:hAnsi="Arial" w:cs="Arial"/>
          <w:bCs/>
          <w:color w:val="161616" w:themeColor="background1" w:themeShade="1A"/>
          <w:sz w:val="22"/>
        </w:rPr>
        <w:t>o</w:t>
      </w:r>
      <w:r w:rsidRPr="0091437B">
        <w:rPr>
          <w:rFonts w:ascii="Arial" w:eastAsia="Calibri" w:hAnsi="Arial" w:cs="Arial"/>
          <w:bCs/>
          <w:color w:val="161616" w:themeColor="background1" w:themeShade="1A"/>
          <w:sz w:val="22"/>
        </w:rPr>
        <w:t xml:space="preserve">s siguientes conceptos: 4201912000006611 del 25 de septiembre de 2019, </w:t>
      </w:r>
      <w:r w:rsidRPr="0091437B">
        <w:rPr>
          <w:rFonts w:ascii="Arial" w:hAnsi="Arial" w:cs="Arial"/>
          <w:color w:val="161616" w:themeColor="background1" w:themeShade="1A"/>
          <w:sz w:val="22"/>
        </w:rPr>
        <w:t xml:space="preserve">4201913000006847 del 4 de octubre de 2019, </w:t>
      </w:r>
      <w:r w:rsidRPr="0091437B">
        <w:rPr>
          <w:rFonts w:ascii="Arial" w:eastAsia="Calibri" w:hAnsi="Arial" w:cs="Arial"/>
          <w:bCs/>
          <w:color w:val="161616" w:themeColor="background1" w:themeShade="1A"/>
          <w:sz w:val="22"/>
        </w:rPr>
        <w:t>4201912000007762 del 18 de noviembre de 2019, 4201912000007828 del 13 de noviembre de 2019</w:t>
      </w:r>
      <w:r w:rsidR="00EE0282" w:rsidRPr="0091437B">
        <w:rPr>
          <w:rFonts w:ascii="Arial" w:eastAsia="Calibri" w:hAnsi="Arial" w:cs="Arial"/>
          <w:bCs/>
          <w:color w:val="161616" w:themeColor="background1" w:themeShade="1A"/>
          <w:sz w:val="22"/>
        </w:rPr>
        <w:t xml:space="preserve">, </w:t>
      </w:r>
      <w:r w:rsidRPr="0091437B">
        <w:rPr>
          <w:rFonts w:ascii="Arial" w:eastAsia="Calibri" w:hAnsi="Arial" w:cs="Arial"/>
          <w:bCs/>
          <w:color w:val="161616" w:themeColor="background1" w:themeShade="1A"/>
          <w:sz w:val="22"/>
        </w:rPr>
        <w:t>CU-003 del 15 de enero de 2020</w:t>
      </w:r>
      <w:r w:rsidR="0043243C" w:rsidRPr="0091437B">
        <w:rPr>
          <w:rFonts w:ascii="Arial" w:eastAsia="Calibri" w:hAnsi="Arial" w:cs="Arial"/>
          <w:bCs/>
          <w:color w:val="161616" w:themeColor="background1" w:themeShade="1A"/>
          <w:sz w:val="22"/>
        </w:rPr>
        <w:t>, C-116 del 18 de febrero de 2020</w:t>
      </w:r>
      <w:r w:rsidR="00A75258">
        <w:rPr>
          <w:rFonts w:ascii="Arial" w:eastAsia="Calibri" w:hAnsi="Arial" w:cs="Arial"/>
          <w:bCs/>
          <w:color w:val="161616" w:themeColor="background1" w:themeShade="1A"/>
          <w:sz w:val="22"/>
        </w:rPr>
        <w:t>, C-468 del 24 de julio de 2020</w:t>
      </w:r>
      <w:r w:rsidR="0043243C" w:rsidRPr="0091437B">
        <w:rPr>
          <w:rFonts w:ascii="Arial" w:eastAsia="Calibri" w:hAnsi="Arial" w:cs="Arial"/>
          <w:bCs/>
          <w:color w:val="161616" w:themeColor="background1" w:themeShade="1A"/>
          <w:sz w:val="22"/>
        </w:rPr>
        <w:t xml:space="preserve"> y C-449 del 5 de agosto de 2020</w:t>
      </w:r>
      <w:r w:rsidRPr="0091437B">
        <w:rPr>
          <w:rFonts w:ascii="Arial" w:hAnsi="Arial" w:cs="Arial"/>
          <w:color w:val="161616" w:themeColor="background1" w:themeShade="1A"/>
          <w:sz w:val="22"/>
        </w:rPr>
        <w:t xml:space="preserve">. </w:t>
      </w:r>
      <w:r w:rsidR="00A75258">
        <w:rPr>
          <w:rFonts w:ascii="Arial" w:eastAsia="Calibri" w:hAnsi="Arial" w:cs="Arial"/>
          <w:color w:val="161616" w:themeColor="background1" w:themeShade="1A"/>
          <w:sz w:val="22"/>
        </w:rPr>
        <w:t>La tesis de estos conceptos</w:t>
      </w:r>
      <w:r w:rsidRPr="0091437B">
        <w:rPr>
          <w:rFonts w:ascii="Arial" w:eastAsia="Calibri" w:hAnsi="Arial" w:cs="Arial"/>
          <w:color w:val="161616" w:themeColor="background1" w:themeShade="1A"/>
          <w:sz w:val="22"/>
        </w:rPr>
        <w:t xml:space="preserve"> se reitera a continuación:</w:t>
      </w:r>
      <w:r w:rsidRPr="0091437B">
        <w:rPr>
          <w:rFonts w:ascii="Arial" w:hAnsi="Arial" w:cs="Arial"/>
          <w:color w:val="161616" w:themeColor="background1" w:themeShade="1A"/>
          <w:sz w:val="22"/>
        </w:rPr>
        <w:t xml:space="preserve"> </w:t>
      </w:r>
    </w:p>
    <w:p w14:paraId="5C538EA7" w14:textId="2DB1B027" w:rsidR="000A5448" w:rsidRDefault="000A5448" w:rsidP="000A5448">
      <w:pPr>
        <w:spacing w:line="276" w:lineRule="auto"/>
        <w:jc w:val="both"/>
        <w:rPr>
          <w:rFonts w:ascii="Arial" w:eastAsia="Calibri" w:hAnsi="Arial" w:cs="Arial"/>
          <w:color w:val="161616" w:themeColor="background1" w:themeShade="1A"/>
          <w:sz w:val="22"/>
        </w:rPr>
      </w:pPr>
    </w:p>
    <w:p w14:paraId="15A304D1" w14:textId="30B752A2" w:rsidR="00422317" w:rsidRPr="0091437B" w:rsidRDefault="00422317" w:rsidP="00422317">
      <w:pPr>
        <w:spacing w:line="276" w:lineRule="auto"/>
        <w:jc w:val="both"/>
        <w:rPr>
          <w:rFonts w:ascii="Arial" w:hAnsi="Arial" w:cs="Arial"/>
          <w:b/>
          <w:color w:val="161616" w:themeColor="background1" w:themeShade="1A"/>
          <w:sz w:val="22"/>
          <w:lang w:val="es-CO"/>
        </w:rPr>
      </w:pPr>
      <w:r w:rsidRPr="0091437B">
        <w:rPr>
          <w:rFonts w:ascii="Arial" w:hAnsi="Arial" w:cs="Arial"/>
          <w:b/>
          <w:color w:val="161616" w:themeColor="background1" w:themeShade="1A"/>
          <w:sz w:val="22"/>
          <w:lang w:val="es-CO"/>
        </w:rPr>
        <w:t>2.</w:t>
      </w:r>
      <w:r>
        <w:rPr>
          <w:rFonts w:ascii="Arial" w:hAnsi="Arial" w:cs="Arial"/>
          <w:b/>
          <w:color w:val="161616" w:themeColor="background1" w:themeShade="1A"/>
          <w:sz w:val="22"/>
          <w:lang w:val="es-CO"/>
        </w:rPr>
        <w:t>1</w:t>
      </w:r>
      <w:r w:rsidRPr="0091437B">
        <w:rPr>
          <w:rFonts w:ascii="Arial" w:hAnsi="Arial" w:cs="Arial"/>
          <w:b/>
          <w:color w:val="161616" w:themeColor="background1" w:themeShade="1A"/>
          <w:sz w:val="22"/>
          <w:lang w:val="es-CO"/>
        </w:rPr>
        <w:t xml:space="preserve">. Empresas de servicios públicos domiciliarios </w:t>
      </w:r>
    </w:p>
    <w:p w14:paraId="29FC84F1" w14:textId="77777777" w:rsidR="00422317" w:rsidRPr="0091437B" w:rsidRDefault="00422317" w:rsidP="00422317">
      <w:pPr>
        <w:spacing w:line="276" w:lineRule="auto"/>
        <w:jc w:val="both"/>
        <w:rPr>
          <w:rFonts w:ascii="Arial" w:hAnsi="Arial" w:cs="Arial"/>
          <w:color w:val="161616" w:themeColor="background1" w:themeShade="1A"/>
          <w:sz w:val="22"/>
          <w:lang w:val="es-CO"/>
        </w:rPr>
      </w:pPr>
    </w:p>
    <w:p w14:paraId="5784E22C" w14:textId="77777777" w:rsidR="00422317" w:rsidRPr="0091437B" w:rsidRDefault="00422317" w:rsidP="00422317">
      <w:pPr>
        <w:spacing w:line="276" w:lineRule="auto"/>
        <w:jc w:val="both"/>
        <w:rPr>
          <w:rFonts w:ascii="Arial" w:hAnsi="Arial" w:cs="Arial"/>
          <w:color w:val="161616" w:themeColor="background1" w:themeShade="1A"/>
          <w:sz w:val="22"/>
          <w:lang w:val="es-CO"/>
        </w:rPr>
      </w:pPr>
      <w:r w:rsidRPr="0091437B">
        <w:rPr>
          <w:rFonts w:ascii="Arial" w:hAnsi="Arial" w:cs="Arial"/>
          <w:color w:val="161616" w:themeColor="background1" w:themeShade="1A"/>
          <w:sz w:val="22"/>
          <w:lang w:val="es-CO"/>
        </w:rPr>
        <w:t xml:space="preserve">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1FE59CE9" w14:textId="77777777" w:rsidR="00422317" w:rsidRPr="0091437B" w:rsidRDefault="00422317" w:rsidP="00422317">
      <w:pPr>
        <w:spacing w:line="276" w:lineRule="auto"/>
        <w:jc w:val="both"/>
        <w:rPr>
          <w:rFonts w:ascii="Arial" w:hAnsi="Arial" w:cs="Arial"/>
          <w:color w:val="161616" w:themeColor="background1" w:themeShade="1A"/>
          <w:sz w:val="22"/>
          <w:lang w:val="es-CO"/>
        </w:rPr>
      </w:pPr>
    </w:p>
    <w:p w14:paraId="46C151D6" w14:textId="77777777" w:rsidR="00422317" w:rsidRPr="0091437B" w:rsidRDefault="00422317" w:rsidP="00422317">
      <w:pPr>
        <w:pStyle w:val="NormalWeb"/>
        <w:spacing w:before="0" w:beforeAutospacing="0" w:after="120" w:afterAutospacing="0"/>
        <w:ind w:left="709" w:right="474"/>
        <w:jc w:val="both"/>
        <w:rPr>
          <w:rFonts w:ascii="Arial" w:hAnsi="Arial" w:cs="Arial"/>
          <w:color w:val="161616" w:themeColor="background1" w:themeShade="1A"/>
          <w:sz w:val="21"/>
          <w:szCs w:val="21"/>
          <w:lang w:eastAsia="es-ES_tradnl"/>
        </w:rPr>
      </w:pPr>
      <w:r w:rsidRPr="0091437B">
        <w:rPr>
          <w:rFonts w:ascii="Arial" w:hAnsi="Arial" w:cs="Arial"/>
          <w:color w:val="161616" w:themeColor="background1" w:themeShade="1A"/>
          <w:sz w:val="21"/>
          <w:szCs w:val="21"/>
          <w:lang w:eastAsia="es-ES_tradnl"/>
        </w:rPr>
        <w:t>14.5. Empresa de servicios públicos oficial. Es aquella en cuyo capital la Nación, las entidades territoriales, o las entidades descentralizadas de aquella o estas tienen el 100% de los aportes.</w:t>
      </w:r>
    </w:p>
    <w:p w14:paraId="016D6B9E" w14:textId="77777777" w:rsidR="00422317" w:rsidRPr="0091437B" w:rsidRDefault="00422317" w:rsidP="00422317">
      <w:pPr>
        <w:pStyle w:val="NormalWeb"/>
        <w:spacing w:before="120" w:beforeAutospacing="0" w:after="120" w:afterAutospacing="0"/>
        <w:ind w:left="709" w:right="474"/>
        <w:jc w:val="both"/>
        <w:rPr>
          <w:rFonts w:ascii="Arial" w:hAnsi="Arial" w:cs="Arial"/>
          <w:color w:val="161616" w:themeColor="background1" w:themeShade="1A"/>
          <w:sz w:val="21"/>
          <w:szCs w:val="21"/>
          <w:lang w:eastAsia="es-ES_tradnl"/>
        </w:rPr>
      </w:pPr>
      <w:r w:rsidRPr="0091437B">
        <w:rPr>
          <w:rFonts w:ascii="Arial" w:hAnsi="Arial" w:cs="Arial"/>
          <w:color w:val="161616" w:themeColor="background1" w:themeShade="1A"/>
          <w:sz w:val="21"/>
          <w:szCs w:val="21"/>
          <w:lang w:eastAsia="es-ES_tradnl"/>
        </w:rPr>
        <w:t>14.6. Empresa de servicios públicos mixta. Es aquella en cuyo capital la Nación, las entidades territoriales, o las entidades descentralizadas de aquella o éstas tienen aportes iguales o superiores al 50%. </w:t>
      </w:r>
    </w:p>
    <w:p w14:paraId="5DC63CF3" w14:textId="77777777" w:rsidR="00422317" w:rsidRPr="0091437B" w:rsidRDefault="00422317" w:rsidP="00422317">
      <w:pPr>
        <w:pStyle w:val="NormalWeb"/>
        <w:spacing w:before="120" w:beforeAutospacing="0" w:after="0" w:afterAutospacing="0"/>
        <w:ind w:left="709" w:right="474"/>
        <w:jc w:val="both"/>
        <w:rPr>
          <w:rFonts w:ascii="Arial" w:hAnsi="Arial" w:cs="Arial"/>
          <w:color w:val="161616" w:themeColor="background1" w:themeShade="1A"/>
          <w:sz w:val="21"/>
          <w:szCs w:val="21"/>
          <w:lang w:eastAsia="es-ES_tradnl"/>
        </w:rPr>
      </w:pPr>
      <w:r w:rsidRPr="0091437B">
        <w:rPr>
          <w:rFonts w:ascii="Arial" w:hAnsi="Arial" w:cs="Arial"/>
          <w:color w:val="161616" w:themeColor="background1" w:themeShade="1A"/>
          <w:sz w:val="21"/>
          <w:szCs w:val="21"/>
          <w:lang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191D2B18" w14:textId="77777777" w:rsidR="00422317" w:rsidRPr="0091437B" w:rsidRDefault="00422317" w:rsidP="00422317">
      <w:pPr>
        <w:pStyle w:val="NormalWeb"/>
        <w:spacing w:before="0" w:beforeAutospacing="0" w:after="0" w:afterAutospacing="0"/>
        <w:jc w:val="both"/>
        <w:rPr>
          <w:rFonts w:ascii="Arial" w:hAnsi="Arial" w:cs="Arial"/>
          <w:color w:val="161616" w:themeColor="background1" w:themeShade="1A"/>
          <w:sz w:val="22"/>
          <w:lang w:eastAsia="es-ES_tradnl"/>
        </w:rPr>
      </w:pPr>
    </w:p>
    <w:p w14:paraId="0F0AFD7B" w14:textId="77777777" w:rsidR="00422317" w:rsidRPr="0091437B" w:rsidRDefault="00422317" w:rsidP="00422317">
      <w:pPr>
        <w:pStyle w:val="NormalWeb"/>
        <w:spacing w:before="0" w:beforeAutospacing="0" w:after="120" w:afterAutospacing="0" w:line="276" w:lineRule="auto"/>
        <w:ind w:firstLine="708"/>
        <w:jc w:val="both"/>
        <w:rPr>
          <w:rFonts w:ascii="Arial" w:hAnsi="Arial" w:cs="Arial"/>
          <w:color w:val="161616" w:themeColor="background1" w:themeShade="1A"/>
          <w:sz w:val="22"/>
          <w:lang w:eastAsia="es-ES_tradnl"/>
        </w:rPr>
      </w:pPr>
      <w:r w:rsidRPr="0091437B">
        <w:rPr>
          <w:rFonts w:ascii="Arial" w:hAnsi="Arial" w:cs="Arial"/>
          <w:color w:val="161616" w:themeColor="background1" w:themeShade="1A"/>
          <w:sz w:val="22"/>
          <w:lang w:eastAsia="es-ES_tradnl"/>
        </w:rPr>
        <w:t xml:space="preserve">A su turno, el artículo 17 de la ley citada señala que «las empresas de servicios públicos son sociedades por acciones cuyo objeto es la prestación de los servicios públicos de que trata esta ley». </w:t>
      </w:r>
    </w:p>
    <w:p w14:paraId="33AB0F48" w14:textId="3B23CFCC" w:rsidR="00422317" w:rsidRPr="0091437B" w:rsidRDefault="00422317" w:rsidP="00422317">
      <w:pPr>
        <w:pStyle w:val="NormalWeb"/>
        <w:spacing w:before="120" w:beforeAutospacing="0" w:after="120" w:afterAutospacing="0" w:line="276" w:lineRule="auto"/>
        <w:ind w:firstLine="708"/>
        <w:jc w:val="both"/>
        <w:rPr>
          <w:rFonts w:ascii="Arial" w:hAnsi="Arial" w:cs="Arial"/>
          <w:color w:val="161616" w:themeColor="background1" w:themeShade="1A"/>
          <w:sz w:val="22"/>
          <w:lang w:eastAsia="es-ES_tradnl"/>
        </w:rPr>
      </w:pPr>
      <w:r w:rsidRPr="0091437B">
        <w:rPr>
          <w:rFonts w:ascii="Arial" w:hAnsi="Arial" w:cs="Arial"/>
          <w:color w:val="161616" w:themeColor="background1" w:themeShade="1A"/>
          <w:sz w:val="22"/>
          <w:lang w:eastAsia="es-ES_tradnl"/>
        </w:rPr>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w:t>
      </w:r>
      <w:r w:rsidR="00F41674">
        <w:rPr>
          <w:rFonts w:ascii="Arial" w:hAnsi="Arial" w:cs="Arial"/>
          <w:color w:val="161616" w:themeColor="background1" w:themeShade="1A"/>
          <w:sz w:val="22"/>
          <w:lang w:eastAsia="es-ES_tradnl"/>
        </w:rPr>
        <w:t xml:space="preserve"> </w:t>
      </w:r>
      <w:r w:rsidRPr="0091437B">
        <w:rPr>
          <w:rFonts w:ascii="Arial" w:hAnsi="Arial" w:cs="Arial"/>
          <w:color w:val="161616" w:themeColor="background1" w:themeShade="1A"/>
          <w:sz w:val="22"/>
          <w:lang w:eastAsia="es-ES_tradnl"/>
        </w:rPr>
        <w:t xml:space="preserve">El artículo 68 de esta ley, al listar las entidades descentralizadas del orden nacional, se </w:t>
      </w:r>
      <w:r w:rsidRPr="0091437B">
        <w:rPr>
          <w:rFonts w:ascii="Arial" w:hAnsi="Arial" w:cs="Arial"/>
          <w:color w:val="161616" w:themeColor="background1" w:themeShade="1A"/>
          <w:sz w:val="22"/>
          <w:lang w:eastAsia="es-ES_tradnl"/>
        </w:rPr>
        <w:lastRenderedPageBreak/>
        <w:t>refirió únicamente a las empresas oficiales de servicios públicos, esto es, aquellas en las que la participación del Estado es del 100%</w:t>
      </w:r>
      <w:r w:rsidRPr="0091437B">
        <w:rPr>
          <w:rStyle w:val="Refdenotaalpie"/>
          <w:rFonts w:ascii="Arial" w:hAnsi="Arial" w:cs="Arial"/>
          <w:color w:val="161616" w:themeColor="background1" w:themeShade="1A"/>
          <w:sz w:val="22"/>
          <w:lang w:eastAsia="es-ES_tradnl"/>
        </w:rPr>
        <w:footnoteReference w:id="1"/>
      </w:r>
      <w:r w:rsidRPr="0091437B">
        <w:rPr>
          <w:rFonts w:ascii="Arial" w:hAnsi="Arial" w:cs="Arial"/>
          <w:color w:val="161616" w:themeColor="background1" w:themeShade="1A"/>
          <w:sz w:val="22"/>
          <w:lang w:eastAsia="es-ES_tradnl"/>
        </w:rPr>
        <w:t xml:space="preserve">. </w:t>
      </w:r>
    </w:p>
    <w:p w14:paraId="44760E74" w14:textId="77777777" w:rsidR="00422317" w:rsidRPr="0091437B" w:rsidRDefault="00422317" w:rsidP="00422317">
      <w:pPr>
        <w:pStyle w:val="NormalWeb"/>
        <w:spacing w:before="120" w:beforeAutospacing="0" w:after="120" w:afterAutospacing="0" w:line="276" w:lineRule="auto"/>
        <w:ind w:firstLine="708"/>
        <w:jc w:val="both"/>
        <w:rPr>
          <w:rFonts w:ascii="Arial" w:hAnsi="Arial" w:cs="Arial"/>
          <w:color w:val="161616" w:themeColor="background1" w:themeShade="1A"/>
          <w:sz w:val="22"/>
          <w:lang w:eastAsia="es-ES_tradnl"/>
        </w:rPr>
      </w:pPr>
      <w:r w:rsidRPr="0091437B">
        <w:rPr>
          <w:rFonts w:ascii="Arial" w:hAnsi="Arial" w:cs="Arial"/>
          <w:color w:val="161616" w:themeColor="background1" w:themeShade="1A"/>
          <w:sz w:val="22"/>
          <w:lang w:eastAsia="es-ES_tradnl"/>
        </w:rPr>
        <w:t xml:space="preserve">Lo anterior llevó a pensar que el legislador excluyó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 </w:t>
      </w:r>
    </w:p>
    <w:p w14:paraId="60995D0A" w14:textId="42F32C21" w:rsidR="00422317" w:rsidRPr="0091437B" w:rsidRDefault="00422317" w:rsidP="00F41674">
      <w:pPr>
        <w:pStyle w:val="NormalWeb"/>
        <w:spacing w:before="120" w:beforeAutospacing="0" w:after="120" w:afterAutospacing="0" w:line="276" w:lineRule="auto"/>
        <w:ind w:firstLine="709"/>
        <w:jc w:val="both"/>
        <w:rPr>
          <w:rFonts w:ascii="Arial" w:hAnsi="Arial" w:cs="Arial"/>
          <w:color w:val="161616" w:themeColor="background1" w:themeShade="1A"/>
          <w:sz w:val="21"/>
          <w:szCs w:val="21"/>
        </w:rPr>
      </w:pPr>
      <w:r w:rsidRPr="0091437B">
        <w:rPr>
          <w:rFonts w:ascii="Arial" w:hAnsi="Arial" w:cs="Arial"/>
          <w:color w:val="161616" w:themeColor="background1" w:themeShade="1A"/>
          <w:sz w:val="22"/>
          <w:lang w:eastAsia="es-ES_tradnl"/>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r w:rsidRPr="0091437B">
        <w:rPr>
          <w:rStyle w:val="Refdenotaalpie"/>
          <w:rFonts w:ascii="Arial" w:hAnsi="Arial" w:cs="Arial"/>
          <w:color w:val="161616" w:themeColor="background1" w:themeShade="1A"/>
          <w:sz w:val="22"/>
          <w:lang w:eastAsia="es-ES_tradnl"/>
        </w:rPr>
        <w:footnoteReference w:id="2"/>
      </w:r>
      <w:r w:rsidRPr="0091437B">
        <w:rPr>
          <w:rFonts w:ascii="Arial" w:hAnsi="Arial" w:cs="Arial"/>
          <w:color w:val="161616" w:themeColor="background1" w:themeShade="1A"/>
          <w:sz w:val="22"/>
          <w:lang w:eastAsia="es-ES_tradnl"/>
        </w:rPr>
        <w:t>.</w:t>
      </w:r>
      <w:r w:rsidR="00F41674">
        <w:rPr>
          <w:rFonts w:ascii="Arial" w:hAnsi="Arial" w:cs="Arial"/>
          <w:color w:val="161616" w:themeColor="background1" w:themeShade="1A"/>
          <w:sz w:val="22"/>
          <w:lang w:eastAsia="es-ES_tradnl"/>
        </w:rPr>
        <w:t xml:space="preserve"> </w:t>
      </w:r>
      <w:r w:rsidRPr="0091437B">
        <w:rPr>
          <w:rFonts w:ascii="Arial" w:hAnsi="Arial" w:cs="Arial"/>
          <w:color w:val="161616" w:themeColor="background1" w:themeShade="1A"/>
          <w:sz w:val="22"/>
          <w:lang w:eastAsia="es-ES_tradnl"/>
        </w:rPr>
        <w:t>En esta providencia también aclara que las empresas prestadoras de servicios públicos, de carácter mixto o privado, no son empresas de economía mixta. La anterior conclusión fue fundamentada sobre la idea del carácter o naturaleza especial que la Constitución otorgó a las empresas de servicios públicos</w:t>
      </w:r>
      <w:r w:rsidRPr="0091437B">
        <w:rPr>
          <w:rStyle w:val="Refdenotaalpie"/>
          <w:rFonts w:ascii="Arial" w:hAnsi="Arial" w:cs="Arial"/>
          <w:color w:val="161616" w:themeColor="background1" w:themeShade="1A"/>
          <w:sz w:val="21"/>
          <w:szCs w:val="21"/>
        </w:rPr>
        <w:footnoteReference w:id="3"/>
      </w:r>
      <w:r w:rsidRPr="0091437B">
        <w:rPr>
          <w:rFonts w:ascii="Arial" w:hAnsi="Arial" w:cs="Arial"/>
          <w:color w:val="161616" w:themeColor="background1" w:themeShade="1A"/>
          <w:sz w:val="21"/>
          <w:szCs w:val="21"/>
        </w:rPr>
        <w:t>.</w:t>
      </w:r>
    </w:p>
    <w:p w14:paraId="0A7815C4" w14:textId="77777777" w:rsidR="00422317" w:rsidRPr="0091437B" w:rsidRDefault="00422317" w:rsidP="00422317">
      <w:pPr>
        <w:spacing w:after="120" w:line="276" w:lineRule="auto"/>
        <w:ind w:firstLine="708"/>
        <w:jc w:val="both"/>
        <w:rPr>
          <w:rFonts w:ascii="Arial" w:hAnsi="Arial" w:cs="Arial"/>
          <w:color w:val="161616" w:themeColor="background1" w:themeShade="1A"/>
          <w:sz w:val="22"/>
          <w:lang w:val="es-CO"/>
        </w:rPr>
      </w:pPr>
      <w:r w:rsidRPr="0091437B">
        <w:rPr>
          <w:rFonts w:ascii="Arial" w:hAnsi="Arial" w:cs="Arial"/>
          <w:color w:val="161616" w:themeColor="background1" w:themeShade="1A"/>
          <w:sz w:val="22"/>
          <w:lang w:val="es-CO"/>
        </w:rPr>
        <w:lastRenderedPageBreak/>
        <w:t xml:space="preserve">Así las cosas, es impreciso afirmar que existen empresas de servicios públicos, cuya naturaleza jurídica es de sociedad de economía mixta, toda vez que 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3BE7A3CB" w14:textId="77777777" w:rsidR="00422317" w:rsidRPr="0091437B" w:rsidRDefault="00422317" w:rsidP="00422317">
      <w:pPr>
        <w:spacing w:before="120" w:line="276" w:lineRule="auto"/>
        <w:ind w:firstLine="708"/>
        <w:jc w:val="both"/>
        <w:rPr>
          <w:rFonts w:ascii="Arial" w:hAnsi="Arial" w:cs="Arial"/>
          <w:color w:val="161616" w:themeColor="background1" w:themeShade="1A"/>
          <w:sz w:val="22"/>
          <w:lang w:val="es-CO"/>
        </w:rPr>
      </w:pPr>
      <w:r w:rsidRPr="008B7C9D">
        <w:rPr>
          <w:rFonts w:ascii="Arial" w:hAnsi="Arial" w:cs="Arial"/>
          <w:color w:val="161616" w:themeColor="background1" w:themeShade="1A"/>
          <w:sz w:val="22"/>
          <w:lang w:val="es-CO"/>
        </w:rPr>
        <w:t>Finalmente, 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Así las cosas,</w:t>
      </w:r>
      <w:r>
        <w:rPr>
          <w:rFonts w:ascii="Arial" w:hAnsi="Arial" w:cs="Arial"/>
          <w:color w:val="161616" w:themeColor="background1" w:themeShade="1A"/>
          <w:sz w:val="22"/>
          <w:lang w:val="es-CO"/>
        </w:rPr>
        <w:t xml:space="preserve"> sin perjuicio de lo dispuesto en el artículo 13 de la Ley 1150 de 2007 sobre la aplicación de los principios de la función administrativa, la gestión fiscal, las inhabilidades e incompatibilidades,</w:t>
      </w:r>
      <w:r w:rsidRPr="008B7C9D">
        <w:rPr>
          <w:rFonts w:ascii="Arial" w:hAnsi="Arial" w:cs="Arial"/>
          <w:color w:val="161616" w:themeColor="background1" w:themeShade="1A"/>
          <w:sz w:val="22"/>
          <w:lang w:val="es-CO"/>
        </w:rPr>
        <w:t xml:space="preserve"> el régimen jurídico aplicable a los contratos que celebren las empresas de servicios públicos, incluso para las oficiales y las mixtas, es el contenido en </w:t>
      </w:r>
      <w:r>
        <w:rPr>
          <w:rFonts w:ascii="Arial" w:hAnsi="Arial" w:cs="Arial"/>
          <w:color w:val="161616" w:themeColor="background1" w:themeShade="1A"/>
          <w:sz w:val="22"/>
          <w:lang w:val="es-CO"/>
        </w:rPr>
        <w:t>el derecho civil y comercial</w:t>
      </w:r>
      <w:r w:rsidRPr="008B7C9D">
        <w:rPr>
          <w:rFonts w:ascii="Arial" w:hAnsi="Arial" w:cs="Arial"/>
          <w:color w:val="161616" w:themeColor="background1" w:themeShade="1A"/>
          <w:sz w:val="22"/>
          <w:lang w:val="es-CO"/>
        </w:rPr>
        <w:t xml:space="preserve">, esto es, </w:t>
      </w:r>
      <w:r>
        <w:rPr>
          <w:rFonts w:ascii="Arial" w:hAnsi="Arial" w:cs="Arial"/>
          <w:color w:val="161616" w:themeColor="background1" w:themeShade="1A"/>
          <w:sz w:val="22"/>
          <w:lang w:val="es-CO"/>
        </w:rPr>
        <w:t xml:space="preserve">por regla general </w:t>
      </w:r>
      <w:r w:rsidRPr="008B7C9D">
        <w:rPr>
          <w:rFonts w:ascii="Arial" w:hAnsi="Arial" w:cs="Arial"/>
          <w:color w:val="161616" w:themeColor="background1" w:themeShade="1A"/>
          <w:sz w:val="22"/>
          <w:lang w:val="es-CO"/>
        </w:rPr>
        <w:t>no están sometidas a la Ley 80 de 1993</w:t>
      </w:r>
      <w:r>
        <w:rPr>
          <w:rStyle w:val="Refdenotaalpie"/>
          <w:rFonts w:ascii="Arial" w:hAnsi="Arial" w:cs="Arial"/>
          <w:color w:val="161616" w:themeColor="background1" w:themeShade="1A"/>
          <w:sz w:val="22"/>
          <w:lang w:val="es-CO"/>
        </w:rPr>
        <w:footnoteReference w:id="4"/>
      </w:r>
      <w:r w:rsidRPr="008B7C9D">
        <w:rPr>
          <w:rFonts w:ascii="Arial" w:hAnsi="Arial" w:cs="Arial"/>
          <w:color w:val="161616" w:themeColor="background1" w:themeShade="1A"/>
          <w:sz w:val="22"/>
          <w:lang w:val="es-CO"/>
        </w:rPr>
        <w:t xml:space="preserve">. Sin embargo, como </w:t>
      </w:r>
      <w:r>
        <w:rPr>
          <w:rFonts w:ascii="Arial" w:hAnsi="Arial" w:cs="Arial"/>
          <w:color w:val="161616" w:themeColor="background1" w:themeShade="1A"/>
          <w:sz w:val="22"/>
          <w:lang w:val="es-CO"/>
        </w:rPr>
        <w:t>se explicará a continuación</w:t>
      </w:r>
      <w:r w:rsidRPr="008B7C9D">
        <w:rPr>
          <w:rFonts w:ascii="Arial" w:hAnsi="Arial" w:cs="Arial"/>
          <w:color w:val="161616" w:themeColor="background1" w:themeShade="1A"/>
          <w:sz w:val="22"/>
          <w:lang w:val="es-CO"/>
        </w:rPr>
        <w:t>, eso no las exime del deber de publicar su actividad contractual, cuando ejecuten recursos públicos.</w:t>
      </w:r>
      <w:r w:rsidRPr="0091437B">
        <w:rPr>
          <w:rFonts w:ascii="Arial" w:hAnsi="Arial" w:cs="Arial"/>
          <w:color w:val="161616" w:themeColor="background1" w:themeShade="1A"/>
          <w:sz w:val="22"/>
          <w:lang w:val="es-CO"/>
        </w:rPr>
        <w:t xml:space="preserve"> </w:t>
      </w:r>
    </w:p>
    <w:p w14:paraId="14BF9AD1" w14:textId="77777777" w:rsidR="00422317" w:rsidRPr="0091437B" w:rsidRDefault="00422317" w:rsidP="000A5448">
      <w:pPr>
        <w:spacing w:line="276" w:lineRule="auto"/>
        <w:jc w:val="both"/>
        <w:rPr>
          <w:rFonts w:ascii="Arial" w:eastAsia="Calibri" w:hAnsi="Arial" w:cs="Arial"/>
          <w:color w:val="161616" w:themeColor="background1" w:themeShade="1A"/>
          <w:sz w:val="22"/>
        </w:rPr>
      </w:pPr>
    </w:p>
    <w:p w14:paraId="0C947922" w14:textId="50E22F1C" w:rsidR="000A5448" w:rsidRPr="0091437B" w:rsidRDefault="000A5448" w:rsidP="000A5448">
      <w:pPr>
        <w:tabs>
          <w:tab w:val="left" w:pos="426"/>
        </w:tabs>
        <w:spacing w:line="276" w:lineRule="auto"/>
        <w:jc w:val="both"/>
        <w:rPr>
          <w:rFonts w:ascii="Arial" w:eastAsia="Calibri" w:hAnsi="Arial" w:cs="Arial"/>
          <w:b/>
          <w:color w:val="161616" w:themeColor="background1" w:themeShade="1A"/>
          <w:sz w:val="22"/>
        </w:rPr>
      </w:pPr>
      <w:r w:rsidRPr="0091437B">
        <w:rPr>
          <w:rFonts w:ascii="Arial" w:eastAsia="Calibri" w:hAnsi="Arial" w:cs="Arial"/>
          <w:b/>
          <w:color w:val="161616" w:themeColor="background1" w:themeShade="1A"/>
          <w:sz w:val="22"/>
        </w:rPr>
        <w:t>2.</w:t>
      </w:r>
      <w:r w:rsidR="00422317">
        <w:rPr>
          <w:rFonts w:ascii="Arial" w:eastAsia="Calibri" w:hAnsi="Arial" w:cs="Arial"/>
          <w:b/>
          <w:color w:val="161616" w:themeColor="background1" w:themeShade="1A"/>
          <w:sz w:val="22"/>
        </w:rPr>
        <w:t>2.</w:t>
      </w:r>
      <w:r w:rsidRPr="0091437B">
        <w:rPr>
          <w:rFonts w:ascii="Arial" w:eastAsia="Calibri" w:hAnsi="Arial" w:cs="Arial"/>
          <w:b/>
          <w:color w:val="161616" w:themeColor="background1" w:themeShade="1A"/>
          <w:sz w:val="22"/>
        </w:rPr>
        <w:t xml:space="preserve"> Publicidad de los contratos en el Sistema Electrónico de Contratación Pública –SECOP–</w:t>
      </w:r>
    </w:p>
    <w:p w14:paraId="36F7C65F" w14:textId="77777777" w:rsidR="000A5448" w:rsidRPr="0091437B" w:rsidRDefault="000A5448" w:rsidP="000A5448">
      <w:pPr>
        <w:pStyle w:val="Prrafodelista"/>
        <w:spacing w:line="276" w:lineRule="auto"/>
        <w:ind w:left="0" w:firstLine="709"/>
        <w:jc w:val="both"/>
        <w:rPr>
          <w:rFonts w:ascii="Arial" w:eastAsia="Calibri" w:hAnsi="Arial" w:cs="Arial"/>
          <w:b/>
          <w:color w:val="161616" w:themeColor="background1" w:themeShade="1A"/>
          <w:sz w:val="22"/>
        </w:rPr>
      </w:pPr>
    </w:p>
    <w:p w14:paraId="5A820D1E" w14:textId="77777777" w:rsidR="000A5448" w:rsidRPr="0091437B" w:rsidRDefault="000A5448" w:rsidP="00F41674">
      <w:pPr>
        <w:spacing w:line="276" w:lineRule="auto"/>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4A3E133C" w14:textId="77777777" w:rsidR="000A5448" w:rsidRPr="0091437B" w:rsidRDefault="000A5448" w:rsidP="000A5448">
      <w:pPr>
        <w:ind w:firstLine="709"/>
        <w:jc w:val="both"/>
        <w:rPr>
          <w:rFonts w:ascii="Arial" w:eastAsia="Calibri" w:hAnsi="Arial" w:cs="Arial"/>
          <w:color w:val="161616" w:themeColor="background1" w:themeShade="1A"/>
          <w:sz w:val="22"/>
        </w:rPr>
      </w:pPr>
    </w:p>
    <w:p w14:paraId="4A74CEBF" w14:textId="77777777" w:rsidR="000A5448" w:rsidRPr="0091437B" w:rsidRDefault="000A5448" w:rsidP="000A5448">
      <w:pPr>
        <w:tabs>
          <w:tab w:val="left" w:pos="3885"/>
        </w:tabs>
        <w:ind w:left="709" w:right="709"/>
        <w:jc w:val="both"/>
        <w:rPr>
          <w:rFonts w:ascii="Arial" w:hAnsi="Arial" w:cs="Arial"/>
          <w:color w:val="161616" w:themeColor="background1" w:themeShade="1A"/>
          <w:sz w:val="21"/>
          <w:szCs w:val="21"/>
          <w:lang w:val="es-ES"/>
        </w:rPr>
      </w:pPr>
      <w:r w:rsidRPr="0091437B">
        <w:rPr>
          <w:rFonts w:ascii="Arial" w:hAnsi="Arial" w:cs="Arial"/>
          <w:color w:val="161616" w:themeColor="background1" w:themeShade="1A"/>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E2C4914" w14:textId="77777777" w:rsidR="000A5448" w:rsidRPr="0091437B" w:rsidRDefault="000A5448" w:rsidP="000A5448">
      <w:pPr>
        <w:tabs>
          <w:tab w:val="left" w:pos="3885"/>
        </w:tabs>
        <w:ind w:left="709" w:right="709"/>
        <w:jc w:val="both"/>
        <w:rPr>
          <w:rFonts w:ascii="Arial" w:hAnsi="Arial" w:cs="Arial"/>
          <w:color w:val="161616" w:themeColor="background1" w:themeShade="1A"/>
          <w:sz w:val="21"/>
          <w:szCs w:val="21"/>
          <w:lang w:val="es-ES"/>
        </w:rPr>
      </w:pPr>
    </w:p>
    <w:p w14:paraId="03FC805A" w14:textId="77777777" w:rsidR="000A5448" w:rsidRPr="0091437B" w:rsidRDefault="000A5448" w:rsidP="000A5448">
      <w:pPr>
        <w:tabs>
          <w:tab w:val="left" w:pos="3885"/>
          <w:tab w:val="left" w:pos="8222"/>
        </w:tabs>
        <w:ind w:left="709" w:right="709"/>
        <w:jc w:val="both"/>
        <w:rPr>
          <w:rFonts w:ascii="Arial" w:hAnsi="Arial" w:cs="Arial"/>
          <w:color w:val="161616" w:themeColor="background1" w:themeShade="1A"/>
          <w:sz w:val="22"/>
          <w:lang w:val="es-ES"/>
        </w:rPr>
      </w:pPr>
      <w:r w:rsidRPr="0091437B">
        <w:rPr>
          <w:rFonts w:ascii="Arial" w:hAnsi="Arial" w:cs="Arial"/>
          <w:color w:val="161616" w:themeColor="background1" w:themeShade="1A"/>
          <w:sz w:val="21"/>
          <w:szCs w:val="21"/>
          <w:lang w:val="es-ES"/>
        </w:rPr>
        <w:lastRenderedPageBreak/>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91437B">
        <w:rPr>
          <w:rStyle w:val="Refdenotaalpie"/>
          <w:rFonts w:ascii="Arial" w:eastAsia="Calibri" w:hAnsi="Arial" w:cs="Arial"/>
          <w:color w:val="161616" w:themeColor="background1" w:themeShade="1A"/>
          <w:sz w:val="21"/>
          <w:szCs w:val="21"/>
        </w:rPr>
        <w:footnoteReference w:id="5"/>
      </w:r>
      <w:r w:rsidRPr="0091437B">
        <w:rPr>
          <w:rFonts w:ascii="Arial" w:eastAsia="Calibri" w:hAnsi="Arial" w:cs="Arial"/>
          <w:color w:val="161616" w:themeColor="background1" w:themeShade="1A"/>
          <w:sz w:val="21"/>
          <w:szCs w:val="21"/>
        </w:rPr>
        <w:t>.</w:t>
      </w:r>
    </w:p>
    <w:p w14:paraId="08D4A862" w14:textId="77777777" w:rsidR="000A5448" w:rsidRPr="0091437B" w:rsidRDefault="000A5448" w:rsidP="000A5448">
      <w:pPr>
        <w:spacing w:line="276" w:lineRule="auto"/>
        <w:ind w:right="709"/>
        <w:jc w:val="both"/>
        <w:rPr>
          <w:rFonts w:ascii="Arial" w:eastAsia="Calibri" w:hAnsi="Arial" w:cs="Arial"/>
          <w:color w:val="161616" w:themeColor="background1" w:themeShade="1A"/>
          <w:sz w:val="22"/>
        </w:rPr>
      </w:pPr>
    </w:p>
    <w:p w14:paraId="614C671B" w14:textId="77777777" w:rsidR="000A5448" w:rsidRPr="0091437B" w:rsidRDefault="000A5448" w:rsidP="000A5448">
      <w:pPr>
        <w:spacing w:after="120" w:line="276" w:lineRule="auto"/>
        <w:ind w:firstLine="709"/>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91437B">
        <w:rPr>
          <w:rStyle w:val="Refdenotaalpie"/>
          <w:rFonts w:ascii="Arial" w:eastAsia="Calibri" w:hAnsi="Arial" w:cs="Arial"/>
          <w:color w:val="161616" w:themeColor="background1" w:themeShade="1A"/>
          <w:sz w:val="22"/>
        </w:rPr>
        <w:footnoteReference w:id="6"/>
      </w:r>
      <w:r w:rsidRPr="0091437B">
        <w:rPr>
          <w:rFonts w:ascii="Arial" w:eastAsia="Calibri" w:hAnsi="Arial" w:cs="Arial"/>
          <w:color w:val="161616" w:themeColor="background1" w:themeShade="1A"/>
          <w:sz w:val="22"/>
        </w:rPr>
        <w:t xml:space="preserve">. </w:t>
      </w:r>
    </w:p>
    <w:p w14:paraId="4B1C56CB" w14:textId="77777777" w:rsidR="000A5448" w:rsidRPr="0091437B" w:rsidRDefault="000A5448" w:rsidP="000A5448">
      <w:pPr>
        <w:spacing w:after="120" w:line="276" w:lineRule="auto"/>
        <w:ind w:firstLine="709"/>
        <w:jc w:val="both"/>
        <w:rPr>
          <w:rFonts w:ascii="Arial" w:eastAsia="Calibri" w:hAnsi="Arial" w:cs="Arial"/>
          <w:color w:val="161616" w:themeColor="background1" w:themeShade="1A"/>
          <w:sz w:val="22"/>
        </w:rPr>
      </w:pPr>
      <w:r w:rsidRPr="0091437B">
        <w:rPr>
          <w:rFonts w:ascii="Arial" w:hAnsi="Arial" w:cs="Arial"/>
          <w:color w:val="161616" w:themeColor="background1" w:themeShade="1A"/>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91437B">
        <w:rPr>
          <w:rStyle w:val="Refdenotaalpie"/>
          <w:rFonts w:ascii="Arial" w:hAnsi="Arial" w:cs="Arial"/>
          <w:color w:val="161616" w:themeColor="background1" w:themeShade="1A"/>
          <w:sz w:val="22"/>
        </w:rPr>
        <w:footnoteReference w:id="7"/>
      </w:r>
      <w:r w:rsidRPr="0091437B">
        <w:rPr>
          <w:rFonts w:ascii="Arial" w:hAnsi="Arial" w:cs="Arial"/>
          <w:color w:val="161616" w:themeColor="background1" w:themeShade="1A"/>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193A7760" w14:textId="77777777" w:rsidR="000A5448" w:rsidRPr="0091437B" w:rsidRDefault="000A5448" w:rsidP="000A5448">
      <w:pPr>
        <w:pStyle w:val="NormalWeb"/>
        <w:spacing w:before="0" w:beforeAutospacing="0" w:after="120" w:afterAutospacing="0" w:line="276" w:lineRule="auto"/>
        <w:ind w:firstLine="709"/>
        <w:jc w:val="both"/>
        <w:rPr>
          <w:rFonts w:ascii="Arial" w:eastAsiaTheme="minorHAnsi" w:hAnsi="Arial" w:cs="Arial"/>
          <w:color w:val="161616" w:themeColor="background1" w:themeShade="1A"/>
          <w:sz w:val="22"/>
          <w:szCs w:val="22"/>
          <w:lang w:val="es-MX" w:eastAsia="en-US"/>
        </w:rPr>
      </w:pPr>
      <w:r w:rsidRPr="0091437B">
        <w:rPr>
          <w:rFonts w:ascii="Arial" w:eastAsiaTheme="minorHAnsi" w:hAnsi="Arial" w:cs="Arial"/>
          <w:color w:val="161616" w:themeColor="background1" w:themeShade="1A"/>
          <w:sz w:val="22"/>
          <w:szCs w:val="22"/>
          <w:lang w:val="es-MX" w:eastAsia="en-US"/>
        </w:rPr>
        <w:lastRenderedPageBreak/>
        <w:t>La ley citada establece, en el literal e) del artículo 9, que los sujetos obligados, que son todas las entidades públicas</w:t>
      </w:r>
      <w:r w:rsidRPr="0091437B">
        <w:rPr>
          <w:rStyle w:val="Refdenotaalpie"/>
          <w:rFonts w:ascii="Arial" w:eastAsiaTheme="minorHAnsi" w:hAnsi="Arial" w:cs="Arial"/>
          <w:color w:val="161616" w:themeColor="background1" w:themeShade="1A"/>
          <w:sz w:val="22"/>
          <w:szCs w:val="22"/>
          <w:lang w:val="es-MX" w:eastAsia="en-US"/>
        </w:rPr>
        <w:footnoteReference w:id="8"/>
      </w:r>
      <w:r w:rsidRPr="0091437B">
        <w:rPr>
          <w:rFonts w:ascii="Arial" w:eastAsiaTheme="minorHAnsi" w:hAnsi="Arial" w:cs="Arial"/>
          <w:color w:val="161616" w:themeColor="background1" w:themeShade="1A"/>
          <w:sz w:val="22"/>
          <w:szCs w:val="22"/>
          <w:lang w:val="es-MX" w:eastAsia="en-US"/>
        </w:rPr>
        <w:t>, deben publicar la información relativa a su contratación. Esta obligación fue desarrollada por el Decreto Único Reglamentario 1081 de 2015</w:t>
      </w:r>
      <w:r w:rsidRPr="0091437B">
        <w:rPr>
          <w:rStyle w:val="Refdenotaalpie"/>
          <w:rFonts w:ascii="Arial" w:eastAsiaTheme="minorHAnsi" w:hAnsi="Arial" w:cs="Arial"/>
          <w:color w:val="161616" w:themeColor="background1" w:themeShade="1A"/>
          <w:sz w:val="22"/>
          <w:szCs w:val="22"/>
          <w:lang w:val="es-MX" w:eastAsia="en-US"/>
        </w:rPr>
        <w:footnoteReference w:id="9"/>
      </w:r>
      <w:r w:rsidRPr="0091437B">
        <w:rPr>
          <w:rFonts w:ascii="Arial" w:eastAsiaTheme="minorHAnsi" w:hAnsi="Arial" w:cs="Arial"/>
          <w:color w:val="161616" w:themeColor="background1" w:themeShade="1A"/>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91437B">
        <w:rPr>
          <w:rFonts w:ascii="Arial" w:eastAsiaTheme="minorHAnsi" w:hAnsi="Arial" w:cs="Arial"/>
          <w:color w:val="161616" w:themeColor="background1" w:themeShade="1A"/>
          <w:sz w:val="22"/>
          <w:szCs w:val="22"/>
          <w:lang w:val="es-MX" w:eastAsia="en-US"/>
        </w:rPr>
        <w:softHyphen/>
        <w:t xml:space="preserve"> </w:t>
      </w:r>
      <w:r w:rsidRPr="0091437B">
        <w:rPr>
          <w:rFonts w:ascii="Arial" w:eastAsiaTheme="minorHAnsi" w:hAnsi="Arial" w:cs="Arial"/>
          <w:color w:val="161616" w:themeColor="background1" w:themeShade="1A"/>
          <w:sz w:val="22"/>
          <w:szCs w:val="22"/>
          <w:lang w:val="es-MX" w:eastAsia="en-US"/>
        </w:rPr>
        <w:softHyphen/>
        <w:t>SECOP.</w:t>
      </w:r>
    </w:p>
    <w:p w14:paraId="7302583E" w14:textId="77777777" w:rsidR="000A5448" w:rsidRPr="0091437B" w:rsidRDefault="000A5448" w:rsidP="000A5448">
      <w:pPr>
        <w:spacing w:after="120" w:line="276" w:lineRule="auto"/>
        <w:ind w:firstLine="709"/>
        <w:jc w:val="both"/>
        <w:rPr>
          <w:rFonts w:ascii="Arial" w:hAnsi="Arial" w:cs="Arial"/>
          <w:color w:val="161616" w:themeColor="background1" w:themeShade="1A"/>
          <w:sz w:val="22"/>
          <w:lang w:val="es-ES"/>
        </w:rPr>
      </w:pPr>
      <w:r w:rsidRPr="0091437B">
        <w:rPr>
          <w:rFonts w:ascii="Arial" w:hAnsi="Arial" w:cs="Arial"/>
          <w:color w:val="161616" w:themeColor="background1" w:themeShade="1A"/>
          <w:sz w:val="22"/>
        </w:rPr>
        <w:t xml:space="preserve">Asimismo, de </w:t>
      </w:r>
      <w:r w:rsidRPr="0091437B">
        <w:rPr>
          <w:rFonts w:ascii="Arial" w:hAnsi="Arial" w:cs="Arial"/>
          <w:color w:val="161616" w:themeColor="background1" w:themeShade="1A"/>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3C002F78" w14:textId="77777777" w:rsidR="000A5448" w:rsidRPr="0091437B" w:rsidRDefault="000A5448" w:rsidP="000A5448">
      <w:pPr>
        <w:spacing w:after="120" w:line="276" w:lineRule="auto"/>
        <w:ind w:firstLine="709"/>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1437B">
        <w:rPr>
          <w:rStyle w:val="Refdenotaalpie"/>
          <w:rFonts w:ascii="Arial" w:eastAsia="Calibri" w:hAnsi="Arial" w:cs="Arial"/>
          <w:color w:val="161616" w:themeColor="background1" w:themeShade="1A"/>
          <w:sz w:val="22"/>
        </w:rPr>
        <w:footnoteReference w:id="10"/>
      </w:r>
      <w:r w:rsidRPr="0091437B">
        <w:rPr>
          <w:rFonts w:ascii="Arial" w:eastAsia="Calibri" w:hAnsi="Arial" w:cs="Arial"/>
          <w:color w:val="161616" w:themeColor="background1" w:themeShade="1A"/>
          <w:sz w:val="22"/>
        </w:rPr>
        <w:t>.</w:t>
      </w:r>
    </w:p>
    <w:p w14:paraId="6E29ECA0" w14:textId="77777777" w:rsidR="000A5448" w:rsidRPr="0091437B" w:rsidRDefault="000A5448" w:rsidP="000A5448">
      <w:pPr>
        <w:spacing w:after="120" w:line="276" w:lineRule="auto"/>
        <w:ind w:firstLine="709"/>
        <w:jc w:val="both"/>
        <w:rPr>
          <w:rFonts w:ascii="Arial" w:hAnsi="Arial" w:cs="Arial"/>
          <w:color w:val="161616" w:themeColor="background1" w:themeShade="1A"/>
          <w:sz w:val="22"/>
          <w:lang w:val="es-ES"/>
        </w:rPr>
      </w:pPr>
      <w:r w:rsidRPr="0091437B">
        <w:rPr>
          <w:rFonts w:ascii="Arial" w:hAnsi="Arial" w:cs="Arial"/>
          <w:color w:val="161616" w:themeColor="background1" w:themeShade="1A"/>
          <w:sz w:val="22"/>
          <w:lang w:val="es-ES"/>
        </w:rPr>
        <w:t>Para el año 2013, la Agencia Nacional de Contratación Pública ─ Colombia Compra Eficiente, mediante la mediante la Circular Externa No 1 del</w:t>
      </w:r>
      <w:r w:rsidRPr="0091437B">
        <w:rPr>
          <w:color w:val="161616" w:themeColor="background1" w:themeShade="1A"/>
          <w:sz w:val="22"/>
        </w:rPr>
        <w:t xml:space="preserve"> </w:t>
      </w:r>
      <w:r w:rsidRPr="0091437B">
        <w:rPr>
          <w:rFonts w:ascii="Arial" w:hAnsi="Arial" w:cs="Arial"/>
          <w:color w:val="161616" w:themeColor="background1" w:themeShade="1A"/>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91437B">
        <w:rPr>
          <w:rStyle w:val="Refdenotaalpie"/>
          <w:rFonts w:ascii="Arial" w:hAnsi="Arial" w:cs="Arial"/>
          <w:color w:val="161616" w:themeColor="background1" w:themeShade="1A"/>
          <w:sz w:val="22"/>
          <w:lang w:val="es-ES"/>
        </w:rPr>
        <w:footnoteReference w:id="11"/>
      </w:r>
      <w:r w:rsidRPr="0091437B">
        <w:rPr>
          <w:rFonts w:ascii="Arial" w:hAnsi="Arial" w:cs="Arial"/>
          <w:color w:val="161616" w:themeColor="background1" w:themeShade="1A"/>
          <w:sz w:val="22"/>
          <w:lang w:val="es-ES"/>
        </w:rPr>
        <w:t xml:space="preserve">. Además, la Circular Externa Única, en el numeral 1.1., establece, de manera enunciativa, que deben </w:t>
      </w:r>
      <w:r w:rsidRPr="0091437B">
        <w:rPr>
          <w:rFonts w:ascii="Arial" w:hAnsi="Arial" w:cs="Arial"/>
          <w:color w:val="161616" w:themeColor="background1" w:themeShade="1A"/>
          <w:sz w:val="22"/>
          <w:lang w:val="es-ES"/>
        </w:rPr>
        <w:lastRenderedPageBreak/>
        <w:t>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5967B4C1" w14:textId="77777777" w:rsidR="000A5448" w:rsidRPr="0091437B" w:rsidRDefault="000A5448" w:rsidP="000A5448">
      <w:pPr>
        <w:spacing w:line="276" w:lineRule="auto"/>
        <w:ind w:firstLine="709"/>
        <w:jc w:val="both"/>
        <w:rPr>
          <w:rFonts w:ascii="Arial" w:hAnsi="Arial" w:cs="Arial"/>
          <w:color w:val="161616" w:themeColor="background1" w:themeShade="1A"/>
          <w:sz w:val="22"/>
          <w:lang w:val="es-ES"/>
        </w:rPr>
      </w:pPr>
      <w:r w:rsidRPr="0091437B">
        <w:rPr>
          <w:rFonts w:ascii="Arial" w:hAnsi="Arial" w:cs="Arial"/>
          <w:color w:val="161616" w:themeColor="background1" w:themeShade="1A"/>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7A8E290D" w14:textId="77777777" w:rsidR="000A5448" w:rsidRPr="0091437B" w:rsidRDefault="000A5448" w:rsidP="000A5448">
      <w:pPr>
        <w:spacing w:line="276" w:lineRule="auto"/>
        <w:jc w:val="both"/>
        <w:rPr>
          <w:rFonts w:ascii="Arial" w:hAnsi="Arial" w:cs="Arial"/>
          <w:color w:val="161616" w:themeColor="background1" w:themeShade="1A"/>
          <w:sz w:val="22"/>
          <w:lang w:val="es-ES"/>
        </w:rPr>
      </w:pPr>
    </w:p>
    <w:p w14:paraId="6A2BAAE9" w14:textId="10362CCD" w:rsidR="000A5448" w:rsidRPr="0091437B" w:rsidRDefault="000A5448" w:rsidP="00F41674">
      <w:pPr>
        <w:tabs>
          <w:tab w:val="left" w:pos="3885"/>
        </w:tabs>
        <w:spacing w:after="120"/>
        <w:ind w:left="709" w:right="709"/>
        <w:jc w:val="both"/>
        <w:rPr>
          <w:rFonts w:ascii="Arial" w:hAnsi="Arial" w:cs="Arial"/>
          <w:color w:val="161616" w:themeColor="background1" w:themeShade="1A"/>
          <w:sz w:val="21"/>
          <w:szCs w:val="21"/>
          <w:lang w:val="es-ES"/>
        </w:rPr>
      </w:pPr>
      <w:r w:rsidRPr="0091437B">
        <w:rPr>
          <w:rFonts w:ascii="Arial" w:hAnsi="Arial" w:cs="Arial"/>
          <w:color w:val="161616" w:themeColor="background1" w:themeShade="1A"/>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2848AAAD" w14:textId="77777777" w:rsidR="000A5448" w:rsidRPr="0091437B" w:rsidRDefault="000A5448" w:rsidP="000A5448">
      <w:pPr>
        <w:tabs>
          <w:tab w:val="left" w:pos="3885"/>
        </w:tabs>
        <w:ind w:left="709" w:right="709"/>
        <w:jc w:val="both"/>
        <w:rPr>
          <w:rFonts w:ascii="Arial" w:hAnsi="Arial" w:cs="Arial"/>
          <w:color w:val="161616" w:themeColor="background1" w:themeShade="1A"/>
          <w:sz w:val="21"/>
          <w:szCs w:val="21"/>
          <w:lang w:val="es-ES"/>
        </w:rPr>
      </w:pPr>
      <w:r w:rsidRPr="0091437B">
        <w:rPr>
          <w:rFonts w:ascii="Arial" w:hAnsi="Arial" w:cs="Arial"/>
          <w:color w:val="161616" w:themeColor="background1" w:themeShade="1A"/>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536D796C" w14:textId="09616FF8" w:rsidR="000A5448" w:rsidRPr="0091437B" w:rsidRDefault="000A5448" w:rsidP="00F41674">
      <w:pPr>
        <w:tabs>
          <w:tab w:val="left" w:pos="3885"/>
        </w:tabs>
        <w:spacing w:after="120"/>
        <w:ind w:left="709" w:right="709"/>
        <w:jc w:val="both"/>
        <w:rPr>
          <w:rFonts w:ascii="Arial" w:hAnsi="Arial" w:cs="Arial"/>
          <w:color w:val="161616" w:themeColor="background1" w:themeShade="1A"/>
          <w:sz w:val="21"/>
          <w:szCs w:val="21"/>
          <w:lang w:val="es-ES"/>
        </w:rPr>
      </w:pPr>
      <w:r w:rsidRPr="0091437B">
        <w:rPr>
          <w:rFonts w:ascii="Arial" w:hAnsi="Arial" w:cs="Arial"/>
          <w:color w:val="161616" w:themeColor="background1" w:themeShade="1A"/>
          <w:sz w:val="21"/>
          <w:szCs w:val="21"/>
          <w:lang w:val="es-ES"/>
        </w:rPr>
        <w:t>[…]</w:t>
      </w:r>
    </w:p>
    <w:p w14:paraId="29D80DF6" w14:textId="4A397DA1" w:rsidR="000A5448" w:rsidRPr="0091437B" w:rsidRDefault="000A5448" w:rsidP="000A5448">
      <w:pPr>
        <w:tabs>
          <w:tab w:val="left" w:pos="3885"/>
        </w:tabs>
        <w:ind w:left="709" w:right="709"/>
        <w:jc w:val="both"/>
        <w:rPr>
          <w:rFonts w:ascii="Arial" w:hAnsi="Arial" w:cs="Arial"/>
          <w:color w:val="161616" w:themeColor="background1" w:themeShade="1A"/>
          <w:sz w:val="21"/>
          <w:szCs w:val="21"/>
          <w:lang w:val="es-ES"/>
        </w:rPr>
      </w:pPr>
      <w:r w:rsidRPr="0091437B">
        <w:rPr>
          <w:rFonts w:ascii="Arial" w:hAnsi="Arial" w:cs="Arial"/>
          <w:color w:val="161616" w:themeColor="background1" w:themeShade="1A"/>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0007096D">
        <w:rPr>
          <w:rFonts w:ascii="Arial" w:hAnsi="Arial" w:cs="Arial"/>
          <w:color w:val="161616" w:themeColor="background1" w:themeShade="1A"/>
          <w:sz w:val="21"/>
          <w:szCs w:val="21"/>
          <w:lang w:val="es-ES"/>
        </w:rPr>
        <w:t>.</w:t>
      </w:r>
      <w:r w:rsidRPr="0091437B">
        <w:rPr>
          <w:rStyle w:val="Refdenotaalpie"/>
          <w:rFonts w:ascii="Arial" w:hAnsi="Arial" w:cs="Arial"/>
          <w:color w:val="161616" w:themeColor="background1" w:themeShade="1A"/>
          <w:sz w:val="21"/>
          <w:szCs w:val="21"/>
        </w:rPr>
        <w:footnoteReference w:id="12"/>
      </w:r>
      <w:r w:rsidRPr="0091437B">
        <w:rPr>
          <w:rStyle w:val="Refdenotaalpie"/>
          <w:rFonts w:ascii="Arial" w:hAnsi="Arial" w:cs="Arial"/>
          <w:color w:val="161616" w:themeColor="background1" w:themeShade="1A"/>
          <w:sz w:val="21"/>
          <w:szCs w:val="21"/>
        </w:rPr>
        <w:t>.</w:t>
      </w:r>
    </w:p>
    <w:p w14:paraId="609C5528" w14:textId="77777777" w:rsidR="000A5448" w:rsidRPr="0091437B" w:rsidRDefault="000A5448" w:rsidP="000A5448">
      <w:pPr>
        <w:tabs>
          <w:tab w:val="left" w:pos="3885"/>
        </w:tabs>
        <w:spacing w:line="276" w:lineRule="auto"/>
        <w:ind w:left="709" w:right="709"/>
        <w:jc w:val="both"/>
        <w:rPr>
          <w:rFonts w:ascii="Arial" w:eastAsia="Calibri" w:hAnsi="Arial" w:cs="Arial"/>
          <w:color w:val="161616" w:themeColor="background1" w:themeShade="1A"/>
          <w:sz w:val="22"/>
        </w:rPr>
      </w:pPr>
    </w:p>
    <w:p w14:paraId="687BC19C" w14:textId="7A11391C" w:rsidR="000A5448" w:rsidRPr="0091437B" w:rsidRDefault="000A5448" w:rsidP="000A5448">
      <w:pPr>
        <w:spacing w:line="276" w:lineRule="auto"/>
        <w:ind w:firstLine="708"/>
        <w:jc w:val="both"/>
        <w:rPr>
          <w:rFonts w:ascii="Arial" w:hAnsi="Arial" w:cs="Arial"/>
          <w:color w:val="161616" w:themeColor="background1" w:themeShade="1A"/>
          <w:sz w:val="22"/>
          <w:lang w:val="es-ES"/>
        </w:rPr>
      </w:pPr>
      <w:r w:rsidRPr="0091437B">
        <w:rPr>
          <w:rFonts w:ascii="Arial" w:hAnsi="Arial" w:cs="Arial"/>
          <w:color w:val="161616" w:themeColor="background1" w:themeShade="1A"/>
          <w:sz w:val="22"/>
          <w:lang w:val="es-ES"/>
        </w:rPr>
        <w:t xml:space="preserve">Adicionalmente, el deber de </w:t>
      </w:r>
      <w:r w:rsidR="0048386E" w:rsidRPr="0091437B">
        <w:rPr>
          <w:rFonts w:ascii="Arial" w:hAnsi="Arial" w:cs="Arial"/>
          <w:color w:val="161616" w:themeColor="background1" w:themeShade="1A"/>
          <w:sz w:val="22"/>
          <w:lang w:val="es-ES"/>
        </w:rPr>
        <w:t>publica</w:t>
      </w:r>
      <w:r w:rsidR="0048386E">
        <w:rPr>
          <w:rFonts w:ascii="Arial" w:hAnsi="Arial" w:cs="Arial"/>
          <w:color w:val="161616" w:themeColor="background1" w:themeShade="1A"/>
          <w:sz w:val="22"/>
          <w:lang w:val="es-ES"/>
        </w:rPr>
        <w:t>r</w:t>
      </w:r>
      <w:r w:rsidRPr="0091437B">
        <w:rPr>
          <w:rFonts w:ascii="Arial" w:hAnsi="Arial" w:cs="Arial"/>
          <w:color w:val="161616" w:themeColor="background1" w:themeShade="1A"/>
          <w:sz w:val="22"/>
          <w:lang w:val="es-ES"/>
        </w:rPr>
        <w:t xml:space="preserve">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6EBF74F5" w14:textId="77777777" w:rsidR="000A5448" w:rsidRPr="0091437B" w:rsidRDefault="000A5448" w:rsidP="000A5448">
      <w:pPr>
        <w:ind w:leftChars="709" w:left="1702" w:right="709" w:firstLine="2"/>
        <w:jc w:val="both"/>
        <w:rPr>
          <w:rFonts w:ascii="Arial" w:hAnsi="Arial" w:cs="Arial"/>
          <w:color w:val="161616" w:themeColor="background1" w:themeShade="1A"/>
          <w:sz w:val="21"/>
          <w:szCs w:val="21"/>
          <w:lang w:val="es-ES"/>
        </w:rPr>
      </w:pPr>
    </w:p>
    <w:p w14:paraId="41F6BB70" w14:textId="77777777" w:rsidR="000A5448" w:rsidRPr="0091437B" w:rsidRDefault="000A5448" w:rsidP="000A5448">
      <w:pPr>
        <w:ind w:leftChars="295" w:left="708" w:right="709"/>
        <w:jc w:val="both"/>
        <w:rPr>
          <w:rFonts w:ascii="Arial" w:hAnsi="Arial" w:cs="Arial"/>
          <w:color w:val="161616" w:themeColor="background1" w:themeShade="1A"/>
          <w:sz w:val="21"/>
          <w:szCs w:val="21"/>
          <w:lang w:val="es-ES"/>
        </w:rPr>
      </w:pPr>
      <w:r w:rsidRPr="0091437B">
        <w:rPr>
          <w:rFonts w:ascii="Arial" w:hAnsi="Arial" w:cs="Arial"/>
          <w:color w:val="161616" w:themeColor="background1" w:themeShade="1A"/>
          <w:sz w:val="21"/>
          <w:szCs w:val="21"/>
          <w:lang w:val="es-ES"/>
        </w:rPr>
        <w:lastRenderedPageBreak/>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91437B">
        <w:rPr>
          <w:rStyle w:val="Refdenotaalpie"/>
          <w:rFonts w:ascii="Arial" w:hAnsi="Arial" w:cs="Arial"/>
          <w:color w:val="161616" w:themeColor="background1" w:themeShade="1A"/>
          <w:sz w:val="21"/>
          <w:szCs w:val="21"/>
          <w:lang w:val="es-ES"/>
        </w:rPr>
        <w:footnoteReference w:id="13"/>
      </w:r>
      <w:r w:rsidRPr="0091437B">
        <w:rPr>
          <w:rFonts w:ascii="Arial" w:hAnsi="Arial" w:cs="Arial"/>
          <w:color w:val="161616" w:themeColor="background1" w:themeShade="1A"/>
          <w:sz w:val="21"/>
          <w:szCs w:val="21"/>
          <w:lang w:val="es-ES"/>
        </w:rPr>
        <w:t>.</w:t>
      </w:r>
    </w:p>
    <w:p w14:paraId="318188D6" w14:textId="77777777" w:rsidR="000A5448" w:rsidRPr="0091437B" w:rsidRDefault="000A5448" w:rsidP="000A5448">
      <w:pPr>
        <w:spacing w:line="276" w:lineRule="auto"/>
        <w:ind w:leftChars="709" w:left="1702" w:right="709"/>
        <w:jc w:val="both"/>
        <w:rPr>
          <w:rFonts w:ascii="Arial" w:hAnsi="Arial" w:cs="Arial"/>
          <w:color w:val="161616" w:themeColor="background1" w:themeShade="1A"/>
          <w:sz w:val="21"/>
          <w:szCs w:val="21"/>
          <w:lang w:val="es-ES"/>
        </w:rPr>
      </w:pPr>
    </w:p>
    <w:p w14:paraId="516B48B7" w14:textId="77777777" w:rsidR="000A5448" w:rsidRPr="0091437B" w:rsidRDefault="000A5448" w:rsidP="000A5448">
      <w:pPr>
        <w:spacing w:after="120" w:line="276" w:lineRule="auto"/>
        <w:ind w:firstLine="708"/>
        <w:jc w:val="both"/>
        <w:rPr>
          <w:rFonts w:ascii="Arial" w:hAnsi="Arial" w:cs="Arial"/>
          <w:color w:val="161616" w:themeColor="background1" w:themeShade="1A"/>
          <w:sz w:val="22"/>
          <w:lang w:val="es-ES"/>
        </w:rPr>
      </w:pPr>
      <w:r w:rsidRPr="0091437B">
        <w:rPr>
          <w:rFonts w:ascii="Arial" w:hAnsi="Arial" w:cs="Arial"/>
          <w:color w:val="161616" w:themeColor="background1" w:themeShade="1A"/>
          <w:sz w:val="22"/>
          <w:lang w:val="es-ES"/>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1BD17F8E" w14:textId="77777777" w:rsidR="000A5448" w:rsidRPr="0091437B" w:rsidRDefault="000A5448" w:rsidP="00F41674">
      <w:pPr>
        <w:spacing w:line="276" w:lineRule="auto"/>
        <w:ind w:firstLine="708"/>
        <w:jc w:val="both"/>
        <w:rPr>
          <w:rFonts w:ascii="Arial" w:hAnsi="Arial" w:cs="Arial"/>
          <w:color w:val="161616" w:themeColor="background1" w:themeShade="1A"/>
          <w:sz w:val="22"/>
          <w:lang w:val="es-ES"/>
        </w:rPr>
      </w:pPr>
      <w:r w:rsidRPr="0091437B">
        <w:rPr>
          <w:rFonts w:ascii="Arial" w:hAnsi="Arial" w:cs="Arial"/>
          <w:color w:val="161616" w:themeColor="background1" w:themeShade="1A"/>
          <w:sz w:val="22"/>
          <w:lang w:val="es-ES"/>
        </w:rPr>
        <w:t xml:space="preserve">Dentro de las razones que consideró el máximo tribunal de lo contencioso administrativo no tuvo en cuenta razones de orden fáctico como las planteadas en la solicitud,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4F1733B7" w14:textId="77777777" w:rsidR="000A5448" w:rsidRPr="0091437B" w:rsidRDefault="000A5448" w:rsidP="000A5448">
      <w:pPr>
        <w:spacing w:line="276" w:lineRule="auto"/>
        <w:jc w:val="both"/>
        <w:rPr>
          <w:rFonts w:ascii="Arial" w:hAnsi="Arial" w:cs="Arial"/>
          <w:color w:val="161616" w:themeColor="background1" w:themeShade="1A"/>
          <w:sz w:val="22"/>
          <w:lang w:val="es-ES"/>
        </w:rPr>
      </w:pPr>
    </w:p>
    <w:p w14:paraId="4827D81C" w14:textId="01C8D3F9" w:rsidR="000A5448" w:rsidRPr="0091437B" w:rsidRDefault="000A5448" w:rsidP="000A5448">
      <w:pPr>
        <w:tabs>
          <w:tab w:val="left" w:pos="284"/>
          <w:tab w:val="left" w:pos="426"/>
        </w:tabs>
        <w:spacing w:line="276" w:lineRule="auto"/>
        <w:jc w:val="both"/>
        <w:rPr>
          <w:rFonts w:ascii="Arial" w:hAnsi="Arial" w:cs="Arial"/>
          <w:b/>
          <w:color w:val="161616" w:themeColor="background1" w:themeShade="1A"/>
          <w:sz w:val="22"/>
          <w:lang w:val="es-ES"/>
        </w:rPr>
      </w:pPr>
      <w:r w:rsidRPr="0091437B">
        <w:rPr>
          <w:rFonts w:ascii="Arial" w:hAnsi="Arial" w:cs="Arial"/>
          <w:b/>
          <w:color w:val="161616" w:themeColor="background1" w:themeShade="1A"/>
          <w:sz w:val="22"/>
          <w:lang w:val="es-ES"/>
        </w:rPr>
        <w:t>2.</w:t>
      </w:r>
      <w:r w:rsidR="00422317">
        <w:rPr>
          <w:rFonts w:ascii="Arial" w:hAnsi="Arial" w:cs="Arial"/>
          <w:b/>
          <w:color w:val="161616" w:themeColor="background1" w:themeShade="1A"/>
          <w:sz w:val="22"/>
          <w:lang w:val="es-ES"/>
        </w:rPr>
        <w:t>3.</w:t>
      </w:r>
      <w:r w:rsidRPr="0091437B">
        <w:rPr>
          <w:rFonts w:ascii="Arial" w:hAnsi="Arial" w:cs="Arial"/>
          <w:b/>
          <w:color w:val="161616" w:themeColor="background1" w:themeShade="1A"/>
          <w:sz w:val="22"/>
          <w:lang w:val="es-ES"/>
        </w:rPr>
        <w:t xml:space="preserve"> Precedentes de Colombia Compra Eficiente sobre los documentos que publican en el SECOP las entidades de régimen especial </w:t>
      </w:r>
    </w:p>
    <w:p w14:paraId="3B9A81D7" w14:textId="77777777" w:rsidR="000A5448" w:rsidRPr="0091437B" w:rsidRDefault="000A5448" w:rsidP="000A5448">
      <w:pPr>
        <w:pStyle w:val="Prrafodelista"/>
        <w:spacing w:line="276" w:lineRule="auto"/>
        <w:ind w:left="0"/>
        <w:jc w:val="both"/>
        <w:rPr>
          <w:rFonts w:ascii="Arial" w:hAnsi="Arial" w:cs="Arial"/>
          <w:b/>
          <w:color w:val="161616" w:themeColor="background1" w:themeShade="1A"/>
          <w:sz w:val="22"/>
          <w:lang w:val="es-ES"/>
        </w:rPr>
      </w:pPr>
    </w:p>
    <w:p w14:paraId="3173DC83" w14:textId="77777777" w:rsidR="000A5448" w:rsidRPr="0091437B" w:rsidRDefault="000A5448" w:rsidP="000A5448">
      <w:pPr>
        <w:pStyle w:val="Prrafodelista"/>
        <w:spacing w:after="120" w:line="276" w:lineRule="auto"/>
        <w:ind w:left="0"/>
        <w:jc w:val="both"/>
        <w:rPr>
          <w:rFonts w:ascii="Arial" w:eastAsia="Calibri" w:hAnsi="Arial" w:cs="Arial"/>
          <w:color w:val="161616" w:themeColor="background1" w:themeShade="1A"/>
          <w:sz w:val="22"/>
          <w:lang w:val="es-ES"/>
        </w:rPr>
      </w:pPr>
      <w:r w:rsidRPr="0091437B">
        <w:rPr>
          <w:rFonts w:ascii="Arial" w:eastAsia="Calibri" w:hAnsi="Arial" w:cs="Arial"/>
          <w:color w:val="161616" w:themeColor="background1" w:themeShade="1A"/>
          <w:sz w:val="22"/>
          <w:lang w:val="es-ES"/>
        </w:rPr>
        <w:t>Determinada la obligación que tienen las entidades sujetas a un régimen especial de publicar su actividad contractual en el SECOP, a continuación se identificarán los documentos que deben publicar, n</w:t>
      </w:r>
      <w:r w:rsidRPr="0091437B">
        <w:rPr>
          <w:rFonts w:ascii="Arial" w:hAnsi="Arial" w:cs="Arial"/>
          <w:bCs/>
          <w:color w:val="161616" w:themeColor="background1" w:themeShade="1A"/>
          <w:sz w:val="22"/>
          <w:lang w:val="es-ES"/>
        </w:rPr>
        <w:t>o sin antes explicar la posición que la Agencia Nacional de Contratación Pública ─ Colombia Compra Eficiente ha adoptado desde el 2016 hasta el 2019.</w:t>
      </w:r>
    </w:p>
    <w:p w14:paraId="44DF6B66" w14:textId="77777777" w:rsidR="000A5448" w:rsidRPr="0091437B" w:rsidRDefault="000A5448" w:rsidP="000A5448">
      <w:pPr>
        <w:spacing w:after="120" w:line="276" w:lineRule="auto"/>
        <w:ind w:firstLine="708"/>
        <w:jc w:val="both"/>
        <w:rPr>
          <w:rFonts w:ascii="Arial" w:hAnsi="Arial" w:cs="Arial"/>
          <w:color w:val="161616" w:themeColor="background1" w:themeShade="1A"/>
          <w:sz w:val="22"/>
          <w:lang w:val="es-ES"/>
        </w:rPr>
      </w:pPr>
      <w:r w:rsidRPr="0091437B">
        <w:rPr>
          <w:rFonts w:ascii="Arial" w:hAnsi="Arial" w:cs="Arial"/>
          <w:bCs/>
          <w:color w:val="161616" w:themeColor="background1" w:themeShade="1A"/>
          <w:sz w:val="22"/>
          <w:lang w:val="es-ES"/>
        </w:rPr>
        <w:t xml:space="preserve">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w:t>
      </w:r>
      <w:r w:rsidRPr="0091437B">
        <w:rPr>
          <w:rFonts w:ascii="Arial" w:hAnsi="Arial" w:cs="Arial"/>
          <w:bCs/>
          <w:color w:val="161616" w:themeColor="background1" w:themeShade="1A"/>
          <w:sz w:val="22"/>
          <w:lang w:val="es-ES"/>
        </w:rPr>
        <w:lastRenderedPageBreak/>
        <w:t xml:space="preserve">proceso que define el Decreto 1082 de 2015, así como lo relativo a la ejecución del contrato. Lo anterior </w:t>
      </w:r>
      <w:r w:rsidRPr="0091437B">
        <w:rPr>
          <w:rFonts w:ascii="Arial" w:hAnsi="Arial" w:cs="Arial"/>
          <w:color w:val="161616" w:themeColor="background1" w:themeShade="1A"/>
          <w:sz w:val="22"/>
          <w:lang w:val="es-ES"/>
        </w:rPr>
        <w:t>se fundamentó en el literal c) del artículo 3 de la Ley 1150 de 2007</w:t>
      </w:r>
      <w:r w:rsidRPr="0091437B">
        <w:rPr>
          <w:color w:val="161616" w:themeColor="background1" w:themeShade="1A"/>
          <w:vertAlign w:val="superscript"/>
        </w:rPr>
        <w:footnoteReference w:id="14"/>
      </w:r>
      <w:r w:rsidRPr="0091437B">
        <w:rPr>
          <w:rFonts w:ascii="Arial" w:hAnsi="Arial" w:cs="Arial"/>
          <w:color w:val="161616" w:themeColor="background1" w:themeShade="1A"/>
          <w:sz w:val="22"/>
          <w:lang w:val="es-ES"/>
        </w:rPr>
        <w:t>.</w:t>
      </w:r>
    </w:p>
    <w:p w14:paraId="4A2811C7"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lang w:val="es-ES"/>
        </w:rPr>
      </w:pPr>
      <w:r w:rsidRPr="0091437B">
        <w:rPr>
          <w:rFonts w:ascii="Arial" w:hAnsi="Arial" w:cs="Arial"/>
          <w:color w:val="161616" w:themeColor="background1" w:themeShade="1A"/>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91437B">
        <w:rPr>
          <w:rFonts w:ascii="Arial" w:eastAsia="Calibri" w:hAnsi="Arial" w:cs="Arial"/>
          <w:color w:val="161616" w:themeColor="background1" w:themeShade="1A"/>
          <w:sz w:val="22"/>
          <w:lang w:val="es-ES"/>
        </w:rPr>
        <w:t xml:space="preserve">documentos del proceso que se debían publicar. </w:t>
      </w:r>
    </w:p>
    <w:p w14:paraId="7E3EE471" w14:textId="77777777" w:rsidR="000A5448" w:rsidRPr="0091437B" w:rsidRDefault="000A5448" w:rsidP="000A5448">
      <w:pPr>
        <w:pStyle w:val="Prrafodelista"/>
        <w:spacing w:after="120" w:line="276" w:lineRule="auto"/>
        <w:ind w:left="0" w:firstLine="709"/>
        <w:jc w:val="both"/>
        <w:rPr>
          <w:rFonts w:ascii="Arial" w:eastAsia="Calibri" w:hAnsi="Arial" w:cs="Arial"/>
          <w:color w:val="161616" w:themeColor="background1" w:themeShade="1A"/>
          <w:sz w:val="22"/>
          <w:lang w:val="es-ES"/>
        </w:rPr>
      </w:pPr>
      <w:r w:rsidRPr="0091437B">
        <w:rPr>
          <w:rFonts w:ascii="Arial" w:eastAsia="Calibri" w:hAnsi="Arial" w:cs="Arial"/>
          <w:color w:val="161616" w:themeColor="background1" w:themeShade="1A"/>
          <w:sz w:val="22"/>
          <w:lang w:val="es-ES"/>
        </w:rPr>
        <w:t>Posteriormente, en el año 2018, cambió el fundamento normativo que define los documentos que las entidades de régimen especial debían publicar en el SECOP. En el concepto con radicado No. 4201814000008329 del 8 de octubre de 2018 se explicó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91437B">
        <w:rPr>
          <w:rStyle w:val="Refdenotaalpie"/>
          <w:rFonts w:ascii="Arial" w:eastAsia="Calibri" w:hAnsi="Arial" w:cs="Arial"/>
          <w:color w:val="161616" w:themeColor="background1" w:themeShade="1A"/>
          <w:sz w:val="22"/>
          <w:lang w:val="es-ES"/>
        </w:rPr>
        <w:footnoteReference w:id="15"/>
      </w:r>
      <w:r w:rsidRPr="0091437B">
        <w:rPr>
          <w:rFonts w:ascii="Arial" w:eastAsia="Calibri" w:hAnsi="Arial" w:cs="Arial"/>
          <w:color w:val="161616" w:themeColor="background1" w:themeShade="1A"/>
          <w:sz w:val="22"/>
          <w:lang w:val="es-ES"/>
        </w:rPr>
        <w:t xml:space="preserve">. </w:t>
      </w:r>
    </w:p>
    <w:p w14:paraId="4DCECB7F"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lang w:val="es-ES"/>
        </w:rPr>
      </w:pPr>
      <w:r w:rsidRPr="0091437B">
        <w:rPr>
          <w:rFonts w:ascii="Arial" w:eastAsia="Calibri" w:hAnsi="Arial" w:cs="Arial"/>
          <w:color w:val="161616" w:themeColor="background1" w:themeShade="1A"/>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w:t>
      </w:r>
      <w:r w:rsidRPr="0091437B">
        <w:rPr>
          <w:rFonts w:ascii="Arial" w:eastAsia="Calibri" w:hAnsi="Arial" w:cs="Arial"/>
          <w:color w:val="161616" w:themeColor="background1" w:themeShade="1A"/>
          <w:sz w:val="22"/>
          <w:lang w:val="es-ES"/>
        </w:rPr>
        <w:lastRenderedPageBreak/>
        <w:t xml:space="preserve">2015; en un segundo momento se identificaron los documentos en virtud del literal g), del artículo 11 de la Ley 1712 de 2014 y lo previsto en el Decreto 103 de 2015. Esta posición es la que se acogerá y desarrollará en esta consulta. </w:t>
      </w:r>
    </w:p>
    <w:p w14:paraId="11619823"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lang w:val="es-ES"/>
        </w:rPr>
      </w:pPr>
      <w:r w:rsidRPr="0091437B">
        <w:rPr>
          <w:rFonts w:ascii="Arial" w:eastAsia="Calibri" w:hAnsi="Arial" w:cs="Arial"/>
          <w:color w:val="161616" w:themeColor="background1" w:themeShade="1A"/>
          <w:sz w:val="22"/>
          <w:lang w:val="es-ES"/>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681637C0"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lang w:val="es-ES"/>
        </w:rPr>
        <w:t>Luego, el</w:t>
      </w:r>
      <w:r w:rsidRPr="0091437B">
        <w:rPr>
          <w:rFonts w:ascii="Arial" w:eastAsia="Calibri" w:hAnsi="Arial" w:cs="Arial"/>
          <w:color w:val="161616" w:themeColor="background1" w:themeShade="1A"/>
          <w:sz w:val="22"/>
        </w:rPr>
        <w:t xml:space="preserve"> artículo 8 del Decreto reglamentario 103 de 2015, «Por el cual se reglamenta parcialmente la Ley 1712 de 2014 y se dictan otras disposiciones», señala, de forma enunciativa, que se debe publicar la información relativa a la ejecución del contrato, como las aprobaciones, autorizaciones, requerimientos o informes del supervisor o interventor, que aprueben la ejecución del contrato</w:t>
      </w:r>
      <w:r w:rsidRPr="0091437B">
        <w:rPr>
          <w:rStyle w:val="Refdenotaalpie"/>
          <w:rFonts w:ascii="Arial" w:eastAsia="Calibri" w:hAnsi="Arial" w:cs="Arial"/>
          <w:color w:val="161616" w:themeColor="background1" w:themeShade="1A"/>
          <w:sz w:val="22"/>
        </w:rPr>
        <w:footnoteReference w:id="16"/>
      </w:r>
      <w:r w:rsidRPr="0091437B">
        <w:rPr>
          <w:rFonts w:ascii="Arial" w:eastAsia="Calibri" w:hAnsi="Arial" w:cs="Arial"/>
          <w:color w:val="161616" w:themeColor="background1" w:themeShade="1A"/>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91437B">
        <w:rPr>
          <w:rStyle w:val="Refdenotaalpie"/>
          <w:rFonts w:ascii="Arial" w:eastAsia="Calibri" w:hAnsi="Arial" w:cs="Arial"/>
          <w:color w:val="161616" w:themeColor="background1" w:themeShade="1A"/>
          <w:sz w:val="22"/>
        </w:rPr>
        <w:footnoteReference w:id="17"/>
      </w:r>
      <w:r w:rsidRPr="0091437B">
        <w:rPr>
          <w:rFonts w:ascii="Arial" w:eastAsia="Calibri" w:hAnsi="Arial" w:cs="Arial"/>
          <w:color w:val="161616" w:themeColor="background1" w:themeShade="1A"/>
          <w:sz w:val="22"/>
        </w:rPr>
        <w:t xml:space="preserve">. Finalmente, el artículo 10 establece la obligación que tienen las entidades de publicar en el SECOP el Plan Anual de </w:t>
      </w:r>
      <w:r w:rsidRPr="0091437B">
        <w:rPr>
          <w:rFonts w:ascii="Arial" w:eastAsia="Calibri" w:hAnsi="Arial" w:cs="Arial"/>
          <w:color w:val="161616" w:themeColor="background1" w:themeShade="1A"/>
          <w:sz w:val="22"/>
          <w:lang w:val="es-ES"/>
        </w:rPr>
        <w:t>Adquisiciones</w:t>
      </w:r>
      <w:r w:rsidRPr="0091437B">
        <w:rPr>
          <w:rStyle w:val="Refdenotaalpie"/>
          <w:rFonts w:ascii="Arial" w:eastAsia="Calibri" w:hAnsi="Arial" w:cs="Arial"/>
          <w:color w:val="161616" w:themeColor="background1" w:themeShade="1A"/>
          <w:sz w:val="22"/>
        </w:rPr>
        <w:footnoteReference w:id="18"/>
      </w:r>
      <w:r w:rsidRPr="0091437B">
        <w:rPr>
          <w:rFonts w:ascii="Arial" w:eastAsia="Calibri" w:hAnsi="Arial" w:cs="Arial"/>
          <w:color w:val="161616" w:themeColor="background1" w:themeShade="1A"/>
          <w:sz w:val="22"/>
        </w:rPr>
        <w:t xml:space="preserve">.  </w:t>
      </w:r>
    </w:p>
    <w:p w14:paraId="3765B411" w14:textId="03B22DA5" w:rsidR="000A5448" w:rsidRPr="0091437B" w:rsidRDefault="000A5448" w:rsidP="000A5448">
      <w:pPr>
        <w:spacing w:after="120" w:line="276" w:lineRule="auto"/>
        <w:ind w:firstLine="708"/>
        <w:jc w:val="both"/>
        <w:rPr>
          <w:rFonts w:ascii="Arial" w:eastAsia="Calibri" w:hAnsi="Arial" w:cs="Arial"/>
          <w:color w:val="161616" w:themeColor="background1" w:themeShade="1A"/>
          <w:sz w:val="22"/>
          <w:lang w:val="es-ES"/>
        </w:rPr>
      </w:pPr>
      <w:r w:rsidRPr="0091437B">
        <w:rPr>
          <w:rFonts w:ascii="Arial" w:eastAsia="Calibri" w:hAnsi="Arial" w:cs="Arial"/>
          <w:color w:val="161616" w:themeColor="background1" w:themeShade="1A"/>
          <w:sz w:val="22"/>
        </w:rPr>
        <w:lastRenderedPageBreak/>
        <w:t xml:space="preserve">De conformidad con lo anterior, el Decreto 103 de 2015 señala que los documentos que deben publicar las entidades estatales, entre estas las empresas </w:t>
      </w:r>
      <w:r w:rsidR="005F72C8">
        <w:rPr>
          <w:rFonts w:ascii="Arial" w:eastAsia="Calibri" w:hAnsi="Arial" w:cs="Arial"/>
          <w:color w:val="161616" w:themeColor="background1" w:themeShade="1A"/>
          <w:sz w:val="22"/>
        </w:rPr>
        <w:t>de servicios públicos domiciliarios</w:t>
      </w:r>
      <w:r w:rsidRPr="0091437B">
        <w:rPr>
          <w:rFonts w:ascii="Arial" w:eastAsia="Calibri" w:hAnsi="Arial" w:cs="Arial"/>
          <w:color w:val="161616" w:themeColor="background1" w:themeShade="1A"/>
          <w:sz w:val="22"/>
        </w:rPr>
        <w:t>,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w:t>
      </w:r>
      <w:r w:rsidRPr="0091437B">
        <w:rPr>
          <w:rFonts w:ascii="Arial" w:eastAsia="Calibri" w:hAnsi="Arial" w:cs="Arial"/>
          <w:color w:val="161616" w:themeColor="background1" w:themeShade="1A"/>
          <w:sz w:val="22"/>
          <w:lang w:val="es-ES"/>
        </w:rPr>
        <w:t xml:space="preserve">) el plan anual de adquisiciones. </w:t>
      </w:r>
    </w:p>
    <w:p w14:paraId="53B9B88E"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lang w:val="es-ES"/>
        </w:rPr>
      </w:pPr>
      <w:r w:rsidRPr="0091437B">
        <w:rPr>
          <w:rFonts w:ascii="Arial" w:eastAsia="Calibri" w:hAnsi="Arial" w:cs="Arial"/>
          <w:color w:val="161616" w:themeColor="background1" w:themeShade="1A"/>
          <w:sz w:val="22"/>
          <w:lang w:val="es-ES"/>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16EA0B43"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lang w:val="es-ES"/>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w:t>
      </w:r>
      <w:r w:rsidRPr="0091437B">
        <w:rPr>
          <w:rFonts w:ascii="Arial" w:eastAsia="Calibri" w:hAnsi="Arial" w:cs="Arial"/>
          <w:color w:val="161616" w:themeColor="background1" w:themeShade="1A"/>
          <w:sz w:val="22"/>
        </w:rPr>
        <w:t xml:space="preserve"> del literal g) del artículo 11 de la Ley 1712 de 2014. </w:t>
      </w:r>
    </w:p>
    <w:p w14:paraId="2BBEBD7E" w14:textId="7A57EA59" w:rsidR="000A5448" w:rsidRPr="0091437B" w:rsidRDefault="000A5448" w:rsidP="000A5448">
      <w:pPr>
        <w:spacing w:after="120" w:line="276" w:lineRule="auto"/>
        <w:ind w:firstLine="708"/>
        <w:jc w:val="both"/>
        <w:rPr>
          <w:rFonts w:ascii="Arial" w:eastAsia="Calibri" w:hAnsi="Arial" w:cs="Arial"/>
          <w:color w:val="161616" w:themeColor="background1" w:themeShade="1A"/>
          <w:sz w:val="22"/>
          <w:lang w:val="es-ES"/>
        </w:rPr>
      </w:pPr>
      <w:r w:rsidRPr="0091437B">
        <w:rPr>
          <w:rFonts w:ascii="Arial" w:eastAsia="Calibri" w:hAnsi="Arial" w:cs="Arial"/>
          <w:color w:val="161616" w:themeColor="background1" w:themeShade="1A"/>
          <w:sz w:val="22"/>
        </w:rPr>
        <w:t xml:space="preserve">Por lo tanto, en estos casos aplica la Ley 1712 de 2014 y el Decreto 103 de 2015, no el Decreto 1082 de 2015, porque esta última norma rige a las entidades sometidas al Estatuto General de Contratación Pública, y por lo tanto no aplica a las </w:t>
      </w:r>
      <w:r w:rsidR="005F72C8">
        <w:rPr>
          <w:rFonts w:ascii="Arial" w:eastAsia="Calibri" w:hAnsi="Arial" w:cs="Arial"/>
          <w:color w:val="161616" w:themeColor="background1" w:themeShade="1A"/>
          <w:sz w:val="22"/>
        </w:rPr>
        <w:t>empresas de servicios públicos domiciliarios</w:t>
      </w:r>
      <w:r w:rsidRPr="0091437B">
        <w:rPr>
          <w:rFonts w:ascii="Arial" w:eastAsia="Calibri" w:hAnsi="Arial" w:cs="Arial"/>
          <w:color w:val="161616" w:themeColor="background1" w:themeShade="1A"/>
          <w:sz w:val="22"/>
        </w:rPr>
        <w:t xml:space="preserve"> que, por regla general, se rigen por el derecho privado. Por su parte, la Ley 1712 de 2014 y el Decreto reglamentario 103 de 2015 aplican a cualquier entidad pública, incluyendo</w:t>
      </w:r>
      <w:r w:rsidRPr="0091437B">
        <w:rPr>
          <w:rFonts w:ascii="Arial" w:hAnsi="Arial" w:cs="Arial"/>
          <w:color w:val="161616" w:themeColor="background1" w:themeShade="1A"/>
          <w:sz w:val="22"/>
        </w:rPr>
        <w:t xml:space="preserve"> </w:t>
      </w:r>
      <w:r w:rsidRPr="0091437B">
        <w:rPr>
          <w:rFonts w:ascii="Arial" w:eastAsia="Times New Roman" w:hAnsi="Arial" w:cs="Arial"/>
          <w:color w:val="161616" w:themeColor="background1" w:themeShade="1A"/>
          <w:sz w:val="22"/>
          <w:lang w:val="es-CO" w:eastAsia="es-CO"/>
        </w:rPr>
        <w:t xml:space="preserve">las pertenecientes a todas las ramas del poder público, en todos los niveles de la estructura estatal, central o descentralizada por servicios o </w:t>
      </w:r>
      <w:r w:rsidRPr="0091437B">
        <w:rPr>
          <w:rFonts w:ascii="Arial" w:eastAsia="Calibri" w:hAnsi="Arial" w:cs="Arial"/>
          <w:color w:val="161616" w:themeColor="background1" w:themeShade="1A"/>
          <w:sz w:val="22"/>
          <w:lang w:val="es-ES"/>
        </w:rPr>
        <w:t>territorialmente, en los órdenes nacional, departamental, municipal y distrital.</w:t>
      </w:r>
    </w:p>
    <w:p w14:paraId="4F784E6F"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lang w:val="es-ES"/>
        </w:rPr>
      </w:pPr>
      <w:r w:rsidRPr="0091437B">
        <w:rPr>
          <w:rFonts w:ascii="Arial" w:eastAsia="Calibri" w:hAnsi="Arial" w:cs="Arial"/>
          <w:color w:val="161616" w:themeColor="background1" w:themeShade="1A"/>
          <w:sz w:val="22"/>
          <w:lang w:val="es-ES"/>
        </w:rPr>
        <w:t xml:space="preserve">Identificados los documentos que deben publicar las entidades de régimen especial y su fundamento normativo, a continuación se explicará cuándo se deben publicar, no sin antes explicar la posición que Colombia Compra Eficiente ha tenido en relación con este asunto. </w:t>
      </w:r>
    </w:p>
    <w:p w14:paraId="5565D2FD"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lang w:val="es-ES"/>
        </w:rPr>
        <w:t>En el año 2017, en la consulta con radicado No. 4201713000005390 se prevé que: el plazo para publicar</w:t>
      </w:r>
      <w:r w:rsidRPr="0091437B">
        <w:rPr>
          <w:rFonts w:ascii="Arial" w:eastAsia="Calibri" w:hAnsi="Arial" w:cs="Arial"/>
          <w:color w:val="161616" w:themeColor="background1" w:themeShade="1A"/>
          <w:sz w:val="22"/>
        </w:rPr>
        <w:t xml:space="preserve"> por parte de las entidades de régimen especial es el que se fije en el manual de contratación de la entidad»</w:t>
      </w:r>
      <w:r w:rsidRPr="0091437B">
        <w:rPr>
          <w:rStyle w:val="Refdenotaalpie"/>
          <w:rFonts w:ascii="Arial" w:eastAsia="Calibri" w:hAnsi="Arial" w:cs="Arial"/>
          <w:color w:val="161616" w:themeColor="background1" w:themeShade="1A"/>
          <w:sz w:val="22"/>
        </w:rPr>
        <w:footnoteReference w:id="19"/>
      </w:r>
      <w:r w:rsidRPr="0091437B">
        <w:rPr>
          <w:rFonts w:ascii="Arial" w:eastAsia="Calibri" w:hAnsi="Arial" w:cs="Arial"/>
          <w:color w:val="161616" w:themeColor="background1" w:themeShade="1A"/>
          <w:sz w:val="22"/>
        </w:rPr>
        <w:t xml:space="preserve">. Por su parte, en el año 2018, con la expedición </w:t>
      </w:r>
      <w:r w:rsidRPr="0091437B">
        <w:rPr>
          <w:rFonts w:ascii="Arial" w:eastAsia="Calibri" w:hAnsi="Arial" w:cs="Arial"/>
          <w:color w:val="161616" w:themeColor="background1" w:themeShade="1A"/>
          <w:sz w:val="22"/>
        </w:rPr>
        <w:lastRenderedPageBreak/>
        <w:t>de la Circular Externa Única, se cambió la postura y se indica: «las entidades que aun utilizan el SECOP I están obligadas a publicar los documentos del proceso dentro de los tres (3) días siguientes a su expedición</w:t>
      </w:r>
      <w:r w:rsidRPr="0091437B">
        <w:rPr>
          <w:rStyle w:val="Refdenotaalpie"/>
          <w:rFonts w:ascii="Arial" w:eastAsia="Calibri" w:hAnsi="Arial" w:cs="Arial"/>
          <w:color w:val="161616" w:themeColor="background1" w:themeShade="1A"/>
          <w:sz w:val="22"/>
        </w:rPr>
        <w:footnoteReference w:id="20"/>
      </w:r>
      <w:r w:rsidRPr="0091437B">
        <w:rPr>
          <w:rFonts w:ascii="Arial" w:eastAsia="Calibri" w:hAnsi="Arial" w:cs="Arial"/>
          <w:color w:val="161616" w:themeColor="background1" w:themeShade="1A"/>
          <w:sz w:val="22"/>
        </w:rPr>
        <w:t xml:space="preserve"> […]». De lo regulado en la Circular Externa Única se infiere que se otorga un tratamiento igualitario a las entidades, independientemente de su régimen de contratación, por lo tanto, aplica el artículo 2.2.1.1.1.7.1. del Decreto 1082 de 2015. </w:t>
      </w:r>
    </w:p>
    <w:p w14:paraId="3E5C0582"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6B4C1EA5"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91437B">
        <w:rPr>
          <w:rFonts w:ascii="Arial" w:eastAsia="Calibri" w:hAnsi="Arial" w:cs="Arial"/>
          <w:i/>
          <w:color w:val="161616" w:themeColor="background1" w:themeShade="1A"/>
          <w:sz w:val="22"/>
        </w:rPr>
        <w:t xml:space="preserve"> </w:t>
      </w:r>
      <w:r w:rsidRPr="0091437B">
        <w:rPr>
          <w:rFonts w:ascii="Arial" w:eastAsia="Calibri" w:hAnsi="Arial" w:cs="Arial"/>
          <w:color w:val="161616" w:themeColor="background1" w:themeShade="1A"/>
          <w:sz w:val="22"/>
        </w:rPr>
        <w:t>razón de ser de la norma»</w:t>
      </w:r>
      <w:r w:rsidRPr="0091437B">
        <w:rPr>
          <w:rStyle w:val="Refdenotaalpie"/>
          <w:rFonts w:ascii="Arial" w:eastAsia="Calibri" w:hAnsi="Arial" w:cs="Arial"/>
          <w:color w:val="161616" w:themeColor="background1" w:themeShade="1A"/>
          <w:sz w:val="22"/>
        </w:rPr>
        <w:footnoteReference w:id="21"/>
      </w:r>
      <w:r w:rsidRPr="0091437B">
        <w:rPr>
          <w:rFonts w:ascii="Arial" w:eastAsia="Calibri" w:hAnsi="Arial" w:cs="Arial"/>
          <w:color w:val="161616" w:themeColor="background1" w:themeShade="1A"/>
          <w:sz w:val="22"/>
        </w:rPr>
        <w:t xml:space="preserve">. En este sentido, el juez razona por analogía, cuando aplica una ley frente una </w:t>
      </w:r>
      <w:r w:rsidRPr="0091437B">
        <w:rPr>
          <w:rFonts w:ascii="Arial" w:eastAsia="Calibri" w:hAnsi="Arial" w:cs="Arial"/>
          <w:color w:val="161616" w:themeColor="background1" w:themeShade="1A"/>
          <w:sz w:val="22"/>
        </w:rPr>
        <w:lastRenderedPageBreak/>
        <w:t xml:space="preserve">situación no contemplada explícitamente en ella, a partir del estudio de situaciones fácticas que fueron tratadas por el legislador y guardan similitud con el asunto tratado. </w:t>
      </w:r>
    </w:p>
    <w:p w14:paraId="624098A6"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91437B">
        <w:rPr>
          <w:rStyle w:val="Refdenotaalpie"/>
          <w:rFonts w:ascii="Arial" w:eastAsia="Calibri" w:hAnsi="Arial" w:cs="Arial"/>
          <w:color w:val="161616" w:themeColor="background1" w:themeShade="1A"/>
          <w:sz w:val="22"/>
        </w:rPr>
        <w:footnoteReference w:id="22"/>
      </w:r>
      <w:r w:rsidRPr="0091437B">
        <w:rPr>
          <w:rFonts w:ascii="Arial" w:eastAsia="Calibri" w:hAnsi="Arial" w:cs="Arial"/>
          <w:color w:val="161616" w:themeColor="background1" w:themeShade="1A"/>
          <w:sz w:val="22"/>
        </w:rPr>
        <w:t xml:space="preserve">. En este sentido, las entidades sometidas al régimen de contratación de Ley 80 de 1993 publicarán en el SECOP sus documentos dentro de los 3 días siguientes a su expedición. </w:t>
      </w:r>
    </w:p>
    <w:p w14:paraId="632D0A1E" w14:textId="1DACA08A" w:rsidR="000A5448" w:rsidRPr="0091437B" w:rsidRDefault="000A5448" w:rsidP="000A5448">
      <w:pPr>
        <w:spacing w:after="120" w:line="276" w:lineRule="auto"/>
        <w:ind w:firstLine="708"/>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Si bien, tal y cómo se mencionó en el acápite anterior, el Decreto 1082 de 2015 no aplica a las empresas </w:t>
      </w:r>
      <w:r w:rsidR="005F72C8">
        <w:rPr>
          <w:rFonts w:ascii="Arial" w:eastAsia="Calibri" w:hAnsi="Arial" w:cs="Arial"/>
          <w:color w:val="161616" w:themeColor="background1" w:themeShade="1A"/>
          <w:sz w:val="22"/>
        </w:rPr>
        <w:t>de servicios públicos domiciliarios</w:t>
      </w:r>
      <w:r w:rsidRPr="0091437B">
        <w:rPr>
          <w:rFonts w:ascii="Arial" w:eastAsia="Calibri" w:hAnsi="Arial" w:cs="Arial"/>
          <w:color w:val="161616" w:themeColor="background1" w:themeShade="1A"/>
          <w:sz w:val="22"/>
        </w:rPr>
        <w:t xml:space="preserve">, porque su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51EA1DBA"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 xml:space="preserve">A su vez, no es posible que las entidades definan el momento en el cual publicarán sus documentos contractuales en su manual de contratación, porque este es un asunto que debe definir el legislador o el gobierno por medio de un Decreto reglamentario. </w:t>
      </w:r>
    </w:p>
    <w:p w14:paraId="1D8359F0" w14:textId="77777777" w:rsidR="000A5448" w:rsidRPr="0091437B" w:rsidRDefault="000A5448" w:rsidP="000A5448">
      <w:pPr>
        <w:spacing w:after="120" w:line="276" w:lineRule="auto"/>
        <w:ind w:firstLine="708"/>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531E1F35" w14:textId="3249E0C6" w:rsidR="000A5448" w:rsidRPr="0091437B" w:rsidRDefault="000A5448" w:rsidP="00F41674">
      <w:pPr>
        <w:pStyle w:val="Prrafodelista"/>
        <w:spacing w:line="276" w:lineRule="auto"/>
        <w:ind w:left="0"/>
        <w:jc w:val="both"/>
        <w:rPr>
          <w:rFonts w:ascii="Arial" w:eastAsia="Calibri" w:hAnsi="Arial" w:cs="Arial"/>
          <w:color w:val="161616" w:themeColor="background1" w:themeShade="1A"/>
          <w:sz w:val="22"/>
        </w:rPr>
      </w:pPr>
      <w:r w:rsidRPr="0091437B">
        <w:rPr>
          <w:rFonts w:ascii="Arial" w:eastAsia="Calibri" w:hAnsi="Arial" w:cs="Arial"/>
          <w:color w:val="161616" w:themeColor="background1" w:themeShade="1A"/>
          <w:sz w:val="22"/>
        </w:rPr>
        <w:tab/>
        <w:t>En todo caso, si se adoptará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w:t>
      </w:r>
      <w:r w:rsidR="00E563F6">
        <w:rPr>
          <w:rFonts w:ascii="Arial" w:eastAsia="Calibri" w:hAnsi="Arial" w:cs="Arial"/>
          <w:color w:val="161616" w:themeColor="background1" w:themeShade="1A"/>
          <w:sz w:val="22"/>
        </w:rPr>
        <w:t xml:space="preserve"> y entonces</w:t>
      </w:r>
      <w:r w:rsidRPr="0091437B">
        <w:rPr>
          <w:rFonts w:ascii="Arial" w:eastAsia="Calibri" w:hAnsi="Arial" w:cs="Arial"/>
          <w:color w:val="161616" w:themeColor="background1" w:themeShade="1A"/>
          <w:sz w:val="22"/>
        </w:rPr>
        <w:t xml:space="preserve"> se aplicaría el artículo 2.2.1.1.1.7.1. </w:t>
      </w:r>
    </w:p>
    <w:p w14:paraId="45A017FC" w14:textId="77777777" w:rsidR="000A5448" w:rsidRPr="0091437B" w:rsidRDefault="000A5448" w:rsidP="000A5448">
      <w:pPr>
        <w:pStyle w:val="Prrafodelista"/>
        <w:spacing w:line="276" w:lineRule="auto"/>
        <w:ind w:left="0"/>
        <w:jc w:val="both"/>
        <w:rPr>
          <w:rFonts w:ascii="Arial" w:eastAsia="Calibri" w:hAnsi="Arial" w:cs="Arial"/>
          <w:color w:val="161616" w:themeColor="background1" w:themeShade="1A"/>
          <w:sz w:val="22"/>
        </w:rPr>
      </w:pPr>
    </w:p>
    <w:p w14:paraId="29C4EF52" w14:textId="3EBDB975" w:rsidR="000A5448" w:rsidRPr="0091437B" w:rsidRDefault="000A5448" w:rsidP="000A5448">
      <w:pPr>
        <w:tabs>
          <w:tab w:val="left" w:pos="0"/>
        </w:tabs>
        <w:spacing w:line="276" w:lineRule="auto"/>
        <w:jc w:val="both"/>
        <w:rPr>
          <w:rFonts w:ascii="Arial" w:eastAsia="Calibri" w:hAnsi="Arial" w:cs="Arial"/>
          <w:b/>
          <w:color w:val="161616" w:themeColor="background1" w:themeShade="1A"/>
          <w:sz w:val="22"/>
          <w:lang w:val="es-ES"/>
        </w:rPr>
      </w:pPr>
      <w:r w:rsidRPr="0091437B">
        <w:rPr>
          <w:rFonts w:ascii="Arial" w:eastAsia="Calibri" w:hAnsi="Arial" w:cs="Arial"/>
          <w:b/>
          <w:color w:val="161616" w:themeColor="background1" w:themeShade="1A"/>
          <w:sz w:val="22"/>
          <w:lang w:val="es-ES"/>
        </w:rPr>
        <w:t>3. Respuesta</w:t>
      </w:r>
    </w:p>
    <w:p w14:paraId="031DEF4A" w14:textId="77777777" w:rsidR="000A5448" w:rsidRPr="0091437B" w:rsidRDefault="000A5448" w:rsidP="000A5448">
      <w:pPr>
        <w:tabs>
          <w:tab w:val="left" w:pos="0"/>
        </w:tabs>
        <w:spacing w:line="276" w:lineRule="auto"/>
        <w:jc w:val="both"/>
        <w:rPr>
          <w:rFonts w:ascii="Arial" w:eastAsia="Calibri" w:hAnsi="Arial" w:cs="Arial"/>
          <w:color w:val="161616" w:themeColor="background1" w:themeShade="1A"/>
          <w:sz w:val="20"/>
          <w:szCs w:val="20"/>
          <w:lang w:val="es-ES"/>
        </w:rPr>
      </w:pPr>
    </w:p>
    <w:p w14:paraId="2E719CD6" w14:textId="024DF391" w:rsidR="000A5448" w:rsidRPr="0091437B" w:rsidRDefault="009E745D" w:rsidP="000A5448">
      <w:pPr>
        <w:tabs>
          <w:tab w:val="left" w:pos="426"/>
        </w:tabs>
        <w:ind w:left="709" w:right="709"/>
        <w:jc w:val="both"/>
        <w:rPr>
          <w:rFonts w:ascii="Arial" w:eastAsia="Calibri" w:hAnsi="Arial" w:cs="Arial"/>
          <w:color w:val="161616" w:themeColor="background1" w:themeShade="1A"/>
          <w:sz w:val="21"/>
          <w:szCs w:val="21"/>
        </w:rPr>
      </w:pPr>
      <w:r w:rsidRPr="009E745D">
        <w:rPr>
          <w:rFonts w:ascii="Arial" w:eastAsia="Calibri" w:hAnsi="Arial" w:cs="Arial"/>
          <w:color w:val="161616" w:themeColor="background1" w:themeShade="1A"/>
          <w:sz w:val="21"/>
          <w:szCs w:val="21"/>
        </w:rPr>
        <w:t>Usted formuló la siguiente pregunta: «[…] Nosotros CAFUCHES S.A. E.S.P., queremos saber si estamos obligados a reportar nuestra información contractual al SECOP. Estamos ubicados en el municipio de San Martín de los Llanos, y nuestro capital social es 100% público […]»</w:t>
      </w:r>
      <w:r>
        <w:rPr>
          <w:rFonts w:ascii="Arial" w:eastAsia="Calibri" w:hAnsi="Arial" w:cs="Arial"/>
          <w:color w:val="161616" w:themeColor="background1" w:themeShade="1A"/>
          <w:sz w:val="21"/>
          <w:szCs w:val="21"/>
        </w:rPr>
        <w:t>.</w:t>
      </w:r>
    </w:p>
    <w:p w14:paraId="579A8500" w14:textId="77777777" w:rsidR="000A5448" w:rsidRPr="0091437B" w:rsidRDefault="000A5448" w:rsidP="000A5448">
      <w:pPr>
        <w:tabs>
          <w:tab w:val="left" w:pos="426"/>
        </w:tabs>
        <w:ind w:left="709" w:right="709"/>
        <w:jc w:val="both"/>
        <w:rPr>
          <w:rFonts w:ascii="Arial" w:eastAsia="Calibri" w:hAnsi="Arial" w:cs="Arial"/>
          <w:color w:val="161616" w:themeColor="background1" w:themeShade="1A"/>
          <w:sz w:val="21"/>
          <w:szCs w:val="21"/>
        </w:rPr>
      </w:pPr>
    </w:p>
    <w:p w14:paraId="247ACE2F" w14:textId="6D413763" w:rsidR="0091437B" w:rsidRPr="0091437B" w:rsidRDefault="00126B51" w:rsidP="00F41674">
      <w:pPr>
        <w:spacing w:line="276" w:lineRule="auto"/>
        <w:ind w:right="49" w:firstLine="708"/>
        <w:jc w:val="both"/>
        <w:rPr>
          <w:rFonts w:ascii="Arial" w:eastAsia="Calibri" w:hAnsi="Arial" w:cs="Arial"/>
          <w:color w:val="161616" w:themeColor="background1" w:themeShade="1A"/>
          <w:sz w:val="22"/>
          <w:lang w:val="es-ES"/>
        </w:rPr>
      </w:pPr>
      <w:r>
        <w:rPr>
          <w:rFonts w:ascii="Arial" w:eastAsia="Calibri" w:hAnsi="Arial" w:cs="Arial"/>
          <w:color w:val="161616" w:themeColor="background1" w:themeShade="1A"/>
          <w:sz w:val="22"/>
        </w:rPr>
        <w:t>Por regla general,</w:t>
      </w:r>
      <w:r w:rsidR="00B37E7D">
        <w:rPr>
          <w:rFonts w:ascii="Arial" w:eastAsia="Calibri" w:hAnsi="Arial" w:cs="Arial"/>
          <w:color w:val="161616" w:themeColor="background1" w:themeShade="1A"/>
          <w:sz w:val="22"/>
        </w:rPr>
        <w:t xml:space="preserve"> sin perjuicio de lo dispuesto en el artículo 13 de la Ley 1150 de 2007,</w:t>
      </w:r>
      <w:r>
        <w:rPr>
          <w:rFonts w:ascii="Arial" w:eastAsia="Calibri" w:hAnsi="Arial" w:cs="Arial"/>
          <w:color w:val="161616" w:themeColor="background1" w:themeShade="1A"/>
          <w:sz w:val="22"/>
        </w:rPr>
        <w:t xml:space="preserve"> e</w:t>
      </w:r>
      <w:r w:rsidR="0091437B" w:rsidRPr="0091437B">
        <w:rPr>
          <w:rFonts w:ascii="Arial" w:eastAsia="Calibri" w:hAnsi="Arial" w:cs="Arial"/>
          <w:color w:val="161616" w:themeColor="background1" w:themeShade="1A"/>
          <w:sz w:val="22"/>
        </w:rPr>
        <w:t>l régimen jurídico aplicable a los contratos que celebren las empresas de servicios públicos</w:t>
      </w:r>
      <w:r w:rsidR="00B37E7D">
        <w:rPr>
          <w:rFonts w:ascii="Arial" w:eastAsia="Calibri" w:hAnsi="Arial" w:cs="Arial"/>
          <w:color w:val="161616" w:themeColor="background1" w:themeShade="1A"/>
          <w:sz w:val="22"/>
        </w:rPr>
        <w:t xml:space="preserve"> domiciliarios</w:t>
      </w:r>
      <w:r w:rsidR="0091437B" w:rsidRPr="0091437B">
        <w:rPr>
          <w:rFonts w:ascii="Arial" w:eastAsia="Calibri" w:hAnsi="Arial" w:cs="Arial"/>
          <w:color w:val="161616" w:themeColor="background1" w:themeShade="1A"/>
          <w:sz w:val="22"/>
        </w:rPr>
        <w:t xml:space="preserve"> es el </w:t>
      </w:r>
      <w:r>
        <w:rPr>
          <w:rFonts w:ascii="Arial" w:eastAsia="Calibri" w:hAnsi="Arial" w:cs="Arial"/>
          <w:color w:val="161616" w:themeColor="background1" w:themeShade="1A"/>
          <w:sz w:val="22"/>
        </w:rPr>
        <w:t>d</w:t>
      </w:r>
      <w:r w:rsidR="0091437B" w:rsidRPr="0091437B">
        <w:rPr>
          <w:rFonts w:ascii="Arial" w:eastAsia="Calibri" w:hAnsi="Arial" w:cs="Arial"/>
          <w:color w:val="161616" w:themeColor="background1" w:themeShade="1A"/>
          <w:sz w:val="22"/>
        </w:rPr>
        <w:t>el derecho privado</w:t>
      </w:r>
      <w:r w:rsidR="00B37E7D">
        <w:rPr>
          <w:rFonts w:ascii="Arial" w:eastAsia="Calibri" w:hAnsi="Arial" w:cs="Arial"/>
          <w:color w:val="161616" w:themeColor="background1" w:themeShade="1A"/>
          <w:sz w:val="22"/>
        </w:rPr>
        <w:t xml:space="preserve">, no el del Estatuto General de Contratación de la Administración Pública. </w:t>
      </w:r>
      <w:r w:rsidR="00322B9F">
        <w:rPr>
          <w:rFonts w:ascii="Arial" w:eastAsia="Calibri" w:hAnsi="Arial" w:cs="Arial"/>
          <w:color w:val="161616" w:themeColor="background1" w:themeShade="1A"/>
          <w:sz w:val="22"/>
        </w:rPr>
        <w:t xml:space="preserve">Sin embargo, </w:t>
      </w:r>
      <w:r w:rsidR="00890B7B">
        <w:rPr>
          <w:rFonts w:ascii="Arial" w:eastAsia="Calibri" w:hAnsi="Arial" w:cs="Arial"/>
          <w:color w:val="161616" w:themeColor="background1" w:themeShade="1A"/>
          <w:sz w:val="22"/>
        </w:rPr>
        <w:t>l</w:t>
      </w:r>
      <w:r w:rsidR="00890B7B" w:rsidRPr="00890B7B">
        <w:rPr>
          <w:rFonts w:ascii="Arial" w:eastAsia="Calibri" w:hAnsi="Arial" w:cs="Arial"/>
          <w:color w:val="161616" w:themeColor="background1" w:themeShade="1A"/>
          <w:sz w:val="22"/>
        </w:rPr>
        <w:t>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Es</w:t>
      </w:r>
      <w:r w:rsidR="000026F8">
        <w:rPr>
          <w:rFonts w:ascii="Arial" w:eastAsia="Calibri" w:hAnsi="Arial" w:cs="Arial"/>
          <w:color w:val="161616" w:themeColor="background1" w:themeShade="1A"/>
          <w:sz w:val="22"/>
        </w:rPr>
        <w:t>t</w:t>
      </w:r>
      <w:r w:rsidR="00890B7B" w:rsidRPr="00890B7B">
        <w:rPr>
          <w:rFonts w:ascii="Arial" w:eastAsia="Calibri" w:hAnsi="Arial" w:cs="Arial"/>
          <w:color w:val="161616" w:themeColor="background1" w:themeShade="1A"/>
          <w:sz w:val="22"/>
        </w:rPr>
        <w:t>e deber no atiende a las condiciones de las entidades excluidas del régimen de contratación estatal, sino ─se reitera─ al hecho de que la contratación implique la ejecución de recursos públicos</w:t>
      </w:r>
      <w:r w:rsidR="0091437B" w:rsidRPr="0091437B">
        <w:rPr>
          <w:rFonts w:ascii="Arial" w:eastAsia="Calibri" w:hAnsi="Arial" w:cs="Arial"/>
          <w:color w:val="161616" w:themeColor="background1" w:themeShade="1A"/>
          <w:sz w:val="22"/>
        </w:rPr>
        <w:t>.</w:t>
      </w:r>
    </w:p>
    <w:p w14:paraId="24656A09" w14:textId="67E79654" w:rsidR="000A5448" w:rsidRDefault="000A5448" w:rsidP="000A5448">
      <w:pPr>
        <w:spacing w:after="120" w:line="276" w:lineRule="auto"/>
        <w:jc w:val="both"/>
        <w:rPr>
          <w:rFonts w:ascii="Arial" w:hAnsi="Arial" w:cs="Arial"/>
          <w:color w:val="161616" w:themeColor="background1" w:themeShade="1A"/>
          <w:sz w:val="22"/>
        </w:rPr>
      </w:pPr>
    </w:p>
    <w:p w14:paraId="3A7F10D3" w14:textId="77777777" w:rsidR="00F41674" w:rsidRPr="0091437B" w:rsidRDefault="00F41674" w:rsidP="000A5448">
      <w:pPr>
        <w:spacing w:after="120" w:line="276" w:lineRule="auto"/>
        <w:jc w:val="both"/>
        <w:rPr>
          <w:rFonts w:ascii="Arial" w:hAnsi="Arial" w:cs="Arial"/>
          <w:color w:val="161616" w:themeColor="background1" w:themeShade="1A"/>
          <w:sz w:val="22"/>
        </w:rPr>
      </w:pPr>
    </w:p>
    <w:p w14:paraId="61A1915E" w14:textId="77777777" w:rsidR="000A5448" w:rsidRPr="0091437B" w:rsidRDefault="000A5448" w:rsidP="000A5448">
      <w:pPr>
        <w:spacing w:line="276" w:lineRule="auto"/>
        <w:jc w:val="both"/>
        <w:rPr>
          <w:rFonts w:ascii="Arial" w:hAnsi="Arial" w:cs="Arial"/>
          <w:color w:val="161616" w:themeColor="background1" w:themeShade="1A"/>
          <w:sz w:val="22"/>
        </w:rPr>
      </w:pPr>
      <w:r w:rsidRPr="0091437B">
        <w:rPr>
          <w:rFonts w:ascii="Arial" w:hAnsi="Arial" w:cs="Arial"/>
          <w:color w:val="161616" w:themeColor="background1" w:themeShade="1A"/>
          <w:sz w:val="22"/>
        </w:rPr>
        <w:t>Este concepto tiene el alcance previsto en el artículo 28 del Código de Procedimiento Administrativo y de lo Contencioso Administrativo, modificado por el artículo 1 de la Ley 1755 de 2015.</w:t>
      </w:r>
    </w:p>
    <w:p w14:paraId="0E52A289" w14:textId="77777777" w:rsidR="000A5448" w:rsidRPr="0091437B" w:rsidRDefault="000A5448" w:rsidP="000A5448">
      <w:pPr>
        <w:pStyle w:val="NormalWeb"/>
        <w:spacing w:before="0" w:beforeAutospacing="0" w:after="0" w:afterAutospacing="0" w:line="276" w:lineRule="auto"/>
        <w:jc w:val="both"/>
        <w:rPr>
          <w:rFonts w:ascii="Arial" w:hAnsi="Arial" w:cs="Arial"/>
          <w:color w:val="161616" w:themeColor="background1" w:themeShade="1A"/>
          <w:sz w:val="16"/>
          <w:szCs w:val="16"/>
          <w:lang w:val="es-MX"/>
        </w:rPr>
      </w:pPr>
    </w:p>
    <w:p w14:paraId="13321E04" w14:textId="77777777" w:rsidR="000A5448" w:rsidRPr="0091437B" w:rsidRDefault="000A5448" w:rsidP="000A5448">
      <w:pPr>
        <w:pStyle w:val="NormalWeb"/>
        <w:spacing w:before="0" w:beforeAutospacing="0" w:after="0" w:afterAutospacing="0" w:line="276" w:lineRule="auto"/>
        <w:jc w:val="both"/>
        <w:rPr>
          <w:rFonts w:ascii="Arial" w:hAnsi="Arial" w:cs="Arial"/>
          <w:color w:val="161616" w:themeColor="background1" w:themeShade="1A"/>
          <w:sz w:val="16"/>
          <w:szCs w:val="16"/>
          <w:lang w:val="es-MX"/>
        </w:rPr>
      </w:pPr>
    </w:p>
    <w:p w14:paraId="04B6346E" w14:textId="77777777" w:rsidR="000A5448" w:rsidRPr="0091437B" w:rsidRDefault="000A5448" w:rsidP="000A5448">
      <w:pPr>
        <w:pStyle w:val="NormalWeb"/>
        <w:spacing w:before="0" w:beforeAutospacing="0" w:after="0" w:afterAutospacing="0" w:line="276" w:lineRule="auto"/>
        <w:jc w:val="both"/>
        <w:rPr>
          <w:rFonts w:ascii="Arial" w:hAnsi="Arial" w:cs="Arial"/>
          <w:color w:val="161616" w:themeColor="background1" w:themeShade="1A"/>
          <w:sz w:val="22"/>
          <w:szCs w:val="22"/>
          <w:lang w:val="es-MX"/>
        </w:rPr>
      </w:pPr>
      <w:r w:rsidRPr="0091437B">
        <w:rPr>
          <w:rFonts w:ascii="Arial" w:hAnsi="Arial" w:cs="Arial"/>
          <w:color w:val="161616" w:themeColor="background1" w:themeShade="1A"/>
          <w:sz w:val="22"/>
          <w:szCs w:val="22"/>
          <w:lang w:val="es-MX"/>
        </w:rPr>
        <w:t>Atentamente,</w:t>
      </w:r>
    </w:p>
    <w:p w14:paraId="5D06238B" w14:textId="77777777" w:rsidR="000A5448" w:rsidRPr="0091437B" w:rsidRDefault="000A5448" w:rsidP="000A5448">
      <w:pPr>
        <w:jc w:val="center"/>
        <w:rPr>
          <w:rFonts w:ascii="Arial" w:eastAsia="Times New Roman" w:hAnsi="Arial" w:cs="Arial"/>
          <w:color w:val="161616" w:themeColor="background1" w:themeShade="1A"/>
          <w:sz w:val="18"/>
          <w:szCs w:val="20"/>
          <w:lang w:eastAsia="es-CO"/>
        </w:rPr>
      </w:pPr>
    </w:p>
    <w:p w14:paraId="4F8E858E" w14:textId="19BF32A0" w:rsidR="000A5448" w:rsidRPr="0091437B" w:rsidRDefault="000A5448" w:rsidP="000A5448">
      <w:pPr>
        <w:jc w:val="center"/>
        <w:rPr>
          <w:rFonts w:ascii="Arial" w:eastAsia="Times New Roman" w:hAnsi="Arial" w:cs="Arial"/>
          <w:color w:val="161616" w:themeColor="background1" w:themeShade="1A"/>
          <w:sz w:val="18"/>
          <w:szCs w:val="20"/>
          <w:lang w:eastAsia="es-CO"/>
        </w:rPr>
      </w:pPr>
      <w:r w:rsidRPr="0091437B">
        <w:rPr>
          <w:noProof/>
          <w:color w:val="161616" w:themeColor="background1" w:themeShade="1A"/>
          <w:lang w:val="en-US"/>
        </w:rPr>
        <w:drawing>
          <wp:inline distT="0" distB="0" distL="0" distR="0" wp14:anchorId="78AE2467" wp14:editId="5A5C15DA">
            <wp:extent cx="2279015" cy="1439545"/>
            <wp:effectExtent l="0" t="0" r="6985"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9015" cy="1439545"/>
                    </a:xfrm>
                    <a:prstGeom prst="rect">
                      <a:avLst/>
                    </a:prstGeom>
                    <a:noFill/>
                    <a:ln>
                      <a:noFill/>
                    </a:ln>
                  </pic:spPr>
                </pic:pic>
              </a:graphicData>
            </a:graphic>
          </wp:inline>
        </w:drawing>
      </w:r>
    </w:p>
    <w:p w14:paraId="29A66E4E" w14:textId="77777777" w:rsidR="000A5448" w:rsidRPr="0091437B" w:rsidRDefault="000A5448" w:rsidP="000A5448">
      <w:pPr>
        <w:jc w:val="center"/>
        <w:rPr>
          <w:rFonts w:ascii="Arial" w:eastAsia="Times New Roman" w:hAnsi="Arial" w:cs="Arial"/>
          <w:color w:val="161616" w:themeColor="background1" w:themeShade="1A"/>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1437B" w:rsidRPr="0091437B" w14:paraId="68D90F21" w14:textId="77777777" w:rsidTr="000A5448">
        <w:trPr>
          <w:trHeight w:val="315"/>
        </w:trPr>
        <w:tc>
          <w:tcPr>
            <w:tcW w:w="812" w:type="dxa"/>
            <w:vAlign w:val="center"/>
            <w:hideMark/>
          </w:tcPr>
          <w:p w14:paraId="70E27861" w14:textId="77777777" w:rsidR="000A5448" w:rsidRPr="0091437B" w:rsidRDefault="000A5448">
            <w:pPr>
              <w:rPr>
                <w:rFonts w:ascii="Arial" w:eastAsia="Times New Roman" w:hAnsi="Arial" w:cs="Arial"/>
                <w:color w:val="161616" w:themeColor="background1" w:themeShade="1A"/>
                <w:sz w:val="16"/>
                <w:szCs w:val="16"/>
                <w:lang w:eastAsia="es-ES"/>
              </w:rPr>
            </w:pPr>
            <w:r w:rsidRPr="0091437B">
              <w:rPr>
                <w:rFonts w:ascii="Arial" w:eastAsia="Times New Roman" w:hAnsi="Arial" w:cs="Arial"/>
                <w:color w:val="161616" w:themeColor="background1" w:themeShade="1A"/>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B311D78" w14:textId="77777777" w:rsidR="000A5448" w:rsidRPr="0091437B" w:rsidRDefault="000A5448">
            <w:pPr>
              <w:rPr>
                <w:rFonts w:ascii="Arial" w:eastAsia="Times New Roman" w:hAnsi="Arial" w:cs="Arial"/>
                <w:color w:val="161616" w:themeColor="background1" w:themeShade="1A"/>
                <w:sz w:val="16"/>
                <w:szCs w:val="16"/>
                <w:lang w:eastAsia="es-ES"/>
              </w:rPr>
            </w:pPr>
            <w:r w:rsidRPr="0091437B">
              <w:rPr>
                <w:rFonts w:ascii="Arial" w:eastAsia="Times New Roman" w:hAnsi="Arial" w:cs="Arial"/>
                <w:color w:val="161616" w:themeColor="background1" w:themeShade="1A"/>
                <w:sz w:val="16"/>
                <w:szCs w:val="16"/>
                <w:lang w:eastAsia="es-ES"/>
              </w:rPr>
              <w:t>Ximena Ríos López</w:t>
            </w:r>
          </w:p>
          <w:p w14:paraId="664464BA" w14:textId="77777777" w:rsidR="000A5448" w:rsidRPr="0091437B" w:rsidRDefault="000A5448">
            <w:pPr>
              <w:rPr>
                <w:rFonts w:ascii="Arial" w:eastAsia="Times New Roman" w:hAnsi="Arial" w:cs="Arial"/>
                <w:color w:val="161616" w:themeColor="background1" w:themeShade="1A"/>
                <w:sz w:val="16"/>
                <w:szCs w:val="16"/>
                <w:lang w:eastAsia="es-ES"/>
              </w:rPr>
            </w:pPr>
            <w:r w:rsidRPr="0091437B">
              <w:rPr>
                <w:rFonts w:ascii="Arial" w:eastAsia="Times New Roman" w:hAnsi="Arial" w:cs="Arial"/>
                <w:color w:val="161616" w:themeColor="background1" w:themeShade="1A"/>
                <w:sz w:val="16"/>
                <w:szCs w:val="16"/>
                <w:lang w:eastAsia="es-ES"/>
              </w:rPr>
              <w:t>Gestor T1-11</w:t>
            </w:r>
          </w:p>
        </w:tc>
      </w:tr>
      <w:tr w:rsidR="0091437B" w:rsidRPr="0091437B" w14:paraId="6000D9E8" w14:textId="77777777" w:rsidTr="000A5448">
        <w:trPr>
          <w:trHeight w:val="330"/>
        </w:trPr>
        <w:tc>
          <w:tcPr>
            <w:tcW w:w="812" w:type="dxa"/>
            <w:vAlign w:val="center"/>
            <w:hideMark/>
          </w:tcPr>
          <w:p w14:paraId="6A2663D7" w14:textId="77777777" w:rsidR="000A5448" w:rsidRPr="0091437B" w:rsidRDefault="000A5448">
            <w:pPr>
              <w:rPr>
                <w:rFonts w:ascii="Arial" w:eastAsia="Times New Roman" w:hAnsi="Arial" w:cs="Arial"/>
                <w:color w:val="161616" w:themeColor="background1" w:themeShade="1A"/>
                <w:sz w:val="16"/>
                <w:szCs w:val="16"/>
                <w:lang w:eastAsia="es-ES"/>
              </w:rPr>
            </w:pPr>
            <w:r w:rsidRPr="0091437B">
              <w:rPr>
                <w:rFonts w:ascii="Arial" w:eastAsia="Times New Roman" w:hAnsi="Arial" w:cs="Arial"/>
                <w:color w:val="161616" w:themeColor="background1" w:themeShade="1A"/>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EC792F" w14:textId="0CA9519C" w:rsidR="00536968" w:rsidRPr="0091437B" w:rsidRDefault="00422317" w:rsidP="00536968">
            <w:pPr>
              <w:rPr>
                <w:rFonts w:ascii="Arial" w:eastAsia="Times New Roman" w:hAnsi="Arial" w:cs="Arial"/>
                <w:color w:val="161616" w:themeColor="background1" w:themeShade="1A"/>
                <w:sz w:val="16"/>
                <w:szCs w:val="16"/>
                <w:lang w:eastAsia="es-ES"/>
              </w:rPr>
            </w:pPr>
            <w:r>
              <w:rPr>
                <w:rFonts w:ascii="Arial" w:eastAsia="Times New Roman" w:hAnsi="Arial" w:cs="Arial"/>
                <w:color w:val="161616" w:themeColor="background1" w:themeShade="1A"/>
                <w:sz w:val="16"/>
                <w:szCs w:val="16"/>
                <w:lang w:eastAsia="es-ES"/>
              </w:rPr>
              <w:t>Juan David Montoya Penagos</w:t>
            </w:r>
          </w:p>
          <w:p w14:paraId="3A4ABB51" w14:textId="56AC8D6F" w:rsidR="000A5448" w:rsidRPr="0091437B" w:rsidRDefault="00422317" w:rsidP="00536968">
            <w:pPr>
              <w:rPr>
                <w:rFonts w:ascii="Arial" w:eastAsia="Times New Roman" w:hAnsi="Arial" w:cs="Arial"/>
                <w:color w:val="161616" w:themeColor="background1" w:themeShade="1A"/>
                <w:sz w:val="16"/>
                <w:szCs w:val="16"/>
                <w:lang w:eastAsia="es-ES"/>
              </w:rPr>
            </w:pPr>
            <w:r>
              <w:rPr>
                <w:rFonts w:ascii="Arial" w:eastAsia="Times New Roman" w:hAnsi="Arial" w:cs="Arial"/>
                <w:color w:val="161616" w:themeColor="background1" w:themeShade="1A"/>
                <w:sz w:val="16"/>
                <w:szCs w:val="16"/>
                <w:lang w:eastAsia="es-ES"/>
              </w:rPr>
              <w:t xml:space="preserve">Contratista de la </w:t>
            </w:r>
            <w:r w:rsidR="00536968" w:rsidRPr="0091437B">
              <w:rPr>
                <w:rFonts w:ascii="Arial" w:eastAsia="Times New Roman" w:hAnsi="Arial" w:cs="Arial"/>
                <w:color w:val="161616" w:themeColor="background1" w:themeShade="1A"/>
                <w:sz w:val="16"/>
                <w:szCs w:val="16"/>
                <w:lang w:eastAsia="es-ES"/>
              </w:rPr>
              <w:t>Subdirec</w:t>
            </w:r>
            <w:r>
              <w:rPr>
                <w:rFonts w:ascii="Arial" w:eastAsia="Times New Roman" w:hAnsi="Arial" w:cs="Arial"/>
                <w:color w:val="161616" w:themeColor="background1" w:themeShade="1A"/>
                <w:sz w:val="16"/>
                <w:szCs w:val="16"/>
                <w:lang w:eastAsia="es-ES"/>
              </w:rPr>
              <w:t>ción</w:t>
            </w:r>
            <w:r w:rsidR="00536968" w:rsidRPr="0091437B">
              <w:rPr>
                <w:rFonts w:ascii="Arial" w:eastAsia="Times New Roman" w:hAnsi="Arial" w:cs="Arial"/>
                <w:color w:val="161616" w:themeColor="background1" w:themeShade="1A"/>
                <w:sz w:val="16"/>
                <w:szCs w:val="16"/>
                <w:lang w:eastAsia="es-ES"/>
              </w:rPr>
              <w:t xml:space="preserve"> de Gestión Contractual</w:t>
            </w:r>
          </w:p>
        </w:tc>
      </w:tr>
      <w:tr w:rsidR="000A5448" w:rsidRPr="0091437B" w14:paraId="12B670E3" w14:textId="77777777" w:rsidTr="000A5448">
        <w:trPr>
          <w:trHeight w:val="300"/>
        </w:trPr>
        <w:tc>
          <w:tcPr>
            <w:tcW w:w="812" w:type="dxa"/>
            <w:vAlign w:val="center"/>
            <w:hideMark/>
          </w:tcPr>
          <w:p w14:paraId="1BB47E10" w14:textId="77777777" w:rsidR="000A5448" w:rsidRPr="0091437B" w:rsidRDefault="000A5448">
            <w:pPr>
              <w:rPr>
                <w:rFonts w:ascii="Arial" w:eastAsia="Times New Roman" w:hAnsi="Arial" w:cs="Arial"/>
                <w:color w:val="161616" w:themeColor="background1" w:themeShade="1A"/>
                <w:sz w:val="16"/>
                <w:szCs w:val="16"/>
                <w:lang w:eastAsia="es-ES"/>
              </w:rPr>
            </w:pPr>
            <w:r w:rsidRPr="0091437B">
              <w:rPr>
                <w:rFonts w:ascii="Arial" w:eastAsia="Times New Roman" w:hAnsi="Arial" w:cs="Arial"/>
                <w:color w:val="161616" w:themeColor="background1" w:themeShade="1A"/>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654EB0D" w14:textId="77777777" w:rsidR="000A5448" w:rsidRPr="0091437B" w:rsidRDefault="000A5448">
            <w:pPr>
              <w:rPr>
                <w:rFonts w:ascii="Arial" w:eastAsia="Times New Roman" w:hAnsi="Arial" w:cs="Arial"/>
                <w:color w:val="161616" w:themeColor="background1" w:themeShade="1A"/>
                <w:sz w:val="16"/>
                <w:szCs w:val="16"/>
                <w:lang w:eastAsia="es-ES"/>
              </w:rPr>
            </w:pPr>
            <w:r w:rsidRPr="0091437B">
              <w:rPr>
                <w:rFonts w:ascii="Arial" w:eastAsia="Times New Roman" w:hAnsi="Arial" w:cs="Arial"/>
                <w:color w:val="161616" w:themeColor="background1" w:themeShade="1A"/>
                <w:sz w:val="16"/>
                <w:szCs w:val="16"/>
                <w:lang w:eastAsia="es-ES"/>
              </w:rPr>
              <w:t>Fabián Gonzalo Marín Cortés</w:t>
            </w:r>
          </w:p>
          <w:p w14:paraId="32CA3740" w14:textId="77777777" w:rsidR="000A5448" w:rsidRPr="0091437B" w:rsidRDefault="000A5448">
            <w:pPr>
              <w:rPr>
                <w:rFonts w:ascii="Arial" w:eastAsia="Times New Roman" w:hAnsi="Arial" w:cs="Arial"/>
                <w:color w:val="161616" w:themeColor="background1" w:themeShade="1A"/>
                <w:sz w:val="16"/>
                <w:szCs w:val="16"/>
                <w:lang w:eastAsia="es-ES"/>
              </w:rPr>
            </w:pPr>
            <w:r w:rsidRPr="0091437B">
              <w:rPr>
                <w:rFonts w:ascii="Arial" w:eastAsia="Times New Roman" w:hAnsi="Arial" w:cs="Arial"/>
                <w:color w:val="161616" w:themeColor="background1" w:themeShade="1A"/>
                <w:sz w:val="16"/>
                <w:szCs w:val="16"/>
                <w:lang w:eastAsia="es-ES"/>
              </w:rPr>
              <w:t>Subdirector de Gestión Contractual</w:t>
            </w:r>
          </w:p>
        </w:tc>
      </w:tr>
    </w:tbl>
    <w:p w14:paraId="7C1577BF" w14:textId="77777777" w:rsidR="000A5448" w:rsidRPr="0091437B" w:rsidRDefault="000A5448" w:rsidP="000A5448">
      <w:pPr>
        <w:rPr>
          <w:rFonts w:ascii="Arial" w:eastAsia="Times New Roman" w:hAnsi="Arial" w:cs="Arial"/>
          <w:color w:val="161616" w:themeColor="background1" w:themeShade="1A"/>
          <w:sz w:val="16"/>
          <w:szCs w:val="16"/>
          <w:lang w:eastAsia="es-ES"/>
        </w:rPr>
      </w:pPr>
    </w:p>
    <w:bookmarkEnd w:id="3"/>
    <w:p w14:paraId="7EBF297E" w14:textId="77777777" w:rsidR="007B0854" w:rsidRPr="0091437B" w:rsidRDefault="007B0854" w:rsidP="000A5448">
      <w:pPr>
        <w:rPr>
          <w:color w:val="161616" w:themeColor="background1" w:themeShade="1A"/>
        </w:rPr>
      </w:pPr>
    </w:p>
    <w:sectPr w:rsidR="007B0854" w:rsidRPr="0091437B"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32CA3" w14:textId="77777777" w:rsidR="00C876A7" w:rsidRDefault="00C876A7">
      <w:r>
        <w:separator/>
      </w:r>
    </w:p>
  </w:endnote>
  <w:endnote w:type="continuationSeparator" w:id="0">
    <w:p w14:paraId="6C4498B1" w14:textId="77777777" w:rsidR="00C876A7" w:rsidRDefault="00C87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31EE174D"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F5B7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F5B7C">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B9174" w14:textId="77777777" w:rsidR="00C876A7" w:rsidRDefault="00C876A7">
      <w:r>
        <w:separator/>
      </w:r>
    </w:p>
  </w:footnote>
  <w:footnote w:type="continuationSeparator" w:id="0">
    <w:p w14:paraId="00B80389" w14:textId="77777777" w:rsidR="00C876A7" w:rsidRDefault="00C876A7">
      <w:r>
        <w:continuationSeparator/>
      </w:r>
    </w:p>
  </w:footnote>
  <w:footnote w:id="1">
    <w:p w14:paraId="7D8E9754" w14:textId="37B52F3E" w:rsidR="00422317" w:rsidRDefault="00422317"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F41674">
        <w:rPr>
          <w:rFonts w:ascii="Arial" w:hAnsi="Arial" w:cs="Arial"/>
          <w:bCs/>
          <w:i/>
          <w:iCs/>
          <w:color w:val="000000" w:themeColor="text1"/>
          <w:sz w:val="19"/>
          <w:szCs w:val="19"/>
        </w:rPr>
        <w:t>las empresas oficiales de servicios públicos</w:t>
      </w:r>
      <w:r w:rsidRPr="00F41674">
        <w:rPr>
          <w:rFonts w:ascii="Arial" w:hAnsi="Arial" w:cs="Arial"/>
          <w:color w:val="000000" w:themeColor="text1"/>
          <w:sz w:val="19"/>
          <w:szCs w:val="19"/>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p w14:paraId="3CE22707" w14:textId="77777777" w:rsidR="00F41674" w:rsidRPr="00F41674" w:rsidRDefault="00F41674" w:rsidP="00F41674">
      <w:pPr>
        <w:pStyle w:val="Textonotapie"/>
        <w:ind w:firstLine="708"/>
        <w:jc w:val="both"/>
        <w:rPr>
          <w:rFonts w:ascii="Arial" w:hAnsi="Arial" w:cs="Arial"/>
          <w:color w:val="000000" w:themeColor="text1"/>
          <w:sz w:val="19"/>
          <w:szCs w:val="19"/>
        </w:rPr>
      </w:pPr>
    </w:p>
  </w:footnote>
  <w:footnote w:id="2">
    <w:p w14:paraId="625066DA" w14:textId="545C61D6" w:rsidR="00422317" w:rsidRPr="00F41674" w:rsidRDefault="00422317"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Corte Constitucional. Sentencia C-736 de 2007. C.P. Marco Gerardo Monroy Cabra</w:t>
      </w:r>
      <w:r w:rsidR="00F41674" w:rsidRPr="00F41674">
        <w:rPr>
          <w:rFonts w:ascii="Arial" w:hAnsi="Arial" w:cs="Arial"/>
          <w:color w:val="000000" w:themeColor="text1"/>
          <w:sz w:val="19"/>
          <w:szCs w:val="19"/>
        </w:rPr>
        <w:t>: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p w14:paraId="4186A46B" w14:textId="77777777" w:rsidR="00422317" w:rsidRPr="00F41674" w:rsidRDefault="00422317" w:rsidP="00F41674">
      <w:pPr>
        <w:pStyle w:val="Textonotapie"/>
        <w:ind w:firstLine="708"/>
        <w:jc w:val="both"/>
        <w:rPr>
          <w:rFonts w:ascii="Arial" w:hAnsi="Arial" w:cs="Arial"/>
          <w:color w:val="000000" w:themeColor="text1"/>
          <w:sz w:val="19"/>
          <w:szCs w:val="19"/>
          <w:lang w:val="es-ES"/>
        </w:rPr>
      </w:pPr>
    </w:p>
  </w:footnote>
  <w:footnote w:id="3">
    <w:p w14:paraId="73929A92" w14:textId="17D0895D" w:rsidR="00422317" w:rsidRPr="00E90D75" w:rsidRDefault="00422317" w:rsidP="00E90D75">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i/>
          <w:color w:val="000000" w:themeColor="text1"/>
          <w:sz w:val="19"/>
          <w:szCs w:val="19"/>
        </w:rPr>
        <w:t xml:space="preserve"> </w:t>
      </w:r>
      <w:r w:rsidRPr="00F41674">
        <w:rPr>
          <w:rFonts w:ascii="Arial" w:hAnsi="Arial" w:cs="Arial"/>
          <w:i/>
          <w:iCs/>
          <w:color w:val="000000" w:themeColor="text1"/>
          <w:sz w:val="19"/>
          <w:szCs w:val="19"/>
        </w:rPr>
        <w:t>Ibídem.</w:t>
      </w:r>
      <w:r w:rsidR="00F41674" w:rsidRPr="00F41674">
        <w:rPr>
          <w:rFonts w:ascii="Arial" w:hAnsi="Arial" w:cs="Arial"/>
          <w:color w:val="000000" w:themeColor="text1"/>
          <w:sz w:val="19"/>
          <w:szCs w:val="19"/>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r w:rsidR="00E90D75">
        <w:rPr>
          <w:rFonts w:ascii="Arial" w:hAnsi="Arial" w:cs="Arial"/>
          <w:color w:val="000000" w:themeColor="text1"/>
          <w:sz w:val="19"/>
          <w:szCs w:val="19"/>
        </w:rPr>
        <w:t>.</w:t>
      </w:r>
    </w:p>
  </w:footnote>
  <w:footnote w:id="4">
    <w:p w14:paraId="5A40D1D1" w14:textId="6C94D534" w:rsidR="00422317" w:rsidRPr="00F41674" w:rsidRDefault="00422317" w:rsidP="00F41674">
      <w:pPr>
        <w:pStyle w:val="Textonotapie"/>
        <w:ind w:firstLine="708"/>
        <w:jc w:val="both"/>
        <w:rPr>
          <w:rFonts w:ascii="Arial" w:hAnsi="Arial" w:cs="Arial"/>
          <w:sz w:val="19"/>
          <w:szCs w:val="19"/>
        </w:rPr>
      </w:pPr>
      <w:r w:rsidRPr="00F41674">
        <w:rPr>
          <w:rStyle w:val="Refdenotaalpie"/>
          <w:rFonts w:ascii="Arial" w:hAnsi="Arial" w:cs="Arial"/>
          <w:sz w:val="19"/>
          <w:szCs w:val="19"/>
        </w:rPr>
        <w:footnoteRef/>
      </w:r>
      <w:r w:rsidRPr="00F41674">
        <w:rPr>
          <w:rFonts w:ascii="Arial" w:hAnsi="Arial" w:cs="Arial"/>
          <w:sz w:val="19"/>
          <w:szCs w:val="19"/>
        </w:rPr>
        <w:t xml:space="preserve"> 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4C41278" w14:textId="77777777" w:rsidR="006E7D1E" w:rsidRPr="00F41674" w:rsidRDefault="006E7D1E" w:rsidP="00F41674">
      <w:pPr>
        <w:pStyle w:val="Textonotapie"/>
        <w:ind w:firstLine="708"/>
        <w:jc w:val="both"/>
        <w:rPr>
          <w:rFonts w:ascii="Arial" w:hAnsi="Arial" w:cs="Arial"/>
          <w:sz w:val="19"/>
          <w:szCs w:val="19"/>
          <w:lang w:val="es-ES"/>
        </w:rPr>
      </w:pPr>
    </w:p>
  </w:footnote>
  <w:footnote w:id="5">
    <w:p w14:paraId="5E9FDEEF"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Corte Constitucional. Sentencia C- 341 del 4 de junio de 2014. M. P. Mauricio González Cuervo</w:t>
      </w:r>
    </w:p>
    <w:p w14:paraId="36385D1A" w14:textId="77777777" w:rsidR="000A5448" w:rsidRPr="00F41674" w:rsidRDefault="000A5448" w:rsidP="00F41674">
      <w:pPr>
        <w:pStyle w:val="Textonotapie"/>
        <w:ind w:firstLine="708"/>
        <w:jc w:val="both"/>
        <w:rPr>
          <w:rFonts w:ascii="Arial" w:hAnsi="Arial" w:cs="Arial"/>
          <w:color w:val="000000" w:themeColor="text1"/>
          <w:sz w:val="19"/>
          <w:szCs w:val="19"/>
        </w:rPr>
      </w:pPr>
    </w:p>
  </w:footnote>
  <w:footnote w:id="6">
    <w:p w14:paraId="2B5885F7"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E180E32"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»Lo anterior, sin perjuicio de las publicaciones previstas en el numeral 3 del artículo 30 de la Ley 80 de 1993.</w:t>
      </w:r>
    </w:p>
    <w:p w14:paraId="7BE5A094"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334E36E4"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w:t>
      </w:r>
    </w:p>
    <w:p w14:paraId="45335624" w14:textId="1909654E" w:rsidR="000A5448" w:rsidRPr="00904CB2" w:rsidRDefault="000A5448" w:rsidP="00904CB2">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footnote>
  <w:footnote w:id="7">
    <w:p w14:paraId="5D7C6CE2"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969F0B9"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8">
    <w:p w14:paraId="40449BC9"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231938CD"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9A4CE97" w14:textId="77777777" w:rsidR="000A5448" w:rsidRPr="00F41674" w:rsidRDefault="000A5448" w:rsidP="00F41674">
      <w:pPr>
        <w:pStyle w:val="Textonotapie"/>
        <w:jc w:val="both"/>
        <w:rPr>
          <w:rFonts w:ascii="Arial" w:hAnsi="Arial" w:cs="Arial"/>
          <w:color w:val="000000" w:themeColor="text1"/>
          <w:sz w:val="19"/>
          <w:szCs w:val="19"/>
          <w:lang w:val="es-CO"/>
        </w:rPr>
      </w:pPr>
    </w:p>
  </w:footnote>
  <w:footnote w:id="9">
    <w:p w14:paraId="62964095" w14:textId="77777777" w:rsidR="000A5448" w:rsidRPr="00F41674" w:rsidRDefault="000A5448" w:rsidP="00F41674">
      <w:pPr>
        <w:pStyle w:val="Textonotapie"/>
        <w:ind w:firstLine="709"/>
        <w:jc w:val="both"/>
        <w:rPr>
          <w:rFonts w:ascii="Arial" w:hAnsi="Arial" w:cs="Arial"/>
          <w:color w:val="000000" w:themeColor="text1"/>
          <w:sz w:val="19"/>
          <w:szCs w:val="19"/>
        </w:rPr>
      </w:pPr>
      <w:r w:rsidRPr="00F41674">
        <w:rPr>
          <w:rFonts w:ascii="Arial" w:eastAsia="Times New Roman" w:hAnsi="Arial" w:cs="Arial"/>
          <w:color w:val="000000" w:themeColor="text1"/>
          <w:sz w:val="19"/>
          <w:szCs w:val="19"/>
          <w:vertAlign w:val="superscript"/>
          <w:lang w:val="es-ES" w:eastAsia="es-ES"/>
        </w:rPr>
        <w:footnoteRef/>
      </w:r>
      <w:r w:rsidRPr="00F41674">
        <w:rPr>
          <w:rFonts w:ascii="Arial" w:eastAsia="Times New Roman" w:hAnsi="Arial" w:cs="Arial"/>
          <w:color w:val="000000" w:themeColor="text1"/>
          <w:sz w:val="19"/>
          <w:szCs w:val="19"/>
          <w:vertAlign w:val="superscript"/>
          <w:lang w:val="es-ES" w:eastAsia="es-ES"/>
        </w:rPr>
        <w:t xml:space="preserve"> </w:t>
      </w:r>
      <w:r w:rsidRPr="00F41674">
        <w:rPr>
          <w:rFonts w:ascii="Arial" w:eastAsia="Times New Roman" w:hAnsi="Arial" w:cs="Arial"/>
          <w:color w:val="000000" w:themeColor="text1"/>
          <w:sz w:val="19"/>
          <w:szCs w:val="19"/>
          <w:lang w:val="es-ES" w:eastAsia="es-ES"/>
        </w:rPr>
        <w:t>«</w:t>
      </w:r>
      <w:r w:rsidRPr="00F41674">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9388A24" w14:textId="77777777" w:rsidR="000A5448" w:rsidRPr="00F41674" w:rsidRDefault="000A5448" w:rsidP="00F41674">
      <w:pPr>
        <w:pStyle w:val="Textonotapie"/>
        <w:ind w:firstLine="709"/>
        <w:jc w:val="both"/>
        <w:rPr>
          <w:rFonts w:ascii="Arial" w:eastAsia="Times New Roman" w:hAnsi="Arial" w:cs="Arial"/>
          <w:color w:val="000000" w:themeColor="text1"/>
          <w:sz w:val="19"/>
          <w:szCs w:val="19"/>
          <w:lang w:val="es-ES" w:eastAsia="es-ES"/>
        </w:rPr>
      </w:pPr>
      <w:r w:rsidRPr="00F41674">
        <w:rPr>
          <w:rFonts w:ascii="Arial" w:hAnsi="Arial" w:cs="Arial"/>
          <w:color w:val="000000" w:themeColor="text1"/>
          <w:sz w:val="19"/>
          <w:szCs w:val="19"/>
        </w:rPr>
        <w:t>[…].</w:t>
      </w:r>
    </w:p>
    <w:p w14:paraId="49186424" w14:textId="77777777" w:rsidR="000A5448" w:rsidRPr="00F41674" w:rsidRDefault="000A5448" w:rsidP="00F41674">
      <w:pPr>
        <w:pStyle w:val="Textonotapie"/>
        <w:ind w:firstLine="709"/>
        <w:jc w:val="both"/>
        <w:rPr>
          <w:rFonts w:ascii="Arial" w:eastAsia="Times New Roman" w:hAnsi="Arial" w:cs="Arial"/>
          <w:color w:val="000000" w:themeColor="text1"/>
          <w:sz w:val="19"/>
          <w:szCs w:val="19"/>
          <w:lang w:val="es-ES" w:eastAsia="es-ES"/>
        </w:rPr>
      </w:pPr>
      <w:r w:rsidRPr="00F41674">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7C6837B" w14:textId="77777777" w:rsidR="000A5448" w:rsidRPr="00F41674" w:rsidRDefault="000A5448" w:rsidP="00F41674">
      <w:pPr>
        <w:pStyle w:val="Textonotapie"/>
        <w:ind w:firstLine="709"/>
        <w:jc w:val="both"/>
        <w:rPr>
          <w:rFonts w:ascii="Arial" w:eastAsia="Times New Roman" w:hAnsi="Arial" w:cs="Arial"/>
          <w:color w:val="000000" w:themeColor="text1"/>
          <w:sz w:val="19"/>
          <w:szCs w:val="19"/>
          <w:lang w:val="es-ES" w:eastAsia="es-ES"/>
        </w:rPr>
      </w:pPr>
    </w:p>
  </w:footnote>
  <w:footnote w:id="10">
    <w:p w14:paraId="25AEEDB0"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w:t>
      </w:r>
      <w:r w:rsidRPr="00F41674">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42E130E9"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11">
    <w:p w14:paraId="541E286B"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4017F8B"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12">
    <w:p w14:paraId="6886B5D6"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Consejo de Estado. Sección Tercera. Subsección C. Auto del 14 de agosto de 2017. Exp. 58.820. C.P. Jaime Orlando Santofimio Gamboa. </w:t>
      </w:r>
    </w:p>
    <w:p w14:paraId="12FAB161"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13">
    <w:p w14:paraId="36739986" w14:textId="61D5366F" w:rsidR="000A5448" w:rsidRPr="00F41674" w:rsidRDefault="000A5448" w:rsidP="00F41674">
      <w:pPr>
        <w:pStyle w:val="Textonotapie"/>
        <w:ind w:firstLine="708"/>
        <w:jc w:val="both"/>
        <w:rPr>
          <w:rFonts w:ascii="Arial" w:hAnsi="Arial" w:cs="Arial"/>
          <w:sz w:val="19"/>
          <w:szCs w:val="19"/>
        </w:rPr>
      </w:pPr>
      <w:r w:rsidRPr="00F41674">
        <w:rPr>
          <w:rStyle w:val="Refdenotaalpie"/>
          <w:rFonts w:ascii="Arial" w:hAnsi="Arial" w:cs="Arial"/>
          <w:sz w:val="19"/>
          <w:szCs w:val="19"/>
        </w:rPr>
        <w:footnoteRef/>
      </w:r>
      <w:r w:rsidRPr="00F41674">
        <w:rPr>
          <w:rFonts w:ascii="Arial" w:hAnsi="Arial" w:cs="Arial"/>
          <w:sz w:val="19"/>
          <w:szCs w:val="19"/>
        </w:rPr>
        <w:t xml:space="preserve"> </w:t>
      </w:r>
      <w:r w:rsidR="00904CB2" w:rsidRPr="00F41674">
        <w:rPr>
          <w:rFonts w:ascii="Arial" w:hAnsi="Arial" w:cs="Arial"/>
          <w:i/>
          <w:iCs/>
          <w:color w:val="000000" w:themeColor="text1"/>
          <w:sz w:val="19"/>
          <w:szCs w:val="19"/>
        </w:rPr>
        <w:t>Ibídem</w:t>
      </w:r>
      <w:r w:rsidR="00904CB2">
        <w:rPr>
          <w:rFonts w:ascii="Arial" w:hAnsi="Arial" w:cs="Arial"/>
          <w:i/>
          <w:iCs/>
          <w:color w:val="000000" w:themeColor="text1"/>
          <w:sz w:val="19"/>
          <w:szCs w:val="19"/>
        </w:rPr>
        <w:t>.</w:t>
      </w:r>
    </w:p>
  </w:footnote>
  <w:footnote w:id="14">
    <w:p w14:paraId="0BD587DE" w14:textId="77777777" w:rsidR="000A5448" w:rsidRPr="00F41674" w:rsidRDefault="000A5448" w:rsidP="00F41674">
      <w:pPr>
        <w:pStyle w:val="Prrafodelista"/>
        <w:ind w:left="0" w:firstLine="708"/>
        <w:jc w:val="both"/>
        <w:rPr>
          <w:rFonts w:ascii="Arial" w:hAnsi="Arial" w:cs="Arial"/>
          <w:bCs/>
          <w:color w:val="000000" w:themeColor="text1"/>
          <w:sz w:val="19"/>
          <w:szCs w:val="19"/>
          <w:lang w:val="es-ES"/>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w:t>
      </w:r>
      <w:r w:rsidRPr="00F41674">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19CA0F7D" w14:textId="77777777" w:rsidR="000A5448" w:rsidRPr="00F41674" w:rsidRDefault="000A5448" w:rsidP="00F41674">
      <w:pPr>
        <w:pStyle w:val="Textonotapie"/>
        <w:ind w:firstLine="708"/>
        <w:jc w:val="both"/>
        <w:rPr>
          <w:rFonts w:ascii="Arial" w:hAnsi="Arial" w:cs="Arial"/>
          <w:color w:val="000000" w:themeColor="text1"/>
          <w:sz w:val="19"/>
          <w:szCs w:val="19"/>
          <w:lang w:val="es-ES"/>
        </w:rPr>
      </w:pPr>
    </w:p>
  </w:footnote>
  <w:footnote w:id="15">
    <w:p w14:paraId="77C0FEF4"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4201E0F5"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5D1FFCD4" w14:textId="77777777" w:rsidR="000A5448" w:rsidRPr="00F41674" w:rsidRDefault="000A5448" w:rsidP="00F41674">
      <w:pPr>
        <w:pStyle w:val="Textonotapie"/>
        <w:jc w:val="both"/>
        <w:rPr>
          <w:rFonts w:ascii="Arial" w:hAnsi="Arial" w:cs="Arial"/>
          <w:color w:val="000000" w:themeColor="text1"/>
          <w:sz w:val="19"/>
          <w:szCs w:val="19"/>
        </w:rPr>
      </w:pPr>
    </w:p>
  </w:footnote>
  <w:footnote w:id="16">
    <w:p w14:paraId="2F334B73"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5DE24CF9" w14:textId="77777777" w:rsidR="000A5448" w:rsidRPr="00F41674" w:rsidRDefault="000A5448" w:rsidP="00F41674">
      <w:pPr>
        <w:pStyle w:val="Textonotapie"/>
        <w:ind w:firstLine="708"/>
        <w:jc w:val="both"/>
        <w:rPr>
          <w:rFonts w:ascii="Arial" w:hAnsi="Arial" w:cs="Arial"/>
          <w:color w:val="000000" w:themeColor="text1"/>
          <w:sz w:val="19"/>
          <w:szCs w:val="19"/>
        </w:rPr>
      </w:pPr>
    </w:p>
  </w:footnote>
  <w:footnote w:id="17">
    <w:p w14:paraId="4DAFD043"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6CD57214" w14:textId="77777777" w:rsidR="000A5448" w:rsidRPr="00F41674" w:rsidRDefault="000A5448" w:rsidP="00F41674">
      <w:pPr>
        <w:pStyle w:val="Textonotapie"/>
        <w:ind w:firstLine="708"/>
        <w:jc w:val="both"/>
        <w:rPr>
          <w:rFonts w:ascii="Arial" w:hAnsi="Arial" w:cs="Arial"/>
          <w:color w:val="000000" w:themeColor="text1"/>
          <w:sz w:val="19"/>
          <w:szCs w:val="19"/>
        </w:rPr>
      </w:pPr>
    </w:p>
  </w:footnote>
  <w:footnote w:id="18">
    <w:p w14:paraId="53865E01"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64D12633" w14:textId="77777777" w:rsidR="000A5448" w:rsidRPr="00F41674" w:rsidRDefault="000A5448" w:rsidP="00F41674">
      <w:pPr>
        <w:pStyle w:val="Textonotapie"/>
        <w:jc w:val="both"/>
        <w:rPr>
          <w:rFonts w:ascii="Arial" w:hAnsi="Arial" w:cs="Arial"/>
          <w:color w:val="000000" w:themeColor="text1"/>
          <w:sz w:val="19"/>
          <w:szCs w:val="19"/>
        </w:rPr>
      </w:pPr>
      <w:r w:rsidRPr="00F41674">
        <w:rPr>
          <w:rFonts w:ascii="Arial" w:hAnsi="Arial" w:cs="Arial"/>
          <w:color w:val="000000" w:themeColor="text1"/>
          <w:sz w:val="19"/>
          <w:szCs w:val="19"/>
        </w:rPr>
        <w:t>»Los sujetos obligados que no contratan con cargo a recursos públicos no están obligados a publicar su Plan Anual de Adquisiciones.</w:t>
      </w:r>
    </w:p>
    <w:p w14:paraId="46B36A90" w14:textId="77777777" w:rsidR="000A5448" w:rsidRPr="00F41674" w:rsidRDefault="000A5448" w:rsidP="00F41674">
      <w:pPr>
        <w:pStyle w:val="Textonotapie"/>
        <w:jc w:val="both"/>
        <w:rPr>
          <w:rFonts w:ascii="Arial" w:hAnsi="Arial" w:cs="Arial"/>
          <w:color w:val="000000" w:themeColor="text1"/>
          <w:sz w:val="19"/>
          <w:szCs w:val="19"/>
        </w:rPr>
      </w:pPr>
      <w:r w:rsidRPr="00F41674">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6C0BEFB3" w14:textId="77777777" w:rsidR="000A5448" w:rsidRPr="00F41674" w:rsidRDefault="000A5448" w:rsidP="00F41674">
      <w:pPr>
        <w:pStyle w:val="Textonotapie"/>
        <w:jc w:val="both"/>
        <w:rPr>
          <w:rFonts w:ascii="Arial" w:hAnsi="Arial" w:cs="Arial"/>
          <w:color w:val="000000" w:themeColor="text1"/>
          <w:sz w:val="19"/>
          <w:szCs w:val="19"/>
        </w:rPr>
      </w:pPr>
      <w:r w:rsidRPr="00F41674">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9">
    <w:p w14:paraId="20F79A9E"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55F36B26"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76628324" w14:textId="77777777" w:rsidR="000A5448" w:rsidRPr="00F41674" w:rsidRDefault="000A5448" w:rsidP="00F41674">
      <w:pPr>
        <w:pStyle w:val="Textonotapie"/>
        <w:jc w:val="both"/>
        <w:rPr>
          <w:rFonts w:ascii="Arial" w:hAnsi="Arial" w:cs="Arial"/>
          <w:color w:val="000000" w:themeColor="text1"/>
          <w:sz w:val="19"/>
          <w:szCs w:val="19"/>
          <w:lang w:val="es-CO"/>
        </w:rPr>
      </w:pPr>
    </w:p>
  </w:footnote>
  <w:footnote w:id="20">
    <w:p w14:paraId="3C4E0353" w14:textId="77777777" w:rsidR="000A5448" w:rsidRPr="00F41674" w:rsidRDefault="000A5448" w:rsidP="00F41674">
      <w:pPr>
        <w:pStyle w:val="Textonotapie"/>
        <w:ind w:firstLine="709"/>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17E25BC0" w14:textId="77777777" w:rsidR="000A5448" w:rsidRPr="00F41674" w:rsidRDefault="000A5448" w:rsidP="00F41674">
      <w:pPr>
        <w:pStyle w:val="Textonotapie"/>
        <w:ind w:firstLine="709"/>
        <w:jc w:val="both"/>
        <w:rPr>
          <w:rFonts w:ascii="Arial" w:hAnsi="Arial" w:cs="Arial"/>
          <w:color w:val="000000" w:themeColor="text1"/>
          <w:sz w:val="19"/>
          <w:szCs w:val="19"/>
        </w:rPr>
      </w:pPr>
      <w:r w:rsidRPr="00F41674">
        <w:rPr>
          <w:rFonts w:ascii="Arial" w:hAnsi="Arial" w:cs="Arial"/>
          <w:color w:val="000000" w:themeColor="text1"/>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61E68AFF" w14:textId="77777777" w:rsidR="000A5448" w:rsidRPr="00F41674" w:rsidRDefault="000A5448" w:rsidP="00F41674">
      <w:pPr>
        <w:pStyle w:val="Textonotapie"/>
        <w:ind w:firstLine="709"/>
        <w:jc w:val="both"/>
        <w:rPr>
          <w:rFonts w:ascii="Arial" w:hAnsi="Arial" w:cs="Arial"/>
          <w:color w:val="000000" w:themeColor="text1"/>
          <w:sz w:val="19"/>
          <w:szCs w:val="19"/>
        </w:rPr>
      </w:pPr>
      <w:r w:rsidRPr="00F41674">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21">
    <w:p w14:paraId="646F45F5"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Corte Constitucional. Sentencia C- 083 del 1 de marzo de 1995. M.P. Carlos Gaviria Díaz</w:t>
      </w:r>
    </w:p>
    <w:p w14:paraId="1BDBA25F" w14:textId="77777777" w:rsidR="000A5448" w:rsidRPr="00F41674" w:rsidRDefault="000A5448" w:rsidP="00F41674">
      <w:pPr>
        <w:pStyle w:val="Textonotapie"/>
        <w:ind w:firstLine="708"/>
        <w:jc w:val="both"/>
        <w:rPr>
          <w:rFonts w:ascii="Arial" w:hAnsi="Arial" w:cs="Arial"/>
          <w:color w:val="000000" w:themeColor="text1"/>
          <w:sz w:val="19"/>
          <w:szCs w:val="19"/>
        </w:rPr>
      </w:pPr>
    </w:p>
  </w:footnote>
  <w:footnote w:id="22">
    <w:p w14:paraId="53F0CC3C"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57D7FCB3"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26F8"/>
    <w:rsid w:val="00020C75"/>
    <w:rsid w:val="000437F8"/>
    <w:rsid w:val="000659D2"/>
    <w:rsid w:val="0007096D"/>
    <w:rsid w:val="000942EB"/>
    <w:rsid w:val="000A5448"/>
    <w:rsid w:val="000B103F"/>
    <w:rsid w:val="000F14E8"/>
    <w:rsid w:val="00103915"/>
    <w:rsid w:val="00122B23"/>
    <w:rsid w:val="00126B51"/>
    <w:rsid w:val="00137FFA"/>
    <w:rsid w:val="00143B48"/>
    <w:rsid w:val="00155709"/>
    <w:rsid w:val="001670DB"/>
    <w:rsid w:val="001C1F9A"/>
    <w:rsid w:val="001F2887"/>
    <w:rsid w:val="001F43B2"/>
    <w:rsid w:val="002114F7"/>
    <w:rsid w:val="00234B84"/>
    <w:rsid w:val="00234F6A"/>
    <w:rsid w:val="002547C6"/>
    <w:rsid w:val="00282A6C"/>
    <w:rsid w:val="002901A0"/>
    <w:rsid w:val="002B2434"/>
    <w:rsid w:val="002F0696"/>
    <w:rsid w:val="002F5DC4"/>
    <w:rsid w:val="003033BA"/>
    <w:rsid w:val="00322243"/>
    <w:rsid w:val="00322B9F"/>
    <w:rsid w:val="0034680A"/>
    <w:rsid w:val="0037392A"/>
    <w:rsid w:val="00373EE9"/>
    <w:rsid w:val="00386456"/>
    <w:rsid w:val="003A581E"/>
    <w:rsid w:val="003B17E1"/>
    <w:rsid w:val="003B261E"/>
    <w:rsid w:val="00422317"/>
    <w:rsid w:val="0043243C"/>
    <w:rsid w:val="004422D6"/>
    <w:rsid w:val="00474AFD"/>
    <w:rsid w:val="0048386E"/>
    <w:rsid w:val="004A34D2"/>
    <w:rsid w:val="004B55DF"/>
    <w:rsid w:val="004C3B80"/>
    <w:rsid w:val="0051074C"/>
    <w:rsid w:val="00513AF2"/>
    <w:rsid w:val="00536968"/>
    <w:rsid w:val="0054413A"/>
    <w:rsid w:val="005564CA"/>
    <w:rsid w:val="005A03D2"/>
    <w:rsid w:val="005A79FE"/>
    <w:rsid w:val="005B47EF"/>
    <w:rsid w:val="005F3EDE"/>
    <w:rsid w:val="005F72C8"/>
    <w:rsid w:val="00617E04"/>
    <w:rsid w:val="00655371"/>
    <w:rsid w:val="00697665"/>
    <w:rsid w:val="006A7FD0"/>
    <w:rsid w:val="006D7687"/>
    <w:rsid w:val="006E0572"/>
    <w:rsid w:val="006E6170"/>
    <w:rsid w:val="006E7D1E"/>
    <w:rsid w:val="00705631"/>
    <w:rsid w:val="00742DD2"/>
    <w:rsid w:val="0075647A"/>
    <w:rsid w:val="007634AD"/>
    <w:rsid w:val="0078122E"/>
    <w:rsid w:val="007B0854"/>
    <w:rsid w:val="007F4145"/>
    <w:rsid w:val="007F72CB"/>
    <w:rsid w:val="00826865"/>
    <w:rsid w:val="008273A9"/>
    <w:rsid w:val="0083119B"/>
    <w:rsid w:val="00836EAB"/>
    <w:rsid w:val="0085092D"/>
    <w:rsid w:val="00880D4C"/>
    <w:rsid w:val="00890B7B"/>
    <w:rsid w:val="008E1C15"/>
    <w:rsid w:val="008F1531"/>
    <w:rsid w:val="009047C5"/>
    <w:rsid w:val="00904CB2"/>
    <w:rsid w:val="0091437B"/>
    <w:rsid w:val="00947808"/>
    <w:rsid w:val="0095385A"/>
    <w:rsid w:val="00964C51"/>
    <w:rsid w:val="009D24D3"/>
    <w:rsid w:val="009E5AE9"/>
    <w:rsid w:val="009E745D"/>
    <w:rsid w:val="009F5B7C"/>
    <w:rsid w:val="00A10C35"/>
    <w:rsid w:val="00A24560"/>
    <w:rsid w:val="00A25558"/>
    <w:rsid w:val="00A34538"/>
    <w:rsid w:val="00A50F4E"/>
    <w:rsid w:val="00A66584"/>
    <w:rsid w:val="00A71696"/>
    <w:rsid w:val="00A75258"/>
    <w:rsid w:val="00A843BA"/>
    <w:rsid w:val="00AA442B"/>
    <w:rsid w:val="00AA730E"/>
    <w:rsid w:val="00AB648C"/>
    <w:rsid w:val="00B03933"/>
    <w:rsid w:val="00B22E22"/>
    <w:rsid w:val="00B37E7D"/>
    <w:rsid w:val="00B525CB"/>
    <w:rsid w:val="00B63CB2"/>
    <w:rsid w:val="00BD01A5"/>
    <w:rsid w:val="00BD49C8"/>
    <w:rsid w:val="00BD78FE"/>
    <w:rsid w:val="00BE2F0E"/>
    <w:rsid w:val="00C1034B"/>
    <w:rsid w:val="00C3604B"/>
    <w:rsid w:val="00C7460D"/>
    <w:rsid w:val="00C876A7"/>
    <w:rsid w:val="00CA287E"/>
    <w:rsid w:val="00CC00CD"/>
    <w:rsid w:val="00CE1062"/>
    <w:rsid w:val="00D16E39"/>
    <w:rsid w:val="00D22EAD"/>
    <w:rsid w:val="00D60B0D"/>
    <w:rsid w:val="00D72E9D"/>
    <w:rsid w:val="00D82CE5"/>
    <w:rsid w:val="00DA0CE5"/>
    <w:rsid w:val="00DA5AB1"/>
    <w:rsid w:val="00DB5FBB"/>
    <w:rsid w:val="00DC62E5"/>
    <w:rsid w:val="00DD735D"/>
    <w:rsid w:val="00DE3119"/>
    <w:rsid w:val="00DF236B"/>
    <w:rsid w:val="00E13AB8"/>
    <w:rsid w:val="00E1532A"/>
    <w:rsid w:val="00E33B62"/>
    <w:rsid w:val="00E42794"/>
    <w:rsid w:val="00E563F6"/>
    <w:rsid w:val="00E90D75"/>
    <w:rsid w:val="00EC708D"/>
    <w:rsid w:val="00EE0282"/>
    <w:rsid w:val="00F41674"/>
    <w:rsid w:val="00F53BED"/>
    <w:rsid w:val="00F70789"/>
    <w:rsid w:val="00F75567"/>
    <w:rsid w:val="00F84899"/>
    <w:rsid w:val="00F859F0"/>
    <w:rsid w:val="00FD1B49"/>
    <w:rsid w:val="00FE141E"/>
    <w:rsid w:val="00FE5C6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A50F4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6981760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5089088">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479157276">
      <w:bodyDiv w:val="1"/>
      <w:marLeft w:val="0"/>
      <w:marRight w:val="0"/>
      <w:marTop w:val="0"/>
      <w:marBottom w:val="0"/>
      <w:divBdr>
        <w:top w:val="none" w:sz="0" w:space="0" w:color="auto"/>
        <w:left w:val="none" w:sz="0" w:space="0" w:color="auto"/>
        <w:bottom w:val="none" w:sz="0" w:space="0" w:color="auto"/>
        <w:right w:val="none" w:sz="0" w:space="0" w:color="auto"/>
      </w:divBdr>
    </w:div>
    <w:div w:id="710153174">
      <w:bodyDiv w:val="1"/>
      <w:marLeft w:val="0"/>
      <w:marRight w:val="0"/>
      <w:marTop w:val="0"/>
      <w:marBottom w:val="0"/>
      <w:divBdr>
        <w:top w:val="none" w:sz="0" w:space="0" w:color="auto"/>
        <w:left w:val="none" w:sz="0" w:space="0" w:color="auto"/>
        <w:bottom w:val="none" w:sz="0" w:space="0" w:color="auto"/>
        <w:right w:val="none" w:sz="0" w:space="0" w:color="auto"/>
      </w:divBdr>
    </w:div>
    <w:div w:id="1468862885">
      <w:bodyDiv w:val="1"/>
      <w:marLeft w:val="0"/>
      <w:marRight w:val="0"/>
      <w:marTop w:val="0"/>
      <w:marBottom w:val="0"/>
      <w:divBdr>
        <w:top w:val="none" w:sz="0" w:space="0" w:color="auto"/>
        <w:left w:val="none" w:sz="0" w:space="0" w:color="auto"/>
        <w:bottom w:val="none" w:sz="0" w:space="0" w:color="auto"/>
        <w:right w:val="none" w:sz="0" w:space="0" w:color="auto"/>
      </w:divBdr>
    </w:div>
    <w:div w:id="1684552158">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6856E-A454-4E7A-A5AC-7A886567A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D83F471-A67D-459B-8164-95F0F1B57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4768</Words>
  <Characters>27184</Characters>
  <Application>Microsoft Office Word</Application>
  <DocSecurity>0</DocSecurity>
  <Lines>226</Lines>
  <Paragraphs>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2020-08-26T14:31:00Z</dcterms:created>
  <dcterms:modified xsi:type="dcterms:W3CDTF">2020-08-26T14:31:00Z</dcterms:modified>
</cp:coreProperties>
</file>