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02E6" w14:textId="77777777" w:rsidR="00FF00D7" w:rsidRPr="00F57B81" w:rsidRDefault="00FF00D7" w:rsidP="00FF00D7">
      <w:pPr>
        <w:spacing w:after="0" w:line="240" w:lineRule="auto"/>
        <w:jc w:val="both"/>
        <w:rPr>
          <w:rFonts w:ascii="Verdana" w:eastAsia="Arial" w:hAnsi="Verdana" w:cs="Arial"/>
          <w:b/>
          <w:color w:val="000000"/>
          <w:sz w:val="20"/>
          <w:szCs w:val="20"/>
        </w:rPr>
      </w:pPr>
    </w:p>
    <w:p w14:paraId="7BF017C1" w14:textId="77777777" w:rsidR="00FF00D7" w:rsidRPr="00F57B81" w:rsidRDefault="00FF00D7" w:rsidP="00FF00D7">
      <w:pPr>
        <w:spacing w:after="0" w:line="240" w:lineRule="auto"/>
        <w:jc w:val="both"/>
        <w:rPr>
          <w:rFonts w:ascii="Verdana" w:eastAsia="Arial" w:hAnsi="Verdana" w:cs="Arial"/>
          <w:color w:val="000000"/>
        </w:rPr>
      </w:pPr>
      <w:r w:rsidRPr="00F57B81">
        <w:rPr>
          <w:rFonts w:ascii="Verdana" w:eastAsia="Arial" w:hAnsi="Verdana" w:cs="Arial"/>
          <w:b/>
          <w:color w:val="000000"/>
        </w:rPr>
        <w:t>PRINCIPIO DE SELECCIÓN OBJETIVA – Fundamento – Alcance</w:t>
      </w:r>
    </w:p>
    <w:p w14:paraId="44CC3E06" w14:textId="77777777" w:rsidR="00FF00D7" w:rsidRPr="00F57B81" w:rsidRDefault="00FF00D7" w:rsidP="00FF00D7">
      <w:pPr>
        <w:spacing w:after="0" w:line="240" w:lineRule="auto"/>
        <w:jc w:val="both"/>
        <w:rPr>
          <w:rFonts w:ascii="Verdana" w:eastAsia="Arial" w:hAnsi="Verdana" w:cs="Arial"/>
          <w:color w:val="000000"/>
          <w:sz w:val="20"/>
          <w:szCs w:val="20"/>
        </w:rPr>
      </w:pPr>
    </w:p>
    <w:p w14:paraId="6A745035" w14:textId="77777777" w:rsidR="00FF00D7" w:rsidRPr="00F57B81" w:rsidRDefault="00FF00D7" w:rsidP="00FF00D7">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 xml:space="preserve">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w:t>
      </w:r>
      <w:proofErr w:type="spellStart"/>
      <w:r w:rsidRPr="00F57B81">
        <w:rPr>
          <w:rFonts w:ascii="Verdana" w:eastAsia="Arial" w:hAnsi="Verdana" w:cs="Arial"/>
          <w:color w:val="000000"/>
          <w:sz w:val="20"/>
          <w:szCs w:val="20"/>
        </w:rPr>
        <w:t>subsanabilidad</w:t>
      </w:r>
      <w:proofErr w:type="spellEnd"/>
      <w:r w:rsidRPr="00F57B81">
        <w:rPr>
          <w:rFonts w:ascii="Verdana" w:eastAsia="Arial" w:hAnsi="Verdana" w:cs="Arial"/>
          <w:color w:val="000000"/>
          <w:sz w:val="20"/>
          <w:szCs w:val="20"/>
        </w:rPr>
        <w:t xml:space="preserve">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F57B81">
        <w:rPr>
          <w:rFonts w:ascii="Verdana" w:eastAsia="Arial" w:hAnsi="Verdana" w:cs="Arial"/>
          <w:color w:val="000000"/>
          <w:sz w:val="20"/>
          <w:szCs w:val="20"/>
        </w:rPr>
        <w:tab/>
      </w:r>
    </w:p>
    <w:p w14:paraId="0B35EDE7" w14:textId="77777777" w:rsidR="00FF00D7" w:rsidRPr="00F57B81" w:rsidRDefault="00FF00D7" w:rsidP="00FF00D7">
      <w:pPr>
        <w:spacing w:after="0" w:line="240" w:lineRule="auto"/>
        <w:jc w:val="both"/>
        <w:rPr>
          <w:rFonts w:ascii="Verdana" w:eastAsia="Arial" w:hAnsi="Verdana" w:cs="Arial"/>
          <w:color w:val="000000"/>
          <w:sz w:val="20"/>
          <w:szCs w:val="20"/>
        </w:rPr>
      </w:pPr>
    </w:p>
    <w:p w14:paraId="2EF478EE" w14:textId="77777777" w:rsidR="00FF00D7" w:rsidRPr="00F57B81" w:rsidRDefault="00FF00D7" w:rsidP="00FF00D7">
      <w:pPr>
        <w:spacing w:after="0" w:line="240" w:lineRule="auto"/>
        <w:jc w:val="both"/>
        <w:rPr>
          <w:rFonts w:ascii="Verdana" w:eastAsia="Arial" w:hAnsi="Verdana" w:cs="Arial"/>
          <w:b/>
          <w:color w:val="000000"/>
        </w:rPr>
      </w:pPr>
      <w:r w:rsidRPr="00F57B81">
        <w:rPr>
          <w:rFonts w:ascii="Verdana" w:eastAsia="Arial" w:hAnsi="Verdana" w:cs="Arial"/>
          <w:b/>
          <w:color w:val="000000"/>
        </w:rPr>
        <w:t>SUBSANABILIDAD – Concepto de unificación – Aplicación – Improcedencia – Circunstancias posteriores – Cierre del proceso</w:t>
      </w:r>
    </w:p>
    <w:p w14:paraId="73D01D45" w14:textId="77777777" w:rsidR="00FF00D7" w:rsidRPr="00F57B81" w:rsidRDefault="00FF00D7" w:rsidP="00FF00D7">
      <w:pPr>
        <w:spacing w:after="0" w:line="240" w:lineRule="auto"/>
        <w:jc w:val="both"/>
        <w:rPr>
          <w:rFonts w:ascii="Verdana" w:eastAsia="Arial" w:hAnsi="Verdana" w:cs="Arial"/>
          <w:color w:val="000000"/>
          <w:sz w:val="20"/>
          <w:szCs w:val="20"/>
        </w:rPr>
      </w:pPr>
    </w:p>
    <w:p w14:paraId="11FFE5F7" w14:textId="77777777" w:rsidR="00FF00D7" w:rsidRPr="00F57B81" w:rsidRDefault="00FF00D7" w:rsidP="00FF00D7">
      <w:pPr>
        <w:spacing w:after="0" w:line="240" w:lineRule="auto"/>
        <w:jc w:val="both"/>
        <w:rPr>
          <w:rFonts w:ascii="Verdana" w:eastAsia="Arial" w:hAnsi="Verdana" w:cs="Arial"/>
          <w:color w:val="000000"/>
          <w:sz w:val="20"/>
          <w:szCs w:val="20"/>
        </w:rPr>
      </w:pPr>
      <w:r w:rsidRPr="00F57B81">
        <w:rPr>
          <w:rFonts w:ascii="Verdana" w:eastAsia="Arial" w:hAnsi="Verdana" w:cs="Arial"/>
          <w:color w:val="000000"/>
          <w:sz w:val="20"/>
          <w:szCs w:val="20"/>
        </w:rPr>
        <w:t xml:space="preserve">La regla de la </w:t>
      </w:r>
      <w:proofErr w:type="spellStart"/>
      <w:r w:rsidRPr="00F57B81">
        <w:rPr>
          <w:rFonts w:ascii="Verdana" w:eastAsia="Arial" w:hAnsi="Verdana" w:cs="Arial"/>
          <w:color w:val="000000"/>
          <w:sz w:val="20"/>
          <w:szCs w:val="20"/>
        </w:rPr>
        <w:t>subsanabilidad</w:t>
      </w:r>
      <w:proofErr w:type="spellEnd"/>
      <w:r w:rsidRPr="00F57B81">
        <w:rPr>
          <w:rFonts w:ascii="Verdana" w:eastAsia="Arial" w:hAnsi="Verdana" w:cs="Arial"/>
          <w:color w:val="000000"/>
          <w:sz w:val="20"/>
          <w:szCs w:val="20"/>
        </w:rPr>
        <w:t xml:space="preserve">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w:t>
      </w:r>
      <w:r w:rsidRPr="00F57B81">
        <w:rPr>
          <w:rFonts w:ascii="Verdana" w:eastAsia="Arial" w:hAnsi="Verdana" w:cs="Arial"/>
          <w:color w:val="000000"/>
          <w:sz w:val="20"/>
          <w:szCs w:val="20"/>
        </w:rPr>
        <w:lastRenderedPageBreak/>
        <w:t xml:space="preserve">al cierre del proceso” o el consagrado en el parágrafo 3o., adicionado por el artículo 5 de la Ley 1882 de 2018, según el cual “La no entrega de la garantía de seriedad junto con la propuesta no será subsanable y será causal de rechazo de la misma”, lo cierto es que la </w:t>
      </w:r>
      <w:proofErr w:type="spellStart"/>
      <w:r w:rsidRPr="00F57B81">
        <w:rPr>
          <w:rFonts w:ascii="Verdana" w:eastAsia="Arial" w:hAnsi="Verdana" w:cs="Arial"/>
          <w:color w:val="000000"/>
          <w:sz w:val="20"/>
          <w:szCs w:val="20"/>
        </w:rPr>
        <w:t>subsanabilidad</w:t>
      </w:r>
      <w:proofErr w:type="spellEnd"/>
      <w:r w:rsidRPr="00F57B81">
        <w:rPr>
          <w:rFonts w:ascii="Verdana" w:eastAsia="Arial" w:hAnsi="Verdana" w:cs="Arial"/>
          <w:color w:val="000000"/>
          <w:sz w:val="20"/>
          <w:szCs w:val="20"/>
        </w:rPr>
        <w:t xml:space="preserve"> de las ofertas debe interpretarse como una regla general en relación con la falta de entrega o con los defectos de los requisitos habilitantes.</w:t>
      </w:r>
    </w:p>
    <w:p w14:paraId="2125FEFD" w14:textId="77777777" w:rsidR="00FF00D7" w:rsidRPr="00F57B81" w:rsidRDefault="00FF00D7" w:rsidP="00FF00D7">
      <w:pPr>
        <w:spacing w:after="0" w:line="240" w:lineRule="auto"/>
        <w:jc w:val="both"/>
        <w:rPr>
          <w:rFonts w:ascii="Verdana" w:eastAsia="Arial" w:hAnsi="Verdana" w:cs="Arial"/>
          <w:color w:val="000000"/>
          <w:sz w:val="20"/>
          <w:szCs w:val="20"/>
        </w:rPr>
      </w:pPr>
    </w:p>
    <w:p w14:paraId="49B3E39C" w14:textId="77777777" w:rsidR="00FF00D7" w:rsidRPr="00082941" w:rsidRDefault="00FF00D7" w:rsidP="00FF00D7">
      <w:pPr>
        <w:tabs>
          <w:tab w:val="left" w:pos="6551"/>
        </w:tabs>
        <w:spacing w:after="0" w:line="240" w:lineRule="auto"/>
        <w:jc w:val="both"/>
        <w:rPr>
          <w:rFonts w:ascii="Verdana" w:eastAsia="Calibri" w:hAnsi="Verdana" w:cs="Arial"/>
          <w:b/>
          <w:color w:val="000000" w:themeColor="text1"/>
          <w:lang w:val="es-ES_tradnl"/>
        </w:rPr>
      </w:pPr>
      <w:r w:rsidRPr="005F334E">
        <w:rPr>
          <w:rFonts w:ascii="Verdana" w:eastAsia="Calibri" w:hAnsi="Verdana" w:cs="Arial"/>
          <w:b/>
          <w:color w:val="000000" w:themeColor="text1"/>
          <w:lang w:val="es-ES_tradnl"/>
        </w:rPr>
        <w:t>SUBSANABILIDAD – Criterios de desempate - Imposibilidad</w:t>
      </w:r>
      <w:r w:rsidRPr="00082941">
        <w:rPr>
          <w:rFonts w:ascii="Verdana" w:eastAsia="Calibri" w:hAnsi="Verdana" w:cs="Arial"/>
          <w:b/>
          <w:color w:val="000000" w:themeColor="text1"/>
          <w:lang w:val="es-ES_tradnl"/>
        </w:rPr>
        <w:t xml:space="preserve">  </w:t>
      </w:r>
    </w:p>
    <w:p w14:paraId="152FBE40" w14:textId="77777777" w:rsidR="00FF00D7" w:rsidRPr="00172EEC" w:rsidRDefault="00FF00D7" w:rsidP="00FF00D7">
      <w:pPr>
        <w:tabs>
          <w:tab w:val="left" w:pos="6551"/>
        </w:tabs>
        <w:spacing w:after="0" w:line="240" w:lineRule="auto"/>
        <w:jc w:val="both"/>
        <w:rPr>
          <w:rFonts w:ascii="Verdana" w:eastAsia="Calibri" w:hAnsi="Verdana" w:cs="Arial"/>
          <w:b/>
          <w:color w:val="000000" w:themeColor="text1"/>
          <w:sz w:val="20"/>
          <w:szCs w:val="20"/>
          <w:lang w:val="es-ES_tradnl"/>
        </w:rPr>
      </w:pPr>
    </w:p>
    <w:p w14:paraId="63A26A46" w14:textId="77777777" w:rsidR="00FF00D7" w:rsidRPr="005F334E" w:rsidRDefault="00FF00D7" w:rsidP="00FF00D7">
      <w:pPr>
        <w:spacing w:after="0" w:line="240" w:lineRule="auto"/>
        <w:jc w:val="both"/>
        <w:rPr>
          <w:rFonts w:ascii="Verdana" w:eastAsia="Calibri" w:hAnsi="Verdana" w:cs="Arial"/>
          <w:bCs/>
          <w:sz w:val="20"/>
          <w:szCs w:val="20"/>
        </w:rPr>
      </w:pPr>
      <w:r w:rsidRPr="005F334E">
        <w:rPr>
          <w:rFonts w:ascii="Verdana" w:eastAsia="Calibri" w:hAnsi="Verdana" w:cs="Arial"/>
          <w:bCs/>
          <w:sz w:val="20"/>
          <w:szCs w:val="20"/>
        </w:rPr>
        <w:t xml:space="preserve">Analizada la regla del parágrafo primero del artículo 5 de la Ley 1150 de 2007, los criterios de desempate afectan la asignación de puntaje,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asignación de puntaje y deciden el resultado del proceso de selección.  </w:t>
      </w:r>
    </w:p>
    <w:p w14:paraId="68D3F524" w14:textId="77777777" w:rsidR="00FF00D7" w:rsidRPr="005F334E" w:rsidRDefault="00FF00D7" w:rsidP="00FF00D7">
      <w:pPr>
        <w:spacing w:after="0" w:line="240" w:lineRule="auto"/>
        <w:jc w:val="both"/>
        <w:rPr>
          <w:rFonts w:ascii="Verdana" w:eastAsia="Calibri" w:hAnsi="Verdana" w:cs="Arial"/>
          <w:bCs/>
          <w:sz w:val="20"/>
          <w:szCs w:val="20"/>
        </w:rPr>
      </w:pPr>
    </w:p>
    <w:p w14:paraId="26704DA2" w14:textId="77777777" w:rsidR="00FF00D7" w:rsidRPr="005F334E" w:rsidRDefault="00FF00D7" w:rsidP="00FF00D7">
      <w:pPr>
        <w:spacing w:after="0" w:line="240" w:lineRule="auto"/>
        <w:jc w:val="both"/>
        <w:rPr>
          <w:rFonts w:ascii="Verdana" w:eastAsia="Calibri" w:hAnsi="Verdana" w:cs="Arial"/>
          <w:bCs/>
          <w:sz w:val="20"/>
          <w:szCs w:val="20"/>
        </w:rPr>
      </w:pPr>
      <w:r w:rsidRPr="005F334E">
        <w:rPr>
          <w:rFonts w:ascii="Verdana" w:eastAsia="Calibri" w:hAnsi="Verdana" w:cs="Arial"/>
          <w:bCs/>
          <w:sz w:val="20"/>
          <w:szCs w:val="20"/>
        </w:rPr>
        <w:t xml:space="preserve">[…] 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w:t>
      </w:r>
      <w:r>
        <w:rPr>
          <w:rFonts w:ascii="Verdana" w:eastAsia="Calibri" w:hAnsi="Verdana" w:cs="Arial"/>
          <w:bCs/>
          <w:sz w:val="20"/>
          <w:szCs w:val="20"/>
        </w:rPr>
        <w:t>“</w:t>
      </w:r>
      <w:r w:rsidRPr="005F334E">
        <w:rPr>
          <w:rFonts w:ascii="Verdana" w:eastAsia="Calibri" w:hAnsi="Verdana" w:cs="Arial"/>
          <w:bCs/>
          <w:sz w:val="20"/>
          <w:szCs w:val="20"/>
        </w:rPr>
        <w:t>condiciones habilitantes</w:t>
      </w:r>
      <w:r>
        <w:rPr>
          <w:rFonts w:ascii="Verdana" w:eastAsia="Calibri" w:hAnsi="Verdana" w:cs="Arial"/>
          <w:bCs/>
          <w:sz w:val="20"/>
          <w:szCs w:val="20"/>
        </w:rPr>
        <w:t>”</w:t>
      </w:r>
      <w:r w:rsidRPr="005F334E">
        <w:rPr>
          <w:rFonts w:ascii="Verdana" w:eastAsia="Calibri" w:hAnsi="Verdana" w:cs="Arial"/>
          <w:bCs/>
          <w:sz w:val="20"/>
          <w:szCs w:val="20"/>
        </w:rPr>
        <w:t xml:space="preserve">, ya que –en los términos del artículo 5.1 de la Ley 1150 de 2007– ninguno de ellos está relacionado con la prueba de la capacidad jurídica o la certificación de las condiciones de experiencia, capacidad financiera y de organización de los proponentes. </w:t>
      </w:r>
    </w:p>
    <w:p w14:paraId="3D5EF460" w14:textId="77777777" w:rsidR="00FF00D7" w:rsidRPr="005F334E" w:rsidRDefault="00FF00D7" w:rsidP="00FF00D7">
      <w:pPr>
        <w:spacing w:after="0" w:line="240" w:lineRule="auto"/>
        <w:jc w:val="both"/>
        <w:rPr>
          <w:rFonts w:ascii="Verdana" w:eastAsia="Calibri" w:hAnsi="Verdana" w:cs="Arial"/>
          <w:bCs/>
          <w:sz w:val="20"/>
          <w:szCs w:val="20"/>
        </w:rPr>
      </w:pPr>
    </w:p>
    <w:p w14:paraId="7ED1ED60" w14:textId="77777777" w:rsidR="00FF00D7" w:rsidRPr="005F334E" w:rsidRDefault="00FF00D7" w:rsidP="00FF00D7">
      <w:pPr>
        <w:spacing w:after="0" w:line="240" w:lineRule="auto"/>
        <w:jc w:val="both"/>
        <w:rPr>
          <w:rFonts w:ascii="Verdana" w:eastAsia="Calibri" w:hAnsi="Verdana" w:cs="Arial"/>
          <w:bCs/>
          <w:sz w:val="20"/>
          <w:szCs w:val="20"/>
        </w:rPr>
      </w:pPr>
      <w:r w:rsidRPr="005F334E">
        <w:rPr>
          <w:rFonts w:ascii="Verdana" w:eastAsia="Calibri" w:hAnsi="Verdana" w:cs="Arial"/>
          <w:bCs/>
          <w:sz w:val="20"/>
          <w:szCs w:val="20"/>
        </w:rPr>
        <w:t xml:space="preserve">De considerase </w:t>
      </w:r>
      <w:r>
        <w:rPr>
          <w:rFonts w:ascii="Verdana" w:eastAsia="Calibri" w:hAnsi="Verdana" w:cs="Arial"/>
          <w:bCs/>
          <w:sz w:val="20"/>
          <w:szCs w:val="20"/>
        </w:rPr>
        <w:t>“</w:t>
      </w:r>
      <w:r w:rsidRPr="005F334E">
        <w:rPr>
          <w:rFonts w:ascii="Verdana" w:eastAsia="Calibri" w:hAnsi="Verdana" w:cs="Arial"/>
          <w:bCs/>
          <w:sz w:val="20"/>
          <w:szCs w:val="20"/>
        </w:rPr>
        <w:t>condiciones habilitantes</w:t>
      </w:r>
      <w:r>
        <w:rPr>
          <w:rFonts w:ascii="Verdana" w:eastAsia="Calibri" w:hAnsi="Verdana" w:cs="Arial"/>
          <w:bCs/>
          <w:sz w:val="20"/>
          <w:szCs w:val="20"/>
        </w:rPr>
        <w:t>”</w:t>
      </w:r>
      <w:r w:rsidRPr="005F334E">
        <w:rPr>
          <w:rFonts w:ascii="Verdana" w:eastAsia="Calibri" w:hAnsi="Verdana" w:cs="Arial"/>
          <w:bCs/>
          <w:sz w:val="20"/>
          <w:szCs w:val="20"/>
        </w:rPr>
        <w:t>, se llegaría a la idea de que –so pena de rechazo– la participación en el procedimiento contractual está sujeta a la prueba de por lo menos una de las causales del artículo 35 de la Ley 2069 de 2020. Esta conclusión no tendría sentido, ya que es posible la acreditación de los requisitos previstos en el artículo 5.1 de la Ley 1150 de 2007, sin que la ausencia de prueba del criterio de desempate condicione la aplicación de los factores de evaluación previstos en el pliego de condiciones. Naturalmente, en caso de empate, la consecuencia es que la adjudicación se resuelve con los participantes que acreditaron alguno de los factores, excluyendo a quienes no lo hicieron.</w:t>
      </w:r>
    </w:p>
    <w:p w14:paraId="568C684C" w14:textId="77777777" w:rsidR="00FF00D7" w:rsidRPr="005F334E" w:rsidRDefault="00FF00D7" w:rsidP="00FF00D7">
      <w:pPr>
        <w:spacing w:after="0" w:line="240" w:lineRule="auto"/>
        <w:jc w:val="both"/>
        <w:rPr>
          <w:rFonts w:ascii="Verdana" w:eastAsia="Calibri" w:hAnsi="Verdana" w:cs="Arial"/>
          <w:bCs/>
          <w:sz w:val="20"/>
          <w:szCs w:val="20"/>
        </w:rPr>
      </w:pPr>
    </w:p>
    <w:p w14:paraId="6389FF27" w14:textId="77777777" w:rsidR="00FF00D7" w:rsidRPr="00172EEC" w:rsidRDefault="00FF00D7" w:rsidP="00FF00D7">
      <w:pPr>
        <w:spacing w:after="0" w:line="240" w:lineRule="auto"/>
        <w:jc w:val="both"/>
        <w:rPr>
          <w:rFonts w:ascii="Verdana" w:eastAsia="Calibri" w:hAnsi="Verdana" w:cs="Arial"/>
          <w:bCs/>
          <w:sz w:val="20"/>
          <w:szCs w:val="20"/>
          <w:lang w:eastAsia="es-ES_tradnl"/>
        </w:rPr>
      </w:pPr>
      <w:r w:rsidRPr="005F334E">
        <w:rPr>
          <w:rFonts w:ascii="Verdana" w:eastAsia="Calibri" w:hAnsi="Verdana" w:cs="Arial"/>
          <w:bCs/>
          <w:sz w:val="20"/>
          <w:szCs w:val="20"/>
        </w:rPr>
        <w:t>[…] Dado que los factores de desempate influyen en la ponderación de las ofertas presentadas,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parágrafo primero del artículo 5 de la Ley 1150 de 2007. Por tanto, dado que no existe oportunidad posterior, la documentación relacionada con los factores de desempate debe entregarse con la oferta de forma completa e integra, antes del cierre del proceso de selección.</w:t>
      </w:r>
    </w:p>
    <w:p w14:paraId="1E673E71" w14:textId="77777777" w:rsidR="00FF00D7" w:rsidRPr="00FF00D7" w:rsidRDefault="00FF00D7" w:rsidP="00066050">
      <w:pPr>
        <w:spacing w:after="0"/>
        <w:rPr>
          <w:rFonts w:ascii="Verdana" w:eastAsia="Geomanist Light" w:hAnsi="Verdana" w:cs="Arial"/>
          <w:color w:val="000000" w:themeColor="text1"/>
        </w:rPr>
      </w:pPr>
    </w:p>
    <w:p w14:paraId="703611F7" w14:textId="77777777" w:rsidR="00FF00D7" w:rsidRDefault="00FF00D7" w:rsidP="00066050">
      <w:pPr>
        <w:spacing w:after="0"/>
        <w:rPr>
          <w:rFonts w:ascii="Verdana" w:eastAsia="Geomanist Light" w:hAnsi="Verdana" w:cs="Arial"/>
          <w:color w:val="000000" w:themeColor="text1"/>
          <w:lang w:val="es-MX"/>
        </w:rPr>
      </w:pPr>
    </w:p>
    <w:p w14:paraId="3110480E" w14:textId="4807D9A9" w:rsidR="00066050" w:rsidRPr="00277E26" w:rsidRDefault="00066050" w:rsidP="00066050">
      <w:pPr>
        <w:spacing w:after="0"/>
        <w:rPr>
          <w:rFonts w:ascii="Verdana" w:eastAsia="Geomanist Light" w:hAnsi="Verdana" w:cs="Arial"/>
          <w:color w:val="201F1E"/>
          <w:lang w:val="es-MX"/>
        </w:rPr>
      </w:pPr>
      <w:r w:rsidRPr="00277E26">
        <w:rPr>
          <w:rFonts w:ascii="Verdana" w:eastAsia="Geomanist Light" w:hAnsi="Verdana" w:cs="Arial"/>
          <w:color w:val="000000" w:themeColor="text1"/>
          <w:lang w:val="es-MX"/>
        </w:rPr>
        <w:lastRenderedPageBreak/>
        <w:t>Bogotá D.C., </w:t>
      </w:r>
      <w:r w:rsidR="00BB2D46" w:rsidRPr="00BB2D46">
        <w:rPr>
          <w:rFonts w:ascii="Verdana" w:eastAsia="Geomanist Light" w:hAnsi="Verdana" w:cs="Arial"/>
          <w:color w:val="201F1E"/>
          <w:lang w:val="es-MX"/>
        </w:rPr>
        <w:t>15 de Mayo de 2025</w:t>
      </w:r>
    </w:p>
    <w:p w14:paraId="58A91EC8" w14:textId="77777777" w:rsidR="00066050" w:rsidRDefault="00066050" w:rsidP="00066050">
      <w:pPr>
        <w:spacing w:after="0"/>
        <w:jc w:val="both"/>
        <w:rPr>
          <w:rFonts w:ascii="Verdana" w:eastAsia="Calibri" w:hAnsi="Verdana" w:cs="Arial"/>
          <w:color w:val="000000"/>
          <w:lang w:val="es-MX"/>
        </w:rPr>
      </w:pPr>
    </w:p>
    <w:p w14:paraId="2F451E58" w14:textId="7BAA1172" w:rsidR="00BB2D46" w:rsidRPr="00BB2D46" w:rsidRDefault="00BB2D46" w:rsidP="00BB2D46">
      <w:pPr>
        <w:spacing w:after="0"/>
        <w:jc w:val="right"/>
        <w:rPr>
          <w:rFonts w:ascii="Verdana" w:eastAsia="Calibri" w:hAnsi="Verdana" w:cs="Arial"/>
          <w:color w:val="000000"/>
          <w:lang w:val="es-MX"/>
        </w:rPr>
      </w:pPr>
      <w:r w:rsidRPr="00BB2D46">
        <w:rPr>
          <w:rFonts w:ascii="Verdana" w:eastAsia="Calibri" w:hAnsi="Verdana" w:cs="Arial"/>
          <w:color w:val="000000"/>
          <w:lang w:val="es-MX"/>
        </w:rPr>
        <w:drawing>
          <wp:inline distT="0" distB="0" distL="0" distR="0" wp14:anchorId="466C37AD" wp14:editId="40A0CC07">
            <wp:extent cx="2400300" cy="622300"/>
            <wp:effectExtent l="0" t="0" r="0" b="0"/>
            <wp:docPr id="433322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22006" name=""/>
                    <pic:cNvPicPr/>
                  </pic:nvPicPr>
                  <pic:blipFill>
                    <a:blip r:embed="rId10"/>
                    <a:stretch>
                      <a:fillRect/>
                    </a:stretch>
                  </pic:blipFill>
                  <pic:spPr>
                    <a:xfrm>
                      <a:off x="0" y="0"/>
                      <a:ext cx="2400300" cy="622300"/>
                    </a:xfrm>
                    <a:prstGeom prst="rect">
                      <a:avLst/>
                    </a:prstGeom>
                  </pic:spPr>
                </pic:pic>
              </a:graphicData>
            </a:graphic>
          </wp:inline>
        </w:drawing>
      </w:r>
    </w:p>
    <w:p w14:paraId="6B0ED11B" w14:textId="77777777" w:rsidR="00066050" w:rsidRPr="00277E26" w:rsidRDefault="00066050" w:rsidP="00066050">
      <w:pPr>
        <w:spacing w:after="0"/>
        <w:jc w:val="both"/>
        <w:rPr>
          <w:rFonts w:ascii="Verdana" w:eastAsia="Calibri" w:hAnsi="Verdana" w:cs="Arial"/>
          <w:color w:val="000000"/>
          <w:lang w:val="es-ES"/>
        </w:rPr>
      </w:pPr>
    </w:p>
    <w:p w14:paraId="3278F75D" w14:textId="77777777" w:rsidR="00066050" w:rsidRPr="00277E26" w:rsidRDefault="00066050" w:rsidP="00066050">
      <w:pPr>
        <w:spacing w:after="0"/>
        <w:jc w:val="both"/>
        <w:rPr>
          <w:rFonts w:ascii="Verdana" w:eastAsia="Calibri" w:hAnsi="Verdana" w:cs="Arial"/>
          <w:lang w:val="es-ES" w:eastAsia="es-ES"/>
        </w:rPr>
      </w:pPr>
      <w:r w:rsidRPr="00277E26">
        <w:rPr>
          <w:rFonts w:ascii="Verdana" w:eastAsia="Calibri" w:hAnsi="Verdana" w:cs="Arial"/>
          <w:lang w:val="es-ES" w:eastAsia="es-ES"/>
        </w:rPr>
        <w:t>Señor</w:t>
      </w:r>
    </w:p>
    <w:p w14:paraId="65B67CAE" w14:textId="77777777" w:rsidR="00066050" w:rsidRPr="00B7050E" w:rsidRDefault="00066050" w:rsidP="00066050">
      <w:pPr>
        <w:spacing w:after="0"/>
        <w:rPr>
          <w:rFonts w:ascii="Verdana" w:eastAsia="Calibri" w:hAnsi="Verdana" w:cs="Arial"/>
          <w:b/>
          <w:lang w:eastAsia="es-ES_tradnl"/>
        </w:rPr>
      </w:pPr>
      <w:r w:rsidRPr="00725818">
        <w:rPr>
          <w:rFonts w:ascii="Verdana" w:eastAsia="Calibri" w:hAnsi="Verdana" w:cs="Arial"/>
          <w:b/>
          <w:lang w:eastAsia="es-ES_tradnl"/>
        </w:rPr>
        <w:t>Nicol</w:t>
      </w:r>
      <w:r>
        <w:rPr>
          <w:rFonts w:ascii="Verdana" w:eastAsia="Calibri" w:hAnsi="Verdana" w:cs="Arial"/>
          <w:b/>
          <w:lang w:eastAsia="es-ES_tradnl"/>
        </w:rPr>
        <w:t>á</w:t>
      </w:r>
      <w:r w:rsidRPr="00725818">
        <w:rPr>
          <w:rFonts w:ascii="Verdana" w:eastAsia="Calibri" w:hAnsi="Verdana" w:cs="Arial"/>
          <w:b/>
          <w:lang w:eastAsia="es-ES_tradnl"/>
        </w:rPr>
        <w:t>s Fagua Su</w:t>
      </w:r>
      <w:r>
        <w:rPr>
          <w:rFonts w:ascii="Verdana" w:eastAsia="Calibri" w:hAnsi="Verdana" w:cs="Arial"/>
          <w:b/>
          <w:lang w:eastAsia="es-ES_tradnl"/>
        </w:rPr>
        <w:t>á</w:t>
      </w:r>
      <w:r w:rsidRPr="00725818">
        <w:rPr>
          <w:rFonts w:ascii="Verdana" w:eastAsia="Calibri" w:hAnsi="Verdana" w:cs="Arial"/>
          <w:b/>
          <w:lang w:eastAsia="es-ES_tradnl"/>
        </w:rPr>
        <w:t>rez</w:t>
      </w:r>
      <w:r>
        <w:rPr>
          <w:rFonts w:ascii="Verdana" w:eastAsia="Calibri" w:hAnsi="Verdana" w:cs="Arial"/>
          <w:b/>
          <w:lang w:eastAsia="es-ES_tradnl"/>
        </w:rPr>
        <w:t xml:space="preserve"> </w:t>
      </w:r>
      <w:r w:rsidRPr="00170316">
        <w:rPr>
          <w:rFonts w:ascii="Verdana" w:eastAsia="Calibri" w:hAnsi="Verdana" w:cs="Arial"/>
          <w:b/>
          <w:lang w:eastAsia="es-ES_tradnl"/>
        </w:rPr>
        <w:t xml:space="preserve"> </w:t>
      </w:r>
      <w:r w:rsidRPr="00184904">
        <w:rPr>
          <w:rFonts w:ascii="Verdana" w:eastAsia="Calibri" w:hAnsi="Verdana" w:cs="Arial"/>
          <w:b/>
          <w:lang w:eastAsia="es-ES_tradnl"/>
        </w:rPr>
        <w:t xml:space="preserve">  </w:t>
      </w:r>
    </w:p>
    <w:p w14:paraId="24DA0D82" w14:textId="77777777" w:rsidR="00066050" w:rsidRPr="00170316" w:rsidRDefault="00066050" w:rsidP="00066050">
      <w:pPr>
        <w:spacing w:after="0"/>
        <w:rPr>
          <w:rFonts w:ascii="Verdana" w:hAnsi="Verdana"/>
        </w:rPr>
      </w:pPr>
      <w:hyperlink r:id="rId11" w:history="1">
        <w:r w:rsidRPr="0036538E">
          <w:rPr>
            <w:rStyle w:val="Hipervnculo"/>
            <w:rFonts w:ascii="Verdana" w:hAnsi="Verdana"/>
          </w:rPr>
          <w:t>nfagua@shd.gov.co</w:t>
        </w:r>
      </w:hyperlink>
      <w:r>
        <w:rPr>
          <w:rFonts w:ascii="Verdana" w:hAnsi="Verdana"/>
        </w:rPr>
        <w:t xml:space="preserve">  </w:t>
      </w:r>
      <w:r w:rsidRPr="00170316">
        <w:rPr>
          <w:rFonts w:ascii="Verdana" w:hAnsi="Verdana"/>
        </w:rPr>
        <w:t xml:space="preserve">   </w:t>
      </w:r>
    </w:p>
    <w:p w14:paraId="5C44F616" w14:textId="77777777" w:rsidR="00066050" w:rsidRPr="00277E26" w:rsidRDefault="00066050" w:rsidP="00066050">
      <w:pPr>
        <w:spacing w:after="0"/>
        <w:rPr>
          <w:rFonts w:ascii="Verdana" w:eastAsia="Calibri" w:hAnsi="Verdana" w:cs="Arial"/>
          <w:lang w:val="es-ES" w:eastAsia="es-ES"/>
        </w:rPr>
      </w:pPr>
      <w:r w:rsidRPr="00F961F8">
        <w:rPr>
          <w:rFonts w:ascii="Verdana" w:eastAsia="Calibri" w:hAnsi="Verdana" w:cs="Arial"/>
          <w:lang w:val="es-ES" w:eastAsia="es-ES"/>
        </w:rPr>
        <w:t>Bogotá D.C.</w:t>
      </w:r>
      <w:r w:rsidRPr="00277E26">
        <w:rPr>
          <w:rFonts w:ascii="Verdana" w:eastAsia="Calibri" w:hAnsi="Verdana" w:cs="Arial"/>
          <w:lang w:val="es-ES" w:eastAsia="es-ES"/>
        </w:rPr>
        <w:t xml:space="preserve"> </w:t>
      </w:r>
    </w:p>
    <w:p w14:paraId="5CA19D3B" w14:textId="77777777" w:rsidR="00066050" w:rsidRPr="00277E26" w:rsidRDefault="00066050" w:rsidP="00066050">
      <w:pPr>
        <w:spacing w:after="0"/>
        <w:rPr>
          <w:rFonts w:ascii="Verdana" w:eastAsia="Calibri" w:hAnsi="Verdana" w:cs="Arial"/>
          <w:b/>
          <w:bCs/>
          <w:color w:val="000000"/>
          <w:lang w:val="es-ES_tradnl" w:eastAsia="es-ES_tradnl"/>
        </w:rPr>
      </w:pPr>
    </w:p>
    <w:p w14:paraId="3F19C836" w14:textId="77777777" w:rsidR="00066050" w:rsidRPr="00277E26" w:rsidRDefault="00066050" w:rsidP="00066050">
      <w:pPr>
        <w:spacing w:after="0"/>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66050" w:rsidRPr="00277E26" w14:paraId="6058D4AE" w14:textId="77777777" w:rsidTr="00A700CA">
        <w:trPr>
          <w:trHeight w:val="884"/>
        </w:trPr>
        <w:tc>
          <w:tcPr>
            <w:tcW w:w="2689" w:type="dxa"/>
          </w:tcPr>
          <w:p w14:paraId="5B22890C" w14:textId="77777777" w:rsidR="00066050" w:rsidRPr="00277E26" w:rsidRDefault="00066050" w:rsidP="00066050">
            <w:pPr>
              <w:jc w:val="both"/>
              <w:rPr>
                <w:rFonts w:ascii="Verdana" w:eastAsia="Calibri" w:hAnsi="Verdana" w:cs="Arial"/>
                <w:b/>
                <w:bCs/>
                <w:color w:val="7030A0"/>
                <w:lang w:val="es-ES_tradnl" w:eastAsia="es-ES_tradnl"/>
              </w:rPr>
            </w:pPr>
          </w:p>
        </w:tc>
        <w:tc>
          <w:tcPr>
            <w:tcW w:w="6100" w:type="dxa"/>
          </w:tcPr>
          <w:p w14:paraId="56F06B7F" w14:textId="1AC6C68C" w:rsidR="00066050" w:rsidRPr="00277E26" w:rsidRDefault="00066050" w:rsidP="00066050">
            <w:pPr>
              <w:jc w:val="both"/>
              <w:rPr>
                <w:rFonts w:ascii="Verdana" w:eastAsia="Calibri" w:hAnsi="Verdana" w:cs="Arial"/>
                <w:b/>
                <w:bCs/>
                <w:color w:val="7030A0"/>
                <w:lang w:val="es-ES" w:eastAsia="es-ES"/>
              </w:rPr>
            </w:pPr>
            <w:r w:rsidRPr="00277E26">
              <w:rPr>
                <w:rFonts w:ascii="Verdana" w:eastAsia="Calibri" w:hAnsi="Verdana" w:cs="Arial"/>
                <w:b/>
                <w:bCs/>
                <w:lang w:val="es-ES" w:eastAsia="es-ES"/>
              </w:rPr>
              <w:t xml:space="preserve">Concepto C – </w:t>
            </w:r>
            <w:r w:rsidR="00391038">
              <w:rPr>
                <w:rFonts w:ascii="Verdana" w:eastAsia="Calibri" w:hAnsi="Verdana" w:cs="Arial"/>
                <w:b/>
                <w:bCs/>
                <w:lang w:val="es-ES" w:eastAsia="es-ES"/>
              </w:rPr>
              <w:t>560</w:t>
            </w:r>
            <w:r w:rsidRPr="00277E26">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066050" w:rsidRPr="00277E26" w14:paraId="59EBB2D8" w14:textId="77777777" w:rsidTr="00A700CA">
        <w:trPr>
          <w:trHeight w:val="884"/>
        </w:trPr>
        <w:tc>
          <w:tcPr>
            <w:tcW w:w="2689" w:type="dxa"/>
          </w:tcPr>
          <w:p w14:paraId="4AE4067B" w14:textId="77777777" w:rsidR="00066050" w:rsidRPr="00277E26" w:rsidRDefault="00066050" w:rsidP="00066050">
            <w:pPr>
              <w:jc w:val="both"/>
              <w:rPr>
                <w:rFonts w:ascii="Verdana" w:eastAsia="Calibri" w:hAnsi="Verdana" w:cs="Arial"/>
                <w:color w:val="000000"/>
                <w:lang w:val="es-ES_tradnl" w:eastAsia="es-ES_tradnl"/>
              </w:rPr>
            </w:pPr>
            <w:r w:rsidRPr="00277E26">
              <w:rPr>
                <w:rFonts w:ascii="Verdana" w:eastAsia="Calibri" w:hAnsi="Verdana" w:cs="Arial"/>
                <w:b/>
                <w:color w:val="000000"/>
                <w:lang w:val="es-ES_tradnl" w:eastAsia="es-ES_tradnl"/>
              </w:rPr>
              <w:t>Temas:</w:t>
            </w:r>
            <w:r w:rsidRPr="00277E26">
              <w:rPr>
                <w:rFonts w:ascii="Verdana" w:eastAsia="Calibri" w:hAnsi="Verdana" w:cs="Arial"/>
                <w:color w:val="000000"/>
                <w:lang w:val="es-ES_tradnl" w:eastAsia="es-ES_tradnl"/>
              </w:rPr>
              <w:t xml:space="preserve">                   </w:t>
            </w:r>
          </w:p>
        </w:tc>
        <w:tc>
          <w:tcPr>
            <w:tcW w:w="6100" w:type="dxa"/>
          </w:tcPr>
          <w:p w14:paraId="28D96C69" w14:textId="77777777" w:rsidR="00066050" w:rsidRPr="00277E26" w:rsidRDefault="00066050" w:rsidP="00066050">
            <w:pPr>
              <w:spacing w:line="276" w:lineRule="auto"/>
              <w:jc w:val="both"/>
              <w:rPr>
                <w:rFonts w:ascii="Verdana" w:eastAsia="Calibri" w:hAnsi="Verdana" w:cs="Arial"/>
                <w:lang w:val="es-ES" w:eastAsia="es-ES"/>
              </w:rPr>
            </w:pPr>
            <w:r w:rsidRPr="009D2A4A">
              <w:rPr>
                <w:rFonts w:ascii="Verdana" w:eastAsia="Calibri" w:hAnsi="Verdana" w:cs="Arial"/>
                <w:lang w:val="es-ES" w:eastAsia="es-ES"/>
              </w:rPr>
              <w:t>PRINCIPIO DE SELECCIÓN OBJETIVA – Fundamento – Alcance</w:t>
            </w:r>
            <w:r>
              <w:rPr>
                <w:rFonts w:ascii="Verdana" w:eastAsia="Calibri" w:hAnsi="Verdana" w:cs="Arial"/>
                <w:lang w:val="es-ES" w:eastAsia="es-ES"/>
              </w:rPr>
              <w:t xml:space="preserve"> / </w:t>
            </w:r>
            <w:r w:rsidRPr="009D2A4A">
              <w:rPr>
                <w:rFonts w:ascii="Verdana" w:eastAsia="Calibri" w:hAnsi="Verdana" w:cs="Arial"/>
                <w:lang w:val="es-ES" w:eastAsia="es-ES"/>
              </w:rPr>
              <w:t>SUBSANABILIDAD – Concepto de unificación – Aplicación – Improcedencia – Circunstancias posteriores – Cierre del proceso</w:t>
            </w:r>
            <w:r>
              <w:rPr>
                <w:rFonts w:ascii="Verdana" w:eastAsia="Calibri" w:hAnsi="Verdana" w:cs="Arial"/>
                <w:lang w:val="es-ES" w:eastAsia="es-ES"/>
              </w:rPr>
              <w:t xml:space="preserve"> / </w:t>
            </w:r>
            <w:r w:rsidRPr="009D2A4A">
              <w:rPr>
                <w:rFonts w:ascii="Verdana" w:eastAsia="Calibri" w:hAnsi="Verdana" w:cs="Arial"/>
                <w:lang w:val="es-ES" w:eastAsia="es-ES"/>
              </w:rPr>
              <w:t xml:space="preserve">SUBSANABILIDAD – Criterios de desempate - Imposibilidad  </w:t>
            </w:r>
            <w:r w:rsidRPr="00082941">
              <w:rPr>
                <w:rFonts w:ascii="Verdana" w:eastAsia="Calibri" w:hAnsi="Verdana" w:cs="Arial"/>
                <w:lang w:val="es-ES" w:eastAsia="es-ES"/>
              </w:rPr>
              <w:t xml:space="preserve">  </w:t>
            </w:r>
          </w:p>
          <w:p w14:paraId="3820B5D0" w14:textId="77777777" w:rsidR="00066050" w:rsidRPr="00277E26" w:rsidRDefault="00066050" w:rsidP="00066050">
            <w:pPr>
              <w:spacing w:line="276" w:lineRule="auto"/>
              <w:jc w:val="both"/>
              <w:rPr>
                <w:rFonts w:ascii="Verdana" w:eastAsia="Calibri" w:hAnsi="Verdana" w:cs="Arial"/>
                <w:lang w:val="es-ES" w:eastAsia="es-ES"/>
              </w:rPr>
            </w:pPr>
            <w:r w:rsidRPr="00277E26">
              <w:rPr>
                <w:rFonts w:ascii="Verdana" w:eastAsia="Calibri" w:hAnsi="Verdana" w:cs="Arial"/>
                <w:lang w:val="es-ES" w:eastAsia="es-ES"/>
              </w:rPr>
              <w:t xml:space="preserve">  </w:t>
            </w:r>
          </w:p>
        </w:tc>
      </w:tr>
      <w:tr w:rsidR="00066050" w:rsidRPr="00277E26" w14:paraId="48DFCEB1" w14:textId="77777777" w:rsidTr="00A700CA">
        <w:tc>
          <w:tcPr>
            <w:tcW w:w="2689" w:type="dxa"/>
          </w:tcPr>
          <w:p w14:paraId="4238F0D8" w14:textId="77777777" w:rsidR="00066050" w:rsidRPr="00277E26" w:rsidRDefault="00066050" w:rsidP="00066050">
            <w:pPr>
              <w:jc w:val="both"/>
              <w:rPr>
                <w:rFonts w:ascii="Verdana" w:eastAsia="Calibri" w:hAnsi="Verdana" w:cs="Arial"/>
                <w:b/>
                <w:lang w:val="es-ES_tradnl" w:eastAsia="es-ES_tradnl"/>
              </w:rPr>
            </w:pPr>
            <w:r w:rsidRPr="00277E26">
              <w:rPr>
                <w:rFonts w:ascii="Verdana" w:eastAsia="Calibri" w:hAnsi="Verdana" w:cs="Arial"/>
                <w:b/>
                <w:lang w:val="es-ES_tradnl" w:eastAsia="es-ES_tradnl"/>
              </w:rPr>
              <w:t>Radicación:</w:t>
            </w:r>
            <w:r w:rsidRPr="00277E26">
              <w:rPr>
                <w:rFonts w:ascii="Verdana" w:eastAsia="Calibri" w:hAnsi="Verdana" w:cs="Arial"/>
                <w:lang w:val="es-ES_tradnl" w:eastAsia="es-ES_tradnl"/>
              </w:rPr>
              <w:t xml:space="preserve">               </w:t>
            </w:r>
          </w:p>
        </w:tc>
        <w:tc>
          <w:tcPr>
            <w:tcW w:w="6100" w:type="dxa"/>
          </w:tcPr>
          <w:p w14:paraId="1D7C6949" w14:textId="77777777" w:rsidR="00066050" w:rsidRPr="00277E26" w:rsidRDefault="00066050" w:rsidP="00066050">
            <w:pPr>
              <w:jc w:val="both"/>
              <w:rPr>
                <w:rFonts w:ascii="Verdana" w:eastAsia="Calibri" w:hAnsi="Verdana" w:cs="Arial"/>
                <w:lang w:eastAsia="es-ES_tradnl"/>
              </w:rPr>
            </w:pPr>
            <w:r w:rsidRPr="00277E26">
              <w:rPr>
                <w:rFonts w:ascii="Verdana" w:eastAsia="Calibri" w:hAnsi="Verdana" w:cs="Arial"/>
                <w:lang w:val="es-ES_tradnl" w:eastAsia="es-ES_tradnl"/>
              </w:rPr>
              <w:t xml:space="preserve">Respuesta a la consulta con radicado No. </w:t>
            </w:r>
            <w:r w:rsidRPr="00F644E6">
              <w:rPr>
                <w:rFonts w:ascii="Verdana" w:eastAsia="Calibri" w:hAnsi="Verdana" w:cs="Arial"/>
                <w:lang w:val="es-ES_tradnl" w:eastAsia="es-ES_tradnl"/>
              </w:rPr>
              <w:t>P20250508004393</w:t>
            </w:r>
            <w:r w:rsidRPr="00534CFC">
              <w:rPr>
                <w:rFonts w:ascii="Verdana" w:eastAsia="Calibri" w:hAnsi="Verdana" w:cs="Arial"/>
                <w:lang w:val="es-ES_tradnl" w:eastAsia="es-ES_tradnl"/>
              </w:rPr>
              <w:t xml:space="preserve"> </w:t>
            </w:r>
            <w:r w:rsidRPr="00277E26">
              <w:rPr>
                <w:rFonts w:ascii="Verdana" w:eastAsia="Calibri" w:hAnsi="Verdana" w:cs="Arial"/>
                <w:lang w:val="es-ES_tradnl" w:eastAsia="es-ES_tradnl"/>
              </w:rPr>
              <w:t xml:space="preserve">                                    </w:t>
            </w:r>
          </w:p>
        </w:tc>
      </w:tr>
    </w:tbl>
    <w:p w14:paraId="4D09267B" w14:textId="77777777" w:rsidR="00066050" w:rsidRPr="00277E26" w:rsidRDefault="00066050" w:rsidP="00066050">
      <w:pPr>
        <w:spacing w:after="0"/>
        <w:jc w:val="both"/>
        <w:rPr>
          <w:rFonts w:ascii="Verdana" w:eastAsia="Calibri" w:hAnsi="Verdana" w:cs="Arial"/>
          <w:color w:val="000000"/>
          <w:lang w:val="es-ES_tradnl" w:eastAsia="es-ES_tradnl"/>
        </w:rPr>
      </w:pPr>
    </w:p>
    <w:p w14:paraId="73160FC7" w14:textId="77777777" w:rsidR="00066050" w:rsidRPr="00277E26" w:rsidRDefault="00066050" w:rsidP="00066050">
      <w:pPr>
        <w:spacing w:after="0"/>
        <w:jc w:val="both"/>
        <w:rPr>
          <w:rFonts w:ascii="Verdana" w:eastAsia="Calibri" w:hAnsi="Verdana" w:cs="Arial"/>
          <w:color w:val="000000"/>
          <w:lang w:val="es-ES_tradnl" w:eastAsia="es-ES_tradnl"/>
        </w:rPr>
      </w:pPr>
    </w:p>
    <w:p w14:paraId="30682FFE" w14:textId="77777777" w:rsidR="00066050" w:rsidRPr="00277E26" w:rsidRDefault="00066050" w:rsidP="00066050">
      <w:pPr>
        <w:spacing w:after="0" w:line="276" w:lineRule="auto"/>
        <w:jc w:val="both"/>
        <w:rPr>
          <w:rFonts w:ascii="Verdana" w:eastAsia="Calibri" w:hAnsi="Verdana" w:cs="Arial"/>
          <w:lang w:val="es-ES" w:eastAsia="es-ES"/>
        </w:rPr>
      </w:pPr>
      <w:r w:rsidRPr="00277E26">
        <w:rPr>
          <w:rFonts w:ascii="Verdana" w:eastAsia="Calibri" w:hAnsi="Verdana" w:cs="Arial"/>
          <w:lang w:val="es-ES" w:eastAsia="es-ES"/>
        </w:rPr>
        <w:t>Estimad</w:t>
      </w:r>
      <w:r>
        <w:rPr>
          <w:rFonts w:ascii="Verdana" w:eastAsia="Calibri" w:hAnsi="Verdana" w:cs="Arial"/>
          <w:lang w:val="es-ES" w:eastAsia="es-ES"/>
        </w:rPr>
        <w:t>o</w:t>
      </w:r>
      <w:r w:rsidRPr="00277E26">
        <w:rPr>
          <w:rFonts w:ascii="Verdana" w:eastAsia="Calibri" w:hAnsi="Verdana" w:cs="Arial"/>
          <w:lang w:val="es-ES" w:eastAsia="es-ES"/>
        </w:rPr>
        <w:t xml:space="preserve"> señor </w:t>
      </w:r>
      <w:r w:rsidRPr="00725818">
        <w:rPr>
          <w:rFonts w:ascii="Verdana" w:eastAsia="Calibri" w:hAnsi="Verdana" w:cs="Arial"/>
          <w:lang w:val="es-ES" w:eastAsia="es-ES"/>
        </w:rPr>
        <w:t>Fagua Suárez</w:t>
      </w:r>
      <w:r w:rsidRPr="00277E26">
        <w:rPr>
          <w:rFonts w:ascii="Verdana" w:eastAsia="Calibri" w:hAnsi="Verdana" w:cs="Arial"/>
          <w:lang w:val="es-ES" w:eastAsia="es-ES"/>
        </w:rPr>
        <w:t xml:space="preserve">: </w:t>
      </w:r>
    </w:p>
    <w:p w14:paraId="2805EFED" w14:textId="77777777" w:rsidR="00066050" w:rsidRPr="00277E26" w:rsidRDefault="00066050" w:rsidP="00066050">
      <w:pPr>
        <w:tabs>
          <w:tab w:val="left" w:pos="3768"/>
        </w:tabs>
        <w:spacing w:after="0" w:line="276" w:lineRule="auto"/>
        <w:jc w:val="both"/>
        <w:rPr>
          <w:rFonts w:ascii="Verdana" w:eastAsia="Calibri" w:hAnsi="Verdana" w:cs="Arial"/>
          <w:color w:val="000000" w:themeColor="text1"/>
          <w:lang w:val="es-ES" w:eastAsia="es-ES"/>
        </w:rPr>
      </w:pPr>
      <w:r w:rsidRPr="00277E26">
        <w:rPr>
          <w:rFonts w:ascii="Verdana" w:eastAsia="Calibri" w:hAnsi="Verdana" w:cs="Arial"/>
          <w:color w:val="000000" w:themeColor="text1"/>
          <w:lang w:val="es-ES" w:eastAsia="es-ES"/>
        </w:rPr>
        <w:tab/>
      </w:r>
    </w:p>
    <w:p w14:paraId="06D229F9" w14:textId="77777777" w:rsidR="00066050" w:rsidRPr="00277E26" w:rsidRDefault="00066050" w:rsidP="00066050">
      <w:pPr>
        <w:spacing w:after="0" w:line="276" w:lineRule="auto"/>
        <w:jc w:val="both"/>
        <w:rPr>
          <w:rFonts w:ascii="Verdana" w:eastAsia="Calibri" w:hAnsi="Verdana" w:cs="Arial"/>
          <w:color w:val="7030A0"/>
          <w:lang w:val="es-ES" w:eastAsia="es-ES"/>
        </w:rPr>
      </w:pPr>
      <w:r w:rsidRPr="00277E26">
        <w:rPr>
          <w:rFonts w:ascii="Verdana" w:eastAsia="Calibri" w:hAnsi="Verdana" w:cs="Arial"/>
          <w:color w:val="000000" w:themeColor="text1"/>
          <w:lang w:val="es-ES" w:eastAsia="es-ES"/>
        </w:rPr>
        <w:t>En ejercicio de la competencia otorgada por los artículos 3, numeral 5º, y 11, numeral 8º, del Decreto Ley 4170 de 2011,</w:t>
      </w:r>
      <w:r w:rsidRPr="00277E26">
        <w:rPr>
          <w:rFonts w:ascii="Verdana" w:eastAsia="Arial MT" w:hAnsi="Verdana" w:cs="Arial MT"/>
          <w:lang w:val="es-ES" w:eastAsia="es-ES"/>
        </w:rPr>
        <w:t xml:space="preserve"> </w:t>
      </w:r>
      <w:r w:rsidRPr="00277E26">
        <w:rPr>
          <w:rFonts w:ascii="Verdana" w:hAnsi="Verdana" w:cs="Arial"/>
        </w:rPr>
        <w:t xml:space="preserve">así como lo establecido en el artículo 4 de la Resolución 1707 de 2018 expedida por esta Entidad, </w:t>
      </w:r>
      <w:r w:rsidRPr="00277E26">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277E26">
        <w:rPr>
          <w:rFonts w:ascii="Verdana" w:eastAsia="Calibri" w:hAnsi="Verdana" w:cs="Arial"/>
          <w:lang w:val="es-ES" w:eastAsia="es-ES"/>
        </w:rPr>
        <w:t xml:space="preserve">fecha </w:t>
      </w:r>
      <w:r>
        <w:rPr>
          <w:rFonts w:ascii="Verdana" w:eastAsia="Calibri" w:hAnsi="Verdana" w:cs="Arial"/>
          <w:lang w:val="es-ES" w:eastAsia="es-ES"/>
        </w:rPr>
        <w:t>8 de mayo de 2025</w:t>
      </w:r>
      <w:r w:rsidRPr="00277E26">
        <w:rPr>
          <w:rFonts w:ascii="Verdana" w:eastAsia="Calibri" w:hAnsi="Verdana" w:cs="Arial"/>
          <w:lang w:val="es-ES" w:eastAsia="es-ES"/>
        </w:rPr>
        <w:t xml:space="preserve">, en la cual </w:t>
      </w:r>
      <w:r>
        <w:rPr>
          <w:rFonts w:ascii="Verdana" w:eastAsia="Calibri" w:hAnsi="Verdana" w:cs="Arial"/>
          <w:lang w:val="es-ES" w:eastAsia="es-ES"/>
        </w:rPr>
        <w:t xml:space="preserve">–de cara a lo manifestado por la Subsección B de la Sección Tercera del Consejo de Estado en Sentencia del 2 de agosto de 2024, rad. 70597, con ponencia del </w:t>
      </w:r>
      <w:proofErr w:type="gramStart"/>
      <w:r>
        <w:rPr>
          <w:rFonts w:ascii="Verdana" w:eastAsia="Calibri" w:hAnsi="Verdana" w:cs="Arial"/>
          <w:lang w:val="es-ES" w:eastAsia="es-ES"/>
        </w:rPr>
        <w:t>Consejero</w:t>
      </w:r>
      <w:proofErr w:type="gramEnd"/>
      <w:r>
        <w:rPr>
          <w:rFonts w:ascii="Verdana" w:eastAsia="Calibri" w:hAnsi="Verdana" w:cs="Arial"/>
          <w:lang w:val="es-ES" w:eastAsia="es-ES"/>
        </w:rPr>
        <w:t xml:space="preserve"> </w:t>
      </w:r>
      <w:r w:rsidRPr="000802BE">
        <w:rPr>
          <w:rFonts w:ascii="Verdana" w:eastAsia="Calibri" w:hAnsi="Verdana" w:cs="Arial"/>
          <w:lang w:val="es-ES" w:eastAsia="es-ES"/>
        </w:rPr>
        <w:t>Fredy Ibarra Martínez</w:t>
      </w:r>
      <w:r>
        <w:rPr>
          <w:rFonts w:ascii="Verdana" w:eastAsia="Calibri" w:hAnsi="Verdana" w:cs="Arial"/>
          <w:lang w:val="es-ES" w:eastAsia="es-ES"/>
        </w:rPr>
        <w:t>–</w:t>
      </w:r>
      <w:r w:rsidRPr="000802BE">
        <w:rPr>
          <w:rFonts w:ascii="Verdana" w:eastAsia="Calibri" w:hAnsi="Verdana" w:cs="Arial"/>
          <w:lang w:val="es-ES" w:eastAsia="es-ES"/>
        </w:rPr>
        <w:t xml:space="preserve"> </w:t>
      </w:r>
      <w:r>
        <w:rPr>
          <w:rFonts w:ascii="Verdana" w:eastAsia="Calibri" w:hAnsi="Verdana" w:cs="Arial"/>
          <w:lang w:val="es-ES" w:eastAsia="es-ES"/>
        </w:rPr>
        <w:t>manifiesta lo siguiente:</w:t>
      </w:r>
      <w:r w:rsidRPr="00277E26">
        <w:rPr>
          <w:rFonts w:ascii="Verdana" w:eastAsia="Calibri" w:hAnsi="Verdana" w:cs="Arial"/>
          <w:lang w:val="es-ES" w:eastAsia="es-ES"/>
        </w:rPr>
        <w:t xml:space="preserve"> </w:t>
      </w:r>
    </w:p>
    <w:p w14:paraId="73E8C146" w14:textId="77777777" w:rsidR="00066050" w:rsidRPr="00277E26" w:rsidRDefault="00066050" w:rsidP="00066050">
      <w:pPr>
        <w:pStyle w:val="Prrafodelista"/>
        <w:tabs>
          <w:tab w:val="left" w:pos="142"/>
          <w:tab w:val="left" w:pos="284"/>
        </w:tabs>
        <w:spacing w:after="0" w:line="276" w:lineRule="auto"/>
        <w:ind w:left="0"/>
        <w:jc w:val="both"/>
        <w:rPr>
          <w:rFonts w:ascii="Verdana" w:eastAsia="Century Gothic" w:hAnsi="Verdana" w:cs="Century Gothic"/>
          <w:b/>
          <w:bCs/>
        </w:rPr>
      </w:pPr>
    </w:p>
    <w:p w14:paraId="0279B17C" w14:textId="77777777" w:rsidR="00066050" w:rsidRPr="00F961F8" w:rsidRDefault="00066050" w:rsidP="00066050">
      <w:pPr>
        <w:spacing w:after="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Pr>
          <w:rFonts w:ascii="Verdana" w:eastAsia="Century Gothic" w:hAnsi="Verdana" w:cs="Century Gothic"/>
          <w:sz w:val="21"/>
          <w:szCs w:val="21"/>
          <w:lang w:val="es-ES"/>
        </w:rPr>
        <w:t xml:space="preserve">[…] </w:t>
      </w:r>
      <w:r w:rsidRPr="000802BE">
        <w:rPr>
          <w:rFonts w:ascii="Verdana" w:eastAsia="Century Gothic" w:hAnsi="Verdana" w:cs="Century Gothic"/>
          <w:sz w:val="21"/>
          <w:szCs w:val="21"/>
          <w:lang w:val="es-ES"/>
        </w:rPr>
        <w:t xml:space="preserve">se solicita que por favor se revisen los argumentos esgrimidos por la alta corporación a efectos de establecer la procedencia de la </w:t>
      </w:r>
      <w:r w:rsidRPr="000802BE">
        <w:rPr>
          <w:rFonts w:ascii="Verdana" w:eastAsia="Century Gothic" w:hAnsi="Verdana" w:cs="Century Gothic"/>
          <w:sz w:val="21"/>
          <w:szCs w:val="21"/>
          <w:lang w:val="es-ES"/>
        </w:rPr>
        <w:lastRenderedPageBreak/>
        <w:t>subsanación de los documentos por medio de los cuales se acreditan los criterios de desempate</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119A8D6F" w14:textId="77777777" w:rsidR="00066050" w:rsidRPr="00277E26" w:rsidRDefault="00066050" w:rsidP="00066050">
      <w:pPr>
        <w:spacing w:after="0" w:line="276" w:lineRule="auto"/>
        <w:jc w:val="both"/>
        <w:rPr>
          <w:rFonts w:ascii="Verdana" w:eastAsia="Calibri" w:hAnsi="Verdana" w:cs="Arial"/>
          <w:color w:val="000000"/>
          <w:lang w:val="es-ES" w:eastAsia="es-ES"/>
        </w:rPr>
      </w:pPr>
    </w:p>
    <w:p w14:paraId="71309552" w14:textId="77777777" w:rsidR="00066050" w:rsidRPr="00277E26" w:rsidRDefault="00066050" w:rsidP="00066050">
      <w:pPr>
        <w:spacing w:after="12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77E26">
        <w:rPr>
          <w:rFonts w:ascii="Verdana" w:eastAsia="Calibri" w:hAnsi="Verdana" w:cs="Arial"/>
          <w:color w:val="000000"/>
          <w:lang w:val="es-ES_tradnl" w:eastAsia="es-ES_tradnl"/>
        </w:rPr>
        <w:tab/>
      </w:r>
    </w:p>
    <w:p w14:paraId="6FDD4BE5" w14:textId="77777777" w:rsidR="00066050" w:rsidRPr="00277E26" w:rsidRDefault="00066050" w:rsidP="00066050">
      <w:pPr>
        <w:spacing w:after="0" w:line="276" w:lineRule="auto"/>
        <w:ind w:firstLine="709"/>
        <w:jc w:val="both"/>
        <w:rPr>
          <w:rFonts w:ascii="Verdana" w:eastAsia="Calibri" w:hAnsi="Verdana" w:cs="Arial"/>
          <w:color w:val="000000"/>
          <w:lang w:val="es-ES" w:eastAsia="es-ES"/>
        </w:rPr>
      </w:pPr>
      <w:r w:rsidRPr="00277E26">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la hayan motivado, pero haciendo unas consideraciones sobre las normas generales relacionadas con el</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problema</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jurídico</w:t>
      </w:r>
      <w:r w:rsidRPr="00277E26">
        <w:rPr>
          <w:rFonts w:ascii="Verdana" w:eastAsia="Calibri" w:hAnsi="Verdana" w:cs="Arial"/>
          <w:color w:val="7030A0"/>
          <w:lang w:val="es-ES" w:eastAsia="es-ES"/>
        </w:rPr>
        <w:t xml:space="preserve"> </w:t>
      </w:r>
      <w:r w:rsidRPr="00277E26">
        <w:rPr>
          <w:rFonts w:ascii="Verdana" w:eastAsia="Calibri" w:hAnsi="Verdana" w:cs="Arial"/>
          <w:color w:val="000000"/>
          <w:lang w:val="es-ES" w:eastAsia="es-ES"/>
        </w:rPr>
        <w:t xml:space="preserve">de su consulta. </w:t>
      </w:r>
    </w:p>
    <w:p w14:paraId="17B5799E" w14:textId="77777777" w:rsidR="00066050" w:rsidRPr="00277E26" w:rsidRDefault="00066050" w:rsidP="00066050">
      <w:pPr>
        <w:spacing w:after="0" w:line="276" w:lineRule="auto"/>
        <w:ind w:firstLine="709"/>
        <w:jc w:val="both"/>
        <w:rPr>
          <w:rFonts w:ascii="Verdana" w:eastAsia="Calibri" w:hAnsi="Verdana" w:cs="Arial"/>
          <w:color w:val="000000"/>
          <w:lang w:val="es-ES" w:eastAsia="es-ES"/>
        </w:rPr>
      </w:pPr>
    </w:p>
    <w:p w14:paraId="28076BC1" w14:textId="77777777" w:rsidR="00066050" w:rsidRPr="00277E26" w:rsidRDefault="00066050" w:rsidP="0006605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277E26">
        <w:rPr>
          <w:rFonts w:ascii="Verdana" w:eastAsia="Century Gothic" w:hAnsi="Verdana" w:cs="Century Gothic"/>
          <w:b/>
          <w:bCs/>
        </w:rPr>
        <w:t>Problema planteado:</w:t>
      </w:r>
    </w:p>
    <w:p w14:paraId="3FBD9E49" w14:textId="77777777" w:rsidR="00066050" w:rsidRPr="00277E26" w:rsidRDefault="00066050" w:rsidP="00066050">
      <w:pPr>
        <w:tabs>
          <w:tab w:val="left" w:pos="426"/>
        </w:tabs>
        <w:spacing w:after="0" w:line="276" w:lineRule="auto"/>
        <w:jc w:val="both"/>
        <w:rPr>
          <w:rFonts w:ascii="Verdana" w:eastAsia="Century Gothic" w:hAnsi="Verdana" w:cs="Century Gothic"/>
          <w:lang w:val="es-ES"/>
        </w:rPr>
      </w:pPr>
    </w:p>
    <w:p w14:paraId="686E21D2" w14:textId="77777777" w:rsidR="00066050" w:rsidRPr="00277E26" w:rsidRDefault="00066050" w:rsidP="00066050">
      <w:pPr>
        <w:spacing w:after="0" w:line="276" w:lineRule="auto"/>
        <w:jc w:val="both"/>
        <w:rPr>
          <w:rFonts w:ascii="Verdana" w:eastAsia="Century Gothic" w:hAnsi="Verdana" w:cs="Century Gothic"/>
        </w:rPr>
      </w:pPr>
      <w:r w:rsidRPr="00277E26">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los factores de desempate del artículo 35 de la Ley de Emprendimiento son subsanables?</w:t>
      </w:r>
      <w:r w:rsidRPr="00277E26">
        <w:rPr>
          <w:rFonts w:ascii="Verdana" w:eastAsia="Century Gothic" w:hAnsi="Verdana" w:cs="Century Gothic"/>
        </w:rPr>
        <w:t xml:space="preserve"> </w:t>
      </w:r>
      <w:r w:rsidRPr="00277E26">
        <w:rPr>
          <w:rFonts w:ascii="Verdana" w:eastAsia="Century Gothic" w:hAnsi="Verdana" w:cs="Century Gothic"/>
          <w:color w:val="7030A0"/>
        </w:rPr>
        <w:t xml:space="preserve"> </w:t>
      </w:r>
    </w:p>
    <w:p w14:paraId="6414642E" w14:textId="77777777" w:rsidR="00066050" w:rsidRPr="00277E26" w:rsidRDefault="00066050" w:rsidP="00066050">
      <w:pPr>
        <w:spacing w:after="0" w:line="276" w:lineRule="auto"/>
        <w:jc w:val="both"/>
        <w:rPr>
          <w:rFonts w:ascii="Verdana" w:eastAsia="Calibri" w:hAnsi="Verdana" w:cs="Arial"/>
          <w:color w:val="7030A0"/>
        </w:rPr>
      </w:pPr>
    </w:p>
    <w:p w14:paraId="7D543251" w14:textId="77777777" w:rsidR="00066050" w:rsidRPr="00277E26" w:rsidRDefault="00066050" w:rsidP="000660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Respuesta:</w:t>
      </w:r>
    </w:p>
    <w:p w14:paraId="221B4610" w14:textId="77777777" w:rsidR="00066050" w:rsidRPr="00277E26" w:rsidRDefault="00066050" w:rsidP="0006605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66050" w:rsidRPr="00593A5F" w14:paraId="41059D71" w14:textId="77777777" w:rsidTr="00A700CA">
        <w:trPr>
          <w:jc w:val="center"/>
        </w:trPr>
        <w:tc>
          <w:tcPr>
            <w:tcW w:w="8828" w:type="dxa"/>
            <w:shd w:val="clear" w:color="auto" w:fill="auto"/>
          </w:tcPr>
          <w:p w14:paraId="0B5B983A" w14:textId="77777777" w:rsidR="00066050" w:rsidRPr="00A355E2" w:rsidRDefault="00066050" w:rsidP="00A700CA">
            <w:pPr>
              <w:spacing w:after="120" w:line="276" w:lineRule="auto"/>
              <w:jc w:val="both"/>
              <w:rPr>
                <w:rFonts w:ascii="Verdana" w:hAnsi="Verdana" w:cs="Arial"/>
                <w:color w:val="000000"/>
                <w:lang w:val="es-ES_tradnl" w:eastAsia="es-ES_tradnl"/>
              </w:rPr>
            </w:pPr>
            <w:bookmarkStart w:id="1" w:name="_Hlk171694685"/>
            <w:r>
              <w:rPr>
                <w:rFonts w:ascii="Verdana" w:hAnsi="Verdana" w:cs="Arial"/>
                <w:color w:val="000000"/>
                <w:lang w:val="es-ES_tradnl" w:eastAsia="es-ES_tradnl"/>
              </w:rPr>
              <w:t>Conforme a la interpretación de las normas generales del sistema de compras públicas, a</w:t>
            </w:r>
            <w:r w:rsidRPr="00A355E2">
              <w:rPr>
                <w:rFonts w:ascii="Verdana" w:hAnsi="Verdana" w:cs="Arial"/>
                <w:color w:val="000000"/>
                <w:lang w:val="es-ES_tradnl" w:eastAsia="es-ES_tradnl"/>
              </w:rPr>
              <w:t>nalizada la regla del parágrafo primero del artículo 5 de la Ley 1150 de 2007, los criterios de desempate afectan la asignación de puntaje.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w:t>
            </w:r>
          </w:p>
          <w:p w14:paraId="53EB9653" w14:textId="77777777" w:rsidR="00066050" w:rsidRDefault="00066050" w:rsidP="00A700CA">
            <w:pPr>
              <w:spacing w:after="120" w:line="276" w:lineRule="auto"/>
              <w:ind w:firstLine="737"/>
              <w:jc w:val="both"/>
              <w:rPr>
                <w:rFonts w:ascii="Verdana" w:hAnsi="Verdana" w:cs="Arial"/>
                <w:color w:val="000000"/>
                <w:lang w:val="es-ES" w:eastAsia="es-ES"/>
              </w:rPr>
            </w:pPr>
            <w:r w:rsidRPr="214B87FE">
              <w:rPr>
                <w:rFonts w:ascii="Verdana" w:hAnsi="Verdana" w:cs="Arial"/>
                <w:color w:val="000000" w:themeColor="text1"/>
                <w:lang w:val="es-ES" w:eastAsia="es-ES"/>
              </w:rPr>
              <w:lastRenderedPageBreak/>
              <w:t>Por tanto, dado que los factores de desempate influyen en la ponderación de las ofertas presentadas, la acreditación de las causales previstas en el artículo 35 de la Ley 2069 de 2020 es insubsanable, pues no son criterios puramente formales de las propuestas ni requisitos para la verificación de las condiciones habilitantes. Teniendo esto en cuenta, dado que no existe oportunidad posterior, la documentación relacionada con los factores de desempate debe entregarse con la oferta de forma completa e integra, antes del cierre del proceso de selección.</w:t>
            </w:r>
          </w:p>
          <w:p w14:paraId="0FF2E345" w14:textId="77777777" w:rsidR="00066050" w:rsidRPr="00A355E2" w:rsidRDefault="00066050" w:rsidP="00A700CA">
            <w:pPr>
              <w:spacing w:after="120" w:line="276" w:lineRule="auto"/>
              <w:ind w:firstLine="737"/>
              <w:jc w:val="both"/>
              <w:rPr>
                <w:rFonts w:ascii="Verdana" w:eastAsia="Calibri" w:hAnsi="Verdana" w:cs="Arial"/>
                <w:lang w:val="es-ES" w:eastAsia="es-ES"/>
              </w:rPr>
            </w:pPr>
            <w:r w:rsidRPr="00A355E2">
              <w:rPr>
                <w:rFonts w:ascii="Verdana" w:eastAsia="Calibri" w:hAnsi="Verdana" w:cs="Arial"/>
                <w:lang w:val="es-ES" w:eastAsia="es-ES"/>
              </w:rPr>
              <w:t xml:space="preserve">En contraste, la Subsección B de la Sección Tercera del Consejo de Estado en Sentencia del 2 de agosto de 2024, rad. 70597, con ponencia del </w:t>
            </w:r>
            <w:proofErr w:type="gramStart"/>
            <w:r w:rsidRPr="00A355E2">
              <w:rPr>
                <w:rFonts w:ascii="Verdana" w:eastAsia="Calibri" w:hAnsi="Verdana" w:cs="Arial"/>
                <w:lang w:val="es-ES" w:eastAsia="es-ES"/>
              </w:rPr>
              <w:t>Consejero</w:t>
            </w:r>
            <w:proofErr w:type="gramEnd"/>
            <w:r w:rsidRPr="00A355E2">
              <w:rPr>
                <w:rFonts w:ascii="Verdana" w:eastAsia="Calibri" w:hAnsi="Verdana" w:cs="Arial"/>
                <w:lang w:val="es-ES" w:eastAsia="es-ES"/>
              </w:rPr>
              <w:t xml:space="preserve"> Fredy Ibarra Martínez, considera que los factores de desempate son subsanables, pues los equipara con los criterios habilitantes al no otorgar puntaje</w:t>
            </w:r>
            <w:r>
              <w:rPr>
                <w:rFonts w:ascii="Verdana" w:eastAsia="Calibri" w:hAnsi="Verdana" w:cs="Arial"/>
                <w:lang w:val="es-ES" w:eastAsia="es-ES"/>
              </w:rPr>
              <w:t>. Sin embargo, esta</w:t>
            </w:r>
            <w:r w:rsidRPr="00A355E2">
              <w:rPr>
                <w:rFonts w:ascii="Verdana" w:eastAsia="Calibri" w:hAnsi="Verdana" w:cs="Arial"/>
                <w:lang w:val="es-ES" w:eastAsia="es-ES"/>
              </w:rPr>
              <w:t xml:space="preserve"> decisión no </w:t>
            </w:r>
            <w:r>
              <w:rPr>
                <w:rFonts w:ascii="Verdana" w:eastAsia="Calibri" w:hAnsi="Verdana" w:cs="Arial"/>
                <w:lang w:val="es-ES" w:eastAsia="es-ES"/>
              </w:rPr>
              <w:t>está</w:t>
            </w:r>
            <w:r w:rsidRPr="00A355E2">
              <w:rPr>
                <w:rFonts w:ascii="Verdana" w:eastAsia="Calibri" w:hAnsi="Verdana" w:cs="Arial"/>
                <w:lang w:val="es-ES" w:eastAsia="es-ES"/>
              </w:rPr>
              <w:t xml:space="preserve"> unificada en los términos del artículo 270 de la Ley 1437 de 2011, por lo que no surge el deber de aplicación uniforme de que trata el artículo 10 </w:t>
            </w:r>
            <w:r w:rsidRPr="00A355E2">
              <w:rPr>
                <w:rFonts w:ascii="Verdana" w:eastAsia="Calibri" w:hAnsi="Verdana" w:cs="Arial"/>
                <w:i/>
                <w:iCs/>
                <w:lang w:val="es-ES" w:eastAsia="es-ES"/>
              </w:rPr>
              <w:t>ibidem</w:t>
            </w:r>
            <w:r w:rsidRPr="00A355E2">
              <w:rPr>
                <w:rFonts w:ascii="Verdana" w:eastAsia="Calibri" w:hAnsi="Verdana" w:cs="Arial"/>
                <w:lang w:val="es-ES" w:eastAsia="es-ES"/>
              </w:rPr>
              <w:t>. En este contexto, la Sentencia de la Subsección B de la Sección Tercera del Consejo de Estado tiene efectos de cosa juzgada en el proceso en que se expidió, sin que esta pauta interpretativa sea vinculante para l</w:t>
            </w:r>
            <w:r>
              <w:rPr>
                <w:rFonts w:ascii="Verdana" w:eastAsia="Calibri" w:hAnsi="Verdana" w:cs="Arial"/>
                <w:lang w:val="es-ES" w:eastAsia="es-ES"/>
              </w:rPr>
              <w:t>a</w:t>
            </w:r>
            <w:r w:rsidRPr="00A355E2">
              <w:rPr>
                <w:rFonts w:ascii="Verdana" w:eastAsia="Calibri" w:hAnsi="Verdana" w:cs="Arial"/>
                <w:lang w:val="es-ES" w:eastAsia="es-ES"/>
              </w:rPr>
              <w:t xml:space="preserve">s demás entidades estatales. </w:t>
            </w:r>
          </w:p>
          <w:p w14:paraId="74057DDE" w14:textId="77777777" w:rsidR="00066050" w:rsidRDefault="00066050" w:rsidP="00A700CA">
            <w:pPr>
              <w:spacing w:after="120" w:line="276" w:lineRule="auto"/>
              <w:ind w:firstLine="737"/>
              <w:jc w:val="both"/>
              <w:rPr>
                <w:rFonts w:ascii="Verdana" w:eastAsia="Calibri" w:hAnsi="Verdana" w:cs="Arial"/>
                <w:lang w:val="es-ES" w:eastAsia="es-ES"/>
              </w:rPr>
            </w:pPr>
            <w:r w:rsidRPr="00A355E2">
              <w:rPr>
                <w:rFonts w:ascii="Verdana" w:eastAsia="Calibri" w:hAnsi="Verdana" w:cs="Arial"/>
                <w:lang w:val="es-ES" w:eastAsia="es-ES"/>
              </w:rPr>
              <w:t>Ello es congruente con el artículo 17 del Código Civil, ya que “Las sentencias judiciales no tienen fuerza obligatoria sino respecto de las causas en que fueron pronunciadas. Es, por tanto, prohibido a los jueces proveer en los negocios de su competencia por vía de disposición general o reglamentaria”. Por tanto, en ausencia de unificación jurisprudencial al interior de la Sección Tercera del Consejo de Estado, el criterio de la Subsección B sobre la subsanabilidad de los factores de desempate no es obligatorio en los demás procesos de selección.</w:t>
            </w:r>
            <w:r>
              <w:rPr>
                <w:rFonts w:ascii="Verdana" w:eastAsia="Calibri" w:hAnsi="Verdana" w:cs="Arial"/>
                <w:lang w:val="es-ES" w:eastAsia="es-ES"/>
              </w:rPr>
              <w:t xml:space="preserve">   </w:t>
            </w:r>
          </w:p>
          <w:p w14:paraId="11BAA982" w14:textId="77777777" w:rsidR="00066050" w:rsidRPr="00A355E2" w:rsidRDefault="00066050" w:rsidP="00A700CA">
            <w:pPr>
              <w:spacing w:line="276" w:lineRule="auto"/>
              <w:ind w:firstLine="737"/>
              <w:jc w:val="both"/>
              <w:rPr>
                <w:rFonts w:ascii="Verdana" w:hAnsi="Verdana" w:cs="Arial"/>
                <w:color w:val="000000"/>
                <w:lang w:val="es-ES_tradnl" w:eastAsia="es-ES_tradnl"/>
              </w:rPr>
            </w:pPr>
            <w:r w:rsidRPr="00B9305B">
              <w:rPr>
                <w:rFonts w:ascii="Verdana" w:hAnsi="Verdana" w:cs="Arial"/>
                <w:color w:val="000000"/>
                <w:lang w:val="es-ES_tradnl" w:eastAsia="es-ES_tradn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F75E141" w14:textId="77777777" w:rsidR="00066050" w:rsidRPr="00277E26" w:rsidRDefault="00066050" w:rsidP="00066050">
      <w:pPr>
        <w:tabs>
          <w:tab w:val="left" w:pos="142"/>
          <w:tab w:val="left" w:pos="284"/>
        </w:tabs>
        <w:spacing w:after="0" w:line="276" w:lineRule="auto"/>
        <w:jc w:val="both"/>
        <w:rPr>
          <w:rFonts w:ascii="Verdana" w:eastAsia="Century Gothic" w:hAnsi="Verdana" w:cs="Century Gothic"/>
          <w:b/>
          <w:bCs/>
          <w:lang w:val="es-ES"/>
        </w:rPr>
      </w:pPr>
    </w:p>
    <w:bookmarkEnd w:id="1"/>
    <w:p w14:paraId="384F2EFD" w14:textId="77777777" w:rsidR="00066050" w:rsidRPr="00277E26" w:rsidRDefault="00066050" w:rsidP="000660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lastRenderedPageBreak/>
        <w:t>Razones de la respuesta:</w:t>
      </w:r>
    </w:p>
    <w:p w14:paraId="50CA787A" w14:textId="77777777" w:rsidR="00066050" w:rsidRPr="00277E26" w:rsidRDefault="00066050" w:rsidP="00066050">
      <w:pPr>
        <w:spacing w:after="0" w:line="276" w:lineRule="auto"/>
        <w:jc w:val="both"/>
        <w:rPr>
          <w:rFonts w:ascii="Verdana" w:eastAsia="Calibri" w:hAnsi="Verdana" w:cs="Arial"/>
          <w:color w:val="7030A0"/>
          <w:lang w:val="es-ES"/>
        </w:rPr>
      </w:pPr>
    </w:p>
    <w:p w14:paraId="027CAEA0" w14:textId="77777777" w:rsidR="00066050" w:rsidRPr="00277E26" w:rsidRDefault="00066050" w:rsidP="00066050">
      <w:pPr>
        <w:spacing w:after="0" w:line="276" w:lineRule="auto"/>
        <w:jc w:val="both"/>
        <w:rPr>
          <w:rFonts w:ascii="Verdana" w:eastAsia="Calibri" w:hAnsi="Verdana" w:cs="Arial"/>
          <w:lang w:val="es-ES"/>
        </w:rPr>
      </w:pPr>
      <w:r w:rsidRPr="00277E26">
        <w:rPr>
          <w:rFonts w:ascii="Verdana" w:eastAsia="Calibri" w:hAnsi="Verdana" w:cs="Arial"/>
          <w:lang w:val="es-ES"/>
        </w:rPr>
        <w:t>Lo anterior se sustenta en las siguientes consideraciones:</w:t>
      </w:r>
    </w:p>
    <w:p w14:paraId="0443DC7D" w14:textId="77777777" w:rsidR="00066050" w:rsidRDefault="00066050" w:rsidP="00066050">
      <w:pPr>
        <w:spacing w:after="0" w:line="276" w:lineRule="auto"/>
        <w:jc w:val="both"/>
        <w:rPr>
          <w:rFonts w:ascii="Verdana" w:eastAsia="Calibri" w:hAnsi="Verdana" w:cs="Arial"/>
          <w:lang w:val="es-ES"/>
        </w:rPr>
      </w:pPr>
    </w:p>
    <w:p w14:paraId="3A6E48E8" w14:textId="77777777" w:rsidR="00066050" w:rsidRPr="00B13ED7" w:rsidRDefault="00066050" w:rsidP="00066050">
      <w:pPr>
        <w:spacing w:after="0" w:line="276" w:lineRule="auto"/>
        <w:jc w:val="both"/>
        <w:rPr>
          <w:rFonts w:ascii="Verdana" w:eastAsia="Arial" w:hAnsi="Verdana" w:cs="Arial"/>
          <w:color w:val="000000"/>
        </w:rPr>
      </w:pPr>
      <w:r w:rsidRPr="002E58FC">
        <w:rPr>
          <w:rFonts w:ascii="Verdana" w:eastAsia="Calibri" w:hAnsi="Verdana" w:cs="Arial"/>
          <w:bCs/>
          <w:color w:val="000000" w:themeColor="text1"/>
        </w:rPr>
        <w:t xml:space="preserve">i. </w:t>
      </w:r>
      <w:r w:rsidRPr="00B13ED7">
        <w:rPr>
          <w:rFonts w:ascii="Verdana" w:hAnsi="Verdana" w:cs="Arial"/>
          <w:color w:val="000000" w:themeColor="text1"/>
        </w:rPr>
        <w:t>U</w:t>
      </w:r>
      <w:r w:rsidRPr="00B13ED7">
        <w:rPr>
          <w:rFonts w:ascii="Verdana" w:eastAsia="Arial" w:hAnsi="Verdana" w:cs="Arial"/>
          <w:color w:val="000000"/>
        </w:rPr>
        <w:t xml:space="preserve">no de los principios transversales de los procedimientos de selección es el de </w:t>
      </w:r>
      <w:r w:rsidRPr="00B13ED7">
        <w:rPr>
          <w:rFonts w:ascii="Verdana" w:eastAsia="Arial" w:hAnsi="Verdana" w:cs="Arial"/>
          <w:i/>
          <w:color w:val="000000"/>
        </w:rPr>
        <w:t>selección objetiva</w:t>
      </w:r>
      <w:r w:rsidRPr="00B13ED7">
        <w:rPr>
          <w:rFonts w:ascii="Verdana" w:eastAsia="Arial" w:hAnsi="Verdana"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B13ED7">
        <w:rPr>
          <w:rFonts w:ascii="Verdana" w:eastAsia="Arial" w:hAnsi="Verdana" w:cs="Arial"/>
          <w:color w:val="000000"/>
          <w:vertAlign w:val="superscript"/>
        </w:rPr>
        <w:footnoteReference w:id="2"/>
      </w:r>
      <w:r w:rsidRPr="00B13ED7">
        <w:rPr>
          <w:rFonts w:ascii="Verdana" w:eastAsia="Arial" w:hAnsi="Verdana"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33EFBE2D" w14:textId="77777777" w:rsidR="00066050" w:rsidRPr="00B13ED7" w:rsidRDefault="00066050" w:rsidP="00066050">
      <w:pPr>
        <w:spacing w:after="0" w:line="276" w:lineRule="auto"/>
        <w:jc w:val="both"/>
        <w:rPr>
          <w:rFonts w:ascii="Verdana" w:eastAsia="Arial" w:hAnsi="Verdana" w:cs="Arial"/>
          <w:color w:val="000000"/>
        </w:rPr>
      </w:pPr>
    </w:p>
    <w:p w14:paraId="0F5F84A4"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themeColor="text1"/>
          <w:sz w:val="21"/>
          <w:szCs w:val="21"/>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5E703535"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w:t>
      </w:r>
      <w:r w:rsidRPr="002D57F6">
        <w:rPr>
          <w:rFonts w:ascii="Verdana" w:eastAsia="Arial" w:hAnsi="Verdana" w:cs="Arial"/>
          <w:color w:val="000000"/>
          <w:sz w:val="21"/>
          <w:szCs w:val="21"/>
        </w:rPr>
        <w:lastRenderedPageBreak/>
        <w:t>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1B623D9"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389FD66"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En los procesos de selección en los que se tenga en cuenta los factores técnicos y económicos, la oferta más ventajosa será la que resulte de aplicar alguna de las siguientes alternativas:</w:t>
      </w:r>
    </w:p>
    <w:p w14:paraId="2FCAE30F"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a) La ponderación de los elementos de calidad y precio soportados en puntajes o fórmulas señaladas en el pliego de condiciones; o</w:t>
      </w:r>
    </w:p>
    <w:p w14:paraId="15758859"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b) La ponderación de los elementos de calidad y precio que representen la mejor relación de costo-beneficio para la entidad.</w:t>
      </w:r>
    </w:p>
    <w:p w14:paraId="58FC8643"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6AB7A090"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2197A78E"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En ningún caso se podrá incluir el precio, como factor de escogencia para la selección de consultores.</w:t>
      </w:r>
    </w:p>
    <w:p w14:paraId="5203B3FF"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 xml:space="preserve">PARÁGRAFO 1o. &lt;Parágrafo modificado por el artículo 5 de la Ley 1882 de 2018. El nuevo texto es el siguiente:&gt; La ausencia de requisitos o la falta de documentos referentes a la futura contratación o al </w:t>
      </w:r>
      <w:r w:rsidRPr="002D57F6">
        <w:rPr>
          <w:rFonts w:ascii="Verdana" w:eastAsia="Arial" w:hAnsi="Verdana" w:cs="Arial"/>
          <w:color w:val="000000"/>
          <w:sz w:val="21"/>
          <w:szCs w:val="21"/>
        </w:rPr>
        <w:lastRenderedPageBreak/>
        <w:t>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31D2D6D"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Durante el término otorgado para subsanar las ofertas, los proponentes no podrán acreditar circunstancias ocurridas con posterioridad al cierre del proceso.</w:t>
      </w:r>
    </w:p>
    <w:p w14:paraId="4164AF1A"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2o. Las certificaciones de sistemas de gestión de calidad no serán objeto de calificación, ni podrán establecerse como documento habilitante para participar en licitaciones o concursos.</w:t>
      </w:r>
    </w:p>
    <w:p w14:paraId="4E9E3FB4"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3o. &lt;Parágrafo adicionado por el artículo 5 de la Ley 1882 de 2018. El nuevo texto es el siguiente:&gt; La no entrega de la garantía de seriedad junto con la propuesta no será subsanable y será causal de rechazo de la misma.</w:t>
      </w:r>
    </w:p>
    <w:p w14:paraId="27FEAC44" w14:textId="77777777" w:rsidR="00066050" w:rsidRPr="002D57F6" w:rsidRDefault="00066050" w:rsidP="00066050">
      <w:pPr>
        <w:spacing w:after="120" w:line="240" w:lineRule="auto"/>
        <w:ind w:left="709" w:right="709"/>
        <w:jc w:val="both"/>
        <w:rPr>
          <w:rFonts w:ascii="Verdana" w:eastAsia="Arial" w:hAnsi="Verdana" w:cs="Arial"/>
          <w:color w:val="000000"/>
          <w:sz w:val="21"/>
          <w:szCs w:val="21"/>
        </w:rPr>
      </w:pPr>
      <w:r w:rsidRPr="002D57F6">
        <w:rPr>
          <w:rFonts w:ascii="Verdana" w:eastAsia="Arial" w:hAnsi="Verdana" w:cs="Arial"/>
          <w:color w:val="000000"/>
          <w:sz w:val="21"/>
          <w:szCs w:val="21"/>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7023784E" w14:textId="77777777" w:rsidR="00066050" w:rsidRPr="002D57F6" w:rsidRDefault="00066050" w:rsidP="00066050">
      <w:pPr>
        <w:spacing w:after="0" w:line="240" w:lineRule="auto"/>
        <w:ind w:left="709" w:right="709"/>
        <w:jc w:val="both"/>
        <w:rPr>
          <w:rFonts w:ascii="Verdana" w:eastAsia="Arial" w:hAnsi="Verdana" w:cs="Arial"/>
          <w:color w:val="000000"/>
        </w:rPr>
      </w:pPr>
      <w:r w:rsidRPr="002D57F6">
        <w:rPr>
          <w:rFonts w:ascii="Verdana" w:eastAsia="Arial" w:hAnsi="Verdana" w:cs="Arial"/>
          <w:color w:val="000000" w:themeColor="text1"/>
          <w:sz w:val="21"/>
          <w:szCs w:val="21"/>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2D57F6">
        <w:rPr>
          <w:rFonts w:ascii="Verdana" w:eastAsia="Arial" w:hAnsi="Verdana" w:cs="Arial"/>
          <w:color w:val="000000" w:themeColor="text1"/>
        </w:rPr>
        <w:t xml:space="preserve"> </w:t>
      </w:r>
    </w:p>
    <w:p w14:paraId="1BCB2CBE" w14:textId="77777777" w:rsidR="00066050" w:rsidRPr="00B13ED7" w:rsidRDefault="00066050" w:rsidP="00066050">
      <w:pPr>
        <w:spacing w:after="0" w:line="276" w:lineRule="auto"/>
        <w:jc w:val="both"/>
        <w:rPr>
          <w:rFonts w:ascii="Verdana" w:eastAsia="Arial" w:hAnsi="Verdana" w:cs="Arial"/>
          <w:color w:val="000000"/>
        </w:rPr>
      </w:pPr>
    </w:p>
    <w:p w14:paraId="5C8037C8" w14:textId="77777777" w:rsidR="00066050" w:rsidRPr="00B13ED7" w:rsidRDefault="00066050" w:rsidP="00066050">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De acuerdo con el artículo 5 de la Ley 1150 de 2007,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3DE8EDCA" w14:textId="77777777" w:rsidR="00066050" w:rsidRPr="00B13ED7" w:rsidRDefault="00066050" w:rsidP="00066050">
      <w:pPr>
        <w:tabs>
          <w:tab w:val="left" w:pos="0"/>
        </w:tabs>
        <w:spacing w:after="120" w:line="276" w:lineRule="auto"/>
        <w:jc w:val="both"/>
        <w:rPr>
          <w:rFonts w:ascii="Verdana" w:eastAsia="Arial" w:hAnsi="Verdana" w:cs="Arial"/>
          <w:color w:val="000000"/>
        </w:rPr>
      </w:pPr>
      <w:bookmarkStart w:id="2" w:name="_1fob9te" w:colFirst="0" w:colLast="0"/>
      <w:bookmarkEnd w:id="2"/>
      <w:r w:rsidRPr="00B13ED7">
        <w:rPr>
          <w:rFonts w:ascii="Verdana" w:eastAsia="Arial" w:hAnsi="Verdana" w:cs="Arial"/>
          <w:color w:val="000000"/>
        </w:rPr>
        <w:lastRenderedPageBreak/>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B13ED7">
        <w:rPr>
          <w:rFonts w:ascii="Verdana" w:eastAsia="Arial" w:hAnsi="Verdana" w:cs="Arial"/>
          <w:color w:val="000000"/>
          <w:vertAlign w:val="superscript"/>
        </w:rPr>
        <w:footnoteReference w:id="3"/>
      </w:r>
      <w:r w:rsidRPr="00B13ED7">
        <w:rPr>
          <w:rFonts w:ascii="Verdana" w:eastAsia="Arial" w:hAnsi="Verdana"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B13ED7">
        <w:rPr>
          <w:rFonts w:ascii="Verdana" w:eastAsia="Arial" w:hAnsi="Verdana" w:cs="Arial"/>
          <w:i/>
          <w:color w:val="000000"/>
        </w:rPr>
        <w:t xml:space="preserve">habilitantes </w:t>
      </w:r>
      <w:r w:rsidRPr="00B13ED7">
        <w:rPr>
          <w:rFonts w:ascii="Verdana" w:eastAsia="Arial" w:hAnsi="Verdana"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2BF73B12" w14:textId="77777777" w:rsidR="00066050" w:rsidRPr="00B13ED7" w:rsidRDefault="00066050" w:rsidP="00066050">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46A1EF77" w14:textId="77777777" w:rsidR="00066050" w:rsidRPr="00B13ED7" w:rsidRDefault="00066050" w:rsidP="00066050">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Por su parte, el numeral 3 establece que en los procesos de selección de bienes y servicios de características técnicas uniformes y de común utilización el único factor de evaluación consiste en el menor precio. Por último, el numeral </w:t>
      </w:r>
      <w:r w:rsidRPr="00B13ED7">
        <w:rPr>
          <w:rFonts w:ascii="Verdana" w:eastAsia="Arial" w:hAnsi="Verdana" w:cs="Arial"/>
          <w:color w:val="000000"/>
        </w:rPr>
        <w:lastRenderedPageBreak/>
        <w:t>4, referente a procedimientos para selección de consultores, señala que debe hacerse uso de factores de calificación, para valorar los aspectos técnicos de la oferta, permitiendo que entre ellos se pondere la experiencia.</w:t>
      </w:r>
    </w:p>
    <w:p w14:paraId="4D6C7E79" w14:textId="77777777" w:rsidR="00066050" w:rsidRPr="00B13ED7" w:rsidRDefault="00066050" w:rsidP="004B10FF">
      <w:pPr>
        <w:tabs>
          <w:tab w:val="left" w:pos="0"/>
        </w:tabs>
        <w:spacing w:after="0" w:line="276" w:lineRule="auto"/>
        <w:jc w:val="both"/>
        <w:rPr>
          <w:rFonts w:ascii="Verdana" w:eastAsia="Arial" w:hAnsi="Verdana" w:cs="Arial"/>
          <w:color w:val="000000"/>
        </w:rPr>
      </w:pPr>
      <w:r w:rsidRPr="00B13ED7">
        <w:rPr>
          <w:rFonts w:ascii="Verdana" w:eastAsia="Arial" w:hAnsi="Verdana" w:cs="Arial"/>
          <w:color w:val="000000"/>
        </w:rPr>
        <w:tab/>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 </w:t>
      </w:r>
      <w:r w:rsidRPr="00B13ED7">
        <w:rPr>
          <w:rFonts w:ascii="Verdana" w:eastAsia="Arial" w:hAnsi="Verdana" w:cs="Arial"/>
          <w:color w:val="000000"/>
          <w:vertAlign w:val="superscript"/>
        </w:rPr>
        <w:footnoteReference w:id="4"/>
      </w:r>
      <w:r w:rsidRPr="00B13ED7">
        <w:rPr>
          <w:rFonts w:ascii="Verdana" w:eastAsia="Arial" w:hAnsi="Verdana" w:cs="Arial"/>
          <w:color w:val="000000"/>
        </w:rPr>
        <w:t>. Todas estas categorías designan los “[…] factores a los cuales cabe otorgarles puntajes o que pueden ser ponderados, precisamente, pues estos son los factores que en últimas permiten una comparación de ofertas y una diferenciación entre ellas”</w:t>
      </w:r>
      <w:r w:rsidRPr="00B13ED7">
        <w:rPr>
          <w:rFonts w:ascii="Verdana" w:eastAsia="Arial" w:hAnsi="Verdana" w:cs="Arial"/>
          <w:color w:val="000000"/>
          <w:vertAlign w:val="superscript"/>
        </w:rPr>
        <w:footnoteReference w:id="5"/>
      </w:r>
      <w:r w:rsidRPr="00B13ED7">
        <w:rPr>
          <w:rFonts w:ascii="Verdana" w:eastAsia="Arial" w:hAnsi="Verdana" w:cs="Arial"/>
          <w:color w:val="000000"/>
        </w:rPr>
        <w:t>. Conforme a esto, la doctrina explica que:</w:t>
      </w:r>
    </w:p>
    <w:p w14:paraId="563CC46B" w14:textId="77777777" w:rsidR="00066050" w:rsidRPr="00B13ED7" w:rsidRDefault="00066050" w:rsidP="004B10FF">
      <w:pPr>
        <w:tabs>
          <w:tab w:val="left" w:pos="0"/>
        </w:tabs>
        <w:spacing w:after="0" w:line="276" w:lineRule="auto"/>
        <w:ind w:left="709" w:right="709"/>
        <w:jc w:val="both"/>
        <w:rPr>
          <w:rFonts w:ascii="Verdana" w:eastAsia="Arial" w:hAnsi="Verdana" w:cs="Arial"/>
          <w:color w:val="000000"/>
        </w:rPr>
      </w:pPr>
    </w:p>
    <w:p w14:paraId="74481C40" w14:textId="77777777" w:rsidR="00066050" w:rsidRPr="004B10FF" w:rsidRDefault="00066050" w:rsidP="004B10FF">
      <w:pPr>
        <w:spacing w:after="120" w:line="240" w:lineRule="auto"/>
        <w:ind w:left="709" w:right="709"/>
        <w:jc w:val="both"/>
        <w:rPr>
          <w:rFonts w:ascii="Verdana" w:eastAsia="Arial" w:hAnsi="Verdana" w:cs="Arial"/>
          <w:color w:val="000000"/>
          <w:sz w:val="21"/>
          <w:szCs w:val="21"/>
        </w:rPr>
      </w:pPr>
      <w:r w:rsidRPr="004B10FF">
        <w:rPr>
          <w:rFonts w:ascii="Verdana" w:eastAsia="Arial" w:hAnsi="Verdana" w:cs="Arial"/>
          <w:color w:val="000000" w:themeColor="text1"/>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D70CC39" w14:textId="77777777" w:rsidR="00066050" w:rsidRPr="004B10FF" w:rsidRDefault="00066050" w:rsidP="004B10FF">
      <w:pPr>
        <w:tabs>
          <w:tab w:val="left" w:pos="0"/>
        </w:tabs>
        <w:spacing w:after="0" w:line="240" w:lineRule="auto"/>
        <w:ind w:left="709" w:right="709"/>
        <w:jc w:val="both"/>
        <w:rPr>
          <w:rFonts w:ascii="Verdana" w:eastAsia="Arial" w:hAnsi="Verdana" w:cs="Arial"/>
          <w:color w:val="000000"/>
          <w:sz w:val="21"/>
          <w:szCs w:val="21"/>
        </w:rPr>
      </w:pPr>
      <w:r w:rsidRPr="004B10FF">
        <w:rPr>
          <w:rFonts w:ascii="Verdana" w:eastAsia="Arial" w:hAnsi="Verdana" w:cs="Arial"/>
          <w:color w:val="000000"/>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3B575BAF" w14:textId="77777777" w:rsidR="00066050" w:rsidRPr="004B10FF" w:rsidRDefault="00066050" w:rsidP="004B10FF">
      <w:pPr>
        <w:tabs>
          <w:tab w:val="left" w:pos="0"/>
        </w:tabs>
        <w:spacing w:after="120" w:line="240" w:lineRule="auto"/>
        <w:ind w:left="709" w:right="709"/>
        <w:jc w:val="both"/>
        <w:rPr>
          <w:rFonts w:ascii="Verdana" w:eastAsia="Arial" w:hAnsi="Verdana" w:cs="Arial"/>
          <w:color w:val="000000"/>
          <w:sz w:val="21"/>
          <w:szCs w:val="21"/>
        </w:rPr>
      </w:pPr>
      <w:r w:rsidRPr="004B10FF">
        <w:rPr>
          <w:rFonts w:ascii="Verdana" w:eastAsia="Arial" w:hAnsi="Verdana" w:cs="Arial"/>
          <w:color w:val="000000"/>
          <w:sz w:val="21"/>
          <w:szCs w:val="21"/>
        </w:rPr>
        <w:lastRenderedPageBreak/>
        <w:t>[…]</w:t>
      </w:r>
    </w:p>
    <w:p w14:paraId="21650C29" w14:textId="77777777" w:rsidR="00066050" w:rsidRPr="004B10FF" w:rsidRDefault="00066050" w:rsidP="004B10FF">
      <w:pPr>
        <w:spacing w:after="0" w:line="240" w:lineRule="auto"/>
        <w:ind w:left="709" w:right="709"/>
        <w:jc w:val="both"/>
        <w:rPr>
          <w:rFonts w:ascii="Verdana" w:eastAsia="Arial" w:hAnsi="Verdana" w:cs="Arial"/>
          <w:color w:val="000000"/>
          <w:sz w:val="21"/>
          <w:szCs w:val="21"/>
        </w:rPr>
      </w:pPr>
      <w:r w:rsidRPr="004B10FF">
        <w:rPr>
          <w:rFonts w:ascii="Verdana" w:eastAsia="Arial" w:hAnsi="Verdana" w:cs="Arial"/>
          <w:color w:val="000000"/>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4B10FF">
        <w:rPr>
          <w:rFonts w:ascii="Verdana" w:eastAsia="Arial" w:hAnsi="Verdana" w:cs="Arial"/>
          <w:color w:val="000000"/>
          <w:sz w:val="21"/>
          <w:szCs w:val="21"/>
          <w:vertAlign w:val="superscript"/>
        </w:rPr>
        <w:footnoteReference w:id="6"/>
      </w:r>
      <w:r w:rsidRPr="004B10FF">
        <w:rPr>
          <w:rFonts w:ascii="Verdana" w:eastAsia="Arial" w:hAnsi="Verdana" w:cs="Arial"/>
          <w:color w:val="000000"/>
          <w:sz w:val="21"/>
          <w:szCs w:val="21"/>
        </w:rPr>
        <w:t>.</w:t>
      </w:r>
    </w:p>
    <w:p w14:paraId="3C905497" w14:textId="77777777" w:rsidR="00066050" w:rsidRPr="00B13ED7" w:rsidRDefault="00066050" w:rsidP="004B10FF">
      <w:pPr>
        <w:tabs>
          <w:tab w:val="left" w:pos="0"/>
        </w:tabs>
        <w:spacing w:after="0" w:line="276" w:lineRule="auto"/>
        <w:ind w:left="709" w:right="709"/>
        <w:jc w:val="both"/>
        <w:rPr>
          <w:rFonts w:ascii="Verdana" w:eastAsia="Arial" w:hAnsi="Verdana" w:cs="Arial"/>
          <w:color w:val="000000"/>
        </w:rPr>
      </w:pPr>
    </w:p>
    <w:p w14:paraId="0809FA94" w14:textId="77777777" w:rsidR="00066050" w:rsidRPr="00B13ED7" w:rsidRDefault="00066050" w:rsidP="00066050">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01DEAB74" w14:textId="77777777" w:rsidR="00066050" w:rsidRPr="00B13ED7" w:rsidRDefault="00066050" w:rsidP="00066050">
      <w:pPr>
        <w:tabs>
          <w:tab w:val="left" w:pos="0"/>
        </w:tabs>
        <w:spacing w:after="120" w:line="276" w:lineRule="auto"/>
        <w:jc w:val="both"/>
        <w:rPr>
          <w:rFonts w:ascii="Verdana" w:eastAsia="Arial" w:hAnsi="Verdana" w:cs="Arial"/>
          <w:color w:val="000000"/>
        </w:rPr>
      </w:pPr>
      <w:r w:rsidRPr="00B13ED7">
        <w:rPr>
          <w:rFonts w:ascii="Verdana" w:eastAsia="Arial" w:hAnsi="Verdana" w:cs="Arial"/>
          <w:color w:val="000000"/>
        </w:rPr>
        <w:tab/>
        <w:t xml:space="preserve">En ese sentido, la asignación de puntaje es un mecanismo mediante el cual las entidades ponderan los factores de calificación </w:t>
      </w:r>
      <w:r w:rsidRPr="00B13ED7">
        <w:rPr>
          <w:rFonts w:ascii="Tahoma" w:eastAsia="Tahoma" w:hAnsi="Tahoma" w:cs="Tahoma"/>
          <w:color w:val="000000"/>
        </w:rPr>
        <w:t>ꟷ</w:t>
      </w:r>
      <w:r w:rsidRPr="00B13ED7">
        <w:rPr>
          <w:rFonts w:ascii="Verdana" w:eastAsia="Arial" w:hAnsi="Verdana" w:cs="Arial"/>
          <w:i/>
          <w:color w:val="000000"/>
        </w:rPr>
        <w:t>v.g.</w:t>
      </w:r>
      <w:r w:rsidRPr="00B13ED7">
        <w:rPr>
          <w:rFonts w:ascii="Verdana" w:eastAsia="Arial" w:hAnsi="Verdana" w:cs="Arial"/>
          <w:color w:val="000000"/>
        </w:rPr>
        <w:t xml:space="preserve"> técnicos y económicos, de calidad y precio, etc.</w:t>
      </w:r>
      <w:r w:rsidRPr="00B13ED7">
        <w:rPr>
          <w:rFonts w:ascii="Tahoma" w:eastAsia="Tahoma" w:hAnsi="Tahoma" w:cs="Tahoma"/>
          <w:color w:val="000000"/>
        </w:rPr>
        <w:t>ꟷ</w:t>
      </w:r>
      <w:r w:rsidRPr="00B13ED7">
        <w:rPr>
          <w:rFonts w:ascii="Verdana" w:eastAsia="Arial" w:hAnsi="Verdana" w:cs="Arial"/>
          <w:color w:val="000000"/>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o relaciones costo beneficio.</w:t>
      </w:r>
    </w:p>
    <w:p w14:paraId="566430A5" w14:textId="77777777" w:rsidR="00066050" w:rsidRPr="00B13ED7" w:rsidRDefault="00066050" w:rsidP="00066050">
      <w:pPr>
        <w:spacing w:after="120" w:line="276" w:lineRule="auto"/>
        <w:jc w:val="both"/>
        <w:rPr>
          <w:rFonts w:ascii="Verdana" w:eastAsia="Arial" w:hAnsi="Verdana" w:cs="Arial"/>
          <w:color w:val="000000"/>
        </w:rPr>
      </w:pPr>
      <w:r w:rsidRPr="00B13ED7">
        <w:rPr>
          <w:rFonts w:ascii="Verdana" w:eastAsia="Arial" w:hAnsi="Verdana" w:cs="Arial"/>
          <w:color w:val="000000"/>
        </w:rPr>
        <w:lastRenderedPageBreak/>
        <w:tab/>
        <w:t xml:space="preserve">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B13ED7">
        <w:rPr>
          <w:rFonts w:ascii="Verdana" w:eastAsia="Arial" w:hAnsi="Verdana" w:cs="Arial"/>
          <w:color w:val="000000"/>
        </w:rPr>
        <w:t>ii</w:t>
      </w:r>
      <w:proofErr w:type="spellEnd"/>
      <w:r w:rsidRPr="00B13ED7">
        <w:rPr>
          <w:rFonts w:ascii="Verdana" w:eastAsia="Arial" w:hAnsi="Verdana" w:cs="Arial"/>
          <w:color w:val="000000"/>
        </w:rPr>
        <w:t xml:space="preserve">) las condiciones técnicas adicionales que representan ventajas de calidad o de funcionamiento; </w:t>
      </w:r>
      <w:proofErr w:type="spellStart"/>
      <w:r w:rsidRPr="00B13ED7">
        <w:rPr>
          <w:rFonts w:ascii="Verdana" w:eastAsia="Arial" w:hAnsi="Verdana" w:cs="Arial"/>
          <w:color w:val="000000"/>
        </w:rPr>
        <w:t>iii</w:t>
      </w:r>
      <w:proofErr w:type="spellEnd"/>
      <w:r w:rsidRPr="00B13ED7">
        <w:rPr>
          <w:rFonts w:ascii="Verdana" w:eastAsia="Arial" w:hAnsi="Verdana" w:cs="Arial"/>
          <w:color w:val="000000"/>
        </w:rPr>
        <w:t xml:space="preserve">) las condiciones económicas adicionales que representen ventajas en términos de economía, eficiencia y eficacia; y </w:t>
      </w:r>
      <w:proofErr w:type="spellStart"/>
      <w:r w:rsidRPr="00B13ED7">
        <w:rPr>
          <w:rFonts w:ascii="Verdana" w:eastAsia="Arial" w:hAnsi="Verdana" w:cs="Arial"/>
          <w:color w:val="000000"/>
        </w:rPr>
        <w:t>iv</w:t>
      </w:r>
      <w:proofErr w:type="spellEnd"/>
      <w:r w:rsidRPr="00B13ED7">
        <w:rPr>
          <w:rFonts w:ascii="Verdana" w:eastAsia="Arial" w:hAnsi="Verdana" w:cs="Arial"/>
          <w:color w:val="000000"/>
        </w:rPr>
        <w:t>)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B13ED7">
        <w:rPr>
          <w:rFonts w:ascii="Verdana" w:eastAsia="Arial" w:hAnsi="Verdana" w:cs="Arial"/>
          <w:color w:val="000000"/>
          <w:vertAlign w:val="superscript"/>
        </w:rPr>
        <w:footnoteReference w:id="7"/>
      </w:r>
      <w:r w:rsidRPr="00B13ED7">
        <w:rPr>
          <w:rFonts w:ascii="Verdana" w:eastAsia="Arial" w:hAnsi="Verdana" w:cs="Arial"/>
          <w:color w:val="000000"/>
        </w:rPr>
        <w:t>.</w:t>
      </w:r>
    </w:p>
    <w:p w14:paraId="5CAB09ED" w14:textId="77777777" w:rsidR="00066050" w:rsidRPr="00B13ED7" w:rsidRDefault="00066050" w:rsidP="00066050">
      <w:pPr>
        <w:spacing w:after="120" w:line="276" w:lineRule="auto"/>
        <w:ind w:firstLine="709"/>
        <w:jc w:val="both"/>
        <w:rPr>
          <w:rFonts w:ascii="Verdana" w:eastAsia="Arial" w:hAnsi="Verdana" w:cs="Arial"/>
          <w:color w:val="000000"/>
        </w:rPr>
      </w:pPr>
      <w:r w:rsidRPr="00B13ED7">
        <w:rPr>
          <w:rFonts w:ascii="Verdana" w:eastAsia="Arial" w:hAnsi="Verdana" w:cs="Arial"/>
          <w:color w:val="000000" w:themeColor="text1"/>
        </w:rPr>
        <w:lastRenderedPageBreak/>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28A8ADBA" w14:textId="77777777" w:rsidR="00066050" w:rsidRPr="00B13ED7" w:rsidRDefault="00066050" w:rsidP="00066050">
      <w:pPr>
        <w:spacing w:after="120" w:line="276" w:lineRule="auto"/>
        <w:ind w:firstLine="709"/>
        <w:jc w:val="both"/>
        <w:rPr>
          <w:rFonts w:ascii="Verdana" w:eastAsia="Arial" w:hAnsi="Verdana" w:cs="Arial"/>
          <w:color w:val="000000"/>
        </w:rPr>
      </w:pPr>
      <w:r w:rsidRPr="00B13ED7">
        <w:rPr>
          <w:rFonts w:ascii="Verdana" w:eastAsia="Arial" w:hAnsi="Verdana" w:cs="Arial"/>
          <w:color w:val="000000"/>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w:t>
      </w:r>
      <w:proofErr w:type="spellStart"/>
      <w:r w:rsidRPr="00B13ED7">
        <w:rPr>
          <w:rFonts w:ascii="Verdana" w:eastAsia="Arial" w:hAnsi="Verdana" w:cs="Arial"/>
          <w:color w:val="000000"/>
        </w:rPr>
        <w:t>ii</w:t>
      </w:r>
      <w:proofErr w:type="spellEnd"/>
      <w:r w:rsidRPr="00B13ED7">
        <w:rPr>
          <w:rFonts w:ascii="Verdana" w:eastAsia="Arial" w:hAnsi="Verdana" w:cs="Arial"/>
          <w:color w:val="000000"/>
        </w:rPr>
        <w:t xml:space="preserve">) el </w:t>
      </w:r>
      <w:r w:rsidRPr="00B13ED7">
        <w:rPr>
          <w:rFonts w:ascii="Verdana" w:eastAsia="Arial" w:hAnsi="Verdana" w:cs="Arial"/>
          <w:color w:val="000000"/>
        </w:rPr>
        <w:lastRenderedPageBreak/>
        <w:t xml:space="preserve">artículo 24, numeral 5º, literal a), que manda que en los pliegos de condiciones se indiquen “[…] los requisitos objetivos necesarios para participar en el correspondiente proceso de selección”, </w:t>
      </w:r>
      <w:proofErr w:type="spellStart"/>
      <w:r w:rsidRPr="00B13ED7">
        <w:rPr>
          <w:rFonts w:ascii="Verdana" w:eastAsia="Arial" w:hAnsi="Verdana" w:cs="Arial"/>
          <w:color w:val="000000"/>
        </w:rPr>
        <w:t>iii</w:t>
      </w:r>
      <w:proofErr w:type="spellEnd"/>
      <w:r w:rsidRPr="00B13ED7">
        <w:rPr>
          <w:rFonts w:ascii="Verdana" w:eastAsia="Arial" w:hAnsi="Verdana" w:cs="Arial"/>
          <w:color w:val="000000"/>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B13ED7">
        <w:rPr>
          <w:rFonts w:ascii="Verdana" w:eastAsia="Arial" w:hAnsi="Verdana" w:cs="Arial"/>
          <w:color w:val="000000"/>
        </w:rPr>
        <w:t>iv</w:t>
      </w:r>
      <w:proofErr w:type="spellEnd"/>
      <w:r w:rsidRPr="00B13ED7">
        <w:rPr>
          <w:rFonts w:ascii="Verdana" w:eastAsia="Arial" w:hAnsi="Verdana" w:cs="Arial"/>
          <w:color w:val="000000"/>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B13ED7">
        <w:rPr>
          <w:rFonts w:ascii="Verdana" w:eastAsia="Arial" w:hAnsi="Verdana" w:cs="Arial"/>
          <w:color w:val="000000"/>
        </w:rPr>
        <w:t>vii</w:t>
      </w:r>
      <w:proofErr w:type="spellEnd"/>
      <w:r w:rsidRPr="00B13ED7">
        <w:rPr>
          <w:rFonts w:ascii="Verdana" w:eastAsia="Arial" w:hAnsi="Verdana" w:cs="Arial"/>
          <w:color w:val="000000"/>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B13ED7">
        <w:rPr>
          <w:rFonts w:ascii="Verdana" w:eastAsia="Arial" w:hAnsi="Verdana" w:cs="Arial"/>
          <w:color w:val="000000"/>
        </w:rPr>
        <w:t>viii</w:t>
      </w:r>
      <w:proofErr w:type="spellEnd"/>
      <w:r w:rsidRPr="00B13ED7">
        <w:rPr>
          <w:rFonts w:ascii="Verdana" w:eastAsia="Arial" w:hAnsi="Verdana" w:cs="Arial"/>
          <w:color w:val="000000"/>
        </w:rPr>
        <w:t xml:space="preserve">) el inciso final del artículo 38, que obliga a las entidades estatales que tengan como objeto la prestación de servicios y actividades de telecomunicaciones a respetar el principio de selección objetiva, y </w:t>
      </w:r>
      <w:proofErr w:type="spellStart"/>
      <w:r w:rsidRPr="00B13ED7">
        <w:rPr>
          <w:rFonts w:ascii="Verdana" w:eastAsia="Arial" w:hAnsi="Verdana" w:cs="Arial"/>
          <w:color w:val="000000"/>
        </w:rPr>
        <w:t>ix</w:t>
      </w:r>
      <w:proofErr w:type="spellEnd"/>
      <w:r w:rsidRPr="00B13ED7">
        <w:rPr>
          <w:rFonts w:ascii="Verdana" w:eastAsia="Arial" w:hAnsi="Verdana" w:cs="Arial"/>
          <w:color w:val="000000"/>
        </w:rPr>
        <w:t xml:space="preserve">) el segundo inciso del artículo 76, que ordena cumplir también con dicho principio a las entidades que tengan por objeto la exploración, explotación y comercialización de recursos naturales renovables y no renovables. </w:t>
      </w:r>
    </w:p>
    <w:p w14:paraId="6A1D903C" w14:textId="77777777" w:rsidR="00066050" w:rsidRPr="00B13ED7" w:rsidRDefault="00066050" w:rsidP="00066050">
      <w:pPr>
        <w:spacing w:after="120" w:line="276" w:lineRule="auto"/>
        <w:ind w:firstLine="709"/>
        <w:jc w:val="both"/>
        <w:rPr>
          <w:rFonts w:ascii="Verdana" w:eastAsia="Arial" w:hAnsi="Verdana" w:cs="Arial"/>
          <w:color w:val="000000"/>
        </w:rPr>
      </w:pPr>
      <w:r w:rsidRPr="00B13ED7">
        <w:rPr>
          <w:rFonts w:ascii="Verdana" w:eastAsia="Arial" w:hAnsi="Verdana" w:cs="Arial"/>
          <w:color w:val="000000"/>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w:t>
      </w:r>
      <w:proofErr w:type="spellStart"/>
      <w:r w:rsidRPr="00B13ED7">
        <w:rPr>
          <w:rFonts w:ascii="Verdana" w:eastAsia="Arial" w:hAnsi="Verdana" w:cs="Arial"/>
          <w:color w:val="000000"/>
        </w:rPr>
        <w:t>ii</w:t>
      </w:r>
      <w:proofErr w:type="spellEnd"/>
      <w:r w:rsidRPr="00B13ED7">
        <w:rPr>
          <w:rFonts w:ascii="Verdana" w:eastAsia="Arial" w:hAnsi="Verdana" w:cs="Arial"/>
          <w:color w:val="000000"/>
        </w:rPr>
        <w:t xml:space="preserve">) el numeral 8º del artículo 2.2.1.2.1.3.13, que establece como obligación del jurado calificador en los concursos de méritos para la selección de consultores de diseño, planos, </w:t>
      </w:r>
      <w:r w:rsidRPr="00B13ED7">
        <w:rPr>
          <w:rFonts w:ascii="Verdana" w:eastAsia="Arial" w:hAnsi="Verdana" w:cs="Arial"/>
          <w:color w:val="000000"/>
        </w:rPr>
        <w:lastRenderedPageBreak/>
        <w:t>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0B333B92" w14:textId="77777777" w:rsidR="00066050" w:rsidRDefault="00066050" w:rsidP="00066050">
      <w:pPr>
        <w:spacing w:after="120" w:line="276" w:lineRule="auto"/>
        <w:ind w:firstLine="709"/>
        <w:jc w:val="both"/>
        <w:rPr>
          <w:rFonts w:ascii="Verdana" w:eastAsia="Arial" w:hAnsi="Verdana" w:cs="Arial"/>
          <w:color w:val="000000"/>
        </w:rPr>
      </w:pPr>
      <w:r w:rsidRPr="00B13ED7">
        <w:rPr>
          <w:rFonts w:ascii="Verdana" w:eastAsia="Arial" w:hAnsi="Verdana" w:cs="Arial"/>
          <w:color w:val="000000"/>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B13ED7">
        <w:rPr>
          <w:rFonts w:ascii="Verdana" w:eastAsia="Arial" w:hAnsi="Verdana" w:cs="Arial"/>
          <w:color w:val="000000"/>
          <w:vertAlign w:val="superscript"/>
        </w:rPr>
        <w:footnoteReference w:id="8"/>
      </w:r>
      <w:r w:rsidRPr="00B13ED7">
        <w:rPr>
          <w:rFonts w:ascii="Verdana" w:eastAsia="Arial" w:hAnsi="Verdana" w:cs="Arial"/>
          <w:color w:val="000000"/>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B13ED7">
        <w:rPr>
          <w:rFonts w:ascii="Verdana" w:eastAsia="Arial" w:hAnsi="Verdana" w:cs="Arial"/>
          <w:color w:val="000000"/>
          <w:vertAlign w:val="superscript"/>
        </w:rPr>
        <w:footnoteReference w:id="9"/>
      </w:r>
      <w:r w:rsidRPr="00B13ED7">
        <w:rPr>
          <w:rFonts w:ascii="Verdana" w:eastAsia="Arial" w:hAnsi="Verdana" w:cs="Arial"/>
          <w:color w:val="000000"/>
        </w:rPr>
        <w:t>.</w:t>
      </w:r>
    </w:p>
    <w:p w14:paraId="4781077C" w14:textId="77777777" w:rsidR="00066050" w:rsidRPr="00B13ED7" w:rsidRDefault="00066050" w:rsidP="004B10FF">
      <w:pPr>
        <w:spacing w:after="0" w:line="276" w:lineRule="auto"/>
        <w:ind w:firstLine="709"/>
        <w:jc w:val="both"/>
        <w:rPr>
          <w:rFonts w:ascii="Verdana" w:eastAsia="Arial" w:hAnsi="Verdana" w:cs="Arial"/>
          <w:color w:val="000000"/>
        </w:rPr>
      </w:pPr>
      <w:r w:rsidRPr="00B13ED7">
        <w:rPr>
          <w:rFonts w:ascii="Verdana" w:eastAsia="Arial" w:hAnsi="Verdana" w:cs="Arial"/>
          <w:color w:val="000000"/>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w:t>
      </w:r>
      <w:r w:rsidRPr="00B13ED7">
        <w:rPr>
          <w:rFonts w:ascii="Verdana" w:eastAsia="Arial" w:hAnsi="Verdana" w:cs="Arial"/>
          <w:color w:val="000000"/>
        </w:rPr>
        <w:lastRenderedPageBreak/>
        <w:t xml:space="preserve">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w:t>
      </w:r>
      <w:r>
        <w:rPr>
          <w:rFonts w:ascii="Verdana" w:eastAsia="Arial" w:hAnsi="Verdana" w:cs="Arial"/>
          <w:color w:val="000000"/>
        </w:rPr>
        <w:t>Dicha</w:t>
      </w:r>
      <w:r w:rsidRPr="00B13ED7">
        <w:rPr>
          <w:rFonts w:ascii="Verdana" w:eastAsia="Arial" w:hAnsi="Verdana" w:cs="Arial"/>
          <w:color w:val="000000"/>
        </w:rPr>
        <w:t xml:space="preserve"> regla se explica a continuación.</w:t>
      </w:r>
    </w:p>
    <w:p w14:paraId="3C0909C5" w14:textId="77777777" w:rsidR="00066050" w:rsidRDefault="00066050" w:rsidP="004B10FF">
      <w:pPr>
        <w:tabs>
          <w:tab w:val="left" w:pos="0"/>
        </w:tabs>
        <w:spacing w:after="0" w:line="276" w:lineRule="auto"/>
        <w:jc w:val="both"/>
        <w:rPr>
          <w:rFonts w:ascii="Verdana" w:eastAsia="Calibri" w:hAnsi="Verdana" w:cs="Arial"/>
          <w:bCs/>
          <w:color w:val="000000" w:themeColor="text1"/>
        </w:rPr>
      </w:pPr>
    </w:p>
    <w:p w14:paraId="41C8AFB8" w14:textId="77777777" w:rsidR="00066050" w:rsidRPr="00C64261" w:rsidRDefault="00066050" w:rsidP="00066050">
      <w:pPr>
        <w:pBdr>
          <w:top w:val="nil"/>
          <w:left w:val="nil"/>
          <w:bottom w:val="nil"/>
          <w:right w:val="nil"/>
          <w:between w:val="nil"/>
        </w:pBdr>
        <w:spacing w:after="120" w:line="276" w:lineRule="auto"/>
        <w:jc w:val="both"/>
        <w:rPr>
          <w:rFonts w:ascii="Verdana" w:eastAsia="Quattrocento Sans" w:hAnsi="Verdana" w:cs="Quattrocento Sans"/>
          <w:color w:val="000000"/>
        </w:rPr>
      </w:pPr>
      <w:proofErr w:type="spellStart"/>
      <w:r>
        <w:rPr>
          <w:rFonts w:ascii="Verdana" w:eastAsia="Calibri" w:hAnsi="Verdana" w:cs="Arial"/>
          <w:bCs/>
          <w:color w:val="000000" w:themeColor="text1"/>
        </w:rPr>
        <w:t>ii</w:t>
      </w:r>
      <w:proofErr w:type="spellEnd"/>
      <w:r>
        <w:rPr>
          <w:rFonts w:ascii="Verdana" w:eastAsia="Calibri" w:hAnsi="Verdana" w:cs="Arial"/>
          <w:bCs/>
          <w:color w:val="000000" w:themeColor="text1"/>
        </w:rPr>
        <w:t xml:space="preserve">. </w:t>
      </w:r>
      <w:r w:rsidRPr="00C64261">
        <w:rPr>
          <w:rFonts w:ascii="Verdana" w:eastAsia="Arial" w:hAnsi="Verdana" w:cs="Arial"/>
          <w:color w:val="000000"/>
        </w:rPr>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son subsanables i) la falta de entrega 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los defectos de los requisitos habilitantes.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4B0A07ED" w14:textId="77777777" w:rsidR="00066050" w:rsidRPr="00C64261" w:rsidRDefault="00066050" w:rsidP="00066050">
      <w:pPr>
        <w:spacing w:before="120" w:line="276" w:lineRule="auto"/>
        <w:ind w:firstLine="709"/>
        <w:jc w:val="both"/>
        <w:rPr>
          <w:rFonts w:ascii="Verdana" w:hAnsi="Verdana" w:cs="Arial"/>
          <w:lang w:val="es-ES_tradnl"/>
        </w:rPr>
      </w:pPr>
      <w:r w:rsidRPr="00C64261">
        <w:rPr>
          <w:rFonts w:ascii="Verdana" w:hAnsi="Verdana" w:cs="Arial"/>
          <w:lang w:val="es-ES_tradnl"/>
        </w:rPr>
        <w:t>Sobre este aspecto, debe resaltarse que la posibilidad de enmendar, corregir o subsanar los errores en los que se incurre en los documentos contentivos de la oferta es un tema que ha tenido diferentes momentos o etapas en el ordenamiento jurídico colombiano</w:t>
      </w:r>
      <w:r w:rsidRPr="00C64261">
        <w:rPr>
          <w:rFonts w:ascii="Verdana" w:eastAsia="Arial" w:hAnsi="Verdana" w:cs="Arial"/>
          <w:color w:val="000000"/>
        </w:rPr>
        <w:t xml:space="preserve">. En un </w:t>
      </w:r>
      <w:r w:rsidRPr="00C64261">
        <w:rPr>
          <w:rFonts w:ascii="Verdana" w:eastAsia="Arial" w:hAnsi="Verdana" w:cs="Arial"/>
          <w:i/>
          <w:color w:val="000000"/>
        </w:rPr>
        <w:t>primer momento</w:t>
      </w:r>
      <w:r w:rsidRPr="00C64261">
        <w:rPr>
          <w:rFonts w:ascii="Verdana" w:eastAsia="Arial" w:hAnsi="Verdana" w:cs="Arial"/>
          <w:color w:val="000000"/>
        </w:rPr>
        <w:t xml:space="preserve">, antes de expedirse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5ADEE005" w14:textId="77777777" w:rsidR="00066050" w:rsidRPr="00C64261" w:rsidRDefault="00066050" w:rsidP="004B10FF">
      <w:pPr>
        <w:spacing w:before="120" w:after="0" w:line="276" w:lineRule="auto"/>
        <w:ind w:firstLine="709"/>
        <w:jc w:val="both"/>
        <w:rPr>
          <w:rFonts w:ascii="Verdana" w:hAnsi="Verdana"/>
        </w:rPr>
      </w:pPr>
      <w:r w:rsidRPr="00C64261">
        <w:rPr>
          <w:rFonts w:ascii="Verdana" w:eastAsia="Arial" w:hAnsi="Verdana" w:cs="Arial"/>
          <w:color w:val="000000"/>
        </w:rPr>
        <w:t xml:space="preserve">En un </w:t>
      </w:r>
      <w:r w:rsidRPr="00C64261">
        <w:rPr>
          <w:rFonts w:ascii="Verdana" w:eastAsia="Arial" w:hAnsi="Verdana" w:cs="Arial"/>
          <w:i/>
          <w:color w:val="000000"/>
        </w:rPr>
        <w:t>segundo momento</w:t>
      </w:r>
      <w:r w:rsidRPr="00C64261">
        <w:rPr>
          <w:rFonts w:ascii="Verdana" w:eastAsia="Arial" w:hAnsi="Verdana"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33450040" w14:textId="77777777" w:rsidR="00066050" w:rsidRPr="00C64261" w:rsidRDefault="00066050" w:rsidP="004B10FF">
      <w:pPr>
        <w:spacing w:after="0" w:line="276" w:lineRule="auto"/>
        <w:jc w:val="both"/>
        <w:rPr>
          <w:rFonts w:ascii="Verdana" w:eastAsia="Arial" w:hAnsi="Verdana" w:cs="Arial"/>
          <w:color w:val="000000"/>
        </w:rPr>
      </w:pPr>
    </w:p>
    <w:p w14:paraId="79276852" w14:textId="77777777" w:rsidR="00066050" w:rsidRPr="004B10FF" w:rsidRDefault="00066050" w:rsidP="004B10FF">
      <w:pPr>
        <w:spacing w:after="120" w:line="240" w:lineRule="auto"/>
        <w:ind w:left="709" w:right="709"/>
        <w:jc w:val="both"/>
        <w:rPr>
          <w:rFonts w:ascii="Verdana" w:eastAsia="Arial" w:hAnsi="Verdana" w:cs="Arial"/>
          <w:color w:val="000000"/>
          <w:sz w:val="21"/>
          <w:szCs w:val="21"/>
        </w:rPr>
      </w:pPr>
      <w:r w:rsidRPr="004B10FF">
        <w:rPr>
          <w:rFonts w:ascii="Verdana" w:eastAsia="Arial" w:hAnsi="Verdana" w:cs="Arial"/>
          <w:color w:val="000000"/>
          <w:sz w:val="21"/>
          <w:szCs w:val="21"/>
        </w:rPr>
        <w:lastRenderedPageBreak/>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77DA0028" w14:textId="77777777" w:rsidR="00066050" w:rsidRPr="004B10FF" w:rsidRDefault="00066050" w:rsidP="004B10FF">
      <w:pPr>
        <w:spacing w:after="0" w:line="240" w:lineRule="auto"/>
        <w:ind w:left="709" w:right="709"/>
        <w:jc w:val="both"/>
        <w:rPr>
          <w:rFonts w:ascii="Verdana" w:eastAsia="Arial" w:hAnsi="Verdana" w:cs="Arial"/>
          <w:color w:val="000000"/>
          <w:sz w:val="21"/>
          <w:szCs w:val="21"/>
        </w:rPr>
      </w:pPr>
      <w:r w:rsidRPr="004B10FF">
        <w:rPr>
          <w:rFonts w:ascii="Verdana" w:eastAsia="Arial" w:hAnsi="Verdana" w:cs="Arial"/>
          <w:color w:val="000000"/>
          <w:sz w:val="21"/>
          <w:szCs w:val="21"/>
        </w:rPr>
        <w:t xml:space="preserve">La ausencia de requisitos o la falta de documentos referentes a la futura contratación o al proponente, no necesarios para la comparación de propuestas, no servirá de título suficiente para el rechazo de los ofrecimientos hechos”. </w:t>
      </w:r>
    </w:p>
    <w:p w14:paraId="0144EDCE" w14:textId="77777777" w:rsidR="00066050" w:rsidRPr="00C64261" w:rsidRDefault="00066050" w:rsidP="004B10FF">
      <w:pPr>
        <w:spacing w:after="0" w:line="276" w:lineRule="auto"/>
        <w:jc w:val="both"/>
        <w:rPr>
          <w:rFonts w:ascii="Verdana" w:eastAsia="Arial" w:hAnsi="Verdana" w:cs="Arial"/>
          <w:b/>
          <w:color w:val="000000"/>
        </w:rPr>
      </w:pPr>
    </w:p>
    <w:p w14:paraId="4C63A145" w14:textId="77777777" w:rsidR="00066050" w:rsidRPr="00C64261" w:rsidRDefault="00066050" w:rsidP="00066050">
      <w:pPr>
        <w:spacing w:line="276" w:lineRule="auto"/>
        <w:ind w:firstLine="709"/>
        <w:jc w:val="both"/>
        <w:rPr>
          <w:rFonts w:ascii="Verdana" w:eastAsia="Arial" w:hAnsi="Verdana" w:cs="Arial"/>
          <w:color w:val="000000"/>
        </w:rPr>
      </w:pPr>
      <w:r w:rsidRPr="00C64261">
        <w:rPr>
          <w:rFonts w:ascii="Verdana" w:eastAsia="Arial" w:hAnsi="Verdana" w:cs="Arial"/>
          <w:color w:val="000000"/>
        </w:rPr>
        <w:t>Bajo el amparo de esta norma, el régimen jurídico de subsanabilidad de las ofertas sufre un cambio fundamental, pues ya no era posible rechazar las ofertas por falta de requisitos o documentos que no fueran “</w:t>
      </w:r>
      <w:r w:rsidRPr="00C64261">
        <w:rPr>
          <w:rFonts w:ascii="Verdana" w:eastAsia="Arial" w:hAnsi="Verdana" w:cs="Arial"/>
          <w:i/>
          <w:color w:val="000000"/>
        </w:rPr>
        <w:t>necesarios para la comparación de propuestas</w:t>
      </w:r>
      <w:r w:rsidRPr="00C64261">
        <w:rPr>
          <w:rFonts w:ascii="Verdana" w:eastAsia="Arial" w:hAnsi="Verdana" w:cs="Arial"/>
          <w:color w:val="000000"/>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52EBF11" w14:textId="77777777" w:rsidR="00066050" w:rsidRPr="00C64261" w:rsidRDefault="00066050" w:rsidP="00066050">
      <w:pPr>
        <w:spacing w:before="120" w:after="120" w:line="276" w:lineRule="auto"/>
        <w:ind w:firstLine="709"/>
        <w:jc w:val="both"/>
        <w:rPr>
          <w:rFonts w:ascii="Verdana" w:eastAsia="Arial" w:hAnsi="Verdana" w:cs="Arial"/>
          <w:color w:val="000000"/>
        </w:rPr>
      </w:pPr>
      <w:r w:rsidRPr="00C64261">
        <w:rPr>
          <w:rFonts w:ascii="Verdana" w:eastAsia="Arial" w:hAnsi="Verdana" w:cs="Arial"/>
          <w:color w:val="000000"/>
        </w:rPr>
        <w:t>El artículo 25.15 debía leerse en conjunto con otras de la Ley 80 de 1993, particularmente con el artículo 30.7</w:t>
      </w:r>
      <w:r w:rsidRPr="00C64261">
        <w:rPr>
          <w:rFonts w:ascii="Verdana" w:eastAsia="Arial" w:hAnsi="Verdana" w:cs="Arial"/>
          <w:color w:val="000000"/>
          <w:vertAlign w:val="superscript"/>
        </w:rPr>
        <w:footnoteReference w:id="10"/>
      </w:r>
      <w:r w:rsidRPr="00C64261">
        <w:rPr>
          <w:rFonts w:ascii="Verdana" w:eastAsia="Arial" w:hAnsi="Verdana" w:cs="Arial"/>
          <w:color w:val="000000"/>
        </w:rPr>
        <w:t>, que ordena a la entidad señalar un plazo razonable para evaluar las propuestas y pedir a los proponentes, de ser necesario, que aclaren o expliquen aspectos que ofrezcan dudas y resulten indispensables para hacer la evaluación; y con el artículo 30.8</w:t>
      </w:r>
      <w:r w:rsidRPr="00C64261">
        <w:rPr>
          <w:rFonts w:ascii="Verdana" w:eastAsia="Arial" w:hAnsi="Verdana" w:cs="Arial"/>
          <w:color w:val="000000"/>
          <w:vertAlign w:val="superscript"/>
        </w:rPr>
        <w:footnoteReference w:id="11"/>
      </w:r>
      <w:r w:rsidRPr="00C64261">
        <w:rPr>
          <w:rFonts w:ascii="Verdana" w:eastAsia="Arial" w:hAnsi="Verdana" w:cs="Arial"/>
          <w:color w:val="000000"/>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14:paraId="0D64BCCE" w14:textId="77777777" w:rsidR="00066050" w:rsidRPr="00C64261" w:rsidRDefault="00066050" w:rsidP="00066050">
      <w:pPr>
        <w:spacing w:after="120" w:line="276" w:lineRule="auto"/>
        <w:ind w:firstLine="709"/>
        <w:jc w:val="both"/>
        <w:rPr>
          <w:rFonts w:ascii="Verdana" w:eastAsia="Arial" w:hAnsi="Verdana" w:cs="Arial"/>
          <w:color w:val="000000"/>
        </w:rPr>
      </w:pPr>
      <w:r w:rsidRPr="00C64261">
        <w:rPr>
          <w:rFonts w:ascii="Verdana" w:eastAsia="Arial" w:hAnsi="Verdana" w:cs="Arial"/>
          <w:color w:val="000000"/>
        </w:rPr>
        <w:lastRenderedPageBreak/>
        <w:t xml:space="preserve">En un </w:t>
      </w:r>
      <w:r w:rsidRPr="00C64261">
        <w:rPr>
          <w:rFonts w:ascii="Verdana" w:eastAsia="Arial" w:hAnsi="Verdana" w:cs="Arial"/>
          <w:i/>
          <w:color w:val="000000"/>
        </w:rPr>
        <w:t>tercer momento</w:t>
      </w:r>
      <w:r w:rsidRPr="00C64261">
        <w:rPr>
          <w:rFonts w:ascii="Verdana" w:eastAsia="Arial" w:hAnsi="Verdana"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C64261">
        <w:rPr>
          <w:rFonts w:ascii="Verdana" w:eastAsia="Arial" w:hAnsi="Verdana" w:cs="Arial"/>
          <w:b/>
          <w:color w:val="000000"/>
        </w:rPr>
        <w:t xml:space="preserve">, </w:t>
      </w:r>
      <w:r w:rsidRPr="00C64261">
        <w:rPr>
          <w:rFonts w:ascii="Verdana" w:eastAsia="Arial" w:hAnsi="Verdana" w:cs="Arial"/>
          <w:color w:val="000000"/>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6CABE534" w14:textId="77777777" w:rsidR="00066050" w:rsidRPr="00C64261" w:rsidRDefault="00066050" w:rsidP="00066050">
      <w:pPr>
        <w:spacing w:after="120" w:line="276" w:lineRule="auto"/>
        <w:ind w:firstLine="709"/>
        <w:jc w:val="both"/>
        <w:rPr>
          <w:rFonts w:ascii="Verdana" w:hAnsi="Verdana"/>
        </w:rPr>
      </w:pPr>
      <w:r w:rsidRPr="00C64261">
        <w:rPr>
          <w:rFonts w:ascii="Verdana" w:eastAsia="Arial" w:hAnsi="Verdana"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1984E8D7" w14:textId="77777777" w:rsidR="00066050" w:rsidRPr="00C64261" w:rsidRDefault="00066050" w:rsidP="004B10FF">
      <w:pPr>
        <w:spacing w:after="0" w:line="276" w:lineRule="auto"/>
        <w:ind w:firstLine="709"/>
        <w:jc w:val="both"/>
        <w:rPr>
          <w:rFonts w:ascii="Verdana" w:eastAsia="Arial" w:hAnsi="Verdana" w:cs="Arial"/>
          <w:color w:val="000000"/>
        </w:rPr>
      </w:pPr>
      <w:r w:rsidRPr="00C64261">
        <w:rPr>
          <w:rFonts w:ascii="Verdana" w:eastAsia="Arial" w:hAnsi="Verdana" w:cs="Arial"/>
          <w:color w:val="000000"/>
        </w:rPr>
        <w:t>El artículo 5 de la Ley 1150 de 2007, además de consagrar un criterio más claro, y, de paso, reducir la discrecionalidad de la Administración, fijó un ámbito temporal para la subsanación de las ofertas: “</w:t>
      </w:r>
      <w:r w:rsidRPr="00C64261">
        <w:rPr>
          <w:rFonts w:ascii="Verdana" w:eastAsia="Arial" w:hAnsi="Verdana" w:cs="Arial"/>
          <w:i/>
          <w:color w:val="000000"/>
        </w:rPr>
        <w:t>en cualquier momento, hasta la adjudicación</w:t>
      </w:r>
      <w:r w:rsidRPr="00C64261">
        <w:rPr>
          <w:rFonts w:ascii="Verdana" w:eastAsia="Arial" w:hAnsi="Verdana"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1AE537A1" w14:textId="77777777" w:rsidR="00066050" w:rsidRPr="00C64261" w:rsidRDefault="00066050" w:rsidP="004B10FF">
      <w:pPr>
        <w:spacing w:after="0" w:line="276" w:lineRule="auto"/>
        <w:jc w:val="both"/>
        <w:rPr>
          <w:rFonts w:ascii="Verdana" w:eastAsia="Arial" w:hAnsi="Verdana" w:cs="Arial"/>
          <w:color w:val="000000"/>
        </w:rPr>
      </w:pPr>
    </w:p>
    <w:p w14:paraId="6693E5D1" w14:textId="77777777" w:rsidR="00066050" w:rsidRPr="00C64261" w:rsidRDefault="00066050" w:rsidP="004B10FF">
      <w:pPr>
        <w:spacing w:after="0" w:line="240" w:lineRule="auto"/>
        <w:ind w:left="709" w:right="709"/>
        <w:jc w:val="both"/>
        <w:rPr>
          <w:rFonts w:ascii="Verdana" w:eastAsia="Arial" w:hAnsi="Verdana" w:cs="Arial"/>
          <w:color w:val="000000"/>
          <w:sz w:val="21"/>
          <w:szCs w:val="21"/>
        </w:rPr>
      </w:pPr>
      <w:r>
        <w:rPr>
          <w:rFonts w:ascii="Verdana" w:eastAsia="Arial" w:hAnsi="Verdana" w:cs="Arial"/>
          <w:color w:val="000000"/>
          <w:sz w:val="21"/>
          <w:szCs w:val="21"/>
        </w:rPr>
        <w:t>“</w:t>
      </w:r>
      <w:r w:rsidRPr="00C64261">
        <w:rPr>
          <w:rFonts w:ascii="Verdana" w:eastAsia="Arial" w:hAnsi="Verdana" w:cs="Arial"/>
          <w:color w:val="000000"/>
          <w:sz w:val="21"/>
          <w:szCs w:val="21"/>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w:t>
      </w:r>
      <w:r w:rsidRPr="00C64261">
        <w:rPr>
          <w:rFonts w:ascii="Verdana" w:eastAsia="Arial" w:hAnsi="Verdana" w:cs="Arial"/>
          <w:color w:val="000000"/>
          <w:sz w:val="21"/>
          <w:szCs w:val="21"/>
        </w:rPr>
        <w:lastRenderedPageBreak/>
        <w:t>no a problemas de capacidad o a requisitos cumplidos antes o después de presentadas las ofertas, con la condición de que cuando le pidan la acreditación la satisfaga suficientemente</w:t>
      </w:r>
      <w:r>
        <w:rPr>
          <w:rFonts w:ascii="Verdana" w:eastAsia="Arial" w:hAnsi="Verdana" w:cs="Arial"/>
          <w:color w:val="000000"/>
          <w:sz w:val="21"/>
          <w:szCs w:val="21"/>
        </w:rPr>
        <w:t>”</w:t>
      </w:r>
      <w:r w:rsidRPr="00C64261">
        <w:rPr>
          <w:rFonts w:ascii="Verdana" w:eastAsia="Arial" w:hAnsi="Verdana" w:cs="Arial"/>
          <w:color w:val="000000"/>
          <w:sz w:val="21"/>
          <w:szCs w:val="21"/>
          <w:vertAlign w:val="superscript"/>
        </w:rPr>
        <w:footnoteReference w:id="12"/>
      </w:r>
      <w:r w:rsidRPr="00C64261">
        <w:rPr>
          <w:rFonts w:ascii="Verdana" w:eastAsia="Arial" w:hAnsi="Verdana" w:cs="Arial"/>
          <w:color w:val="000000"/>
          <w:sz w:val="21"/>
          <w:szCs w:val="21"/>
        </w:rPr>
        <w:t>.</w:t>
      </w:r>
    </w:p>
    <w:p w14:paraId="52E463F5" w14:textId="77777777" w:rsidR="00066050" w:rsidRPr="00C64261" w:rsidRDefault="00066050" w:rsidP="004B10FF">
      <w:pPr>
        <w:spacing w:after="0" w:line="276" w:lineRule="auto"/>
        <w:jc w:val="both"/>
        <w:rPr>
          <w:rFonts w:ascii="Verdana" w:eastAsia="Arial" w:hAnsi="Verdana" w:cs="Arial"/>
          <w:b/>
          <w:color w:val="000000"/>
        </w:rPr>
      </w:pPr>
    </w:p>
    <w:p w14:paraId="1EDB9076" w14:textId="77777777" w:rsidR="00066050" w:rsidRPr="00C64261" w:rsidRDefault="00066050" w:rsidP="00066050">
      <w:pPr>
        <w:pBdr>
          <w:top w:val="nil"/>
          <w:left w:val="nil"/>
          <w:bottom w:val="nil"/>
          <w:right w:val="nil"/>
          <w:between w:val="nil"/>
        </w:pBdr>
        <w:tabs>
          <w:tab w:val="left" w:pos="284"/>
        </w:tabs>
        <w:spacing w:line="276" w:lineRule="auto"/>
        <w:ind w:firstLine="709"/>
        <w:jc w:val="both"/>
        <w:rPr>
          <w:rFonts w:ascii="Verdana" w:eastAsia="Arial" w:hAnsi="Verdana" w:cs="Arial"/>
          <w:color w:val="000000"/>
        </w:rPr>
      </w:pPr>
      <w:r w:rsidRPr="00C64261">
        <w:rPr>
          <w:rFonts w:ascii="Verdana" w:eastAsia="Arial" w:hAnsi="Verdana" w:cs="Arial"/>
          <w:color w:val="000000"/>
        </w:rPr>
        <w:t>Esa interpretación fue compartida por la Agencia Nacional de Contratación Pública – Colombia Compra Eficiente, pues en la Circular Externa Única se había precisado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6841CC44" w14:textId="77777777" w:rsidR="00066050" w:rsidRDefault="00066050" w:rsidP="004B10FF">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un </w:t>
      </w:r>
      <w:r w:rsidRPr="00C64261">
        <w:rPr>
          <w:rFonts w:ascii="Verdana" w:eastAsia="Arial" w:hAnsi="Verdana" w:cs="Arial"/>
          <w:i/>
          <w:color w:val="000000"/>
        </w:rPr>
        <w:t>cuarto momento</w:t>
      </w:r>
      <w:r w:rsidRPr="00C64261">
        <w:rPr>
          <w:rFonts w:ascii="Verdana" w:eastAsia="Arial" w:hAnsi="Verdana" w:cs="Arial"/>
          <w:color w:val="00000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3F463EE5" w14:textId="77777777" w:rsidR="00066050" w:rsidRPr="00C64261" w:rsidRDefault="00066050" w:rsidP="004B10FF">
      <w:pPr>
        <w:pBdr>
          <w:top w:val="nil"/>
          <w:left w:val="nil"/>
          <w:bottom w:val="nil"/>
          <w:right w:val="nil"/>
          <w:between w:val="nil"/>
        </w:pBdr>
        <w:tabs>
          <w:tab w:val="left" w:pos="284"/>
        </w:tabs>
        <w:spacing w:after="0" w:line="276" w:lineRule="auto"/>
        <w:ind w:firstLine="709"/>
        <w:jc w:val="both"/>
        <w:rPr>
          <w:rFonts w:ascii="Verdana" w:eastAsia="Arial" w:hAnsi="Verdana" w:cs="Arial"/>
          <w:color w:val="000000"/>
        </w:rPr>
      </w:pPr>
    </w:p>
    <w:p w14:paraId="04E7AA24" w14:textId="77777777" w:rsidR="00066050" w:rsidRPr="00C62CCD" w:rsidRDefault="00066050" w:rsidP="00066050">
      <w:pPr>
        <w:spacing w:after="120" w:line="276" w:lineRule="auto"/>
        <w:jc w:val="both"/>
        <w:rPr>
          <w:rFonts w:ascii="Verdana" w:hAnsi="Verdana" w:cs="Arial"/>
          <w:color w:val="000000" w:themeColor="text1"/>
          <w:lang w:val="es-ES"/>
        </w:rPr>
      </w:pPr>
      <w:proofErr w:type="spellStart"/>
      <w:r>
        <w:rPr>
          <w:rFonts w:ascii="Verdana" w:hAnsi="Verdana" w:cs="Arial"/>
          <w:color w:val="000000" w:themeColor="text1"/>
          <w:lang w:val="es-ES"/>
        </w:rPr>
        <w:t>iii</w:t>
      </w:r>
      <w:proofErr w:type="spellEnd"/>
      <w:r>
        <w:rPr>
          <w:rFonts w:ascii="Verdana" w:hAnsi="Verdana" w:cs="Arial"/>
          <w:color w:val="000000" w:themeColor="text1"/>
          <w:lang w:val="es-ES"/>
        </w:rPr>
        <w:t>) L</w:t>
      </w:r>
      <w:r w:rsidRPr="009B5EEE">
        <w:rPr>
          <w:rFonts w:ascii="Verdana" w:hAnsi="Verdana" w:cs="Arial"/>
          <w:color w:val="000000" w:themeColor="text1"/>
          <w:lang w:val="es-ES"/>
        </w:rPr>
        <w:t>a Ley 1882 de 2018</w:t>
      </w:r>
      <w:r w:rsidRPr="00C62CCD">
        <w:rPr>
          <w:rFonts w:ascii="Verdana" w:hAnsi="Verdana" w:cs="Arial"/>
          <w:color w:val="000000" w:themeColor="text1"/>
          <w:lang w:val="es-ES"/>
        </w:rPr>
        <w:t xml:space="preserve">: </w:t>
      </w:r>
      <w:r>
        <w:rPr>
          <w:rFonts w:ascii="Verdana" w:hAnsi="Verdana" w:cs="Arial"/>
          <w:color w:val="000000" w:themeColor="text1"/>
          <w:lang w:val="es-ES"/>
        </w:rPr>
        <w:t>a</w:t>
      </w:r>
      <w:r w:rsidRPr="00C62CCD">
        <w:rPr>
          <w:rFonts w:ascii="Verdana" w:hAnsi="Verdana" w:cs="Arial"/>
          <w:color w:val="000000" w:themeColor="text1"/>
          <w:lang w:val="es-ES"/>
        </w:rPr>
        <w:t xml:space="preserve">) mantiene el criterio de la Ley 80 de 1993, relativo a que todo lo que no sea necesario para la comparación de propuestas no es título suficiente para su rechazo; </w:t>
      </w:r>
      <w:r>
        <w:rPr>
          <w:rFonts w:ascii="Verdana" w:hAnsi="Verdana" w:cs="Arial"/>
          <w:color w:val="000000" w:themeColor="text1"/>
          <w:lang w:val="es-ES"/>
        </w:rPr>
        <w:t>b</w:t>
      </w:r>
      <w:r w:rsidRPr="00C62CCD">
        <w:rPr>
          <w:rFonts w:ascii="Verdana" w:hAnsi="Verdana" w:cs="Arial"/>
          <w:color w:val="000000" w:themeColor="text1"/>
          <w:lang w:val="es-ES"/>
        </w:rPr>
        <w:t xml:space="preserve">) mantiene el criterio aclaratorio de la Ley 1150 de 2007, según el cual todo lo que no afecte la asignación de puntaje </w:t>
      </w:r>
      <w:r w:rsidRPr="00C62CCD">
        <w:rPr>
          <w:rFonts w:ascii="Verdana" w:hAnsi="Verdana" w:cs="Arial"/>
          <w:color w:val="000000" w:themeColor="text1"/>
          <w:lang w:val="es-ES"/>
        </w:rPr>
        <w:lastRenderedPageBreak/>
        <w:t xml:space="preserve">puede subsanarse y, </w:t>
      </w:r>
      <w:r>
        <w:rPr>
          <w:rFonts w:ascii="Verdana" w:hAnsi="Verdana" w:cs="Arial"/>
          <w:color w:val="000000" w:themeColor="text1"/>
          <w:lang w:val="es-ES"/>
        </w:rPr>
        <w:t>c</w:t>
      </w:r>
      <w:r w:rsidRPr="00C62CCD">
        <w:rPr>
          <w:rFonts w:ascii="Verdana" w:hAnsi="Verdana" w:cs="Arial"/>
          <w:color w:val="000000" w:themeColor="text1"/>
          <w:lang w:val="es-ES"/>
        </w:rPr>
        <w:t>) introduce modificaciones en relación con tres (3) aspectos que se analizarán a continuación</w:t>
      </w:r>
      <w:r w:rsidRPr="00C62CCD">
        <w:rPr>
          <w:rFonts w:ascii="Verdana" w:hAnsi="Verdana" w:cs="Arial"/>
          <w:color w:val="000000" w:themeColor="text1"/>
        </w:rPr>
        <w:t>:</w:t>
      </w:r>
    </w:p>
    <w:p w14:paraId="4676DD7A" w14:textId="77777777" w:rsidR="00066050" w:rsidRPr="00C62CCD" w:rsidRDefault="00066050" w:rsidP="00066050">
      <w:pPr>
        <w:spacing w:after="120" w:line="276" w:lineRule="auto"/>
        <w:ind w:firstLine="709"/>
        <w:jc w:val="both"/>
        <w:rPr>
          <w:rFonts w:ascii="Verdana" w:eastAsia="Arial" w:hAnsi="Verdana" w:cs="Arial"/>
          <w:color w:val="000000" w:themeColor="text1"/>
          <w:lang w:val="es-ES"/>
        </w:rPr>
      </w:pPr>
      <w:r w:rsidRPr="00C62CCD">
        <w:rPr>
          <w:rFonts w:ascii="Verdana" w:eastAsia="Arial" w:hAnsi="Verdana" w:cs="Arial"/>
          <w:color w:val="000000" w:themeColor="text1"/>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C62CCD">
        <w:rPr>
          <w:rFonts w:ascii="Verdana" w:eastAsia="Arial" w:hAnsi="Verdana" w:cs="Arial"/>
          <w:color w:val="000000"/>
          <w:vertAlign w:val="superscript"/>
        </w:rPr>
        <w:footnoteReference w:id="13"/>
      </w:r>
      <w:r w:rsidRPr="00C62CCD">
        <w:rPr>
          <w:rFonts w:ascii="Verdana" w:eastAsia="Arial" w:hAnsi="Verdana" w:cs="Arial"/>
          <w:color w:val="000000" w:themeColor="text1"/>
          <w:lang w:val="es-ES"/>
        </w:rPr>
        <w:t>.</w:t>
      </w:r>
    </w:p>
    <w:p w14:paraId="591B6636" w14:textId="77777777" w:rsidR="00066050" w:rsidRPr="00C62CCD" w:rsidRDefault="00066050" w:rsidP="00066050">
      <w:pPr>
        <w:spacing w:after="120" w:line="276" w:lineRule="auto"/>
        <w:ind w:firstLine="709"/>
        <w:jc w:val="both"/>
        <w:rPr>
          <w:rFonts w:ascii="Verdana" w:eastAsia="Arial" w:hAnsi="Verdana" w:cs="Arial"/>
          <w:color w:val="000000" w:themeColor="text1"/>
          <w:lang w:val="es-ES"/>
        </w:rPr>
      </w:pPr>
      <w:r w:rsidRPr="00C62CCD">
        <w:rPr>
          <w:rStyle w:val="normaltextrun"/>
          <w:rFonts w:ascii="Verdana" w:hAnsi="Verdana" w:cs="Arial"/>
          <w:color w:val="000000"/>
          <w:shd w:val="clear" w:color="auto" w:fill="FFFFFF"/>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sidRPr="00C62CCD">
        <w:rPr>
          <w:rStyle w:val="eop"/>
          <w:rFonts w:ascii="Verdana" w:hAnsi="Verdana" w:cs="Arial"/>
          <w:color w:val="000000"/>
          <w:shd w:val="clear" w:color="auto" w:fill="FFFFFF"/>
        </w:rPr>
        <w:t> </w:t>
      </w:r>
    </w:p>
    <w:p w14:paraId="0B2D1E1B" w14:textId="77777777" w:rsidR="00066050" w:rsidRPr="00C62CCD" w:rsidRDefault="00066050" w:rsidP="00066050">
      <w:pPr>
        <w:spacing w:after="120" w:line="276" w:lineRule="auto"/>
        <w:ind w:firstLine="720"/>
        <w:jc w:val="both"/>
        <w:rPr>
          <w:rFonts w:ascii="Verdana" w:eastAsia="Calibri" w:hAnsi="Verdana" w:cs="Arial"/>
          <w:color w:val="000000" w:themeColor="text1"/>
          <w:sz w:val="21"/>
          <w:szCs w:val="21"/>
        </w:rPr>
      </w:pPr>
      <w:r w:rsidRPr="00C62CCD">
        <w:rPr>
          <w:rFonts w:ascii="Verdana" w:eastAsia="Arial" w:hAnsi="Verdana" w:cs="Arial"/>
          <w:color w:val="000000" w:themeColor="text1"/>
          <w:lang w:val="es-ES"/>
        </w:rPr>
        <w:t>De otro lado, el segundo cambio importante de la Ley 1882 de 2018</w:t>
      </w:r>
      <w:r w:rsidRPr="00C62CCD">
        <w:rPr>
          <w:rFonts w:ascii="Verdana" w:eastAsia="Arial" w:hAnsi="Verdana" w:cs="Arial"/>
          <w:color w:val="000000" w:themeColor="text1"/>
        </w:rPr>
        <w:t xml:space="preserve"> </w:t>
      </w:r>
      <w:r w:rsidRPr="00C62CCD">
        <w:rPr>
          <w:rFonts w:ascii="Verdana" w:eastAsia="Calibri" w:hAnsi="Verdana" w:cs="Arial"/>
          <w:color w:val="000000" w:themeColor="text1"/>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w:t>
      </w:r>
      <w:r>
        <w:rPr>
          <w:rFonts w:ascii="Verdana" w:eastAsia="Calibri" w:hAnsi="Verdana" w:cs="Arial"/>
          <w:color w:val="000000" w:themeColor="text1"/>
        </w:rPr>
        <w:t>“</w:t>
      </w:r>
      <w:r w:rsidRPr="00C62CCD">
        <w:rPr>
          <w:rFonts w:ascii="Verdana" w:eastAsia="Calibri" w:hAnsi="Verdana" w:cs="Arial"/>
          <w:color w:val="000000" w:themeColor="text1"/>
        </w:rPr>
        <w:t>PARÁGRAFO 3o. La no entrega de la garantía de seriedad junto con la propuesta no será subsanable y será causal de rechazo de la misma</w:t>
      </w:r>
      <w:r>
        <w:rPr>
          <w:rFonts w:ascii="Verdana" w:eastAsia="Calibri" w:hAnsi="Verdana" w:cs="Arial"/>
          <w:color w:val="000000" w:themeColor="text1"/>
        </w:rPr>
        <w:t>”</w:t>
      </w:r>
      <w:r w:rsidRPr="00C62CCD">
        <w:rPr>
          <w:rFonts w:ascii="Verdana" w:eastAsia="Calibri" w:hAnsi="Verdana" w:cs="Arial"/>
          <w:color w:val="000000" w:themeColor="text1"/>
        </w:rPr>
        <w:t>.</w:t>
      </w:r>
    </w:p>
    <w:p w14:paraId="5CE8A848" w14:textId="77777777" w:rsidR="00066050" w:rsidRPr="00C62CCD" w:rsidRDefault="00066050" w:rsidP="004B10FF">
      <w:pPr>
        <w:spacing w:after="0" w:line="276" w:lineRule="auto"/>
        <w:ind w:firstLine="709"/>
        <w:jc w:val="both"/>
        <w:rPr>
          <w:rFonts w:ascii="Verdana" w:hAnsi="Verdana" w:cs="Arial"/>
          <w:bdr w:val="none" w:sz="0" w:space="0" w:color="auto" w:frame="1"/>
          <w:lang w:val="es-ES_tradnl"/>
        </w:rPr>
      </w:pPr>
      <w:r w:rsidRPr="00C62CCD">
        <w:rPr>
          <w:rFonts w:ascii="Verdana" w:eastAsia="Arial" w:hAnsi="Verdana" w:cs="Arial"/>
          <w:color w:val="000000" w:themeColor="text1"/>
        </w:rPr>
        <w:t>Finalmente, el último cambio</w:t>
      </w:r>
      <w:r w:rsidRPr="00C62CCD">
        <w:rPr>
          <w:rFonts w:ascii="Verdana" w:eastAsia="Arial" w:hAnsi="Verdana" w:cs="Arial"/>
          <w:color w:val="000000" w:themeColor="text1"/>
          <w:lang w:val="es-ES"/>
        </w:rPr>
        <w:t xml:space="preserve"> importante de la Ley 1882 de 2018 fue la introducción de un criterio material, directamente relacionado con los aspectos subsanables: </w:t>
      </w:r>
      <w:r>
        <w:rPr>
          <w:rFonts w:ascii="Verdana" w:eastAsia="Arial" w:hAnsi="Verdana" w:cs="Arial"/>
          <w:color w:val="000000" w:themeColor="text1"/>
          <w:lang w:val="es-ES"/>
        </w:rPr>
        <w:t>“</w:t>
      </w:r>
      <w:r w:rsidRPr="00C62CCD">
        <w:rPr>
          <w:rFonts w:ascii="Verdana" w:eastAsia="Arial" w:hAnsi="Verdana" w:cs="Arial"/>
          <w:color w:val="000000" w:themeColor="text1"/>
          <w:lang w:val="es-ES"/>
        </w:rPr>
        <w:t>los proponentes no podrán acreditar circunstancias ocurridas con posterioridad al cierre del proceso</w:t>
      </w:r>
      <w:r>
        <w:rPr>
          <w:rFonts w:ascii="Verdana" w:eastAsia="Arial" w:hAnsi="Verdana" w:cs="Arial"/>
          <w:color w:val="000000" w:themeColor="text1"/>
          <w:lang w:val="es-ES"/>
        </w:rPr>
        <w:t>”</w:t>
      </w:r>
      <w:r w:rsidRPr="00C62CCD">
        <w:rPr>
          <w:rFonts w:ascii="Verdana" w:eastAsia="Arial" w:hAnsi="Verdana" w:cs="Arial"/>
          <w:b/>
          <w:bCs/>
          <w:color w:val="000000" w:themeColor="text1"/>
          <w:lang w:val="es-ES"/>
        </w:rPr>
        <w:t>.</w:t>
      </w:r>
      <w:r w:rsidRPr="00C62CCD">
        <w:rPr>
          <w:rFonts w:ascii="Verdana" w:hAnsi="Verdana" w:cs="Arial"/>
          <w:bdr w:val="none" w:sz="0" w:space="0" w:color="auto" w:frame="1"/>
          <w:lang w:val="es-ES_tradnl"/>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648CAE04" w14:textId="77777777" w:rsidR="00066050" w:rsidRPr="00C62CCD" w:rsidRDefault="00066050" w:rsidP="004B10FF">
      <w:pPr>
        <w:spacing w:after="0" w:line="276" w:lineRule="auto"/>
        <w:ind w:firstLine="709"/>
        <w:jc w:val="both"/>
        <w:rPr>
          <w:rFonts w:ascii="Verdana" w:hAnsi="Verdana" w:cs="Arial"/>
          <w:color w:val="201F1E"/>
          <w:bdr w:val="none" w:sz="0" w:space="0" w:color="auto" w:frame="1"/>
          <w:lang w:val="es-ES_tradnl"/>
        </w:rPr>
      </w:pPr>
    </w:p>
    <w:p w14:paraId="03FCC3D2" w14:textId="77777777" w:rsidR="00066050" w:rsidRPr="00C62CCD" w:rsidRDefault="00066050" w:rsidP="004B10FF">
      <w:pPr>
        <w:tabs>
          <w:tab w:val="left" w:pos="426"/>
        </w:tabs>
        <w:spacing w:after="0" w:line="240" w:lineRule="auto"/>
        <w:ind w:left="709" w:right="709"/>
        <w:jc w:val="both"/>
        <w:rPr>
          <w:rFonts w:ascii="Verdana" w:eastAsia="Arial" w:hAnsi="Verdana" w:cs="Arial"/>
          <w:color w:val="000000" w:themeColor="text1"/>
          <w:sz w:val="21"/>
          <w:szCs w:val="21"/>
        </w:rPr>
      </w:pPr>
      <w:r>
        <w:rPr>
          <w:rFonts w:ascii="Verdana" w:eastAsia="Arial" w:hAnsi="Verdana" w:cs="Arial"/>
          <w:color w:val="000000" w:themeColor="text1"/>
          <w:sz w:val="21"/>
          <w:szCs w:val="21"/>
          <w:lang w:val="es-ES_tradnl"/>
        </w:rPr>
        <w:lastRenderedPageBreak/>
        <w:t>“</w:t>
      </w:r>
      <w:r w:rsidRPr="00C62CCD">
        <w:rPr>
          <w:rFonts w:ascii="Verdana" w:eastAsia="Arial" w:hAnsi="Verdana" w:cs="Arial"/>
          <w:color w:val="000000" w:themeColor="text1"/>
          <w:sz w:val="21"/>
          <w:szCs w:val="21"/>
        </w:rPr>
        <w:t xml:space="preserve">[…]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w:t>
      </w:r>
      <w:r>
        <w:rPr>
          <w:rFonts w:ascii="Verdana" w:eastAsia="Arial" w:hAnsi="Verdana" w:cs="Arial"/>
          <w:color w:val="000000" w:themeColor="text1"/>
          <w:sz w:val="21"/>
          <w:szCs w:val="21"/>
        </w:rPr>
        <w:t>‘</w:t>
      </w:r>
      <w:r w:rsidRPr="00C62CCD">
        <w:rPr>
          <w:rFonts w:ascii="Verdana" w:eastAsia="Arial" w:hAnsi="Verdana" w:cs="Arial"/>
          <w:color w:val="000000" w:themeColor="text1"/>
          <w:sz w:val="21"/>
          <w:szCs w:val="21"/>
        </w:rPr>
        <w:t>las propuestas deben referirse y sujetarse a todos y cada uno de los puntos contenidos en el pliego de condiciones</w:t>
      </w:r>
      <w:r>
        <w:rPr>
          <w:rFonts w:ascii="Verdana" w:eastAsia="Arial" w:hAnsi="Verdana" w:cs="Arial"/>
          <w:color w:val="000000" w:themeColor="text1"/>
          <w:sz w:val="21"/>
          <w:szCs w:val="21"/>
        </w:rPr>
        <w:t>’</w:t>
      </w:r>
      <w:r w:rsidRPr="00C62CCD">
        <w:rPr>
          <w:rFonts w:ascii="Verdana" w:eastAsia="Arial" w:hAnsi="Verdana" w:cs="Arial"/>
          <w:color w:val="000000" w:themeColor="text1"/>
          <w:sz w:val="21"/>
          <w:szCs w:val="21"/>
        </w:rPr>
        <w:t>,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Pr>
          <w:rFonts w:ascii="Verdana" w:eastAsia="Arial" w:hAnsi="Verdana" w:cs="Arial"/>
          <w:color w:val="000000" w:themeColor="text1"/>
          <w:sz w:val="21"/>
          <w:szCs w:val="21"/>
        </w:rPr>
        <w:t>”</w:t>
      </w:r>
      <w:r w:rsidRPr="00C62CCD">
        <w:rPr>
          <w:rFonts w:ascii="Verdana" w:eastAsia="Arial" w:hAnsi="Verdana" w:cs="Arial"/>
          <w:color w:val="000000" w:themeColor="text1"/>
          <w:sz w:val="21"/>
          <w:szCs w:val="21"/>
          <w:vertAlign w:val="superscript"/>
        </w:rPr>
        <w:t xml:space="preserve"> </w:t>
      </w:r>
      <w:r w:rsidRPr="00C62CCD">
        <w:rPr>
          <w:rFonts w:ascii="Verdana" w:eastAsia="Arial" w:hAnsi="Verdana" w:cs="Arial"/>
          <w:color w:val="000000" w:themeColor="text1"/>
          <w:sz w:val="21"/>
          <w:szCs w:val="21"/>
          <w:vertAlign w:val="superscript"/>
        </w:rPr>
        <w:footnoteReference w:id="14"/>
      </w:r>
      <w:r w:rsidRPr="00C62CCD">
        <w:rPr>
          <w:rFonts w:ascii="Verdana" w:eastAsia="Arial" w:hAnsi="Verdana" w:cs="Arial"/>
          <w:color w:val="000000" w:themeColor="text1"/>
          <w:sz w:val="21"/>
          <w:szCs w:val="21"/>
        </w:rPr>
        <w:t>.</w:t>
      </w:r>
    </w:p>
    <w:p w14:paraId="12F10624" w14:textId="77777777" w:rsidR="00066050" w:rsidRPr="00C62CCD" w:rsidRDefault="00066050" w:rsidP="004B10FF">
      <w:pPr>
        <w:tabs>
          <w:tab w:val="left" w:pos="426"/>
        </w:tabs>
        <w:spacing w:after="0" w:line="276" w:lineRule="auto"/>
        <w:ind w:left="709" w:right="709"/>
        <w:jc w:val="both"/>
        <w:rPr>
          <w:rFonts w:ascii="Verdana" w:eastAsia="Arial" w:hAnsi="Verdana" w:cs="Arial"/>
          <w:color w:val="000000" w:themeColor="text1"/>
        </w:rPr>
      </w:pPr>
    </w:p>
    <w:p w14:paraId="4385450E" w14:textId="77777777" w:rsidR="00066050" w:rsidRPr="00C62CCD" w:rsidRDefault="00066050" w:rsidP="004B10FF">
      <w:pPr>
        <w:spacing w:after="0" w:line="276" w:lineRule="auto"/>
        <w:ind w:firstLine="709"/>
        <w:jc w:val="both"/>
        <w:rPr>
          <w:rFonts w:ascii="Verdana" w:eastAsia="Arial" w:hAnsi="Verdana" w:cs="Arial"/>
          <w:color w:val="000000" w:themeColor="text1"/>
          <w:sz w:val="21"/>
          <w:szCs w:val="21"/>
        </w:rPr>
      </w:pPr>
      <w:r w:rsidRPr="00C62CCD">
        <w:rPr>
          <w:rFonts w:ascii="Verdana" w:eastAsia="Arial" w:hAnsi="Verdana" w:cs="Arial"/>
          <w:color w:val="000000" w:themeColor="text1"/>
        </w:rPr>
        <w:t xml:space="preserve">De igual manera, en los documentos tipo adoptados mediante las Resoluciones </w:t>
      </w:r>
      <w:r w:rsidRPr="00C62CCD">
        <w:rPr>
          <w:rFonts w:ascii="Verdana" w:hAnsi="Verdana" w:cs="Arial"/>
          <w:color w:val="0D0D0D"/>
          <w:bdr w:val="none" w:sz="0" w:space="0" w:color="auto" w:frame="1"/>
          <w:lang w:eastAsia="es-CO"/>
        </w:rPr>
        <w:t xml:space="preserve">No. </w:t>
      </w:r>
      <w:r>
        <w:rPr>
          <w:rFonts w:ascii="Verdana" w:hAnsi="Verdana" w:cs="Arial"/>
          <w:color w:val="0D0D0D"/>
          <w:bdr w:val="none" w:sz="0" w:space="0" w:color="auto" w:frame="1"/>
          <w:lang w:eastAsia="es-CO"/>
        </w:rPr>
        <w:t>463 y 465 del 10 de septiembre de 2024</w:t>
      </w:r>
      <w:r w:rsidRPr="00C62CCD">
        <w:rPr>
          <w:rFonts w:ascii="Verdana" w:eastAsia="Arial" w:hAnsi="Verdana" w:cs="Arial"/>
          <w:color w:val="000000" w:themeColor="text1"/>
        </w:rPr>
        <w:t>, la obligación del proponente de presentar su oferta de manera íntegra es congruente con el numeral 1.6 del documento base. Al respecto,  el pliego dispone que</w:t>
      </w:r>
      <w:r w:rsidRPr="00C62CCD">
        <w:rPr>
          <w:rFonts w:ascii="Verdana" w:eastAsia="Arial" w:hAnsi="Verdana" w:cs="Arial"/>
          <w:color w:val="000000" w:themeColor="text1"/>
          <w:sz w:val="21"/>
          <w:szCs w:val="21"/>
        </w:rPr>
        <w:t>:</w:t>
      </w:r>
    </w:p>
    <w:p w14:paraId="6AB709D8" w14:textId="77777777" w:rsidR="00066050" w:rsidRPr="00C62CCD" w:rsidRDefault="00066050" w:rsidP="004B10FF">
      <w:pPr>
        <w:spacing w:after="0" w:line="276" w:lineRule="auto"/>
        <w:ind w:firstLine="360"/>
        <w:jc w:val="both"/>
        <w:rPr>
          <w:rFonts w:ascii="Verdana" w:eastAsia="Arial" w:hAnsi="Verdana" w:cs="Arial"/>
          <w:color w:val="000000" w:themeColor="text1"/>
          <w:sz w:val="21"/>
          <w:szCs w:val="21"/>
        </w:rPr>
      </w:pPr>
    </w:p>
    <w:p w14:paraId="0B01828E" w14:textId="77777777" w:rsidR="00066050" w:rsidRPr="00C62CCD" w:rsidRDefault="00066050" w:rsidP="004B10FF">
      <w:pPr>
        <w:spacing w:after="120" w:line="240" w:lineRule="auto"/>
        <w:ind w:left="709" w:right="709"/>
        <w:jc w:val="both"/>
        <w:rPr>
          <w:rFonts w:ascii="Verdana" w:eastAsia="Arial" w:hAnsi="Verdana" w:cs="Arial"/>
          <w:color w:val="000000" w:themeColor="text1"/>
          <w:sz w:val="21"/>
          <w:szCs w:val="21"/>
        </w:rPr>
      </w:pPr>
      <w:r>
        <w:rPr>
          <w:rFonts w:ascii="Verdana" w:eastAsia="Arial" w:hAnsi="Verdana" w:cs="Arial"/>
          <w:color w:val="000000" w:themeColor="text1"/>
          <w:sz w:val="21"/>
          <w:szCs w:val="21"/>
        </w:rPr>
        <w:t>“</w:t>
      </w:r>
      <w:r w:rsidRPr="00C62CCD">
        <w:rPr>
          <w:rFonts w:ascii="Verdana" w:eastAsia="Arial" w:hAnsi="Verdana" w:cs="Arial"/>
          <w:color w:val="000000" w:themeColor="text1"/>
          <w:sz w:val="21"/>
          <w:szCs w:val="21"/>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53FA4851" w14:textId="77777777" w:rsidR="00066050" w:rsidRPr="00C62CCD" w:rsidRDefault="00066050" w:rsidP="004B10FF">
      <w:pPr>
        <w:spacing w:after="0" w:line="240" w:lineRule="auto"/>
        <w:ind w:left="709" w:right="709"/>
        <w:jc w:val="both"/>
        <w:rPr>
          <w:rFonts w:ascii="Verdana" w:eastAsia="Arial" w:hAnsi="Verdana" w:cs="Arial"/>
          <w:color w:val="000000" w:themeColor="text1"/>
          <w:sz w:val="21"/>
          <w:szCs w:val="21"/>
        </w:rPr>
      </w:pPr>
      <w:r w:rsidRPr="00C62CCD">
        <w:rPr>
          <w:rFonts w:ascii="Verdana" w:eastAsia="Arial" w:hAnsi="Verdana" w:cs="Arial"/>
          <w:color w:val="000000" w:themeColor="text1"/>
          <w:sz w:val="21"/>
          <w:szCs w:val="21"/>
        </w:rPr>
        <w:t>En caso de ser necesario, la Entidad deberá solicitar a los Proponentes durante el proceso de evaluación, y a más tardar en el informe de evaluación, las aclaraciones, precisiones o solicitud de documentos que puedan ser subsanables</w:t>
      </w:r>
      <w:r>
        <w:rPr>
          <w:rFonts w:ascii="Verdana" w:eastAsia="Arial" w:hAnsi="Verdana" w:cs="Arial"/>
          <w:color w:val="000000" w:themeColor="text1"/>
          <w:sz w:val="21"/>
          <w:szCs w:val="21"/>
        </w:rPr>
        <w:t xml:space="preserve"> […]”</w:t>
      </w:r>
      <w:r w:rsidRPr="00C62CCD">
        <w:rPr>
          <w:rFonts w:ascii="Verdana" w:eastAsia="Arial" w:hAnsi="Verdana" w:cs="Arial"/>
          <w:color w:val="000000" w:themeColor="text1"/>
          <w:sz w:val="21"/>
          <w:szCs w:val="21"/>
        </w:rPr>
        <w:t>.</w:t>
      </w:r>
    </w:p>
    <w:p w14:paraId="43B5373F" w14:textId="77777777" w:rsidR="00066050" w:rsidRPr="00C62CCD" w:rsidRDefault="00066050" w:rsidP="004B10FF">
      <w:pPr>
        <w:spacing w:after="0" w:line="276" w:lineRule="auto"/>
        <w:jc w:val="both"/>
        <w:rPr>
          <w:rFonts w:ascii="Verdana" w:hAnsi="Verdana" w:cs="Arial"/>
          <w:color w:val="201F1E"/>
          <w:bdr w:val="none" w:sz="0" w:space="0" w:color="auto" w:frame="1"/>
        </w:rPr>
      </w:pPr>
    </w:p>
    <w:p w14:paraId="1A155457" w14:textId="77777777" w:rsidR="00066050" w:rsidRDefault="00066050" w:rsidP="004B10FF">
      <w:pPr>
        <w:spacing w:after="0" w:line="276" w:lineRule="auto"/>
        <w:ind w:firstLine="709"/>
        <w:jc w:val="both"/>
        <w:rPr>
          <w:rFonts w:ascii="Verdana" w:hAnsi="Verdana" w:cs="Arial"/>
          <w:bdr w:val="none" w:sz="0" w:space="0" w:color="auto" w:frame="1"/>
          <w:lang w:val="es-ES_tradnl"/>
        </w:rPr>
      </w:pPr>
      <w:r w:rsidRPr="00C62CCD">
        <w:rPr>
          <w:rFonts w:ascii="Verdana" w:hAnsi="Verdana" w:cs="Arial"/>
          <w:bdr w:val="none" w:sz="0" w:space="0" w:color="auto" w:frame="1"/>
        </w:rPr>
        <w:t xml:space="preserve">Bajo la premisa de que el proponente deberá presentar su oferta de manera completa, es que se debe interpretar la expresión </w:t>
      </w:r>
      <w:r>
        <w:rPr>
          <w:rFonts w:ascii="Verdana" w:hAnsi="Verdana" w:cs="Arial"/>
          <w:bdr w:val="none" w:sz="0" w:space="0" w:color="auto" w:frame="1"/>
          <w:lang w:val="es-ES_tradnl"/>
        </w:rPr>
        <w:t>“</w:t>
      </w:r>
      <w:r w:rsidRPr="00C62CCD">
        <w:rPr>
          <w:rFonts w:ascii="Verdana" w:hAnsi="Verdana" w:cs="Arial"/>
          <w:bdr w:val="none" w:sz="0" w:space="0" w:color="auto" w:frame="1"/>
          <w:lang w:val="es-ES_tradnl"/>
        </w:rPr>
        <w:t>circunstancias ocurridas con posterioridad al cierre del proceso</w:t>
      </w:r>
      <w:r>
        <w:rPr>
          <w:rFonts w:ascii="Verdana" w:hAnsi="Verdana" w:cs="Arial"/>
          <w:bdr w:val="none" w:sz="0" w:space="0" w:color="auto" w:frame="1"/>
          <w:lang w:val="es-ES_tradnl"/>
        </w:rPr>
        <w:t>”</w:t>
      </w:r>
      <w:r w:rsidRPr="00C62CCD">
        <w:rPr>
          <w:rFonts w:ascii="Verdana" w:hAnsi="Verdana" w:cs="Arial"/>
          <w:bdr w:val="none" w:sz="0" w:space="0" w:color="auto" w:frame="1"/>
          <w:lang w:val="es-ES_tradnl"/>
        </w:rPr>
        <w:t xml:space="preserve">. Como se explicó en el </w:t>
      </w:r>
      <w:r w:rsidRPr="00C62CCD">
        <w:rPr>
          <w:rStyle w:val="normaltextrun"/>
          <w:rFonts w:ascii="Verdana" w:hAnsi="Verdana" w:cs="Arial"/>
          <w:color w:val="000000"/>
          <w:shd w:val="clear" w:color="auto" w:fill="FFFFFF"/>
        </w:rPr>
        <w:t xml:space="preserve">Concepto CU-060 del 24 de febrero de 2020, </w:t>
      </w:r>
      <w:r w:rsidRPr="00C62CCD">
        <w:rPr>
          <w:rFonts w:ascii="Verdana" w:hAnsi="Verdana" w:cs="Arial"/>
          <w:bdr w:val="none" w:sz="0" w:space="0" w:color="auto" w:frame="1"/>
          <w:lang w:val="es-ES_tradnl"/>
        </w:rPr>
        <w:t xml:space="preserve">esto lleva a la necesidad de distinguir entre la prueba de un hecho y el hecho mismo. En el caso de la </w:t>
      </w:r>
      <w:proofErr w:type="spellStart"/>
      <w:r w:rsidRPr="00C62CCD">
        <w:rPr>
          <w:rFonts w:ascii="Verdana" w:hAnsi="Verdana" w:cs="Arial"/>
          <w:bdr w:val="none" w:sz="0" w:space="0" w:color="auto" w:frame="1"/>
          <w:lang w:val="es-ES_tradnl"/>
        </w:rPr>
        <w:t>subsanabilidad</w:t>
      </w:r>
      <w:proofErr w:type="spellEnd"/>
      <w:r w:rsidRPr="00C62CCD">
        <w:rPr>
          <w:rFonts w:ascii="Verdana" w:hAnsi="Verdana" w:cs="Arial"/>
          <w:bdr w:val="none" w:sz="0" w:space="0" w:color="auto" w:frame="1"/>
          <w:lang w:val="es-ES_tradnl"/>
        </w:rPr>
        <w:t xml:space="preserve"> de las ofertas una cosa es el requisito habilitante o el elemento de la propuesta y otra su prueba. Lo que prohíbe la norma, es que se subsanen </w:t>
      </w:r>
      <w:r w:rsidRPr="00C62CCD">
        <w:rPr>
          <w:rFonts w:ascii="Verdana" w:hAnsi="Verdana" w:cs="Arial"/>
          <w:bdr w:val="none" w:sz="0" w:space="0" w:color="auto" w:frame="1"/>
          <w:lang w:val="es-ES_tradnl"/>
        </w:rPr>
        <w:lastRenderedPageBreak/>
        <w:t>requisitos que no estaban cumplidos al momento de presentar la oferta, o en palabras de la ley, que se acrediten hechos que ocurrieron después del cierre del proceso, en tanto esto implicaría que el proponente pueda hacer mejoras o adicione circunstancias que no corresponden a la oferta inicialmente presentada</w:t>
      </w:r>
      <w:r w:rsidRPr="00C62CCD">
        <w:rPr>
          <w:rStyle w:val="Refdenotaalpie"/>
          <w:rFonts w:ascii="Verdana" w:hAnsi="Verdana" w:cs="Arial"/>
          <w:bdr w:val="none" w:sz="0" w:space="0" w:color="auto" w:frame="1"/>
          <w:lang w:val="es-ES_tradnl"/>
        </w:rPr>
        <w:footnoteReference w:id="15"/>
      </w:r>
      <w:r w:rsidRPr="00C62CCD">
        <w:rPr>
          <w:rFonts w:ascii="Verdana" w:hAnsi="Verdana" w:cs="Arial"/>
          <w:bdr w:val="none" w:sz="0" w:space="0" w:color="auto" w:frame="1"/>
          <w:lang w:val="es-ES_tradnl"/>
        </w:rPr>
        <w:t>.</w:t>
      </w:r>
    </w:p>
    <w:p w14:paraId="3F514906" w14:textId="77777777" w:rsidR="00066050" w:rsidRPr="00C62CCD" w:rsidRDefault="00066050" w:rsidP="004B10FF">
      <w:pPr>
        <w:spacing w:after="0" w:line="276" w:lineRule="auto"/>
        <w:ind w:firstLine="709"/>
        <w:jc w:val="both"/>
        <w:rPr>
          <w:rFonts w:ascii="Verdana" w:hAnsi="Verdana" w:cs="Arial"/>
          <w:bdr w:val="none" w:sz="0" w:space="0" w:color="auto" w:frame="1"/>
          <w:lang w:val="es-ES_tradnl"/>
        </w:rPr>
      </w:pPr>
    </w:p>
    <w:p w14:paraId="2C6B4698" w14:textId="77777777" w:rsidR="00066050" w:rsidRPr="00C62CCD" w:rsidRDefault="00066050" w:rsidP="00066050">
      <w:pPr>
        <w:spacing w:after="120" w:line="276" w:lineRule="auto"/>
        <w:jc w:val="both"/>
        <w:rPr>
          <w:rFonts w:ascii="Verdana" w:hAnsi="Verdana" w:cs="Arial"/>
          <w:color w:val="000000" w:themeColor="text1"/>
          <w:lang w:val="es-ES"/>
        </w:rPr>
      </w:pPr>
      <w:proofErr w:type="spellStart"/>
      <w:r w:rsidRPr="214B87FE">
        <w:rPr>
          <w:rFonts w:ascii="Verdana" w:eastAsia="Calibri" w:hAnsi="Verdana" w:cs="Arial"/>
          <w:color w:val="000000" w:themeColor="text1"/>
          <w:lang w:val="es-ES"/>
        </w:rPr>
        <w:t>iv</w:t>
      </w:r>
      <w:proofErr w:type="spellEnd"/>
      <w:r w:rsidRPr="214B87FE">
        <w:rPr>
          <w:rFonts w:ascii="Verdana" w:eastAsia="Calibri" w:hAnsi="Verdana" w:cs="Arial"/>
          <w:color w:val="000000" w:themeColor="text1"/>
          <w:lang w:val="es-ES"/>
        </w:rPr>
        <w:t>. Analizada la regla del parágrafo primero del artículo 5 de la Ley 1150 de 2007</w:t>
      </w:r>
      <w:r w:rsidRPr="214B87FE">
        <w:rPr>
          <w:rFonts w:ascii="Verdana" w:hAnsi="Verdana" w:cs="Arial"/>
          <w:color w:val="000000" w:themeColor="text1"/>
          <w:lang w:val="es-ES"/>
        </w:rPr>
        <w:t xml:space="preserve">, los criterios de desempate afectan la asignación de puntaje,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asignación de puntaje y deciden el resultado del proceso de selección.  </w:t>
      </w:r>
    </w:p>
    <w:p w14:paraId="2A7FFFC6" w14:textId="77777777" w:rsidR="00066050" w:rsidRPr="00C62CCD" w:rsidRDefault="00066050" w:rsidP="00066050">
      <w:pPr>
        <w:spacing w:after="120" w:line="276" w:lineRule="auto"/>
        <w:ind w:firstLine="709"/>
        <w:jc w:val="both"/>
        <w:rPr>
          <w:rFonts w:ascii="Verdana" w:hAnsi="Verdana" w:cs="Arial"/>
          <w:color w:val="000000" w:themeColor="text1"/>
          <w:lang w:val="es-ES_tradnl"/>
        </w:rPr>
      </w:pPr>
      <w:r w:rsidRPr="00C62CCD">
        <w:rPr>
          <w:rFonts w:ascii="Verdana" w:hAnsi="Verdana" w:cs="Arial"/>
          <w:color w:val="000000" w:themeColor="text1"/>
          <w:lang w:val="es-ES_tradnl"/>
        </w:rPr>
        <w:t>P</w:t>
      </w:r>
      <w:r>
        <w:rPr>
          <w:rFonts w:ascii="Verdana" w:hAnsi="Verdana" w:cs="Arial"/>
          <w:color w:val="000000" w:themeColor="text1"/>
          <w:lang w:val="es-ES_tradnl"/>
        </w:rPr>
        <w:t>or ejemplo, p</w:t>
      </w:r>
      <w:r w:rsidRPr="00C62CCD">
        <w:rPr>
          <w:rFonts w:ascii="Verdana" w:hAnsi="Verdana" w:cs="Arial"/>
          <w:color w:val="000000" w:themeColor="text1"/>
          <w:lang w:val="es-ES_tradnl"/>
        </w:rPr>
        <w:t xml:space="preserve">ara los documentos tipo de licitación –versión </w:t>
      </w:r>
      <w:r>
        <w:rPr>
          <w:rFonts w:ascii="Verdana" w:hAnsi="Verdana" w:cs="Arial"/>
          <w:color w:val="000000" w:themeColor="text1"/>
          <w:lang w:val="es-ES_tradnl"/>
        </w:rPr>
        <w:t>4</w:t>
      </w:r>
      <w:r w:rsidRPr="00C62CCD">
        <w:rPr>
          <w:rFonts w:ascii="Verdana" w:hAnsi="Verdana" w:cs="Arial"/>
          <w:color w:val="000000" w:themeColor="text1"/>
          <w:lang w:val="es-ES_tradnl"/>
        </w:rPr>
        <w:t xml:space="preserve">– y selección abreviada –versión </w:t>
      </w:r>
      <w:r>
        <w:rPr>
          <w:rFonts w:ascii="Verdana" w:hAnsi="Verdana" w:cs="Arial"/>
          <w:color w:val="000000" w:themeColor="text1"/>
          <w:lang w:val="es-ES_tradnl"/>
        </w:rPr>
        <w:t>3</w:t>
      </w:r>
      <w:r w:rsidRPr="00C62CCD">
        <w:rPr>
          <w:rFonts w:ascii="Verdana" w:hAnsi="Verdana" w:cs="Arial"/>
          <w:color w:val="000000" w:themeColor="text1"/>
          <w:lang w:val="es-ES_tradnl"/>
        </w:rPr>
        <w:t xml:space="preserve">– de obra pública de infraestructura de transporte, esta idea es congruente con el numeral 1.6 del pliego de condiciones. Al respecto, el documento base dispone que </w:t>
      </w:r>
      <w:r>
        <w:rPr>
          <w:rFonts w:ascii="Verdana" w:hAnsi="Verdana" w:cs="Arial"/>
          <w:color w:val="000000" w:themeColor="text1"/>
          <w:lang w:val="es-ES_tradnl"/>
        </w:rPr>
        <w:t>“</w:t>
      </w:r>
      <w:r w:rsidRPr="00C62CCD">
        <w:rPr>
          <w:rFonts w:ascii="Verdana" w:hAnsi="Verdana" w:cs="Arial"/>
          <w:color w:val="000000" w:themeColor="text1"/>
          <w:lang w:val="es-ES_tradnl"/>
        </w:rPr>
        <w:t xml:space="preserve">Todos aquellos requisitos de la oferta que afecten la asignación de puntaje, </w:t>
      </w:r>
      <w:r w:rsidRPr="00C62CCD">
        <w:rPr>
          <w:rFonts w:ascii="Verdana" w:hAnsi="Verdana" w:cs="Arial"/>
          <w:i/>
          <w:iCs/>
          <w:color w:val="000000" w:themeColor="text1"/>
          <w:lang w:val="es-ES_tradnl"/>
        </w:rPr>
        <w:t>incluyendo los necesarios para acreditar requisitos de desempate</w:t>
      </w:r>
      <w:r w:rsidRPr="00C62CCD">
        <w:rPr>
          <w:rFonts w:ascii="Verdana" w:hAnsi="Verdana" w:cs="Arial"/>
          <w:color w:val="000000" w:themeColor="text1"/>
          <w:lang w:val="es-ES_tradnl"/>
        </w:rPr>
        <w:t>, no son subsanables, por lo que los mismos deben ser aportados por los proponentes desde la presentación de la oferta. No obstante, pueden ser aclarados o ser objeto de explicación</w:t>
      </w:r>
      <w:r>
        <w:rPr>
          <w:rFonts w:ascii="Verdana" w:hAnsi="Verdana" w:cs="Arial"/>
          <w:color w:val="000000" w:themeColor="text1"/>
          <w:lang w:val="es-ES_tradnl"/>
        </w:rPr>
        <w:t>”</w:t>
      </w:r>
      <w:r w:rsidRPr="00C62CCD">
        <w:rPr>
          <w:rFonts w:ascii="Verdana" w:hAnsi="Verdana" w:cs="Arial"/>
          <w:color w:val="000000" w:themeColor="text1"/>
          <w:lang w:val="es-ES_tradnl"/>
        </w:rPr>
        <w:t xml:space="preserve"> (Énfasis fuera de texto).</w:t>
      </w:r>
    </w:p>
    <w:p w14:paraId="0B841E82" w14:textId="77777777" w:rsidR="00066050" w:rsidRPr="00C62CCD" w:rsidRDefault="00066050" w:rsidP="00066050">
      <w:pPr>
        <w:spacing w:after="120" w:line="276" w:lineRule="auto"/>
        <w:ind w:firstLine="709"/>
        <w:jc w:val="both"/>
        <w:rPr>
          <w:rFonts w:ascii="Verdana" w:hAnsi="Verdana" w:cs="Arial"/>
          <w:color w:val="000000" w:themeColor="text1"/>
          <w:lang w:val="es-ES"/>
        </w:rPr>
      </w:pPr>
      <w:r w:rsidRPr="214B87FE">
        <w:rPr>
          <w:rFonts w:ascii="Verdana" w:hAnsi="Verdana" w:cs="Arial"/>
          <w:color w:val="000000" w:themeColor="text1"/>
          <w:lang w:val="es-ES"/>
        </w:rPr>
        <w:t xml:space="preserve">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“condiciones habilitantes”, ya que –en los términos del artículo 5.1 de la Ley 1150 de 2007– ninguno de ellos está relacionado con la prueba de la capacidad jurídica o la certificación de las condiciones de experiencia, capacidad financiera y de organización de los proponentes. </w:t>
      </w:r>
    </w:p>
    <w:p w14:paraId="669310F4" w14:textId="77777777" w:rsidR="00066050" w:rsidRPr="00C62CCD" w:rsidRDefault="00066050" w:rsidP="00066050">
      <w:pPr>
        <w:spacing w:after="120" w:line="276" w:lineRule="auto"/>
        <w:ind w:firstLine="709"/>
        <w:jc w:val="both"/>
        <w:rPr>
          <w:rFonts w:ascii="Verdana" w:hAnsi="Verdana" w:cs="Arial"/>
          <w:color w:val="000000" w:themeColor="text1"/>
          <w:lang w:val="es-ES_tradnl"/>
        </w:rPr>
      </w:pPr>
      <w:r w:rsidRPr="00C62CCD">
        <w:rPr>
          <w:rFonts w:ascii="Verdana" w:hAnsi="Verdana" w:cs="Arial"/>
          <w:color w:val="000000" w:themeColor="text1"/>
          <w:lang w:val="es-ES_tradnl"/>
        </w:rPr>
        <w:t xml:space="preserve">De considerase </w:t>
      </w:r>
      <w:r>
        <w:rPr>
          <w:rFonts w:ascii="Verdana" w:hAnsi="Verdana" w:cs="Arial"/>
          <w:color w:val="000000" w:themeColor="text1"/>
          <w:lang w:val="es-ES_tradnl"/>
        </w:rPr>
        <w:t>“</w:t>
      </w:r>
      <w:r w:rsidRPr="00C62CCD">
        <w:rPr>
          <w:rFonts w:ascii="Verdana" w:hAnsi="Verdana" w:cs="Arial"/>
          <w:color w:val="000000" w:themeColor="text1"/>
          <w:lang w:val="es-ES_tradnl"/>
        </w:rPr>
        <w:t>condiciones habilitantes</w:t>
      </w:r>
      <w:r>
        <w:rPr>
          <w:rFonts w:ascii="Verdana" w:hAnsi="Verdana" w:cs="Arial"/>
          <w:color w:val="000000" w:themeColor="text1"/>
          <w:lang w:val="es-ES_tradnl"/>
        </w:rPr>
        <w:t>”</w:t>
      </w:r>
      <w:r w:rsidRPr="00C62CCD">
        <w:rPr>
          <w:rFonts w:ascii="Verdana" w:hAnsi="Verdana" w:cs="Arial"/>
          <w:color w:val="000000" w:themeColor="text1"/>
          <w:lang w:val="es-ES_tradnl"/>
        </w:rPr>
        <w:t xml:space="preserve">, se llegaría a la idea de que –so pena de rechazo– la participación en el procedimiento contractual está sujeta a </w:t>
      </w:r>
      <w:r w:rsidRPr="00C62CCD">
        <w:rPr>
          <w:rFonts w:ascii="Verdana" w:hAnsi="Verdana" w:cs="Arial"/>
          <w:color w:val="000000" w:themeColor="text1"/>
          <w:lang w:val="es-ES_tradnl"/>
        </w:rPr>
        <w:lastRenderedPageBreak/>
        <w:t xml:space="preserve">la prueba de por lo menos una de las causales del artículo 35 de la Ley 2069 de 2020. Esta conclusión no tendría sentido, ya que es posible la acreditación de los requisitos previstos en el artículo 5.1 de la Ley 1150 de 2007, sin que la ausencia de prueba del criterio de desempate condicione la aplicación de los factores de evaluación previstos en el pliego de condiciones. Naturalmente, en caso de empate, la consecuencia es que la adjudicación se resuelve con los participantes que acreditaron alguno de los factores, excluyendo a quienes no lo hicieron. </w:t>
      </w:r>
    </w:p>
    <w:p w14:paraId="12B7008B" w14:textId="25222599" w:rsidR="004B10FF" w:rsidRPr="00C62CCD" w:rsidRDefault="00066050" w:rsidP="004B10FF">
      <w:pPr>
        <w:spacing w:after="120" w:line="276" w:lineRule="auto"/>
        <w:ind w:firstLine="709"/>
        <w:jc w:val="both"/>
        <w:rPr>
          <w:rFonts w:ascii="Verdana" w:hAnsi="Verdana" w:cs="Arial"/>
          <w:color w:val="000000" w:themeColor="text1"/>
          <w:lang w:val="es-ES_tradnl"/>
        </w:rPr>
      </w:pPr>
      <w:r w:rsidRPr="00C62CCD">
        <w:rPr>
          <w:rFonts w:ascii="Verdana" w:hAnsi="Verdana" w:cs="Arial"/>
          <w:color w:val="000000" w:themeColor="text1"/>
          <w:lang w:val="es-ES_tradnl"/>
        </w:rPr>
        <w:t xml:space="preserve">De esta manera, los factores de desempate afectan la </w:t>
      </w:r>
      <w:r>
        <w:rPr>
          <w:rFonts w:ascii="Verdana" w:hAnsi="Verdana" w:cs="Arial"/>
          <w:color w:val="000000" w:themeColor="text1"/>
          <w:lang w:val="es-ES_tradnl"/>
        </w:rPr>
        <w:t>“</w:t>
      </w:r>
      <w:r w:rsidRPr="00C62CCD">
        <w:rPr>
          <w:rFonts w:ascii="Verdana" w:hAnsi="Verdana" w:cs="Arial"/>
          <w:color w:val="000000" w:themeColor="text1"/>
          <w:lang w:val="es-ES_tradnl"/>
        </w:rPr>
        <w:t>asignación de puntaje</w:t>
      </w:r>
      <w:r>
        <w:rPr>
          <w:rFonts w:ascii="Verdana" w:hAnsi="Verdana" w:cs="Arial"/>
          <w:color w:val="000000" w:themeColor="text1"/>
          <w:lang w:val="es-ES_tradnl"/>
        </w:rPr>
        <w:t>”</w:t>
      </w:r>
      <w:r w:rsidRPr="00C62CCD">
        <w:rPr>
          <w:rFonts w:ascii="Verdana" w:hAnsi="Verdana" w:cs="Arial"/>
          <w:color w:val="000000" w:themeColor="text1"/>
          <w:lang w:val="es-ES_tradnl"/>
        </w:rPr>
        <w:t xml:space="preserve"> en los términos del</w:t>
      </w:r>
      <w:r w:rsidRPr="00C62CCD">
        <w:rPr>
          <w:rFonts w:ascii="Verdana" w:eastAsia="Calibri" w:hAnsi="Verdana" w:cs="Arial"/>
          <w:color w:val="000000" w:themeColor="text1"/>
          <w:lang w:val="es-ES_tradnl"/>
        </w:rPr>
        <w:t xml:space="preserve"> parágrafo primero del artículo 5 de la Ley 1150 de 2007, en la medida que </w:t>
      </w:r>
      <w:r w:rsidRPr="00C62CCD">
        <w:rPr>
          <w:rFonts w:ascii="Verdana" w:hAnsi="Verdana" w:cs="Arial"/>
          <w:color w:val="000000" w:themeColor="text1"/>
          <w:lang w:val="es-ES_tradnl"/>
        </w:rPr>
        <w:t xml:space="preserve">influyen en la </w:t>
      </w:r>
      <w:r>
        <w:rPr>
          <w:rFonts w:ascii="Verdana" w:hAnsi="Verdana" w:cs="Arial"/>
          <w:color w:val="000000" w:themeColor="text1"/>
          <w:lang w:val="es-ES_tradnl"/>
        </w:rPr>
        <w:t>“</w:t>
      </w:r>
      <w:r w:rsidRPr="00C62CCD">
        <w:rPr>
          <w:rFonts w:ascii="Verdana" w:hAnsi="Verdana" w:cs="Arial"/>
          <w:color w:val="000000" w:themeColor="text1"/>
          <w:lang w:val="es-ES_tradnl"/>
        </w:rPr>
        <w:t>comparación de las propuestas</w:t>
      </w:r>
      <w:r>
        <w:rPr>
          <w:rFonts w:ascii="Verdana" w:hAnsi="Verdana" w:cs="Arial"/>
          <w:color w:val="000000" w:themeColor="text1"/>
          <w:lang w:val="es-ES_tradnl"/>
        </w:rPr>
        <w:t>”</w:t>
      </w:r>
      <w:r w:rsidRPr="00C62CCD">
        <w:rPr>
          <w:rFonts w:ascii="Verdana" w:hAnsi="Verdana" w:cs="Arial"/>
          <w:color w:val="000000" w:themeColor="text1"/>
          <w:lang w:val="es-ES_tradnl"/>
        </w:rPr>
        <w:t xml:space="preserve">. En efecto, algunos de los factores de evaluación también son criterios de desempate: este es el caso de los previstos en el artículo 2 de la Ley 816 de 2003 y en </w:t>
      </w:r>
      <w:bookmarkStart w:id="4" w:name="_Hlk71484452"/>
      <w:r w:rsidRPr="00C62CCD">
        <w:rPr>
          <w:rFonts w:ascii="Verdana" w:hAnsi="Verdana" w:cs="Arial"/>
          <w:color w:val="000000" w:themeColor="text1"/>
          <w:lang w:val="es-ES_tradnl"/>
        </w:rPr>
        <w:t xml:space="preserve">el artículo </w:t>
      </w:r>
      <w:r w:rsidRPr="00C62CCD">
        <w:rPr>
          <w:rFonts w:ascii="Verdana" w:eastAsia="Calibri" w:hAnsi="Verdana" w:cs="Arial"/>
          <w:lang w:val="es-ES"/>
        </w:rPr>
        <w:t>2.2.1.2.4.2.6 del Decreto 1082 de 2015</w:t>
      </w:r>
      <w:bookmarkEnd w:id="4"/>
      <w:r w:rsidRPr="00C62CCD">
        <w:rPr>
          <w:rFonts w:ascii="Verdana" w:eastAsia="Calibri" w:hAnsi="Verdana" w:cs="Arial"/>
          <w:lang w:val="es-ES"/>
        </w:rPr>
        <w:t xml:space="preserve"> para los proponentes que oferten bienes y servicios nacionales o vinculen personas en situación de discapacidad, respectivamente</w:t>
      </w:r>
      <w:r w:rsidRPr="00C62CCD">
        <w:rPr>
          <w:rStyle w:val="Refdenotaalpie"/>
          <w:rFonts w:ascii="Verdana" w:hAnsi="Verdana" w:cs="Arial"/>
          <w:color w:val="000000" w:themeColor="text1"/>
          <w:lang w:val="es-ES_tradnl"/>
        </w:rPr>
        <w:footnoteReference w:id="16"/>
      </w:r>
      <w:r w:rsidRPr="00C62CCD">
        <w:rPr>
          <w:rFonts w:ascii="Verdana" w:eastAsia="Calibri" w:hAnsi="Verdana" w:cs="Arial"/>
          <w:lang w:val="es-ES"/>
        </w:rPr>
        <w:t>.</w:t>
      </w:r>
      <w:r w:rsidRPr="00C62CCD">
        <w:rPr>
          <w:rFonts w:ascii="Verdana" w:hAnsi="Verdana" w:cs="Arial"/>
          <w:color w:val="000000" w:themeColor="text1"/>
          <w:lang w:val="es-ES_tradnl"/>
        </w:rPr>
        <w:t xml:space="preserve"> Por tanto, si no es posible subsanar los factores de evaluación previstos en las normas citadas, mucho menos es posible subsanarlos tratándose de los factores de desempate de los numerales 1 y 3 del artículo 35 de la Ley de Emprendimiento. Esta conclusión se extiende al resto de las causales de esta norma, ya que definen la adjudicación del contrato en caso de empate en el puntaje total de dos o más ofertas en los procesos de contratación. </w:t>
      </w:r>
    </w:p>
    <w:p w14:paraId="622403AB" w14:textId="77777777" w:rsidR="00066050" w:rsidRDefault="00066050" w:rsidP="004B10FF">
      <w:pPr>
        <w:spacing w:after="0" w:line="276" w:lineRule="auto"/>
        <w:ind w:firstLine="709"/>
        <w:jc w:val="both"/>
        <w:rPr>
          <w:rFonts w:ascii="Verdana" w:hAnsi="Verdana" w:cs="Arial"/>
          <w:color w:val="000000" w:themeColor="text1"/>
          <w:lang w:val="es-ES_tradnl"/>
        </w:rPr>
      </w:pPr>
      <w:r w:rsidRPr="00C62CCD">
        <w:rPr>
          <w:rFonts w:ascii="Verdana" w:hAnsi="Verdana" w:cs="Arial"/>
          <w:color w:val="000000" w:themeColor="text1"/>
          <w:lang w:val="es-ES_tradnl"/>
        </w:rPr>
        <w:t xml:space="preserve">Dado que los factores de desempate influyen en la ponderación de las ofertas presentadas,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w:t>
      </w:r>
      <w:r w:rsidRPr="00C62CCD">
        <w:rPr>
          <w:rFonts w:ascii="Verdana" w:eastAsia="Calibri" w:hAnsi="Verdana" w:cs="Arial"/>
          <w:color w:val="000000" w:themeColor="text1"/>
          <w:lang w:val="es-ES_tradnl"/>
        </w:rPr>
        <w:t>parágrafo primero del artículo 5 de la Ley 1150 de 2007</w:t>
      </w:r>
      <w:r w:rsidRPr="00C62CCD">
        <w:rPr>
          <w:rFonts w:ascii="Verdana" w:hAnsi="Verdana" w:cs="Arial"/>
          <w:color w:val="000000" w:themeColor="text1"/>
          <w:lang w:val="es-ES_tradnl"/>
        </w:rPr>
        <w:t xml:space="preserve">. Por tanto, dado que no existe oportunidad posterior, la documentación relacionada con los factores </w:t>
      </w:r>
      <w:r w:rsidRPr="00C62CCD">
        <w:rPr>
          <w:rFonts w:ascii="Verdana" w:hAnsi="Verdana" w:cs="Arial"/>
          <w:color w:val="000000" w:themeColor="text1"/>
          <w:lang w:val="es-ES_tradnl"/>
        </w:rPr>
        <w:lastRenderedPageBreak/>
        <w:t>de desempate debe entregarse con la oferta de forma completa e integra, antes del cierre del proceso de selección.</w:t>
      </w:r>
    </w:p>
    <w:p w14:paraId="1AAD98FB" w14:textId="77777777" w:rsidR="00066050" w:rsidRDefault="00066050" w:rsidP="004B10FF">
      <w:pPr>
        <w:spacing w:after="0" w:line="276" w:lineRule="auto"/>
        <w:jc w:val="both"/>
        <w:rPr>
          <w:rFonts w:ascii="Verdana" w:hAnsi="Verdana" w:cs="Arial"/>
          <w:color w:val="000000" w:themeColor="text1"/>
          <w:lang w:val="es-ES_tradnl"/>
        </w:rPr>
      </w:pPr>
    </w:p>
    <w:p w14:paraId="10D29134" w14:textId="77777777" w:rsidR="00066050" w:rsidRDefault="00066050" w:rsidP="00066050">
      <w:pPr>
        <w:spacing w:after="120" w:line="276" w:lineRule="auto"/>
        <w:jc w:val="both"/>
        <w:rPr>
          <w:rFonts w:ascii="Verdana" w:eastAsia="Calibri" w:hAnsi="Verdana" w:cs="Arial"/>
          <w:lang w:val="es-ES" w:eastAsia="es-ES"/>
        </w:rPr>
      </w:pPr>
      <w:proofErr w:type="spellStart"/>
      <w:r>
        <w:rPr>
          <w:rFonts w:ascii="Verdana" w:hAnsi="Verdana" w:cs="Arial"/>
          <w:color w:val="000000" w:themeColor="text1"/>
          <w:lang w:val="es-ES_tradnl"/>
        </w:rPr>
        <w:t>iv</w:t>
      </w:r>
      <w:proofErr w:type="spellEnd"/>
      <w:r>
        <w:rPr>
          <w:rFonts w:ascii="Verdana" w:hAnsi="Verdana" w:cs="Arial"/>
          <w:color w:val="000000" w:themeColor="text1"/>
          <w:lang w:val="es-ES_tradnl"/>
        </w:rPr>
        <w:t xml:space="preserve">) En contraste, </w:t>
      </w:r>
      <w:r>
        <w:rPr>
          <w:rFonts w:ascii="Verdana" w:eastAsia="Calibri" w:hAnsi="Verdana" w:cs="Arial"/>
          <w:lang w:val="es-ES" w:eastAsia="es-ES"/>
        </w:rPr>
        <w:t xml:space="preserve">la Subsección B de la Sección Tercera del Consejo de Estado en Sentencia del 2 de agosto de 2024, rad. 70597, con ponencia del </w:t>
      </w:r>
      <w:proofErr w:type="gramStart"/>
      <w:r>
        <w:rPr>
          <w:rFonts w:ascii="Verdana" w:eastAsia="Calibri" w:hAnsi="Verdana" w:cs="Arial"/>
          <w:lang w:val="es-ES" w:eastAsia="es-ES"/>
        </w:rPr>
        <w:t>Consejero</w:t>
      </w:r>
      <w:proofErr w:type="gramEnd"/>
      <w:r>
        <w:rPr>
          <w:rFonts w:ascii="Verdana" w:eastAsia="Calibri" w:hAnsi="Verdana" w:cs="Arial"/>
          <w:lang w:val="es-ES" w:eastAsia="es-ES"/>
        </w:rPr>
        <w:t xml:space="preserve"> </w:t>
      </w:r>
      <w:r w:rsidRPr="000802BE">
        <w:rPr>
          <w:rFonts w:ascii="Verdana" w:eastAsia="Calibri" w:hAnsi="Verdana" w:cs="Arial"/>
          <w:lang w:val="es-ES" w:eastAsia="es-ES"/>
        </w:rPr>
        <w:t>Fredy Ibarra Martínez</w:t>
      </w:r>
      <w:r>
        <w:rPr>
          <w:rFonts w:ascii="Verdana" w:eastAsia="Calibri" w:hAnsi="Verdana" w:cs="Arial"/>
          <w:lang w:val="es-ES" w:eastAsia="es-ES"/>
        </w:rPr>
        <w:t xml:space="preserve">, considera que los factores de desempate son subsanables, pues los equipara con los criterios habilitantes al no otorgar puntaje. Sin embargo, esta decisión no fue unánime, pues el </w:t>
      </w:r>
      <w:proofErr w:type="gramStart"/>
      <w:r>
        <w:rPr>
          <w:rFonts w:ascii="Verdana" w:eastAsia="Calibri" w:hAnsi="Verdana" w:cs="Arial"/>
          <w:lang w:val="es-ES" w:eastAsia="es-ES"/>
        </w:rPr>
        <w:t>Consejero</w:t>
      </w:r>
      <w:proofErr w:type="gramEnd"/>
      <w:r>
        <w:rPr>
          <w:rFonts w:ascii="Verdana" w:eastAsia="Calibri" w:hAnsi="Verdana" w:cs="Arial"/>
          <w:lang w:val="es-ES" w:eastAsia="es-ES"/>
        </w:rPr>
        <w:t xml:space="preserve"> </w:t>
      </w:r>
      <w:r w:rsidRPr="00480683">
        <w:rPr>
          <w:rFonts w:ascii="Verdana" w:eastAsia="Calibri" w:hAnsi="Verdana" w:cs="Arial"/>
          <w:lang w:val="es-ES" w:eastAsia="es-ES"/>
        </w:rPr>
        <w:t>Martín Bermúdez Muñoz</w:t>
      </w:r>
      <w:r>
        <w:rPr>
          <w:rFonts w:ascii="Verdana" w:eastAsia="Calibri" w:hAnsi="Verdana" w:cs="Arial"/>
          <w:lang w:val="es-ES" w:eastAsia="es-ES"/>
        </w:rPr>
        <w:t xml:space="preserve"> –en línea con lo explicado </w:t>
      </w:r>
      <w:r w:rsidRPr="00E6199A">
        <w:rPr>
          <w:rFonts w:ascii="Verdana" w:eastAsia="Calibri" w:hAnsi="Verdana" w:cs="Arial"/>
          <w:i/>
          <w:iCs/>
          <w:lang w:val="es-ES" w:eastAsia="es-ES"/>
        </w:rPr>
        <w:t>ut supra</w:t>
      </w:r>
      <w:r>
        <w:rPr>
          <w:rFonts w:ascii="Verdana" w:eastAsia="Calibri" w:hAnsi="Verdana" w:cs="Arial"/>
          <w:lang w:val="es-ES" w:eastAsia="es-ES"/>
        </w:rPr>
        <w:t xml:space="preserve">– estima que “[…] </w:t>
      </w:r>
      <w:r w:rsidRPr="00E6199A">
        <w:rPr>
          <w:rFonts w:ascii="Verdana" w:eastAsia="Calibri" w:hAnsi="Verdana" w:cs="Arial"/>
          <w:lang w:val="es-ES" w:eastAsia="es-ES"/>
        </w:rPr>
        <w:t>los criterios de desempate no pueden ser</w:t>
      </w:r>
      <w:r>
        <w:rPr>
          <w:rFonts w:ascii="Verdana" w:eastAsia="Calibri" w:hAnsi="Verdana" w:cs="Arial"/>
          <w:lang w:val="es-ES" w:eastAsia="es-ES"/>
        </w:rPr>
        <w:t xml:space="preserve"> </w:t>
      </w:r>
      <w:r w:rsidRPr="00E6199A">
        <w:rPr>
          <w:rFonts w:ascii="Verdana" w:eastAsia="Calibri" w:hAnsi="Verdana" w:cs="Arial"/>
          <w:lang w:val="es-ES" w:eastAsia="es-ES"/>
        </w:rPr>
        <w:t>subsanados porque son determinantes para la evaluación de la oferta</w:t>
      </w:r>
      <w:r>
        <w:rPr>
          <w:rFonts w:ascii="Verdana" w:eastAsia="Calibri" w:hAnsi="Verdana" w:cs="Arial"/>
          <w:lang w:val="es-ES" w:eastAsia="es-ES"/>
        </w:rPr>
        <w:t xml:space="preserve">”; razón por la cual, “[…] </w:t>
      </w:r>
      <w:r w:rsidRPr="00E6199A">
        <w:rPr>
          <w:rFonts w:ascii="Verdana" w:eastAsia="Calibri" w:hAnsi="Verdana" w:cs="Arial"/>
          <w:lang w:val="es-ES" w:eastAsia="es-ES"/>
        </w:rPr>
        <w:t>permitir subsanar criterios de</w:t>
      </w:r>
      <w:r>
        <w:rPr>
          <w:rFonts w:ascii="Verdana" w:eastAsia="Calibri" w:hAnsi="Verdana" w:cs="Arial"/>
          <w:lang w:val="es-ES" w:eastAsia="es-ES"/>
        </w:rPr>
        <w:t xml:space="preserve"> </w:t>
      </w:r>
      <w:r w:rsidRPr="00E6199A">
        <w:rPr>
          <w:rFonts w:ascii="Verdana" w:eastAsia="Calibri" w:hAnsi="Verdana" w:cs="Arial"/>
          <w:lang w:val="es-ES" w:eastAsia="es-ES"/>
        </w:rPr>
        <w:t>desempate, en realidad, permite mejorar la oferta presentada. Es evidente que los</w:t>
      </w:r>
      <w:r>
        <w:rPr>
          <w:rFonts w:ascii="Verdana" w:eastAsia="Calibri" w:hAnsi="Verdana" w:cs="Arial"/>
          <w:lang w:val="es-ES" w:eastAsia="es-ES"/>
        </w:rPr>
        <w:t xml:space="preserve"> </w:t>
      </w:r>
      <w:r w:rsidRPr="00E6199A">
        <w:rPr>
          <w:rFonts w:ascii="Verdana" w:eastAsia="Calibri" w:hAnsi="Verdana" w:cs="Arial"/>
          <w:lang w:val="es-ES" w:eastAsia="es-ES"/>
        </w:rPr>
        <w:t>criterios de desempate reflejan cualidades adicionales que justifican la preferencia de una</w:t>
      </w:r>
      <w:r>
        <w:rPr>
          <w:rFonts w:ascii="Verdana" w:eastAsia="Calibri" w:hAnsi="Verdana" w:cs="Arial"/>
          <w:lang w:val="es-ES" w:eastAsia="es-ES"/>
        </w:rPr>
        <w:t xml:space="preserve"> </w:t>
      </w:r>
      <w:r w:rsidRPr="00E6199A">
        <w:rPr>
          <w:rFonts w:ascii="Verdana" w:eastAsia="Calibri" w:hAnsi="Verdana" w:cs="Arial"/>
          <w:lang w:val="es-ES" w:eastAsia="es-ES"/>
        </w:rPr>
        <w:t>oferta sobre otra que tenga el mismo puntaje</w:t>
      </w:r>
      <w:r>
        <w:rPr>
          <w:rFonts w:ascii="Verdana" w:eastAsia="Calibri" w:hAnsi="Verdana" w:cs="Arial"/>
          <w:lang w:val="es-ES" w:eastAsia="es-ES"/>
        </w:rPr>
        <w:t>”</w:t>
      </w:r>
      <w:r w:rsidRPr="00E6199A">
        <w:rPr>
          <w:rFonts w:ascii="Verdana" w:eastAsia="Calibri" w:hAnsi="Verdana" w:cs="Arial"/>
          <w:lang w:val="es-ES" w:eastAsia="es-ES"/>
        </w:rPr>
        <w:t>.</w:t>
      </w:r>
    </w:p>
    <w:p w14:paraId="79193E52" w14:textId="77777777" w:rsidR="00066050" w:rsidRPr="00D1116E" w:rsidRDefault="00066050" w:rsidP="00066050">
      <w:pPr>
        <w:spacing w:after="120" w:line="276" w:lineRule="auto"/>
        <w:jc w:val="both"/>
      </w:pPr>
      <w:r>
        <w:rPr>
          <w:rFonts w:ascii="Verdana" w:eastAsia="Calibri" w:hAnsi="Verdana" w:cs="Arial"/>
          <w:lang w:val="es-ES" w:eastAsia="es-ES"/>
        </w:rPr>
        <w:tab/>
        <w:t xml:space="preserve">Pese al </w:t>
      </w:r>
      <w:r w:rsidRPr="00D1116E">
        <w:rPr>
          <w:rFonts w:ascii="Verdana" w:eastAsia="Calibri" w:hAnsi="Verdana" w:cs="Arial"/>
          <w:lang w:val="es-ES" w:eastAsia="es-ES"/>
        </w:rPr>
        <w:t xml:space="preserve">criterio </w:t>
      </w:r>
      <w:r>
        <w:rPr>
          <w:rFonts w:ascii="Verdana" w:eastAsia="Calibri" w:hAnsi="Verdana" w:cs="Arial"/>
          <w:lang w:val="es-ES" w:eastAsia="es-ES"/>
        </w:rPr>
        <w:t>mayoritario</w:t>
      </w:r>
      <w:r w:rsidRPr="00D1116E">
        <w:rPr>
          <w:rFonts w:ascii="Verdana" w:eastAsia="Calibri" w:hAnsi="Verdana" w:cs="Arial"/>
          <w:lang w:val="es-ES" w:eastAsia="es-ES"/>
        </w:rPr>
        <w:t xml:space="preserve"> de la Sala, </w:t>
      </w:r>
      <w:r w:rsidRPr="00D1116E">
        <w:rPr>
          <w:rFonts w:ascii="Verdana" w:hAnsi="Verdana" w:cs="Arial"/>
          <w:iCs/>
          <w:color w:val="000000" w:themeColor="text1"/>
        </w:rPr>
        <w:t xml:space="preserve">vale la pena considerar que la decisión adoptada el </w:t>
      </w:r>
      <w:r>
        <w:rPr>
          <w:rFonts w:ascii="Verdana" w:hAnsi="Verdana" w:cs="Arial"/>
          <w:iCs/>
          <w:color w:val="000000" w:themeColor="text1"/>
        </w:rPr>
        <w:t>2 de agosto</w:t>
      </w:r>
      <w:r w:rsidRPr="00D1116E">
        <w:rPr>
          <w:rFonts w:ascii="Verdana" w:hAnsi="Verdana" w:cs="Arial"/>
          <w:iCs/>
          <w:color w:val="000000" w:themeColor="text1"/>
        </w:rPr>
        <w:t xml:space="preserve"> de 2024 no se encuentra unificada en los términos del artículo 270 de la Ley 1437 de 2011, por lo que no surge el deber de aplicación uniforme de que trata el artículo 10 </w:t>
      </w:r>
      <w:r w:rsidRPr="00D1116E">
        <w:rPr>
          <w:rFonts w:ascii="Verdana" w:hAnsi="Verdana" w:cs="Arial"/>
          <w:i/>
          <w:color w:val="000000" w:themeColor="text1"/>
        </w:rPr>
        <w:t>ibidem</w:t>
      </w:r>
      <w:r w:rsidRPr="00D1116E">
        <w:rPr>
          <w:rStyle w:val="Refdenotaalpie"/>
          <w:rFonts w:ascii="Verdana" w:hAnsi="Verdana" w:cs="Arial"/>
          <w:i/>
          <w:color w:val="000000" w:themeColor="text1"/>
        </w:rPr>
        <w:footnoteReference w:id="17"/>
      </w:r>
      <w:r w:rsidRPr="00D1116E">
        <w:rPr>
          <w:rFonts w:ascii="Verdana" w:hAnsi="Verdana" w:cs="Arial"/>
          <w:iCs/>
          <w:color w:val="000000" w:themeColor="text1"/>
        </w:rPr>
        <w:t xml:space="preserve">. En este contexto, la Sentencia de la Subsección B de la Sección Tercera del Consejo de Estado tiene efectos de cosa juzgada en el proceso en que se expidió, sin que esta pauta interpretativa sea vinculante para los demás </w:t>
      </w:r>
      <w:r>
        <w:rPr>
          <w:rFonts w:ascii="Verdana" w:hAnsi="Verdana" w:cs="Arial"/>
          <w:iCs/>
          <w:color w:val="000000" w:themeColor="text1"/>
        </w:rPr>
        <w:t>entidades estatales</w:t>
      </w:r>
      <w:r w:rsidRPr="00D1116E">
        <w:rPr>
          <w:rFonts w:ascii="Verdana" w:hAnsi="Verdana" w:cs="Arial"/>
          <w:iCs/>
          <w:color w:val="000000" w:themeColor="text1"/>
        </w:rPr>
        <w:t>.</w:t>
      </w:r>
      <w:r w:rsidRPr="00D1116E">
        <w:t xml:space="preserve"> </w:t>
      </w:r>
    </w:p>
    <w:p w14:paraId="5878C61A" w14:textId="77777777" w:rsidR="00066050" w:rsidRDefault="00066050" w:rsidP="004B10FF">
      <w:pPr>
        <w:tabs>
          <w:tab w:val="left" w:pos="709"/>
        </w:tabs>
        <w:spacing w:after="0" w:line="276" w:lineRule="auto"/>
        <w:jc w:val="both"/>
        <w:rPr>
          <w:rFonts w:ascii="Verdana" w:hAnsi="Verdana" w:cs="Arial"/>
          <w:iCs/>
          <w:color w:val="000000" w:themeColor="text1"/>
        </w:rPr>
      </w:pPr>
      <w:r w:rsidRPr="00D1116E">
        <w:rPr>
          <w:rFonts w:ascii="Verdana" w:hAnsi="Verdana" w:cs="Arial"/>
          <w:iCs/>
          <w:color w:val="000000" w:themeColor="text1"/>
        </w:rPr>
        <w:tab/>
        <w:t>Ello es congruente con el artículo 17 del Código Civil, ya que “Las sentencias judiciales no tienen fuerza obligatoria sino respecto de las causas en que fueron pronunciadas. Es, por tanto, prohibido a los jueces proveer en los negocios de su competencia por vía de disposición general o reglamentaria”</w:t>
      </w:r>
      <w:r w:rsidRPr="00D1116E">
        <w:rPr>
          <w:rStyle w:val="Refdenotaalpie"/>
          <w:rFonts w:ascii="Verdana" w:hAnsi="Verdana" w:cs="Arial"/>
          <w:iCs/>
          <w:color w:val="000000" w:themeColor="text1"/>
        </w:rPr>
        <w:footnoteReference w:id="18"/>
      </w:r>
      <w:r w:rsidRPr="00D1116E">
        <w:rPr>
          <w:rFonts w:ascii="Verdana" w:hAnsi="Verdana" w:cs="Arial"/>
          <w:iCs/>
          <w:color w:val="000000" w:themeColor="text1"/>
        </w:rPr>
        <w:t xml:space="preserve">. </w:t>
      </w:r>
      <w:r w:rsidRPr="00D1116E">
        <w:rPr>
          <w:rFonts w:ascii="Verdana" w:hAnsi="Verdana" w:cs="Arial"/>
          <w:iCs/>
          <w:color w:val="000000" w:themeColor="text1"/>
        </w:rPr>
        <w:lastRenderedPageBreak/>
        <w:t xml:space="preserve">Por tanto, en ausencia de unificación jurisprudencial al interior de la Sección Tercera del Consejo de Estado, </w:t>
      </w:r>
      <w:r>
        <w:rPr>
          <w:rFonts w:ascii="Verdana" w:hAnsi="Verdana" w:cs="Arial"/>
          <w:iCs/>
          <w:color w:val="000000" w:themeColor="text1"/>
        </w:rPr>
        <w:t>el criterio de</w:t>
      </w:r>
      <w:r w:rsidRPr="00D1116E">
        <w:rPr>
          <w:rFonts w:ascii="Verdana" w:hAnsi="Verdana" w:cs="Arial"/>
          <w:iCs/>
          <w:color w:val="000000" w:themeColor="text1"/>
        </w:rPr>
        <w:t xml:space="preserve"> la Subsección B </w:t>
      </w:r>
      <w:r>
        <w:rPr>
          <w:rFonts w:ascii="Verdana" w:hAnsi="Verdana" w:cs="Arial"/>
          <w:iCs/>
          <w:color w:val="000000" w:themeColor="text1"/>
        </w:rPr>
        <w:t>sobre la subsanabilidad de los factores de desempate no es obligatorio en los demás procesos de selección</w:t>
      </w:r>
      <w:r w:rsidRPr="00D1116E">
        <w:rPr>
          <w:rFonts w:ascii="Verdana" w:hAnsi="Verdana" w:cs="Arial"/>
          <w:iCs/>
          <w:color w:val="000000" w:themeColor="text1"/>
        </w:rPr>
        <w:t>.</w:t>
      </w:r>
    </w:p>
    <w:p w14:paraId="2C54A618" w14:textId="77777777" w:rsidR="00066050" w:rsidRDefault="00066050" w:rsidP="004B10FF">
      <w:pPr>
        <w:tabs>
          <w:tab w:val="left" w:pos="709"/>
        </w:tabs>
        <w:spacing w:after="0" w:line="276" w:lineRule="auto"/>
        <w:jc w:val="both"/>
        <w:rPr>
          <w:rFonts w:ascii="Verdana" w:hAnsi="Verdana" w:cs="Arial"/>
          <w:iCs/>
          <w:color w:val="000000" w:themeColor="text1"/>
        </w:rPr>
      </w:pPr>
    </w:p>
    <w:p w14:paraId="4674A79B" w14:textId="77777777" w:rsidR="00066050" w:rsidRPr="009B5EEE" w:rsidRDefault="00066050" w:rsidP="00066050">
      <w:pPr>
        <w:tabs>
          <w:tab w:val="left" w:pos="709"/>
        </w:tabs>
        <w:spacing w:after="120" w:line="276" w:lineRule="auto"/>
        <w:jc w:val="both"/>
        <w:rPr>
          <w:rFonts w:ascii="Verdana" w:hAnsi="Verdana" w:cs="Arial"/>
          <w:iCs/>
          <w:color w:val="000000" w:themeColor="text1"/>
        </w:rPr>
      </w:pPr>
      <w:r>
        <w:rPr>
          <w:rFonts w:ascii="Verdana" w:hAnsi="Verdana" w:cs="Arial"/>
          <w:iCs/>
          <w:color w:val="000000" w:themeColor="text1"/>
        </w:rPr>
        <w:t xml:space="preserve">v) </w:t>
      </w:r>
      <w:r w:rsidRPr="009B5EEE">
        <w:rPr>
          <w:rFonts w:ascii="Verdana" w:hAnsi="Verdana" w:cs="Arial"/>
          <w:iCs/>
          <w:color w:val="000000" w:themeColor="text1"/>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44ECAB1" w14:textId="77777777" w:rsidR="00066050" w:rsidRPr="00D1116E" w:rsidRDefault="00066050" w:rsidP="004B10FF">
      <w:pPr>
        <w:tabs>
          <w:tab w:val="left" w:pos="709"/>
        </w:tabs>
        <w:spacing w:after="0" w:line="276" w:lineRule="auto"/>
        <w:jc w:val="both"/>
        <w:rPr>
          <w:rFonts w:ascii="Verdana" w:hAnsi="Verdana" w:cs="Arial"/>
          <w:iCs/>
          <w:color w:val="000000" w:themeColor="text1"/>
        </w:rPr>
      </w:pPr>
      <w:r>
        <w:rPr>
          <w:rFonts w:ascii="Verdana" w:hAnsi="Verdana" w:cs="Arial"/>
          <w:iCs/>
          <w:color w:val="000000" w:themeColor="text1"/>
        </w:rPr>
        <w:tab/>
      </w:r>
      <w:r w:rsidRPr="009B5EEE">
        <w:rPr>
          <w:rFonts w:ascii="Verdana" w:hAnsi="Verdana" w:cs="Arial"/>
          <w:i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5DC2928F" w14:textId="77777777" w:rsidR="00066050" w:rsidRPr="00795A28" w:rsidRDefault="00066050" w:rsidP="004B10FF">
      <w:pPr>
        <w:spacing w:after="0" w:line="276" w:lineRule="auto"/>
        <w:jc w:val="both"/>
        <w:rPr>
          <w:rFonts w:ascii="Verdana" w:eastAsia="Calibri" w:hAnsi="Verdana" w:cs="Arial"/>
          <w:lang w:val="es-ES" w:eastAsia="es-ES"/>
        </w:rPr>
      </w:pPr>
    </w:p>
    <w:p w14:paraId="0C7D62E0" w14:textId="77777777" w:rsidR="00066050" w:rsidRPr="00593A5F" w:rsidRDefault="00066050" w:rsidP="004B10F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146E692" w14:textId="77777777" w:rsidR="00066050" w:rsidRPr="00593A5F" w:rsidRDefault="00066050" w:rsidP="004B10F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66050" w:rsidRPr="002407CE" w14:paraId="74CF50B3" w14:textId="77777777" w:rsidTr="00A700CA">
        <w:trPr>
          <w:trHeight w:val="870"/>
          <w:jc w:val="center"/>
        </w:trPr>
        <w:tc>
          <w:tcPr>
            <w:tcW w:w="8647" w:type="dxa"/>
          </w:tcPr>
          <w:p w14:paraId="5808358C" w14:textId="77777777" w:rsidR="00066050" w:rsidRDefault="00066050" w:rsidP="0006605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AE7120">
              <w:rPr>
                <w:rFonts w:ascii="Verdana" w:hAnsi="Verdana" w:cs="Arial"/>
              </w:rPr>
              <w:t>Ley 80 de 1993, artículos 21, 24, 25, 30, 38 y 76.</w:t>
            </w:r>
          </w:p>
          <w:p w14:paraId="4DFB12C7" w14:textId="77777777" w:rsidR="00066050" w:rsidRDefault="00066050" w:rsidP="0006605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816 de 2003, artículo 2.</w:t>
            </w:r>
          </w:p>
          <w:p w14:paraId="340C2ABE" w14:textId="77777777" w:rsidR="00066050" w:rsidRDefault="00066050" w:rsidP="0006605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AE7120">
              <w:rPr>
                <w:rFonts w:ascii="Verdana" w:hAnsi="Verdana" w:cs="Arial"/>
              </w:rPr>
              <w:t>Ley 1150 de 2007, artículo</w:t>
            </w:r>
            <w:r>
              <w:rPr>
                <w:rFonts w:ascii="Verdana" w:hAnsi="Verdana" w:cs="Arial"/>
              </w:rPr>
              <w:t xml:space="preserve"> </w:t>
            </w:r>
            <w:r w:rsidRPr="00AE7120">
              <w:rPr>
                <w:rFonts w:ascii="Verdana" w:hAnsi="Verdana" w:cs="Arial"/>
              </w:rPr>
              <w:t>5.</w:t>
            </w:r>
            <w:r>
              <w:rPr>
                <w:rFonts w:ascii="Verdana" w:hAnsi="Verdana" w:cs="Arial"/>
              </w:rPr>
              <w:t xml:space="preserve">  </w:t>
            </w:r>
          </w:p>
          <w:p w14:paraId="51D09BAE" w14:textId="77777777" w:rsidR="00066050" w:rsidRDefault="00066050" w:rsidP="0006605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1437 de 2011, artículos 10 y 237.</w:t>
            </w:r>
          </w:p>
          <w:p w14:paraId="4AF14830" w14:textId="77777777" w:rsidR="00066050" w:rsidRDefault="00066050" w:rsidP="0006605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2069 de 2020, artículo 35.</w:t>
            </w:r>
          </w:p>
          <w:p w14:paraId="256B3B72" w14:textId="77777777" w:rsidR="00066050" w:rsidRDefault="00066050" w:rsidP="00066050">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AE7120">
              <w:rPr>
                <w:rFonts w:ascii="Verdana" w:hAnsi="Verdana" w:cs="Arial"/>
              </w:rPr>
              <w:t>Decreto 1082 de 2015, artículo 2.2.1.1.2.1.3, 2.2.1.1.2.2.2, 2.2.1.2.1.3.13</w:t>
            </w:r>
            <w:r>
              <w:rPr>
                <w:rFonts w:ascii="Verdana" w:hAnsi="Verdana" w:cs="Arial"/>
              </w:rPr>
              <w:t xml:space="preserve"> y </w:t>
            </w:r>
            <w:r w:rsidRPr="00C62CCD">
              <w:rPr>
                <w:rFonts w:ascii="Verdana" w:eastAsia="Calibri" w:hAnsi="Verdana" w:cs="Arial"/>
              </w:rPr>
              <w:t>2.2.1.2.4.2.6</w:t>
            </w:r>
            <w:r>
              <w:rPr>
                <w:rFonts w:ascii="Verdana" w:eastAsia="Calibri" w:hAnsi="Verdana" w:cs="Arial"/>
              </w:rPr>
              <w:t>.</w:t>
            </w:r>
          </w:p>
          <w:p w14:paraId="1DD44E5F" w14:textId="77777777" w:rsidR="00066050" w:rsidRPr="00AE7120" w:rsidRDefault="00066050" w:rsidP="00066050">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 17.</w:t>
            </w:r>
          </w:p>
        </w:tc>
      </w:tr>
    </w:tbl>
    <w:p w14:paraId="5057DA16" w14:textId="77777777" w:rsidR="00066050" w:rsidRPr="00277E26" w:rsidRDefault="00066050" w:rsidP="004B10FF">
      <w:pPr>
        <w:widowControl w:val="0"/>
        <w:autoSpaceDE w:val="0"/>
        <w:autoSpaceDN w:val="0"/>
        <w:spacing w:after="0" w:line="276" w:lineRule="auto"/>
        <w:jc w:val="both"/>
        <w:rPr>
          <w:rFonts w:ascii="Verdana" w:hAnsi="Verdana" w:cs="Arial"/>
        </w:rPr>
      </w:pPr>
    </w:p>
    <w:p w14:paraId="55566FF5" w14:textId="77777777" w:rsidR="00066050" w:rsidRPr="00277E26" w:rsidRDefault="00066050" w:rsidP="0006605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277E26">
        <w:rPr>
          <w:rFonts w:ascii="Verdana" w:eastAsia="Century Gothic" w:hAnsi="Verdana" w:cs="Century Gothic"/>
          <w:b/>
          <w:bCs/>
        </w:rPr>
        <w:t>Doctrina de la Agencia Nacional de Contratación Pública:</w:t>
      </w:r>
    </w:p>
    <w:p w14:paraId="7011EE68" w14:textId="77777777" w:rsidR="00066050" w:rsidRPr="00277E26" w:rsidRDefault="00066050" w:rsidP="004B10FF">
      <w:pPr>
        <w:widowControl w:val="0"/>
        <w:autoSpaceDE w:val="0"/>
        <w:autoSpaceDN w:val="0"/>
        <w:spacing w:after="0" w:line="276" w:lineRule="auto"/>
        <w:jc w:val="both"/>
        <w:rPr>
          <w:rFonts w:ascii="Verdana" w:hAnsi="Verdana" w:cs="Arial"/>
        </w:rPr>
      </w:pPr>
    </w:p>
    <w:p w14:paraId="7AF3F4E7" w14:textId="77777777" w:rsidR="00066050" w:rsidRPr="00277E26" w:rsidRDefault="00066050" w:rsidP="004B10F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1E2096">
        <w:rPr>
          <w:rStyle w:val="normaltextrun"/>
          <w:rFonts w:ascii="Verdana" w:hAnsi="Verdana" w:cs="Arial"/>
          <w:shd w:val="clear" w:color="auto" w:fill="FFFFFF"/>
          <w:lang w:val="es-ES"/>
        </w:rPr>
        <w:t>Esta Subdirección se ha pronunciado sobre la regla de subsanabilidad en los Conceptos 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w:t>
      </w:r>
      <w:r>
        <w:rPr>
          <w:rStyle w:val="normaltextrun"/>
          <w:rFonts w:ascii="Verdana" w:hAnsi="Verdana" w:cs="Arial"/>
          <w:shd w:val="clear" w:color="auto" w:fill="FFFFFF"/>
          <w:lang w:val="es-ES"/>
        </w:rPr>
        <w:t xml:space="preserve">, </w:t>
      </w:r>
      <w:r w:rsidRPr="001E2096">
        <w:rPr>
          <w:rStyle w:val="normaltextrun"/>
          <w:rFonts w:ascii="Verdana" w:hAnsi="Verdana" w:cs="Arial"/>
          <w:shd w:val="clear" w:color="auto" w:fill="FFFFFF"/>
          <w:lang w:val="es-ES"/>
        </w:rPr>
        <w:t>C-304 del 4 de julio de 2023</w:t>
      </w:r>
      <w:r>
        <w:rPr>
          <w:rStyle w:val="normaltextrun"/>
          <w:rFonts w:ascii="Verdana" w:hAnsi="Verdana" w:cs="Arial"/>
          <w:shd w:val="clear" w:color="auto" w:fill="FFFFFF"/>
          <w:lang w:val="es-ES"/>
        </w:rPr>
        <w:t>, C-734 del 28 de noviembre de 2024 y C-051 del 21 de febrero de 2025</w:t>
      </w:r>
      <w:r w:rsidRPr="00277E26">
        <w:rPr>
          <w:rStyle w:val="normaltextrun"/>
          <w:rFonts w:ascii="Verdana" w:hAnsi="Verdana" w:cs="Arial"/>
          <w:shd w:val="clear" w:color="auto" w:fill="FFFFFF"/>
          <w:lang w:val="es-ES"/>
        </w:rPr>
        <w:t>. Es</w:t>
      </w:r>
      <w:r w:rsidRPr="00277E26">
        <w:rPr>
          <w:rFonts w:ascii="Verdana" w:hAnsi="Verdana"/>
        </w:rPr>
        <w:t>tos y otros se encuentran disponibles para consulta en el Sistema de relatoría de la Agencia, al cual puede accederse a través del siguiente enlace:</w:t>
      </w:r>
      <w:r w:rsidRPr="00277E26">
        <w:rPr>
          <w:rStyle w:val="normaltextrun"/>
          <w:rFonts w:ascii="Verdana" w:hAnsi="Verdana" w:cs="Arial"/>
          <w:shd w:val="clear" w:color="auto" w:fill="FFFFFF"/>
          <w:lang w:val="es-ES"/>
        </w:rPr>
        <w:t xml:space="preserve"> </w:t>
      </w:r>
      <w:hyperlink r:id="rId12" w:history="1">
        <w:r w:rsidRPr="00277E26">
          <w:rPr>
            <w:rStyle w:val="Hipervnculo"/>
            <w:rFonts w:ascii="Verdana" w:hAnsi="Verdana" w:cs="Arial"/>
            <w:shd w:val="clear" w:color="auto" w:fill="FFFFFF"/>
            <w:lang w:val="es-ES"/>
          </w:rPr>
          <w:t>https://relatoria.colombiacompra.gov.co/busqueda/conceptos</w:t>
        </w:r>
      </w:hyperlink>
      <w:r w:rsidRPr="00277E26">
        <w:rPr>
          <w:rStyle w:val="normaltextrun"/>
          <w:rFonts w:ascii="Verdana" w:hAnsi="Verdana" w:cs="Arial"/>
          <w:shd w:val="clear" w:color="auto" w:fill="FFFFFF"/>
          <w:lang w:val="es-ES"/>
        </w:rPr>
        <w:t>.</w:t>
      </w:r>
      <w:r w:rsidRPr="00277E26">
        <w:rPr>
          <w:rStyle w:val="normaltextrun"/>
          <w:rFonts w:ascii="Verdana" w:hAnsi="Verdana" w:cs="Arial"/>
          <w:color w:val="FF0000"/>
          <w:shd w:val="clear" w:color="auto" w:fill="FFFFFF"/>
          <w:lang w:val="es-ES"/>
        </w:rPr>
        <w:t xml:space="preserve"> </w:t>
      </w:r>
    </w:p>
    <w:p w14:paraId="7C073C1F" w14:textId="77777777" w:rsidR="00066050" w:rsidRPr="00ED440C" w:rsidRDefault="00066050" w:rsidP="004B10F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C9A7B5B" w14:textId="77777777" w:rsidR="00066050" w:rsidRPr="00ED440C" w:rsidRDefault="00066050" w:rsidP="004B10FF">
      <w:pPr>
        <w:shd w:val="clear" w:color="auto" w:fill="FFFFFF"/>
        <w:spacing w:after="0" w:line="276" w:lineRule="auto"/>
        <w:jc w:val="both"/>
        <w:rPr>
          <w:rFonts w:ascii="Verdana" w:hAnsi="Verdana"/>
          <w:color w:val="467886"/>
          <w:u w:val="single"/>
        </w:rPr>
      </w:pPr>
      <w:r w:rsidRPr="00ED440C">
        <w:rPr>
          <w:rFonts w:ascii="Verdana" w:hAnsi="Verdana"/>
          <w:color w:val="000000"/>
        </w:rPr>
        <w:lastRenderedPageBreak/>
        <w:t>Te informamos que ya se encuentra disponible la </w:t>
      </w:r>
      <w:r w:rsidRPr="00ED440C">
        <w:rPr>
          <w:rFonts w:ascii="Verdana" w:hAnsi="Verdana"/>
          <w:b/>
          <w:bCs/>
          <w:color w:val="000000"/>
        </w:rPr>
        <w:t>Cartilla para incentivar y fortalecer el acceso a las compras y contratación pública de los pueblos y comunidades étnicas en Colombia.</w:t>
      </w:r>
      <w:r w:rsidRPr="00ED440C">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ED440C">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0D7B22E9" w14:textId="77777777" w:rsidR="00066050" w:rsidRPr="00ED440C" w:rsidRDefault="00066050" w:rsidP="004B10FF">
      <w:pPr>
        <w:shd w:val="clear" w:color="auto" w:fill="FFFFFF"/>
        <w:spacing w:after="0" w:line="276" w:lineRule="auto"/>
        <w:jc w:val="both"/>
        <w:rPr>
          <w:rFonts w:ascii="Verdana" w:hAnsi="Verdana"/>
          <w:color w:val="212121"/>
        </w:rPr>
      </w:pPr>
    </w:p>
    <w:p w14:paraId="47F6F7BF" w14:textId="77777777" w:rsidR="00066050" w:rsidRPr="00ED440C" w:rsidRDefault="00066050" w:rsidP="004B10FF">
      <w:pPr>
        <w:spacing w:after="0" w:line="276" w:lineRule="auto"/>
        <w:jc w:val="both"/>
        <w:rPr>
          <w:rFonts w:ascii="Verdana" w:hAnsi="Verdana"/>
          <w:color w:val="467886"/>
          <w:u w:val="single"/>
        </w:rPr>
      </w:pPr>
      <w:r w:rsidRPr="00ED440C">
        <w:rPr>
          <w:rFonts w:ascii="Verdana" w:hAnsi="Verdana"/>
          <w:color w:val="000000"/>
        </w:rPr>
        <w:t>De otra parte, te informamos que, con el objetivo de garantizar un conocimiento adecuado de las </w:t>
      </w:r>
      <w:r w:rsidRPr="00ED440C">
        <w:rPr>
          <w:rFonts w:ascii="Verdana" w:hAnsi="Verdana"/>
          <w:b/>
          <w:bCs/>
          <w:color w:val="000000"/>
        </w:rPr>
        <w:t>modificaciones y/o actualizaciones realizadas a los Documentos Tipo</w:t>
      </w:r>
      <w:r w:rsidRPr="00ED440C">
        <w:rPr>
          <w:rFonts w:ascii="Verdana" w:hAnsi="Verdana"/>
          <w:color w:val="000000"/>
        </w:rPr>
        <w:t>, hemos programado una serie de </w:t>
      </w:r>
      <w:r w:rsidRPr="00ED440C">
        <w:rPr>
          <w:rFonts w:ascii="Verdana" w:hAnsi="Verdana"/>
          <w:b/>
          <w:bCs/>
          <w:color w:val="000000"/>
        </w:rPr>
        <w:t>capacitaciones </w:t>
      </w:r>
      <w:r w:rsidRPr="00ED440C">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ED440C">
          <w:rPr>
            <w:rFonts w:ascii="Verdana" w:hAnsi="Verdana"/>
            <w:color w:val="467886"/>
            <w:u w:val="single"/>
          </w:rPr>
          <w:t>Calendario | Colombia Compra Eficiente | Agencia Nacional de Contratación Pública</w:t>
        </w:r>
      </w:hyperlink>
    </w:p>
    <w:p w14:paraId="688B2F94" w14:textId="77777777" w:rsidR="00066050" w:rsidRPr="00ED440C" w:rsidRDefault="00066050" w:rsidP="004B10FF">
      <w:pPr>
        <w:spacing w:after="0" w:line="276" w:lineRule="auto"/>
        <w:jc w:val="both"/>
        <w:rPr>
          <w:rFonts w:ascii="Verdana" w:hAnsi="Verdana"/>
          <w:color w:val="212121"/>
        </w:rPr>
      </w:pPr>
    </w:p>
    <w:p w14:paraId="3EAD2EC3" w14:textId="77777777" w:rsidR="00066050" w:rsidRDefault="00066050" w:rsidP="004B10F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ED440C">
        <w:rPr>
          <w:rFonts w:ascii="Verdana" w:hAnsi="Verdana"/>
          <w:color w:val="000000"/>
        </w:rPr>
        <w:t>También, te contamos que ya publicamos </w:t>
      </w:r>
      <w:r w:rsidRPr="00ED440C">
        <w:rPr>
          <w:rFonts w:ascii="Verdana" w:hAnsi="Verdana"/>
          <w:b/>
          <w:bCs/>
          <w:color w:val="000000"/>
        </w:rPr>
        <w:t>la nueva Guía de Contratación Pública Sostenible y Socialmente Responsable</w:t>
      </w:r>
      <w:r w:rsidRPr="00ED440C">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ED440C">
          <w:rPr>
            <w:rFonts w:ascii="Verdana" w:hAnsi="Verdana"/>
            <w:color w:val="467886"/>
            <w:u w:val="single"/>
          </w:rPr>
          <w:t>Guía de Contratación Pública Sostenible y Socialmente Responsable | Colombia Compra Eficiente | Agencia Nacional de Contratación Pública</w:t>
        </w:r>
      </w:hyperlink>
      <w:r w:rsidRPr="00096788">
        <w:rPr>
          <w:rFonts w:ascii="Verdana" w:hAnsi="Verdana" w:cs="Arial"/>
          <w:color w:val="000000" w:themeColor="text1"/>
          <w:shd w:val="clear" w:color="auto" w:fill="FFFFFF"/>
        </w:rPr>
        <w:t> </w:t>
      </w:r>
      <w:r w:rsidRPr="00277E26">
        <w:rPr>
          <w:rFonts w:ascii="Verdana" w:hAnsi="Verdana" w:cs="Arial"/>
          <w:color w:val="000000" w:themeColor="text1"/>
          <w:shd w:val="clear" w:color="auto" w:fill="FFFFFF"/>
        </w:rPr>
        <w:t xml:space="preserve"> </w:t>
      </w:r>
      <w:r w:rsidRPr="00277E26">
        <w:rPr>
          <w:rStyle w:val="normaltextrun"/>
          <w:rFonts w:ascii="Verdana" w:hAnsi="Verdana" w:cs="Arial"/>
          <w:color w:val="FF0000"/>
          <w:shd w:val="clear" w:color="auto" w:fill="FFFFFF"/>
          <w:lang w:val="es-ES"/>
        </w:rPr>
        <w:t xml:space="preserve">  </w:t>
      </w:r>
    </w:p>
    <w:p w14:paraId="14E7BB32" w14:textId="77777777" w:rsidR="00066050" w:rsidRPr="00277E26" w:rsidRDefault="00066050" w:rsidP="004B10FF">
      <w:pPr>
        <w:widowControl w:val="0"/>
        <w:autoSpaceDE w:val="0"/>
        <w:autoSpaceDN w:val="0"/>
        <w:spacing w:after="0" w:line="276" w:lineRule="auto"/>
        <w:jc w:val="both"/>
        <w:rPr>
          <w:rFonts w:ascii="Verdana" w:hAnsi="Verdana" w:cs="Arial"/>
          <w:color w:val="FF0000"/>
          <w:shd w:val="clear" w:color="auto" w:fill="FFFFFF"/>
          <w:lang w:val="es-MX"/>
        </w:rPr>
      </w:pPr>
      <w:r w:rsidRPr="00277E26">
        <w:rPr>
          <w:rStyle w:val="normaltextrun"/>
          <w:rFonts w:ascii="Verdana" w:hAnsi="Verdana" w:cs="Arial"/>
          <w:color w:val="FF0000"/>
          <w:shd w:val="clear" w:color="auto" w:fill="FFFFFF"/>
          <w:lang w:val="es-ES"/>
        </w:rPr>
        <w:t xml:space="preserve">      </w:t>
      </w:r>
    </w:p>
    <w:p w14:paraId="1905242A" w14:textId="77777777" w:rsidR="00066050" w:rsidRPr="00277E26" w:rsidRDefault="00066050" w:rsidP="004B10FF">
      <w:pPr>
        <w:widowControl w:val="0"/>
        <w:autoSpaceDE w:val="0"/>
        <w:autoSpaceDN w:val="0"/>
        <w:spacing w:after="0" w:line="276" w:lineRule="auto"/>
        <w:jc w:val="both"/>
        <w:rPr>
          <w:rFonts w:ascii="Verdana" w:hAnsi="Verdana" w:cs="Arial"/>
          <w:lang w:val="es-ES_tradnl"/>
        </w:rPr>
      </w:pPr>
      <w:r w:rsidRPr="00277E26">
        <w:rPr>
          <w:rFonts w:ascii="Verdana" w:hAnsi="Verdana" w:cs="Arial"/>
        </w:rPr>
        <w:t xml:space="preserve">Este concepto tiene el alcance previsto en el artículo 28 del Código de Procedimiento Administrativo y de lo Contencioso Administrativo </w:t>
      </w:r>
      <w:r w:rsidRPr="00277E26">
        <w:rPr>
          <w:rFonts w:ascii="Verdana" w:hAnsi="Verdana" w:cs="Arial"/>
          <w:lang w:val="es-ES_tradnl"/>
        </w:rPr>
        <w:t>y las expresiones aquí utilizadas con mayúscula inicial deben ser entendidas con el significado que les otorga el artículo 2.2.1.1.1.3.1. del Decreto 1082 de 2015.</w:t>
      </w:r>
    </w:p>
    <w:p w14:paraId="75491F2B" w14:textId="77777777" w:rsidR="00066050" w:rsidRPr="00277E26" w:rsidRDefault="00066050" w:rsidP="004B10FF">
      <w:pPr>
        <w:widowControl w:val="0"/>
        <w:autoSpaceDE w:val="0"/>
        <w:autoSpaceDN w:val="0"/>
        <w:spacing w:after="0" w:line="276" w:lineRule="auto"/>
        <w:jc w:val="both"/>
        <w:rPr>
          <w:rFonts w:ascii="Verdana" w:hAnsi="Verdana" w:cs="Arial"/>
        </w:rPr>
      </w:pPr>
    </w:p>
    <w:p w14:paraId="113DB281" w14:textId="77777777" w:rsidR="00066050" w:rsidRPr="00277E26" w:rsidRDefault="00066050" w:rsidP="004B10FF">
      <w:pPr>
        <w:spacing w:after="0"/>
        <w:rPr>
          <w:rFonts w:ascii="Verdana" w:hAnsi="Verdana" w:cs="Arial"/>
          <w:lang w:eastAsia="es-CO"/>
        </w:rPr>
      </w:pPr>
      <w:r w:rsidRPr="00277E26">
        <w:rPr>
          <w:rFonts w:ascii="Verdana" w:hAnsi="Verdana" w:cs="Arial"/>
          <w:lang w:eastAsia="es-CO"/>
        </w:rPr>
        <w:t xml:space="preserve">Atentamente, </w:t>
      </w:r>
    </w:p>
    <w:p w14:paraId="06F5B856" w14:textId="2480B747" w:rsidR="00066050" w:rsidRPr="00593A5F" w:rsidRDefault="00AA1820" w:rsidP="00066050">
      <w:pPr>
        <w:spacing w:line="276" w:lineRule="auto"/>
        <w:jc w:val="center"/>
        <w:rPr>
          <w:rFonts w:ascii="Verdana" w:hAnsi="Verdana" w:cs="Arial"/>
          <w:color w:val="000000"/>
          <w:lang w:val="es-ES_tradnl" w:eastAsia="es-CO"/>
        </w:rPr>
      </w:pPr>
      <w:r>
        <w:rPr>
          <w:noProof/>
        </w:rPr>
        <w:lastRenderedPageBreak/>
        <w:drawing>
          <wp:inline distT="0" distB="0" distL="0" distR="0" wp14:anchorId="7903EBE4" wp14:editId="267D868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66050" w:rsidRPr="00593A5F" w14:paraId="5A4F363E" w14:textId="77777777" w:rsidTr="00A700CA">
        <w:trPr>
          <w:trHeight w:val="315"/>
        </w:trPr>
        <w:tc>
          <w:tcPr>
            <w:tcW w:w="893" w:type="dxa"/>
            <w:vAlign w:val="center"/>
            <w:hideMark/>
          </w:tcPr>
          <w:p w14:paraId="1BAD7AEF" w14:textId="77777777" w:rsidR="00066050" w:rsidRPr="003751C7" w:rsidRDefault="00066050" w:rsidP="00A700C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51E56F" w14:textId="77777777" w:rsidR="00066050" w:rsidRPr="00254A7A" w:rsidRDefault="00066050" w:rsidP="00A700CA">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5DBBF86" w14:textId="77777777" w:rsidR="00066050" w:rsidRPr="00254A7A" w:rsidRDefault="00066050" w:rsidP="00A700CA">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066050" w:rsidRPr="00593A5F" w14:paraId="435024F7" w14:textId="77777777" w:rsidTr="00A700CA">
        <w:trPr>
          <w:trHeight w:val="330"/>
        </w:trPr>
        <w:tc>
          <w:tcPr>
            <w:tcW w:w="893" w:type="dxa"/>
            <w:vAlign w:val="center"/>
            <w:hideMark/>
          </w:tcPr>
          <w:p w14:paraId="2BE0DC10" w14:textId="77777777" w:rsidR="00066050" w:rsidRPr="003751C7" w:rsidRDefault="00066050" w:rsidP="00A700C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C672F19" w14:textId="77777777" w:rsidR="00066050" w:rsidRPr="00894695" w:rsidRDefault="00066050" w:rsidP="00A700CA">
            <w:pPr>
              <w:pStyle w:val="paragraph"/>
              <w:contextualSpacing/>
              <w:textAlignment w:val="baseline"/>
              <w:rPr>
                <w:rStyle w:val="normaltextrun"/>
                <w:rFonts w:ascii="Verdana" w:hAnsi="Verdana" w:cs="Arial"/>
                <w:sz w:val="16"/>
                <w:szCs w:val="16"/>
                <w:lang w:val="es-ES"/>
              </w:rPr>
            </w:pPr>
            <w:r w:rsidRPr="00894695">
              <w:rPr>
                <w:rStyle w:val="normaltextrun"/>
                <w:rFonts w:ascii="Verdana" w:hAnsi="Verdana" w:cs="Arial"/>
                <w:sz w:val="16"/>
                <w:szCs w:val="16"/>
                <w:lang w:val="es-ES"/>
              </w:rPr>
              <w:t>Alejandro Sarmiento Cantillo</w:t>
            </w:r>
          </w:p>
          <w:p w14:paraId="4D86B164" w14:textId="77777777" w:rsidR="00066050" w:rsidRPr="00254A7A" w:rsidRDefault="00066050" w:rsidP="00A700CA">
            <w:pPr>
              <w:pStyle w:val="paragraph"/>
              <w:spacing w:before="0" w:beforeAutospacing="0" w:after="0" w:afterAutospacing="0"/>
              <w:contextualSpacing/>
              <w:textAlignment w:val="baseline"/>
              <w:rPr>
                <w:rFonts w:ascii="Verdana" w:hAnsi="Verdana" w:cs="Segoe UI"/>
                <w:sz w:val="16"/>
                <w:szCs w:val="16"/>
              </w:rPr>
            </w:pPr>
            <w:r w:rsidRPr="00894695">
              <w:rPr>
                <w:rStyle w:val="normaltextrun"/>
                <w:rFonts w:ascii="Verdana" w:hAnsi="Verdana" w:cs="Arial"/>
                <w:sz w:val="16"/>
                <w:szCs w:val="16"/>
                <w:lang w:val="es-ES"/>
              </w:rPr>
              <w:t>Gestor T1 ‒ 15 de la Subdirección de Gestión Contractual</w:t>
            </w:r>
          </w:p>
        </w:tc>
      </w:tr>
      <w:tr w:rsidR="00066050" w:rsidRPr="00593A5F" w14:paraId="74DE6287" w14:textId="77777777" w:rsidTr="00A700CA">
        <w:trPr>
          <w:trHeight w:val="300"/>
        </w:trPr>
        <w:tc>
          <w:tcPr>
            <w:tcW w:w="893" w:type="dxa"/>
            <w:vAlign w:val="center"/>
          </w:tcPr>
          <w:p w14:paraId="74A6F730" w14:textId="77777777" w:rsidR="00066050" w:rsidRPr="003751C7" w:rsidRDefault="00066050" w:rsidP="00A700CA">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465D603" w14:textId="77777777" w:rsidR="00066050" w:rsidRPr="003751C7" w:rsidRDefault="00066050" w:rsidP="00A700CA">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1D00862" w14:textId="77777777" w:rsidR="00066050" w:rsidRPr="003751C7" w:rsidRDefault="00066050" w:rsidP="00A700CA">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1276C776" w14:textId="77777777" w:rsidR="00066050" w:rsidRPr="00593A5F" w:rsidRDefault="00066050" w:rsidP="00066050">
      <w:pPr>
        <w:rPr>
          <w:rFonts w:ascii="Verdana" w:hAnsi="Verdana" w:cs="Arial"/>
          <w:lang w:eastAsia="es-ES"/>
        </w:rPr>
      </w:pPr>
    </w:p>
    <w:p w14:paraId="3900974D" w14:textId="77777777" w:rsidR="003D5B0D" w:rsidRPr="006F0818" w:rsidRDefault="003D5B0D" w:rsidP="006F0818"/>
    <w:sectPr w:rsidR="003D5B0D" w:rsidRPr="006F081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CF088" w14:textId="77777777" w:rsidR="00232C95" w:rsidRDefault="00232C95" w:rsidP="004A1847">
      <w:pPr>
        <w:spacing w:after="0" w:line="240" w:lineRule="auto"/>
      </w:pPr>
      <w:r>
        <w:separator/>
      </w:r>
    </w:p>
  </w:endnote>
  <w:endnote w:type="continuationSeparator" w:id="0">
    <w:p w14:paraId="4DBD0065" w14:textId="77777777" w:rsidR="00232C95" w:rsidRDefault="00232C95" w:rsidP="004A1847">
      <w:pPr>
        <w:spacing w:after="0" w:line="240" w:lineRule="auto"/>
      </w:pPr>
      <w:r>
        <w:continuationSeparator/>
      </w:r>
    </w:p>
  </w:endnote>
  <w:endnote w:type="continuationNotice" w:id="1">
    <w:p w14:paraId="2E3B3D87" w14:textId="77777777" w:rsidR="00232C95" w:rsidRDefault="00232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attrocento Sans">
    <w:panose1 w:val="020B0502050000020003"/>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9D596" w14:textId="77777777" w:rsidR="00232C95" w:rsidRDefault="00232C95" w:rsidP="004A1847">
      <w:pPr>
        <w:spacing w:after="0" w:line="240" w:lineRule="auto"/>
      </w:pPr>
      <w:r>
        <w:separator/>
      </w:r>
    </w:p>
  </w:footnote>
  <w:footnote w:type="continuationSeparator" w:id="0">
    <w:p w14:paraId="29CCA089" w14:textId="77777777" w:rsidR="00232C95" w:rsidRDefault="00232C95" w:rsidP="004A1847">
      <w:pPr>
        <w:spacing w:after="0" w:line="240" w:lineRule="auto"/>
      </w:pPr>
      <w:r>
        <w:continuationSeparator/>
      </w:r>
    </w:p>
  </w:footnote>
  <w:footnote w:type="continuationNotice" w:id="1">
    <w:p w14:paraId="2ABC9A27" w14:textId="77777777" w:rsidR="00232C95" w:rsidRDefault="00232C95">
      <w:pPr>
        <w:spacing w:after="0" w:line="240" w:lineRule="auto"/>
      </w:pPr>
    </w:p>
  </w:footnote>
  <w:footnote w:id="2">
    <w:p w14:paraId="4F726269"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72364470"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26EC64EA"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55E831F5"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7D172BF"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3">
    <w:p w14:paraId="492BF50F" w14:textId="77777777" w:rsidR="00066050" w:rsidRPr="00C62CCD" w:rsidRDefault="00066050" w:rsidP="00066050">
      <w:pPr>
        <w:pBdr>
          <w:top w:val="nil"/>
          <w:left w:val="nil"/>
          <w:bottom w:val="nil"/>
          <w:right w:val="nil"/>
          <w:between w:val="nil"/>
        </w:pBdr>
        <w:spacing w:after="0"/>
        <w:ind w:firstLine="708"/>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4">
    <w:p w14:paraId="36651AF7" w14:textId="77777777" w:rsidR="00066050" w:rsidRPr="00C62CCD" w:rsidRDefault="00066050" w:rsidP="00066050">
      <w:pPr>
        <w:pBdr>
          <w:top w:val="nil"/>
          <w:left w:val="nil"/>
          <w:bottom w:val="nil"/>
          <w:right w:val="nil"/>
          <w:between w:val="nil"/>
        </w:pBdr>
        <w:spacing w:after="0"/>
        <w:ind w:firstLine="708"/>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5">
    <w:p w14:paraId="5FC83964" w14:textId="77777777" w:rsidR="00066050" w:rsidRPr="00C62CCD" w:rsidRDefault="00066050" w:rsidP="00066050">
      <w:pPr>
        <w:pBdr>
          <w:top w:val="nil"/>
          <w:left w:val="nil"/>
          <w:bottom w:val="nil"/>
          <w:right w:val="nil"/>
          <w:between w:val="nil"/>
        </w:pBdr>
        <w:spacing w:after="0"/>
        <w:ind w:firstLine="708"/>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6">
    <w:p w14:paraId="1F4E8BFE" w14:textId="77777777" w:rsidR="00066050" w:rsidRPr="00C62CCD" w:rsidRDefault="00066050" w:rsidP="00066050">
      <w:pPr>
        <w:pBdr>
          <w:top w:val="nil"/>
          <w:left w:val="nil"/>
          <w:bottom w:val="nil"/>
          <w:right w:val="nil"/>
          <w:between w:val="nil"/>
        </w:pBdr>
        <w:spacing w:after="0"/>
        <w:ind w:firstLine="708"/>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i/>
          <w:color w:val="000000"/>
          <w:sz w:val="16"/>
          <w:szCs w:val="16"/>
        </w:rPr>
        <w:t xml:space="preserve"> </w:t>
      </w:r>
      <w:proofErr w:type="spellStart"/>
      <w:r w:rsidRPr="00C62CCD">
        <w:rPr>
          <w:rFonts w:ascii="Verdana" w:eastAsia="Arial" w:hAnsi="Verdana" w:cs="Arial"/>
          <w:i/>
          <w:color w:val="000000"/>
          <w:sz w:val="16"/>
          <w:szCs w:val="16"/>
        </w:rPr>
        <w:t>Ibídem</w:t>
      </w:r>
      <w:proofErr w:type="spellEnd"/>
      <w:r w:rsidRPr="00C62CCD">
        <w:rPr>
          <w:rFonts w:ascii="Verdana" w:eastAsia="Arial" w:hAnsi="Verdana" w:cs="Arial"/>
          <w:i/>
          <w:color w:val="000000"/>
          <w:sz w:val="16"/>
          <w:szCs w:val="16"/>
        </w:rPr>
        <w:t>.</w:t>
      </w:r>
    </w:p>
  </w:footnote>
  <w:footnote w:id="7">
    <w:p w14:paraId="235D60DF"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hAnsi="Verdana" w:cs="Arial"/>
          <w:sz w:val="16"/>
          <w:szCs w:val="16"/>
          <w:vertAlign w:val="superscript"/>
        </w:rPr>
        <w:footnoteRef/>
      </w:r>
      <w:r w:rsidRPr="00C62CCD">
        <w:rPr>
          <w:rFonts w:ascii="Verdana" w:eastAsia="Arial" w:hAnsi="Verdana" w:cs="Arial"/>
          <w:sz w:val="16"/>
          <w:szCs w:val="16"/>
        </w:rPr>
        <w:t xml:space="preserve"> Decreto 1082 de 2015 “Artículo 2.2.1.1.2.2.2. </w:t>
      </w:r>
      <w:bookmarkStart w:id="3" w:name="_Hlk127183858"/>
      <w:r w:rsidRPr="00C62CCD">
        <w:rPr>
          <w:rFonts w:ascii="Verdana" w:eastAsia="Arial" w:hAnsi="Verdana" w:cs="Arial"/>
          <w:sz w:val="16"/>
          <w:szCs w:val="16"/>
        </w:rPr>
        <w:t>Modificado por el </w:t>
      </w:r>
      <w:bookmarkEnd w:id="3"/>
      <w:r w:rsidRPr="00C62CCD">
        <w:rPr>
          <w:rFonts w:ascii="Verdana" w:eastAsia="Arial" w:hAnsi="Verdana" w:cs="Arial"/>
          <w:sz w:val="16"/>
          <w:szCs w:val="16"/>
        </w:rPr>
        <w:t>Decreto 142 de 2023, artículo 4º. Ofrecimiento más favorable.</w:t>
      </w:r>
      <w:r w:rsidRPr="00C62CCD">
        <w:rPr>
          <w:rFonts w:ascii="Verdana" w:eastAsia="Arial" w:hAnsi="Verdana" w:cs="Arial"/>
          <w:b/>
          <w:bCs/>
          <w:sz w:val="16"/>
          <w:szCs w:val="16"/>
        </w:rPr>
        <w:t xml:space="preserve"> </w:t>
      </w:r>
      <w:r w:rsidRPr="00C62CCD">
        <w:rPr>
          <w:rFonts w:ascii="Verdana" w:eastAsia="Arial" w:hAnsi="Verdana" w:cs="Arial"/>
          <w:sz w:val="16"/>
          <w:szCs w:val="16"/>
          <w:lang w:val="es-MX"/>
        </w:rPr>
        <w:t>La Entidad Estatal debe determinar la oferta más favorable teniendo en cuenta las normas aplicables a cada modalidad de selección del contratista.</w:t>
      </w:r>
    </w:p>
    <w:p w14:paraId="505A1D6F"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2C27FDAC"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1. Las condiciones técnicas y económicas mínimas de la oferta.</w:t>
      </w:r>
    </w:p>
    <w:p w14:paraId="153B7ADD"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14:paraId="25E53FC9"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66CCD124"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4. El valor en dinero que la Entidad Estatal asigna a cada ofrecimiento técnico o económico adicional, para permitir la ponderación de las ofertas presentadas.</w:t>
      </w:r>
    </w:p>
    <w:p w14:paraId="5A804B16"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06CD723F"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La Entidad Estatal debe adjudicar al oferente que presentó la oferta con la mejor relación costo-beneficio y suscribir el contrato por el precio total ofrecido.</w:t>
      </w:r>
    </w:p>
    <w:p w14:paraId="12A499E8"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4FB1038A" w14:textId="77777777" w:rsidR="00066050" w:rsidRPr="00C62CCD" w:rsidRDefault="00066050" w:rsidP="00066050">
      <w:pPr>
        <w:spacing w:after="0"/>
        <w:ind w:firstLine="708"/>
        <w:jc w:val="both"/>
        <w:rPr>
          <w:rFonts w:ascii="Verdana" w:eastAsia="Arial" w:hAnsi="Verdana" w:cs="Arial"/>
          <w:sz w:val="16"/>
          <w:szCs w:val="16"/>
          <w:lang w:val="es-MX"/>
        </w:rPr>
      </w:pPr>
      <w:r w:rsidRPr="00C62CCD">
        <w:rPr>
          <w:rFonts w:ascii="Verdana" w:eastAsia="Arial" w:hAnsi="Verdana"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54E1B00E" w14:textId="77777777" w:rsidR="00066050" w:rsidRPr="00C62CCD" w:rsidRDefault="00066050" w:rsidP="00066050">
      <w:pPr>
        <w:spacing w:after="0"/>
        <w:ind w:firstLine="708"/>
        <w:jc w:val="both"/>
        <w:rPr>
          <w:rFonts w:ascii="Verdana" w:eastAsia="Arial" w:hAnsi="Verdana" w:cs="Arial"/>
          <w:sz w:val="16"/>
          <w:szCs w:val="16"/>
        </w:rPr>
      </w:pPr>
      <w:r w:rsidRPr="00C62CCD">
        <w:rPr>
          <w:rFonts w:ascii="Verdana" w:eastAsia="Arial" w:hAnsi="Verdana" w:cs="Arial"/>
          <w:sz w:val="16"/>
          <w:szCs w:val="16"/>
        </w:rPr>
        <w:t>Parágrafo. Los criterios de calidad para evaluar la mejor relación calidad precio podrán incluir criterios ambientales o sociales vinculados al objeto del contrato.</w:t>
      </w:r>
    </w:p>
    <w:p w14:paraId="712BEAA4" w14:textId="77777777" w:rsidR="00066050" w:rsidRPr="00C62CCD" w:rsidRDefault="00066050" w:rsidP="00066050">
      <w:pPr>
        <w:spacing w:after="0"/>
        <w:ind w:firstLine="708"/>
        <w:jc w:val="both"/>
        <w:rPr>
          <w:rFonts w:ascii="Verdana" w:eastAsia="Arial" w:hAnsi="Verdana" w:cs="Arial"/>
          <w:sz w:val="16"/>
          <w:szCs w:val="16"/>
        </w:rPr>
      </w:pPr>
      <w:r w:rsidRPr="00C62CCD">
        <w:rPr>
          <w:rFonts w:ascii="Verdana" w:eastAsia="Arial" w:hAnsi="Verdana" w:cs="Arial"/>
          <w:sz w:val="16"/>
          <w:szCs w:val="16"/>
        </w:rPr>
        <w:t>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w:t>
      </w:r>
    </w:p>
    <w:p w14:paraId="3CD58273" w14:textId="77777777" w:rsidR="00066050" w:rsidRPr="00C62CCD" w:rsidRDefault="00066050" w:rsidP="00066050">
      <w:pPr>
        <w:spacing w:after="0"/>
        <w:ind w:firstLine="708"/>
        <w:jc w:val="both"/>
        <w:rPr>
          <w:rFonts w:ascii="Verdana" w:eastAsia="Arial" w:hAnsi="Verdana" w:cs="Arial"/>
          <w:sz w:val="16"/>
          <w:szCs w:val="16"/>
        </w:rPr>
      </w:pPr>
      <w:r w:rsidRPr="00C62CCD">
        <w:rPr>
          <w:rFonts w:ascii="Verdana" w:eastAsia="Arial" w:hAnsi="Verdana" w:cs="Arial"/>
          <w:sz w:val="16"/>
          <w:szCs w:val="16"/>
        </w:rPr>
        <w:t>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 .</w:t>
      </w:r>
    </w:p>
    <w:p w14:paraId="65FA4CC4" w14:textId="77777777" w:rsidR="00066050" w:rsidRPr="00C62CCD" w:rsidRDefault="00066050" w:rsidP="00066050">
      <w:pPr>
        <w:spacing w:after="0"/>
        <w:ind w:firstLine="708"/>
        <w:jc w:val="both"/>
        <w:rPr>
          <w:rFonts w:ascii="Verdana" w:eastAsia="Arial" w:hAnsi="Verdana" w:cs="Arial"/>
          <w:sz w:val="16"/>
          <w:szCs w:val="16"/>
        </w:rPr>
      </w:pPr>
      <w:r w:rsidRPr="00C62CCD">
        <w:rPr>
          <w:rFonts w:ascii="Verdana" w:eastAsia="Arial" w:hAnsi="Verdana" w:cs="Arial"/>
          <w:sz w:val="16"/>
          <w:szCs w:val="16"/>
        </w:rPr>
        <w:t>En el marco de las competencias atribuidas por el Decreto Ley 4170 de 2011, la Agencia Nacional de Contratación Pública -Colombia Compra Eficiente adoptará instrumentos dirigidos a orientar a las Entidades Estatales en la aplicación de estos criterios sociales y ambientales”. </w:t>
      </w:r>
    </w:p>
  </w:footnote>
  <w:footnote w:id="8">
    <w:p w14:paraId="4E5FF6FC"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Consejo de Estado. Sección Tercera. Subsección A. Sentencia del 25 de octubre de 2019. </w:t>
      </w:r>
      <w:proofErr w:type="spellStart"/>
      <w:r w:rsidRPr="00C62CCD">
        <w:rPr>
          <w:rFonts w:ascii="Verdana" w:eastAsia="Arial" w:hAnsi="Verdana" w:cs="Arial"/>
          <w:color w:val="000000"/>
          <w:sz w:val="16"/>
          <w:szCs w:val="16"/>
        </w:rPr>
        <w:t>Exp</w:t>
      </w:r>
      <w:proofErr w:type="spellEnd"/>
      <w:r w:rsidRPr="00C62CCD">
        <w:rPr>
          <w:rFonts w:ascii="Verdana" w:eastAsia="Arial" w:hAnsi="Verdana" w:cs="Arial"/>
          <w:color w:val="000000"/>
          <w:sz w:val="16"/>
          <w:szCs w:val="16"/>
        </w:rPr>
        <w:t>. 39.945. Consejera Ponente: María Adriana Marín.</w:t>
      </w:r>
    </w:p>
  </w:footnote>
  <w:footnote w:id="9">
    <w:p w14:paraId="5292FE15"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vertAlign w:val="superscript"/>
        </w:rPr>
        <w:t xml:space="preserve"> </w:t>
      </w:r>
      <w:r w:rsidRPr="00C62CCD">
        <w:rPr>
          <w:rFonts w:ascii="Verdana" w:eastAsia="Arial" w:hAnsi="Verdana" w:cs="Arial"/>
          <w:color w:val="000000"/>
          <w:sz w:val="16"/>
          <w:szCs w:val="16"/>
        </w:rPr>
        <w:t xml:space="preserve">Consejo de Estado. Sección Tercera. Subsección A. Sentencia del 5 de julio de 2018. </w:t>
      </w:r>
      <w:proofErr w:type="spellStart"/>
      <w:r w:rsidRPr="00C62CCD">
        <w:rPr>
          <w:rFonts w:ascii="Verdana" w:eastAsia="Arial" w:hAnsi="Verdana" w:cs="Arial"/>
          <w:color w:val="000000"/>
          <w:sz w:val="16"/>
          <w:szCs w:val="16"/>
        </w:rPr>
        <w:t>Exp</w:t>
      </w:r>
      <w:proofErr w:type="spellEnd"/>
      <w:r w:rsidRPr="00C62CCD">
        <w:rPr>
          <w:rFonts w:ascii="Verdana" w:eastAsia="Arial" w:hAnsi="Verdana" w:cs="Arial"/>
          <w:color w:val="000000"/>
          <w:sz w:val="16"/>
          <w:szCs w:val="16"/>
        </w:rPr>
        <w:t>. 37.834. Consejero Ponente: Carlos Alberto Zambrano Barrera.</w:t>
      </w:r>
    </w:p>
  </w:footnote>
  <w:footnote w:id="10">
    <w:p w14:paraId="6C2A51FB"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11">
    <w:p w14:paraId="2E97E8AB"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2">
    <w:p w14:paraId="14C5C3E9"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rPr>
        <w:t xml:space="preserve"> Consejo de Estado. Sección Tercera, Subsección C. Sentencia del 26 de febrero de 2014. C.P. Enrique Gil Botero, Rad. 1999-00113-01 (25.804). </w:t>
      </w:r>
    </w:p>
  </w:footnote>
  <w:footnote w:id="13">
    <w:p w14:paraId="01F988AE" w14:textId="77777777" w:rsidR="00066050" w:rsidRPr="00C62CCD" w:rsidRDefault="00066050" w:rsidP="00066050">
      <w:pPr>
        <w:pBdr>
          <w:top w:val="nil"/>
          <w:left w:val="nil"/>
          <w:bottom w:val="nil"/>
          <w:right w:val="nil"/>
          <w:between w:val="nil"/>
        </w:pBdr>
        <w:spacing w:after="0"/>
        <w:ind w:firstLine="709"/>
        <w:jc w:val="both"/>
        <w:rPr>
          <w:rFonts w:ascii="Verdana" w:eastAsia="Arial" w:hAnsi="Verdana" w:cs="Arial"/>
          <w:color w:val="000000"/>
          <w:sz w:val="16"/>
          <w:szCs w:val="16"/>
        </w:rPr>
      </w:pPr>
      <w:r w:rsidRPr="00C62CCD">
        <w:rPr>
          <w:rFonts w:ascii="Verdana" w:hAnsi="Verdana" w:cs="Arial"/>
          <w:sz w:val="16"/>
          <w:szCs w:val="16"/>
          <w:vertAlign w:val="superscript"/>
        </w:rPr>
        <w:footnoteRef/>
      </w:r>
      <w:r w:rsidRPr="00C62CCD">
        <w:rPr>
          <w:rFonts w:ascii="Verdana" w:eastAsia="Arial" w:hAnsi="Verdana" w:cs="Arial"/>
          <w:color w:val="000000"/>
          <w:sz w:val="16"/>
          <w:szCs w:val="16"/>
          <w:vertAlign w:val="superscript"/>
        </w:rPr>
        <w:t xml:space="preserve"> </w:t>
      </w:r>
      <w:r w:rsidRPr="00C62CCD">
        <w:rPr>
          <w:rFonts w:ascii="Verdana" w:eastAsia="Arial" w:hAnsi="Verdana" w:cs="Arial"/>
          <w:color w:val="000000"/>
          <w:sz w:val="16"/>
          <w:szCs w:val="16"/>
        </w:rPr>
        <w:t xml:space="preserve">Ley 1150 de 2007, artículo 5, parágrafo 4°: </w:t>
      </w:r>
      <w:r>
        <w:rPr>
          <w:rFonts w:ascii="Verdana" w:eastAsia="Arial" w:hAnsi="Verdana" w:cs="Arial"/>
          <w:color w:val="000000"/>
          <w:sz w:val="16"/>
          <w:szCs w:val="16"/>
        </w:rPr>
        <w:t>“</w:t>
      </w:r>
      <w:r w:rsidRPr="00C62CCD">
        <w:rPr>
          <w:rFonts w:ascii="Verdana" w:eastAsia="Arial" w:hAnsi="Verdana" w:cs="Arial"/>
          <w:color w:val="000000"/>
          <w:sz w:val="16"/>
          <w:szCs w:val="16"/>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Pr>
          <w:rFonts w:ascii="Verdana" w:eastAsia="Arial" w:hAnsi="Verdana" w:cs="Arial"/>
          <w:color w:val="000000"/>
          <w:sz w:val="16"/>
          <w:szCs w:val="16"/>
        </w:rPr>
        <w:t>”</w:t>
      </w:r>
      <w:r w:rsidRPr="00C62CCD">
        <w:rPr>
          <w:rFonts w:ascii="Verdana" w:eastAsia="Arial" w:hAnsi="Verdana" w:cs="Arial"/>
          <w:color w:val="000000"/>
          <w:sz w:val="16"/>
          <w:szCs w:val="16"/>
        </w:rPr>
        <w:t>.</w:t>
      </w:r>
    </w:p>
  </w:footnote>
  <w:footnote w:id="14">
    <w:p w14:paraId="5CFD362E" w14:textId="77777777" w:rsidR="00066050" w:rsidRPr="00C62CCD" w:rsidRDefault="00066050" w:rsidP="00066050">
      <w:pPr>
        <w:pStyle w:val="Textonotapie"/>
        <w:ind w:firstLine="708"/>
        <w:rPr>
          <w:rFonts w:ascii="Verdana" w:hAnsi="Verdana" w:cs="Arial"/>
          <w:color w:val="000000" w:themeColor="text1"/>
          <w:sz w:val="16"/>
          <w:szCs w:val="16"/>
          <w:lang w:val="es-ES"/>
        </w:rPr>
      </w:pPr>
      <w:r w:rsidRPr="00C62CCD">
        <w:rPr>
          <w:rFonts w:ascii="Verdana" w:eastAsia="Arial" w:hAnsi="Verdana" w:cs="Arial"/>
          <w:color w:val="000000" w:themeColor="text1"/>
          <w:sz w:val="16"/>
          <w:szCs w:val="16"/>
          <w:vertAlign w:val="superscript"/>
        </w:rPr>
        <w:footnoteRef/>
      </w:r>
      <w:r w:rsidRPr="00C62CCD">
        <w:rPr>
          <w:rFonts w:ascii="Verdana" w:eastAsia="Arial" w:hAnsi="Verdana" w:cs="Arial"/>
          <w:color w:val="000000" w:themeColor="text1"/>
          <w:sz w:val="16"/>
          <w:szCs w:val="16"/>
          <w:vertAlign w:val="superscript"/>
          <w:lang w:val="es-ES"/>
        </w:rPr>
        <w:t xml:space="preserve"> </w:t>
      </w:r>
      <w:r w:rsidRPr="00C62CCD">
        <w:rPr>
          <w:rFonts w:ascii="Verdana" w:eastAsia="Arial" w:hAnsi="Verdana" w:cs="Arial"/>
          <w:color w:val="000000" w:themeColor="text1"/>
          <w:sz w:val="16"/>
          <w:szCs w:val="16"/>
          <w:lang w:val="es-ES"/>
        </w:rPr>
        <w:t>Consejo de Estado. Sala de Consulta y Servicio Civil. Concepto del 20 de mayo de 2010. No. de Radicado: 11001-03-06-000-2010-00034-00(1992). C.P. Enrique José Arboleda Perdomo.</w:t>
      </w:r>
    </w:p>
    <w:p w14:paraId="79145AAD" w14:textId="77777777" w:rsidR="00066050" w:rsidRPr="00C62CCD" w:rsidRDefault="00066050" w:rsidP="00066050">
      <w:pPr>
        <w:pStyle w:val="Textonotapie"/>
        <w:ind w:firstLine="708"/>
        <w:rPr>
          <w:rFonts w:ascii="Verdana" w:hAnsi="Verdana" w:cs="Arial"/>
          <w:color w:val="000000" w:themeColor="text1"/>
          <w:sz w:val="16"/>
          <w:szCs w:val="16"/>
        </w:rPr>
      </w:pPr>
    </w:p>
  </w:footnote>
  <w:footnote w:id="15">
    <w:p w14:paraId="1CE79922" w14:textId="77777777" w:rsidR="00066050" w:rsidRPr="00C62CCD" w:rsidRDefault="00066050" w:rsidP="00066050">
      <w:pPr>
        <w:pStyle w:val="Textonotapie"/>
        <w:ind w:firstLine="708"/>
        <w:rPr>
          <w:rFonts w:ascii="Verdana" w:hAnsi="Verdana" w:cs="Arial"/>
          <w:color w:val="000000" w:themeColor="text1"/>
          <w:sz w:val="16"/>
          <w:szCs w:val="16"/>
        </w:rPr>
      </w:pPr>
      <w:r w:rsidRPr="00C62CCD">
        <w:rPr>
          <w:rStyle w:val="Refdenotaalpie"/>
          <w:rFonts w:ascii="Verdana" w:hAnsi="Verdana" w:cs="Arial"/>
          <w:color w:val="000000" w:themeColor="text1"/>
          <w:sz w:val="16"/>
          <w:szCs w:val="16"/>
        </w:rPr>
        <w:footnoteRef/>
      </w:r>
      <w:r w:rsidRPr="00C62CCD">
        <w:rPr>
          <w:rFonts w:ascii="Verdana" w:hAnsi="Verdana" w:cs="Arial"/>
          <w:color w:val="000000" w:themeColor="text1"/>
          <w:sz w:val="16"/>
          <w:szCs w:val="16"/>
        </w:rPr>
        <w:t xml:space="preserve"> </w:t>
      </w:r>
      <w:r w:rsidRPr="00C62CCD">
        <w:rPr>
          <w:rFonts w:ascii="Verdana" w:eastAsia="Arial" w:hAnsi="Verdana" w:cs="Arial"/>
          <w:color w:val="000000" w:themeColor="text1"/>
          <w:sz w:val="16"/>
          <w:szCs w:val="16"/>
          <w:lang w:val="es-ES"/>
        </w:rPr>
        <w:t>Consejo de Estado. Sala de Consulta y Servicio Civil. Concepto del 20 de mayo de 2010. No. de Radicado: 11001-03-06-000-2010-00034-00(1992). C.P. Enrique José Arboleda Perdomo.</w:t>
      </w:r>
    </w:p>
  </w:footnote>
  <w:footnote w:id="16">
    <w:p w14:paraId="7BEA719C" w14:textId="77777777" w:rsidR="00066050" w:rsidRPr="00C62CCD" w:rsidRDefault="00066050" w:rsidP="00066050">
      <w:pPr>
        <w:pStyle w:val="Textonotapie"/>
        <w:ind w:firstLine="708"/>
        <w:jc w:val="both"/>
        <w:rPr>
          <w:rFonts w:ascii="Verdana" w:hAnsi="Verdana" w:cs="Arial"/>
          <w:sz w:val="16"/>
          <w:szCs w:val="16"/>
          <w:lang w:val="es-ES"/>
        </w:rPr>
      </w:pPr>
      <w:r w:rsidRPr="00C62CCD">
        <w:rPr>
          <w:rStyle w:val="Refdenotaalpie"/>
          <w:rFonts w:ascii="Verdana" w:hAnsi="Verdana" w:cs="Arial"/>
          <w:sz w:val="16"/>
          <w:szCs w:val="16"/>
        </w:rPr>
        <w:footnoteRef/>
      </w:r>
      <w:r w:rsidRPr="00C62CCD">
        <w:rPr>
          <w:rFonts w:ascii="Verdana" w:hAnsi="Verdana" w:cs="Arial"/>
          <w:sz w:val="16"/>
          <w:szCs w:val="16"/>
        </w:rPr>
        <w:t xml:space="preserve"> </w:t>
      </w:r>
      <w:r w:rsidRPr="00C62CCD">
        <w:rPr>
          <w:rFonts w:ascii="Verdana" w:hAnsi="Verdana" w:cs="Arial"/>
          <w:sz w:val="16"/>
          <w:szCs w:val="16"/>
          <w:lang w:val="es-ES"/>
        </w:rPr>
        <w:t xml:space="preserve">El primer inciso del artículo 2º de la Ley 816 de 2003 dispone lo siguiente: </w:t>
      </w:r>
      <w:r>
        <w:rPr>
          <w:rFonts w:ascii="Verdana" w:hAnsi="Verdana" w:cs="Arial"/>
          <w:sz w:val="16"/>
          <w:szCs w:val="16"/>
          <w:lang w:val="es-ES"/>
        </w:rPr>
        <w:t>“</w:t>
      </w:r>
      <w:r w:rsidRPr="00C62CCD">
        <w:rPr>
          <w:rFonts w:ascii="Verdana" w:hAnsi="Verdana" w:cs="Arial"/>
          <w:sz w:val="16"/>
          <w:szCs w:val="16"/>
          <w:lang w:val="es-ES"/>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r>
        <w:rPr>
          <w:rFonts w:ascii="Verdana" w:hAnsi="Verdana" w:cs="Arial"/>
          <w:sz w:val="16"/>
          <w:szCs w:val="16"/>
          <w:lang w:val="es-ES"/>
        </w:rPr>
        <w:t>”</w:t>
      </w:r>
      <w:r w:rsidRPr="00C62CCD">
        <w:rPr>
          <w:rFonts w:ascii="Verdana" w:hAnsi="Verdana" w:cs="Arial"/>
          <w:sz w:val="16"/>
          <w:szCs w:val="16"/>
          <w:lang w:val="es-ES"/>
        </w:rPr>
        <w:t xml:space="preserve">. Por su parte, </w:t>
      </w:r>
      <w:r w:rsidRPr="00C62CCD">
        <w:rPr>
          <w:rFonts w:ascii="Verdana" w:hAnsi="Verdana" w:cs="Arial"/>
          <w:sz w:val="16"/>
          <w:szCs w:val="16"/>
        </w:rPr>
        <w:t xml:space="preserve">el artículo 2.2.1.2.4.2.6 del Decreto 1082 de 2015 prescribe que </w:t>
      </w:r>
      <w:r>
        <w:rPr>
          <w:rFonts w:ascii="Verdana" w:hAnsi="Verdana" w:cs="Arial"/>
          <w:sz w:val="16"/>
          <w:szCs w:val="16"/>
        </w:rPr>
        <w:t>“</w:t>
      </w:r>
      <w:r w:rsidRPr="00C62CCD">
        <w:rPr>
          <w:rFonts w:ascii="Verdana" w:hAnsi="Verdana" w:cs="Arial"/>
          <w:sz w:val="16"/>
          <w:szCs w:val="16"/>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w:t>
      </w:r>
      <w:r>
        <w:rPr>
          <w:rFonts w:ascii="Verdana" w:hAnsi="Verdana" w:cs="Arial"/>
          <w:sz w:val="16"/>
          <w:szCs w:val="16"/>
        </w:rPr>
        <w:t>”</w:t>
      </w:r>
      <w:r w:rsidRPr="00C62CCD">
        <w:rPr>
          <w:rFonts w:ascii="Verdana" w:hAnsi="Verdana" w:cs="Arial"/>
          <w:sz w:val="16"/>
          <w:szCs w:val="16"/>
        </w:rPr>
        <w:t>.</w:t>
      </w:r>
    </w:p>
    <w:p w14:paraId="6C1559B7" w14:textId="77777777" w:rsidR="00066050" w:rsidRPr="00C62CCD" w:rsidRDefault="00066050" w:rsidP="00066050">
      <w:pPr>
        <w:pStyle w:val="Textonotapie"/>
        <w:rPr>
          <w:rFonts w:ascii="Verdana" w:hAnsi="Verdana"/>
          <w:sz w:val="16"/>
          <w:szCs w:val="16"/>
          <w:lang w:val="es-ES"/>
        </w:rPr>
      </w:pPr>
    </w:p>
  </w:footnote>
  <w:footnote w:id="17">
    <w:p w14:paraId="0A1FBED7" w14:textId="77777777" w:rsidR="00066050" w:rsidRPr="00CD1E9C" w:rsidRDefault="00066050" w:rsidP="00066050">
      <w:pPr>
        <w:pStyle w:val="Textonotapie"/>
        <w:ind w:firstLine="708"/>
        <w:jc w:val="both"/>
        <w:rPr>
          <w:rFonts w:ascii="Verdana" w:hAnsi="Verdana"/>
          <w:sz w:val="16"/>
          <w:szCs w:val="16"/>
        </w:rPr>
      </w:pPr>
      <w:r w:rsidRPr="00CD1E9C">
        <w:rPr>
          <w:rStyle w:val="Refdenotaalpie"/>
          <w:rFonts w:ascii="Verdana" w:hAnsi="Verdana"/>
          <w:sz w:val="16"/>
          <w:szCs w:val="16"/>
        </w:rPr>
        <w:footnoteRef/>
      </w:r>
      <w:r w:rsidRPr="00CD1E9C">
        <w:rPr>
          <w:rFonts w:ascii="Verdana" w:hAnsi="Verdana"/>
          <w:sz w:val="16"/>
          <w:szCs w:val="16"/>
        </w:rPr>
        <w:t xml:space="preserve"> </w:t>
      </w:r>
      <w:r>
        <w:rPr>
          <w:rFonts w:ascii="Verdana" w:hAnsi="Verdana"/>
          <w:sz w:val="16"/>
          <w:szCs w:val="16"/>
        </w:rPr>
        <w:t>El artículo 270 del CPACA dispone que “</w:t>
      </w:r>
      <w:r w:rsidRPr="00CD1E9C">
        <w:rPr>
          <w:rFonts w:ascii="Verdana" w:hAnsi="Verdana"/>
          <w:sz w:val="16"/>
          <w:szCs w:val="16"/>
        </w:rPr>
        <w:t>Para los efectos de este Código se tendrán como sentencias de unificación jurisprudencial las que profiera o haya proferido el Consejo de Estado por importancia jurídica o trascendencia económica o social o por necesidad de unificar o sentar jurisprudencia o precisar su alcance o resolver las divergencias en su interpretación y aplicación; las proferidas al decidir los recursos extraordinarios y las relativas al mecanismo eventual de revisión previsto en el artículo 36A de la Ley 270 de 1995, adicionado por el artículo 11 de la Ley 1285 de 2009</w:t>
      </w:r>
      <w:r>
        <w:rPr>
          <w:rFonts w:ascii="Verdana" w:hAnsi="Verdana"/>
          <w:sz w:val="16"/>
          <w:szCs w:val="16"/>
        </w:rPr>
        <w:t>”</w:t>
      </w:r>
      <w:r w:rsidRPr="00CD1E9C">
        <w:rPr>
          <w:rFonts w:ascii="Verdana" w:hAnsi="Verdana"/>
          <w:sz w:val="16"/>
          <w:szCs w:val="16"/>
        </w:rPr>
        <w:t xml:space="preserve">. </w:t>
      </w:r>
      <w:r>
        <w:rPr>
          <w:rFonts w:ascii="Verdana" w:hAnsi="Verdana"/>
          <w:sz w:val="16"/>
          <w:szCs w:val="16"/>
        </w:rPr>
        <w:t xml:space="preserve">El concepto es relevante para la aplicación del artículo 10 </w:t>
      </w:r>
      <w:r w:rsidRPr="00CD1E9C">
        <w:rPr>
          <w:rFonts w:ascii="Verdana" w:hAnsi="Verdana"/>
          <w:i/>
          <w:iCs/>
          <w:sz w:val="16"/>
          <w:szCs w:val="16"/>
        </w:rPr>
        <w:t>ibidem</w:t>
      </w:r>
      <w:r>
        <w:rPr>
          <w:rFonts w:ascii="Verdana" w:hAnsi="Verdana"/>
          <w:sz w:val="16"/>
          <w:szCs w:val="16"/>
        </w:rPr>
        <w:t>, el cual prescribe que “</w:t>
      </w:r>
      <w:r w:rsidRPr="00CD1E9C">
        <w:rPr>
          <w:rFonts w:ascii="Verdana" w:hAnsi="Verdana"/>
          <w:sz w:val="16"/>
          <w:szCs w:val="16"/>
        </w:rPr>
        <w:t xml:space="preserve">Al resolver los asuntos de su competencia, las autoridades aplicarán las disposiciones constitucionales, legales y reglamentarias de manera uniforme a situaciones que tengan los mismos supuestos fácticos y jurídicos. </w:t>
      </w:r>
      <w:r w:rsidRPr="00CD1E9C">
        <w:rPr>
          <w:rFonts w:ascii="Verdana" w:hAnsi="Verdana"/>
          <w:i/>
          <w:iCs/>
          <w:sz w:val="16"/>
          <w:szCs w:val="16"/>
        </w:rPr>
        <w:t>Con este propósito, al adoptar las decisiones de su competencia, deberán tener en cuenta las sentencias de unificación jurisprudencial del Consejo de Estado en las que se interpreten y apliquen dichas normas</w:t>
      </w:r>
      <w:r>
        <w:rPr>
          <w:rFonts w:ascii="Verdana" w:hAnsi="Verdana"/>
          <w:sz w:val="16"/>
          <w:szCs w:val="16"/>
        </w:rPr>
        <w:t>” (Énfasis fuera de texto)</w:t>
      </w:r>
      <w:r w:rsidRPr="00CD1E9C">
        <w:rPr>
          <w:rFonts w:ascii="Verdana" w:hAnsi="Verdana"/>
          <w:sz w:val="16"/>
          <w:szCs w:val="16"/>
        </w:rPr>
        <w:t xml:space="preserve"> </w:t>
      </w:r>
    </w:p>
  </w:footnote>
  <w:footnote w:id="18">
    <w:p w14:paraId="7EE8ED3B" w14:textId="77777777" w:rsidR="00066050" w:rsidRPr="001344F9" w:rsidRDefault="00066050" w:rsidP="00066050">
      <w:pPr>
        <w:pStyle w:val="Textonotapie"/>
        <w:ind w:firstLine="708"/>
        <w:jc w:val="both"/>
        <w:rPr>
          <w:rFonts w:ascii="Verdana" w:hAnsi="Verdana"/>
          <w:sz w:val="16"/>
          <w:szCs w:val="16"/>
        </w:rPr>
      </w:pPr>
      <w:r w:rsidRPr="001344F9">
        <w:rPr>
          <w:rStyle w:val="Refdenotaalpie"/>
          <w:rFonts w:ascii="Verdana" w:hAnsi="Verdana"/>
          <w:sz w:val="16"/>
          <w:szCs w:val="16"/>
        </w:rPr>
        <w:footnoteRef/>
      </w:r>
      <w:r w:rsidRPr="001344F9">
        <w:rPr>
          <w:rFonts w:ascii="Verdana" w:hAnsi="Verdana"/>
          <w:sz w:val="16"/>
          <w:szCs w:val="16"/>
        </w:rPr>
        <w:t xml:space="preserve"> </w:t>
      </w:r>
      <w:r w:rsidRPr="00042DD7">
        <w:rPr>
          <w:rFonts w:ascii="Verdana" w:hAnsi="Verdana"/>
          <w:sz w:val="16"/>
          <w:szCs w:val="16"/>
        </w:rPr>
        <w:t>Como explica la doctrina</w:t>
      </w:r>
      <w:r>
        <w:rPr>
          <w:rFonts w:ascii="Verdana" w:hAnsi="Verdana"/>
          <w:sz w:val="16"/>
          <w:szCs w:val="16"/>
        </w:rPr>
        <w:t xml:space="preserve">, </w:t>
      </w:r>
      <w:r w:rsidRPr="00042DD7">
        <w:rPr>
          <w:rFonts w:ascii="Verdana" w:hAnsi="Verdana"/>
          <w:sz w:val="16"/>
          <w:szCs w:val="16"/>
        </w:rPr>
        <w:t xml:space="preserve">“La eficacia vinculante que la decisión del juez despliega como cosa juzgada respecto del caso decidido, se considera conceptualmente distinta de la autoridad que el criterio de decisión en ella adoptada (la llamada </w:t>
      </w:r>
      <w:r w:rsidRPr="00042DD7">
        <w:rPr>
          <w:rFonts w:ascii="Verdana" w:hAnsi="Verdana"/>
          <w:i/>
          <w:iCs/>
          <w:sz w:val="16"/>
          <w:szCs w:val="16"/>
        </w:rPr>
        <w:t>ratio decidendi</w:t>
      </w:r>
      <w:r w:rsidRPr="00042DD7">
        <w:rPr>
          <w:rFonts w:ascii="Verdana" w:hAnsi="Verdana"/>
          <w:sz w:val="16"/>
          <w:szCs w:val="16"/>
        </w:rPr>
        <w:t xml:space="preserve">) pueda desplegar sobre la convicción de los juicios futuros que vengan llamados a decidir casos semejantes. La autoridad de la decisión precedente en este segundo aspecto no se impone al futuro juez como un precepto jurídico a observar, sino que hace referencia únicamente a la inteligencia y al sentido crítico del que ha de decidir, llamándolo a apreciar el criterio de decisión adoptado en cuanto a su valor interpretativo, o sea a reconocer si éste responde a las exigencias del caso decisivo y al esquema de coherencia del </w:t>
      </w:r>
      <w:r w:rsidRPr="00042DD7">
        <w:rPr>
          <w:rFonts w:ascii="Verdana" w:hAnsi="Verdana"/>
          <w:i/>
          <w:iCs/>
          <w:sz w:val="16"/>
          <w:szCs w:val="16"/>
        </w:rPr>
        <w:t>ius conditum</w:t>
      </w:r>
      <w:r w:rsidRPr="00042DD7">
        <w:rPr>
          <w:rFonts w:ascii="Verdana" w:hAnsi="Verdana"/>
          <w:sz w:val="16"/>
          <w:szCs w:val="16"/>
        </w:rPr>
        <w:t>, es decir, si representa en suma una interpretación exacta de las normas jurídicas en discusión […]”</w:t>
      </w:r>
      <w:r>
        <w:rPr>
          <w:rFonts w:ascii="Verdana" w:hAnsi="Verdana"/>
          <w:sz w:val="16"/>
          <w:szCs w:val="16"/>
        </w:rPr>
        <w:t xml:space="preserve"> (BETTI, Emilio. La interpretación de la ley y los actos jurídicos. Santiago: Ediciones Olejnik, 2018. p. 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DEA3A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16414829" o:spid="_x0000_i1025" type="#_x0000_t75" style="width:11.45pt;height:11.45pt;visibility:visible;mso-wrap-style:square">
            <v:imagedata r:id="rId1" o:title=""/>
          </v:shape>
        </w:pict>
      </mc:Choice>
      <mc:Fallback>
        <w:drawing>
          <wp:inline distT="0" distB="0" distL="0" distR="0" wp14:anchorId="2FB8AF72" wp14:editId="5B2F65A1">
            <wp:extent cx="145415" cy="145415"/>
            <wp:effectExtent l="0" t="0" r="0" b="0"/>
            <wp:docPr id="616414829" name="Imagen 61641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050"/>
    <w:rsid w:val="00082362"/>
    <w:rsid w:val="000A683E"/>
    <w:rsid w:val="000B19B9"/>
    <w:rsid w:val="000D0334"/>
    <w:rsid w:val="000F6486"/>
    <w:rsid w:val="00125105"/>
    <w:rsid w:val="00127233"/>
    <w:rsid w:val="001511A0"/>
    <w:rsid w:val="001E4177"/>
    <w:rsid w:val="001F7DC6"/>
    <w:rsid w:val="00232C95"/>
    <w:rsid w:val="002421BB"/>
    <w:rsid w:val="0025796E"/>
    <w:rsid w:val="002707A2"/>
    <w:rsid w:val="002951A0"/>
    <w:rsid w:val="002962BC"/>
    <w:rsid w:val="002A093D"/>
    <w:rsid w:val="002A0DD0"/>
    <w:rsid w:val="002A49AC"/>
    <w:rsid w:val="002A64FD"/>
    <w:rsid w:val="002C7A84"/>
    <w:rsid w:val="002E4FD9"/>
    <w:rsid w:val="0030399B"/>
    <w:rsid w:val="00305A2F"/>
    <w:rsid w:val="003125D8"/>
    <w:rsid w:val="00322A85"/>
    <w:rsid w:val="00324168"/>
    <w:rsid w:val="003448F4"/>
    <w:rsid w:val="00374F5E"/>
    <w:rsid w:val="00377E3E"/>
    <w:rsid w:val="00391038"/>
    <w:rsid w:val="003A779E"/>
    <w:rsid w:val="003D0F4D"/>
    <w:rsid w:val="003D5B0D"/>
    <w:rsid w:val="003E0499"/>
    <w:rsid w:val="003F3941"/>
    <w:rsid w:val="00406575"/>
    <w:rsid w:val="00414C74"/>
    <w:rsid w:val="0042722E"/>
    <w:rsid w:val="0044528D"/>
    <w:rsid w:val="004A1847"/>
    <w:rsid w:val="004A305D"/>
    <w:rsid w:val="004B10FF"/>
    <w:rsid w:val="004F21C4"/>
    <w:rsid w:val="004F685F"/>
    <w:rsid w:val="005566E8"/>
    <w:rsid w:val="00574867"/>
    <w:rsid w:val="00591460"/>
    <w:rsid w:val="005B3816"/>
    <w:rsid w:val="005C3777"/>
    <w:rsid w:val="005C5CDC"/>
    <w:rsid w:val="005D476C"/>
    <w:rsid w:val="006219F8"/>
    <w:rsid w:val="00665D70"/>
    <w:rsid w:val="006900D9"/>
    <w:rsid w:val="006F0818"/>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663E3"/>
    <w:rsid w:val="00AA1820"/>
    <w:rsid w:val="00AB0ADB"/>
    <w:rsid w:val="00AC0AD6"/>
    <w:rsid w:val="00B01B1A"/>
    <w:rsid w:val="00B66319"/>
    <w:rsid w:val="00B72CD3"/>
    <w:rsid w:val="00B72FFF"/>
    <w:rsid w:val="00BB2D46"/>
    <w:rsid w:val="00BC3D36"/>
    <w:rsid w:val="00BD7F72"/>
    <w:rsid w:val="00C04FB3"/>
    <w:rsid w:val="00C330EB"/>
    <w:rsid w:val="00C41061"/>
    <w:rsid w:val="00C754BE"/>
    <w:rsid w:val="00C76B1C"/>
    <w:rsid w:val="00C938FC"/>
    <w:rsid w:val="00CB6357"/>
    <w:rsid w:val="00CC1B26"/>
    <w:rsid w:val="00D34D96"/>
    <w:rsid w:val="00D423A2"/>
    <w:rsid w:val="00D520D8"/>
    <w:rsid w:val="00D63AC2"/>
    <w:rsid w:val="00D6405C"/>
    <w:rsid w:val="00D7383B"/>
    <w:rsid w:val="00DA231B"/>
    <w:rsid w:val="00DC39FC"/>
    <w:rsid w:val="00DF5254"/>
    <w:rsid w:val="00E16408"/>
    <w:rsid w:val="00E20894"/>
    <w:rsid w:val="00E245AB"/>
    <w:rsid w:val="00E2764C"/>
    <w:rsid w:val="00E27F2E"/>
    <w:rsid w:val="00E4175D"/>
    <w:rsid w:val="00E50AFE"/>
    <w:rsid w:val="00E75C92"/>
    <w:rsid w:val="00E771DC"/>
    <w:rsid w:val="00E8772A"/>
    <w:rsid w:val="00E90F6B"/>
    <w:rsid w:val="00E92C27"/>
    <w:rsid w:val="00E96D48"/>
    <w:rsid w:val="00EA0E3D"/>
    <w:rsid w:val="00EC38A7"/>
    <w:rsid w:val="00ED7384"/>
    <w:rsid w:val="00EE1AA8"/>
    <w:rsid w:val="00F31EDC"/>
    <w:rsid w:val="00F462B3"/>
    <w:rsid w:val="00F5664F"/>
    <w:rsid w:val="00F666C4"/>
    <w:rsid w:val="00F7351A"/>
    <w:rsid w:val="00F76AFC"/>
    <w:rsid w:val="00F86C02"/>
    <w:rsid w:val="00FA47C0"/>
    <w:rsid w:val="00FB5DD1"/>
    <w:rsid w:val="00FC2B5D"/>
    <w:rsid w:val="00FF00D7"/>
    <w:rsid w:val="00FF1449"/>
    <w:rsid w:val="214B87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6605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6605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fagua@shd.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1125C28-0841-4099-A434-BA9179D266D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9858</Words>
  <Characters>54224</Characters>
  <Application>Microsoft Office Word</Application>
  <DocSecurity>0</DocSecurity>
  <Lines>451</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8</cp:revision>
  <cp:lastPrinted>2023-01-10T21:18:00Z</cp:lastPrinted>
  <dcterms:created xsi:type="dcterms:W3CDTF">2025-05-15T21:21:00Z</dcterms:created>
  <dcterms:modified xsi:type="dcterms:W3CDTF">2025-05-16T01:56:00Z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