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8EECE" w14:textId="77777777" w:rsidR="00CD5196" w:rsidRPr="00D558A3" w:rsidRDefault="00CD5196" w:rsidP="00CD5196">
      <w:pPr>
        <w:spacing w:after="0" w:line="240" w:lineRule="auto"/>
        <w:jc w:val="both"/>
        <w:rPr>
          <w:rFonts w:ascii="Verdana" w:eastAsia="Calibri" w:hAnsi="Verdana" w:cs="Arial"/>
          <w:b/>
          <w:bCs/>
          <w:color w:val="000000"/>
          <w:kern w:val="2"/>
          <w14:ligatures w14:val="standardContextual"/>
        </w:rPr>
      </w:pPr>
      <w:bookmarkStart w:id="0" w:name="_Hlk143780582"/>
      <w:r w:rsidRPr="00D558A3">
        <w:rPr>
          <w:rFonts w:ascii="Verdana" w:eastAsia="Calibri" w:hAnsi="Verdana" w:cs="Arial"/>
          <w:b/>
          <w:bCs/>
          <w:color w:val="000000"/>
          <w:kern w:val="2"/>
          <w14:ligatures w14:val="standardContextual"/>
        </w:rPr>
        <w:t xml:space="preserve">SELECCIÓN ABREVIADA – Características </w:t>
      </w:r>
    </w:p>
    <w:p w14:paraId="496E398A" w14:textId="77777777" w:rsidR="00CD5196" w:rsidRPr="00D558A3" w:rsidRDefault="00CD5196" w:rsidP="00CD5196">
      <w:pPr>
        <w:spacing w:after="0" w:line="240" w:lineRule="auto"/>
        <w:jc w:val="both"/>
        <w:rPr>
          <w:rFonts w:ascii="Verdana" w:eastAsia="Calibri" w:hAnsi="Verdana" w:cs="Arial"/>
          <w:b/>
          <w:bCs/>
          <w:color w:val="000000"/>
          <w:kern w:val="2"/>
          <w14:ligatures w14:val="standardContextual"/>
        </w:rPr>
      </w:pPr>
    </w:p>
    <w:p w14:paraId="24A241C5" w14:textId="77777777" w:rsidR="00CD5196" w:rsidRPr="002F7004" w:rsidRDefault="00CD5196" w:rsidP="00CD5196">
      <w:pPr>
        <w:spacing w:after="0" w:line="240" w:lineRule="auto"/>
        <w:contextualSpacing/>
        <w:jc w:val="both"/>
        <w:rPr>
          <w:rFonts w:ascii="Verdana" w:eastAsia="Calibri" w:hAnsi="Verdana" w:cs="Arial"/>
          <w:sz w:val="20"/>
          <w:szCs w:val="20"/>
          <w:lang w:eastAsia="es-ES_tradnl"/>
        </w:rPr>
      </w:pPr>
      <w:r w:rsidRPr="002F7004">
        <w:rPr>
          <w:rFonts w:ascii="Verdana" w:eastAsia="Calibri" w:hAnsi="Verdana" w:cs="Arial"/>
          <w:sz w:val="20"/>
          <w:szCs w:val="20"/>
          <w:lang w:eastAsia="es-ES_tradnl"/>
        </w:rPr>
        <w:t>La Ley 1150 de 2007, en el artículo 2, regula las modalidades de selección, y, en el numeral 2 se refiere a la selección abreviada […]</w:t>
      </w:r>
    </w:p>
    <w:p w14:paraId="7FC1E5D9" w14:textId="77777777" w:rsidR="00CD5196" w:rsidRPr="002F7004" w:rsidRDefault="00CD5196" w:rsidP="00CD5196">
      <w:pPr>
        <w:spacing w:after="0" w:line="240" w:lineRule="auto"/>
        <w:contextualSpacing/>
        <w:jc w:val="both"/>
        <w:rPr>
          <w:rFonts w:ascii="Verdana" w:eastAsia="Calibri" w:hAnsi="Verdana" w:cs="Arial"/>
          <w:sz w:val="20"/>
          <w:szCs w:val="20"/>
          <w:lang w:eastAsia="es-ES_tradnl"/>
        </w:rPr>
      </w:pPr>
      <w:r w:rsidRPr="002F7004">
        <w:rPr>
          <w:rFonts w:ascii="Verdana" w:eastAsia="Calibri" w:hAnsi="Verdana" w:cs="Arial"/>
          <w:sz w:val="20"/>
          <w:szCs w:val="20"/>
          <w:lang w:eastAsia="es-ES_tradnl"/>
        </w:rPr>
        <w:t>Esta norma contempla una modalidad de selección que se caracteriza por tener etapas sencillas y términos más cortos que la licitación pública, lo cual se justifica por la complejidad de los asuntos que se contratan a través de esta modalidad que requieren de procedimientos agiles, sencillos y eficientes.</w:t>
      </w:r>
    </w:p>
    <w:p w14:paraId="4C9BBA61" w14:textId="77777777" w:rsidR="00CD5196" w:rsidRPr="00034DB3" w:rsidRDefault="00CD5196" w:rsidP="00CD5196">
      <w:pPr>
        <w:spacing w:after="0" w:line="240" w:lineRule="auto"/>
        <w:contextualSpacing/>
        <w:jc w:val="both"/>
        <w:rPr>
          <w:rFonts w:ascii="Verdana" w:eastAsia="Calibri" w:hAnsi="Verdana" w:cs="Arial"/>
          <w:b/>
          <w:noProof/>
          <w:sz w:val="20"/>
          <w:szCs w:val="20"/>
          <w:highlight w:val="yellow"/>
          <w:lang w:eastAsia="es-ES_tradnl"/>
        </w:rPr>
      </w:pPr>
    </w:p>
    <w:p w14:paraId="0D4A0185" w14:textId="77777777" w:rsidR="00CD5196" w:rsidRDefault="00CD5196" w:rsidP="00CD5196">
      <w:pPr>
        <w:spacing w:after="0" w:line="240" w:lineRule="auto"/>
        <w:contextualSpacing/>
        <w:jc w:val="both"/>
        <w:rPr>
          <w:rFonts w:ascii="Verdana" w:eastAsia="Times New Roman" w:hAnsi="Verdana" w:cs="Arial"/>
          <w:b/>
          <w:bCs/>
          <w:lang w:eastAsia="es-ES_tradnl"/>
        </w:rPr>
      </w:pPr>
      <w:r w:rsidRPr="002F7004">
        <w:rPr>
          <w:rFonts w:ascii="Verdana" w:eastAsia="Times New Roman" w:hAnsi="Verdana" w:cs="Arial"/>
          <w:b/>
          <w:bCs/>
          <w:lang w:eastAsia="es-ES_tradnl"/>
        </w:rPr>
        <w:t>MINIMA CUANTÍA – Factor de escogencia – Menor precio</w:t>
      </w:r>
    </w:p>
    <w:p w14:paraId="6B28FC78" w14:textId="77777777" w:rsidR="00CD5196" w:rsidRPr="00900953" w:rsidRDefault="00CD5196" w:rsidP="00CD5196">
      <w:pPr>
        <w:spacing w:after="0" w:line="240" w:lineRule="auto"/>
        <w:contextualSpacing/>
        <w:jc w:val="both"/>
        <w:rPr>
          <w:rFonts w:ascii="Verdana" w:eastAsia="Times New Roman" w:hAnsi="Verdana" w:cs="Arial"/>
          <w:sz w:val="20"/>
          <w:szCs w:val="20"/>
          <w:highlight w:val="yellow"/>
          <w:lang w:eastAsia="es-ES_tradnl"/>
        </w:rPr>
      </w:pPr>
    </w:p>
    <w:p w14:paraId="1E6A676E" w14:textId="77777777" w:rsidR="00CD5196" w:rsidRDefault="00CD5196" w:rsidP="00CD5196">
      <w:pPr>
        <w:spacing w:after="0" w:line="240" w:lineRule="auto"/>
        <w:contextualSpacing/>
        <w:jc w:val="both"/>
        <w:rPr>
          <w:rFonts w:ascii="Verdana" w:eastAsia="Calibri" w:hAnsi="Verdana" w:cs="Arial"/>
          <w:sz w:val="20"/>
          <w:szCs w:val="20"/>
          <w:lang w:eastAsia="es-ES_tradnl"/>
        </w:rPr>
      </w:pPr>
      <w:r w:rsidRPr="002F7004">
        <w:rPr>
          <w:rFonts w:ascii="Verdana" w:eastAsia="Calibri" w:hAnsi="Verdana" w:cs="Arial"/>
          <w:sz w:val="20"/>
          <w:szCs w:val="20"/>
          <w:lang w:eastAsia="es-ES_tradnl"/>
        </w:rPr>
        <w:t>la mínima cuantía es una modalidad de selección en virtud de la cual la entidad estatal realiza una convocatoria pública para recibir ofertas de bienes, obras o servicios cuyo valor no excede el diez por ciento –10%– de la menor cuantía. Esta modalidad de selección fue creada en el 2011 por la Ley 1450, modificada por el artículo 94 de la Ley 1474 de 2011 –que adicionó el numeral 5º al artículo 2 de la Ley 1150 de 2007– y posteriormente por la Ley 2069 de 2020, estableciendo que el factor determinante para llevar a cabo tal procedimiento es la cuantía –calculada como presupuesto oficial a partir del estudio del sector–, “independientemente de su objeto”.</w:t>
      </w:r>
    </w:p>
    <w:p w14:paraId="730EA6B9" w14:textId="77777777" w:rsidR="00CD5196" w:rsidRPr="00900953" w:rsidRDefault="00CD5196" w:rsidP="00CD5196">
      <w:pPr>
        <w:spacing w:after="0" w:line="240" w:lineRule="auto"/>
        <w:contextualSpacing/>
        <w:jc w:val="both"/>
        <w:rPr>
          <w:rFonts w:ascii="Verdana" w:eastAsia="Calibri" w:hAnsi="Verdana" w:cs="Arial"/>
          <w:b/>
          <w:noProof/>
          <w:sz w:val="20"/>
          <w:szCs w:val="20"/>
          <w:highlight w:val="yellow"/>
          <w:lang w:val="es-ES_tradnl" w:eastAsia="es-ES_tradnl"/>
        </w:rPr>
      </w:pPr>
    </w:p>
    <w:p w14:paraId="141EF727" w14:textId="77777777" w:rsidR="00CD5196" w:rsidRDefault="00CD5196" w:rsidP="00CD5196">
      <w:pPr>
        <w:spacing w:after="0" w:line="240" w:lineRule="auto"/>
        <w:jc w:val="both"/>
        <w:rPr>
          <w:rFonts w:ascii="Verdana" w:eastAsia="Times New Roman" w:hAnsi="Verdana" w:cs="Arial"/>
          <w:b/>
          <w:bCs/>
          <w:lang w:eastAsia="es-ES_tradnl"/>
        </w:rPr>
      </w:pPr>
      <w:r w:rsidRPr="002F7004">
        <w:rPr>
          <w:rFonts w:ascii="Verdana" w:eastAsia="Times New Roman" w:hAnsi="Verdana" w:cs="Arial"/>
          <w:b/>
          <w:bCs/>
          <w:lang w:eastAsia="es-ES_tradnl"/>
        </w:rPr>
        <w:t>CONCURRENCIA – Selección abreviada – Mínima cuantía</w:t>
      </w:r>
    </w:p>
    <w:p w14:paraId="02FC5509" w14:textId="77777777" w:rsidR="00CD5196" w:rsidRPr="00900953" w:rsidRDefault="00CD5196" w:rsidP="00CD5196">
      <w:pPr>
        <w:spacing w:after="0" w:line="240" w:lineRule="auto"/>
        <w:jc w:val="both"/>
        <w:rPr>
          <w:rFonts w:ascii="Verdana" w:eastAsia="Times New Roman" w:hAnsi="Verdana" w:cs="Arial"/>
          <w:noProof/>
          <w:highlight w:val="yellow"/>
          <w:lang w:val="es-ES_tradnl" w:eastAsia="es-ES_tradnl"/>
        </w:rPr>
      </w:pPr>
    </w:p>
    <w:p w14:paraId="2556E0C9" w14:textId="77777777" w:rsidR="00CD5196" w:rsidRDefault="00CD5196" w:rsidP="09B0EED6">
      <w:pPr>
        <w:spacing w:after="0" w:line="240" w:lineRule="auto"/>
        <w:jc w:val="both"/>
        <w:rPr>
          <w:rFonts w:ascii="Verdana" w:eastAsia="Times New Roman" w:hAnsi="Verdana" w:cs="Arial"/>
          <w:sz w:val="20"/>
          <w:szCs w:val="20"/>
          <w:lang w:val="es-ES" w:eastAsia="es-MX"/>
        </w:rPr>
      </w:pPr>
      <w:r w:rsidRPr="09B0EED6">
        <w:rPr>
          <w:rFonts w:ascii="Verdana" w:eastAsia="Times New Roman" w:hAnsi="Verdana" w:cs="Arial"/>
          <w:sz w:val="20"/>
          <w:szCs w:val="20"/>
          <w:lang w:val="es-ES" w:eastAsia="es-MX"/>
        </w:rPr>
        <w:t xml:space="preserve">En ese sentido, para responder su consulta se deben plantear dos escenarios: i) concurre la contratación de menor cuantía y la mínima cuantía, o </w:t>
      </w:r>
      <w:proofErr w:type="spellStart"/>
      <w:r w:rsidRPr="09B0EED6">
        <w:rPr>
          <w:rFonts w:ascii="Verdana" w:eastAsia="Times New Roman" w:hAnsi="Verdana" w:cs="Arial"/>
          <w:sz w:val="20"/>
          <w:szCs w:val="20"/>
          <w:lang w:val="es-ES" w:eastAsia="es-MX"/>
        </w:rPr>
        <w:t>ii</w:t>
      </w:r>
      <w:proofErr w:type="spellEnd"/>
      <w:r w:rsidRPr="09B0EED6">
        <w:rPr>
          <w:rFonts w:ascii="Verdana" w:eastAsia="Times New Roman" w:hAnsi="Verdana" w:cs="Arial"/>
          <w:sz w:val="20"/>
          <w:szCs w:val="20"/>
          <w:lang w:val="es-ES" w:eastAsia="es-MX"/>
        </w:rPr>
        <w:t>) concurre la celebración de contratos para la prestación de servicios de salud y la mínima cuantía. El primer escenario no puede ocurrir ya que el valor es uno o es otro, es decir, si el valor del contrato no excede el diez por ciento de la menor cuantía de la entidad, la contratación debe hacerse por mínima cuantía; pero si ese valor es superior y corresponde con el listado de valores señalados en el literal b) del numeral 2 del artículo 2 de la Ley 1150 de 2007, la modalidad será la selección abreviada de menor cuantía.</w:t>
      </w:r>
    </w:p>
    <w:p w14:paraId="10FA4070" w14:textId="77777777" w:rsidR="00CD5196" w:rsidRPr="002F7004" w:rsidRDefault="00CD5196" w:rsidP="00CD5196">
      <w:pPr>
        <w:spacing w:after="0" w:line="240" w:lineRule="auto"/>
        <w:jc w:val="both"/>
        <w:rPr>
          <w:rFonts w:ascii="Verdana" w:eastAsia="Times New Roman" w:hAnsi="Verdana" w:cs="Arial"/>
          <w:sz w:val="20"/>
          <w:szCs w:val="20"/>
          <w:lang w:val="es-ES_tradnl" w:eastAsia="es-MX"/>
        </w:rPr>
      </w:pPr>
    </w:p>
    <w:p w14:paraId="6B86C2C1" w14:textId="77777777" w:rsidR="00CD5196" w:rsidRPr="00F252D7" w:rsidRDefault="00CD5196" w:rsidP="00CD5196">
      <w:pPr>
        <w:spacing w:after="0" w:line="240" w:lineRule="auto"/>
        <w:jc w:val="both"/>
        <w:rPr>
          <w:rFonts w:ascii="Verdana" w:eastAsia="Times New Roman" w:hAnsi="Verdana" w:cs="Arial"/>
          <w:noProof/>
          <w:lang w:val="es-ES" w:eastAsia="es-ES_tradnl"/>
        </w:rPr>
      </w:pPr>
      <w:r w:rsidRPr="002F7004">
        <w:rPr>
          <w:rFonts w:ascii="Verdana" w:eastAsia="Times New Roman" w:hAnsi="Verdana" w:cs="Arial"/>
          <w:sz w:val="20"/>
          <w:szCs w:val="20"/>
          <w:lang w:val="es-ES_tradnl" w:eastAsia="es-MX"/>
        </w:rPr>
        <w:t>En el segundo escenario, se debe tener en cuenta lo señalado por el manual de la modalidad de selección de mínima cuantía expedido por esta Agencia, “Dado que la selección de mínima cuantía es especial para cualquier objeto contractual, de conformidad con el inciso primero del artículo 30 de la Ley 2069 de 2020”, se deberá llevar a cabo la mínima cuantía para la celebración de contratos para la prestación de servicios de salud.</w:t>
      </w:r>
    </w:p>
    <w:p w14:paraId="2BEA5D8D" w14:textId="77777777" w:rsidR="00CD5196" w:rsidRDefault="00CD5196" w:rsidP="00CD5196">
      <w:pPr>
        <w:spacing w:after="0" w:line="240" w:lineRule="auto"/>
        <w:jc w:val="both"/>
        <w:rPr>
          <w:rFonts w:ascii="Verdana" w:eastAsia="Times New Roman" w:hAnsi="Verdana" w:cs="Arial"/>
          <w:noProof/>
          <w:lang w:val="es-ES_tradnl" w:eastAsia="es-ES_tradnl"/>
        </w:rPr>
      </w:pPr>
    </w:p>
    <w:p w14:paraId="5913B261" w14:textId="77777777" w:rsidR="00CD5196" w:rsidRDefault="00CD5196" w:rsidP="00CD5196">
      <w:pPr>
        <w:spacing w:after="0" w:line="240" w:lineRule="auto"/>
        <w:jc w:val="both"/>
        <w:rPr>
          <w:rFonts w:ascii="Verdana" w:eastAsia="Times New Roman" w:hAnsi="Verdana" w:cs="Arial"/>
          <w:noProof/>
          <w:lang w:val="es-ES_tradnl" w:eastAsia="es-ES_tradnl"/>
        </w:rPr>
      </w:pPr>
    </w:p>
    <w:p w14:paraId="63AF0A01" w14:textId="77777777" w:rsidR="00CD5196" w:rsidRDefault="00CD5196" w:rsidP="00CD5196">
      <w:pPr>
        <w:spacing w:after="0" w:line="240" w:lineRule="auto"/>
        <w:jc w:val="both"/>
        <w:rPr>
          <w:rFonts w:ascii="Verdana" w:eastAsia="Times New Roman" w:hAnsi="Verdana" w:cs="Arial"/>
          <w:noProof/>
          <w:lang w:val="es-ES_tradnl" w:eastAsia="es-ES_tradnl"/>
        </w:rPr>
      </w:pPr>
    </w:p>
    <w:p w14:paraId="4D1FAF3D" w14:textId="77777777" w:rsidR="00CD5196" w:rsidRDefault="00CD5196" w:rsidP="00CD5196">
      <w:pPr>
        <w:spacing w:after="0" w:line="240" w:lineRule="auto"/>
        <w:jc w:val="both"/>
        <w:rPr>
          <w:rFonts w:ascii="Verdana" w:eastAsia="Times New Roman" w:hAnsi="Verdana" w:cs="Arial"/>
          <w:noProof/>
          <w:lang w:val="es-ES_tradnl" w:eastAsia="es-ES_tradnl"/>
        </w:rPr>
      </w:pPr>
    </w:p>
    <w:p w14:paraId="5392A00F" w14:textId="77777777" w:rsidR="00CD5196" w:rsidRPr="00F252D7" w:rsidRDefault="00CD5196" w:rsidP="00CD5196">
      <w:pPr>
        <w:spacing w:after="0" w:line="240" w:lineRule="auto"/>
        <w:jc w:val="both"/>
        <w:rPr>
          <w:rFonts w:ascii="Verdana" w:eastAsia="Times New Roman" w:hAnsi="Verdana" w:cs="Arial"/>
          <w:noProof/>
          <w:lang w:val="es-ES_tradnl" w:eastAsia="es-ES_tradnl"/>
        </w:rPr>
      </w:pPr>
    </w:p>
    <w:p w14:paraId="3B1344AE" w14:textId="77777777" w:rsidR="00CD5196" w:rsidRPr="00F252D7" w:rsidRDefault="00CD5196" w:rsidP="00CD5196">
      <w:pPr>
        <w:spacing w:after="0" w:line="240" w:lineRule="auto"/>
        <w:jc w:val="both"/>
        <w:rPr>
          <w:rFonts w:ascii="Verdana" w:eastAsia="Times New Roman" w:hAnsi="Verdana" w:cs="Arial"/>
          <w:noProof/>
          <w:lang w:val="es-ES_tradnl" w:eastAsia="es-ES_tradnl"/>
        </w:rPr>
      </w:pPr>
    </w:p>
    <w:p w14:paraId="6D3E89E5" w14:textId="77777777" w:rsidR="00CD5196" w:rsidRPr="00F252D7" w:rsidRDefault="00CD5196" w:rsidP="00CD5196">
      <w:pPr>
        <w:spacing w:after="0" w:line="240" w:lineRule="auto"/>
        <w:jc w:val="both"/>
        <w:rPr>
          <w:rFonts w:ascii="Verdana" w:eastAsia="Times New Roman" w:hAnsi="Verdana" w:cs="Arial"/>
          <w:noProof/>
          <w:lang w:val="es-ES_tradnl" w:eastAsia="es-ES_tradnl"/>
        </w:rPr>
      </w:pPr>
    </w:p>
    <w:p w14:paraId="133D095C" w14:textId="77777777" w:rsidR="00CD5196" w:rsidRPr="00F252D7" w:rsidRDefault="00CD5196" w:rsidP="00CD5196">
      <w:pPr>
        <w:spacing w:after="0" w:line="240" w:lineRule="auto"/>
        <w:jc w:val="both"/>
        <w:rPr>
          <w:rFonts w:ascii="Verdana" w:eastAsia="Times New Roman" w:hAnsi="Verdana" w:cs="Arial"/>
          <w:noProof/>
          <w:lang w:val="es-ES_tradnl" w:eastAsia="es-ES_tradnl"/>
        </w:rPr>
      </w:pPr>
    </w:p>
    <w:p w14:paraId="279CC8F1" w14:textId="77777777" w:rsidR="00CD5196" w:rsidRPr="00F252D7" w:rsidRDefault="00CD5196" w:rsidP="00CD5196">
      <w:pPr>
        <w:spacing w:after="0" w:line="240" w:lineRule="auto"/>
        <w:jc w:val="both"/>
        <w:rPr>
          <w:rFonts w:ascii="Verdana" w:eastAsia="Times New Roman" w:hAnsi="Verdana" w:cs="Arial"/>
          <w:noProof/>
          <w:lang w:val="es-ES_tradnl" w:eastAsia="es-ES_tradnl"/>
        </w:rPr>
      </w:pPr>
    </w:p>
    <w:p w14:paraId="44D59A12" w14:textId="77777777" w:rsidR="00CD5196" w:rsidRPr="00F252D7" w:rsidRDefault="00CD5196" w:rsidP="00CD5196">
      <w:pPr>
        <w:spacing w:after="0" w:line="240" w:lineRule="auto"/>
        <w:jc w:val="both"/>
        <w:rPr>
          <w:rFonts w:ascii="Verdana" w:eastAsia="Times New Roman" w:hAnsi="Verdana" w:cs="Arial"/>
          <w:noProof/>
          <w:lang w:val="es-ES_tradnl" w:eastAsia="es-ES_tradnl"/>
        </w:rPr>
      </w:pPr>
    </w:p>
    <w:p w14:paraId="51847A2E" w14:textId="4E4B8074" w:rsidR="00CD5196" w:rsidRDefault="00CD5196" w:rsidP="00CD5196">
      <w:pPr>
        <w:spacing w:after="0" w:line="240" w:lineRule="auto"/>
        <w:jc w:val="both"/>
        <w:rPr>
          <w:rFonts w:ascii="Verdana" w:eastAsia="Times New Roman" w:hAnsi="Verdana" w:cs="Arial"/>
          <w:noProof/>
          <w:lang w:val="es-ES_tradnl" w:eastAsia="es-ES_tradnl"/>
        </w:rPr>
      </w:pPr>
      <w:r w:rsidRPr="001530CC">
        <w:rPr>
          <w:rFonts w:ascii="Verdana" w:eastAsia="Times New Roman" w:hAnsi="Verdana" w:cs="Arial"/>
          <w:noProof/>
          <w:lang w:val="es-ES_tradnl" w:eastAsia="es-ES_tradnl"/>
        </w:rPr>
        <w:t xml:space="preserve">Bogotá D.C., </w:t>
      </w:r>
      <w:r w:rsidR="00A32497">
        <w:rPr>
          <w:rFonts w:ascii="Verdana" w:eastAsia="Times New Roman" w:hAnsi="Verdana" w:cs="Arial"/>
          <w:noProof/>
          <w:lang w:val="es-ES_tradnl" w:eastAsia="es-ES_tradnl"/>
        </w:rPr>
        <w:t>16 de junio de 2025</w:t>
      </w:r>
    </w:p>
    <w:p w14:paraId="27D44813" w14:textId="77777777" w:rsidR="00A32497" w:rsidRDefault="00A32497" w:rsidP="00CD5196">
      <w:pPr>
        <w:spacing w:after="0" w:line="240" w:lineRule="auto"/>
        <w:jc w:val="both"/>
        <w:rPr>
          <w:rFonts w:ascii="Verdana" w:eastAsia="Times New Roman" w:hAnsi="Verdana" w:cs="Arial"/>
          <w:noProof/>
          <w:lang w:val="es-ES_tradnl" w:eastAsia="es-ES_tradnl"/>
        </w:rPr>
      </w:pPr>
    </w:p>
    <w:p w14:paraId="78183F7B" w14:textId="7C83B1B4" w:rsidR="00A32497" w:rsidRDefault="00A32497" w:rsidP="00A32497">
      <w:pPr>
        <w:spacing w:after="0" w:line="240" w:lineRule="auto"/>
        <w:jc w:val="right"/>
        <w:rPr>
          <w:rFonts w:ascii="Verdana" w:eastAsia="Times New Roman" w:hAnsi="Verdana" w:cs="Arial"/>
          <w:noProof/>
          <w:lang w:val="es-ES_tradnl" w:eastAsia="es-ES_tradnl"/>
        </w:rPr>
      </w:pPr>
    </w:p>
    <w:p w14:paraId="62502827" w14:textId="63453A9A" w:rsidR="00CD5196" w:rsidRPr="00F252D7" w:rsidRDefault="00D74A91" w:rsidP="00CD5196">
      <w:pPr>
        <w:spacing w:after="0" w:line="240" w:lineRule="auto"/>
        <w:jc w:val="right"/>
        <w:rPr>
          <w:rFonts w:ascii="Verdana" w:eastAsia="Times New Roman" w:hAnsi="Verdana" w:cs="Arial"/>
          <w:noProof/>
          <w:lang w:val="es-ES_tradnl" w:eastAsia="es-ES_tradnl"/>
        </w:rPr>
      </w:pPr>
      <w:r w:rsidRPr="00A32497">
        <w:rPr>
          <w:rFonts w:ascii="Verdana" w:eastAsia="Times New Roman" w:hAnsi="Verdana" w:cs="Arial"/>
          <w:noProof/>
          <w:lang w:val="es-ES_tradnl" w:eastAsia="es-ES_tradnl"/>
        </w:rPr>
        <w:drawing>
          <wp:anchor distT="0" distB="0" distL="114300" distR="114300" simplePos="0" relativeHeight="251657216" behindDoc="0" locked="0" layoutInCell="1" allowOverlap="1" wp14:anchorId="2A071791" wp14:editId="03B3B9A1">
            <wp:simplePos x="0" y="0"/>
            <wp:positionH relativeFrom="column">
              <wp:posOffset>2481911</wp:posOffset>
            </wp:positionH>
            <wp:positionV relativeFrom="paragraph">
              <wp:posOffset>10795</wp:posOffset>
            </wp:positionV>
            <wp:extent cx="3210560" cy="871220"/>
            <wp:effectExtent l="0" t="0" r="8890" b="5080"/>
            <wp:wrapSquare wrapText="bothSides"/>
            <wp:docPr id="1291337381"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337381"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3210560" cy="871220"/>
                    </a:xfrm>
                    <a:prstGeom prst="rect">
                      <a:avLst/>
                    </a:prstGeom>
                  </pic:spPr>
                </pic:pic>
              </a:graphicData>
            </a:graphic>
            <wp14:sizeRelH relativeFrom="margin">
              <wp14:pctWidth>0</wp14:pctWidth>
            </wp14:sizeRelH>
            <wp14:sizeRelV relativeFrom="margin">
              <wp14:pctHeight>0</wp14:pctHeight>
            </wp14:sizeRelV>
          </wp:anchor>
        </w:drawing>
      </w:r>
    </w:p>
    <w:p w14:paraId="38213A28" w14:textId="77777777" w:rsidR="00CD5196" w:rsidRDefault="00CD5196" w:rsidP="00CD5196">
      <w:pPr>
        <w:spacing w:after="0" w:line="240" w:lineRule="auto"/>
        <w:jc w:val="both"/>
        <w:rPr>
          <w:rFonts w:ascii="Verdana" w:eastAsia="Calibri" w:hAnsi="Verdana" w:cs="Arial"/>
          <w:lang w:val="es-ES" w:eastAsia="es-ES_tradnl"/>
        </w:rPr>
      </w:pPr>
    </w:p>
    <w:p w14:paraId="6DC0F023" w14:textId="77777777" w:rsidR="00CD5196" w:rsidRPr="00F252D7" w:rsidRDefault="00CD5196" w:rsidP="00CD5196">
      <w:pPr>
        <w:spacing w:after="0" w:line="240" w:lineRule="auto"/>
        <w:jc w:val="both"/>
        <w:rPr>
          <w:rFonts w:ascii="Verdana" w:eastAsia="Calibri" w:hAnsi="Verdana" w:cs="Arial"/>
          <w:lang w:val="es-ES" w:eastAsia="es-ES_tradnl"/>
        </w:rPr>
      </w:pPr>
      <w:r>
        <w:rPr>
          <w:rFonts w:ascii="Verdana" w:eastAsia="Calibri" w:hAnsi="Verdana" w:cs="Arial"/>
          <w:lang w:val="es-ES" w:eastAsia="es-ES_tradnl"/>
        </w:rPr>
        <w:t>Señor</w:t>
      </w:r>
    </w:p>
    <w:p w14:paraId="1DC9663A" w14:textId="77777777" w:rsidR="00CD5196" w:rsidRDefault="00CD5196" w:rsidP="00CD5196">
      <w:pPr>
        <w:spacing w:after="0" w:line="240" w:lineRule="auto"/>
        <w:rPr>
          <w:rFonts w:ascii="Verdana" w:eastAsia="Calibri" w:hAnsi="Verdana" w:cs="Arial"/>
          <w:b/>
          <w:bCs/>
          <w:lang w:val="es-ES" w:eastAsia="es-ES_tradnl"/>
        </w:rPr>
      </w:pPr>
      <w:r>
        <w:rPr>
          <w:rFonts w:ascii="Verdana" w:eastAsia="Calibri" w:hAnsi="Verdana" w:cs="Arial"/>
          <w:b/>
          <w:bCs/>
          <w:lang w:val="es-ES" w:eastAsia="es-ES_tradnl"/>
        </w:rPr>
        <w:t>Oscar de Jesús Ruiz Jaramillo</w:t>
      </w:r>
    </w:p>
    <w:p w14:paraId="52638E1E" w14:textId="77777777" w:rsidR="00CD5196" w:rsidRPr="00F252D7" w:rsidRDefault="00CD5196" w:rsidP="00CD5196">
      <w:pPr>
        <w:spacing w:after="0" w:line="240" w:lineRule="auto"/>
        <w:rPr>
          <w:rFonts w:ascii="Verdana" w:eastAsia="Calibri" w:hAnsi="Verdana" w:cs="Arial"/>
          <w:b/>
          <w:bCs/>
          <w:lang w:val="es-ES" w:eastAsia="es-ES_tradnl"/>
        </w:rPr>
      </w:pPr>
      <w:r>
        <w:rPr>
          <w:rFonts w:ascii="Verdana" w:eastAsia="Calibri" w:hAnsi="Verdana" w:cs="Arial"/>
          <w:bCs/>
          <w:lang w:val="es-ES_tradnl" w:eastAsia="es-ES_tradnl"/>
        </w:rPr>
        <w:t>Oscar.ruiz@envigado.gov.co</w:t>
      </w:r>
    </w:p>
    <w:p w14:paraId="505006F0" w14:textId="77777777" w:rsidR="00CD5196" w:rsidRPr="00F252D7" w:rsidRDefault="00CD5196" w:rsidP="00CD5196">
      <w:pPr>
        <w:spacing w:after="0" w:line="240" w:lineRule="auto"/>
        <w:rPr>
          <w:rFonts w:ascii="Verdana" w:eastAsia="Calibri" w:hAnsi="Verdana" w:cs="Arial"/>
          <w:lang w:val="es-ES_tradnl" w:eastAsia="es-ES_tradnl"/>
        </w:rPr>
      </w:pPr>
      <w:r w:rsidRPr="00F252D7">
        <w:rPr>
          <w:rFonts w:ascii="Verdana" w:eastAsia="Calibri" w:hAnsi="Verdana" w:cs="Arial"/>
          <w:bCs/>
          <w:lang w:val="es-ES_tradnl" w:eastAsia="es-ES_tradnl"/>
        </w:rPr>
        <w:t>Ciudad</w:t>
      </w:r>
    </w:p>
    <w:p w14:paraId="29271090" w14:textId="77777777" w:rsidR="00CD5196" w:rsidRPr="00F252D7" w:rsidRDefault="00CD5196" w:rsidP="00CD5196">
      <w:pPr>
        <w:spacing w:after="0" w:line="240" w:lineRule="auto"/>
        <w:rPr>
          <w:rFonts w:ascii="Verdana" w:eastAsia="Calibri" w:hAnsi="Verdana" w:cs="Arial"/>
          <w:lang w:val="es-ES_tradnl" w:eastAsia="es-ES_tradnl"/>
        </w:rPr>
      </w:pPr>
    </w:p>
    <w:p w14:paraId="5AB322F4" w14:textId="77777777" w:rsidR="00CD5196" w:rsidRPr="00F252D7" w:rsidRDefault="00CD5196" w:rsidP="00CD5196">
      <w:pPr>
        <w:spacing w:after="0" w:line="240" w:lineRule="auto"/>
        <w:rPr>
          <w:rFonts w:ascii="Verdana" w:eastAsia="Calibri" w:hAnsi="Verdana" w:cs="Arial"/>
          <w:lang w:val="es-ES_tradnl" w:eastAsia="es-ES_tradnl"/>
        </w:rPr>
      </w:pPr>
    </w:p>
    <w:p w14:paraId="2550BEC9" w14:textId="77777777" w:rsidR="00CD5196" w:rsidRPr="00F252D7" w:rsidRDefault="00CD5196" w:rsidP="00CD5196">
      <w:pPr>
        <w:spacing w:after="0" w:line="240" w:lineRule="auto"/>
        <w:ind w:left="2694"/>
        <w:rPr>
          <w:rFonts w:ascii="Verdana" w:eastAsia="Calibri" w:hAnsi="Verdana" w:cs="Arial"/>
          <w:b/>
          <w:bCs/>
          <w:lang w:val="es-ES" w:eastAsia="es-ES_tradnl"/>
        </w:rPr>
      </w:pPr>
      <w:r w:rsidRPr="00F252D7">
        <w:rPr>
          <w:rFonts w:ascii="Verdana" w:eastAsia="Calibri" w:hAnsi="Verdana" w:cs="Arial"/>
          <w:b/>
          <w:bCs/>
          <w:lang w:val="es-ES" w:eastAsia="es-ES_tradnl"/>
        </w:rPr>
        <w:t>Concepto C-5</w:t>
      </w:r>
      <w:r>
        <w:rPr>
          <w:rFonts w:ascii="Verdana" w:eastAsia="Calibri" w:hAnsi="Verdana" w:cs="Arial"/>
          <w:b/>
          <w:bCs/>
          <w:lang w:val="es-ES" w:eastAsia="es-ES_tradnl"/>
        </w:rPr>
        <w:t>61</w:t>
      </w:r>
      <w:r w:rsidRPr="00F252D7">
        <w:rPr>
          <w:rFonts w:ascii="Verdana" w:eastAsia="Calibri" w:hAnsi="Verdana" w:cs="Arial"/>
          <w:b/>
          <w:bCs/>
          <w:lang w:val="es-ES" w:eastAsia="es-ES_tradnl"/>
        </w:rPr>
        <w:t xml:space="preserve"> de 202</w:t>
      </w:r>
      <w:r>
        <w:rPr>
          <w:rFonts w:ascii="Verdana" w:eastAsia="Calibri" w:hAnsi="Verdana" w:cs="Arial"/>
          <w:b/>
          <w:bCs/>
          <w:lang w:val="es-ES" w:eastAsia="es-ES_tradnl"/>
        </w:rPr>
        <w:t>5</w:t>
      </w:r>
    </w:p>
    <w:p w14:paraId="25B3FE30" w14:textId="77777777" w:rsidR="00CD5196" w:rsidRPr="00F252D7" w:rsidRDefault="00CD5196" w:rsidP="00CD5196">
      <w:pPr>
        <w:spacing w:after="0" w:line="240" w:lineRule="auto"/>
        <w:jc w:val="both"/>
        <w:rPr>
          <w:rFonts w:ascii="Verdana" w:eastAsia="Calibri" w:hAnsi="Verdana" w:cs="Arial"/>
          <w:lang w:val="es-ES_tradnl"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CD5196" w:rsidRPr="00F252D7" w14:paraId="01AA51FE" w14:textId="77777777" w:rsidTr="00505D6D">
        <w:trPr>
          <w:jc w:val="right"/>
        </w:trPr>
        <w:tc>
          <w:tcPr>
            <w:tcW w:w="1838" w:type="dxa"/>
          </w:tcPr>
          <w:p w14:paraId="052B30C3" w14:textId="77777777" w:rsidR="00CD5196" w:rsidRPr="00F252D7" w:rsidRDefault="00CD5196" w:rsidP="00505D6D">
            <w:pPr>
              <w:jc w:val="center"/>
              <w:rPr>
                <w:rFonts w:ascii="Verdana" w:eastAsia="Calibri" w:hAnsi="Verdana" w:cs="Arial"/>
                <w:lang w:val="es-ES_tradnl" w:eastAsia="es-ES_tradnl"/>
              </w:rPr>
            </w:pPr>
            <w:r w:rsidRPr="00F252D7">
              <w:rPr>
                <w:rFonts w:ascii="Verdana" w:eastAsia="Calibri" w:hAnsi="Verdana" w:cs="Arial"/>
                <w:b/>
                <w:lang w:val="es-ES_tradnl" w:eastAsia="es-ES_tradnl"/>
              </w:rPr>
              <w:t>Temas:</w:t>
            </w:r>
          </w:p>
        </w:tc>
        <w:tc>
          <w:tcPr>
            <w:tcW w:w="6237" w:type="dxa"/>
          </w:tcPr>
          <w:p w14:paraId="73724412" w14:textId="50673B5D" w:rsidR="00CD5196" w:rsidRPr="00D74A91" w:rsidRDefault="00CD5196" w:rsidP="00505D6D">
            <w:pPr>
              <w:jc w:val="both"/>
              <w:textAlignment w:val="baseline"/>
              <w:rPr>
                <w:rFonts w:ascii="Verdana" w:eastAsia="Times New Roman" w:hAnsi="Verdana" w:cs="Arial"/>
                <w:lang w:eastAsia="es-ES_tradnl"/>
              </w:rPr>
            </w:pPr>
            <w:r w:rsidRPr="00034DB3">
              <w:rPr>
                <w:rFonts w:ascii="Verdana" w:eastAsia="Times New Roman" w:hAnsi="Verdana" w:cs="Arial"/>
                <w:lang w:eastAsia="es-ES_tradnl"/>
              </w:rPr>
              <w:t>SELECCIÓN ABREVIADA – Características / M</w:t>
            </w:r>
            <w:r>
              <w:rPr>
                <w:rFonts w:ascii="Verdana" w:eastAsia="Times New Roman" w:hAnsi="Verdana" w:cs="Arial"/>
                <w:lang w:eastAsia="es-ES_tradnl"/>
              </w:rPr>
              <w:t>Í</w:t>
            </w:r>
            <w:r w:rsidRPr="00034DB3">
              <w:rPr>
                <w:rFonts w:ascii="Verdana" w:eastAsia="Times New Roman" w:hAnsi="Verdana" w:cs="Arial"/>
                <w:lang w:eastAsia="es-ES_tradnl"/>
              </w:rPr>
              <w:t>NIMA CUANTÍA – Factor de escogencia – Menor precio / CONCURRENCIA – Selección abreviada – Mínima cuantía</w:t>
            </w:r>
          </w:p>
        </w:tc>
      </w:tr>
      <w:tr w:rsidR="00CD5196" w:rsidRPr="00F252D7" w14:paraId="6059C477" w14:textId="77777777" w:rsidTr="00505D6D">
        <w:trPr>
          <w:jc w:val="right"/>
        </w:trPr>
        <w:tc>
          <w:tcPr>
            <w:tcW w:w="1838" w:type="dxa"/>
          </w:tcPr>
          <w:p w14:paraId="7E181CAA" w14:textId="77777777" w:rsidR="00CD5196" w:rsidRPr="00F252D7" w:rsidRDefault="00CD5196" w:rsidP="00505D6D">
            <w:pPr>
              <w:jc w:val="center"/>
              <w:rPr>
                <w:rFonts w:ascii="Verdana" w:eastAsia="Calibri" w:hAnsi="Verdana" w:cs="Arial"/>
                <w:b/>
                <w:lang w:val="es-ES" w:eastAsia="es-ES_tradnl"/>
              </w:rPr>
            </w:pPr>
            <w:r w:rsidRPr="00F252D7">
              <w:rPr>
                <w:rFonts w:ascii="Verdana" w:eastAsia="Calibri" w:hAnsi="Verdana" w:cs="Arial"/>
                <w:b/>
                <w:lang w:val="es-ES" w:eastAsia="es-ES_tradnl"/>
              </w:rPr>
              <w:t>Radicación:</w:t>
            </w:r>
          </w:p>
        </w:tc>
        <w:tc>
          <w:tcPr>
            <w:tcW w:w="6237" w:type="dxa"/>
          </w:tcPr>
          <w:p w14:paraId="7E10AA14" w14:textId="77777777" w:rsidR="00CD5196" w:rsidRPr="00F252D7" w:rsidRDefault="00CD5196" w:rsidP="00505D6D">
            <w:pPr>
              <w:jc w:val="both"/>
              <w:rPr>
                <w:rFonts w:ascii="Verdana" w:eastAsia="Calibri" w:hAnsi="Verdana" w:cs="Arial"/>
                <w:lang w:val="es-ES" w:eastAsia="es-ES_tradnl"/>
              </w:rPr>
            </w:pPr>
            <w:r w:rsidRPr="00F252D7">
              <w:rPr>
                <w:rFonts w:ascii="Verdana" w:eastAsia="Calibri" w:hAnsi="Verdana" w:cs="Arial"/>
                <w:lang w:val="es-ES" w:eastAsia="es-ES_tradnl"/>
              </w:rPr>
              <w:t xml:space="preserve">Respuesta a consulta radicado No. </w:t>
            </w:r>
            <w:r w:rsidRPr="00900953">
              <w:rPr>
                <w:rFonts w:ascii="Verdana" w:eastAsia="Times New Roman" w:hAnsi="Verdana" w:cs="Arial"/>
                <w:lang w:eastAsia="es-ES_tradnl"/>
              </w:rPr>
              <w:t>P20250508004410</w:t>
            </w:r>
          </w:p>
        </w:tc>
      </w:tr>
    </w:tbl>
    <w:p w14:paraId="6ED2E52A" w14:textId="77777777" w:rsidR="00CD5196" w:rsidRPr="00F252D7" w:rsidRDefault="00CD5196" w:rsidP="00CD5196">
      <w:pPr>
        <w:spacing w:after="0" w:line="240" w:lineRule="auto"/>
        <w:jc w:val="both"/>
        <w:rPr>
          <w:rFonts w:ascii="Verdana" w:eastAsia="Calibri" w:hAnsi="Verdana" w:cs="Arial"/>
          <w:lang w:val="es-ES_tradnl" w:eastAsia="es-ES_tradnl"/>
        </w:rPr>
      </w:pPr>
    </w:p>
    <w:p w14:paraId="2BAE7797" w14:textId="77777777" w:rsidR="00CD5196" w:rsidRPr="00F252D7" w:rsidRDefault="00CD5196" w:rsidP="00CD5196">
      <w:pPr>
        <w:spacing w:after="0" w:line="240" w:lineRule="auto"/>
        <w:jc w:val="both"/>
        <w:rPr>
          <w:rFonts w:ascii="Verdana" w:eastAsia="Calibri" w:hAnsi="Verdana" w:cs="Arial"/>
          <w:lang w:val="es-ES_tradnl" w:eastAsia="es-ES_tradnl"/>
        </w:rPr>
      </w:pPr>
    </w:p>
    <w:p w14:paraId="5F2EB518" w14:textId="77777777" w:rsidR="00CD5196" w:rsidRPr="00F252D7" w:rsidRDefault="00CD5196" w:rsidP="00CD5196">
      <w:pPr>
        <w:spacing w:after="0" w:line="276" w:lineRule="auto"/>
        <w:contextualSpacing/>
        <w:jc w:val="both"/>
        <w:rPr>
          <w:rFonts w:ascii="Verdana" w:eastAsia="Calibri" w:hAnsi="Verdana" w:cs="Arial"/>
          <w:bCs/>
          <w:lang w:val="es-ES_tradnl" w:eastAsia="es-ES_tradnl"/>
        </w:rPr>
      </w:pPr>
      <w:r w:rsidRPr="00F252D7">
        <w:rPr>
          <w:rFonts w:ascii="Verdana" w:eastAsia="Calibri" w:hAnsi="Verdana" w:cs="Arial"/>
          <w:lang w:val="es-ES_tradnl" w:eastAsia="es-ES_tradnl"/>
        </w:rPr>
        <w:t>Estimad</w:t>
      </w:r>
      <w:r>
        <w:rPr>
          <w:rFonts w:ascii="Verdana" w:eastAsia="Calibri" w:hAnsi="Verdana" w:cs="Arial"/>
          <w:lang w:val="es-ES_tradnl" w:eastAsia="es-ES_tradnl"/>
        </w:rPr>
        <w:t>o</w:t>
      </w:r>
      <w:r w:rsidRPr="00F252D7">
        <w:rPr>
          <w:rFonts w:ascii="Verdana" w:eastAsia="Calibri" w:hAnsi="Verdana" w:cs="Arial"/>
          <w:lang w:val="es-ES_tradnl" w:eastAsia="es-ES_tradnl"/>
        </w:rPr>
        <w:t xml:space="preserve"> señor </w:t>
      </w:r>
      <w:r>
        <w:rPr>
          <w:rFonts w:ascii="Verdana" w:eastAsia="Calibri" w:hAnsi="Verdana" w:cs="Arial"/>
          <w:lang w:val="es-ES_tradnl" w:eastAsia="es-ES_tradnl"/>
        </w:rPr>
        <w:t>Ruiz</w:t>
      </w:r>
      <w:r w:rsidRPr="00F252D7">
        <w:rPr>
          <w:rFonts w:ascii="Verdana" w:eastAsia="Calibri" w:hAnsi="Verdana" w:cs="Arial"/>
          <w:bCs/>
          <w:lang w:val="es-ES_tradnl" w:eastAsia="es-ES_tradnl"/>
        </w:rPr>
        <w:t>:</w:t>
      </w:r>
    </w:p>
    <w:p w14:paraId="1DE6405F" w14:textId="77777777" w:rsidR="00CD5196" w:rsidRPr="00F252D7" w:rsidRDefault="00CD5196" w:rsidP="00CD5196">
      <w:pPr>
        <w:spacing w:after="0" w:line="276" w:lineRule="auto"/>
        <w:contextualSpacing/>
        <w:jc w:val="both"/>
        <w:rPr>
          <w:rFonts w:ascii="Verdana" w:eastAsia="Calibri" w:hAnsi="Verdana" w:cs="Arial"/>
          <w:lang w:val="es-ES_tradnl" w:eastAsia="es-ES_tradnl"/>
        </w:rPr>
      </w:pPr>
    </w:p>
    <w:p w14:paraId="25405082" w14:textId="77777777" w:rsidR="00CD5196" w:rsidRPr="00F252D7" w:rsidRDefault="00CD5196" w:rsidP="00CD5196">
      <w:pPr>
        <w:spacing w:after="0" w:line="276" w:lineRule="auto"/>
        <w:contextualSpacing/>
        <w:jc w:val="both"/>
        <w:rPr>
          <w:rFonts w:ascii="Verdana" w:eastAsia="Calibri" w:hAnsi="Verdana" w:cs="Arial"/>
          <w:lang w:val="es-ES" w:eastAsia="es-ES_tradnl"/>
        </w:rPr>
      </w:pPr>
      <w:r w:rsidRPr="00F252D7">
        <w:rPr>
          <w:rFonts w:ascii="Verdana" w:eastAsia="Calibri" w:hAnsi="Verdana" w:cs="Arial"/>
          <w:lang w:val="es-ES"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w:t>
      </w:r>
      <w:r>
        <w:rPr>
          <w:rFonts w:ascii="Verdana" w:eastAsia="Calibri" w:hAnsi="Verdana" w:cs="Arial"/>
          <w:lang w:val="es-ES" w:eastAsia="es-ES_tradnl"/>
        </w:rPr>
        <w:t xml:space="preserve"> 8</w:t>
      </w:r>
      <w:r w:rsidRPr="00F252D7">
        <w:rPr>
          <w:rFonts w:ascii="Verdana" w:eastAsia="Calibri" w:hAnsi="Verdana" w:cs="Arial"/>
          <w:lang w:val="es-ES" w:eastAsia="es-ES_tradnl"/>
        </w:rPr>
        <w:t xml:space="preserve"> de </w:t>
      </w:r>
      <w:r>
        <w:rPr>
          <w:rFonts w:ascii="Verdana" w:eastAsia="Calibri" w:hAnsi="Verdana" w:cs="Arial"/>
          <w:lang w:val="es-ES" w:eastAsia="es-ES_tradnl"/>
        </w:rPr>
        <w:t>mayo</w:t>
      </w:r>
      <w:r w:rsidRPr="00F252D7">
        <w:rPr>
          <w:rFonts w:ascii="Verdana" w:eastAsia="Calibri" w:hAnsi="Verdana" w:cs="Arial"/>
          <w:lang w:val="es-ES" w:eastAsia="es-ES_tradnl"/>
        </w:rPr>
        <w:t xml:space="preserve"> de 202</w:t>
      </w:r>
      <w:r>
        <w:rPr>
          <w:rFonts w:ascii="Verdana" w:eastAsia="Calibri" w:hAnsi="Verdana" w:cs="Arial"/>
          <w:lang w:val="es-ES" w:eastAsia="es-ES_tradnl"/>
        </w:rPr>
        <w:t>5</w:t>
      </w:r>
      <w:r w:rsidRPr="00F252D7">
        <w:rPr>
          <w:rFonts w:ascii="Verdana" w:eastAsia="Calibri" w:hAnsi="Verdana" w:cs="Arial"/>
          <w:lang w:val="es-ES" w:eastAsia="es-ES_tradnl"/>
        </w:rPr>
        <w:t>, en la cual manifiesta lo siguiente:</w:t>
      </w:r>
    </w:p>
    <w:p w14:paraId="2F5D5675" w14:textId="77777777" w:rsidR="00CD5196" w:rsidRPr="00F252D7" w:rsidRDefault="00CD5196" w:rsidP="00CD5196">
      <w:pPr>
        <w:spacing w:after="0" w:line="276" w:lineRule="auto"/>
        <w:contextualSpacing/>
        <w:jc w:val="both"/>
        <w:rPr>
          <w:rFonts w:ascii="Verdana" w:eastAsia="Calibri" w:hAnsi="Verdana" w:cs="Arial"/>
          <w:b/>
          <w:szCs w:val="24"/>
          <w:lang w:val="es-ES_tradnl" w:eastAsia="es-ES_tradnl"/>
        </w:rPr>
      </w:pPr>
    </w:p>
    <w:p w14:paraId="2ACA8811" w14:textId="77777777" w:rsidR="00CD5196" w:rsidRPr="00900953" w:rsidRDefault="00CD5196" w:rsidP="00CD5196">
      <w:pPr>
        <w:spacing w:after="0" w:line="240" w:lineRule="auto"/>
        <w:ind w:left="709" w:right="709"/>
        <w:contextualSpacing/>
        <w:jc w:val="both"/>
        <w:rPr>
          <w:rFonts w:ascii="Verdana" w:eastAsia="Times New Roman" w:hAnsi="Verdana" w:cs="Arial"/>
          <w:sz w:val="21"/>
          <w:szCs w:val="21"/>
          <w:lang w:eastAsia="es-ES_tradnl"/>
        </w:rPr>
      </w:pPr>
      <w:r>
        <w:rPr>
          <w:rFonts w:ascii="Verdana" w:eastAsia="Times New Roman" w:hAnsi="Verdana" w:cs="Arial"/>
          <w:sz w:val="21"/>
          <w:szCs w:val="21"/>
          <w:lang w:eastAsia="es-ES_tradnl"/>
        </w:rPr>
        <w:t>“</w:t>
      </w:r>
      <w:r w:rsidRPr="00900953">
        <w:rPr>
          <w:rFonts w:ascii="Verdana" w:eastAsia="Times New Roman" w:hAnsi="Verdana" w:cs="Arial"/>
          <w:sz w:val="21"/>
          <w:szCs w:val="21"/>
          <w:lang w:eastAsia="es-ES_tradnl"/>
        </w:rPr>
        <w:t>Buen día un gusto saludarlos: Queremos saber en un proceso de contratación de</w:t>
      </w:r>
      <w:r>
        <w:rPr>
          <w:rFonts w:ascii="Verdana" w:eastAsia="Times New Roman" w:hAnsi="Verdana" w:cs="Arial"/>
          <w:sz w:val="21"/>
          <w:szCs w:val="21"/>
          <w:lang w:eastAsia="es-ES_tradnl"/>
        </w:rPr>
        <w:t xml:space="preserve"> </w:t>
      </w:r>
      <w:r w:rsidRPr="00900953">
        <w:rPr>
          <w:rFonts w:ascii="Verdana" w:eastAsia="Times New Roman" w:hAnsi="Verdana" w:cs="Arial"/>
          <w:sz w:val="21"/>
          <w:szCs w:val="21"/>
          <w:lang w:eastAsia="es-ES_tradnl"/>
        </w:rPr>
        <w:t>servicios de salud que concurre la modalidad de mínima cuantía y la menor cuantía,</w:t>
      </w:r>
      <w:r>
        <w:rPr>
          <w:rFonts w:ascii="Verdana" w:eastAsia="Times New Roman" w:hAnsi="Verdana" w:cs="Arial"/>
          <w:sz w:val="21"/>
          <w:szCs w:val="21"/>
          <w:lang w:eastAsia="es-ES_tradnl"/>
        </w:rPr>
        <w:t xml:space="preserve"> </w:t>
      </w:r>
      <w:r w:rsidRPr="00900953">
        <w:rPr>
          <w:rFonts w:ascii="Verdana" w:eastAsia="Times New Roman" w:hAnsi="Verdana" w:cs="Arial"/>
          <w:sz w:val="21"/>
          <w:szCs w:val="21"/>
          <w:lang w:eastAsia="es-ES_tradnl"/>
        </w:rPr>
        <w:t xml:space="preserve">según el artículo </w:t>
      </w:r>
      <w:proofErr w:type="spellStart"/>
      <w:r w:rsidRPr="00900953">
        <w:rPr>
          <w:rFonts w:ascii="Verdana" w:eastAsia="Times New Roman" w:hAnsi="Verdana" w:cs="Arial"/>
          <w:sz w:val="21"/>
          <w:szCs w:val="21"/>
          <w:lang w:eastAsia="es-ES_tradnl"/>
        </w:rPr>
        <w:t>ARTÍCULO</w:t>
      </w:r>
      <w:proofErr w:type="spellEnd"/>
      <w:r w:rsidRPr="00900953">
        <w:rPr>
          <w:rFonts w:ascii="Verdana" w:eastAsia="Times New Roman" w:hAnsi="Verdana" w:cs="Arial"/>
          <w:sz w:val="21"/>
          <w:szCs w:val="21"/>
          <w:lang w:eastAsia="es-ES_tradnl"/>
        </w:rPr>
        <w:t xml:space="preserve"> 2.2.1.2.1.2.21. del Decreto 1082 de 2015, por cuál</w:t>
      </w:r>
      <w:r>
        <w:rPr>
          <w:rFonts w:ascii="Verdana" w:eastAsia="Times New Roman" w:hAnsi="Verdana" w:cs="Arial"/>
          <w:sz w:val="21"/>
          <w:szCs w:val="21"/>
          <w:lang w:eastAsia="es-ES_tradnl"/>
        </w:rPr>
        <w:t xml:space="preserve"> </w:t>
      </w:r>
      <w:r w:rsidRPr="00900953">
        <w:rPr>
          <w:rFonts w:ascii="Verdana" w:eastAsia="Times New Roman" w:hAnsi="Verdana" w:cs="Arial"/>
          <w:sz w:val="21"/>
          <w:szCs w:val="21"/>
          <w:lang w:eastAsia="es-ES_tradnl"/>
        </w:rPr>
        <w:t xml:space="preserve">modalidad se debe adelantar el proceso de selección del contratista? </w:t>
      </w:r>
    </w:p>
    <w:p w14:paraId="36D2CB8B" w14:textId="77777777" w:rsidR="00CD5196" w:rsidRPr="00F252D7" w:rsidRDefault="00CD5196" w:rsidP="00CD5196">
      <w:pPr>
        <w:spacing w:after="0" w:line="240" w:lineRule="auto"/>
        <w:ind w:left="709" w:right="709"/>
        <w:contextualSpacing/>
        <w:jc w:val="both"/>
        <w:rPr>
          <w:rFonts w:ascii="Verdana" w:eastAsia="Times New Roman" w:hAnsi="Verdana" w:cs="Arial"/>
          <w:sz w:val="21"/>
          <w:szCs w:val="21"/>
          <w:lang w:eastAsia="es-ES_tradnl"/>
        </w:rPr>
      </w:pPr>
      <w:r w:rsidRPr="00900953">
        <w:rPr>
          <w:rFonts w:ascii="Verdana" w:eastAsia="Times New Roman" w:hAnsi="Verdana" w:cs="Arial"/>
          <w:sz w:val="21"/>
          <w:szCs w:val="21"/>
          <w:lang w:eastAsia="es-ES_tradnl"/>
        </w:rPr>
        <w:t>Lo anterior, debido a que en la Guía de Mínima Cuantía en el numeral 12 se aclaran</w:t>
      </w:r>
      <w:r>
        <w:rPr>
          <w:rFonts w:ascii="Verdana" w:eastAsia="Times New Roman" w:hAnsi="Verdana" w:cs="Arial"/>
          <w:sz w:val="21"/>
          <w:szCs w:val="21"/>
          <w:lang w:eastAsia="es-ES_tradnl"/>
        </w:rPr>
        <w:t xml:space="preserve"> </w:t>
      </w:r>
      <w:r w:rsidRPr="00900953">
        <w:rPr>
          <w:rFonts w:ascii="Verdana" w:eastAsia="Times New Roman" w:hAnsi="Verdana" w:cs="Arial"/>
          <w:sz w:val="21"/>
          <w:szCs w:val="21"/>
          <w:lang w:eastAsia="es-ES_tradnl"/>
        </w:rPr>
        <w:t>algunos aspectos de concurrencia entre la mínima cuantía y otras modalidades,</w:t>
      </w:r>
      <w:r>
        <w:rPr>
          <w:rFonts w:ascii="Verdana" w:eastAsia="Times New Roman" w:hAnsi="Verdana" w:cs="Arial"/>
          <w:sz w:val="21"/>
          <w:szCs w:val="21"/>
          <w:lang w:eastAsia="es-ES_tradnl"/>
        </w:rPr>
        <w:t xml:space="preserve"> </w:t>
      </w:r>
      <w:r w:rsidRPr="00900953">
        <w:rPr>
          <w:rFonts w:ascii="Verdana" w:eastAsia="Times New Roman" w:hAnsi="Verdana" w:cs="Arial"/>
          <w:sz w:val="21"/>
          <w:szCs w:val="21"/>
          <w:lang w:eastAsia="es-ES_tradnl"/>
        </w:rPr>
        <w:t>pero no se menciona la concurrencia entre la menor cuantía y la mínima cuantía</w:t>
      </w:r>
      <w:r>
        <w:rPr>
          <w:rFonts w:ascii="Verdana" w:eastAsia="Times New Roman" w:hAnsi="Verdana" w:cs="Arial"/>
          <w:sz w:val="21"/>
          <w:szCs w:val="21"/>
          <w:lang w:eastAsia="es-ES_tradnl"/>
        </w:rPr>
        <w:t xml:space="preserve"> </w:t>
      </w:r>
      <w:r w:rsidRPr="00900953">
        <w:rPr>
          <w:rFonts w:ascii="Verdana" w:eastAsia="Times New Roman" w:hAnsi="Verdana" w:cs="Arial"/>
          <w:sz w:val="21"/>
          <w:szCs w:val="21"/>
          <w:lang w:eastAsia="es-ES_tradnl"/>
        </w:rPr>
        <w:t>para los servicios de salud.</w:t>
      </w:r>
      <w:r w:rsidRPr="00F252D7">
        <w:rPr>
          <w:rFonts w:ascii="Verdana" w:eastAsia="Times New Roman" w:hAnsi="Verdana" w:cs="Arial"/>
          <w:sz w:val="21"/>
          <w:szCs w:val="21"/>
          <w:lang w:eastAsia="es-ES_tradnl"/>
        </w:rPr>
        <w:t>”</w:t>
      </w:r>
    </w:p>
    <w:p w14:paraId="4FD76564" w14:textId="77777777" w:rsidR="00CD5196" w:rsidRPr="00F252D7" w:rsidRDefault="00CD5196" w:rsidP="00CD5196">
      <w:pPr>
        <w:spacing w:after="0" w:line="240" w:lineRule="auto"/>
        <w:ind w:left="709" w:right="709"/>
        <w:contextualSpacing/>
        <w:jc w:val="both"/>
        <w:rPr>
          <w:rFonts w:ascii="Verdana" w:eastAsia="Times New Roman" w:hAnsi="Verdana" w:cs="Arial"/>
          <w:sz w:val="21"/>
          <w:szCs w:val="21"/>
          <w:lang w:eastAsia="es-ES_tradnl"/>
        </w:rPr>
      </w:pPr>
    </w:p>
    <w:p w14:paraId="15599BA0" w14:textId="77777777" w:rsidR="00CD5196" w:rsidRPr="00F252D7" w:rsidRDefault="00CD5196" w:rsidP="00CD5196">
      <w:pPr>
        <w:spacing w:after="120" w:line="276" w:lineRule="auto"/>
        <w:ind w:firstLine="709"/>
        <w:jc w:val="both"/>
        <w:rPr>
          <w:rFonts w:ascii="Verdana" w:eastAsia="Calibri" w:hAnsi="Verdana" w:cs="Arial"/>
          <w:color w:val="000000"/>
          <w:szCs w:val="24"/>
          <w:lang w:val="es-ES_tradnl" w:eastAsia="es-ES_tradnl"/>
        </w:rPr>
      </w:pPr>
      <w:r w:rsidRPr="00F252D7">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F252D7">
        <w:rPr>
          <w:rFonts w:ascii="Verdana" w:eastAsia="Calibri" w:hAnsi="Verdana" w:cs="Arial"/>
          <w:color w:val="000000"/>
          <w:lang w:val="es-ES" w:eastAsia="es-ES"/>
        </w:rPr>
        <w:lastRenderedPageBreak/>
        <w:t xml:space="preserve">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252D7">
        <w:rPr>
          <w:rFonts w:ascii="Verdana" w:eastAsia="Calibri" w:hAnsi="Verdana" w:cs="Arial"/>
          <w:color w:val="000000"/>
          <w:szCs w:val="24"/>
          <w:lang w:val="es-ES_tradnl" w:eastAsia="es-ES_tradnl"/>
        </w:rPr>
        <w:tab/>
      </w:r>
    </w:p>
    <w:p w14:paraId="29B40AFD" w14:textId="77777777" w:rsidR="00CD5196" w:rsidRPr="00F252D7" w:rsidRDefault="00CD5196" w:rsidP="00CD5196">
      <w:pPr>
        <w:spacing w:after="0" w:line="276" w:lineRule="auto"/>
        <w:ind w:firstLine="709"/>
        <w:jc w:val="both"/>
        <w:rPr>
          <w:rFonts w:ascii="Verdana" w:eastAsia="Calibri" w:hAnsi="Verdana" w:cs="Arial"/>
          <w:lang w:val="es-ES" w:eastAsia="es-ES"/>
        </w:rPr>
      </w:pPr>
      <w:r w:rsidRPr="00F252D7">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7B1658C9" w14:textId="77777777" w:rsidR="00CD5196" w:rsidRPr="00F252D7" w:rsidRDefault="00CD5196" w:rsidP="00CD5196">
      <w:pPr>
        <w:spacing w:after="0" w:line="276" w:lineRule="auto"/>
        <w:contextualSpacing/>
        <w:jc w:val="both"/>
        <w:rPr>
          <w:rFonts w:ascii="Verdana" w:eastAsia="Times New Roman" w:hAnsi="Verdana" w:cs="Arial"/>
          <w:szCs w:val="24"/>
          <w:lang w:val="es-ES_tradnl" w:eastAsia="es-ES_tradnl"/>
        </w:rPr>
      </w:pPr>
    </w:p>
    <w:p w14:paraId="2358FECC" w14:textId="77777777" w:rsidR="00CD5196" w:rsidRPr="00F252D7" w:rsidRDefault="00CD5196" w:rsidP="00CD5196">
      <w:pPr>
        <w:tabs>
          <w:tab w:val="left" w:pos="0"/>
          <w:tab w:val="left" w:pos="284"/>
        </w:tabs>
        <w:spacing w:after="0" w:line="276" w:lineRule="auto"/>
        <w:contextualSpacing/>
        <w:jc w:val="both"/>
        <w:rPr>
          <w:rFonts w:ascii="Verdana" w:eastAsia="Calibri" w:hAnsi="Verdana" w:cs="Arial"/>
          <w:b/>
          <w:lang w:val="es-ES_tradnl"/>
        </w:rPr>
      </w:pPr>
      <w:r w:rsidRPr="00F252D7">
        <w:rPr>
          <w:rFonts w:ascii="Verdana" w:eastAsia="Calibri" w:hAnsi="Verdana" w:cs="Arial"/>
          <w:b/>
          <w:lang w:val="es-ES_tradnl"/>
        </w:rPr>
        <w:t>1. Problema planteado:</w:t>
      </w:r>
    </w:p>
    <w:p w14:paraId="2833A19E" w14:textId="77777777" w:rsidR="00CD5196" w:rsidRPr="00F252D7" w:rsidRDefault="00CD5196" w:rsidP="00CD5196">
      <w:pPr>
        <w:tabs>
          <w:tab w:val="left" w:pos="0"/>
          <w:tab w:val="left" w:pos="284"/>
        </w:tabs>
        <w:spacing w:after="0" w:line="276" w:lineRule="auto"/>
        <w:contextualSpacing/>
        <w:jc w:val="both"/>
        <w:rPr>
          <w:rFonts w:ascii="Verdana" w:eastAsia="Calibri" w:hAnsi="Verdana" w:cs="Arial"/>
          <w:b/>
          <w:lang w:val="es-ES_tradnl"/>
        </w:rPr>
      </w:pPr>
    </w:p>
    <w:p w14:paraId="5FCBE524" w14:textId="77777777" w:rsidR="00CD5196" w:rsidRPr="00F252D7" w:rsidRDefault="00CD5196" w:rsidP="00CD5196">
      <w:pPr>
        <w:spacing w:after="0" w:line="276" w:lineRule="auto"/>
        <w:jc w:val="both"/>
        <w:rPr>
          <w:rFonts w:ascii="Verdana" w:eastAsia="Century Gothic" w:hAnsi="Verdana" w:cs="Century Gothic"/>
        </w:rPr>
      </w:pPr>
      <w:r w:rsidRPr="00F252D7">
        <w:rPr>
          <w:rFonts w:ascii="Verdana" w:eastAsia="Century Gothic" w:hAnsi="Verdana" w:cs="Century Gothic"/>
        </w:rPr>
        <w:t xml:space="preserve">De acuerdo con el contenido de su solicitud, esta Agencia resolverá el siguiente problema jurídico: </w:t>
      </w:r>
      <w:r>
        <w:rPr>
          <w:rFonts w:ascii="Verdana" w:eastAsia="Century Gothic" w:hAnsi="Verdana" w:cs="Century Gothic"/>
        </w:rPr>
        <w:t xml:space="preserve">Para la contratación de servicios de salud, cuando concurre la modalidad de selección abreviada y mínima cuantía </w:t>
      </w:r>
      <w:r w:rsidRPr="00F252D7">
        <w:rPr>
          <w:rFonts w:ascii="Verdana" w:eastAsia="Century Gothic" w:hAnsi="Verdana" w:cs="Century Gothic"/>
        </w:rPr>
        <w:t>¿</w:t>
      </w:r>
      <w:r>
        <w:rPr>
          <w:rFonts w:ascii="Verdana" w:eastAsia="Century Gothic" w:hAnsi="Verdana" w:cs="Century Gothic"/>
        </w:rPr>
        <w:t>Qué modalidad de selección prevalece</w:t>
      </w:r>
      <w:r w:rsidRPr="00F252D7">
        <w:rPr>
          <w:rFonts w:ascii="Verdana" w:eastAsia="Century Gothic" w:hAnsi="Verdana" w:cs="Century Gothic"/>
        </w:rPr>
        <w:t xml:space="preserve">? </w:t>
      </w:r>
    </w:p>
    <w:p w14:paraId="2C227F81" w14:textId="77777777" w:rsidR="00CD5196" w:rsidRPr="00F252D7" w:rsidRDefault="00CD5196" w:rsidP="00CD5196">
      <w:pPr>
        <w:spacing w:after="0" w:line="276" w:lineRule="auto"/>
        <w:ind w:firstLine="709"/>
        <w:jc w:val="both"/>
        <w:rPr>
          <w:rFonts w:ascii="Verdana" w:eastAsia="Calibri" w:hAnsi="Verdana" w:cs="Arial"/>
          <w:lang w:val="es-ES" w:eastAsia="es-ES_tradnl"/>
        </w:rPr>
      </w:pPr>
    </w:p>
    <w:p w14:paraId="42824125" w14:textId="77777777" w:rsidR="00CD5196" w:rsidRPr="00F252D7" w:rsidRDefault="00CD5196" w:rsidP="00CD5196">
      <w:pPr>
        <w:tabs>
          <w:tab w:val="left" w:pos="142"/>
          <w:tab w:val="left" w:pos="284"/>
        </w:tabs>
        <w:spacing w:after="0" w:line="276" w:lineRule="auto"/>
        <w:jc w:val="both"/>
        <w:rPr>
          <w:rFonts w:ascii="Verdana" w:eastAsia="Century Gothic" w:hAnsi="Verdana" w:cs="Century Gothic"/>
          <w:b/>
          <w:bCs/>
        </w:rPr>
      </w:pPr>
      <w:r w:rsidRPr="00F252D7">
        <w:rPr>
          <w:rFonts w:ascii="Verdana" w:eastAsia="Century Gothic" w:hAnsi="Verdana" w:cs="Century Gothic"/>
          <w:b/>
          <w:bCs/>
        </w:rPr>
        <w:t>2. Respuesta:</w:t>
      </w:r>
    </w:p>
    <w:p w14:paraId="1A09F4A5" w14:textId="77777777" w:rsidR="00CD5196" w:rsidRPr="00F252D7" w:rsidRDefault="00CD5196" w:rsidP="00CD519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D5196" w:rsidRPr="00F252D7" w14:paraId="2E8960B1" w14:textId="77777777" w:rsidTr="00505D6D">
        <w:tc>
          <w:tcPr>
            <w:tcW w:w="8828" w:type="dxa"/>
            <w:shd w:val="clear" w:color="auto" w:fill="auto"/>
          </w:tcPr>
          <w:p w14:paraId="0AFB2D5E" w14:textId="1E8F1F33" w:rsidR="00CD5196" w:rsidRDefault="00CD5196" w:rsidP="00505D6D">
            <w:pPr>
              <w:spacing w:after="120" w:line="276" w:lineRule="auto"/>
              <w:jc w:val="both"/>
              <w:rPr>
                <w:rFonts w:ascii="Verdana" w:eastAsia="Calibri" w:hAnsi="Verdana" w:cs="Arial"/>
                <w:szCs w:val="24"/>
                <w:lang w:val="es-ES" w:eastAsia="es-ES_tradnl"/>
              </w:rPr>
            </w:pPr>
            <w:r w:rsidRPr="00F252D7">
              <w:rPr>
                <w:rFonts w:ascii="Verdana" w:eastAsia="Calibri" w:hAnsi="Verdana" w:cs="Arial"/>
                <w:szCs w:val="24"/>
                <w:lang w:val="es-ES" w:eastAsia="es-ES_tradnl"/>
              </w:rPr>
              <w:t>De acuerdo con la</w:t>
            </w:r>
            <w:r>
              <w:rPr>
                <w:rFonts w:ascii="Verdana" w:eastAsia="Calibri" w:hAnsi="Verdana" w:cs="Arial"/>
                <w:szCs w:val="24"/>
                <w:lang w:val="es-ES" w:eastAsia="es-ES_tradnl"/>
              </w:rPr>
              <w:t xml:space="preserve"> Ley 1150 de 2007, existen, entre otras, dos causales diferentes de selección abreviada, i) la contratación de menor cuantía y </w:t>
            </w:r>
            <w:proofErr w:type="spellStart"/>
            <w:r>
              <w:rPr>
                <w:rFonts w:ascii="Verdana" w:eastAsia="Calibri" w:hAnsi="Verdana" w:cs="Arial"/>
                <w:szCs w:val="24"/>
                <w:lang w:val="es-ES" w:eastAsia="es-ES_tradnl"/>
              </w:rPr>
              <w:t>ii</w:t>
            </w:r>
            <w:proofErr w:type="spellEnd"/>
            <w:r>
              <w:rPr>
                <w:rFonts w:ascii="Verdana" w:eastAsia="Calibri" w:hAnsi="Verdana" w:cs="Arial"/>
                <w:szCs w:val="24"/>
                <w:lang w:val="es-ES" w:eastAsia="es-ES_tradnl"/>
              </w:rPr>
              <w:t xml:space="preserve">) </w:t>
            </w:r>
            <w:r w:rsidRPr="0068088B">
              <w:rPr>
                <w:rFonts w:ascii="Verdana" w:eastAsia="Calibri" w:hAnsi="Verdana" w:cs="Arial"/>
                <w:szCs w:val="24"/>
                <w:lang w:val="es-ES" w:eastAsia="es-ES_tradnl"/>
              </w:rPr>
              <w:t>la celebración de contratos para la prestación de servicios de salud</w:t>
            </w:r>
            <w:r>
              <w:rPr>
                <w:rFonts w:ascii="Verdana" w:eastAsia="Calibri" w:hAnsi="Verdana" w:cs="Arial"/>
                <w:szCs w:val="24"/>
                <w:lang w:val="es-ES" w:eastAsia="es-ES_tradnl"/>
              </w:rPr>
              <w:t>. El Decreto 1082 de 2015 desarrolla ambas causales. Por otra parte, est</w:t>
            </w:r>
            <w:r w:rsidR="009F1B7F">
              <w:rPr>
                <w:rFonts w:ascii="Verdana" w:eastAsia="Calibri" w:hAnsi="Verdana" w:cs="Arial"/>
                <w:szCs w:val="24"/>
                <w:lang w:val="es-ES" w:eastAsia="es-ES_tradnl"/>
              </w:rPr>
              <w:t>á</w:t>
            </w:r>
            <w:r>
              <w:rPr>
                <w:rFonts w:ascii="Verdana" w:eastAsia="Calibri" w:hAnsi="Verdana" w:cs="Arial"/>
                <w:szCs w:val="24"/>
                <w:lang w:val="es-ES" w:eastAsia="es-ES_tradnl"/>
              </w:rPr>
              <w:t xml:space="preserve"> la modalidad de mínima cuantía que corresponde a una</w:t>
            </w:r>
            <w:r w:rsidRPr="0068088B">
              <w:rPr>
                <w:rFonts w:ascii="Verdana" w:eastAsia="Calibri" w:hAnsi="Verdana" w:cs="Arial"/>
                <w:szCs w:val="24"/>
                <w:lang w:val="es-ES" w:eastAsia="es-ES_tradnl"/>
              </w:rPr>
              <w:t xml:space="preserve"> convocatoria pública para recibir ofertas de bienes, obras o servicios cuyo valor no excede el diez por ciento –10%– de la menor cuantía</w:t>
            </w:r>
            <w:r>
              <w:rPr>
                <w:rFonts w:ascii="Verdana" w:eastAsia="Calibri" w:hAnsi="Verdana" w:cs="Arial"/>
                <w:szCs w:val="24"/>
                <w:lang w:val="es-ES" w:eastAsia="es-ES_tradnl"/>
              </w:rPr>
              <w:t>.</w:t>
            </w:r>
          </w:p>
          <w:p w14:paraId="6108374D" w14:textId="5FE558F8" w:rsidR="00CD5196" w:rsidRDefault="00CD5196" w:rsidP="00FD622B">
            <w:pPr>
              <w:spacing w:after="120" w:line="276" w:lineRule="auto"/>
              <w:ind w:firstLine="709"/>
              <w:jc w:val="both"/>
              <w:rPr>
                <w:rFonts w:ascii="Verdana" w:eastAsia="Calibri" w:hAnsi="Verdana" w:cs="Arial"/>
                <w:szCs w:val="24"/>
                <w:lang w:val="es-ES" w:eastAsia="es-ES_tradnl"/>
              </w:rPr>
            </w:pPr>
            <w:r>
              <w:rPr>
                <w:rFonts w:ascii="Verdana" w:eastAsia="Calibri" w:hAnsi="Verdana" w:cs="Arial"/>
                <w:szCs w:val="24"/>
                <w:lang w:val="es-ES" w:eastAsia="es-ES_tradnl"/>
              </w:rPr>
              <w:t xml:space="preserve">En ese </w:t>
            </w:r>
            <w:r w:rsidRPr="0068088B">
              <w:rPr>
                <w:rFonts w:ascii="Verdana" w:eastAsia="Calibri" w:hAnsi="Verdana" w:cs="Arial"/>
                <w:szCs w:val="24"/>
                <w:lang w:val="es-ES" w:eastAsia="es-ES_tradnl"/>
              </w:rPr>
              <w:t>sentido</w:t>
            </w:r>
            <w:r>
              <w:rPr>
                <w:rFonts w:ascii="Verdana" w:eastAsia="Calibri" w:hAnsi="Verdana" w:cs="Arial"/>
                <w:szCs w:val="24"/>
                <w:lang w:val="es-ES" w:eastAsia="es-ES_tradnl"/>
              </w:rPr>
              <w:t xml:space="preserve">, para responder su consulta se deben plantear dos escenarios: i) concurre la contratación de menor cuantía y la mínima cuantía, o </w:t>
            </w:r>
            <w:proofErr w:type="spellStart"/>
            <w:r>
              <w:rPr>
                <w:rFonts w:ascii="Verdana" w:eastAsia="Calibri" w:hAnsi="Verdana" w:cs="Arial"/>
                <w:szCs w:val="24"/>
                <w:lang w:val="es-ES" w:eastAsia="es-ES_tradnl"/>
              </w:rPr>
              <w:t>ii</w:t>
            </w:r>
            <w:proofErr w:type="spellEnd"/>
            <w:r>
              <w:rPr>
                <w:rFonts w:ascii="Verdana" w:eastAsia="Calibri" w:hAnsi="Verdana" w:cs="Arial"/>
                <w:szCs w:val="24"/>
                <w:lang w:val="es-ES" w:eastAsia="es-ES_tradnl"/>
              </w:rPr>
              <w:t xml:space="preserve">) concurre la celebración de contratos para la prestación de servicios de salud y la mínima cuantía. El primer escenario no puede ocurrir ya que el valor </w:t>
            </w:r>
            <w:r>
              <w:rPr>
                <w:rFonts w:ascii="Verdana" w:eastAsia="Calibri" w:hAnsi="Verdana" w:cs="Arial"/>
                <w:szCs w:val="24"/>
                <w:lang w:val="es-ES" w:eastAsia="es-ES_tradnl"/>
              </w:rPr>
              <w:lastRenderedPageBreak/>
              <w:t>es uno o es otro, es decir, si el valor del contrato no excede el diez por ciento</w:t>
            </w:r>
            <w:r w:rsidR="008407F9">
              <w:rPr>
                <w:rFonts w:ascii="Verdana" w:eastAsia="Calibri" w:hAnsi="Verdana" w:cs="Arial"/>
                <w:szCs w:val="24"/>
                <w:lang w:val="es-ES" w:eastAsia="es-ES_tradnl"/>
              </w:rPr>
              <w:t xml:space="preserve"> </w:t>
            </w:r>
            <w:r w:rsidR="00F81FA1">
              <w:rPr>
                <w:rFonts w:ascii="Verdana" w:eastAsia="Calibri" w:hAnsi="Verdana" w:cs="Arial"/>
                <w:szCs w:val="24"/>
                <w:lang w:val="es-ES" w:eastAsia="es-ES_tradnl"/>
              </w:rPr>
              <w:t>–10%-</w:t>
            </w:r>
            <w:r>
              <w:rPr>
                <w:rFonts w:ascii="Verdana" w:eastAsia="Calibri" w:hAnsi="Verdana" w:cs="Arial"/>
                <w:szCs w:val="24"/>
                <w:lang w:val="es-ES" w:eastAsia="es-ES_tradnl"/>
              </w:rPr>
              <w:t xml:space="preserve"> de la menor cuantía de la entidad, la contratación debe hacerse por mínima cuantía; pero si ese valor es superior y corresponde con el listado de valores señalados en el literal b) del numeral 2 del artículo 2 de la Ley 1150 de 2007, la modalidad será la selección abreviada de menor cuantía.</w:t>
            </w:r>
          </w:p>
          <w:p w14:paraId="133E821B" w14:textId="77777777" w:rsidR="00CD5196" w:rsidRPr="00F252D7" w:rsidRDefault="00CD5196" w:rsidP="00FD622B">
            <w:pPr>
              <w:spacing w:after="120" w:line="276" w:lineRule="auto"/>
              <w:ind w:firstLine="709"/>
              <w:jc w:val="both"/>
              <w:rPr>
                <w:rFonts w:ascii="Verdana" w:eastAsia="Calibri" w:hAnsi="Verdana" w:cs="Arial"/>
                <w:szCs w:val="24"/>
                <w:lang w:val="es-ES" w:eastAsia="es-ES_tradnl"/>
              </w:rPr>
            </w:pPr>
            <w:r>
              <w:rPr>
                <w:rFonts w:ascii="Verdana" w:eastAsia="Calibri" w:hAnsi="Verdana" w:cs="Arial"/>
                <w:szCs w:val="24"/>
                <w:lang w:val="es-ES" w:eastAsia="es-ES_tradnl"/>
              </w:rPr>
              <w:t>En el segundo escenario, se debe tener en cuenta lo señalado por el manual de la modalidad de selección de mínima cuantía expedido por esta Agencia, “</w:t>
            </w:r>
            <w:r w:rsidRPr="001272B8">
              <w:rPr>
                <w:rFonts w:ascii="Verdana" w:eastAsia="Calibri" w:hAnsi="Verdana" w:cs="Arial"/>
                <w:szCs w:val="24"/>
                <w:lang w:val="es-ES" w:eastAsia="es-ES_tradnl"/>
              </w:rPr>
              <w:t>Dado que la selección de mínima cuantía es especial para cualquier objeto contractual, de conformidad con el inciso primero del artículo 30 de la Ley 2069 de 2020</w:t>
            </w:r>
            <w:r>
              <w:rPr>
                <w:rFonts w:ascii="Verdana" w:eastAsia="Calibri" w:hAnsi="Verdana" w:cs="Arial"/>
                <w:szCs w:val="24"/>
                <w:lang w:val="es-ES" w:eastAsia="es-ES_tradnl"/>
              </w:rPr>
              <w:t>”</w:t>
            </w:r>
            <w:r w:rsidRPr="007C5C70">
              <w:rPr>
                <w:rFonts w:ascii="Verdana" w:eastAsia="Calibri" w:hAnsi="Verdana" w:cs="Arial"/>
                <w:bCs/>
                <w:color w:val="000000"/>
                <w:vertAlign w:val="superscript"/>
                <w:lang w:val="es-ES_tradnl"/>
              </w:rPr>
              <w:t xml:space="preserve"> </w:t>
            </w:r>
            <w:r w:rsidRPr="007C5C70">
              <w:rPr>
                <w:rFonts w:ascii="Verdana" w:eastAsia="Calibri" w:hAnsi="Verdana" w:cs="Arial"/>
                <w:bCs/>
                <w:color w:val="000000"/>
                <w:vertAlign w:val="superscript"/>
                <w:lang w:val="es-ES_tradnl"/>
              </w:rPr>
              <w:footnoteReference w:id="1"/>
            </w:r>
            <w:r>
              <w:rPr>
                <w:rFonts w:ascii="Verdana" w:eastAsia="Calibri" w:hAnsi="Verdana" w:cs="Arial"/>
                <w:szCs w:val="24"/>
                <w:lang w:val="es-ES" w:eastAsia="es-ES_tradnl"/>
              </w:rPr>
              <w:t>, se deberá llevar a cabo la mínima cuantía para la</w:t>
            </w:r>
            <w:r w:rsidRPr="0068088B">
              <w:rPr>
                <w:rFonts w:ascii="Verdana" w:eastAsia="Calibri" w:hAnsi="Verdana" w:cs="Arial"/>
                <w:szCs w:val="24"/>
                <w:lang w:val="es-ES" w:eastAsia="es-ES_tradnl"/>
              </w:rPr>
              <w:t xml:space="preserve"> celebración de contratos para la prestación de servicios de salud</w:t>
            </w:r>
            <w:r>
              <w:rPr>
                <w:rFonts w:ascii="Verdana" w:eastAsia="Calibri" w:hAnsi="Verdana" w:cs="Arial"/>
                <w:szCs w:val="24"/>
                <w:lang w:val="es-ES" w:eastAsia="es-ES_tradnl"/>
              </w:rPr>
              <w:t>.</w:t>
            </w:r>
          </w:p>
          <w:p w14:paraId="60120652" w14:textId="77777777" w:rsidR="00CD5196" w:rsidRPr="00F252D7" w:rsidRDefault="00CD5196" w:rsidP="00FD622B">
            <w:pPr>
              <w:spacing w:line="276" w:lineRule="auto"/>
              <w:ind w:firstLine="709"/>
              <w:jc w:val="both"/>
              <w:rPr>
                <w:rFonts w:ascii="Verdana" w:eastAsia="Calibri" w:hAnsi="Verdana" w:cs="Arial"/>
                <w:color w:val="7030A0"/>
              </w:rPr>
            </w:pPr>
            <w:r w:rsidRPr="00F252D7">
              <w:rPr>
                <w:rFonts w:ascii="Verdana" w:eastAsia="Times New Roman" w:hAnsi="Verdana" w:cs="Arial"/>
                <w:lang w:eastAsia="es-ES_tradnl"/>
              </w:rPr>
              <w:t>Sin perjuicio de las aclaraciones anteriores, debe advertirse que es la entidad contratante, al momento de adelantar su actividad contractual, quien debe determinar lo correspondiente a los contratos de prestación de servicios. Dado esto, y en atención al alcance la función consultiva atribuida a esta Agencia, lo aquí mencionado no constituye un juicio de valor sobre un proceso contractual particular.</w:t>
            </w:r>
          </w:p>
        </w:tc>
      </w:tr>
    </w:tbl>
    <w:p w14:paraId="674F252A" w14:textId="77777777" w:rsidR="00CD5196" w:rsidRPr="00F252D7" w:rsidRDefault="00CD5196" w:rsidP="00CD5196">
      <w:pPr>
        <w:spacing w:after="0" w:line="276" w:lineRule="auto"/>
        <w:contextualSpacing/>
        <w:jc w:val="both"/>
        <w:rPr>
          <w:rFonts w:ascii="Verdana" w:eastAsia="Times New Roman" w:hAnsi="Verdana" w:cs="Arial"/>
          <w:lang w:eastAsia="es-ES_tradnl"/>
        </w:rPr>
      </w:pPr>
    </w:p>
    <w:p w14:paraId="6251A54E" w14:textId="77777777" w:rsidR="00CD5196" w:rsidRPr="00F252D7" w:rsidRDefault="00CD5196" w:rsidP="00CD5196">
      <w:pPr>
        <w:tabs>
          <w:tab w:val="left" w:pos="142"/>
          <w:tab w:val="left" w:pos="284"/>
        </w:tabs>
        <w:spacing w:after="0" w:line="276" w:lineRule="auto"/>
        <w:jc w:val="both"/>
        <w:rPr>
          <w:rFonts w:ascii="Verdana" w:eastAsia="Century Gothic" w:hAnsi="Verdana" w:cs="Century Gothic"/>
          <w:b/>
          <w:bCs/>
          <w:lang w:val="es-ES"/>
        </w:rPr>
      </w:pPr>
      <w:r w:rsidRPr="00F252D7">
        <w:rPr>
          <w:rFonts w:ascii="Verdana" w:eastAsia="Century Gothic" w:hAnsi="Verdana" w:cs="Century Gothic"/>
          <w:b/>
          <w:bCs/>
          <w:lang w:val="es-ES"/>
        </w:rPr>
        <w:t>3. Razones de la respuesta:</w:t>
      </w:r>
    </w:p>
    <w:p w14:paraId="713F947F" w14:textId="77777777" w:rsidR="00CD5196" w:rsidRPr="00F252D7" w:rsidRDefault="00CD5196" w:rsidP="00CD5196">
      <w:pPr>
        <w:spacing w:after="0" w:line="276" w:lineRule="auto"/>
        <w:jc w:val="both"/>
        <w:rPr>
          <w:rFonts w:ascii="Verdana" w:eastAsia="Calibri" w:hAnsi="Verdana" w:cs="Arial"/>
          <w:color w:val="7030A0"/>
          <w:lang w:val="es-ES"/>
        </w:rPr>
      </w:pPr>
    </w:p>
    <w:p w14:paraId="2F30D34F" w14:textId="77777777" w:rsidR="00CD5196" w:rsidRPr="00F252D7" w:rsidRDefault="00CD5196" w:rsidP="00CD5196">
      <w:pPr>
        <w:spacing w:after="0" w:line="276" w:lineRule="auto"/>
        <w:jc w:val="both"/>
        <w:rPr>
          <w:rFonts w:ascii="Verdana" w:eastAsia="Calibri" w:hAnsi="Verdana" w:cs="Arial"/>
          <w:lang w:val="es-ES"/>
        </w:rPr>
      </w:pPr>
      <w:r w:rsidRPr="00F252D7">
        <w:rPr>
          <w:rFonts w:ascii="Verdana" w:eastAsia="Calibri" w:hAnsi="Verdana" w:cs="Arial"/>
          <w:lang w:val="es-ES"/>
        </w:rPr>
        <w:t xml:space="preserve">Lo anterior se sustenta en las siguientes consideraciones: </w:t>
      </w:r>
    </w:p>
    <w:p w14:paraId="7F274B3F" w14:textId="77777777" w:rsidR="00CD5196" w:rsidRPr="00F252D7" w:rsidRDefault="00CD5196" w:rsidP="00CD5196">
      <w:pPr>
        <w:spacing w:after="0" w:line="276" w:lineRule="auto"/>
        <w:contextualSpacing/>
        <w:jc w:val="both"/>
        <w:rPr>
          <w:rFonts w:ascii="Verdana" w:eastAsia="Times New Roman" w:hAnsi="Verdana" w:cs="Arial"/>
          <w:lang w:val="es-ES" w:eastAsia="es-ES_tradnl"/>
        </w:rPr>
      </w:pPr>
    </w:p>
    <w:p w14:paraId="217EB004" w14:textId="77777777" w:rsidR="00CD5196" w:rsidRDefault="00CD5196" w:rsidP="00CD5196">
      <w:pPr>
        <w:spacing w:after="120" w:line="276" w:lineRule="auto"/>
        <w:jc w:val="both"/>
        <w:rPr>
          <w:rFonts w:ascii="Verdana" w:eastAsia="Calibri" w:hAnsi="Verdana" w:cs="Arial"/>
        </w:rPr>
      </w:pPr>
      <w:r w:rsidRPr="00263B91">
        <w:rPr>
          <w:rFonts w:ascii="Verdana" w:eastAsia="Calibri" w:hAnsi="Verdana" w:cs="Arial"/>
        </w:rPr>
        <w:t>La contratación pública comprende, entre otros aspectos, la toma de decisiones del gasto que las entidades realizan como ejecución de los recursos públicos asignados para adquirir bienes, obras o servicios que satisfacen sus necesidades, y en esa medida cumplen el interés general, que es la finalidad que la ley les confía a través de las funciones que se les encomiendan. Para las adquisiciones, las entidades estructuran procedimientos de contratación previamente definidos por la ley, consultando las normas que los rigen para determinar la forma que</w:t>
      </w:r>
      <w:r>
        <w:rPr>
          <w:rFonts w:ascii="Verdana" w:eastAsia="Calibri" w:hAnsi="Verdana" w:cs="Arial"/>
        </w:rPr>
        <w:t xml:space="preserve"> </w:t>
      </w:r>
      <w:r w:rsidRPr="00BF7E36">
        <w:rPr>
          <w:rFonts w:ascii="Verdana" w:eastAsia="Calibri" w:hAnsi="Verdana" w:cs="Arial"/>
        </w:rPr>
        <w:t>el ordenamiento prevé para adelantarlos. En esta medida, conforme al artículo</w:t>
      </w:r>
      <w:r>
        <w:rPr>
          <w:rFonts w:ascii="Verdana" w:eastAsia="Calibri" w:hAnsi="Verdana" w:cs="Arial"/>
        </w:rPr>
        <w:t xml:space="preserve"> </w:t>
      </w:r>
      <w:r w:rsidRPr="00BF7E36">
        <w:rPr>
          <w:rFonts w:ascii="Verdana" w:eastAsia="Calibri" w:hAnsi="Verdana" w:cs="Arial"/>
        </w:rPr>
        <w:t>29 de la Constitución Política, los procedimientos de selección son una</w:t>
      </w:r>
      <w:r>
        <w:rPr>
          <w:rFonts w:ascii="Verdana" w:eastAsia="Calibri" w:hAnsi="Verdana" w:cs="Arial"/>
        </w:rPr>
        <w:t xml:space="preserve"> </w:t>
      </w:r>
      <w:r w:rsidRPr="00BF7E36">
        <w:rPr>
          <w:rFonts w:ascii="Verdana" w:eastAsia="Calibri" w:hAnsi="Verdana" w:cs="Arial"/>
        </w:rPr>
        <w:t>manifestación de la legalidad de las formas de cada proceso en sede</w:t>
      </w:r>
      <w:r>
        <w:rPr>
          <w:rFonts w:ascii="Verdana" w:eastAsia="Calibri" w:hAnsi="Verdana" w:cs="Arial"/>
        </w:rPr>
        <w:t xml:space="preserve"> </w:t>
      </w:r>
      <w:r w:rsidRPr="00BF7E36">
        <w:rPr>
          <w:rFonts w:ascii="Verdana" w:eastAsia="Calibri" w:hAnsi="Verdana" w:cs="Arial"/>
        </w:rPr>
        <w:t>administrativa</w:t>
      </w:r>
      <w:r>
        <w:rPr>
          <w:rStyle w:val="Refdenotaalpie"/>
          <w:rFonts w:ascii="Verdana" w:eastAsia="Calibri" w:hAnsi="Verdana" w:cs="Arial"/>
        </w:rPr>
        <w:footnoteReference w:id="2"/>
      </w:r>
      <w:r>
        <w:rPr>
          <w:rFonts w:ascii="Verdana" w:eastAsia="Calibri" w:hAnsi="Verdana" w:cs="Arial"/>
        </w:rPr>
        <w:t>.</w:t>
      </w:r>
    </w:p>
    <w:p w14:paraId="1433544F" w14:textId="77777777" w:rsidR="00CD5196" w:rsidRDefault="00CD5196" w:rsidP="00CD5196">
      <w:pPr>
        <w:spacing w:after="120" w:line="276" w:lineRule="auto"/>
        <w:ind w:firstLine="708"/>
        <w:jc w:val="both"/>
        <w:rPr>
          <w:rFonts w:ascii="Verdana" w:eastAsia="Calibri" w:hAnsi="Verdana" w:cs="Arial"/>
        </w:rPr>
      </w:pPr>
      <w:r w:rsidRPr="005243B8">
        <w:rPr>
          <w:rFonts w:ascii="Verdana" w:eastAsia="Calibri" w:hAnsi="Verdana" w:cs="Arial"/>
        </w:rPr>
        <w:lastRenderedPageBreak/>
        <w:t>Por consiguiente, las principales normas son: la Ley 80 de 1993, Estatuto General de Contratación de la Administración Pública; la Ley 1150 de 2007 que, entre otras disposiciones, regula las modalidades de selección para la escogencia del contratista; y el Decreto 1082 de 2015, que es reglamentario y concreta cada modalidad de selección, señalando reglas o pasos a seguir para celebrar el contrato estatal, así como la observancia de la administración a respetar los principios que rigen la contratación estatal</w:t>
      </w:r>
      <w:r>
        <w:rPr>
          <w:rStyle w:val="Refdenotaalpie"/>
          <w:rFonts w:ascii="Verdana" w:eastAsia="Calibri" w:hAnsi="Verdana" w:cs="Arial"/>
        </w:rPr>
        <w:footnoteReference w:id="3"/>
      </w:r>
      <w:r>
        <w:rPr>
          <w:rFonts w:ascii="Verdana" w:eastAsia="Calibri" w:hAnsi="Verdana" w:cs="Arial"/>
        </w:rPr>
        <w:t xml:space="preserve">, </w:t>
      </w:r>
      <w:r w:rsidRPr="007D7C86">
        <w:rPr>
          <w:rFonts w:ascii="Verdana" w:eastAsia="Calibri" w:hAnsi="Verdana" w:cs="Arial"/>
        </w:rPr>
        <w:t>los principios de la función pública</w:t>
      </w:r>
      <w:r>
        <w:rPr>
          <w:rStyle w:val="Refdenotaalpie"/>
          <w:rFonts w:ascii="Verdana" w:eastAsia="Calibri" w:hAnsi="Verdana" w:cs="Arial"/>
        </w:rPr>
        <w:footnoteReference w:id="4"/>
      </w:r>
      <w:r>
        <w:rPr>
          <w:rFonts w:ascii="Verdana" w:eastAsia="Calibri" w:hAnsi="Verdana" w:cs="Arial"/>
        </w:rPr>
        <w:t xml:space="preserve">, </w:t>
      </w:r>
      <w:r w:rsidRPr="002B1677">
        <w:rPr>
          <w:rFonts w:ascii="Verdana" w:eastAsia="Calibri" w:hAnsi="Verdana" w:cs="Arial"/>
        </w:rPr>
        <w:t>y de la gestión fiscal</w:t>
      </w:r>
      <w:r>
        <w:rPr>
          <w:rStyle w:val="Refdenotaalpie"/>
          <w:rFonts w:ascii="Verdana" w:eastAsia="Calibri" w:hAnsi="Verdana" w:cs="Arial"/>
        </w:rPr>
        <w:footnoteReference w:id="5"/>
      </w:r>
      <w:r w:rsidRPr="008C5237">
        <w:rPr>
          <w:rFonts w:ascii="Verdana" w:eastAsia="Calibri" w:hAnsi="Verdana" w:cs="Arial"/>
        </w:rPr>
        <w:t>, en el marco de toda la actividad contractual.</w:t>
      </w:r>
    </w:p>
    <w:p w14:paraId="10361FC9" w14:textId="77777777" w:rsidR="00CD5196" w:rsidRDefault="00CD5196" w:rsidP="00CD5196">
      <w:pPr>
        <w:spacing w:after="120" w:line="276" w:lineRule="auto"/>
        <w:ind w:firstLine="708"/>
        <w:jc w:val="both"/>
        <w:rPr>
          <w:rFonts w:ascii="Verdana" w:eastAsia="Calibri" w:hAnsi="Verdana" w:cs="Arial"/>
        </w:rPr>
      </w:pPr>
      <w:r w:rsidRPr="00D54C9B">
        <w:rPr>
          <w:rFonts w:ascii="Verdana" w:eastAsia="Calibri" w:hAnsi="Verdana" w:cs="Arial"/>
        </w:rPr>
        <w:t>El proceso de contratación también está definido en el Decreto 1082 de 2015, y comprende todas las etapas que realiza la entidad para adquirir los bienes que satisfacen su necesidad, cuyo inicio parte de lo que se denomina planear, y finaliza, dependiendo de lo dispuesto por la entidad, en el contrato</w:t>
      </w:r>
      <w:r>
        <w:rPr>
          <w:rStyle w:val="Refdenotaalpie"/>
          <w:rFonts w:ascii="Verdana" w:eastAsia="Calibri" w:hAnsi="Verdana" w:cs="Arial"/>
        </w:rPr>
        <w:footnoteReference w:id="6"/>
      </w:r>
      <w:r>
        <w:rPr>
          <w:rFonts w:ascii="Verdana" w:eastAsia="Calibri" w:hAnsi="Verdana" w:cs="Arial"/>
        </w:rPr>
        <w:t xml:space="preserve">. </w:t>
      </w:r>
      <w:r w:rsidRPr="005868E6">
        <w:rPr>
          <w:rFonts w:ascii="Verdana" w:eastAsia="Calibri" w:hAnsi="Verdana" w:cs="Arial"/>
        </w:rPr>
        <w:t>Cada entidad es responsable de sus procedimientos de contratación, y por ende tienen autonomía para estructurarlos y adelantarlos, siempre que respete el principio de legalidad.</w:t>
      </w:r>
    </w:p>
    <w:p w14:paraId="076E27A2" w14:textId="77777777" w:rsidR="00CD5196" w:rsidRDefault="00CD5196" w:rsidP="00CD5196">
      <w:pPr>
        <w:spacing w:after="120" w:line="276" w:lineRule="auto"/>
        <w:ind w:firstLine="708"/>
        <w:jc w:val="both"/>
        <w:rPr>
          <w:rFonts w:ascii="Verdana" w:eastAsia="Calibri" w:hAnsi="Verdana" w:cs="Arial"/>
        </w:rPr>
      </w:pPr>
      <w:r w:rsidRPr="00992E1A">
        <w:rPr>
          <w:rFonts w:ascii="Verdana" w:eastAsia="Calibri" w:hAnsi="Verdana" w:cs="Arial"/>
        </w:rPr>
        <w:t>En todo caso, los procedimientos de contratación se estructuran a partir de las modalidades de selección, y al hacer una revisión de las normas citadas -Ley 80 de 1993, Ley 1150 de 2007 y Decreto 1082 de 2015-, se observa que contienen los principios y procedimientos para adelantar las modalidades de selección previstas en la Ley 1150 de 2007, que en el artículo 2 incluye las 5 modalidades de selección para la escogencia del contratista, y fija las reglas de</w:t>
      </w:r>
      <w:r>
        <w:rPr>
          <w:rFonts w:ascii="Verdana" w:eastAsia="Calibri" w:hAnsi="Verdana" w:cs="Arial"/>
        </w:rPr>
        <w:t xml:space="preserve"> </w:t>
      </w:r>
      <w:r w:rsidRPr="003200D9">
        <w:rPr>
          <w:rFonts w:ascii="Verdana" w:eastAsia="Calibri" w:hAnsi="Verdana" w:cs="Arial"/>
        </w:rPr>
        <w:t>cada modalidad: licitación pública, selección abreviada, concurso de méritos, contratación directa y mínima cuantía</w:t>
      </w:r>
      <w:r>
        <w:rPr>
          <w:rStyle w:val="Refdenotaalpie"/>
          <w:rFonts w:ascii="Verdana" w:eastAsia="Calibri" w:hAnsi="Verdana" w:cs="Arial"/>
        </w:rPr>
        <w:footnoteReference w:id="7"/>
      </w:r>
      <w:r>
        <w:rPr>
          <w:rFonts w:ascii="Verdana" w:eastAsia="Calibri" w:hAnsi="Verdana" w:cs="Arial"/>
        </w:rPr>
        <w:t>.</w:t>
      </w:r>
    </w:p>
    <w:p w14:paraId="27F31B83" w14:textId="77777777" w:rsidR="00CD5196" w:rsidRDefault="00CD5196" w:rsidP="00CD5196">
      <w:pPr>
        <w:spacing w:after="120" w:line="276" w:lineRule="auto"/>
        <w:ind w:firstLine="708"/>
        <w:jc w:val="both"/>
        <w:rPr>
          <w:rFonts w:ascii="Verdana" w:eastAsia="Calibri" w:hAnsi="Verdana" w:cs="Arial"/>
        </w:rPr>
      </w:pPr>
      <w:r w:rsidRPr="00E11DCD">
        <w:rPr>
          <w:rFonts w:ascii="Verdana" w:eastAsia="Calibri" w:hAnsi="Verdana" w:cs="Arial"/>
        </w:rPr>
        <w:t xml:space="preserve">La Exposición de Motivos de la Ley 1150 de 2007 explica las razones por las cuales se establecieron las modalidades de selección: “A ese respecto es claro que las experiencias exitosas a nivel internacional demuestran que el criterio de distinción que debe gobernar un esquema contractual eficiente es el de modular las modalidades de selección en razón a las características del objeto”. Por </w:t>
      </w:r>
      <w:r w:rsidRPr="00E11DCD">
        <w:rPr>
          <w:rFonts w:ascii="Verdana" w:eastAsia="Calibri" w:hAnsi="Verdana" w:cs="Arial"/>
        </w:rPr>
        <w:lastRenderedPageBreak/>
        <w:t>consiguiente, la normativa del Sistema de Compra Pública contiene disposiciones que le indican a la entidad las actividades y documentos que debe desarrollar en sus procedimientos contractuales, y con base en ello los proveedores pueden conocer los aspectos del objeto de la contratación para presentar sus ofertas, teniendo en cuenta los parámetros que define la entidad en la etapa de planeación del proceso, de acuerdo con las normas relacionadas con la adquisición de que se trate, y que quedan definidos en el pliego de condiciones como documento del proceso</w:t>
      </w:r>
      <w:r>
        <w:rPr>
          <w:rStyle w:val="Refdenotaalpie"/>
          <w:rFonts w:ascii="Verdana" w:eastAsia="Calibri" w:hAnsi="Verdana" w:cs="Arial"/>
        </w:rPr>
        <w:footnoteReference w:id="8"/>
      </w:r>
      <w:r>
        <w:rPr>
          <w:rFonts w:ascii="Verdana" w:eastAsia="Calibri" w:hAnsi="Verdana" w:cs="Arial"/>
        </w:rPr>
        <w:t>.</w:t>
      </w:r>
    </w:p>
    <w:p w14:paraId="34734A21" w14:textId="77777777" w:rsidR="00CD5196" w:rsidRDefault="00CD5196" w:rsidP="00CD5196">
      <w:pPr>
        <w:spacing w:after="120" w:line="276" w:lineRule="auto"/>
        <w:ind w:firstLine="708"/>
        <w:jc w:val="both"/>
        <w:rPr>
          <w:rFonts w:ascii="Verdana" w:eastAsia="Calibri" w:hAnsi="Verdana" w:cs="Arial"/>
        </w:rPr>
      </w:pPr>
      <w:r>
        <w:rPr>
          <w:rFonts w:ascii="Verdana" w:eastAsia="Calibri" w:hAnsi="Verdana" w:cs="Arial"/>
        </w:rPr>
        <w:t>Dicho esto</w:t>
      </w:r>
      <w:r w:rsidRPr="00737D2E">
        <w:rPr>
          <w:rFonts w:ascii="Verdana" w:eastAsia="Calibri" w:hAnsi="Verdana" w:cs="Arial"/>
        </w:rPr>
        <w:t>,</w:t>
      </w:r>
      <w:r>
        <w:rPr>
          <w:rFonts w:ascii="Verdana" w:eastAsia="Calibri" w:hAnsi="Verdana" w:cs="Arial"/>
        </w:rPr>
        <w:t xml:space="preserve"> en consideración a sus interrogantes, se expone en primer lugar el origen y la justificación de la selección abreviada como modalidad de contratación, su </w:t>
      </w:r>
      <w:r w:rsidRPr="00737D2E">
        <w:rPr>
          <w:rFonts w:ascii="Verdana" w:eastAsia="Calibri" w:hAnsi="Verdana" w:cs="Arial"/>
        </w:rPr>
        <w:t xml:space="preserve">marco normativo general </w:t>
      </w:r>
      <w:r>
        <w:rPr>
          <w:rFonts w:ascii="Verdana" w:eastAsia="Calibri" w:hAnsi="Verdana" w:cs="Arial"/>
        </w:rPr>
        <w:t xml:space="preserve">y sus causales. </w:t>
      </w:r>
      <w:r w:rsidRPr="007537DB">
        <w:rPr>
          <w:rFonts w:ascii="Verdana" w:eastAsia="Calibri" w:hAnsi="Verdana" w:cs="Arial"/>
        </w:rPr>
        <w:t>La Ley 1150 de 2007, en el artículo 2, regula las modalidades de selección, y, en el numeral 2 se refiere a la selección abreviada, en los siguientes términos:</w:t>
      </w:r>
    </w:p>
    <w:p w14:paraId="45EFB026" w14:textId="77777777" w:rsidR="00CD5196" w:rsidRDefault="00CD5196" w:rsidP="00CD5196">
      <w:pPr>
        <w:spacing w:after="0" w:line="276" w:lineRule="auto"/>
        <w:ind w:firstLine="708"/>
        <w:jc w:val="both"/>
        <w:rPr>
          <w:rFonts w:ascii="Verdana" w:eastAsia="Calibri" w:hAnsi="Verdana" w:cs="Arial"/>
        </w:rPr>
      </w:pPr>
    </w:p>
    <w:p w14:paraId="17458BAE" w14:textId="77777777" w:rsidR="00CD5196" w:rsidRDefault="00CD5196" w:rsidP="00CD5196">
      <w:pPr>
        <w:spacing w:after="0" w:line="276" w:lineRule="auto"/>
        <w:ind w:left="709" w:right="709"/>
        <w:jc w:val="both"/>
        <w:rPr>
          <w:rFonts w:ascii="Verdana" w:hAnsi="Verdana"/>
          <w:sz w:val="21"/>
          <w:szCs w:val="21"/>
        </w:rPr>
      </w:pPr>
      <w:r w:rsidRPr="007537DB">
        <w:rPr>
          <w:rFonts w:ascii="Verdana" w:hAnsi="Verdana"/>
          <w:sz w:val="21"/>
          <w:szCs w:val="21"/>
        </w:rPr>
        <w:t xml:space="preserve">“[…] 2. Selección abreviada. La Selección abreviada corresponde a la modalidad de selección objetiva prevista para aquellos casos en que, por las características del objeto a contratar, las circunstancias de la contratación o la cuantía o destinación del bien, obra o </w:t>
      </w:r>
      <w:proofErr w:type="gramStart"/>
      <w:r w:rsidRPr="007537DB">
        <w:rPr>
          <w:rFonts w:ascii="Verdana" w:hAnsi="Verdana"/>
          <w:sz w:val="21"/>
          <w:szCs w:val="21"/>
        </w:rPr>
        <w:t>servicio,</w:t>
      </w:r>
      <w:proofErr w:type="gramEnd"/>
      <w:r w:rsidRPr="007537DB">
        <w:rPr>
          <w:rFonts w:ascii="Verdana" w:hAnsi="Verdana"/>
          <w:sz w:val="21"/>
          <w:szCs w:val="21"/>
        </w:rPr>
        <w:t xml:space="preserve"> puedan adelantarse procesos simplificados para garantizar la eficiencia de la gestión contractual. El Gobierno Nacional reglamentará la materia.” [SIC].</w:t>
      </w:r>
    </w:p>
    <w:p w14:paraId="620C5EF0" w14:textId="77777777" w:rsidR="00CD5196" w:rsidRDefault="00CD5196" w:rsidP="00CD5196">
      <w:pPr>
        <w:spacing w:after="120" w:line="276" w:lineRule="auto"/>
        <w:ind w:left="709" w:right="709" w:firstLine="709"/>
        <w:jc w:val="both"/>
        <w:rPr>
          <w:rFonts w:ascii="Verdana" w:hAnsi="Verdana"/>
          <w:sz w:val="21"/>
          <w:szCs w:val="21"/>
        </w:rPr>
      </w:pPr>
    </w:p>
    <w:p w14:paraId="0FA2F708" w14:textId="77777777" w:rsidR="00CD5196" w:rsidRDefault="00CD5196" w:rsidP="00CD5196">
      <w:pPr>
        <w:spacing w:after="120" w:line="276" w:lineRule="auto"/>
        <w:ind w:firstLine="708"/>
        <w:jc w:val="both"/>
        <w:rPr>
          <w:rFonts w:ascii="Verdana" w:hAnsi="Verdana"/>
        </w:rPr>
      </w:pPr>
      <w:r>
        <w:rPr>
          <w:rFonts w:ascii="Verdana" w:hAnsi="Verdana"/>
        </w:rPr>
        <w:t>En ese orden, la norma</w:t>
      </w:r>
      <w:r w:rsidRPr="008744C9">
        <w:rPr>
          <w:rFonts w:ascii="Verdana" w:hAnsi="Verdana"/>
        </w:rPr>
        <w:t xml:space="preserve"> contempla una modalidad de selección que se caracteriza por tener etapas sencillas y términos más cortos que la licitación pública, </w:t>
      </w:r>
      <w:r>
        <w:rPr>
          <w:rFonts w:ascii="Verdana" w:hAnsi="Verdana"/>
        </w:rPr>
        <w:t>de manera que el proceso de selección de contratistas es simplificado, dadas las características del objeto a contratar,</w:t>
      </w:r>
      <w:r w:rsidRPr="00691C6B">
        <w:t xml:space="preserve"> </w:t>
      </w:r>
      <w:r>
        <w:t>l</w:t>
      </w:r>
      <w:r w:rsidRPr="00691C6B">
        <w:rPr>
          <w:rFonts w:ascii="Verdana" w:hAnsi="Verdana"/>
        </w:rPr>
        <w:t>as circunstancias de la contratación, la cuantía, o la destinación del bien o servicio</w:t>
      </w:r>
      <w:r>
        <w:rPr>
          <w:rFonts w:ascii="Verdana" w:hAnsi="Verdana"/>
        </w:rPr>
        <w:t>, y se advierte que p</w:t>
      </w:r>
      <w:r w:rsidRPr="00691C6B">
        <w:rPr>
          <w:rFonts w:ascii="Verdana" w:hAnsi="Verdana"/>
        </w:rPr>
        <w:t>rocede en casos muy específicos contemplados por el legislador</w:t>
      </w:r>
      <w:r>
        <w:rPr>
          <w:rStyle w:val="Refdenotaalpie"/>
          <w:rFonts w:ascii="Verdana" w:hAnsi="Verdana"/>
        </w:rPr>
        <w:footnoteReference w:id="9"/>
      </w:r>
      <w:r w:rsidRPr="00691C6B">
        <w:rPr>
          <w:rFonts w:ascii="Verdana" w:hAnsi="Verdana"/>
        </w:rPr>
        <w:t xml:space="preserve">. </w:t>
      </w:r>
      <w:r w:rsidRPr="008744C9">
        <w:rPr>
          <w:rFonts w:ascii="Verdana" w:hAnsi="Verdana"/>
        </w:rPr>
        <w:t xml:space="preserve"> </w:t>
      </w:r>
    </w:p>
    <w:p w14:paraId="79EB9936" w14:textId="77777777" w:rsidR="00CD5196" w:rsidRDefault="00CD5196" w:rsidP="00CD5196">
      <w:pPr>
        <w:spacing w:after="120" w:line="276" w:lineRule="auto"/>
        <w:ind w:firstLine="708"/>
        <w:jc w:val="both"/>
        <w:rPr>
          <w:rFonts w:ascii="Verdana" w:hAnsi="Verdana"/>
        </w:rPr>
      </w:pPr>
      <w:r>
        <w:rPr>
          <w:rFonts w:ascii="Verdana" w:hAnsi="Verdana"/>
        </w:rPr>
        <w:lastRenderedPageBreak/>
        <w:t xml:space="preserve">Así mismo, el artículo citado delega al Gobierno Nacional la expedición del reglamento aplicable a las causales allí previstas. En consecuencia, mediante el </w:t>
      </w:r>
      <w:r w:rsidRPr="008744C9">
        <w:rPr>
          <w:rFonts w:ascii="Verdana" w:hAnsi="Verdana"/>
        </w:rPr>
        <w:t xml:space="preserve">Decreto 1082 de 2015 </w:t>
      </w:r>
      <w:r>
        <w:rPr>
          <w:rFonts w:ascii="Verdana" w:hAnsi="Verdana"/>
        </w:rPr>
        <w:t>se establecen los procedimientos que deberán observar las entidades estatales</w:t>
      </w:r>
      <w:r w:rsidRPr="008744C9">
        <w:rPr>
          <w:rFonts w:ascii="Verdana" w:hAnsi="Verdana"/>
        </w:rPr>
        <w:t xml:space="preserve">, </w:t>
      </w:r>
      <w:r>
        <w:rPr>
          <w:rFonts w:ascii="Verdana" w:hAnsi="Verdana"/>
        </w:rPr>
        <w:t>contemplando las reglas sobre el contenido de</w:t>
      </w:r>
      <w:r w:rsidRPr="008744C9">
        <w:rPr>
          <w:rFonts w:ascii="Verdana" w:hAnsi="Verdana"/>
        </w:rPr>
        <w:t xml:space="preserve">l pliego de condiciones, las etapas, entre otros. El Consejo de Estado, Sección Tercera, Subsección A, en la sentencia del 23 de julio de 2015, radicado No. 36.805, </w:t>
      </w:r>
      <w:proofErr w:type="gramStart"/>
      <w:r w:rsidRPr="008744C9">
        <w:rPr>
          <w:rFonts w:ascii="Verdana" w:hAnsi="Verdana"/>
        </w:rPr>
        <w:t>Consejero</w:t>
      </w:r>
      <w:proofErr w:type="gramEnd"/>
      <w:r w:rsidRPr="008744C9">
        <w:rPr>
          <w:rFonts w:ascii="Verdana" w:hAnsi="Verdana"/>
        </w:rPr>
        <w:t xml:space="preserve"> Ponente Hernán Andrade Rincón, señala los antecedentes de la modalidad de selección abreviada, el propósito del legislador al crearla y sus principales características:</w:t>
      </w:r>
    </w:p>
    <w:p w14:paraId="5E61AC5E" w14:textId="77777777" w:rsidR="00CD5196" w:rsidRDefault="00CD5196" w:rsidP="00CD5196">
      <w:pPr>
        <w:spacing w:after="0" w:line="276" w:lineRule="auto"/>
        <w:ind w:firstLine="708"/>
        <w:jc w:val="both"/>
        <w:rPr>
          <w:rFonts w:ascii="Verdana" w:hAnsi="Verdana"/>
        </w:rPr>
      </w:pPr>
    </w:p>
    <w:p w14:paraId="641E86CF" w14:textId="77777777" w:rsidR="00CD5196" w:rsidRDefault="00CD5196" w:rsidP="00CD5196">
      <w:pPr>
        <w:spacing w:after="0" w:line="276" w:lineRule="auto"/>
        <w:ind w:left="709" w:right="709"/>
        <w:jc w:val="both"/>
        <w:rPr>
          <w:rFonts w:ascii="Verdana" w:hAnsi="Verdana"/>
          <w:sz w:val="21"/>
          <w:szCs w:val="21"/>
        </w:rPr>
      </w:pPr>
      <w:r w:rsidRPr="008744C9">
        <w:rPr>
          <w:rFonts w:ascii="Verdana" w:hAnsi="Verdana"/>
          <w:sz w:val="21"/>
          <w:szCs w:val="21"/>
        </w:rPr>
        <w:t xml:space="preserve">[...] la modalidad de selección abreviada tiene como primer antecedente normativo la Ley 1150 de 2007 —pues ni en la legislación derogada de los decretos-ley 150 de 1976 y 222 de 1983, ni en la Ley 80 de 1993, encuentra asiento— y corresponde a una motivación del Legislador por proveer de mayor agilidad y eficiencia la contratación de algunos bienes o servicios, en los que es deseable la concurrencia de oferentes, pero no en los términos y condiciones de una licitación pública, sino de manera abreviada o, en términos de la ley, simplificada. </w:t>
      </w:r>
    </w:p>
    <w:p w14:paraId="0226AC4A" w14:textId="77777777" w:rsidR="00CD5196" w:rsidRDefault="00CD5196" w:rsidP="00CD5196">
      <w:pPr>
        <w:spacing w:after="0" w:line="276" w:lineRule="auto"/>
        <w:ind w:left="709" w:right="709"/>
        <w:jc w:val="both"/>
        <w:rPr>
          <w:rFonts w:ascii="Verdana" w:hAnsi="Verdana"/>
          <w:sz w:val="21"/>
          <w:szCs w:val="21"/>
        </w:rPr>
      </w:pPr>
    </w:p>
    <w:p w14:paraId="20AC3461" w14:textId="77777777" w:rsidR="00CD5196" w:rsidRDefault="00CD5196" w:rsidP="00CD5196">
      <w:pPr>
        <w:spacing w:after="0" w:line="276" w:lineRule="auto"/>
        <w:ind w:left="709" w:right="709"/>
        <w:jc w:val="both"/>
        <w:rPr>
          <w:rFonts w:ascii="Verdana" w:hAnsi="Verdana"/>
          <w:sz w:val="21"/>
          <w:szCs w:val="21"/>
        </w:rPr>
      </w:pPr>
      <w:r w:rsidRPr="008744C9">
        <w:rPr>
          <w:rFonts w:ascii="Verdana" w:hAnsi="Verdana"/>
          <w:sz w:val="21"/>
          <w:szCs w:val="21"/>
        </w:rPr>
        <w:t>En esta modalidad de selección, en principio, no deberían presentarse las complejidades de un proceso de licitación pública, en cuanto a sus prerrequisitos, fórmulas de convocatoria, etapas, métodos de evaluación, plazos, etc., pues la naturaleza de los bienes y servicios que con ella se proveen no tienen la complejidad, costo, o importancia de aquellos otros propios de la licitación pública o, en cualquier caso, el Legislador consideró que son requeridos para suplir necesidades del servicio público de manera más ágil y eficiente.</w:t>
      </w:r>
    </w:p>
    <w:p w14:paraId="09622823" w14:textId="77777777" w:rsidR="00CD5196" w:rsidRDefault="00CD5196" w:rsidP="00CD5196">
      <w:pPr>
        <w:spacing w:after="0" w:line="276" w:lineRule="auto"/>
        <w:ind w:left="709" w:right="709"/>
        <w:jc w:val="both"/>
        <w:rPr>
          <w:rFonts w:ascii="Verdana" w:hAnsi="Verdana"/>
          <w:sz w:val="21"/>
          <w:szCs w:val="21"/>
        </w:rPr>
      </w:pPr>
    </w:p>
    <w:p w14:paraId="15AA885B" w14:textId="77777777" w:rsidR="00CD5196" w:rsidRDefault="00CD5196" w:rsidP="00CD5196">
      <w:pPr>
        <w:spacing w:line="276" w:lineRule="auto"/>
        <w:ind w:firstLine="708"/>
        <w:jc w:val="both"/>
        <w:rPr>
          <w:rFonts w:ascii="Verdana" w:hAnsi="Verdana"/>
        </w:rPr>
      </w:pPr>
      <w:r>
        <w:rPr>
          <w:rFonts w:ascii="Verdana" w:hAnsi="Verdana"/>
        </w:rPr>
        <w:lastRenderedPageBreak/>
        <w:t xml:space="preserve">Dicho esto, las causales de selección abreviada que previó el legislador en la Ley 1150 de 2007 son, entre otras: </w:t>
      </w:r>
    </w:p>
    <w:p w14:paraId="4A3DC308" w14:textId="77777777" w:rsidR="00CD5196" w:rsidRPr="008E37FB" w:rsidRDefault="00CD5196" w:rsidP="00CD5196">
      <w:pPr>
        <w:spacing w:after="0" w:line="276" w:lineRule="auto"/>
        <w:ind w:left="709" w:right="709"/>
        <w:jc w:val="both"/>
        <w:rPr>
          <w:rFonts w:ascii="Verdana" w:hAnsi="Verdana"/>
          <w:sz w:val="21"/>
          <w:szCs w:val="21"/>
        </w:rPr>
      </w:pPr>
      <w:r>
        <w:rPr>
          <w:rFonts w:ascii="Verdana" w:hAnsi="Verdana"/>
          <w:sz w:val="21"/>
          <w:szCs w:val="21"/>
        </w:rPr>
        <w:t>“</w:t>
      </w:r>
      <w:r w:rsidRPr="008E37FB">
        <w:rPr>
          <w:rFonts w:ascii="Verdana" w:hAnsi="Verdana"/>
          <w:sz w:val="21"/>
          <w:szCs w:val="21"/>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 </w:t>
      </w:r>
    </w:p>
    <w:p w14:paraId="3E6FD7AF" w14:textId="77777777" w:rsidR="00CD5196" w:rsidRPr="008E37FB" w:rsidRDefault="00CD5196" w:rsidP="00CD5196">
      <w:pPr>
        <w:spacing w:after="0" w:line="276" w:lineRule="auto"/>
        <w:ind w:left="709" w:right="709"/>
        <w:jc w:val="both"/>
        <w:rPr>
          <w:rFonts w:ascii="Verdana" w:hAnsi="Verdana"/>
          <w:sz w:val="21"/>
          <w:szCs w:val="21"/>
        </w:rPr>
      </w:pPr>
      <w:r w:rsidRPr="008E37FB">
        <w:rPr>
          <w:rFonts w:ascii="Verdana" w:hAnsi="Verdana"/>
          <w:sz w:val="21"/>
          <w:szCs w:val="21"/>
        </w:rPr>
        <w:t>  </w:t>
      </w:r>
    </w:p>
    <w:p w14:paraId="63B21CE1" w14:textId="77777777" w:rsidR="00CD5196" w:rsidRPr="008E37FB" w:rsidRDefault="00CD5196" w:rsidP="00CD5196">
      <w:pPr>
        <w:spacing w:after="0" w:line="276" w:lineRule="auto"/>
        <w:ind w:left="709" w:right="709"/>
        <w:jc w:val="both"/>
        <w:rPr>
          <w:rFonts w:ascii="Verdana" w:hAnsi="Verdana"/>
          <w:sz w:val="21"/>
          <w:szCs w:val="21"/>
        </w:rPr>
      </w:pPr>
      <w:r w:rsidRPr="008E37FB">
        <w:rPr>
          <w:rFonts w:ascii="Verdana" w:hAnsi="Verdana"/>
          <w:sz w:val="21"/>
          <w:szCs w:val="21"/>
        </w:rPr>
        <w:t>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w:t>
      </w:r>
    </w:p>
    <w:p w14:paraId="430AC871" w14:textId="77777777" w:rsidR="00CD5196" w:rsidRPr="008E37FB" w:rsidRDefault="00CD5196" w:rsidP="00CD5196">
      <w:pPr>
        <w:spacing w:after="0" w:line="276" w:lineRule="auto"/>
        <w:ind w:left="709" w:right="709"/>
        <w:jc w:val="both"/>
        <w:rPr>
          <w:rFonts w:ascii="Verdana" w:hAnsi="Verdana"/>
          <w:sz w:val="21"/>
          <w:szCs w:val="21"/>
        </w:rPr>
      </w:pPr>
      <w:r w:rsidRPr="008E37FB">
        <w:rPr>
          <w:rFonts w:ascii="Verdana" w:hAnsi="Verdana"/>
          <w:sz w:val="21"/>
          <w:szCs w:val="21"/>
        </w:rPr>
        <w:t>  </w:t>
      </w:r>
    </w:p>
    <w:p w14:paraId="0FB875B0" w14:textId="77777777" w:rsidR="00CD5196" w:rsidRPr="008E37FB" w:rsidRDefault="00CD5196" w:rsidP="00CD5196">
      <w:pPr>
        <w:spacing w:after="0" w:line="276" w:lineRule="auto"/>
        <w:ind w:left="709" w:right="709"/>
        <w:jc w:val="both"/>
        <w:rPr>
          <w:rFonts w:ascii="Verdana" w:hAnsi="Verdana"/>
          <w:sz w:val="21"/>
          <w:szCs w:val="21"/>
        </w:rPr>
      </w:pPr>
      <w:r w:rsidRPr="008E37FB">
        <w:rPr>
          <w:rFonts w:ascii="Verdana" w:hAnsi="Verdana"/>
          <w:sz w:val="21"/>
          <w:szCs w:val="21"/>
        </w:rPr>
        <w:t>b) La contratación de menor cuantía. Se entenderá por menor cuantía los valores que a continuación se relacionan, determinados en función de los presupuestos anuales de las entidades públicas expresados en salarios mínimos legales mensuales. </w:t>
      </w:r>
    </w:p>
    <w:p w14:paraId="3287A439" w14:textId="77777777" w:rsidR="00CD5196" w:rsidRPr="008E37FB" w:rsidRDefault="00CD5196" w:rsidP="00CD5196">
      <w:pPr>
        <w:spacing w:after="0" w:line="276" w:lineRule="auto"/>
        <w:ind w:left="709" w:right="709"/>
        <w:jc w:val="both"/>
        <w:rPr>
          <w:rFonts w:ascii="Verdana" w:hAnsi="Verdana"/>
          <w:sz w:val="21"/>
          <w:szCs w:val="21"/>
        </w:rPr>
      </w:pPr>
      <w:r w:rsidRPr="008E37FB">
        <w:rPr>
          <w:rFonts w:ascii="Verdana" w:hAnsi="Verdana"/>
          <w:sz w:val="21"/>
          <w:szCs w:val="21"/>
        </w:rPr>
        <w:t>  </w:t>
      </w:r>
    </w:p>
    <w:p w14:paraId="18B3FCE5" w14:textId="77777777" w:rsidR="00CD5196" w:rsidRPr="008E37FB" w:rsidRDefault="00CD5196" w:rsidP="00CD5196">
      <w:pPr>
        <w:spacing w:after="0" w:line="276" w:lineRule="auto"/>
        <w:ind w:left="709" w:right="709"/>
        <w:jc w:val="both"/>
        <w:rPr>
          <w:rFonts w:ascii="Verdana" w:hAnsi="Verdana"/>
          <w:sz w:val="21"/>
          <w:szCs w:val="21"/>
        </w:rPr>
      </w:pPr>
      <w:r w:rsidRPr="008E37FB">
        <w:rPr>
          <w:rFonts w:ascii="Verdana" w:hAnsi="Verdana"/>
          <w:sz w:val="21"/>
          <w:szCs w:val="21"/>
        </w:rPr>
        <w:t>Para las entidades que tengan un presupuesto anual superior o igual a 1.200.000 salarios mínimos legales mensuales, la menor cuantía será hasta 1.000 salarios mínimos legales mensuales. </w:t>
      </w:r>
    </w:p>
    <w:p w14:paraId="4BF99D08" w14:textId="77777777" w:rsidR="00CD5196" w:rsidRPr="008E37FB" w:rsidRDefault="00CD5196" w:rsidP="00CD5196">
      <w:pPr>
        <w:spacing w:after="0" w:line="276" w:lineRule="auto"/>
        <w:ind w:left="709" w:right="709"/>
        <w:jc w:val="both"/>
        <w:rPr>
          <w:rFonts w:ascii="Verdana" w:hAnsi="Verdana"/>
          <w:sz w:val="21"/>
          <w:szCs w:val="21"/>
        </w:rPr>
      </w:pPr>
      <w:r w:rsidRPr="008E37FB">
        <w:rPr>
          <w:rFonts w:ascii="Verdana" w:hAnsi="Verdana"/>
          <w:sz w:val="21"/>
          <w:szCs w:val="21"/>
        </w:rPr>
        <w:t>  </w:t>
      </w:r>
    </w:p>
    <w:p w14:paraId="420A0C74" w14:textId="77777777" w:rsidR="00CD5196" w:rsidRPr="008E37FB" w:rsidRDefault="00CD5196" w:rsidP="00CD5196">
      <w:pPr>
        <w:spacing w:after="0" w:line="276" w:lineRule="auto"/>
        <w:ind w:left="709" w:right="709"/>
        <w:jc w:val="both"/>
        <w:rPr>
          <w:rFonts w:ascii="Verdana" w:hAnsi="Verdana"/>
          <w:sz w:val="21"/>
          <w:szCs w:val="21"/>
        </w:rPr>
      </w:pPr>
      <w:r w:rsidRPr="008E37FB">
        <w:rPr>
          <w:rFonts w:ascii="Verdana" w:hAnsi="Verdana"/>
          <w:sz w:val="21"/>
          <w:szCs w:val="21"/>
        </w:rPr>
        <w:t>Las que tengan un presupuesto anual superior o igual a 850.000 salarios mínimos legales mensuales e inferiores a 1.200.000 salarios mínimos legales mensuales, la menor cuantía será hasta 850 salarios mínimos legales mensuales. </w:t>
      </w:r>
    </w:p>
    <w:p w14:paraId="168CA219" w14:textId="77777777" w:rsidR="00CD5196" w:rsidRPr="008E37FB" w:rsidRDefault="00CD5196" w:rsidP="00CD5196">
      <w:pPr>
        <w:spacing w:after="0" w:line="276" w:lineRule="auto"/>
        <w:ind w:left="709" w:right="709"/>
        <w:jc w:val="both"/>
        <w:rPr>
          <w:rFonts w:ascii="Verdana" w:hAnsi="Verdana"/>
          <w:sz w:val="21"/>
          <w:szCs w:val="21"/>
        </w:rPr>
      </w:pPr>
      <w:r w:rsidRPr="008E37FB">
        <w:rPr>
          <w:rFonts w:ascii="Verdana" w:hAnsi="Verdana"/>
          <w:sz w:val="21"/>
          <w:szCs w:val="21"/>
        </w:rPr>
        <w:t>  </w:t>
      </w:r>
    </w:p>
    <w:p w14:paraId="2C335866" w14:textId="77777777" w:rsidR="00CD5196" w:rsidRPr="008E37FB" w:rsidRDefault="00CD5196" w:rsidP="00CD5196">
      <w:pPr>
        <w:spacing w:after="0" w:line="276" w:lineRule="auto"/>
        <w:ind w:left="709" w:right="709"/>
        <w:jc w:val="both"/>
        <w:rPr>
          <w:rFonts w:ascii="Verdana" w:hAnsi="Verdana"/>
          <w:sz w:val="21"/>
          <w:szCs w:val="21"/>
        </w:rPr>
      </w:pPr>
      <w:r w:rsidRPr="008E37FB">
        <w:rPr>
          <w:rFonts w:ascii="Verdana" w:hAnsi="Verdana"/>
          <w:sz w:val="21"/>
          <w:szCs w:val="21"/>
        </w:rPr>
        <w:t>Las que tengan un presupuesto anual superior o igual a 400.000 salarios mínimos legales mensuales e inferior a 850.000 salarios mínimos legales mensuales, la menor cuantía será hasta 650 salarios mínimos legales mensuales. </w:t>
      </w:r>
    </w:p>
    <w:p w14:paraId="48D30730" w14:textId="77777777" w:rsidR="00CD5196" w:rsidRPr="008E37FB" w:rsidRDefault="00CD5196" w:rsidP="00CD5196">
      <w:pPr>
        <w:spacing w:after="0" w:line="276" w:lineRule="auto"/>
        <w:ind w:left="709" w:right="709"/>
        <w:jc w:val="both"/>
        <w:rPr>
          <w:rFonts w:ascii="Verdana" w:hAnsi="Verdana"/>
          <w:sz w:val="21"/>
          <w:szCs w:val="21"/>
        </w:rPr>
      </w:pPr>
      <w:r w:rsidRPr="008E37FB">
        <w:rPr>
          <w:rFonts w:ascii="Verdana" w:hAnsi="Verdana"/>
          <w:sz w:val="21"/>
          <w:szCs w:val="21"/>
        </w:rPr>
        <w:t>  </w:t>
      </w:r>
    </w:p>
    <w:p w14:paraId="62C796E0" w14:textId="77777777" w:rsidR="00CD5196" w:rsidRPr="008E37FB" w:rsidRDefault="00CD5196" w:rsidP="00CD5196">
      <w:pPr>
        <w:spacing w:after="0" w:line="276" w:lineRule="auto"/>
        <w:ind w:left="709" w:right="709"/>
        <w:jc w:val="both"/>
        <w:rPr>
          <w:rFonts w:ascii="Verdana" w:hAnsi="Verdana"/>
          <w:sz w:val="21"/>
          <w:szCs w:val="21"/>
        </w:rPr>
      </w:pPr>
      <w:r w:rsidRPr="008E37FB">
        <w:rPr>
          <w:rFonts w:ascii="Verdana" w:hAnsi="Verdana"/>
          <w:sz w:val="21"/>
          <w:szCs w:val="21"/>
        </w:rPr>
        <w:t>Las que tengan un presupuesto anual superior o igual a 120.000 salarios mínimos legales mensuales e inferior a 400.000 salarios mínimos legales mensuales, la menor cuantía será hasta 450 salarios mínimos legales mensuales. </w:t>
      </w:r>
    </w:p>
    <w:p w14:paraId="1DF3F26F" w14:textId="77777777" w:rsidR="00CD5196" w:rsidRPr="008E37FB" w:rsidRDefault="00CD5196" w:rsidP="00CD5196">
      <w:pPr>
        <w:spacing w:after="0" w:line="276" w:lineRule="auto"/>
        <w:ind w:left="709" w:right="709"/>
        <w:jc w:val="both"/>
        <w:rPr>
          <w:rFonts w:ascii="Verdana" w:hAnsi="Verdana"/>
          <w:sz w:val="21"/>
          <w:szCs w:val="21"/>
        </w:rPr>
      </w:pPr>
      <w:r w:rsidRPr="008E37FB">
        <w:rPr>
          <w:rFonts w:ascii="Verdana" w:hAnsi="Verdana"/>
          <w:sz w:val="21"/>
          <w:szCs w:val="21"/>
        </w:rPr>
        <w:lastRenderedPageBreak/>
        <w:t>  </w:t>
      </w:r>
    </w:p>
    <w:p w14:paraId="32A844BF" w14:textId="77777777" w:rsidR="00CD5196" w:rsidRPr="008E37FB" w:rsidRDefault="00CD5196" w:rsidP="00CD5196">
      <w:pPr>
        <w:spacing w:after="0" w:line="276" w:lineRule="auto"/>
        <w:ind w:left="709" w:right="709"/>
        <w:jc w:val="both"/>
        <w:rPr>
          <w:rFonts w:ascii="Verdana" w:hAnsi="Verdana"/>
          <w:sz w:val="21"/>
          <w:szCs w:val="21"/>
        </w:rPr>
      </w:pPr>
      <w:r w:rsidRPr="008E37FB">
        <w:rPr>
          <w:rFonts w:ascii="Verdana" w:hAnsi="Verdana"/>
          <w:sz w:val="21"/>
          <w:szCs w:val="21"/>
        </w:rPr>
        <w:t>Las que tengan un presupuesto anual inferior a 120.000 salarios mínimos legales mensuales, la menor cuantía será hasta 280 salarios mínimos legales mensuales; </w:t>
      </w:r>
    </w:p>
    <w:p w14:paraId="7C62249B" w14:textId="77777777" w:rsidR="00CD5196" w:rsidRPr="008E37FB" w:rsidRDefault="00CD5196" w:rsidP="00CD5196">
      <w:pPr>
        <w:spacing w:after="0" w:line="276" w:lineRule="auto"/>
        <w:ind w:left="709" w:right="709"/>
        <w:jc w:val="both"/>
        <w:rPr>
          <w:rFonts w:ascii="Verdana" w:hAnsi="Verdana"/>
          <w:sz w:val="21"/>
          <w:szCs w:val="21"/>
        </w:rPr>
      </w:pPr>
      <w:r w:rsidRPr="008E37FB">
        <w:rPr>
          <w:rFonts w:ascii="Verdana" w:hAnsi="Verdana"/>
          <w:sz w:val="21"/>
          <w:szCs w:val="21"/>
        </w:rPr>
        <w:t>  </w:t>
      </w:r>
    </w:p>
    <w:p w14:paraId="5C234A9D" w14:textId="77777777" w:rsidR="00CD5196" w:rsidRDefault="00CD5196" w:rsidP="00CD5196">
      <w:pPr>
        <w:spacing w:after="0" w:line="276" w:lineRule="auto"/>
        <w:ind w:left="709" w:right="709"/>
        <w:jc w:val="both"/>
        <w:rPr>
          <w:rFonts w:ascii="Verdana" w:hAnsi="Verdana"/>
          <w:sz w:val="21"/>
          <w:szCs w:val="21"/>
        </w:rPr>
      </w:pPr>
      <w:r w:rsidRPr="008E37FB">
        <w:rPr>
          <w:rFonts w:ascii="Verdana" w:hAnsi="Verdana"/>
          <w:sz w:val="21"/>
          <w:szCs w:val="21"/>
        </w:rPr>
        <w:t>c) Sin perjuicio de lo dispuesto en la Ley 100 de 1993 y en la Ley 1122 de 2007, la celebración de contratos para la prestación de servicios de salud. El reglamento interno correspondiente fijará las garantías a cargo de los contratistas. Los pagos correspondientes se podrán hacer mediante encargos fiduciarios;</w:t>
      </w:r>
      <w:r>
        <w:rPr>
          <w:rFonts w:ascii="Verdana" w:hAnsi="Verdana"/>
          <w:sz w:val="21"/>
          <w:szCs w:val="21"/>
        </w:rPr>
        <w:t xml:space="preserve"> (…)”</w:t>
      </w:r>
    </w:p>
    <w:p w14:paraId="50F25010" w14:textId="77777777" w:rsidR="00CD5196" w:rsidRDefault="00CD5196" w:rsidP="00CD5196">
      <w:pPr>
        <w:spacing w:after="0" w:line="276" w:lineRule="auto"/>
        <w:ind w:right="709"/>
        <w:jc w:val="both"/>
        <w:rPr>
          <w:rFonts w:ascii="Verdana" w:hAnsi="Verdana"/>
          <w:sz w:val="21"/>
          <w:szCs w:val="21"/>
        </w:rPr>
      </w:pPr>
    </w:p>
    <w:p w14:paraId="7AF64648" w14:textId="77777777" w:rsidR="00CD5196" w:rsidRDefault="00CD5196" w:rsidP="00CD5196">
      <w:pPr>
        <w:spacing w:line="276" w:lineRule="auto"/>
        <w:ind w:firstLine="708"/>
        <w:jc w:val="both"/>
        <w:rPr>
          <w:rFonts w:ascii="Verdana" w:hAnsi="Verdana"/>
        </w:rPr>
      </w:pPr>
      <w:r w:rsidRPr="008E37FB">
        <w:rPr>
          <w:rFonts w:ascii="Verdana" w:hAnsi="Verdana"/>
        </w:rPr>
        <w:t> Con lo anterior</w:t>
      </w:r>
      <w:r>
        <w:rPr>
          <w:rFonts w:ascii="Verdana" w:hAnsi="Verdana"/>
        </w:rPr>
        <w:t xml:space="preserve"> se observa la diferencia entre la contratación de menor cuantía y la </w:t>
      </w:r>
      <w:r w:rsidRPr="008E37FB">
        <w:rPr>
          <w:rFonts w:ascii="Verdana" w:hAnsi="Verdana"/>
        </w:rPr>
        <w:t>celebración de contratos para la prestación de servicios de salud</w:t>
      </w:r>
      <w:r>
        <w:rPr>
          <w:rFonts w:ascii="Verdana" w:hAnsi="Verdana"/>
        </w:rPr>
        <w:t>, aunque ambas pertenecen a la modalidad de selección abreviada, proceden por causas diferentes, ya que la primera depende de los recursos que se van a ejecutar y el presupuesto anual de la entidad, y la segunda depende del objeto del contrato, independientemente de los recursos a ejecutar. Inclusive el Decreto 1082 de 2015 las regula en artículos diferentes, en el artículo</w:t>
      </w:r>
      <w:r w:rsidRPr="004B23EE">
        <w:rPr>
          <w:rFonts w:ascii="Verdana" w:hAnsi="Verdana"/>
        </w:rPr>
        <w:t xml:space="preserve"> 2.2.1.2.1.2.20. </w:t>
      </w:r>
      <w:r>
        <w:rPr>
          <w:rFonts w:ascii="Verdana" w:hAnsi="Verdana"/>
        </w:rPr>
        <w:t>se establece el p</w:t>
      </w:r>
      <w:r w:rsidRPr="004B23EE">
        <w:rPr>
          <w:rFonts w:ascii="Verdana" w:hAnsi="Verdana"/>
        </w:rPr>
        <w:t>rocedimiento para la selección abreviada de menor cuantía</w:t>
      </w:r>
      <w:r>
        <w:rPr>
          <w:rFonts w:ascii="Verdana" w:hAnsi="Verdana"/>
        </w:rPr>
        <w:t xml:space="preserve">, y el artículo </w:t>
      </w:r>
      <w:r w:rsidRPr="004B23EE">
        <w:rPr>
          <w:rFonts w:ascii="Verdana" w:hAnsi="Verdana"/>
        </w:rPr>
        <w:t>2.2.1.2.1.2.21.</w:t>
      </w:r>
      <w:r>
        <w:rPr>
          <w:rFonts w:ascii="Verdana" w:hAnsi="Verdana"/>
        </w:rPr>
        <w:t xml:space="preserve"> dispone lo pertinente para los c</w:t>
      </w:r>
      <w:r w:rsidRPr="004B23EE">
        <w:rPr>
          <w:rFonts w:ascii="Verdana" w:hAnsi="Verdana"/>
        </w:rPr>
        <w:t>ontratos de prestación de servicios de salud.</w:t>
      </w:r>
    </w:p>
    <w:p w14:paraId="54F33B81" w14:textId="77777777" w:rsidR="00CD5196" w:rsidRPr="007C5C70" w:rsidRDefault="00CD5196" w:rsidP="00CD5196">
      <w:pPr>
        <w:spacing w:after="120" w:line="276" w:lineRule="auto"/>
        <w:ind w:firstLine="708"/>
        <w:jc w:val="both"/>
        <w:rPr>
          <w:rFonts w:ascii="Verdana" w:eastAsia="Calibri" w:hAnsi="Verdana" w:cs="Arial"/>
          <w:lang w:val="es-ES_tradnl"/>
        </w:rPr>
      </w:pPr>
      <w:r>
        <w:rPr>
          <w:rFonts w:ascii="Verdana" w:hAnsi="Verdana"/>
        </w:rPr>
        <w:t xml:space="preserve">Por otra parte, </w:t>
      </w:r>
      <w:bookmarkStart w:id="1" w:name="_Hlk100131579"/>
      <w:r>
        <w:rPr>
          <w:rFonts w:ascii="Verdana" w:eastAsia="Calibri" w:hAnsi="Verdana" w:cs="Arial"/>
          <w:lang w:val="es-ES_tradnl"/>
        </w:rPr>
        <w:t>l</w:t>
      </w:r>
      <w:r w:rsidRPr="007C5C70">
        <w:rPr>
          <w:rFonts w:ascii="Verdana" w:eastAsia="Calibri" w:hAnsi="Verdana" w:cs="Arial"/>
          <w:lang w:val="es-ES_tradnl"/>
        </w:rPr>
        <w:t>a mínima cuantía es una modalidad de selección en virtud de la cual la entidad estatal realiza una convocatoria pública para recibir ofertas de bienes, obras o servicios cuyo valor no excede el diez por ciento –10%– de la menor cuantía. Esta modalidad de selección fue creada en el 2011 por la Ley 1450, modificada por el artículo 94 de la Ley 1474 de 2011 –que adicionó el numeral 5º al artículo 2 de la Ley 1150 de 2007– y posteriormente por la Ley 2069 de 2020, estableciendo que el factor determinante para llevar a cabo tal procedimiento es la cuantía –calculada como presupuesto oficial a partir del estudio del sector–, “independientemente de su objeto”</w:t>
      </w:r>
      <w:r w:rsidRPr="007C5C70">
        <w:rPr>
          <w:rFonts w:ascii="Verdana" w:eastAsia="Calibri" w:hAnsi="Verdana" w:cs="Arial"/>
          <w:vertAlign w:val="superscript"/>
          <w:lang w:val="es-ES_tradnl"/>
        </w:rPr>
        <w:footnoteReference w:id="10"/>
      </w:r>
      <w:r w:rsidRPr="007C5C70">
        <w:rPr>
          <w:rFonts w:ascii="Verdana" w:eastAsia="Calibri" w:hAnsi="Verdana" w:cs="Arial"/>
          <w:lang w:val="es-ES_tradnl"/>
        </w:rPr>
        <w:t>.</w:t>
      </w:r>
    </w:p>
    <w:bookmarkEnd w:id="1"/>
    <w:p w14:paraId="123EADBD" w14:textId="77777777" w:rsidR="00CD5196" w:rsidRPr="007C5C70" w:rsidRDefault="00CD5196" w:rsidP="00CD5196">
      <w:pPr>
        <w:tabs>
          <w:tab w:val="left" w:pos="709"/>
        </w:tabs>
        <w:spacing w:after="120" w:line="276" w:lineRule="auto"/>
        <w:ind w:firstLine="709"/>
        <w:jc w:val="both"/>
        <w:rPr>
          <w:rFonts w:ascii="Verdana" w:eastAsia="Calibri" w:hAnsi="Verdana" w:cs="Arial"/>
          <w:lang w:val="es-ES_tradnl"/>
        </w:rPr>
      </w:pPr>
      <w:r w:rsidRPr="007C5C70">
        <w:rPr>
          <w:rFonts w:ascii="Verdana" w:eastAsia="Calibri" w:hAnsi="Verdana" w:cs="Arial"/>
          <w:lang w:val="es-ES_tradnl"/>
        </w:rPr>
        <w:t>Dicho de otro modo, la mínima cuantía es un procedimiento de selección “especial”</w:t>
      </w:r>
      <w:r w:rsidRPr="007C5C70">
        <w:rPr>
          <w:rFonts w:ascii="Verdana" w:eastAsia="Calibri" w:hAnsi="Verdana" w:cs="Arial"/>
          <w:vertAlign w:val="superscript"/>
          <w:lang w:val="es-ES_tradnl"/>
        </w:rPr>
        <w:footnoteReference w:id="11"/>
      </w:r>
      <w:r w:rsidRPr="007C5C70">
        <w:rPr>
          <w:rFonts w:ascii="Verdana" w:eastAsia="Calibri" w:hAnsi="Verdana" w:cs="Arial"/>
          <w:lang w:val="es-ES_tradnl"/>
        </w:rPr>
        <w:t xml:space="preserve">, porque es una excepción a la regla general constituida por la licitación pública. Aunque ambas modalidades implican un llamado general a presentar ofertas, efectuado por la entidad estatal interesada en contratar, la </w:t>
      </w:r>
      <w:r w:rsidRPr="007C5C70">
        <w:rPr>
          <w:rFonts w:ascii="Verdana" w:eastAsia="Calibri" w:hAnsi="Verdana" w:cs="Arial"/>
          <w:lang w:val="es-ES_tradnl"/>
        </w:rPr>
        <w:lastRenderedPageBreak/>
        <w:t>mínima cuantía es distinta de la licitación en otros aspectos, como su conducencia y su procedimiento: lo primero, porque solo procede por razón de una cuantía específica</w:t>
      </w:r>
      <w:r w:rsidRPr="007C5C70">
        <w:rPr>
          <w:rFonts w:ascii="Verdana" w:eastAsia="Calibri" w:hAnsi="Verdana" w:cs="Arial"/>
          <w:vertAlign w:val="superscript"/>
          <w:lang w:val="es-ES_tradnl"/>
        </w:rPr>
        <w:footnoteReference w:id="12"/>
      </w:r>
      <w:r w:rsidRPr="007C5C70">
        <w:rPr>
          <w:rFonts w:ascii="Verdana" w:eastAsia="Calibri" w:hAnsi="Verdana" w:cs="Arial"/>
          <w:lang w:val="es-ES_tradnl"/>
        </w:rPr>
        <w:t>, y lo segundo, porque sus requisitos, etapas y términos son especiales.</w:t>
      </w:r>
    </w:p>
    <w:p w14:paraId="099BF864" w14:textId="77777777" w:rsidR="00CD5196" w:rsidRPr="007C5C70" w:rsidRDefault="00CD5196" w:rsidP="00CD5196">
      <w:pPr>
        <w:tabs>
          <w:tab w:val="left" w:pos="709"/>
        </w:tabs>
        <w:spacing w:after="120" w:line="276" w:lineRule="auto"/>
        <w:ind w:firstLine="709"/>
        <w:jc w:val="both"/>
        <w:rPr>
          <w:rFonts w:ascii="Verdana" w:eastAsia="Calibri" w:hAnsi="Verdana" w:cs="Arial"/>
          <w:color w:val="000000"/>
          <w:lang w:val="es-ES"/>
        </w:rPr>
      </w:pPr>
      <w:r w:rsidRPr="007C5C70">
        <w:rPr>
          <w:rFonts w:ascii="Verdana" w:eastAsia="Calibri" w:hAnsi="Verdana" w:cs="Arial"/>
          <w:color w:val="000000"/>
          <w:lang w:val="es-ES"/>
        </w:rPr>
        <w:t xml:space="preserve">Por su parte, el 31 de diciembre de 2020 fue expedida la Ley 2069 de 2020 –conocida como Ley de Emprendimiento–, cuyo artículo 30 modificó el numeral 5 del artículo 2 de la Ley 1150 de 2007, el cual regula la mínima cuantía. Esta norma dispuso aspectos del procedimiento como: i) el término mínimo para publicar la invitación, </w:t>
      </w:r>
      <w:proofErr w:type="spellStart"/>
      <w:r w:rsidRPr="007C5C70">
        <w:rPr>
          <w:rFonts w:ascii="Verdana" w:eastAsia="Calibri" w:hAnsi="Verdana" w:cs="Arial"/>
          <w:color w:val="000000"/>
          <w:lang w:val="es-ES"/>
        </w:rPr>
        <w:t>ii</w:t>
      </w:r>
      <w:proofErr w:type="spellEnd"/>
      <w:r w:rsidRPr="007C5C70">
        <w:rPr>
          <w:rFonts w:ascii="Verdana" w:eastAsia="Calibri" w:hAnsi="Verdana" w:cs="Arial"/>
          <w:color w:val="000000"/>
          <w:lang w:val="es-ES"/>
        </w:rPr>
        <w:t xml:space="preserve">) el plazo mínimo de recepción de las ofertas, </w:t>
      </w:r>
      <w:proofErr w:type="spellStart"/>
      <w:r w:rsidRPr="007C5C70">
        <w:rPr>
          <w:rFonts w:ascii="Verdana" w:eastAsia="Calibri" w:hAnsi="Verdana" w:cs="Arial"/>
          <w:color w:val="000000"/>
          <w:lang w:val="es-ES"/>
        </w:rPr>
        <w:t>iii</w:t>
      </w:r>
      <w:proofErr w:type="spellEnd"/>
      <w:r w:rsidRPr="007C5C70">
        <w:rPr>
          <w:rFonts w:ascii="Verdana" w:eastAsia="Calibri" w:hAnsi="Verdana" w:cs="Arial"/>
          <w:color w:val="000000"/>
          <w:lang w:val="es-ES"/>
        </w:rPr>
        <w:t xml:space="preserve">) el factor de evaluación que define la selección del proponente y </w:t>
      </w:r>
      <w:proofErr w:type="spellStart"/>
      <w:r w:rsidRPr="007C5C70">
        <w:rPr>
          <w:rFonts w:ascii="Verdana" w:eastAsia="Calibri" w:hAnsi="Verdana" w:cs="Arial"/>
          <w:color w:val="000000"/>
          <w:lang w:val="es-ES"/>
        </w:rPr>
        <w:t>iv</w:t>
      </w:r>
      <w:proofErr w:type="spellEnd"/>
      <w:r w:rsidRPr="007C5C70">
        <w:rPr>
          <w:rFonts w:ascii="Verdana" w:eastAsia="Calibri" w:hAnsi="Verdana" w:cs="Arial"/>
          <w:color w:val="000000"/>
          <w:lang w:val="es-ES"/>
        </w:rPr>
        <w:t>) el perfeccionamiento del contrato.</w:t>
      </w:r>
    </w:p>
    <w:p w14:paraId="3F94C7CE" w14:textId="77777777" w:rsidR="00CD5196" w:rsidRPr="007C5C70" w:rsidRDefault="00CD5196" w:rsidP="00CD5196">
      <w:pPr>
        <w:tabs>
          <w:tab w:val="left" w:pos="709"/>
        </w:tabs>
        <w:spacing w:after="120" w:line="276" w:lineRule="auto"/>
        <w:ind w:firstLine="709"/>
        <w:jc w:val="both"/>
        <w:rPr>
          <w:rFonts w:ascii="Verdana" w:eastAsia="Calibri" w:hAnsi="Verdana" w:cs="Arial"/>
          <w:color w:val="000000"/>
          <w:lang w:val="es-ES"/>
        </w:rPr>
      </w:pPr>
      <w:r w:rsidRPr="007C5C70">
        <w:rPr>
          <w:rFonts w:ascii="Verdana" w:eastAsia="Calibri" w:hAnsi="Verdana" w:cs="Arial"/>
          <w:color w:val="000000"/>
          <w:lang w:val="es-ES"/>
        </w:rPr>
        <w:t>Adicionalmente, se expidió el Decreto 1860 del 24 de diciembre de 2021, “Por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Entre los aspectos reglamentados por el decreto indicado se encuentra el procedimiento de mínima cuantía. De esta manera, el artículo 2 modifica la Subsección 5 de la Sección 1 del Capítulo 2 del Título 1 de la Parte 2 del Libro 2 del Decreto 1082 de 2015, que se titula mínima cuantía, por lo que reglamenta esta modalidad de selección con fundamento en lo establecido en el artículo 30 de la Ley 2069 de 2020.</w:t>
      </w:r>
    </w:p>
    <w:p w14:paraId="49C1FB82" w14:textId="77777777" w:rsidR="00CD5196" w:rsidRPr="007C5C70" w:rsidRDefault="00CD5196" w:rsidP="00CD5196">
      <w:pPr>
        <w:tabs>
          <w:tab w:val="left" w:pos="709"/>
        </w:tabs>
        <w:spacing w:after="120" w:line="276" w:lineRule="auto"/>
        <w:jc w:val="both"/>
        <w:rPr>
          <w:rFonts w:ascii="Verdana" w:eastAsia="Calibri" w:hAnsi="Verdana" w:cs="Arial"/>
          <w:color w:val="000000"/>
          <w:lang w:val="es-ES"/>
        </w:rPr>
      </w:pPr>
      <w:r w:rsidRPr="007C5C70">
        <w:rPr>
          <w:rFonts w:ascii="Verdana" w:eastAsia="Calibri" w:hAnsi="Verdana" w:cs="Arial"/>
          <w:bCs/>
          <w:color w:val="000000"/>
          <w:lang w:val="es-ES_tradnl"/>
        </w:rPr>
        <w:tab/>
      </w:r>
      <w:r w:rsidRPr="007C5C70">
        <w:rPr>
          <w:rFonts w:ascii="Verdana" w:eastAsia="Calibri" w:hAnsi="Verdana" w:cs="Arial"/>
          <w:color w:val="000000"/>
          <w:lang w:val="es-ES"/>
        </w:rPr>
        <w:t>Teniendo en cuenta lo anterior, la nueva Subsección 5 a que se hizo referencia contiene los siguientes artículos: i) 2.2.1.2.1.5.1. que se ocupa de desarrollar el contenido de los estudios previos para la contratación de mínima cuantía</w:t>
      </w:r>
      <w:r w:rsidRPr="007C5C70">
        <w:rPr>
          <w:rFonts w:ascii="Verdana" w:eastAsia="Calibri" w:hAnsi="Verdana" w:cs="Arial"/>
          <w:color w:val="000000"/>
          <w:vertAlign w:val="superscript"/>
          <w:lang w:val="es-ES"/>
        </w:rPr>
        <w:footnoteReference w:id="13"/>
      </w:r>
      <w:r w:rsidRPr="007C5C70">
        <w:rPr>
          <w:rFonts w:ascii="Verdana" w:eastAsia="Calibri" w:hAnsi="Verdana" w:cs="Arial"/>
          <w:color w:val="000000"/>
          <w:lang w:val="es-ES"/>
        </w:rPr>
        <w:t xml:space="preserve">. </w:t>
      </w:r>
      <w:proofErr w:type="spellStart"/>
      <w:r w:rsidRPr="007C5C70">
        <w:rPr>
          <w:rFonts w:ascii="Verdana" w:eastAsia="Calibri" w:hAnsi="Verdana" w:cs="Arial"/>
          <w:color w:val="000000"/>
          <w:lang w:val="es-ES"/>
        </w:rPr>
        <w:t>ii</w:t>
      </w:r>
      <w:proofErr w:type="spellEnd"/>
      <w:r w:rsidRPr="007C5C70">
        <w:rPr>
          <w:rFonts w:ascii="Verdana" w:eastAsia="Calibri" w:hAnsi="Verdana" w:cs="Arial"/>
          <w:color w:val="000000"/>
          <w:lang w:val="es-ES"/>
        </w:rPr>
        <w:t xml:space="preserve">) 2.2.1.2.1.5.2. que contiene el procedimiento general de la mínima cuantía, señalando el contenido mínimo de la “invitación” y las distintas etapas </w:t>
      </w:r>
      <w:r w:rsidRPr="007C5C70">
        <w:rPr>
          <w:rFonts w:ascii="Verdana" w:eastAsia="Calibri" w:hAnsi="Verdana" w:cs="Arial"/>
          <w:color w:val="000000"/>
          <w:lang w:val="es-ES"/>
        </w:rPr>
        <w:lastRenderedPageBreak/>
        <w:t xml:space="preserve">y reglas que estructuran esta modalidad de selección, incluyendo la forma en que procederán las convocatorias limitadas a </w:t>
      </w:r>
      <w:proofErr w:type="spellStart"/>
      <w:r w:rsidRPr="007C5C70">
        <w:rPr>
          <w:rFonts w:ascii="Verdana" w:eastAsia="Calibri" w:hAnsi="Verdana" w:cs="Arial"/>
          <w:color w:val="000000"/>
          <w:lang w:val="es-ES"/>
        </w:rPr>
        <w:t>mipymes</w:t>
      </w:r>
      <w:proofErr w:type="spellEnd"/>
      <w:r w:rsidRPr="007C5C70">
        <w:rPr>
          <w:rFonts w:ascii="Verdana" w:eastAsia="Calibri" w:hAnsi="Verdana" w:cs="Arial"/>
          <w:color w:val="000000"/>
          <w:lang w:val="es-ES"/>
        </w:rPr>
        <w:t>, de acuerdo con el mandato del parágrafo 1 del artículo 30 de la Ley 2069 de 2020</w:t>
      </w:r>
      <w:r w:rsidRPr="007C5C70">
        <w:rPr>
          <w:rFonts w:ascii="Verdana" w:eastAsia="Calibri" w:hAnsi="Verdana" w:cs="Arial"/>
          <w:color w:val="000000"/>
          <w:vertAlign w:val="superscript"/>
          <w:lang w:val="es-ES"/>
        </w:rPr>
        <w:footnoteReference w:id="14"/>
      </w:r>
      <w:r w:rsidRPr="007C5C70">
        <w:rPr>
          <w:rFonts w:ascii="Verdana" w:eastAsia="Calibri" w:hAnsi="Verdana" w:cs="Arial"/>
          <w:color w:val="000000"/>
          <w:lang w:val="es-ES"/>
        </w:rPr>
        <w:t xml:space="preserve">. </w:t>
      </w:r>
      <w:proofErr w:type="spellStart"/>
      <w:r w:rsidRPr="007C5C70">
        <w:rPr>
          <w:rFonts w:ascii="Verdana" w:eastAsia="Calibri" w:hAnsi="Verdana" w:cs="Arial"/>
          <w:color w:val="000000"/>
          <w:lang w:val="es-ES"/>
        </w:rPr>
        <w:t>iii</w:t>
      </w:r>
      <w:proofErr w:type="spellEnd"/>
      <w:r w:rsidRPr="007C5C70">
        <w:rPr>
          <w:rFonts w:ascii="Verdana" w:eastAsia="Calibri" w:hAnsi="Verdana" w:cs="Arial"/>
          <w:color w:val="000000"/>
          <w:lang w:val="es-ES"/>
        </w:rPr>
        <w:t xml:space="preserve">) 2.2.1.2.1.5.3. que regula un procedimiento especial para las adquisiciones en grandes almacenes cuando se trate de mínima cuantía. </w:t>
      </w:r>
      <w:proofErr w:type="spellStart"/>
      <w:r w:rsidRPr="007C5C70">
        <w:rPr>
          <w:rFonts w:ascii="Verdana" w:eastAsia="Calibri" w:hAnsi="Verdana" w:cs="Arial"/>
          <w:color w:val="000000"/>
          <w:lang w:val="es-ES"/>
        </w:rPr>
        <w:t>iv</w:t>
      </w:r>
      <w:proofErr w:type="spellEnd"/>
      <w:r w:rsidRPr="007C5C70">
        <w:rPr>
          <w:rFonts w:ascii="Verdana" w:eastAsia="Calibri" w:hAnsi="Verdana" w:cs="Arial"/>
          <w:color w:val="000000"/>
          <w:lang w:val="es-ES"/>
        </w:rPr>
        <w:t xml:space="preserve">) 2.2.1.2.1.5.4. el cual establece la posibilidad de que la Agencia Nacional de Contratación Pública – Colombia Compra Eficiente cree y establezca las reglas para la utilización de Instrumentos de agregación de demanda en la Tienda Virtual del Estado Colombiano para adquisiciones hasta el monto de la mínima cuantía con </w:t>
      </w:r>
      <w:proofErr w:type="spellStart"/>
      <w:r w:rsidRPr="007C5C70">
        <w:rPr>
          <w:rFonts w:ascii="Verdana" w:eastAsia="Calibri" w:hAnsi="Verdana" w:cs="Arial"/>
          <w:color w:val="000000"/>
          <w:lang w:val="es-ES"/>
        </w:rPr>
        <w:t>Mipyme</w:t>
      </w:r>
      <w:proofErr w:type="spellEnd"/>
      <w:r w:rsidRPr="007C5C70">
        <w:rPr>
          <w:rFonts w:ascii="Verdana" w:eastAsia="Calibri" w:hAnsi="Verdana" w:cs="Arial"/>
          <w:color w:val="000000"/>
          <w:lang w:val="es-ES"/>
        </w:rPr>
        <w:t xml:space="preserve"> y con grandes almacenes. Y v) 2.2.1.2.1.5.5. el cual establece que la entidad estatal es libre de exigir o no garantías en el proceso de selección de mínima cuantía y en la adquisición de “grandes almacenes”.</w:t>
      </w:r>
    </w:p>
    <w:p w14:paraId="31DA839E" w14:textId="77777777" w:rsidR="00CD5196" w:rsidRPr="007C5C70" w:rsidRDefault="00CD5196" w:rsidP="00CD5196">
      <w:pPr>
        <w:tabs>
          <w:tab w:val="left" w:pos="709"/>
        </w:tabs>
        <w:spacing w:after="120" w:line="276" w:lineRule="auto"/>
        <w:jc w:val="both"/>
        <w:rPr>
          <w:rFonts w:ascii="Verdana" w:eastAsia="Calibri" w:hAnsi="Verdana" w:cs="Arial"/>
          <w:bCs/>
          <w:color w:val="000000"/>
          <w:lang w:val="es-ES_tradnl"/>
        </w:rPr>
      </w:pPr>
      <w:r w:rsidRPr="007C5C70">
        <w:rPr>
          <w:rFonts w:ascii="Verdana" w:eastAsia="Calibri" w:hAnsi="Verdana" w:cs="Arial"/>
          <w:bCs/>
          <w:color w:val="000000"/>
          <w:lang w:val="es-ES_tradnl"/>
        </w:rPr>
        <w:tab/>
        <w:t xml:space="preserve">De esta manera, el artículo 2 del Decreto 1860 de 2021, que modifica los artículos del Decreto 1082 de 2015 expuestos en el párrafo anterior, constituye la reglamentación del artículo 30 de la Ley 2069 de 2020, al desarrollar las reglas aplicables a esta modalidad de selección. </w:t>
      </w:r>
    </w:p>
    <w:p w14:paraId="26F812A0" w14:textId="77777777" w:rsidR="00CD5196" w:rsidRPr="007C5C70" w:rsidRDefault="00CD5196" w:rsidP="00CD5196">
      <w:pPr>
        <w:tabs>
          <w:tab w:val="left" w:pos="709"/>
        </w:tabs>
        <w:spacing w:after="120" w:line="276" w:lineRule="auto"/>
        <w:jc w:val="both"/>
        <w:rPr>
          <w:rFonts w:ascii="Verdana" w:eastAsia="Calibri" w:hAnsi="Verdana" w:cs="Arial"/>
          <w:color w:val="000000"/>
          <w:lang w:val="es-ES_tradnl"/>
        </w:rPr>
      </w:pPr>
      <w:r w:rsidRPr="007C5C70">
        <w:rPr>
          <w:rFonts w:ascii="Verdana" w:eastAsia="Calibri" w:hAnsi="Verdana" w:cs="Arial"/>
          <w:color w:val="000000"/>
          <w:lang w:val="es-ES_tradnl"/>
        </w:rPr>
        <w:tab/>
        <w:t>Ahora bien, vistas las anteriores vicisitudes normativas que rodean la modalidad de selección de mínima cuantía, y con fundamento en los artículos 2.2.1.2.1.5.1. al 2.2.1.2.1.5.4 del Decreto 1082 de 2015 modificados, como se ha venido exponiendo, por el artículo 2 del Decreto 1860 de 2021, resulta imperante sintetizar los requisitos en el procedimiento de esta modalidad de selección de la siguiente forma:</w:t>
      </w:r>
    </w:p>
    <w:p w14:paraId="15EF4FE1" w14:textId="77777777" w:rsidR="00CD5196" w:rsidRPr="007C5C70" w:rsidRDefault="00CD5196" w:rsidP="00CD5196">
      <w:pPr>
        <w:spacing w:after="120" w:line="276" w:lineRule="auto"/>
        <w:ind w:firstLine="709"/>
        <w:jc w:val="both"/>
        <w:rPr>
          <w:rFonts w:ascii="Verdana" w:eastAsia="Calibri" w:hAnsi="Verdana" w:cs="Arial"/>
          <w:color w:val="000000"/>
          <w:lang w:val="es-ES_tradnl"/>
        </w:rPr>
      </w:pPr>
      <w:r w:rsidRPr="007C5C70">
        <w:rPr>
          <w:rFonts w:ascii="Verdana" w:eastAsia="Calibri" w:hAnsi="Verdana" w:cs="Arial"/>
          <w:color w:val="000000"/>
          <w:lang w:val="es-ES_tradnl"/>
        </w:rPr>
        <w:t>i) La entidad estatal debe hacer los estudios previos en los que señale cuál es la necesidad que pretende satisfacer, el objeto del contrato, sus condiciones técnicas, el valor estimado, el plazo de ejecución y el certificado de disponibilidad presupuestal.</w:t>
      </w:r>
    </w:p>
    <w:p w14:paraId="18D836B8" w14:textId="77777777" w:rsidR="00CD5196" w:rsidRPr="007C5C70" w:rsidRDefault="00CD5196" w:rsidP="00CD5196">
      <w:pPr>
        <w:spacing w:after="120" w:line="276" w:lineRule="auto"/>
        <w:ind w:firstLine="709"/>
        <w:jc w:val="both"/>
        <w:rPr>
          <w:rFonts w:ascii="Verdana" w:eastAsia="Calibri" w:hAnsi="Verdana" w:cs="Arial"/>
          <w:color w:val="000000"/>
          <w:lang w:val="es-ES"/>
        </w:rPr>
      </w:pPr>
      <w:proofErr w:type="spellStart"/>
      <w:r w:rsidRPr="007C5C70">
        <w:rPr>
          <w:rFonts w:ascii="Verdana" w:eastAsia="Calibri" w:hAnsi="Verdana" w:cs="Arial"/>
          <w:color w:val="000000"/>
          <w:lang w:val="es-ES"/>
        </w:rPr>
        <w:t>ii</w:t>
      </w:r>
      <w:proofErr w:type="spellEnd"/>
      <w:r w:rsidRPr="007C5C70">
        <w:rPr>
          <w:rFonts w:ascii="Verdana" w:eastAsia="Calibri" w:hAnsi="Verdana" w:cs="Arial"/>
          <w:color w:val="000000"/>
          <w:lang w:val="es-ES"/>
        </w:rPr>
        <w:t xml:space="preserve">) Luego de los trámites previos, la entidad debe publicar en el SECOP una invitación, señalando el objeto, las condiciones técnicas y el valor estimado del contrato, expresando además las razones que justifican el cálculo de la cuantía. Asimismo, puede exigir o no una capacidad financiera mínima. Igualmente, esta Agencia ha recomendado “incluir en la invitación el cronograma, el plazo o condiciones de pago a cargo de la Entidad Estatal, la indicación del requerimiento de garantías (cuya exigencia es discrecional de la </w:t>
      </w:r>
      <w:r w:rsidRPr="007C5C70">
        <w:rPr>
          <w:rFonts w:ascii="Verdana" w:eastAsia="Calibri" w:hAnsi="Verdana" w:cs="Arial"/>
          <w:color w:val="000000"/>
          <w:lang w:val="es-ES"/>
        </w:rPr>
        <w:lastRenderedPageBreak/>
        <w:t>Entidad Estatal) y los demás aspectos que considere necesarios para la satisfacción de la necesidad”</w:t>
      </w:r>
      <w:r w:rsidRPr="007C5C70">
        <w:rPr>
          <w:rFonts w:ascii="Verdana" w:eastAsia="Calibri" w:hAnsi="Verdana" w:cs="Arial"/>
          <w:color w:val="000000"/>
          <w:vertAlign w:val="superscript"/>
          <w:lang w:val="es-ES"/>
        </w:rPr>
        <w:footnoteReference w:id="15"/>
      </w:r>
      <w:r w:rsidRPr="007C5C70">
        <w:rPr>
          <w:rFonts w:ascii="Verdana" w:eastAsia="Calibri" w:hAnsi="Verdana" w:cs="Arial"/>
          <w:color w:val="000000"/>
          <w:lang w:val="es-ES"/>
        </w:rPr>
        <w:t>.</w:t>
      </w:r>
    </w:p>
    <w:p w14:paraId="39B7EB5D" w14:textId="77777777" w:rsidR="00CD5196" w:rsidRPr="007C5C70" w:rsidRDefault="00CD5196" w:rsidP="00CD5196">
      <w:pPr>
        <w:spacing w:after="120" w:line="276" w:lineRule="auto"/>
        <w:ind w:firstLine="709"/>
        <w:jc w:val="both"/>
        <w:rPr>
          <w:rFonts w:ascii="Verdana" w:eastAsia="Calibri" w:hAnsi="Verdana" w:cs="Arial"/>
          <w:color w:val="000000"/>
          <w:lang w:val="es-ES"/>
        </w:rPr>
      </w:pPr>
      <w:proofErr w:type="spellStart"/>
      <w:r w:rsidRPr="007C5C70">
        <w:rPr>
          <w:rFonts w:ascii="Verdana" w:eastAsia="Calibri" w:hAnsi="Verdana" w:cs="Arial"/>
          <w:color w:val="000000"/>
          <w:lang w:val="es-ES"/>
        </w:rPr>
        <w:t>iii</w:t>
      </w:r>
      <w:proofErr w:type="spellEnd"/>
      <w:r w:rsidRPr="007C5C70">
        <w:rPr>
          <w:rFonts w:ascii="Verdana" w:eastAsia="Calibri" w:hAnsi="Verdana" w:cs="Arial"/>
          <w:color w:val="000000"/>
          <w:lang w:val="es-ES"/>
        </w:rPr>
        <w:t>) La invitación se debe hacer por un término no inferior a un (1) día hábil.</w:t>
      </w:r>
    </w:p>
    <w:p w14:paraId="5FCD234D" w14:textId="77777777" w:rsidR="00CD5196" w:rsidRPr="007C5C70" w:rsidRDefault="00CD5196" w:rsidP="00CD5196">
      <w:pPr>
        <w:spacing w:after="120" w:line="276" w:lineRule="auto"/>
        <w:ind w:firstLine="709"/>
        <w:jc w:val="both"/>
        <w:rPr>
          <w:rFonts w:ascii="Verdana" w:eastAsia="Calibri" w:hAnsi="Verdana" w:cs="Arial"/>
          <w:color w:val="000000"/>
          <w:lang w:val="es-ES"/>
        </w:rPr>
      </w:pPr>
      <w:proofErr w:type="spellStart"/>
      <w:r w:rsidRPr="007C5C70">
        <w:rPr>
          <w:rFonts w:ascii="Verdana" w:eastAsia="Calibri" w:hAnsi="Verdana" w:cs="Arial"/>
          <w:color w:val="000000"/>
          <w:lang w:val="es-ES"/>
        </w:rPr>
        <w:t>iv</w:t>
      </w:r>
      <w:proofErr w:type="spellEnd"/>
      <w:r w:rsidRPr="007C5C70">
        <w:rPr>
          <w:rFonts w:ascii="Verdana" w:eastAsia="Calibri" w:hAnsi="Verdana" w:cs="Arial"/>
          <w:color w:val="000000"/>
          <w:lang w:val="es-ES"/>
        </w:rPr>
        <w:t>) Las observaciones que presenten los interesados a la invitación deben responderse a más tardar antes del vencimiento del término para presentar las ofertas.</w:t>
      </w:r>
    </w:p>
    <w:p w14:paraId="5BD03CFA" w14:textId="77777777" w:rsidR="00CD5196" w:rsidRPr="007C5C70" w:rsidRDefault="00CD5196" w:rsidP="00CD5196">
      <w:pPr>
        <w:spacing w:after="120" w:line="276" w:lineRule="auto"/>
        <w:ind w:firstLine="709"/>
        <w:jc w:val="both"/>
        <w:rPr>
          <w:rFonts w:ascii="Verdana" w:eastAsia="Calibri" w:hAnsi="Verdana" w:cs="Arial"/>
          <w:color w:val="000000"/>
          <w:lang w:val="es-ES_tradnl"/>
        </w:rPr>
      </w:pPr>
      <w:r w:rsidRPr="2D487932">
        <w:rPr>
          <w:rFonts w:ascii="Verdana" w:eastAsia="Calibri" w:hAnsi="Verdana" w:cs="Arial"/>
          <w:color w:val="000000"/>
          <w:lang w:val="es-ES"/>
        </w:rPr>
        <w:t>v) Presentadas las propuestas, la entidad estatal debe revisar las ofertas económicas y verificar que la del menor precio cumpla los requisitos de participación. Si no los satisface debe revisar la oferta económica inmediatamente inferior, y así sucesivamente. Esto significa que en la mínima cuantía el precio es el único factor de calificación</w:t>
      </w:r>
      <w:r w:rsidRPr="2D487932">
        <w:rPr>
          <w:rFonts w:ascii="Verdana" w:eastAsia="Calibri" w:hAnsi="Verdana" w:cs="Arial"/>
          <w:color w:val="000000"/>
          <w:vertAlign w:val="superscript"/>
          <w:lang w:val="es-ES"/>
        </w:rPr>
        <w:footnoteReference w:id="16"/>
      </w:r>
      <w:r w:rsidRPr="2D487932">
        <w:rPr>
          <w:rFonts w:ascii="Verdana" w:eastAsia="Calibri" w:hAnsi="Verdana" w:cs="Arial"/>
          <w:color w:val="000000"/>
          <w:lang w:val="es-ES"/>
        </w:rPr>
        <w:t>.</w:t>
      </w:r>
    </w:p>
    <w:p w14:paraId="5EC03443" w14:textId="77777777" w:rsidR="00CD5196" w:rsidRPr="007C5C70" w:rsidRDefault="00CD5196" w:rsidP="00CD5196">
      <w:pPr>
        <w:spacing w:after="120" w:line="276" w:lineRule="auto"/>
        <w:ind w:firstLine="709"/>
        <w:jc w:val="both"/>
        <w:rPr>
          <w:rFonts w:ascii="Verdana" w:eastAsia="Calibri" w:hAnsi="Verdana" w:cs="Arial"/>
          <w:color w:val="000000"/>
          <w:lang w:val="es-ES_tradnl"/>
        </w:rPr>
      </w:pPr>
      <w:r w:rsidRPr="007C5C70">
        <w:rPr>
          <w:rFonts w:ascii="Verdana" w:eastAsia="Calibri" w:hAnsi="Verdana" w:cs="Arial"/>
          <w:color w:val="000000"/>
          <w:lang w:val="es-ES_tradnl"/>
        </w:rPr>
        <w:t>vi) El informe de evaluación se debe publicar por lo menos un (1) día hábil.</w:t>
      </w:r>
    </w:p>
    <w:p w14:paraId="0EA1C855" w14:textId="77777777" w:rsidR="00CD5196" w:rsidRPr="007C5C70" w:rsidRDefault="00CD5196" w:rsidP="00CD5196">
      <w:pPr>
        <w:spacing w:after="120" w:line="276" w:lineRule="auto"/>
        <w:ind w:firstLine="709"/>
        <w:jc w:val="both"/>
        <w:rPr>
          <w:rFonts w:ascii="Verdana" w:eastAsia="Calibri" w:hAnsi="Verdana" w:cs="Arial"/>
          <w:color w:val="000000"/>
          <w:lang w:val="es-ES"/>
        </w:rPr>
      </w:pPr>
      <w:proofErr w:type="spellStart"/>
      <w:r w:rsidRPr="007C5C70">
        <w:rPr>
          <w:rFonts w:ascii="Verdana" w:eastAsia="Calibri" w:hAnsi="Verdana" w:cs="Arial"/>
          <w:color w:val="000000"/>
          <w:lang w:val="es-ES"/>
        </w:rPr>
        <w:t>vii</w:t>
      </w:r>
      <w:proofErr w:type="spellEnd"/>
      <w:r w:rsidRPr="007C5C70">
        <w:rPr>
          <w:rFonts w:ascii="Verdana" w:eastAsia="Calibri" w:hAnsi="Verdana" w:cs="Arial"/>
          <w:color w:val="000000"/>
          <w:lang w:val="es-ES"/>
        </w:rPr>
        <w:t xml:space="preserve">) </w:t>
      </w:r>
      <w:bookmarkStart w:id="2" w:name="_Hlk134700391"/>
      <w:r w:rsidRPr="007C5C70">
        <w:rPr>
          <w:rFonts w:ascii="Verdana" w:eastAsia="Calibri" w:hAnsi="Verdana" w:cs="Arial"/>
          <w:color w:val="000000"/>
          <w:lang w:val="es-ES"/>
        </w:rPr>
        <w:t>El contrato se perfecciona con la comunicación de aceptación de la oferta que envía la entidad estatal al proponente que presentó la oferta económica de menor precio, no requiriéndose, entonces, la suscripción de una minuta. En la comunicación de aceptación de la oferta la entidad estatal le debe informar al proponente ganador quién será el supervisor del contrato.</w:t>
      </w:r>
    </w:p>
    <w:bookmarkEnd w:id="2"/>
    <w:p w14:paraId="6F8F1E1F" w14:textId="77777777" w:rsidR="00CD5196" w:rsidRPr="007C5C70" w:rsidRDefault="00CD5196" w:rsidP="00CD5196">
      <w:pPr>
        <w:spacing w:after="120" w:line="276" w:lineRule="auto"/>
        <w:ind w:firstLine="709"/>
        <w:jc w:val="both"/>
        <w:rPr>
          <w:rFonts w:ascii="Verdana" w:eastAsia="Calibri" w:hAnsi="Verdana" w:cs="Arial"/>
          <w:color w:val="000000"/>
          <w:lang w:val="es-ES"/>
        </w:rPr>
      </w:pPr>
      <w:proofErr w:type="spellStart"/>
      <w:r w:rsidRPr="007C5C70">
        <w:rPr>
          <w:rFonts w:ascii="Verdana" w:eastAsia="Calibri" w:hAnsi="Verdana" w:cs="Arial"/>
          <w:color w:val="000000"/>
          <w:lang w:val="es-ES"/>
        </w:rPr>
        <w:t>viii</w:t>
      </w:r>
      <w:proofErr w:type="spellEnd"/>
      <w:r w:rsidRPr="007C5C70">
        <w:rPr>
          <w:rFonts w:ascii="Verdana" w:eastAsia="Calibri" w:hAnsi="Verdana" w:cs="Arial"/>
          <w:color w:val="000000"/>
          <w:lang w:val="es-ES"/>
        </w:rPr>
        <w:t>) De existir empate debe preferirse la oferta que se presentó primero en el tiempo.</w:t>
      </w:r>
    </w:p>
    <w:p w14:paraId="608382C5" w14:textId="77777777" w:rsidR="00CD5196" w:rsidRPr="007C5C70" w:rsidRDefault="00CD5196" w:rsidP="00CD5196">
      <w:pPr>
        <w:tabs>
          <w:tab w:val="left" w:pos="709"/>
        </w:tabs>
        <w:spacing w:after="120" w:line="276" w:lineRule="auto"/>
        <w:jc w:val="both"/>
        <w:rPr>
          <w:rFonts w:ascii="Verdana" w:eastAsia="Calibri" w:hAnsi="Verdana" w:cs="Arial"/>
          <w:bCs/>
          <w:color w:val="000000"/>
          <w:lang w:val="es-ES_tradnl"/>
        </w:rPr>
      </w:pPr>
      <w:r w:rsidRPr="007C5C70">
        <w:rPr>
          <w:rFonts w:ascii="Verdana" w:eastAsia="Calibri" w:hAnsi="Verdana" w:cs="Arial"/>
          <w:bCs/>
          <w:color w:val="000000"/>
          <w:lang w:val="es-ES_tradnl"/>
        </w:rPr>
        <w:tab/>
        <w:t xml:space="preserve">De conformidad con lo expuesto, y con fundamento en lo previsto en el numeral 9 del artículo 2.2.1.2.1.5.2. del Decreto 1082 del 2015 según el cual “la oferta y su aceptación constituyen el contrato estatal”, es claro que la comunicación de la aceptación de la oferta por parte de la entidad al proponente perfecciona los requisitos de existencia del contrato. </w:t>
      </w:r>
      <w:r w:rsidRPr="007C5C70">
        <w:rPr>
          <w:rFonts w:ascii="Verdana" w:eastAsia="Calibri" w:hAnsi="Verdana" w:cs="Arial"/>
          <w:bCs/>
          <w:color w:val="000000"/>
        </w:rPr>
        <w:t>Esta particularidad en relación con el procedimiento de mínima cuantía se deriva de lo establecido en el literal d) del numeral 5 del artículo 2 de la Ley 1150 de 2007 que de manera expresa dispone que "la comunicación de aceptación junto con la oferta c</w:t>
      </w:r>
      <w:r w:rsidRPr="007C5C70">
        <w:rPr>
          <w:rFonts w:ascii="Verdana" w:eastAsia="Calibri" w:hAnsi="Verdana" w:cs="Arial"/>
          <w:bCs/>
          <w:i/>
          <w:iCs/>
          <w:color w:val="000000"/>
        </w:rPr>
        <w:t>onstituye para todos los efectos el contrato celebrado</w:t>
      </w:r>
      <w:r w:rsidRPr="007C5C70">
        <w:rPr>
          <w:rFonts w:ascii="Verdana" w:eastAsia="Calibri" w:hAnsi="Verdana" w:cs="Arial"/>
          <w:bCs/>
          <w:color w:val="000000"/>
        </w:rPr>
        <w:t xml:space="preserve">, con base en lo cual se efectuará el respectivo registro presupuestal". Esto implica que, en este tipo de </w:t>
      </w:r>
      <w:r w:rsidRPr="007C5C70">
        <w:rPr>
          <w:rFonts w:ascii="Verdana" w:eastAsia="Calibri" w:hAnsi="Verdana" w:cs="Arial"/>
          <w:bCs/>
          <w:color w:val="000000"/>
        </w:rPr>
        <w:lastRenderedPageBreak/>
        <w:t>procedimientos, el contrato se entiende perfeccionado en el momento en que se produce dicha comunicación, sin necesidad de cumplir con requisitos adicionales.</w:t>
      </w:r>
    </w:p>
    <w:p w14:paraId="303CB4FB" w14:textId="77777777" w:rsidR="00CD5196" w:rsidRPr="007C5C70" w:rsidRDefault="00CD5196" w:rsidP="00CD5196">
      <w:pPr>
        <w:tabs>
          <w:tab w:val="left" w:pos="709"/>
        </w:tabs>
        <w:spacing w:after="120" w:line="276" w:lineRule="auto"/>
        <w:ind w:firstLine="709"/>
        <w:jc w:val="both"/>
        <w:rPr>
          <w:rFonts w:ascii="Verdana" w:eastAsia="Calibri" w:hAnsi="Verdana" w:cs="Arial"/>
          <w:bCs/>
          <w:color w:val="000000"/>
          <w:lang w:val="es-ES_tradnl"/>
        </w:rPr>
      </w:pPr>
      <w:r w:rsidRPr="007C5C70">
        <w:rPr>
          <w:rFonts w:ascii="Verdana" w:eastAsia="Calibri" w:hAnsi="Verdana" w:cs="Arial"/>
          <w:bCs/>
          <w:color w:val="000000"/>
          <w:lang w:val="es-ES"/>
        </w:rPr>
        <w:t xml:space="preserve">En este sentido, el legislador estableció que en los procesos de mínima cuantía no habría un </w:t>
      </w:r>
      <w:r w:rsidRPr="007C5C70">
        <w:rPr>
          <w:rFonts w:ascii="Verdana" w:eastAsia="Calibri" w:hAnsi="Verdana" w:cs="Arial"/>
          <w:bCs/>
          <w:i/>
          <w:color w:val="000000"/>
          <w:lang w:val="es-ES"/>
        </w:rPr>
        <w:t>“acto de adjudicación”</w:t>
      </w:r>
      <w:r w:rsidRPr="007C5C70">
        <w:rPr>
          <w:rFonts w:ascii="Verdana" w:eastAsia="Calibri" w:hAnsi="Verdana" w:cs="Arial"/>
          <w:bCs/>
          <w:color w:val="000000"/>
          <w:lang w:val="es-ES"/>
        </w:rPr>
        <w:t xml:space="preserve">, sino que en aras de la celeridad y economía que se busca con esta modalidad, la selección de la mejor oferta se realiza mediante una </w:t>
      </w:r>
      <w:r w:rsidRPr="007C5C70">
        <w:rPr>
          <w:rFonts w:ascii="Verdana" w:eastAsia="Calibri" w:hAnsi="Verdana" w:cs="Arial"/>
          <w:bCs/>
          <w:i/>
          <w:color w:val="000000"/>
          <w:lang w:val="es-ES"/>
        </w:rPr>
        <w:t>“comunicación de aceptación de la oferta”</w:t>
      </w:r>
      <w:r w:rsidRPr="007C5C70">
        <w:rPr>
          <w:rFonts w:ascii="Verdana" w:eastAsia="Calibri" w:hAnsi="Verdana" w:cs="Arial"/>
          <w:bCs/>
          <w:color w:val="000000"/>
          <w:lang w:val="es-ES"/>
        </w:rPr>
        <w:t>, y dicha comunicación, junto con la oferta presentada por el oferente seleccionado, constituyen el contrato. Así, la comunicación de aceptación de la oferta hace las veces del acto de adjudicación, en el entendido de que bajo dicha actuación la entidad selecciona a su contratista; solo que en estos casos mediante dicho acto además se perfecciona el contrato.</w:t>
      </w:r>
    </w:p>
    <w:p w14:paraId="23F7CCDD" w14:textId="77777777" w:rsidR="00CD5196" w:rsidRPr="007C5C70" w:rsidRDefault="00CD5196" w:rsidP="00CD5196">
      <w:pPr>
        <w:spacing w:after="120" w:line="276" w:lineRule="auto"/>
        <w:ind w:firstLine="709"/>
        <w:jc w:val="both"/>
        <w:rPr>
          <w:rFonts w:ascii="Verdana" w:eastAsia="Calibri" w:hAnsi="Verdana" w:cs="Arial"/>
          <w:color w:val="000000"/>
        </w:rPr>
      </w:pPr>
      <w:r w:rsidRPr="007C5C70">
        <w:rPr>
          <w:rFonts w:ascii="Verdana" w:eastAsia="Calibri" w:hAnsi="Verdana" w:cs="Arial"/>
          <w:bCs/>
          <w:color w:val="000000"/>
          <w:lang w:val="es-ES_tradnl"/>
        </w:rPr>
        <w:t>Sobre este aspecto, el Manual de la Modalidad de Selección de Mínima Cuantía expedido por la Agencia Nacional de Contratación Pública – Colombia Compra Eficiente</w:t>
      </w:r>
      <w:r w:rsidRPr="007C5C70">
        <w:rPr>
          <w:rFonts w:ascii="Verdana" w:eastAsia="Calibri" w:hAnsi="Verdana" w:cs="Arial"/>
          <w:bCs/>
          <w:color w:val="000000"/>
          <w:vertAlign w:val="superscript"/>
          <w:lang w:val="es-ES_tradnl"/>
        </w:rPr>
        <w:footnoteReference w:id="17"/>
      </w:r>
      <w:r w:rsidRPr="007C5C70">
        <w:rPr>
          <w:rFonts w:ascii="Verdana" w:eastAsia="Calibri" w:hAnsi="Verdana" w:cs="Arial"/>
          <w:bCs/>
          <w:color w:val="000000"/>
          <w:lang w:val="es-ES_tradnl"/>
        </w:rPr>
        <w:t xml:space="preserve">, señaló que </w:t>
      </w:r>
      <w:r w:rsidRPr="007C5C70">
        <w:rPr>
          <w:rFonts w:ascii="Verdana" w:eastAsia="Calibri" w:hAnsi="Verdana" w:cs="Arial"/>
          <w:color w:val="000000"/>
          <w:lang w:val="es-MX"/>
        </w:rPr>
        <w:t xml:space="preserve">“la Entidad Estatal debe aceptar la oferta del oferente que haya cumplido con los requisitos establecidos en la invitación y que haya ofrecido el precio más bajo, </w:t>
      </w:r>
      <w:r w:rsidRPr="007C5C70">
        <w:rPr>
          <w:rFonts w:ascii="Verdana" w:eastAsia="Calibri" w:hAnsi="Verdana" w:cs="Arial"/>
          <w:i/>
          <w:iCs/>
          <w:color w:val="000000"/>
          <w:lang w:val="es-MX"/>
        </w:rPr>
        <w:t>mediante documento electrónico o físico</w:t>
      </w:r>
      <w:r w:rsidRPr="007C5C70">
        <w:rPr>
          <w:rFonts w:ascii="Verdana" w:eastAsia="Calibri" w:hAnsi="Verdana" w:cs="Arial"/>
          <w:color w:val="000000"/>
          <w:lang w:val="es-MX"/>
        </w:rPr>
        <w:t>. En el documento de aceptación, la Entidad Estatal debe indicar el supervisor del contrato.</w:t>
      </w:r>
      <w:r w:rsidRPr="007C5C70">
        <w:rPr>
          <w:rFonts w:ascii="Verdana" w:eastAsia="Calibri" w:hAnsi="Verdana" w:cs="Arial"/>
          <w:color w:val="000000"/>
          <w:vertAlign w:val="superscript"/>
          <w:lang w:val="es-MX"/>
        </w:rPr>
        <w:footnoteReference w:id="18"/>
      </w:r>
      <w:r w:rsidRPr="007C5C70">
        <w:rPr>
          <w:rFonts w:ascii="Verdana" w:eastAsia="Calibri" w:hAnsi="Verdana" w:cs="Arial"/>
          <w:color w:val="000000"/>
        </w:rPr>
        <w:t xml:space="preserve">” (Énfasis por fuera de texto). De esta manera, desde el momento en que se efectúa dicha comunicación, ya sea mediante documento electrónico o físico, se entiende que el contrato ha quedado perfeccionado y tiene plena existencia, sin que sea necesario cumplir con ningún otro requisito adicional. </w:t>
      </w:r>
    </w:p>
    <w:p w14:paraId="747AFF4B" w14:textId="77777777" w:rsidR="00CD5196" w:rsidRPr="007C5C70" w:rsidRDefault="00CD5196" w:rsidP="00CD5196">
      <w:pPr>
        <w:spacing w:after="120" w:line="276" w:lineRule="auto"/>
        <w:ind w:firstLine="708"/>
        <w:jc w:val="both"/>
        <w:rPr>
          <w:rFonts w:ascii="Verdana" w:hAnsi="Verdana"/>
        </w:rPr>
      </w:pPr>
      <w:r w:rsidRPr="007C5C70">
        <w:rPr>
          <w:rFonts w:ascii="Verdana" w:hAnsi="Verdana"/>
          <w:lang w:val="es-ES"/>
        </w:rPr>
        <w:t xml:space="preserve">En este sentido, </w:t>
      </w:r>
      <w:r w:rsidRPr="007C5C70">
        <w:rPr>
          <w:rFonts w:ascii="Verdana" w:hAnsi="Verdana"/>
        </w:rPr>
        <w:t>la mínima cuantía es una modalidad de selección en virtud de la cual la entidad estatal realiza una convocatoria pública para recibir ofertas de bienes, obras o servicios cuyo valor no excede el diez por ciento (10%) de su menor cuantía. El elemento central de esta modalidad de selección se encuentra exclusivamente en la cuantía, de manera que independientemente del objeto del contrato y siempre que su valor no excede el diez por ciento de la menor cuantía de la entidad, se deberá acudir a la modalidad de selección de mínima cuantía. Las reglas aplicables a esta modalidad de selección son las consagradas en el numeral 5 del artículo 2 de la Ley 1150 de 2007, modificado por el artículo 94 de la Ley 1474 de 2011, el artículo 30 de la Ley 2069 de 2020, el artículo 2 del Decreto 1860 de 2021, y el artículo 5 del Decreto 142 de 2023.</w:t>
      </w:r>
    </w:p>
    <w:p w14:paraId="2DA0C540" w14:textId="77777777" w:rsidR="00CD5196" w:rsidRDefault="00CD5196" w:rsidP="00CD5196">
      <w:pPr>
        <w:spacing w:after="120" w:line="276" w:lineRule="auto"/>
        <w:ind w:firstLine="708"/>
        <w:jc w:val="both"/>
        <w:rPr>
          <w:rFonts w:ascii="Verdana" w:hAnsi="Verdana"/>
        </w:rPr>
      </w:pPr>
      <w:r w:rsidRPr="007C5C70">
        <w:rPr>
          <w:rFonts w:ascii="Verdana" w:hAnsi="Verdana"/>
        </w:rPr>
        <w:lastRenderedPageBreak/>
        <w:t>Por su parte, el artículo 25 del Estatuto General de la Contratación de la Administrativo Pública, Consagra el principio de economía, indicando que los procedimientos y etapas deben ser los estrictamente necesarios para asegurar la selección objetiva, evitando requisitos que limiten la concurrencia o encarezcan el proceso, y adelantando los trámites con austeridad de tiempo, medios y gastos.</w:t>
      </w:r>
    </w:p>
    <w:p w14:paraId="0BBBFC66" w14:textId="77777777" w:rsidR="00CD5196" w:rsidRPr="00F801A1" w:rsidRDefault="00CD5196" w:rsidP="00CD5196">
      <w:pPr>
        <w:spacing w:after="120" w:line="276" w:lineRule="auto"/>
        <w:ind w:firstLine="708"/>
        <w:jc w:val="both"/>
        <w:rPr>
          <w:rFonts w:ascii="Verdana" w:eastAsia="Calibri" w:hAnsi="Verdana" w:cs="Arial"/>
          <w:szCs w:val="24"/>
          <w:lang w:eastAsia="es-ES_tradnl"/>
        </w:rPr>
      </w:pPr>
    </w:p>
    <w:p w14:paraId="45CE87DB" w14:textId="77777777" w:rsidR="00CD5196" w:rsidRPr="00F252D7" w:rsidRDefault="00CD5196" w:rsidP="00CD5196">
      <w:pPr>
        <w:tabs>
          <w:tab w:val="left" w:pos="142"/>
          <w:tab w:val="left" w:pos="284"/>
        </w:tabs>
        <w:spacing w:after="0" w:line="276" w:lineRule="auto"/>
        <w:jc w:val="both"/>
        <w:rPr>
          <w:rFonts w:ascii="Verdana" w:eastAsia="Century Gothic" w:hAnsi="Verdana" w:cs="Century Gothic"/>
          <w:b/>
          <w:bCs/>
        </w:rPr>
      </w:pPr>
      <w:r w:rsidRPr="00F252D7">
        <w:rPr>
          <w:rFonts w:ascii="Verdana" w:eastAsia="Century Gothic" w:hAnsi="Verdana" w:cs="Century Gothic"/>
          <w:b/>
          <w:bCs/>
        </w:rPr>
        <w:t>4. Referencias normativas, jurisprudenciales y otras fuentes:</w:t>
      </w:r>
    </w:p>
    <w:p w14:paraId="1F3EBC3F" w14:textId="77777777" w:rsidR="00CD5196" w:rsidRPr="00F252D7" w:rsidRDefault="00CD5196" w:rsidP="00CD5196">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D5196" w:rsidRPr="00F252D7" w14:paraId="2E258ECE" w14:textId="77777777" w:rsidTr="00505D6D">
        <w:trPr>
          <w:trHeight w:val="870"/>
        </w:trPr>
        <w:tc>
          <w:tcPr>
            <w:tcW w:w="8647" w:type="dxa"/>
          </w:tcPr>
          <w:p w14:paraId="44C86EA4" w14:textId="77777777" w:rsidR="00CD5196" w:rsidRPr="00786EE2" w:rsidRDefault="00CD5196" w:rsidP="00505D6D">
            <w:pPr>
              <w:widowControl w:val="0"/>
              <w:numPr>
                <w:ilvl w:val="0"/>
                <w:numId w:val="16"/>
              </w:numPr>
              <w:autoSpaceDE w:val="0"/>
              <w:autoSpaceDN w:val="0"/>
              <w:spacing w:line="276" w:lineRule="auto"/>
              <w:contextualSpacing/>
              <w:jc w:val="both"/>
              <w:rPr>
                <w:rFonts w:ascii="Verdana" w:hAnsi="Verdana" w:cs="Arial"/>
                <w:lang w:val="es-ES"/>
              </w:rPr>
            </w:pPr>
            <w:r w:rsidRPr="00786EE2">
              <w:rPr>
                <w:rFonts w:ascii="Verdana" w:hAnsi="Verdana" w:cs="Arial"/>
                <w:lang w:val="es-ES"/>
              </w:rPr>
              <w:t xml:space="preserve">Ley 80 de 1993, artículo 25. </w:t>
            </w:r>
          </w:p>
          <w:p w14:paraId="5849546E" w14:textId="77777777" w:rsidR="00CD5196" w:rsidRPr="00EE0353" w:rsidRDefault="00CD5196" w:rsidP="00505D6D">
            <w:pPr>
              <w:pStyle w:val="Prrafodelista"/>
              <w:numPr>
                <w:ilvl w:val="0"/>
                <w:numId w:val="16"/>
              </w:numPr>
              <w:spacing w:line="276" w:lineRule="auto"/>
              <w:rPr>
                <w:rFonts w:ascii="Verdana" w:hAnsi="Verdana" w:cs="Arial"/>
              </w:rPr>
            </w:pPr>
            <w:r w:rsidRPr="00EE0353">
              <w:rPr>
                <w:rFonts w:ascii="Verdana" w:hAnsi="Verdana" w:cs="Arial"/>
              </w:rPr>
              <w:t xml:space="preserve">Ley 1150 de 2007: artículo 2, numeral </w:t>
            </w:r>
            <w:r>
              <w:rPr>
                <w:rFonts w:ascii="Verdana" w:hAnsi="Verdana" w:cs="Arial"/>
              </w:rPr>
              <w:t xml:space="preserve">2 y numeral </w:t>
            </w:r>
            <w:r w:rsidRPr="00EE0353">
              <w:rPr>
                <w:rFonts w:ascii="Verdana" w:hAnsi="Verdana" w:cs="Arial"/>
              </w:rPr>
              <w:t>5, literal d.</w:t>
            </w:r>
          </w:p>
          <w:p w14:paraId="1038EB69" w14:textId="77777777" w:rsidR="00CD5196" w:rsidRPr="00EE0353" w:rsidRDefault="00CD5196" w:rsidP="00505D6D">
            <w:pPr>
              <w:pStyle w:val="Prrafodelista"/>
              <w:numPr>
                <w:ilvl w:val="0"/>
                <w:numId w:val="16"/>
              </w:numPr>
              <w:spacing w:line="276" w:lineRule="auto"/>
              <w:rPr>
                <w:rFonts w:ascii="Verdana" w:hAnsi="Verdana" w:cs="Arial"/>
              </w:rPr>
            </w:pPr>
            <w:r w:rsidRPr="00EE0353">
              <w:rPr>
                <w:rFonts w:ascii="Verdana" w:hAnsi="Verdana" w:cs="Arial"/>
              </w:rPr>
              <w:t>Ley 2069 de 2020: artículo 30</w:t>
            </w:r>
          </w:p>
          <w:p w14:paraId="72ABE0C0" w14:textId="77777777" w:rsidR="00CD5196" w:rsidRDefault="00CD5196" w:rsidP="00505D6D">
            <w:pPr>
              <w:pStyle w:val="Prrafodelista"/>
              <w:widowControl w:val="0"/>
              <w:numPr>
                <w:ilvl w:val="0"/>
                <w:numId w:val="16"/>
              </w:numPr>
              <w:autoSpaceDE w:val="0"/>
              <w:autoSpaceDN w:val="0"/>
              <w:spacing w:line="276" w:lineRule="auto"/>
              <w:contextualSpacing w:val="0"/>
              <w:jc w:val="both"/>
              <w:rPr>
                <w:rFonts w:ascii="Verdana" w:hAnsi="Verdana" w:cs="Arial"/>
              </w:rPr>
            </w:pPr>
            <w:r w:rsidRPr="00EE0353">
              <w:rPr>
                <w:rFonts w:ascii="Verdana" w:hAnsi="Verdana" w:cs="Arial"/>
              </w:rPr>
              <w:t xml:space="preserve">Decreto 1082 del 2015: artículos </w:t>
            </w:r>
            <w:r w:rsidRPr="000C5E04">
              <w:rPr>
                <w:rFonts w:ascii="Verdana" w:hAnsi="Verdana" w:cs="Arial"/>
              </w:rPr>
              <w:t>2.2.1.2.1.5.2</w:t>
            </w:r>
            <w:r>
              <w:rPr>
                <w:rFonts w:ascii="Verdana" w:hAnsi="Verdana" w:cs="Arial"/>
              </w:rPr>
              <w:t xml:space="preserve">, </w:t>
            </w:r>
            <w:r w:rsidRPr="00EE0353">
              <w:rPr>
                <w:rFonts w:ascii="Verdana" w:hAnsi="Verdana" w:cs="Arial"/>
              </w:rPr>
              <w:t>2.2.1.2.1.5.1. al 2.2.1.2.1.5.4 y 2.2.1.2.3.1.6</w:t>
            </w:r>
            <w:r>
              <w:rPr>
                <w:rFonts w:ascii="Verdana" w:hAnsi="Verdana" w:cs="Arial"/>
              </w:rPr>
              <w:t xml:space="preserve">, </w:t>
            </w:r>
            <w:r w:rsidRPr="00786EE2">
              <w:rPr>
                <w:rFonts w:ascii="Verdana" w:hAnsi="Verdana" w:cs="Arial"/>
              </w:rPr>
              <w:t>2.2.1.2.1.2.20.</w:t>
            </w:r>
            <w:r>
              <w:rPr>
                <w:rFonts w:ascii="Verdana" w:hAnsi="Verdana" w:cs="Arial"/>
              </w:rPr>
              <w:t xml:space="preserve"> y </w:t>
            </w:r>
            <w:r w:rsidRPr="00786EE2">
              <w:rPr>
                <w:rFonts w:ascii="Verdana" w:hAnsi="Verdana" w:cs="Arial"/>
              </w:rPr>
              <w:t>2.2.1.2.1.2.2</w:t>
            </w:r>
            <w:r>
              <w:rPr>
                <w:rFonts w:ascii="Verdana" w:hAnsi="Verdana" w:cs="Arial"/>
              </w:rPr>
              <w:t>1</w:t>
            </w:r>
            <w:r w:rsidRPr="00786EE2">
              <w:rPr>
                <w:rFonts w:ascii="Verdana" w:hAnsi="Verdana" w:cs="Arial"/>
              </w:rPr>
              <w:t>.</w:t>
            </w:r>
          </w:p>
          <w:p w14:paraId="46DA1C23" w14:textId="77777777" w:rsidR="00CD5196" w:rsidRPr="003B6CA3" w:rsidRDefault="00CD5196" w:rsidP="00505D6D">
            <w:pPr>
              <w:widowControl w:val="0"/>
              <w:numPr>
                <w:ilvl w:val="0"/>
                <w:numId w:val="16"/>
              </w:numPr>
              <w:tabs>
                <w:tab w:val="left" w:pos="8419"/>
              </w:tabs>
              <w:autoSpaceDE w:val="0"/>
              <w:autoSpaceDN w:val="0"/>
              <w:spacing w:line="276" w:lineRule="auto"/>
              <w:jc w:val="both"/>
              <w:rPr>
                <w:rFonts w:ascii="Verdana" w:hAnsi="Verdana" w:cs="Arial"/>
                <w:lang w:val="es-ES"/>
              </w:rPr>
            </w:pPr>
            <w:r w:rsidRPr="008D4FB9">
              <w:rPr>
                <w:rFonts w:ascii="Verdana" w:hAnsi="Verdana" w:cs="Arial"/>
              </w:rPr>
              <w:t xml:space="preserve">Manual de la modalidad de selección de mínima cuantía  </w:t>
            </w:r>
            <w:hyperlink r:id="rId11" w:history="1">
              <w:r w:rsidRPr="008D4FB9">
                <w:rPr>
                  <w:rStyle w:val="Hipervnculo"/>
                  <w:rFonts w:ascii="Verdana" w:hAnsi="Verdana" w:cs="Arial"/>
                </w:rPr>
                <w:t>https://www.colombiacompra.gov.co/wp-content/uploads/2024/08/manual_de_la_modalidad_de_seleccion_de_minima_cuantia.pdf</w:t>
              </w:r>
            </w:hyperlink>
          </w:p>
          <w:p w14:paraId="38764441" w14:textId="77777777" w:rsidR="00CD5196" w:rsidRDefault="00CD5196" w:rsidP="00505D6D">
            <w:pPr>
              <w:widowControl w:val="0"/>
              <w:numPr>
                <w:ilvl w:val="0"/>
                <w:numId w:val="16"/>
              </w:numPr>
              <w:tabs>
                <w:tab w:val="left" w:pos="8419"/>
              </w:tabs>
              <w:autoSpaceDE w:val="0"/>
              <w:autoSpaceDN w:val="0"/>
              <w:spacing w:line="276" w:lineRule="auto"/>
              <w:jc w:val="both"/>
              <w:rPr>
                <w:rFonts w:ascii="Verdana" w:hAnsi="Verdana" w:cs="Arial"/>
                <w:lang w:val="es-ES"/>
              </w:rPr>
            </w:pPr>
            <w:r w:rsidRPr="003B6CA3">
              <w:rPr>
                <w:rFonts w:ascii="Verdana" w:hAnsi="Verdana" w:cs="Arial"/>
                <w:lang w:val="es-ES"/>
              </w:rPr>
              <w:t>CONSEJO DE ESTADO. Sección Tercera. Sentencia del 23 de junio de 2010. Rad. 16.367. C.P. Enrique Gil Botero</w:t>
            </w:r>
            <w:r>
              <w:rPr>
                <w:rFonts w:ascii="Verdana" w:hAnsi="Verdana" w:cs="Arial"/>
                <w:lang w:val="es-ES"/>
              </w:rPr>
              <w:t>.</w:t>
            </w:r>
          </w:p>
          <w:p w14:paraId="2C254DC7" w14:textId="77777777" w:rsidR="00CD5196" w:rsidRPr="00F252D7" w:rsidRDefault="00CD5196" w:rsidP="00505D6D">
            <w:pPr>
              <w:widowControl w:val="0"/>
              <w:numPr>
                <w:ilvl w:val="0"/>
                <w:numId w:val="16"/>
              </w:numPr>
              <w:tabs>
                <w:tab w:val="left" w:pos="8419"/>
              </w:tabs>
              <w:autoSpaceDE w:val="0"/>
              <w:autoSpaceDN w:val="0"/>
              <w:spacing w:line="276" w:lineRule="auto"/>
              <w:jc w:val="both"/>
              <w:rPr>
                <w:rFonts w:ascii="Verdana" w:hAnsi="Verdana" w:cs="Arial"/>
                <w:lang w:val="es-ES"/>
              </w:rPr>
            </w:pPr>
            <w:r w:rsidRPr="003B6CA3">
              <w:rPr>
                <w:rFonts w:ascii="Verdana" w:hAnsi="Verdana" w:cs="Arial"/>
                <w:lang w:val="es-ES"/>
              </w:rPr>
              <w:t xml:space="preserve">Consejo de Estado. SALA DE LO CONTENCIOSO ADMINISTRATIVO SECCIÓN TERCERA SUBSECCION B </w:t>
            </w:r>
            <w:proofErr w:type="gramStart"/>
            <w:r w:rsidRPr="003B6CA3">
              <w:rPr>
                <w:rFonts w:ascii="Verdana" w:hAnsi="Verdana" w:cs="Arial"/>
                <w:lang w:val="es-ES"/>
              </w:rPr>
              <w:t>Consejera</w:t>
            </w:r>
            <w:proofErr w:type="gramEnd"/>
            <w:r w:rsidRPr="003B6CA3">
              <w:rPr>
                <w:rFonts w:ascii="Verdana" w:hAnsi="Verdana" w:cs="Arial"/>
                <w:lang w:val="es-ES"/>
              </w:rPr>
              <w:t xml:space="preserve"> ponente: RUTH STELLA CORREA PALACIO Bogotá D.C., veintiocho (28) de mayo de dos mil once (2012) Radicación número: 07001-23-31-000-1999-00546-01(21489)</w:t>
            </w:r>
          </w:p>
        </w:tc>
      </w:tr>
    </w:tbl>
    <w:p w14:paraId="71E4418F" w14:textId="77777777" w:rsidR="00CD5196" w:rsidRPr="00FE1BBF" w:rsidRDefault="00CD5196" w:rsidP="00FE1BBF">
      <w:pPr>
        <w:tabs>
          <w:tab w:val="left" w:pos="142"/>
          <w:tab w:val="left" w:pos="284"/>
        </w:tabs>
        <w:spacing w:after="0" w:line="276" w:lineRule="auto"/>
        <w:jc w:val="both"/>
        <w:rPr>
          <w:rFonts w:ascii="Verdana" w:eastAsia="Century Gothic" w:hAnsi="Verdana" w:cs="Century Gothic"/>
          <w:b/>
          <w:bCs/>
        </w:rPr>
      </w:pPr>
    </w:p>
    <w:p w14:paraId="5CB40B26" w14:textId="77777777" w:rsidR="00CD5196" w:rsidRPr="00FE1BBF" w:rsidRDefault="00CD5196" w:rsidP="00FE1BBF">
      <w:pPr>
        <w:tabs>
          <w:tab w:val="left" w:pos="142"/>
          <w:tab w:val="left" w:pos="284"/>
        </w:tabs>
        <w:spacing w:after="0" w:line="276" w:lineRule="auto"/>
        <w:jc w:val="both"/>
        <w:rPr>
          <w:rFonts w:ascii="Verdana" w:eastAsia="Century Gothic" w:hAnsi="Verdana" w:cs="Century Gothic"/>
          <w:b/>
          <w:bCs/>
          <w:lang w:val="es-ES"/>
        </w:rPr>
      </w:pPr>
      <w:r w:rsidRPr="00FE1BBF">
        <w:rPr>
          <w:rFonts w:ascii="Verdana" w:eastAsia="Century Gothic" w:hAnsi="Verdana" w:cs="Century Gothic"/>
          <w:b/>
          <w:bCs/>
        </w:rPr>
        <w:t xml:space="preserve">5. </w:t>
      </w:r>
      <w:r w:rsidRPr="00FE1BBF">
        <w:rPr>
          <w:rFonts w:ascii="Verdana" w:eastAsia="Century Gothic" w:hAnsi="Verdana" w:cs="Century Gothic"/>
          <w:b/>
          <w:bCs/>
          <w:lang w:val="es-ES"/>
        </w:rPr>
        <w:t>Doctrina de la Agencia Nacional de Contratación Pública:</w:t>
      </w:r>
    </w:p>
    <w:p w14:paraId="021CA8EB" w14:textId="77777777" w:rsidR="00CD5196" w:rsidRPr="00FE1BBF" w:rsidRDefault="00CD5196" w:rsidP="00FE1BBF">
      <w:pPr>
        <w:spacing w:after="0" w:line="276" w:lineRule="auto"/>
        <w:ind w:firstLine="709"/>
        <w:jc w:val="both"/>
        <w:rPr>
          <w:rFonts w:ascii="Verdana" w:eastAsia="Times New Roman" w:hAnsi="Verdana" w:cs="Arial"/>
          <w:szCs w:val="24"/>
          <w:lang w:val="es-ES" w:eastAsia="es-ES_tradnl"/>
        </w:rPr>
      </w:pPr>
    </w:p>
    <w:p w14:paraId="2088F95E" w14:textId="77777777" w:rsidR="00CD5196" w:rsidRPr="00FE1BBF" w:rsidRDefault="00CD5196" w:rsidP="00FE1BBF">
      <w:pPr>
        <w:widowControl w:val="0"/>
        <w:autoSpaceDE w:val="0"/>
        <w:autoSpaceDN w:val="0"/>
        <w:spacing w:after="0" w:line="276" w:lineRule="auto"/>
        <w:jc w:val="both"/>
        <w:rPr>
          <w:rFonts w:ascii="Verdana" w:hAnsi="Verdana" w:cs="Arial"/>
          <w:color w:val="000000" w:themeColor="text1"/>
          <w:shd w:val="clear" w:color="auto" w:fill="FFFFFF"/>
          <w:lang w:val="es-ES"/>
        </w:rPr>
      </w:pPr>
      <w:r w:rsidRPr="00FE1BBF">
        <w:rPr>
          <w:rFonts w:ascii="Verdana" w:eastAsia="Calibri" w:hAnsi="Verdana" w:cs="Arial"/>
          <w:lang w:val="es-ES_tradnl" w:eastAsia="es-ES_tradnl"/>
        </w:rPr>
        <w:t>Sobre la modalidad de selección abreviada se pronunció esta Subdirección en los conceptos C-008 de 2020, C- 365 de 2020, C-024 de 2021, C-568 de 2021 y C-565 de 2022, C-732 del 8 de noviembre de 2022, C-264 del 22 de julio de 2024, C-359 del 9 de septiembre de 2024</w:t>
      </w:r>
      <w:r w:rsidRPr="00FE1BBF">
        <w:rPr>
          <w:rFonts w:ascii="Verdana" w:eastAsia="Calibri" w:hAnsi="Verdana" w:cs="Arial"/>
          <w:lang w:val="es-ES" w:eastAsia="es-ES_tradnl"/>
        </w:rPr>
        <w:t xml:space="preserve">, y C-706 del 12 de noviembre de 2024. Sobre la modalidad de mínima cuantía, esta Agencia expidió los conceptos </w:t>
      </w:r>
      <w:r w:rsidRPr="00FE1BBF">
        <w:rPr>
          <w:rFonts w:ascii="Verdana" w:eastAsia="Arial" w:hAnsi="Verdana" w:cs="Arial"/>
          <w:bCs/>
          <w:lang w:val="es-ES_tradnl" w:eastAsia="es-ES_tradnl"/>
        </w:rPr>
        <w:t xml:space="preserve">2201913000006236 de 26 de agosto de 2019, C–108 del 3 de marzo de 2020, C–121 del 3 de marzo de 2020, C–122 del 25 de marzo de 2020 y C–160 del 3 de abril de 2020, C-465 del 27 de julio de 2020, C-557 del 21 de agosto de </w:t>
      </w:r>
      <w:r w:rsidRPr="00FE1BBF">
        <w:rPr>
          <w:rFonts w:ascii="Verdana" w:eastAsia="Arial" w:hAnsi="Verdana" w:cs="Arial"/>
          <w:bCs/>
          <w:lang w:val="es-ES_tradnl" w:eastAsia="es-ES_tradnl"/>
        </w:rPr>
        <w:lastRenderedPageBreak/>
        <w:t>2020, C-734 del 16 de diciembre de 2020, C-123 del 12 de mayo de 2023</w:t>
      </w:r>
      <w:r w:rsidRPr="00FE1BBF">
        <w:rPr>
          <w:rFonts w:ascii="Verdana" w:hAnsi="Verdana" w:cs="Arial"/>
          <w:shd w:val="clear" w:color="auto" w:fill="FFFFFF"/>
          <w:lang w:val="es-ES_tradnl"/>
        </w:rPr>
        <w:t>,</w:t>
      </w:r>
      <w:r w:rsidRPr="00FE1BBF">
        <w:rPr>
          <w:rFonts w:ascii="Verdana" w:hAnsi="Verdana" w:cs="Arial"/>
          <w:shd w:val="clear" w:color="auto" w:fill="FFFFFF"/>
          <w:lang w:val="es-ES"/>
        </w:rPr>
        <w:t xml:space="preserve"> C-246 del 1 de abril de 2025 y C-416 del 13 de mayo de 2025</w:t>
      </w:r>
      <w:r w:rsidRPr="00FE1BBF">
        <w:rPr>
          <w:rFonts w:ascii="Verdana" w:eastAsia="Calibri" w:hAnsi="Verdana" w:cs="Arial"/>
          <w:lang w:val="es-ES" w:eastAsia="es-ES_tradnl"/>
        </w:rPr>
        <w:t>. Estos</w:t>
      </w:r>
      <w:r w:rsidRPr="00FE1BBF">
        <w:rPr>
          <w:rFonts w:ascii="Verdana" w:hAnsi="Verdana"/>
        </w:rPr>
        <w:t xml:space="preserve"> y otros conceptos se encuentran disponibles para consulta en el Sistema de relatoría de la Agencia, al cual se puede acceder a través del siguiente enlace:</w:t>
      </w:r>
      <w:r w:rsidRPr="00FE1BBF">
        <w:rPr>
          <w:rFonts w:ascii="Verdana" w:hAnsi="Verdana" w:cs="Arial"/>
          <w:shd w:val="clear" w:color="auto" w:fill="FFFFFF"/>
          <w:lang w:val="es-ES"/>
        </w:rPr>
        <w:t xml:space="preserve"> </w:t>
      </w:r>
      <w:hyperlink r:id="rId12" w:history="1">
        <w:r w:rsidRPr="00FE1BBF">
          <w:rPr>
            <w:rFonts w:ascii="Verdana" w:hAnsi="Verdana" w:cs="Arial"/>
            <w:color w:val="0563C1" w:themeColor="hyperlink"/>
            <w:u w:val="single"/>
            <w:shd w:val="clear" w:color="auto" w:fill="FFFFFF"/>
            <w:lang w:val="es-ES"/>
          </w:rPr>
          <w:t>https://relatoria.colombiacompra.gov.co/busqueda/conceptos</w:t>
        </w:r>
      </w:hyperlink>
    </w:p>
    <w:p w14:paraId="38D97AAF" w14:textId="77777777" w:rsidR="00CD5196" w:rsidRPr="00FE1BBF" w:rsidRDefault="00CD5196" w:rsidP="00FD622B">
      <w:pPr>
        <w:spacing w:after="0" w:line="276" w:lineRule="auto"/>
        <w:jc w:val="both"/>
        <w:rPr>
          <w:rFonts w:ascii="Verdana" w:hAnsi="Verdana"/>
        </w:rPr>
      </w:pPr>
    </w:p>
    <w:p w14:paraId="0A446F02" w14:textId="77777777" w:rsidR="00CD5196" w:rsidRPr="00FE1BBF" w:rsidRDefault="00CD5196" w:rsidP="00FD622B">
      <w:pPr>
        <w:spacing w:after="0" w:line="276" w:lineRule="auto"/>
        <w:jc w:val="both"/>
        <w:rPr>
          <w:rFonts w:ascii="Verdana" w:hAnsi="Verdana"/>
        </w:rPr>
      </w:pPr>
      <w:r w:rsidRPr="00FE1BBF">
        <w:rPr>
          <w:rFonts w:ascii="Verdana" w:hAnsi="Verdana"/>
        </w:rPr>
        <w:t xml:space="preserve">Por último, lo invitamos a seguirnos en las redes sociales en las cuales se difunde información institucional: </w:t>
      </w:r>
    </w:p>
    <w:p w14:paraId="7E63549F" w14:textId="77777777" w:rsidR="00CD5196" w:rsidRPr="00FE1BBF" w:rsidRDefault="00CD5196" w:rsidP="00FD622B">
      <w:pPr>
        <w:spacing w:after="0" w:line="276" w:lineRule="auto"/>
        <w:jc w:val="both"/>
        <w:rPr>
          <w:rFonts w:ascii="Verdana" w:hAnsi="Verdana"/>
        </w:rPr>
      </w:pPr>
    </w:p>
    <w:p w14:paraId="43B2611B" w14:textId="77777777" w:rsidR="00CD5196" w:rsidRPr="00FE1BBF" w:rsidRDefault="00CD5196" w:rsidP="00FD622B">
      <w:pPr>
        <w:spacing w:after="0" w:line="276" w:lineRule="auto"/>
        <w:jc w:val="both"/>
        <w:rPr>
          <w:rFonts w:ascii="Verdana" w:hAnsi="Verdana"/>
        </w:rPr>
      </w:pPr>
      <w:r w:rsidRPr="00FE1BBF">
        <w:rPr>
          <w:rFonts w:ascii="Verdana" w:hAnsi="Verdana"/>
        </w:rPr>
        <w:t xml:space="preserve">Twitter: </w:t>
      </w:r>
      <w:r w:rsidRPr="00FE1BBF">
        <w:rPr>
          <w:rFonts w:ascii="Verdana" w:hAnsi="Verdana"/>
          <w:color w:val="4472C4" w:themeColor="accent1"/>
          <w:u w:val="single"/>
        </w:rPr>
        <w:t>@colombiacompra</w:t>
      </w:r>
      <w:r w:rsidRPr="00FE1BBF">
        <w:rPr>
          <w:rFonts w:ascii="Verdana" w:hAnsi="Verdana"/>
          <w:color w:val="4472C4" w:themeColor="accent1"/>
        </w:rPr>
        <w:t xml:space="preserve"> </w:t>
      </w:r>
    </w:p>
    <w:p w14:paraId="2D4420B3" w14:textId="77777777" w:rsidR="00CD5196" w:rsidRPr="00FE1BBF" w:rsidRDefault="00CD5196" w:rsidP="00FD622B">
      <w:pPr>
        <w:spacing w:after="0" w:line="276" w:lineRule="auto"/>
        <w:jc w:val="both"/>
        <w:rPr>
          <w:rFonts w:ascii="Verdana" w:hAnsi="Verdana"/>
        </w:rPr>
      </w:pPr>
      <w:r w:rsidRPr="00FE1BBF">
        <w:rPr>
          <w:rFonts w:ascii="Verdana" w:hAnsi="Verdana"/>
        </w:rPr>
        <w:t xml:space="preserve">Facebook: </w:t>
      </w:r>
      <w:proofErr w:type="spellStart"/>
      <w:r w:rsidRPr="00FE1BBF">
        <w:rPr>
          <w:rFonts w:ascii="Verdana" w:hAnsi="Verdana"/>
          <w:color w:val="4472C4" w:themeColor="accent1"/>
          <w:u w:val="single"/>
        </w:rPr>
        <w:t>ColombiaCompraEficiente</w:t>
      </w:r>
      <w:proofErr w:type="spellEnd"/>
    </w:p>
    <w:p w14:paraId="29A74F57" w14:textId="77777777" w:rsidR="00CD5196" w:rsidRPr="00FE1BBF" w:rsidRDefault="00CD5196" w:rsidP="00FD622B">
      <w:pPr>
        <w:spacing w:after="0" w:line="276" w:lineRule="auto"/>
        <w:jc w:val="both"/>
        <w:rPr>
          <w:rFonts w:ascii="Verdana" w:hAnsi="Verdana"/>
        </w:rPr>
      </w:pPr>
      <w:r w:rsidRPr="00FE1BBF">
        <w:rPr>
          <w:rFonts w:ascii="Verdana" w:hAnsi="Verdana"/>
        </w:rPr>
        <w:t xml:space="preserve">LinkedIn: </w:t>
      </w:r>
      <w:r w:rsidRPr="00FE1BBF">
        <w:rPr>
          <w:rFonts w:ascii="Verdana" w:hAnsi="Verdana"/>
          <w:color w:val="4472C4" w:themeColor="accent1"/>
          <w:u w:val="single"/>
        </w:rPr>
        <w:t>Agencia Nacional de Contratación Pública - Colombia Compra Eficiente</w:t>
      </w:r>
      <w:r w:rsidRPr="00FE1BBF">
        <w:rPr>
          <w:rFonts w:ascii="Verdana" w:hAnsi="Verdana"/>
          <w:color w:val="4472C4" w:themeColor="accent1"/>
        </w:rPr>
        <w:t xml:space="preserve"> </w:t>
      </w:r>
      <w:r w:rsidRPr="00FE1BBF">
        <w:rPr>
          <w:rFonts w:ascii="Verdana" w:hAnsi="Verdana"/>
        </w:rPr>
        <w:t xml:space="preserve">Instagram: </w:t>
      </w:r>
      <w:r w:rsidRPr="00FE1BBF">
        <w:rPr>
          <w:rFonts w:ascii="Verdana" w:hAnsi="Verdana"/>
          <w:color w:val="4472C4" w:themeColor="accent1"/>
          <w:u w:val="single"/>
        </w:rPr>
        <w:t>@colombiacompraeficiente_cce</w:t>
      </w:r>
    </w:p>
    <w:p w14:paraId="129B8E0E" w14:textId="77777777" w:rsidR="00CD5196" w:rsidRPr="00FE1BBF" w:rsidRDefault="00CD5196" w:rsidP="00FE1BBF">
      <w:pPr>
        <w:widowControl w:val="0"/>
        <w:autoSpaceDE w:val="0"/>
        <w:autoSpaceDN w:val="0"/>
        <w:spacing w:after="0" w:line="276" w:lineRule="auto"/>
        <w:jc w:val="both"/>
        <w:rPr>
          <w:rFonts w:ascii="Verdana" w:hAnsi="Verdana" w:cs="Arial"/>
        </w:rPr>
      </w:pPr>
    </w:p>
    <w:p w14:paraId="74A57391" w14:textId="77777777" w:rsidR="00CD5196" w:rsidRPr="00FE1BBF" w:rsidRDefault="00CD5196" w:rsidP="00FE1BBF">
      <w:pPr>
        <w:widowControl w:val="0"/>
        <w:autoSpaceDE w:val="0"/>
        <w:autoSpaceDN w:val="0"/>
        <w:spacing w:after="0" w:line="276" w:lineRule="auto"/>
        <w:jc w:val="both"/>
        <w:rPr>
          <w:rFonts w:ascii="Verdana" w:hAnsi="Verdana" w:cs="Arial"/>
          <w:lang w:val="es-ES_tradnl"/>
        </w:rPr>
      </w:pPr>
      <w:r w:rsidRPr="00FE1BBF">
        <w:rPr>
          <w:rFonts w:ascii="Verdana" w:hAnsi="Verdana" w:cs="Arial"/>
        </w:rPr>
        <w:t xml:space="preserve">Este concepto tiene el alcance previsto en el artículo 28 del Código de Procedimiento Administrativo y de lo Contencioso Administrativo </w:t>
      </w:r>
      <w:r w:rsidRPr="00FE1BBF">
        <w:rPr>
          <w:rFonts w:ascii="Verdana" w:hAnsi="Verdana" w:cs="Arial"/>
          <w:lang w:val="es-ES_tradnl"/>
        </w:rPr>
        <w:t>y las expresiones aquí utilizadas con mayúscula inicial deben ser entendidas con el significado que les otorga el artículo 2.2.1.1.1.3.1. del Decreto 1082 de 2015.</w:t>
      </w:r>
    </w:p>
    <w:p w14:paraId="0A4F82A2" w14:textId="77777777" w:rsidR="00CD5196" w:rsidRPr="00FE1BBF" w:rsidRDefault="00CD5196" w:rsidP="00FE1BBF">
      <w:pPr>
        <w:spacing w:after="0" w:line="276" w:lineRule="auto"/>
        <w:ind w:firstLine="709"/>
        <w:jc w:val="both"/>
        <w:rPr>
          <w:rFonts w:ascii="Verdana" w:eastAsia="Times New Roman" w:hAnsi="Verdana" w:cs="Arial"/>
          <w:szCs w:val="24"/>
          <w:lang w:val="es-ES_tradnl" w:eastAsia="es-ES_tradnl"/>
        </w:rPr>
      </w:pPr>
    </w:p>
    <w:p w14:paraId="27532532" w14:textId="77777777" w:rsidR="00CD5196" w:rsidRPr="00FE1BBF" w:rsidRDefault="00CD5196" w:rsidP="00FE1BBF">
      <w:pPr>
        <w:spacing w:after="0" w:line="276" w:lineRule="auto"/>
        <w:jc w:val="both"/>
        <w:rPr>
          <w:rFonts w:ascii="Verdana" w:eastAsia="Times New Roman" w:hAnsi="Verdana" w:cs="Arial"/>
          <w:lang w:val="es-ES_tradnl" w:eastAsia="es-CO"/>
        </w:rPr>
      </w:pPr>
      <w:bookmarkStart w:id="3" w:name="_Hlk117695077"/>
      <w:r w:rsidRPr="00FE1BBF">
        <w:rPr>
          <w:rFonts w:ascii="Verdana" w:eastAsia="Times New Roman" w:hAnsi="Verdana" w:cs="Arial"/>
          <w:lang w:val="es-ES_tradnl" w:eastAsia="es-CO"/>
        </w:rPr>
        <w:t>Atentamente,</w:t>
      </w:r>
    </w:p>
    <w:bookmarkEnd w:id="3"/>
    <w:p w14:paraId="3BC6A650" w14:textId="37E33A0C" w:rsidR="00CD5196" w:rsidRPr="00F252D7" w:rsidRDefault="00A32497" w:rsidP="00CD5196">
      <w:pPr>
        <w:spacing w:after="18" w:line="240" w:lineRule="auto"/>
        <w:jc w:val="center"/>
        <w:rPr>
          <w:rFonts w:ascii="Verdana" w:eastAsia="Times New Roman" w:hAnsi="Verdana" w:cs="Arial"/>
          <w:sz w:val="24"/>
          <w:szCs w:val="24"/>
          <w:lang w:eastAsia="es-CO"/>
        </w:rPr>
      </w:pPr>
      <w:r w:rsidRPr="002C3AD6">
        <w:rPr>
          <w:rFonts w:ascii="Century Gothic" w:hAnsi="Century Gothic"/>
          <w:noProof/>
        </w:rPr>
        <w:drawing>
          <wp:inline distT="0" distB="0" distL="0" distR="0" wp14:anchorId="2336A59E" wp14:editId="027C6E47">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3"/>
                    <a:stretch>
                      <a:fillRect/>
                    </a:stretch>
                  </pic:blipFill>
                  <pic:spPr>
                    <a:xfrm>
                      <a:off x="0" y="0"/>
                      <a:ext cx="3772426" cy="1400370"/>
                    </a:xfrm>
                    <a:prstGeom prst="rect">
                      <a:avLst/>
                    </a:prstGeom>
                  </pic:spPr>
                </pic:pic>
              </a:graphicData>
            </a:graphic>
          </wp:inline>
        </w:drawing>
      </w:r>
    </w:p>
    <w:p w14:paraId="4EE718EA" w14:textId="77777777" w:rsidR="00CD5196" w:rsidRPr="00F252D7" w:rsidRDefault="00CD5196" w:rsidP="00CD5196">
      <w:pPr>
        <w:spacing w:after="18" w:line="240" w:lineRule="auto"/>
        <w:jc w:val="center"/>
        <w:rPr>
          <w:rFonts w:ascii="Verdana" w:eastAsia="Times New Roman" w:hAnsi="Verdana" w:cs="Arial"/>
          <w:sz w:val="24"/>
          <w:szCs w:val="24"/>
          <w:lang w:eastAsia="es-CO"/>
        </w:rPr>
      </w:pP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217"/>
      </w:tblGrid>
      <w:tr w:rsidR="00CD5196" w:rsidRPr="00F252D7" w14:paraId="1EBBC540" w14:textId="77777777" w:rsidTr="00505D6D">
        <w:trPr>
          <w:trHeight w:val="286"/>
        </w:trPr>
        <w:tc>
          <w:tcPr>
            <w:tcW w:w="886" w:type="dxa"/>
            <w:vAlign w:val="center"/>
            <w:hideMark/>
          </w:tcPr>
          <w:p w14:paraId="12B39849" w14:textId="77777777" w:rsidR="00CD5196" w:rsidRPr="00F252D7" w:rsidRDefault="00CD5196" w:rsidP="00505D6D">
            <w:pPr>
              <w:rPr>
                <w:rFonts w:ascii="Verdana" w:hAnsi="Verdana" w:cs="Arial"/>
                <w:sz w:val="14"/>
                <w:szCs w:val="14"/>
                <w:lang w:eastAsia="es-ES"/>
              </w:rPr>
            </w:pPr>
            <w:r w:rsidRPr="00F252D7">
              <w:rPr>
                <w:rFonts w:ascii="Verdana" w:hAnsi="Verdana" w:cs="Arial"/>
                <w:sz w:val="16"/>
                <w:szCs w:val="16"/>
                <w:lang w:eastAsia="es-ES"/>
              </w:rPr>
              <w:t>Elaboró:</w:t>
            </w:r>
          </w:p>
        </w:tc>
        <w:tc>
          <w:tcPr>
            <w:tcW w:w="4217" w:type="dxa"/>
            <w:tcBorders>
              <w:top w:val="nil"/>
              <w:left w:val="nil"/>
              <w:bottom w:val="dotted" w:sz="4" w:space="0" w:color="7F7F7F"/>
              <w:right w:val="nil"/>
            </w:tcBorders>
            <w:vAlign w:val="center"/>
            <w:hideMark/>
          </w:tcPr>
          <w:p w14:paraId="0EE5E2BE" w14:textId="77777777" w:rsidR="00CD5196" w:rsidRPr="00F252D7" w:rsidRDefault="00CD5196" w:rsidP="00505D6D">
            <w:pPr>
              <w:rPr>
                <w:rFonts w:ascii="Verdana" w:hAnsi="Verdana" w:cs="Arial"/>
                <w:sz w:val="16"/>
                <w:szCs w:val="16"/>
                <w:lang w:val="es-ES_tradnl" w:eastAsia="es-ES"/>
              </w:rPr>
            </w:pPr>
            <w:r w:rsidRPr="00F252D7">
              <w:rPr>
                <w:rFonts w:ascii="Verdana" w:hAnsi="Verdana" w:cs="Arial"/>
                <w:sz w:val="16"/>
                <w:szCs w:val="16"/>
                <w:lang w:val="es-ES_tradnl" w:eastAsia="es-ES"/>
              </w:rPr>
              <w:t>Ximena Ríos López</w:t>
            </w:r>
          </w:p>
          <w:p w14:paraId="24384BAC" w14:textId="77777777" w:rsidR="00CD5196" w:rsidRPr="00F252D7" w:rsidRDefault="00CD5196" w:rsidP="00505D6D">
            <w:pPr>
              <w:rPr>
                <w:rFonts w:ascii="Verdana" w:hAnsi="Verdana" w:cs="Arial"/>
                <w:sz w:val="14"/>
                <w:szCs w:val="14"/>
                <w:lang w:eastAsia="es-ES"/>
              </w:rPr>
            </w:pPr>
            <w:r w:rsidRPr="00F252D7">
              <w:rPr>
                <w:rFonts w:ascii="Verdana" w:hAnsi="Verdana" w:cs="Arial"/>
                <w:sz w:val="16"/>
                <w:szCs w:val="16"/>
                <w:lang w:eastAsia="es-ES"/>
              </w:rPr>
              <w:t>Gestor T1-11 de la Subdirección de Gestión Contractual</w:t>
            </w:r>
          </w:p>
        </w:tc>
      </w:tr>
      <w:tr w:rsidR="00CD5196" w:rsidRPr="00F252D7" w14:paraId="27CB420D" w14:textId="77777777" w:rsidTr="00505D6D">
        <w:trPr>
          <w:trHeight w:val="299"/>
        </w:trPr>
        <w:tc>
          <w:tcPr>
            <w:tcW w:w="886" w:type="dxa"/>
            <w:vAlign w:val="center"/>
            <w:hideMark/>
          </w:tcPr>
          <w:p w14:paraId="248AF1D5" w14:textId="77777777" w:rsidR="00CD5196" w:rsidRPr="00F252D7" w:rsidRDefault="00CD5196" w:rsidP="00505D6D">
            <w:pPr>
              <w:rPr>
                <w:rFonts w:ascii="Verdana" w:hAnsi="Verdana" w:cs="Arial"/>
                <w:sz w:val="14"/>
                <w:szCs w:val="14"/>
                <w:lang w:eastAsia="es-ES"/>
              </w:rPr>
            </w:pPr>
            <w:r w:rsidRPr="00F252D7">
              <w:rPr>
                <w:rFonts w:ascii="Verdana" w:hAnsi="Verdana" w:cs="Arial"/>
                <w:sz w:val="16"/>
                <w:szCs w:val="16"/>
                <w:lang w:eastAsia="es-ES"/>
              </w:rPr>
              <w:t>Revisó:</w:t>
            </w:r>
          </w:p>
        </w:tc>
        <w:tc>
          <w:tcPr>
            <w:tcW w:w="4217" w:type="dxa"/>
            <w:tcBorders>
              <w:top w:val="dotted" w:sz="4" w:space="0" w:color="7F7F7F"/>
              <w:left w:val="nil"/>
              <w:bottom w:val="dotted" w:sz="4" w:space="0" w:color="7F7F7F"/>
              <w:right w:val="nil"/>
            </w:tcBorders>
            <w:vAlign w:val="center"/>
            <w:hideMark/>
          </w:tcPr>
          <w:p w14:paraId="016C3A18" w14:textId="77777777" w:rsidR="00CD5196" w:rsidRPr="00F252D7" w:rsidRDefault="00CD5196" w:rsidP="00505D6D">
            <w:pPr>
              <w:rPr>
                <w:rFonts w:ascii="Verdana" w:hAnsi="Verdana" w:cs="Arial"/>
                <w:sz w:val="16"/>
                <w:szCs w:val="16"/>
                <w:lang w:val="es-ES_tradnl" w:eastAsia="es-ES"/>
              </w:rPr>
            </w:pPr>
            <w:r>
              <w:rPr>
                <w:rFonts w:ascii="Verdana" w:hAnsi="Verdana" w:cs="Arial"/>
                <w:sz w:val="16"/>
                <w:szCs w:val="16"/>
                <w:lang w:val="es-ES_tradnl" w:eastAsia="es-ES"/>
              </w:rPr>
              <w:t>Diana Saavedra</w:t>
            </w:r>
          </w:p>
          <w:p w14:paraId="2FFD69A9" w14:textId="77777777" w:rsidR="00CD5196" w:rsidRPr="00F252D7" w:rsidRDefault="00CD5196" w:rsidP="00505D6D">
            <w:pPr>
              <w:rPr>
                <w:rFonts w:ascii="Verdana" w:hAnsi="Verdana" w:cs="Arial"/>
                <w:sz w:val="14"/>
                <w:szCs w:val="14"/>
                <w:lang w:eastAsia="es-ES"/>
              </w:rPr>
            </w:pPr>
            <w:r w:rsidRPr="00F252D7">
              <w:rPr>
                <w:rFonts w:ascii="Verdana" w:hAnsi="Verdana" w:cs="Arial"/>
                <w:sz w:val="16"/>
                <w:szCs w:val="16"/>
                <w:lang w:eastAsia="es-ES"/>
              </w:rPr>
              <w:t>Contratista de la Subdirección de Gestión Contractual</w:t>
            </w:r>
          </w:p>
        </w:tc>
      </w:tr>
      <w:tr w:rsidR="00CD5196" w:rsidRPr="00F252D7" w14:paraId="1376650B" w14:textId="77777777" w:rsidTr="00505D6D">
        <w:trPr>
          <w:trHeight w:val="272"/>
        </w:trPr>
        <w:tc>
          <w:tcPr>
            <w:tcW w:w="886" w:type="dxa"/>
            <w:vAlign w:val="center"/>
            <w:hideMark/>
          </w:tcPr>
          <w:p w14:paraId="3BB1C0E8" w14:textId="77777777" w:rsidR="00CD5196" w:rsidRPr="00F252D7" w:rsidRDefault="00CD5196" w:rsidP="00505D6D">
            <w:pPr>
              <w:rPr>
                <w:rFonts w:ascii="Verdana" w:hAnsi="Verdana" w:cs="Arial"/>
                <w:sz w:val="14"/>
                <w:szCs w:val="14"/>
                <w:lang w:eastAsia="es-ES"/>
              </w:rPr>
            </w:pPr>
            <w:r w:rsidRPr="00F252D7">
              <w:rPr>
                <w:rFonts w:ascii="Verdana" w:hAnsi="Verdana" w:cs="Arial"/>
                <w:sz w:val="16"/>
                <w:szCs w:val="16"/>
                <w:lang w:eastAsia="es-ES"/>
              </w:rPr>
              <w:t>Aprobó:</w:t>
            </w:r>
          </w:p>
        </w:tc>
        <w:tc>
          <w:tcPr>
            <w:tcW w:w="4217" w:type="dxa"/>
            <w:tcBorders>
              <w:top w:val="dotted" w:sz="4" w:space="0" w:color="7F7F7F"/>
              <w:left w:val="nil"/>
              <w:bottom w:val="dotted" w:sz="4" w:space="0" w:color="7F7F7F"/>
              <w:right w:val="nil"/>
            </w:tcBorders>
            <w:vAlign w:val="center"/>
            <w:hideMark/>
          </w:tcPr>
          <w:p w14:paraId="2D424DC0" w14:textId="77777777" w:rsidR="00CD5196" w:rsidRPr="00F252D7" w:rsidRDefault="00CD5196" w:rsidP="00505D6D">
            <w:pPr>
              <w:rPr>
                <w:rFonts w:ascii="Verdana" w:hAnsi="Verdana" w:cs="Arial"/>
                <w:sz w:val="16"/>
                <w:szCs w:val="16"/>
                <w:lang w:eastAsia="es-ES"/>
              </w:rPr>
            </w:pPr>
            <w:r w:rsidRPr="00F252D7">
              <w:rPr>
                <w:rFonts w:ascii="Verdana" w:hAnsi="Verdana" w:cs="Arial"/>
                <w:sz w:val="16"/>
                <w:szCs w:val="16"/>
                <w:lang w:eastAsia="es-ES"/>
              </w:rPr>
              <w:t xml:space="preserve">Carolina Quintero </w:t>
            </w:r>
            <w:proofErr w:type="spellStart"/>
            <w:r w:rsidRPr="00F252D7">
              <w:rPr>
                <w:rFonts w:ascii="Verdana" w:hAnsi="Verdana" w:cs="Arial"/>
                <w:sz w:val="16"/>
                <w:szCs w:val="16"/>
                <w:lang w:eastAsia="es-ES"/>
              </w:rPr>
              <w:t>Gacharná</w:t>
            </w:r>
            <w:proofErr w:type="spellEnd"/>
          </w:p>
          <w:p w14:paraId="63AD893A" w14:textId="77777777" w:rsidR="00CD5196" w:rsidRPr="00F252D7" w:rsidRDefault="00CD5196" w:rsidP="00505D6D">
            <w:pPr>
              <w:rPr>
                <w:rFonts w:ascii="Verdana" w:hAnsi="Verdana" w:cs="Arial"/>
                <w:sz w:val="14"/>
                <w:szCs w:val="14"/>
                <w:lang w:eastAsia="es-ES"/>
              </w:rPr>
            </w:pPr>
            <w:r w:rsidRPr="00F252D7">
              <w:rPr>
                <w:rFonts w:ascii="Verdana" w:hAnsi="Verdana" w:cs="Arial"/>
                <w:sz w:val="16"/>
                <w:szCs w:val="16"/>
                <w:lang w:eastAsia="es-ES"/>
              </w:rPr>
              <w:t>Subdirectora de Gestión Contractual ANCP – CCE</w:t>
            </w:r>
          </w:p>
        </w:tc>
      </w:tr>
    </w:tbl>
    <w:p w14:paraId="400F0AD9" w14:textId="77777777" w:rsidR="00CD5196" w:rsidRPr="00F252D7" w:rsidRDefault="00CD5196" w:rsidP="00CD5196">
      <w:pPr>
        <w:spacing w:after="0" w:line="276" w:lineRule="auto"/>
        <w:jc w:val="both"/>
        <w:rPr>
          <w:rFonts w:ascii="Verdana" w:eastAsia="Times New Roman" w:hAnsi="Verdana" w:cs="Arial"/>
          <w:lang w:val="es-ES_tradnl"/>
        </w:rPr>
      </w:pPr>
    </w:p>
    <w:p w14:paraId="1C1FF4FC" w14:textId="77777777" w:rsidR="00CD5196" w:rsidRPr="00F252D7" w:rsidRDefault="00CD5196" w:rsidP="00CD5196">
      <w:pPr>
        <w:spacing w:after="0" w:line="240" w:lineRule="auto"/>
        <w:rPr>
          <w:rFonts w:ascii="Verdana" w:eastAsia="Times New Roman" w:hAnsi="Verdana" w:cs="Arial"/>
          <w:sz w:val="24"/>
          <w:szCs w:val="24"/>
          <w:lang w:eastAsia="es-ES_tradnl"/>
        </w:rPr>
      </w:pPr>
    </w:p>
    <w:p w14:paraId="11062C56" w14:textId="77777777" w:rsidR="00CD5196" w:rsidRPr="00F252D7" w:rsidRDefault="00CD5196" w:rsidP="00CD5196">
      <w:pPr>
        <w:rPr>
          <w:rFonts w:ascii="Verdana" w:hAnsi="Verdana"/>
        </w:rPr>
      </w:pPr>
    </w:p>
    <w:p w14:paraId="34DF88FA" w14:textId="77777777" w:rsidR="00CD5196" w:rsidRPr="0044528D" w:rsidRDefault="00CD5196" w:rsidP="00CD5196">
      <w:pPr>
        <w:spacing w:after="0"/>
        <w:jc w:val="both"/>
        <w:rPr>
          <w:rStyle w:val="Hipervnculo"/>
          <w:rFonts w:ascii="Verdana" w:hAnsi="Verdana"/>
        </w:rPr>
      </w:pPr>
    </w:p>
    <w:p w14:paraId="7E96BF53" w14:textId="77777777" w:rsidR="00CD5196" w:rsidRPr="0044528D" w:rsidRDefault="00CD5196" w:rsidP="00CD5196">
      <w:pPr>
        <w:spacing w:after="0"/>
        <w:jc w:val="both"/>
        <w:rPr>
          <w:rStyle w:val="Hipervnculo"/>
          <w:rFonts w:ascii="Verdana" w:hAnsi="Verdana"/>
        </w:rPr>
      </w:pPr>
    </w:p>
    <w:p w14:paraId="7836D18E" w14:textId="77777777" w:rsidR="00CD5196" w:rsidRPr="0044528D" w:rsidRDefault="00CD5196" w:rsidP="00CD5196">
      <w:pPr>
        <w:spacing w:after="0"/>
        <w:jc w:val="both"/>
        <w:rPr>
          <w:rStyle w:val="Hipervnculo"/>
          <w:rFonts w:ascii="Verdana" w:hAnsi="Verdana"/>
        </w:rPr>
      </w:pPr>
    </w:p>
    <w:bookmarkEnd w:id="0"/>
    <w:p w14:paraId="6A121EE8" w14:textId="77777777" w:rsidR="00CD5196" w:rsidRPr="0044528D" w:rsidRDefault="00CD5196" w:rsidP="00CD5196">
      <w:pPr>
        <w:spacing w:after="0" w:line="240" w:lineRule="auto"/>
        <w:jc w:val="both"/>
        <w:textAlignment w:val="baseline"/>
        <w:rPr>
          <w:rFonts w:ascii="Verdana" w:eastAsia="Times New Roman" w:hAnsi="Verdana" w:cs="Segoe UI"/>
          <w:sz w:val="18"/>
          <w:szCs w:val="18"/>
          <w:lang w:eastAsia="es-CO"/>
        </w:rPr>
      </w:pPr>
      <w:r w:rsidRPr="0044528D">
        <w:rPr>
          <w:rFonts w:ascii="Verdana" w:eastAsia="Times New Roman" w:hAnsi="Verdana" w:cs="Segoe UI"/>
          <w:lang w:eastAsia="es-CO"/>
        </w:rPr>
        <w:t> </w:t>
      </w:r>
    </w:p>
    <w:p w14:paraId="5438A0E4" w14:textId="77777777" w:rsidR="00CD5196" w:rsidRPr="0044528D" w:rsidRDefault="00CD5196" w:rsidP="00CD5196">
      <w:pPr>
        <w:spacing w:after="0" w:line="240" w:lineRule="auto"/>
        <w:textAlignment w:val="baseline"/>
        <w:rPr>
          <w:rFonts w:ascii="Verdana" w:eastAsia="Times New Roman" w:hAnsi="Verdana" w:cs="Segoe UI"/>
          <w:sz w:val="18"/>
          <w:szCs w:val="18"/>
          <w:lang w:eastAsia="es-CO"/>
        </w:rPr>
      </w:pPr>
      <w:r w:rsidRPr="0044528D">
        <w:rPr>
          <w:rFonts w:ascii="Verdana" w:eastAsia="Times New Roman" w:hAnsi="Verdana" w:cs="Segoe UI"/>
          <w:color w:val="404040"/>
          <w:lang w:eastAsia="es-CO"/>
        </w:rPr>
        <w:t> </w:t>
      </w:r>
    </w:p>
    <w:p w14:paraId="1B813946" w14:textId="77777777" w:rsidR="00CD5196" w:rsidRPr="0044528D" w:rsidRDefault="00CD5196" w:rsidP="00CD5196">
      <w:pPr>
        <w:spacing w:after="0" w:line="240" w:lineRule="auto"/>
        <w:textAlignment w:val="baseline"/>
        <w:rPr>
          <w:rFonts w:ascii="Verdana" w:eastAsia="Times New Roman" w:hAnsi="Verdana" w:cs="Segoe UI"/>
          <w:sz w:val="18"/>
          <w:szCs w:val="18"/>
          <w:lang w:eastAsia="es-CO"/>
        </w:rPr>
      </w:pPr>
      <w:r w:rsidRPr="0044528D">
        <w:rPr>
          <w:rFonts w:ascii="Verdana" w:eastAsia="Times New Roman" w:hAnsi="Verdana" w:cs="Segoe UI"/>
          <w:color w:val="404040"/>
          <w:lang w:eastAsia="es-CO"/>
        </w:rPr>
        <w:t> </w:t>
      </w:r>
    </w:p>
    <w:p w14:paraId="477F023A" w14:textId="77777777" w:rsidR="00CD5196" w:rsidRPr="0044528D" w:rsidRDefault="00CD5196" w:rsidP="00CD5196">
      <w:pPr>
        <w:spacing w:after="0" w:line="240" w:lineRule="auto"/>
        <w:textAlignment w:val="baseline"/>
        <w:rPr>
          <w:rFonts w:ascii="Verdana" w:eastAsia="Times New Roman" w:hAnsi="Verdana" w:cs="Segoe UI"/>
          <w:sz w:val="18"/>
          <w:szCs w:val="18"/>
          <w:lang w:eastAsia="es-CO"/>
        </w:rPr>
      </w:pPr>
    </w:p>
    <w:p w14:paraId="6E855611" w14:textId="77777777" w:rsidR="00CD5196" w:rsidRPr="0044528D" w:rsidRDefault="00CD5196" w:rsidP="00CD5196">
      <w:pPr>
        <w:spacing w:after="0" w:line="240" w:lineRule="auto"/>
        <w:textAlignment w:val="baseline"/>
        <w:rPr>
          <w:rFonts w:ascii="Verdana" w:eastAsia="Times New Roman" w:hAnsi="Verdana" w:cs="Segoe UI"/>
          <w:sz w:val="18"/>
          <w:szCs w:val="18"/>
          <w:lang w:eastAsia="es-CO"/>
        </w:rPr>
      </w:pPr>
      <w:r w:rsidRPr="0044528D">
        <w:rPr>
          <w:rFonts w:ascii="Verdana" w:eastAsia="Times New Roman" w:hAnsi="Verdana" w:cs="Segoe UI"/>
          <w:color w:val="404040"/>
          <w:lang w:eastAsia="es-CO"/>
        </w:rPr>
        <w:t> </w:t>
      </w:r>
    </w:p>
    <w:p w14:paraId="0C43B2B4" w14:textId="77777777" w:rsidR="00CD5196" w:rsidRPr="0044528D" w:rsidRDefault="00CD5196" w:rsidP="00CD5196">
      <w:pPr>
        <w:spacing w:after="0" w:line="240" w:lineRule="auto"/>
        <w:ind w:firstLine="2850"/>
        <w:jc w:val="both"/>
        <w:textAlignment w:val="baseline"/>
        <w:rPr>
          <w:rFonts w:ascii="Verdana" w:eastAsia="Times New Roman" w:hAnsi="Verdana" w:cs="Segoe UI"/>
          <w:color w:val="000000"/>
          <w:sz w:val="18"/>
          <w:szCs w:val="18"/>
          <w:lang w:eastAsia="es-CO"/>
        </w:rPr>
      </w:pPr>
      <w:r w:rsidRPr="0044528D">
        <w:rPr>
          <w:rFonts w:ascii="Verdana" w:eastAsia="Times New Roman" w:hAnsi="Verdana" w:cs="Segoe UI"/>
          <w:color w:val="000000"/>
          <w:lang w:eastAsia="es-CO"/>
        </w:rPr>
        <w:t> </w:t>
      </w:r>
    </w:p>
    <w:p w14:paraId="1C2B65DB" w14:textId="77777777" w:rsidR="00CD5196" w:rsidRPr="0044528D" w:rsidRDefault="00CD5196" w:rsidP="00CD5196">
      <w:pPr>
        <w:spacing w:after="0" w:line="240" w:lineRule="auto"/>
        <w:jc w:val="both"/>
        <w:textAlignment w:val="baseline"/>
        <w:rPr>
          <w:rFonts w:ascii="Verdana" w:eastAsia="Times New Roman" w:hAnsi="Verdana" w:cs="Segoe UI"/>
          <w:sz w:val="18"/>
          <w:szCs w:val="18"/>
          <w:lang w:eastAsia="es-CO"/>
        </w:rPr>
      </w:pPr>
      <w:r w:rsidRPr="0044528D">
        <w:rPr>
          <w:rFonts w:ascii="Verdana" w:eastAsia="Times New Roman" w:hAnsi="Verdana" w:cs="Segoe UI"/>
          <w:lang w:eastAsia="es-CO"/>
        </w:rPr>
        <w:t> </w:t>
      </w:r>
    </w:p>
    <w:p w14:paraId="47EF3A74" w14:textId="77777777" w:rsidR="00CD5196" w:rsidRPr="0044528D" w:rsidRDefault="00CD5196" w:rsidP="00CD5196">
      <w:pPr>
        <w:spacing w:after="0" w:line="240" w:lineRule="auto"/>
        <w:jc w:val="both"/>
        <w:textAlignment w:val="baseline"/>
        <w:rPr>
          <w:rFonts w:ascii="Verdana" w:eastAsia="Times New Roman" w:hAnsi="Verdana" w:cs="Segoe UI"/>
          <w:sz w:val="18"/>
          <w:szCs w:val="18"/>
          <w:lang w:eastAsia="es-CO"/>
        </w:rPr>
      </w:pPr>
      <w:r w:rsidRPr="0044528D">
        <w:rPr>
          <w:rFonts w:ascii="Verdana" w:eastAsia="Times New Roman" w:hAnsi="Verdana" w:cs="Segoe UI"/>
          <w:lang w:eastAsia="es-CO"/>
        </w:rPr>
        <w:t> </w:t>
      </w:r>
    </w:p>
    <w:p w14:paraId="3FA26150" w14:textId="77777777" w:rsidR="00CD5196" w:rsidRPr="0044528D" w:rsidRDefault="00CD5196" w:rsidP="00CD5196">
      <w:pPr>
        <w:spacing w:after="0" w:line="240" w:lineRule="auto"/>
        <w:jc w:val="both"/>
        <w:textAlignment w:val="baseline"/>
        <w:rPr>
          <w:rFonts w:ascii="Verdana" w:eastAsia="Times New Roman" w:hAnsi="Verdana" w:cs="Segoe UI"/>
          <w:sz w:val="18"/>
          <w:szCs w:val="18"/>
          <w:lang w:eastAsia="es-CO"/>
        </w:rPr>
      </w:pPr>
      <w:r w:rsidRPr="0044528D">
        <w:rPr>
          <w:rFonts w:ascii="Verdana" w:eastAsia="Times New Roman" w:hAnsi="Verdana" w:cs="Segoe UI"/>
          <w:lang w:eastAsia="es-CO"/>
        </w:rPr>
        <w:t> </w:t>
      </w:r>
    </w:p>
    <w:p w14:paraId="537C067D" w14:textId="77777777" w:rsidR="00CD5196" w:rsidRPr="0044528D" w:rsidRDefault="00CD5196" w:rsidP="00CD5196">
      <w:pPr>
        <w:spacing w:after="0" w:line="240" w:lineRule="auto"/>
        <w:jc w:val="both"/>
        <w:textAlignment w:val="baseline"/>
        <w:rPr>
          <w:rFonts w:ascii="Verdana" w:eastAsia="Times New Roman" w:hAnsi="Verdana" w:cs="Segoe UI"/>
          <w:sz w:val="18"/>
          <w:szCs w:val="18"/>
          <w:lang w:eastAsia="es-CO"/>
        </w:rPr>
      </w:pPr>
      <w:r w:rsidRPr="0044528D">
        <w:rPr>
          <w:rFonts w:ascii="Verdana" w:eastAsia="Times New Roman" w:hAnsi="Verdana" w:cs="Segoe UI"/>
          <w:lang w:eastAsia="es-CO"/>
        </w:rPr>
        <w:t>  </w:t>
      </w:r>
    </w:p>
    <w:p w14:paraId="5811CDBD" w14:textId="77777777" w:rsidR="00CD5196" w:rsidRPr="0044528D" w:rsidRDefault="00CD5196" w:rsidP="00CD5196">
      <w:pPr>
        <w:spacing w:after="0"/>
        <w:jc w:val="both"/>
        <w:rPr>
          <w:rFonts w:ascii="Verdana" w:hAnsi="Verdana"/>
        </w:rPr>
      </w:pPr>
    </w:p>
    <w:p w14:paraId="3E0EADD1" w14:textId="77777777" w:rsidR="00CD5196" w:rsidRPr="003B0CAB" w:rsidRDefault="00CD5196" w:rsidP="00CD5196"/>
    <w:p w14:paraId="542F02D1" w14:textId="77777777" w:rsidR="00CD5196" w:rsidRPr="00EB5968" w:rsidRDefault="00CD5196" w:rsidP="00CD5196"/>
    <w:p w14:paraId="2A8BE83D" w14:textId="77777777" w:rsidR="003D5B0D" w:rsidRPr="00CD5196" w:rsidRDefault="003D5B0D" w:rsidP="00CD5196"/>
    <w:sectPr w:rsidR="003D5B0D" w:rsidRPr="00CD5196"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FAD54" w14:textId="77777777" w:rsidR="00B061EA" w:rsidRDefault="00B061EA" w:rsidP="004A1847">
      <w:pPr>
        <w:spacing w:after="0" w:line="240" w:lineRule="auto"/>
      </w:pPr>
      <w:r>
        <w:separator/>
      </w:r>
    </w:p>
  </w:endnote>
  <w:endnote w:type="continuationSeparator" w:id="0">
    <w:p w14:paraId="5C7A3E50" w14:textId="77777777" w:rsidR="00B061EA" w:rsidRDefault="00B061E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22463" w14:textId="77777777" w:rsidR="004A1847" w:rsidRDefault="004A1847">
    <w:pPr>
      <w:pStyle w:val="Piedepgina"/>
    </w:pPr>
  </w:p>
  <w:p w14:paraId="1A0AEC6B"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301C817D"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50A0703A"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35FE366A" w14:textId="77777777"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7BB99" w14:textId="77777777" w:rsidR="00B061EA" w:rsidRDefault="00B061EA" w:rsidP="004A1847">
      <w:pPr>
        <w:spacing w:after="0" w:line="240" w:lineRule="auto"/>
      </w:pPr>
      <w:r>
        <w:separator/>
      </w:r>
    </w:p>
  </w:footnote>
  <w:footnote w:type="continuationSeparator" w:id="0">
    <w:p w14:paraId="611E1DDF" w14:textId="77777777" w:rsidR="00B061EA" w:rsidRDefault="00B061EA" w:rsidP="004A1847">
      <w:pPr>
        <w:spacing w:after="0" w:line="240" w:lineRule="auto"/>
      </w:pPr>
      <w:r>
        <w:continuationSeparator/>
      </w:r>
    </w:p>
  </w:footnote>
  <w:footnote w:id="1">
    <w:p w14:paraId="54593D9B" w14:textId="77777777" w:rsidR="00CD5196" w:rsidRPr="0014488E" w:rsidRDefault="00CD5196" w:rsidP="00CD5196">
      <w:pPr>
        <w:pStyle w:val="Textonotapie"/>
        <w:ind w:firstLine="708"/>
        <w:jc w:val="both"/>
        <w:rPr>
          <w:rFonts w:ascii="Verdana" w:hAnsi="Verdana" w:cs="Arial"/>
          <w:color w:val="000000"/>
          <w:sz w:val="10"/>
          <w:szCs w:val="10"/>
          <w:lang w:val="es-CO"/>
        </w:rPr>
      </w:pPr>
      <w:r w:rsidRPr="0014488E">
        <w:rPr>
          <w:rStyle w:val="Refdenotaalpie"/>
          <w:rFonts w:ascii="Verdana" w:hAnsi="Verdana" w:cs="Arial"/>
          <w:color w:val="000000"/>
          <w:sz w:val="10"/>
          <w:szCs w:val="10"/>
        </w:rPr>
        <w:footnoteRef/>
      </w:r>
      <w:r w:rsidRPr="0014488E">
        <w:rPr>
          <w:rFonts w:ascii="Verdana" w:hAnsi="Verdana" w:cs="Arial"/>
          <w:color w:val="000000"/>
          <w:sz w:val="10"/>
          <w:szCs w:val="10"/>
        </w:rPr>
        <w:t xml:space="preserve"> </w:t>
      </w:r>
      <w:r w:rsidRPr="0014488E">
        <w:rPr>
          <w:rFonts w:ascii="Verdana" w:hAnsi="Verdana" w:cs="Arial"/>
          <w:color w:val="000000"/>
          <w:sz w:val="10"/>
          <w:szCs w:val="10"/>
          <w:lang w:val="es-CO"/>
        </w:rPr>
        <w:t xml:space="preserve">Manual de la Modalidad de Selección de Mínima Cuantía de Colombia Compra Eficiente, numeral 12.2.  </w:t>
      </w:r>
    </w:p>
    <w:p w14:paraId="7E9D4E27" w14:textId="77777777" w:rsidR="00CD5196" w:rsidRPr="0014488E" w:rsidRDefault="00CD5196" w:rsidP="00CD5196">
      <w:pPr>
        <w:pStyle w:val="Textonotapie"/>
        <w:ind w:firstLine="708"/>
        <w:jc w:val="both"/>
        <w:rPr>
          <w:rFonts w:ascii="Verdana" w:hAnsi="Verdana" w:cs="Arial"/>
          <w:color w:val="000000"/>
          <w:sz w:val="10"/>
          <w:szCs w:val="10"/>
          <w:lang w:val="es-CO"/>
        </w:rPr>
      </w:pPr>
    </w:p>
  </w:footnote>
  <w:footnote w:id="2">
    <w:p w14:paraId="73CC2F1E" w14:textId="77777777" w:rsidR="00CD5196" w:rsidRPr="0014488E" w:rsidRDefault="00CD5196" w:rsidP="00CD5196">
      <w:pPr>
        <w:pStyle w:val="Textonotapie"/>
        <w:ind w:firstLine="708"/>
        <w:jc w:val="both"/>
        <w:rPr>
          <w:rFonts w:ascii="Verdana" w:hAnsi="Verdana"/>
          <w:sz w:val="10"/>
          <w:szCs w:val="10"/>
        </w:rPr>
      </w:pPr>
      <w:r w:rsidRPr="0014488E">
        <w:rPr>
          <w:rStyle w:val="Refdenotaalpie"/>
          <w:rFonts w:ascii="Verdana" w:hAnsi="Verdana"/>
          <w:sz w:val="10"/>
          <w:szCs w:val="10"/>
        </w:rPr>
        <w:footnoteRef/>
      </w:r>
      <w:r w:rsidRPr="0014488E">
        <w:rPr>
          <w:rFonts w:ascii="Verdana" w:hAnsi="Verdana"/>
          <w:sz w:val="10"/>
          <w:szCs w:val="10"/>
        </w:rPr>
        <w:t xml:space="preserve"> Al respecto, la jurisprudencia explica que la garantía del debido proceso “[…] tampoco es exclusiva de los procedimientos sancionatorios contractuales, sino de los demás trámites administrativos que se surten al interior de la actividad contractual, que también deben garantizar un procedimiento previo que racionalice las decisiones que se adoptan a través suyo. Los más representativos son los procesos de selección de contratistas, cuyas etapas y requisitos son de estricta observancia, tanto para la administración como para los participantes, en señal de respeto al principio de legalidad como a este derecho que integra el debido proceso” (CONSEJO DE ESTADO. Sección Tercera. Sentencia del 23 de junio de 2010. Rad. 16.367. C.P. Enrique Gil Botero).</w:t>
      </w:r>
    </w:p>
  </w:footnote>
  <w:footnote w:id="3">
    <w:p w14:paraId="7B3882F6" w14:textId="77777777" w:rsidR="00CD5196" w:rsidRPr="0014488E" w:rsidRDefault="00CD5196" w:rsidP="00CD5196">
      <w:pPr>
        <w:pStyle w:val="Textonotapie"/>
        <w:ind w:firstLine="708"/>
        <w:jc w:val="both"/>
        <w:rPr>
          <w:rFonts w:ascii="Verdana" w:hAnsi="Verdana"/>
          <w:sz w:val="10"/>
          <w:szCs w:val="10"/>
        </w:rPr>
      </w:pPr>
      <w:r w:rsidRPr="0014488E">
        <w:rPr>
          <w:rStyle w:val="Refdenotaalpie"/>
          <w:rFonts w:ascii="Verdana" w:hAnsi="Verdana"/>
          <w:sz w:val="10"/>
          <w:szCs w:val="10"/>
        </w:rPr>
        <w:footnoteRef/>
      </w:r>
      <w:r w:rsidRPr="0014488E">
        <w:rPr>
          <w:rFonts w:ascii="Verdana" w:hAnsi="Verdana"/>
          <w:sz w:val="10"/>
          <w:szCs w:val="10"/>
        </w:rPr>
        <w:t xml:space="preserve"> Consejo de Estado. SALA DE LO CONTENCIOSO ADMINISTRATIVO SECCIÓN TERCERA SUBSECCION B Consejera ponente: RUTH STELLA CORREA PALACIO Bogotá D.C., veintiocho (28) de mayo de dos mil once (2012) Radicación número: 07001-23-31-000-1999-00546-01(21489)</w:t>
      </w:r>
    </w:p>
    <w:p w14:paraId="42051B51" w14:textId="77777777" w:rsidR="00CD5196" w:rsidRPr="0014488E" w:rsidRDefault="00CD5196" w:rsidP="00CD5196">
      <w:pPr>
        <w:pStyle w:val="Textonotapie"/>
        <w:ind w:firstLine="708"/>
        <w:jc w:val="both"/>
        <w:rPr>
          <w:rFonts w:ascii="Verdana" w:hAnsi="Verdana"/>
          <w:sz w:val="10"/>
          <w:szCs w:val="10"/>
        </w:rPr>
      </w:pPr>
    </w:p>
  </w:footnote>
  <w:footnote w:id="4">
    <w:p w14:paraId="58F5C751" w14:textId="77777777" w:rsidR="00CD5196" w:rsidRPr="0014488E" w:rsidRDefault="00CD5196" w:rsidP="00CD5196">
      <w:pPr>
        <w:pStyle w:val="Textonotapie"/>
        <w:ind w:firstLine="708"/>
        <w:jc w:val="both"/>
        <w:rPr>
          <w:rFonts w:ascii="Verdana" w:hAnsi="Verdana"/>
          <w:sz w:val="10"/>
          <w:szCs w:val="10"/>
        </w:rPr>
      </w:pPr>
      <w:r w:rsidRPr="0014488E">
        <w:rPr>
          <w:rStyle w:val="Refdenotaalpie"/>
          <w:rFonts w:ascii="Verdana" w:hAnsi="Verdana"/>
          <w:sz w:val="10"/>
          <w:szCs w:val="10"/>
        </w:rPr>
        <w:footnoteRef/>
      </w:r>
      <w:r w:rsidRPr="0014488E">
        <w:rPr>
          <w:rFonts w:ascii="Verdana" w:hAnsi="Verdana"/>
          <w:sz w:val="10"/>
          <w:szCs w:val="10"/>
        </w:rPr>
        <w:t xml:space="preserve"> Ley 489 de 1998. Artículo 3 “Principios de la función administrativa. La función administrativa se desarrollará conforme a los principios constitucionales, en particular los atinentes a la buena fe, igualdad, moralidad, celeridad, economía, imparcialidad, eficacia, eficiencia, participación, publicidad, responsabilidad y transparencia. Los principios anteriores se aplicarán, igualmente, en la prestación de servicios públicos, en cuánto fueren compatibles con su naturaleza y régimen”</w:t>
      </w:r>
    </w:p>
    <w:p w14:paraId="67EC66E9" w14:textId="77777777" w:rsidR="00CD5196" w:rsidRPr="0014488E" w:rsidRDefault="00CD5196" w:rsidP="00CD5196">
      <w:pPr>
        <w:pStyle w:val="Textonotapie"/>
        <w:ind w:firstLine="708"/>
        <w:jc w:val="both"/>
        <w:rPr>
          <w:rFonts w:ascii="Verdana" w:hAnsi="Verdana"/>
          <w:sz w:val="10"/>
          <w:szCs w:val="10"/>
        </w:rPr>
      </w:pPr>
    </w:p>
  </w:footnote>
  <w:footnote w:id="5">
    <w:p w14:paraId="7334D57A" w14:textId="77777777" w:rsidR="00CD5196" w:rsidRPr="0014488E" w:rsidRDefault="00CD5196" w:rsidP="00CD5196">
      <w:pPr>
        <w:pStyle w:val="Textonotapie"/>
        <w:ind w:firstLine="708"/>
        <w:jc w:val="both"/>
        <w:rPr>
          <w:rFonts w:ascii="Verdana" w:hAnsi="Verdana"/>
          <w:sz w:val="10"/>
          <w:szCs w:val="10"/>
        </w:rPr>
      </w:pPr>
      <w:r w:rsidRPr="0014488E">
        <w:rPr>
          <w:rStyle w:val="Refdenotaalpie"/>
          <w:rFonts w:ascii="Verdana" w:hAnsi="Verdana"/>
          <w:sz w:val="10"/>
          <w:szCs w:val="10"/>
        </w:rPr>
        <w:footnoteRef/>
      </w:r>
      <w:r w:rsidRPr="0014488E">
        <w:rPr>
          <w:rFonts w:ascii="Verdana" w:hAnsi="Verdana"/>
          <w:sz w:val="10"/>
          <w:szCs w:val="10"/>
        </w:rPr>
        <w:t xml:space="preserve"> Decreto 403 de 2020. Artículo 3 “Principios de la vigilancia y el control fiscal. La vigilancia y el control fiscal se fundamentan en los siguientes principios: […]”</w:t>
      </w:r>
    </w:p>
    <w:p w14:paraId="4CEEAB8C" w14:textId="77777777" w:rsidR="00CD5196" w:rsidRPr="0014488E" w:rsidRDefault="00CD5196" w:rsidP="00CD5196">
      <w:pPr>
        <w:pStyle w:val="Textonotapie"/>
        <w:ind w:firstLine="708"/>
        <w:jc w:val="both"/>
        <w:rPr>
          <w:rFonts w:ascii="Verdana" w:hAnsi="Verdana"/>
          <w:sz w:val="10"/>
          <w:szCs w:val="10"/>
        </w:rPr>
      </w:pPr>
    </w:p>
  </w:footnote>
  <w:footnote w:id="6">
    <w:p w14:paraId="7B37E802" w14:textId="77777777" w:rsidR="00CD5196" w:rsidRPr="0014488E" w:rsidRDefault="00CD5196" w:rsidP="00CD5196">
      <w:pPr>
        <w:pStyle w:val="Textonotapie"/>
        <w:ind w:firstLine="708"/>
        <w:jc w:val="both"/>
        <w:rPr>
          <w:rFonts w:ascii="Verdana" w:hAnsi="Verdana"/>
          <w:sz w:val="10"/>
          <w:szCs w:val="10"/>
        </w:rPr>
      </w:pPr>
      <w:r w:rsidRPr="0014488E">
        <w:rPr>
          <w:rStyle w:val="Refdenotaalpie"/>
          <w:rFonts w:ascii="Verdana" w:hAnsi="Verdana"/>
          <w:sz w:val="10"/>
          <w:szCs w:val="10"/>
        </w:rPr>
        <w:footnoteRef/>
      </w:r>
      <w:r w:rsidRPr="0014488E">
        <w:rPr>
          <w:rFonts w:ascii="Verdana" w:hAnsi="Verdana"/>
          <w:sz w:val="10"/>
          <w:szCs w:val="10"/>
        </w:rPr>
        <w:t xml:space="preserve"> Proceso de Contratación: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p>
    <w:p w14:paraId="2ACC7FE0" w14:textId="77777777" w:rsidR="00CD5196" w:rsidRPr="0014488E" w:rsidRDefault="00CD5196" w:rsidP="00CD5196">
      <w:pPr>
        <w:pStyle w:val="Textonotapie"/>
        <w:ind w:firstLine="708"/>
        <w:jc w:val="both"/>
        <w:rPr>
          <w:rFonts w:ascii="Verdana" w:hAnsi="Verdana"/>
          <w:sz w:val="10"/>
          <w:szCs w:val="10"/>
          <w:lang w:val="es-CO"/>
        </w:rPr>
      </w:pPr>
    </w:p>
  </w:footnote>
  <w:footnote w:id="7">
    <w:p w14:paraId="025284A1" w14:textId="77777777" w:rsidR="00CD5196" w:rsidRPr="0014488E" w:rsidRDefault="00CD5196" w:rsidP="00CD5196">
      <w:pPr>
        <w:pStyle w:val="Textonotapie"/>
        <w:ind w:firstLine="708"/>
        <w:jc w:val="both"/>
        <w:rPr>
          <w:rFonts w:ascii="Verdana" w:hAnsi="Verdana"/>
          <w:sz w:val="10"/>
          <w:szCs w:val="10"/>
        </w:rPr>
      </w:pPr>
      <w:r w:rsidRPr="0014488E">
        <w:rPr>
          <w:rStyle w:val="Refdenotaalpie"/>
          <w:rFonts w:ascii="Verdana" w:hAnsi="Verdana"/>
          <w:sz w:val="10"/>
          <w:szCs w:val="10"/>
        </w:rPr>
        <w:footnoteRef/>
      </w:r>
      <w:r w:rsidRPr="0014488E">
        <w:rPr>
          <w:rFonts w:ascii="Verdana" w:hAnsi="Verdana"/>
          <w:sz w:val="10"/>
          <w:szCs w:val="10"/>
        </w:rPr>
        <w:t xml:space="preserve"> Ley 1150 de 2007: “Artículo 2. De las modalidades de selección. La escogencia del contratista se efectuará con arreglo a las modalidades de selección de licitación pública, selección abreviada, concurso de méritos y contratación directa. </w:t>
      </w:r>
    </w:p>
  </w:footnote>
  <w:footnote w:id="8">
    <w:p w14:paraId="32B6B635" w14:textId="77777777" w:rsidR="00CD5196" w:rsidRPr="0014488E" w:rsidRDefault="00CD5196" w:rsidP="00CD5196">
      <w:pPr>
        <w:pStyle w:val="Textonotapie"/>
        <w:ind w:firstLine="708"/>
        <w:jc w:val="both"/>
        <w:rPr>
          <w:rFonts w:ascii="Verdana" w:hAnsi="Verdana"/>
          <w:sz w:val="10"/>
          <w:szCs w:val="10"/>
        </w:rPr>
      </w:pPr>
      <w:r w:rsidRPr="0014488E">
        <w:rPr>
          <w:rStyle w:val="Refdenotaalpie"/>
          <w:rFonts w:ascii="Verdana" w:hAnsi="Verdana"/>
          <w:sz w:val="10"/>
          <w:szCs w:val="10"/>
        </w:rPr>
        <w:footnoteRef/>
      </w:r>
      <w:r w:rsidRPr="0014488E">
        <w:rPr>
          <w:rFonts w:ascii="Verdana" w:hAnsi="Verdana"/>
          <w:sz w:val="10"/>
          <w:szCs w:val="10"/>
        </w:rPr>
        <w:t xml:space="preserve"> Decreto 1082 de 2015: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2678DF0F" w14:textId="77777777" w:rsidR="00CD5196" w:rsidRPr="0014488E" w:rsidRDefault="00CD5196" w:rsidP="00CD5196">
      <w:pPr>
        <w:pStyle w:val="Textonotapie"/>
        <w:ind w:firstLine="708"/>
        <w:jc w:val="both"/>
        <w:rPr>
          <w:rFonts w:ascii="Verdana" w:hAnsi="Verdana"/>
          <w:sz w:val="10"/>
          <w:szCs w:val="10"/>
        </w:rPr>
      </w:pPr>
      <w:r w:rsidRPr="0014488E">
        <w:rPr>
          <w:rFonts w:ascii="Verdana" w:hAnsi="Verdana"/>
          <w:sz w:val="10"/>
          <w:szCs w:val="10"/>
        </w:rPr>
        <w:t xml:space="preserve">[...] </w:t>
      </w:r>
    </w:p>
    <w:p w14:paraId="0611F7BA" w14:textId="77777777" w:rsidR="00CD5196" w:rsidRPr="0014488E" w:rsidRDefault="00CD5196" w:rsidP="00CD5196">
      <w:pPr>
        <w:pStyle w:val="Textonotapie"/>
        <w:ind w:firstLine="708"/>
        <w:jc w:val="both"/>
        <w:rPr>
          <w:rFonts w:ascii="Verdana" w:hAnsi="Verdana"/>
          <w:sz w:val="10"/>
          <w:szCs w:val="10"/>
        </w:rPr>
      </w:pPr>
      <w:r w:rsidRPr="0014488E">
        <w:rPr>
          <w:rFonts w:ascii="Verdana" w:hAnsi="Verdana"/>
          <w:sz w:val="10"/>
          <w:szCs w:val="10"/>
        </w:rPr>
        <w:t xml:space="preserve">Documentos del Proceso son: (a) los estudios y documentos previos; (b) el aviso de convocatoria; (c) los pliegos de condiciones o la invitación; (d) las Adendas; (e) la oferta; (f) el informe de evaluación; (g) el contrato; y cualquier otro documento expedido por la Entidad Estatal durante el Proceso de Contratación. </w:t>
      </w:r>
    </w:p>
    <w:p w14:paraId="7A5953AA" w14:textId="77777777" w:rsidR="00CD5196" w:rsidRPr="0014488E" w:rsidRDefault="00CD5196" w:rsidP="00CD5196">
      <w:pPr>
        <w:pStyle w:val="Textonotapie"/>
        <w:ind w:firstLine="708"/>
        <w:jc w:val="both"/>
        <w:rPr>
          <w:rFonts w:ascii="Verdana" w:hAnsi="Verdana"/>
          <w:sz w:val="10"/>
          <w:szCs w:val="10"/>
        </w:rPr>
      </w:pPr>
      <w:r w:rsidRPr="0014488E">
        <w:rPr>
          <w:rFonts w:ascii="Verdana" w:hAnsi="Verdana"/>
          <w:sz w:val="10"/>
          <w:szCs w:val="10"/>
        </w:rPr>
        <w:t>[...]”.</w:t>
      </w:r>
    </w:p>
  </w:footnote>
  <w:footnote w:id="9">
    <w:p w14:paraId="4FEB8A55" w14:textId="77777777" w:rsidR="00CD5196" w:rsidRPr="0014488E" w:rsidRDefault="00CD5196" w:rsidP="00CD5196">
      <w:pPr>
        <w:pStyle w:val="NormalWeb"/>
        <w:spacing w:before="0" w:beforeAutospacing="0" w:after="0" w:afterAutospacing="0"/>
        <w:ind w:firstLine="708"/>
        <w:jc w:val="both"/>
        <w:rPr>
          <w:rFonts w:ascii="Verdana" w:hAnsi="Verdana" w:cs="Arial"/>
          <w:color w:val="000000"/>
          <w:sz w:val="10"/>
          <w:szCs w:val="10"/>
        </w:rPr>
      </w:pPr>
      <w:r w:rsidRPr="0014488E">
        <w:rPr>
          <w:rStyle w:val="Refdenotaalpie"/>
          <w:rFonts w:ascii="Verdana" w:eastAsiaTheme="majorEastAsia" w:hAnsi="Verdana"/>
          <w:sz w:val="10"/>
          <w:szCs w:val="10"/>
        </w:rPr>
        <w:footnoteRef/>
      </w:r>
      <w:r w:rsidRPr="0014488E">
        <w:rPr>
          <w:rFonts w:ascii="Verdana" w:hAnsi="Verdana"/>
          <w:sz w:val="10"/>
          <w:szCs w:val="10"/>
        </w:rPr>
        <w:t xml:space="preserve"> </w:t>
      </w:r>
      <w:r w:rsidRPr="0014488E">
        <w:rPr>
          <w:rFonts w:ascii="Verdana" w:hAnsi="Verdana" w:cs="Arial"/>
          <w:color w:val="000000"/>
          <w:sz w:val="10"/>
          <w:szCs w:val="10"/>
        </w:rPr>
        <w:t>Serán causales de selección abreviada las siguientes:   </w:t>
      </w:r>
    </w:p>
    <w:p w14:paraId="1A26B62C" w14:textId="77777777" w:rsidR="00CD5196" w:rsidRPr="0014488E" w:rsidRDefault="00CD5196" w:rsidP="00CD5196">
      <w:pPr>
        <w:pStyle w:val="NormalWeb"/>
        <w:spacing w:before="0" w:beforeAutospacing="0" w:after="0" w:afterAutospacing="0"/>
        <w:ind w:firstLine="708"/>
        <w:jc w:val="both"/>
        <w:rPr>
          <w:rFonts w:ascii="Verdana" w:hAnsi="Verdana" w:cs="Arial"/>
          <w:color w:val="000000"/>
          <w:sz w:val="10"/>
          <w:szCs w:val="10"/>
        </w:rPr>
      </w:pPr>
      <w:r w:rsidRPr="0014488E">
        <w:rPr>
          <w:rFonts w:ascii="Verdana" w:hAnsi="Verdana" w:cs="Arial"/>
          <w:color w:val="000000"/>
          <w:sz w:val="10"/>
          <w:szCs w:val="10"/>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   </w:t>
      </w:r>
    </w:p>
    <w:p w14:paraId="5A2780E9" w14:textId="77777777" w:rsidR="00CD5196" w:rsidRPr="0014488E" w:rsidRDefault="00CD5196" w:rsidP="00CD5196">
      <w:pPr>
        <w:pStyle w:val="NormalWeb"/>
        <w:spacing w:before="0" w:beforeAutospacing="0" w:after="0" w:afterAutospacing="0"/>
        <w:ind w:firstLine="708"/>
        <w:jc w:val="both"/>
        <w:rPr>
          <w:rFonts w:ascii="Verdana" w:hAnsi="Verdana" w:cs="Arial"/>
          <w:color w:val="000000"/>
          <w:sz w:val="10"/>
          <w:szCs w:val="10"/>
        </w:rPr>
      </w:pPr>
      <w:r w:rsidRPr="0014488E">
        <w:rPr>
          <w:rFonts w:ascii="Verdana" w:hAnsi="Verdana" w:cs="Arial"/>
          <w:color w:val="000000"/>
          <w:sz w:val="10"/>
          <w:szCs w:val="10"/>
        </w:rPr>
        <w:t>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w:t>
      </w:r>
    </w:p>
    <w:p w14:paraId="38895D10" w14:textId="77777777" w:rsidR="00CD5196" w:rsidRPr="0014488E" w:rsidRDefault="00CD5196" w:rsidP="00CD5196">
      <w:pPr>
        <w:pStyle w:val="NormalWeb"/>
        <w:spacing w:before="0" w:beforeAutospacing="0" w:after="0" w:afterAutospacing="0"/>
        <w:ind w:firstLine="708"/>
        <w:jc w:val="both"/>
        <w:rPr>
          <w:rFonts w:ascii="Verdana" w:hAnsi="Verdana" w:cs="Arial"/>
          <w:color w:val="000000"/>
          <w:sz w:val="10"/>
          <w:szCs w:val="10"/>
        </w:rPr>
      </w:pPr>
      <w:r w:rsidRPr="0014488E">
        <w:rPr>
          <w:rFonts w:ascii="Verdana" w:hAnsi="Verdana" w:cs="Arial"/>
          <w:color w:val="000000"/>
          <w:sz w:val="10"/>
          <w:szCs w:val="10"/>
        </w:rPr>
        <w:t>b) La contratación de menor cuantía. Se entenderá por menor cuantía los valores que a continuación se relacionan, determinados en función de los presupuestos anuales de las entidades públicas expresados en salarios mínimos legales mensuales.  </w:t>
      </w:r>
    </w:p>
    <w:p w14:paraId="08C3F04E" w14:textId="77777777" w:rsidR="00CD5196" w:rsidRPr="0014488E" w:rsidRDefault="00CD5196" w:rsidP="00CD5196">
      <w:pPr>
        <w:pStyle w:val="NormalWeb"/>
        <w:spacing w:before="0" w:beforeAutospacing="0" w:after="0" w:afterAutospacing="0"/>
        <w:ind w:firstLine="708"/>
        <w:jc w:val="both"/>
        <w:rPr>
          <w:rFonts w:ascii="Verdana" w:hAnsi="Verdana" w:cs="Arial"/>
          <w:color w:val="000000"/>
          <w:sz w:val="10"/>
          <w:szCs w:val="10"/>
        </w:rPr>
      </w:pPr>
      <w:r w:rsidRPr="0014488E">
        <w:rPr>
          <w:rFonts w:ascii="Verdana" w:hAnsi="Verdana" w:cs="Arial"/>
          <w:color w:val="000000"/>
          <w:sz w:val="10"/>
          <w:szCs w:val="10"/>
        </w:rPr>
        <w:t>[…]  </w:t>
      </w:r>
    </w:p>
    <w:p w14:paraId="5FE68A5E" w14:textId="77777777" w:rsidR="00CD5196" w:rsidRPr="0014488E" w:rsidRDefault="00CD5196" w:rsidP="00CD5196">
      <w:pPr>
        <w:pStyle w:val="NormalWeb"/>
        <w:spacing w:before="0" w:beforeAutospacing="0" w:after="0" w:afterAutospacing="0"/>
        <w:ind w:firstLine="708"/>
        <w:jc w:val="both"/>
        <w:rPr>
          <w:rFonts w:ascii="Verdana" w:hAnsi="Verdana" w:cs="Arial"/>
          <w:color w:val="000000"/>
          <w:sz w:val="10"/>
          <w:szCs w:val="10"/>
        </w:rPr>
      </w:pPr>
      <w:r w:rsidRPr="0014488E">
        <w:rPr>
          <w:rFonts w:ascii="Verdana" w:hAnsi="Verdana" w:cs="Arial"/>
          <w:color w:val="000000"/>
          <w:sz w:val="10"/>
          <w:szCs w:val="10"/>
        </w:rPr>
        <w:t>c) Sin perjuicio de lo dispuesto en la Ley 100 de 1993 y en la Ley 1122 de 2007, la celebración de contratos para la prestación de servicios de salud. El reglamento interno correspondiente fijará las garantías a cargo de los contratistas. Los pagos correspondientes se podrán hacer mediante encargos fiduciarios;   </w:t>
      </w:r>
    </w:p>
    <w:p w14:paraId="2A573488" w14:textId="77777777" w:rsidR="00CD5196" w:rsidRPr="0014488E" w:rsidRDefault="00CD5196" w:rsidP="00CD5196">
      <w:pPr>
        <w:pStyle w:val="NormalWeb"/>
        <w:spacing w:before="0" w:beforeAutospacing="0" w:after="0" w:afterAutospacing="0"/>
        <w:ind w:firstLine="708"/>
        <w:jc w:val="both"/>
        <w:rPr>
          <w:rFonts w:ascii="Verdana" w:hAnsi="Verdana" w:cs="Arial"/>
          <w:color w:val="000000"/>
          <w:sz w:val="10"/>
          <w:szCs w:val="10"/>
        </w:rPr>
      </w:pPr>
      <w:r w:rsidRPr="0014488E">
        <w:rPr>
          <w:rFonts w:ascii="Verdana" w:hAnsi="Verdana" w:cs="Arial"/>
          <w:color w:val="000000"/>
          <w:sz w:val="10"/>
          <w:szCs w:val="10"/>
        </w:rPr>
        <w:t>d) La contratación cuyo proceso de licitación pública haya sido declarado desierto; en cuyo caso la entidad deberá iniciar la selección abreviada dentro de los cuatro meses siguientes a la declaración de desierta del proceso inicial;   </w:t>
      </w:r>
    </w:p>
    <w:p w14:paraId="6E870CF6" w14:textId="77777777" w:rsidR="00CD5196" w:rsidRPr="0014488E" w:rsidRDefault="00CD5196" w:rsidP="00CD5196">
      <w:pPr>
        <w:pStyle w:val="NormalWeb"/>
        <w:spacing w:before="0" w:beforeAutospacing="0" w:after="0" w:afterAutospacing="0"/>
        <w:ind w:firstLine="708"/>
        <w:jc w:val="both"/>
        <w:rPr>
          <w:rFonts w:ascii="Verdana" w:hAnsi="Verdana" w:cs="Arial"/>
          <w:color w:val="000000"/>
          <w:sz w:val="10"/>
          <w:szCs w:val="10"/>
        </w:rPr>
      </w:pPr>
      <w:r w:rsidRPr="0014488E">
        <w:rPr>
          <w:rFonts w:ascii="Verdana" w:hAnsi="Verdana" w:cs="Arial"/>
          <w:color w:val="000000"/>
          <w:sz w:val="10"/>
          <w:szCs w:val="10"/>
        </w:rPr>
        <w:t>e) La enajenación de bienes del Estado, con excepción de aquellos a que se refiere la Ley 226 de 1995.  </w:t>
      </w:r>
    </w:p>
    <w:p w14:paraId="4E09251D" w14:textId="77777777" w:rsidR="00CD5196" w:rsidRPr="0014488E" w:rsidRDefault="00CD5196" w:rsidP="00CD5196">
      <w:pPr>
        <w:pStyle w:val="NormalWeb"/>
        <w:spacing w:before="0" w:beforeAutospacing="0" w:after="0" w:afterAutospacing="0"/>
        <w:ind w:firstLine="708"/>
        <w:jc w:val="both"/>
        <w:rPr>
          <w:rFonts w:ascii="Verdana" w:hAnsi="Verdana" w:cs="Arial"/>
          <w:color w:val="000000"/>
          <w:sz w:val="10"/>
          <w:szCs w:val="10"/>
        </w:rPr>
      </w:pPr>
      <w:r w:rsidRPr="0014488E">
        <w:rPr>
          <w:rFonts w:ascii="Verdana" w:hAnsi="Verdana" w:cs="Arial"/>
          <w:color w:val="000000"/>
          <w:sz w:val="10"/>
          <w:szCs w:val="10"/>
        </w:rPr>
        <w:t>[…]</w:t>
      </w:r>
    </w:p>
    <w:p w14:paraId="4FE1AB2B" w14:textId="77777777" w:rsidR="00CD5196" w:rsidRPr="0014488E" w:rsidRDefault="00CD5196" w:rsidP="00CD5196">
      <w:pPr>
        <w:pStyle w:val="NormalWeb"/>
        <w:spacing w:before="0" w:beforeAutospacing="0" w:after="0" w:afterAutospacing="0"/>
        <w:ind w:firstLine="708"/>
        <w:jc w:val="both"/>
        <w:rPr>
          <w:rFonts w:ascii="Verdana" w:hAnsi="Verdana" w:cs="Arial"/>
          <w:color w:val="000000"/>
          <w:sz w:val="10"/>
          <w:szCs w:val="10"/>
        </w:rPr>
      </w:pPr>
      <w:r w:rsidRPr="0014488E">
        <w:rPr>
          <w:rFonts w:ascii="Verdana" w:hAnsi="Verdana" w:cs="Arial"/>
          <w:color w:val="000000"/>
          <w:sz w:val="10"/>
          <w:szCs w:val="10"/>
        </w:rPr>
        <w:t>f) Productos de origen o destinación agropecuarios que se ofrezcan en las bolsas de productos legalmente constituidas;   </w:t>
      </w:r>
    </w:p>
    <w:p w14:paraId="1F705E19" w14:textId="77777777" w:rsidR="00CD5196" w:rsidRPr="0014488E" w:rsidRDefault="00CD5196" w:rsidP="00CD5196">
      <w:pPr>
        <w:pStyle w:val="NormalWeb"/>
        <w:spacing w:before="0" w:beforeAutospacing="0" w:after="0" w:afterAutospacing="0"/>
        <w:ind w:firstLine="708"/>
        <w:jc w:val="both"/>
        <w:rPr>
          <w:rFonts w:ascii="Verdana" w:hAnsi="Verdana" w:cs="Arial"/>
          <w:color w:val="000000"/>
          <w:sz w:val="10"/>
          <w:szCs w:val="10"/>
        </w:rPr>
      </w:pPr>
      <w:r w:rsidRPr="0014488E">
        <w:rPr>
          <w:rFonts w:ascii="Verdana" w:hAnsi="Verdana" w:cs="Arial"/>
          <w:color w:val="000000"/>
          <w:sz w:val="10"/>
          <w:szCs w:val="10"/>
        </w:rPr>
        <w:t>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w:t>
      </w:r>
    </w:p>
    <w:p w14:paraId="34D6B7E1" w14:textId="77777777" w:rsidR="00CD5196" w:rsidRPr="0014488E" w:rsidRDefault="00CD5196" w:rsidP="00CD5196">
      <w:pPr>
        <w:pStyle w:val="NormalWeb"/>
        <w:spacing w:before="0" w:beforeAutospacing="0" w:after="0" w:afterAutospacing="0"/>
        <w:ind w:firstLine="708"/>
        <w:jc w:val="both"/>
        <w:rPr>
          <w:rFonts w:ascii="Verdana" w:hAnsi="Verdana" w:cs="Arial"/>
          <w:color w:val="000000"/>
          <w:sz w:val="10"/>
          <w:szCs w:val="10"/>
        </w:rPr>
      </w:pPr>
      <w:r w:rsidRPr="0014488E">
        <w:rPr>
          <w:rFonts w:ascii="Verdana" w:hAnsi="Verdana" w:cs="Arial"/>
          <w:color w:val="000000"/>
          <w:sz w:val="10"/>
          <w:szCs w:val="10"/>
        </w:rPr>
        <w:t>h) Los contratos de las entidades, a cuyo cargo se encuentre la ejecución de los programas de protección de personas amenazadas, programas de desmovilización y reincorporación a la vida civil de personas y grupos al margen de la ley, incluida la atención de los respectivos grupos familiares, programas de atención a población desplazada por la violencia, programas de protección de derechos humanos de grupos de personas habitantes de la calle, niños y niñas o jóvenes involucrados en grupos juveniles que hayan incurrido en conductas contra el patrimonio económico y sostengan enfrentamientos violentos de diferente tipo, y población en alto grado de vulnerabilidad con reconocido estado de exclusión que requieran capacitación, resocialización y preparación para el trabajo, incluidos los contratos fiduciarios que demanden;  </w:t>
      </w:r>
    </w:p>
    <w:p w14:paraId="2C590190" w14:textId="77777777" w:rsidR="00CD5196" w:rsidRPr="0014488E" w:rsidRDefault="00CD5196" w:rsidP="00CD5196">
      <w:pPr>
        <w:pStyle w:val="NormalWeb"/>
        <w:spacing w:before="0" w:beforeAutospacing="0" w:after="0" w:afterAutospacing="0"/>
        <w:ind w:firstLine="708"/>
        <w:jc w:val="both"/>
        <w:rPr>
          <w:rFonts w:ascii="Verdana" w:hAnsi="Verdana" w:cs="Arial"/>
          <w:color w:val="000000"/>
          <w:sz w:val="10"/>
          <w:szCs w:val="10"/>
        </w:rPr>
      </w:pPr>
      <w:r w:rsidRPr="0014488E">
        <w:rPr>
          <w:rFonts w:ascii="Verdana" w:hAnsi="Verdana" w:cs="Arial"/>
          <w:color w:val="000000"/>
          <w:sz w:val="10"/>
          <w:szCs w:val="10"/>
        </w:rPr>
        <w:t>i) La contratación de bienes y servicios que se requieran para la defensa y seguridad nacional.   </w:t>
      </w:r>
    </w:p>
    <w:p w14:paraId="6D9DCE72" w14:textId="77777777" w:rsidR="00CD5196" w:rsidRPr="0014488E" w:rsidRDefault="00CD5196" w:rsidP="00CD5196">
      <w:pPr>
        <w:pStyle w:val="NormalWeb"/>
        <w:spacing w:before="0" w:beforeAutospacing="0" w:after="0" w:afterAutospacing="0"/>
        <w:ind w:firstLine="708"/>
        <w:jc w:val="both"/>
        <w:rPr>
          <w:rFonts w:ascii="Verdana" w:hAnsi="Verdana" w:cs="Arial"/>
          <w:color w:val="000000"/>
          <w:sz w:val="10"/>
          <w:szCs w:val="10"/>
        </w:rPr>
      </w:pPr>
      <w:r w:rsidRPr="0014488E">
        <w:rPr>
          <w:rFonts w:ascii="Verdana" w:hAnsi="Verdana" w:cs="Arial"/>
          <w:color w:val="000000"/>
          <w:sz w:val="10"/>
          <w:szCs w:val="10"/>
        </w:rPr>
        <w:t>j) Los bienes y servicios no uniformes de común utilización por parte de las entidades públicas, para lo cual la Agencia Nacional de Contratación Pública Colombia Compra Eficiente-podrá celebrar acuerdos marco de precios y demás instrumentos de agregación de demanda. Estos acuerdos marco de precios también serán de obligatorio uso de las entidades del Estado a las que se refiere el parágrafo 5° del artículo 2° de la presente ley, modificado por el artículo 41 de la ley 1955 de 2019.  </w:t>
      </w:r>
    </w:p>
    <w:p w14:paraId="5A05E326" w14:textId="77777777" w:rsidR="00CD5196" w:rsidRPr="0014488E" w:rsidRDefault="00CD5196" w:rsidP="00CD5196">
      <w:pPr>
        <w:pStyle w:val="Textonotapie"/>
        <w:jc w:val="both"/>
        <w:rPr>
          <w:rFonts w:ascii="Verdana" w:hAnsi="Verdana"/>
          <w:sz w:val="10"/>
          <w:szCs w:val="10"/>
          <w:lang w:val="es-CO"/>
        </w:rPr>
      </w:pPr>
    </w:p>
  </w:footnote>
  <w:footnote w:id="10">
    <w:p w14:paraId="2EE80CD6" w14:textId="77777777" w:rsidR="00CD5196" w:rsidRPr="0014488E" w:rsidRDefault="00CD5196" w:rsidP="00CD5196">
      <w:pPr>
        <w:pStyle w:val="Textonotapie"/>
        <w:ind w:firstLine="709"/>
        <w:jc w:val="both"/>
        <w:rPr>
          <w:rFonts w:ascii="Verdana" w:hAnsi="Verdana"/>
          <w:sz w:val="10"/>
          <w:szCs w:val="10"/>
          <w:lang w:val="es-ES_tradnl"/>
        </w:rPr>
      </w:pPr>
      <w:r w:rsidRPr="0014488E">
        <w:rPr>
          <w:rStyle w:val="Refdenotaalpie"/>
          <w:rFonts w:ascii="Verdana" w:hAnsi="Verdana"/>
          <w:sz w:val="10"/>
          <w:szCs w:val="10"/>
        </w:rPr>
        <w:footnoteRef/>
      </w:r>
      <w:r w:rsidRPr="0014488E">
        <w:rPr>
          <w:rFonts w:ascii="Verdana" w:hAnsi="Verdana"/>
          <w:sz w:val="10"/>
          <w:szCs w:val="10"/>
        </w:rPr>
        <w:t xml:space="preserve"> </w:t>
      </w:r>
      <w:r w:rsidRPr="0014488E">
        <w:rPr>
          <w:rFonts w:ascii="Verdana" w:hAnsi="Verdana"/>
          <w:sz w:val="10"/>
          <w:szCs w:val="10"/>
          <w:lang w:val="es-ES_tradnl"/>
        </w:rPr>
        <w:t>Esto lo ratifica el artículo 2.2.1.2.1.5.2. del Decreto 1082 de 2015.</w:t>
      </w:r>
    </w:p>
    <w:p w14:paraId="17413407" w14:textId="77777777" w:rsidR="00CD5196" w:rsidRPr="0014488E" w:rsidRDefault="00CD5196" w:rsidP="00CD5196">
      <w:pPr>
        <w:pStyle w:val="Textonotapie"/>
        <w:ind w:firstLine="709"/>
        <w:jc w:val="both"/>
        <w:rPr>
          <w:rFonts w:ascii="Verdana" w:hAnsi="Verdana"/>
          <w:sz w:val="10"/>
          <w:szCs w:val="10"/>
          <w:lang w:val="es-CO"/>
        </w:rPr>
      </w:pPr>
    </w:p>
  </w:footnote>
  <w:footnote w:id="11">
    <w:p w14:paraId="3B75B28E" w14:textId="77777777" w:rsidR="00CD5196" w:rsidRPr="0014488E" w:rsidRDefault="00CD5196" w:rsidP="00CD5196">
      <w:pPr>
        <w:pStyle w:val="Textonotapie"/>
        <w:ind w:firstLine="709"/>
        <w:jc w:val="both"/>
        <w:rPr>
          <w:rFonts w:ascii="Verdana" w:hAnsi="Verdana" w:cs="Arial"/>
          <w:color w:val="000000"/>
          <w:sz w:val="10"/>
          <w:szCs w:val="10"/>
          <w:lang w:val="es-ES_tradnl"/>
        </w:rPr>
      </w:pPr>
      <w:r w:rsidRPr="0014488E">
        <w:rPr>
          <w:rStyle w:val="Refdenotaalpie"/>
          <w:rFonts w:ascii="Verdana" w:hAnsi="Verdana" w:cs="Arial"/>
          <w:color w:val="000000"/>
          <w:sz w:val="10"/>
          <w:szCs w:val="10"/>
          <w:lang w:val="es-ES_tradnl"/>
        </w:rPr>
        <w:footnoteRef/>
      </w:r>
      <w:r w:rsidRPr="0014488E">
        <w:rPr>
          <w:rFonts w:ascii="Verdana" w:hAnsi="Verdana" w:cs="Arial"/>
          <w:color w:val="000000"/>
          <w:sz w:val="10"/>
          <w:szCs w:val="10"/>
          <w:lang w:val="es-ES_tradnl"/>
        </w:rPr>
        <w:t xml:space="preserve"> DÁVILA VINUEZA, Luis Guillermo. Régimen jurídico de la contratación estatal. 3ª ed. Bogotá: Legis, 2016. p. 463.</w:t>
      </w:r>
    </w:p>
    <w:p w14:paraId="2D4FCC67" w14:textId="77777777" w:rsidR="00CD5196" w:rsidRPr="0014488E" w:rsidRDefault="00CD5196" w:rsidP="00CD5196">
      <w:pPr>
        <w:pStyle w:val="Textonotapie"/>
        <w:ind w:firstLine="709"/>
        <w:jc w:val="both"/>
        <w:rPr>
          <w:rFonts w:ascii="Verdana" w:hAnsi="Verdana" w:cs="Arial"/>
          <w:color w:val="000000"/>
          <w:sz w:val="10"/>
          <w:szCs w:val="10"/>
          <w:lang w:val="es-ES_tradnl"/>
        </w:rPr>
      </w:pPr>
    </w:p>
  </w:footnote>
  <w:footnote w:id="12">
    <w:p w14:paraId="69614496" w14:textId="77777777" w:rsidR="00CD5196" w:rsidRPr="0014488E" w:rsidRDefault="00CD5196" w:rsidP="00CD5196">
      <w:pPr>
        <w:pStyle w:val="Textonotapie"/>
        <w:ind w:firstLine="709"/>
        <w:jc w:val="both"/>
        <w:rPr>
          <w:rFonts w:ascii="Verdana" w:hAnsi="Verdana" w:cs="Arial"/>
          <w:color w:val="000000"/>
          <w:sz w:val="10"/>
          <w:szCs w:val="10"/>
          <w:lang w:val="es-ES_tradnl"/>
        </w:rPr>
      </w:pPr>
      <w:r w:rsidRPr="0014488E">
        <w:rPr>
          <w:rStyle w:val="Refdenotaalpie"/>
          <w:rFonts w:ascii="Verdana" w:hAnsi="Verdana" w:cs="Arial"/>
          <w:color w:val="000000"/>
          <w:sz w:val="10"/>
          <w:szCs w:val="10"/>
          <w:lang w:val="es-ES_tradnl"/>
        </w:rPr>
        <w:footnoteRef/>
      </w:r>
      <w:r w:rsidRPr="0014488E">
        <w:rPr>
          <w:rFonts w:ascii="Verdana" w:hAnsi="Verdana" w:cs="Arial"/>
          <w:color w:val="000000"/>
          <w:sz w:val="10"/>
          <w:szCs w:val="10"/>
          <w:lang w:val="es-ES_tradnl"/>
        </w:rPr>
        <w:t xml:space="preserve"> La contratación de mínima cuantía es aquella que no excede el 10% de la menor cuantía, o sea, que no supera el 10% de los topes definidos en el artículo 2, numeral 2, literal b) de la Ley 1150 de 2007, que dispone: “Se entenderá por menor cuantía los valores que a continuación se relacionan, determinados en función de los presupuestos anuales de las entidades públicas expresados en salarios mínimos legales mensuales.</w:t>
      </w:r>
    </w:p>
    <w:p w14:paraId="53911F09" w14:textId="77777777" w:rsidR="00CD5196" w:rsidRPr="0014488E" w:rsidRDefault="00CD5196" w:rsidP="00CD5196">
      <w:pPr>
        <w:pStyle w:val="Textonotapie"/>
        <w:ind w:firstLine="709"/>
        <w:jc w:val="both"/>
        <w:rPr>
          <w:rFonts w:ascii="Verdana" w:hAnsi="Verdana" w:cs="Arial"/>
          <w:color w:val="000000"/>
          <w:sz w:val="10"/>
          <w:szCs w:val="10"/>
          <w:lang w:val="es-ES_tradnl"/>
        </w:rPr>
      </w:pPr>
      <w:r w:rsidRPr="0014488E">
        <w:rPr>
          <w:rFonts w:ascii="Verdana" w:hAnsi="Verdana" w:cs="Arial"/>
          <w:color w:val="000000"/>
          <w:sz w:val="10"/>
          <w:szCs w:val="10"/>
          <w:lang w:val="es-ES_tradnl"/>
        </w:rPr>
        <w:t>“Para las entidades que tengan un presupuesto anual superior o igual a 1.200.000 salarios mínimos legales mensuales, la menor cuantía será hasta 1.000 salarios mínimos legales mensuales.</w:t>
      </w:r>
    </w:p>
    <w:p w14:paraId="01606F5F" w14:textId="77777777" w:rsidR="00CD5196" w:rsidRPr="0014488E" w:rsidRDefault="00CD5196" w:rsidP="00CD5196">
      <w:pPr>
        <w:pStyle w:val="Textonotapie"/>
        <w:ind w:firstLine="709"/>
        <w:jc w:val="both"/>
        <w:rPr>
          <w:rFonts w:ascii="Verdana" w:hAnsi="Verdana" w:cs="Arial"/>
          <w:color w:val="000000"/>
          <w:sz w:val="10"/>
          <w:szCs w:val="10"/>
          <w:lang w:val="es-ES_tradnl"/>
        </w:rPr>
      </w:pPr>
      <w:r w:rsidRPr="0014488E">
        <w:rPr>
          <w:rFonts w:ascii="Verdana" w:hAnsi="Verdana" w:cs="Arial"/>
          <w:color w:val="000000"/>
          <w:sz w:val="10"/>
          <w:szCs w:val="10"/>
          <w:lang w:val="es-ES_tradnl"/>
        </w:rPr>
        <w:t>“Las que tengan un presupuesto anual superior o igual a 850.000 salarios mínimos legales mensuales e inferiores a 1.200.000 salarios mínimos legales mensuales, la menor cuantía será hasta 850 salarios mínimos legales mensuales.</w:t>
      </w:r>
    </w:p>
    <w:p w14:paraId="6B9D2D7B" w14:textId="77777777" w:rsidR="00CD5196" w:rsidRPr="0014488E" w:rsidRDefault="00CD5196" w:rsidP="00CD5196">
      <w:pPr>
        <w:pStyle w:val="Textonotapie"/>
        <w:ind w:firstLine="709"/>
        <w:jc w:val="both"/>
        <w:rPr>
          <w:rFonts w:ascii="Verdana" w:hAnsi="Verdana" w:cs="Arial"/>
          <w:color w:val="000000"/>
          <w:sz w:val="10"/>
          <w:szCs w:val="10"/>
          <w:lang w:val="es-ES_tradnl"/>
        </w:rPr>
      </w:pPr>
      <w:r w:rsidRPr="0014488E">
        <w:rPr>
          <w:rFonts w:ascii="Verdana" w:hAnsi="Verdana" w:cs="Arial"/>
          <w:color w:val="000000"/>
          <w:sz w:val="10"/>
          <w:szCs w:val="10"/>
          <w:lang w:val="es-ES_tradnl"/>
        </w:rPr>
        <w:t>“Las que tengan un presupuesto anual superior o igual a 400.000 salarios mínimos legales mensuales e inferior a 850.000 salarios mínimos legales mensuales, la menor cuantía será hasta 650 salarios mínimos legales mensuales.</w:t>
      </w:r>
    </w:p>
    <w:p w14:paraId="07E6BAB4" w14:textId="77777777" w:rsidR="00CD5196" w:rsidRPr="0014488E" w:rsidRDefault="00CD5196" w:rsidP="00CD5196">
      <w:pPr>
        <w:pStyle w:val="Textonotapie"/>
        <w:ind w:firstLine="709"/>
        <w:jc w:val="both"/>
        <w:rPr>
          <w:rFonts w:ascii="Verdana" w:hAnsi="Verdana" w:cs="Arial"/>
          <w:color w:val="000000"/>
          <w:sz w:val="10"/>
          <w:szCs w:val="10"/>
          <w:lang w:val="es-ES_tradnl"/>
        </w:rPr>
      </w:pPr>
      <w:r w:rsidRPr="0014488E">
        <w:rPr>
          <w:rFonts w:ascii="Verdana" w:hAnsi="Verdana" w:cs="Arial"/>
          <w:color w:val="000000"/>
          <w:sz w:val="10"/>
          <w:szCs w:val="10"/>
          <w:lang w:val="es-ES_tradnl"/>
        </w:rPr>
        <w:t>“Las que tengan un presupuesto anual superior o igual a 120.000 salarios mínimos legales mensuales e inferior a 400.000 salarios mínimos legales mensuales, la menor cuantía será hasta 450 salarios mínimos legales mensuales.</w:t>
      </w:r>
    </w:p>
    <w:p w14:paraId="39954383" w14:textId="77777777" w:rsidR="00CD5196" w:rsidRPr="0014488E" w:rsidRDefault="00CD5196" w:rsidP="00CD5196">
      <w:pPr>
        <w:pStyle w:val="Textonotapie"/>
        <w:ind w:firstLine="709"/>
        <w:jc w:val="both"/>
        <w:rPr>
          <w:rFonts w:ascii="Verdana" w:hAnsi="Verdana" w:cs="Arial"/>
          <w:color w:val="000000"/>
          <w:sz w:val="10"/>
          <w:szCs w:val="10"/>
          <w:lang w:val="es-ES_tradnl"/>
        </w:rPr>
      </w:pPr>
      <w:r w:rsidRPr="0014488E">
        <w:rPr>
          <w:rFonts w:ascii="Verdana" w:hAnsi="Verdana" w:cs="Arial"/>
          <w:color w:val="000000"/>
          <w:sz w:val="10"/>
          <w:szCs w:val="10"/>
          <w:lang w:val="es-ES_tradnl"/>
        </w:rPr>
        <w:t>“Las que tengan un presupuesto anual inferior a 120.000 salarios mínimos legales mensuales, la menor cuantía será hasta 280 salarios mínimos legales mensuales”.</w:t>
      </w:r>
    </w:p>
  </w:footnote>
  <w:footnote w:id="13">
    <w:p w14:paraId="2E4BD44E" w14:textId="77777777" w:rsidR="00CD5196" w:rsidRPr="0014488E" w:rsidRDefault="00CD5196" w:rsidP="00CD5196">
      <w:pPr>
        <w:pStyle w:val="Textonotapie"/>
        <w:ind w:firstLine="709"/>
        <w:jc w:val="both"/>
        <w:rPr>
          <w:rFonts w:ascii="Verdana" w:hAnsi="Verdana"/>
          <w:sz w:val="10"/>
          <w:szCs w:val="10"/>
        </w:rPr>
      </w:pPr>
      <w:r w:rsidRPr="0014488E">
        <w:rPr>
          <w:rStyle w:val="Refdenotaalpie"/>
          <w:rFonts w:ascii="Verdana" w:hAnsi="Verdana"/>
          <w:sz w:val="10"/>
          <w:szCs w:val="10"/>
        </w:rPr>
        <w:footnoteRef/>
      </w:r>
      <w:r w:rsidRPr="0014488E">
        <w:rPr>
          <w:rFonts w:ascii="Verdana" w:hAnsi="Verdana"/>
          <w:sz w:val="10"/>
          <w:szCs w:val="10"/>
        </w:rPr>
        <w:t xml:space="preserve"> </w:t>
      </w:r>
      <w:r w:rsidRPr="0014488E">
        <w:rPr>
          <w:rFonts w:ascii="Verdana" w:hAnsi="Verdana"/>
          <w:sz w:val="10"/>
          <w:szCs w:val="10"/>
          <w:lang w:val="es-CO"/>
        </w:rPr>
        <w:t xml:space="preserve">Este artículo fue modificado por el artículo 5 del Decreto 142 de 2023 en los siguientes términos: </w:t>
      </w:r>
      <w:r w:rsidRPr="0014488E">
        <w:rPr>
          <w:rFonts w:ascii="Verdana" w:hAnsi="Verdana"/>
          <w:b/>
          <w:bCs/>
          <w:i/>
          <w:iCs/>
          <w:sz w:val="10"/>
          <w:szCs w:val="10"/>
        </w:rPr>
        <w:t>"Artículo 2.2.1.2.1.5.1. Estudios previos para la contratación de mínima cuantía.</w:t>
      </w:r>
      <w:r w:rsidRPr="0014488E">
        <w:rPr>
          <w:rFonts w:ascii="Verdana" w:hAnsi="Verdana"/>
          <w:i/>
          <w:iCs/>
          <w:sz w:val="10"/>
          <w:szCs w:val="10"/>
        </w:rPr>
        <w:t> La Entidad Estatal debe elaborar unos estudios previos que deben contener, como mínimo, lo siguiente: </w:t>
      </w:r>
    </w:p>
    <w:p w14:paraId="2E1C7467" w14:textId="77777777" w:rsidR="00CD5196" w:rsidRPr="0014488E" w:rsidRDefault="00CD5196" w:rsidP="00CD5196">
      <w:pPr>
        <w:pStyle w:val="Textonotapie"/>
        <w:tabs>
          <w:tab w:val="left" w:pos="142"/>
        </w:tabs>
        <w:ind w:firstLine="709"/>
        <w:jc w:val="both"/>
        <w:rPr>
          <w:rFonts w:ascii="Verdana" w:hAnsi="Verdana"/>
          <w:i/>
          <w:iCs/>
          <w:sz w:val="10"/>
          <w:szCs w:val="10"/>
        </w:rPr>
      </w:pPr>
      <w:r w:rsidRPr="0014488E">
        <w:rPr>
          <w:rFonts w:ascii="Verdana" w:hAnsi="Verdana"/>
          <w:i/>
          <w:iCs/>
          <w:sz w:val="10"/>
          <w:szCs w:val="10"/>
        </w:rPr>
        <w:t xml:space="preserve">1. La descripción de la necesidad que pretende satisfacer con la contratación.  </w:t>
      </w:r>
    </w:p>
    <w:p w14:paraId="14AA5283" w14:textId="77777777" w:rsidR="00CD5196" w:rsidRPr="0014488E" w:rsidRDefault="00CD5196" w:rsidP="00CD5196">
      <w:pPr>
        <w:pStyle w:val="Textonotapie"/>
        <w:tabs>
          <w:tab w:val="left" w:pos="142"/>
        </w:tabs>
        <w:ind w:firstLine="709"/>
        <w:jc w:val="both"/>
        <w:rPr>
          <w:rFonts w:ascii="Verdana" w:hAnsi="Verdana"/>
          <w:sz w:val="10"/>
          <w:szCs w:val="10"/>
        </w:rPr>
      </w:pPr>
      <w:r w:rsidRPr="0014488E">
        <w:rPr>
          <w:rFonts w:ascii="Verdana" w:hAnsi="Verdana"/>
          <w:i/>
          <w:iCs/>
          <w:sz w:val="10"/>
          <w:szCs w:val="10"/>
        </w:rPr>
        <w:t>2. La descripción del objeto a contratar identificado con el cuarto nivel del Clasificador de Bienes y Servicios, de ser posible, o de lo contrario con el tercer nivel. </w:t>
      </w:r>
    </w:p>
    <w:p w14:paraId="652C1CD1" w14:textId="77777777" w:rsidR="00CD5196" w:rsidRPr="0014488E" w:rsidRDefault="00CD5196" w:rsidP="00CD5196">
      <w:pPr>
        <w:pStyle w:val="Textonotapie"/>
        <w:tabs>
          <w:tab w:val="left" w:pos="142"/>
        </w:tabs>
        <w:ind w:firstLine="709"/>
        <w:jc w:val="both"/>
        <w:rPr>
          <w:rFonts w:ascii="Verdana" w:hAnsi="Verdana"/>
          <w:sz w:val="10"/>
          <w:szCs w:val="10"/>
        </w:rPr>
      </w:pPr>
      <w:r w:rsidRPr="0014488E">
        <w:rPr>
          <w:rFonts w:ascii="Verdana" w:hAnsi="Verdana"/>
          <w:i/>
          <w:iCs/>
          <w:sz w:val="10"/>
          <w:szCs w:val="10"/>
        </w:rPr>
        <w:t>3. Las condiciones técnicas exigidas.</w:t>
      </w:r>
    </w:p>
    <w:p w14:paraId="685A64BA" w14:textId="77777777" w:rsidR="00CD5196" w:rsidRPr="0014488E" w:rsidRDefault="00CD5196" w:rsidP="00CD5196">
      <w:pPr>
        <w:pStyle w:val="Textonotapie"/>
        <w:tabs>
          <w:tab w:val="left" w:pos="142"/>
        </w:tabs>
        <w:ind w:firstLine="709"/>
        <w:jc w:val="both"/>
        <w:rPr>
          <w:rFonts w:ascii="Verdana" w:hAnsi="Verdana"/>
          <w:sz w:val="10"/>
          <w:szCs w:val="10"/>
        </w:rPr>
      </w:pPr>
      <w:r w:rsidRPr="0014488E">
        <w:rPr>
          <w:rFonts w:ascii="Verdana" w:hAnsi="Verdana"/>
          <w:i/>
          <w:iCs/>
          <w:sz w:val="10"/>
          <w:szCs w:val="10"/>
        </w:rPr>
        <w:t>4. El valor estimado del contrato y su justificación.</w:t>
      </w:r>
    </w:p>
    <w:p w14:paraId="6ED71580" w14:textId="77777777" w:rsidR="00CD5196" w:rsidRPr="0014488E" w:rsidRDefault="00CD5196" w:rsidP="00CD5196">
      <w:pPr>
        <w:pStyle w:val="Textonotapie"/>
        <w:tabs>
          <w:tab w:val="left" w:pos="142"/>
        </w:tabs>
        <w:ind w:firstLine="709"/>
        <w:jc w:val="both"/>
        <w:rPr>
          <w:rFonts w:ascii="Verdana" w:hAnsi="Verdana"/>
          <w:sz w:val="10"/>
          <w:szCs w:val="10"/>
        </w:rPr>
      </w:pPr>
      <w:r w:rsidRPr="0014488E">
        <w:rPr>
          <w:rFonts w:ascii="Verdana" w:hAnsi="Verdana"/>
          <w:i/>
          <w:iCs/>
          <w:sz w:val="10"/>
          <w:szCs w:val="10"/>
        </w:rPr>
        <w:t>5. El plazo de ejecución del contrato. </w:t>
      </w:r>
    </w:p>
    <w:p w14:paraId="4C60B8D9" w14:textId="77777777" w:rsidR="00CD5196" w:rsidRPr="0014488E" w:rsidRDefault="00CD5196" w:rsidP="00CD5196">
      <w:pPr>
        <w:pStyle w:val="Textonotapie"/>
        <w:tabs>
          <w:tab w:val="left" w:pos="142"/>
        </w:tabs>
        <w:ind w:firstLine="709"/>
        <w:jc w:val="both"/>
        <w:rPr>
          <w:rFonts w:ascii="Verdana" w:hAnsi="Verdana"/>
          <w:sz w:val="10"/>
          <w:szCs w:val="10"/>
        </w:rPr>
      </w:pPr>
      <w:r w:rsidRPr="0014488E">
        <w:rPr>
          <w:rFonts w:ascii="Verdana" w:hAnsi="Verdana"/>
          <w:i/>
          <w:iCs/>
          <w:sz w:val="10"/>
          <w:szCs w:val="10"/>
        </w:rPr>
        <w:t>6. El certificado de disponibilidad presupuesta! que respalda la contratación.</w:t>
      </w:r>
    </w:p>
    <w:p w14:paraId="35A045A8" w14:textId="77777777" w:rsidR="00CD5196" w:rsidRPr="0014488E" w:rsidRDefault="00CD5196" w:rsidP="00CD5196">
      <w:pPr>
        <w:pStyle w:val="Textonotapie"/>
        <w:ind w:firstLine="709"/>
        <w:jc w:val="both"/>
        <w:rPr>
          <w:rFonts w:ascii="Verdana" w:hAnsi="Verdana"/>
          <w:sz w:val="10"/>
          <w:szCs w:val="10"/>
        </w:rPr>
      </w:pPr>
      <w:r w:rsidRPr="0014488E">
        <w:rPr>
          <w:rFonts w:ascii="Verdana" w:hAnsi="Verdana"/>
          <w:i/>
          <w:iCs/>
          <w:sz w:val="10"/>
          <w:szCs w:val="10"/>
        </w:rPr>
        <w:t>Parágrafo. Dentro de las condiciones técnicas exigidas se podrán incluir aspectos ambientales y sociales en los términos establecidos en el parágrafo del artículo 2.2.1.1.2.2.2. del presente Decreto." </w:t>
      </w:r>
    </w:p>
    <w:p w14:paraId="609D1C4A" w14:textId="77777777" w:rsidR="00CD5196" w:rsidRPr="0014488E" w:rsidRDefault="00CD5196" w:rsidP="00CD5196">
      <w:pPr>
        <w:pStyle w:val="Textonotapie"/>
        <w:jc w:val="both"/>
        <w:rPr>
          <w:rFonts w:ascii="Verdana" w:hAnsi="Verdana"/>
          <w:sz w:val="10"/>
          <w:szCs w:val="10"/>
          <w:lang w:val="es-CO"/>
        </w:rPr>
      </w:pPr>
    </w:p>
  </w:footnote>
  <w:footnote w:id="14">
    <w:p w14:paraId="0653300F" w14:textId="77777777" w:rsidR="00CD5196" w:rsidRPr="0014488E" w:rsidRDefault="00CD5196" w:rsidP="00CD5196">
      <w:pPr>
        <w:pStyle w:val="Textonotapie"/>
        <w:ind w:firstLine="708"/>
        <w:jc w:val="both"/>
        <w:rPr>
          <w:rFonts w:ascii="Verdana" w:hAnsi="Verdana" w:cs="Arial"/>
          <w:sz w:val="10"/>
          <w:szCs w:val="10"/>
        </w:rPr>
      </w:pPr>
      <w:r w:rsidRPr="0014488E">
        <w:rPr>
          <w:rStyle w:val="Refdenotaalpie"/>
          <w:rFonts w:ascii="Verdana" w:hAnsi="Verdana" w:cs="Arial"/>
          <w:sz w:val="10"/>
          <w:szCs w:val="10"/>
        </w:rPr>
        <w:footnoteRef/>
      </w:r>
      <w:r w:rsidRPr="0014488E">
        <w:rPr>
          <w:rFonts w:ascii="Verdana" w:hAnsi="Verdana" w:cs="Arial"/>
          <w:sz w:val="10"/>
          <w:szCs w:val="10"/>
        </w:rPr>
        <w:t xml:space="preserve"> PARÁGRAFO 1o. Las particularidades del procedimiento aquí previsto, así como la posibilidad que tengan las entidades de realizar estas adquisiciones a Mipymes o establecimientos que correspondan a la definición de "gran almacén" señalada por la Superintendencia de Industria y Comercio, se determinarán en el reglamento que para el efecto expida el Gobierno Nacional.</w:t>
      </w:r>
    </w:p>
  </w:footnote>
  <w:footnote w:id="15">
    <w:p w14:paraId="40675583" w14:textId="77777777" w:rsidR="00CD5196" w:rsidRPr="0014488E" w:rsidRDefault="00CD5196" w:rsidP="00CD5196">
      <w:pPr>
        <w:pStyle w:val="Textonotapie"/>
        <w:ind w:firstLine="709"/>
        <w:jc w:val="both"/>
        <w:rPr>
          <w:rFonts w:ascii="Verdana" w:hAnsi="Verdana" w:cs="Arial"/>
          <w:color w:val="000000"/>
          <w:sz w:val="10"/>
          <w:szCs w:val="10"/>
          <w:lang w:val="es-ES_tradnl"/>
        </w:rPr>
      </w:pPr>
      <w:r w:rsidRPr="0014488E">
        <w:rPr>
          <w:rStyle w:val="Refdenotaalpie"/>
          <w:rFonts w:ascii="Verdana" w:hAnsi="Verdana" w:cs="Arial"/>
          <w:color w:val="000000"/>
          <w:sz w:val="10"/>
          <w:szCs w:val="10"/>
          <w:lang w:val="es-ES_tradnl"/>
        </w:rPr>
        <w:footnoteRef/>
      </w:r>
      <w:r w:rsidRPr="0014488E">
        <w:rPr>
          <w:rFonts w:ascii="Verdana" w:hAnsi="Verdana" w:cs="Arial"/>
          <w:color w:val="000000"/>
          <w:sz w:val="10"/>
          <w:szCs w:val="10"/>
          <w:lang w:val="es-ES_tradnl"/>
        </w:rPr>
        <w:t xml:space="preserve"> Agencia Nacional de Contratación Pública – Colombia Compra Eficiente. Manual de la Modalidad de Selección de Mínima Cuantía En:</w:t>
      </w:r>
      <w:r w:rsidRPr="0014488E">
        <w:rPr>
          <w:rFonts w:ascii="Verdana" w:hAnsi="Verdana"/>
          <w:sz w:val="10"/>
          <w:szCs w:val="10"/>
        </w:rPr>
        <w:t xml:space="preserve"> </w:t>
      </w:r>
      <w:hyperlink r:id="rId1" w:history="1">
        <w:r w:rsidRPr="0014488E">
          <w:rPr>
            <w:rStyle w:val="Hipervnculo"/>
            <w:rFonts w:ascii="Verdana" w:hAnsi="Verdana" w:cs="Arial"/>
            <w:sz w:val="10"/>
            <w:szCs w:val="10"/>
            <w:lang w:val="es-ES_tradnl"/>
          </w:rPr>
          <w:t>https://www.colombiacompra.gov.co/manuales-guias-y-pliegos-tipo/manuales-y-guias</w:t>
        </w:r>
      </w:hyperlink>
      <w:r w:rsidRPr="0014488E">
        <w:rPr>
          <w:rFonts w:ascii="Verdana" w:hAnsi="Verdana" w:cs="Arial"/>
          <w:color w:val="000000"/>
          <w:sz w:val="10"/>
          <w:szCs w:val="10"/>
          <w:lang w:val="es-ES_tradnl"/>
        </w:rPr>
        <w:t xml:space="preserve"> </w:t>
      </w:r>
    </w:p>
    <w:p w14:paraId="574866EB" w14:textId="77777777" w:rsidR="00CD5196" w:rsidRPr="0014488E" w:rsidRDefault="00CD5196" w:rsidP="00CD5196">
      <w:pPr>
        <w:pStyle w:val="Textonotapie"/>
        <w:jc w:val="both"/>
        <w:rPr>
          <w:rFonts w:ascii="Verdana" w:hAnsi="Verdana" w:cs="Arial"/>
          <w:color w:val="000000"/>
          <w:sz w:val="10"/>
          <w:szCs w:val="10"/>
          <w:lang w:val="es-ES_tradnl"/>
        </w:rPr>
      </w:pPr>
    </w:p>
    <w:p w14:paraId="0FA12788" w14:textId="77777777" w:rsidR="00CD5196" w:rsidRPr="0014488E" w:rsidRDefault="00CD5196" w:rsidP="00CD5196">
      <w:pPr>
        <w:pStyle w:val="Textonotapie"/>
        <w:ind w:firstLine="709"/>
        <w:jc w:val="both"/>
        <w:rPr>
          <w:rFonts w:ascii="Verdana" w:hAnsi="Verdana" w:cs="Arial"/>
          <w:color w:val="000000"/>
          <w:sz w:val="10"/>
          <w:szCs w:val="10"/>
          <w:lang w:val="es-ES_tradnl"/>
        </w:rPr>
      </w:pPr>
    </w:p>
  </w:footnote>
  <w:footnote w:id="16">
    <w:p w14:paraId="34763DEF" w14:textId="77777777" w:rsidR="00CD5196" w:rsidRPr="0014488E" w:rsidRDefault="00CD5196" w:rsidP="00CD5196">
      <w:pPr>
        <w:pStyle w:val="Textonotapie"/>
        <w:ind w:firstLine="709"/>
        <w:jc w:val="both"/>
        <w:rPr>
          <w:rFonts w:ascii="Verdana" w:hAnsi="Verdana" w:cs="Arial"/>
          <w:color w:val="000000"/>
          <w:sz w:val="10"/>
          <w:szCs w:val="10"/>
          <w:lang w:val="es-ES"/>
        </w:rPr>
      </w:pPr>
      <w:r w:rsidRPr="0014488E">
        <w:rPr>
          <w:rStyle w:val="Refdenotaalpie"/>
          <w:rFonts w:ascii="Verdana" w:hAnsi="Verdana" w:cs="Arial"/>
          <w:color w:val="000000"/>
          <w:sz w:val="10"/>
          <w:szCs w:val="10"/>
          <w:lang w:val="es-ES"/>
        </w:rPr>
        <w:footnoteRef/>
      </w:r>
      <w:r w:rsidRPr="0014488E">
        <w:rPr>
          <w:rFonts w:ascii="Verdana" w:hAnsi="Verdana" w:cs="Arial"/>
          <w:color w:val="000000"/>
          <w:sz w:val="10"/>
          <w:szCs w:val="10"/>
          <w:lang w:val="es-ES"/>
        </w:rPr>
        <w:t xml:space="preserve"> Como lo indica la doctrina, en la mínima cuantía “El precio es el factor de selección del proponente. Es decir, la </w:t>
      </w:r>
      <w:r w:rsidRPr="0014488E">
        <w:rPr>
          <w:rFonts w:ascii="Verdana" w:hAnsi="Verdana" w:cs="Arial"/>
          <w:i/>
          <w:color w:val="000000"/>
          <w:sz w:val="10"/>
          <w:szCs w:val="10"/>
          <w:lang w:val="es-ES"/>
        </w:rPr>
        <w:t>entidad estatal</w:t>
      </w:r>
      <w:r w:rsidRPr="0014488E">
        <w:rPr>
          <w:rFonts w:ascii="Verdana" w:hAnsi="Verdana" w:cs="Arial"/>
          <w:color w:val="000000"/>
          <w:sz w:val="10"/>
          <w:szCs w:val="10"/>
          <w:lang w:val="es-ES"/>
        </w:rPr>
        <w:t xml:space="preserve"> debe adjudicar el </w:t>
      </w:r>
      <w:r w:rsidRPr="0014488E">
        <w:rPr>
          <w:rFonts w:ascii="Verdana" w:hAnsi="Verdana" w:cs="Arial"/>
          <w:i/>
          <w:color w:val="000000"/>
          <w:sz w:val="10"/>
          <w:szCs w:val="10"/>
          <w:lang w:val="es-ES"/>
        </w:rPr>
        <w:t>proceso de contratación</w:t>
      </w:r>
      <w:r w:rsidRPr="0014488E">
        <w:rPr>
          <w:rFonts w:ascii="Verdana" w:hAnsi="Verdana" w:cs="Arial"/>
          <w:color w:val="000000"/>
          <w:sz w:val="10"/>
          <w:szCs w:val="10"/>
          <w:lang w:val="es-ES"/>
        </w:rPr>
        <w:t xml:space="preserve"> al oferente que cumpla con todas las condiciones exigidas por la </w:t>
      </w:r>
      <w:r w:rsidRPr="0014488E">
        <w:rPr>
          <w:rFonts w:ascii="Verdana" w:hAnsi="Verdana" w:cs="Arial"/>
          <w:i/>
          <w:color w:val="000000"/>
          <w:sz w:val="10"/>
          <w:szCs w:val="10"/>
          <w:lang w:val="es-ES"/>
        </w:rPr>
        <w:t>entidad estatal</w:t>
      </w:r>
      <w:r w:rsidRPr="0014488E">
        <w:rPr>
          <w:rFonts w:ascii="Verdana" w:hAnsi="Verdana" w:cs="Arial"/>
          <w:color w:val="000000"/>
          <w:sz w:val="10"/>
          <w:szCs w:val="10"/>
          <w:lang w:val="es-ES"/>
        </w:rPr>
        <w:t xml:space="preserve"> en los </w:t>
      </w:r>
      <w:r w:rsidRPr="0014488E">
        <w:rPr>
          <w:rFonts w:ascii="Verdana" w:hAnsi="Verdana" w:cs="Arial"/>
          <w:i/>
          <w:color w:val="000000"/>
          <w:sz w:val="10"/>
          <w:szCs w:val="10"/>
          <w:lang w:val="es-ES"/>
        </w:rPr>
        <w:t>documentos del proceso</w:t>
      </w:r>
      <w:r w:rsidRPr="0014488E">
        <w:rPr>
          <w:rFonts w:ascii="Verdana" w:hAnsi="Verdana" w:cs="Arial"/>
          <w:color w:val="000000"/>
          <w:sz w:val="10"/>
          <w:szCs w:val="10"/>
          <w:lang w:val="es-ES"/>
        </w:rPr>
        <w:t xml:space="preserve"> (estudios previos e invitación a participar), y que ofrezca el menor valor. No hay lugar a puntajes para evaluar las ofertas sobre las características del objeto a contratar, su calidad o condiciones” (DÁVILA, Op.cit., p. 515).</w:t>
      </w:r>
    </w:p>
    <w:p w14:paraId="3732D623" w14:textId="77777777" w:rsidR="00CD5196" w:rsidRPr="0014488E" w:rsidRDefault="00CD5196" w:rsidP="00CD5196">
      <w:pPr>
        <w:pStyle w:val="Textonotapie"/>
        <w:ind w:firstLine="709"/>
        <w:jc w:val="both"/>
        <w:rPr>
          <w:rFonts w:ascii="Verdana" w:hAnsi="Verdana" w:cs="Arial"/>
          <w:color w:val="000000"/>
          <w:sz w:val="10"/>
          <w:szCs w:val="10"/>
          <w:lang w:val="es-ES_tradnl"/>
        </w:rPr>
      </w:pPr>
    </w:p>
  </w:footnote>
  <w:footnote w:id="17">
    <w:p w14:paraId="344DCE2A" w14:textId="77777777" w:rsidR="00CD5196" w:rsidRPr="0014488E" w:rsidRDefault="00CD5196" w:rsidP="00CD5196">
      <w:pPr>
        <w:pStyle w:val="Textonotapie"/>
        <w:ind w:firstLine="708"/>
        <w:jc w:val="both"/>
        <w:rPr>
          <w:rFonts w:ascii="Verdana" w:hAnsi="Verdana" w:cs="Arial"/>
          <w:color w:val="000000"/>
          <w:sz w:val="10"/>
          <w:szCs w:val="10"/>
          <w:lang w:val="es-CO"/>
        </w:rPr>
      </w:pPr>
      <w:r w:rsidRPr="0014488E">
        <w:rPr>
          <w:rStyle w:val="Refdenotaalpie"/>
          <w:rFonts w:ascii="Verdana" w:hAnsi="Verdana" w:cs="Arial"/>
          <w:color w:val="000000"/>
          <w:sz w:val="10"/>
          <w:szCs w:val="10"/>
        </w:rPr>
        <w:footnoteRef/>
      </w:r>
      <w:r w:rsidRPr="0014488E">
        <w:rPr>
          <w:rFonts w:ascii="Verdana" w:hAnsi="Verdana" w:cs="Arial"/>
          <w:color w:val="000000"/>
          <w:sz w:val="10"/>
          <w:szCs w:val="10"/>
        </w:rPr>
        <w:t xml:space="preserve"> </w:t>
      </w:r>
      <w:r w:rsidRPr="0014488E">
        <w:rPr>
          <w:rFonts w:ascii="Verdana" w:hAnsi="Verdana" w:cs="Arial"/>
          <w:color w:val="000000"/>
          <w:sz w:val="10"/>
          <w:szCs w:val="10"/>
          <w:lang w:val="es-CO"/>
        </w:rPr>
        <w:t xml:space="preserve">Manual de la Modalidad de Selección de Mínima Cuantía de Colombia Compra Eficiente, numeral 5.  </w:t>
      </w:r>
    </w:p>
    <w:p w14:paraId="27EAE5BE" w14:textId="77777777" w:rsidR="00CD5196" w:rsidRPr="0014488E" w:rsidRDefault="00CD5196" w:rsidP="00CD5196">
      <w:pPr>
        <w:pStyle w:val="Textonotapie"/>
        <w:ind w:firstLine="708"/>
        <w:jc w:val="both"/>
        <w:rPr>
          <w:rFonts w:ascii="Verdana" w:hAnsi="Verdana" w:cs="Arial"/>
          <w:color w:val="000000"/>
          <w:sz w:val="10"/>
          <w:szCs w:val="10"/>
          <w:lang w:val="es-CO"/>
        </w:rPr>
      </w:pPr>
    </w:p>
  </w:footnote>
  <w:footnote w:id="18">
    <w:p w14:paraId="797C849C" w14:textId="77777777" w:rsidR="00CD5196" w:rsidRPr="0014488E" w:rsidRDefault="00CD5196" w:rsidP="00CD5196">
      <w:pPr>
        <w:pStyle w:val="Textonotapie"/>
        <w:ind w:firstLine="708"/>
        <w:jc w:val="both"/>
        <w:rPr>
          <w:rFonts w:ascii="Verdana" w:hAnsi="Verdana" w:cs="Arial"/>
          <w:color w:val="000000"/>
          <w:sz w:val="10"/>
          <w:szCs w:val="10"/>
          <w:lang w:val="es-CO"/>
        </w:rPr>
      </w:pPr>
      <w:r w:rsidRPr="0014488E">
        <w:rPr>
          <w:rStyle w:val="Refdenotaalpie"/>
          <w:rFonts w:ascii="Verdana" w:hAnsi="Verdana" w:cs="Arial"/>
          <w:color w:val="000000"/>
          <w:sz w:val="10"/>
          <w:szCs w:val="10"/>
        </w:rPr>
        <w:footnoteRef/>
      </w:r>
      <w:r w:rsidRPr="0014488E">
        <w:rPr>
          <w:rFonts w:ascii="Verdana" w:hAnsi="Verdana" w:cs="Arial"/>
          <w:i/>
          <w:color w:val="000000"/>
          <w:sz w:val="10"/>
          <w:szCs w:val="10"/>
        </w:rPr>
        <w:t xml:space="preserve"> Ibídem.</w:t>
      </w:r>
      <w:r w:rsidRPr="0014488E">
        <w:rPr>
          <w:rFonts w:ascii="Verdana" w:hAnsi="Verdana" w:cs="Arial"/>
          <w:color w:val="000000"/>
          <w:sz w:val="10"/>
          <w:szCs w:val="1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845AA" w14:textId="77777777"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2795614D" w14:textId="77777777" w:rsidR="00756841" w:rsidRDefault="00756841">
    <w:pPr>
      <w:pStyle w:val="Encabezado"/>
    </w:pPr>
  </w:p>
  <w:p w14:paraId="28C298F2" w14:textId="77777777" w:rsidR="00DC39FC" w:rsidRDefault="00DC39FC" w:rsidP="004A305D">
    <w:pPr>
      <w:spacing w:after="0"/>
      <w:rPr>
        <w:rFonts w:ascii="Verdana" w:hAnsi="Verdana"/>
        <w:b/>
        <w:bCs/>
      </w:rPr>
    </w:pPr>
  </w:p>
  <w:p w14:paraId="4C724AD0" w14:textId="77777777" w:rsidR="004A305D" w:rsidRPr="00DC39FC" w:rsidRDefault="004A305D" w:rsidP="004A305D">
    <w:pPr>
      <w:spacing w:after="0"/>
      <w:rPr>
        <w:rFonts w:ascii="Verdana" w:hAnsi="Verdana"/>
        <w:b/>
        <w:bCs/>
      </w:rPr>
    </w:pPr>
    <w:r w:rsidRPr="00DC39FC">
      <w:rPr>
        <w:rFonts w:ascii="Verdana" w:hAnsi="Verdana"/>
        <w:b/>
        <w:bCs/>
      </w:rPr>
      <w:t>FORMATO PQRSD</w:t>
    </w:r>
  </w:p>
  <w:p w14:paraId="57ACF1AA" w14:textId="77777777" w:rsidR="004A305D" w:rsidRPr="004A305D" w:rsidRDefault="004A305D" w:rsidP="00B01B1A">
    <w:pPr>
      <w:spacing w:after="0" w:line="120" w:lineRule="auto"/>
      <w:rPr>
        <w:rFonts w:ascii="Century Gothic" w:eastAsia="Geo" w:hAnsi="Century Gothic" w:cs="Geo"/>
        <w:sz w:val="16"/>
        <w:szCs w:val="16"/>
        <w:lang w:eastAsia="es-CO"/>
      </w:rPr>
    </w:pPr>
  </w:p>
  <w:p w14:paraId="20BFFA60" w14:textId="77777777"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36D5EB3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966445271" o:spid="_x0000_i1025" type="#_x0000_t75" style="width:11.4pt;height:11.4pt;visibility:visible;mso-wrap-style:square">
            <v:imagedata r:id="rId1" o:title=""/>
          </v:shape>
        </w:pict>
      </mc:Choice>
      <mc:Fallback>
        <w:drawing>
          <wp:inline distT="0" distB="0" distL="0" distR="0" wp14:anchorId="643C1EEC" wp14:editId="643C1EED">
            <wp:extent cx="144780" cy="144780"/>
            <wp:effectExtent l="0" t="0" r="0" b="0"/>
            <wp:docPr id="1966445271" name="Imagen 1966445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mc:Fallback>
    </mc:AlternateConten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6790895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E4177"/>
    <w:rsid w:val="001F7DC6"/>
    <w:rsid w:val="00201556"/>
    <w:rsid w:val="002421BB"/>
    <w:rsid w:val="0024380C"/>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70BDF"/>
    <w:rsid w:val="004A1847"/>
    <w:rsid w:val="004A305D"/>
    <w:rsid w:val="004F21C4"/>
    <w:rsid w:val="004F685F"/>
    <w:rsid w:val="005566E8"/>
    <w:rsid w:val="00574867"/>
    <w:rsid w:val="00591460"/>
    <w:rsid w:val="005B3816"/>
    <w:rsid w:val="005C3777"/>
    <w:rsid w:val="005C595B"/>
    <w:rsid w:val="005C5CDC"/>
    <w:rsid w:val="005D476C"/>
    <w:rsid w:val="006219F8"/>
    <w:rsid w:val="00665D70"/>
    <w:rsid w:val="006777B0"/>
    <w:rsid w:val="006900D9"/>
    <w:rsid w:val="00706C16"/>
    <w:rsid w:val="007125A6"/>
    <w:rsid w:val="00756841"/>
    <w:rsid w:val="007649AB"/>
    <w:rsid w:val="00765D9E"/>
    <w:rsid w:val="00771D0C"/>
    <w:rsid w:val="007833AC"/>
    <w:rsid w:val="007B268C"/>
    <w:rsid w:val="007B7171"/>
    <w:rsid w:val="007C0C0F"/>
    <w:rsid w:val="007C3DC2"/>
    <w:rsid w:val="007E5497"/>
    <w:rsid w:val="00806F5F"/>
    <w:rsid w:val="00820278"/>
    <w:rsid w:val="008407F9"/>
    <w:rsid w:val="00867F95"/>
    <w:rsid w:val="008843B6"/>
    <w:rsid w:val="00891928"/>
    <w:rsid w:val="008A446D"/>
    <w:rsid w:val="008D180B"/>
    <w:rsid w:val="008F0EA7"/>
    <w:rsid w:val="009143F3"/>
    <w:rsid w:val="00923EEF"/>
    <w:rsid w:val="009419F9"/>
    <w:rsid w:val="00950B50"/>
    <w:rsid w:val="0095685E"/>
    <w:rsid w:val="00961B09"/>
    <w:rsid w:val="00965334"/>
    <w:rsid w:val="0097093E"/>
    <w:rsid w:val="00986AC5"/>
    <w:rsid w:val="009A0DFA"/>
    <w:rsid w:val="009B2D26"/>
    <w:rsid w:val="009C71FA"/>
    <w:rsid w:val="009C72E7"/>
    <w:rsid w:val="009D3058"/>
    <w:rsid w:val="009D42A4"/>
    <w:rsid w:val="009F1B7F"/>
    <w:rsid w:val="009F3A13"/>
    <w:rsid w:val="00A122D3"/>
    <w:rsid w:val="00A17F13"/>
    <w:rsid w:val="00A20739"/>
    <w:rsid w:val="00A32497"/>
    <w:rsid w:val="00A33C78"/>
    <w:rsid w:val="00AB0ADB"/>
    <w:rsid w:val="00B01B1A"/>
    <w:rsid w:val="00B061EA"/>
    <w:rsid w:val="00B66319"/>
    <w:rsid w:val="00B72CD3"/>
    <w:rsid w:val="00B72FFF"/>
    <w:rsid w:val="00BC3D36"/>
    <w:rsid w:val="00BC7825"/>
    <w:rsid w:val="00BD7F72"/>
    <w:rsid w:val="00BE39DE"/>
    <w:rsid w:val="00C04FB3"/>
    <w:rsid w:val="00C330EB"/>
    <w:rsid w:val="00C35F5A"/>
    <w:rsid w:val="00C41061"/>
    <w:rsid w:val="00C4756B"/>
    <w:rsid w:val="00C754BE"/>
    <w:rsid w:val="00C76B1C"/>
    <w:rsid w:val="00CA447A"/>
    <w:rsid w:val="00CB6357"/>
    <w:rsid w:val="00CC1B26"/>
    <w:rsid w:val="00CD5196"/>
    <w:rsid w:val="00D4043E"/>
    <w:rsid w:val="00D423A2"/>
    <w:rsid w:val="00D520D8"/>
    <w:rsid w:val="00D63AC2"/>
    <w:rsid w:val="00D7383B"/>
    <w:rsid w:val="00D74A91"/>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A1FA1"/>
    <w:rsid w:val="00EC38A7"/>
    <w:rsid w:val="00ED7384"/>
    <w:rsid w:val="00EE1AA8"/>
    <w:rsid w:val="00F31EDC"/>
    <w:rsid w:val="00F462B3"/>
    <w:rsid w:val="00F5664F"/>
    <w:rsid w:val="00F666C4"/>
    <w:rsid w:val="00F76AFC"/>
    <w:rsid w:val="00F81FA1"/>
    <w:rsid w:val="00FA47C0"/>
    <w:rsid w:val="00FB5DD1"/>
    <w:rsid w:val="00FC2B5D"/>
    <w:rsid w:val="00FD622B"/>
    <w:rsid w:val="00FE1BBF"/>
    <w:rsid w:val="00FF1449"/>
    <w:rsid w:val="00FF58B8"/>
    <w:rsid w:val="09B0EED6"/>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59"/>
    <w:rsid w:val="00CD519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CD5196"/>
    <w:pPr>
      <w:spacing w:line="240" w:lineRule="exact"/>
    </w:pPr>
    <w:rPr>
      <w:vertAlign w:val="superscript"/>
    </w:rPr>
  </w:style>
  <w:style w:type="character" w:customStyle="1" w:styleId="NormalWebCar">
    <w:name w:val="Normal (Web) Car"/>
    <w:link w:val="NormalWeb"/>
    <w:uiPriority w:val="99"/>
    <w:rsid w:val="00CD5196"/>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D5196"/>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wp-content/uploads/2024/08/manual_de_la_modalidad_de_seleccion_de_minima_cuantia.pdf"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a6cb9e4b-f1d1-4245-83ec-6cad768d538a"/>
    <ds:schemaRef ds:uri="9d85dbaf-23eb-4e57-a637-93dcacc8b1a1"/>
    <ds:schemaRef ds:uri="http://www.w3.org/XML/1998/namespace"/>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7ACE4303-24CD-4801-B042-E6F042FA22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16</Pages>
  <Words>4617</Words>
  <Characters>25395</Characters>
  <Application>Microsoft Office Word</Application>
  <DocSecurity>0</DocSecurity>
  <Lines>211</Lines>
  <Paragraphs>59</Paragraphs>
  <ScaleCrop>false</ScaleCrop>
  <Company/>
  <LinksUpToDate>false</LinksUpToDate>
  <CharactersWithSpaces>29953</CharactersWithSpaces>
  <SharedDoc>false</SharedDoc>
  <HLinks>
    <vt:vector size="36" baseType="variant">
      <vt:variant>
        <vt:i4>3276900</vt:i4>
      </vt:variant>
      <vt:variant>
        <vt:i4>12</vt:i4>
      </vt:variant>
      <vt:variant>
        <vt:i4>0</vt:i4>
      </vt:variant>
      <vt:variant>
        <vt:i4>5</vt:i4>
      </vt:variant>
      <vt:variant>
        <vt:lpwstr>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vt:lpwstr>
      </vt:variant>
      <vt:variant>
        <vt:lpwstr/>
      </vt:variant>
      <vt:variant>
        <vt:i4>3014696</vt:i4>
      </vt:variant>
      <vt:variant>
        <vt:i4>9</vt:i4>
      </vt:variant>
      <vt:variant>
        <vt:i4>0</vt:i4>
      </vt:variant>
      <vt:variant>
        <vt:i4>5</vt:i4>
      </vt:variant>
      <vt:variant>
        <vt:lpwstr>https://nam02.safelinks.protection.outlook.com/?url=https%3A%2F%2Fwww.colombiacompra.gov.co%2Fnormativa-y-relatoria%2Fdocumentos-tipo&amp;data=05%7C02%7Cximena.rios%40colombiacompra.gov.co%7C7cfff6dece924643582c08dd97bfed90%7C7b09041e245149d08cb179d5e3d8c1be%7C0%7C0%7C638833572792139172%7CUnknown%7CTWFpbGZsb3d8eyJFbXB0eU1hcGkiOnRydWUsIlYiOiIwLjAuMDAwMCIsIlAiOiJXaW4zMiIsIkFOIjoiTWFpbCIsIldUIjoyfQ%3D%3D%7C0%7C%7C%7C&amp;sdata=CQCNL%2FWMosZXj6omE9vjPO1mxyYEnVE2DOUQ9Zx1cq0%3D&amp;reserved=0</vt:lpwstr>
      </vt:variant>
      <vt:variant>
        <vt:lpwstr/>
      </vt:variant>
      <vt:variant>
        <vt:i4>4063266</vt:i4>
      </vt:variant>
      <vt:variant>
        <vt:i4>6</vt:i4>
      </vt:variant>
      <vt:variant>
        <vt:i4>0</vt:i4>
      </vt:variant>
      <vt:variant>
        <vt:i4>5</vt:i4>
      </vt:variant>
      <vt:variant>
        <vt:lpwstr>https://nam02.safelinks.protection.outlook.com/?url=https%3A%2F%2Fwww.colombiacompra.gov.co%2Farchivos%2Fconvocatoria%2Fparticipacion-ciudadana-proyecto-de-la-guia-para-la-elaboracion-de-estudios-del-sector&amp;data=05%7C02%7Cximena.rios%40colombiacompra.gov.co%7C7cfff6dece924643582c08dd97bfed90%7C7b09041e245149d08cb179d5e3d8c1be%7C0%7C0%7C638833572792096371%7CUnknown%7CTWFpbGZsb3d8eyJFbXB0eU1hcGkiOnRydWUsIlYiOiIwLjAuMDAwMCIsIlAiOiJXaW4zMiIsIkFOIjoiTWFpbCIsIldUIjoyfQ%3D%3D%7C0%7C%7C%7C&amp;sdata=UYgKmSkRyxwQ2g%2FUiv6PgLM66fzh1FmO7VrSbeE%2FGhg%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7274555</vt:i4>
      </vt:variant>
      <vt:variant>
        <vt:i4>0</vt:i4>
      </vt:variant>
      <vt:variant>
        <vt:i4>0</vt:i4>
      </vt:variant>
      <vt:variant>
        <vt:i4>5</vt:i4>
      </vt:variant>
      <vt:variant>
        <vt:lpwstr>https://www.colombiacompra.gov.co/wp-content/uploads/2024/08/manual_de_la_modalidad_de_seleccion_de_minima_cuantia.pdf</vt:lpwstr>
      </vt:variant>
      <vt:variant>
        <vt:lpwstr/>
      </vt:variant>
      <vt:variant>
        <vt:i4>5111895</vt:i4>
      </vt:variant>
      <vt:variant>
        <vt:i4>0</vt:i4>
      </vt:variant>
      <vt:variant>
        <vt:i4>0</vt:i4>
      </vt:variant>
      <vt:variant>
        <vt:i4>5</vt:i4>
      </vt:variant>
      <vt:variant>
        <vt:lpwstr>https://www.colombiacompra.gov.co/manuales-guias-y-pliegos-tipo/manuales-y-guias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2025-06-17T13:07:00Z</dcterms:created>
  <dcterms:modified xsi:type="dcterms:W3CDTF">2025-06-17T13:07:00Z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