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B1921" w14:textId="77777777" w:rsidR="00247572" w:rsidRDefault="00247572" w:rsidP="0039647D">
      <w:pPr>
        <w:spacing w:after="0" w:line="278" w:lineRule="auto"/>
        <w:rPr>
          <w:rFonts w:ascii="Verdana" w:eastAsia="Aptos" w:hAnsi="Verdana" w:cs="Times New Roman"/>
          <w:kern w:val="2"/>
          <w14:ligatures w14:val="standardContextual"/>
        </w:rPr>
      </w:pPr>
      <w:bookmarkStart w:id="0" w:name="_Hlk143780582"/>
    </w:p>
    <w:p w14:paraId="45D42468" w14:textId="77777777" w:rsidR="006E064E" w:rsidRPr="00480834" w:rsidRDefault="006E064E" w:rsidP="006E064E">
      <w:pPr>
        <w:spacing w:after="0" w:line="240" w:lineRule="auto"/>
        <w:jc w:val="both"/>
        <w:rPr>
          <w:rFonts w:ascii="Verdana" w:eastAsia="Calibri" w:hAnsi="Verdana" w:cs="Arial"/>
          <w:b/>
          <w:lang w:val="es-ES"/>
        </w:rPr>
      </w:pPr>
      <w:r w:rsidRPr="61963E61">
        <w:rPr>
          <w:rFonts w:ascii="Verdana" w:eastAsia="Calibri" w:hAnsi="Verdana" w:cs="Arial"/>
          <w:b/>
          <w:lang w:val="es-ES"/>
        </w:rPr>
        <w:t xml:space="preserve">DOCUMENTOS TIPO – Fundamento normativo – Obligatoriedad </w:t>
      </w:r>
    </w:p>
    <w:p w14:paraId="76857874" w14:textId="77777777" w:rsidR="006E064E" w:rsidRPr="00480834" w:rsidRDefault="006E064E" w:rsidP="006E064E">
      <w:pPr>
        <w:spacing w:after="0" w:line="240" w:lineRule="auto"/>
        <w:jc w:val="both"/>
        <w:rPr>
          <w:rFonts w:ascii="Verdana" w:eastAsia="Calibri" w:hAnsi="Verdana" w:cs="Arial"/>
          <w:b/>
          <w:bCs/>
          <w:sz w:val="20"/>
          <w:szCs w:val="20"/>
          <w:lang w:val="es-ES_tradnl"/>
        </w:rPr>
      </w:pPr>
    </w:p>
    <w:p w14:paraId="796AEFB3" w14:textId="77777777" w:rsidR="006E064E" w:rsidRPr="00480834" w:rsidRDefault="006E064E" w:rsidP="006E064E">
      <w:pPr>
        <w:spacing w:after="0" w:line="240" w:lineRule="auto"/>
        <w:jc w:val="both"/>
        <w:rPr>
          <w:rFonts w:ascii="Verdana" w:eastAsia="Aptos" w:hAnsi="Verdana" w:cs="Times New Roman"/>
          <w:kern w:val="2"/>
          <w:sz w:val="20"/>
          <w:szCs w:val="20"/>
          <w:lang w:val="es-MX"/>
          <w14:ligatures w14:val="standardContextual"/>
        </w:rPr>
      </w:pPr>
      <w:r w:rsidRPr="00480834">
        <w:rPr>
          <w:rFonts w:ascii="Verdana" w:eastAsia="Aptos" w:hAnsi="Verdana" w:cs="Times New Roman"/>
          <w:kern w:val="2"/>
          <w:sz w:val="20"/>
          <w:szCs w:val="20"/>
          <w:lang w:val="es-MX"/>
          <w14:ligatures w14:val="standardContextual"/>
        </w:rPr>
        <w:t>El 22 de julio de 2020 se sancionó la Ley 2022, por medio de la cual se modificó el artículo 4 de la Ley 1882 de 2018.</w:t>
      </w:r>
    </w:p>
    <w:p w14:paraId="167AA615" w14:textId="77777777" w:rsidR="006E064E" w:rsidRPr="00480834" w:rsidRDefault="006E064E" w:rsidP="006E064E">
      <w:pPr>
        <w:spacing w:after="0" w:line="240" w:lineRule="auto"/>
        <w:jc w:val="both"/>
        <w:rPr>
          <w:rFonts w:ascii="Verdana" w:eastAsia="Aptos" w:hAnsi="Verdana" w:cs="Times New Roman"/>
          <w:kern w:val="2"/>
          <w:sz w:val="20"/>
          <w:szCs w:val="20"/>
          <w:lang w:val="es-MX"/>
          <w14:ligatures w14:val="standardContextual"/>
        </w:rPr>
      </w:pPr>
    </w:p>
    <w:p w14:paraId="7A423770" w14:textId="77777777" w:rsidR="006E064E" w:rsidRPr="00480834" w:rsidRDefault="006E064E" w:rsidP="006E064E">
      <w:pPr>
        <w:spacing w:after="0" w:line="240" w:lineRule="auto"/>
        <w:jc w:val="both"/>
        <w:rPr>
          <w:rFonts w:ascii="Verdana" w:eastAsia="Aptos" w:hAnsi="Verdana" w:cs="Times New Roman"/>
          <w:kern w:val="2"/>
          <w:sz w:val="20"/>
          <w:szCs w:val="20"/>
          <w:lang w:val="es-MX"/>
          <w14:ligatures w14:val="standardContextual"/>
        </w:rPr>
      </w:pPr>
      <w:r w:rsidRPr="00480834">
        <w:rPr>
          <w:rFonts w:ascii="Verdana" w:eastAsia="Aptos" w:hAnsi="Verdana" w:cs="Times New Roman"/>
          <w:kern w:val="2"/>
          <w:sz w:val="20"/>
          <w:szCs w:val="20"/>
          <w:lang w:val="es-MX"/>
          <w14:ligatures w14:val="standardContextual"/>
        </w:rPr>
        <w:t>(…)</w:t>
      </w:r>
    </w:p>
    <w:p w14:paraId="5955AC49" w14:textId="77777777" w:rsidR="006E064E" w:rsidRPr="00480834" w:rsidRDefault="006E064E" w:rsidP="006E064E">
      <w:pPr>
        <w:spacing w:after="0" w:line="240" w:lineRule="auto"/>
        <w:jc w:val="both"/>
        <w:rPr>
          <w:rFonts w:ascii="Verdana" w:eastAsia="Calibri" w:hAnsi="Verdana" w:cs="Arial"/>
          <w:b/>
          <w:bCs/>
          <w:sz w:val="20"/>
          <w:szCs w:val="20"/>
          <w:lang w:val="es-ES_tradnl"/>
        </w:rPr>
      </w:pPr>
    </w:p>
    <w:p w14:paraId="46BF5C3D" w14:textId="77777777" w:rsidR="006E064E" w:rsidRPr="00480834" w:rsidRDefault="006E064E" w:rsidP="006E064E">
      <w:pPr>
        <w:spacing w:after="0" w:line="240" w:lineRule="auto"/>
        <w:jc w:val="both"/>
        <w:rPr>
          <w:rFonts w:ascii="Verdana" w:eastAsia="Calibri" w:hAnsi="Verdana" w:cs="Arial"/>
          <w:color w:val="000000"/>
          <w:kern w:val="2"/>
          <w:sz w:val="20"/>
          <w:szCs w:val="20"/>
          <w:lang w:val="es-MX"/>
          <w14:ligatures w14:val="standardContextual"/>
        </w:rPr>
      </w:pPr>
      <w:r w:rsidRPr="00480834">
        <w:rPr>
          <w:rFonts w:ascii="Verdana" w:eastAsia="Aptos" w:hAnsi="Verdana" w:cs="Times New Roman"/>
          <w:kern w:val="2"/>
          <w:sz w:val="20"/>
          <w:szCs w:val="20"/>
          <w:lang w:val="es-ES"/>
          <w14:ligatures w14:val="standardContextual"/>
        </w:rPr>
        <w:t xml:space="preserve">La norma </w:t>
      </w:r>
      <w:r w:rsidRPr="00480834">
        <w:rPr>
          <w:rFonts w:ascii="Verdana" w:eastAsia="Calibri" w:hAnsi="Verdana" w:cs="Arial"/>
          <w:color w:val="000000"/>
          <w:sz w:val="20"/>
          <w:szCs w:val="2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6426355" w14:textId="77777777" w:rsidR="006E064E" w:rsidRPr="00480834" w:rsidRDefault="006E064E" w:rsidP="006E064E">
      <w:pPr>
        <w:spacing w:after="0" w:line="240" w:lineRule="auto"/>
        <w:jc w:val="both"/>
        <w:rPr>
          <w:rFonts w:ascii="Aptos" w:eastAsia="Aptos" w:hAnsi="Aptos" w:cs="Times New Roman"/>
          <w:sz w:val="20"/>
          <w:szCs w:val="20"/>
          <w:lang w:val="es-MX"/>
        </w:rPr>
      </w:pPr>
    </w:p>
    <w:p w14:paraId="2BE97F2F" w14:textId="77777777" w:rsidR="006E064E" w:rsidRPr="00480834" w:rsidRDefault="006E064E" w:rsidP="006E064E">
      <w:pPr>
        <w:spacing w:after="0" w:line="240" w:lineRule="auto"/>
        <w:jc w:val="both"/>
        <w:rPr>
          <w:rFonts w:ascii="Verdana" w:eastAsia="Calibri" w:hAnsi="Verdana" w:cs="Arial"/>
          <w:b/>
          <w:bCs/>
          <w:kern w:val="2"/>
          <w:sz w:val="24"/>
          <w:szCs w:val="24"/>
          <w:lang w:val="es-ES_tradnl"/>
          <w14:ligatures w14:val="standardContextual"/>
        </w:rPr>
      </w:pPr>
      <w:r w:rsidRPr="00480834">
        <w:rPr>
          <w:rFonts w:ascii="Verdana" w:eastAsia="Calibri" w:hAnsi="Verdana" w:cs="Arial"/>
          <w:b/>
          <w:bCs/>
          <w:lang w:val="es-ES_tradnl"/>
        </w:rPr>
        <w:t>DOCUMENTOS TIPO – Adopción – Implementación</w:t>
      </w:r>
    </w:p>
    <w:p w14:paraId="37C0F69B" w14:textId="77777777" w:rsidR="006E064E" w:rsidRPr="00480834" w:rsidRDefault="006E064E" w:rsidP="006E064E">
      <w:pPr>
        <w:spacing w:after="0" w:line="240" w:lineRule="auto"/>
        <w:jc w:val="both"/>
        <w:rPr>
          <w:rFonts w:ascii="Verdana" w:eastAsia="Calibri" w:hAnsi="Verdana" w:cs="Arial"/>
          <w:color w:val="000000"/>
          <w:kern w:val="2"/>
          <w:sz w:val="20"/>
          <w:szCs w:val="20"/>
          <w:lang w:val="es-MX"/>
          <w14:ligatures w14:val="standardContextual"/>
        </w:rPr>
      </w:pPr>
    </w:p>
    <w:p w14:paraId="00C16B8F" w14:textId="77777777" w:rsidR="006E064E" w:rsidRPr="00480834" w:rsidRDefault="006E064E" w:rsidP="006E064E">
      <w:pPr>
        <w:spacing w:after="0" w:line="240" w:lineRule="auto"/>
        <w:jc w:val="both"/>
        <w:rPr>
          <w:rFonts w:ascii="Verdana" w:eastAsia="Calibri" w:hAnsi="Verdana" w:cs="Arial"/>
          <w:color w:val="000000"/>
          <w:kern w:val="2"/>
          <w:sz w:val="20"/>
          <w:szCs w:val="20"/>
          <w:lang w:val="es-MX"/>
          <w14:ligatures w14:val="standardContextual"/>
        </w:rPr>
      </w:pPr>
      <w:r w:rsidRPr="00480834">
        <w:rPr>
          <w:rFonts w:ascii="Verdana" w:eastAsia="Calibri" w:hAnsi="Verdana" w:cs="Arial"/>
          <w:color w:val="000000"/>
          <w:sz w:val="20"/>
          <w:szCs w:val="20"/>
          <w:lang w:val="es-MX"/>
        </w:rPr>
        <w:t xml:space="preserve">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1747F8DC" w14:textId="77777777" w:rsidR="006E064E" w:rsidRPr="00480834" w:rsidRDefault="006E064E" w:rsidP="006E064E">
      <w:pPr>
        <w:spacing w:after="0" w:line="240" w:lineRule="auto"/>
        <w:jc w:val="both"/>
        <w:rPr>
          <w:rFonts w:ascii="Verdana" w:eastAsia="Calibri" w:hAnsi="Verdana" w:cs="Arial"/>
          <w:color w:val="000000"/>
          <w:sz w:val="20"/>
          <w:szCs w:val="20"/>
          <w:lang w:val="es-MX"/>
        </w:rPr>
      </w:pPr>
    </w:p>
    <w:p w14:paraId="3F22D455" w14:textId="77777777" w:rsidR="006E064E" w:rsidRPr="00480834" w:rsidRDefault="006E064E" w:rsidP="006E064E">
      <w:pPr>
        <w:spacing w:after="0" w:line="240" w:lineRule="auto"/>
        <w:jc w:val="both"/>
        <w:rPr>
          <w:rFonts w:ascii="Verdana" w:eastAsia="Calibri" w:hAnsi="Verdana" w:cs="Arial"/>
          <w:b/>
          <w:bCs/>
          <w:kern w:val="2"/>
          <w:lang w:val="es-ES_tradnl"/>
          <w14:ligatures w14:val="standardContextual"/>
        </w:rPr>
      </w:pPr>
      <w:r w:rsidRPr="00480834">
        <w:rPr>
          <w:rFonts w:ascii="Verdana" w:eastAsia="Calibri" w:hAnsi="Verdana" w:cs="Arial"/>
          <w:b/>
          <w:bCs/>
          <w:lang w:val="es-ES_tradnl"/>
        </w:rPr>
        <w:t>DOCUMENTOS TIPO – Sectores – Vigentes</w:t>
      </w:r>
    </w:p>
    <w:p w14:paraId="3638A000" w14:textId="77777777" w:rsidR="006E064E" w:rsidRPr="00480834" w:rsidRDefault="006E064E" w:rsidP="006E064E">
      <w:pPr>
        <w:spacing w:after="0" w:line="276" w:lineRule="auto"/>
        <w:jc w:val="both"/>
        <w:rPr>
          <w:rFonts w:ascii="Verdana" w:eastAsia="Calibri" w:hAnsi="Verdana" w:cs="Arial"/>
          <w:b/>
          <w:bCs/>
          <w:color w:val="000000"/>
          <w:lang w:eastAsia="es-ES_tradnl"/>
        </w:rPr>
      </w:pPr>
    </w:p>
    <w:p w14:paraId="355EFD70" w14:textId="77777777" w:rsidR="006E064E" w:rsidRPr="00480834" w:rsidRDefault="006E064E" w:rsidP="006E064E">
      <w:pPr>
        <w:tabs>
          <w:tab w:val="left" w:pos="709"/>
        </w:tabs>
        <w:spacing w:after="0" w:line="240" w:lineRule="auto"/>
        <w:jc w:val="both"/>
        <w:rPr>
          <w:rFonts w:ascii="Verdana" w:eastAsia="Calibri" w:hAnsi="Verdana" w:cs="Arial"/>
          <w:sz w:val="20"/>
          <w:szCs w:val="20"/>
          <w:lang w:val="es-ES"/>
        </w:rPr>
      </w:pPr>
      <w:r w:rsidRPr="00480834">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182D7893" w14:textId="77777777" w:rsidR="006E064E" w:rsidRPr="00480834" w:rsidRDefault="006E064E" w:rsidP="006E064E">
      <w:pPr>
        <w:spacing w:after="0" w:line="276" w:lineRule="auto"/>
        <w:jc w:val="both"/>
        <w:rPr>
          <w:rFonts w:ascii="Verdana" w:eastAsia="Calibri" w:hAnsi="Verdana" w:cs="Arial"/>
          <w:color w:val="000000"/>
          <w:kern w:val="2"/>
          <w:sz w:val="20"/>
          <w:szCs w:val="20"/>
          <w:lang w:val="es-MX"/>
          <w14:ligatures w14:val="standardContextual"/>
        </w:rPr>
      </w:pPr>
    </w:p>
    <w:p w14:paraId="23774C70" w14:textId="77777777" w:rsidR="006E064E" w:rsidRPr="00480834" w:rsidRDefault="006E064E" w:rsidP="006E064E">
      <w:pPr>
        <w:spacing w:after="0" w:line="240" w:lineRule="auto"/>
        <w:jc w:val="both"/>
        <w:rPr>
          <w:rFonts w:ascii="Verdana" w:eastAsia="Calibri" w:hAnsi="Verdana" w:cs="Arial"/>
          <w:b/>
          <w:bCs/>
          <w:kern w:val="2"/>
          <w:sz w:val="24"/>
          <w:szCs w:val="24"/>
          <w:lang w:val="es-ES_tradnl"/>
          <w14:ligatures w14:val="standardContextual"/>
        </w:rPr>
      </w:pPr>
      <w:r w:rsidRPr="00480834">
        <w:rPr>
          <w:rFonts w:ascii="Verdana" w:eastAsia="Calibri" w:hAnsi="Verdana" w:cs="Arial"/>
          <w:b/>
          <w:bCs/>
          <w:lang w:val="es-ES_tradnl"/>
        </w:rPr>
        <w:t xml:space="preserve">DOCUMENTOS TIPO – Colombia Compra Eficiente – Facultad de estandarización </w:t>
      </w:r>
    </w:p>
    <w:p w14:paraId="32BC1E89" w14:textId="77777777" w:rsidR="006E064E" w:rsidRPr="00480834" w:rsidRDefault="006E064E" w:rsidP="006E064E">
      <w:pPr>
        <w:spacing w:after="0" w:line="276" w:lineRule="auto"/>
        <w:jc w:val="both"/>
        <w:rPr>
          <w:rFonts w:ascii="Verdana" w:eastAsia="Calibri" w:hAnsi="Verdana" w:cs="Arial"/>
          <w:b/>
          <w:bCs/>
          <w:kern w:val="2"/>
          <w:sz w:val="24"/>
          <w:szCs w:val="24"/>
          <w:lang w:val="es-ES_tradnl"/>
          <w14:ligatures w14:val="standardContextual"/>
        </w:rPr>
      </w:pPr>
    </w:p>
    <w:p w14:paraId="75EC29EF" w14:textId="77777777" w:rsidR="006E064E" w:rsidRPr="00480834" w:rsidRDefault="006E064E" w:rsidP="006E064E">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480834">
        <w:rPr>
          <w:rFonts w:ascii="Verdana" w:eastAsia="Times New Roman" w:hAnsi="Verdana" w:cs="Arial"/>
          <w:kern w:val="2"/>
          <w:sz w:val="20"/>
          <w:szCs w:val="20"/>
          <w:lang w:eastAsia="es-ES"/>
          <w14:ligatures w14:val="standardContextual"/>
        </w:rPr>
        <w:t>Conforme con lo anterior, m</w:t>
      </w:r>
      <w:r w:rsidRPr="00480834">
        <w:rPr>
          <w:rFonts w:ascii="Verdana" w:eastAsia="Times New Roman" w:hAnsi="Verdana" w:cs="Arial"/>
          <w:sz w:val="20"/>
          <w:szCs w:val="20"/>
          <w:lang w:eastAsia="es-ES"/>
        </w:rPr>
        <w:t xml:space="preserve">ediante una interpretación sistemática de la normativa y jurisprudencia citada es posible concluir que </w:t>
      </w:r>
      <w:r w:rsidRPr="00480834">
        <w:rPr>
          <w:rFonts w:ascii="Verdana" w:eastAsia="Times New Roman" w:hAnsi="Verdana" w:cs="Arial"/>
          <w:kern w:val="2"/>
          <w:sz w:val="20"/>
          <w:szCs w:val="20"/>
          <w:lang w:eastAsia="es-ES"/>
          <w14:ligatures w14:val="standardContextual"/>
        </w:rPr>
        <w:t>la</w:t>
      </w:r>
      <w:r w:rsidRPr="00480834">
        <w:rPr>
          <w:rFonts w:ascii="Verdana" w:eastAsia="Times New Roman" w:hAnsi="Verdana" w:cs="Arial"/>
          <w:sz w:val="20"/>
          <w:szCs w:val="20"/>
          <w:lang w:eastAsia="es-ES"/>
        </w:rPr>
        <w:t xml:space="preserve"> Agencia</w:t>
      </w:r>
      <w:r w:rsidRPr="00480834">
        <w:rPr>
          <w:rFonts w:ascii="Verdana" w:eastAsia="Times New Roman" w:hAnsi="Verdana" w:cs="Arial"/>
          <w:kern w:val="2"/>
          <w:sz w:val="20"/>
          <w:szCs w:val="20"/>
          <w:lang w:eastAsia="es-ES"/>
          <w14:ligatures w14:val="standardContextual"/>
        </w:rPr>
        <w:t xml:space="preserve"> Nacional de Contratación Pública </w:t>
      </w:r>
      <w:r w:rsidRPr="00480834">
        <w:rPr>
          <w:rFonts w:ascii="Verdana" w:eastAsia="Times New Roman" w:hAnsi="Verdana" w:cs="Arial"/>
          <w:kern w:val="2"/>
          <w:sz w:val="20"/>
          <w:szCs w:val="20"/>
          <w:lang w:eastAsia="es-ES"/>
          <w14:ligatures w14:val="standardContextual"/>
        </w:rPr>
        <w:lastRenderedPageBreak/>
        <w:t>– Colombia Compra Eficiente</w:t>
      </w:r>
      <w:r w:rsidRPr="00480834">
        <w:rPr>
          <w:rFonts w:ascii="Verdana" w:eastAsia="Times New Roman" w:hAnsi="Verdana" w:cs="Arial"/>
          <w:sz w:val="20"/>
          <w:szCs w:val="20"/>
          <w:lang w:eastAsia="es-ES"/>
        </w:rPr>
        <w:t xml:space="preserv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0011B090" w14:textId="77777777" w:rsidR="006E064E" w:rsidRPr="00480834" w:rsidRDefault="006E064E" w:rsidP="006E064E">
      <w:pPr>
        <w:tabs>
          <w:tab w:val="center" w:pos="4419"/>
          <w:tab w:val="right" w:pos="8838"/>
        </w:tabs>
        <w:spacing w:after="0" w:line="240" w:lineRule="auto"/>
        <w:jc w:val="both"/>
        <w:rPr>
          <w:rFonts w:ascii="Verdana" w:eastAsia="MS Mincho" w:hAnsi="Verdana" w:cs="Arial"/>
          <w:sz w:val="20"/>
          <w:szCs w:val="20"/>
          <w:lang w:eastAsia="es-CO"/>
        </w:rPr>
      </w:pPr>
    </w:p>
    <w:p w14:paraId="41AF25A8" w14:textId="77777777" w:rsidR="006E064E" w:rsidRPr="00480834" w:rsidRDefault="006E064E" w:rsidP="006E064E">
      <w:pPr>
        <w:tabs>
          <w:tab w:val="center" w:pos="4419"/>
          <w:tab w:val="right" w:pos="8838"/>
        </w:tabs>
        <w:spacing w:after="0" w:line="240" w:lineRule="auto"/>
        <w:jc w:val="both"/>
        <w:rPr>
          <w:rFonts w:ascii="Verdana" w:eastAsia="Times New Roman" w:hAnsi="Verdana" w:cs="Arial"/>
          <w:kern w:val="2"/>
          <w:sz w:val="20"/>
          <w:szCs w:val="20"/>
          <w:lang w:eastAsia="es-ES"/>
          <w14:ligatures w14:val="standardContextual"/>
        </w:rPr>
      </w:pPr>
      <w:r w:rsidRPr="00480834">
        <w:rPr>
          <w:rFonts w:ascii="Verdana" w:eastAsia="MS Mincho" w:hAnsi="Verdana" w:cs="Arial"/>
          <w:sz w:val="20"/>
          <w:szCs w:val="20"/>
          <w:lang w:eastAsia="es-CO"/>
        </w:rPr>
        <w:t>I</w:t>
      </w:r>
      <w:r w:rsidRPr="00480834">
        <w:rPr>
          <w:rFonts w:ascii="Verdana" w:eastAsia="Times New Roman" w:hAnsi="Verdana" w:cs="Arial"/>
          <w:sz w:val="20"/>
          <w:szCs w:val="20"/>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7744715A" w14:textId="77777777" w:rsidR="006E064E" w:rsidRPr="00480834" w:rsidRDefault="006E064E" w:rsidP="006E064E">
      <w:pPr>
        <w:spacing w:after="0" w:line="276" w:lineRule="auto"/>
        <w:jc w:val="both"/>
        <w:rPr>
          <w:rFonts w:ascii="Verdana" w:eastAsia="Calibri" w:hAnsi="Verdana" w:cs="Arial"/>
          <w:b/>
          <w:bCs/>
          <w:highlight w:val="yellow"/>
          <w:lang w:val="es-ES_tradnl"/>
        </w:rPr>
      </w:pPr>
    </w:p>
    <w:p w14:paraId="17BD7093" w14:textId="77777777" w:rsidR="006E064E" w:rsidRPr="00480834" w:rsidRDefault="006E064E" w:rsidP="006E064E">
      <w:pPr>
        <w:spacing w:after="0" w:line="240" w:lineRule="auto"/>
        <w:rPr>
          <w:rFonts w:ascii="Verdana" w:eastAsia="Calibri" w:hAnsi="Verdana" w:cs="Times New Roman"/>
          <w:b/>
          <w:bCs/>
          <w:lang w:val="es-ES"/>
        </w:rPr>
      </w:pPr>
      <w:r w:rsidRPr="00480834">
        <w:rPr>
          <w:rFonts w:ascii="Verdana" w:eastAsia="Calibri" w:hAnsi="Verdana" w:cs="Times New Roman"/>
          <w:b/>
          <w:bCs/>
          <w:lang w:val="es-ES"/>
        </w:rPr>
        <w:t>DOCUMENTOS TIPO – Inalterabilidad – Alcance</w:t>
      </w:r>
    </w:p>
    <w:p w14:paraId="59947A03" w14:textId="77777777" w:rsidR="006E064E" w:rsidRPr="00480834" w:rsidRDefault="006E064E" w:rsidP="006E064E">
      <w:pPr>
        <w:spacing w:after="0" w:line="240" w:lineRule="auto"/>
        <w:rPr>
          <w:rFonts w:ascii="Verdana" w:eastAsia="Calibri" w:hAnsi="Verdana" w:cs="Times New Roman"/>
          <w:b/>
          <w:bCs/>
          <w:lang w:val="es-ES"/>
        </w:rPr>
      </w:pPr>
    </w:p>
    <w:p w14:paraId="3019B14A" w14:textId="77777777" w:rsidR="006E064E" w:rsidRPr="00480834" w:rsidRDefault="006E064E" w:rsidP="006E064E">
      <w:pPr>
        <w:tabs>
          <w:tab w:val="center" w:pos="4419"/>
          <w:tab w:val="right" w:pos="8838"/>
        </w:tabs>
        <w:spacing w:after="0" w:line="240" w:lineRule="auto"/>
        <w:jc w:val="both"/>
        <w:rPr>
          <w:rFonts w:ascii="Verdana" w:eastAsia="Calibri" w:hAnsi="Verdana" w:cs="Arial"/>
          <w:color w:val="000000"/>
          <w:sz w:val="20"/>
          <w:szCs w:val="20"/>
          <w:lang w:val="es-ES"/>
        </w:rPr>
      </w:pPr>
      <w:r w:rsidRPr="00480834">
        <w:rPr>
          <w:rFonts w:ascii="Verdana" w:eastAsia="Calibri" w:hAnsi="Verdana" w:cs="Arial"/>
          <w:color w:val="000000"/>
          <w:sz w:val="20"/>
          <w:szCs w:val="2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80834">
        <w:rPr>
          <w:rFonts w:ascii="Verdana" w:eastAsia="Calibri" w:hAnsi="Verdana" w:cs="Arial"/>
          <w:i/>
          <w:iCs/>
          <w:color w:val="000000"/>
          <w:sz w:val="20"/>
          <w:szCs w:val="20"/>
          <w:lang w:val="es-ES"/>
        </w:rPr>
        <w:t>Documentos del Proceso</w:t>
      </w:r>
      <w:r w:rsidRPr="00480834">
        <w:rPr>
          <w:rFonts w:ascii="Verdana" w:eastAsia="Calibri" w:hAnsi="Verdana" w:cs="Arial"/>
          <w:color w:val="000000"/>
          <w:sz w:val="20"/>
          <w:szCs w:val="2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4B32272" w14:textId="77777777" w:rsidR="006E064E" w:rsidRPr="00480834" w:rsidRDefault="006E064E" w:rsidP="006E064E">
      <w:pPr>
        <w:tabs>
          <w:tab w:val="center" w:pos="4419"/>
          <w:tab w:val="right" w:pos="8838"/>
        </w:tabs>
        <w:spacing w:after="0" w:line="240" w:lineRule="auto"/>
        <w:jc w:val="both"/>
        <w:rPr>
          <w:rFonts w:ascii="Verdana" w:eastAsia="Calibri" w:hAnsi="Verdana" w:cs="Arial"/>
          <w:color w:val="000000"/>
          <w:sz w:val="20"/>
          <w:szCs w:val="20"/>
          <w:lang w:val="es-ES"/>
        </w:rPr>
      </w:pPr>
    </w:p>
    <w:p w14:paraId="473D62F4" w14:textId="77777777" w:rsidR="006E064E" w:rsidRPr="00480834" w:rsidRDefault="006E064E" w:rsidP="006E064E">
      <w:pPr>
        <w:spacing w:after="0" w:line="240" w:lineRule="auto"/>
        <w:jc w:val="both"/>
        <w:rPr>
          <w:rFonts w:ascii="Verdana" w:eastAsia="Calibri" w:hAnsi="Verdana" w:cs="Arial"/>
          <w:sz w:val="20"/>
          <w:szCs w:val="20"/>
          <w:lang w:val="es-ES_tradnl"/>
        </w:rPr>
      </w:pPr>
      <w:r w:rsidRPr="00480834">
        <w:rPr>
          <w:rFonts w:ascii="Verdana" w:eastAsia="Calibri" w:hAnsi="Verdana" w:cs="Arial"/>
          <w:sz w:val="20"/>
          <w:szCs w:val="20"/>
          <w:lang w:val="es-ES_tradnl"/>
        </w:rPr>
        <w:t>(…)</w:t>
      </w:r>
    </w:p>
    <w:p w14:paraId="190A07EE" w14:textId="77777777" w:rsidR="006E064E" w:rsidRPr="00480834" w:rsidRDefault="006E064E" w:rsidP="006E064E">
      <w:pPr>
        <w:spacing w:after="0" w:line="240" w:lineRule="auto"/>
        <w:jc w:val="both"/>
        <w:rPr>
          <w:rFonts w:ascii="Verdana" w:eastAsia="Calibri" w:hAnsi="Verdana" w:cs="Arial"/>
          <w:sz w:val="20"/>
          <w:szCs w:val="20"/>
          <w:lang w:val="es-ES_tradnl"/>
        </w:rPr>
      </w:pPr>
    </w:p>
    <w:p w14:paraId="30DEEE68"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r w:rsidRPr="00480834">
        <w:rPr>
          <w:rFonts w:ascii="Verdana" w:eastAsia="Calibri" w:hAnsi="Verdana" w:cs="Arial"/>
          <w:color w:val="000000"/>
          <w:sz w:val="20"/>
          <w:szCs w:val="20"/>
          <w:lang w:val="es-ES"/>
        </w:rPr>
        <w:t xml:space="preserve">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 Si las autoridades pudiesen agregar, eliminar o modificar todos y cada uno de los aspectos contenidos en los pliegos tipo, estos documentos, llanamente, no podrían ser llamados pliegos tipo. </w:t>
      </w:r>
    </w:p>
    <w:p w14:paraId="736CE76A"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p>
    <w:p w14:paraId="33F6D355"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r w:rsidRPr="00480834">
        <w:rPr>
          <w:rFonts w:ascii="Verdana" w:eastAsia="Calibri" w:hAnsi="Verdana" w:cs="Arial"/>
          <w:color w:val="000000"/>
          <w:sz w:val="20"/>
          <w:szCs w:val="2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w:t>
      </w:r>
      <w:r w:rsidRPr="00480834">
        <w:rPr>
          <w:rFonts w:ascii="Verdana" w:eastAsia="Calibri" w:hAnsi="Verdana" w:cs="Arial"/>
          <w:color w:val="000000"/>
          <w:sz w:val="20"/>
          <w:szCs w:val="20"/>
          <w:lang w:val="es-ES"/>
        </w:rPr>
        <w:lastRenderedPageBreak/>
        <w:t xml:space="preserve">“pliegos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F162718"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p>
    <w:p w14:paraId="2FE67493"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r w:rsidRPr="00480834">
        <w:rPr>
          <w:rFonts w:ascii="Verdana" w:eastAsia="Calibri" w:hAnsi="Verdana" w:cs="Arial"/>
          <w:color w:val="000000"/>
          <w:sz w:val="20"/>
          <w:szCs w:val="20"/>
          <w:lang w:val="es-ES"/>
        </w:rPr>
        <w:t>(…)</w:t>
      </w:r>
    </w:p>
    <w:p w14:paraId="3712EF5D"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p>
    <w:p w14:paraId="6C7592F5" w14:textId="77777777" w:rsidR="006E064E" w:rsidRPr="00480834" w:rsidRDefault="006E064E" w:rsidP="006E064E">
      <w:pPr>
        <w:spacing w:after="0" w:line="240" w:lineRule="auto"/>
        <w:jc w:val="both"/>
        <w:rPr>
          <w:rFonts w:ascii="Verdana" w:eastAsia="Calibri" w:hAnsi="Verdana" w:cs="Arial"/>
          <w:color w:val="000000"/>
          <w:sz w:val="20"/>
          <w:szCs w:val="20"/>
          <w:lang w:val="es-ES"/>
        </w:rPr>
      </w:pPr>
      <w:r w:rsidRPr="00480834">
        <w:rPr>
          <w:rFonts w:ascii="Verdana" w:eastAsia="Calibri" w:hAnsi="Verdana" w:cs="Arial"/>
          <w:sz w:val="20"/>
          <w:szCs w:val="20"/>
          <w:lang w:val="es-MX"/>
        </w:rPr>
        <w:t xml:space="preserve">No obstante, la parte introductoria de los documentos base de los documentos tipo disponen que los aspectos incluidos en corchetes y resaltados en gris </w:t>
      </w:r>
      <w:r w:rsidRPr="00480834">
        <w:rPr>
          <w:rFonts w:ascii="Verdana" w:eastAsia="Aptos" w:hAnsi="Verdana" w:cs="Arial"/>
          <w:sz w:val="20"/>
          <w:szCs w:val="20"/>
        </w:rPr>
        <w:t>–[</w:t>
      </w:r>
      <w:r w:rsidRPr="00480834">
        <w:rPr>
          <w:rFonts w:ascii="Verdana" w:eastAsia="Aptos" w:hAnsi="Verdana" w:cs="Arial"/>
          <w:sz w:val="20"/>
          <w:szCs w:val="20"/>
          <w:highlight w:val="lightGray"/>
        </w:rPr>
        <w:t>texto de ejemplo</w:t>
      </w:r>
      <w:r w:rsidRPr="00480834">
        <w:rPr>
          <w:rFonts w:ascii="Verdana" w:eastAsia="Aptos" w:hAnsi="Verdana" w:cs="Arial"/>
          <w:sz w:val="20"/>
          <w:szCs w:val="20"/>
        </w:rPr>
        <w:t xml:space="preserve">]– </w:t>
      </w:r>
      <w:r w:rsidRPr="00480834">
        <w:rPr>
          <w:rFonts w:ascii="Verdana" w:eastAsia="Calibri" w:hAnsi="Verdana" w:cs="Arial"/>
          <w:sz w:val="20"/>
          <w:szCs w:val="20"/>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7593A87A" w14:textId="77777777" w:rsidR="006E064E" w:rsidRPr="00480834" w:rsidRDefault="006E064E" w:rsidP="006E064E">
      <w:pPr>
        <w:spacing w:after="0" w:line="240" w:lineRule="auto"/>
        <w:rPr>
          <w:rFonts w:ascii="Verdana" w:eastAsia="Calibri" w:hAnsi="Verdana" w:cs="Times New Roman"/>
          <w:b/>
          <w:bCs/>
          <w:lang w:val="es-ES"/>
        </w:rPr>
      </w:pPr>
    </w:p>
    <w:p w14:paraId="3CB34AAE" w14:textId="77777777" w:rsidR="006E064E" w:rsidRPr="00480834" w:rsidRDefault="006E064E" w:rsidP="006E064E">
      <w:pPr>
        <w:spacing w:after="0" w:line="240" w:lineRule="auto"/>
        <w:rPr>
          <w:rFonts w:ascii="Verdana" w:eastAsia="Calibri" w:hAnsi="Verdana" w:cs="Times New Roman"/>
          <w:b/>
          <w:bCs/>
          <w:lang w:val="es-ES"/>
        </w:rPr>
      </w:pPr>
      <w:r w:rsidRPr="00480834">
        <w:rPr>
          <w:rFonts w:ascii="Verdana" w:eastAsia="Calibri" w:hAnsi="Verdana" w:cs="Times New Roman"/>
          <w:b/>
          <w:bCs/>
          <w:lang w:val="es-ES"/>
        </w:rPr>
        <w:t>DECRETO 287 DE 2026 – Incidencia – Documentos tipo</w:t>
      </w:r>
    </w:p>
    <w:p w14:paraId="4544C084" w14:textId="77777777" w:rsidR="006E064E" w:rsidRPr="00480834" w:rsidRDefault="006E064E" w:rsidP="006E064E">
      <w:pPr>
        <w:spacing w:after="0" w:line="240" w:lineRule="auto"/>
        <w:rPr>
          <w:rFonts w:ascii="Verdana" w:eastAsia="Calibri" w:hAnsi="Verdana" w:cs="Times New Roman"/>
          <w:b/>
          <w:bCs/>
          <w:lang w:val="es-ES"/>
        </w:rPr>
      </w:pPr>
    </w:p>
    <w:p w14:paraId="799A507B"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300E784B"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629A798" w14:textId="77777777" w:rsidR="006E064E" w:rsidRPr="00480834" w:rsidRDefault="006E064E" w:rsidP="006E064E">
      <w:pPr>
        <w:spacing w:after="0" w:line="240" w:lineRule="auto"/>
        <w:jc w:val="both"/>
        <w:rPr>
          <w:rFonts w:ascii="Verdana" w:eastAsia="Calibri" w:hAnsi="Verdana" w:cs="Times New Roman"/>
          <w:b/>
          <w:bCs/>
          <w:lang w:val="es-ES"/>
        </w:rPr>
      </w:pPr>
      <w:r w:rsidRPr="00480834">
        <w:rPr>
          <w:rFonts w:ascii="Verdana" w:eastAsia="Calibri" w:hAnsi="Verdana" w:cs="Times New Roman"/>
          <w:b/>
          <w:bCs/>
          <w:lang w:val="es-ES"/>
        </w:rPr>
        <w:t>DECRETO 287 DE 2026 – Documentos tipo – Licitación Pública – Selección abreviada de menor cuantía – Concurso de méritos – Requisitos habilitantes</w:t>
      </w:r>
    </w:p>
    <w:p w14:paraId="770F3D98"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EBAE615"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de tal manera que se eliminen barreras de entrada injustificadas sin comprometer la idoneidad del contratista, en aplicación del principio de igualdad material.</w:t>
      </w:r>
    </w:p>
    <w:p w14:paraId="031982D5"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4BCD8A2" w14:textId="77777777" w:rsidR="006E064E" w:rsidRPr="00480834" w:rsidRDefault="006E064E" w:rsidP="006E064E">
      <w:pPr>
        <w:spacing w:after="0" w:line="240" w:lineRule="auto"/>
        <w:jc w:val="both"/>
        <w:rPr>
          <w:rFonts w:ascii="Verdana" w:eastAsia="Calibri" w:hAnsi="Verdana" w:cs="Times New Roman"/>
          <w:b/>
          <w:bCs/>
          <w:lang w:val="es-ES"/>
        </w:rPr>
      </w:pPr>
      <w:r w:rsidRPr="00480834">
        <w:rPr>
          <w:rFonts w:ascii="Verdana" w:eastAsia="Calibri" w:hAnsi="Verdana" w:cs="Times New Roman"/>
          <w:b/>
          <w:bCs/>
          <w:lang w:val="es-ES"/>
        </w:rPr>
        <w:lastRenderedPageBreak/>
        <w:t>DECRETO 287 DE 2026 – Documentos tipo – Licitación Pública – Concurso de méritos – Factores de evaluación</w:t>
      </w:r>
    </w:p>
    <w:p w14:paraId="5BCF7B9F"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lang w:val="es-ES"/>
          <w14:ligatures w14:val="standardContextual"/>
        </w:rPr>
      </w:pPr>
    </w:p>
    <w:p w14:paraId="41C65926"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7156E98F"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E4AFC3A" w14:textId="77777777" w:rsidR="006E064E" w:rsidRPr="00480834" w:rsidRDefault="006E064E" w:rsidP="006E064E">
      <w:pPr>
        <w:widowControl w:val="0"/>
        <w:autoSpaceDE w:val="0"/>
        <w:autoSpaceDN w:val="0"/>
        <w:spacing w:after="0" w:line="240" w:lineRule="auto"/>
        <w:jc w:val="both"/>
        <w:rPr>
          <w:rFonts w:ascii="Verdana" w:eastAsia="Calibri" w:hAnsi="Verdana" w:cs="Times New Roman"/>
          <w:b/>
          <w:bCs/>
          <w:lang w:val="es-ES"/>
        </w:rPr>
      </w:pPr>
      <w:r w:rsidRPr="00480834">
        <w:rPr>
          <w:rFonts w:ascii="Verdana" w:eastAsia="Calibri" w:hAnsi="Verdana" w:cs="Times New Roman"/>
          <w:b/>
          <w:bCs/>
          <w:lang w:val="es-ES"/>
        </w:rPr>
        <w:t xml:space="preserve">DECRETO 287 DE 2026 – Documentos tipo – Ejecución contractual </w:t>
      </w:r>
    </w:p>
    <w:p w14:paraId="0DBAF87E"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8DBAED2"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7ECE9F34"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7BE83D4"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42D4321C"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1932AB2" w14:textId="77777777" w:rsidR="006E064E" w:rsidRPr="00480834" w:rsidRDefault="006E064E" w:rsidP="006E064E">
      <w:pPr>
        <w:widowControl w:val="0"/>
        <w:autoSpaceDE w:val="0"/>
        <w:autoSpaceDN w:val="0"/>
        <w:spacing w:after="0" w:line="240" w:lineRule="auto"/>
        <w:jc w:val="both"/>
        <w:rPr>
          <w:rFonts w:ascii="Verdana" w:eastAsia="Calibri" w:hAnsi="Verdana" w:cs="Times New Roman"/>
          <w:b/>
          <w:bCs/>
          <w:lang w:val="es-ES"/>
        </w:rPr>
      </w:pPr>
      <w:r w:rsidRPr="00480834">
        <w:rPr>
          <w:rFonts w:ascii="Verdana" w:eastAsia="Calibri" w:hAnsi="Verdana" w:cs="Times New Roman"/>
          <w:b/>
          <w:bCs/>
          <w:lang w:val="es-ES"/>
        </w:rPr>
        <w:t xml:space="preserve">DOCUMENTOS TIPO – Decreto 287 de 2026 – Aplicación </w:t>
      </w:r>
    </w:p>
    <w:p w14:paraId="65D9D64A"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0FEB6BD"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w:t>
      </w:r>
      <w:r w:rsidRPr="00480834">
        <w:rPr>
          <w:rFonts w:ascii="Verdana" w:eastAsia="Aptos" w:hAnsi="Verdana" w:cs="Times New Roman"/>
          <w:kern w:val="2"/>
          <w:sz w:val="20"/>
          <w:szCs w:val="20"/>
          <w14:ligatures w14:val="standardContextual"/>
        </w:rPr>
        <w:lastRenderedPageBreak/>
        <w:t>complementarlos de manera autónoma con el fin de incorporar directamente las disposiciones del Decreto en mención.</w:t>
      </w:r>
    </w:p>
    <w:p w14:paraId="76B5530A"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53F9381"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130A92DC"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7B0B0FB"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w:t>
      </w:r>
    </w:p>
    <w:p w14:paraId="7082435B"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505EE069"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 lo cual confirma que la operatividad de dichas disposiciones en el ámbito de los documentos tipo depende de su desarrollo por parte de esta entidad. </w:t>
      </w:r>
    </w:p>
    <w:p w14:paraId="62D3FAA1"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7942CE33"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12ED60F5"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7AD562B" w14:textId="77777777" w:rsidR="006E064E" w:rsidRPr="00480834" w:rsidRDefault="006E064E" w:rsidP="006E064E">
      <w:pPr>
        <w:widowControl w:val="0"/>
        <w:autoSpaceDE w:val="0"/>
        <w:autoSpaceDN w:val="0"/>
        <w:spacing w:after="0" w:line="240" w:lineRule="auto"/>
        <w:jc w:val="both"/>
        <w:rPr>
          <w:rFonts w:ascii="Verdana" w:eastAsia="Calibri" w:hAnsi="Verdana" w:cs="Times New Roman"/>
          <w:b/>
          <w:bCs/>
          <w:lang w:val="es-ES"/>
        </w:rPr>
      </w:pPr>
      <w:r w:rsidRPr="00480834">
        <w:rPr>
          <w:rFonts w:ascii="Verdana" w:eastAsia="Calibri" w:hAnsi="Verdana" w:cs="Times New Roman"/>
          <w:b/>
          <w:bCs/>
          <w:lang w:val="es-ES"/>
        </w:rPr>
        <w:t xml:space="preserve">DOCUMENTOS TIPO – Decreto 287 de 2026 – Aplicación – Necesidad de modificación – Agencia Nacional de Contratación Pública </w:t>
      </w:r>
    </w:p>
    <w:p w14:paraId="0FCF8E2F"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288E5D65"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78A1A7A2"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6CA8D7AD"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En conclusión, la implementación de las disposiciones del Decreto 287 de 2026 en relación con los documentos tipo no puede realizarse de manera directa por las entidades </w:t>
      </w:r>
      <w:r w:rsidRPr="00480834">
        <w:rPr>
          <w:rFonts w:ascii="Verdana" w:eastAsia="Aptos" w:hAnsi="Verdana" w:cs="Times New Roman"/>
          <w:kern w:val="2"/>
          <w:sz w:val="20"/>
          <w:szCs w:val="20"/>
          <w14:ligatures w14:val="standardContextual"/>
        </w:rPr>
        <w:lastRenderedPageBreak/>
        <w:t xml:space="preserve">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2467025C"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1ED2364D" w14:textId="77777777" w:rsidR="006E064E" w:rsidRPr="00480834" w:rsidRDefault="006E064E" w:rsidP="006E064E">
      <w:pPr>
        <w:widowControl w:val="0"/>
        <w:autoSpaceDE w:val="0"/>
        <w:autoSpaceDN w:val="0"/>
        <w:spacing w:after="0" w:line="240" w:lineRule="auto"/>
        <w:jc w:val="both"/>
        <w:rPr>
          <w:rFonts w:ascii="Verdana" w:eastAsia="Calibri" w:hAnsi="Verdana" w:cs="Times New Roman"/>
          <w:b/>
          <w:bCs/>
          <w:lang w:val="es-ES"/>
        </w:rPr>
      </w:pPr>
      <w:r w:rsidRPr="00480834">
        <w:rPr>
          <w:rFonts w:ascii="Verdana" w:eastAsia="Calibri" w:hAnsi="Verdana" w:cs="Times New Roman"/>
          <w:b/>
          <w:bCs/>
          <w:lang w:val="es-ES"/>
        </w:rPr>
        <w:t>DOCUMENTOS TIPO – Decreto 287 de 2026 – Modificación – Colombia Compra Eficiente</w:t>
      </w:r>
    </w:p>
    <w:p w14:paraId="0179E844"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3CD02656"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185B7C79"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p>
    <w:p w14:paraId="08C2FAFD" w14:textId="77777777" w:rsidR="006E064E" w:rsidRPr="00480834" w:rsidRDefault="006E064E" w:rsidP="006E064E">
      <w:pPr>
        <w:widowControl w:val="0"/>
        <w:autoSpaceDE w:val="0"/>
        <w:autoSpaceDN w:val="0"/>
        <w:spacing w:after="0" w:line="240" w:lineRule="auto"/>
        <w:jc w:val="both"/>
        <w:rPr>
          <w:rFonts w:ascii="Verdana" w:eastAsia="Aptos" w:hAnsi="Verdana" w:cs="Times New Roman"/>
          <w:kern w:val="2"/>
          <w:sz w:val="20"/>
          <w:szCs w:val="20"/>
          <w14:ligatures w14:val="standardContextual"/>
        </w:rPr>
      </w:pPr>
      <w:r w:rsidRPr="00480834">
        <w:rPr>
          <w:rFonts w:ascii="Verdana" w:eastAsia="Aptos" w:hAnsi="Verdana" w:cs="Times New Roman"/>
          <w:kern w:val="2"/>
          <w:sz w:val="20"/>
          <w:szCs w:val="20"/>
          <w14:ligatures w14:val="standardContextual"/>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p w14:paraId="3B2364E6" w14:textId="77777777" w:rsidR="006E064E" w:rsidRPr="00480834" w:rsidRDefault="006E064E" w:rsidP="006E064E">
      <w:pPr>
        <w:spacing w:after="0" w:line="240" w:lineRule="auto"/>
        <w:rPr>
          <w:rFonts w:ascii="Verdana" w:eastAsia="Calibri" w:hAnsi="Verdana" w:cs="Times New Roman"/>
          <w:b/>
          <w:bCs/>
          <w:lang w:val="es-ES"/>
        </w:rPr>
      </w:pPr>
    </w:p>
    <w:p w14:paraId="57E28CBE" w14:textId="77777777" w:rsidR="006E064E" w:rsidRPr="00480834" w:rsidRDefault="006E064E" w:rsidP="006E064E">
      <w:pPr>
        <w:spacing w:after="0" w:line="240" w:lineRule="auto"/>
        <w:rPr>
          <w:rFonts w:ascii="Verdana" w:eastAsia="Calibri" w:hAnsi="Verdana" w:cs="Times New Roman"/>
          <w:b/>
          <w:bCs/>
          <w:lang w:val="es-ES"/>
        </w:rPr>
      </w:pPr>
    </w:p>
    <w:p w14:paraId="293E2FEA" w14:textId="77777777" w:rsidR="006E064E" w:rsidRPr="00480834" w:rsidRDefault="006E064E" w:rsidP="006E064E">
      <w:pPr>
        <w:spacing w:after="0" w:line="240" w:lineRule="auto"/>
        <w:rPr>
          <w:rFonts w:ascii="Verdana" w:eastAsia="Calibri" w:hAnsi="Verdana" w:cs="Times New Roman"/>
          <w:b/>
          <w:bCs/>
          <w:lang w:val="es-ES"/>
        </w:rPr>
      </w:pPr>
    </w:p>
    <w:p w14:paraId="51C0E425" w14:textId="77777777" w:rsidR="006E064E" w:rsidRPr="00480834" w:rsidRDefault="006E064E" w:rsidP="006E064E">
      <w:pPr>
        <w:spacing w:after="0" w:line="240" w:lineRule="auto"/>
        <w:rPr>
          <w:rFonts w:ascii="Verdana" w:eastAsia="Calibri" w:hAnsi="Verdana" w:cs="Times New Roman"/>
          <w:b/>
          <w:bCs/>
          <w:lang w:val="es-ES"/>
        </w:rPr>
      </w:pPr>
    </w:p>
    <w:p w14:paraId="6FFD4BDC" w14:textId="77777777" w:rsidR="006E064E" w:rsidRPr="00480834" w:rsidRDefault="006E064E" w:rsidP="006E064E">
      <w:pPr>
        <w:spacing w:after="0" w:line="240" w:lineRule="auto"/>
        <w:rPr>
          <w:rFonts w:ascii="Verdana" w:eastAsia="Calibri" w:hAnsi="Verdana" w:cs="Times New Roman"/>
          <w:b/>
          <w:bCs/>
          <w:lang w:val="es-ES"/>
        </w:rPr>
      </w:pPr>
    </w:p>
    <w:p w14:paraId="4A6EAFA3" w14:textId="77777777" w:rsidR="00247572" w:rsidRPr="006E064E" w:rsidRDefault="00247572" w:rsidP="0039647D">
      <w:pPr>
        <w:spacing w:after="0" w:line="278" w:lineRule="auto"/>
        <w:rPr>
          <w:rFonts w:ascii="Verdana" w:eastAsia="Aptos" w:hAnsi="Verdana" w:cs="Times New Roman"/>
          <w:kern w:val="2"/>
          <w:lang w:val="es-ES"/>
          <w14:ligatures w14:val="standardContextual"/>
        </w:rPr>
      </w:pPr>
    </w:p>
    <w:p w14:paraId="3BD61EE2" w14:textId="77777777" w:rsidR="00247572" w:rsidRDefault="00247572" w:rsidP="0039647D">
      <w:pPr>
        <w:spacing w:after="0" w:line="278" w:lineRule="auto"/>
        <w:rPr>
          <w:rFonts w:ascii="Verdana" w:eastAsia="Aptos" w:hAnsi="Verdana" w:cs="Times New Roman"/>
          <w:kern w:val="2"/>
          <w14:ligatures w14:val="standardContextual"/>
        </w:rPr>
      </w:pPr>
    </w:p>
    <w:p w14:paraId="5C96CCB6" w14:textId="77777777" w:rsidR="00247572" w:rsidRDefault="00247572" w:rsidP="0039647D">
      <w:pPr>
        <w:spacing w:after="0" w:line="278" w:lineRule="auto"/>
        <w:rPr>
          <w:rFonts w:ascii="Verdana" w:eastAsia="Aptos" w:hAnsi="Verdana" w:cs="Times New Roman"/>
          <w:kern w:val="2"/>
          <w14:ligatures w14:val="standardContextual"/>
        </w:rPr>
      </w:pPr>
    </w:p>
    <w:p w14:paraId="2AD67B5B" w14:textId="77777777" w:rsidR="00247572" w:rsidRDefault="00247572" w:rsidP="0039647D">
      <w:pPr>
        <w:spacing w:after="0" w:line="278" w:lineRule="auto"/>
        <w:rPr>
          <w:rFonts w:ascii="Verdana" w:eastAsia="Aptos" w:hAnsi="Verdana" w:cs="Times New Roman"/>
          <w:kern w:val="2"/>
          <w14:ligatures w14:val="standardContextual"/>
        </w:rPr>
      </w:pPr>
    </w:p>
    <w:p w14:paraId="1F556BCB" w14:textId="77777777" w:rsidR="00247572" w:rsidRDefault="00247572" w:rsidP="0039647D">
      <w:pPr>
        <w:spacing w:after="0" w:line="278" w:lineRule="auto"/>
        <w:rPr>
          <w:rFonts w:ascii="Verdana" w:eastAsia="Aptos" w:hAnsi="Verdana" w:cs="Times New Roman"/>
          <w:kern w:val="2"/>
          <w14:ligatures w14:val="standardContextual"/>
        </w:rPr>
      </w:pPr>
    </w:p>
    <w:p w14:paraId="6274AAD5" w14:textId="77777777" w:rsidR="00247572" w:rsidRDefault="00247572" w:rsidP="0039647D">
      <w:pPr>
        <w:spacing w:after="0" w:line="278" w:lineRule="auto"/>
        <w:rPr>
          <w:rFonts w:ascii="Verdana" w:eastAsia="Aptos" w:hAnsi="Verdana" w:cs="Times New Roman"/>
          <w:kern w:val="2"/>
          <w14:ligatures w14:val="standardContextual"/>
        </w:rPr>
      </w:pPr>
    </w:p>
    <w:p w14:paraId="662F1FEA" w14:textId="77777777" w:rsidR="00247572" w:rsidRDefault="00247572" w:rsidP="0039647D">
      <w:pPr>
        <w:spacing w:after="0" w:line="278" w:lineRule="auto"/>
        <w:rPr>
          <w:rFonts w:ascii="Verdana" w:eastAsia="Aptos" w:hAnsi="Verdana" w:cs="Times New Roman"/>
          <w:kern w:val="2"/>
          <w14:ligatures w14:val="standardContextual"/>
        </w:rPr>
      </w:pPr>
    </w:p>
    <w:p w14:paraId="43105782" w14:textId="77777777" w:rsidR="00247572" w:rsidRDefault="00247572" w:rsidP="0039647D">
      <w:pPr>
        <w:spacing w:after="0" w:line="278" w:lineRule="auto"/>
        <w:rPr>
          <w:rFonts w:ascii="Verdana" w:eastAsia="Aptos" w:hAnsi="Verdana" w:cs="Times New Roman"/>
          <w:kern w:val="2"/>
          <w14:ligatures w14:val="standardContextual"/>
        </w:rPr>
      </w:pPr>
    </w:p>
    <w:p w14:paraId="607650A2" w14:textId="77777777" w:rsidR="00247572" w:rsidRDefault="00247572" w:rsidP="0039647D">
      <w:pPr>
        <w:spacing w:after="0" w:line="278" w:lineRule="auto"/>
        <w:rPr>
          <w:rFonts w:ascii="Verdana" w:eastAsia="Aptos" w:hAnsi="Verdana" w:cs="Times New Roman"/>
          <w:kern w:val="2"/>
          <w14:ligatures w14:val="standardContextual"/>
        </w:rPr>
      </w:pPr>
    </w:p>
    <w:p w14:paraId="456EED63" w14:textId="77777777" w:rsidR="00247572" w:rsidRDefault="00247572" w:rsidP="0039647D">
      <w:pPr>
        <w:spacing w:after="0" w:line="278" w:lineRule="auto"/>
        <w:rPr>
          <w:rFonts w:ascii="Verdana" w:eastAsia="Aptos" w:hAnsi="Verdana" w:cs="Times New Roman"/>
          <w:kern w:val="2"/>
          <w14:ligatures w14:val="standardContextual"/>
        </w:rPr>
      </w:pPr>
    </w:p>
    <w:p w14:paraId="6835E6EC" w14:textId="77777777" w:rsidR="00247572" w:rsidRDefault="00247572" w:rsidP="0039647D">
      <w:pPr>
        <w:spacing w:after="0" w:line="278" w:lineRule="auto"/>
        <w:rPr>
          <w:rFonts w:ascii="Verdana" w:eastAsia="Aptos" w:hAnsi="Verdana" w:cs="Times New Roman"/>
          <w:kern w:val="2"/>
          <w14:ligatures w14:val="standardContextual"/>
        </w:rPr>
      </w:pPr>
    </w:p>
    <w:p w14:paraId="398E9B06" w14:textId="51B357A3" w:rsidR="0039647D" w:rsidRDefault="003A4010" w:rsidP="0039647D">
      <w:pPr>
        <w:spacing w:after="0" w:line="278" w:lineRule="auto"/>
        <w:rPr>
          <w:rFonts w:ascii="Verdana" w:eastAsia="Aptos" w:hAnsi="Verdana" w:cs="Times New Roman"/>
          <w:kern w:val="2"/>
          <w14:ligatures w14:val="standardContextual"/>
        </w:rPr>
      </w:pPr>
      <w:r w:rsidRPr="003A4010">
        <w:rPr>
          <w:rFonts w:ascii="Verdana" w:eastAsia="Aptos" w:hAnsi="Verdana" w:cs="Times New Roman"/>
          <w:noProof/>
          <w:kern w:val="2"/>
          <w14:ligatures w14:val="standardContextual"/>
        </w:rPr>
        <w:lastRenderedPageBreak/>
        <w:drawing>
          <wp:anchor distT="0" distB="0" distL="114300" distR="114300" simplePos="0" relativeHeight="251658240" behindDoc="0" locked="0" layoutInCell="1" allowOverlap="1" wp14:anchorId="07FB106E" wp14:editId="1A674B9B">
            <wp:simplePos x="0" y="0"/>
            <wp:positionH relativeFrom="column">
              <wp:posOffset>3902573</wp:posOffset>
            </wp:positionH>
            <wp:positionV relativeFrom="paragraph">
              <wp:posOffset>174416</wp:posOffset>
            </wp:positionV>
            <wp:extent cx="1924291" cy="654007"/>
            <wp:effectExtent l="0" t="0" r="0" b="0"/>
            <wp:wrapNone/>
            <wp:docPr id="13605293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529368"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24291" cy="654007"/>
                    </a:xfrm>
                    <a:prstGeom prst="rect">
                      <a:avLst/>
                    </a:prstGeom>
                  </pic:spPr>
                </pic:pic>
              </a:graphicData>
            </a:graphic>
            <wp14:sizeRelH relativeFrom="page">
              <wp14:pctWidth>0</wp14:pctWidth>
            </wp14:sizeRelH>
            <wp14:sizeRelV relativeFrom="page">
              <wp14:pctHeight>0</wp14:pctHeight>
            </wp14:sizeRelV>
          </wp:anchor>
        </w:drawing>
      </w:r>
      <w:r w:rsidR="0039647D" w:rsidRPr="0039647D">
        <w:rPr>
          <w:rFonts w:ascii="Verdana" w:eastAsia="Aptos" w:hAnsi="Verdana" w:cs="Times New Roman"/>
          <w:kern w:val="2"/>
          <w14:ligatures w14:val="standardContextual"/>
        </w:rPr>
        <w:t xml:space="preserve">Bogotá D.C., </w:t>
      </w:r>
      <w:r>
        <w:rPr>
          <w:rFonts w:ascii="Verdana" w:eastAsia="Aptos" w:hAnsi="Verdana" w:cs="Times New Roman"/>
          <w:kern w:val="2"/>
          <w14:ligatures w14:val="standardContextual"/>
        </w:rPr>
        <w:t>7 de mayo de 2026</w:t>
      </w:r>
    </w:p>
    <w:p w14:paraId="0B1D8B14" w14:textId="368A2225" w:rsidR="003A4010" w:rsidRDefault="003A4010" w:rsidP="0039647D">
      <w:pPr>
        <w:spacing w:after="0" w:line="278" w:lineRule="auto"/>
        <w:rPr>
          <w:rFonts w:ascii="Verdana" w:eastAsia="Aptos" w:hAnsi="Verdana" w:cs="Times New Roman"/>
          <w:kern w:val="2"/>
          <w14:ligatures w14:val="standardContextual"/>
        </w:rPr>
      </w:pPr>
    </w:p>
    <w:p w14:paraId="0392D245" w14:textId="754DA903" w:rsidR="003A4010" w:rsidRPr="0039647D" w:rsidRDefault="003A4010" w:rsidP="0039647D">
      <w:pPr>
        <w:spacing w:after="0" w:line="278" w:lineRule="auto"/>
        <w:rPr>
          <w:rFonts w:ascii="Verdana" w:eastAsia="Aptos" w:hAnsi="Verdana" w:cs="Times New Roman"/>
          <w:kern w:val="2"/>
          <w14:ligatures w14:val="standardContextual"/>
        </w:rPr>
      </w:pPr>
    </w:p>
    <w:p w14:paraId="2EDE0CD9" w14:textId="77777777" w:rsidR="0039647D" w:rsidRPr="0039647D" w:rsidRDefault="0039647D" w:rsidP="0039647D">
      <w:pPr>
        <w:spacing w:after="0" w:line="278" w:lineRule="auto"/>
        <w:rPr>
          <w:rFonts w:ascii="Verdana" w:eastAsia="Aptos" w:hAnsi="Verdana" w:cs="Times New Roman"/>
          <w:kern w:val="2"/>
          <w:sz w:val="24"/>
          <w:szCs w:val="24"/>
          <w14:ligatures w14:val="standardContextual"/>
        </w:rPr>
      </w:pPr>
    </w:p>
    <w:p w14:paraId="179FA83E" w14:textId="77777777" w:rsidR="0039647D" w:rsidRPr="0039647D" w:rsidRDefault="0039647D" w:rsidP="0039647D">
      <w:pPr>
        <w:spacing w:after="0" w:line="240" w:lineRule="auto"/>
        <w:rPr>
          <w:rFonts w:ascii="Verdana" w:eastAsia="Calibri" w:hAnsi="Verdana" w:cs="Arial"/>
          <w:kern w:val="2"/>
          <w:lang w:val="es-ES" w:eastAsia="es-ES"/>
          <w14:ligatures w14:val="standardContextual"/>
        </w:rPr>
      </w:pPr>
      <w:r w:rsidRPr="0039647D">
        <w:rPr>
          <w:rFonts w:ascii="Verdana" w:eastAsia="Calibri" w:hAnsi="Verdana" w:cs="Arial"/>
          <w:kern w:val="2"/>
          <w:lang w:val="es-ES" w:eastAsia="es-ES"/>
          <w14:ligatures w14:val="standardContextual"/>
        </w:rPr>
        <w:t>Señor</w:t>
      </w:r>
    </w:p>
    <w:p w14:paraId="630609F8" w14:textId="77777777" w:rsidR="0039647D" w:rsidRPr="0039647D" w:rsidRDefault="0039647D" w:rsidP="0039647D">
      <w:pPr>
        <w:spacing w:after="0" w:line="240" w:lineRule="auto"/>
        <w:rPr>
          <w:rFonts w:ascii="Verdana" w:eastAsia="Calibri" w:hAnsi="Verdana" w:cs="Arial"/>
          <w:b/>
          <w:bCs/>
          <w:kern w:val="2"/>
          <w:lang w:val="es-ES" w:eastAsia="es-ES"/>
          <w14:ligatures w14:val="standardContextual"/>
        </w:rPr>
      </w:pPr>
      <w:r w:rsidRPr="0039647D">
        <w:rPr>
          <w:rFonts w:ascii="Verdana" w:eastAsia="Calibri" w:hAnsi="Verdana" w:cs="Arial"/>
          <w:b/>
          <w:bCs/>
          <w:kern w:val="2"/>
          <w:lang w:val="es-ES" w:eastAsia="es-ES"/>
          <w14:ligatures w14:val="standardContextual"/>
        </w:rPr>
        <w:t>Rodrigo Orlando Osorio Montoya</w:t>
      </w:r>
    </w:p>
    <w:p w14:paraId="79B958D0" w14:textId="77777777" w:rsidR="0039647D" w:rsidRPr="0039647D" w:rsidRDefault="0039647D" w:rsidP="0039647D">
      <w:pPr>
        <w:spacing w:after="0" w:line="240" w:lineRule="auto"/>
        <w:rPr>
          <w:rFonts w:ascii="Verdana" w:eastAsia="Calibri" w:hAnsi="Verdana" w:cs="Arial"/>
          <w:kern w:val="2"/>
          <w:lang w:val="es-ES" w:eastAsia="es-ES"/>
          <w14:ligatures w14:val="standardContextual"/>
        </w:rPr>
      </w:pPr>
      <w:r w:rsidRPr="0039647D">
        <w:rPr>
          <w:rFonts w:ascii="Verdana" w:eastAsia="Calibri" w:hAnsi="Verdana" w:cs="Arial"/>
          <w:kern w:val="2"/>
          <w:lang w:val="es-ES" w:eastAsia="es-ES"/>
          <w14:ligatures w14:val="standardContextual"/>
        </w:rPr>
        <w:t>Instituto de Deportes y Recreación de Medellín – INDER</w:t>
      </w:r>
    </w:p>
    <w:p w14:paraId="56912F14" w14:textId="77777777" w:rsidR="0039647D" w:rsidRPr="0039647D" w:rsidRDefault="0039647D" w:rsidP="0039647D">
      <w:pPr>
        <w:spacing w:after="0" w:line="240" w:lineRule="auto"/>
        <w:rPr>
          <w:rFonts w:ascii="Verdana" w:eastAsia="Calibri" w:hAnsi="Verdana" w:cs="Arial"/>
          <w:kern w:val="2"/>
          <w:lang w:val="es-ES" w:eastAsia="es-ES"/>
          <w14:ligatures w14:val="standardContextual"/>
        </w:rPr>
      </w:pPr>
      <w:r w:rsidRPr="0039647D">
        <w:rPr>
          <w:rFonts w:ascii="Verdana" w:eastAsia="Calibri" w:hAnsi="Verdana" w:cs="Arial"/>
          <w:kern w:val="2"/>
          <w:lang w:val="es-ES" w:eastAsia="es-ES"/>
          <w14:ligatures w14:val="standardContextual"/>
        </w:rPr>
        <w:t xml:space="preserve">Medellín, Antioquia </w:t>
      </w:r>
    </w:p>
    <w:p w14:paraId="1AC7F459" w14:textId="77777777" w:rsidR="0039647D" w:rsidRPr="0039647D" w:rsidRDefault="0039647D" w:rsidP="0039647D">
      <w:pPr>
        <w:spacing w:after="0" w:line="240" w:lineRule="auto"/>
        <w:rPr>
          <w:rFonts w:ascii="Verdana" w:eastAsia="Calibri" w:hAnsi="Verdana" w:cs="Arial"/>
          <w:b/>
          <w:bCs/>
          <w:lang w:val="es-ES_tradnl"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39647D" w:rsidRPr="0039647D" w14:paraId="5F877854" w14:textId="77777777" w:rsidTr="00C80FF3">
        <w:trPr>
          <w:trHeight w:val="229"/>
        </w:trPr>
        <w:tc>
          <w:tcPr>
            <w:tcW w:w="1985" w:type="dxa"/>
          </w:tcPr>
          <w:p w14:paraId="03F5CB42" w14:textId="77777777" w:rsidR="0039647D" w:rsidRPr="0039647D" w:rsidRDefault="0039647D" w:rsidP="0039647D">
            <w:pPr>
              <w:jc w:val="both"/>
              <w:rPr>
                <w:rFonts w:ascii="Verdana" w:eastAsia="Calibri" w:hAnsi="Verdana" w:cs="Arial"/>
                <w:b/>
                <w:bCs/>
                <w:lang w:val="es-ES_tradnl" w:eastAsia="es-ES_tradnl"/>
              </w:rPr>
            </w:pPr>
          </w:p>
        </w:tc>
        <w:tc>
          <w:tcPr>
            <w:tcW w:w="6383" w:type="dxa"/>
          </w:tcPr>
          <w:p w14:paraId="07835D0D" w14:textId="77777777" w:rsidR="0039647D" w:rsidRPr="0039647D" w:rsidRDefault="0039647D" w:rsidP="0039647D">
            <w:pPr>
              <w:jc w:val="both"/>
              <w:rPr>
                <w:rFonts w:ascii="Verdana" w:eastAsia="Calibri" w:hAnsi="Verdana" w:cs="Arial"/>
                <w:b/>
                <w:bCs/>
                <w:lang w:val="es-ES" w:eastAsia="es-ES"/>
              </w:rPr>
            </w:pPr>
            <w:r w:rsidRPr="0039647D">
              <w:rPr>
                <w:rFonts w:ascii="Verdana" w:eastAsia="Calibri" w:hAnsi="Verdana" w:cs="Arial"/>
                <w:b/>
                <w:bCs/>
                <w:lang w:val="es-ES" w:eastAsia="es-ES"/>
              </w:rPr>
              <w:t>Concepto C–561 de 2026</w:t>
            </w:r>
          </w:p>
          <w:p w14:paraId="5595666E" w14:textId="77777777" w:rsidR="0039647D" w:rsidRPr="0039647D" w:rsidRDefault="0039647D" w:rsidP="0039647D">
            <w:pPr>
              <w:jc w:val="both"/>
              <w:rPr>
                <w:rFonts w:ascii="Verdana" w:eastAsia="Calibri" w:hAnsi="Verdana" w:cs="Arial"/>
                <w:b/>
                <w:bCs/>
                <w:lang w:val="es-ES" w:eastAsia="es-ES"/>
              </w:rPr>
            </w:pPr>
          </w:p>
        </w:tc>
      </w:tr>
      <w:tr w:rsidR="0039647D" w:rsidRPr="0039647D" w14:paraId="474DA709" w14:textId="77777777" w:rsidTr="00C80FF3">
        <w:trPr>
          <w:trHeight w:val="884"/>
        </w:trPr>
        <w:tc>
          <w:tcPr>
            <w:tcW w:w="1985" w:type="dxa"/>
          </w:tcPr>
          <w:p w14:paraId="6B201DB5" w14:textId="77777777" w:rsidR="0039647D" w:rsidRPr="0039647D" w:rsidRDefault="0039647D" w:rsidP="0039647D">
            <w:pPr>
              <w:jc w:val="both"/>
              <w:rPr>
                <w:rFonts w:ascii="Verdana" w:eastAsia="Calibri" w:hAnsi="Verdana" w:cs="Arial"/>
                <w:lang w:val="es-ES_tradnl" w:eastAsia="es-ES_tradnl"/>
              </w:rPr>
            </w:pPr>
            <w:r w:rsidRPr="0039647D">
              <w:rPr>
                <w:rFonts w:ascii="Verdana" w:eastAsia="Calibri" w:hAnsi="Verdana" w:cs="Arial"/>
                <w:b/>
                <w:lang w:val="es-ES_tradnl" w:eastAsia="es-ES_tradnl"/>
              </w:rPr>
              <w:t>Temas:</w:t>
            </w:r>
            <w:r w:rsidRPr="0039647D">
              <w:rPr>
                <w:rFonts w:ascii="Verdana" w:eastAsia="Calibri" w:hAnsi="Verdana" w:cs="Arial"/>
                <w:lang w:val="es-ES_tradnl" w:eastAsia="es-ES_tradnl"/>
              </w:rPr>
              <w:t xml:space="preserve">                   </w:t>
            </w:r>
          </w:p>
        </w:tc>
        <w:tc>
          <w:tcPr>
            <w:tcW w:w="6383" w:type="dxa"/>
          </w:tcPr>
          <w:p w14:paraId="4A2097DF" w14:textId="77777777" w:rsidR="0039647D" w:rsidRPr="0039647D" w:rsidRDefault="0039647D" w:rsidP="0039647D">
            <w:pPr>
              <w:widowControl w:val="0"/>
              <w:autoSpaceDE w:val="0"/>
              <w:autoSpaceDN w:val="0"/>
              <w:jc w:val="both"/>
              <w:rPr>
                <w:rFonts w:ascii="Verdana" w:eastAsia="Calibri" w:hAnsi="Verdana" w:cs="Times New Roman"/>
                <w:lang w:val="es-ES"/>
              </w:rPr>
            </w:pPr>
            <w:r w:rsidRPr="0039647D">
              <w:rPr>
                <w:rFonts w:ascii="Verdana" w:eastAsia="Calibri" w:hAnsi="Verdana" w:cs="Arial"/>
                <w:lang w:val="es-ES_tradnl"/>
              </w:rPr>
              <w:t xml:space="preserve">DOCUMENTOS TIPO – Fundamento normativo – Obligatoriedad / DOCUMENTOS TIPO – Adopción – Implementación / DOCUMENTOS TIPO – Sectores – Vigentes / DOCUMENTOS TIPO – Colombia Compra Eficiente – Facultad de estandarización / </w:t>
            </w:r>
            <w:r w:rsidRPr="0039647D">
              <w:rPr>
                <w:rFonts w:ascii="Verdana" w:eastAsia="Calibri" w:hAnsi="Verdana" w:cs="Times New Roman"/>
                <w:lang w:val="es-ES"/>
              </w:rPr>
              <w:t>DOCUMENTOS TIPO – Inalterabilidad – Alcance / DECRETO 287 DE 2026 – Incidencia – Documentos tipo / DECRETO 287 DE 2026 – Documentos tipo – Licitación Pública – Selección abreviada de menor cuantía – Concurso de méritos – Requisitos habilitantes / DECRETO 287 DE 2026 – Documentos tipo – Licitación Pública – Concurso de méritos – Factores de evaluación / DECRETO 287 DE 2026 – Documentos tipo – Ejecución contractual / DOCUMENTOS TIPO – Decreto 287 de 2026 – Aplicación / DOCUMENTOS TIPO – Decreto 287 de 2026 – Aplicación – Necesidad de modificación – Agencia Nacional de Contratación Pública / DOCUMENTOS TIPO – Decreto 287 de 2026 – Modificación – Colombia Compra Eficiente</w:t>
            </w:r>
          </w:p>
          <w:p w14:paraId="5F6F2E3C" w14:textId="77777777" w:rsidR="0039647D" w:rsidRPr="0039647D" w:rsidRDefault="0039647D" w:rsidP="0039647D">
            <w:pPr>
              <w:widowControl w:val="0"/>
              <w:autoSpaceDE w:val="0"/>
              <w:autoSpaceDN w:val="0"/>
              <w:jc w:val="both"/>
              <w:rPr>
                <w:rFonts w:ascii="Verdana" w:eastAsia="Calibri" w:hAnsi="Verdana" w:cs="Times New Roman"/>
                <w:highlight w:val="yellow"/>
                <w:lang w:val="es-ES"/>
              </w:rPr>
            </w:pPr>
          </w:p>
        </w:tc>
      </w:tr>
      <w:tr w:rsidR="0039647D" w:rsidRPr="0039647D" w14:paraId="10BF8C86" w14:textId="77777777" w:rsidTr="00C80FF3">
        <w:tc>
          <w:tcPr>
            <w:tcW w:w="1985" w:type="dxa"/>
          </w:tcPr>
          <w:p w14:paraId="090DEC0D" w14:textId="77777777" w:rsidR="0039647D" w:rsidRPr="0039647D" w:rsidRDefault="0039647D" w:rsidP="0039647D">
            <w:pPr>
              <w:jc w:val="both"/>
              <w:rPr>
                <w:rFonts w:ascii="Verdana" w:eastAsia="Calibri" w:hAnsi="Verdana" w:cs="Arial"/>
                <w:b/>
                <w:lang w:val="es-ES_tradnl" w:eastAsia="es-ES_tradnl"/>
              </w:rPr>
            </w:pPr>
            <w:r w:rsidRPr="0039647D">
              <w:rPr>
                <w:rFonts w:ascii="Verdana" w:eastAsia="Calibri" w:hAnsi="Verdana" w:cs="Arial"/>
                <w:b/>
                <w:lang w:val="es-ES_tradnl" w:eastAsia="es-ES_tradnl"/>
              </w:rPr>
              <w:t>Radicación:</w:t>
            </w:r>
            <w:r w:rsidRPr="0039647D">
              <w:rPr>
                <w:rFonts w:ascii="Verdana" w:eastAsia="Calibri" w:hAnsi="Verdana" w:cs="Arial"/>
                <w:lang w:val="es-ES_tradnl" w:eastAsia="es-ES_tradnl"/>
              </w:rPr>
              <w:t xml:space="preserve">               </w:t>
            </w:r>
          </w:p>
        </w:tc>
        <w:tc>
          <w:tcPr>
            <w:tcW w:w="6383" w:type="dxa"/>
          </w:tcPr>
          <w:p w14:paraId="762551C9" w14:textId="77777777" w:rsidR="0039647D" w:rsidRPr="0039647D" w:rsidRDefault="0039647D" w:rsidP="0039647D">
            <w:pPr>
              <w:ind w:left="3" w:hanging="3"/>
              <w:jc w:val="both"/>
              <w:rPr>
                <w:rFonts w:ascii="Verdana" w:eastAsia="Calibri" w:hAnsi="Verdana" w:cs="Arial"/>
                <w:lang w:val="es-ES_tradnl" w:eastAsia="es-ES_tradnl"/>
              </w:rPr>
            </w:pPr>
            <w:r w:rsidRPr="0039647D">
              <w:rPr>
                <w:rFonts w:ascii="Verdana" w:eastAsia="Calibri" w:hAnsi="Verdana" w:cs="Arial"/>
                <w:lang w:val="es-ES_tradnl" w:eastAsia="es-ES_tradnl"/>
              </w:rPr>
              <w:t>Respuesta a consulta con radicado No. 1_2026_04_08_004750</w:t>
            </w:r>
          </w:p>
        </w:tc>
      </w:tr>
    </w:tbl>
    <w:p w14:paraId="1F7EB7F0" w14:textId="77777777" w:rsidR="0039647D" w:rsidRPr="0039647D" w:rsidRDefault="0039647D" w:rsidP="0039647D">
      <w:pPr>
        <w:spacing w:after="0" w:line="240" w:lineRule="auto"/>
        <w:jc w:val="both"/>
        <w:rPr>
          <w:rFonts w:ascii="Verdana" w:eastAsia="Calibri" w:hAnsi="Verdana" w:cs="Arial"/>
          <w:lang w:val="es-ES_tradnl" w:eastAsia="es-ES_tradnl"/>
        </w:rPr>
      </w:pPr>
    </w:p>
    <w:p w14:paraId="5B63420F" w14:textId="77777777" w:rsidR="0039647D" w:rsidRPr="0039647D" w:rsidRDefault="0039647D" w:rsidP="0039647D">
      <w:pPr>
        <w:spacing w:after="0" w:line="276" w:lineRule="auto"/>
        <w:jc w:val="both"/>
        <w:rPr>
          <w:rFonts w:ascii="Verdana" w:eastAsia="Calibri" w:hAnsi="Verdana" w:cs="Arial"/>
          <w:lang w:val="es-ES" w:eastAsia="es-ES"/>
        </w:rPr>
      </w:pPr>
      <w:r w:rsidRPr="0039647D">
        <w:rPr>
          <w:rFonts w:ascii="Verdana" w:eastAsia="Calibri" w:hAnsi="Verdana" w:cs="Arial"/>
          <w:lang w:val="es-ES" w:eastAsia="es-ES"/>
        </w:rPr>
        <w:t xml:space="preserve">Estimado señor </w:t>
      </w:r>
      <w:r w:rsidRPr="0039647D">
        <w:rPr>
          <w:rFonts w:ascii="Verdana" w:eastAsia="Calibri" w:hAnsi="Verdana" w:cs="Arial"/>
          <w:kern w:val="2"/>
          <w:lang w:val="es-ES" w:eastAsia="es-ES"/>
          <w14:ligatures w14:val="standardContextual"/>
        </w:rPr>
        <w:t>Osorio Montoya</w:t>
      </w:r>
      <w:r w:rsidRPr="0039647D">
        <w:rPr>
          <w:rFonts w:ascii="Verdana" w:eastAsia="Calibri" w:hAnsi="Verdana" w:cs="Arial"/>
          <w:kern w:val="2"/>
          <w:lang w:eastAsia="es-ES_tradnl"/>
          <w14:ligatures w14:val="standardContextual"/>
        </w:rPr>
        <w:t>:</w:t>
      </w:r>
      <w:r w:rsidRPr="0039647D">
        <w:rPr>
          <w:rFonts w:ascii="Verdana" w:eastAsia="Calibri" w:hAnsi="Verdana" w:cs="Arial"/>
          <w:lang w:val="es-ES" w:eastAsia="es-ES"/>
        </w:rPr>
        <w:t xml:space="preserve"> </w:t>
      </w:r>
    </w:p>
    <w:p w14:paraId="09EA2B6B" w14:textId="77777777" w:rsidR="0039647D" w:rsidRPr="0039647D" w:rsidRDefault="0039647D" w:rsidP="0039647D">
      <w:pPr>
        <w:tabs>
          <w:tab w:val="left" w:pos="3768"/>
        </w:tabs>
        <w:spacing w:after="0" w:line="276" w:lineRule="auto"/>
        <w:jc w:val="both"/>
        <w:rPr>
          <w:rFonts w:ascii="Verdana" w:eastAsia="Calibri" w:hAnsi="Verdana" w:cs="Arial"/>
          <w:lang w:val="es-ES" w:eastAsia="es-ES"/>
        </w:rPr>
      </w:pPr>
      <w:r w:rsidRPr="0039647D">
        <w:rPr>
          <w:rFonts w:ascii="Verdana" w:eastAsia="Calibri" w:hAnsi="Verdana" w:cs="Arial"/>
          <w:lang w:val="es-ES" w:eastAsia="es-ES"/>
        </w:rPr>
        <w:t xml:space="preserve"> </w:t>
      </w:r>
    </w:p>
    <w:p w14:paraId="779065E9" w14:textId="77777777" w:rsidR="0039647D" w:rsidRPr="0039647D" w:rsidRDefault="0039647D" w:rsidP="0039647D">
      <w:pPr>
        <w:spacing w:after="0" w:line="276" w:lineRule="auto"/>
        <w:jc w:val="both"/>
        <w:rPr>
          <w:rFonts w:ascii="Verdana" w:eastAsia="Calibri" w:hAnsi="Verdana" w:cs="Arial"/>
          <w:lang w:val="es-ES" w:eastAsia="es-ES"/>
        </w:rPr>
      </w:pPr>
      <w:r w:rsidRPr="0039647D">
        <w:rPr>
          <w:rFonts w:ascii="Verdana" w:eastAsia="Calibri" w:hAnsi="Verdana" w:cs="Arial"/>
          <w:lang w:val="es-ES" w:eastAsia="es-ES"/>
        </w:rPr>
        <w:t>En ejercicio de la competencia otorgada por los artículos 3, numeral 5º, y 11, numeral 8º, del Decreto Ley 4170 de 2011,</w:t>
      </w:r>
      <w:r w:rsidRPr="0039647D">
        <w:rPr>
          <w:rFonts w:ascii="Verdana" w:eastAsia="Arial MT" w:hAnsi="Verdana" w:cs="Arial MT"/>
          <w:lang w:val="es-ES" w:eastAsia="es-ES"/>
        </w:rPr>
        <w:t xml:space="preserve"> </w:t>
      </w:r>
      <w:r w:rsidRPr="0039647D">
        <w:rPr>
          <w:rFonts w:ascii="Verdana" w:eastAsia="Calibri" w:hAnsi="Verdana" w:cs="Arial"/>
        </w:rPr>
        <w:t xml:space="preserve">así como lo establecido en la Resolución No. 469 del 2025 expedida por esta Entidad, </w:t>
      </w:r>
      <w:r w:rsidRPr="0039647D">
        <w:rPr>
          <w:rFonts w:ascii="Verdana" w:eastAsia="Calibri" w:hAnsi="Verdana" w:cs="Arial"/>
          <w:lang w:val="es-ES" w:eastAsia="es-ES"/>
        </w:rPr>
        <w:t>la Agencia Nacional de Contratación Pública – Colombia Compra Eficiente– responde su solicitud de consulta del 8 de abril de 2026, en la cual manifiesta lo siguiente:</w:t>
      </w:r>
    </w:p>
    <w:p w14:paraId="79A284C4" w14:textId="77777777" w:rsidR="0039647D" w:rsidRPr="0039647D" w:rsidRDefault="0039647D" w:rsidP="0039647D">
      <w:pPr>
        <w:spacing w:after="0" w:line="276" w:lineRule="auto"/>
        <w:jc w:val="both"/>
        <w:rPr>
          <w:rFonts w:ascii="Verdana" w:eastAsia="Calibri" w:hAnsi="Verdana" w:cs="Arial"/>
          <w:lang w:val="es-ES" w:eastAsia="es-ES"/>
        </w:rPr>
      </w:pPr>
    </w:p>
    <w:p w14:paraId="6ACC4D69"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Helvetica"/>
          <w:color w:val="000000"/>
          <w:sz w:val="20"/>
          <w:szCs w:val="20"/>
          <w14:ligatures w14:val="standardContextual"/>
        </w:rPr>
        <w:t>“</w:t>
      </w:r>
      <w:r w:rsidRPr="0039647D">
        <w:rPr>
          <w:rFonts w:ascii="Verdana" w:eastAsia="Aptos" w:hAnsi="Verdana" w:cs="Times New Roman"/>
          <w:kern w:val="2"/>
          <w:sz w:val="20"/>
          <w:szCs w:val="20"/>
          <w14:ligatures w14:val="standardContextual"/>
        </w:rPr>
        <w:t>En ejercicio del derecho fundamental de petición consagrado en el artículo 23 de la Constitución Política y regulado por la Ley 1755 de 2015, respetuosamente solicitamos se sirva emitir concepto jurídico respecto de la aplicación del Decreto 0287 del 19 de marzo de 2026, mediante el cual se modificaron disposiciones del Decreto 1082 de 2015, particularmente en lo relacionados con la asignación de puntaje y factores de desempate en favor de proponentes que acrediten la vinculación de personas con discapacidad</w:t>
      </w:r>
    </w:p>
    <w:p w14:paraId="3AC298E0"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HECHOS </w:t>
      </w:r>
    </w:p>
    <w:p w14:paraId="566F9A39"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1) La entidad actualmente adelanta diversos procesos de selección bajo la modalidad de licitación de obra pública y concurso de méritos para la infraestructura social, haciendo aplicación de los documentos tipo. </w:t>
      </w:r>
    </w:p>
    <w:p w14:paraId="127C562D"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2) Con ocasión de la expedición del Decreto 0287 de 2026, que introdujo modificaciones al Decreto Único Reglamentario del Sector Administrativo de Planeación Nacional, varios interesados en los procesos de selección han presentado observaciones solicitando aplicación inmediata de los nuevos criterios de evaluación relacionados con la asignación de puntaje y factores de desempate en favor de proponentes que acrediten la vinculación de población con discapacidad.</w:t>
      </w:r>
    </w:p>
    <w:p w14:paraId="4702AB2E"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3) Las observaciones recibidas indican que, al tratarse de una norma de orden público, sus disposiciones deberían aplicarse de manera inmediata a los procesos en curso, incluso mediante la expedición de adendas que modifiquen los criterios de evaluación contenidos en los documentos tipo. </w:t>
      </w:r>
    </w:p>
    <w:p w14:paraId="4C6DCB58"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4) No obstante, conforme a lo dispuesto en el artículo 2.2.1.2.4.2.7.8 del Decreto 1082 de 2015, corresponde a la Agencia Nacional de Contratación Pública Colombia Compra Eficiente adoptar las acciones necesarias para la incorporación de las medidas señaladas en dicha subsección dentro de los documentos tipo, instrumentos de agregación de demanda y acuerdos marco de precios. </w:t>
      </w:r>
    </w:p>
    <w:p w14:paraId="2B1EBB53"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5) En virtud de lo anterior, la entidad ha considerado que no tiene competencia para modificar autónomamente el contenido de los documentos tipo, razón por la cual se hace necesario contar con un pronunciamiento de su parte que permita garantizar la correcta aplicación del marco normativo vigente, la seguridad jurídica del proceso de selección y el respeto de los principios de transparencia, igualdad y selección objetiva.</w:t>
      </w:r>
    </w:p>
    <w:p w14:paraId="55051626"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PETICIÓN: </w:t>
      </w:r>
    </w:p>
    <w:p w14:paraId="3F2F9615"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Respetuosamente solicitamos se sirva informar: </w:t>
      </w:r>
    </w:p>
    <w:p w14:paraId="1F9D7B26"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 xml:space="preserve">1) Si las entidades estatales que adelantan procesos de selección sujetos a documentos tipo pueden incorporar de manera inmediata las </w:t>
      </w:r>
      <w:r w:rsidRPr="0039647D">
        <w:rPr>
          <w:rFonts w:ascii="Verdana" w:eastAsia="Aptos" w:hAnsi="Verdana" w:cs="Times New Roman"/>
          <w:kern w:val="2"/>
          <w:sz w:val="20"/>
          <w:szCs w:val="20"/>
          <w14:ligatures w14:val="standardContextual"/>
        </w:rPr>
        <w:lastRenderedPageBreak/>
        <w:t xml:space="preserve">disposiciones contenidas en el Decreto 0287 de 2026 relacionadas con puntajes adicionales, criterios de desempate o medidas afirmativas en favor de personas con discapacidad, aun cuando dichas disposiciones no se encuentren actualmente incluidas en los documentos tipo vigentes. </w:t>
      </w:r>
    </w:p>
    <w:p w14:paraId="778A1A46" w14:textId="77777777" w:rsidR="0039647D" w:rsidRPr="0039647D" w:rsidRDefault="0039647D" w:rsidP="0039647D">
      <w:pPr>
        <w:spacing w:after="12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2) Si resulta jurídicamente procedente modificar los criterios de evaluación contenidos en los documentos tipo mediante adenda, con el fin de incorporar las disposiciones del Decreto 0287 de 2026, o si dicha modificación únicamente puede realizarse por parte de Colombia Compra Eficiente en ejercicio de sus competencias legales.</w:t>
      </w:r>
    </w:p>
    <w:p w14:paraId="081ED57C" w14:textId="77777777" w:rsidR="0039647D" w:rsidRPr="0039647D" w:rsidRDefault="0039647D" w:rsidP="0039647D">
      <w:pPr>
        <w:spacing w:after="0" w:line="240" w:lineRule="auto"/>
        <w:ind w:left="709" w:right="709"/>
        <w:jc w:val="both"/>
        <w:rPr>
          <w:rFonts w:ascii="Verdana" w:eastAsia="Aptos" w:hAnsi="Verdana" w:cs="Times New Roman"/>
          <w:kern w:val="2"/>
          <w:sz w:val="20"/>
          <w:szCs w:val="20"/>
          <w14:ligatures w14:val="standardContextual"/>
        </w:rPr>
      </w:pPr>
      <w:r w:rsidRPr="0039647D">
        <w:rPr>
          <w:rFonts w:ascii="Verdana" w:eastAsia="Aptos" w:hAnsi="Verdana" w:cs="Times New Roman"/>
          <w:kern w:val="2"/>
          <w:sz w:val="20"/>
          <w:szCs w:val="20"/>
          <w14:ligatures w14:val="standardContextual"/>
        </w:rPr>
        <w:t>3) Si la Agencia Nacional de Contratación Pública – Colombia Compra Eficiente tiene previsto expedir una actualización o modificación de los documentos tipo que incorpore las disposiciones del Decreto 0287 de 2026”.</w:t>
      </w:r>
    </w:p>
    <w:p w14:paraId="21F0B8A9" w14:textId="77777777" w:rsidR="0039647D" w:rsidRPr="0039647D" w:rsidRDefault="0039647D" w:rsidP="0039647D">
      <w:pPr>
        <w:spacing w:after="0" w:line="240" w:lineRule="auto"/>
        <w:ind w:left="709" w:right="709"/>
        <w:jc w:val="both"/>
        <w:rPr>
          <w:rFonts w:ascii="Aptos" w:eastAsia="Aptos" w:hAnsi="Aptos" w:cs="Times New Roman"/>
          <w:kern w:val="2"/>
          <w:sz w:val="24"/>
          <w:szCs w:val="24"/>
          <w14:ligatures w14:val="standardContextual"/>
        </w:rPr>
      </w:pPr>
    </w:p>
    <w:p w14:paraId="2AE8F13B" w14:textId="77777777" w:rsidR="0039647D" w:rsidRPr="0039647D" w:rsidRDefault="0039647D" w:rsidP="0039647D">
      <w:pPr>
        <w:spacing w:after="120" w:line="276" w:lineRule="auto"/>
        <w:ind w:firstLine="709"/>
        <w:jc w:val="both"/>
        <w:rPr>
          <w:rFonts w:ascii="Verdana" w:eastAsia="Calibri" w:hAnsi="Verdana" w:cs="Arial"/>
          <w:color w:val="000000"/>
          <w:lang w:val="es-ES" w:eastAsia="es-ES"/>
        </w:rPr>
      </w:pPr>
      <w:r w:rsidRPr="0039647D">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457B2300" w14:textId="77777777" w:rsidR="0039647D" w:rsidRPr="0039647D" w:rsidRDefault="0039647D" w:rsidP="0039647D">
      <w:pPr>
        <w:spacing w:after="0" w:line="276" w:lineRule="auto"/>
        <w:ind w:firstLine="709"/>
        <w:jc w:val="both"/>
        <w:rPr>
          <w:rFonts w:ascii="Verdana" w:eastAsia="Calibri" w:hAnsi="Verdana" w:cs="Arial"/>
          <w:color w:val="000000"/>
          <w:lang w:val="es-ES" w:eastAsia="es-ES"/>
        </w:rPr>
      </w:pPr>
      <w:r w:rsidRPr="0039647D">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39647D">
        <w:rPr>
          <w:rFonts w:ascii="Verdana" w:eastAsia="Calibri" w:hAnsi="Verdana" w:cs="Arial"/>
          <w:color w:val="7030A0"/>
          <w:lang w:val="es-ES" w:eastAsia="es-ES"/>
        </w:rPr>
        <w:t xml:space="preserve"> </w:t>
      </w:r>
      <w:r w:rsidRPr="0039647D">
        <w:rPr>
          <w:rFonts w:ascii="Verdana" w:eastAsia="Calibri" w:hAnsi="Verdana" w:cs="Arial"/>
          <w:color w:val="000000"/>
          <w:lang w:val="es-ES" w:eastAsia="es-ES"/>
        </w:rPr>
        <w:t>problema</w:t>
      </w:r>
      <w:r w:rsidRPr="0039647D">
        <w:rPr>
          <w:rFonts w:ascii="Verdana" w:eastAsia="Calibri" w:hAnsi="Verdana" w:cs="Arial"/>
          <w:color w:val="7030A0"/>
          <w:lang w:val="es-ES" w:eastAsia="es-ES"/>
        </w:rPr>
        <w:t xml:space="preserve"> </w:t>
      </w:r>
      <w:r w:rsidRPr="0039647D">
        <w:rPr>
          <w:rFonts w:ascii="Verdana" w:eastAsia="Calibri" w:hAnsi="Verdana" w:cs="Arial"/>
          <w:color w:val="000000"/>
          <w:lang w:val="es-ES" w:eastAsia="es-ES"/>
        </w:rPr>
        <w:t>jurídico</w:t>
      </w:r>
      <w:r w:rsidRPr="0039647D">
        <w:rPr>
          <w:rFonts w:ascii="Verdana" w:eastAsia="Calibri" w:hAnsi="Verdana" w:cs="Arial"/>
          <w:color w:val="7030A0"/>
          <w:lang w:val="es-ES" w:eastAsia="es-ES"/>
        </w:rPr>
        <w:t xml:space="preserve"> </w:t>
      </w:r>
      <w:r w:rsidRPr="0039647D">
        <w:rPr>
          <w:rFonts w:ascii="Verdana" w:eastAsia="Calibri" w:hAnsi="Verdana" w:cs="Arial"/>
          <w:color w:val="000000"/>
          <w:lang w:val="es-ES" w:eastAsia="es-ES"/>
        </w:rPr>
        <w:t xml:space="preserve">de su consulta. </w:t>
      </w:r>
    </w:p>
    <w:p w14:paraId="1FFA842E" w14:textId="77777777" w:rsidR="0039647D" w:rsidRPr="0039647D" w:rsidRDefault="0039647D" w:rsidP="0039647D">
      <w:pPr>
        <w:tabs>
          <w:tab w:val="left" w:pos="142"/>
          <w:tab w:val="left" w:pos="284"/>
        </w:tabs>
        <w:spacing w:after="0" w:line="276" w:lineRule="auto"/>
        <w:contextualSpacing/>
        <w:jc w:val="both"/>
        <w:rPr>
          <w:rFonts w:ascii="Verdana" w:eastAsia="Century Gothic" w:hAnsi="Verdana" w:cs="Century Gothic"/>
          <w:b/>
          <w:bCs/>
          <w:lang w:val="es-ES"/>
        </w:rPr>
      </w:pPr>
    </w:p>
    <w:p w14:paraId="68AD8FA2" w14:textId="77777777" w:rsidR="0039647D" w:rsidRPr="0039647D" w:rsidRDefault="0039647D" w:rsidP="0039647D">
      <w:pPr>
        <w:tabs>
          <w:tab w:val="left" w:pos="142"/>
          <w:tab w:val="left" w:pos="284"/>
        </w:tabs>
        <w:spacing w:after="0" w:line="276" w:lineRule="auto"/>
        <w:contextualSpacing/>
        <w:jc w:val="both"/>
        <w:rPr>
          <w:rFonts w:ascii="Verdana" w:eastAsia="Century Gothic" w:hAnsi="Verdana" w:cs="Century Gothic"/>
          <w:b/>
          <w:bCs/>
          <w:lang w:val="es-ES"/>
        </w:rPr>
      </w:pPr>
      <w:r w:rsidRPr="0039647D">
        <w:rPr>
          <w:rFonts w:ascii="Verdana" w:eastAsia="Century Gothic" w:hAnsi="Verdana" w:cs="Century Gothic"/>
          <w:b/>
          <w:bCs/>
          <w:lang w:val="es-ES"/>
        </w:rPr>
        <w:t>1. Problema planteado:</w:t>
      </w:r>
    </w:p>
    <w:p w14:paraId="656C1929" w14:textId="77777777" w:rsidR="0039647D" w:rsidRPr="0039647D" w:rsidRDefault="0039647D" w:rsidP="0039647D">
      <w:pPr>
        <w:tabs>
          <w:tab w:val="left" w:pos="426"/>
        </w:tabs>
        <w:spacing w:after="0" w:line="276" w:lineRule="auto"/>
        <w:jc w:val="both"/>
        <w:rPr>
          <w:rFonts w:ascii="Verdana" w:eastAsia="Century Gothic" w:hAnsi="Verdana" w:cs="Century Gothic"/>
          <w:lang w:val="es-ES"/>
        </w:rPr>
      </w:pPr>
    </w:p>
    <w:p w14:paraId="7F0E1587" w14:textId="77777777" w:rsidR="0039647D" w:rsidRPr="0039647D" w:rsidRDefault="0039647D" w:rsidP="0039647D">
      <w:pPr>
        <w:spacing w:after="0" w:line="276" w:lineRule="auto"/>
        <w:jc w:val="both"/>
        <w:rPr>
          <w:rFonts w:ascii="Verdana" w:eastAsia="Calibri" w:hAnsi="Verdana" w:cs="Arial"/>
          <w:bCs/>
          <w:lang w:val="es-ES_tradnl" w:eastAsia="es-ES_tradnl"/>
        </w:rPr>
      </w:pPr>
      <w:r w:rsidRPr="0039647D">
        <w:rPr>
          <w:rFonts w:ascii="Verdana" w:eastAsia="Century Gothic" w:hAnsi="Verdana" w:cs="Century Gothic"/>
        </w:rPr>
        <w:t xml:space="preserve">De acuerdo con el contenido de su solicitud, esta Agencia resolverá los siguientes problemas jurídicos: i) </w:t>
      </w:r>
      <w:r w:rsidRPr="0039647D">
        <w:rPr>
          <w:rFonts w:ascii="Verdana" w:eastAsia="Calibri" w:hAnsi="Verdana" w:cs="Arial"/>
          <w:bCs/>
          <w:lang w:val="es-ES_tradnl" w:eastAsia="es-ES_tradnl"/>
        </w:rPr>
        <w:t xml:space="preserve">¿Cuál es el alcance de la competencia prevista en el artículo 1 de la Ley 2022 de 2020?, ii) ¿Cuál es el alcance de la regla de la </w:t>
      </w:r>
      <w:r w:rsidRPr="0039647D">
        <w:rPr>
          <w:rFonts w:ascii="Verdana" w:eastAsia="Calibri" w:hAnsi="Verdana" w:cs="Arial"/>
          <w:bCs/>
          <w:lang w:val="es-ES_tradnl" w:eastAsia="es-ES_tradnl"/>
        </w:rPr>
        <w:lastRenderedPageBreak/>
        <w:t xml:space="preserve">inalterabilidad que recae sobre los documentos tipo expedidos por la Agencia Nacional de Contratación Pública – Colombia Compra Eficiente? y iii) ¿Pueden las entidades estatales que adelantan procedimientos de selección con los documentos tipo expedidos por la Agencia Nacional de Contratación Pública – Colombia Compra Eficiente incorporar las previsiones contenidas en el Decreto 287 de 2026 en estos documentos o deben esperar a que la Agencia realice su incorporación? </w:t>
      </w:r>
    </w:p>
    <w:p w14:paraId="5A5CE1DD" w14:textId="77777777" w:rsidR="0039647D" w:rsidRPr="0039647D" w:rsidRDefault="0039647D" w:rsidP="0039647D">
      <w:pPr>
        <w:spacing w:after="0" w:line="276" w:lineRule="auto"/>
        <w:jc w:val="both"/>
        <w:rPr>
          <w:rFonts w:ascii="Verdana" w:eastAsia="Century Gothic" w:hAnsi="Verdana" w:cs="Century Gothic"/>
          <w:lang w:val="es-ES_tradnl"/>
        </w:rPr>
      </w:pPr>
    </w:p>
    <w:p w14:paraId="3851C4DC" w14:textId="77777777" w:rsidR="0039647D" w:rsidRPr="0039647D" w:rsidRDefault="0039647D" w:rsidP="0039647D">
      <w:pPr>
        <w:tabs>
          <w:tab w:val="left" w:pos="142"/>
          <w:tab w:val="left" w:pos="284"/>
        </w:tabs>
        <w:spacing w:after="0" w:line="276" w:lineRule="auto"/>
        <w:contextualSpacing/>
        <w:jc w:val="both"/>
        <w:rPr>
          <w:rFonts w:ascii="Verdana" w:eastAsia="Century Gothic" w:hAnsi="Verdana" w:cs="Century Gothic"/>
          <w:b/>
          <w:bCs/>
          <w:lang w:val="es-ES"/>
        </w:rPr>
      </w:pPr>
      <w:r w:rsidRPr="0039647D">
        <w:rPr>
          <w:rFonts w:ascii="Verdana" w:eastAsia="Century Gothic" w:hAnsi="Verdana" w:cs="Century Gothic"/>
          <w:b/>
          <w:bCs/>
          <w:lang w:val="es-ES"/>
        </w:rPr>
        <w:t>2. Respuestas:</w:t>
      </w:r>
    </w:p>
    <w:p w14:paraId="33FA0324" w14:textId="77777777" w:rsidR="0039647D" w:rsidRPr="0039647D" w:rsidRDefault="0039647D" w:rsidP="0039647D">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647D" w:rsidRPr="0039647D" w14:paraId="6AC9A932" w14:textId="77777777" w:rsidTr="00C80FF3">
        <w:trPr>
          <w:trHeight w:val="40"/>
        </w:trPr>
        <w:tc>
          <w:tcPr>
            <w:tcW w:w="8828" w:type="dxa"/>
            <w:tcBorders>
              <w:top w:val="dotted" w:sz="4" w:space="0" w:color="auto"/>
              <w:left w:val="dotted" w:sz="4" w:space="0" w:color="auto"/>
              <w:bottom w:val="dotted" w:sz="4" w:space="0" w:color="auto"/>
              <w:right w:val="dotted" w:sz="4" w:space="0" w:color="auto"/>
            </w:tcBorders>
          </w:tcPr>
          <w:p w14:paraId="1957400A" w14:textId="77777777" w:rsidR="0039647D" w:rsidRPr="0039647D" w:rsidRDefault="0039647D" w:rsidP="0039647D">
            <w:pPr>
              <w:spacing w:line="276" w:lineRule="auto"/>
              <w:jc w:val="both"/>
              <w:rPr>
                <w:rFonts w:ascii="Aptos" w:eastAsia="Aptos" w:hAnsi="Aptos" w:cs="Times New Roman"/>
                <w:lang w:val="es-MX"/>
              </w:rPr>
            </w:pPr>
            <w:r w:rsidRPr="0039647D">
              <w:rPr>
                <w:rFonts w:ascii="Verdana" w:eastAsia="Times New Roman" w:hAnsi="Verdana" w:cs="Arial"/>
                <w:color w:val="000000"/>
                <w:lang w:val="es-ES_tradnl" w:eastAsia="es-ES_tradnl"/>
              </w:rPr>
              <w:t xml:space="preserve">i. </w:t>
            </w:r>
            <w:r w:rsidRPr="0039647D">
              <w:rPr>
                <w:rFonts w:ascii="Verdana" w:eastAsia="Aptos" w:hAnsi="Verdana" w:cs="Times New Roman"/>
                <w:lang w:val="es-ES"/>
              </w:rPr>
              <w:t>El artículo 1 de la Ley 2022 de 20202,</w:t>
            </w:r>
            <w:r w:rsidRPr="0039647D">
              <w:rPr>
                <w:rFonts w:ascii="Aptos" w:eastAsia="Aptos" w:hAnsi="Aptos" w:cs="Times New Roman"/>
                <w:lang w:val="es-ES"/>
              </w:rPr>
              <w:t xml:space="preserve"> </w:t>
            </w:r>
            <w:r w:rsidRPr="0039647D">
              <w:rPr>
                <w:rFonts w:ascii="Verdana" w:eastAsia="Calibri" w:hAnsi="Verdana" w:cs="Arial"/>
                <w:color w:val="000000"/>
                <w:lang w:val="es-MX"/>
              </w:rPr>
              <w:t>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 Así mismo, señala que, 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3408FCE" w14:textId="77777777" w:rsidR="0039647D" w:rsidRPr="0039647D" w:rsidRDefault="0039647D" w:rsidP="0039647D">
            <w:pPr>
              <w:spacing w:before="120" w:after="120" w:line="276" w:lineRule="auto"/>
              <w:ind w:firstLine="360"/>
              <w:jc w:val="both"/>
              <w:rPr>
                <w:rFonts w:ascii="Verdana" w:eastAsia="Calibri" w:hAnsi="Verdana" w:cs="Arial"/>
                <w:color w:val="000000"/>
                <w:lang w:val="es-MX"/>
              </w:rPr>
            </w:pPr>
            <w:r w:rsidRPr="0039647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1ED9B950" w14:textId="77777777" w:rsidR="0039647D" w:rsidRPr="0039647D" w:rsidRDefault="0039647D" w:rsidP="0039647D">
            <w:pPr>
              <w:spacing w:before="120" w:after="120" w:line="276" w:lineRule="auto"/>
              <w:ind w:firstLine="642"/>
              <w:jc w:val="both"/>
              <w:rPr>
                <w:rFonts w:ascii="Verdana" w:eastAsia="Aptos" w:hAnsi="Verdana" w:cs="Arial"/>
                <w:lang w:val="es-ES"/>
              </w:rPr>
            </w:pPr>
            <w:r w:rsidRPr="0039647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39647D">
              <w:rPr>
                <w:rFonts w:ascii="Verdana" w:eastAsia="Aptos" w:hAnsi="Verdana" w:cs="Arial"/>
                <w:lang w:val="es-ES"/>
              </w:rPr>
              <w:t xml:space="preserve">expidió diversos grupos de documentos tipo aplicables principalmente a la contratación de obras públicas de infraestructura de transporte, agua potable y saneamiento básico y social, para interventoría y consultoría de estudios de ingeniería, pero </w:t>
            </w:r>
            <w:r w:rsidRPr="0039647D">
              <w:rPr>
                <w:rFonts w:ascii="Verdana" w:eastAsia="Aptos" w:hAnsi="Verdana" w:cs="Arial"/>
                <w:lang w:val="es-ES"/>
              </w:rPr>
              <w:lastRenderedPageBreak/>
              <w:t>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1A705FC" w14:textId="77777777" w:rsidR="0039647D" w:rsidRPr="0039647D" w:rsidRDefault="0039647D" w:rsidP="0039647D">
            <w:pPr>
              <w:spacing w:after="120" w:line="276" w:lineRule="auto"/>
              <w:ind w:firstLine="708"/>
              <w:jc w:val="both"/>
              <w:rPr>
                <w:rFonts w:ascii="Verdana" w:eastAsia="Times New Roman" w:hAnsi="Verdana" w:cs="Arial"/>
                <w:lang w:eastAsia="es-MX"/>
              </w:rPr>
            </w:pPr>
            <w:r w:rsidRPr="0039647D">
              <w:rPr>
                <w:rFonts w:ascii="Verdana" w:eastAsia="Times New Roman" w:hAnsi="Verdana" w:cs="Arial"/>
                <w:lang w:eastAsia="es-MX"/>
              </w:rPr>
              <w:t xml:space="preserve">Ahora bien, como se explicó, la Ley 2022 de 2020 facultó a la Agencia Nacional de Contratación Pública – Colombia Compra Eficiente para adoptar documentos tipo. De este modo, la intención del legislador fue otorgarle esta facultad al ente rector del Sistema de Compra Pública. </w:t>
            </w:r>
          </w:p>
          <w:p w14:paraId="1F9D58CF" w14:textId="77777777" w:rsidR="0039647D" w:rsidRPr="0039647D" w:rsidRDefault="0039647D" w:rsidP="0039647D">
            <w:pPr>
              <w:spacing w:after="120" w:line="276" w:lineRule="auto"/>
              <w:ind w:firstLine="708"/>
              <w:jc w:val="both"/>
              <w:rPr>
                <w:rFonts w:ascii="Verdana" w:eastAsia="Times New Roman" w:hAnsi="Verdana" w:cs="Arial"/>
                <w:lang w:eastAsia="es-MX"/>
              </w:rPr>
            </w:pPr>
            <w:r w:rsidRPr="0039647D">
              <w:rPr>
                <w:rFonts w:ascii="Verdana" w:eastAsia="Times New Roman" w:hAnsi="Verdana" w:cs="Arial"/>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39647D">
              <w:rPr>
                <w:rFonts w:ascii="Verdana" w:eastAsia="Times New Roman" w:hAnsi="Verdana" w:cs="Arial"/>
                <w:i/>
                <w:iCs/>
                <w:vertAlign w:val="superscript"/>
                <w:lang w:eastAsia="es-MX"/>
              </w:rPr>
              <w:footnoteReference w:id="2"/>
            </w:r>
            <w:r w:rsidRPr="0039647D">
              <w:rPr>
                <w:rFonts w:ascii="Verdana" w:eastAsia="Times New Roman" w:hAnsi="Verdana" w:cs="Arial"/>
                <w:lang w:eastAsia="es-MX"/>
              </w:rPr>
              <w:t>”</w:t>
            </w:r>
            <w:r w:rsidRPr="0039647D">
              <w:rPr>
                <w:rFonts w:ascii="Verdana" w:eastAsia="Times New Roman" w:hAnsi="Verdana" w:cs="Arial"/>
                <w:i/>
                <w:iCs/>
                <w:lang w:eastAsia="es-MX"/>
              </w:rPr>
              <w:t>.</w:t>
            </w:r>
            <w:r w:rsidRPr="0039647D">
              <w:rPr>
                <w:rFonts w:ascii="Verdana" w:eastAsia="Times New Roman" w:hAnsi="Verdana" w:cs="Arial"/>
                <w:lang w:eastAsia="es-MX"/>
              </w:rPr>
              <w:t xml:space="preserve"> Además, el Consejo de Estado, Sección Primera, en la Sentencia del 29 de abril de 2015, expediente 6.096, indicó que es posible que ley atribuya facultades reglamentarias a otras autoridades administrativas, particularmente a los ministerios, sin que se entienda disminuida la potestad reglamentaria del presidente de la República</w:t>
            </w:r>
            <w:r w:rsidRPr="0039647D">
              <w:rPr>
                <w:rFonts w:ascii="Verdana" w:eastAsia="Times New Roman" w:hAnsi="Verdana" w:cs="Arial"/>
                <w:vertAlign w:val="superscript"/>
                <w:lang w:eastAsia="es-MX"/>
              </w:rPr>
              <w:footnoteReference w:id="3"/>
            </w:r>
            <w:r w:rsidRPr="0039647D">
              <w:rPr>
                <w:rFonts w:ascii="Verdana" w:eastAsia="Times New Roman" w:hAnsi="Verdana" w:cs="Arial"/>
                <w:lang w:eastAsia="es-MX"/>
              </w:rPr>
              <w:t xml:space="preserve">. </w:t>
            </w:r>
          </w:p>
          <w:p w14:paraId="7264C2E1" w14:textId="77777777" w:rsidR="0039647D" w:rsidRPr="0039647D" w:rsidRDefault="0039647D" w:rsidP="0039647D">
            <w:pPr>
              <w:spacing w:after="120" w:line="276" w:lineRule="auto"/>
              <w:ind w:firstLine="708"/>
              <w:jc w:val="both"/>
              <w:rPr>
                <w:rFonts w:ascii="Verdana" w:eastAsia="Times New Roman" w:hAnsi="Verdana" w:cs="Arial"/>
                <w:lang w:eastAsia="es-MX"/>
              </w:rPr>
            </w:pPr>
            <w:r w:rsidRPr="0039647D">
              <w:rPr>
                <w:rFonts w:ascii="Verdana" w:eastAsia="Times New Roman" w:hAnsi="Verdana" w:cs="Arial"/>
                <w:lang w:eastAsia="es-MX"/>
              </w:rPr>
              <w:t>En efecto, la Corte Constitucional, en Sentencia C-1005 de 2008, expresó que “la justificación de esta asignación de regulación gradual consiste en que precisamente son los organismos administrativos los depositarios de información relacionada de manera directa e inmediata con el funcionamiento práctico de las herramientas de creación legislativa”</w:t>
            </w:r>
            <w:r w:rsidRPr="0039647D">
              <w:rPr>
                <w:rFonts w:ascii="Verdana" w:eastAsia="Times New Roman" w:hAnsi="Verdana" w:cs="Arial"/>
                <w:vertAlign w:val="superscript"/>
                <w:lang w:eastAsia="es-MX"/>
              </w:rPr>
              <w:footnoteReference w:id="4"/>
            </w:r>
            <w:r w:rsidRPr="0039647D">
              <w:rPr>
                <w:rFonts w:ascii="Verdana" w:eastAsia="Times New Roman" w:hAnsi="Verdana" w:cs="Arial"/>
                <w:lang w:eastAsia="es-MX"/>
              </w:rPr>
              <w:t>, lo que implica que sean estos organismos quienes deban encargarse de aquello que la Corte ha denominado como “micro regulación de la ley”. Así mismo, en la Sentencia C-</w:t>
            </w:r>
            <w:r w:rsidRPr="0039647D">
              <w:rPr>
                <w:rFonts w:ascii="Verdana" w:eastAsia="Times New Roman" w:hAnsi="Verdana" w:cs="Arial"/>
                <w:lang w:eastAsia="es-MX"/>
              </w:rPr>
              <w:lastRenderedPageBreak/>
              <w:t>917 de 2002, señaló que “la imposibilidad de previsión total por parte del órgano legislativo es -para muchos- suficiente sustento de la necesidad de que sea una entidad técnica la que produzca el reglamento correspondiente”</w:t>
            </w:r>
            <w:r w:rsidRPr="0039647D">
              <w:rPr>
                <w:rFonts w:ascii="Verdana" w:eastAsia="Times New Roman" w:hAnsi="Verdana" w:cs="Arial"/>
                <w:vertAlign w:val="superscript"/>
                <w:lang w:eastAsia="es-MX"/>
              </w:rPr>
              <w:footnoteReference w:id="5"/>
            </w:r>
            <w:r w:rsidRPr="0039647D">
              <w:rPr>
                <w:rFonts w:ascii="Verdana" w:eastAsia="Times New Roman" w:hAnsi="Verdana" w:cs="Arial"/>
                <w:lang w:eastAsia="es-MX"/>
              </w:rPr>
              <w:t>.</w:t>
            </w:r>
          </w:p>
          <w:p w14:paraId="1E952F18" w14:textId="77777777" w:rsidR="0039647D" w:rsidRPr="0039647D" w:rsidRDefault="0039647D" w:rsidP="0039647D">
            <w:pPr>
              <w:spacing w:line="276" w:lineRule="auto"/>
              <w:ind w:firstLine="708"/>
              <w:jc w:val="both"/>
              <w:rPr>
                <w:rFonts w:ascii="Verdana" w:eastAsia="Times New Roman" w:hAnsi="Verdana" w:cs="Arial"/>
                <w:lang w:eastAsia="es-CO"/>
              </w:rPr>
            </w:pPr>
            <w:r w:rsidRPr="0039647D">
              <w:rPr>
                <w:rFonts w:ascii="Verdana" w:eastAsia="Times New Roman" w:hAnsi="Verdana" w:cs="Arial"/>
                <w:lang w:eastAsia="es-CO"/>
              </w:rPr>
              <w:t xml:space="preserve">En este sentido, atendiendo lo previsto en el artículo 1 la Ley 2022 de 2020, </w:t>
            </w:r>
            <w:r w:rsidRPr="0039647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39647D">
              <w:rPr>
                <w:rFonts w:ascii="Verdana" w:eastAsia="Calibri" w:hAnsi="Verdana" w:cs="Arial"/>
                <w:vertAlign w:val="superscript"/>
                <w:lang w:eastAsia="es-CO"/>
              </w:rPr>
              <w:footnoteReference w:id="6"/>
            </w:r>
            <w:r w:rsidRPr="0039647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39647D">
              <w:rPr>
                <w:rFonts w:ascii="Verdana" w:eastAsia="Times New Roman" w:hAnsi="Verdana" w:cs="Arial"/>
                <w:lang w:eastAsia="es-CO"/>
              </w:rPr>
              <w:t xml:space="preserve"> Decreto Ley 4170 de 2011, en el que se otorgó la función de:</w:t>
            </w:r>
          </w:p>
          <w:p w14:paraId="5C3C8136" w14:textId="77777777" w:rsidR="0039647D" w:rsidRPr="0039647D" w:rsidRDefault="0039647D" w:rsidP="0039647D">
            <w:pPr>
              <w:jc w:val="both"/>
              <w:rPr>
                <w:rFonts w:ascii="Verdana" w:eastAsia="Times New Roman" w:hAnsi="Verdana" w:cs="Arial"/>
                <w:lang w:eastAsia="es-CO"/>
              </w:rPr>
            </w:pPr>
          </w:p>
          <w:p w14:paraId="1835D820" w14:textId="77777777" w:rsidR="0039647D" w:rsidRPr="0039647D" w:rsidRDefault="0039647D" w:rsidP="0039647D">
            <w:pPr>
              <w:ind w:left="709" w:right="709"/>
              <w:jc w:val="both"/>
              <w:rPr>
                <w:rFonts w:ascii="Verdana" w:eastAsia="Times New Roman" w:hAnsi="Verdana" w:cs="Arial"/>
                <w:sz w:val="21"/>
                <w:szCs w:val="21"/>
                <w:lang w:eastAsia="es-CO"/>
              </w:rPr>
            </w:pPr>
            <w:r w:rsidRPr="0039647D">
              <w:rPr>
                <w:rFonts w:ascii="Verdana" w:eastAsia="Times New Roman" w:hAnsi="Verdana" w:cs="Arial"/>
                <w:sz w:val="21"/>
                <w:szCs w:val="21"/>
                <w:u w:val="single"/>
                <w:lang w:eastAsia="es-CO"/>
              </w:rPr>
              <w:t>“Desarrollar,</w:t>
            </w:r>
            <w:r w:rsidRPr="0039647D">
              <w:rPr>
                <w:rFonts w:ascii="Verdana" w:eastAsia="Times New Roman" w:hAnsi="Verdana" w:cs="Arial"/>
                <w:sz w:val="21"/>
                <w:szCs w:val="21"/>
                <w:lang w:eastAsia="es-CO"/>
              </w:rPr>
              <w:t xml:space="preserve"> </w:t>
            </w:r>
            <w:r w:rsidRPr="0039647D">
              <w:rPr>
                <w:rFonts w:ascii="Verdana" w:eastAsia="Times New Roman" w:hAnsi="Verdana" w:cs="Arial"/>
                <w:sz w:val="21"/>
                <w:szCs w:val="21"/>
                <w:u w:val="single"/>
                <w:lang w:eastAsia="es-CO"/>
              </w:rPr>
              <w:t>implementar y difundir</w:t>
            </w:r>
            <w:r w:rsidRPr="0039647D">
              <w:rPr>
                <w:rFonts w:ascii="Verdana" w:eastAsia="Times New Roman" w:hAnsi="Verdana" w:cs="Arial"/>
                <w:sz w:val="21"/>
                <w:szCs w:val="21"/>
                <w:lang w:eastAsia="es-CO"/>
              </w:rPr>
              <w:t xml:space="preserve"> las políticas públicas, planes, programas, </w:t>
            </w:r>
            <w:r w:rsidRPr="0039647D">
              <w:rPr>
                <w:rFonts w:ascii="Verdana" w:eastAsia="Times New Roman" w:hAnsi="Verdana" w:cs="Arial"/>
                <w:sz w:val="21"/>
                <w:szCs w:val="21"/>
                <w:u w:val="single"/>
                <w:lang w:eastAsia="es-CO"/>
              </w:rPr>
              <w:t>normas, instrumentos y herramientas</w:t>
            </w:r>
            <w:r w:rsidRPr="0039647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(Subrayado fuera del texto).</w:t>
            </w:r>
          </w:p>
          <w:p w14:paraId="64B0FF7E" w14:textId="77777777" w:rsidR="0039647D" w:rsidRPr="0039647D" w:rsidRDefault="0039647D" w:rsidP="0039647D">
            <w:pPr>
              <w:ind w:left="709" w:right="709"/>
              <w:jc w:val="both"/>
              <w:rPr>
                <w:rFonts w:ascii="Verdana" w:eastAsia="Times New Roman" w:hAnsi="Verdana" w:cs="Arial"/>
                <w:lang w:eastAsia="es-CO"/>
              </w:rPr>
            </w:pPr>
          </w:p>
          <w:p w14:paraId="754663A1" w14:textId="77777777" w:rsidR="0039647D" w:rsidRPr="0039647D" w:rsidRDefault="0039647D" w:rsidP="0039647D">
            <w:pPr>
              <w:spacing w:line="276" w:lineRule="auto"/>
              <w:ind w:firstLine="708"/>
              <w:jc w:val="both"/>
              <w:rPr>
                <w:rFonts w:ascii="Verdana" w:eastAsia="Times New Roman" w:hAnsi="Verdana" w:cs="Arial"/>
                <w:lang w:eastAsia="es-ES"/>
              </w:rPr>
            </w:pPr>
            <w:r w:rsidRPr="0039647D">
              <w:rPr>
                <w:rFonts w:ascii="Verdana" w:eastAsia="Times New Roman" w:hAnsi="Verdana" w:cs="Arial"/>
                <w:lang w:eastAsia="es-MX"/>
              </w:rPr>
              <w:t>Así mismo, el Decreto Ley le otorgó a la Subdirección de Gestión Contractual la función de: “</w:t>
            </w:r>
            <w:r w:rsidRPr="0039647D">
              <w:rPr>
                <w:rFonts w:ascii="Verdana" w:eastAsia="Times New Roman" w:hAnsi="Verdana" w:cs="Arial"/>
                <w:u w:val="single"/>
                <w:lang w:eastAsia="es-MX"/>
              </w:rPr>
              <w:t>Desarrollar e implementar</w:t>
            </w:r>
            <w:r w:rsidRPr="0039647D">
              <w:rPr>
                <w:rFonts w:ascii="Verdana" w:eastAsia="Times New Roman" w:hAnsi="Verdana" w:cs="Arial"/>
                <w:lang w:eastAsia="es-MX"/>
              </w:rPr>
              <w:t xml:space="preserve"> </w:t>
            </w:r>
            <w:r w:rsidRPr="0039647D">
              <w:rPr>
                <w:rFonts w:ascii="Verdana" w:eastAsia="Times New Roman" w:hAnsi="Verdana" w:cs="Arial"/>
                <w:u w:val="single"/>
                <w:lang w:eastAsia="es-MX"/>
              </w:rPr>
              <w:t>estándares y documentos tipo</w:t>
            </w:r>
            <w:r w:rsidRPr="0039647D">
              <w:rPr>
                <w:rFonts w:ascii="Verdana" w:eastAsia="Times New Roman" w:hAnsi="Verdana" w:cs="Arial"/>
                <w:lang w:eastAsia="es-MX"/>
              </w:rPr>
              <w:t xml:space="preserve"> para las diferentes etapas de la gestión contractual </w:t>
            </w:r>
            <w:r w:rsidRPr="0039647D">
              <w:rPr>
                <w:rFonts w:ascii="Verdana" w:eastAsia="Times New Roman" w:hAnsi="Verdana" w:cs="Times New Roman"/>
                <w:lang w:eastAsia="es-MX"/>
              </w:rPr>
              <w:t>pública”</w:t>
            </w:r>
            <w:r w:rsidRPr="0039647D">
              <w:rPr>
                <w:rFonts w:ascii="Verdana" w:eastAsia="Times New Roman" w:hAnsi="Verdana" w:cs="Times New Roman"/>
                <w:vertAlign w:val="superscript"/>
                <w:lang w:eastAsia="es-MX"/>
              </w:rPr>
              <w:footnoteReference w:id="7"/>
            </w:r>
            <w:r w:rsidRPr="0039647D">
              <w:rPr>
                <w:rFonts w:ascii="Verdana" w:eastAsia="Times New Roman" w:hAnsi="Verdana" w:cs="Arial"/>
                <w:i/>
                <w:iCs/>
                <w:lang w:eastAsia="es-ES"/>
              </w:rPr>
              <w:t>.</w:t>
            </w:r>
            <w:r w:rsidRPr="0039647D">
              <w:rPr>
                <w:rFonts w:ascii="Verdana" w:eastAsia="Times New Roman" w:hAnsi="Verdana" w:cs="Arial"/>
                <w:lang w:eastAsia="es-ES"/>
              </w:rPr>
              <w:t>De conformidad con lo anterior, la Agencia Nacional de Contratación Pública – Colombia Compra Eficiente es un ente rector, técnico y especializado en materia de contratación pública. De ahí que el Consejo de Estado le haya reconocido potestad regulatoria, en los siguientes términos:</w:t>
            </w:r>
          </w:p>
          <w:p w14:paraId="2869160B" w14:textId="77777777" w:rsidR="0039647D" w:rsidRPr="0039647D" w:rsidRDefault="0039647D" w:rsidP="0039647D">
            <w:pPr>
              <w:jc w:val="both"/>
              <w:rPr>
                <w:rFonts w:ascii="Verdana" w:eastAsia="Times New Roman" w:hAnsi="Verdana" w:cs="Arial"/>
                <w:lang w:eastAsia="es-ES"/>
              </w:rPr>
            </w:pPr>
          </w:p>
          <w:p w14:paraId="627F75E4" w14:textId="77777777" w:rsidR="0039647D" w:rsidRPr="0039647D" w:rsidRDefault="0039647D" w:rsidP="0039647D">
            <w:pPr>
              <w:ind w:left="709" w:right="709"/>
              <w:jc w:val="both"/>
              <w:rPr>
                <w:rFonts w:ascii="Verdana" w:eastAsia="Times New Roman" w:hAnsi="Verdana" w:cs="Arial"/>
                <w:i/>
                <w:iCs/>
                <w:sz w:val="21"/>
                <w:szCs w:val="21"/>
                <w:lang w:eastAsia="es-ES"/>
              </w:rPr>
            </w:pP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w:t>
            </w:r>
            <w:r w:rsidRPr="0039647D">
              <w:rPr>
                <w:rFonts w:ascii="Verdana" w:eastAsia="Times New Roman" w:hAnsi="Verdana" w:cs="Arial"/>
                <w:sz w:val="21"/>
                <w:szCs w:val="21"/>
                <w:lang w:eastAsia="es-ES"/>
              </w:rPr>
              <w:lastRenderedPageBreak/>
              <w:t xml:space="preserve">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difundir las normas, reglas, procedimientos, medios tecnológicos y mejores prácticas para las compras y la contratación pública […]</w:t>
            </w: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39647D">
              <w:rPr>
                <w:rFonts w:ascii="Verdana" w:eastAsia="Times New Roman" w:hAnsi="Verdana" w:cs="Arial"/>
                <w:sz w:val="21"/>
                <w:szCs w:val="21"/>
                <w:lang w:eastAsia="es-MX"/>
              </w:rPr>
              <w:t>”</w:t>
            </w:r>
            <w:r w:rsidRPr="0039647D">
              <w:rPr>
                <w:rFonts w:ascii="Verdana" w:eastAsia="Times New Roman" w:hAnsi="Verdana" w:cs="Arial"/>
                <w:i/>
                <w:iCs/>
                <w:sz w:val="21"/>
                <w:szCs w:val="21"/>
                <w:vertAlign w:val="superscript"/>
                <w:lang w:eastAsia="es-MX"/>
              </w:rPr>
              <w:footnoteReference w:id="8"/>
            </w:r>
            <w:r w:rsidRPr="0039647D">
              <w:rPr>
                <w:rFonts w:ascii="Verdana" w:eastAsia="Times New Roman" w:hAnsi="Verdana" w:cs="Arial"/>
                <w:i/>
                <w:iCs/>
                <w:sz w:val="21"/>
                <w:szCs w:val="21"/>
                <w:lang w:eastAsia="es-ES"/>
              </w:rPr>
              <w:t xml:space="preserve">. </w:t>
            </w:r>
          </w:p>
          <w:p w14:paraId="4EDA9A1F" w14:textId="77777777" w:rsidR="0039647D" w:rsidRPr="0039647D" w:rsidRDefault="0039647D" w:rsidP="0039647D">
            <w:pPr>
              <w:ind w:left="709" w:right="709"/>
              <w:jc w:val="both"/>
              <w:rPr>
                <w:rFonts w:ascii="Verdana" w:eastAsia="Times New Roman" w:hAnsi="Verdana" w:cs="Arial"/>
                <w:i/>
                <w:sz w:val="21"/>
                <w:szCs w:val="21"/>
                <w:lang w:eastAsia="es-ES"/>
              </w:rPr>
            </w:pPr>
          </w:p>
          <w:p w14:paraId="33577F7D" w14:textId="77777777" w:rsidR="0039647D" w:rsidRPr="0039647D" w:rsidRDefault="0039647D" w:rsidP="0039647D">
            <w:pPr>
              <w:spacing w:line="276" w:lineRule="auto"/>
              <w:ind w:firstLine="708"/>
              <w:jc w:val="both"/>
              <w:rPr>
                <w:rFonts w:ascii="Verdana" w:eastAsia="Times New Roman" w:hAnsi="Verdana" w:cs="Arial"/>
                <w:lang w:eastAsia="es-ES"/>
              </w:rPr>
            </w:pPr>
            <w:r w:rsidRPr="0039647D">
              <w:rPr>
                <w:rFonts w:ascii="Verdana" w:eastAsia="Times New Roman" w:hAnsi="Verdana" w:cs="Arial"/>
                <w:lang w:eastAsia="es-ES"/>
              </w:rPr>
              <w:t>Lo anterior fue reiterado por el Consejo de Estado, en la sentencia del 16 de agosto de 2017, en el expediente 56.166, en los siguientes términos:</w:t>
            </w:r>
          </w:p>
          <w:p w14:paraId="3EC2AB49" w14:textId="77777777" w:rsidR="0039647D" w:rsidRPr="0039647D" w:rsidRDefault="0039647D" w:rsidP="0039647D">
            <w:pPr>
              <w:jc w:val="both"/>
              <w:rPr>
                <w:rFonts w:ascii="Verdana" w:eastAsia="Times New Roman" w:hAnsi="Verdana" w:cs="Arial"/>
                <w:lang w:eastAsia="es-ES"/>
              </w:rPr>
            </w:pPr>
          </w:p>
          <w:p w14:paraId="4D31F74B" w14:textId="77777777" w:rsidR="0039647D" w:rsidRPr="0039647D" w:rsidRDefault="0039647D" w:rsidP="0039647D">
            <w:pPr>
              <w:ind w:left="709" w:right="709"/>
              <w:jc w:val="both"/>
              <w:rPr>
                <w:rFonts w:ascii="Verdana" w:eastAsia="Times New Roman" w:hAnsi="Verdana" w:cs="Arial"/>
                <w:sz w:val="21"/>
                <w:szCs w:val="21"/>
                <w:lang w:eastAsia="es-ES"/>
              </w:rPr>
            </w:pP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Dígase que ese poder de regulación normativa en cabeza de CCE se ejerce </w:t>
            </w:r>
            <w:r w:rsidRPr="0039647D">
              <w:rPr>
                <w:rFonts w:ascii="Verdana" w:eastAsia="Times New Roman" w:hAnsi="Verdana" w:cs="Arial"/>
                <w:i/>
                <w:iCs/>
                <w:sz w:val="21"/>
                <w:szCs w:val="21"/>
                <w:lang w:eastAsia="es-ES"/>
              </w:rPr>
              <w:t>secundum legem</w:t>
            </w:r>
            <w:r w:rsidRPr="0039647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39647D">
              <w:rPr>
                <w:rFonts w:ascii="Verdana" w:eastAsia="Times New Roman" w:hAnsi="Verdana" w:cs="Arial"/>
                <w:sz w:val="21"/>
                <w:szCs w:val="21"/>
                <w:vertAlign w:val="superscript"/>
                <w:lang w:eastAsia="es-ES"/>
              </w:rPr>
              <w:footnoteReference w:id="9"/>
            </w:r>
            <w:r w:rsidRPr="0039647D">
              <w:rPr>
                <w:rFonts w:ascii="Verdana" w:eastAsia="Times New Roman" w:hAnsi="Verdana" w:cs="Arial"/>
                <w:sz w:val="21"/>
                <w:szCs w:val="21"/>
                <w:lang w:eastAsia="es-ES"/>
              </w:rPr>
              <w:t>.</w:t>
            </w:r>
          </w:p>
          <w:p w14:paraId="10E8E80B" w14:textId="77777777" w:rsidR="0039647D" w:rsidRPr="0039647D" w:rsidRDefault="0039647D" w:rsidP="0039647D">
            <w:pPr>
              <w:ind w:left="709" w:right="709"/>
              <w:jc w:val="both"/>
              <w:rPr>
                <w:rFonts w:ascii="Verdana" w:eastAsia="Times New Roman" w:hAnsi="Verdana" w:cs="Arial"/>
                <w:lang w:eastAsia="es-ES"/>
              </w:rPr>
            </w:pPr>
          </w:p>
          <w:p w14:paraId="521AA1C5" w14:textId="77777777" w:rsidR="0039647D" w:rsidRPr="0039647D" w:rsidRDefault="0039647D" w:rsidP="0039647D">
            <w:pPr>
              <w:tabs>
                <w:tab w:val="center" w:pos="4419"/>
                <w:tab w:val="right" w:pos="8838"/>
              </w:tabs>
              <w:spacing w:after="120" w:line="276" w:lineRule="auto"/>
              <w:ind w:firstLine="709"/>
              <w:jc w:val="both"/>
              <w:rPr>
                <w:rFonts w:ascii="Verdana" w:eastAsia="Times New Roman" w:hAnsi="Verdana" w:cs="Arial"/>
                <w:lang w:eastAsia="es-ES"/>
              </w:rPr>
            </w:pPr>
            <w:r w:rsidRPr="0039647D">
              <w:rPr>
                <w:rFonts w:ascii="Verdana" w:eastAsia="Times New Roman" w:hAnsi="Verdana" w:cs="Arial"/>
                <w:lang w:eastAsia="es-ES"/>
              </w:rPr>
              <w:t xml:space="preserve"> </w:t>
            </w:r>
            <w:r w:rsidRPr="0039647D">
              <w:rPr>
                <w:rFonts w:ascii="Verdana" w:eastAsia="Times New Roman" w:hAnsi="Verdana" w:cs="Arial"/>
                <w:lang w:eastAsia="es-MX"/>
              </w:rPr>
              <w:t xml:space="preserve">En la misma sentencia, el Consejo de Estado señaló la existencia de límites en el ejercicio de la facultad de regulación de las autoridades 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w:t>
            </w:r>
            <w:r w:rsidRPr="0039647D">
              <w:rPr>
                <w:rFonts w:ascii="Verdana" w:eastAsia="Times New Roman" w:hAnsi="Verdana" w:cs="Arial"/>
                <w:lang w:eastAsia="es-MX"/>
              </w:rPr>
              <w:lastRenderedPageBreak/>
              <w:t>ningún caso implica el reconocimiento de una potestad autónoma y desligada de cualquier límite</w:t>
            </w:r>
            <w:r w:rsidRPr="0039647D">
              <w:rPr>
                <w:rFonts w:ascii="Verdana" w:eastAsia="MS Mincho" w:hAnsi="Verdana" w:cs="Arial"/>
                <w:vertAlign w:val="superscript"/>
                <w:lang w:eastAsia="es-ES"/>
              </w:rPr>
              <w:footnoteReference w:id="10"/>
            </w:r>
            <w:r w:rsidRPr="0039647D">
              <w:rPr>
                <w:rFonts w:ascii="Verdana" w:eastAsia="Times New Roman" w:hAnsi="Verdana" w:cs="Arial"/>
                <w:lang w:eastAsia="es-ES"/>
              </w:rPr>
              <w:t>.</w:t>
            </w:r>
          </w:p>
          <w:p w14:paraId="62BCF01C" w14:textId="77777777" w:rsidR="0039647D" w:rsidRPr="0039647D" w:rsidRDefault="0039647D" w:rsidP="0039647D">
            <w:pPr>
              <w:tabs>
                <w:tab w:val="center" w:pos="4419"/>
                <w:tab w:val="right" w:pos="8838"/>
              </w:tabs>
              <w:spacing w:after="120" w:line="276" w:lineRule="auto"/>
              <w:ind w:firstLine="709"/>
              <w:jc w:val="both"/>
              <w:rPr>
                <w:rFonts w:ascii="Verdana" w:eastAsia="MS Mincho" w:hAnsi="Verdana" w:cs="Arial"/>
                <w:lang w:eastAsia="es-CO"/>
              </w:rPr>
            </w:pPr>
            <w:r w:rsidRPr="0039647D">
              <w:rPr>
                <w:rFonts w:ascii="Verdana" w:eastAsia="Times New Roman" w:hAnsi="Verdana" w:cs="Arial"/>
                <w:lang w:eastAsia="es-ES"/>
              </w:rPr>
              <w:t xml:space="preserve">Conforme con lo anterior, mediante una interpretación sistemática de la normativa y jurisprudencia citada es posible concluir que la Agencia Nacional de Contratación Pública – Colombia Compra Eficiente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05545172" w14:textId="77777777" w:rsidR="0039647D" w:rsidRPr="0039647D" w:rsidRDefault="0039647D" w:rsidP="0039647D">
            <w:pPr>
              <w:tabs>
                <w:tab w:val="center" w:pos="4419"/>
                <w:tab w:val="right" w:pos="8838"/>
              </w:tabs>
              <w:spacing w:after="120" w:line="276" w:lineRule="auto"/>
              <w:ind w:firstLine="709"/>
              <w:jc w:val="both"/>
              <w:rPr>
                <w:rFonts w:ascii="Verdana" w:eastAsia="Times New Roman" w:hAnsi="Verdana" w:cs="Arial"/>
                <w:lang w:eastAsia="es-ES"/>
              </w:rPr>
            </w:pPr>
            <w:r w:rsidRPr="0039647D">
              <w:rPr>
                <w:rFonts w:ascii="Verdana" w:eastAsia="MS Mincho" w:hAnsi="Verdana" w:cs="Arial"/>
                <w:lang w:eastAsia="es-CO"/>
              </w:rPr>
              <w:t>I</w:t>
            </w:r>
            <w:r w:rsidRPr="0039647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0EC52BC7" w14:textId="77777777" w:rsidR="0039647D" w:rsidRPr="0039647D" w:rsidRDefault="0039647D" w:rsidP="0039647D">
            <w:pPr>
              <w:tabs>
                <w:tab w:val="center" w:pos="4419"/>
                <w:tab w:val="right" w:pos="8838"/>
              </w:tabs>
              <w:spacing w:line="276" w:lineRule="auto"/>
              <w:ind w:firstLine="709"/>
              <w:jc w:val="both"/>
              <w:rPr>
                <w:rFonts w:ascii="Verdana" w:eastAsia="Times New Roman" w:hAnsi="Verdana" w:cs="Arial"/>
                <w:lang w:eastAsia="es-ES"/>
              </w:rPr>
            </w:pPr>
            <w:r w:rsidRPr="0039647D">
              <w:rPr>
                <w:rFonts w:ascii="Verdana" w:eastAsia="Times New Roman" w:hAnsi="Verdana" w:cs="Arial"/>
                <w:lang w:eastAsia="es-ES"/>
              </w:rPr>
              <w:t>En este contexto, la Agencia Nacional de Contratación Pública – Colombia Compra Eficiente, una vez conoció el decreto desde su expedición, inició las labores de análisis y planeación orientadas a la modificación de los documentos tipo vigentes en los diferentes sectores y subsectores. Este proceso implica una importante carga administrativa y presupuestal para lograr su adecuada actualización, por lo cual se tomará un tiempo prudencial que permita dar cumplimiento integral a lo dispuesto en el referido decreto. No obstante, la Agencia dispondrá todos sus esfuerzos para adelantar este trabajo en el menor tiempo posible y garantizará la divulgación oportuna de cada etapa del proceso de modificación, tanto a las entidades estatales como a la ciudadanía en general.</w:t>
            </w:r>
          </w:p>
          <w:p w14:paraId="3D2D2EF6" w14:textId="77777777" w:rsidR="0039647D" w:rsidRPr="0039647D" w:rsidRDefault="0039647D" w:rsidP="0039647D">
            <w:pPr>
              <w:tabs>
                <w:tab w:val="center" w:pos="4419"/>
                <w:tab w:val="right" w:pos="8838"/>
              </w:tabs>
              <w:spacing w:line="276" w:lineRule="auto"/>
              <w:jc w:val="both"/>
              <w:rPr>
                <w:rFonts w:ascii="Verdana" w:eastAsia="Times New Roman" w:hAnsi="Verdana" w:cs="Arial"/>
                <w:lang w:eastAsia="es-ES"/>
              </w:rPr>
            </w:pPr>
          </w:p>
          <w:p w14:paraId="096F59A7" w14:textId="77777777" w:rsidR="0039647D" w:rsidRPr="0039647D" w:rsidRDefault="0039647D" w:rsidP="0039647D">
            <w:pPr>
              <w:tabs>
                <w:tab w:val="center" w:pos="4419"/>
                <w:tab w:val="right" w:pos="8838"/>
              </w:tabs>
              <w:spacing w:line="276" w:lineRule="auto"/>
              <w:jc w:val="both"/>
              <w:rPr>
                <w:rFonts w:ascii="Verdana" w:eastAsia="Calibri" w:hAnsi="Verdana" w:cs="Arial"/>
                <w:color w:val="000000"/>
                <w:lang w:val="es-ES"/>
              </w:rPr>
            </w:pPr>
            <w:r w:rsidRPr="0039647D">
              <w:rPr>
                <w:rFonts w:ascii="Verdana" w:eastAsia="Times New Roman" w:hAnsi="Verdana" w:cs="Arial"/>
                <w:lang w:eastAsia="es-ES"/>
              </w:rPr>
              <w:t xml:space="preserve">ii. </w:t>
            </w:r>
            <w:r w:rsidRPr="0039647D">
              <w:rPr>
                <w:rFonts w:ascii="Verdana" w:eastAsia="Calibri" w:hAnsi="Verdana" w:cs="Arial"/>
                <w:color w:val="000000"/>
                <w:lang w:val="es-ES"/>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9647D">
              <w:rPr>
                <w:rFonts w:ascii="Verdana" w:eastAsia="Calibri" w:hAnsi="Verdana" w:cs="Arial"/>
                <w:i/>
                <w:iCs/>
                <w:color w:val="000000"/>
                <w:lang w:val="es-ES"/>
              </w:rPr>
              <w:lastRenderedPageBreak/>
              <w:t>Documentos del Proceso</w:t>
            </w:r>
            <w:r w:rsidRPr="0039647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0FCF1DAF" w14:textId="77777777" w:rsidR="0039647D" w:rsidRPr="0039647D" w:rsidRDefault="0039647D" w:rsidP="0039647D">
            <w:pPr>
              <w:spacing w:before="120" w:after="120" w:line="276" w:lineRule="auto"/>
              <w:ind w:firstLine="709"/>
              <w:jc w:val="both"/>
              <w:rPr>
                <w:rFonts w:ascii="Verdana" w:eastAsia="Calibri" w:hAnsi="Verdana" w:cs="Arial"/>
                <w:lang w:val="es-ES_tradnl"/>
              </w:rPr>
            </w:pPr>
            <w:r w:rsidRPr="0039647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17B27707" w14:textId="77777777" w:rsidR="0039647D" w:rsidRPr="0039647D" w:rsidRDefault="0039647D" w:rsidP="0039647D">
            <w:pPr>
              <w:spacing w:before="120" w:after="120" w:line="276" w:lineRule="auto"/>
              <w:ind w:firstLine="709"/>
              <w:jc w:val="both"/>
              <w:rPr>
                <w:rFonts w:ascii="Verdana" w:eastAsia="Calibri" w:hAnsi="Verdana" w:cs="Arial"/>
                <w:lang w:val="es-ES_tradnl"/>
              </w:rPr>
            </w:pPr>
            <w:r w:rsidRPr="0039647D">
              <w:rPr>
                <w:rFonts w:ascii="Verdana" w:eastAsia="Calibri" w:hAnsi="Verdana" w:cs="Arial"/>
                <w:lang w:val="es-ES_tradnl"/>
              </w:rPr>
              <w:t xml:space="preserve">La inalterabilidad de los documentos tipo es una manifestación en mayor grado de las potestades regladas, lo cual implica una reducción de la discrecionalidad de la Administración en el momento de tomar una decisión en el proceso de contratación. Cada entidad pública sujeta a los documentos tipo deberá hacer una aplicación o constatación irrestricta de las reglas y condiciones dispuestas en estos, salvo que las mismas posibilitan la discrecionalidad en determinados aspectos. </w:t>
            </w:r>
          </w:p>
          <w:p w14:paraId="348D00B7" w14:textId="77777777" w:rsidR="0039647D" w:rsidRPr="0039647D" w:rsidRDefault="0039647D" w:rsidP="0039647D">
            <w:pPr>
              <w:spacing w:before="120" w:after="120" w:line="276" w:lineRule="auto"/>
              <w:ind w:firstLine="709"/>
              <w:jc w:val="both"/>
              <w:rPr>
                <w:rFonts w:ascii="Verdana" w:eastAsia="Calibri" w:hAnsi="Verdana" w:cs="Arial"/>
                <w:lang w:val="es-ES"/>
              </w:rPr>
            </w:pPr>
            <w:r w:rsidRPr="0039647D">
              <w:rPr>
                <w:rFonts w:ascii="Verdana" w:eastAsia="Calibri" w:hAnsi="Verdana" w:cs="Arial"/>
                <w:lang w:val="es-ES"/>
              </w:rPr>
              <w:t xml:space="preserve">Además, las entidades estatales deben garantizar el </w:t>
            </w:r>
            <w:r w:rsidRPr="0039647D">
              <w:rPr>
                <w:rFonts w:ascii="Verdana" w:eastAsia="Calibri" w:hAnsi="Verdana" w:cs="Arial"/>
                <w:i/>
                <w:iCs/>
                <w:lang w:val="es-ES"/>
              </w:rPr>
              <w:t>principio de economía</w:t>
            </w:r>
            <w:r w:rsidRPr="0039647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 sino además en la normativa antitrámites; pues se inscribe dentro de la tendencia de simplificación y racionalización de los procedimientos administrativos. De ahí que cuando las autoridades solicitan la entrega de documentación innecesaria, desconocen el principio de economía.</w:t>
            </w:r>
          </w:p>
          <w:p w14:paraId="206136A9"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color w:val="000000"/>
                <w:lang w:val="es-ES"/>
              </w:rPr>
              <w:t xml:space="preserve">Otro aspecto sobre el principio que inalterabilidad que debe destacarse es que, sin mínimos inalterables, los documentos tipo, estándar o normalizados, sencillamente, perderían sus características. Bajo riesgo de </w:t>
            </w:r>
            <w:r w:rsidRPr="0039647D">
              <w:rPr>
                <w:rFonts w:ascii="Verdana" w:eastAsia="Calibri" w:hAnsi="Verdana" w:cs="Arial"/>
                <w:color w:val="000000"/>
                <w:lang w:val="es-ES"/>
              </w:rPr>
              <w:lastRenderedPageBreak/>
              <w:t>señalar una obviedad, se debe decir que la definición del término estándar es “Que sirve como tipo, modelo, norma, patrón o referencia”</w:t>
            </w:r>
            <w:r w:rsidRPr="0039647D">
              <w:rPr>
                <w:rFonts w:ascii="Verdana" w:eastAsia="Calibri" w:hAnsi="Verdana" w:cs="Arial"/>
                <w:color w:val="000000"/>
                <w:vertAlign w:val="superscript"/>
                <w:lang w:val="es-ES"/>
              </w:rPr>
              <w:footnoteReference w:id="11"/>
            </w:r>
            <w:r w:rsidRPr="0039647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4C7AC47D"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interpretativos incorrectos que se buscó erradicar con la introducción de la herramienta analizada. </w:t>
            </w:r>
          </w:p>
          <w:p w14:paraId="1CD0DA1C"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134C30D4"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lang w:val="es-MX"/>
              </w:rPr>
              <w:t xml:space="preserve">No obstante, la parte introductoria de los documentos base de los documentos tipo disponen que los aspectos incluidos en corchetes y resaltados en gris </w:t>
            </w:r>
            <w:r w:rsidRPr="0039647D">
              <w:rPr>
                <w:rFonts w:ascii="Verdana" w:eastAsia="Aptos" w:hAnsi="Verdana" w:cs="Arial"/>
              </w:rPr>
              <w:t>–[</w:t>
            </w:r>
            <w:r w:rsidRPr="0039647D">
              <w:rPr>
                <w:rFonts w:ascii="Verdana" w:eastAsia="Aptos" w:hAnsi="Verdana" w:cs="Arial"/>
                <w:highlight w:val="lightGray"/>
              </w:rPr>
              <w:t>texto de ejemplo</w:t>
            </w:r>
            <w:r w:rsidRPr="0039647D">
              <w:rPr>
                <w:rFonts w:ascii="Verdana" w:eastAsia="Aptos" w:hAnsi="Verdana" w:cs="Arial"/>
              </w:rPr>
              <w:t xml:space="preserve">]– </w:t>
            </w:r>
            <w:r w:rsidRPr="0039647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6CF9E185" w14:textId="77777777" w:rsidR="0039647D" w:rsidRPr="0039647D" w:rsidRDefault="0039647D" w:rsidP="0039647D">
            <w:pPr>
              <w:spacing w:line="276" w:lineRule="auto"/>
              <w:ind w:firstLine="709"/>
              <w:jc w:val="both"/>
              <w:rPr>
                <w:rFonts w:ascii="Verdana" w:eastAsia="Calibri" w:hAnsi="Verdana" w:cs="Arial"/>
                <w:bCs/>
                <w:lang w:val="es-MX"/>
              </w:rPr>
            </w:pPr>
            <w:r w:rsidRPr="0039647D">
              <w:rPr>
                <w:rFonts w:ascii="Verdana" w:eastAsia="Calibri" w:hAnsi="Verdana" w:cs="Arial"/>
                <w:bCs/>
                <w:lang w:val="es-MX"/>
              </w:rPr>
              <w:lastRenderedPageBreak/>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494DA779" w14:textId="77777777" w:rsidR="0039647D" w:rsidRPr="0039647D" w:rsidRDefault="0039647D" w:rsidP="0039647D">
            <w:pPr>
              <w:spacing w:line="276" w:lineRule="auto"/>
              <w:ind w:firstLine="709"/>
              <w:jc w:val="both"/>
              <w:rPr>
                <w:rFonts w:ascii="Verdana" w:eastAsia="Calibri" w:hAnsi="Verdana" w:cs="Arial"/>
                <w:bCs/>
                <w:lang w:val="es-MX"/>
              </w:rPr>
            </w:pPr>
          </w:p>
          <w:p w14:paraId="431EA60C" w14:textId="77777777" w:rsidR="0039647D" w:rsidRPr="0039647D" w:rsidRDefault="0039647D" w:rsidP="0039647D">
            <w:pPr>
              <w:widowControl w:val="0"/>
              <w:autoSpaceDE w:val="0"/>
              <w:autoSpaceDN w:val="0"/>
              <w:spacing w:after="120" w:line="276" w:lineRule="auto"/>
              <w:jc w:val="both"/>
              <w:rPr>
                <w:rFonts w:ascii="Verdana" w:eastAsia="Aptos" w:hAnsi="Verdana" w:cs="Times New Roman"/>
              </w:rPr>
            </w:pPr>
            <w:r w:rsidRPr="0039647D">
              <w:rPr>
                <w:rFonts w:ascii="Verdana" w:eastAsia="Aptos" w:hAnsi="Verdana" w:cs="Times New Roman"/>
              </w:rPr>
              <w:t xml:space="preserve">iii. La Ley 2022 de 2020 no solo atribuye la competencia a la Agencia Nacional de Contratación Pública – Colombia Compra Eficiente para adoptar documentos tipo, sino que define expresamente su contenido, al disponer que en estos </w:t>
            </w:r>
            <w:r w:rsidRPr="0039647D">
              <w:rPr>
                <w:rFonts w:ascii="Verdana" w:eastAsia="Aptos" w:hAnsi="Verdana" w:cs="Times New Roman"/>
                <w:i/>
                <w:iCs/>
              </w:rPr>
              <w:t>“(…) se establecerán los requisitos habilitantes, factores técnicos, económicos y otros factores de escogencia, así como aquellos requisitos que, previa justificación, representen buenas prácticas contractuales”.</w:t>
            </w:r>
            <w:r w:rsidRPr="0039647D">
              <w:rPr>
                <w:rFonts w:ascii="Verdana" w:eastAsia="Aptos" w:hAnsi="Verdana" w:cs="Times New Roman"/>
              </w:rPr>
              <w:t xml:space="preserve"> De esta manera, el legislador concentró en la Agencia Nacional de Contratación Pública – Colombia Compra Eficiente la definición de los elementos estructurales de los procesos de selección, con el propósito de garantizar la estandarización, la transparencia, la selección objetiva y la eficiencia en el uso de los recursos públicos. </w:t>
            </w:r>
          </w:p>
          <w:p w14:paraId="09D4F314"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497DFC24"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013EBB90"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lastRenderedPageBreak/>
              <w:t>Lo dispuesto en el párrafo precedente, es consecuente con lo desarrollado en el punto tres (iii) de la parte considerativa de este concepto. En este se indicó que, sobre los documentos tipo expedidos por la Agencia Nacional de Contratación Pública – Colombia Compra Eficiente, recae la regla de inalterabilidad.</w:t>
            </w:r>
          </w:p>
          <w:p w14:paraId="5EAE258E"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59E392CD"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0A839C1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 xml:space="preserve">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w:t>
            </w:r>
            <w:r w:rsidRPr="0039647D">
              <w:rPr>
                <w:rFonts w:ascii="Verdana" w:eastAsia="Aptos" w:hAnsi="Verdana" w:cs="Times New Roman"/>
              </w:rPr>
              <w:lastRenderedPageBreak/>
              <w:t xml:space="preserve">adopción y actualización se realice mediante procedimientos estructurados, coordinados y participativos, a cargo de la Agencia Nacional de Contratación Pública – Colombia Compra Eficiente, quien cuenta con la capacidad técnica para garantizar la adecuada integración de las nuevas disposiciones, como por ejemplo el Decreto 287 de 2026. </w:t>
            </w:r>
          </w:p>
          <w:p w14:paraId="7607DB1F"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Adicionalmente, el propio Decreto 287 de 2026 en el artículo 1 que modifica el artículo 2.2.1.2.4.2.7.8 al Decreto 1082 de 2015,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39647D">
              <w:rPr>
                <w:rFonts w:ascii="Aptos" w:eastAsia="Aptos" w:hAnsi="Aptos" w:cs="Times New Roman"/>
              </w:rPr>
              <w:t>”</w:t>
            </w:r>
            <w:r w:rsidRPr="0039647D">
              <w:rPr>
                <w:rFonts w:ascii="Verdana" w:eastAsia="Aptos" w:hAnsi="Verdana" w:cs="Times New Roman"/>
              </w:rPr>
              <w:t xml:space="preserve">, lo cual confirma que la operatividad de dichas disposiciones en el ámbito de los documentos tipo depende de su desarrollo por parte de esta entidad. </w:t>
            </w:r>
          </w:p>
          <w:p w14:paraId="266E1A04"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 xml:space="preserve">Lo anterior es consecuente con lo dispuesto en el ABC del Decreto 0287 de 2026 “Contratación pública inclusiva para personas con discapacidad”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68E8D88D"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47C895E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w:t>
            </w:r>
            <w:r w:rsidRPr="0039647D">
              <w:rPr>
                <w:rFonts w:ascii="Verdana" w:eastAsia="Aptos" w:hAnsi="Verdana" w:cs="Times New Roman"/>
              </w:rPr>
              <w:lastRenderedPageBreak/>
              <w:t xml:space="preserve">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752BA258"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rPr>
            </w:pPr>
            <w:r w:rsidRPr="0039647D">
              <w:rPr>
                <w:rFonts w:ascii="Verdana" w:eastAsia="Aptos" w:hAnsi="Verdana" w:cs="Times New Roman"/>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26000B99" w14:textId="77777777" w:rsidR="0039647D" w:rsidRPr="0039647D" w:rsidRDefault="0039647D" w:rsidP="0039647D">
            <w:pPr>
              <w:widowControl w:val="0"/>
              <w:autoSpaceDE w:val="0"/>
              <w:autoSpaceDN w:val="0"/>
              <w:spacing w:line="276" w:lineRule="auto"/>
              <w:ind w:firstLine="708"/>
              <w:jc w:val="both"/>
              <w:rPr>
                <w:rFonts w:ascii="Verdana" w:eastAsia="Aptos" w:hAnsi="Verdana" w:cs="Times New Roman"/>
              </w:rPr>
            </w:pPr>
            <w:r w:rsidRPr="0039647D">
              <w:rPr>
                <w:rFonts w:ascii="Verdana" w:eastAsia="Aptos" w:hAnsi="Verdana" w:cs="Times New Roman"/>
              </w:rPr>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tc>
      </w:tr>
    </w:tbl>
    <w:p w14:paraId="556CE158" w14:textId="77777777" w:rsidR="0039647D" w:rsidRPr="0039647D" w:rsidRDefault="0039647D" w:rsidP="0039647D">
      <w:pPr>
        <w:tabs>
          <w:tab w:val="left" w:pos="142"/>
          <w:tab w:val="left" w:pos="284"/>
        </w:tabs>
        <w:spacing w:after="0" w:line="276" w:lineRule="auto"/>
        <w:jc w:val="both"/>
        <w:rPr>
          <w:rFonts w:ascii="Verdana" w:eastAsia="Century Gothic" w:hAnsi="Verdana" w:cs="Century Gothic"/>
          <w:b/>
          <w:bCs/>
          <w:lang w:val="es-ES"/>
        </w:rPr>
      </w:pPr>
    </w:p>
    <w:p w14:paraId="4D0DC250" w14:textId="77777777" w:rsidR="0039647D" w:rsidRPr="0039647D" w:rsidRDefault="0039647D" w:rsidP="0039647D">
      <w:pPr>
        <w:tabs>
          <w:tab w:val="left" w:pos="142"/>
          <w:tab w:val="left" w:pos="284"/>
        </w:tabs>
        <w:spacing w:after="0" w:line="276" w:lineRule="auto"/>
        <w:jc w:val="both"/>
        <w:rPr>
          <w:rFonts w:ascii="Verdana" w:eastAsia="Century Gothic" w:hAnsi="Verdana" w:cs="Century Gothic"/>
          <w:b/>
          <w:bCs/>
          <w:lang w:val="es-ES"/>
        </w:rPr>
      </w:pPr>
      <w:r w:rsidRPr="0039647D">
        <w:rPr>
          <w:rFonts w:ascii="Verdana" w:eastAsia="Century Gothic" w:hAnsi="Verdana" w:cs="Century Gothic"/>
          <w:b/>
          <w:bCs/>
          <w:lang w:val="es-ES"/>
        </w:rPr>
        <w:t>3. Razones de la respuesta:</w:t>
      </w:r>
    </w:p>
    <w:p w14:paraId="23E44CA2" w14:textId="77777777" w:rsidR="0039647D" w:rsidRPr="0039647D" w:rsidRDefault="0039647D" w:rsidP="0039647D">
      <w:pPr>
        <w:spacing w:after="0" w:line="276" w:lineRule="auto"/>
        <w:jc w:val="both"/>
        <w:rPr>
          <w:rFonts w:ascii="Verdana" w:eastAsia="Calibri" w:hAnsi="Verdana" w:cs="Arial"/>
          <w:lang w:val="es-ES"/>
        </w:rPr>
      </w:pPr>
    </w:p>
    <w:p w14:paraId="085CA6F7" w14:textId="77777777" w:rsidR="0039647D" w:rsidRPr="0039647D" w:rsidRDefault="0039647D" w:rsidP="0039647D">
      <w:pPr>
        <w:spacing w:after="0" w:line="276" w:lineRule="auto"/>
        <w:jc w:val="both"/>
        <w:rPr>
          <w:rFonts w:ascii="Verdana" w:eastAsia="Calibri" w:hAnsi="Verdana" w:cs="Arial"/>
          <w:lang w:val="es-ES"/>
        </w:rPr>
      </w:pPr>
      <w:r w:rsidRPr="0039647D">
        <w:rPr>
          <w:rFonts w:ascii="Verdana" w:eastAsia="Calibri" w:hAnsi="Verdana" w:cs="Arial"/>
          <w:lang w:val="es-ES"/>
        </w:rPr>
        <w:t xml:space="preserve">Lo anterior se sustenta en las siguientes consideraciones: </w:t>
      </w:r>
    </w:p>
    <w:p w14:paraId="657E097A" w14:textId="77777777" w:rsidR="0039647D" w:rsidRPr="0039647D" w:rsidRDefault="0039647D" w:rsidP="0039647D">
      <w:pPr>
        <w:widowControl w:val="0"/>
        <w:autoSpaceDE w:val="0"/>
        <w:autoSpaceDN w:val="0"/>
        <w:spacing w:after="0" w:line="276" w:lineRule="auto"/>
        <w:jc w:val="both"/>
        <w:rPr>
          <w:rFonts w:ascii="Verdana" w:eastAsia="Calibri" w:hAnsi="Verdana" w:cs="Times New Roman"/>
          <w:lang w:val="es-ES"/>
        </w:rPr>
      </w:pPr>
      <w:bookmarkStart w:id="1" w:name="_Hlk113022941"/>
    </w:p>
    <w:p w14:paraId="2F3E6C8E" w14:textId="77777777" w:rsidR="0039647D" w:rsidRPr="0039647D" w:rsidRDefault="0039647D" w:rsidP="0039647D">
      <w:pPr>
        <w:spacing w:after="0" w:line="240" w:lineRule="auto"/>
        <w:jc w:val="both"/>
        <w:rPr>
          <w:rFonts w:ascii="Aptos" w:eastAsia="Aptos" w:hAnsi="Aptos" w:cs="Times New Roman"/>
          <w:kern w:val="2"/>
          <w:sz w:val="24"/>
          <w:szCs w:val="24"/>
          <w:lang w:val="es-MX"/>
          <w14:ligatures w14:val="standardContextual"/>
        </w:rPr>
      </w:pPr>
      <w:r w:rsidRPr="0039647D">
        <w:rPr>
          <w:rFonts w:ascii="Aptos" w:eastAsia="Aptos" w:hAnsi="Aptos" w:cs="Times New Roman"/>
          <w:kern w:val="2"/>
          <w:sz w:val="24"/>
          <w:szCs w:val="24"/>
          <w:lang w:val="es-ES"/>
          <w14:ligatures w14:val="standardContextual"/>
        </w:rPr>
        <w:t xml:space="preserve">i. </w:t>
      </w:r>
      <w:r w:rsidRPr="0039647D">
        <w:rPr>
          <w:rFonts w:ascii="Verdana" w:eastAsia="Aptos" w:hAnsi="Verdana" w:cs="Times New Roman"/>
          <w:kern w:val="2"/>
          <w:lang w:val="es-MX"/>
          <w14:ligatures w14:val="standardContextual"/>
        </w:rPr>
        <w:t xml:space="preserve">El 22 de julio de 2020 se sancionó la Ley 2022, por medio de la cual se modificó el artículo 4 de la Ley 1882 de 2018. El objetivo de la modificación consiste en que los documentos tipo sean un referente obligatorio en la elaboración de cualquier pliego de condiciones y no solo en los relacionados con procesos de obra pública. De igual manera, busca que el contrato estatal pueda ser utilizado racionalmente como instrumento de ejecución de los recursos públicos, para </w:t>
      </w:r>
      <w:r w:rsidRPr="0039647D">
        <w:rPr>
          <w:rFonts w:ascii="Verdana" w:eastAsia="Aptos" w:hAnsi="Verdana" w:cs="Times New Roman"/>
          <w:kern w:val="2"/>
          <w:lang w:val="es-MX"/>
          <w14:ligatures w14:val="standardContextual"/>
        </w:rPr>
        <w:lastRenderedPageBreak/>
        <w:t>garantizar el cumplimiento de los fines del Estado y la satisfacción de las necesidades de la comunidad</w:t>
      </w:r>
      <w:r w:rsidRPr="0039647D">
        <w:rPr>
          <w:rFonts w:ascii="Verdana" w:eastAsia="Aptos" w:hAnsi="Verdana" w:cs="Times New Roman"/>
          <w:kern w:val="2"/>
          <w:vertAlign w:val="superscript"/>
          <w:lang w:val="es-MX"/>
          <w14:ligatures w14:val="standardContextual"/>
        </w:rPr>
        <w:footnoteReference w:id="12"/>
      </w:r>
      <w:r w:rsidRPr="0039647D">
        <w:rPr>
          <w:rFonts w:ascii="Verdana" w:eastAsia="Aptos" w:hAnsi="Verdana" w:cs="Times New Roman"/>
          <w:kern w:val="2"/>
          <w:lang w:val="es-MX"/>
          <w14:ligatures w14:val="standardContextual"/>
        </w:rPr>
        <w:t>.</w:t>
      </w:r>
      <w:r w:rsidRPr="0039647D">
        <w:rPr>
          <w:rFonts w:ascii="Aptos" w:eastAsia="Aptos" w:hAnsi="Aptos" w:cs="Times New Roman"/>
          <w:kern w:val="2"/>
          <w:sz w:val="24"/>
          <w:szCs w:val="24"/>
          <w:lang w:val="es-MX"/>
          <w14:ligatures w14:val="standardContextual"/>
        </w:rPr>
        <w:t xml:space="preserve"> </w:t>
      </w:r>
    </w:p>
    <w:p w14:paraId="08D75842" w14:textId="77777777" w:rsidR="0039647D" w:rsidRPr="0039647D" w:rsidRDefault="0039647D" w:rsidP="0039647D">
      <w:pPr>
        <w:tabs>
          <w:tab w:val="left" w:pos="709"/>
        </w:tabs>
        <w:spacing w:before="120" w:after="120" w:line="276" w:lineRule="auto"/>
        <w:ind w:firstLine="642"/>
        <w:jc w:val="both"/>
        <w:rPr>
          <w:rFonts w:ascii="Verdana" w:eastAsia="Calibri" w:hAnsi="Verdana" w:cs="Arial"/>
          <w:color w:val="000000"/>
          <w:lang w:val="es-MX"/>
        </w:rPr>
      </w:pPr>
      <w:r w:rsidRPr="0039647D">
        <w:rPr>
          <w:rFonts w:ascii="Verdana" w:eastAsia="Calibri" w:hAnsi="Verdana" w:cs="Arial"/>
          <w:color w:val="000000"/>
          <w:lang w:val="es-MX"/>
        </w:rPr>
        <w:t>La norma establece que la Agencia Nacional de Contratación Pública – Colombia Compra Eficiente o quien haga sus veces, adoptará documentos tipo que serán de obligatorio cumplimiento en la actividad contractual de todas las entidades sometidas al Estatuto General de Contratación de la Administración Pública</w:t>
      </w:r>
      <w:r w:rsidRPr="0039647D">
        <w:rPr>
          <w:rFonts w:ascii="Verdana" w:eastAsia="Calibri" w:hAnsi="Verdana" w:cs="Arial"/>
          <w:color w:val="000000"/>
          <w:vertAlign w:val="superscript"/>
          <w:lang w:val="es-MX"/>
        </w:rPr>
        <w:footnoteReference w:id="13"/>
      </w:r>
      <w:r w:rsidRPr="0039647D">
        <w:rPr>
          <w:rFonts w:ascii="Verdana" w:eastAsia="Calibri" w:hAnsi="Verdana" w:cs="Arial"/>
          <w:color w:val="000000"/>
          <w:lang w:val="es-MX"/>
        </w:rPr>
        <w:t xml:space="preserve">. Así mismo, señala que, dentro de estos documentos tipo se </w:t>
      </w:r>
      <w:r w:rsidRPr="0039647D">
        <w:rPr>
          <w:rFonts w:ascii="Verdana" w:eastAsia="Calibri" w:hAnsi="Verdana" w:cs="Arial"/>
          <w:color w:val="000000"/>
          <w:lang w:val="es-MX"/>
        </w:rPr>
        <w:lastRenderedPageBreak/>
        <w:t>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8619931" w14:textId="77777777" w:rsidR="0039647D" w:rsidRPr="0039647D" w:rsidRDefault="0039647D" w:rsidP="0039647D">
      <w:pPr>
        <w:spacing w:before="120" w:after="120" w:line="276" w:lineRule="auto"/>
        <w:ind w:firstLine="642"/>
        <w:jc w:val="both"/>
        <w:rPr>
          <w:rFonts w:ascii="Verdana" w:eastAsia="Calibri" w:hAnsi="Verdana" w:cs="Arial"/>
          <w:color w:val="000000"/>
          <w:lang w:val="es-MX"/>
        </w:rPr>
      </w:pPr>
      <w:r w:rsidRPr="0039647D">
        <w:rPr>
          <w:rFonts w:ascii="Verdana" w:eastAsia="Calibri" w:hAnsi="Verdana" w:cs="Arial"/>
          <w:color w:val="000000"/>
          <w:lang w:val="es-MX"/>
        </w:rPr>
        <w:t xml:space="preserve">Por su parte, indica que, con el ánimo de promover la descentralización, el empleo local, el desarrollo, los servicios e industria local, en la adopción de los documentos tipo, se tendrán en cuenta las características propias de las regiones, la cuantía, el fomento de la economía local y la naturaleza y especialidad de la contratación. Para tal efecto se deberá llevar a cabo un proceso de capacitación para los municipios. </w:t>
      </w:r>
    </w:p>
    <w:p w14:paraId="633ED600" w14:textId="77777777" w:rsidR="0039647D" w:rsidRPr="0039647D" w:rsidRDefault="0039647D" w:rsidP="0039647D">
      <w:pPr>
        <w:spacing w:before="120" w:after="120" w:line="276" w:lineRule="auto"/>
        <w:ind w:firstLine="360"/>
        <w:jc w:val="both"/>
        <w:rPr>
          <w:rFonts w:ascii="Verdana" w:eastAsia="Calibri" w:hAnsi="Verdana" w:cs="Arial"/>
          <w:color w:val="000000"/>
          <w:lang w:val="es-MX"/>
        </w:rPr>
      </w:pPr>
      <w:r w:rsidRPr="0039647D">
        <w:rPr>
          <w:rFonts w:ascii="Verdana" w:eastAsia="Calibri" w:hAnsi="Verdana" w:cs="Arial"/>
          <w:color w:val="000000"/>
          <w:lang w:val="es-MX"/>
        </w:rPr>
        <w:t xml:space="preserve"> Además obliga a la Agencia Nacional de Contratación Pública Colombia Compra Eficiente a fijar un cronograma y definir, en coordinación con las entidades técnicas o especializadas correspondientes, el procedimiento para implementar gradualmente los documentos tipo, con el propósito de facilitar su incorporación en el sistema de compra pública, debiendo establecer un procedimiento para recibir y revisar comentarios de los interesados, así como un sistema para la revisión constante de los documentos tipo que expida. </w:t>
      </w:r>
    </w:p>
    <w:p w14:paraId="7CA498BC" w14:textId="77777777" w:rsidR="0039647D" w:rsidRPr="0039647D" w:rsidRDefault="0039647D" w:rsidP="0039647D">
      <w:pPr>
        <w:spacing w:before="120" w:after="120" w:line="276" w:lineRule="auto"/>
        <w:ind w:firstLine="642"/>
        <w:jc w:val="both"/>
        <w:rPr>
          <w:rFonts w:ascii="Verdana" w:eastAsia="Calibri" w:hAnsi="Verdana" w:cs="Arial"/>
          <w:color w:val="000000"/>
          <w:lang w:val="es-MX"/>
        </w:rPr>
      </w:pPr>
      <w:r w:rsidRPr="0039647D">
        <w:rPr>
          <w:rFonts w:ascii="Verdana" w:eastAsia="Calibri" w:hAnsi="Verdana" w:cs="Arial"/>
          <w:color w:val="000000"/>
          <w:lang w:val="es-MX"/>
        </w:rPr>
        <w:t>La norma señala que, en todo caso, serán de uso obligatorio los documentos tipo para los pliegos de condiciones de los procesos de selección de obras públicas, interventoría para las obras públicas, interventoría para consultoría de estudios y diseños para obras públicas, consultoría e ingeniería para obras, que llevan a cabo todas las entidades sometidas al Estatuto General de Contratación de la Administración Pública, es decir, aquellas entidades estatales mencionadas en el artículo 2º de la Ley 80 de 1993</w:t>
      </w:r>
      <w:r w:rsidRPr="0039647D">
        <w:rPr>
          <w:rFonts w:ascii="Verdana" w:eastAsia="Calibri" w:hAnsi="Verdana" w:cs="Arial"/>
          <w:color w:val="000000"/>
          <w:vertAlign w:val="superscript"/>
          <w:lang w:val="es-MX"/>
        </w:rPr>
        <w:footnoteReference w:id="14"/>
      </w:r>
      <w:r w:rsidRPr="0039647D">
        <w:rPr>
          <w:rFonts w:ascii="Verdana" w:eastAsia="Calibri" w:hAnsi="Verdana" w:cs="Arial"/>
          <w:color w:val="000000"/>
          <w:lang w:val="es-MX"/>
        </w:rPr>
        <w:t xml:space="preserve">. Esto significa, </w:t>
      </w:r>
      <w:r w:rsidRPr="0039647D">
        <w:rPr>
          <w:rFonts w:ascii="Verdana" w:eastAsia="Calibri" w:hAnsi="Verdana" w:cs="Arial"/>
          <w:color w:val="000000"/>
          <w:lang w:val="es-MX"/>
        </w:rPr>
        <w:lastRenderedPageBreak/>
        <w:t>de una parte, que dichos documentos tipo tienen como fin servir como fuente obligatoria para la elaboración de los pliegos de condiciones y, de otra, que los documentos tipo adoptados por la Agencia son obligatorios por expreso mandato del legislador para las entidades sometidas a la Ley 80 de 1993.</w:t>
      </w:r>
    </w:p>
    <w:p w14:paraId="5184633A" w14:textId="77777777" w:rsidR="0039647D" w:rsidRPr="0039647D" w:rsidRDefault="0039647D" w:rsidP="0039647D">
      <w:pPr>
        <w:spacing w:before="120" w:after="120" w:line="276" w:lineRule="auto"/>
        <w:ind w:firstLine="642"/>
        <w:jc w:val="both"/>
        <w:rPr>
          <w:rFonts w:ascii="Verdana" w:eastAsia="Aptos" w:hAnsi="Verdana" w:cs="Arial"/>
          <w:kern w:val="2"/>
          <w:lang w:val="es-ES"/>
          <w14:ligatures w14:val="standardContextual"/>
        </w:rPr>
      </w:pPr>
      <w:r w:rsidRPr="0039647D">
        <w:rPr>
          <w:rFonts w:ascii="Verdana" w:eastAsia="Calibri" w:hAnsi="Verdana" w:cs="Arial"/>
          <w:color w:val="000000"/>
          <w:lang w:val="es-MX"/>
        </w:rPr>
        <w:t xml:space="preserve">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w:t>
      </w:r>
      <w:r w:rsidRPr="0039647D">
        <w:rPr>
          <w:rFonts w:ascii="Verdana" w:eastAsia="Aptos" w:hAnsi="Verdana" w:cs="Arial"/>
          <w:kern w:val="2"/>
          <w:lang w:val="es-ES"/>
          <w14:ligatures w14:val="standardContextual"/>
        </w:rPr>
        <w:t>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5EDF765E" w14:textId="77777777" w:rsidR="0039647D" w:rsidRPr="0039647D" w:rsidRDefault="0039647D" w:rsidP="0039647D">
      <w:pPr>
        <w:spacing w:after="120" w:line="276" w:lineRule="auto"/>
        <w:ind w:firstLine="708"/>
        <w:jc w:val="both"/>
        <w:rPr>
          <w:rFonts w:ascii="Verdana" w:eastAsia="Calibri" w:hAnsi="Verdana" w:cs="Arial"/>
          <w:kern w:val="2"/>
          <w14:ligatures w14:val="standardContextual"/>
        </w:rPr>
      </w:pPr>
      <w:r w:rsidRPr="0039647D">
        <w:rPr>
          <w:rFonts w:ascii="Verdana" w:eastAsia="Aptos" w:hAnsi="Verdana" w:cs="Arial"/>
          <w:kern w:val="2"/>
          <w14:ligatures w14:val="standardContextual"/>
        </w:rPr>
        <w:t xml:space="preserve">Concretamente, con fundamento en el artículo 1 de la Ley 2022 de 2020, </w:t>
      </w:r>
      <w:r w:rsidRPr="0039647D">
        <w:rPr>
          <w:rFonts w:ascii="Verdana" w:eastAsia="Calibri" w:hAnsi="Verdana" w:cs="Arial"/>
          <w:kern w:val="2"/>
          <w:lang w:val="es-MX"/>
          <w14:ligatures w14:val="standardContextual"/>
        </w:rPr>
        <w:t xml:space="preserve">la Agencia Nacional de Contratación Pública – Colombia Compra </w:t>
      </w:r>
      <w:r w:rsidRPr="0039647D">
        <w:rPr>
          <w:rFonts w:ascii="Verdana" w:eastAsia="Calibri" w:hAnsi="Verdana" w:cs="Arial"/>
          <w:kern w:val="2"/>
          <w14:ligatures w14:val="standardContextual"/>
        </w:rPr>
        <w:t>Eficiente expidió los siguientes documentos tipo que se encuentran vigentes:</w:t>
      </w:r>
    </w:p>
    <w:p w14:paraId="3DCCED3C"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i. Sector de Infraestructura de Transporte:</w:t>
      </w:r>
    </w:p>
    <w:p w14:paraId="79B5DEA6"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Resolución 456 del 10 de septiembre de 2024: “Por la cual se adopta la versión 4 de los documentos tipo para los procesos de selección de licitación de obra pública de infraestructura de transporte y se deroga la Resolución 240 de 2020”.</w:t>
      </w:r>
    </w:p>
    <w:p w14:paraId="512B8DED"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lastRenderedPageBreak/>
        <w:t>Resolución 463 del 10 de septiembre de 2024: “Por la cual se adopta la versión 3 de los documentos tipo para los procesos de selección abreviada de menor cuantía de obra pública de infraestructura de transporte y se deroga la Resolución 241 de 2020”.</w:t>
      </w:r>
    </w:p>
    <w:p w14:paraId="0EF08E19"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3D88161F"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28C57037"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Resolución 726 del 19 de diciembre de 2024: “Por la cual se adopta la versión 2 de los documentos tipo para los procesos de selección de concurso de méritos para contratar la consultoría de ingeniería de infraestructura de transporte y se deroga la Resolución 193 de 2021”.</w:t>
      </w:r>
    </w:p>
    <w:p w14:paraId="396EB65D"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ii. Sector de Infraestructura de Agua Potable y Saneamiento Básico:</w:t>
      </w:r>
    </w:p>
    <w:p w14:paraId="6756D317"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Resolución 248 del 1 de diciembre de 2020: "Por la cual se adoptan los documentos tipo para los procesos de licitación pública para obras de infraestructura de agua potable y saneamiento básico"</w:t>
      </w:r>
    </w:p>
    <w:p w14:paraId="08ED1A3C"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0B143376"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2106EA2B"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iii. Sector de Infraestructura Social: </w:t>
      </w:r>
    </w:p>
    <w:p w14:paraId="21524538"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w:t>
      </w:r>
      <w:r w:rsidRPr="0039647D">
        <w:rPr>
          <w:rFonts w:ascii="Verdana" w:eastAsia="Aptos" w:hAnsi="Verdana" w:cs="Arial"/>
          <w:kern w:val="2"/>
          <w14:ligatures w14:val="standardContextual"/>
        </w:rPr>
        <w:lastRenderedPageBreak/>
        <w:t>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6C3647C3"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 ii)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796BFC8C"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iii)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EC478AD"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iv)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12565B65"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15FCDD4D"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iv. Documentos tipo para la contratación directa de convenios solidarios:</w:t>
      </w:r>
    </w:p>
    <w:p w14:paraId="20C2A1E0" w14:textId="77777777" w:rsidR="0039647D" w:rsidRPr="0039647D" w:rsidRDefault="0039647D" w:rsidP="0039647D">
      <w:pPr>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Arial"/>
          <w:kern w:val="2"/>
          <w14:ligatures w14:val="standardContextual"/>
        </w:rPr>
        <w:t>Resolución 358 del 30 de junio de 2023 “</w:t>
      </w:r>
      <w:r w:rsidRPr="0039647D">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65C8CC1D" w14:textId="77777777" w:rsidR="0039647D" w:rsidRPr="0039647D" w:rsidRDefault="0039647D" w:rsidP="0039647D">
      <w:pPr>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v. Documentos tipo de gestión catastral: </w:t>
      </w:r>
    </w:p>
    <w:p w14:paraId="634B6826" w14:textId="77777777" w:rsidR="0039647D" w:rsidRPr="0039647D" w:rsidRDefault="0039647D" w:rsidP="0039647D">
      <w:pPr>
        <w:spacing w:after="12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lastRenderedPageBreak/>
        <w:t xml:space="preserve">Resolución 269 del 16 de diciembre de 2020 “Por la cual se adopta el documento tipo para los procesos de gestión catastral con enfoque multipropósito que se celebren a través de contratos interadministrativos”. </w:t>
      </w:r>
    </w:p>
    <w:p w14:paraId="5EE75E0F" w14:textId="77777777" w:rsidR="0039647D" w:rsidRPr="0039647D" w:rsidRDefault="0039647D" w:rsidP="0039647D">
      <w:pPr>
        <w:spacing w:after="0" w:line="276" w:lineRule="auto"/>
        <w:ind w:firstLine="708"/>
        <w:jc w:val="both"/>
        <w:rPr>
          <w:rFonts w:ascii="Verdana" w:eastAsia="Aptos" w:hAnsi="Verdana" w:cs="Arial"/>
          <w:kern w:val="2"/>
          <w14:ligatures w14:val="standardContextual"/>
        </w:rPr>
      </w:pPr>
      <w:r w:rsidRPr="0039647D">
        <w:rPr>
          <w:rFonts w:ascii="Verdana" w:eastAsia="Aptos" w:hAnsi="Verdana" w:cs="Arial"/>
          <w:kern w:val="2"/>
          <w14:ligatures w14:val="standardContextual"/>
        </w:rPr>
        <w:t>Las resoluciones señaladas reiteran el alcance de la obligatoriedad de los documentos tipo en la materia y establecen parámetros obligatorios para las entidades estatales obligadas a su aplicación, siempre que las actividades que se contraten estén incluidas en la “Matriz – Experiencia”, de acuerdo con el documento tipo a aplicar. Así, para determinar el ámbito de aplicación de los documentos tipo debe acudirse a la “Matriz – Experiencia”, en la que se contemplan las clases de obra aplicables al sector, sean de infraestructura de transporte, agua potable y saneamiento básico o infraestructura social.</w:t>
      </w:r>
    </w:p>
    <w:p w14:paraId="6D1040A2" w14:textId="77777777" w:rsidR="0039647D" w:rsidRPr="0039647D" w:rsidRDefault="0039647D" w:rsidP="0039647D">
      <w:pPr>
        <w:spacing w:after="0" w:line="276" w:lineRule="auto"/>
        <w:ind w:firstLine="708"/>
        <w:jc w:val="both"/>
        <w:rPr>
          <w:rFonts w:ascii="Verdana" w:eastAsia="Aptos" w:hAnsi="Verdana" w:cs="Arial"/>
          <w:kern w:val="2"/>
          <w14:ligatures w14:val="standardContextual"/>
        </w:rPr>
      </w:pPr>
    </w:p>
    <w:p w14:paraId="238C893B" w14:textId="77777777" w:rsidR="0039647D" w:rsidRPr="0039647D" w:rsidRDefault="0039647D" w:rsidP="0039647D">
      <w:pPr>
        <w:spacing w:after="0" w:line="276" w:lineRule="auto"/>
        <w:jc w:val="both"/>
        <w:rPr>
          <w:rFonts w:ascii="Verdana" w:eastAsia="Calibri" w:hAnsi="Verdana" w:cs="Arial"/>
          <w:color w:val="000000"/>
          <w:lang w:val="es-MX"/>
        </w:rPr>
      </w:pPr>
      <w:r w:rsidRPr="0039647D">
        <w:rPr>
          <w:rFonts w:ascii="Verdana" w:eastAsia="Aptos" w:hAnsi="Verdana" w:cs="Times New Roman"/>
          <w:color w:val="000000"/>
          <w:kern w:val="2"/>
          <w:szCs w:val="24"/>
          <w14:ligatures w14:val="standardContextual"/>
        </w:rPr>
        <w:t>ii. La jurisprudencia de la Corte Constitucional</w:t>
      </w:r>
      <w:r w:rsidRPr="0039647D">
        <w:rPr>
          <w:rFonts w:ascii="Verdana" w:eastAsia="Aptos" w:hAnsi="Verdana" w:cs="Times New Roman"/>
          <w:color w:val="000000"/>
          <w:kern w:val="2"/>
          <w:szCs w:val="24"/>
          <w:vertAlign w:val="superscript"/>
          <w14:ligatures w14:val="standardContextual"/>
        </w:rPr>
        <w:footnoteReference w:id="15"/>
      </w:r>
      <w:r w:rsidRPr="0039647D">
        <w:rPr>
          <w:rFonts w:ascii="Verdana" w:eastAsia="Aptos" w:hAnsi="Verdana" w:cs="Times New Roman"/>
          <w:color w:val="000000"/>
          <w:kern w:val="2"/>
          <w:szCs w:val="24"/>
          <w14:ligatures w14:val="standardContextual"/>
        </w:rPr>
        <w:t xml:space="preserve"> y el Consejo de Estado</w:t>
      </w:r>
      <w:r w:rsidRPr="0039647D">
        <w:rPr>
          <w:rFonts w:ascii="Verdana" w:eastAsia="Aptos" w:hAnsi="Verdana" w:cs="Times New Roman"/>
          <w:color w:val="000000"/>
          <w:kern w:val="2"/>
          <w:szCs w:val="24"/>
          <w:vertAlign w:val="superscript"/>
          <w14:ligatures w14:val="standardContextual"/>
        </w:rPr>
        <w:footnoteReference w:id="16"/>
      </w:r>
      <w:r w:rsidRPr="0039647D">
        <w:rPr>
          <w:rFonts w:ascii="Verdana" w:eastAsia="Aptos" w:hAnsi="Verdana" w:cs="Times New Roman"/>
          <w:color w:val="000000"/>
          <w:kern w:val="2"/>
          <w:szCs w:val="24"/>
          <w14:ligatures w14:val="standardContextual"/>
        </w:rPr>
        <w:t xml:space="preserve"> coinciden en afirmar que la potestad reglamentaria no recae exclusivamente en el presidente de la República y que en Colombia opera un </w:t>
      </w:r>
      <w:r w:rsidRPr="0039647D">
        <w:rPr>
          <w:rFonts w:ascii="Verdana" w:eastAsia="Aptos" w:hAnsi="Verdana" w:cs="Times New Roman"/>
          <w:color w:val="000000"/>
          <w:kern w:val="2"/>
          <w:szCs w:val="24"/>
          <w:lang w:eastAsia="es-CO"/>
          <w14:ligatures w14:val="standardContextual"/>
        </w:rPr>
        <w:t>“</w:t>
      </w:r>
      <w:r w:rsidRPr="0039647D">
        <w:rPr>
          <w:rFonts w:ascii="Verdana" w:eastAsia="Aptos" w:hAnsi="Verdana" w:cs="Times New Roman"/>
          <w:color w:val="000000"/>
          <w:kern w:val="2"/>
          <w:szCs w:val="24"/>
          <w14:ligatures w14:val="standardContextual"/>
        </w:rPr>
        <w:t>sistema difuso</w:t>
      </w:r>
      <w:r w:rsidRPr="0039647D">
        <w:rPr>
          <w:rFonts w:ascii="Verdana" w:eastAsia="Aptos" w:hAnsi="Verdana" w:cs="Times New Roman"/>
          <w:color w:val="000000"/>
          <w:kern w:val="2"/>
          <w:szCs w:val="24"/>
          <w:lang w:eastAsia="es-CO"/>
          <w14:ligatures w14:val="standardContextual"/>
        </w:rPr>
        <w:t>”</w:t>
      </w:r>
      <w:r w:rsidRPr="0039647D">
        <w:rPr>
          <w:rFonts w:ascii="Verdana" w:eastAsia="Aptos" w:hAnsi="Verdana" w:cs="Times New Roman"/>
          <w:color w:val="000000"/>
          <w:kern w:val="2"/>
          <w:szCs w:val="24"/>
          <w14:ligatures w14:val="standardContextual"/>
        </w:rPr>
        <w:t xml:space="preserve"> de producción normativa de carácter general. </w:t>
      </w:r>
      <w:r w:rsidRPr="0039647D">
        <w:rPr>
          <w:rFonts w:ascii="Verdana" w:eastAsia="Aptos" w:hAnsi="Verdana" w:cs="Times New Roman"/>
          <w:color w:val="000000"/>
          <w:kern w:val="2"/>
          <w:szCs w:val="24"/>
          <w:lang w:eastAsia="es-CO"/>
          <w14:ligatures w14:val="standardContextual"/>
        </w:rPr>
        <w:t>Además, señalan que son dos los elementos fundamentales de la potestad reglamentaria, a saber:</w:t>
      </w:r>
    </w:p>
    <w:p w14:paraId="61795201" w14:textId="77777777" w:rsidR="0039647D" w:rsidRPr="0039647D" w:rsidRDefault="0039647D" w:rsidP="0039647D">
      <w:pPr>
        <w:spacing w:after="0" w:line="276" w:lineRule="auto"/>
        <w:ind w:right="51"/>
        <w:jc w:val="both"/>
        <w:rPr>
          <w:rFonts w:ascii="Verdana" w:eastAsia="Times New Roman" w:hAnsi="Verdana" w:cs="Arial"/>
          <w:szCs w:val="24"/>
          <w:lang w:eastAsia="es-MX"/>
        </w:rPr>
      </w:pPr>
    </w:p>
    <w:p w14:paraId="064BEBB3" w14:textId="77777777" w:rsidR="0039647D" w:rsidRPr="0039647D" w:rsidRDefault="0039647D" w:rsidP="0039647D">
      <w:pPr>
        <w:numPr>
          <w:ilvl w:val="0"/>
          <w:numId w:val="20"/>
        </w:numPr>
        <w:spacing w:after="0" w:line="276" w:lineRule="auto"/>
        <w:ind w:right="51"/>
        <w:contextualSpacing/>
        <w:jc w:val="both"/>
        <w:rPr>
          <w:rFonts w:ascii="Verdana" w:eastAsia="Times New Roman" w:hAnsi="Verdana" w:cs="Arial"/>
          <w:szCs w:val="24"/>
          <w:lang w:eastAsia="es-MX"/>
        </w:rPr>
      </w:pPr>
      <w:r w:rsidRPr="0039647D">
        <w:rPr>
          <w:rFonts w:ascii="Verdana" w:eastAsia="Times New Roman" w:hAnsi="Verdana" w:cs="Arial"/>
          <w:b/>
          <w:bCs/>
          <w:szCs w:val="24"/>
          <w:lang w:eastAsia="es-MX"/>
        </w:rPr>
        <w:t>Necesidad:</w:t>
      </w:r>
      <w:r w:rsidRPr="0039647D">
        <w:rPr>
          <w:rFonts w:ascii="Verdana" w:eastAsia="Times New Roman" w:hAnsi="Verdana" w:cs="Arial"/>
          <w:szCs w:val="24"/>
          <w:lang w:eastAsia="es-MX"/>
        </w:rPr>
        <w:t xml:space="preserve"> consiste en que el ejercicio de la potestad reglamentaria se justifica en la medida en que la ley deje espacios de regulación que necesitan llenarse para la ejecución de esta mediante la expedición de actos jurídicos de contenido normativo, pues el legislador puede, en virtud del principio de libertad de configuración legislativa, determinar libremente hasta dónde regula la materia respectiva</w:t>
      </w:r>
      <w:r w:rsidRPr="0039647D">
        <w:rPr>
          <w:rFonts w:ascii="Verdana" w:eastAsia="Times New Roman" w:hAnsi="Verdana" w:cs="Arial"/>
          <w:szCs w:val="24"/>
          <w:vertAlign w:val="superscript"/>
          <w:lang w:eastAsia="es-MX"/>
        </w:rPr>
        <w:footnoteReference w:id="17"/>
      </w:r>
      <w:r w:rsidRPr="0039647D">
        <w:rPr>
          <w:rFonts w:ascii="Verdana" w:eastAsia="Times New Roman" w:hAnsi="Verdana" w:cs="Arial"/>
          <w:szCs w:val="24"/>
          <w:vertAlign w:val="superscript"/>
          <w:lang w:eastAsia="es-MX"/>
        </w:rPr>
        <w:t>;</w:t>
      </w:r>
    </w:p>
    <w:p w14:paraId="299DE4C1" w14:textId="77777777" w:rsidR="0039647D" w:rsidRPr="0039647D" w:rsidRDefault="0039647D" w:rsidP="0039647D">
      <w:pPr>
        <w:spacing w:after="0" w:line="276" w:lineRule="auto"/>
        <w:ind w:right="51"/>
        <w:jc w:val="both"/>
        <w:rPr>
          <w:rFonts w:ascii="Verdana" w:eastAsia="Times New Roman" w:hAnsi="Verdana" w:cs="Arial"/>
          <w:szCs w:val="24"/>
          <w:lang w:eastAsia="es-MX"/>
        </w:rPr>
      </w:pPr>
      <w:r w:rsidRPr="0039647D">
        <w:rPr>
          <w:rFonts w:ascii="Verdana" w:eastAsia="Times New Roman" w:hAnsi="Verdana" w:cs="Arial"/>
          <w:szCs w:val="24"/>
          <w:lang w:eastAsia="es-MX"/>
        </w:rPr>
        <w:lastRenderedPageBreak/>
        <w:t xml:space="preserve"> </w:t>
      </w:r>
    </w:p>
    <w:p w14:paraId="295D98D5" w14:textId="77777777" w:rsidR="0039647D" w:rsidRPr="0039647D" w:rsidRDefault="0039647D" w:rsidP="0039647D">
      <w:pPr>
        <w:numPr>
          <w:ilvl w:val="0"/>
          <w:numId w:val="20"/>
        </w:numPr>
        <w:spacing w:after="0" w:line="276" w:lineRule="auto"/>
        <w:ind w:right="51"/>
        <w:contextualSpacing/>
        <w:jc w:val="both"/>
        <w:rPr>
          <w:rFonts w:ascii="Verdana" w:eastAsia="Times New Roman" w:hAnsi="Verdana" w:cs="Arial"/>
          <w:szCs w:val="24"/>
          <w:lang w:eastAsia="es-MX"/>
        </w:rPr>
      </w:pPr>
      <w:r w:rsidRPr="0039647D">
        <w:rPr>
          <w:rFonts w:ascii="Verdana" w:eastAsia="Times New Roman" w:hAnsi="Verdana" w:cs="Arial"/>
          <w:b/>
          <w:bCs/>
          <w:szCs w:val="24"/>
          <w:lang w:eastAsia="es-MX"/>
        </w:rPr>
        <w:t>Finalidad:</w:t>
      </w:r>
      <w:r w:rsidRPr="0039647D">
        <w:rPr>
          <w:rFonts w:ascii="Verdana" w:eastAsia="Times New Roman" w:hAnsi="Verdana" w:cs="Arial"/>
          <w:szCs w:val="24"/>
          <w:lang w:eastAsia="es-MX"/>
        </w:rPr>
        <w:t xml:space="preserve"> tiene que ver con el contenido material de los actos que se dicten en ejercicio de la potestad reglamentaria, pues los decretos y resoluciones expedidos por el Gobierno nacional en ejercicio de dicha potestad están subordinados a la ley, de manera que el reglamento no puede modificarla, ampliarla o restringir sus efectos. Este último elemento, está asociado al respeto del principio de supremacía normativa pues, el ordenamiento jurídico colombiano supone una jerarquía que emana de la propia Constitución</w:t>
      </w:r>
      <w:r w:rsidRPr="0039647D">
        <w:rPr>
          <w:rFonts w:ascii="Verdana" w:eastAsia="Times New Roman" w:hAnsi="Verdana" w:cs="Arial"/>
          <w:szCs w:val="24"/>
          <w:vertAlign w:val="superscript"/>
          <w:lang w:eastAsia="es-MX"/>
        </w:rPr>
        <w:footnoteReference w:id="18"/>
      </w:r>
      <w:r w:rsidRPr="0039647D">
        <w:rPr>
          <w:rFonts w:ascii="Verdana" w:eastAsia="Times New Roman" w:hAnsi="Verdana" w:cs="Arial"/>
          <w:szCs w:val="24"/>
          <w:lang w:eastAsia="es-MX"/>
        </w:rPr>
        <w:t>.</w:t>
      </w:r>
    </w:p>
    <w:p w14:paraId="06BCD942" w14:textId="77777777" w:rsidR="0039647D" w:rsidRPr="0039647D" w:rsidRDefault="0039647D" w:rsidP="0039647D">
      <w:pPr>
        <w:spacing w:after="0" w:line="240" w:lineRule="auto"/>
        <w:ind w:left="357" w:right="51"/>
        <w:jc w:val="both"/>
        <w:rPr>
          <w:rFonts w:ascii="Verdana" w:eastAsia="Times New Roman" w:hAnsi="Verdana" w:cs="Arial"/>
          <w:szCs w:val="24"/>
          <w:lang w:eastAsia="es-MX"/>
        </w:rPr>
      </w:pPr>
    </w:p>
    <w:p w14:paraId="15E75D18" w14:textId="77777777" w:rsidR="0039647D" w:rsidRPr="0039647D" w:rsidRDefault="0039647D" w:rsidP="0039647D">
      <w:pPr>
        <w:spacing w:after="0" w:line="276" w:lineRule="auto"/>
        <w:ind w:right="50" w:firstLine="708"/>
        <w:jc w:val="both"/>
        <w:rPr>
          <w:rFonts w:ascii="Verdana" w:eastAsia="Times New Roman" w:hAnsi="Verdana" w:cs="Arial"/>
          <w:szCs w:val="24"/>
          <w:lang w:eastAsia="es-MX"/>
        </w:rPr>
      </w:pPr>
      <w:r w:rsidRPr="0039647D">
        <w:rPr>
          <w:rFonts w:ascii="Verdana" w:eastAsia="Times New Roman" w:hAnsi="Verdana" w:cs="Arial"/>
          <w:szCs w:val="24"/>
          <w:lang w:eastAsia="es-ES"/>
        </w:rPr>
        <w:t>En efecto, el desarrollo de la potestad reglamentaria exige que la ley haya configurado una materialidad legislativa básica, pues busca convertir en realidad un enunciado normativo abstracto. Los límites de esta facultad han sido desarrollados por la jurisprudencia de las Altas Cortes, en especial por la Corte Constitucional, quien a modo de subreglas</w:t>
      </w:r>
      <w:r w:rsidRPr="0039647D">
        <w:rPr>
          <w:rFonts w:ascii="Verdana" w:eastAsia="Times New Roman" w:hAnsi="Verdana" w:cs="Arial"/>
          <w:szCs w:val="24"/>
          <w:vertAlign w:val="superscript"/>
          <w:lang w:eastAsia="es-MX"/>
        </w:rPr>
        <w:footnoteReference w:id="19"/>
      </w:r>
      <w:r w:rsidRPr="0039647D">
        <w:rPr>
          <w:rFonts w:ascii="Verdana" w:eastAsia="Times New Roman" w:hAnsi="Verdana" w:cs="Arial"/>
          <w:szCs w:val="24"/>
          <w:lang w:eastAsia="es-ES"/>
        </w:rPr>
        <w:t xml:space="preserve"> explica ciertas limitaciones en el ejercicio de esta competencia</w:t>
      </w:r>
      <w:r w:rsidRPr="0039647D">
        <w:rPr>
          <w:rFonts w:ascii="Verdana" w:eastAsia="Times New Roman" w:hAnsi="Verdana" w:cs="Arial"/>
          <w:szCs w:val="24"/>
          <w:lang w:eastAsia="es-MX"/>
        </w:rPr>
        <w:t>:</w:t>
      </w:r>
    </w:p>
    <w:p w14:paraId="67EB2A52" w14:textId="77777777" w:rsidR="0039647D" w:rsidRPr="0039647D" w:rsidRDefault="0039647D" w:rsidP="0039647D">
      <w:pPr>
        <w:spacing w:after="0" w:line="276" w:lineRule="auto"/>
        <w:ind w:right="50"/>
        <w:jc w:val="both"/>
        <w:rPr>
          <w:rFonts w:ascii="Verdana" w:eastAsia="Times New Roman" w:hAnsi="Verdana" w:cs="Arial"/>
          <w:szCs w:val="24"/>
          <w:lang w:eastAsia="es-MX"/>
        </w:rPr>
      </w:pPr>
    </w:p>
    <w:p w14:paraId="43C38C5E" w14:textId="77777777" w:rsidR="0039647D" w:rsidRPr="0039647D" w:rsidRDefault="0039647D" w:rsidP="0039647D">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39647D">
        <w:rPr>
          <w:rFonts w:ascii="Verdana" w:eastAsia="Times New Roman" w:hAnsi="Verdana" w:cs="Arial"/>
          <w:szCs w:val="24"/>
          <w:lang w:eastAsia="es-MX"/>
        </w:rPr>
        <w:t xml:space="preserve">La potestad reglamentaria se restringe en la medida en que el Congreso de la República utilice en mayor o menor grado sus poderes jurídicos. Tanto así, que se ha manifestado que la misma es inversamente proporcional a la extensión de la ley. </w:t>
      </w:r>
    </w:p>
    <w:p w14:paraId="3FECC04D" w14:textId="77777777" w:rsidR="0039647D" w:rsidRPr="0039647D" w:rsidRDefault="0039647D" w:rsidP="0039647D">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39647D">
        <w:rPr>
          <w:rFonts w:ascii="Verdana" w:eastAsia="Times New Roman" w:hAnsi="Verdana" w:cs="Arial"/>
          <w:szCs w:val="24"/>
          <w:lang w:eastAsia="es-MX"/>
        </w:rPr>
        <w:t xml:space="preserve">El presidente no podrá establecer por vía de decreto reglamentario una excepción, aun cuando la misma fuera supuestamente temporal, sin que previa y expresamente el legislador lo hubiere autorizado para ello y fijado un límite temporal específico. </w:t>
      </w:r>
    </w:p>
    <w:p w14:paraId="789A0EC1" w14:textId="77777777" w:rsidR="0039647D" w:rsidRPr="0039647D" w:rsidRDefault="0039647D" w:rsidP="0039647D">
      <w:pPr>
        <w:numPr>
          <w:ilvl w:val="0"/>
          <w:numId w:val="18"/>
        </w:numPr>
        <w:spacing w:before="100" w:beforeAutospacing="1" w:after="120" w:line="276" w:lineRule="auto"/>
        <w:ind w:left="709" w:right="51" w:hanging="567"/>
        <w:contextualSpacing/>
        <w:jc w:val="both"/>
        <w:rPr>
          <w:rFonts w:ascii="Verdana" w:eastAsia="Times New Roman" w:hAnsi="Verdana" w:cs="Arial"/>
          <w:szCs w:val="24"/>
          <w:lang w:eastAsia="es-MX"/>
        </w:rPr>
      </w:pPr>
      <w:r w:rsidRPr="0039647D">
        <w:rPr>
          <w:rFonts w:ascii="Verdana" w:eastAsia="Times New Roman" w:hAnsi="Verdana" w:cs="Arial"/>
          <w:szCs w:val="24"/>
          <w:lang w:eastAsia="es-MX"/>
        </w:rPr>
        <w:lastRenderedPageBreak/>
        <w:t xml:space="preserve">Cualquier determinación sobre la vigencia de las leyes sólo puede definirla el propio legislador. </w:t>
      </w:r>
    </w:p>
    <w:p w14:paraId="4934F893" w14:textId="77777777" w:rsidR="0039647D" w:rsidRPr="0039647D" w:rsidRDefault="0039647D" w:rsidP="0039647D">
      <w:pPr>
        <w:numPr>
          <w:ilvl w:val="0"/>
          <w:numId w:val="18"/>
        </w:numPr>
        <w:spacing w:before="100" w:beforeAutospacing="1" w:after="0" w:line="276" w:lineRule="auto"/>
        <w:ind w:left="709" w:right="51" w:hanging="567"/>
        <w:contextualSpacing/>
        <w:jc w:val="both"/>
        <w:rPr>
          <w:rFonts w:ascii="Verdana" w:eastAsia="Times New Roman" w:hAnsi="Verdana" w:cs="Arial"/>
          <w:szCs w:val="24"/>
          <w:lang w:eastAsia="es-MX"/>
        </w:rPr>
      </w:pPr>
      <w:r w:rsidRPr="0039647D">
        <w:rPr>
          <w:rFonts w:ascii="Verdana" w:eastAsia="Times New Roman" w:hAnsi="Verdana" w:cs="Arial"/>
          <w:szCs w:val="24"/>
          <w:lang w:eastAsia="es-MX"/>
        </w:rPr>
        <w:t>El ejercicio de la potestad reglamentaria no debe sobrepasar ni invadir la competencia del Congreso de la República, en el sentido de que el reglamento no puede desfigurar la situación regulada por la ley ni hacerla nugatoria.</w:t>
      </w:r>
    </w:p>
    <w:p w14:paraId="1030FFFD" w14:textId="77777777" w:rsidR="0039647D" w:rsidRPr="0039647D" w:rsidRDefault="0039647D" w:rsidP="0039647D">
      <w:pPr>
        <w:numPr>
          <w:ilvl w:val="0"/>
          <w:numId w:val="18"/>
        </w:numPr>
        <w:spacing w:after="0" w:line="276" w:lineRule="auto"/>
        <w:ind w:left="709" w:right="51" w:hanging="567"/>
        <w:jc w:val="both"/>
        <w:rPr>
          <w:rFonts w:ascii="Verdana" w:eastAsia="Times New Roman" w:hAnsi="Verdana" w:cs="Arial"/>
          <w:szCs w:val="24"/>
          <w:lang w:eastAsia="es-MX"/>
        </w:rPr>
      </w:pPr>
      <w:r w:rsidRPr="0039647D">
        <w:rPr>
          <w:rFonts w:ascii="Verdana" w:eastAsia="Times New Roman" w:hAnsi="Verdana" w:cs="Arial"/>
          <w:szCs w:val="24"/>
          <w:lang w:eastAsia="es-MX"/>
        </w:rPr>
        <w:t>La potestad reglamentaria no puede incluir requisitos adicionales a los previstos en la ley, y el Gobierno no puede desconocer la Constitución ni el contenido o las pautas trazadas en la ley ni reglamentar normas que no ejecuta la administración.</w:t>
      </w:r>
    </w:p>
    <w:p w14:paraId="42D9458E" w14:textId="77777777" w:rsidR="0039647D" w:rsidRPr="0039647D" w:rsidRDefault="0039647D" w:rsidP="0039647D">
      <w:pPr>
        <w:spacing w:after="0" w:line="240" w:lineRule="auto"/>
        <w:jc w:val="both"/>
        <w:rPr>
          <w:rFonts w:ascii="Verdana" w:eastAsia="Times New Roman" w:hAnsi="Verdana" w:cs="Arial"/>
          <w:lang w:eastAsia="es-MX"/>
        </w:rPr>
      </w:pPr>
    </w:p>
    <w:p w14:paraId="244E3EB7" w14:textId="77777777" w:rsidR="0039647D" w:rsidRPr="0039647D" w:rsidRDefault="0039647D" w:rsidP="0039647D">
      <w:pPr>
        <w:spacing w:after="120" w:line="276" w:lineRule="auto"/>
        <w:ind w:firstLine="708"/>
        <w:jc w:val="both"/>
        <w:rPr>
          <w:rFonts w:ascii="Verdana" w:eastAsia="Times New Roman" w:hAnsi="Verdana" w:cs="Arial"/>
          <w:szCs w:val="24"/>
          <w:lang w:eastAsia="es-MX"/>
        </w:rPr>
      </w:pPr>
      <w:r w:rsidRPr="0039647D">
        <w:rPr>
          <w:rFonts w:ascii="Verdana" w:eastAsia="Times New Roman" w:hAnsi="Verdana" w:cs="Arial"/>
          <w:szCs w:val="24"/>
          <w:lang w:eastAsia="es-MX"/>
        </w:rPr>
        <w:t xml:space="preserve">Como se explicó en acápites anteriores, la Ley 2022 de 2020 facultó a la Agencia Nacional de Contratación Pública – Colombia Compra Eficiente para adoptar documentos tipo que serán de obligatorio cumplimiento en la actividad contractual de las entidades sometidas al Estatuto General de Contratación de la Administración Pública. De este modo, la intención del legislador fue otorgarle esta facultad al ente rector del Sistema de Compra Pública. </w:t>
      </w:r>
    </w:p>
    <w:p w14:paraId="68C8BC0F" w14:textId="77777777" w:rsidR="0039647D" w:rsidRPr="0039647D" w:rsidRDefault="0039647D" w:rsidP="0039647D">
      <w:pPr>
        <w:spacing w:after="120" w:line="276" w:lineRule="auto"/>
        <w:ind w:firstLine="708"/>
        <w:jc w:val="both"/>
        <w:rPr>
          <w:rFonts w:ascii="Verdana" w:eastAsia="Times New Roman" w:hAnsi="Verdana" w:cs="Arial"/>
          <w:lang w:eastAsia="es-MX"/>
        </w:rPr>
      </w:pPr>
      <w:r w:rsidRPr="0039647D">
        <w:rPr>
          <w:rFonts w:ascii="Verdana" w:eastAsia="Times New Roman" w:hAnsi="Verdana" w:cs="Arial"/>
          <w:szCs w:val="24"/>
          <w:lang w:eastAsia="es-MX"/>
        </w:rPr>
        <w:t>Al respecto, la jurisprudencia constitucional ha reconocido a los organismos y a las autoridades que “en la jerarquía administrativa lo suceden al presidente de la República, una cierta competencia regulativa, de carácter residual, accesoria o auxiliar, que los habilita para insertar la voluntad del legislador en las últimas posibilidades de aplicación de la norma general</w:t>
      </w:r>
      <w:r w:rsidRPr="0039647D">
        <w:rPr>
          <w:rFonts w:ascii="Verdana" w:eastAsia="Times New Roman" w:hAnsi="Verdana" w:cs="Arial"/>
          <w:i/>
          <w:iCs/>
          <w:szCs w:val="24"/>
          <w:vertAlign w:val="superscript"/>
          <w:lang w:eastAsia="es-MX"/>
        </w:rPr>
        <w:footnoteReference w:id="20"/>
      </w:r>
      <w:r w:rsidRPr="0039647D">
        <w:rPr>
          <w:rFonts w:ascii="Verdana" w:eastAsia="Times New Roman" w:hAnsi="Verdana" w:cs="Arial"/>
          <w:szCs w:val="24"/>
          <w:lang w:eastAsia="es-MX"/>
        </w:rPr>
        <w:t>”</w:t>
      </w:r>
      <w:r w:rsidRPr="0039647D">
        <w:rPr>
          <w:rFonts w:ascii="Verdana" w:eastAsia="Times New Roman" w:hAnsi="Verdana" w:cs="Arial"/>
          <w:i/>
          <w:iCs/>
          <w:szCs w:val="24"/>
          <w:lang w:eastAsia="es-MX"/>
        </w:rPr>
        <w:t>.</w:t>
      </w:r>
      <w:r w:rsidRPr="0039647D">
        <w:rPr>
          <w:rFonts w:ascii="Verdana" w:eastAsia="Times New Roman" w:hAnsi="Verdana" w:cs="Arial"/>
          <w:szCs w:val="24"/>
          <w:lang w:eastAsia="es-MX"/>
        </w:rPr>
        <w:t xml:space="preserve"> Además, el Consejo de Estado, Sección Primera, en la Sentencia del 29 de abril </w:t>
      </w:r>
      <w:r w:rsidRPr="0039647D">
        <w:rPr>
          <w:rFonts w:ascii="Verdana" w:eastAsia="Times New Roman" w:hAnsi="Verdana" w:cs="Arial"/>
          <w:lang w:eastAsia="es-MX"/>
        </w:rPr>
        <w:t>de 2015, expediente 6.096, indicó que es posible que ley atribuya facultades reglamentarias a otras autoridades administrativas, particularmente a los ministerios, sin que se entienda disminuida la potestad reglamentaria del presidente de la República</w:t>
      </w:r>
      <w:r w:rsidRPr="0039647D">
        <w:rPr>
          <w:rFonts w:ascii="Verdana" w:eastAsia="Times New Roman" w:hAnsi="Verdana" w:cs="Arial"/>
          <w:vertAlign w:val="superscript"/>
          <w:lang w:eastAsia="es-MX"/>
        </w:rPr>
        <w:footnoteReference w:id="21"/>
      </w:r>
      <w:r w:rsidRPr="0039647D">
        <w:rPr>
          <w:rFonts w:ascii="Verdana" w:eastAsia="Times New Roman" w:hAnsi="Verdana" w:cs="Arial"/>
          <w:lang w:eastAsia="es-MX"/>
        </w:rPr>
        <w:t xml:space="preserve">. </w:t>
      </w:r>
    </w:p>
    <w:p w14:paraId="77E37386" w14:textId="77777777" w:rsidR="0039647D" w:rsidRPr="0039647D" w:rsidRDefault="0039647D" w:rsidP="0039647D">
      <w:pPr>
        <w:spacing w:after="120" w:line="276" w:lineRule="auto"/>
        <w:ind w:firstLine="708"/>
        <w:jc w:val="both"/>
        <w:rPr>
          <w:rFonts w:ascii="Verdana" w:eastAsia="Times New Roman" w:hAnsi="Verdana" w:cs="Arial"/>
          <w:lang w:eastAsia="es-MX"/>
        </w:rPr>
      </w:pPr>
      <w:r w:rsidRPr="0039647D">
        <w:rPr>
          <w:rFonts w:ascii="Verdana" w:eastAsia="Times New Roman" w:hAnsi="Verdana" w:cs="Arial"/>
          <w:lang w:eastAsia="es-MX"/>
        </w:rPr>
        <w:t xml:space="preserve">En efecto, la Corte Constitucional, en Sentencia C-1005 de 2008, expresó que “la justificación de esta asignación de regulación gradual consiste en que </w:t>
      </w:r>
      <w:r w:rsidRPr="0039647D">
        <w:rPr>
          <w:rFonts w:ascii="Verdana" w:eastAsia="Times New Roman" w:hAnsi="Verdana" w:cs="Arial"/>
          <w:lang w:eastAsia="es-MX"/>
        </w:rPr>
        <w:lastRenderedPageBreak/>
        <w:t>precisamente son los organismos administrativos los depositarios de información relacionada de manera directa e inmediata con el funcionamiento práctico de las herramientas de creación legislativa”</w:t>
      </w:r>
      <w:r w:rsidRPr="0039647D">
        <w:rPr>
          <w:rFonts w:ascii="Verdana" w:eastAsia="Times New Roman" w:hAnsi="Verdana" w:cs="Arial"/>
          <w:vertAlign w:val="superscript"/>
          <w:lang w:eastAsia="es-MX"/>
        </w:rPr>
        <w:footnoteReference w:id="22"/>
      </w:r>
      <w:r w:rsidRPr="0039647D">
        <w:rPr>
          <w:rFonts w:ascii="Verdana" w:eastAsia="Times New Roman" w:hAnsi="Verdana" w:cs="Arial"/>
          <w:lang w:eastAsia="es-MX"/>
        </w:rPr>
        <w:t>, lo que implica que sean estos organismos quienes deban encargarse de aquello que la Corte ha denominado como “micro regulación de la ley”. Así mismo, en la Sentencia C-917 de 2002, señaló que “la imposibilidad de previsión total por parte del órgano legislativo es -para muchos- suficiente sustento de la necesidad de que sea una entidad técnica la que produzca el reglamento correspondiente”</w:t>
      </w:r>
      <w:r w:rsidRPr="0039647D">
        <w:rPr>
          <w:rFonts w:ascii="Verdana" w:eastAsia="Times New Roman" w:hAnsi="Verdana" w:cs="Arial"/>
          <w:vertAlign w:val="superscript"/>
          <w:lang w:eastAsia="es-MX"/>
        </w:rPr>
        <w:footnoteReference w:id="23"/>
      </w:r>
      <w:r w:rsidRPr="0039647D">
        <w:rPr>
          <w:rFonts w:ascii="Verdana" w:eastAsia="Times New Roman" w:hAnsi="Verdana" w:cs="Arial"/>
          <w:lang w:eastAsia="es-MX"/>
        </w:rPr>
        <w:t>.</w:t>
      </w:r>
    </w:p>
    <w:p w14:paraId="6BD3C0FB" w14:textId="77777777" w:rsidR="0039647D" w:rsidRPr="0039647D" w:rsidRDefault="0039647D" w:rsidP="0039647D">
      <w:pPr>
        <w:spacing w:after="0" w:line="276" w:lineRule="auto"/>
        <w:ind w:firstLine="708"/>
        <w:jc w:val="both"/>
        <w:rPr>
          <w:rFonts w:ascii="Verdana" w:eastAsia="Times New Roman" w:hAnsi="Verdana" w:cs="Arial"/>
          <w:lang w:eastAsia="es-CO"/>
        </w:rPr>
      </w:pPr>
      <w:r w:rsidRPr="0039647D">
        <w:rPr>
          <w:rFonts w:ascii="Verdana" w:eastAsia="Times New Roman" w:hAnsi="Verdana" w:cs="Arial"/>
          <w:lang w:eastAsia="es-CO"/>
        </w:rPr>
        <w:t xml:space="preserve">En este sentido, atendiendo lo previsto en el artículo 1 la Ley 2022 de 2020, </w:t>
      </w:r>
      <w:r w:rsidRPr="0039647D">
        <w:rPr>
          <w:rFonts w:ascii="Verdana" w:eastAsia="Times New Roman" w:hAnsi="Verdana" w:cs="Arial"/>
          <w:lang w:eastAsia="es-ES"/>
        </w:rPr>
        <w:t>debe señalarse que la Agencia Nacional de Contratación Pública – Colombia Compra Eficiente, es una Unidad Administrativa Especial, descentralizada de la Rama Ejecutiva del orden nacional, con personería jurídica, patrimonio propio y autonomía administrativa y financiera, adscrita al Departamento Nacional de Planeación</w:t>
      </w:r>
      <w:r w:rsidRPr="0039647D">
        <w:rPr>
          <w:rFonts w:ascii="Verdana" w:eastAsia="Calibri" w:hAnsi="Verdana" w:cs="Arial"/>
          <w:vertAlign w:val="superscript"/>
          <w:lang w:eastAsia="es-CO"/>
        </w:rPr>
        <w:footnoteReference w:id="24"/>
      </w:r>
      <w:r w:rsidRPr="0039647D">
        <w:rPr>
          <w:rFonts w:ascii="Verdana" w:eastAsia="Times New Roman" w:hAnsi="Verdana" w:cs="Arial"/>
          <w:lang w:eastAsia="es-ES"/>
        </w:rPr>
        <w:t>, que se erige como ente rector en materia de contratación pública en virtud de las funciones atribuidas por el ordenamiento jurídico, en particular en el numeral 2 del artículo 3 del</w:t>
      </w:r>
      <w:r w:rsidRPr="0039647D">
        <w:rPr>
          <w:rFonts w:ascii="Verdana" w:eastAsia="Times New Roman" w:hAnsi="Verdana" w:cs="Arial"/>
          <w:lang w:eastAsia="es-CO"/>
        </w:rPr>
        <w:t xml:space="preserve"> Decreto Ley 4170 de 2011, en el que se otorgó la función de:</w:t>
      </w:r>
    </w:p>
    <w:p w14:paraId="359F4D34" w14:textId="77777777" w:rsidR="0039647D" w:rsidRPr="0039647D" w:rsidRDefault="0039647D" w:rsidP="0039647D">
      <w:pPr>
        <w:spacing w:after="0" w:line="240" w:lineRule="auto"/>
        <w:jc w:val="both"/>
        <w:rPr>
          <w:rFonts w:ascii="Verdana" w:eastAsia="Times New Roman" w:hAnsi="Verdana" w:cs="Arial"/>
          <w:lang w:eastAsia="es-CO"/>
        </w:rPr>
      </w:pPr>
    </w:p>
    <w:p w14:paraId="3B618CA6" w14:textId="77777777" w:rsidR="0039647D" w:rsidRPr="0039647D" w:rsidRDefault="0039647D" w:rsidP="0039647D">
      <w:pPr>
        <w:spacing w:after="0" w:line="240" w:lineRule="auto"/>
        <w:ind w:left="709" w:right="709"/>
        <w:jc w:val="both"/>
        <w:rPr>
          <w:rFonts w:ascii="Verdana" w:eastAsia="Times New Roman" w:hAnsi="Verdana" w:cs="Arial"/>
          <w:sz w:val="21"/>
          <w:szCs w:val="21"/>
          <w:lang w:eastAsia="es-CO"/>
        </w:rPr>
      </w:pPr>
      <w:r w:rsidRPr="0039647D">
        <w:rPr>
          <w:rFonts w:ascii="Verdana" w:eastAsia="Times New Roman" w:hAnsi="Verdana" w:cs="Arial"/>
          <w:sz w:val="21"/>
          <w:szCs w:val="21"/>
          <w:u w:val="single"/>
          <w:lang w:eastAsia="es-CO"/>
        </w:rPr>
        <w:t>“Desarrollar,</w:t>
      </w:r>
      <w:r w:rsidRPr="0039647D">
        <w:rPr>
          <w:rFonts w:ascii="Verdana" w:eastAsia="Times New Roman" w:hAnsi="Verdana" w:cs="Arial"/>
          <w:sz w:val="21"/>
          <w:szCs w:val="21"/>
          <w:lang w:eastAsia="es-CO"/>
        </w:rPr>
        <w:t xml:space="preserve"> </w:t>
      </w:r>
      <w:r w:rsidRPr="0039647D">
        <w:rPr>
          <w:rFonts w:ascii="Verdana" w:eastAsia="Times New Roman" w:hAnsi="Verdana" w:cs="Arial"/>
          <w:sz w:val="21"/>
          <w:szCs w:val="21"/>
          <w:u w:val="single"/>
          <w:lang w:eastAsia="es-CO"/>
        </w:rPr>
        <w:t>implementar y difundir</w:t>
      </w:r>
      <w:r w:rsidRPr="0039647D">
        <w:rPr>
          <w:rFonts w:ascii="Verdana" w:eastAsia="Times New Roman" w:hAnsi="Verdana" w:cs="Arial"/>
          <w:sz w:val="21"/>
          <w:szCs w:val="21"/>
          <w:lang w:eastAsia="es-CO"/>
        </w:rPr>
        <w:t xml:space="preserve"> las políticas públicas, planes, programas, </w:t>
      </w:r>
      <w:r w:rsidRPr="0039647D">
        <w:rPr>
          <w:rFonts w:ascii="Verdana" w:eastAsia="Times New Roman" w:hAnsi="Verdana" w:cs="Arial"/>
          <w:sz w:val="21"/>
          <w:szCs w:val="21"/>
          <w:u w:val="single"/>
          <w:lang w:eastAsia="es-CO"/>
        </w:rPr>
        <w:t>normas, instrumentos y herramientas</w:t>
      </w:r>
      <w:r w:rsidRPr="0039647D">
        <w:rPr>
          <w:rFonts w:ascii="Verdana" w:eastAsia="Times New Roman" w:hAnsi="Verdana" w:cs="Arial"/>
          <w:sz w:val="21"/>
          <w:szCs w:val="21"/>
          <w:lang w:eastAsia="es-CO"/>
        </w:rPr>
        <w:t xml:space="preserve">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 (Subrayado fuera del texto).</w:t>
      </w:r>
    </w:p>
    <w:p w14:paraId="285D7E18" w14:textId="77777777" w:rsidR="0039647D" w:rsidRPr="0039647D" w:rsidRDefault="0039647D" w:rsidP="0039647D">
      <w:pPr>
        <w:spacing w:after="0" w:line="240" w:lineRule="auto"/>
        <w:ind w:left="709" w:right="709"/>
        <w:jc w:val="both"/>
        <w:rPr>
          <w:rFonts w:ascii="Verdana" w:eastAsia="Times New Roman" w:hAnsi="Verdana" w:cs="Arial"/>
          <w:lang w:eastAsia="es-CO"/>
        </w:rPr>
      </w:pPr>
    </w:p>
    <w:p w14:paraId="25BB24A1" w14:textId="77777777" w:rsidR="0039647D" w:rsidRPr="0039647D" w:rsidRDefault="0039647D" w:rsidP="0039647D">
      <w:pPr>
        <w:spacing w:after="0" w:line="276" w:lineRule="auto"/>
        <w:ind w:firstLine="708"/>
        <w:jc w:val="both"/>
        <w:rPr>
          <w:rFonts w:ascii="Verdana" w:eastAsia="Times New Roman" w:hAnsi="Verdana" w:cs="Arial"/>
          <w:lang w:eastAsia="es-ES"/>
        </w:rPr>
      </w:pPr>
      <w:r w:rsidRPr="0039647D">
        <w:rPr>
          <w:rFonts w:ascii="Verdana" w:eastAsia="Times New Roman" w:hAnsi="Verdana" w:cs="Arial"/>
          <w:lang w:eastAsia="es-MX"/>
        </w:rPr>
        <w:t>Así mismo, el Decreto Ley le otorgó a la Subdirección de Gestión Contractual la función de: “</w:t>
      </w:r>
      <w:r w:rsidRPr="0039647D">
        <w:rPr>
          <w:rFonts w:ascii="Verdana" w:eastAsia="Times New Roman" w:hAnsi="Verdana" w:cs="Arial"/>
          <w:u w:val="single"/>
          <w:lang w:eastAsia="es-MX"/>
        </w:rPr>
        <w:t>Desarrollar e implementar</w:t>
      </w:r>
      <w:r w:rsidRPr="0039647D">
        <w:rPr>
          <w:rFonts w:ascii="Verdana" w:eastAsia="Times New Roman" w:hAnsi="Verdana" w:cs="Arial"/>
          <w:lang w:eastAsia="es-MX"/>
        </w:rPr>
        <w:t xml:space="preserve"> </w:t>
      </w:r>
      <w:r w:rsidRPr="0039647D">
        <w:rPr>
          <w:rFonts w:ascii="Verdana" w:eastAsia="Times New Roman" w:hAnsi="Verdana" w:cs="Arial"/>
          <w:u w:val="single"/>
          <w:lang w:eastAsia="es-MX"/>
        </w:rPr>
        <w:t>estándares y documentos tipo</w:t>
      </w:r>
      <w:r w:rsidRPr="0039647D">
        <w:rPr>
          <w:rFonts w:ascii="Verdana" w:eastAsia="Times New Roman" w:hAnsi="Verdana" w:cs="Arial"/>
          <w:lang w:eastAsia="es-MX"/>
        </w:rPr>
        <w:t xml:space="preserve"> para las diferentes etapas de la gestión contractual </w:t>
      </w:r>
      <w:r w:rsidRPr="0039647D">
        <w:rPr>
          <w:rFonts w:ascii="Verdana" w:eastAsia="Times New Roman" w:hAnsi="Verdana" w:cs="Times New Roman"/>
          <w:lang w:eastAsia="es-MX"/>
        </w:rPr>
        <w:t>pública”</w:t>
      </w:r>
      <w:r w:rsidRPr="0039647D">
        <w:rPr>
          <w:rFonts w:ascii="Verdana" w:eastAsia="Times New Roman" w:hAnsi="Verdana" w:cs="Times New Roman"/>
          <w:vertAlign w:val="superscript"/>
          <w:lang w:eastAsia="es-MX"/>
        </w:rPr>
        <w:footnoteReference w:id="25"/>
      </w:r>
      <w:r w:rsidRPr="0039647D">
        <w:rPr>
          <w:rFonts w:ascii="Verdana" w:eastAsia="Times New Roman" w:hAnsi="Verdana" w:cs="Arial"/>
          <w:i/>
          <w:iCs/>
          <w:lang w:eastAsia="es-ES"/>
        </w:rPr>
        <w:t>.</w:t>
      </w:r>
      <w:r w:rsidRPr="0039647D">
        <w:rPr>
          <w:rFonts w:ascii="Verdana" w:eastAsia="Times New Roman" w:hAnsi="Verdana" w:cs="Arial"/>
          <w:lang w:eastAsia="es-ES"/>
        </w:rPr>
        <w:t xml:space="preserve">De conformidad con lo anterior, la Agencia Nacional de Contratación Pública – </w:t>
      </w:r>
      <w:r w:rsidRPr="0039647D">
        <w:rPr>
          <w:rFonts w:ascii="Verdana" w:eastAsia="Times New Roman" w:hAnsi="Verdana" w:cs="Arial"/>
          <w:lang w:eastAsia="es-ES"/>
        </w:rPr>
        <w:lastRenderedPageBreak/>
        <w:t>Colombia Compra Eficiente es un ente rector, técnico y especializado en materia de contratación pública. De ahí que el Consejo de Estado le haya reconocido potestad regulatoria, en los siguientes términos:</w:t>
      </w:r>
    </w:p>
    <w:p w14:paraId="1778FA06" w14:textId="77777777" w:rsidR="0039647D" w:rsidRPr="0039647D" w:rsidRDefault="0039647D" w:rsidP="0039647D">
      <w:pPr>
        <w:spacing w:after="0" w:line="240" w:lineRule="auto"/>
        <w:jc w:val="both"/>
        <w:rPr>
          <w:rFonts w:ascii="Verdana" w:eastAsia="Times New Roman" w:hAnsi="Verdana" w:cs="Arial"/>
          <w:lang w:eastAsia="es-ES"/>
        </w:rPr>
      </w:pPr>
    </w:p>
    <w:p w14:paraId="171C813D" w14:textId="77777777" w:rsidR="0039647D" w:rsidRPr="0039647D" w:rsidRDefault="0039647D" w:rsidP="0039647D">
      <w:pPr>
        <w:spacing w:after="240" w:line="240" w:lineRule="auto"/>
        <w:ind w:left="709" w:right="709"/>
        <w:jc w:val="both"/>
        <w:rPr>
          <w:rFonts w:ascii="Verdana" w:eastAsia="Times New Roman" w:hAnsi="Verdana" w:cs="Arial"/>
          <w:i/>
          <w:sz w:val="21"/>
          <w:szCs w:val="21"/>
          <w:lang w:eastAsia="es-ES"/>
        </w:rPr>
      </w:pP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Se cuenta con una base jurídica mínima que apoya la competencia de [Colombia Compra Eficiente] para [la expedición de la Circular] pues se sabe que esa Agencia […] se ubica dentro del sector descentralizado del orden nacional y cuenta dentro de su ámbito funcional con competencias atinentes a la materia de la contratación estatal, esto es, a la actividad administrativa vinculada a la provisión de bienes y/o servicios por cuenta del Estado […] y ejerce una competencia de orientación y coordinación toda vez que tiene a su cargo la formulación de políticas públicas […] y, concretamente, se le ha atribuido la competencia de </w:t>
      </w: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difundir las normas, reglas, procedimientos, medios tecnológicos y mejores prácticas para las compras y la contratación pública […]</w:t>
      </w: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 potestad reguladora que, en todo caso, debe ejercerse conforme a la Ley y ajustada a la potestad reglamentaria del Gobierno Nacional</w:t>
      </w:r>
      <w:r w:rsidRPr="0039647D">
        <w:rPr>
          <w:rFonts w:ascii="Verdana" w:eastAsia="Times New Roman" w:hAnsi="Verdana" w:cs="Arial"/>
          <w:sz w:val="21"/>
          <w:szCs w:val="21"/>
          <w:lang w:eastAsia="es-MX"/>
        </w:rPr>
        <w:t>”</w:t>
      </w:r>
      <w:r w:rsidRPr="0039647D">
        <w:rPr>
          <w:rFonts w:ascii="Verdana" w:eastAsia="Times New Roman" w:hAnsi="Verdana" w:cs="Arial"/>
          <w:i/>
          <w:iCs/>
          <w:sz w:val="21"/>
          <w:szCs w:val="21"/>
          <w:vertAlign w:val="superscript"/>
          <w:lang w:eastAsia="es-MX"/>
        </w:rPr>
        <w:footnoteReference w:id="26"/>
      </w:r>
      <w:r w:rsidRPr="0039647D">
        <w:rPr>
          <w:rFonts w:ascii="Verdana" w:eastAsia="Times New Roman" w:hAnsi="Verdana" w:cs="Arial"/>
          <w:i/>
          <w:iCs/>
          <w:sz w:val="21"/>
          <w:szCs w:val="21"/>
          <w:lang w:eastAsia="es-ES"/>
        </w:rPr>
        <w:t xml:space="preserve">. </w:t>
      </w:r>
    </w:p>
    <w:p w14:paraId="3B96B875" w14:textId="77777777" w:rsidR="0039647D" w:rsidRPr="0039647D" w:rsidRDefault="0039647D" w:rsidP="0039647D">
      <w:pPr>
        <w:spacing w:after="0" w:line="276" w:lineRule="auto"/>
        <w:ind w:firstLine="708"/>
        <w:jc w:val="both"/>
        <w:rPr>
          <w:rFonts w:ascii="Verdana" w:eastAsia="Times New Roman" w:hAnsi="Verdana" w:cs="Arial"/>
          <w:lang w:eastAsia="es-ES"/>
        </w:rPr>
      </w:pPr>
      <w:r w:rsidRPr="0039647D">
        <w:rPr>
          <w:rFonts w:ascii="Verdana" w:eastAsia="Times New Roman" w:hAnsi="Verdana" w:cs="Arial"/>
          <w:lang w:eastAsia="es-ES"/>
        </w:rPr>
        <w:t>Lo anterior fue reiterado por el Consejo de Estado, en la sentencia del 16 de agosto de 2017, en el expediente 56.166, en los siguientes términos:</w:t>
      </w:r>
    </w:p>
    <w:p w14:paraId="202F3C4B" w14:textId="77777777" w:rsidR="0039647D" w:rsidRPr="0039647D" w:rsidRDefault="0039647D" w:rsidP="0039647D">
      <w:pPr>
        <w:spacing w:after="0" w:line="240" w:lineRule="auto"/>
        <w:jc w:val="both"/>
        <w:rPr>
          <w:rFonts w:ascii="Verdana" w:eastAsia="Times New Roman" w:hAnsi="Verdana" w:cs="Arial"/>
          <w:lang w:eastAsia="es-ES"/>
        </w:rPr>
      </w:pPr>
    </w:p>
    <w:p w14:paraId="4F28D047" w14:textId="77777777" w:rsidR="0039647D" w:rsidRPr="0039647D" w:rsidRDefault="0039647D" w:rsidP="0039647D">
      <w:pPr>
        <w:spacing w:after="0" w:line="240" w:lineRule="auto"/>
        <w:ind w:left="709" w:right="709"/>
        <w:jc w:val="both"/>
        <w:rPr>
          <w:rFonts w:ascii="Verdana" w:eastAsia="Times New Roman" w:hAnsi="Verdana" w:cs="Arial"/>
          <w:sz w:val="21"/>
          <w:szCs w:val="21"/>
          <w:lang w:eastAsia="es-ES"/>
        </w:rPr>
      </w:pP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Dígase que ese poder de regulación normativa en cabeza de CCE se ejerce </w:t>
      </w:r>
      <w:r w:rsidRPr="0039647D">
        <w:rPr>
          <w:rFonts w:ascii="Verdana" w:eastAsia="Times New Roman" w:hAnsi="Verdana" w:cs="Arial"/>
          <w:i/>
          <w:iCs/>
          <w:sz w:val="21"/>
          <w:szCs w:val="21"/>
          <w:lang w:eastAsia="es-ES"/>
        </w:rPr>
        <w:t>secundum legem</w:t>
      </w:r>
      <w:r w:rsidRPr="0039647D">
        <w:rPr>
          <w:rFonts w:ascii="Verdana" w:eastAsia="Times New Roman" w:hAnsi="Verdana" w:cs="Arial"/>
          <w:sz w:val="21"/>
          <w:szCs w:val="21"/>
          <w:lang w:eastAsia="es-ES"/>
        </w:rPr>
        <w:t xml:space="preserve"> como también subordinado a la potestad reglamentaria del Gobierno Nacional, de suerte que no rivaliza con ésta o aquella, sino que constituye, en puridad, expresión del ejercicio de autoridad administrativa bajo habilitación legal expresa sujeta, entre otras cuestiones, a la concreción de aquellos principios y valores que subyacen a la función administrativa, de una parte, y los propios de la Constitución Económica, de otro tanto, como recién ha sido reiterado por esta Sección en asunto de similar naturaleza al aquí tratado. Con otras palabras, la Sala tiene averiguado que el poder de regulación otorgado a Colombia Compra Eficiente no es ejercicio de potestad reglamentaria constitucional, en los términos expuestos”</w:t>
      </w:r>
      <w:r w:rsidRPr="0039647D">
        <w:rPr>
          <w:rFonts w:ascii="Verdana" w:eastAsia="Times New Roman" w:hAnsi="Verdana" w:cs="Arial"/>
          <w:sz w:val="21"/>
          <w:szCs w:val="21"/>
          <w:vertAlign w:val="superscript"/>
          <w:lang w:eastAsia="es-ES"/>
        </w:rPr>
        <w:footnoteReference w:id="27"/>
      </w:r>
      <w:r w:rsidRPr="0039647D">
        <w:rPr>
          <w:rFonts w:ascii="Verdana" w:eastAsia="Times New Roman" w:hAnsi="Verdana" w:cs="Arial"/>
          <w:sz w:val="21"/>
          <w:szCs w:val="21"/>
          <w:lang w:eastAsia="es-ES"/>
        </w:rPr>
        <w:t>.</w:t>
      </w:r>
    </w:p>
    <w:p w14:paraId="6BCB151F" w14:textId="77777777" w:rsidR="0039647D" w:rsidRPr="0039647D" w:rsidRDefault="0039647D" w:rsidP="0039647D">
      <w:pPr>
        <w:spacing w:after="0" w:line="240" w:lineRule="auto"/>
        <w:ind w:left="709" w:right="709"/>
        <w:jc w:val="both"/>
        <w:rPr>
          <w:rFonts w:ascii="Verdana" w:eastAsia="Times New Roman" w:hAnsi="Verdana" w:cs="Arial"/>
          <w:lang w:eastAsia="es-ES"/>
        </w:rPr>
      </w:pPr>
    </w:p>
    <w:p w14:paraId="68F64497" w14:textId="77777777" w:rsidR="0039647D" w:rsidRPr="0039647D" w:rsidRDefault="0039647D" w:rsidP="0039647D">
      <w:pPr>
        <w:tabs>
          <w:tab w:val="center" w:pos="4419"/>
          <w:tab w:val="right" w:pos="8838"/>
        </w:tabs>
        <w:spacing w:after="120" w:line="276" w:lineRule="auto"/>
        <w:ind w:firstLine="709"/>
        <w:jc w:val="both"/>
        <w:rPr>
          <w:rFonts w:ascii="Verdana" w:eastAsia="Times New Roman" w:hAnsi="Verdana" w:cs="Arial"/>
          <w:lang w:eastAsia="es-ES"/>
        </w:rPr>
      </w:pPr>
      <w:r w:rsidRPr="0039647D">
        <w:rPr>
          <w:rFonts w:ascii="Verdana" w:eastAsia="Times New Roman" w:hAnsi="Verdana" w:cs="Arial"/>
          <w:lang w:eastAsia="es-ES"/>
        </w:rPr>
        <w:t xml:space="preserve"> </w:t>
      </w:r>
      <w:r w:rsidRPr="0039647D">
        <w:rPr>
          <w:rFonts w:ascii="Verdana" w:eastAsia="Times New Roman" w:hAnsi="Verdana" w:cs="Arial"/>
          <w:lang w:eastAsia="es-MX"/>
        </w:rPr>
        <w:t xml:space="preserve">En la misma sentencia, el Consejo de Estado señaló la existencia de límites en el ejercicio de la facultad de regulación de las autoridades </w:t>
      </w:r>
      <w:r w:rsidRPr="0039647D">
        <w:rPr>
          <w:rFonts w:ascii="Verdana" w:eastAsia="Times New Roman" w:hAnsi="Verdana" w:cs="Arial"/>
          <w:lang w:eastAsia="es-MX"/>
        </w:rPr>
        <w:lastRenderedPageBreak/>
        <w:t>administrativas, las cuales se encaminan a concretar aspectos residuales y complementarios de la legislación general, sujeta en todo caso, a lo que dispongan los órdenes normativos de más alto rango, es decir, la Constitución y la ley. Esto en la medida que el ejercicio de esta facultad de regulación “en ningún caso implica el reconocimiento de una potestad autónoma y desligada de cualquier límite</w:t>
      </w:r>
      <w:r w:rsidRPr="0039647D">
        <w:rPr>
          <w:rFonts w:ascii="Verdana" w:eastAsia="MS Mincho" w:hAnsi="Verdana" w:cs="Arial"/>
          <w:vertAlign w:val="superscript"/>
          <w:lang w:eastAsia="es-ES"/>
        </w:rPr>
        <w:footnoteReference w:id="28"/>
      </w:r>
      <w:r w:rsidRPr="0039647D">
        <w:rPr>
          <w:rFonts w:ascii="Verdana" w:eastAsia="Times New Roman" w:hAnsi="Verdana" w:cs="Arial"/>
          <w:lang w:eastAsia="es-ES"/>
        </w:rPr>
        <w:t>.</w:t>
      </w:r>
    </w:p>
    <w:p w14:paraId="4AB23823" w14:textId="77777777" w:rsidR="0039647D" w:rsidRPr="0039647D" w:rsidRDefault="0039647D" w:rsidP="0039647D">
      <w:pPr>
        <w:tabs>
          <w:tab w:val="center" w:pos="4419"/>
          <w:tab w:val="right" w:pos="8838"/>
        </w:tabs>
        <w:spacing w:after="0" w:line="276" w:lineRule="auto"/>
        <w:ind w:firstLine="709"/>
        <w:jc w:val="both"/>
        <w:rPr>
          <w:rFonts w:ascii="Verdana" w:eastAsia="Times New Roman" w:hAnsi="Verdana" w:cs="Arial"/>
          <w:lang w:eastAsia="es-ES"/>
        </w:rPr>
      </w:pPr>
      <w:r w:rsidRPr="0039647D">
        <w:rPr>
          <w:rFonts w:ascii="Verdana" w:eastAsia="Times New Roman" w:hAnsi="Verdana" w:cs="Arial"/>
          <w:lang w:eastAsia="es-ES"/>
        </w:rPr>
        <w:t>Conviene reiterar que, conforme con lo manifestado por el Consejo de Estado</w:t>
      </w:r>
      <w:r w:rsidRPr="0039647D">
        <w:rPr>
          <w:rFonts w:ascii="Verdana" w:eastAsia="Times New Roman" w:hAnsi="Verdana" w:cs="Arial"/>
          <w:vertAlign w:val="superscript"/>
          <w:lang w:eastAsia="es-ES"/>
        </w:rPr>
        <w:footnoteReference w:id="29"/>
      </w:r>
      <w:r w:rsidRPr="0039647D">
        <w:rPr>
          <w:rFonts w:ascii="Verdana" w:eastAsia="Times New Roman" w:hAnsi="Verdana" w:cs="Arial"/>
          <w:lang w:eastAsia="es-ES"/>
        </w:rPr>
        <w:t>, la facultad que recae en la Agencia Nacional de Contratación Pública – Colombia Compra Eficiente para regular aspectos técnicos en el marco de las competencias que le fueron otorgadas por el Decreto Ley 4170 de 2011, como es el caso del desarrollo e implementación de documentos tipo, no implica modificar el esquema constitucional establecido para el ejercicio de la potestad reglamentaria en cabeza del Gobierno Nacional:</w:t>
      </w:r>
    </w:p>
    <w:p w14:paraId="3220640B" w14:textId="77777777" w:rsidR="0039647D" w:rsidRPr="0039647D" w:rsidRDefault="0039647D" w:rsidP="0039647D">
      <w:pPr>
        <w:tabs>
          <w:tab w:val="center" w:pos="4419"/>
          <w:tab w:val="right" w:pos="8838"/>
        </w:tabs>
        <w:spacing w:after="0" w:line="240" w:lineRule="auto"/>
        <w:jc w:val="both"/>
        <w:rPr>
          <w:rFonts w:ascii="Verdana" w:eastAsia="Times New Roman" w:hAnsi="Verdana" w:cs="Arial"/>
          <w:lang w:eastAsia="es-ES"/>
        </w:rPr>
      </w:pPr>
    </w:p>
    <w:p w14:paraId="1FAABEDC" w14:textId="77777777" w:rsidR="0039647D" w:rsidRPr="0039647D" w:rsidRDefault="0039647D" w:rsidP="0039647D">
      <w:pPr>
        <w:spacing w:after="0" w:line="240" w:lineRule="auto"/>
        <w:ind w:left="709" w:right="709"/>
        <w:jc w:val="both"/>
        <w:rPr>
          <w:rFonts w:ascii="Verdana" w:eastAsia="Times New Roman" w:hAnsi="Verdana" w:cs="Arial"/>
          <w:sz w:val="21"/>
          <w:szCs w:val="21"/>
          <w:lang w:eastAsia="es-ES"/>
        </w:rPr>
      </w:pPr>
      <w:r w:rsidRPr="0039647D">
        <w:rPr>
          <w:rFonts w:ascii="Verdana" w:eastAsia="Times New Roman" w:hAnsi="Verdana" w:cs="Arial"/>
          <w:sz w:val="21"/>
          <w:szCs w:val="21"/>
          <w:lang w:eastAsia="es-MX"/>
        </w:rPr>
        <w:t>“</w:t>
      </w:r>
      <w:r w:rsidRPr="0039647D">
        <w:rPr>
          <w:rFonts w:ascii="Verdana" w:eastAsia="Times New Roman" w:hAnsi="Verdana" w:cs="Arial"/>
          <w:sz w:val="21"/>
          <w:szCs w:val="21"/>
          <w:lang w:eastAsia="es-ES"/>
        </w:rPr>
        <w:t xml:space="preserve">(…) para la Sala resulta claro que con el Decreto-Ley 4170 de 2011 el legislador extraordinario no quiso modificar –como en efecto no lo hizo– el esquema de producción normativa establecido en la Constitución Política y, por lo mismo, las funciones asignadas a Colombia Compra Eficiente guardan una estricta lógica de jerarquía normativa respecto de las facultades reglamentarias reservadas al presidente de la República y, por supuesto, respecto de los lineamientos legislativos. No podría considerarse que con el Decreto-Ley mencionado se distribuyeron las competencias reglamentarias entre el presidente de la República y la nueva agencia, asignando a esta última todo aquello relativo a la contratación del Estado. Por el contrario, lo que resulta evidente es que </w:t>
      </w:r>
      <w:r w:rsidRPr="0039647D">
        <w:rPr>
          <w:rFonts w:ascii="Verdana" w:eastAsia="Times New Roman" w:hAnsi="Verdana" w:cs="Arial"/>
          <w:sz w:val="21"/>
          <w:szCs w:val="21"/>
          <w:u w:val="single"/>
          <w:lang w:eastAsia="es-ES"/>
        </w:rPr>
        <w:t>el presidente de la República cuenta ahora con una entidad especializada que lo apoya técnicamente</w:t>
      </w:r>
      <w:r w:rsidRPr="0039647D">
        <w:rPr>
          <w:rFonts w:ascii="Verdana" w:eastAsia="Times New Roman" w:hAnsi="Verdana" w:cs="Arial"/>
          <w:sz w:val="21"/>
          <w:szCs w:val="21"/>
          <w:lang w:eastAsia="es-ES"/>
        </w:rPr>
        <w:t xml:space="preserve"> tanto en la formulación de una política pública en materia de compras y contratación pública, </w:t>
      </w:r>
      <w:r w:rsidRPr="0039647D">
        <w:rPr>
          <w:rFonts w:ascii="Verdana" w:eastAsia="Times New Roman" w:hAnsi="Verdana" w:cs="Arial"/>
          <w:sz w:val="21"/>
          <w:szCs w:val="21"/>
          <w:u w:val="single"/>
          <w:lang w:eastAsia="es-ES"/>
        </w:rPr>
        <w:t>como en su labor de producción normativa, sin que por ello se desprenda de las normas pertinentes alguna suerte de escisión de las facultades</w:t>
      </w:r>
      <w:r w:rsidRPr="0039647D">
        <w:rPr>
          <w:rFonts w:ascii="Verdana" w:eastAsia="Times New Roman" w:hAnsi="Verdana" w:cs="Arial"/>
          <w:b/>
          <w:bCs/>
          <w:sz w:val="21"/>
          <w:szCs w:val="21"/>
          <w:lang w:eastAsia="es-ES"/>
        </w:rPr>
        <w:t>.</w:t>
      </w:r>
      <w:r w:rsidRPr="0039647D">
        <w:rPr>
          <w:rFonts w:ascii="Verdana" w:eastAsia="Times New Roman" w:hAnsi="Verdana" w:cs="Arial"/>
          <w:sz w:val="21"/>
          <w:szCs w:val="21"/>
          <w:lang w:eastAsia="es-ES"/>
        </w:rPr>
        <w:t xml:space="preserve"> Adicionalmente, las funciones asignadas a la Agencia, si bien pueden comportar una facultad de regulación de la actividad contractual pública, ella debe ser ejercida con sometimiento al esquema jerárquico normativo del sistema jurídico, por lo que deberá sujetarse, como consecuencia, a los dictados constitucionales, </w:t>
      </w:r>
      <w:r w:rsidRPr="0039647D">
        <w:rPr>
          <w:rFonts w:ascii="Verdana" w:eastAsia="Times New Roman" w:hAnsi="Verdana" w:cs="Arial"/>
          <w:sz w:val="21"/>
          <w:szCs w:val="21"/>
          <w:lang w:eastAsia="es-ES"/>
        </w:rPr>
        <w:lastRenderedPageBreak/>
        <w:t>legales y a la reglamentación expedida por el presidente de la República”</w:t>
      </w:r>
      <w:r w:rsidRPr="0039647D">
        <w:rPr>
          <w:rFonts w:ascii="Verdana" w:eastAsia="Times New Roman" w:hAnsi="Verdana" w:cs="Arial"/>
          <w:sz w:val="21"/>
          <w:szCs w:val="21"/>
          <w:vertAlign w:val="superscript"/>
          <w:lang w:eastAsia="es-ES"/>
        </w:rPr>
        <w:footnoteReference w:id="30"/>
      </w:r>
      <w:r w:rsidRPr="0039647D">
        <w:rPr>
          <w:rFonts w:ascii="Verdana" w:eastAsia="Times New Roman" w:hAnsi="Verdana" w:cs="Arial"/>
          <w:i/>
          <w:iCs/>
          <w:sz w:val="21"/>
          <w:szCs w:val="21"/>
          <w:lang w:eastAsia="es-ES"/>
        </w:rPr>
        <w:t>.</w:t>
      </w:r>
      <w:r w:rsidRPr="0039647D">
        <w:rPr>
          <w:rFonts w:ascii="Verdana" w:eastAsia="Times New Roman" w:hAnsi="Verdana" w:cs="Arial"/>
          <w:sz w:val="21"/>
          <w:szCs w:val="21"/>
          <w:lang w:eastAsia="es-ES"/>
        </w:rPr>
        <w:t xml:space="preserve"> (Subrayado fuera del texto) </w:t>
      </w:r>
    </w:p>
    <w:p w14:paraId="7468AE9F" w14:textId="77777777" w:rsidR="0039647D" w:rsidRPr="0039647D" w:rsidRDefault="0039647D" w:rsidP="0039647D">
      <w:pPr>
        <w:tabs>
          <w:tab w:val="center" w:pos="4419"/>
          <w:tab w:val="right" w:pos="8838"/>
        </w:tabs>
        <w:spacing w:after="0" w:line="240" w:lineRule="auto"/>
        <w:jc w:val="both"/>
        <w:rPr>
          <w:rFonts w:ascii="Verdana" w:eastAsia="Times New Roman" w:hAnsi="Verdana" w:cs="Arial"/>
          <w:lang w:eastAsia="es-ES"/>
        </w:rPr>
      </w:pPr>
    </w:p>
    <w:p w14:paraId="6F000C82" w14:textId="77777777" w:rsidR="0039647D" w:rsidRPr="0039647D" w:rsidRDefault="0039647D" w:rsidP="0039647D">
      <w:pPr>
        <w:tabs>
          <w:tab w:val="center" w:pos="4419"/>
          <w:tab w:val="right" w:pos="8838"/>
        </w:tabs>
        <w:spacing w:after="120" w:line="276" w:lineRule="auto"/>
        <w:ind w:firstLine="709"/>
        <w:jc w:val="both"/>
        <w:rPr>
          <w:rFonts w:ascii="Verdana" w:eastAsia="MS Mincho" w:hAnsi="Verdana" w:cs="Arial"/>
          <w:lang w:eastAsia="es-CO"/>
        </w:rPr>
      </w:pPr>
      <w:r w:rsidRPr="0039647D">
        <w:rPr>
          <w:rFonts w:ascii="Verdana" w:eastAsia="Times New Roman" w:hAnsi="Verdana" w:cs="Arial"/>
          <w:lang w:eastAsia="es-ES"/>
        </w:rPr>
        <w:t xml:space="preserve"> El anterior pronunciamiento fue proferido por parte del Consejo de Estado al estudiar la legalidad del artículo 159 del Decreto 1510 de 2013, respecto de la competencia de la Agencia Nacional de Contratación Pública - Colombia Compra Eficiente para el diseño e implementación de documentos estandarizados y especializados, dentro de los cuales se encuentran, entre otros, los documentos tipo. Al respecto, el Alto Tribunal consideró que esta competencia carecía de sustento normativo desde el punto de vista reglamentario por cuanto el artículo 2 de la Ley 1150 de 2007 confirió al Gobierno Nacional la facultad de fijar con fuerza vinculante, </w:t>
      </w:r>
      <w:r w:rsidRPr="0039647D">
        <w:rPr>
          <w:rFonts w:ascii="Verdana" w:eastAsia="MS Mincho" w:hAnsi="Verdana" w:cs="Arial"/>
          <w:lang w:eastAsia="es-CO"/>
        </w:rPr>
        <w:t>“</w:t>
      </w:r>
      <w:r w:rsidRPr="0039647D">
        <w:rPr>
          <w:rFonts w:ascii="Verdana" w:eastAsia="Times New Roman" w:hAnsi="Verdana" w:cs="Arial"/>
          <w:iCs/>
          <w:lang w:eastAsia="es-ES"/>
        </w:rPr>
        <w:t>las condiciones generales de los pliegos de condiciones y los contratos de las entidades estatales</w:t>
      </w:r>
      <w:r w:rsidRPr="0039647D">
        <w:rPr>
          <w:rFonts w:ascii="Verdana" w:eastAsia="MS Mincho" w:hAnsi="Verdana" w:cs="Arial"/>
          <w:lang w:eastAsia="es-CO"/>
        </w:rPr>
        <w:t>”</w:t>
      </w:r>
      <w:r w:rsidRPr="0039647D">
        <w:rPr>
          <w:rFonts w:ascii="Verdana" w:eastAsia="Times New Roman" w:hAnsi="Verdana" w:cs="Arial"/>
          <w:lang w:eastAsia="es-ES"/>
        </w:rPr>
        <w:t xml:space="preserve"> para la adquisición de bienes y servicios de características técnicas uniformes y de común utilización, sin hacer referencia a la adopción de otro tipo de contratos o modalidades. </w:t>
      </w:r>
    </w:p>
    <w:p w14:paraId="6FECD614" w14:textId="77777777" w:rsidR="0039647D" w:rsidRPr="0039647D" w:rsidRDefault="0039647D" w:rsidP="0039647D">
      <w:pPr>
        <w:tabs>
          <w:tab w:val="center" w:pos="4419"/>
          <w:tab w:val="right" w:pos="8838"/>
        </w:tabs>
        <w:spacing w:after="120" w:line="276" w:lineRule="auto"/>
        <w:ind w:firstLine="709"/>
        <w:jc w:val="both"/>
        <w:rPr>
          <w:rFonts w:ascii="Verdana" w:eastAsia="MS Mincho" w:hAnsi="Verdana" w:cs="Arial"/>
          <w:lang w:eastAsia="es-CO"/>
        </w:rPr>
      </w:pPr>
      <w:r w:rsidRPr="0039647D">
        <w:rPr>
          <w:rFonts w:ascii="Verdana" w:eastAsia="Times New Roman" w:hAnsi="Verdana" w:cs="Arial"/>
          <w:lang w:eastAsia="es-ES"/>
        </w:rPr>
        <w:t>De igual manera, aclaró que en el marco normativo en el cual fue expedido el Decreto 1510 de 2013 no se contaba con la facultad legal por parte de la Agencia Nacional de Contratación Pública - Colombia Compra Eficiente para el diseño e implementación de documentos estandarizados para ninguna modalidad de contratación con efectos obligatorios para las entidades públicas, salvo el evento señalado en el parágrafo 3 del artículo 2 de la Ley 1150 de 2007.  No obstante, la expedición de la presente resolución se fundamenta en el artículo 1 de la Ley 2022 de 2020 que brinda el sustento normativo para la adopción de los documentos tipo. Esto con el fin de que la Agencia, como entidad administrativa especializada, los desarrolle e implemente dentro de los límites establecidos en la ley citada acorde con las funciones, objeto y misión de la entidad.</w:t>
      </w:r>
    </w:p>
    <w:p w14:paraId="6BDDAB09" w14:textId="77777777" w:rsidR="0039647D" w:rsidRPr="0039647D" w:rsidRDefault="0039647D" w:rsidP="0039647D">
      <w:pPr>
        <w:tabs>
          <w:tab w:val="center" w:pos="4419"/>
          <w:tab w:val="right" w:pos="8838"/>
        </w:tabs>
        <w:spacing w:after="120" w:line="276" w:lineRule="auto"/>
        <w:ind w:firstLine="709"/>
        <w:jc w:val="both"/>
        <w:rPr>
          <w:rFonts w:ascii="Verdana" w:eastAsia="MS Mincho" w:hAnsi="Verdana" w:cs="Arial"/>
          <w:lang w:eastAsia="es-CO"/>
        </w:rPr>
      </w:pPr>
      <w:r w:rsidRPr="0039647D">
        <w:rPr>
          <w:rFonts w:ascii="Verdana" w:eastAsia="Times New Roman" w:hAnsi="Verdana" w:cs="Arial"/>
          <w:lang w:eastAsia="es-ES"/>
        </w:rPr>
        <w:t>Por lo tanto, a diferencia de lo establecido en el numeral 3 del artículo 159 del Decreto 1510 de 2013, esta reglamentación cuenta con un sustento jurídico suficiente, dado en el artículo 1 de la Ley 2022 de 2020 y permite a la Agencia Nacional de Contratación Pública – Colombia Compra Eficiente concretar y aterrizar la voluntad del legislador mediante el ejercicio de la potestad reglamentaria.</w:t>
      </w:r>
      <w:r w:rsidRPr="0039647D">
        <w:rPr>
          <w:rFonts w:ascii="Verdana" w:eastAsia="MS Mincho" w:hAnsi="Verdana" w:cs="Arial"/>
          <w:lang w:eastAsia="es-CO"/>
        </w:rPr>
        <w:t xml:space="preserve"> </w:t>
      </w:r>
    </w:p>
    <w:p w14:paraId="31F75628" w14:textId="77777777" w:rsidR="0039647D" w:rsidRPr="0039647D" w:rsidRDefault="0039647D" w:rsidP="0039647D">
      <w:pPr>
        <w:tabs>
          <w:tab w:val="center" w:pos="4419"/>
          <w:tab w:val="right" w:pos="8838"/>
        </w:tabs>
        <w:spacing w:after="120" w:line="276" w:lineRule="auto"/>
        <w:ind w:firstLine="709"/>
        <w:jc w:val="both"/>
        <w:rPr>
          <w:rFonts w:ascii="Verdana" w:eastAsia="MS Mincho" w:hAnsi="Verdana" w:cs="Arial"/>
          <w:lang w:eastAsia="es-CO"/>
        </w:rPr>
      </w:pPr>
      <w:r w:rsidRPr="0039647D">
        <w:rPr>
          <w:rFonts w:ascii="Verdana" w:eastAsia="Times New Roman" w:hAnsi="Verdana" w:cs="Arial"/>
          <w:lang w:eastAsia="es-ES"/>
        </w:rPr>
        <w:lastRenderedPageBreak/>
        <w:t xml:space="preserve">Mediante una interpretación sistemática de la normativa y jurisprudencia citada es posible concluir que esta Agencia tiene facultad de regulación de la actividad contractual pública, lo que implica la potestad para expedir normas de carácter técnico subordinadas a la Constitución y a la ley y que los documentos tipo son una manifestación de dicha potestad. En consecuencia, la Agencia Nacional de Contratación Pública – Colombia Compra Eficiente tiene la facultad de adoptar los documentos tipo, con fundamento en la potestad reglamentaria que le asignó el artículo 1º de la Ley 2022 de 2020. </w:t>
      </w:r>
    </w:p>
    <w:p w14:paraId="78B106EF" w14:textId="77777777" w:rsidR="0039647D" w:rsidRPr="0039647D" w:rsidRDefault="0039647D" w:rsidP="0039647D">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r w:rsidRPr="0039647D">
        <w:rPr>
          <w:rFonts w:ascii="Verdana" w:eastAsia="MS Mincho" w:hAnsi="Verdana" w:cs="Arial"/>
          <w:lang w:eastAsia="es-CO"/>
        </w:rPr>
        <w:t>I</w:t>
      </w:r>
      <w:r w:rsidRPr="0039647D">
        <w:rPr>
          <w:rFonts w:ascii="Verdana" w:eastAsia="Times New Roman" w:hAnsi="Verdana" w:cs="Arial"/>
          <w:lang w:eastAsia="es-ES"/>
        </w:rPr>
        <w:t>gualmente, en desarrollo de la función que recae en la Agencia Nacional de Contratación Pública – Colombia Compra Eficiente conforme al artículo 2º del Decreto Ley 4170 de 2011, la Agencia concretará la voluntad del legislador con la implementación, desarrollo, publicación, revisión y actualización de los documentos tipo, según el avance y aplicación que éstos vayan teniendo en los sectores en los cuales vienen siendo adoptados.</w:t>
      </w:r>
    </w:p>
    <w:p w14:paraId="3A63E6D3" w14:textId="77777777" w:rsidR="0039647D" w:rsidRPr="0039647D" w:rsidRDefault="0039647D" w:rsidP="0039647D">
      <w:pPr>
        <w:tabs>
          <w:tab w:val="center" w:pos="4419"/>
          <w:tab w:val="right" w:pos="8838"/>
        </w:tabs>
        <w:spacing w:after="0" w:line="240" w:lineRule="auto"/>
        <w:ind w:firstLine="709"/>
        <w:jc w:val="both"/>
        <w:rPr>
          <w:rFonts w:ascii="Verdana" w:eastAsia="Aptos" w:hAnsi="Verdana" w:cs="Times New Roman"/>
          <w:kern w:val="2"/>
          <w:sz w:val="24"/>
          <w:szCs w:val="24"/>
          <w14:ligatures w14:val="standardContextual"/>
        </w:rPr>
      </w:pPr>
    </w:p>
    <w:p w14:paraId="259B0AFD" w14:textId="77777777" w:rsidR="0039647D" w:rsidRPr="0039647D" w:rsidRDefault="0039647D" w:rsidP="0039647D">
      <w:pPr>
        <w:tabs>
          <w:tab w:val="center" w:pos="4419"/>
          <w:tab w:val="right" w:pos="8838"/>
        </w:tabs>
        <w:spacing w:after="0" w:line="276" w:lineRule="auto"/>
        <w:jc w:val="both"/>
        <w:rPr>
          <w:rFonts w:ascii="Verdana" w:eastAsia="Calibri" w:hAnsi="Verdana" w:cs="Arial"/>
          <w:color w:val="000000"/>
          <w:lang w:val="es-ES"/>
        </w:rPr>
      </w:pPr>
      <w:r w:rsidRPr="0039647D">
        <w:rPr>
          <w:rFonts w:ascii="Verdana" w:eastAsia="Aptos" w:hAnsi="Verdana" w:cs="Times New Roman"/>
          <w:kern w:val="2"/>
          <w:sz w:val="24"/>
          <w:szCs w:val="24"/>
          <w14:ligatures w14:val="standardContextual"/>
        </w:rPr>
        <w:t xml:space="preserve">iii. </w:t>
      </w:r>
      <w:r w:rsidRPr="0039647D">
        <w:rPr>
          <w:rFonts w:ascii="Verdana" w:eastAsia="Calibri" w:hAnsi="Verdana" w:cs="Arial"/>
          <w:color w:val="000000"/>
          <w:lang w:val="es-ES"/>
        </w:rPr>
        <w:t>Todas las resoluciones</w:t>
      </w:r>
      <w:r w:rsidRPr="0039647D">
        <w:rPr>
          <w:rFonts w:ascii="Verdana" w:eastAsia="Calibri" w:hAnsi="Verdana" w:cs="Arial"/>
          <w:color w:val="000000"/>
          <w:vertAlign w:val="superscript"/>
          <w:lang w:val="es-ES"/>
        </w:rPr>
        <w:footnoteReference w:id="31"/>
      </w:r>
      <w:r w:rsidRPr="0039647D">
        <w:rPr>
          <w:rFonts w:ascii="Verdana" w:eastAsia="Calibri" w:hAnsi="Verdana" w:cs="Arial"/>
          <w:color w:val="000000"/>
          <w:lang w:val="es-ES"/>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39647D">
        <w:rPr>
          <w:rFonts w:ascii="Verdana" w:eastAsia="Calibri" w:hAnsi="Verdana" w:cs="Arial"/>
          <w:i/>
          <w:iCs/>
          <w:color w:val="000000"/>
          <w:lang w:val="es-ES"/>
        </w:rPr>
        <w:t>Documentos del Proceso</w:t>
      </w:r>
      <w:r w:rsidRPr="0039647D">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480159B0" w14:textId="77777777" w:rsidR="0039647D" w:rsidRPr="0039647D" w:rsidRDefault="0039647D" w:rsidP="0039647D">
      <w:pPr>
        <w:spacing w:before="120" w:after="120" w:line="276" w:lineRule="auto"/>
        <w:ind w:firstLine="709"/>
        <w:jc w:val="both"/>
        <w:rPr>
          <w:rFonts w:ascii="Verdana" w:eastAsia="Calibri" w:hAnsi="Verdana" w:cs="Arial"/>
          <w:lang w:val="es-ES_tradnl"/>
        </w:rPr>
      </w:pPr>
      <w:r w:rsidRPr="0039647D">
        <w:rPr>
          <w:rFonts w:ascii="Verdana" w:eastAsia="Calibri" w:hAnsi="Verdana" w:cs="Arial"/>
          <w:lang w:val="es-ES_tradnl"/>
        </w:rPr>
        <w:t xml:space="preserve">El fundamento legal vigente de la regla de la inalterabilidad está en el artículo 1 de la Ley 2022 de 2020, según el cual “(…) serán de obligatorio cumplimiento en la actividad contractual de todas las entidades sometidas al </w:t>
      </w:r>
      <w:r w:rsidRPr="0039647D">
        <w:rPr>
          <w:rFonts w:ascii="Verdana" w:eastAsia="Calibri" w:hAnsi="Verdana" w:cs="Arial"/>
          <w:lang w:val="es-ES_tradnl"/>
        </w:rPr>
        <w:lastRenderedPageBreak/>
        <w:t xml:space="preserve">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 En esta línea, las entidades públicas deberán sujetarse de forma irrestricta a las reglas establecidas en los documentos tipo, dispuestas en las diferentes resoluciones expedidas por la Agencia, por lo que no pueden hacer excepciones bajo una supuesta discrecionalidad a estas reglas que son obligatorias. </w:t>
      </w:r>
    </w:p>
    <w:p w14:paraId="76DA7D3E" w14:textId="77777777" w:rsidR="0039647D" w:rsidRPr="0039647D" w:rsidRDefault="0039647D" w:rsidP="0039647D">
      <w:pPr>
        <w:spacing w:before="120" w:after="120" w:line="276" w:lineRule="auto"/>
        <w:ind w:firstLine="709"/>
        <w:jc w:val="both"/>
        <w:rPr>
          <w:rFonts w:ascii="Verdana" w:eastAsia="Calibri" w:hAnsi="Verdana" w:cs="Arial"/>
          <w:lang w:val="es-ES_tradnl"/>
        </w:rPr>
      </w:pPr>
      <w:r w:rsidRPr="0039647D">
        <w:rPr>
          <w:rFonts w:ascii="Verdana" w:eastAsia="Calibri" w:hAnsi="Verdana" w:cs="Arial"/>
          <w:lang w:val="es-ES_tradnl"/>
        </w:rPr>
        <w:t>La inalterabilidad de los documentos tipo es una manifestación en mayor grado de las potestades regladas, lo cual implica una reducción de la discrecionalidad de la Administración en el momento de tomar una decisión en el proceso de contratación</w:t>
      </w:r>
      <w:r w:rsidRPr="0039647D">
        <w:rPr>
          <w:rFonts w:ascii="Verdana" w:eastAsia="Calibri" w:hAnsi="Verdana" w:cs="Arial"/>
          <w:vertAlign w:val="superscript"/>
          <w:lang w:val="es-ES_tradnl"/>
        </w:rPr>
        <w:footnoteReference w:id="32"/>
      </w:r>
      <w:r w:rsidRPr="0039647D">
        <w:rPr>
          <w:rFonts w:ascii="Verdana" w:eastAsia="Calibri" w:hAnsi="Verdana" w:cs="Arial"/>
          <w:lang w:val="es-ES_tradnl"/>
        </w:rPr>
        <w:t xml:space="preserve">. Cada entidad pública sujeta a los documentos tipo deberá hacer una aplicación o constatación irrestricta de las reglas y condiciones dispuestas en estos, salvo que las mismas posibilitan la discrecionalidad en determinados aspectos. </w:t>
      </w:r>
    </w:p>
    <w:p w14:paraId="3703983A" w14:textId="77777777" w:rsidR="0039647D" w:rsidRPr="0039647D" w:rsidRDefault="0039647D" w:rsidP="0039647D">
      <w:pPr>
        <w:spacing w:before="120" w:after="120" w:line="276" w:lineRule="auto"/>
        <w:ind w:firstLine="709"/>
        <w:jc w:val="both"/>
        <w:rPr>
          <w:rFonts w:ascii="Verdana" w:eastAsia="Calibri" w:hAnsi="Verdana" w:cs="Arial"/>
          <w:lang w:val="es-ES"/>
        </w:rPr>
      </w:pPr>
      <w:r w:rsidRPr="0039647D">
        <w:rPr>
          <w:rFonts w:ascii="Verdana" w:eastAsia="Calibri" w:hAnsi="Verdana" w:cs="Arial"/>
          <w:lang w:val="es-ES"/>
        </w:rPr>
        <w:t xml:space="preserve">Además, las entidades estatales deben garantizar el </w:t>
      </w:r>
      <w:r w:rsidRPr="0039647D">
        <w:rPr>
          <w:rFonts w:ascii="Verdana" w:eastAsia="Calibri" w:hAnsi="Verdana" w:cs="Arial"/>
          <w:i/>
          <w:iCs/>
          <w:lang w:val="es-ES"/>
        </w:rPr>
        <w:t>principio de economía</w:t>
      </w:r>
      <w:r w:rsidRPr="0039647D">
        <w:rPr>
          <w:rFonts w:ascii="Verdana" w:eastAsia="Calibri" w:hAnsi="Verdana" w:cs="Arial"/>
          <w:lang w:val="es-ES"/>
        </w:rPr>
        <w:t>, del cual se desprende que no pueden exigir documentos o requisitos más allá de los que permitan la Constitución, la ley y los reglamentos. Este postulado ha sido recogido no solo en la contratación estatal</w:t>
      </w:r>
      <w:r w:rsidRPr="0039647D">
        <w:rPr>
          <w:rFonts w:ascii="Verdana" w:eastAsia="Calibri" w:hAnsi="Verdana" w:cs="Arial"/>
          <w:vertAlign w:val="superscript"/>
          <w:lang w:val="es-ES"/>
        </w:rPr>
        <w:footnoteReference w:id="33"/>
      </w:r>
      <w:r w:rsidRPr="0039647D">
        <w:rPr>
          <w:rFonts w:ascii="Verdana" w:eastAsia="Calibri" w:hAnsi="Verdana" w:cs="Arial"/>
          <w:lang w:val="es-ES"/>
        </w:rPr>
        <w:t xml:space="preserve"> sino además en </w:t>
      </w:r>
      <w:r w:rsidRPr="0039647D">
        <w:rPr>
          <w:rFonts w:ascii="Verdana" w:eastAsia="Calibri" w:hAnsi="Verdana" w:cs="Arial"/>
          <w:lang w:val="es-ES"/>
        </w:rPr>
        <w:lastRenderedPageBreak/>
        <w:t>la normativa antitrámites</w:t>
      </w:r>
      <w:r w:rsidRPr="0039647D">
        <w:rPr>
          <w:rFonts w:ascii="Verdana" w:eastAsia="Calibri" w:hAnsi="Verdana" w:cs="Arial"/>
          <w:vertAlign w:val="superscript"/>
          <w:lang w:val="es-ES"/>
        </w:rPr>
        <w:footnoteReference w:id="34"/>
      </w:r>
      <w:r w:rsidRPr="0039647D">
        <w:rPr>
          <w:rFonts w:ascii="Verdana" w:eastAsia="Calibri" w:hAnsi="Verdana" w:cs="Arial"/>
          <w:lang w:val="es-ES"/>
        </w:rPr>
        <w:t>; pues se inscribe dentro de la tendencia de simplificación y racionalización de los procedimientos administrativos. De ahí que cuando las autoridades solicitan la entrega de documentación innecesaria, desconocen el principio de economía.</w:t>
      </w:r>
    </w:p>
    <w:p w14:paraId="1FF3C7B5"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color w:val="000000"/>
          <w:lang w:val="es-ES"/>
        </w:rPr>
        <w:t>Otro aspecto sobre el principio que inalterabilidad que debe destacarse es que, sin mínimos inalterables, los documentos tipo, estándar o normalizados, sencillamente, perderían sus características. Bajo riesgo de señalar una obviedad, se debe decir que la definición del término estándar es “Que sirve como tipo, modelo, norma, patrón o referencia”</w:t>
      </w:r>
      <w:r w:rsidRPr="0039647D">
        <w:rPr>
          <w:rFonts w:ascii="Verdana" w:eastAsia="Calibri" w:hAnsi="Verdana" w:cs="Arial"/>
          <w:color w:val="000000"/>
          <w:vertAlign w:val="superscript"/>
          <w:lang w:val="es-ES"/>
        </w:rPr>
        <w:footnoteReference w:id="35"/>
      </w:r>
      <w:r w:rsidRPr="0039647D">
        <w:rPr>
          <w:rFonts w:ascii="Verdana" w:eastAsia="Calibri" w:hAnsi="Verdana" w:cs="Arial"/>
          <w:color w:val="000000"/>
          <w:lang w:val="es-ES"/>
        </w:rPr>
        <w:t xml:space="preserve">. Si las autoridades pudiesen agregar, eliminar o modificar todos y cada uno de los aspectos contenidos en los pliegos tipo, estos documentos, llanamente, no podrían ser llamados pliegos tipo. </w:t>
      </w:r>
    </w:p>
    <w:p w14:paraId="66412E0A"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color w:val="000000"/>
          <w:lang w:val="es-ES"/>
        </w:rPr>
        <w:t xml:space="preserve">De otra parte, a la luz de los objetivos perseguidos, si la normativa permitiera la alteración de todo el documento tipo, sería imposible verificar en la práctica las ventajas perseguidas por el legislador. Así, por ejemplo, si cada autoridad pudiese rediseñar por completo el documento, la transparencia del sistema de compras públicas no sería mayor con la introducción de la estandarización de documentos. De similar manera, bajo la hipótesis de trabajo referida, las entidades podrían modificar todo el contenido del pliego, retornando a una de las prácticas que se buscó eliminar: la elaboración de “pliegos sastre”, que eliminan la competencia. En ese orden, si se permite ilimitadamente introducir ajustes, las entidades estatales podrían reintroducir los sesgos </w:t>
      </w:r>
      <w:r w:rsidRPr="0039647D">
        <w:rPr>
          <w:rFonts w:ascii="Verdana" w:eastAsia="Calibri" w:hAnsi="Verdana" w:cs="Arial"/>
          <w:color w:val="000000"/>
          <w:lang w:val="es-ES"/>
        </w:rPr>
        <w:lastRenderedPageBreak/>
        <w:t xml:space="preserve">interpretativos incorrectos que se buscó erradicar con la introducción de la herramienta analizada. </w:t>
      </w:r>
    </w:p>
    <w:p w14:paraId="6D9013D1"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color w:val="000000"/>
          <w:lang w:val="es-ES"/>
        </w:rPr>
        <w:t>Con base en lo dicho, se observa con toda claridad la necesidad de que existan unos mínimos inalterables que permitan, de un lado, que los pliegos tipo sean propiamente tales y, del otro, que se garanticen los fines expresamente perseguidos por el legislador con su introducción al ordenamiento nacional.</w:t>
      </w:r>
    </w:p>
    <w:p w14:paraId="4B551F21" w14:textId="77777777" w:rsidR="0039647D" w:rsidRPr="0039647D" w:rsidRDefault="0039647D" w:rsidP="0039647D">
      <w:pPr>
        <w:spacing w:after="120" w:line="276" w:lineRule="auto"/>
        <w:ind w:firstLine="708"/>
        <w:jc w:val="both"/>
        <w:rPr>
          <w:rFonts w:ascii="Verdana" w:eastAsia="Calibri" w:hAnsi="Verdana" w:cs="Arial"/>
          <w:color w:val="000000"/>
          <w:lang w:val="es-ES"/>
        </w:rPr>
      </w:pPr>
      <w:r w:rsidRPr="0039647D">
        <w:rPr>
          <w:rFonts w:ascii="Verdana" w:eastAsia="Calibri" w:hAnsi="Verdana" w:cs="Arial"/>
          <w:lang w:val="es-MX"/>
        </w:rPr>
        <w:t xml:space="preserve">No obstante, la parte introductoria de los documentos base de los documentos tipo disponen que los aspectos incluidos en corchetes y resaltados en gris </w:t>
      </w:r>
      <w:r w:rsidRPr="0039647D">
        <w:rPr>
          <w:rFonts w:ascii="Verdana" w:eastAsia="Aptos" w:hAnsi="Verdana" w:cs="Arial"/>
        </w:rPr>
        <w:t>–[</w:t>
      </w:r>
      <w:r w:rsidRPr="0039647D">
        <w:rPr>
          <w:rFonts w:ascii="Verdana" w:eastAsia="Aptos" w:hAnsi="Verdana" w:cs="Arial"/>
          <w:highlight w:val="lightGray"/>
        </w:rPr>
        <w:t>texto de ejemplo</w:t>
      </w:r>
      <w:r w:rsidRPr="0039647D">
        <w:rPr>
          <w:rFonts w:ascii="Verdana" w:eastAsia="Aptos" w:hAnsi="Verdana" w:cs="Arial"/>
        </w:rPr>
        <w:t xml:space="preserve">]– </w:t>
      </w:r>
      <w:r w:rsidRPr="0039647D">
        <w:rPr>
          <w:rFonts w:ascii="Verdana" w:eastAsia="Calibri" w:hAnsi="Verdana" w:cs="Arial"/>
          <w:lang w:val="es-MX"/>
        </w:rPr>
        <w:t xml:space="preserve">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 los mismos documentos tipo. </w:t>
      </w:r>
    </w:p>
    <w:p w14:paraId="1B98058A" w14:textId="77777777" w:rsidR="0039647D" w:rsidRPr="0039647D" w:rsidRDefault="0039647D" w:rsidP="0039647D">
      <w:pPr>
        <w:spacing w:line="276" w:lineRule="auto"/>
        <w:ind w:firstLine="708"/>
        <w:jc w:val="both"/>
        <w:rPr>
          <w:rFonts w:ascii="Aptos" w:eastAsia="Aptos" w:hAnsi="Aptos" w:cs="Times New Roman"/>
          <w:kern w:val="2"/>
          <w:sz w:val="24"/>
          <w:szCs w:val="24"/>
          <w:lang w:val="es-MX"/>
          <w14:ligatures w14:val="standardContextual"/>
        </w:rPr>
      </w:pPr>
      <w:r w:rsidRPr="0039647D">
        <w:rPr>
          <w:rFonts w:ascii="Verdana" w:eastAsia="Calibri" w:hAnsi="Verdana" w:cs="Arial"/>
          <w:lang w:val="es-MX"/>
        </w:rPr>
        <w:t xml:space="preserve">Debe indicarse que, la regla de inalterabilidad que recae sobre los documentos tipo, también se encuentra consagrada de forma expresa en el documento base. Así, en el aparte sobre las normas de interpretación del pliego de condiciones, el literal I del numeral 1.17 del pliego tipo de los documentos tipo de licitación de obra pública de infraestructura de transporte dispone lo siguiente: </w:t>
      </w:r>
      <w:r w:rsidRPr="0039647D">
        <w:rPr>
          <w:rFonts w:ascii="Verdana" w:eastAsia="Calibri" w:hAnsi="Verdana" w:cs="Arial"/>
          <w:i/>
          <w:iCs/>
          <w:lang w:val="es-MX"/>
        </w:rPr>
        <w:t>“</w:t>
      </w:r>
      <w:r w:rsidRPr="0039647D">
        <w:rPr>
          <w:rFonts w:ascii="Verdana" w:eastAsia="Aptos" w:hAnsi="Verdana" w:cs="Times New Roman"/>
          <w:i/>
          <w:iCs/>
          <w:kern w:val="2"/>
          <w:lang w:val="es-MX"/>
          <w14:ligatures w14:val="standardContextual"/>
        </w:rPr>
        <w:t>Los Documentos Tipo son inalterables y no se podrán incluir o modificar los Anexos, Formatos y Formularios, ni exigir soportes o requisitos adicionales; salvo cuando se permita en forma expresa, es decir, en los aspectos incluidos en corchetes y resaltados en gris”.</w:t>
      </w:r>
      <w:r w:rsidRPr="0039647D">
        <w:rPr>
          <w:rFonts w:ascii="Aptos" w:eastAsia="Aptos" w:hAnsi="Aptos" w:cs="Times New Roman"/>
          <w:kern w:val="2"/>
          <w:sz w:val="24"/>
          <w:szCs w:val="24"/>
          <w:lang w:val="es-MX"/>
          <w14:ligatures w14:val="standardContextual"/>
        </w:rPr>
        <w:t xml:space="preserve"> </w:t>
      </w:r>
    </w:p>
    <w:p w14:paraId="32193CBA" w14:textId="77777777" w:rsidR="0039647D" w:rsidRPr="0039647D" w:rsidRDefault="0039647D" w:rsidP="0039647D">
      <w:pPr>
        <w:spacing w:before="120" w:after="120" w:line="276" w:lineRule="auto"/>
        <w:ind w:firstLine="709"/>
        <w:jc w:val="both"/>
        <w:rPr>
          <w:rFonts w:ascii="Verdana" w:eastAsia="Calibri" w:hAnsi="Verdana" w:cs="Arial"/>
          <w:bCs/>
          <w:lang w:val="es-MX"/>
        </w:rPr>
      </w:pPr>
      <w:r w:rsidRPr="0039647D">
        <w:rPr>
          <w:rFonts w:ascii="Verdana" w:eastAsia="Calibri" w:hAnsi="Verdana" w:cs="Arial"/>
          <w:bCs/>
          <w:lang w:val="es-MX"/>
        </w:rPr>
        <w:t>En suma, la regla general frente la aplicación de los documentos tipo es su inalterabilidad, y no podrán incluirse o modificarse en los documentos del proceso las condiciones habilitantes, los factores técnicos y económicos de escogencia y los sistemas de ponderación distintos a los señalados en los documentos tipo. En tal sentido, estos solo se podrán modificar respecto a aquellos contenidos que el mismo documento tipo lo permita.</w:t>
      </w:r>
    </w:p>
    <w:p w14:paraId="0D3B6AE3" w14:textId="77777777" w:rsidR="0039647D" w:rsidRPr="0039647D" w:rsidRDefault="0039647D" w:rsidP="0039647D">
      <w:pPr>
        <w:spacing w:before="120" w:after="120" w:line="276" w:lineRule="auto"/>
        <w:ind w:firstLine="709"/>
        <w:jc w:val="both"/>
        <w:rPr>
          <w:rFonts w:ascii="Verdana" w:eastAsia="Calibri" w:hAnsi="Verdana" w:cs="Arial"/>
          <w:bCs/>
          <w:lang w:val="es-MX"/>
        </w:rPr>
      </w:pPr>
      <w:r w:rsidRPr="0039647D">
        <w:rPr>
          <w:rFonts w:ascii="Verdana" w:eastAsia="Calibri" w:hAnsi="Verdana" w:cs="Arial"/>
          <w:bCs/>
          <w:lang w:val="es-MX"/>
        </w:rPr>
        <w:t xml:space="preserve">Esta regla de inalterabilidad </w:t>
      </w:r>
      <w:r w:rsidRPr="0039647D">
        <w:rPr>
          <w:rFonts w:ascii="Verdana" w:eastAsia="Calibri" w:hAnsi="Verdana" w:cs="Arial"/>
          <w:bCs/>
          <w:i/>
          <w:iCs/>
          <w:lang w:val="es-MX"/>
        </w:rPr>
        <w:t>también aplica a los formatos, formularios, anexos y matrices</w:t>
      </w:r>
      <w:r w:rsidRPr="0039647D">
        <w:rPr>
          <w:rFonts w:ascii="Verdana" w:eastAsia="Calibri" w:hAnsi="Verdana" w:cs="Arial"/>
          <w:bCs/>
          <w:lang w:val="es-MX"/>
        </w:rPr>
        <w:t xml:space="preserve"> implementados junto con el “Documento Base”, los cuales deben usarse en el procedimiento de contratación. Estos, al igual que el “Documento Base”, contienen apartes entre corchetes y resaltados en gris, los </w:t>
      </w:r>
      <w:r w:rsidRPr="0039647D">
        <w:rPr>
          <w:rFonts w:ascii="Verdana" w:eastAsia="Calibri" w:hAnsi="Verdana" w:cs="Arial"/>
          <w:bCs/>
          <w:lang w:val="es-MX"/>
        </w:rPr>
        <w:lastRenderedPageBreak/>
        <w:t xml:space="preserve">cuales deben ser diligenciados por la entidad, al igual que otros aspectos relativos a información que debe ser completada por los oferentes al hacer uso del formato. </w:t>
      </w:r>
    </w:p>
    <w:p w14:paraId="3B804C99" w14:textId="77777777" w:rsidR="0039647D" w:rsidRPr="0039647D" w:rsidRDefault="0039647D" w:rsidP="0039647D">
      <w:pPr>
        <w:spacing w:before="120" w:after="120" w:line="276" w:lineRule="auto"/>
        <w:ind w:firstLine="709"/>
        <w:jc w:val="both"/>
        <w:rPr>
          <w:rFonts w:ascii="Verdana" w:eastAsia="Calibri" w:hAnsi="Verdana" w:cs="Arial"/>
          <w:lang w:val="es-MX"/>
        </w:rPr>
      </w:pPr>
      <w:r w:rsidRPr="0039647D">
        <w:rPr>
          <w:rFonts w:ascii="Verdana" w:eastAsia="Calibri" w:hAnsi="Verdana" w:cs="Arial"/>
          <w:lang w:val="es-MX"/>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44076405" w14:textId="77777777" w:rsidR="0039647D" w:rsidRPr="0039647D" w:rsidRDefault="0039647D" w:rsidP="0039647D">
      <w:pPr>
        <w:spacing w:before="120" w:line="276" w:lineRule="auto"/>
        <w:ind w:firstLine="709"/>
        <w:jc w:val="both"/>
        <w:rPr>
          <w:rFonts w:ascii="Verdana" w:eastAsia="Aptos" w:hAnsi="Verdana" w:cs="Arial"/>
        </w:rPr>
      </w:pPr>
      <w:r w:rsidRPr="0039647D">
        <w:rPr>
          <w:rFonts w:ascii="Verdana" w:eastAsia="Aptos" w:hAnsi="Verdana" w:cs="Arial"/>
        </w:rPr>
        <w:t xml:space="preserve">En relación con el principio constitucional </w:t>
      </w:r>
      <w:r w:rsidRPr="0039647D">
        <w:rPr>
          <w:rFonts w:ascii="Verdana" w:eastAsia="Aptos" w:hAnsi="Verdana" w:cs="Arial"/>
          <w:i/>
          <w:iCs/>
        </w:rPr>
        <w:t>sub examine</w:t>
      </w:r>
      <w:r w:rsidRPr="0039647D">
        <w:rPr>
          <w:rFonts w:ascii="Verdana" w:eastAsia="Aptos" w:hAnsi="Verdana" w:cs="Arial"/>
        </w:rPr>
        <w:t>, la Corte Constitucional explica que “(…) por disposición del artículo 228 Superior, las formas no deben convertirse en un obstáculo para la efectividad del derecho sustancial, sino que deben propender por su realización. Es decir, que las normas procesales son un medio para lograr la efectividad de los derechos subjetivos y no fines en sí mismas”</w:t>
      </w:r>
      <w:r w:rsidRPr="0039647D">
        <w:rPr>
          <w:rFonts w:ascii="Verdana" w:eastAsia="Aptos" w:hAnsi="Verdana" w:cs="Arial"/>
          <w:vertAlign w:val="superscript"/>
        </w:rPr>
        <w:footnoteReference w:id="36"/>
      </w:r>
      <w:r w:rsidRPr="0039647D">
        <w:rPr>
          <w:rFonts w:ascii="Verdana" w:eastAsia="Aptos" w:hAnsi="Verdana" w:cs="Arial"/>
        </w:rPr>
        <w:t xml:space="preserve">. </w:t>
      </w:r>
    </w:p>
    <w:p w14:paraId="6A94F6DF" w14:textId="77777777" w:rsidR="0039647D" w:rsidRPr="0039647D" w:rsidRDefault="0039647D" w:rsidP="0039647D">
      <w:pPr>
        <w:spacing w:after="0" w:line="276" w:lineRule="auto"/>
        <w:ind w:firstLine="709"/>
        <w:jc w:val="both"/>
        <w:rPr>
          <w:rFonts w:ascii="Verdana" w:eastAsia="Calibri" w:hAnsi="Verdana" w:cs="Arial"/>
          <w:lang w:val="es-MX"/>
        </w:rPr>
      </w:pPr>
      <w:r w:rsidRPr="0039647D">
        <w:rPr>
          <w:rFonts w:ascii="Verdana" w:eastAsia="Calibri" w:hAnsi="Verdana" w:cs="Arial"/>
          <w:lang w:val="es-MX"/>
        </w:rPr>
        <w:t>El carácter inalterable de los documentos tipo no puede, por tanto, hacerse extensivo a los aspectos meramente formales 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 es decir, no afectan su contenido esencial y, mucho menos, las obligaciones, deberes y derechos que se derivan para las partes contratantes.</w:t>
      </w:r>
    </w:p>
    <w:p w14:paraId="6FCFA7CB" w14:textId="77777777" w:rsidR="0039647D" w:rsidRPr="0039647D" w:rsidRDefault="0039647D" w:rsidP="0039647D">
      <w:pPr>
        <w:widowControl w:val="0"/>
        <w:autoSpaceDE w:val="0"/>
        <w:autoSpaceDN w:val="0"/>
        <w:spacing w:after="0" w:line="276" w:lineRule="auto"/>
        <w:jc w:val="both"/>
        <w:rPr>
          <w:rFonts w:ascii="Verdana" w:eastAsia="Aptos" w:hAnsi="Verdana" w:cs="Times New Roman"/>
          <w:kern w:val="2"/>
          <w:sz w:val="24"/>
          <w:szCs w:val="24"/>
          <w14:ligatures w14:val="standardContextual"/>
        </w:rPr>
      </w:pPr>
    </w:p>
    <w:p w14:paraId="0C650E56" w14:textId="77777777" w:rsidR="0039647D" w:rsidRPr="0039647D" w:rsidRDefault="0039647D" w:rsidP="0039647D">
      <w:pPr>
        <w:widowControl w:val="0"/>
        <w:autoSpaceDE w:val="0"/>
        <w:autoSpaceDN w:val="0"/>
        <w:spacing w:after="120" w:line="276" w:lineRule="auto"/>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iv. De acuerdo con la memoria justificativa del Decreto 287 del 19 de marzo de 2026</w:t>
      </w:r>
      <w:r w:rsidRPr="0039647D">
        <w:rPr>
          <w:rFonts w:ascii="Verdana" w:eastAsia="Aptos" w:hAnsi="Verdana" w:cs="Times New Roman"/>
          <w:kern w:val="2"/>
          <w:vertAlign w:val="superscript"/>
          <w14:ligatures w14:val="standardContextual"/>
        </w:rPr>
        <w:footnoteReference w:id="37"/>
      </w:r>
      <w:r w:rsidRPr="0039647D">
        <w:rPr>
          <w:rFonts w:ascii="Verdana" w:eastAsia="Aptos" w:hAnsi="Verdana" w:cs="Times New Roman"/>
          <w:kern w:val="2"/>
          <w14:ligatures w14:val="standardContextual"/>
        </w:rPr>
        <w:t xml:space="preserve">, históricamente las Personas con Discapacidad han enfrentado mayores </w:t>
      </w:r>
      <w:r w:rsidRPr="0039647D">
        <w:rPr>
          <w:rFonts w:ascii="Verdana" w:eastAsia="Aptos" w:hAnsi="Verdana" w:cs="Times New Roman"/>
          <w:kern w:val="2"/>
          <w14:ligatures w14:val="standardContextual"/>
        </w:rPr>
        <w:lastRenderedPageBreak/>
        <w:t>tasas de desempleo y barreras de acceso al mercado. Aunque leyes previas como la Ley 1618 de 2013, ordenaban un sistema de preferencias para estas personas, la regulación anterior –el Decreto 392 de 2018–, se limitaba a medidas aisladas de puntaje que no garantizaban una participación equitativa desde el inicio de los procesos contractuales. Esto fue ratificado por el Consejo de Estado</w:t>
      </w:r>
      <w:r w:rsidRPr="0039647D">
        <w:rPr>
          <w:rFonts w:ascii="Verdana" w:eastAsia="Aptos" w:hAnsi="Verdana" w:cs="Times New Roman"/>
          <w:kern w:val="2"/>
          <w:vertAlign w:val="superscript"/>
          <w14:ligatures w14:val="standardContextual"/>
        </w:rPr>
        <w:footnoteReference w:id="38"/>
      </w:r>
      <w:r w:rsidRPr="0039647D">
        <w:rPr>
          <w:rFonts w:ascii="Verdana" w:eastAsia="Aptos" w:hAnsi="Verdana" w:cs="Times New Roman"/>
          <w:kern w:val="2"/>
          <w14:ligatures w14:val="standardContextual"/>
        </w:rPr>
        <w:t xml:space="preserve"> que mediante una acción de cumplimiento declaró el incumplimiento del deber de reglamentar integralmente el artículo 13 de la Ley 1618 de 2013 y ordenó al Gobierno Nacional expedir la regulación necesaria para hacer efectivo el sistema de preferencias en favor de las personas con discapacidad, sus emprendimientos y empresas que las contratan.</w:t>
      </w:r>
    </w:p>
    <w:p w14:paraId="1BE3A8D3"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En este sentido, la parte considerativa del Decreto 287 de 2026, indica que la Ley Estatutaria 1618 del 2013 establece un conjunto de medidas en favor de las personas con discapacidad, “(…) dentro de las que se destacan las contenidas en el numeral 1, que establece el deber del Gobierno Nacional de reglamentar una puntuación adicional en procesos de licitación pública, concurso de méritos y contratación directa para i) las empresas que tengan personas con discapacidad y para ii) las empresas de personas con discapacidad, familiares y tutores, así como también la contenida en el numeral 7, que demanda del Gobierno Nacional reglamentar la implementación de un sistema de preferencias en favor de empleadores de personas con discapacidad aplicable a procesos de selección y celebración de contratos; y la consagrada en el numeral 8, que demanda de los gobiernos nacional, departamentales, distritales y municipales fijar mediante decreto reglamentario la implementación de un sistema de preferencias en favor de las personas con discapacidad aplicable a procesos de selección de contratistas (…)”. </w:t>
      </w:r>
    </w:p>
    <w:p w14:paraId="07D0673F"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En virtud de lo exigido por los numerales uno (1), siete (7) y ocho (8) del artículo 13 de la Ley Estatutaria 1618 del 2013, fue expedido el Decreto 392 del 26 de febrero de 2018</w:t>
      </w:r>
      <w:r w:rsidRPr="0039647D">
        <w:rPr>
          <w:rFonts w:ascii="Verdana" w:eastAsia="Aptos" w:hAnsi="Verdana" w:cs="Times New Roman"/>
          <w:kern w:val="2"/>
          <w:vertAlign w:val="superscript"/>
          <w14:ligatures w14:val="standardContextual"/>
        </w:rPr>
        <w:footnoteReference w:id="39"/>
      </w:r>
      <w:r w:rsidRPr="0039647D">
        <w:rPr>
          <w:rFonts w:ascii="Verdana" w:eastAsia="Aptos" w:hAnsi="Verdana" w:cs="Times New Roman"/>
          <w:kern w:val="2"/>
          <w14:ligatures w14:val="standardContextual"/>
        </w:rPr>
        <w:t xml:space="preserve">, mediante el cual se adicionan los artículos 2.2.1.2.4.2.6., 2.2.1.2.4.2.7. y 2.2.1.2.4.2.8. al Decreto 1082 de 2015. El primero de estos artículos, reglamenta parcialmente el numeral 1 del artículo 13 de la Ley Estatutaria 1618 del 2013, estableciendo que, las entidades estatales </w:t>
      </w:r>
      <w:r w:rsidRPr="0039647D">
        <w:rPr>
          <w:rFonts w:ascii="Verdana" w:eastAsia="Aptos" w:hAnsi="Verdana" w:cs="Times New Roman"/>
          <w:kern w:val="2"/>
          <w14:ligatures w14:val="standardContextual"/>
        </w:rPr>
        <w:lastRenderedPageBreak/>
        <w:t>deberán otorgar el uno por ciento (1 %) del total de los puntos establecidos en el pliego de condiciones en los procesos de licitación pública y concurso de méritos, a los proponentes que acrediten la vinculación de trabajadores con discapacidad en su planta de personal. Sin embargo, de acuerdo con la parte considerativa del Decreto 287 de 2026 esta regulación favorece “(…) única y exclusivamente a las empresas que vinculan personas con discapacidad en su planta de personal, omitiendo el favorecimiento que debía reglamentarse en favor de las empresas de personas con discapacidad, familiares y tutores, tal y como lo dispuso el numeral 1 de la norma referida”.</w:t>
      </w:r>
    </w:p>
    <w:p w14:paraId="61157F0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Por su parte, el artículo 2.2.1.2.4.2.8. del Decreto 1082 de 2015, de acuerdo con su literalidad, reglamenta los numerales 7 y 8 del artículo 13 de la Ley Estatutaria 1618 del 2013, en la medida en que establece los sistemas de preferencias a los que hacen referencia dichos numerales, pero los reduce a la aplicación de la metodología de desempate consagrada en el artículo 2.2.1.2.4.2.8. de ese mismo Decreto. No obstante, de acuerdo con la parte motiva del Decreto 287 de 2026 “(…) se omite el favorecimiento de las propuestas presentadas por los oferentes que sean personas con discapacidad, como lo exige el numeral 8 del artículo 13 de la Ley Estatutaria 1618 del 2013.</w:t>
      </w:r>
    </w:p>
    <w:p w14:paraId="10B710A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En consecuencia, de acuerdo con las consideraciones desarrolladas en el Decreto 287 de 2026, la Ley 1618 de 2013 carece de reglamentación concreta sobre los aspectos señalados, que no fueron cubiertos por las disposiciones que para el efecto desarrolló el Decreto 392 del 26 de febrero de 2018. Por lo tanto, mediante la expedición del mencionado decreto, en aplicación directa de la Constitución Política y para que exista una igualdad material para las personas con discapacidad, este pretende subsanar la falta de acciones afirmativas del Decreto 392 de 2018, modificando los artículos 2.2.1.2.4.2.6, 2.2.1.2.4.2.7. y 2.2.1.2.4.2.8. del Decreto 1082 de 2015. Entre otros, para efectos de este concepto, resulta pertinente referirse a las siguientes modificaciones: </w:t>
      </w:r>
    </w:p>
    <w:p w14:paraId="5A0699BA"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 i). El artículo 1, modifica el artículo 2.2.1.2.4.2.6. Del Decreto 1082 de 2015, incorporando la definición de emprendimientos y empresas de personas con discapacidad, con el propósito de adoptar medidas afirmativas que incentiven las personas en condición de discapacidad en el sistema de compras y contratación pública.</w:t>
      </w:r>
    </w:p>
    <w:p w14:paraId="4A44643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ii). El artículo 1, modifica el artículo 2.2.1.2.4.2.7. del Decreto 1082 de 2015, estableciendo un Sistema de Preferencias en Favor de las Personas con </w:t>
      </w:r>
      <w:r w:rsidRPr="0039647D">
        <w:rPr>
          <w:rFonts w:ascii="Verdana" w:eastAsia="Aptos" w:hAnsi="Verdana" w:cs="Times New Roman"/>
          <w:kern w:val="2"/>
          <w14:ligatures w14:val="standardContextual"/>
        </w:rPr>
        <w:lastRenderedPageBreak/>
        <w:t xml:space="preserve">Discapacidad en el Sistema de Compras y Contratación Pública, mediante medidas afirmativas, que deben adoptar las Entidades Estatales en sus Procesos de Contratación, para promover condiciones efectivas de igualdad para estas personas, corregir barreras estructurales de acceso y fomentar su participación como proponentes, contratistas o integrantes de la cadena de valor. </w:t>
      </w:r>
    </w:p>
    <w:p w14:paraId="3CC55E2F"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iii). El artículo 1, modifica el artículo 2.2.1.2.4.2.7.1. del Decreto 1082 de 2015, disponiendo que todas las entidades que manejen recursos públicos están obligadas a garantizar la accesibilidad para personas con discapacidad en sus procesos de contratación. </w:t>
      </w:r>
    </w:p>
    <w:p w14:paraId="7ABB007F"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Aptos" w:eastAsia="Aptos" w:hAnsi="Aptos" w:cs="Times New Roman"/>
          <w:kern w:val="2"/>
          <w:sz w:val="24"/>
          <w:szCs w:val="24"/>
          <w14:ligatures w14:val="standardContextual"/>
        </w:rPr>
        <w:t xml:space="preserve">iv). </w:t>
      </w:r>
      <w:r w:rsidRPr="0039647D">
        <w:rPr>
          <w:rFonts w:ascii="Verdana" w:eastAsia="Aptos" w:hAnsi="Verdana" w:cs="Times New Roman"/>
          <w:kern w:val="2"/>
          <w14:ligatures w14:val="standardContextual"/>
        </w:rPr>
        <w:t>El artículo 1, modifica el 2.2.1.2.4.2.7.2. del Decreto 1082 de 2015. De esta forma, se consagra que, en la planeación contractual, las Entidades Estatales deben implementar acciones concretas para promover la participación de emprendimientos y empresas de personas con discapacidad, asegurando igualdad de oportunidades en los procesos de contratación pública. Esto implica diseñar mecanismos que eliminen barreras de acceso y fomenten una participación más inclusiva desde las etapas iniciales del proceso.</w:t>
      </w:r>
    </w:p>
    <w:p w14:paraId="730EF6A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v). El artículo 1, modifica el artículo 2.2.1.2.4.2.7.3. del Decreto 1082 de 2015, incorporando criterios diferenciales en favor de los emprendimientos y empresas de personas con discapacidad en la habilitación, como parte del sistema de preferencias para esta población en la contratación pública que impone reglamentar la Ley 1618 de 2013. Este aspecto considerando que “(…) es necesario flexibilizar los requisitos habilitantes de los procesos de contratación para facilitar la participación de las personas con discapacidad, debido a que sin esto el puntaje que también regula el presente Decreto (287 de 2026) se vuelve inocuo porque no se podría aplicar si las personas con discapacidad no superan el primer filtro, que resulta de la aplicación de los requisitos habilitantes que pueden resultar un impedimento para la posterior evaluación de su oferta y que pueda tener efectividad el puntaje”</w:t>
      </w:r>
      <w:r w:rsidRPr="0039647D">
        <w:rPr>
          <w:rFonts w:ascii="Verdana" w:eastAsia="Aptos" w:hAnsi="Verdana" w:cs="Times New Roman"/>
          <w:kern w:val="2"/>
          <w:vertAlign w:val="superscript"/>
          <w14:ligatures w14:val="standardContextual"/>
        </w:rPr>
        <w:footnoteReference w:id="40"/>
      </w:r>
      <w:r w:rsidRPr="0039647D">
        <w:rPr>
          <w:rFonts w:ascii="Verdana" w:eastAsia="Aptos" w:hAnsi="Verdana" w:cs="Times New Roman"/>
          <w:kern w:val="2"/>
          <w14:ligatures w14:val="standardContextual"/>
        </w:rPr>
        <w:t xml:space="preserve">. </w:t>
      </w:r>
    </w:p>
    <w:p w14:paraId="201961E0"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vi) El artículo 1, modifica el artículo 2.1.2.4.2.7.4 del Decreto 1082 de 2015. Así, se establece un puntaje adicional en favor de los empleadores de personas con discapacidad y de los emprendimientos y empresas de personas con discapacidad del dos por ciento (2%) del valor total de los puntos establecidos en el pliego de condiciones o documentos equivalentes, para </w:t>
      </w:r>
      <w:r w:rsidRPr="0039647D">
        <w:rPr>
          <w:rFonts w:ascii="Verdana" w:eastAsia="Aptos" w:hAnsi="Verdana" w:cs="Times New Roman"/>
          <w:kern w:val="2"/>
          <w14:ligatures w14:val="standardContextual"/>
        </w:rPr>
        <w:lastRenderedPageBreak/>
        <w:t xml:space="preserve">promover la inclusión laboral de personas con discapacidad en los procedimientos de licitación pública y concurso de méritos que adelanten las entidades estatales, cuando se configuren las situaciones previstas en ese artículo. </w:t>
      </w:r>
    </w:p>
    <w:p w14:paraId="08CC95EF"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vii)El artículo 1, modifica el artículo 2.2.1.2.4.2.7.5. del Decreto 1082 de 2015, indicando condiciones especiales de sujeción en favor de personas con discapacidad, que deberán incluir las entidades estatales como obligación contractual en los documentos del proceso, previo análisis de oportunidad y conveniencia. </w:t>
      </w:r>
    </w:p>
    <w:p w14:paraId="2BA0B736"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viii) El artículo 1, modifica el artículo 2.2.1.2.4.2.7.6. del Decreto 1082 de 2015, incluyendo que, las Entidades Estatales propenderán por la contratación de personas con discapacidad mediante la celebración de contratos de prestación de servicios profesionales y/o de apoyo a la gestión, de acuerdo con su planeación contractual, disponibilidad presupuestal y las necesidades del servicio.</w:t>
      </w:r>
    </w:p>
    <w:p w14:paraId="4FA14DBC"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ix). El artículo 1, modifica el artículo 2.2.1.2.4.2.7.8 del Decreto 1082 de 2015. La modificación dispone que, la Agencia Nacional de Contratación Pública –Colombia Compra Eficiente garantizará la adopción permanente de las acciones necesarias para que las medidas señaladas en favor de las Personas con Discapacidad se incorporen a los documentos e instrumentos que genera. </w:t>
      </w:r>
    </w:p>
    <w:p w14:paraId="7A300B32" w14:textId="77777777" w:rsidR="0039647D" w:rsidRPr="0039647D" w:rsidRDefault="0039647D" w:rsidP="0039647D">
      <w:pPr>
        <w:widowControl w:val="0"/>
        <w:autoSpaceDE w:val="0"/>
        <w:autoSpaceDN w:val="0"/>
        <w:spacing w:after="12"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Finalmente, el artículo 2 del Decreto 287 de 2026 establece las vigencias y derogatorias, en los siguientes términos: “El presente Decreto rige a partir del día siguiente a su publicación, modifica los artículos 2.2.1.2.4.2.6., 2.2.1 .2.4.2.7. Y 2.2.1.2.4.2.8. de la Subsección 2 de la Sección 4 del Capítulo 2 del Título 1 de la Parte 2 del Libro 2 del Decreto 1082 de 2015, Único Reglamentario del Sector Administrativo de Planeación, y deroga todas las disposiciones que le sean contrarias”.</w:t>
      </w:r>
    </w:p>
    <w:p w14:paraId="202A7E91" w14:textId="77777777" w:rsidR="0039647D" w:rsidRPr="0039647D" w:rsidRDefault="0039647D" w:rsidP="0039647D">
      <w:pPr>
        <w:widowControl w:val="0"/>
        <w:autoSpaceDE w:val="0"/>
        <w:autoSpaceDN w:val="0"/>
        <w:spacing w:after="12" w:line="276" w:lineRule="auto"/>
        <w:ind w:firstLine="708"/>
        <w:jc w:val="both"/>
        <w:rPr>
          <w:rFonts w:ascii="Verdana" w:eastAsia="Aptos" w:hAnsi="Verdana" w:cs="Times New Roman"/>
          <w:kern w:val="2"/>
          <w14:ligatures w14:val="standardContextual"/>
        </w:rPr>
      </w:pPr>
    </w:p>
    <w:p w14:paraId="19464ED4" w14:textId="77777777" w:rsidR="0039647D" w:rsidRPr="0039647D" w:rsidRDefault="0039647D" w:rsidP="0039647D">
      <w:pPr>
        <w:widowControl w:val="0"/>
        <w:autoSpaceDE w:val="0"/>
        <w:autoSpaceDN w:val="0"/>
        <w:spacing w:after="120" w:line="276" w:lineRule="auto"/>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v. De acuerdo con el desarrollo del numeral precedente, </w:t>
      </w:r>
      <w:r w:rsidRPr="0039647D">
        <w:rPr>
          <w:rFonts w:ascii="Verdana" w:eastAsia="Aptos" w:hAnsi="Verdana" w:cs="AppleSystemUIFont"/>
          <w:lang w:val="es-MX"/>
          <w14:ligatures w14:val="standardContextual"/>
        </w:rPr>
        <w:t xml:space="preserve">la expedición del Decreto 287 de 2026 introduce un conjunto de prerrogativas dirigidas a garantizar la igualdad material de las personas con discapacidad, en desarrollo de la Ley 1618 de 2013 y del mandato constitucional de no discriminación, lo que impone la necesidad de una adecuación de los documentos tipo expedidos por la Agencia Nacional </w:t>
      </w:r>
      <w:r w:rsidRPr="0039647D">
        <w:rPr>
          <w:rFonts w:ascii="Verdana" w:eastAsia="Aptos" w:hAnsi="Verdana" w:cs="Times New Roman"/>
          <w:kern w:val="2"/>
          <w14:ligatures w14:val="standardContextual"/>
        </w:rPr>
        <w:t>de Contratación Pública – Colombia Compra Eficiente.</w:t>
      </w:r>
    </w:p>
    <w:p w14:paraId="394ADFCD"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lastRenderedPageBreak/>
        <w:t xml:space="preserve">Esta situación resulta particularmente relevante teniendo en cuenta que, los documentos tipo, al fijar reglas uniformes para las entidades estatales sometidas al estatuto general de contratación de la administración pública y otros sujetos obligados a su aplicación, pueden convertirse en barreras estructurales de acceso cuando no incorporan enfoques diferenciales, afectando la participación de poblaciones históricamente excluidas. </w:t>
      </w:r>
    </w:p>
    <w:p w14:paraId="08788B93"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Desde el punto de vista jurídico, uno de los aspectos que exige la modificación de los documentos tipo de licitación pública, selección abreviada de menor cuantía y concurso de méritos en los sectores en los que estos han sido adoptados, corresponde a los requisitos habilitantes, los cuales han sido tradicionalmente diseñados bajo parámetros homogéneos que no consideran las condiciones particulares de los emprendimientos y empresas de personas con discapacidad. Tal como se señaló, el Decreto 287 de 2026 reconoce que la rigidez de estos requisitos puede impedir su participación efectiva, al punto de tornar inocuas otras medidas como el otorgamiento de puntajes adicionales. En consecuencia, los documentos tipo en las modalidades señaladas y en los sectores implementados, deben incorporar “(…)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w:t>
      </w:r>
      <w:r w:rsidRPr="0039647D">
        <w:rPr>
          <w:rFonts w:ascii="Verdana" w:eastAsia="Aptos" w:hAnsi="Verdana" w:cs="Times New Roman"/>
          <w:kern w:val="2"/>
          <w:vertAlign w:val="superscript"/>
          <w14:ligatures w14:val="standardContextual"/>
        </w:rPr>
        <w:footnoteReference w:id="41"/>
      </w:r>
      <w:r w:rsidRPr="0039647D">
        <w:rPr>
          <w:rFonts w:ascii="Verdana" w:eastAsia="Aptos" w:hAnsi="Verdana" w:cs="Times New Roman"/>
          <w:kern w:val="2"/>
          <w14:ligatures w14:val="standardContextual"/>
        </w:rPr>
        <w:t xml:space="preserve">, de tal manera que se eliminen barreras de entrada injustificadas sin comprometer la idoneidad del </w:t>
      </w:r>
      <w:r w:rsidRPr="0039647D">
        <w:rPr>
          <w:rFonts w:ascii="Verdana" w:eastAsia="Aptos" w:hAnsi="Verdana" w:cs="Times New Roman"/>
          <w:kern w:val="2"/>
          <w14:ligatures w14:val="standardContextual"/>
        </w:rPr>
        <w:lastRenderedPageBreak/>
        <w:t>contratista, en aplicación del principio de igualdad material.</w:t>
      </w:r>
    </w:p>
    <w:p w14:paraId="138F408D"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Así, los documentos tipo de licitación pública, selección abreviada de menor cuantía y concurso de méritos deben ser modificados por la Agencia Nacional de Contratación Pública – Colombia Compra Eficiente para incluir la reciente modificación al artículo 2.2.1.2.4.2.7.3 del Decreto 1082 de 2015. Lo anterior implica que, además de los requisitos habilitantes diferenciales previstos para Mipymes y emprendimientos y empresas de mujeres, se incluyan los dispuestos en el Decreto 287 de 2026 en favor de los emprendimientos y empresas de personas con discapacidad.</w:t>
      </w:r>
    </w:p>
    <w:p w14:paraId="79AC12E6"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De igual forma, resulta necesario ajustar los factores de evaluación para incluir el puntaje adicional previsto en el Decreto 287 de 2026, en favor de los empleadores de personas con discapacidad y de los emprendimientos y empresas conformados por esta población. Esto, considerando que el artículo 2.2.1.2.4.2.7.4 del Decreto 1082 de 2015, modificado por el artículo 1 del Decreto 287 de 2026 establece que “(…) en los procedimientos de licitación pública y concurso de méritos, las Entidades Estatales otorgaran un puntaje adicional máximo del dos por cuento (2%) del valor total de los puntos establecidos en los Pliegos de condiciones o documentos equivalentes” cuando se configuren las situaciones que allí se establecen, pero que “(…) en todo caso el puntaje adicional total y único a otorgar por este criterio será del dos por ciento (2%), sin que sean acumulables a afecto de la evaluación de la oferta (…)”. </w:t>
      </w:r>
    </w:p>
    <w:p w14:paraId="595DEBCD"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Esta incorporación debe realizarse de manera estandarizada en los documentos tipo de licitación pública y concurso de méritos en los sectores en los que estos han sido adoptados por parte de la Agencia Nacional de Contratación Pública – Colombia Compra Eficiente, considerando que, actualmente en estos se señala como factor de ponderación un puntaje máximo de un (1) punto por la vinculación de personas con discapacidad, evento este que, con la modificación realizada por el Decreto 287 de 2026 debe ajustarse. </w:t>
      </w:r>
    </w:p>
    <w:p w14:paraId="032C070B"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De esta forma, la modificación del artículo 1 del Decreto 287 de 2026 al artículo 2.2.1.2.4.2.7.4 del Decreto 1082 de 2015, incide en el ajuste del puntaje que se otorga en los documentos tipo de licitación pública y concurso de méritos por la incorporación de personas con discapacidad, en donde además, se amplía el ámbito de aplicación a emprendimientos y empresas de personas con discapacidad. Además, la modificación señalada incide en el formato que </w:t>
      </w:r>
      <w:r w:rsidRPr="0039647D">
        <w:rPr>
          <w:rFonts w:ascii="Verdana" w:eastAsia="Aptos" w:hAnsi="Verdana" w:cs="Times New Roman"/>
          <w:kern w:val="2"/>
          <w14:ligatures w14:val="standardContextual"/>
        </w:rPr>
        <w:lastRenderedPageBreak/>
        <w:t xml:space="preserve">actualmente se encuentra previsto en los documentos tipo para acreditar esta condición, por lo que se debe definir con claridad los mecanismos de acreditación y verificación, con el fin de evitar discrecionalidades y garantizar la transparencia del proceso. </w:t>
      </w:r>
    </w:p>
    <w:p w14:paraId="4B16F63B"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Adicionalmente, en cuanto a la ejecución contractual, el artículo 2.2.1.2.4.2.7.5 del Decreto 1082 de 2015, modificado por el artículo 1 del Decreto 287 de 2026, prevé la incorporación de condiciones especiales de sujeción orientadas a promover la inclusión laboral y la participación de personas con discapacidad y/o emprendimientos y empresas de estas personas. En consecuencia, los documentos tipo deben contemplar cláusulas contractuales específicas que desarrollen estas obligaciones, previa evaluación de oportunidad y conveniencia, permitiendo que la política pública de inclusión se materialice durante la ejecución del contrato.</w:t>
      </w:r>
    </w:p>
    <w:p w14:paraId="4AF108FB" w14:textId="77777777" w:rsidR="0039647D" w:rsidRPr="0039647D" w:rsidRDefault="0039647D" w:rsidP="0039647D">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Conforme con lo anterior, la implementación efectiva del Decreto 287 de 2026 depende de la incorporación integral y coherente de sus disposiciones en los documentos tipo por parte de la Agencia Nacional de Contratación Pública – Colombia Compra Eficiente, de manera que las acciones afirmativas previstas se traduzcan en transformaciones reales en el sistema de contratación pública y en la garantía del derecho a la igualdad material de las personas con discapacidad.</w:t>
      </w:r>
    </w:p>
    <w:p w14:paraId="1BF263F8" w14:textId="77777777" w:rsidR="0039647D" w:rsidRPr="0039647D" w:rsidRDefault="0039647D" w:rsidP="0039647D">
      <w:pPr>
        <w:widowControl w:val="0"/>
        <w:autoSpaceDE w:val="0"/>
        <w:autoSpaceDN w:val="0"/>
        <w:spacing w:after="0" w:line="276" w:lineRule="auto"/>
        <w:ind w:firstLine="708"/>
        <w:jc w:val="both"/>
        <w:rPr>
          <w:rFonts w:ascii="Verdana" w:eastAsia="Aptos" w:hAnsi="Verdana" w:cs="Times New Roman"/>
          <w:kern w:val="2"/>
          <w14:ligatures w14:val="standardContextual"/>
        </w:rPr>
      </w:pPr>
    </w:p>
    <w:p w14:paraId="3CF1F251" w14:textId="77777777" w:rsidR="0039647D" w:rsidRPr="0039647D" w:rsidRDefault="0039647D" w:rsidP="0039647D">
      <w:pPr>
        <w:widowControl w:val="0"/>
        <w:autoSpaceDE w:val="0"/>
        <w:autoSpaceDN w:val="0"/>
        <w:spacing w:after="120" w:line="276" w:lineRule="auto"/>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vi. Los documentos tipo expedidos por la Agencia Nacional de Contratación Pública – Colombia Compra Eficiente constituyen instrumentos de obligatorio cumplimiento que estructuran de manera integral los procesos de selección contractual. Tal como se estableció en el punto i. de este concepto, esta naturaleza vinculante tiene fundamento directo en el artículo 1 de la Ley 2022 de 2020, en la que se establece que, los documentos tipo serán obligatorios para las entidades estatales sometidas al Estatuto General de Contratación de la Administración Pública – EGCAP.</w:t>
      </w:r>
    </w:p>
    <w:p w14:paraId="28E9E35F"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En este sentido, la Ley 2022 de 2020 no solo atribuye la competencia a la Agencia Nacional de Contratación Pública – Colombia Compra Eficiente para adoptar documentos tipo, sino que define expresamente su contenido, al disponer que en estos </w:t>
      </w:r>
      <w:r w:rsidRPr="0039647D">
        <w:rPr>
          <w:rFonts w:ascii="Verdana" w:eastAsia="Aptos" w:hAnsi="Verdana" w:cs="Times New Roman"/>
          <w:i/>
          <w:iCs/>
          <w:kern w:val="2"/>
          <w14:ligatures w14:val="standardContextual"/>
        </w:rPr>
        <w:t>“(…) se establecerán los requisitos habilitantes, factores técnicos, económicos y otros factores de escogencia, así como aquellos requisitos que, previa justificación, representen buenas prácticas contractuales”.</w:t>
      </w:r>
      <w:r w:rsidRPr="0039647D">
        <w:rPr>
          <w:rFonts w:ascii="Verdana" w:eastAsia="Aptos" w:hAnsi="Verdana" w:cs="Times New Roman"/>
          <w:kern w:val="2"/>
          <w14:ligatures w14:val="standardContextual"/>
        </w:rPr>
        <w:t xml:space="preserve"> De esta manera, el legislador concentró en la Agencia Nacional de Contratación </w:t>
      </w:r>
      <w:r w:rsidRPr="0039647D">
        <w:rPr>
          <w:rFonts w:ascii="Verdana" w:eastAsia="Aptos" w:hAnsi="Verdana" w:cs="Times New Roman"/>
          <w:kern w:val="2"/>
          <w14:ligatures w14:val="standardContextual"/>
        </w:rPr>
        <w:lastRenderedPageBreak/>
        <w:t>Pública – Colombia Compra Eficiente la definición de los elementos estructurales de los procesos de selección, con el propósito de garantizar la estandarización, la transparencia, la selección objetiva y la eficiencia en el uso de los recursos públicos. Esta competencia se ejerce mediante la expedición de actos administrativos de carácter general –resoluciones– a través de las cuales, la Agencia Nacional de Contratación Pública – Colombia Compra Eficiente adopta los documentos tipo.</w:t>
      </w:r>
    </w:p>
    <w:p w14:paraId="2FC4741A"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Conforme con el contenido de la Ley 2022 de 202, la jurisprudencia ha determinado que, la Agencia Nacional de Contratación Pública – Colombia Compra Eficiente ejerce una potestad regulatoria de naturaleza subordinada (secundum legem) de carácter técnico especializado, que le permite desarrollar, implementar y actualizar instrumentos como los documentos tipo, con el fin de concretar la voluntad del legislador en aspectos técnicos de la contratación pública. No obstante, dicha potestad debe ejercerse en armonía con la Constitución, la ley y los decretos reglamentarios, sin invadir competencias superiores ni desbordar los límites de la regulación técnica.</w:t>
      </w:r>
    </w:p>
    <w:p w14:paraId="1EA6D2F4"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Concretamente, la competencia prevista en el artículo 1 de la Ley 2022 de 2020, se ejerció mediante la expedición de la Resolución 160 de 2020 del 15 de septiembre de 2020 “Por la cual se adopta el procedimiento para implementar los documentos tipo y se define el sistema para su revisión”, así como con la expedición de múltiples resoluciones –señaladas en el numeral i de este concepto– mediante las cuales se adoptaron documentos tipo por parte de la Agencia Nacional de Contratación Pública – Colombia Compra Eficiente en diferentes modalidades de selección y sectores, en las cuales, además, se reitera el carácter obligatorio de estos documentos y se establecen reglas específicas para su aplicación. </w:t>
      </w:r>
    </w:p>
    <w:p w14:paraId="00F79563"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En este sentido, las resoluciones mediante las cuales la Agencia Nacional de Contratación Pública – Colombia Compra Eficiente adoptó documentos tipo, consolidan un sistema de contratación estandarizado –en las modalidades y sectores adoptados– en el que las entidades estatales obligadas a la aplicación deben sujetarse de manera estricta a las condiciones definidas en dichos instrumentos, particularmente en lo relacionado con requisitos habilitantes, factores de evaluación y sistemas de ponderación.</w:t>
      </w:r>
    </w:p>
    <w:p w14:paraId="352ABA07"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Lo dispuesto en el párrafo precedente, es consecuente con lo desarrollado en el punto tres (iii) de este concepto. En este se indicó que, sobre los </w:t>
      </w:r>
      <w:r w:rsidRPr="0039647D">
        <w:rPr>
          <w:rFonts w:ascii="Verdana" w:eastAsia="Aptos" w:hAnsi="Verdana" w:cs="Times New Roman"/>
          <w:kern w:val="2"/>
          <w14:ligatures w14:val="standardContextual"/>
        </w:rPr>
        <w:lastRenderedPageBreak/>
        <w:t>documentos tipo expedidos por la Agencia Nacional de Contratación Pública – Colombia Compra Eficiente, recae la regla de inalterabilidad, en virtud de la cual, las entidades estatales obligadas a su aplicación no pueden modificar ni adicionar los requisitos habilitantes, los factores técnicos y económicos de escogencia ni los criterios de evaluación previstos en ellos, salvo en aquellos aspectos expresamente habilitados entre corchetes y resaltados en gris. Esta regla encuentra sustento tanto en el mandato legal de obligatoriedad contenido en la Ley 2022 de 2020, como en su desarrollo reglamentario y en las disposiciones contenidas en los propios documentos tipo, y constituye una manifestación del carácter reglado de la actividad contractual, limitando la discrecionalidad de las entidades con el fin de evitar prácticas restrictivas de la competencia, como los denominados “pliegos sastre”, y garantizar la uniformidad del sistema.</w:t>
      </w:r>
    </w:p>
    <w:p w14:paraId="432F67D3"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Considerando lo anterior, si bien es cierto que, el Decreto 287 de 2026 establece que rige a partir del día siguiente a su publicación, lo que determina su vigencia inmediata, su aplicación en el ámbito de los procesos sometidos a documentos tipo debe interpretarse de manera sistemática y armónica con el régimen legal que regula dichos instrumentos, esto es, lo señalado en el artículo 1 de la Ley 2022 de 2020 y su desarrollo reglamentario a través de cada una de las Resoluciones expedidas por la Agencia Nacional de Contratación Pública – Colombia Compra Eficiente mediante las cuales, se han implementados documentos tipo. En efecto, dado que los documentos tipo contienen de manera obligatoria los requisitos habilitantes, los factores de evaluación y los criterios de escogencia, las entidades estatales no cuentan con competencia para modificarlos o complementarlos de manera autónoma con el fin de incorporar directamente las disposiciones del Decreto en mención.</w:t>
      </w:r>
    </w:p>
    <w:p w14:paraId="0CAEE15C"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Permitir que cada entidad introduzca ajustes a los documentos tipo para dar aplicación inmediata al Decreto 287 de 2026 implicaría desconocer la competencia exclusiva atribuida por el legislador a la Agencia Nacional de Contratación Pública – Colombia Compra Eficiente mediante la expedición de la Ley 2022 de 2020, así como la regla de inalterabilidad que rige estos documentos. Además, generaría una fragmentación del sistema de compra pública, afectando los principios de igualdad, transparencia y selección objetiva, en la medida en que procesos contractuales similares podrían regirse por condiciones distintas, dependiendo de la entidad que los adelante y la forma como incorporó las previsiones contenidas en el Decreto 287 de 2026 a los procesos de selección regidos por documentos tipo.</w:t>
      </w:r>
    </w:p>
    <w:p w14:paraId="2C083E2C"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lastRenderedPageBreak/>
        <w:t>Desde una perspectiva técnica, los documentos tipo constituyen un sistema integral y articulado, en el cual los requisitos habilitantes, los factores de evaluación y las condiciones contractuales se encuentran interrelacionados. En consecuencia, la incorporación aislada de modificaciones podría generar inconsistencias o desajustes en su aplicación, afectando la coherencia del proceso contractual. Por esta razón, la Ley 2022 de 2020 prevé que su adopción y actualización se realice mediante procedimientos estructurados, coordinados y participativos, a cargo de la Agencia Nacional de Contratación Pública – Colombia Compra Eficiente</w:t>
      </w:r>
      <w:r w:rsidRPr="0039647D">
        <w:rPr>
          <w:rFonts w:ascii="Verdana" w:eastAsia="Aptos" w:hAnsi="Verdana" w:cs="Times New Roman"/>
          <w:kern w:val="2"/>
          <w:vertAlign w:val="superscript"/>
          <w14:ligatures w14:val="standardContextual"/>
        </w:rPr>
        <w:footnoteReference w:id="42"/>
      </w:r>
      <w:r w:rsidRPr="0039647D">
        <w:rPr>
          <w:rFonts w:ascii="Verdana" w:eastAsia="Aptos" w:hAnsi="Verdana" w:cs="Times New Roman"/>
          <w:kern w:val="2"/>
          <w14:ligatures w14:val="standardContextual"/>
        </w:rPr>
        <w:t xml:space="preserve">, quien cuenta con la capacidad técnica para garantizar la adecuada integración de las nuevas disposiciones, como por ejemplo el Decreto 287 de 2026. </w:t>
      </w:r>
    </w:p>
    <w:p w14:paraId="5345D6DB"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Adicionalmente, el propio Decreto 287 de 2026 en el artículo 1 que modifica el artículo 2.2.1.2.4.2.7.8 al Decreto 1082 de 2015</w:t>
      </w:r>
      <w:r w:rsidRPr="0039647D">
        <w:rPr>
          <w:rFonts w:ascii="Verdana" w:eastAsia="Aptos" w:hAnsi="Verdana" w:cs="Times New Roman"/>
          <w:kern w:val="2"/>
          <w:vertAlign w:val="superscript"/>
          <w14:ligatures w14:val="standardContextual"/>
        </w:rPr>
        <w:footnoteReference w:id="43"/>
      </w:r>
      <w:r w:rsidRPr="0039647D">
        <w:rPr>
          <w:rFonts w:ascii="Verdana" w:eastAsia="Aptos" w:hAnsi="Verdana" w:cs="Times New Roman"/>
          <w:kern w:val="2"/>
          <w14:ligatures w14:val="standardContextual"/>
        </w:rPr>
        <w:t>, reconoce esta necesidad al disponer que la Agencia Nacional de Contratación Pública – Colombia Compra Eficiente “(…) garantizará la adopción permanente de las acciones necesarias para que las medidas señaladas en esta subsección se incorporen a los documentos e instrumentos que genera</w:t>
      </w:r>
      <w:r w:rsidRPr="0039647D">
        <w:rPr>
          <w:rFonts w:ascii="Aptos" w:eastAsia="Aptos" w:hAnsi="Aptos" w:cs="Times New Roman"/>
          <w:kern w:val="2"/>
          <w:sz w:val="24"/>
          <w:szCs w:val="24"/>
          <w14:ligatures w14:val="standardContextual"/>
        </w:rPr>
        <w:t>”</w:t>
      </w:r>
      <w:r w:rsidRPr="0039647D">
        <w:rPr>
          <w:rFonts w:ascii="Aptos" w:eastAsia="Aptos" w:hAnsi="Aptos" w:cs="Times New Roman"/>
          <w:kern w:val="2"/>
          <w:sz w:val="24"/>
          <w:szCs w:val="24"/>
          <w:vertAlign w:val="superscript"/>
          <w14:ligatures w14:val="standardContextual"/>
        </w:rPr>
        <w:footnoteReference w:id="44"/>
      </w:r>
      <w:r w:rsidRPr="0039647D">
        <w:rPr>
          <w:rFonts w:ascii="Verdana" w:eastAsia="Aptos" w:hAnsi="Verdana" w:cs="Times New Roman"/>
          <w:kern w:val="2"/>
          <w14:ligatures w14:val="standardContextual"/>
        </w:rPr>
        <w:t xml:space="preserve">, lo cual confirma que la operatividad de dichas disposiciones en el ámbito de los documentos tipo depende de su desarrollo por parte de esta entidad. </w:t>
      </w:r>
    </w:p>
    <w:p w14:paraId="3950643A"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Lo anterior es consecuente con lo dispuesto en el ABC del Decreto 0287 </w:t>
      </w:r>
      <w:r w:rsidRPr="0039647D">
        <w:rPr>
          <w:rFonts w:ascii="Verdana" w:eastAsia="Aptos" w:hAnsi="Verdana" w:cs="Times New Roman"/>
          <w:kern w:val="2"/>
          <w14:ligatures w14:val="standardContextual"/>
        </w:rPr>
        <w:lastRenderedPageBreak/>
        <w:t>de 2026 “Contratación pública inclusiva para personas con discapacidad”</w:t>
      </w:r>
      <w:r w:rsidRPr="0039647D">
        <w:rPr>
          <w:rFonts w:ascii="Verdana" w:eastAsia="Aptos" w:hAnsi="Verdana" w:cs="Times New Roman"/>
          <w:kern w:val="2"/>
          <w:vertAlign w:val="superscript"/>
          <w14:ligatures w14:val="standardContextual"/>
        </w:rPr>
        <w:footnoteReference w:id="45"/>
      </w:r>
      <w:r w:rsidRPr="0039647D">
        <w:rPr>
          <w:rFonts w:ascii="Verdana" w:eastAsia="Aptos" w:hAnsi="Verdana" w:cs="Times New Roman"/>
          <w:kern w:val="2"/>
          <w14:ligatures w14:val="standardContextual"/>
        </w:rPr>
        <w:t xml:space="preserve"> en donde se establece que “La aplicación del Decreto 0287 de 2026 en los documentos tipo está sujeta a que Colombia Compra Eficiente realice los ajustes correspondientes en estos instrumentos”, esto considerando que “(…) los documentos tipo requieren una adecuación técnica y normativa previa para incorporar las medidas del sistema de preferencias”. </w:t>
      </w:r>
    </w:p>
    <w:p w14:paraId="5C21E8A6"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En consecuencia, aunque de acuerdo con el artículo 2 del Decreto 287 de 2026, este “(…) rige a partir del día siguiente a su publicación (…)”, su aplicación en los procesos contracción regidos por documentos tipo se encuentra condicionada a su incorporación formal en dichos instrumentos por parte de la Agencia Nacional de Contratación Pública – Colombia Compra Eficiente. Así, solo a partir de dicha incorporación mediante la modificación a los documentos tipo, es posible garantizar una aplicación uniforme, coherente y jurídicamente válida de las medidas afirmativas previstas, sin desconocer la distribución de competencias establecida por el legislador ni la estructura normativa del sistema de compras y contratación pública.</w:t>
      </w:r>
    </w:p>
    <w:p w14:paraId="1BE71182"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 xml:space="preserve">En conclusión, la implementación de las disposiciones del Decreto 287 de 2026 en relación con los documentos tipo no puede realizarse de manera directa por las entidades estatales que obligatoriamente deben aplicarlos, sino que, requiere necesariamente su desarrollo e incorporación por parte de la Agencia Nacional de Contratación Pública – Colombia Compra Eficiente, en ejercicio de la competencia que le fue atribuida por la Ley 2022 de 2020, garantizando así la coherencia del sistema, el respeto por la jerarquía normativa y la efectividad de las medidas orientadas a la inclusión de las personas con discapacidad en el sistema de compras y contratación pública. </w:t>
      </w:r>
    </w:p>
    <w:p w14:paraId="0A975C9B" w14:textId="77777777" w:rsidR="0039647D" w:rsidRPr="0039647D" w:rsidRDefault="0039647D" w:rsidP="0039647D">
      <w:pPr>
        <w:widowControl w:val="0"/>
        <w:autoSpaceDE w:val="0"/>
        <w:autoSpaceDN w:val="0"/>
        <w:spacing w:after="12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t>Finalmente, debe indicarse que, la Agencia Nacional de Contratación Pública – Colombia Compra Eficiente se encuentra trabajando en la incorporación de los criterios establecidos en el Decreto 287 de 2026 en los documentos tipo, lo que implica agotar el procedimiento previsto en la Resolución 160 de 2020 que establece el sistema para su revisión de estos documentos y la adopción de las modificaciones a que haya lugar mediante acto administrativo motivado.</w:t>
      </w:r>
    </w:p>
    <w:p w14:paraId="6BC85882" w14:textId="77777777" w:rsidR="0039647D" w:rsidRPr="0039647D" w:rsidRDefault="0039647D" w:rsidP="0039647D">
      <w:pPr>
        <w:widowControl w:val="0"/>
        <w:autoSpaceDE w:val="0"/>
        <w:autoSpaceDN w:val="0"/>
        <w:spacing w:after="0" w:line="276" w:lineRule="auto"/>
        <w:ind w:firstLine="708"/>
        <w:jc w:val="both"/>
        <w:rPr>
          <w:rFonts w:ascii="Verdana" w:eastAsia="Aptos" w:hAnsi="Verdana" w:cs="Times New Roman"/>
          <w:kern w:val="2"/>
          <w14:ligatures w14:val="standardContextual"/>
        </w:rPr>
      </w:pPr>
      <w:r w:rsidRPr="0039647D">
        <w:rPr>
          <w:rFonts w:ascii="Verdana" w:eastAsia="Aptos" w:hAnsi="Verdana" w:cs="Times New Roman"/>
          <w:kern w:val="2"/>
          <w14:ligatures w14:val="standardContextual"/>
        </w:rPr>
        <w:lastRenderedPageBreak/>
        <w:t xml:space="preserve">Mediante el agotamiento de una serie de actuaciones que implican, el análisis del Decreto en comento desde un perspectiva técnica, financiera y jurídica, generar versiones previas para comentarios de ciudadanos, entidades y grupos de interés, respuesta a las observaciones y un informe global, entre otras etapas, esta Agencia adoptará las modificaciones a los documentos tipo para adecuarlos al contenido del Decreto 287 de 2026 que modifica el 1082 de 2015. Este trabajo ya fue iniciado por la Agencia Nacional de Contratación Pública – Colombia Compra Eficiente y finalizará con la adopción del acto administrativo que modifica los documentos tipo luego de surtir el procedimiento señalado. </w:t>
      </w:r>
    </w:p>
    <w:bookmarkEnd w:id="1"/>
    <w:p w14:paraId="7FF867E3" w14:textId="77777777" w:rsidR="0039647D" w:rsidRPr="0039647D" w:rsidRDefault="0039647D" w:rsidP="0039647D">
      <w:pPr>
        <w:tabs>
          <w:tab w:val="left" w:pos="142"/>
          <w:tab w:val="left" w:pos="284"/>
        </w:tabs>
        <w:spacing w:after="0" w:line="276" w:lineRule="auto"/>
        <w:jc w:val="both"/>
        <w:rPr>
          <w:rFonts w:ascii="Verdana" w:eastAsia="Century Gothic" w:hAnsi="Verdana" w:cs="Century Gothic"/>
          <w:lang w:val="es-ES_tradnl"/>
        </w:rPr>
      </w:pPr>
    </w:p>
    <w:p w14:paraId="77B6689F" w14:textId="77777777" w:rsidR="0039647D" w:rsidRPr="0039647D" w:rsidRDefault="0039647D" w:rsidP="0039647D">
      <w:pPr>
        <w:tabs>
          <w:tab w:val="left" w:pos="142"/>
          <w:tab w:val="left" w:pos="284"/>
        </w:tabs>
        <w:spacing w:after="0" w:line="276" w:lineRule="auto"/>
        <w:jc w:val="both"/>
        <w:rPr>
          <w:rFonts w:ascii="Verdana" w:eastAsia="Century Gothic" w:hAnsi="Verdana" w:cs="Century Gothic"/>
          <w:b/>
          <w:bCs/>
          <w:lang w:val="es-ES_tradnl"/>
        </w:rPr>
      </w:pPr>
      <w:r w:rsidRPr="0039647D">
        <w:rPr>
          <w:rFonts w:ascii="Verdana" w:eastAsia="Century Gothic" w:hAnsi="Verdana" w:cs="Century Gothic"/>
          <w:b/>
          <w:bCs/>
          <w:lang w:val="es-ES_tradnl"/>
        </w:rPr>
        <w:t>4. Referencias normativas, jurisprudenciales y otras fuentes:</w:t>
      </w:r>
    </w:p>
    <w:p w14:paraId="2BD89107" w14:textId="77777777" w:rsidR="0039647D" w:rsidRPr="0039647D" w:rsidRDefault="0039647D" w:rsidP="0039647D">
      <w:pPr>
        <w:spacing w:after="0"/>
        <w:ind w:left="-15840"/>
        <w:jc w:val="both"/>
        <w:rPr>
          <w:rFonts w:ascii="Verdana" w:eastAsia="Calibri" w:hAnsi="Verdana" w:cs="Arial"/>
          <w:b/>
          <w:bCs/>
        </w:rPr>
      </w:pPr>
      <w:r w:rsidRPr="0039647D">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9647D" w:rsidRPr="0039647D" w14:paraId="6356F165" w14:textId="77777777" w:rsidTr="00C80FF3">
        <w:trPr>
          <w:trHeight w:val="870"/>
        </w:trPr>
        <w:tc>
          <w:tcPr>
            <w:tcW w:w="8647" w:type="dxa"/>
            <w:tcBorders>
              <w:top w:val="dotted" w:sz="4" w:space="0" w:color="auto"/>
              <w:left w:val="dotted" w:sz="4" w:space="0" w:color="auto"/>
              <w:bottom w:val="dotted" w:sz="4" w:space="0" w:color="auto"/>
              <w:right w:val="dotted" w:sz="4" w:space="0" w:color="auto"/>
            </w:tcBorders>
          </w:tcPr>
          <w:p w14:paraId="2E40775C" w14:textId="77777777" w:rsidR="0039647D" w:rsidRPr="0039647D" w:rsidRDefault="0039647D" w:rsidP="0039647D">
            <w:pPr>
              <w:widowControl w:val="0"/>
              <w:autoSpaceDE w:val="0"/>
              <w:autoSpaceDN w:val="0"/>
              <w:spacing w:line="276" w:lineRule="auto"/>
              <w:contextualSpacing/>
              <w:jc w:val="both"/>
              <w:rPr>
                <w:rFonts w:ascii="Verdana" w:eastAsia="Aptos" w:hAnsi="Verdana" w:cs="Arial"/>
              </w:rPr>
            </w:pPr>
          </w:p>
          <w:p w14:paraId="7A2FD8A3"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lang w:val="it-IT"/>
              </w:rPr>
            </w:pPr>
            <w:r w:rsidRPr="0039647D">
              <w:rPr>
                <w:rFonts w:ascii="Verdana" w:eastAsia="Aptos" w:hAnsi="Verdana" w:cs="Arial"/>
                <w:lang w:val="pt-BR"/>
              </w:rPr>
              <w:t xml:space="preserve">Corte Constitucional, Sentencia C–1005 de 2008. </w:t>
            </w:r>
            <w:r w:rsidRPr="0039647D">
              <w:rPr>
                <w:rFonts w:ascii="Verdana" w:eastAsia="Aptos" w:hAnsi="Verdana" w:cs="Arial"/>
                <w:lang w:val="it-IT"/>
              </w:rPr>
              <w:t>M.P.: Humberto Antonio Sierra Porto.</w:t>
            </w:r>
          </w:p>
          <w:p w14:paraId="1896EBB7"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lang w:val="it-IT"/>
              </w:rPr>
              <w:t xml:space="preserve">Consejo de Estado, Sala de lo Contencioso Administrativo, Sección Primera. Consejero ponente: Juan Alberto Polo Figueroa. Bogotá D.C., 24 de agosto de 2000. </w:t>
            </w:r>
            <w:r w:rsidRPr="0039647D">
              <w:rPr>
                <w:rFonts w:ascii="Verdana" w:eastAsia="Aptos" w:hAnsi="Verdana" w:cs="Arial"/>
              </w:rPr>
              <w:t>Radicación número 6096.</w:t>
            </w:r>
          </w:p>
          <w:p w14:paraId="70DD80C0"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lang w:val="pt-BR"/>
              </w:rPr>
              <w:t xml:space="preserve">Corte Constitucional, Sentencia C-917 de 2002. </w:t>
            </w:r>
            <w:r w:rsidRPr="0039647D">
              <w:rPr>
                <w:rFonts w:ascii="Verdana" w:eastAsia="Aptos" w:hAnsi="Verdana" w:cs="Arial"/>
              </w:rPr>
              <w:t xml:space="preserve">M.P.: Marco Gerardo Monroy Cabra. </w:t>
            </w:r>
          </w:p>
          <w:p w14:paraId="7CA14B92"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rPr>
              <w:t>Consejo de Estado. Sección Tercera. Auto del 14 de agosto de 2017. Rad. 58820.</w:t>
            </w:r>
          </w:p>
          <w:p w14:paraId="52DD099D"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rPr>
              <w:t>Consejo de Estado. Sección Tercera. Sentencia del 16 de agosto de 2017. Rad.56166.</w:t>
            </w:r>
          </w:p>
          <w:p w14:paraId="04C6A355"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rPr>
              <w:t>Consejo de Estado. Sección Tercera. Sentencia de 11 de abril de 2019. Rad. 52.055.</w:t>
            </w:r>
          </w:p>
          <w:p w14:paraId="53749871"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rPr>
              <w:t>Consejo de Estado, Sección Quinta, del 12 de diciembre de 2024 (Rad. 05001-23-33-000-2024-00847-01, M.P. Omar Joaquín Barreto Suárez)</w:t>
            </w:r>
          </w:p>
          <w:p w14:paraId="3B091978" w14:textId="77777777" w:rsidR="0039647D" w:rsidRPr="0039647D" w:rsidRDefault="0039647D" w:rsidP="0039647D">
            <w:pPr>
              <w:widowControl w:val="0"/>
              <w:numPr>
                <w:ilvl w:val="0"/>
                <w:numId w:val="17"/>
              </w:numPr>
              <w:autoSpaceDE w:val="0"/>
              <w:autoSpaceDN w:val="0"/>
              <w:spacing w:line="276" w:lineRule="auto"/>
              <w:contextualSpacing/>
              <w:jc w:val="both"/>
              <w:rPr>
                <w:rFonts w:ascii="Verdana" w:eastAsia="Aptos" w:hAnsi="Verdana" w:cs="Arial"/>
              </w:rPr>
            </w:pPr>
            <w:r w:rsidRPr="0039647D">
              <w:rPr>
                <w:rFonts w:ascii="Verdana" w:eastAsia="Aptos" w:hAnsi="Verdana" w:cs="Arial"/>
              </w:rPr>
              <w:t>Ley 80 de 1993: artículo 2.</w:t>
            </w:r>
          </w:p>
          <w:p w14:paraId="6722D214" w14:textId="77777777" w:rsidR="0039647D" w:rsidRPr="0039647D" w:rsidRDefault="0039647D" w:rsidP="0039647D">
            <w:pPr>
              <w:widowControl w:val="0"/>
              <w:numPr>
                <w:ilvl w:val="0"/>
                <w:numId w:val="16"/>
              </w:numPr>
              <w:autoSpaceDE w:val="0"/>
              <w:autoSpaceDN w:val="0"/>
              <w:spacing w:line="276" w:lineRule="auto"/>
              <w:ind w:left="714" w:hanging="357"/>
              <w:jc w:val="both"/>
              <w:rPr>
                <w:rFonts w:ascii="Verdana" w:eastAsia="Calibri" w:hAnsi="Verdana" w:cs="Arial"/>
                <w:lang w:val="es-ES_tradnl"/>
              </w:rPr>
            </w:pPr>
            <w:r w:rsidRPr="0039647D">
              <w:rPr>
                <w:rFonts w:ascii="Verdana" w:eastAsia="Calibri" w:hAnsi="Verdana" w:cs="Arial"/>
                <w:lang w:val="es-ES_tradnl"/>
              </w:rPr>
              <w:t xml:space="preserve">Ley 2022 de 2020, artículo 1. </w:t>
            </w:r>
          </w:p>
          <w:p w14:paraId="3DE24007" w14:textId="77777777" w:rsidR="0039647D" w:rsidRPr="0039647D" w:rsidRDefault="0039647D" w:rsidP="0039647D">
            <w:pPr>
              <w:widowControl w:val="0"/>
              <w:numPr>
                <w:ilvl w:val="0"/>
                <w:numId w:val="16"/>
              </w:numPr>
              <w:autoSpaceDE w:val="0"/>
              <w:autoSpaceDN w:val="0"/>
              <w:spacing w:line="276" w:lineRule="auto"/>
              <w:contextualSpacing/>
              <w:jc w:val="both"/>
              <w:rPr>
                <w:rFonts w:ascii="Verdana" w:eastAsia="Calibri" w:hAnsi="Verdana" w:cs="Arial"/>
              </w:rPr>
            </w:pPr>
            <w:r w:rsidRPr="0039647D">
              <w:rPr>
                <w:rFonts w:ascii="Verdana" w:eastAsia="Calibri" w:hAnsi="Verdana" w:cs="Arial"/>
                <w:lang w:val="es-ES_tradnl"/>
              </w:rPr>
              <w:t xml:space="preserve">Documentos Tipo. Disponibles en: </w:t>
            </w:r>
            <w:hyperlink r:id="rId11" w:history="1">
              <w:r w:rsidRPr="0039647D">
                <w:rPr>
                  <w:rFonts w:ascii="Verdana" w:eastAsia="Calibri" w:hAnsi="Verdana" w:cs="Arial"/>
                  <w:color w:val="0000FF"/>
                  <w:u w:val="single"/>
                  <w:lang w:val="es-ES_tradnl"/>
                </w:rPr>
                <w:t>https://www.colombiacompra.gov.co/documentos-tipo/documentos-tipo</w:t>
              </w:r>
            </w:hyperlink>
            <w:r w:rsidRPr="0039647D">
              <w:rPr>
                <w:rFonts w:ascii="Verdana" w:eastAsia="Calibri" w:hAnsi="Verdana" w:cs="Arial"/>
                <w:lang w:val="es-ES_tradnl"/>
              </w:rPr>
              <w:t>.</w:t>
            </w:r>
          </w:p>
          <w:p w14:paraId="2BBF2290" w14:textId="77777777" w:rsidR="0039647D" w:rsidRPr="0039647D" w:rsidRDefault="0039647D" w:rsidP="0039647D">
            <w:pPr>
              <w:widowControl w:val="0"/>
              <w:numPr>
                <w:ilvl w:val="0"/>
                <w:numId w:val="16"/>
              </w:numPr>
              <w:autoSpaceDE w:val="0"/>
              <w:autoSpaceDN w:val="0"/>
              <w:spacing w:line="276" w:lineRule="auto"/>
              <w:contextualSpacing/>
              <w:jc w:val="both"/>
              <w:rPr>
                <w:rFonts w:ascii="Verdana" w:eastAsia="Calibri" w:hAnsi="Verdana" w:cs="Arial"/>
              </w:rPr>
            </w:pPr>
            <w:r w:rsidRPr="0039647D">
              <w:rPr>
                <w:rFonts w:ascii="Verdana" w:eastAsia="Aptos" w:hAnsi="Verdana" w:cs="Arial"/>
              </w:rPr>
              <w:t>Decreto Ley 4170 de 2011: artículo 1, artículo 11</w:t>
            </w:r>
          </w:p>
          <w:p w14:paraId="5E9DB5DE" w14:textId="77777777" w:rsidR="0039647D" w:rsidRPr="0039647D" w:rsidRDefault="0039647D" w:rsidP="0039647D">
            <w:pPr>
              <w:widowControl w:val="0"/>
              <w:numPr>
                <w:ilvl w:val="0"/>
                <w:numId w:val="16"/>
              </w:numPr>
              <w:autoSpaceDE w:val="0"/>
              <w:autoSpaceDN w:val="0"/>
              <w:spacing w:line="276" w:lineRule="auto"/>
              <w:contextualSpacing/>
              <w:jc w:val="both"/>
              <w:rPr>
                <w:rFonts w:ascii="Verdana" w:eastAsia="Calibri" w:hAnsi="Verdana" w:cs="Arial"/>
              </w:rPr>
            </w:pPr>
            <w:r w:rsidRPr="0039647D">
              <w:rPr>
                <w:rFonts w:ascii="Verdana" w:eastAsia="Calibri" w:hAnsi="Verdana" w:cs="Arial"/>
                <w:lang w:val="es-ES_tradnl"/>
              </w:rPr>
              <w:lastRenderedPageBreak/>
              <w:t>Decreto 287 de 2026: Artículo 1 y artículo 2.</w:t>
            </w:r>
          </w:p>
        </w:tc>
      </w:tr>
    </w:tbl>
    <w:p w14:paraId="1977912D" w14:textId="77777777" w:rsidR="0039647D" w:rsidRPr="0039647D" w:rsidRDefault="0039647D" w:rsidP="0039647D">
      <w:pPr>
        <w:tabs>
          <w:tab w:val="left" w:pos="142"/>
          <w:tab w:val="left" w:pos="284"/>
        </w:tabs>
        <w:spacing w:after="0" w:line="276" w:lineRule="auto"/>
        <w:jc w:val="both"/>
        <w:rPr>
          <w:rFonts w:ascii="Verdana" w:eastAsia="Calibri" w:hAnsi="Verdana" w:cs="Arial"/>
        </w:rPr>
      </w:pPr>
    </w:p>
    <w:p w14:paraId="1B092AE4" w14:textId="77777777" w:rsidR="0039647D" w:rsidRPr="0039647D" w:rsidRDefault="0039647D" w:rsidP="0039647D">
      <w:pPr>
        <w:tabs>
          <w:tab w:val="left" w:pos="142"/>
          <w:tab w:val="left" w:pos="284"/>
        </w:tabs>
        <w:spacing w:after="0" w:line="276" w:lineRule="auto"/>
        <w:jc w:val="both"/>
        <w:rPr>
          <w:rFonts w:ascii="Verdana" w:eastAsia="Century Gothic" w:hAnsi="Verdana" w:cs="Century Gothic"/>
          <w:b/>
          <w:bCs/>
          <w:lang w:val="es-ES"/>
        </w:rPr>
      </w:pPr>
      <w:r w:rsidRPr="0039647D">
        <w:rPr>
          <w:rFonts w:ascii="Verdana" w:eastAsia="Calibri" w:hAnsi="Verdana" w:cs="Arial"/>
          <w:b/>
          <w:bCs/>
        </w:rPr>
        <w:t>5</w:t>
      </w:r>
      <w:r w:rsidRPr="0039647D">
        <w:rPr>
          <w:rFonts w:ascii="Verdana" w:eastAsia="Calibri" w:hAnsi="Verdana" w:cs="Arial"/>
        </w:rPr>
        <w:t>.</w:t>
      </w:r>
      <w:r w:rsidRPr="0039647D">
        <w:rPr>
          <w:rFonts w:ascii="Verdana" w:eastAsia="Century Gothic" w:hAnsi="Verdana" w:cs="Century Gothic"/>
          <w:b/>
          <w:bCs/>
          <w:lang w:val="es-ES"/>
        </w:rPr>
        <w:t>Doctrina de la Agencia Nacional de Contratación Pública:</w:t>
      </w:r>
    </w:p>
    <w:p w14:paraId="49BF2181" w14:textId="77777777" w:rsidR="0039647D" w:rsidRPr="0039647D" w:rsidRDefault="0039647D" w:rsidP="0039647D">
      <w:pPr>
        <w:widowControl w:val="0"/>
        <w:autoSpaceDE w:val="0"/>
        <w:autoSpaceDN w:val="0"/>
        <w:spacing w:after="0" w:line="276" w:lineRule="auto"/>
        <w:jc w:val="both"/>
        <w:rPr>
          <w:rFonts w:ascii="Verdana" w:eastAsia="Calibri" w:hAnsi="Verdana" w:cs="Arial"/>
        </w:rPr>
      </w:pPr>
    </w:p>
    <w:p w14:paraId="44751FF0" w14:textId="77777777" w:rsidR="0039647D" w:rsidRPr="0039647D" w:rsidRDefault="0039647D" w:rsidP="0039647D">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39647D">
        <w:rPr>
          <w:rFonts w:ascii="Verdana" w:eastAsia="Calibri" w:hAnsi="Verdana" w:cs="Arial"/>
          <w:kern w:val="2"/>
          <w:shd w:val="clear" w:color="auto" w:fill="FFFFFF"/>
          <w14:ligatures w14:val="standardContextual"/>
        </w:rPr>
        <w:t>L</w:t>
      </w:r>
      <w:r w:rsidRPr="0039647D">
        <w:rPr>
          <w:rFonts w:ascii="Verdana" w:eastAsia="Calibri" w:hAnsi="Verdana" w:cs="Arial"/>
          <w:kern w:val="2"/>
          <w:shd w:val="clear" w:color="auto" w:fill="FFFFFF"/>
          <w:lang w:val="es-ES"/>
          <w14:ligatures w14:val="standardContextual"/>
        </w:rPr>
        <w:t>a Agencia Nacional de Contratación Pública – Colombia Compra Eficiente, se ha pronunciado sobre la regla de la inalterabilidad de los documentos tipo en los siguiente conceptos:C-058 del 8 de marzo de 2022, C-657 del 11 de octubre de 2022, C-051 del 28 de abril de 2023</w:t>
      </w:r>
      <w:r w:rsidRPr="0039647D">
        <w:rPr>
          <w:rFonts w:ascii="Verdana" w:eastAsia="Times New Roman" w:hAnsi="Verdana" w:cs="Arial"/>
          <w:kern w:val="2"/>
          <w:shd w:val="clear" w:color="auto" w:fill="FFFFFF"/>
          <w:lang w:val="es-ES"/>
          <w14:ligatures w14:val="standardContextual"/>
        </w:rPr>
        <w:t xml:space="preserve">, </w:t>
      </w:r>
      <w:r w:rsidRPr="0039647D">
        <w:rPr>
          <w:rFonts w:ascii="Verdana" w:eastAsia="Calibri" w:hAnsi="Verdana" w:cs="Arial"/>
          <w:kern w:val="2"/>
          <w:shd w:val="clear" w:color="auto" w:fill="FFFFFF"/>
          <w:lang w:val="es-ES"/>
          <w14:ligatures w14:val="standardContextual"/>
        </w:rPr>
        <w:t>C-513 del 7 de octubre de 2024, C-730 del 27 de noviembre de 2024, C-870 del 15 de diciembre de 2024, C-092 del 4 de marzo de 2025, C-110 del 7 de marzo de 2025, C-133 del 10 de marzo de 2025, C-241 del 14 de marzo de 2025, C-283 del 14 de abril de 2025, C-302 del 21 de abril de 2025, C-386 del 22 de abril de 2025, C-322 del 25 de abril de 2025, C-325 del 25 de abril de 2025, C-342 del 25 de abril de 2025, C-365 del 2 de mayo de 2025, C-382 del 6 de mayo de 2025, C497 del 5 de junio de 2025, C-522 del 9 de junio de 2025, C-562 del 19 de junio de 2025, C-582 del 25 de junio de 2025</w:t>
      </w:r>
      <w:r w:rsidRPr="0039647D">
        <w:rPr>
          <w:rFonts w:ascii="Verdana" w:eastAsia="Calibri" w:hAnsi="Verdana" w:cs="Arial"/>
          <w:shd w:val="clear" w:color="auto" w:fill="FFFFFF"/>
          <w:lang w:val="es-ES"/>
        </w:rPr>
        <w:t xml:space="preserve">, C-043 del 13 de febrero de 2026 y C-246 del 12 de marzo de 2026, entre otros. </w:t>
      </w:r>
    </w:p>
    <w:p w14:paraId="5C571E5D" w14:textId="77777777" w:rsidR="0039647D" w:rsidRPr="0039647D" w:rsidRDefault="0039647D" w:rsidP="0039647D">
      <w:pPr>
        <w:widowControl w:val="0"/>
        <w:autoSpaceDE w:val="0"/>
        <w:autoSpaceDN w:val="0"/>
        <w:spacing w:after="0" w:line="276" w:lineRule="auto"/>
        <w:jc w:val="both"/>
        <w:rPr>
          <w:rFonts w:ascii="Verdana" w:eastAsia="Times New Roman" w:hAnsi="Verdana" w:cs="Arial"/>
          <w:shd w:val="clear" w:color="auto" w:fill="FFFFFF"/>
          <w:lang w:val="es-ES"/>
        </w:rPr>
      </w:pPr>
    </w:p>
    <w:p w14:paraId="1534D05F" w14:textId="77777777" w:rsidR="0039647D" w:rsidRPr="0039647D" w:rsidRDefault="0039647D" w:rsidP="0039647D">
      <w:pPr>
        <w:widowControl w:val="0"/>
        <w:autoSpaceDE w:val="0"/>
        <w:autoSpaceDN w:val="0"/>
        <w:spacing w:after="0" w:line="276" w:lineRule="auto"/>
        <w:jc w:val="both"/>
        <w:rPr>
          <w:rFonts w:ascii="Verdana" w:eastAsia="Times New Roman" w:hAnsi="Verdana" w:cs="Arial"/>
          <w:shd w:val="clear" w:color="auto" w:fill="FFFFFF"/>
          <w:lang w:val="es-ES"/>
        </w:rPr>
      </w:pPr>
      <w:r w:rsidRPr="0039647D">
        <w:rPr>
          <w:rFonts w:ascii="Verdana" w:eastAsia="Times New Roman" w:hAnsi="Verdana" w:cs="Arial"/>
          <w:shd w:val="clear" w:color="auto" w:fill="FFFFFF"/>
          <w:lang w:val="es-ES"/>
        </w:rPr>
        <w:t>Por otra parte, la Agencia Nacional de Contratación Pública – Colombia Compra Eficiente se pronunció sobre el ámbito de aplicación del Decreto 287 de 2026 en los documentos tipo, en el concepto C-467 del 21 de abril de 2026.</w:t>
      </w:r>
    </w:p>
    <w:p w14:paraId="262A8649" w14:textId="77777777" w:rsidR="0039647D" w:rsidRPr="0039647D" w:rsidRDefault="0039647D" w:rsidP="0039647D">
      <w:pPr>
        <w:widowControl w:val="0"/>
        <w:autoSpaceDE w:val="0"/>
        <w:autoSpaceDN w:val="0"/>
        <w:spacing w:after="0" w:line="276" w:lineRule="auto"/>
        <w:jc w:val="both"/>
        <w:rPr>
          <w:rFonts w:ascii="Verdana" w:eastAsia="Times New Roman" w:hAnsi="Verdana" w:cs="Arial"/>
          <w:shd w:val="clear" w:color="auto" w:fill="FFFFFF"/>
          <w:lang w:val="es-ES"/>
        </w:rPr>
      </w:pPr>
    </w:p>
    <w:p w14:paraId="486E53B8" w14:textId="77777777" w:rsidR="0039647D" w:rsidRPr="0039647D" w:rsidRDefault="0039647D" w:rsidP="0039647D">
      <w:pPr>
        <w:widowControl w:val="0"/>
        <w:autoSpaceDE w:val="0"/>
        <w:autoSpaceDN w:val="0"/>
        <w:spacing w:after="0" w:line="276" w:lineRule="auto"/>
        <w:jc w:val="both"/>
        <w:rPr>
          <w:rFonts w:ascii="Verdana" w:eastAsia="Times New Roman" w:hAnsi="Verdana" w:cs="Arial"/>
          <w:shd w:val="clear" w:color="auto" w:fill="FFFFFF"/>
          <w:lang w:val="es-ES"/>
        </w:rPr>
      </w:pPr>
      <w:r w:rsidRPr="0039647D">
        <w:rPr>
          <w:rFonts w:ascii="Verdana" w:eastAsia="Calibri" w:hAnsi="Verdana" w:cs="Arial"/>
          <w:color w:val="000000"/>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history="1">
        <w:r w:rsidRPr="0039647D">
          <w:rPr>
            <w:rFonts w:ascii="Verdana" w:eastAsia="Aptos" w:hAnsi="Verdana" w:cs="Arial"/>
            <w:color w:val="0000FF"/>
            <w:kern w:val="2"/>
            <w:u w:val="single"/>
            <w:shd w:val="clear" w:color="auto" w:fill="FFFFFF"/>
            <w14:ligatures w14:val="standardContextual"/>
          </w:rPr>
          <w:t>https://relatoria.colombiacompra.gov.co/busqueda/conceptos</w:t>
        </w:r>
      </w:hyperlink>
      <w:r w:rsidRPr="0039647D">
        <w:rPr>
          <w:rFonts w:ascii="Verdana" w:eastAsia="Aptos" w:hAnsi="Verdana" w:cs="Arial"/>
          <w:kern w:val="2"/>
          <w:shd w:val="clear" w:color="auto" w:fill="FFFFFF"/>
          <w14:ligatures w14:val="standardContextual"/>
        </w:rPr>
        <w:t xml:space="preserve">. </w:t>
      </w:r>
      <w:r w:rsidRPr="0039647D">
        <w:rPr>
          <w:rFonts w:ascii="Verdana" w:eastAsia="Aptos" w:hAnsi="Verdana" w:cs="Arial"/>
          <w:color w:val="FF0000"/>
          <w:kern w:val="2"/>
          <w:shd w:val="clear" w:color="auto" w:fill="FFFFFF"/>
          <w:lang w:val="es-ES"/>
          <w14:ligatures w14:val="standardContextual"/>
        </w:rPr>
        <w:t xml:space="preserve">  </w:t>
      </w:r>
    </w:p>
    <w:p w14:paraId="4B8E9255" w14:textId="77777777" w:rsidR="0039647D" w:rsidRPr="0039647D" w:rsidRDefault="0039647D" w:rsidP="0039647D">
      <w:pPr>
        <w:spacing w:after="0" w:line="240" w:lineRule="auto"/>
        <w:jc w:val="both"/>
        <w:rPr>
          <w:rFonts w:ascii="Verdana" w:eastAsia="Calibri" w:hAnsi="Verdana" w:cs="Arial"/>
          <w:color w:val="000000"/>
          <w:shd w:val="clear" w:color="auto" w:fill="FFFFFF"/>
        </w:rPr>
      </w:pPr>
    </w:p>
    <w:p w14:paraId="3790B493" w14:textId="77777777" w:rsidR="0039647D" w:rsidRPr="0039647D" w:rsidRDefault="0039647D" w:rsidP="0039647D">
      <w:pPr>
        <w:spacing w:after="0" w:line="276" w:lineRule="auto"/>
        <w:jc w:val="both"/>
        <w:rPr>
          <w:rFonts w:ascii="Verdana" w:eastAsia="Times New Roman" w:hAnsi="Verdana" w:cs="Arial"/>
          <w:lang w:eastAsia="es-MX"/>
        </w:rPr>
      </w:pPr>
      <w:r w:rsidRPr="0039647D">
        <w:rPr>
          <w:rFonts w:ascii="Verdana" w:eastAsia="Times New Roman" w:hAnsi="Verdana" w:cs="Arial"/>
          <w:lang w:eastAsia="es-MX"/>
        </w:rPr>
        <w:t xml:space="preserve">La sostenibilidad no es una opción, es una obligación. Por ello, la Agencia Nacional de Contratación Pública –Colombia Compra Eficiente– te invita a realizar el </w:t>
      </w:r>
      <w:r w:rsidRPr="0039647D">
        <w:rPr>
          <w:rFonts w:ascii="Verdana" w:eastAsia="Times New Roman" w:hAnsi="Verdana" w:cs="Arial"/>
          <w:b/>
          <w:bCs/>
          <w:lang w:eastAsia="es-MX"/>
        </w:rPr>
        <w:t>Curso de Contratación Pública Sostenible y Socialmente Responsable</w:t>
      </w:r>
      <w:r w:rsidRPr="0039647D">
        <w:rPr>
          <w:rFonts w:ascii="Verdana" w:eastAsia="Times New Roman" w:hAnsi="Verdana" w:cs="Arial"/>
          <w:lang w:eastAsia="es-MX"/>
        </w:rPr>
        <w:t xml:space="preserve">, una herramienta clave para fortalecer las capacidades de todos los compradores públicos, proveedores, servidores públicos y para generar mayor valor público. Accede al curso y aprende como implementar criterios </w:t>
      </w:r>
      <w:r w:rsidRPr="0039647D">
        <w:rPr>
          <w:rFonts w:ascii="Verdana" w:eastAsia="Times New Roman" w:hAnsi="Verdana" w:cs="Arial"/>
          <w:lang w:eastAsia="es-MX"/>
        </w:rPr>
        <w:lastRenderedPageBreak/>
        <w:t>sociales y ambientales en las diferentes etapas del proceso de contratación:</w:t>
      </w:r>
      <w:r w:rsidRPr="0039647D">
        <w:rPr>
          <w:rFonts w:ascii="Verdana" w:eastAsia="Times New Roman" w:hAnsi="Verdana" w:cs="Arial"/>
          <w:lang w:eastAsia="es-MX"/>
        </w:rPr>
        <w:br/>
      </w:r>
      <w:hyperlink r:id="rId13" w:tgtFrame="_new" w:history="1">
        <w:r w:rsidRPr="0039647D">
          <w:rPr>
            <w:rFonts w:ascii="Verdana" w:eastAsia="Times New Roman" w:hAnsi="Verdana" w:cs="Arial"/>
            <w:color w:val="0000FF"/>
            <w:u w:val="single"/>
            <w:lang w:eastAsia="es-MX"/>
          </w:rPr>
          <w:t>https://formacionvirtual.colombiacompra.gov.co/mod/page/view.php?id=3718</w:t>
        </w:r>
      </w:hyperlink>
    </w:p>
    <w:p w14:paraId="456C423F" w14:textId="77777777" w:rsidR="0039647D" w:rsidRPr="0039647D" w:rsidRDefault="0039647D" w:rsidP="0039647D">
      <w:pPr>
        <w:spacing w:after="0" w:line="276" w:lineRule="auto"/>
        <w:jc w:val="both"/>
        <w:rPr>
          <w:rFonts w:ascii="Verdana" w:eastAsia="Times New Roman" w:hAnsi="Verdana" w:cs="Arial"/>
          <w:lang w:eastAsia="es-MX"/>
        </w:rPr>
      </w:pPr>
      <w:r w:rsidRPr="0039647D">
        <w:rPr>
          <w:rFonts w:ascii="Verdana" w:eastAsia="Times New Roman" w:hAnsi="Verdana" w:cs="Arial"/>
          <w:lang w:eastAsia="es-MX"/>
        </w:rPr>
        <w:t xml:space="preserve">De otro lado, te contamos que esta Agencia ha da un paso decisivo en la estandarización y modernización del </w:t>
      </w:r>
      <w:r w:rsidRPr="0039647D">
        <w:rPr>
          <w:rFonts w:ascii="Verdana" w:eastAsia="Times New Roman" w:hAnsi="Verdana" w:cs="Arial"/>
          <w:b/>
          <w:bCs/>
          <w:lang w:eastAsia="es-MX"/>
        </w:rPr>
        <w:t>sector  social</w:t>
      </w:r>
      <w:r w:rsidRPr="0039647D">
        <w:rPr>
          <w:rFonts w:ascii="Verdana" w:eastAsia="Times New Roman" w:hAnsi="Verdana" w:cs="Arial"/>
          <w:lang w:eastAsia="es-MX"/>
        </w:rPr>
        <w:t xml:space="preserve"> con la expedición de las </w:t>
      </w:r>
      <w:r w:rsidRPr="0039647D">
        <w:rPr>
          <w:rFonts w:ascii="Verdana" w:eastAsia="Times New Roman" w:hAnsi="Verdana" w:cs="Arial"/>
          <w:b/>
          <w:bCs/>
          <w:lang w:eastAsia="es-MX"/>
        </w:rPr>
        <w:t>Resoluciones 539, 540, 541, 952 y 953 de 2025</w:t>
      </w:r>
      <w:r w:rsidRPr="0039647D">
        <w:rPr>
          <w:rFonts w:ascii="Verdana" w:eastAsia="Times New Roman" w:hAnsi="Verdana" w:cs="Arial"/>
          <w:lang w:eastAsia="es-MX"/>
        </w:rPr>
        <w:t xml:space="preserve">, </w:t>
      </w:r>
      <w:r w:rsidRPr="0039647D">
        <w:rPr>
          <w:rFonts w:ascii="Verdana" w:eastAsia="Times New Roman" w:hAnsi="Verdana" w:cs="Arial"/>
          <w:b/>
          <w:bCs/>
          <w:lang w:eastAsia="es-MX"/>
        </w:rPr>
        <w:t>mediante las cuales adoptó Documentos Tipo</w:t>
      </w:r>
      <w:r w:rsidRPr="0039647D">
        <w:rPr>
          <w:rFonts w:ascii="Verdana" w:eastAsia="Times New Roman" w:hAnsi="Verdana" w:cs="Arial"/>
          <w:lang w:eastAsia="es-MX"/>
        </w:rPr>
        <w:t xml:space="preserve"> para las modalidades de selección de</w:t>
      </w:r>
      <w:r w:rsidRPr="0039647D">
        <w:rPr>
          <w:rFonts w:ascii="Verdana" w:eastAsia="Times New Roman" w:hAnsi="Verdana" w:cs="Arial"/>
          <w:b/>
          <w:bCs/>
          <w:lang w:eastAsia="es-MX"/>
        </w:rPr>
        <w:t xml:space="preserve"> licitación pública (versión 2), selección abreviada de menor cuantía, mínima cuantía, consultoría e interventoría</w:t>
      </w:r>
      <w:r w:rsidRPr="0039647D">
        <w:rPr>
          <w:rFonts w:ascii="Verdana" w:eastAsia="Times New Roman" w:hAnsi="Verdana" w:cs="Arial"/>
          <w:lang w:eastAsia="es-MX"/>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39647D">
          <w:rPr>
            <w:rFonts w:ascii="Verdana" w:eastAsia="Times New Roman" w:hAnsi="Verdana" w:cs="Arial"/>
            <w:color w:val="0000FF"/>
            <w:u w:val="single"/>
            <w:lang w:eastAsia="es-MX"/>
          </w:rPr>
          <w:t>https://www.colombiacompra.gov.co/normativa-y-relatoria/documentos-tipo</w:t>
        </w:r>
      </w:hyperlink>
    </w:p>
    <w:p w14:paraId="6536325E" w14:textId="77777777" w:rsidR="0039647D" w:rsidRPr="0039647D" w:rsidRDefault="0039647D" w:rsidP="0039647D">
      <w:pPr>
        <w:spacing w:after="0" w:line="276" w:lineRule="auto"/>
        <w:jc w:val="both"/>
        <w:rPr>
          <w:rFonts w:ascii="Verdana" w:eastAsia="Times New Roman" w:hAnsi="Verdana" w:cs="Arial"/>
          <w:lang w:eastAsia="es-MX"/>
        </w:rPr>
      </w:pPr>
    </w:p>
    <w:p w14:paraId="6B3724ED" w14:textId="77777777" w:rsidR="0039647D" w:rsidRPr="0039647D" w:rsidRDefault="0039647D" w:rsidP="0039647D">
      <w:pPr>
        <w:spacing w:after="0" w:line="276" w:lineRule="auto"/>
        <w:jc w:val="both"/>
        <w:rPr>
          <w:rFonts w:ascii="Verdana" w:eastAsia="Times New Roman" w:hAnsi="Verdana" w:cs="Arial"/>
          <w:lang w:eastAsia="es-MX"/>
        </w:rPr>
      </w:pPr>
      <w:r w:rsidRPr="0039647D">
        <w:rPr>
          <w:rFonts w:ascii="Verdana" w:eastAsia="Times New Roman" w:hAnsi="Verdana" w:cs="Arial"/>
          <w:lang w:eastAsia="es-MX"/>
        </w:rPr>
        <w:t xml:space="preserve">Si quieres conocer más sobre la aplicación de Documentos Tipo puedes consultar la última versión de la </w:t>
      </w:r>
      <w:r w:rsidRPr="0039647D">
        <w:rPr>
          <w:rFonts w:ascii="Verdana" w:eastAsia="Times New Roman" w:hAnsi="Verdana" w:cs="Arial"/>
          <w:b/>
          <w:bCs/>
          <w:lang w:eastAsia="es-MX"/>
        </w:rPr>
        <w:t>Guía para la comprensión e implementación de los Documentos Tipo de obra pública de infraestructura de transporte</w:t>
      </w:r>
      <w:r w:rsidRPr="0039647D">
        <w:rPr>
          <w:rFonts w:ascii="Verdana" w:eastAsia="Times New Roman" w:hAnsi="Verdana" w:cs="Arial"/>
          <w:lang w:eastAsia="es-MX"/>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9647D">
        <w:rPr>
          <w:rFonts w:ascii="Verdana" w:eastAsia="Times New Roman" w:hAnsi="Verdana" w:cs="Arial"/>
          <w:lang w:eastAsia="es-MX"/>
        </w:rPr>
        <w:br/>
      </w:r>
      <w:hyperlink r:id="rId15" w:tgtFrame="_new" w:history="1">
        <w:r w:rsidRPr="0039647D">
          <w:rPr>
            <w:rFonts w:ascii="Verdana" w:eastAsia="Times New Roman" w:hAnsi="Verdana" w:cs="Arial"/>
            <w:color w:val="0000FF"/>
            <w:u w:val="single"/>
            <w:lang w:eastAsia="es-MX"/>
          </w:rPr>
          <w:t>https://www.colombiacompra.gov.co/archivos/manual/guia-para-la-comprension-e-implementacion-de-los-documentos-tipo-de-obra-publica-de-infraestructura-de-transporte-bajo-las-diferentes-modalidades-de-contratacion-vigentes</w:t>
        </w:r>
      </w:hyperlink>
    </w:p>
    <w:p w14:paraId="3D907DB3" w14:textId="77777777" w:rsidR="0039647D" w:rsidRPr="0039647D" w:rsidRDefault="0039647D" w:rsidP="0039647D">
      <w:pPr>
        <w:spacing w:after="0"/>
        <w:jc w:val="both"/>
        <w:rPr>
          <w:rFonts w:ascii="Verdana" w:eastAsia="Aptos" w:hAnsi="Verdana" w:cs="Times New Roman"/>
          <w:color w:val="212121"/>
          <w:lang w:eastAsia="es-MX"/>
        </w:rPr>
      </w:pPr>
    </w:p>
    <w:p w14:paraId="6B33218E" w14:textId="77777777" w:rsidR="0039647D" w:rsidRPr="0039647D" w:rsidRDefault="0039647D" w:rsidP="0039647D">
      <w:pPr>
        <w:spacing w:after="0" w:line="240" w:lineRule="auto"/>
        <w:jc w:val="both"/>
        <w:rPr>
          <w:rFonts w:ascii="Verdana" w:eastAsia="Calibri" w:hAnsi="Verdana" w:cs="Times New Roman"/>
          <w:lang w:eastAsia="es-MX"/>
        </w:rPr>
      </w:pPr>
      <w:r w:rsidRPr="0039647D">
        <w:rPr>
          <w:rFonts w:ascii="Verdana" w:eastAsia="Aptos" w:hAnsi="Verdana" w:cs="Times New Roman"/>
          <w:lang w:eastAsia="es-MX"/>
        </w:rPr>
        <w:t xml:space="preserve">Por último, lo invitamos a seguirnos en las redes sociales en las cuales se difunde información institucional: </w:t>
      </w:r>
    </w:p>
    <w:p w14:paraId="239B2326" w14:textId="77777777" w:rsidR="0039647D" w:rsidRPr="0039647D" w:rsidRDefault="0039647D" w:rsidP="0039647D">
      <w:pPr>
        <w:spacing w:after="0" w:line="240" w:lineRule="auto"/>
        <w:jc w:val="both"/>
        <w:rPr>
          <w:rFonts w:ascii="Verdana" w:eastAsia="Aptos" w:hAnsi="Verdana" w:cs="Times New Roman"/>
          <w:lang w:eastAsia="es-MX"/>
        </w:rPr>
      </w:pPr>
    </w:p>
    <w:p w14:paraId="11A02520" w14:textId="77777777" w:rsidR="0039647D" w:rsidRPr="0039647D" w:rsidRDefault="0039647D" w:rsidP="0039647D">
      <w:pPr>
        <w:spacing w:after="0" w:line="240" w:lineRule="auto"/>
        <w:jc w:val="both"/>
        <w:rPr>
          <w:rFonts w:ascii="Verdana" w:eastAsia="Aptos" w:hAnsi="Verdana" w:cs="Times New Roman"/>
          <w:lang w:eastAsia="es-MX"/>
        </w:rPr>
      </w:pPr>
      <w:r w:rsidRPr="0039647D">
        <w:rPr>
          <w:rFonts w:ascii="Verdana" w:eastAsia="Aptos" w:hAnsi="Verdana" w:cs="Times New Roman"/>
          <w:lang w:eastAsia="es-MX"/>
        </w:rPr>
        <w:t xml:space="preserve">Twitter: </w:t>
      </w:r>
      <w:r w:rsidRPr="0039647D">
        <w:rPr>
          <w:rFonts w:ascii="Verdana" w:eastAsia="Calibri" w:hAnsi="Verdana" w:cs="Times New Roman"/>
          <w:color w:val="156082"/>
          <w:u w:val="single"/>
          <w:lang w:eastAsia="es-MX"/>
        </w:rPr>
        <w:t>@colombiacompra</w:t>
      </w:r>
      <w:r w:rsidRPr="0039647D">
        <w:rPr>
          <w:rFonts w:ascii="Verdana" w:eastAsia="Calibri" w:hAnsi="Verdana" w:cs="Times New Roman"/>
          <w:color w:val="156082"/>
          <w:lang w:eastAsia="es-MX"/>
        </w:rPr>
        <w:t xml:space="preserve"> </w:t>
      </w:r>
    </w:p>
    <w:p w14:paraId="47BCF891" w14:textId="77777777" w:rsidR="0039647D" w:rsidRPr="0039647D" w:rsidRDefault="0039647D" w:rsidP="0039647D">
      <w:pPr>
        <w:spacing w:after="0" w:line="240" w:lineRule="auto"/>
        <w:jc w:val="both"/>
        <w:rPr>
          <w:rFonts w:ascii="Verdana" w:eastAsia="Aptos" w:hAnsi="Verdana" w:cs="Times New Roman"/>
          <w:lang w:eastAsia="es-MX"/>
        </w:rPr>
      </w:pPr>
      <w:r w:rsidRPr="0039647D">
        <w:rPr>
          <w:rFonts w:ascii="Verdana" w:eastAsia="Aptos" w:hAnsi="Verdana" w:cs="Times New Roman"/>
          <w:lang w:eastAsia="es-MX"/>
        </w:rPr>
        <w:t xml:space="preserve">Facebook: </w:t>
      </w:r>
      <w:r w:rsidRPr="0039647D">
        <w:rPr>
          <w:rFonts w:ascii="Verdana" w:eastAsia="Calibri" w:hAnsi="Verdana" w:cs="Times New Roman"/>
          <w:color w:val="156082"/>
          <w:u w:val="single"/>
          <w:lang w:eastAsia="es-MX"/>
        </w:rPr>
        <w:t>ColombiaCompraEficiente</w:t>
      </w:r>
    </w:p>
    <w:p w14:paraId="3798B881" w14:textId="77777777" w:rsidR="0039647D" w:rsidRPr="0039647D" w:rsidRDefault="0039647D" w:rsidP="0039647D">
      <w:pPr>
        <w:spacing w:after="0" w:line="240" w:lineRule="auto"/>
        <w:jc w:val="both"/>
        <w:rPr>
          <w:rFonts w:ascii="Verdana" w:eastAsia="Aptos" w:hAnsi="Verdana" w:cs="Times New Roman"/>
          <w:lang w:eastAsia="es-MX"/>
        </w:rPr>
      </w:pPr>
      <w:r w:rsidRPr="0039647D">
        <w:rPr>
          <w:rFonts w:ascii="Verdana" w:eastAsia="Aptos" w:hAnsi="Verdana" w:cs="Times New Roman"/>
          <w:lang w:eastAsia="es-MX"/>
        </w:rPr>
        <w:t xml:space="preserve">LinkedIn: </w:t>
      </w:r>
      <w:r w:rsidRPr="0039647D">
        <w:rPr>
          <w:rFonts w:ascii="Verdana" w:eastAsia="Calibri" w:hAnsi="Verdana" w:cs="Times New Roman"/>
          <w:color w:val="156082"/>
          <w:u w:val="single"/>
          <w:lang w:eastAsia="es-MX"/>
        </w:rPr>
        <w:t>Agencia Nacional de Contratación Pública - Colombia Compra Eficiente</w:t>
      </w:r>
      <w:r w:rsidRPr="0039647D">
        <w:rPr>
          <w:rFonts w:ascii="Verdana" w:eastAsia="Calibri" w:hAnsi="Verdana" w:cs="Times New Roman"/>
          <w:color w:val="156082"/>
          <w:lang w:eastAsia="es-MX"/>
        </w:rPr>
        <w:t xml:space="preserve"> </w:t>
      </w:r>
      <w:r w:rsidRPr="0039647D">
        <w:rPr>
          <w:rFonts w:ascii="Verdana" w:eastAsia="Aptos" w:hAnsi="Verdana" w:cs="Times New Roman"/>
          <w:lang w:eastAsia="es-MX"/>
        </w:rPr>
        <w:t xml:space="preserve">Instagram: </w:t>
      </w:r>
      <w:r w:rsidRPr="0039647D">
        <w:rPr>
          <w:rFonts w:ascii="Verdana" w:eastAsia="Calibri" w:hAnsi="Verdana" w:cs="Times New Roman"/>
          <w:color w:val="156082"/>
          <w:u w:val="single"/>
          <w:lang w:eastAsia="es-MX"/>
        </w:rPr>
        <w:t>@colombiacompraeficiente_cce</w:t>
      </w:r>
    </w:p>
    <w:p w14:paraId="78EB00EE" w14:textId="77777777" w:rsidR="0039647D" w:rsidRPr="0039647D" w:rsidRDefault="0039647D" w:rsidP="0039647D">
      <w:pPr>
        <w:spacing w:after="0" w:line="276" w:lineRule="auto"/>
        <w:jc w:val="both"/>
        <w:rPr>
          <w:rFonts w:ascii="Verdana" w:eastAsia="Aptos" w:hAnsi="Verdana" w:cs="Times New Roman"/>
          <w:lang w:eastAsia="es-MX"/>
        </w:rPr>
      </w:pPr>
    </w:p>
    <w:p w14:paraId="6A8FA305" w14:textId="77777777" w:rsidR="0039647D" w:rsidRPr="0039647D" w:rsidRDefault="0039647D" w:rsidP="0039647D">
      <w:pPr>
        <w:spacing w:after="0" w:line="276" w:lineRule="auto"/>
        <w:jc w:val="both"/>
        <w:rPr>
          <w:rFonts w:ascii="Verdana" w:eastAsia="Calibri" w:hAnsi="Verdana" w:cs="Times New Roman"/>
          <w:bCs/>
          <w:lang w:val="es-ES_tradnl" w:eastAsia="es-MX"/>
        </w:rPr>
      </w:pPr>
      <w:r w:rsidRPr="0039647D">
        <w:rPr>
          <w:rFonts w:ascii="Verdana" w:eastAsia="Calibri" w:hAnsi="Verdana" w:cs="Times New Roman"/>
          <w:lang w:val="es-ES_tradnl" w:eastAsia="es-MX"/>
        </w:rPr>
        <w:t xml:space="preserve">Este concepto tiene el alcance previsto en el artículo 28 del Código de Procedimiento Administrativo y de lo Contencioso Administrativo y las </w:t>
      </w:r>
      <w:r w:rsidRPr="0039647D">
        <w:rPr>
          <w:rFonts w:ascii="Verdana" w:eastAsia="Calibri" w:hAnsi="Verdana" w:cs="Times New Roman"/>
          <w:lang w:val="es-ES_tradnl" w:eastAsia="es-MX"/>
        </w:rPr>
        <w:lastRenderedPageBreak/>
        <w:t>expresiones utilizadas con mayúscula inicial deben ser entendidas con el significado que les otorga el artículo 2.2.1.1.1.3.1 del Decreto 1082 de 2015.</w:t>
      </w:r>
    </w:p>
    <w:p w14:paraId="236DDAB3" w14:textId="77777777" w:rsidR="0039647D" w:rsidRPr="0039647D" w:rsidRDefault="0039647D" w:rsidP="0039647D">
      <w:pPr>
        <w:spacing w:after="0" w:line="276" w:lineRule="auto"/>
        <w:jc w:val="both"/>
        <w:rPr>
          <w:rFonts w:ascii="Verdana" w:eastAsia="Calibri" w:hAnsi="Verdana" w:cs="Times New Roman"/>
          <w:lang w:eastAsia="es-MX"/>
        </w:rPr>
      </w:pPr>
    </w:p>
    <w:p w14:paraId="486BBD60" w14:textId="77777777" w:rsidR="0039647D" w:rsidRPr="0039647D" w:rsidRDefault="0039647D" w:rsidP="0039647D">
      <w:pPr>
        <w:spacing w:after="0" w:line="276" w:lineRule="auto"/>
        <w:jc w:val="both"/>
        <w:rPr>
          <w:rFonts w:ascii="Verdana" w:eastAsia="Calibri" w:hAnsi="Verdana" w:cs="Times New Roman"/>
          <w:lang w:eastAsia="es-MX"/>
        </w:rPr>
      </w:pPr>
      <w:r w:rsidRPr="0039647D">
        <w:rPr>
          <w:rFonts w:ascii="Verdana" w:eastAsia="Calibri" w:hAnsi="Verdana" w:cs="Times New Roman"/>
          <w:lang w:eastAsia="es-MX"/>
        </w:rPr>
        <w:t>Atentamente,</w:t>
      </w:r>
    </w:p>
    <w:p w14:paraId="684CD620" w14:textId="34C12C63" w:rsidR="0039647D" w:rsidRPr="0039647D" w:rsidRDefault="00242808" w:rsidP="0039647D">
      <w:pPr>
        <w:tabs>
          <w:tab w:val="left" w:pos="1320"/>
        </w:tabs>
        <w:spacing w:after="0"/>
        <w:jc w:val="center"/>
        <w:rPr>
          <w:rFonts w:ascii="Verdana" w:eastAsia="Calibri" w:hAnsi="Verdana" w:cs="Times New Roman"/>
          <w:lang w:eastAsia="es-MX"/>
        </w:rPr>
      </w:pPr>
      <w:r w:rsidRPr="004D5C25">
        <w:rPr>
          <w:rFonts w:ascii="Century Gothic" w:hAnsi="Century Gothic"/>
          <w:noProof/>
        </w:rPr>
        <w:drawing>
          <wp:inline distT="0" distB="0" distL="0" distR="0" wp14:anchorId="71D09EB0" wp14:editId="6B64C623">
            <wp:extent cx="2337473" cy="1003490"/>
            <wp:effectExtent l="0" t="0" r="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2422596" cy="1040034"/>
                    </a:xfrm>
                    <a:prstGeom prst="rect">
                      <a:avLst/>
                    </a:prstGeom>
                  </pic:spPr>
                </pic:pic>
              </a:graphicData>
            </a:graphic>
          </wp:inline>
        </w:drawing>
      </w:r>
    </w:p>
    <w:p w14:paraId="66BF8A0D" w14:textId="77777777" w:rsidR="0039647D" w:rsidRPr="0039647D" w:rsidRDefault="0039647D" w:rsidP="0039647D">
      <w:pPr>
        <w:tabs>
          <w:tab w:val="left" w:pos="1320"/>
        </w:tabs>
        <w:spacing w:after="0"/>
        <w:jc w:val="center"/>
        <w:rPr>
          <w:rFonts w:ascii="Verdana" w:eastAsia="Calibri" w:hAnsi="Verdana" w:cs="Times New Roman"/>
          <w:lang w:eastAsia="es-MX"/>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39647D" w:rsidRPr="0039647D" w14:paraId="013106FE" w14:textId="77777777" w:rsidTr="00C80FF3">
        <w:trPr>
          <w:trHeight w:val="323"/>
        </w:trPr>
        <w:tc>
          <w:tcPr>
            <w:tcW w:w="1041" w:type="dxa"/>
            <w:vAlign w:val="center"/>
            <w:hideMark/>
          </w:tcPr>
          <w:p w14:paraId="5D1FFB4C" w14:textId="77777777" w:rsidR="0039647D" w:rsidRPr="0039647D" w:rsidRDefault="0039647D" w:rsidP="0039647D">
            <w:pPr>
              <w:rPr>
                <w:rFonts w:ascii="Verdana" w:eastAsia="Calibri" w:hAnsi="Verdana" w:cs="Arial"/>
                <w:sz w:val="16"/>
                <w:szCs w:val="16"/>
                <w:lang w:val="es-ES_tradnl" w:eastAsia="es-ES"/>
              </w:rPr>
            </w:pPr>
            <w:r w:rsidRPr="0039647D">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2EF88600" w14:textId="77777777" w:rsidR="0039647D" w:rsidRPr="0039647D" w:rsidRDefault="0039647D" w:rsidP="0039647D">
            <w:pPr>
              <w:rPr>
                <w:rFonts w:ascii="Verdana" w:eastAsia="Arial" w:hAnsi="Verdana" w:cs="Arial"/>
                <w:sz w:val="16"/>
                <w:szCs w:val="16"/>
                <w:lang w:val="es-ES" w:eastAsia="es-MX"/>
              </w:rPr>
            </w:pPr>
            <w:r w:rsidRPr="0039647D">
              <w:rPr>
                <w:rFonts w:ascii="Verdana" w:eastAsia="Arial" w:hAnsi="Verdana" w:cs="Arial"/>
                <w:sz w:val="16"/>
                <w:szCs w:val="16"/>
                <w:lang w:val="es-ES" w:eastAsia="es-MX"/>
              </w:rPr>
              <w:t xml:space="preserve">Carlos Mario Castrillón Endo </w:t>
            </w:r>
          </w:p>
          <w:p w14:paraId="0F397D5A" w14:textId="77777777" w:rsidR="0039647D" w:rsidRPr="0039647D" w:rsidRDefault="0039647D" w:rsidP="0039647D">
            <w:pPr>
              <w:rPr>
                <w:rFonts w:ascii="Verdana" w:eastAsia="Arial" w:hAnsi="Verdana" w:cs="Arial"/>
                <w:sz w:val="16"/>
                <w:szCs w:val="16"/>
                <w:lang w:val="es-ES_tradnl" w:eastAsia="es-MX"/>
              </w:rPr>
            </w:pPr>
            <w:r w:rsidRPr="0039647D">
              <w:rPr>
                <w:rFonts w:ascii="Verdana" w:eastAsia="Arial" w:hAnsi="Verdana" w:cs="Arial"/>
                <w:sz w:val="16"/>
                <w:szCs w:val="16"/>
                <w:lang w:val="es-ES_tradnl" w:eastAsia="es-MX"/>
              </w:rPr>
              <w:t>Contratista de la Subdirección de Gestión Contractual</w:t>
            </w:r>
          </w:p>
          <w:p w14:paraId="2B8AA6E2" w14:textId="77777777" w:rsidR="0039647D" w:rsidRPr="0039647D" w:rsidRDefault="0039647D" w:rsidP="0039647D">
            <w:pPr>
              <w:rPr>
                <w:rFonts w:ascii="Verdana" w:eastAsia="Arial" w:hAnsi="Verdana" w:cs="Arial"/>
                <w:sz w:val="16"/>
                <w:szCs w:val="16"/>
                <w:lang w:val="es-ES_tradnl" w:eastAsia="es-MX"/>
              </w:rPr>
            </w:pPr>
          </w:p>
        </w:tc>
      </w:tr>
      <w:tr w:rsidR="0039647D" w:rsidRPr="0039647D" w14:paraId="7FE1B2D4" w14:textId="77777777" w:rsidTr="00C80FF3">
        <w:trPr>
          <w:trHeight w:val="338"/>
        </w:trPr>
        <w:tc>
          <w:tcPr>
            <w:tcW w:w="1041" w:type="dxa"/>
            <w:vAlign w:val="center"/>
            <w:hideMark/>
          </w:tcPr>
          <w:p w14:paraId="50E5FE69" w14:textId="77777777" w:rsidR="0039647D" w:rsidRPr="0039647D" w:rsidRDefault="0039647D" w:rsidP="0039647D">
            <w:pPr>
              <w:rPr>
                <w:rFonts w:ascii="Verdana" w:eastAsia="Calibri" w:hAnsi="Verdana" w:cs="Arial"/>
                <w:sz w:val="16"/>
                <w:szCs w:val="16"/>
                <w:lang w:val="es-ES_tradnl" w:eastAsia="es-ES"/>
              </w:rPr>
            </w:pPr>
            <w:r w:rsidRPr="0039647D">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225DEE92" w14:textId="77777777" w:rsidR="0039647D" w:rsidRPr="0039647D" w:rsidRDefault="0039647D" w:rsidP="0039647D">
            <w:pPr>
              <w:rPr>
                <w:rFonts w:ascii="Verdana" w:eastAsia="Arial" w:hAnsi="Verdana" w:cs="Arial"/>
                <w:sz w:val="16"/>
                <w:szCs w:val="16"/>
                <w:lang w:val="es-ES" w:eastAsia="es-MX"/>
              </w:rPr>
            </w:pPr>
            <w:r w:rsidRPr="0039647D">
              <w:rPr>
                <w:rFonts w:ascii="Verdana" w:eastAsia="Arial" w:hAnsi="Verdana" w:cs="Arial"/>
                <w:sz w:val="16"/>
                <w:szCs w:val="16"/>
                <w:lang w:val="es-ES" w:eastAsia="es-MX"/>
              </w:rPr>
              <w:t>Martha Alicia Romero Vargas</w:t>
            </w:r>
          </w:p>
          <w:p w14:paraId="08960F9D" w14:textId="77777777" w:rsidR="0039647D" w:rsidRPr="0039647D" w:rsidRDefault="0039647D" w:rsidP="0039647D">
            <w:pPr>
              <w:rPr>
                <w:rFonts w:ascii="Verdana" w:eastAsia="Arial" w:hAnsi="Verdana" w:cs="Arial"/>
                <w:sz w:val="16"/>
                <w:szCs w:val="16"/>
                <w:lang w:val="es-ES_tradnl" w:eastAsia="es-MX"/>
              </w:rPr>
            </w:pPr>
            <w:r w:rsidRPr="0039647D">
              <w:rPr>
                <w:rFonts w:ascii="Verdana" w:eastAsia="Arial" w:hAnsi="Verdana" w:cs="Arial"/>
                <w:sz w:val="16"/>
                <w:szCs w:val="16"/>
                <w:lang w:val="es-ES_tradnl" w:eastAsia="es-MX"/>
              </w:rPr>
              <w:t>Gestor T1-15 de la Subdirección de Gestión Contractual</w:t>
            </w:r>
          </w:p>
        </w:tc>
      </w:tr>
      <w:tr w:rsidR="0039647D" w:rsidRPr="0039647D" w14:paraId="5324D0BC" w14:textId="77777777" w:rsidTr="00C80FF3">
        <w:trPr>
          <w:trHeight w:val="308"/>
        </w:trPr>
        <w:tc>
          <w:tcPr>
            <w:tcW w:w="1041" w:type="dxa"/>
            <w:vAlign w:val="center"/>
          </w:tcPr>
          <w:p w14:paraId="10966315" w14:textId="77777777" w:rsidR="0039647D" w:rsidRPr="0039647D" w:rsidRDefault="0039647D" w:rsidP="0039647D">
            <w:pPr>
              <w:rPr>
                <w:rFonts w:ascii="Verdana" w:eastAsia="Calibri" w:hAnsi="Verdana" w:cs="Arial"/>
                <w:sz w:val="16"/>
                <w:szCs w:val="16"/>
                <w:lang w:val="es-ES_tradnl" w:eastAsia="es-ES"/>
              </w:rPr>
            </w:pPr>
            <w:r w:rsidRPr="0039647D">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7463DE0A" w14:textId="77777777" w:rsidR="0039647D" w:rsidRPr="0039647D" w:rsidRDefault="0039647D" w:rsidP="0039647D">
            <w:pPr>
              <w:rPr>
                <w:rFonts w:ascii="Verdana" w:eastAsia="Calibri" w:hAnsi="Verdana" w:cs="Arial"/>
                <w:sz w:val="16"/>
                <w:szCs w:val="16"/>
                <w:lang w:val="es-ES" w:eastAsia="es-ES"/>
              </w:rPr>
            </w:pPr>
            <w:r w:rsidRPr="0039647D">
              <w:rPr>
                <w:rFonts w:ascii="Verdana" w:eastAsia="Calibri" w:hAnsi="Verdana" w:cs="Arial"/>
                <w:sz w:val="16"/>
                <w:szCs w:val="16"/>
                <w:lang w:val="es-ES" w:eastAsia="es-ES"/>
              </w:rPr>
              <w:t>Carolina Quintero Gacharná</w:t>
            </w:r>
          </w:p>
          <w:p w14:paraId="364A156D" w14:textId="77777777" w:rsidR="0039647D" w:rsidRPr="0039647D" w:rsidRDefault="0039647D" w:rsidP="0039647D">
            <w:pPr>
              <w:rPr>
                <w:rFonts w:ascii="Verdana" w:eastAsia="Calibri" w:hAnsi="Verdana" w:cs="Arial"/>
                <w:sz w:val="16"/>
                <w:szCs w:val="16"/>
                <w:lang w:val="es-ES_tradnl" w:eastAsia="es-ES"/>
              </w:rPr>
            </w:pPr>
            <w:r w:rsidRPr="0039647D">
              <w:rPr>
                <w:rFonts w:ascii="Verdana" w:eastAsia="Calibri" w:hAnsi="Verdana" w:cs="Arial"/>
                <w:sz w:val="16"/>
                <w:szCs w:val="16"/>
                <w:lang w:val="es-ES_tradnl" w:eastAsia="es-ES"/>
              </w:rPr>
              <w:t>Subdirectora de Gestión Contractual ANCP – CCE</w:t>
            </w:r>
          </w:p>
        </w:tc>
      </w:tr>
    </w:tbl>
    <w:p w14:paraId="4668A9D8" w14:textId="77777777" w:rsidR="0039647D" w:rsidRPr="0039647D" w:rsidRDefault="0039647D" w:rsidP="0039647D">
      <w:pPr>
        <w:spacing w:after="0" w:line="240" w:lineRule="auto"/>
        <w:jc w:val="both"/>
        <w:textAlignment w:val="baseline"/>
        <w:rPr>
          <w:rFonts w:ascii="Verdana" w:eastAsia="Verdana" w:hAnsi="Verdana" w:cs="Verdana"/>
          <w:lang w:eastAsia="es-CO"/>
        </w:rPr>
      </w:pPr>
    </w:p>
    <w:p w14:paraId="38488C60" w14:textId="77777777" w:rsidR="0039647D" w:rsidRPr="0039647D" w:rsidRDefault="0039647D" w:rsidP="0039647D">
      <w:pPr>
        <w:spacing w:after="0" w:line="240" w:lineRule="auto"/>
        <w:textAlignment w:val="baseline"/>
        <w:rPr>
          <w:rFonts w:ascii="Verdana" w:eastAsia="Verdana" w:hAnsi="Verdana" w:cs="Verdana"/>
          <w:lang w:eastAsia="es-CO"/>
        </w:rPr>
      </w:pPr>
    </w:p>
    <w:p w14:paraId="69BC4D14" w14:textId="74612BB3"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9BCF7" w14:textId="77777777" w:rsidR="009A1C6F" w:rsidRDefault="009A1C6F" w:rsidP="004A1847">
      <w:pPr>
        <w:spacing w:after="0" w:line="240" w:lineRule="auto"/>
      </w:pPr>
      <w:r>
        <w:separator/>
      </w:r>
    </w:p>
  </w:endnote>
  <w:endnote w:type="continuationSeparator" w:id="0">
    <w:p w14:paraId="5F1EFF48" w14:textId="77777777" w:rsidR="009A1C6F" w:rsidRDefault="009A1C6F" w:rsidP="004A1847">
      <w:pPr>
        <w:spacing w:after="0" w:line="240" w:lineRule="auto"/>
      </w:pPr>
      <w:r>
        <w:continuationSeparator/>
      </w:r>
    </w:p>
  </w:endnote>
  <w:endnote w:type="continuationNotice" w:id="1">
    <w:p w14:paraId="4C853D68" w14:textId="77777777" w:rsidR="003253C5" w:rsidRDefault="00325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Geomanist Bold">
    <w:altName w:val="Calibri"/>
    <w:panose1 w:val="020B0604020202020204"/>
    <w:charset w:val="00"/>
    <w:family w:val="modern"/>
    <w:notTrueType/>
    <w:pitch w:val="variable"/>
    <w:sig w:usb0="A000002F" w:usb1="1000004A" w:usb2="00000000" w:usb3="00000000" w:csb0="00000193"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panose1 w:val="020B0604020202020204"/>
    <w:charset w:val="01"/>
    <w:family w:val="swiss"/>
    <w:pitch w:val="variable"/>
  </w:font>
  <w:font w:name="Helvetica">
    <w:panose1 w:val="00000000000000000000"/>
    <w:charset w:val="00"/>
    <w:family w:val="auto"/>
    <w:pitch w:val="variable"/>
    <w:sig w:usb0="E00002FF" w:usb1="5000785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Geo">
    <w:altName w:val="Calibri"/>
    <w:panose1 w:val="020B0604020202020204"/>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EEB24" w14:textId="77777777" w:rsidR="009A1C6F" w:rsidRDefault="009A1C6F" w:rsidP="004A1847">
      <w:pPr>
        <w:spacing w:after="0" w:line="240" w:lineRule="auto"/>
      </w:pPr>
      <w:r>
        <w:separator/>
      </w:r>
    </w:p>
  </w:footnote>
  <w:footnote w:type="continuationSeparator" w:id="0">
    <w:p w14:paraId="663C5653" w14:textId="77777777" w:rsidR="009A1C6F" w:rsidRDefault="009A1C6F" w:rsidP="004A1847">
      <w:pPr>
        <w:spacing w:after="0" w:line="240" w:lineRule="auto"/>
      </w:pPr>
      <w:r>
        <w:continuationSeparator/>
      </w:r>
    </w:p>
  </w:footnote>
  <w:footnote w:type="continuationNotice" w:id="1">
    <w:p w14:paraId="33267E21" w14:textId="77777777" w:rsidR="003253C5" w:rsidRDefault="003253C5">
      <w:pPr>
        <w:spacing w:after="0" w:line="240" w:lineRule="auto"/>
      </w:pPr>
    </w:p>
  </w:footnote>
  <w:footnote w:id="2">
    <w:p w14:paraId="5C868A49" w14:textId="77777777" w:rsidR="0039647D" w:rsidRPr="00F16D67" w:rsidRDefault="0039647D" w:rsidP="0039647D">
      <w:pPr>
        <w:pStyle w:val="Textonotapie"/>
        <w:ind w:firstLine="708"/>
        <w:jc w:val="both"/>
        <w:rPr>
          <w:rFonts w:ascii="Verdana" w:hAnsi="Verdana" w:cs="Arial"/>
          <w:sz w:val="19"/>
          <w:szCs w:val="19"/>
          <w:lang w:val="it-IT"/>
        </w:rPr>
      </w:pPr>
      <w:r w:rsidRPr="00C80FF3">
        <w:rPr>
          <w:rStyle w:val="Refdenotaalpie"/>
          <w:rFonts w:ascii="Verdana" w:hAnsi="Verdana" w:cs="Arial"/>
          <w:sz w:val="19"/>
          <w:szCs w:val="19"/>
        </w:rPr>
        <w:footnoteRef/>
      </w:r>
      <w:r w:rsidRPr="00F16D67">
        <w:rPr>
          <w:rFonts w:ascii="Verdana" w:hAnsi="Verdana" w:cs="Arial"/>
          <w:sz w:val="19"/>
          <w:szCs w:val="19"/>
          <w:lang w:val="pt-BR"/>
        </w:rPr>
        <w:t xml:space="preserve"> Corte Constitucional, Sentencia C–1005 de 2008. </w:t>
      </w:r>
      <w:r w:rsidRPr="00F16D67">
        <w:rPr>
          <w:rFonts w:ascii="Verdana" w:hAnsi="Verdana" w:cs="Arial"/>
          <w:sz w:val="19"/>
          <w:szCs w:val="19"/>
          <w:lang w:val="it-IT"/>
        </w:rPr>
        <w:t xml:space="preserve">M.P.: Humberto Antonio Sierra Porto. </w:t>
      </w:r>
    </w:p>
    <w:p w14:paraId="3073F20E" w14:textId="77777777" w:rsidR="0039647D" w:rsidRPr="00F16D67" w:rsidRDefault="0039647D" w:rsidP="0039647D">
      <w:pPr>
        <w:pStyle w:val="Textonotapie"/>
        <w:ind w:firstLine="708"/>
        <w:jc w:val="both"/>
        <w:rPr>
          <w:rFonts w:ascii="Verdana" w:hAnsi="Verdana" w:cs="Arial"/>
          <w:sz w:val="19"/>
          <w:szCs w:val="19"/>
          <w:lang w:val="it-IT"/>
        </w:rPr>
      </w:pPr>
    </w:p>
  </w:footnote>
  <w:footnote w:id="3">
    <w:p w14:paraId="6B19CD43" w14:textId="77777777" w:rsidR="0039647D" w:rsidRPr="00F16D67" w:rsidRDefault="0039647D" w:rsidP="0039647D">
      <w:pPr>
        <w:pStyle w:val="Textonotapie"/>
        <w:ind w:firstLine="708"/>
        <w:jc w:val="both"/>
        <w:rPr>
          <w:rFonts w:ascii="Verdana" w:hAnsi="Verdana" w:cs="Arial"/>
          <w:sz w:val="19"/>
          <w:szCs w:val="19"/>
          <w:lang w:val="pt-BR"/>
        </w:rPr>
      </w:pPr>
      <w:r w:rsidRPr="00C80FF3">
        <w:rPr>
          <w:rStyle w:val="Refdenotaalpie"/>
          <w:rFonts w:ascii="Verdana" w:hAnsi="Verdana" w:cs="Arial"/>
          <w:sz w:val="19"/>
          <w:szCs w:val="19"/>
        </w:rPr>
        <w:footnoteRef/>
      </w:r>
      <w:r w:rsidRPr="00F16D67">
        <w:rPr>
          <w:rFonts w:ascii="Verdana" w:hAnsi="Verdana" w:cs="Arial"/>
          <w:sz w:val="19"/>
          <w:szCs w:val="19"/>
          <w:lang w:val="pt-BR"/>
        </w:rPr>
        <w:t xml:space="preserve"> Consejo de Estado, Sala de lo Contencioso Administrativo, Sección Primera. Consejero ponente: Juan Alberto Polo Figueroa. Bogotá D.C., 24 de agosto de 2000. Radicación número 6096.</w:t>
      </w:r>
    </w:p>
    <w:p w14:paraId="57E47CCC" w14:textId="77777777" w:rsidR="0039647D" w:rsidRPr="00F16D67" w:rsidRDefault="0039647D" w:rsidP="0039647D">
      <w:pPr>
        <w:pStyle w:val="Textonotapie"/>
        <w:ind w:firstLine="708"/>
        <w:jc w:val="both"/>
        <w:rPr>
          <w:rFonts w:ascii="Verdana" w:hAnsi="Verdana" w:cs="Arial"/>
          <w:sz w:val="19"/>
          <w:szCs w:val="19"/>
          <w:lang w:val="pt-BR"/>
        </w:rPr>
      </w:pPr>
    </w:p>
  </w:footnote>
  <w:footnote w:id="4">
    <w:p w14:paraId="739488E1" w14:textId="77777777" w:rsidR="0039647D" w:rsidRPr="00F16D67" w:rsidRDefault="0039647D" w:rsidP="0039647D">
      <w:pPr>
        <w:pStyle w:val="Textonotapie"/>
        <w:ind w:firstLine="708"/>
        <w:jc w:val="both"/>
        <w:rPr>
          <w:rFonts w:ascii="Verdana" w:hAnsi="Verdana"/>
          <w:sz w:val="19"/>
          <w:szCs w:val="19"/>
          <w:lang w:val="pt-BR"/>
        </w:rPr>
      </w:pPr>
      <w:r w:rsidRPr="00C80FF3">
        <w:rPr>
          <w:rStyle w:val="Refdenotaalpie"/>
          <w:rFonts w:ascii="Verdana" w:hAnsi="Verdana"/>
          <w:sz w:val="19"/>
          <w:szCs w:val="19"/>
        </w:rPr>
        <w:footnoteRef/>
      </w:r>
      <w:r w:rsidRPr="00F16D67">
        <w:rPr>
          <w:rFonts w:ascii="Verdana" w:hAnsi="Verdana"/>
          <w:sz w:val="19"/>
          <w:szCs w:val="19"/>
          <w:lang w:val="pt-BR"/>
        </w:rPr>
        <w:t xml:space="preserve"> Ibidem </w:t>
      </w:r>
    </w:p>
    <w:p w14:paraId="245419B9" w14:textId="77777777" w:rsidR="0039647D" w:rsidRPr="00F16D67" w:rsidRDefault="0039647D" w:rsidP="0039647D">
      <w:pPr>
        <w:pStyle w:val="Textonotapie"/>
        <w:ind w:firstLine="708"/>
        <w:jc w:val="both"/>
        <w:rPr>
          <w:rFonts w:ascii="Verdana" w:hAnsi="Verdana"/>
          <w:sz w:val="19"/>
          <w:szCs w:val="19"/>
          <w:lang w:val="pt-BR"/>
        </w:rPr>
      </w:pPr>
    </w:p>
  </w:footnote>
  <w:footnote w:id="5">
    <w:p w14:paraId="496B9CF5" w14:textId="77777777" w:rsidR="0039647D" w:rsidRPr="00F16D67" w:rsidRDefault="0039647D" w:rsidP="0039647D">
      <w:pPr>
        <w:pStyle w:val="Textonotapie"/>
        <w:ind w:firstLine="708"/>
        <w:jc w:val="both"/>
        <w:rPr>
          <w:rFonts w:ascii="Verdana" w:hAnsi="Verdana"/>
          <w:color w:val="333333"/>
          <w:sz w:val="19"/>
          <w:szCs w:val="19"/>
          <w:shd w:val="clear" w:color="auto" w:fill="FFFFFF"/>
          <w:lang w:val="pt-BR"/>
        </w:rPr>
      </w:pPr>
      <w:r w:rsidRPr="00C80FF3">
        <w:rPr>
          <w:rStyle w:val="Refdenotaalpie"/>
          <w:rFonts w:ascii="Verdana" w:hAnsi="Verdana"/>
          <w:sz w:val="19"/>
          <w:szCs w:val="19"/>
        </w:rPr>
        <w:footnoteRef/>
      </w:r>
      <w:r w:rsidRPr="00F16D67">
        <w:rPr>
          <w:rFonts w:ascii="Verdana" w:hAnsi="Verdana"/>
          <w:sz w:val="19"/>
          <w:szCs w:val="19"/>
          <w:lang w:val="pt-BR"/>
        </w:rPr>
        <w:t xml:space="preserve"> </w:t>
      </w:r>
      <w:r w:rsidRPr="00F16D67">
        <w:rPr>
          <w:rFonts w:ascii="Verdana" w:hAnsi="Verdana" w:cs="Arial"/>
          <w:sz w:val="19"/>
          <w:szCs w:val="19"/>
          <w:lang w:val="pt-BR"/>
        </w:rPr>
        <w:t xml:space="preserve">Corte Constitucional, Sentencia </w:t>
      </w:r>
      <w:r w:rsidRPr="00F16D67">
        <w:rPr>
          <w:rFonts w:ascii="Verdana" w:eastAsia="Times New Roman" w:hAnsi="Verdana" w:cs="Arial"/>
          <w:sz w:val="19"/>
          <w:szCs w:val="19"/>
          <w:lang w:val="pt-BR" w:eastAsia="es-MX"/>
        </w:rPr>
        <w:t>C-917 de 2002</w:t>
      </w:r>
      <w:r w:rsidRPr="00F16D67">
        <w:rPr>
          <w:rFonts w:ascii="Verdana" w:hAnsi="Verdana" w:cs="Arial"/>
          <w:sz w:val="19"/>
          <w:szCs w:val="19"/>
          <w:lang w:val="pt-BR"/>
        </w:rPr>
        <w:t xml:space="preserve">. M.P.: </w:t>
      </w:r>
      <w:r w:rsidRPr="00F16D67">
        <w:rPr>
          <w:rFonts w:ascii="Verdana" w:hAnsi="Verdana"/>
          <w:color w:val="333333"/>
          <w:sz w:val="19"/>
          <w:szCs w:val="19"/>
          <w:shd w:val="clear" w:color="auto" w:fill="FFFFFF"/>
          <w:lang w:val="pt-BR"/>
        </w:rPr>
        <w:t>Marco Gerardo Monroy Cabra.</w:t>
      </w:r>
    </w:p>
    <w:p w14:paraId="4071392C" w14:textId="77777777" w:rsidR="0039647D" w:rsidRPr="00F16D67" w:rsidRDefault="0039647D" w:rsidP="0039647D">
      <w:pPr>
        <w:pStyle w:val="Textonotapie"/>
        <w:ind w:firstLine="708"/>
        <w:jc w:val="both"/>
        <w:rPr>
          <w:rFonts w:ascii="Verdana" w:hAnsi="Verdana"/>
          <w:sz w:val="19"/>
          <w:szCs w:val="19"/>
          <w:lang w:val="pt-BR"/>
        </w:rPr>
      </w:pPr>
    </w:p>
  </w:footnote>
  <w:footnote w:id="6">
    <w:p w14:paraId="52AB227A" w14:textId="77777777" w:rsidR="0039647D" w:rsidRDefault="0039647D" w:rsidP="0039647D">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Fonts w:ascii="Verdana" w:hAnsi="Verdana" w:cs="Arial"/>
          <w:sz w:val="19"/>
          <w:szCs w:val="19"/>
        </w:rPr>
        <w:t xml:space="preserve"> Artículo 1º del Decreto Ley 4170 de 2011.</w:t>
      </w:r>
    </w:p>
    <w:p w14:paraId="0A5685D4" w14:textId="77777777" w:rsidR="0039647D" w:rsidRPr="00C80FF3" w:rsidRDefault="0039647D" w:rsidP="0039647D">
      <w:pPr>
        <w:pStyle w:val="Textonotapie"/>
        <w:ind w:firstLine="708"/>
        <w:jc w:val="both"/>
        <w:rPr>
          <w:rFonts w:ascii="Verdana" w:hAnsi="Verdana" w:cs="Arial"/>
          <w:sz w:val="19"/>
          <w:szCs w:val="19"/>
        </w:rPr>
      </w:pPr>
    </w:p>
  </w:footnote>
  <w:footnote w:id="7">
    <w:p w14:paraId="3458D1E2" w14:textId="77777777" w:rsidR="0039647D" w:rsidRPr="00C80FF3" w:rsidRDefault="0039647D" w:rsidP="0039647D">
      <w:pPr>
        <w:pStyle w:val="Textonotapie"/>
        <w:ind w:firstLine="708"/>
        <w:jc w:val="both"/>
        <w:rPr>
          <w:rFonts w:ascii="Verdana" w:hAnsi="Verdana" w:cs="Arial"/>
          <w:sz w:val="19"/>
          <w:szCs w:val="19"/>
        </w:rPr>
      </w:pPr>
      <w:r w:rsidRPr="00C80FF3">
        <w:rPr>
          <w:rStyle w:val="Refdenotaalpie"/>
          <w:rFonts w:ascii="Verdana" w:hAnsi="Verdana"/>
          <w:sz w:val="19"/>
          <w:szCs w:val="19"/>
        </w:rPr>
        <w:footnoteRef/>
      </w:r>
      <w:r w:rsidRPr="00C80FF3">
        <w:rPr>
          <w:rFonts w:ascii="Verdana" w:hAnsi="Verdana"/>
          <w:sz w:val="19"/>
          <w:szCs w:val="19"/>
        </w:rPr>
        <w:t xml:space="preserve"> </w:t>
      </w:r>
      <w:r w:rsidRPr="00C80FF3">
        <w:rPr>
          <w:rFonts w:ascii="Verdana" w:hAnsi="Verdana" w:cs="Arial"/>
          <w:sz w:val="19"/>
          <w:szCs w:val="19"/>
        </w:rPr>
        <w:t>Ver el Artículo 11 numeral 12 del Decreto Ley 4170 de 2011.</w:t>
      </w:r>
    </w:p>
    <w:p w14:paraId="4E78A9F6" w14:textId="77777777" w:rsidR="0039647D" w:rsidRPr="00C80FF3" w:rsidRDefault="0039647D" w:rsidP="0039647D">
      <w:pPr>
        <w:pStyle w:val="Textonotapie"/>
        <w:ind w:firstLine="708"/>
        <w:jc w:val="both"/>
        <w:rPr>
          <w:rFonts w:ascii="Verdana" w:hAnsi="Verdana"/>
          <w:sz w:val="19"/>
          <w:szCs w:val="19"/>
        </w:rPr>
      </w:pPr>
    </w:p>
  </w:footnote>
  <w:footnote w:id="8">
    <w:p w14:paraId="061D1A90" w14:textId="77777777" w:rsidR="0039647D" w:rsidRDefault="0039647D" w:rsidP="0039647D">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Style w:val="Refdenotaalpie"/>
          <w:rFonts w:ascii="Verdana" w:hAnsi="Verdana" w:cs="Arial"/>
          <w:sz w:val="19"/>
          <w:szCs w:val="19"/>
        </w:rPr>
        <w:t xml:space="preserve"> </w:t>
      </w:r>
      <w:r w:rsidRPr="00C80FF3">
        <w:rPr>
          <w:rFonts w:ascii="Verdana" w:hAnsi="Verdana" w:cs="Arial"/>
          <w:sz w:val="19"/>
          <w:szCs w:val="19"/>
        </w:rPr>
        <w:t>Consejo de Estado. Sección Tercera. Auto del 14 de agosto de 2017. Rad. 58820.</w:t>
      </w:r>
    </w:p>
    <w:p w14:paraId="2590B1C6" w14:textId="77777777" w:rsidR="0039647D" w:rsidRPr="00C80FF3" w:rsidRDefault="0039647D" w:rsidP="0039647D">
      <w:pPr>
        <w:pStyle w:val="Textonotapie"/>
        <w:ind w:firstLine="708"/>
        <w:jc w:val="both"/>
        <w:rPr>
          <w:rFonts w:ascii="Verdana" w:hAnsi="Verdana" w:cs="Arial"/>
          <w:sz w:val="19"/>
          <w:szCs w:val="19"/>
        </w:rPr>
      </w:pPr>
    </w:p>
  </w:footnote>
  <w:footnote w:id="9">
    <w:p w14:paraId="3B00B9E5" w14:textId="77777777" w:rsidR="0039647D" w:rsidRPr="00C80FF3" w:rsidRDefault="0039647D" w:rsidP="0039647D">
      <w:pPr>
        <w:pStyle w:val="Textonotapie"/>
        <w:ind w:firstLine="708"/>
        <w:jc w:val="both"/>
        <w:rPr>
          <w:rFonts w:ascii="Verdana" w:hAnsi="Verdana"/>
          <w:sz w:val="19"/>
          <w:szCs w:val="19"/>
        </w:rPr>
      </w:pPr>
      <w:r w:rsidRPr="00C80FF3">
        <w:rPr>
          <w:rStyle w:val="Refdenotaalpie"/>
          <w:rFonts w:ascii="Verdana" w:hAnsi="Verdana"/>
          <w:sz w:val="19"/>
          <w:szCs w:val="19"/>
        </w:rPr>
        <w:footnoteRef/>
      </w:r>
      <w:r w:rsidRPr="00C80FF3">
        <w:rPr>
          <w:rFonts w:ascii="Verdana" w:hAnsi="Verdana"/>
          <w:sz w:val="19"/>
          <w:szCs w:val="19"/>
        </w:rPr>
        <w:t xml:space="preserve"> Consejo de Estado. Sección Tercera. Sentencia del 16 de agosto de 2017. Rad. 56166.</w:t>
      </w:r>
    </w:p>
    <w:p w14:paraId="25E84C2D" w14:textId="77777777" w:rsidR="0039647D" w:rsidRPr="00C80FF3" w:rsidRDefault="0039647D" w:rsidP="0039647D">
      <w:pPr>
        <w:pStyle w:val="Textonotapie"/>
        <w:ind w:firstLine="708"/>
        <w:jc w:val="both"/>
        <w:rPr>
          <w:rFonts w:ascii="Verdana" w:hAnsi="Verdana"/>
          <w:sz w:val="19"/>
          <w:szCs w:val="19"/>
        </w:rPr>
      </w:pPr>
    </w:p>
  </w:footnote>
  <w:footnote w:id="10">
    <w:p w14:paraId="5BBF26D9" w14:textId="77777777" w:rsidR="0039647D" w:rsidRPr="00C80FF3" w:rsidRDefault="0039647D" w:rsidP="0039647D">
      <w:pPr>
        <w:pStyle w:val="Textonotapie"/>
        <w:ind w:firstLine="708"/>
        <w:jc w:val="both"/>
        <w:rPr>
          <w:rFonts w:ascii="Verdana" w:hAnsi="Verdana" w:cs="Arial"/>
          <w:sz w:val="19"/>
          <w:szCs w:val="19"/>
        </w:rPr>
      </w:pPr>
      <w:r w:rsidRPr="00C80FF3">
        <w:rPr>
          <w:rStyle w:val="Refdenotaalpie"/>
          <w:rFonts w:ascii="Verdana" w:hAnsi="Verdana" w:cs="Arial"/>
          <w:sz w:val="19"/>
          <w:szCs w:val="19"/>
        </w:rPr>
        <w:footnoteRef/>
      </w:r>
      <w:r w:rsidRPr="00C80FF3">
        <w:rPr>
          <w:rFonts w:ascii="Verdana" w:hAnsi="Verdana" w:cs="Arial"/>
          <w:sz w:val="19"/>
          <w:szCs w:val="19"/>
        </w:rPr>
        <w:t xml:space="preserve">Ibídem. </w:t>
      </w:r>
    </w:p>
    <w:p w14:paraId="4F423E21" w14:textId="77777777" w:rsidR="0039647D" w:rsidRPr="00C80FF3" w:rsidRDefault="0039647D" w:rsidP="0039647D">
      <w:pPr>
        <w:pStyle w:val="Textonotapie"/>
        <w:ind w:firstLine="708"/>
        <w:jc w:val="both"/>
        <w:rPr>
          <w:rFonts w:ascii="Verdana" w:hAnsi="Verdana" w:cs="Arial"/>
          <w:sz w:val="19"/>
          <w:szCs w:val="19"/>
        </w:rPr>
      </w:pPr>
    </w:p>
  </w:footnote>
  <w:footnote w:id="11">
    <w:p w14:paraId="3B565606" w14:textId="77777777" w:rsidR="0039647D" w:rsidRPr="00C80FF3" w:rsidRDefault="0039647D" w:rsidP="0039647D">
      <w:pPr>
        <w:pStyle w:val="Textonotapie"/>
        <w:ind w:firstLine="708"/>
        <w:jc w:val="both"/>
        <w:rPr>
          <w:rFonts w:ascii="Verdana" w:hAnsi="Verdana" w:cs="Arial"/>
          <w:sz w:val="19"/>
          <w:szCs w:val="19"/>
          <w:lang w:val="es-ES"/>
        </w:rPr>
      </w:pPr>
      <w:r w:rsidRPr="00C80FF3">
        <w:rPr>
          <w:rStyle w:val="Refdenotaalpie"/>
          <w:rFonts w:ascii="Verdana" w:hAnsi="Verdana" w:cs="Arial"/>
          <w:sz w:val="19"/>
          <w:szCs w:val="19"/>
        </w:rPr>
        <w:footnoteRef/>
      </w:r>
      <w:r w:rsidRPr="00C80FF3">
        <w:rPr>
          <w:rFonts w:ascii="Verdana" w:hAnsi="Verdana" w:cs="Arial"/>
          <w:sz w:val="19"/>
          <w:szCs w:val="19"/>
        </w:rPr>
        <w:t xml:space="preserve"> Diccionario de la Real Academia Española, versión online disponible en: </w:t>
      </w:r>
      <w:hyperlink r:id="rId1" w:history="1">
        <w:r w:rsidRPr="00C80FF3">
          <w:rPr>
            <w:rStyle w:val="Hipervnculo"/>
            <w:rFonts w:ascii="Verdana" w:hAnsi="Verdana" w:cs="Arial"/>
            <w:sz w:val="19"/>
            <w:szCs w:val="19"/>
          </w:rPr>
          <w:t>https://dle.rae.es/est%C3%A1ndar</w:t>
        </w:r>
      </w:hyperlink>
      <w:r w:rsidRPr="00C80FF3">
        <w:rPr>
          <w:rFonts w:ascii="Verdana" w:hAnsi="Verdana" w:cs="Arial"/>
          <w:sz w:val="19"/>
          <w:szCs w:val="19"/>
        </w:rPr>
        <w:t xml:space="preserve">, consultado el 2 de junio de 2020. </w:t>
      </w:r>
    </w:p>
  </w:footnote>
  <w:footnote w:id="12">
    <w:p w14:paraId="7A2EFC71"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Gaceta del Congreso No. 733 del 2018. Pág. 19</w:t>
      </w:r>
    </w:p>
    <w:p w14:paraId="77977A33" w14:textId="77777777" w:rsidR="0039647D" w:rsidRPr="00861BF3" w:rsidRDefault="0039647D" w:rsidP="0039647D">
      <w:pPr>
        <w:pStyle w:val="Textonotapie"/>
        <w:jc w:val="both"/>
        <w:rPr>
          <w:rFonts w:ascii="Verdana" w:hAnsi="Verdana"/>
          <w:sz w:val="19"/>
          <w:szCs w:val="19"/>
          <w:lang w:val="es-CO"/>
        </w:rPr>
      </w:pPr>
    </w:p>
  </w:footnote>
  <w:footnote w:id="13">
    <w:p w14:paraId="0938002D"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 xml:space="preserve">Ley 2022 de 2020: “Artículo 1. Modifíquese el artículo </w:t>
      </w:r>
      <w:hyperlink r:id="rId2" w:anchor="4" w:history="1">
        <w:r w:rsidRPr="00861BF3">
          <w:rPr>
            <w:rFonts w:ascii="Verdana" w:hAnsi="Verdana" w:cs="Arial"/>
            <w:sz w:val="19"/>
            <w:szCs w:val="19"/>
          </w:rPr>
          <w:t>4</w:t>
        </w:r>
      </w:hyperlink>
      <w:r w:rsidRPr="00861BF3">
        <w:rPr>
          <w:rFonts w:ascii="Verdana" w:hAnsi="Verdana" w:cs="Arial"/>
          <w:sz w:val="19"/>
          <w:szCs w:val="19"/>
        </w:rPr>
        <w:t xml:space="preserve">º de la Ley 1882 de 2018, el cual quedará así: </w:t>
      </w:r>
    </w:p>
    <w:p w14:paraId="446B6563" w14:textId="77777777" w:rsidR="0039647D" w:rsidRPr="00861BF3" w:rsidRDefault="0039647D" w:rsidP="0039647D">
      <w:pPr>
        <w:pStyle w:val="Textonotapie"/>
        <w:ind w:firstLine="708"/>
        <w:jc w:val="both"/>
        <w:rPr>
          <w:rFonts w:ascii="Verdana" w:hAnsi="Verdana" w:cs="Arial"/>
          <w:sz w:val="19"/>
          <w:szCs w:val="19"/>
        </w:rPr>
      </w:pPr>
    </w:p>
    <w:p w14:paraId="671D52CA"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 xml:space="preserve">“Artículo 4º. Adiciónese el siguiente </w:t>
      </w:r>
      <w:r w:rsidRPr="00861BF3">
        <w:rPr>
          <w:rFonts w:ascii="Verdana" w:hAnsi="Verdana"/>
          <w:sz w:val="19"/>
          <w:szCs w:val="19"/>
        </w:rPr>
        <w:t xml:space="preserve"> </w:t>
      </w:r>
      <w:r w:rsidRPr="00861BF3">
        <w:rPr>
          <w:rFonts w:ascii="Verdana" w:hAnsi="Verdana" w:cs="Arial"/>
          <w:sz w:val="19"/>
          <w:szCs w:val="19"/>
        </w:rPr>
        <w:t>al artículo 2º de la Ley 1150 de 2007.</w:t>
      </w:r>
    </w:p>
    <w:p w14:paraId="6AFE08B0" w14:textId="77777777" w:rsidR="0039647D" w:rsidRPr="00861BF3" w:rsidRDefault="0039647D" w:rsidP="0039647D">
      <w:pPr>
        <w:pStyle w:val="Textonotapie"/>
        <w:ind w:firstLine="708"/>
        <w:jc w:val="both"/>
        <w:rPr>
          <w:rFonts w:ascii="Verdana" w:hAnsi="Verdana" w:cs="Arial"/>
          <w:sz w:val="19"/>
          <w:szCs w:val="19"/>
        </w:rPr>
      </w:pPr>
    </w:p>
    <w:p w14:paraId="2EA04B10"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66C79B5" w14:textId="77777777" w:rsidR="0039647D" w:rsidRPr="00861BF3" w:rsidRDefault="0039647D" w:rsidP="0039647D">
      <w:pPr>
        <w:pStyle w:val="Textonotapie"/>
        <w:ind w:firstLine="708"/>
        <w:jc w:val="both"/>
        <w:rPr>
          <w:rFonts w:ascii="Verdana" w:hAnsi="Verdana" w:cs="Arial"/>
          <w:sz w:val="19"/>
          <w:szCs w:val="19"/>
        </w:rPr>
      </w:pPr>
    </w:p>
    <w:p w14:paraId="1A85E6E1"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1DF6FC37" w14:textId="77777777" w:rsidR="0039647D" w:rsidRPr="00861BF3" w:rsidRDefault="0039647D" w:rsidP="0039647D">
      <w:pPr>
        <w:pStyle w:val="Textonotapie"/>
        <w:ind w:firstLine="708"/>
        <w:jc w:val="both"/>
        <w:rPr>
          <w:rFonts w:ascii="Verdana" w:hAnsi="Verdana" w:cs="Arial"/>
          <w:sz w:val="19"/>
          <w:szCs w:val="19"/>
        </w:rPr>
      </w:pPr>
    </w:p>
    <w:p w14:paraId="27367F7B"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0C55FAE" w14:textId="77777777" w:rsidR="0039647D" w:rsidRPr="00861BF3" w:rsidRDefault="0039647D" w:rsidP="0039647D">
      <w:pPr>
        <w:pStyle w:val="Textonotapie"/>
        <w:ind w:firstLine="708"/>
        <w:jc w:val="both"/>
        <w:rPr>
          <w:rFonts w:ascii="Verdana" w:hAnsi="Verdana" w:cs="Arial"/>
          <w:sz w:val="19"/>
          <w:szCs w:val="19"/>
        </w:rPr>
      </w:pPr>
    </w:p>
    <w:p w14:paraId="5EF499C9"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68BC8C5C" w14:textId="77777777" w:rsidR="0039647D" w:rsidRPr="00861BF3" w:rsidRDefault="0039647D" w:rsidP="0039647D">
      <w:pPr>
        <w:pStyle w:val="Textonotapie"/>
        <w:ind w:firstLine="708"/>
        <w:jc w:val="both"/>
        <w:rPr>
          <w:rFonts w:ascii="Verdana" w:hAnsi="Verdana" w:cs="Arial"/>
          <w:sz w:val="19"/>
          <w:szCs w:val="19"/>
        </w:rPr>
      </w:pPr>
    </w:p>
    <w:p w14:paraId="2461852F"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p w14:paraId="4C3F14CB"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 xml:space="preserve"> </w:t>
      </w:r>
    </w:p>
  </w:footnote>
  <w:footnote w:id="14">
    <w:p w14:paraId="2B0D9CD8"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Ley 80 de 1993. “Artículo 2. De la definición de entidades, servidores y servicios públicos. Para los solos efectos de esta ley:</w:t>
      </w:r>
    </w:p>
    <w:p w14:paraId="4446CFED" w14:textId="77777777" w:rsidR="0039647D" w:rsidRPr="00861BF3" w:rsidRDefault="0039647D" w:rsidP="0039647D">
      <w:pPr>
        <w:pStyle w:val="Textonotapie"/>
        <w:ind w:firstLine="708"/>
        <w:jc w:val="both"/>
        <w:rPr>
          <w:rFonts w:ascii="Verdana" w:hAnsi="Verdana" w:cs="Arial"/>
          <w:sz w:val="19"/>
          <w:szCs w:val="19"/>
        </w:rPr>
      </w:pPr>
    </w:p>
    <w:p w14:paraId="6BA39F8C"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1o. Se denominan entidades estatales:</w:t>
      </w:r>
    </w:p>
    <w:p w14:paraId="7F2C9FA3" w14:textId="77777777" w:rsidR="0039647D" w:rsidRPr="00861BF3" w:rsidRDefault="0039647D" w:rsidP="0039647D">
      <w:pPr>
        <w:pStyle w:val="Textonotapie"/>
        <w:ind w:firstLine="708"/>
        <w:jc w:val="both"/>
        <w:rPr>
          <w:rFonts w:ascii="Verdana" w:hAnsi="Verdana" w:cs="Arial"/>
          <w:sz w:val="19"/>
          <w:szCs w:val="19"/>
        </w:rPr>
      </w:pPr>
    </w:p>
    <w:p w14:paraId="6DF53210" w14:textId="77777777" w:rsidR="0039647D" w:rsidRPr="00861BF3" w:rsidRDefault="0039647D" w:rsidP="0039647D">
      <w:pPr>
        <w:pStyle w:val="Textonotapie"/>
        <w:ind w:firstLine="708"/>
        <w:jc w:val="both"/>
        <w:rPr>
          <w:rFonts w:ascii="Verdana" w:hAnsi="Verdana" w:cs="Arial"/>
          <w:sz w:val="19"/>
          <w:szCs w:val="19"/>
        </w:rPr>
      </w:pPr>
      <w:r w:rsidRPr="00861BF3">
        <w:rPr>
          <w:rFonts w:ascii="Verdana" w:hAnsi="Verdana" w:cs="Arial"/>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728E87C5" w14:textId="77777777" w:rsidR="0039647D" w:rsidRPr="00861BF3" w:rsidRDefault="0039647D" w:rsidP="0039647D">
      <w:pPr>
        <w:pStyle w:val="Textonotapie"/>
        <w:ind w:firstLine="708"/>
        <w:jc w:val="both"/>
        <w:rPr>
          <w:rFonts w:ascii="Verdana" w:hAnsi="Verdana" w:cs="Arial"/>
          <w:sz w:val="19"/>
          <w:szCs w:val="19"/>
        </w:rPr>
      </w:pPr>
    </w:p>
    <w:p w14:paraId="60FB896D" w14:textId="77777777" w:rsidR="0039647D" w:rsidRPr="00861BF3" w:rsidRDefault="0039647D" w:rsidP="0039647D">
      <w:pPr>
        <w:pStyle w:val="Textonotapie"/>
        <w:ind w:firstLine="708"/>
        <w:jc w:val="both"/>
        <w:rPr>
          <w:rFonts w:ascii="Verdana" w:hAnsi="Verdana" w:cs="Arial"/>
          <w:i/>
          <w:sz w:val="19"/>
          <w:szCs w:val="19"/>
        </w:rPr>
      </w:pPr>
      <w:r w:rsidRPr="00861BF3">
        <w:rPr>
          <w:rFonts w:ascii="Verdana" w:hAnsi="Verdana"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w:t>
      </w:r>
    </w:p>
  </w:footnote>
  <w:footnote w:id="15">
    <w:p w14:paraId="2CD3F3FD" w14:textId="77777777" w:rsidR="0039647D" w:rsidRPr="00F16D67" w:rsidRDefault="0039647D" w:rsidP="0039647D">
      <w:pPr>
        <w:pStyle w:val="Textonotapie"/>
        <w:ind w:firstLine="708"/>
        <w:jc w:val="both"/>
        <w:rPr>
          <w:rFonts w:ascii="Verdana" w:hAnsi="Verdana" w:cs="Arial"/>
          <w:sz w:val="19"/>
          <w:szCs w:val="19"/>
          <w:lang w:val="it-IT"/>
        </w:rPr>
      </w:pPr>
      <w:r w:rsidRPr="00861BF3">
        <w:rPr>
          <w:rStyle w:val="Refdenotaalpie"/>
          <w:rFonts w:ascii="Verdana" w:hAnsi="Verdana" w:cs="Arial"/>
          <w:sz w:val="19"/>
          <w:szCs w:val="19"/>
        </w:rPr>
        <w:footnoteRef/>
      </w:r>
      <w:r w:rsidRPr="00F16D67">
        <w:rPr>
          <w:rFonts w:ascii="Verdana" w:hAnsi="Verdana" w:cs="Arial"/>
          <w:sz w:val="19"/>
          <w:szCs w:val="19"/>
          <w:lang w:val="pt-BR"/>
        </w:rPr>
        <w:t xml:space="preserve"> Corte Constitucional. Sentencia C-1005 de 2008. </w:t>
      </w:r>
      <w:r w:rsidRPr="00F16D67">
        <w:rPr>
          <w:rFonts w:ascii="Verdana" w:hAnsi="Verdana" w:cs="Arial"/>
          <w:sz w:val="19"/>
          <w:szCs w:val="19"/>
          <w:lang w:val="it-IT"/>
        </w:rPr>
        <w:t>M.P.: Humberto Sierra Porto.</w:t>
      </w:r>
    </w:p>
    <w:p w14:paraId="5A43FF22" w14:textId="77777777" w:rsidR="0039647D" w:rsidRPr="00F16D67" w:rsidRDefault="0039647D" w:rsidP="0039647D">
      <w:pPr>
        <w:pStyle w:val="Textonotapie"/>
        <w:ind w:firstLine="708"/>
        <w:jc w:val="both"/>
        <w:rPr>
          <w:rFonts w:ascii="Verdana" w:hAnsi="Verdana" w:cs="Arial"/>
          <w:sz w:val="19"/>
          <w:szCs w:val="19"/>
          <w:lang w:val="it-IT"/>
        </w:rPr>
      </w:pPr>
    </w:p>
  </w:footnote>
  <w:footnote w:id="16">
    <w:p w14:paraId="7D9FAD77"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Consejo de Estado. Sección Primera. Sentencia del 20 de noviembre de 2014. Rad. 1101-03-24-000-2010-00119-00. C.P.: Guillermo Vargas Ayala. </w:t>
      </w:r>
    </w:p>
    <w:p w14:paraId="71CEA091" w14:textId="77777777" w:rsidR="0039647D" w:rsidRPr="00861BF3" w:rsidRDefault="0039647D" w:rsidP="0039647D">
      <w:pPr>
        <w:pStyle w:val="Textonotapie"/>
        <w:ind w:firstLine="708"/>
        <w:jc w:val="both"/>
        <w:rPr>
          <w:rFonts w:ascii="Verdana" w:hAnsi="Verdana" w:cs="Arial"/>
          <w:sz w:val="19"/>
          <w:szCs w:val="19"/>
        </w:rPr>
      </w:pPr>
    </w:p>
  </w:footnote>
  <w:footnote w:id="17">
    <w:p w14:paraId="1EF2E1EC" w14:textId="77777777" w:rsidR="0039647D" w:rsidRPr="00861BF3" w:rsidRDefault="0039647D" w:rsidP="0039647D">
      <w:pPr>
        <w:spacing w:after="0" w:line="240" w:lineRule="auto"/>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Sección Cuarta. Sentencia del 11 de febrero de 2014. Rad. 11001-03-27-000-2011-00023-00(18973). C.P. Carmen Teresa Ortiz De Rodríguez. </w:t>
      </w:r>
    </w:p>
    <w:p w14:paraId="66D1EF54" w14:textId="77777777" w:rsidR="0039647D" w:rsidRPr="00861BF3" w:rsidRDefault="0039647D" w:rsidP="0039647D">
      <w:pPr>
        <w:spacing w:after="0" w:line="240" w:lineRule="auto"/>
        <w:ind w:firstLine="708"/>
        <w:jc w:val="both"/>
        <w:rPr>
          <w:rFonts w:ascii="Verdana" w:hAnsi="Verdana" w:cs="Arial"/>
          <w:sz w:val="19"/>
          <w:szCs w:val="19"/>
        </w:rPr>
      </w:pPr>
    </w:p>
  </w:footnote>
  <w:footnote w:id="18">
    <w:p w14:paraId="1ED74621"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De acuerdo con la Sentencia C–037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p w14:paraId="43AA26F2" w14:textId="77777777" w:rsidR="0039647D" w:rsidRPr="00861BF3" w:rsidRDefault="0039647D" w:rsidP="0039647D">
      <w:pPr>
        <w:pStyle w:val="Textonotapie"/>
        <w:ind w:firstLine="708"/>
        <w:jc w:val="both"/>
        <w:rPr>
          <w:rFonts w:ascii="Verdana" w:hAnsi="Verdana" w:cs="Arial"/>
          <w:sz w:val="19"/>
          <w:szCs w:val="19"/>
        </w:rPr>
      </w:pPr>
    </w:p>
  </w:footnote>
  <w:footnote w:id="19">
    <w:p w14:paraId="71A4EC46"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Ver entre otras, las Sentencias de la Corte Constitucional C–162 de 2008; C–823 de 2011; C–810 de 2014. Consejo de Estado. Sección Segunda. Sentencia del 21 de octubre de 2010. Rad. 11001-03-25-000-2005-00125-00(5242-05). C.P. Alfonso Vargas Rincón; Consejo de Estado. Sección Tercera. Subsección B. Sentencia del 29 de abril de 2015. Rad. 11001-03-26-000-2004-00044-00(28615). C.P. Stella Conto Díaz del Castillo.</w:t>
      </w:r>
    </w:p>
    <w:p w14:paraId="5F093BE1" w14:textId="77777777" w:rsidR="0039647D" w:rsidRPr="00861BF3" w:rsidRDefault="0039647D" w:rsidP="0039647D">
      <w:pPr>
        <w:pStyle w:val="Textonotapie"/>
        <w:ind w:firstLine="708"/>
        <w:jc w:val="both"/>
        <w:rPr>
          <w:rFonts w:ascii="Verdana" w:hAnsi="Verdana" w:cs="Arial"/>
          <w:sz w:val="19"/>
          <w:szCs w:val="19"/>
        </w:rPr>
      </w:pPr>
    </w:p>
  </w:footnote>
  <w:footnote w:id="20">
    <w:p w14:paraId="004B09B9" w14:textId="77777777" w:rsidR="0039647D" w:rsidRPr="00F16D67" w:rsidRDefault="0039647D" w:rsidP="0039647D">
      <w:pPr>
        <w:pStyle w:val="Textonotapie"/>
        <w:ind w:firstLine="708"/>
        <w:jc w:val="both"/>
        <w:rPr>
          <w:rFonts w:ascii="Verdana" w:hAnsi="Verdana" w:cs="Arial"/>
          <w:sz w:val="19"/>
          <w:szCs w:val="19"/>
          <w:lang w:val="it-IT"/>
        </w:rPr>
      </w:pPr>
      <w:r w:rsidRPr="00861BF3">
        <w:rPr>
          <w:rStyle w:val="Refdenotaalpie"/>
          <w:rFonts w:ascii="Verdana" w:hAnsi="Verdana" w:cs="Arial"/>
          <w:sz w:val="19"/>
          <w:szCs w:val="19"/>
        </w:rPr>
        <w:footnoteRef/>
      </w:r>
      <w:r w:rsidRPr="00F16D67">
        <w:rPr>
          <w:rFonts w:ascii="Verdana" w:hAnsi="Verdana" w:cs="Arial"/>
          <w:sz w:val="19"/>
          <w:szCs w:val="19"/>
          <w:lang w:val="pt-BR"/>
        </w:rPr>
        <w:t xml:space="preserve"> Corte Constitucional, Sentencia C–1005 de 2008. </w:t>
      </w:r>
      <w:r w:rsidRPr="00F16D67">
        <w:rPr>
          <w:rFonts w:ascii="Verdana" w:hAnsi="Verdana" w:cs="Arial"/>
          <w:sz w:val="19"/>
          <w:szCs w:val="19"/>
          <w:lang w:val="it-IT"/>
        </w:rPr>
        <w:t xml:space="preserve">M.P.: Humberto Antonio Sierra Porto. </w:t>
      </w:r>
    </w:p>
    <w:p w14:paraId="59C0AFA9" w14:textId="77777777" w:rsidR="0039647D" w:rsidRPr="00F16D67" w:rsidRDefault="0039647D" w:rsidP="0039647D">
      <w:pPr>
        <w:pStyle w:val="Textonotapie"/>
        <w:ind w:firstLine="708"/>
        <w:jc w:val="both"/>
        <w:rPr>
          <w:rFonts w:ascii="Verdana" w:hAnsi="Verdana" w:cs="Arial"/>
          <w:sz w:val="19"/>
          <w:szCs w:val="19"/>
          <w:lang w:val="it-IT"/>
        </w:rPr>
      </w:pPr>
    </w:p>
  </w:footnote>
  <w:footnote w:id="21">
    <w:p w14:paraId="501FBBBD" w14:textId="77777777" w:rsidR="0039647D" w:rsidRPr="00F16D67" w:rsidRDefault="0039647D" w:rsidP="0039647D">
      <w:pPr>
        <w:pStyle w:val="Textonotapie"/>
        <w:ind w:firstLine="708"/>
        <w:jc w:val="both"/>
        <w:rPr>
          <w:rFonts w:ascii="Verdana" w:hAnsi="Verdana" w:cs="Arial"/>
          <w:sz w:val="19"/>
          <w:szCs w:val="19"/>
          <w:lang w:val="pt-BR"/>
        </w:rPr>
      </w:pPr>
      <w:r w:rsidRPr="00861BF3">
        <w:rPr>
          <w:rStyle w:val="Refdenotaalpie"/>
          <w:rFonts w:ascii="Verdana" w:hAnsi="Verdana" w:cs="Arial"/>
          <w:sz w:val="19"/>
          <w:szCs w:val="19"/>
        </w:rPr>
        <w:footnoteRef/>
      </w:r>
      <w:r w:rsidRPr="00F16D67">
        <w:rPr>
          <w:rFonts w:ascii="Verdana" w:hAnsi="Verdana" w:cs="Arial"/>
          <w:sz w:val="19"/>
          <w:szCs w:val="19"/>
          <w:lang w:val="pt-BR"/>
        </w:rPr>
        <w:t xml:space="preserve"> Consejo de Estado, Sala de lo Contencioso Administrativo, Sección Primera. Consejero ponente: Juan Alberto Polo Figueroa. Bogotá D.C., 24 de agosto de 2000. Radicación número 6096.</w:t>
      </w:r>
    </w:p>
    <w:p w14:paraId="6C72259D" w14:textId="77777777" w:rsidR="0039647D" w:rsidRPr="00F16D67" w:rsidRDefault="0039647D" w:rsidP="0039647D">
      <w:pPr>
        <w:pStyle w:val="Textonotapie"/>
        <w:ind w:firstLine="708"/>
        <w:jc w:val="both"/>
        <w:rPr>
          <w:rFonts w:ascii="Verdana" w:hAnsi="Verdana" w:cs="Arial"/>
          <w:sz w:val="19"/>
          <w:szCs w:val="19"/>
          <w:lang w:val="pt-BR"/>
        </w:rPr>
      </w:pPr>
    </w:p>
  </w:footnote>
  <w:footnote w:id="22">
    <w:p w14:paraId="7219DDB6" w14:textId="77777777" w:rsidR="0039647D" w:rsidRPr="00F16D67" w:rsidRDefault="0039647D" w:rsidP="0039647D">
      <w:pPr>
        <w:pStyle w:val="Textonotapie"/>
        <w:ind w:firstLine="708"/>
        <w:jc w:val="both"/>
        <w:rPr>
          <w:rFonts w:ascii="Verdana" w:hAnsi="Verdana"/>
          <w:sz w:val="19"/>
          <w:szCs w:val="19"/>
          <w:lang w:val="pt-BR"/>
        </w:rPr>
      </w:pPr>
      <w:r w:rsidRPr="00861BF3">
        <w:rPr>
          <w:rStyle w:val="Refdenotaalpie"/>
          <w:rFonts w:ascii="Verdana" w:hAnsi="Verdana"/>
          <w:sz w:val="19"/>
          <w:szCs w:val="19"/>
        </w:rPr>
        <w:footnoteRef/>
      </w:r>
      <w:r w:rsidRPr="00F16D67">
        <w:rPr>
          <w:rFonts w:ascii="Verdana" w:hAnsi="Verdana"/>
          <w:sz w:val="19"/>
          <w:szCs w:val="19"/>
          <w:lang w:val="pt-BR"/>
        </w:rPr>
        <w:t xml:space="preserve"> Ibidem </w:t>
      </w:r>
    </w:p>
    <w:p w14:paraId="655B7BB0" w14:textId="77777777" w:rsidR="0039647D" w:rsidRPr="00F16D67" w:rsidRDefault="0039647D" w:rsidP="0039647D">
      <w:pPr>
        <w:pStyle w:val="Textonotapie"/>
        <w:ind w:firstLine="708"/>
        <w:jc w:val="both"/>
        <w:rPr>
          <w:rFonts w:ascii="Verdana" w:hAnsi="Verdana"/>
          <w:sz w:val="19"/>
          <w:szCs w:val="19"/>
          <w:lang w:val="pt-BR"/>
        </w:rPr>
      </w:pPr>
    </w:p>
  </w:footnote>
  <w:footnote w:id="23">
    <w:p w14:paraId="01A4F06C" w14:textId="77777777" w:rsidR="0039647D" w:rsidRPr="00F16D67" w:rsidRDefault="0039647D" w:rsidP="0039647D">
      <w:pPr>
        <w:pStyle w:val="Textonotapie"/>
        <w:ind w:firstLine="708"/>
        <w:jc w:val="both"/>
        <w:rPr>
          <w:rFonts w:ascii="Verdana" w:hAnsi="Verdana"/>
          <w:color w:val="333333"/>
          <w:sz w:val="19"/>
          <w:szCs w:val="19"/>
          <w:shd w:val="clear" w:color="auto" w:fill="FFFFFF"/>
          <w:lang w:val="pt-BR"/>
        </w:rPr>
      </w:pPr>
      <w:r w:rsidRPr="00861BF3">
        <w:rPr>
          <w:rStyle w:val="Refdenotaalpie"/>
          <w:rFonts w:ascii="Verdana" w:hAnsi="Verdana"/>
          <w:sz w:val="19"/>
          <w:szCs w:val="19"/>
        </w:rPr>
        <w:footnoteRef/>
      </w:r>
      <w:r w:rsidRPr="00F16D67">
        <w:rPr>
          <w:rFonts w:ascii="Verdana" w:hAnsi="Verdana"/>
          <w:sz w:val="19"/>
          <w:szCs w:val="19"/>
          <w:lang w:val="pt-BR"/>
        </w:rPr>
        <w:t xml:space="preserve"> </w:t>
      </w:r>
      <w:r w:rsidRPr="00F16D67">
        <w:rPr>
          <w:rFonts w:ascii="Verdana" w:hAnsi="Verdana" w:cs="Arial"/>
          <w:sz w:val="19"/>
          <w:szCs w:val="19"/>
          <w:lang w:val="pt-BR"/>
        </w:rPr>
        <w:t xml:space="preserve">Corte Constitucional, Sentencia </w:t>
      </w:r>
      <w:r w:rsidRPr="00F16D67">
        <w:rPr>
          <w:rFonts w:ascii="Verdana" w:eastAsia="Times New Roman" w:hAnsi="Verdana" w:cs="Arial"/>
          <w:sz w:val="19"/>
          <w:szCs w:val="19"/>
          <w:lang w:val="pt-BR" w:eastAsia="es-MX"/>
        </w:rPr>
        <w:t>C-917 de 2002</w:t>
      </w:r>
      <w:r w:rsidRPr="00F16D67">
        <w:rPr>
          <w:rFonts w:ascii="Verdana" w:hAnsi="Verdana" w:cs="Arial"/>
          <w:sz w:val="19"/>
          <w:szCs w:val="19"/>
          <w:lang w:val="pt-BR"/>
        </w:rPr>
        <w:t xml:space="preserve">. M.P.: </w:t>
      </w:r>
      <w:r w:rsidRPr="00F16D67">
        <w:rPr>
          <w:rFonts w:ascii="Verdana" w:hAnsi="Verdana"/>
          <w:color w:val="333333"/>
          <w:sz w:val="19"/>
          <w:szCs w:val="19"/>
          <w:shd w:val="clear" w:color="auto" w:fill="FFFFFF"/>
          <w:lang w:val="pt-BR"/>
        </w:rPr>
        <w:t>Marco Gerardo Monroy Cabra.</w:t>
      </w:r>
    </w:p>
    <w:p w14:paraId="2FA81EC6" w14:textId="77777777" w:rsidR="0039647D" w:rsidRPr="00F16D67" w:rsidRDefault="0039647D" w:rsidP="0039647D">
      <w:pPr>
        <w:pStyle w:val="Textonotapie"/>
        <w:ind w:firstLine="708"/>
        <w:jc w:val="both"/>
        <w:rPr>
          <w:rFonts w:ascii="Verdana" w:hAnsi="Verdana"/>
          <w:sz w:val="19"/>
          <w:szCs w:val="19"/>
          <w:lang w:val="pt-BR"/>
        </w:rPr>
      </w:pPr>
    </w:p>
  </w:footnote>
  <w:footnote w:id="24">
    <w:p w14:paraId="5FB16CF8" w14:textId="77777777" w:rsidR="0039647D"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 Artículo 1º del Decreto Ley 4170 de 2011.</w:t>
      </w:r>
    </w:p>
    <w:p w14:paraId="34AE3FAC" w14:textId="77777777" w:rsidR="0039647D" w:rsidRPr="00861BF3" w:rsidRDefault="0039647D" w:rsidP="0039647D">
      <w:pPr>
        <w:pStyle w:val="Textonotapie"/>
        <w:ind w:firstLine="708"/>
        <w:jc w:val="both"/>
        <w:rPr>
          <w:rFonts w:ascii="Verdana" w:hAnsi="Verdana" w:cs="Arial"/>
          <w:sz w:val="19"/>
          <w:szCs w:val="19"/>
        </w:rPr>
      </w:pPr>
    </w:p>
  </w:footnote>
  <w:footnote w:id="25">
    <w:p w14:paraId="1BCD75FD"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sz w:val="19"/>
          <w:szCs w:val="19"/>
        </w:rPr>
        <w:footnoteRef/>
      </w:r>
      <w:r w:rsidRPr="00861BF3">
        <w:rPr>
          <w:rFonts w:ascii="Verdana" w:hAnsi="Verdana"/>
          <w:sz w:val="19"/>
          <w:szCs w:val="19"/>
        </w:rPr>
        <w:t xml:space="preserve"> </w:t>
      </w:r>
      <w:r w:rsidRPr="00861BF3">
        <w:rPr>
          <w:rFonts w:ascii="Verdana" w:hAnsi="Verdana" w:cs="Arial"/>
          <w:sz w:val="19"/>
          <w:szCs w:val="19"/>
        </w:rPr>
        <w:t>Ver el Artículo 11 numeral 12 del Decreto Ley 4170 de 2011.</w:t>
      </w:r>
    </w:p>
    <w:p w14:paraId="34342FD8" w14:textId="77777777" w:rsidR="0039647D" w:rsidRPr="00861BF3" w:rsidRDefault="0039647D" w:rsidP="0039647D">
      <w:pPr>
        <w:pStyle w:val="Textonotapie"/>
        <w:ind w:firstLine="708"/>
        <w:jc w:val="both"/>
        <w:rPr>
          <w:rFonts w:ascii="Verdana" w:hAnsi="Verdana"/>
          <w:sz w:val="19"/>
          <w:szCs w:val="19"/>
        </w:rPr>
      </w:pPr>
    </w:p>
  </w:footnote>
  <w:footnote w:id="26">
    <w:p w14:paraId="511C4F81" w14:textId="77777777" w:rsidR="0039647D"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Style w:val="Refdenotaalpie"/>
          <w:rFonts w:ascii="Verdana" w:hAnsi="Verdana" w:cs="Arial"/>
          <w:sz w:val="19"/>
          <w:szCs w:val="19"/>
        </w:rPr>
        <w:t xml:space="preserve"> </w:t>
      </w:r>
      <w:r w:rsidRPr="00861BF3">
        <w:rPr>
          <w:rFonts w:ascii="Verdana" w:hAnsi="Verdana" w:cs="Arial"/>
          <w:sz w:val="19"/>
          <w:szCs w:val="19"/>
        </w:rPr>
        <w:t>Consejo de Estado. Sección Tercera. Auto del 14 de agosto de 2017. Rad. 58820.</w:t>
      </w:r>
    </w:p>
    <w:p w14:paraId="4622E021" w14:textId="77777777" w:rsidR="0039647D" w:rsidRPr="00861BF3" w:rsidRDefault="0039647D" w:rsidP="0039647D">
      <w:pPr>
        <w:pStyle w:val="Textonotapie"/>
        <w:ind w:firstLine="708"/>
        <w:jc w:val="both"/>
        <w:rPr>
          <w:rFonts w:ascii="Verdana" w:hAnsi="Verdana" w:cs="Arial"/>
          <w:sz w:val="19"/>
          <w:szCs w:val="19"/>
        </w:rPr>
      </w:pPr>
    </w:p>
  </w:footnote>
  <w:footnote w:id="27">
    <w:p w14:paraId="42FD2AC7"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Tercera. Sentencia del 16 de agosto de 2017. Rad. 56166.</w:t>
      </w:r>
    </w:p>
    <w:p w14:paraId="055EF780" w14:textId="77777777" w:rsidR="0039647D" w:rsidRPr="00861BF3" w:rsidRDefault="0039647D" w:rsidP="0039647D">
      <w:pPr>
        <w:pStyle w:val="Textonotapie"/>
        <w:ind w:firstLine="708"/>
        <w:jc w:val="both"/>
        <w:rPr>
          <w:rFonts w:ascii="Verdana" w:hAnsi="Verdana"/>
          <w:sz w:val="19"/>
          <w:szCs w:val="19"/>
        </w:rPr>
      </w:pPr>
    </w:p>
  </w:footnote>
  <w:footnote w:id="28">
    <w:p w14:paraId="2749AFDC"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Fonts w:ascii="Verdana" w:hAnsi="Verdana" w:cs="Arial"/>
          <w:sz w:val="19"/>
          <w:szCs w:val="19"/>
        </w:rPr>
        <w:t xml:space="preserve">Ibídem. </w:t>
      </w:r>
    </w:p>
    <w:p w14:paraId="50EC53E7" w14:textId="77777777" w:rsidR="0039647D" w:rsidRPr="00861BF3" w:rsidRDefault="0039647D" w:rsidP="0039647D">
      <w:pPr>
        <w:pStyle w:val="Textonotapie"/>
        <w:ind w:firstLine="708"/>
        <w:jc w:val="both"/>
        <w:rPr>
          <w:rFonts w:ascii="Verdana" w:hAnsi="Verdana" w:cs="Arial"/>
          <w:sz w:val="19"/>
          <w:szCs w:val="19"/>
        </w:rPr>
      </w:pPr>
    </w:p>
  </w:footnote>
  <w:footnote w:id="29">
    <w:p w14:paraId="155B9B9D" w14:textId="77777777" w:rsidR="0039647D" w:rsidRPr="00861BF3" w:rsidRDefault="0039647D" w:rsidP="0039647D">
      <w:pPr>
        <w:pStyle w:val="Textonotapie"/>
        <w:ind w:firstLine="708"/>
        <w:jc w:val="both"/>
        <w:rPr>
          <w:rFonts w:ascii="Verdana" w:hAnsi="Verdana" w:cs="Arial"/>
          <w:sz w:val="19"/>
          <w:szCs w:val="19"/>
        </w:rPr>
      </w:pPr>
      <w:r w:rsidRPr="00861BF3">
        <w:rPr>
          <w:rStyle w:val="Refdenotaalpie"/>
          <w:rFonts w:ascii="Verdana" w:hAnsi="Verdana" w:cs="Arial"/>
          <w:sz w:val="19"/>
          <w:szCs w:val="19"/>
        </w:rPr>
        <w:footnoteRef/>
      </w:r>
      <w:r w:rsidRPr="00861BF3">
        <w:rPr>
          <w:rStyle w:val="Refdenotaalpie"/>
          <w:rFonts w:ascii="Verdana" w:hAnsi="Verdana" w:cs="Arial"/>
          <w:sz w:val="19"/>
          <w:szCs w:val="19"/>
        </w:rPr>
        <w:t xml:space="preserve"> </w:t>
      </w:r>
      <w:r w:rsidRPr="00861BF3">
        <w:rPr>
          <w:rFonts w:ascii="Verdana" w:hAnsi="Verdana" w:cs="Arial"/>
          <w:sz w:val="19"/>
          <w:szCs w:val="19"/>
        </w:rPr>
        <w:t>Consejo de Estado. Sección Tercera. Sentencia de 11 de abril de 2019. Rad. 52.055.</w:t>
      </w:r>
    </w:p>
  </w:footnote>
  <w:footnote w:id="30">
    <w:p w14:paraId="766D8F94"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Ibidem.</w:t>
      </w:r>
    </w:p>
  </w:footnote>
  <w:footnote w:id="31">
    <w:p w14:paraId="642A0DC9" w14:textId="77777777" w:rsidR="0039647D" w:rsidRPr="00861BF3" w:rsidRDefault="0039647D" w:rsidP="0039647D">
      <w:pPr>
        <w:pStyle w:val="Textonotapie"/>
        <w:ind w:firstLine="709"/>
        <w:jc w:val="both"/>
        <w:rPr>
          <w:rFonts w:ascii="Verdana" w:hAnsi="Verdana" w:cs="Arial"/>
          <w:color w:val="000000"/>
          <w:sz w:val="19"/>
          <w:szCs w:val="19"/>
        </w:rPr>
      </w:pPr>
    </w:p>
    <w:p w14:paraId="3C5FBCF3" w14:textId="77777777" w:rsidR="0039647D" w:rsidRPr="00861BF3" w:rsidRDefault="0039647D" w:rsidP="0039647D">
      <w:pPr>
        <w:pStyle w:val="Textonotapie"/>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cuanto a las resoluciones vigentes, dicha regla se observa en el artículo 3 de las Resoluciones</w:t>
      </w:r>
      <w:bookmarkStart w:id="2" w:name="_Hlk82363077"/>
      <w:r w:rsidRPr="00861BF3">
        <w:rPr>
          <w:rFonts w:ascii="Verdana" w:hAnsi="Verdana" w:cs="Arial"/>
          <w:color w:val="000000"/>
          <w:sz w:val="19"/>
          <w:szCs w:val="19"/>
          <w:lang w:val="es-ES"/>
        </w:rPr>
        <w:t xml:space="preserve"> 248 de 2020, 249 de 2020, 269 de 2020, 219 de 2021, 220 de 2021, 392 de 2021, 454 de 2021, 333 de 2022, 358 de 2023, 798 de 2023, 456 de 2024, 463 de 2024, 464 de 2024, 725 de 2024, 726 de 2024, entre otras</w:t>
      </w:r>
      <w:bookmarkEnd w:id="2"/>
      <w:r w:rsidRPr="00861BF3">
        <w:rPr>
          <w:rFonts w:ascii="Verdana" w:hAnsi="Verdana" w:cs="Arial"/>
          <w:color w:val="000000"/>
          <w:sz w:val="19"/>
          <w:szCs w:val="19"/>
          <w:lang w:val="es-ES"/>
        </w:rPr>
        <w:t xml:space="preserve">. </w:t>
      </w:r>
    </w:p>
    <w:p w14:paraId="3FE08374" w14:textId="77777777" w:rsidR="0039647D" w:rsidRPr="00861BF3" w:rsidRDefault="0039647D" w:rsidP="0039647D">
      <w:pPr>
        <w:pStyle w:val="Textonotapie"/>
        <w:ind w:firstLine="709"/>
        <w:jc w:val="both"/>
        <w:rPr>
          <w:rFonts w:ascii="Verdana" w:hAnsi="Verdana" w:cs="Arial"/>
          <w:color w:val="000000"/>
          <w:sz w:val="19"/>
          <w:szCs w:val="19"/>
          <w:lang w:val="es-ES"/>
        </w:rPr>
      </w:pPr>
    </w:p>
  </w:footnote>
  <w:footnote w:id="32">
    <w:p w14:paraId="231FD66E" w14:textId="77777777" w:rsidR="0039647D" w:rsidRPr="00861BF3" w:rsidRDefault="0039647D" w:rsidP="0039647D">
      <w:pPr>
        <w:pStyle w:val="Textonotapie"/>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En torno a las potestades regladas, García de Enterría y Ramón Fernández manifiestan: “El ejercicio de las potestades regladas reduce a la Administración a la constatación (accertamento, en el expresivo concepto italiano) del supuesto de hecho legalmente definido de manera completa y aplicar en presencia del mismo lo que la propia Ley ha determinado también agotadoramente […] La decisión en que consista el ejercicio de la potestad es obligatoria en presencia de dicho supuesto y su contenido no puede ser configurado libremente por la Administración, sino que ha de limitarse a lo que la propia Ley ha previsto sobre ese contenido de modo preciso y completo” (GARCÍA DE ENTERRÍA, Eduardo; y RAMÓN FERNÁNDEZ, Tomas. Curso de derecho administrativo. Tomo I. Madrid: Civitas, 1997. pp. 444-445)</w:t>
      </w:r>
    </w:p>
    <w:p w14:paraId="1771F2E9" w14:textId="77777777" w:rsidR="0039647D" w:rsidRPr="00861BF3" w:rsidRDefault="0039647D" w:rsidP="0039647D">
      <w:pPr>
        <w:pStyle w:val="Textonotapie"/>
        <w:ind w:firstLine="708"/>
        <w:jc w:val="both"/>
        <w:rPr>
          <w:rFonts w:ascii="Verdana" w:hAnsi="Verdana" w:cs="Arial"/>
          <w:color w:val="000000"/>
          <w:sz w:val="19"/>
          <w:szCs w:val="19"/>
        </w:rPr>
      </w:pPr>
    </w:p>
  </w:footnote>
  <w:footnote w:id="33">
    <w:p w14:paraId="098089EC" w14:textId="77777777" w:rsidR="0039647D" w:rsidRPr="00861BF3" w:rsidRDefault="0039647D" w:rsidP="0039647D">
      <w:pPr>
        <w:pStyle w:val="Textonotapie"/>
        <w:ind w:firstLine="709"/>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2337DBD5" w14:textId="77777777" w:rsidR="0039647D" w:rsidRPr="00861BF3" w:rsidRDefault="0039647D" w:rsidP="0039647D">
      <w:pPr>
        <w:pStyle w:val="Textonotapie"/>
        <w:ind w:firstLine="709"/>
        <w:jc w:val="both"/>
        <w:rPr>
          <w:rFonts w:ascii="Verdana" w:hAnsi="Verdana" w:cs="Arial"/>
          <w:color w:val="000000"/>
          <w:sz w:val="19"/>
          <w:szCs w:val="19"/>
        </w:rPr>
      </w:pPr>
    </w:p>
  </w:footnote>
  <w:footnote w:id="34">
    <w:p w14:paraId="30F93D97" w14:textId="77777777" w:rsidR="0039647D" w:rsidRDefault="0039647D" w:rsidP="0039647D">
      <w:pPr>
        <w:spacing w:after="0" w:line="240" w:lineRule="auto"/>
        <w:ind w:firstLine="709"/>
        <w:jc w:val="both"/>
        <w:rPr>
          <w:rFonts w:ascii="Verdana" w:hAnsi="Verdana" w:cs="Arial"/>
          <w:color w:val="000000"/>
          <w:sz w:val="19"/>
          <w:szCs w:val="19"/>
          <w:lang w:val="es-ES"/>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w:t>
      </w:r>
      <w:r w:rsidRPr="00861BF3">
        <w:rPr>
          <w:rFonts w:ascii="Verdana" w:hAnsi="Verdana" w:cs="Arial"/>
          <w:color w:val="000000"/>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64BCA112" w14:textId="77777777" w:rsidR="0039647D" w:rsidRPr="00861BF3" w:rsidRDefault="0039647D" w:rsidP="0039647D">
      <w:pPr>
        <w:spacing w:after="0" w:line="240" w:lineRule="auto"/>
        <w:ind w:firstLine="709"/>
        <w:jc w:val="both"/>
        <w:rPr>
          <w:rFonts w:ascii="Verdana" w:hAnsi="Verdana" w:cs="Arial"/>
          <w:color w:val="000000"/>
          <w:sz w:val="19"/>
          <w:szCs w:val="19"/>
          <w:lang w:val="es-ES"/>
        </w:rPr>
      </w:pPr>
    </w:p>
  </w:footnote>
  <w:footnote w:id="35">
    <w:p w14:paraId="337C19DD" w14:textId="77777777" w:rsidR="0039647D" w:rsidRPr="00861BF3" w:rsidRDefault="0039647D" w:rsidP="0039647D">
      <w:pPr>
        <w:pStyle w:val="Textonotapie"/>
        <w:ind w:firstLine="708"/>
        <w:jc w:val="both"/>
        <w:rPr>
          <w:rFonts w:ascii="Verdana" w:hAnsi="Verdana" w:cs="Arial"/>
          <w:sz w:val="19"/>
          <w:szCs w:val="19"/>
          <w:lang w:val="es-ES"/>
        </w:rPr>
      </w:pPr>
      <w:r w:rsidRPr="00861BF3">
        <w:rPr>
          <w:rStyle w:val="Refdenotaalpie"/>
          <w:rFonts w:ascii="Verdana" w:hAnsi="Verdana" w:cs="Arial"/>
          <w:sz w:val="19"/>
          <w:szCs w:val="19"/>
        </w:rPr>
        <w:footnoteRef/>
      </w:r>
      <w:r w:rsidRPr="00861BF3">
        <w:rPr>
          <w:rFonts w:ascii="Verdana" w:hAnsi="Verdana" w:cs="Arial"/>
          <w:sz w:val="19"/>
          <w:szCs w:val="19"/>
        </w:rPr>
        <w:t xml:space="preserve"> Diccionario de la Real Academia Española, versión online disponible en: </w:t>
      </w:r>
      <w:hyperlink r:id="rId3" w:history="1">
        <w:r w:rsidRPr="00861BF3">
          <w:rPr>
            <w:rStyle w:val="Hipervnculo"/>
            <w:rFonts w:ascii="Verdana" w:hAnsi="Verdana" w:cs="Arial"/>
            <w:sz w:val="19"/>
            <w:szCs w:val="19"/>
          </w:rPr>
          <w:t>https://dle.rae.es/est%C3%A1ndar</w:t>
        </w:r>
      </w:hyperlink>
      <w:r w:rsidRPr="00861BF3">
        <w:rPr>
          <w:rFonts w:ascii="Verdana" w:hAnsi="Verdana" w:cs="Arial"/>
          <w:sz w:val="19"/>
          <w:szCs w:val="19"/>
        </w:rPr>
        <w:t xml:space="preserve">, consultado el 2 de junio de 2020. </w:t>
      </w:r>
    </w:p>
  </w:footnote>
  <w:footnote w:id="36">
    <w:p w14:paraId="3AF90376" w14:textId="77777777" w:rsidR="0039647D" w:rsidRPr="00861BF3" w:rsidRDefault="0039647D" w:rsidP="0039647D">
      <w:pPr>
        <w:spacing w:after="0" w:line="240" w:lineRule="auto"/>
        <w:ind w:firstLine="708"/>
        <w:jc w:val="both"/>
        <w:rPr>
          <w:rFonts w:ascii="Verdana" w:hAnsi="Verdana" w:cs="Arial"/>
          <w:color w:val="000000"/>
          <w:sz w:val="19"/>
          <w:szCs w:val="19"/>
        </w:rPr>
      </w:pPr>
      <w:r w:rsidRPr="00861BF3">
        <w:rPr>
          <w:rStyle w:val="Refdenotaalpie"/>
          <w:rFonts w:ascii="Verdana" w:hAnsi="Verdana" w:cs="Arial"/>
          <w:color w:val="000000"/>
          <w:sz w:val="19"/>
          <w:szCs w:val="19"/>
        </w:rPr>
        <w:footnoteRef/>
      </w:r>
      <w:r w:rsidRPr="00861BF3">
        <w:rPr>
          <w:rFonts w:ascii="Verdana" w:hAnsi="Verdana" w:cs="Arial"/>
          <w:color w:val="000000"/>
          <w:sz w:val="19"/>
          <w:szCs w:val="19"/>
        </w:rPr>
        <w:t xml:space="preserve"> Cita tomada de la providencia del 20 de febrero de 2020, dictada por el Consejo de Estado. Sección Tercera. Subsección A, dentro del expediente 47001-23-33-000-2018-00035-01 (63.854), cuya ponente fue Marta Nubia Velásquez Rico.</w:t>
      </w:r>
    </w:p>
    <w:p w14:paraId="7E0686FA" w14:textId="77777777" w:rsidR="0039647D" w:rsidRPr="00861BF3" w:rsidRDefault="0039647D" w:rsidP="0039647D">
      <w:pPr>
        <w:spacing w:after="0" w:line="240" w:lineRule="auto"/>
        <w:ind w:firstLine="708"/>
        <w:jc w:val="both"/>
        <w:rPr>
          <w:rFonts w:ascii="Verdana" w:hAnsi="Verdana" w:cs="Arial"/>
          <w:color w:val="000000"/>
          <w:sz w:val="19"/>
          <w:szCs w:val="19"/>
        </w:rPr>
      </w:pPr>
    </w:p>
  </w:footnote>
  <w:footnote w:id="37">
    <w:p w14:paraId="5B751F1A"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Por el cual se modifican los artículos 2.2.1.2.4.2.6.,2.2.1.2.4.2.7. Y 2.2.1.2.4.2.8. del Decreto 1082 de 2015, Único Reglamentario del Sector Administrativo de Planeación".</w:t>
      </w:r>
    </w:p>
    <w:p w14:paraId="37371312" w14:textId="77777777" w:rsidR="0039647D" w:rsidRPr="00861BF3" w:rsidRDefault="0039647D" w:rsidP="0039647D">
      <w:pPr>
        <w:pStyle w:val="Textonotapie"/>
        <w:ind w:firstLine="708"/>
        <w:jc w:val="both"/>
        <w:rPr>
          <w:rFonts w:ascii="Verdana" w:hAnsi="Verdana"/>
          <w:sz w:val="19"/>
          <w:szCs w:val="19"/>
          <w:lang w:val="es-ES_tradnl"/>
        </w:rPr>
      </w:pPr>
    </w:p>
  </w:footnote>
  <w:footnote w:id="38">
    <w:p w14:paraId="56E35F39"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Consejo de Estado, Sección Quinta, del 12 de diciembre de 2024 (Rad. 05001-23-33-000-2024-00847-01, M.P. Omar Joaquín Barreto Suárez)</w:t>
      </w:r>
    </w:p>
    <w:p w14:paraId="6BC8E4B2" w14:textId="77777777" w:rsidR="0039647D" w:rsidRPr="00861BF3" w:rsidRDefault="0039647D" w:rsidP="0039647D">
      <w:pPr>
        <w:pStyle w:val="Textonotapie"/>
        <w:ind w:firstLine="708"/>
        <w:jc w:val="both"/>
        <w:rPr>
          <w:rFonts w:ascii="Verdana" w:hAnsi="Verdana"/>
          <w:sz w:val="19"/>
          <w:szCs w:val="19"/>
          <w:lang w:val="es-ES_tradnl"/>
        </w:rPr>
      </w:pPr>
    </w:p>
  </w:footnote>
  <w:footnote w:id="39">
    <w:p w14:paraId="14FA7C73" w14:textId="77777777" w:rsidR="0039647D" w:rsidRPr="00861BF3" w:rsidRDefault="0039647D" w:rsidP="0039647D">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"Por el cual se reglamentan los numerales 1 y 8 del artículo 13 de la Ley 1618 de 2013, sobre incentivos en Procesos de Contratación en favor de personas con discapacidad”. </w:t>
      </w:r>
    </w:p>
  </w:footnote>
  <w:footnote w:id="40">
    <w:p w14:paraId="6884FDF3" w14:textId="77777777" w:rsidR="0039647D" w:rsidRPr="00861BF3" w:rsidRDefault="0039647D" w:rsidP="0039647D">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Parte considerativa del Decreto 287 de 2026.</w:t>
      </w:r>
    </w:p>
  </w:footnote>
  <w:footnote w:id="41">
    <w:p w14:paraId="510F39A1"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2.2.1.2.4.2.7.3. del Decreto 1082 de 2015, modificado por el artículo 1 del Decreto 287 de 2026: “Incorporación de criterios habilitantes diferenciales en favor de los emprendimientos y empresas de personas con discapacidad. En los procesos de licitación pública, selección abreviada y concurso de méritos, así como en los procesos competitivos adelantados por entidades no sometidas al Estatuto General de Contratación de la Administración Pública, deberán establecer requisitos habilitantes diferenciales o ajustados en materia de experiencia, capacidad financiera u organizacional, o el valor de la garantía de seriedad de la oferta, con el fin de promover la participación de emprendimientos y empresas de personas con discapacidad con domicilio en el territorio nacional. </w:t>
      </w:r>
    </w:p>
    <w:p w14:paraId="5022B3F9" w14:textId="77777777" w:rsidR="0039647D" w:rsidRPr="00861BF3" w:rsidRDefault="0039647D" w:rsidP="0039647D">
      <w:pPr>
        <w:pStyle w:val="Textonotapie"/>
        <w:ind w:firstLine="708"/>
        <w:jc w:val="both"/>
        <w:rPr>
          <w:rFonts w:ascii="Verdana" w:hAnsi="Verdana"/>
          <w:sz w:val="19"/>
          <w:szCs w:val="19"/>
        </w:rPr>
      </w:pPr>
    </w:p>
    <w:p w14:paraId="5E5F332B" w14:textId="77777777" w:rsidR="0039647D" w:rsidRPr="00861BF3" w:rsidRDefault="0039647D" w:rsidP="0039647D">
      <w:pPr>
        <w:pStyle w:val="Textonotapie"/>
        <w:ind w:firstLine="708"/>
        <w:jc w:val="both"/>
        <w:rPr>
          <w:rFonts w:ascii="Verdana" w:hAnsi="Verdana"/>
          <w:sz w:val="19"/>
          <w:szCs w:val="19"/>
        </w:rPr>
      </w:pPr>
      <w:r w:rsidRPr="00861BF3">
        <w:rPr>
          <w:rFonts w:ascii="Verdana" w:hAnsi="Verdana"/>
          <w:sz w:val="19"/>
          <w:szCs w:val="19"/>
        </w:rPr>
        <w:t>Estos requisitos deberán estructurarse garantizando el cumplimiento adecuado del objeto contractual, teniendo en cuenta el alcance de las obligaciones y el principio de proporcionalidad. En desarrollo de lo anterior, se deberán establecer condiciones habilitantes diferenciadas o ajustadas que, sin comprometer los fines del contrato, faciliten el acceso de los emprendimientos y empresas de personas con discapacidad.</w:t>
      </w:r>
    </w:p>
    <w:p w14:paraId="053ADF0D" w14:textId="77777777" w:rsidR="0039647D" w:rsidRPr="00861BF3" w:rsidRDefault="0039647D" w:rsidP="0039647D">
      <w:pPr>
        <w:pStyle w:val="Textonotapie"/>
        <w:ind w:firstLine="708"/>
        <w:jc w:val="both"/>
        <w:rPr>
          <w:rFonts w:ascii="Verdana" w:hAnsi="Verdana"/>
          <w:sz w:val="19"/>
          <w:szCs w:val="19"/>
        </w:rPr>
      </w:pPr>
    </w:p>
    <w:p w14:paraId="3E8BB4D0" w14:textId="77777777" w:rsidR="0039647D" w:rsidRPr="00861BF3" w:rsidRDefault="0039647D" w:rsidP="0039647D">
      <w:pPr>
        <w:pStyle w:val="Textonotapie"/>
        <w:ind w:firstLine="708"/>
        <w:jc w:val="both"/>
        <w:rPr>
          <w:rFonts w:ascii="Verdana" w:hAnsi="Verdana"/>
          <w:sz w:val="19"/>
          <w:szCs w:val="19"/>
          <w:lang w:val="es-ES_tradnl"/>
        </w:rPr>
      </w:pPr>
      <w:r w:rsidRPr="00861BF3">
        <w:rPr>
          <w:rFonts w:ascii="Verdana" w:hAnsi="Verdana"/>
          <w:sz w:val="19"/>
          <w:szCs w:val="19"/>
        </w:rPr>
        <w:t xml:space="preserve">(…)”. </w:t>
      </w:r>
    </w:p>
  </w:footnote>
  <w:footnote w:id="42">
    <w:p w14:paraId="10A46728" w14:textId="77777777" w:rsidR="0039647D" w:rsidRPr="00861BF3" w:rsidRDefault="0039647D" w:rsidP="0039647D">
      <w:pPr>
        <w:shd w:val="clear" w:color="auto" w:fill="FFFFFF"/>
        <w:spacing w:after="0" w:line="240" w:lineRule="auto"/>
        <w:ind w:firstLine="708"/>
        <w:jc w:val="both"/>
        <w:rPr>
          <w:rFonts w:ascii="Verdana" w:eastAsia="Times New Roman" w:hAnsi="Verdana" w:cs="Times New Roman"/>
          <w:color w:val="333333"/>
          <w:sz w:val="19"/>
          <w:szCs w:val="19"/>
          <w:lang w:eastAsia="es-MX"/>
        </w:rPr>
      </w:pPr>
      <w:r w:rsidRPr="00861BF3">
        <w:rPr>
          <w:rStyle w:val="Refdenotaalpie"/>
          <w:rFonts w:ascii="Verdana" w:hAnsi="Verdana"/>
          <w:sz w:val="19"/>
          <w:szCs w:val="19"/>
        </w:rPr>
        <w:footnoteRef/>
      </w:r>
      <w:r w:rsidRPr="00861BF3">
        <w:rPr>
          <w:rFonts w:ascii="Verdana" w:hAnsi="Verdana"/>
          <w:sz w:val="19"/>
          <w:szCs w:val="19"/>
        </w:rPr>
        <w:t xml:space="preserve"> Al respecto el artículo 1 de la Ley 2022 de 2020 señala: “(…) </w:t>
      </w:r>
      <w:r w:rsidRPr="00861BF3">
        <w:rPr>
          <w:rFonts w:ascii="Verdana" w:eastAsia="Times New Roman" w:hAnsi="Verdana" w:cs="Times New Roman"/>
          <w:color w:val="333333"/>
          <w:sz w:val="19"/>
          <w:szCs w:val="19"/>
          <w:lang w:eastAsia="es-MX"/>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E1629F9" w14:textId="77777777" w:rsidR="0039647D" w:rsidRPr="00861BF3" w:rsidRDefault="0039647D" w:rsidP="0039647D">
      <w:pPr>
        <w:pStyle w:val="Textonotapie"/>
        <w:jc w:val="both"/>
        <w:rPr>
          <w:rFonts w:ascii="Verdana" w:hAnsi="Verdana"/>
          <w:sz w:val="19"/>
          <w:szCs w:val="19"/>
          <w:lang w:val="es-CO"/>
        </w:rPr>
      </w:pPr>
    </w:p>
  </w:footnote>
  <w:footnote w:id="43">
    <w:p w14:paraId="0354F107"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1 Decreto 287 de 2026: “Artículo 2.2.1.2.4.2.7.8. Pliegos tipo, instrumentos de agregación de demanda y acuerdos marco de precios. La Agencia Nacional de Contratación Pública - Colombia Compra Eficiente garantizará la adopción permanente de las acciones necesarias para que las medidas señaladas en esta subsección se incorporen a los documentos e instrumentos que genera”. </w:t>
      </w:r>
    </w:p>
    <w:p w14:paraId="6CAF5C87" w14:textId="77777777" w:rsidR="0039647D" w:rsidRPr="00861BF3" w:rsidRDefault="0039647D" w:rsidP="0039647D">
      <w:pPr>
        <w:pStyle w:val="Textonotapie"/>
        <w:ind w:firstLine="708"/>
        <w:jc w:val="both"/>
        <w:rPr>
          <w:rFonts w:ascii="Verdana" w:hAnsi="Verdana"/>
          <w:sz w:val="19"/>
          <w:szCs w:val="19"/>
          <w:lang w:val="es-ES_tradnl"/>
        </w:rPr>
      </w:pPr>
    </w:p>
  </w:footnote>
  <w:footnote w:id="44">
    <w:p w14:paraId="1E7D8FB9" w14:textId="77777777" w:rsidR="0039647D" w:rsidRPr="00861BF3" w:rsidRDefault="0039647D" w:rsidP="0039647D">
      <w:pPr>
        <w:pStyle w:val="Textonotapie"/>
        <w:ind w:firstLine="708"/>
        <w:jc w:val="both"/>
        <w:rPr>
          <w:rFonts w:ascii="Verdana" w:hAnsi="Verdana"/>
          <w:sz w:val="19"/>
          <w:szCs w:val="19"/>
        </w:rPr>
      </w:pPr>
      <w:r w:rsidRPr="00861BF3">
        <w:rPr>
          <w:rStyle w:val="Refdenotaalpie"/>
          <w:rFonts w:ascii="Verdana" w:hAnsi="Verdana"/>
          <w:sz w:val="19"/>
          <w:szCs w:val="19"/>
        </w:rPr>
        <w:footnoteRef/>
      </w:r>
      <w:r w:rsidRPr="00861BF3">
        <w:rPr>
          <w:rFonts w:ascii="Verdana" w:hAnsi="Verdana"/>
          <w:sz w:val="19"/>
          <w:szCs w:val="19"/>
        </w:rPr>
        <w:t xml:space="preserve"> Artículo 2.2.1.2.4.2.7.8. del Decreto 1082 de 2015, modificado por el artículo 1 del Decreto 287 de 2026.</w:t>
      </w:r>
    </w:p>
    <w:p w14:paraId="51FF6D2B" w14:textId="77777777" w:rsidR="0039647D" w:rsidRPr="00861BF3" w:rsidRDefault="0039647D" w:rsidP="0039647D">
      <w:pPr>
        <w:pStyle w:val="Textonotapie"/>
        <w:ind w:firstLine="708"/>
        <w:jc w:val="both"/>
        <w:rPr>
          <w:rFonts w:ascii="Verdana" w:hAnsi="Verdana"/>
          <w:sz w:val="19"/>
          <w:szCs w:val="19"/>
          <w:lang w:val="es-ES_tradnl"/>
        </w:rPr>
      </w:pPr>
    </w:p>
  </w:footnote>
  <w:footnote w:id="45">
    <w:p w14:paraId="4F0BF6F8" w14:textId="77777777" w:rsidR="0039647D" w:rsidRPr="00861BF3" w:rsidRDefault="0039647D" w:rsidP="0039647D">
      <w:pPr>
        <w:pStyle w:val="Textonotapie"/>
        <w:ind w:firstLine="708"/>
        <w:jc w:val="both"/>
        <w:rPr>
          <w:rFonts w:ascii="Verdana" w:hAnsi="Verdana"/>
          <w:sz w:val="19"/>
          <w:szCs w:val="19"/>
          <w:lang w:val="es-ES_tradnl"/>
        </w:rPr>
      </w:pPr>
      <w:r w:rsidRPr="00861BF3">
        <w:rPr>
          <w:rStyle w:val="Refdenotaalpie"/>
          <w:rFonts w:ascii="Verdana" w:hAnsi="Verdana"/>
          <w:sz w:val="19"/>
          <w:szCs w:val="19"/>
        </w:rPr>
        <w:footnoteRef/>
      </w:r>
      <w:r w:rsidRPr="00861BF3">
        <w:rPr>
          <w:rFonts w:ascii="Verdana" w:hAnsi="Verdana"/>
          <w:sz w:val="19"/>
          <w:szCs w:val="19"/>
        </w:rPr>
        <w:t xml:space="preserve"> Documento disponible en el siguiente enlace: </w:t>
      </w:r>
      <w:hyperlink r:id="rId4" w:history="1">
        <w:r w:rsidRPr="00861BF3">
          <w:rPr>
            <w:rStyle w:val="Hipervnculo"/>
            <w:rFonts w:ascii="Verdana" w:hAnsi="Verdana"/>
            <w:sz w:val="19"/>
            <w:szCs w:val="19"/>
          </w:rPr>
          <w:t>https://www.colombiacompra.gov.co/wp-content/uploads/2026/04/ABC-Decreto-0287-de-2026-1.pdf</w:t>
        </w:r>
      </w:hyperlink>
      <w:r w:rsidRPr="00861BF3">
        <w:rPr>
          <w:rFonts w:ascii="Verdana" w:hAnsi="Verdana"/>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62" type="#_x0000_t75" style="width:7.5pt;height:7.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A6D018E"/>
    <w:multiLevelType w:val="hybridMultilevel"/>
    <w:tmpl w:val="0B4CAD0C"/>
    <w:lvl w:ilvl="0" w:tplc="173EFC8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C0E2B29"/>
    <w:multiLevelType w:val="multilevel"/>
    <w:tmpl w:val="F6B411A0"/>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4AE7336F"/>
    <w:multiLevelType w:val="hybridMultilevel"/>
    <w:tmpl w:val="0C4E6BFA"/>
    <w:lvl w:ilvl="0" w:tplc="080A0001">
      <w:start w:val="1"/>
      <w:numFmt w:val="bullet"/>
      <w:lvlText w:val=""/>
      <w:lvlJc w:val="left"/>
      <w:pPr>
        <w:ind w:left="720" w:hanging="360"/>
      </w:pPr>
      <w:rPr>
        <w:rFonts w:ascii="Symbol" w:hAnsi="Symbo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04C2A5F"/>
    <w:multiLevelType w:val="hybridMultilevel"/>
    <w:tmpl w:val="622ED3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6"/>
  </w:num>
  <w:num w:numId="7" w16cid:durableId="1946422806">
    <w:abstractNumId w:val="5"/>
  </w:num>
  <w:num w:numId="8" w16cid:durableId="152644682">
    <w:abstractNumId w:val="15"/>
  </w:num>
  <w:num w:numId="9" w16cid:durableId="1317221377">
    <w:abstractNumId w:val="7"/>
  </w:num>
  <w:num w:numId="10" w16cid:durableId="1471245386">
    <w:abstractNumId w:val="14"/>
  </w:num>
  <w:num w:numId="11" w16cid:durableId="289172385">
    <w:abstractNumId w:val="8"/>
  </w:num>
  <w:num w:numId="12" w16cid:durableId="1470781324">
    <w:abstractNumId w:val="0"/>
  </w:num>
  <w:num w:numId="13" w16cid:durableId="1512908409">
    <w:abstractNumId w:val="3"/>
  </w:num>
  <w:num w:numId="14" w16cid:durableId="895897244">
    <w:abstractNumId w:val="17"/>
  </w:num>
  <w:num w:numId="15" w16cid:durableId="390349800">
    <w:abstractNumId w:val="13"/>
  </w:num>
  <w:num w:numId="16" w16cid:durableId="679089576">
    <w:abstractNumId w:val="9"/>
  </w:num>
  <w:num w:numId="17" w16cid:durableId="1300108123">
    <w:abstractNumId w:val="11"/>
  </w:num>
  <w:num w:numId="18" w16cid:durableId="1069183687">
    <w:abstractNumId w:val="12"/>
  </w:num>
  <w:num w:numId="19" w16cid:durableId="992828691">
    <w:abstractNumId w:val="10"/>
  </w:num>
  <w:num w:numId="20" w16cid:durableId="18659045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2BE1"/>
    <w:rsid w:val="00061B2A"/>
    <w:rsid w:val="00082362"/>
    <w:rsid w:val="000A683E"/>
    <w:rsid w:val="000B19B9"/>
    <w:rsid w:val="000B2353"/>
    <w:rsid w:val="000D0334"/>
    <w:rsid w:val="000D5DA7"/>
    <w:rsid w:val="000F6486"/>
    <w:rsid w:val="00116940"/>
    <w:rsid w:val="00125105"/>
    <w:rsid w:val="00127233"/>
    <w:rsid w:val="0015699B"/>
    <w:rsid w:val="00192B84"/>
    <w:rsid w:val="001A33BF"/>
    <w:rsid w:val="001E4177"/>
    <w:rsid w:val="001F0B24"/>
    <w:rsid w:val="001F7DC6"/>
    <w:rsid w:val="0022400B"/>
    <w:rsid w:val="002421BB"/>
    <w:rsid w:val="00242808"/>
    <w:rsid w:val="00247572"/>
    <w:rsid w:val="00254F99"/>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253C5"/>
    <w:rsid w:val="00330834"/>
    <w:rsid w:val="00330A15"/>
    <w:rsid w:val="003448F4"/>
    <w:rsid w:val="00374F5E"/>
    <w:rsid w:val="00377E3E"/>
    <w:rsid w:val="0039647D"/>
    <w:rsid w:val="003A4010"/>
    <w:rsid w:val="003A779E"/>
    <w:rsid w:val="003D0F4D"/>
    <w:rsid w:val="003D5B0D"/>
    <w:rsid w:val="003E0499"/>
    <w:rsid w:val="003E4F80"/>
    <w:rsid w:val="003E6439"/>
    <w:rsid w:val="003F3941"/>
    <w:rsid w:val="00406575"/>
    <w:rsid w:val="00414C74"/>
    <w:rsid w:val="00425526"/>
    <w:rsid w:val="0042722E"/>
    <w:rsid w:val="0044528D"/>
    <w:rsid w:val="00466E39"/>
    <w:rsid w:val="00473F21"/>
    <w:rsid w:val="00485323"/>
    <w:rsid w:val="004A1847"/>
    <w:rsid w:val="004A305D"/>
    <w:rsid w:val="004F21C4"/>
    <w:rsid w:val="004F685F"/>
    <w:rsid w:val="005566E8"/>
    <w:rsid w:val="00574867"/>
    <w:rsid w:val="00591460"/>
    <w:rsid w:val="005953B1"/>
    <w:rsid w:val="005A65E0"/>
    <w:rsid w:val="005C3777"/>
    <w:rsid w:val="005C5CDC"/>
    <w:rsid w:val="005D476C"/>
    <w:rsid w:val="005E6A35"/>
    <w:rsid w:val="006200BF"/>
    <w:rsid w:val="006219F8"/>
    <w:rsid w:val="006302F7"/>
    <w:rsid w:val="00646B9F"/>
    <w:rsid w:val="00665D70"/>
    <w:rsid w:val="006900D9"/>
    <w:rsid w:val="006B3E95"/>
    <w:rsid w:val="006E064E"/>
    <w:rsid w:val="00706C16"/>
    <w:rsid w:val="00717C05"/>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10A4"/>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97E3A"/>
    <w:rsid w:val="00CB6357"/>
    <w:rsid w:val="00CC1B26"/>
    <w:rsid w:val="00D361FD"/>
    <w:rsid w:val="00D423A2"/>
    <w:rsid w:val="00D44E26"/>
    <w:rsid w:val="00D520D8"/>
    <w:rsid w:val="00D63AC2"/>
    <w:rsid w:val="00D7383B"/>
    <w:rsid w:val="00D7788A"/>
    <w:rsid w:val="00D9081F"/>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39647D"/>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39647D"/>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39647D"/>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39647D"/>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39647D"/>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39647D"/>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39647D"/>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39647D"/>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39647D"/>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39647D"/>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semiHidden/>
    <w:unhideWhenUsed/>
    <w:qFormat/>
    <w:rsid w:val="0039647D"/>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semiHidden/>
    <w:unhideWhenUsed/>
    <w:qFormat/>
    <w:rsid w:val="0039647D"/>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39647D"/>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39647D"/>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39647D"/>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39647D"/>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39647D"/>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39647D"/>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39647D"/>
  </w:style>
  <w:style w:type="character" w:customStyle="1" w:styleId="Ttulo1Car">
    <w:name w:val="Título 1 Car"/>
    <w:basedOn w:val="Fuentedeprrafopredeter"/>
    <w:link w:val="Ttulo1"/>
    <w:uiPriority w:val="9"/>
    <w:rsid w:val="0039647D"/>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semiHidden/>
    <w:rsid w:val="0039647D"/>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39647D"/>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39647D"/>
    <w:rPr>
      <w:rFonts w:eastAsia="Times New Roman" w:cs="Times New Roman"/>
      <w:i/>
      <w:iCs/>
      <w:color w:val="0F4761"/>
    </w:rPr>
  </w:style>
  <w:style w:type="character" w:customStyle="1" w:styleId="Ttulo5Car">
    <w:name w:val="Título 5 Car"/>
    <w:basedOn w:val="Fuentedeprrafopredeter"/>
    <w:link w:val="Ttulo5"/>
    <w:uiPriority w:val="9"/>
    <w:semiHidden/>
    <w:rsid w:val="0039647D"/>
    <w:rPr>
      <w:rFonts w:eastAsia="Times New Roman" w:cs="Times New Roman"/>
      <w:color w:val="0F4761"/>
    </w:rPr>
  </w:style>
  <w:style w:type="character" w:customStyle="1" w:styleId="Ttulo6Car">
    <w:name w:val="Título 6 Car"/>
    <w:basedOn w:val="Fuentedeprrafopredeter"/>
    <w:link w:val="Ttulo6"/>
    <w:uiPriority w:val="9"/>
    <w:semiHidden/>
    <w:rsid w:val="0039647D"/>
    <w:rPr>
      <w:rFonts w:eastAsia="Times New Roman" w:cs="Times New Roman"/>
      <w:i/>
      <w:iCs/>
      <w:color w:val="595959"/>
    </w:rPr>
  </w:style>
  <w:style w:type="character" w:customStyle="1" w:styleId="Ttulo7Car">
    <w:name w:val="Título 7 Car"/>
    <w:basedOn w:val="Fuentedeprrafopredeter"/>
    <w:link w:val="Ttulo7"/>
    <w:uiPriority w:val="9"/>
    <w:semiHidden/>
    <w:rsid w:val="0039647D"/>
    <w:rPr>
      <w:rFonts w:eastAsia="Times New Roman" w:cs="Times New Roman"/>
      <w:color w:val="595959"/>
    </w:rPr>
  </w:style>
  <w:style w:type="character" w:customStyle="1" w:styleId="Ttulo8Car">
    <w:name w:val="Título 8 Car"/>
    <w:basedOn w:val="Fuentedeprrafopredeter"/>
    <w:link w:val="Ttulo8"/>
    <w:uiPriority w:val="9"/>
    <w:semiHidden/>
    <w:rsid w:val="0039647D"/>
    <w:rPr>
      <w:rFonts w:eastAsia="Times New Roman" w:cs="Times New Roman"/>
      <w:i/>
      <w:iCs/>
      <w:color w:val="272727"/>
    </w:rPr>
  </w:style>
  <w:style w:type="character" w:customStyle="1" w:styleId="Ttulo9Car">
    <w:name w:val="Título 9 Car"/>
    <w:basedOn w:val="Fuentedeprrafopredeter"/>
    <w:link w:val="Ttulo9"/>
    <w:uiPriority w:val="9"/>
    <w:semiHidden/>
    <w:rsid w:val="0039647D"/>
    <w:rPr>
      <w:rFonts w:eastAsia="Times New Roman" w:cs="Times New Roman"/>
      <w:color w:val="272727"/>
    </w:rPr>
  </w:style>
  <w:style w:type="paragraph" w:customStyle="1" w:styleId="Subttulo1">
    <w:name w:val="Subtítulo1"/>
    <w:basedOn w:val="Normal"/>
    <w:next w:val="Normal"/>
    <w:uiPriority w:val="11"/>
    <w:qFormat/>
    <w:rsid w:val="0039647D"/>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39647D"/>
    <w:rPr>
      <w:rFonts w:eastAsia="Times New Roman" w:cs="Times New Roman"/>
      <w:color w:val="595959"/>
      <w:spacing w:val="15"/>
      <w:sz w:val="28"/>
      <w:szCs w:val="28"/>
    </w:rPr>
  </w:style>
  <w:style w:type="paragraph" w:customStyle="1" w:styleId="Cita1">
    <w:name w:val="Cita1"/>
    <w:basedOn w:val="Normal"/>
    <w:next w:val="Normal"/>
    <w:uiPriority w:val="29"/>
    <w:qFormat/>
    <w:rsid w:val="0039647D"/>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39647D"/>
    <w:rPr>
      <w:i/>
      <w:iCs/>
      <w:color w:val="404040"/>
    </w:rPr>
  </w:style>
  <w:style w:type="character" w:customStyle="1" w:styleId="nfasisintenso1">
    <w:name w:val="Énfasis intenso1"/>
    <w:basedOn w:val="Fuentedeprrafopredeter"/>
    <w:uiPriority w:val="21"/>
    <w:qFormat/>
    <w:rsid w:val="0039647D"/>
    <w:rPr>
      <w:i/>
      <w:iCs/>
      <w:color w:val="0F4761"/>
    </w:rPr>
  </w:style>
  <w:style w:type="paragraph" w:customStyle="1" w:styleId="Citadestacada1">
    <w:name w:val="Cita destacada1"/>
    <w:basedOn w:val="Normal"/>
    <w:next w:val="Normal"/>
    <w:uiPriority w:val="30"/>
    <w:qFormat/>
    <w:rsid w:val="0039647D"/>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39647D"/>
    <w:rPr>
      <w:i/>
      <w:iCs/>
      <w:color w:val="0F4761"/>
    </w:rPr>
  </w:style>
  <w:style w:type="character" w:customStyle="1" w:styleId="Referenciaintensa1">
    <w:name w:val="Referencia intensa1"/>
    <w:basedOn w:val="Fuentedeprrafopredeter"/>
    <w:uiPriority w:val="32"/>
    <w:qFormat/>
    <w:rsid w:val="0039647D"/>
    <w:rPr>
      <w:b/>
      <w:bCs/>
      <w:smallCaps/>
      <w:color w:val="0F4761"/>
      <w:spacing w:val="5"/>
    </w:rPr>
  </w:style>
  <w:style w:type="numbering" w:customStyle="1" w:styleId="Sinlista11">
    <w:name w:val="Sin lista11"/>
    <w:next w:val="Sinlista"/>
    <w:uiPriority w:val="99"/>
    <w:semiHidden/>
    <w:unhideWhenUsed/>
    <w:rsid w:val="0039647D"/>
  </w:style>
  <w:style w:type="character" w:customStyle="1" w:styleId="Hipervnculovisitado1">
    <w:name w:val="Hipervínculo visitado1"/>
    <w:basedOn w:val="Fuentedeprrafopredeter"/>
    <w:uiPriority w:val="99"/>
    <w:semiHidden/>
    <w:unhideWhenUsed/>
    <w:rsid w:val="0039647D"/>
    <w:rPr>
      <w:color w:val="954F72"/>
      <w:u w:val="single"/>
    </w:rPr>
  </w:style>
  <w:style w:type="numbering" w:customStyle="1" w:styleId="Sinlista111">
    <w:name w:val="Sin lista111"/>
    <w:next w:val="Sinlista"/>
    <w:uiPriority w:val="99"/>
    <w:semiHidden/>
    <w:unhideWhenUsed/>
    <w:rsid w:val="0039647D"/>
  </w:style>
  <w:style w:type="paragraph" w:customStyle="1" w:styleId="Encabezado1">
    <w:name w:val="Encabezado1"/>
    <w:basedOn w:val="Normal"/>
    <w:next w:val="Encabezado"/>
    <w:uiPriority w:val="99"/>
    <w:unhideWhenUsed/>
    <w:rsid w:val="0039647D"/>
    <w:pPr>
      <w:tabs>
        <w:tab w:val="center" w:pos="4419"/>
        <w:tab w:val="right" w:pos="8838"/>
      </w:tabs>
      <w:spacing w:after="0" w:line="240" w:lineRule="auto"/>
    </w:pPr>
    <w:rPr>
      <w:kern w:val="2"/>
      <w:sz w:val="24"/>
      <w:szCs w:val="24"/>
      <w14:ligatures w14:val="standardContextual"/>
    </w:rPr>
  </w:style>
  <w:style w:type="paragraph" w:customStyle="1" w:styleId="Piedepgina1">
    <w:name w:val="Pie de página1"/>
    <w:basedOn w:val="Normal"/>
    <w:next w:val="Piedepgina"/>
    <w:uiPriority w:val="99"/>
    <w:unhideWhenUsed/>
    <w:rsid w:val="0039647D"/>
    <w:pPr>
      <w:tabs>
        <w:tab w:val="center" w:pos="4419"/>
        <w:tab w:val="right" w:pos="8838"/>
      </w:tabs>
      <w:spacing w:after="0" w:line="240" w:lineRule="auto"/>
    </w:pPr>
    <w:rPr>
      <w:kern w:val="2"/>
      <w:sz w:val="24"/>
      <w:szCs w:val="24"/>
      <w14:ligatures w14:val="standardContextual"/>
    </w:rPr>
  </w:style>
  <w:style w:type="paragraph" w:customStyle="1" w:styleId="fn1">
    <w:name w:val="fn1"/>
    <w:basedOn w:val="Normal"/>
    <w:next w:val="Textonotapie"/>
    <w:uiPriority w:val="99"/>
    <w:unhideWhenUsed/>
    <w:qFormat/>
    <w:rsid w:val="0039647D"/>
    <w:pPr>
      <w:spacing w:after="0" w:line="240" w:lineRule="auto"/>
    </w:pPr>
    <w:rPr>
      <w:sz w:val="20"/>
      <w:szCs w:val="20"/>
      <w:lang w:val="es-MX"/>
    </w:rPr>
  </w:style>
  <w:style w:type="table" w:customStyle="1" w:styleId="Tablaconcuadrcula1">
    <w:name w:val="Tabla con cuadrícula1"/>
    <w:basedOn w:val="Tablanormal"/>
    <w:next w:val="Tablaconcuadrcula"/>
    <w:uiPriority w:val="39"/>
    <w:qFormat/>
    <w:rsid w:val="00396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39647D"/>
    <w:pPr>
      <w:spacing w:line="240" w:lineRule="exact"/>
    </w:pPr>
    <w:rPr>
      <w:vertAlign w:val="superscript"/>
    </w:rPr>
  </w:style>
  <w:style w:type="table" w:customStyle="1" w:styleId="Tablaconcuadrcula2">
    <w:name w:val="Tabla con cuadrícula2"/>
    <w:basedOn w:val="Tablanormal"/>
    <w:next w:val="Tablaconcuadrcula"/>
    <w:uiPriority w:val="39"/>
    <w:qFormat/>
    <w:rsid w:val="003964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cabezadoCar1">
    <w:name w:val="Encabezado Car1"/>
    <w:basedOn w:val="Fuentedeprrafopredeter"/>
    <w:uiPriority w:val="99"/>
    <w:semiHidden/>
    <w:rsid w:val="0039647D"/>
  </w:style>
  <w:style w:type="character" w:customStyle="1" w:styleId="PiedepginaCar1">
    <w:name w:val="Pie de página Car1"/>
    <w:basedOn w:val="Fuentedeprrafopredeter"/>
    <w:uiPriority w:val="99"/>
    <w:semiHidden/>
    <w:rsid w:val="0039647D"/>
  </w:style>
  <w:style w:type="table" w:customStyle="1" w:styleId="Tablaconcuadrcula3">
    <w:name w:val="Tabla con cuadrícula3"/>
    <w:basedOn w:val="Tablanormal"/>
    <w:next w:val="Tablaconcuadrcula"/>
    <w:uiPriority w:val="39"/>
    <w:rsid w:val="0039647D"/>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1">
    <w:name w:val="Titulo 1"/>
    <w:qFormat/>
    <w:rsid w:val="0039647D"/>
    <w:rPr>
      <w:rFonts w:ascii="Geomanist Bold" w:eastAsia="Yu Mincho" w:hAnsi="Geomanist Bold" w:cs="Calibri"/>
      <w:color w:val="002060"/>
      <w:sz w:val="24"/>
      <w:lang w:val="es-ES" w:eastAsia="es-CO"/>
    </w:rPr>
  </w:style>
  <w:style w:type="character" w:styleId="Textoennegrita">
    <w:name w:val="Strong"/>
    <w:basedOn w:val="Fuentedeprrafopredeter"/>
    <w:uiPriority w:val="22"/>
    <w:qFormat/>
    <w:rsid w:val="0039647D"/>
    <w:rPr>
      <w:b/>
      <w:bCs/>
    </w:rPr>
  </w:style>
  <w:style w:type="character" w:styleId="Textodelmarcadordeposicin">
    <w:name w:val="Placeholder Text"/>
    <w:basedOn w:val="Fuentedeprrafopredeter"/>
    <w:uiPriority w:val="99"/>
    <w:semiHidden/>
    <w:rsid w:val="0039647D"/>
    <w:rPr>
      <w:color w:val="666666"/>
    </w:rPr>
  </w:style>
  <w:style w:type="paragraph" w:customStyle="1" w:styleId="Sinespaciado1">
    <w:name w:val="Sin espaciado1"/>
    <w:next w:val="Sinespaciado"/>
    <w:uiPriority w:val="1"/>
    <w:qFormat/>
    <w:rsid w:val="0039647D"/>
    <w:pPr>
      <w:spacing w:after="0" w:line="240" w:lineRule="auto"/>
    </w:pPr>
    <w:rPr>
      <w:kern w:val="2"/>
      <w:sz w:val="24"/>
      <w:szCs w:val="24"/>
      <w14:ligatures w14:val="standardContextual"/>
    </w:rPr>
  </w:style>
  <w:style w:type="character" w:customStyle="1" w:styleId="Ttulo1Car1">
    <w:name w:val="Título 1 Car1"/>
    <w:basedOn w:val="Fuentedeprrafopredeter"/>
    <w:uiPriority w:val="9"/>
    <w:rsid w:val="0039647D"/>
    <w:rPr>
      <w:rFonts w:ascii="Calibri Light" w:eastAsia="Yu Gothic Light" w:hAnsi="Calibri Light" w:cs="Times New Roman"/>
      <w:color w:val="2F5496"/>
      <w:sz w:val="32"/>
      <w:szCs w:val="32"/>
    </w:rPr>
  </w:style>
  <w:style w:type="character" w:customStyle="1" w:styleId="Ttulo2Car1">
    <w:name w:val="Título 2 Car1"/>
    <w:basedOn w:val="Fuentedeprrafopredeter"/>
    <w:uiPriority w:val="9"/>
    <w:semiHidden/>
    <w:rsid w:val="0039647D"/>
    <w:rPr>
      <w:rFonts w:ascii="Calibri Light" w:eastAsia="Yu Gothic Light" w:hAnsi="Calibri Light" w:cs="Times New Roman"/>
      <w:color w:val="2F5496"/>
      <w:sz w:val="26"/>
      <w:szCs w:val="26"/>
    </w:rPr>
  </w:style>
  <w:style w:type="character" w:customStyle="1" w:styleId="Ttulo3Car1">
    <w:name w:val="Título 3 Car1"/>
    <w:basedOn w:val="Fuentedeprrafopredeter"/>
    <w:uiPriority w:val="9"/>
    <w:semiHidden/>
    <w:rsid w:val="0039647D"/>
    <w:rPr>
      <w:rFonts w:ascii="Calibri Light" w:eastAsia="Yu Gothic Light" w:hAnsi="Calibri Light" w:cs="Times New Roman"/>
      <w:color w:val="1F3763"/>
      <w:sz w:val="24"/>
      <w:szCs w:val="24"/>
    </w:rPr>
  </w:style>
  <w:style w:type="character" w:customStyle="1" w:styleId="Ttulo4Car1">
    <w:name w:val="Título 4 Car1"/>
    <w:basedOn w:val="Fuentedeprrafopredeter"/>
    <w:uiPriority w:val="9"/>
    <w:semiHidden/>
    <w:rsid w:val="0039647D"/>
    <w:rPr>
      <w:rFonts w:ascii="Calibri Light" w:eastAsia="Yu Gothic Light" w:hAnsi="Calibri Light" w:cs="Times New Roman"/>
      <w:i/>
      <w:iCs/>
      <w:color w:val="2F5496"/>
    </w:rPr>
  </w:style>
  <w:style w:type="character" w:customStyle="1" w:styleId="Ttulo5Car1">
    <w:name w:val="Título 5 Car1"/>
    <w:basedOn w:val="Fuentedeprrafopredeter"/>
    <w:uiPriority w:val="9"/>
    <w:semiHidden/>
    <w:rsid w:val="0039647D"/>
    <w:rPr>
      <w:rFonts w:ascii="Calibri Light" w:eastAsia="Yu Gothic Light" w:hAnsi="Calibri Light" w:cs="Times New Roman"/>
      <w:color w:val="2F5496"/>
    </w:rPr>
  </w:style>
  <w:style w:type="character" w:customStyle="1" w:styleId="Ttulo6Car1">
    <w:name w:val="Título 6 Car1"/>
    <w:basedOn w:val="Fuentedeprrafopredeter"/>
    <w:uiPriority w:val="9"/>
    <w:semiHidden/>
    <w:rsid w:val="0039647D"/>
    <w:rPr>
      <w:rFonts w:ascii="Calibri Light" w:eastAsia="Yu Gothic Light" w:hAnsi="Calibri Light" w:cs="Times New Roman"/>
      <w:color w:val="1F3763"/>
    </w:rPr>
  </w:style>
  <w:style w:type="character" w:customStyle="1" w:styleId="Ttulo7Car1">
    <w:name w:val="Título 7 Car1"/>
    <w:basedOn w:val="Fuentedeprrafopredeter"/>
    <w:uiPriority w:val="9"/>
    <w:semiHidden/>
    <w:rsid w:val="0039647D"/>
    <w:rPr>
      <w:rFonts w:ascii="Calibri Light" w:eastAsia="Yu Gothic Light" w:hAnsi="Calibri Light" w:cs="Times New Roman"/>
      <w:i/>
      <w:iCs/>
      <w:color w:val="1F3763"/>
    </w:rPr>
  </w:style>
  <w:style w:type="character" w:customStyle="1" w:styleId="Ttulo8Car1">
    <w:name w:val="Título 8 Car1"/>
    <w:basedOn w:val="Fuentedeprrafopredeter"/>
    <w:uiPriority w:val="9"/>
    <w:semiHidden/>
    <w:rsid w:val="0039647D"/>
    <w:rPr>
      <w:rFonts w:ascii="Calibri Light" w:eastAsia="Yu Gothic Light" w:hAnsi="Calibri Light" w:cs="Times New Roman"/>
      <w:color w:val="272727"/>
      <w:sz w:val="21"/>
      <w:szCs w:val="21"/>
    </w:rPr>
  </w:style>
  <w:style w:type="character" w:customStyle="1" w:styleId="Ttulo9Car1">
    <w:name w:val="Título 9 Car1"/>
    <w:basedOn w:val="Fuentedeprrafopredeter"/>
    <w:uiPriority w:val="9"/>
    <w:semiHidden/>
    <w:rsid w:val="0039647D"/>
    <w:rPr>
      <w:rFonts w:ascii="Calibri Light" w:eastAsia="Yu Gothic Light" w:hAnsi="Calibri Light" w:cs="Times New Roman"/>
      <w:i/>
      <w:iCs/>
      <w:color w:val="272727"/>
      <w:sz w:val="21"/>
      <w:szCs w:val="21"/>
    </w:rPr>
  </w:style>
  <w:style w:type="character" w:customStyle="1" w:styleId="SubttuloCar1">
    <w:name w:val="Subtítulo Car1"/>
    <w:basedOn w:val="Fuentedeprrafopredeter"/>
    <w:uiPriority w:val="11"/>
    <w:rsid w:val="0039647D"/>
    <w:rPr>
      <w:rFonts w:eastAsia="Yu Mincho"/>
      <w:color w:val="5A5A5A"/>
      <w:spacing w:val="15"/>
    </w:rPr>
  </w:style>
  <w:style w:type="character" w:customStyle="1" w:styleId="CitaCar1">
    <w:name w:val="Cita Car1"/>
    <w:basedOn w:val="Fuentedeprrafopredeter"/>
    <w:uiPriority w:val="29"/>
    <w:rsid w:val="0039647D"/>
    <w:rPr>
      <w:i/>
      <w:iCs/>
      <w:color w:val="404040"/>
    </w:rPr>
  </w:style>
  <w:style w:type="character" w:customStyle="1" w:styleId="CitadestacadaCar1">
    <w:name w:val="Cita destacada Car1"/>
    <w:basedOn w:val="Fuentedeprrafopredeter"/>
    <w:uiPriority w:val="30"/>
    <w:rsid w:val="0039647D"/>
    <w:rPr>
      <w:i/>
      <w:iCs/>
      <w:color w:val="4472C4"/>
    </w:rPr>
  </w:style>
  <w:style w:type="paragraph" w:customStyle="1" w:styleId="Sinespaciado2">
    <w:name w:val="Sin espaciado2"/>
    <w:next w:val="Sinespaciado"/>
    <w:uiPriority w:val="1"/>
    <w:qFormat/>
    <w:rsid w:val="0039647D"/>
    <w:pPr>
      <w:spacing w:after="0" w:line="240" w:lineRule="auto"/>
    </w:pPr>
  </w:style>
  <w:style w:type="character" w:styleId="Refdecomentario">
    <w:name w:val="annotation reference"/>
    <w:basedOn w:val="Fuentedeprrafopredeter"/>
    <w:uiPriority w:val="99"/>
    <w:semiHidden/>
    <w:unhideWhenUsed/>
    <w:rsid w:val="0039647D"/>
    <w:rPr>
      <w:sz w:val="16"/>
      <w:szCs w:val="16"/>
    </w:rPr>
  </w:style>
  <w:style w:type="paragraph" w:customStyle="1" w:styleId="Textocomentario1">
    <w:name w:val="Texto comentario1"/>
    <w:basedOn w:val="Normal"/>
    <w:next w:val="Textocomentario"/>
    <w:link w:val="TextocomentarioCar"/>
    <w:uiPriority w:val="99"/>
    <w:unhideWhenUsed/>
    <w:rsid w:val="0039647D"/>
    <w:pPr>
      <w:spacing w:line="240" w:lineRule="auto"/>
    </w:pPr>
    <w:rPr>
      <w:sz w:val="20"/>
      <w:szCs w:val="20"/>
    </w:rPr>
  </w:style>
  <w:style w:type="character" w:customStyle="1" w:styleId="TextocomentarioCar">
    <w:name w:val="Texto comentario Car"/>
    <w:basedOn w:val="Fuentedeprrafopredeter"/>
    <w:link w:val="Textocomentario1"/>
    <w:uiPriority w:val="99"/>
    <w:rsid w:val="0039647D"/>
    <w:rPr>
      <w:kern w:val="0"/>
      <w:sz w:val="20"/>
      <w:szCs w:val="20"/>
      <w14:ligatures w14:val="none"/>
    </w:rPr>
  </w:style>
  <w:style w:type="paragraph" w:customStyle="1" w:styleId="Asuntodelcomentario1">
    <w:name w:val="Asunto del comentario1"/>
    <w:basedOn w:val="Textocomentario"/>
    <w:next w:val="Textocomentario"/>
    <w:uiPriority w:val="99"/>
    <w:semiHidden/>
    <w:unhideWhenUsed/>
    <w:rsid w:val="0039647D"/>
    <w:rPr>
      <w:b/>
      <w:bCs/>
    </w:rPr>
  </w:style>
  <w:style w:type="character" w:customStyle="1" w:styleId="AsuntodelcomentarioCar">
    <w:name w:val="Asunto del comentario Car"/>
    <w:basedOn w:val="TextocomentarioCar"/>
    <w:link w:val="Asuntodelcomentario"/>
    <w:uiPriority w:val="99"/>
    <w:semiHidden/>
    <w:rsid w:val="0039647D"/>
    <w:rPr>
      <w:b/>
      <w:bCs/>
      <w:kern w:val="0"/>
      <w:sz w:val="20"/>
      <w:szCs w:val="20"/>
      <w14:ligatures w14:val="none"/>
    </w:rPr>
  </w:style>
  <w:style w:type="character" w:customStyle="1" w:styleId="Ttulo1Car2">
    <w:name w:val="Título 1 Car2"/>
    <w:basedOn w:val="Fuentedeprrafopredeter"/>
    <w:uiPriority w:val="9"/>
    <w:rsid w:val="0039647D"/>
    <w:rPr>
      <w:rFonts w:asciiTheme="majorHAnsi" w:eastAsiaTheme="majorEastAsia" w:hAnsiTheme="majorHAnsi" w:cstheme="majorBidi"/>
      <w:color w:val="2F5496" w:themeColor="accent1" w:themeShade="BF"/>
      <w:sz w:val="32"/>
      <w:szCs w:val="32"/>
    </w:rPr>
  </w:style>
  <w:style w:type="character" w:customStyle="1" w:styleId="Ttulo2Car2">
    <w:name w:val="Título 2 Car2"/>
    <w:basedOn w:val="Fuentedeprrafopredeter"/>
    <w:uiPriority w:val="9"/>
    <w:semiHidden/>
    <w:rsid w:val="0039647D"/>
    <w:rPr>
      <w:rFonts w:asciiTheme="majorHAnsi" w:eastAsiaTheme="majorEastAsia" w:hAnsiTheme="majorHAnsi" w:cstheme="majorBidi"/>
      <w:color w:val="2F5496" w:themeColor="accent1" w:themeShade="BF"/>
      <w:sz w:val="26"/>
      <w:szCs w:val="26"/>
    </w:rPr>
  </w:style>
  <w:style w:type="character" w:customStyle="1" w:styleId="Ttulo3Car2">
    <w:name w:val="Título 3 Car2"/>
    <w:basedOn w:val="Fuentedeprrafopredeter"/>
    <w:uiPriority w:val="9"/>
    <w:semiHidden/>
    <w:rsid w:val="0039647D"/>
    <w:rPr>
      <w:rFonts w:asciiTheme="majorHAnsi" w:eastAsiaTheme="majorEastAsia" w:hAnsiTheme="majorHAnsi" w:cstheme="majorBidi"/>
      <w:color w:val="1F3763" w:themeColor="accent1" w:themeShade="7F"/>
      <w:sz w:val="24"/>
      <w:szCs w:val="24"/>
    </w:rPr>
  </w:style>
  <w:style w:type="character" w:customStyle="1" w:styleId="Ttulo4Car2">
    <w:name w:val="Título 4 Car2"/>
    <w:basedOn w:val="Fuentedeprrafopredeter"/>
    <w:uiPriority w:val="9"/>
    <w:semiHidden/>
    <w:rsid w:val="0039647D"/>
    <w:rPr>
      <w:rFonts w:asciiTheme="majorHAnsi" w:eastAsiaTheme="majorEastAsia" w:hAnsiTheme="majorHAnsi" w:cstheme="majorBidi"/>
      <w:i/>
      <w:iCs/>
      <w:color w:val="2F5496" w:themeColor="accent1" w:themeShade="BF"/>
    </w:rPr>
  </w:style>
  <w:style w:type="character" w:customStyle="1" w:styleId="Ttulo5Car2">
    <w:name w:val="Título 5 Car2"/>
    <w:basedOn w:val="Fuentedeprrafopredeter"/>
    <w:uiPriority w:val="9"/>
    <w:semiHidden/>
    <w:rsid w:val="0039647D"/>
    <w:rPr>
      <w:rFonts w:asciiTheme="majorHAnsi" w:eastAsiaTheme="majorEastAsia" w:hAnsiTheme="majorHAnsi" w:cstheme="majorBidi"/>
      <w:color w:val="2F5496" w:themeColor="accent1" w:themeShade="BF"/>
    </w:rPr>
  </w:style>
  <w:style w:type="character" w:customStyle="1" w:styleId="Ttulo6Car2">
    <w:name w:val="Título 6 Car2"/>
    <w:basedOn w:val="Fuentedeprrafopredeter"/>
    <w:uiPriority w:val="9"/>
    <w:semiHidden/>
    <w:rsid w:val="0039647D"/>
    <w:rPr>
      <w:rFonts w:asciiTheme="majorHAnsi" w:eastAsiaTheme="majorEastAsia" w:hAnsiTheme="majorHAnsi" w:cstheme="majorBidi"/>
      <w:color w:val="1F3763" w:themeColor="accent1" w:themeShade="7F"/>
    </w:rPr>
  </w:style>
  <w:style w:type="character" w:customStyle="1" w:styleId="Ttulo7Car2">
    <w:name w:val="Título 7 Car2"/>
    <w:basedOn w:val="Fuentedeprrafopredeter"/>
    <w:uiPriority w:val="9"/>
    <w:semiHidden/>
    <w:rsid w:val="0039647D"/>
    <w:rPr>
      <w:rFonts w:asciiTheme="majorHAnsi" w:eastAsiaTheme="majorEastAsia" w:hAnsiTheme="majorHAnsi" w:cstheme="majorBidi"/>
      <w:i/>
      <w:iCs/>
      <w:color w:val="1F3763" w:themeColor="accent1" w:themeShade="7F"/>
    </w:rPr>
  </w:style>
  <w:style w:type="character" w:customStyle="1" w:styleId="Ttulo8Car2">
    <w:name w:val="Título 8 Car2"/>
    <w:basedOn w:val="Fuentedeprrafopredeter"/>
    <w:uiPriority w:val="9"/>
    <w:semiHidden/>
    <w:rsid w:val="0039647D"/>
    <w:rPr>
      <w:rFonts w:asciiTheme="majorHAnsi" w:eastAsiaTheme="majorEastAsia" w:hAnsiTheme="majorHAnsi" w:cstheme="majorBidi"/>
      <w:color w:val="272727" w:themeColor="text1" w:themeTint="D8"/>
      <w:sz w:val="21"/>
      <w:szCs w:val="21"/>
    </w:rPr>
  </w:style>
  <w:style w:type="character" w:customStyle="1" w:styleId="Ttulo9Car2">
    <w:name w:val="Título 9 Car2"/>
    <w:basedOn w:val="Fuentedeprrafopredeter"/>
    <w:uiPriority w:val="9"/>
    <w:semiHidden/>
    <w:rsid w:val="0039647D"/>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39647D"/>
    <w:pPr>
      <w:numPr>
        <w:ilvl w:val="1"/>
      </w:numPr>
    </w:pPr>
    <w:rPr>
      <w:rFonts w:eastAsia="Times New Roman" w:cs="Times New Roman"/>
      <w:color w:val="595959"/>
      <w:spacing w:val="15"/>
      <w:sz w:val="28"/>
      <w:szCs w:val="28"/>
    </w:rPr>
  </w:style>
  <w:style w:type="character" w:customStyle="1" w:styleId="SubttuloCar2">
    <w:name w:val="Subtítulo Car2"/>
    <w:basedOn w:val="Fuentedeprrafopredeter"/>
    <w:uiPriority w:val="11"/>
    <w:rsid w:val="0039647D"/>
    <w:rPr>
      <w:rFonts w:eastAsiaTheme="minorEastAsia"/>
      <w:color w:val="5A5A5A" w:themeColor="text1" w:themeTint="A5"/>
      <w:spacing w:val="15"/>
    </w:rPr>
  </w:style>
  <w:style w:type="paragraph" w:styleId="Cita">
    <w:name w:val="Quote"/>
    <w:basedOn w:val="Normal"/>
    <w:next w:val="Normal"/>
    <w:link w:val="CitaCar"/>
    <w:uiPriority w:val="29"/>
    <w:qFormat/>
    <w:rsid w:val="0039647D"/>
    <w:pPr>
      <w:spacing w:before="200"/>
      <w:ind w:left="864" w:right="864"/>
      <w:jc w:val="center"/>
    </w:pPr>
    <w:rPr>
      <w:i/>
      <w:iCs/>
      <w:color w:val="404040"/>
    </w:rPr>
  </w:style>
  <w:style w:type="character" w:customStyle="1" w:styleId="CitaCar2">
    <w:name w:val="Cita Car2"/>
    <w:basedOn w:val="Fuentedeprrafopredeter"/>
    <w:uiPriority w:val="29"/>
    <w:rsid w:val="0039647D"/>
    <w:rPr>
      <w:i/>
      <w:iCs/>
      <w:color w:val="404040" w:themeColor="text1" w:themeTint="BF"/>
    </w:rPr>
  </w:style>
  <w:style w:type="character" w:styleId="nfasisintenso">
    <w:name w:val="Intense Emphasis"/>
    <w:basedOn w:val="Fuentedeprrafopredeter"/>
    <w:uiPriority w:val="21"/>
    <w:qFormat/>
    <w:rsid w:val="0039647D"/>
    <w:rPr>
      <w:i/>
      <w:iCs/>
      <w:color w:val="4472C4" w:themeColor="accent1"/>
    </w:rPr>
  </w:style>
  <w:style w:type="paragraph" w:styleId="Citadestacada">
    <w:name w:val="Intense Quote"/>
    <w:basedOn w:val="Normal"/>
    <w:next w:val="Normal"/>
    <w:link w:val="CitadestacadaCar"/>
    <w:uiPriority w:val="30"/>
    <w:qFormat/>
    <w:rsid w:val="0039647D"/>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2">
    <w:name w:val="Cita destacada Car2"/>
    <w:basedOn w:val="Fuentedeprrafopredeter"/>
    <w:uiPriority w:val="30"/>
    <w:rsid w:val="0039647D"/>
    <w:rPr>
      <w:i/>
      <w:iCs/>
      <w:color w:val="4472C4" w:themeColor="accent1"/>
    </w:rPr>
  </w:style>
  <w:style w:type="character" w:styleId="Referenciaintensa">
    <w:name w:val="Intense Reference"/>
    <w:basedOn w:val="Fuentedeprrafopredeter"/>
    <w:uiPriority w:val="32"/>
    <w:qFormat/>
    <w:rsid w:val="0039647D"/>
    <w:rPr>
      <w:b/>
      <w:bCs/>
      <w:smallCaps/>
      <w:color w:val="4472C4" w:themeColor="accent1"/>
      <w:spacing w:val="5"/>
    </w:rPr>
  </w:style>
  <w:style w:type="paragraph" w:styleId="Sinespaciado">
    <w:name w:val="No Spacing"/>
    <w:uiPriority w:val="1"/>
    <w:qFormat/>
    <w:rsid w:val="0039647D"/>
    <w:pPr>
      <w:spacing w:after="0" w:line="240" w:lineRule="auto"/>
    </w:pPr>
  </w:style>
  <w:style w:type="paragraph" w:styleId="Textocomentario">
    <w:name w:val="annotation text"/>
    <w:basedOn w:val="Normal"/>
    <w:link w:val="TextocomentarioCar1"/>
    <w:uiPriority w:val="99"/>
    <w:semiHidden/>
    <w:unhideWhenUsed/>
    <w:rsid w:val="0039647D"/>
    <w:pPr>
      <w:spacing w:line="240" w:lineRule="auto"/>
    </w:pPr>
    <w:rPr>
      <w:sz w:val="20"/>
      <w:szCs w:val="20"/>
    </w:rPr>
  </w:style>
  <w:style w:type="character" w:customStyle="1" w:styleId="TextocomentarioCar1">
    <w:name w:val="Texto comentario Car1"/>
    <w:basedOn w:val="Fuentedeprrafopredeter"/>
    <w:link w:val="Textocomentario"/>
    <w:uiPriority w:val="99"/>
    <w:semiHidden/>
    <w:rsid w:val="0039647D"/>
    <w:rPr>
      <w:sz w:val="20"/>
      <w:szCs w:val="20"/>
    </w:rPr>
  </w:style>
  <w:style w:type="paragraph" w:styleId="Asuntodelcomentario">
    <w:name w:val="annotation subject"/>
    <w:basedOn w:val="Textocomentario"/>
    <w:next w:val="Textocomentario"/>
    <w:link w:val="AsuntodelcomentarioCar"/>
    <w:uiPriority w:val="99"/>
    <w:semiHidden/>
    <w:unhideWhenUsed/>
    <w:rsid w:val="0039647D"/>
    <w:rPr>
      <w:b/>
      <w:bCs/>
    </w:rPr>
  </w:style>
  <w:style w:type="character" w:customStyle="1" w:styleId="AsuntodelcomentarioCar1">
    <w:name w:val="Asunto del comentario Car1"/>
    <w:basedOn w:val="TextocomentarioCar1"/>
    <w:uiPriority w:val="99"/>
    <w:semiHidden/>
    <w:rsid w:val="0039647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le.rae.es/est%C3%A1ndar" TargetMode="External"/><Relationship Id="rId2" Type="http://schemas.openxmlformats.org/officeDocument/2006/relationships/hyperlink" Target="https://www.funcionpublica.gov.co/eva/gestornormativo/norma.php?i=84899" TargetMode="External"/><Relationship Id="rId1" Type="http://schemas.openxmlformats.org/officeDocument/2006/relationships/hyperlink" Target="https://dle.rae.es/est%C3%A1ndar" TargetMode="External"/><Relationship Id="rId4" Type="http://schemas.openxmlformats.org/officeDocument/2006/relationships/hyperlink" Target="https://www.colombiacompra.gov.co/wp-content/uploads/2026/04/ABC-Decreto-0287-de-2026-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B92502-745D-491D-B3DA-6A686CED0F8F}"/>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52</Pages>
  <Words>17218</Words>
  <Characters>94699</Characters>
  <Application>Microsoft Office Word</Application>
  <DocSecurity>0</DocSecurity>
  <Lines>789</Lines>
  <Paragraphs>223</Paragraphs>
  <ScaleCrop>false</ScaleCrop>
  <Company/>
  <LinksUpToDate>false</LinksUpToDate>
  <CharactersWithSpaces>111694</CharactersWithSpaces>
  <SharedDoc>false</SharedDoc>
  <HLinks>
    <vt:vector size="54" baseType="variant">
      <vt:variant>
        <vt:i4>5505101</vt:i4>
      </vt:variant>
      <vt:variant>
        <vt:i4>12</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9</vt:i4>
      </vt:variant>
      <vt:variant>
        <vt:i4>0</vt:i4>
      </vt:variant>
      <vt:variant>
        <vt:i4>5</vt:i4>
      </vt:variant>
      <vt:variant>
        <vt:lpwstr>https://www.colombiacompra.gov.co/normativa-y-relatoria/documentos-tipo</vt:lpwstr>
      </vt:variant>
      <vt:variant>
        <vt:lpwstr/>
      </vt:variant>
      <vt:variant>
        <vt:i4>65544</vt:i4>
      </vt:variant>
      <vt:variant>
        <vt:i4>6</vt:i4>
      </vt:variant>
      <vt:variant>
        <vt:i4>0</vt:i4>
      </vt:variant>
      <vt:variant>
        <vt:i4>5</vt:i4>
      </vt:variant>
      <vt:variant>
        <vt:lpwstr>https://formacionvirtual.colombiacompra.gov.co/mod/page/view.php?id=3718</vt:lpwstr>
      </vt:variant>
      <vt:variant>
        <vt:lpwstr/>
      </vt:variant>
      <vt:variant>
        <vt:i4>7471218</vt:i4>
      </vt:variant>
      <vt:variant>
        <vt:i4>3</vt:i4>
      </vt:variant>
      <vt:variant>
        <vt:i4>0</vt:i4>
      </vt:variant>
      <vt:variant>
        <vt:i4>5</vt:i4>
      </vt:variant>
      <vt:variant>
        <vt:lpwstr>https://relatoria.colombiacompra.gov.co/busqueda/conceptos</vt:lpwstr>
      </vt:variant>
      <vt:variant>
        <vt:lpwstr/>
      </vt:variant>
      <vt:variant>
        <vt:i4>4653144</vt:i4>
      </vt:variant>
      <vt:variant>
        <vt:i4>0</vt:i4>
      </vt:variant>
      <vt:variant>
        <vt:i4>0</vt:i4>
      </vt:variant>
      <vt:variant>
        <vt:i4>5</vt:i4>
      </vt:variant>
      <vt:variant>
        <vt:lpwstr>https://www.colombiacompra.gov.co/documentos-tipo/documentos-tipo</vt:lpwstr>
      </vt:variant>
      <vt:variant>
        <vt:lpwstr/>
      </vt:variant>
      <vt:variant>
        <vt:i4>3932272</vt:i4>
      </vt:variant>
      <vt:variant>
        <vt:i4>9</vt:i4>
      </vt:variant>
      <vt:variant>
        <vt:i4>0</vt:i4>
      </vt:variant>
      <vt:variant>
        <vt:i4>5</vt:i4>
      </vt:variant>
      <vt:variant>
        <vt:lpwstr>https://www.colombiacompra.gov.co/wp-content/uploads/2026/04/ABC-Decreto-0287-de-2026-1.pdf</vt:lpwstr>
      </vt:variant>
      <vt:variant>
        <vt:lpwstr/>
      </vt:variant>
      <vt:variant>
        <vt:i4>2031639</vt:i4>
      </vt:variant>
      <vt:variant>
        <vt:i4>6</vt:i4>
      </vt:variant>
      <vt:variant>
        <vt:i4>0</vt:i4>
      </vt:variant>
      <vt:variant>
        <vt:i4>5</vt:i4>
      </vt:variant>
      <vt:variant>
        <vt:lpwstr>https://dle.rae.es/est%C3%A1ndar</vt:lpwstr>
      </vt:variant>
      <vt:variant>
        <vt:lpwstr/>
      </vt:variant>
      <vt:variant>
        <vt:i4>2621457</vt:i4>
      </vt:variant>
      <vt:variant>
        <vt:i4>3</vt:i4>
      </vt:variant>
      <vt:variant>
        <vt:i4>0</vt:i4>
      </vt:variant>
      <vt:variant>
        <vt:i4>5</vt:i4>
      </vt:variant>
      <vt:variant>
        <vt:lpwstr>https://www.funcionpublica.gov.co/eva/gestornormativo/norma.php?i=84899</vt:lpwstr>
      </vt:variant>
      <vt:variant>
        <vt:lpwstr>4</vt:lpwstr>
      </vt:variant>
      <vt:variant>
        <vt:i4>2031639</vt:i4>
      </vt:variant>
      <vt:variant>
        <vt:i4>0</vt:i4>
      </vt:variant>
      <vt:variant>
        <vt:i4>0</vt:i4>
      </vt:variant>
      <vt:variant>
        <vt:i4>5</vt:i4>
      </vt:variant>
      <vt:variant>
        <vt:lpwstr>https://dle.rae.es/est%C3%A1ndar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Castrillon Endo</cp:lastModifiedBy>
  <cp:revision>6</cp:revision>
  <cp:lastPrinted>2023-01-10T21:18:00Z</cp:lastPrinted>
  <dcterms:created xsi:type="dcterms:W3CDTF">2026-05-07T16:19:00Z</dcterms:created>
  <dcterms:modified xsi:type="dcterms:W3CDTF">2026-05-11T01:34:00Z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